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B4072" w14:textId="086B935F" w:rsidR="008B0A4D" w:rsidRDefault="0073178E" w:rsidP="008B0A4D">
      <w:pPr>
        <w:pStyle w:val="1-MainHeading"/>
      </w:pPr>
      <w:bookmarkStart w:id="0" w:name="_Toc103776015"/>
      <w:r>
        <w:t>5.12</w:t>
      </w:r>
      <w:r w:rsidR="00163F66">
        <w:tab/>
      </w:r>
      <w:r>
        <w:t>RISANKIZUMAB</w:t>
      </w:r>
      <w:r w:rsidR="00163F66">
        <w:t>,</w:t>
      </w:r>
      <w:r w:rsidR="00163F66">
        <w:br/>
      </w:r>
      <w:r>
        <w:t>Solution concentrate for I.V. infusion 600 mg in 10</w:t>
      </w:r>
      <w:r w:rsidR="000977FE">
        <w:t> </w:t>
      </w:r>
      <w:r>
        <w:t>mL,</w:t>
      </w:r>
      <w:r w:rsidR="00163F66">
        <w:br/>
      </w:r>
      <w:r w:rsidRPr="0073178E">
        <w:t>Injection 360 mg in 2.4 mL in pre-filled cartridge</w:t>
      </w:r>
      <w:r w:rsidR="00163F66">
        <w:t>,</w:t>
      </w:r>
      <w:r w:rsidR="00163F66">
        <w:br/>
      </w:r>
      <w:r w:rsidRPr="0073178E">
        <w:t>Skyrizi</w:t>
      </w:r>
      <w:r w:rsidR="00B60939" w:rsidRPr="004A6040">
        <w:rPr>
          <w:vertAlign w:val="superscript"/>
        </w:rPr>
        <w:t>®</w:t>
      </w:r>
      <w:r w:rsidR="004A6040" w:rsidRPr="004A6040">
        <w:t>,</w:t>
      </w:r>
      <w:r w:rsidR="004A6040" w:rsidRPr="004A6040">
        <w:br/>
      </w:r>
      <w:r w:rsidRPr="0073178E">
        <w:t>AbbVie Pty Ltd</w:t>
      </w:r>
      <w:r w:rsidR="00B60939" w:rsidRPr="004A6040">
        <w:t>.</w:t>
      </w:r>
      <w:bookmarkEnd w:id="0"/>
    </w:p>
    <w:p w14:paraId="11C00795" w14:textId="676EABA7" w:rsidR="00B50DB8" w:rsidRPr="00407F2D" w:rsidRDefault="00B50DB8" w:rsidP="004A6040">
      <w:pPr>
        <w:pStyle w:val="2-SectionHeading"/>
      </w:pPr>
      <w:bookmarkStart w:id="1" w:name="_Toc103776017"/>
      <w:r w:rsidRPr="00407F2D">
        <w:t xml:space="preserve">Purpose of </w:t>
      </w:r>
      <w:r w:rsidR="00CD7193">
        <w:t>s</w:t>
      </w:r>
      <w:r w:rsidR="00BB3A45">
        <w:t>ubmission</w:t>
      </w:r>
      <w:bookmarkEnd w:id="1"/>
    </w:p>
    <w:p w14:paraId="19414AA1" w14:textId="095899D0" w:rsidR="002C2775" w:rsidRPr="008B1757" w:rsidRDefault="007170DA" w:rsidP="00465970">
      <w:pPr>
        <w:pStyle w:val="3-BodyText"/>
        <w:ind w:left="709"/>
      </w:pPr>
      <w:r>
        <w:t xml:space="preserve">The </w:t>
      </w:r>
      <w:r w:rsidR="00BE6817">
        <w:t xml:space="preserve">Category 2 </w:t>
      </w:r>
      <w:r w:rsidR="2881D340">
        <w:t xml:space="preserve">submission requested </w:t>
      </w:r>
      <w:r w:rsidR="4211A4DE">
        <w:t>Section 100 (Highly Specialised Drug</w:t>
      </w:r>
      <w:r w:rsidR="0099587A">
        <w:t>s</w:t>
      </w:r>
      <w:r w:rsidR="4211A4DE">
        <w:t xml:space="preserve"> Program</w:t>
      </w:r>
      <w:r w:rsidR="0099587A">
        <w:t xml:space="preserve"> - </w:t>
      </w:r>
      <w:r w:rsidR="00C82E8E" w:rsidRPr="00414040">
        <w:t xml:space="preserve">for IV </w:t>
      </w:r>
      <w:r w:rsidR="007476A2">
        <w:t>forms</w:t>
      </w:r>
      <w:r w:rsidR="00C82E8E" w:rsidRPr="00414040">
        <w:t xml:space="preserve">) and </w:t>
      </w:r>
      <w:r w:rsidR="007476A2">
        <w:t>General Schedule</w:t>
      </w:r>
      <w:r w:rsidR="0099587A">
        <w:t xml:space="preserve"> (for the SC forms), Authority Required (in writing) listings of risankizumab </w:t>
      </w:r>
      <w:r w:rsidR="00C82E8E" w:rsidRPr="00414040">
        <w:t xml:space="preserve"> </w:t>
      </w:r>
      <w:r w:rsidR="4211A4DE">
        <w:t xml:space="preserve">for </w:t>
      </w:r>
      <w:r w:rsidR="56A3FDA6">
        <w:t xml:space="preserve">the </w:t>
      </w:r>
      <w:r w:rsidR="4211A4DE">
        <w:t>treatment of severe Crohn’s disease (CD) and complex refractory fistulising Crohn’s disease (FCD)</w:t>
      </w:r>
      <w:r w:rsidR="007476A2">
        <w:t xml:space="preserve"> under the same restrictions and clinical criteria as the other PBS-listed biologics</w:t>
      </w:r>
      <w:r w:rsidR="4211A4DE">
        <w:t xml:space="preserve">. </w:t>
      </w:r>
    </w:p>
    <w:p w14:paraId="4E9FBCB5" w14:textId="11040793" w:rsidR="00C2778B" w:rsidRDefault="005750C5" w:rsidP="00465970">
      <w:pPr>
        <w:pStyle w:val="3-BodyText"/>
        <w:ind w:left="709"/>
      </w:pPr>
      <w:r w:rsidRPr="005750C5">
        <w:t xml:space="preserve">Listing was requested on the basis of a cost-minimisation </w:t>
      </w:r>
      <w:r w:rsidR="00CD4A64">
        <w:t xml:space="preserve">approach (CMA) </w:t>
      </w:r>
      <w:r w:rsidRPr="005750C5">
        <w:t>versus</w:t>
      </w:r>
      <w:r>
        <w:t xml:space="preserve"> </w:t>
      </w:r>
      <w:r w:rsidR="4BA35A7A">
        <w:t>ustekinumab (</w:t>
      </w:r>
      <w:r w:rsidR="007170DA">
        <w:t xml:space="preserve">for </w:t>
      </w:r>
      <w:r w:rsidR="4BA35A7A">
        <w:t xml:space="preserve">severe CD) </w:t>
      </w:r>
      <w:r w:rsidR="000F53FB">
        <w:t xml:space="preserve">and </w:t>
      </w:r>
      <w:r w:rsidR="4BA35A7A">
        <w:t>adalimumab (for FCD).</w:t>
      </w:r>
    </w:p>
    <w:p w14:paraId="7575A5DD" w14:textId="6C67D5D4" w:rsidR="4211A4DE" w:rsidRPr="005607B8" w:rsidRDefault="4211A4DE" w:rsidP="005607B8">
      <w:pPr>
        <w:pStyle w:val="TableFigureHeading"/>
        <w:rPr>
          <w:rStyle w:val="CommentReference"/>
          <w:b/>
          <w:bCs w:val="0"/>
        </w:rPr>
      </w:pPr>
      <w:r w:rsidRPr="005607B8">
        <w:rPr>
          <w:rStyle w:val="CommentReference"/>
          <w:b/>
          <w:bCs w:val="0"/>
        </w:rPr>
        <w:t xml:space="preserve">Table </w:t>
      </w:r>
      <w:r w:rsidR="005607B8" w:rsidRPr="005607B8">
        <w:rPr>
          <w:rStyle w:val="CommentReference"/>
          <w:b/>
          <w:bCs w:val="0"/>
        </w:rPr>
        <w:fldChar w:fldCharType="begin" w:fldLock="1"/>
      </w:r>
      <w:r w:rsidR="005607B8" w:rsidRPr="005607B8">
        <w:rPr>
          <w:rStyle w:val="CommentReference"/>
          <w:b/>
          <w:bCs w:val="0"/>
        </w:rPr>
        <w:instrText xml:space="preserve"> SEQ Table \* ARABIC </w:instrText>
      </w:r>
      <w:r w:rsidR="005607B8" w:rsidRPr="005607B8">
        <w:rPr>
          <w:rStyle w:val="CommentReference"/>
          <w:b/>
          <w:bCs w:val="0"/>
        </w:rPr>
        <w:fldChar w:fldCharType="separate"/>
      </w:r>
      <w:r w:rsidR="003D76A2">
        <w:rPr>
          <w:rStyle w:val="CommentReference"/>
          <w:b/>
          <w:bCs w:val="0"/>
          <w:noProof/>
        </w:rPr>
        <w:t>1</w:t>
      </w:r>
      <w:r w:rsidR="005607B8" w:rsidRPr="005607B8">
        <w:rPr>
          <w:rStyle w:val="CommentReference"/>
          <w:b/>
          <w:bCs w:val="0"/>
        </w:rPr>
        <w:fldChar w:fldCharType="end"/>
      </w:r>
      <w:r w:rsidRPr="005607B8">
        <w:rPr>
          <w:rStyle w:val="CommentReference"/>
          <w:b/>
          <w:bCs w:val="0"/>
        </w:rPr>
        <w:t>:</w:t>
      </w:r>
      <w:r w:rsidR="0EF4C972" w:rsidRPr="005607B8">
        <w:rPr>
          <w:rStyle w:val="CommentReference"/>
          <w:b/>
          <w:bCs w:val="0"/>
        </w:rPr>
        <w:t xml:space="preserve">  </w:t>
      </w:r>
      <w:r w:rsidR="7679F302" w:rsidRPr="005607B8">
        <w:rPr>
          <w:rStyle w:val="CommentReference"/>
          <w:b/>
          <w:bCs w:val="0"/>
        </w:rPr>
        <w:t>Key components of the clinical issue addressed by the submission – severe Crohn’s disease</w:t>
      </w:r>
    </w:p>
    <w:tbl>
      <w:tblPr>
        <w:tblW w:w="5000" w:type="pct"/>
        <w:tblLayout w:type="fixed"/>
        <w:tblLook w:val="04A0" w:firstRow="1" w:lastRow="0" w:firstColumn="1" w:lastColumn="0" w:noHBand="0" w:noVBand="1"/>
      </w:tblPr>
      <w:tblGrid>
        <w:gridCol w:w="1639"/>
        <w:gridCol w:w="7372"/>
      </w:tblGrid>
      <w:tr w:rsidR="7679F302" w14:paraId="72562F2C" w14:textId="77777777" w:rsidTr="0035762D">
        <w:tc>
          <w:tcPr>
            <w:tcW w:w="1640" w:type="dxa"/>
            <w:tcBorders>
              <w:top w:val="single" w:sz="6" w:space="0" w:color="auto"/>
              <w:left w:val="single" w:sz="6" w:space="0" w:color="auto"/>
              <w:bottom w:val="single" w:sz="6" w:space="0" w:color="auto"/>
              <w:right w:val="single" w:sz="6" w:space="0" w:color="auto"/>
            </w:tcBorders>
            <w:vAlign w:val="center"/>
          </w:tcPr>
          <w:p w14:paraId="320B8BB1" w14:textId="58ED039F" w:rsidR="7679F302" w:rsidRDefault="7679F302" w:rsidP="7679F302">
            <w:pPr>
              <w:pStyle w:val="In-tableHeading"/>
              <w:rPr>
                <w:rFonts w:eastAsia="Arial Narrow" w:cs="Arial Narrow"/>
                <w:bCs/>
                <w:szCs w:val="20"/>
              </w:rPr>
            </w:pPr>
            <w:r w:rsidRPr="7679F302">
              <w:rPr>
                <w:rFonts w:eastAsia="Arial Narrow" w:cs="Arial Narrow"/>
                <w:bCs/>
                <w:szCs w:val="20"/>
              </w:rPr>
              <w:t>Component</w:t>
            </w:r>
          </w:p>
        </w:tc>
        <w:tc>
          <w:tcPr>
            <w:tcW w:w="7375" w:type="dxa"/>
            <w:tcBorders>
              <w:top w:val="single" w:sz="6" w:space="0" w:color="auto"/>
              <w:left w:val="single" w:sz="6" w:space="0" w:color="auto"/>
              <w:bottom w:val="single" w:sz="6" w:space="0" w:color="auto"/>
              <w:right w:val="single" w:sz="6" w:space="0" w:color="auto"/>
            </w:tcBorders>
            <w:vAlign w:val="center"/>
          </w:tcPr>
          <w:p w14:paraId="69C17397" w14:textId="37524C08" w:rsidR="7679F302" w:rsidRDefault="7679F302" w:rsidP="7679F302">
            <w:pPr>
              <w:pStyle w:val="In-tableHeading"/>
              <w:rPr>
                <w:rFonts w:eastAsia="Arial Narrow" w:cs="Arial Narrow"/>
                <w:bCs/>
                <w:szCs w:val="20"/>
              </w:rPr>
            </w:pPr>
            <w:r w:rsidRPr="7679F302">
              <w:rPr>
                <w:rFonts w:eastAsia="Arial Narrow" w:cs="Arial Narrow"/>
                <w:bCs/>
                <w:szCs w:val="20"/>
              </w:rPr>
              <w:t>Description</w:t>
            </w:r>
          </w:p>
        </w:tc>
      </w:tr>
      <w:tr w:rsidR="7679F302" w14:paraId="088B130B" w14:textId="77777777" w:rsidTr="0035762D">
        <w:tc>
          <w:tcPr>
            <w:tcW w:w="1640" w:type="dxa"/>
            <w:tcBorders>
              <w:top w:val="single" w:sz="6" w:space="0" w:color="auto"/>
              <w:left w:val="single" w:sz="6" w:space="0" w:color="auto"/>
              <w:bottom w:val="single" w:sz="6" w:space="0" w:color="auto"/>
              <w:right w:val="single" w:sz="6" w:space="0" w:color="auto"/>
            </w:tcBorders>
            <w:vAlign w:val="center"/>
          </w:tcPr>
          <w:p w14:paraId="4C231644" w14:textId="47EAF67F" w:rsidR="7679F302" w:rsidRDefault="7679F302" w:rsidP="7679F302">
            <w:pPr>
              <w:pStyle w:val="TableText0"/>
              <w:rPr>
                <w:rFonts w:eastAsia="Arial Narrow" w:cs="Arial Narrow"/>
                <w:bCs w:val="0"/>
                <w:szCs w:val="20"/>
              </w:rPr>
            </w:pPr>
            <w:r w:rsidRPr="7679F302">
              <w:rPr>
                <w:rFonts w:eastAsia="Arial Narrow" w:cs="Arial Narrow"/>
                <w:bCs w:val="0"/>
                <w:szCs w:val="20"/>
              </w:rPr>
              <w:t>Population</w:t>
            </w:r>
          </w:p>
        </w:tc>
        <w:tc>
          <w:tcPr>
            <w:tcW w:w="7375" w:type="dxa"/>
            <w:tcBorders>
              <w:top w:val="single" w:sz="6" w:space="0" w:color="auto"/>
              <w:left w:val="single" w:sz="6" w:space="0" w:color="auto"/>
              <w:bottom w:val="single" w:sz="6" w:space="0" w:color="auto"/>
              <w:right w:val="single" w:sz="6" w:space="0" w:color="auto"/>
            </w:tcBorders>
            <w:vAlign w:val="center"/>
          </w:tcPr>
          <w:p w14:paraId="051F8316" w14:textId="2A7728DE" w:rsidR="7679F302" w:rsidRDefault="7679F302" w:rsidP="7679F302">
            <w:pPr>
              <w:pStyle w:val="TableText0"/>
              <w:rPr>
                <w:rFonts w:eastAsia="Arial Narrow" w:cs="Arial Narrow"/>
                <w:bCs w:val="0"/>
                <w:szCs w:val="20"/>
              </w:rPr>
            </w:pPr>
            <w:r w:rsidRPr="7679F302">
              <w:rPr>
                <w:rFonts w:eastAsia="Arial Narrow" w:cs="Arial Narrow"/>
                <w:bCs w:val="0"/>
                <w:szCs w:val="20"/>
              </w:rPr>
              <w:t xml:space="preserve">Adults with severe Crohn’s disease, who have failed to achieve an adequate response, or are contraindicated, to prior systemic therapy </w:t>
            </w:r>
          </w:p>
        </w:tc>
      </w:tr>
      <w:tr w:rsidR="7679F302" w14:paraId="68ACF125" w14:textId="77777777" w:rsidTr="0035762D">
        <w:tc>
          <w:tcPr>
            <w:tcW w:w="1640" w:type="dxa"/>
            <w:tcBorders>
              <w:top w:val="single" w:sz="6" w:space="0" w:color="auto"/>
              <w:left w:val="single" w:sz="6" w:space="0" w:color="auto"/>
              <w:bottom w:val="single" w:sz="6" w:space="0" w:color="auto"/>
              <w:right w:val="single" w:sz="6" w:space="0" w:color="auto"/>
            </w:tcBorders>
            <w:vAlign w:val="center"/>
          </w:tcPr>
          <w:p w14:paraId="153A32D6" w14:textId="5ED1D0B2" w:rsidR="7679F302" w:rsidRDefault="7679F302" w:rsidP="7679F302">
            <w:pPr>
              <w:pStyle w:val="TableText0"/>
              <w:rPr>
                <w:rFonts w:eastAsia="Arial Narrow" w:cs="Arial Narrow"/>
                <w:bCs w:val="0"/>
                <w:szCs w:val="20"/>
              </w:rPr>
            </w:pPr>
            <w:r w:rsidRPr="7679F302">
              <w:rPr>
                <w:rFonts w:eastAsia="Arial Narrow" w:cs="Arial Narrow"/>
                <w:bCs w:val="0"/>
                <w:szCs w:val="20"/>
              </w:rPr>
              <w:t>Intervention</w:t>
            </w:r>
          </w:p>
        </w:tc>
        <w:tc>
          <w:tcPr>
            <w:tcW w:w="7375" w:type="dxa"/>
            <w:tcBorders>
              <w:top w:val="single" w:sz="6" w:space="0" w:color="auto"/>
              <w:left w:val="single" w:sz="6" w:space="0" w:color="auto"/>
              <w:bottom w:val="single" w:sz="6" w:space="0" w:color="auto"/>
              <w:right w:val="single" w:sz="6" w:space="0" w:color="auto"/>
            </w:tcBorders>
            <w:vAlign w:val="center"/>
          </w:tcPr>
          <w:p w14:paraId="53A9F8CD" w14:textId="6ECF9D9B" w:rsidR="7679F302" w:rsidRDefault="7679F302" w:rsidP="7679F302">
            <w:pPr>
              <w:pStyle w:val="TableText0"/>
              <w:rPr>
                <w:rFonts w:eastAsia="Arial Narrow" w:cs="Arial Narrow"/>
                <w:bCs w:val="0"/>
                <w:szCs w:val="20"/>
              </w:rPr>
            </w:pPr>
            <w:r w:rsidRPr="7679F302">
              <w:rPr>
                <w:rFonts w:eastAsia="Arial Narrow" w:cs="Arial Narrow"/>
                <w:bCs w:val="0"/>
                <w:szCs w:val="20"/>
              </w:rPr>
              <w:t xml:space="preserve">Induction regimen: risankizumab 600 mg intravenously at Week 0, Week 4, Week 8 </w:t>
            </w:r>
          </w:p>
          <w:p w14:paraId="54A01B22" w14:textId="38FEB796" w:rsidR="7679F302" w:rsidRDefault="7679F302" w:rsidP="7679F302">
            <w:pPr>
              <w:pStyle w:val="TableText0"/>
              <w:rPr>
                <w:rFonts w:eastAsia="Arial Narrow" w:cs="Arial Narrow"/>
                <w:bCs w:val="0"/>
                <w:szCs w:val="20"/>
              </w:rPr>
            </w:pPr>
            <w:r w:rsidRPr="7679F302">
              <w:rPr>
                <w:rFonts w:eastAsia="Arial Narrow" w:cs="Arial Narrow"/>
                <w:bCs w:val="0"/>
                <w:szCs w:val="20"/>
              </w:rPr>
              <w:t>Maintenance regimen: risankizumab 360 mg subcutaneously at Week 12, and then every 8 weeks thereafter</w:t>
            </w:r>
          </w:p>
        </w:tc>
      </w:tr>
      <w:tr w:rsidR="7679F302" w14:paraId="7E85A13D" w14:textId="77777777" w:rsidTr="0035762D">
        <w:tc>
          <w:tcPr>
            <w:tcW w:w="1640" w:type="dxa"/>
            <w:tcBorders>
              <w:top w:val="single" w:sz="6" w:space="0" w:color="auto"/>
              <w:left w:val="single" w:sz="6" w:space="0" w:color="auto"/>
              <w:bottom w:val="single" w:sz="6" w:space="0" w:color="auto"/>
              <w:right w:val="single" w:sz="6" w:space="0" w:color="auto"/>
            </w:tcBorders>
            <w:vAlign w:val="center"/>
          </w:tcPr>
          <w:p w14:paraId="0463878C" w14:textId="493BFB38" w:rsidR="7679F302" w:rsidRDefault="7679F302" w:rsidP="7679F302">
            <w:pPr>
              <w:pStyle w:val="TableText0"/>
              <w:rPr>
                <w:rFonts w:eastAsia="Arial Narrow" w:cs="Arial Narrow"/>
                <w:bCs w:val="0"/>
                <w:szCs w:val="20"/>
              </w:rPr>
            </w:pPr>
            <w:r w:rsidRPr="7679F302">
              <w:rPr>
                <w:rFonts w:eastAsia="Arial Narrow" w:cs="Arial Narrow"/>
                <w:bCs w:val="0"/>
                <w:szCs w:val="20"/>
              </w:rPr>
              <w:t>Comparator</w:t>
            </w:r>
          </w:p>
        </w:tc>
        <w:tc>
          <w:tcPr>
            <w:tcW w:w="7375" w:type="dxa"/>
            <w:tcBorders>
              <w:top w:val="single" w:sz="6" w:space="0" w:color="auto"/>
              <w:left w:val="single" w:sz="6" w:space="0" w:color="auto"/>
              <w:bottom w:val="single" w:sz="6" w:space="0" w:color="auto"/>
              <w:right w:val="single" w:sz="6" w:space="0" w:color="auto"/>
            </w:tcBorders>
            <w:vAlign w:val="center"/>
          </w:tcPr>
          <w:p w14:paraId="1F2A87DC" w14:textId="19A8889E" w:rsidR="7679F302" w:rsidRDefault="7679F302" w:rsidP="7679F302">
            <w:pPr>
              <w:pStyle w:val="TableText0"/>
              <w:rPr>
                <w:rFonts w:eastAsia="Arial Narrow" w:cs="Arial Narrow"/>
                <w:bCs w:val="0"/>
                <w:szCs w:val="20"/>
              </w:rPr>
            </w:pPr>
            <w:r w:rsidRPr="7679F302">
              <w:rPr>
                <w:rFonts w:eastAsia="Arial Narrow" w:cs="Arial Narrow"/>
                <w:bCs w:val="0"/>
                <w:szCs w:val="20"/>
              </w:rPr>
              <w:t>Ustekinumab – primary comparator</w:t>
            </w:r>
          </w:p>
          <w:p w14:paraId="49A2857D" w14:textId="1CE0829A" w:rsidR="7679F302" w:rsidRDefault="7679F302" w:rsidP="7679F302">
            <w:pPr>
              <w:pStyle w:val="TableText0"/>
              <w:rPr>
                <w:rFonts w:eastAsia="Arial Narrow" w:cs="Arial Narrow"/>
                <w:bCs w:val="0"/>
                <w:szCs w:val="20"/>
              </w:rPr>
            </w:pPr>
            <w:r w:rsidRPr="7679F302">
              <w:rPr>
                <w:rFonts w:eastAsia="Arial Narrow" w:cs="Arial Narrow"/>
                <w:bCs w:val="0"/>
                <w:szCs w:val="20"/>
              </w:rPr>
              <w:t xml:space="preserve">Infliximab, adalimumab, vedolizumab – supplementary comparators </w:t>
            </w:r>
          </w:p>
        </w:tc>
      </w:tr>
      <w:tr w:rsidR="7679F302" w14:paraId="63F4E8EB" w14:textId="77777777" w:rsidTr="0035762D">
        <w:tc>
          <w:tcPr>
            <w:tcW w:w="1640" w:type="dxa"/>
            <w:tcBorders>
              <w:top w:val="single" w:sz="6" w:space="0" w:color="auto"/>
              <w:left w:val="single" w:sz="6" w:space="0" w:color="auto"/>
              <w:bottom w:val="single" w:sz="6" w:space="0" w:color="auto"/>
              <w:right w:val="single" w:sz="6" w:space="0" w:color="auto"/>
            </w:tcBorders>
            <w:vAlign w:val="center"/>
          </w:tcPr>
          <w:p w14:paraId="5666D751" w14:textId="4F6CFA01" w:rsidR="7679F302" w:rsidRDefault="7679F302" w:rsidP="7679F302">
            <w:pPr>
              <w:pStyle w:val="TableText0"/>
              <w:rPr>
                <w:rFonts w:eastAsia="Arial Narrow" w:cs="Arial Narrow"/>
                <w:bCs w:val="0"/>
                <w:szCs w:val="20"/>
              </w:rPr>
            </w:pPr>
            <w:r w:rsidRPr="7679F302">
              <w:rPr>
                <w:rFonts w:eastAsia="Arial Narrow" w:cs="Arial Narrow"/>
                <w:bCs w:val="0"/>
                <w:szCs w:val="20"/>
              </w:rPr>
              <w:t>Outcomes</w:t>
            </w:r>
          </w:p>
        </w:tc>
        <w:tc>
          <w:tcPr>
            <w:tcW w:w="7375" w:type="dxa"/>
            <w:tcBorders>
              <w:top w:val="single" w:sz="6" w:space="0" w:color="auto"/>
              <w:left w:val="single" w:sz="6" w:space="0" w:color="auto"/>
              <w:bottom w:val="single" w:sz="6" w:space="0" w:color="auto"/>
              <w:right w:val="single" w:sz="6" w:space="0" w:color="auto"/>
            </w:tcBorders>
            <w:vAlign w:val="center"/>
          </w:tcPr>
          <w:p w14:paraId="55D34247" w14:textId="3F0D97E6" w:rsidR="7679F302" w:rsidRDefault="7679F302" w:rsidP="7679F302">
            <w:pPr>
              <w:pStyle w:val="TableText0"/>
              <w:rPr>
                <w:rFonts w:eastAsia="Arial Narrow" w:cs="Arial Narrow"/>
                <w:bCs w:val="0"/>
                <w:sz w:val="16"/>
                <w:szCs w:val="16"/>
              </w:rPr>
            </w:pPr>
            <w:r w:rsidRPr="7679F302">
              <w:rPr>
                <w:rFonts w:eastAsia="Arial Narrow" w:cs="Arial Narrow"/>
                <w:bCs w:val="0"/>
                <w:szCs w:val="20"/>
              </w:rPr>
              <w:t>Clinical response and clinical remission</w:t>
            </w:r>
            <w:r w:rsidRPr="7679F302">
              <w:rPr>
                <w:rFonts w:eastAsia="Arial Narrow" w:cs="Arial Narrow"/>
                <w:bCs w:val="0"/>
                <w:szCs w:val="20"/>
                <w:vertAlign w:val="superscript"/>
              </w:rPr>
              <w:t>a</w:t>
            </w:r>
          </w:p>
        </w:tc>
      </w:tr>
      <w:tr w:rsidR="7679F302" w14:paraId="0D4E2721" w14:textId="77777777" w:rsidTr="0035762D">
        <w:tc>
          <w:tcPr>
            <w:tcW w:w="1640" w:type="dxa"/>
            <w:tcBorders>
              <w:top w:val="single" w:sz="6" w:space="0" w:color="auto"/>
              <w:left w:val="single" w:sz="6" w:space="0" w:color="auto"/>
              <w:bottom w:val="single" w:sz="6" w:space="0" w:color="auto"/>
              <w:right w:val="single" w:sz="6" w:space="0" w:color="auto"/>
            </w:tcBorders>
            <w:vAlign w:val="center"/>
          </w:tcPr>
          <w:p w14:paraId="6873D41B" w14:textId="25F0F8A4" w:rsidR="7679F302" w:rsidRDefault="7679F302" w:rsidP="7679F302">
            <w:pPr>
              <w:pStyle w:val="TableText0"/>
              <w:rPr>
                <w:rFonts w:eastAsia="Arial Narrow" w:cs="Arial Narrow"/>
                <w:bCs w:val="0"/>
                <w:szCs w:val="20"/>
              </w:rPr>
            </w:pPr>
            <w:r w:rsidRPr="7679F302">
              <w:rPr>
                <w:rFonts w:eastAsia="Arial Narrow" w:cs="Arial Narrow"/>
                <w:bCs w:val="0"/>
                <w:szCs w:val="20"/>
              </w:rPr>
              <w:t>Clinical claim</w:t>
            </w:r>
          </w:p>
        </w:tc>
        <w:tc>
          <w:tcPr>
            <w:tcW w:w="7375" w:type="dxa"/>
            <w:tcBorders>
              <w:top w:val="single" w:sz="6" w:space="0" w:color="auto"/>
              <w:left w:val="single" w:sz="6" w:space="0" w:color="auto"/>
              <w:bottom w:val="single" w:sz="6" w:space="0" w:color="auto"/>
              <w:right w:val="single" w:sz="6" w:space="0" w:color="auto"/>
            </w:tcBorders>
            <w:vAlign w:val="center"/>
          </w:tcPr>
          <w:p w14:paraId="5698F680" w14:textId="5DB8FC9C" w:rsidR="7679F302" w:rsidRDefault="7679F302" w:rsidP="7679F302">
            <w:pPr>
              <w:pStyle w:val="TableText0"/>
              <w:rPr>
                <w:rFonts w:eastAsia="Arial Narrow" w:cs="Arial Narrow"/>
                <w:bCs w:val="0"/>
                <w:szCs w:val="20"/>
              </w:rPr>
            </w:pPr>
            <w:r w:rsidRPr="7679F302">
              <w:rPr>
                <w:rFonts w:eastAsia="Arial Narrow" w:cs="Arial Narrow"/>
                <w:bCs w:val="0"/>
                <w:szCs w:val="20"/>
              </w:rPr>
              <w:t>Risankizumab is non-inferior to ustekinumab at achieving clinical response and clinical remission and non-inferior in terms of safety.</w:t>
            </w:r>
          </w:p>
        </w:tc>
      </w:tr>
    </w:tbl>
    <w:p w14:paraId="1E7A7223" w14:textId="5576CF3C" w:rsidR="7679F302" w:rsidRDefault="7679F302" w:rsidP="7679F302">
      <w:pPr>
        <w:pStyle w:val="TableFigureFooter"/>
        <w:rPr>
          <w:rFonts w:eastAsia="Arial Narrow" w:cs="Arial Narrow"/>
          <w:color w:val="000000" w:themeColor="text1"/>
          <w:szCs w:val="18"/>
        </w:rPr>
      </w:pPr>
      <w:r w:rsidRPr="7679F302">
        <w:rPr>
          <w:rFonts w:eastAsia="Arial Narrow" w:cs="Arial Narrow"/>
          <w:color w:val="000000" w:themeColor="text1"/>
          <w:szCs w:val="18"/>
        </w:rPr>
        <w:t>Source: Table 1-1, p3 of the submission</w:t>
      </w:r>
    </w:p>
    <w:p w14:paraId="7F53AD02" w14:textId="2D698C06" w:rsidR="7679F302" w:rsidRDefault="7679F302" w:rsidP="7679F302">
      <w:pPr>
        <w:pStyle w:val="TableFigureFooter"/>
        <w:rPr>
          <w:rFonts w:eastAsia="Arial Narrow" w:cs="Arial Narrow"/>
          <w:color w:val="000000" w:themeColor="text1"/>
          <w:szCs w:val="18"/>
        </w:rPr>
      </w:pPr>
      <w:r w:rsidRPr="7679F302">
        <w:rPr>
          <w:rFonts w:eastAsia="Arial Narrow" w:cs="Arial Narrow"/>
          <w:color w:val="000000" w:themeColor="text1"/>
          <w:szCs w:val="18"/>
          <w:vertAlign w:val="superscript"/>
        </w:rPr>
        <w:t>a</w:t>
      </w:r>
      <w:r w:rsidRPr="7679F302">
        <w:rPr>
          <w:rFonts w:eastAsia="Arial Narrow" w:cs="Arial Narrow"/>
          <w:color w:val="000000" w:themeColor="text1"/>
          <w:szCs w:val="18"/>
        </w:rPr>
        <w:t>Outcomes defined as follows:</w:t>
      </w:r>
    </w:p>
    <w:p w14:paraId="539FA11F" w14:textId="07838BDC" w:rsidR="7679F302" w:rsidRDefault="7679F302" w:rsidP="7679F302">
      <w:pPr>
        <w:pStyle w:val="TableFigureFooter"/>
        <w:rPr>
          <w:rFonts w:eastAsia="Arial Narrow" w:cs="Arial Narrow"/>
          <w:color w:val="000000" w:themeColor="text1"/>
          <w:szCs w:val="18"/>
        </w:rPr>
      </w:pPr>
      <w:r w:rsidRPr="7679F302">
        <w:rPr>
          <w:rFonts w:eastAsia="Arial Narrow" w:cs="Arial Narrow"/>
          <w:color w:val="000000" w:themeColor="text1"/>
          <w:szCs w:val="18"/>
        </w:rPr>
        <w:t>Clinical response: CDAI reduction of ≥100 points from baseline</w:t>
      </w:r>
    </w:p>
    <w:p w14:paraId="2FD8DE63" w14:textId="3522FB4B" w:rsidR="7679F302" w:rsidRDefault="7679F302" w:rsidP="7679F302">
      <w:pPr>
        <w:pStyle w:val="TableFigureFooter"/>
        <w:rPr>
          <w:rFonts w:eastAsia="Arial Narrow" w:cs="Arial Narrow"/>
          <w:color w:val="000000" w:themeColor="text1"/>
          <w:szCs w:val="18"/>
        </w:rPr>
      </w:pPr>
      <w:r w:rsidRPr="7679F302">
        <w:rPr>
          <w:rFonts w:eastAsia="Arial Narrow" w:cs="Arial Narrow"/>
          <w:color w:val="000000" w:themeColor="text1"/>
          <w:szCs w:val="18"/>
        </w:rPr>
        <w:t>Clinical remission: CDAI &lt;150</w:t>
      </w:r>
    </w:p>
    <w:p w14:paraId="47FF5C6F" w14:textId="4B596EDD" w:rsidR="7679F302" w:rsidRPr="00437430" w:rsidRDefault="7679F302" w:rsidP="003875BD">
      <w:pPr>
        <w:pStyle w:val="PbacTableHeading"/>
        <w:keepNext/>
        <w:widowControl w:val="0"/>
        <w:rPr>
          <w:rStyle w:val="CommentReference"/>
          <w:b/>
          <w:bCs/>
        </w:rPr>
      </w:pPr>
      <w:r w:rsidRPr="00437430">
        <w:rPr>
          <w:rStyle w:val="CommentReference"/>
          <w:b/>
          <w:bCs/>
        </w:rPr>
        <w:t xml:space="preserve">Table </w:t>
      </w:r>
      <w:r w:rsidR="005607B8" w:rsidRPr="00437430">
        <w:rPr>
          <w:rStyle w:val="CommentReference"/>
          <w:b/>
          <w:bCs/>
        </w:rPr>
        <w:fldChar w:fldCharType="begin" w:fldLock="1"/>
      </w:r>
      <w:r w:rsidR="005607B8" w:rsidRPr="00437430">
        <w:rPr>
          <w:rStyle w:val="CommentReference"/>
          <w:b/>
          <w:bCs/>
        </w:rPr>
        <w:instrText xml:space="preserve"> SEQ Table \* ARABIC </w:instrText>
      </w:r>
      <w:r w:rsidR="005607B8" w:rsidRPr="00437430">
        <w:rPr>
          <w:rStyle w:val="CommentReference"/>
          <w:b/>
          <w:bCs/>
        </w:rPr>
        <w:fldChar w:fldCharType="separate"/>
      </w:r>
      <w:r w:rsidR="003D76A2">
        <w:rPr>
          <w:rStyle w:val="CommentReference"/>
          <w:b/>
          <w:bCs/>
          <w:noProof/>
        </w:rPr>
        <w:t>2</w:t>
      </w:r>
      <w:r w:rsidR="005607B8" w:rsidRPr="00437430">
        <w:rPr>
          <w:rStyle w:val="CommentReference"/>
          <w:b/>
          <w:bCs/>
        </w:rPr>
        <w:fldChar w:fldCharType="end"/>
      </w:r>
      <w:r w:rsidRPr="00437430">
        <w:rPr>
          <w:rStyle w:val="CommentReference"/>
          <w:b/>
          <w:bCs/>
        </w:rPr>
        <w:t xml:space="preserve">: Key components of the clinical issue addressed by the submission – fistulising </w:t>
      </w:r>
      <w:r w:rsidRPr="00437430">
        <w:rPr>
          <w:rStyle w:val="CommentReference"/>
          <w:b/>
          <w:bCs/>
        </w:rPr>
        <w:lastRenderedPageBreak/>
        <w:t>Crohn’s disease</w:t>
      </w:r>
    </w:p>
    <w:tbl>
      <w:tblPr>
        <w:tblW w:w="5000" w:type="pct"/>
        <w:tblLook w:val="04A0" w:firstRow="1" w:lastRow="0" w:firstColumn="1" w:lastColumn="0" w:noHBand="0" w:noVBand="1"/>
      </w:tblPr>
      <w:tblGrid>
        <w:gridCol w:w="1653"/>
        <w:gridCol w:w="7358"/>
      </w:tblGrid>
      <w:tr w:rsidR="7679F302" w14:paraId="08B7D7B9" w14:textId="77777777" w:rsidTr="0035762D">
        <w:tc>
          <w:tcPr>
            <w:tcW w:w="917" w:type="pct"/>
            <w:tcBorders>
              <w:top w:val="single" w:sz="6" w:space="0" w:color="auto"/>
              <w:left w:val="single" w:sz="6" w:space="0" w:color="auto"/>
              <w:bottom w:val="single" w:sz="6" w:space="0" w:color="auto"/>
              <w:right w:val="single" w:sz="6" w:space="0" w:color="auto"/>
            </w:tcBorders>
            <w:vAlign w:val="center"/>
          </w:tcPr>
          <w:p w14:paraId="34FFE36D" w14:textId="403E873E" w:rsidR="7679F302" w:rsidRDefault="7679F302" w:rsidP="003875BD">
            <w:pPr>
              <w:pStyle w:val="In-tableHeading"/>
              <w:widowControl w:val="0"/>
              <w:rPr>
                <w:rFonts w:eastAsia="Arial Narrow" w:cs="Arial Narrow"/>
                <w:bCs/>
                <w:szCs w:val="20"/>
              </w:rPr>
            </w:pPr>
            <w:r w:rsidRPr="7679F302">
              <w:rPr>
                <w:rFonts w:eastAsia="Arial Narrow" w:cs="Arial Narrow"/>
                <w:bCs/>
                <w:szCs w:val="20"/>
              </w:rPr>
              <w:t>Component</w:t>
            </w:r>
          </w:p>
        </w:tc>
        <w:tc>
          <w:tcPr>
            <w:tcW w:w="4083" w:type="pct"/>
            <w:tcBorders>
              <w:top w:val="single" w:sz="6" w:space="0" w:color="auto"/>
              <w:left w:val="single" w:sz="6" w:space="0" w:color="auto"/>
              <w:bottom w:val="single" w:sz="6" w:space="0" w:color="auto"/>
              <w:right w:val="single" w:sz="6" w:space="0" w:color="auto"/>
            </w:tcBorders>
            <w:vAlign w:val="center"/>
          </w:tcPr>
          <w:p w14:paraId="0A704BC2" w14:textId="397B4F06" w:rsidR="7679F302" w:rsidRDefault="7679F302" w:rsidP="003875BD">
            <w:pPr>
              <w:pStyle w:val="In-tableHeading"/>
              <w:widowControl w:val="0"/>
              <w:rPr>
                <w:rFonts w:eastAsia="Arial Narrow" w:cs="Arial Narrow"/>
                <w:bCs/>
                <w:szCs w:val="20"/>
              </w:rPr>
            </w:pPr>
            <w:r w:rsidRPr="7679F302">
              <w:rPr>
                <w:rFonts w:eastAsia="Arial Narrow" w:cs="Arial Narrow"/>
                <w:bCs/>
                <w:szCs w:val="20"/>
              </w:rPr>
              <w:t>Description</w:t>
            </w:r>
          </w:p>
        </w:tc>
      </w:tr>
      <w:tr w:rsidR="7679F302" w14:paraId="5D647AF5" w14:textId="77777777" w:rsidTr="0035762D">
        <w:tc>
          <w:tcPr>
            <w:tcW w:w="917" w:type="pct"/>
            <w:tcBorders>
              <w:top w:val="single" w:sz="6" w:space="0" w:color="auto"/>
              <w:left w:val="single" w:sz="6" w:space="0" w:color="auto"/>
              <w:bottom w:val="single" w:sz="6" w:space="0" w:color="auto"/>
              <w:right w:val="single" w:sz="6" w:space="0" w:color="auto"/>
            </w:tcBorders>
            <w:vAlign w:val="center"/>
          </w:tcPr>
          <w:p w14:paraId="2EBF5D54" w14:textId="77D5C2F2" w:rsidR="7679F302" w:rsidRDefault="7679F302" w:rsidP="003875BD">
            <w:pPr>
              <w:pStyle w:val="TableText0"/>
              <w:widowControl w:val="0"/>
              <w:rPr>
                <w:rFonts w:eastAsia="Arial Narrow" w:cs="Arial Narrow"/>
                <w:bCs w:val="0"/>
                <w:szCs w:val="20"/>
              </w:rPr>
            </w:pPr>
            <w:r w:rsidRPr="7679F302">
              <w:rPr>
                <w:rFonts w:eastAsia="Arial Narrow" w:cs="Arial Narrow"/>
                <w:bCs w:val="0"/>
                <w:szCs w:val="20"/>
              </w:rPr>
              <w:t>Population</w:t>
            </w:r>
          </w:p>
        </w:tc>
        <w:tc>
          <w:tcPr>
            <w:tcW w:w="4083" w:type="pct"/>
            <w:tcBorders>
              <w:top w:val="single" w:sz="6" w:space="0" w:color="auto"/>
              <w:left w:val="single" w:sz="6" w:space="0" w:color="auto"/>
              <w:bottom w:val="single" w:sz="6" w:space="0" w:color="auto"/>
              <w:right w:val="single" w:sz="6" w:space="0" w:color="auto"/>
            </w:tcBorders>
            <w:vAlign w:val="center"/>
          </w:tcPr>
          <w:p w14:paraId="5F2ED1E8" w14:textId="586411F8" w:rsidR="7679F302" w:rsidRDefault="7679F302" w:rsidP="003875BD">
            <w:pPr>
              <w:pStyle w:val="TableText0"/>
              <w:widowControl w:val="0"/>
              <w:rPr>
                <w:rFonts w:eastAsia="Arial Narrow" w:cs="Arial Narrow"/>
                <w:bCs w:val="0"/>
                <w:szCs w:val="20"/>
              </w:rPr>
            </w:pPr>
            <w:r w:rsidRPr="7679F302">
              <w:rPr>
                <w:rFonts w:eastAsia="Arial Narrow" w:cs="Arial Narrow"/>
                <w:bCs w:val="0"/>
                <w:szCs w:val="20"/>
              </w:rPr>
              <w:t>Patients with complex refractory fistulising Crohn’s disease who have externally draining enterocutaneous or rectovaginal fistula</w:t>
            </w:r>
          </w:p>
        </w:tc>
      </w:tr>
      <w:tr w:rsidR="7679F302" w14:paraId="2513C3DE" w14:textId="77777777" w:rsidTr="0035762D">
        <w:tc>
          <w:tcPr>
            <w:tcW w:w="917" w:type="pct"/>
            <w:tcBorders>
              <w:top w:val="single" w:sz="6" w:space="0" w:color="auto"/>
              <w:left w:val="single" w:sz="6" w:space="0" w:color="auto"/>
              <w:bottom w:val="single" w:sz="6" w:space="0" w:color="auto"/>
              <w:right w:val="single" w:sz="6" w:space="0" w:color="auto"/>
            </w:tcBorders>
            <w:vAlign w:val="center"/>
          </w:tcPr>
          <w:p w14:paraId="5F7782CC" w14:textId="4E184EFD" w:rsidR="7679F302" w:rsidRDefault="7679F302" w:rsidP="003875BD">
            <w:pPr>
              <w:pStyle w:val="TableText0"/>
              <w:widowControl w:val="0"/>
              <w:rPr>
                <w:rFonts w:eastAsia="Arial Narrow" w:cs="Arial Narrow"/>
                <w:bCs w:val="0"/>
                <w:szCs w:val="20"/>
              </w:rPr>
            </w:pPr>
            <w:r w:rsidRPr="7679F302">
              <w:rPr>
                <w:rFonts w:eastAsia="Arial Narrow" w:cs="Arial Narrow"/>
                <w:bCs w:val="0"/>
                <w:szCs w:val="20"/>
              </w:rPr>
              <w:t>Intervention</w:t>
            </w:r>
          </w:p>
        </w:tc>
        <w:tc>
          <w:tcPr>
            <w:tcW w:w="4083" w:type="pct"/>
            <w:tcBorders>
              <w:top w:val="single" w:sz="6" w:space="0" w:color="auto"/>
              <w:left w:val="single" w:sz="6" w:space="0" w:color="auto"/>
              <w:bottom w:val="single" w:sz="6" w:space="0" w:color="auto"/>
              <w:right w:val="single" w:sz="6" w:space="0" w:color="auto"/>
            </w:tcBorders>
            <w:vAlign w:val="center"/>
          </w:tcPr>
          <w:p w14:paraId="1CC4243F" w14:textId="7A88FDA3" w:rsidR="7679F302" w:rsidRDefault="7679F302" w:rsidP="003875BD">
            <w:pPr>
              <w:pStyle w:val="TableText0"/>
              <w:widowControl w:val="0"/>
              <w:rPr>
                <w:rFonts w:eastAsia="Arial Narrow" w:cs="Arial Narrow"/>
                <w:bCs w:val="0"/>
                <w:szCs w:val="20"/>
              </w:rPr>
            </w:pPr>
            <w:r w:rsidRPr="7679F302">
              <w:rPr>
                <w:rFonts w:eastAsia="Arial Narrow" w:cs="Arial Narrow"/>
                <w:bCs w:val="0"/>
                <w:szCs w:val="20"/>
              </w:rPr>
              <w:t xml:space="preserve">Induction regimen: risankizumab 600 mg intravenously at Week 0, Week 4, Week 8 </w:t>
            </w:r>
          </w:p>
          <w:p w14:paraId="74397082" w14:textId="1753B0A1" w:rsidR="7679F302" w:rsidRDefault="7679F302" w:rsidP="003875BD">
            <w:pPr>
              <w:pStyle w:val="TableText0"/>
              <w:widowControl w:val="0"/>
              <w:rPr>
                <w:rFonts w:eastAsia="Arial Narrow" w:cs="Arial Narrow"/>
                <w:bCs w:val="0"/>
                <w:szCs w:val="20"/>
              </w:rPr>
            </w:pPr>
            <w:r w:rsidRPr="7679F302">
              <w:rPr>
                <w:rFonts w:eastAsia="Arial Narrow" w:cs="Arial Narrow"/>
                <w:bCs w:val="0"/>
                <w:szCs w:val="20"/>
              </w:rPr>
              <w:t>Maintenance regimen: risankizumab 360 mg subcutaneously at Week 12, and then every 8 weeks thereafter</w:t>
            </w:r>
          </w:p>
        </w:tc>
      </w:tr>
      <w:tr w:rsidR="7679F302" w14:paraId="6C49DDB5" w14:textId="77777777" w:rsidTr="0035762D">
        <w:tc>
          <w:tcPr>
            <w:tcW w:w="917" w:type="pct"/>
            <w:tcBorders>
              <w:top w:val="single" w:sz="6" w:space="0" w:color="auto"/>
              <w:left w:val="single" w:sz="6" w:space="0" w:color="auto"/>
              <w:bottom w:val="single" w:sz="6" w:space="0" w:color="auto"/>
              <w:right w:val="single" w:sz="6" w:space="0" w:color="auto"/>
            </w:tcBorders>
            <w:vAlign w:val="center"/>
          </w:tcPr>
          <w:p w14:paraId="3C843697" w14:textId="3A668E58" w:rsidR="7679F302" w:rsidRDefault="7679F302" w:rsidP="003875BD">
            <w:pPr>
              <w:pStyle w:val="TableText0"/>
              <w:widowControl w:val="0"/>
              <w:rPr>
                <w:rFonts w:eastAsia="Arial Narrow" w:cs="Arial Narrow"/>
                <w:bCs w:val="0"/>
                <w:szCs w:val="20"/>
              </w:rPr>
            </w:pPr>
            <w:r w:rsidRPr="7679F302">
              <w:rPr>
                <w:rFonts w:eastAsia="Arial Narrow" w:cs="Arial Narrow"/>
                <w:bCs w:val="0"/>
                <w:szCs w:val="20"/>
              </w:rPr>
              <w:t>Comparator</w:t>
            </w:r>
          </w:p>
        </w:tc>
        <w:tc>
          <w:tcPr>
            <w:tcW w:w="4083" w:type="pct"/>
            <w:tcBorders>
              <w:top w:val="single" w:sz="6" w:space="0" w:color="auto"/>
              <w:left w:val="single" w:sz="6" w:space="0" w:color="auto"/>
              <w:bottom w:val="single" w:sz="6" w:space="0" w:color="auto"/>
              <w:right w:val="single" w:sz="6" w:space="0" w:color="auto"/>
            </w:tcBorders>
            <w:vAlign w:val="center"/>
          </w:tcPr>
          <w:p w14:paraId="6F807B82" w14:textId="70835D45" w:rsidR="7679F302" w:rsidRDefault="7679F302" w:rsidP="003875BD">
            <w:pPr>
              <w:pStyle w:val="TableText0"/>
              <w:widowControl w:val="0"/>
              <w:rPr>
                <w:rFonts w:eastAsia="Arial Narrow" w:cs="Arial Narrow"/>
                <w:bCs w:val="0"/>
                <w:szCs w:val="20"/>
              </w:rPr>
            </w:pPr>
            <w:r w:rsidRPr="7679F302">
              <w:rPr>
                <w:rFonts w:eastAsia="Arial Narrow" w:cs="Arial Narrow"/>
                <w:bCs w:val="0"/>
                <w:szCs w:val="20"/>
              </w:rPr>
              <w:t>Infliximab and adalimumab</w:t>
            </w:r>
          </w:p>
        </w:tc>
      </w:tr>
      <w:tr w:rsidR="7679F302" w14:paraId="00FE2794" w14:textId="77777777" w:rsidTr="0035762D">
        <w:tc>
          <w:tcPr>
            <w:tcW w:w="917" w:type="pct"/>
            <w:tcBorders>
              <w:top w:val="single" w:sz="6" w:space="0" w:color="auto"/>
              <w:left w:val="single" w:sz="6" w:space="0" w:color="auto"/>
              <w:bottom w:val="single" w:sz="6" w:space="0" w:color="auto"/>
              <w:right w:val="single" w:sz="6" w:space="0" w:color="auto"/>
            </w:tcBorders>
            <w:vAlign w:val="center"/>
          </w:tcPr>
          <w:p w14:paraId="62EAFA45" w14:textId="32CFE390" w:rsidR="7679F302" w:rsidRDefault="7679F302" w:rsidP="003875BD">
            <w:pPr>
              <w:pStyle w:val="TableText0"/>
              <w:widowControl w:val="0"/>
              <w:rPr>
                <w:rFonts w:eastAsia="Arial Narrow" w:cs="Arial Narrow"/>
                <w:bCs w:val="0"/>
                <w:szCs w:val="20"/>
              </w:rPr>
            </w:pPr>
            <w:r w:rsidRPr="7679F302">
              <w:rPr>
                <w:rFonts w:eastAsia="Arial Narrow" w:cs="Arial Narrow"/>
                <w:bCs w:val="0"/>
                <w:szCs w:val="20"/>
              </w:rPr>
              <w:t>Outcomes</w:t>
            </w:r>
          </w:p>
        </w:tc>
        <w:tc>
          <w:tcPr>
            <w:tcW w:w="4083" w:type="pct"/>
            <w:tcBorders>
              <w:top w:val="single" w:sz="6" w:space="0" w:color="auto"/>
              <w:left w:val="single" w:sz="6" w:space="0" w:color="auto"/>
              <w:bottom w:val="single" w:sz="6" w:space="0" w:color="auto"/>
              <w:right w:val="single" w:sz="6" w:space="0" w:color="auto"/>
            </w:tcBorders>
            <w:vAlign w:val="center"/>
          </w:tcPr>
          <w:p w14:paraId="4212B1E1" w14:textId="6E3F2C2F" w:rsidR="7679F302" w:rsidRDefault="7679F302" w:rsidP="003875BD">
            <w:pPr>
              <w:pStyle w:val="TableText0"/>
              <w:widowControl w:val="0"/>
              <w:rPr>
                <w:rFonts w:eastAsia="Arial Narrow" w:cs="Arial Narrow"/>
                <w:bCs w:val="0"/>
                <w:sz w:val="16"/>
                <w:szCs w:val="16"/>
              </w:rPr>
            </w:pPr>
            <w:r w:rsidRPr="7679F302">
              <w:rPr>
                <w:rFonts w:eastAsia="Arial Narrow" w:cs="Arial Narrow"/>
                <w:bCs w:val="0"/>
                <w:szCs w:val="20"/>
              </w:rPr>
              <w:t>Fistula response and fistula remission</w:t>
            </w:r>
            <w:r w:rsidRPr="7679F302">
              <w:rPr>
                <w:rFonts w:eastAsia="Arial Narrow" w:cs="Arial Narrow"/>
                <w:bCs w:val="0"/>
                <w:szCs w:val="20"/>
                <w:vertAlign w:val="superscript"/>
              </w:rPr>
              <w:t>a</w:t>
            </w:r>
          </w:p>
        </w:tc>
      </w:tr>
      <w:tr w:rsidR="7679F302" w14:paraId="30665DBA" w14:textId="77777777" w:rsidTr="0035762D">
        <w:tc>
          <w:tcPr>
            <w:tcW w:w="917" w:type="pct"/>
            <w:tcBorders>
              <w:top w:val="single" w:sz="6" w:space="0" w:color="auto"/>
              <w:left w:val="single" w:sz="6" w:space="0" w:color="auto"/>
              <w:bottom w:val="single" w:sz="6" w:space="0" w:color="auto"/>
              <w:right w:val="single" w:sz="6" w:space="0" w:color="auto"/>
            </w:tcBorders>
            <w:vAlign w:val="center"/>
          </w:tcPr>
          <w:p w14:paraId="53802C0B" w14:textId="66ED94D2" w:rsidR="7679F302" w:rsidRDefault="7679F302" w:rsidP="003875BD">
            <w:pPr>
              <w:pStyle w:val="TableText0"/>
              <w:widowControl w:val="0"/>
              <w:rPr>
                <w:rFonts w:eastAsia="Arial Narrow" w:cs="Arial Narrow"/>
                <w:bCs w:val="0"/>
                <w:szCs w:val="20"/>
              </w:rPr>
            </w:pPr>
            <w:r w:rsidRPr="7679F302">
              <w:rPr>
                <w:rFonts w:eastAsia="Arial Narrow" w:cs="Arial Narrow"/>
                <w:bCs w:val="0"/>
                <w:szCs w:val="20"/>
              </w:rPr>
              <w:t>Clinical claim</w:t>
            </w:r>
          </w:p>
        </w:tc>
        <w:tc>
          <w:tcPr>
            <w:tcW w:w="4083" w:type="pct"/>
            <w:tcBorders>
              <w:top w:val="single" w:sz="6" w:space="0" w:color="auto"/>
              <w:left w:val="single" w:sz="6" w:space="0" w:color="auto"/>
              <w:bottom w:val="single" w:sz="6" w:space="0" w:color="auto"/>
              <w:right w:val="single" w:sz="6" w:space="0" w:color="auto"/>
            </w:tcBorders>
            <w:vAlign w:val="center"/>
          </w:tcPr>
          <w:p w14:paraId="2DFFA36A" w14:textId="372A8FB5" w:rsidR="7679F302" w:rsidRDefault="7679F302" w:rsidP="003875BD">
            <w:pPr>
              <w:pStyle w:val="TableText0"/>
              <w:widowControl w:val="0"/>
              <w:rPr>
                <w:rFonts w:eastAsia="Arial Narrow" w:cs="Arial Narrow"/>
                <w:bCs w:val="0"/>
                <w:szCs w:val="20"/>
              </w:rPr>
            </w:pPr>
            <w:r w:rsidRPr="7679F302">
              <w:rPr>
                <w:rFonts w:eastAsia="Arial Narrow" w:cs="Arial Narrow"/>
                <w:bCs w:val="0"/>
                <w:szCs w:val="20"/>
              </w:rPr>
              <w:t>Risankizumab is non-inferior to infliximab and adalimumab at achieving fistula remission and fistula response and non-inferior in terms of safety.</w:t>
            </w:r>
          </w:p>
        </w:tc>
      </w:tr>
    </w:tbl>
    <w:p w14:paraId="7420795C" w14:textId="0EC08C80" w:rsidR="7679F302" w:rsidRDefault="7679F302" w:rsidP="003875BD">
      <w:pPr>
        <w:pStyle w:val="TableFigureFooter"/>
        <w:keepNext/>
        <w:widowControl w:val="0"/>
        <w:rPr>
          <w:rFonts w:eastAsia="Arial Narrow" w:cs="Arial Narrow"/>
          <w:color w:val="000000" w:themeColor="text1"/>
          <w:szCs w:val="18"/>
        </w:rPr>
      </w:pPr>
      <w:r w:rsidRPr="7679F302">
        <w:rPr>
          <w:rFonts w:eastAsia="Arial Narrow" w:cs="Arial Narrow"/>
          <w:color w:val="000000" w:themeColor="text1"/>
          <w:szCs w:val="18"/>
        </w:rPr>
        <w:t>Source: Table 1-1, p3 of the submission</w:t>
      </w:r>
    </w:p>
    <w:p w14:paraId="00835E90" w14:textId="46E6288C" w:rsidR="7679F302" w:rsidRDefault="7679F302" w:rsidP="003875BD">
      <w:pPr>
        <w:pStyle w:val="TableFigureFooter"/>
        <w:keepNext/>
        <w:widowControl w:val="0"/>
        <w:rPr>
          <w:rFonts w:eastAsia="Arial Narrow" w:cs="Arial Narrow"/>
          <w:color w:val="000000" w:themeColor="text1"/>
          <w:szCs w:val="18"/>
        </w:rPr>
      </w:pPr>
      <w:r w:rsidRPr="7679F302">
        <w:rPr>
          <w:rFonts w:eastAsia="Arial Narrow" w:cs="Arial Narrow"/>
          <w:color w:val="000000" w:themeColor="text1"/>
          <w:szCs w:val="18"/>
          <w:vertAlign w:val="superscript"/>
        </w:rPr>
        <w:t>a</w:t>
      </w:r>
      <w:r w:rsidRPr="7679F302">
        <w:rPr>
          <w:rFonts w:eastAsia="Arial Narrow" w:cs="Arial Narrow"/>
          <w:color w:val="000000" w:themeColor="text1"/>
          <w:szCs w:val="18"/>
        </w:rPr>
        <w:t>Outcomes defined as follows:</w:t>
      </w:r>
    </w:p>
    <w:p w14:paraId="5856D26E" w14:textId="36790FFA" w:rsidR="7679F302" w:rsidRDefault="7679F302" w:rsidP="003875BD">
      <w:pPr>
        <w:pStyle w:val="TableFigureFooter"/>
        <w:keepNext/>
        <w:widowControl w:val="0"/>
        <w:rPr>
          <w:rFonts w:eastAsia="Arial Narrow" w:cs="Arial Narrow"/>
          <w:color w:val="000000" w:themeColor="text1"/>
          <w:szCs w:val="18"/>
        </w:rPr>
      </w:pPr>
      <w:r w:rsidRPr="7679F302">
        <w:rPr>
          <w:rFonts w:eastAsia="Arial Narrow" w:cs="Arial Narrow"/>
          <w:color w:val="000000" w:themeColor="text1"/>
          <w:szCs w:val="18"/>
        </w:rPr>
        <w:t>Fistula response: ≥50% closure in patients with fistulae at baseline</w:t>
      </w:r>
    </w:p>
    <w:p w14:paraId="61A14129" w14:textId="4975FE61" w:rsidR="7679F302" w:rsidRDefault="7679F302" w:rsidP="003875BD">
      <w:pPr>
        <w:pStyle w:val="TableFigureFooter"/>
        <w:keepNext/>
        <w:widowControl w:val="0"/>
        <w:rPr>
          <w:rFonts w:eastAsia="Arial Narrow" w:cs="Arial Narrow"/>
          <w:color w:val="000000" w:themeColor="text1"/>
          <w:szCs w:val="18"/>
        </w:rPr>
      </w:pPr>
      <w:r w:rsidRPr="7679F302">
        <w:rPr>
          <w:rFonts w:eastAsia="Arial Narrow" w:cs="Arial Narrow"/>
          <w:color w:val="000000" w:themeColor="text1"/>
          <w:szCs w:val="18"/>
        </w:rPr>
        <w:t>Fistula remission: no draining fistula in patients with fistulae at baseline</w:t>
      </w:r>
    </w:p>
    <w:p w14:paraId="6B4AB6C2" w14:textId="7F01D731" w:rsidR="005C25FF" w:rsidRPr="00407F2D" w:rsidRDefault="005C25FF" w:rsidP="004A6040">
      <w:pPr>
        <w:pStyle w:val="2-SectionHeading"/>
      </w:pPr>
      <w:bookmarkStart w:id="2" w:name="_Toc103776018"/>
      <w:r w:rsidRPr="00407F2D">
        <w:t>Background</w:t>
      </w:r>
      <w:bookmarkEnd w:id="2"/>
    </w:p>
    <w:p w14:paraId="2C521D6D" w14:textId="78CF03EE" w:rsidR="005C25FF" w:rsidRPr="004151CF" w:rsidRDefault="005C25FF" w:rsidP="004A6040">
      <w:pPr>
        <w:pStyle w:val="4-SubsectionHeading"/>
      </w:pPr>
      <w:bookmarkStart w:id="3" w:name="_Toc22897638"/>
      <w:bookmarkStart w:id="4" w:name="_Toc103776019"/>
      <w:r w:rsidRPr="004151CF">
        <w:t>Registration status</w:t>
      </w:r>
      <w:bookmarkEnd w:id="3"/>
      <w:bookmarkEnd w:id="4"/>
    </w:p>
    <w:p w14:paraId="5374AD55" w14:textId="1F4612E5" w:rsidR="005C25FF" w:rsidRDefault="005C25FF" w:rsidP="00465970">
      <w:pPr>
        <w:pStyle w:val="3-BodyText"/>
        <w:ind w:left="709"/>
      </w:pPr>
      <w:r w:rsidRPr="004A3AAE">
        <w:t xml:space="preserve">The submission was made under </w:t>
      </w:r>
      <w:r w:rsidR="00E244F6" w:rsidRPr="004A3AAE">
        <w:t xml:space="preserve">the </w:t>
      </w:r>
      <w:r w:rsidRPr="004A3AAE">
        <w:t xml:space="preserve">TGA/PBAC Parallel Process. At the time of PBAC consideration, the </w:t>
      </w:r>
      <w:r w:rsidR="7C1C48F2" w:rsidRPr="004A3AAE">
        <w:t>proposed Australian Product Information document</w:t>
      </w:r>
      <w:r w:rsidR="00B670EC">
        <w:t xml:space="preserve"> </w:t>
      </w:r>
      <w:r w:rsidR="7C1C48F2" w:rsidRPr="004A3AAE">
        <w:t>and the TGA Clinical Evaluation Report</w:t>
      </w:r>
      <w:r w:rsidR="00193A78">
        <w:t xml:space="preserve"> (Round 1)</w:t>
      </w:r>
      <w:r w:rsidRPr="004A3AAE">
        <w:t xml:space="preserve"> were available. The Delegate’s Overview </w:t>
      </w:r>
      <w:r w:rsidR="00193A78">
        <w:t>wa</w:t>
      </w:r>
      <w:r w:rsidR="00CE4921">
        <w:t>s not received prior to consideration by the PBAC at its July 2022 meeting</w:t>
      </w:r>
      <w:r w:rsidRPr="004A3AAE">
        <w:t xml:space="preserve">. </w:t>
      </w:r>
    </w:p>
    <w:p w14:paraId="2FB6A16D" w14:textId="5A74AC6B" w:rsidR="0043214A" w:rsidRDefault="0043214A" w:rsidP="00465970">
      <w:pPr>
        <w:pStyle w:val="3-BodyText"/>
        <w:ind w:left="709"/>
      </w:pPr>
      <w:r>
        <w:t>The indication proposed in the draft Product Information (PI) i</w:t>
      </w:r>
      <w:r w:rsidR="000A2E93">
        <w:t>s</w:t>
      </w:r>
      <w:r>
        <w:t xml:space="preserve"> as follows:</w:t>
      </w:r>
    </w:p>
    <w:p w14:paraId="3A42CFCE" w14:textId="302AF56B" w:rsidR="0043214A" w:rsidRPr="0043214A" w:rsidRDefault="0043214A" w:rsidP="0043214A">
      <w:pPr>
        <w:pStyle w:val="3-BodyText"/>
        <w:numPr>
          <w:ilvl w:val="0"/>
          <w:numId w:val="0"/>
        </w:numPr>
        <w:ind w:left="720"/>
      </w:pPr>
      <w:r w:rsidRPr="0043214A">
        <w:rPr>
          <w:rFonts w:cstheme="minorHAnsi"/>
        </w:rPr>
        <w:t>‘SKYRIZI is indicated for the treatment of moderate to severe active Crohn's disease in patients 16 years of age and older’</w:t>
      </w:r>
    </w:p>
    <w:p w14:paraId="174F4EAF" w14:textId="3E5E19E7" w:rsidR="0006386E" w:rsidRDefault="0043214A" w:rsidP="00465970">
      <w:pPr>
        <w:pStyle w:val="3-BodyText"/>
        <w:ind w:left="709"/>
      </w:pPr>
      <w:r w:rsidRPr="00AF2677">
        <w:t xml:space="preserve">FCD was not proposed as a separate </w:t>
      </w:r>
      <w:r w:rsidR="000F7E61" w:rsidRPr="00AF2677">
        <w:t>indication</w:t>
      </w:r>
      <w:r w:rsidR="00043955" w:rsidRPr="00AF2677">
        <w:t xml:space="preserve"> in the PI</w:t>
      </w:r>
      <w:r w:rsidR="000F7E61" w:rsidRPr="00AF2677">
        <w:t>.</w:t>
      </w:r>
      <w:r w:rsidR="009515B3" w:rsidRPr="00AF2677">
        <w:t xml:space="preserve"> The</w:t>
      </w:r>
      <w:r w:rsidR="009515B3" w:rsidRPr="009515B3">
        <w:t xml:space="preserve"> submission </w:t>
      </w:r>
      <w:r w:rsidR="009515B3">
        <w:t>highlighted that</w:t>
      </w:r>
      <w:r w:rsidR="009515B3" w:rsidRPr="009515B3">
        <w:t xml:space="preserve"> in the recommendation of adalimumab </w:t>
      </w:r>
      <w:r w:rsidR="001E7905">
        <w:t>in</w:t>
      </w:r>
      <w:r w:rsidR="009515B3" w:rsidRPr="009515B3">
        <w:t xml:space="preserve"> FCD in 2010</w:t>
      </w:r>
      <w:r w:rsidR="009515B3">
        <w:t>, the PBAC noted</w:t>
      </w:r>
      <w:r w:rsidR="009515B3" w:rsidRPr="009515B3">
        <w:t xml:space="preserve"> that FCD is ‘a manifestation of moderate to severe Crohn disease, and that it was reasonable to interpret that the TGA approved indication (moderate to severe CD) includes patients with fistulising disease’ (paragraph 12, Adalimumab</w:t>
      </w:r>
      <w:r w:rsidR="00D2508D">
        <w:t xml:space="preserve"> </w:t>
      </w:r>
      <w:r w:rsidR="000A0355">
        <w:t>P</w:t>
      </w:r>
      <w:r w:rsidR="00D2508D">
        <w:t xml:space="preserve">ublic </w:t>
      </w:r>
      <w:r w:rsidR="000A0355">
        <w:t>S</w:t>
      </w:r>
      <w:r w:rsidR="00D2508D">
        <w:t xml:space="preserve">ummary </w:t>
      </w:r>
      <w:r w:rsidR="000A0355">
        <w:t>D</w:t>
      </w:r>
      <w:r w:rsidR="00D2508D">
        <w:t>ocument</w:t>
      </w:r>
      <w:r w:rsidR="009515B3" w:rsidRPr="009515B3">
        <w:t xml:space="preserve"> </w:t>
      </w:r>
      <w:r w:rsidR="00D2508D">
        <w:t>(</w:t>
      </w:r>
      <w:r w:rsidR="009515B3" w:rsidRPr="009515B3">
        <w:t>PSD</w:t>
      </w:r>
      <w:r w:rsidR="00D2508D">
        <w:t>)</w:t>
      </w:r>
      <w:r w:rsidR="009515B3" w:rsidRPr="009515B3">
        <w:t>, Nov 2010). However, in March 2017 when the PBAC did not recommend the listing of ustekinumab for the treatment of FCD, the PBAC noted that ‘[ustekinumab] was not currently TGA registered for the FCD indication’ (</w:t>
      </w:r>
      <w:r w:rsidR="009515B3">
        <w:t>u</w:t>
      </w:r>
      <w:r w:rsidR="009515B3" w:rsidRPr="009515B3">
        <w:t>stekinumab PSD, March 2017).</w:t>
      </w:r>
      <w:bookmarkStart w:id="5" w:name="_Hlk76375324"/>
    </w:p>
    <w:p w14:paraId="5DC45E32" w14:textId="2BE8A6AF" w:rsidR="0006386E" w:rsidRPr="0006386E" w:rsidRDefault="0006386E" w:rsidP="0006386E">
      <w:pPr>
        <w:pStyle w:val="3-BodyText"/>
        <w:numPr>
          <w:ilvl w:val="0"/>
          <w:numId w:val="0"/>
        </w:numPr>
        <w:ind w:left="720"/>
        <w:rPr>
          <w:i/>
          <w:iCs/>
        </w:rPr>
      </w:pPr>
      <w:r w:rsidRPr="0006386E">
        <w:rPr>
          <w:i/>
          <w:iCs/>
        </w:rPr>
        <w:t>For more detail on PBAC’s view, see section 7 PBAC outcome.</w:t>
      </w:r>
    </w:p>
    <w:p w14:paraId="76E4EF3C" w14:textId="13040F70" w:rsidR="00B60939" w:rsidRDefault="3C52A955" w:rsidP="004E18E9">
      <w:pPr>
        <w:pStyle w:val="2-SectionHeading"/>
      </w:pPr>
      <w:bookmarkStart w:id="6" w:name="_Toc103776020"/>
      <w:bookmarkEnd w:id="5"/>
      <w:r>
        <w:t>Requested listing</w:t>
      </w:r>
      <w:bookmarkEnd w:id="6"/>
    </w:p>
    <w:p w14:paraId="08BDC686" w14:textId="12951B6B" w:rsidR="00E27D13" w:rsidRDefault="002626DA" w:rsidP="00E529F1">
      <w:pPr>
        <w:pStyle w:val="3-BodyText"/>
        <w:ind w:left="709" w:hanging="709"/>
      </w:pPr>
      <w:r w:rsidRPr="00E529F1">
        <w:t xml:space="preserve">The requested abridged listings for severe </w:t>
      </w:r>
      <w:r w:rsidR="0048509E" w:rsidRPr="00E529F1">
        <w:t>CD</w:t>
      </w:r>
      <w:r w:rsidRPr="00E529F1">
        <w:t xml:space="preserve"> and </w:t>
      </w:r>
      <w:r w:rsidR="0048509E" w:rsidRPr="00E529F1">
        <w:t>FCD</w:t>
      </w:r>
      <w:r w:rsidRPr="00E529F1">
        <w:t xml:space="preserve"> are provided below</w:t>
      </w:r>
      <w:r w:rsidR="0048509E" w:rsidRPr="00E529F1">
        <w:t>.</w:t>
      </w:r>
      <w:r w:rsidR="00B670EC" w:rsidRPr="00E529F1">
        <w:t xml:space="preserve"> The proposed</w:t>
      </w:r>
      <w:r w:rsidR="00B670EC">
        <w:t xml:space="preserve"> listings are consistent with existing biologic listings for CD and FCD.</w:t>
      </w:r>
    </w:p>
    <w:p w14:paraId="460148B6" w14:textId="77777777" w:rsidR="00E27D13" w:rsidRDefault="00E27D13" w:rsidP="00E27D13">
      <w:pPr>
        <w:pStyle w:val="3-BodyText"/>
        <w:numPr>
          <w:ilvl w:val="0"/>
          <w:numId w:val="0"/>
        </w:numPr>
      </w:pPr>
    </w:p>
    <w:tbl>
      <w:tblPr>
        <w:tblW w:w="5000" w:type="pct"/>
        <w:tblCellMar>
          <w:left w:w="28" w:type="dxa"/>
          <w:right w:w="28" w:type="dxa"/>
        </w:tblCellMar>
        <w:tblLook w:val="0000" w:firstRow="0" w:lastRow="0" w:firstColumn="0" w:lastColumn="0" w:noHBand="0" w:noVBand="0"/>
      </w:tblPr>
      <w:tblGrid>
        <w:gridCol w:w="2474"/>
        <w:gridCol w:w="150"/>
        <w:gridCol w:w="847"/>
        <w:gridCol w:w="847"/>
        <w:gridCol w:w="657"/>
        <w:gridCol w:w="1183"/>
        <w:gridCol w:w="1181"/>
        <w:gridCol w:w="509"/>
        <w:gridCol w:w="1179"/>
      </w:tblGrid>
      <w:tr w:rsidR="002626DA" w:rsidRPr="00413860" w14:paraId="3F3E5DD2" w14:textId="77777777" w:rsidTr="0035762D">
        <w:trPr>
          <w:cantSplit/>
          <w:trHeight w:val="463"/>
        </w:trPr>
        <w:tc>
          <w:tcPr>
            <w:tcW w:w="1454" w:type="pct"/>
            <w:gridSpan w:val="2"/>
            <w:tcBorders>
              <w:top w:val="single" w:sz="4" w:space="0" w:color="auto"/>
              <w:bottom w:val="single" w:sz="4" w:space="0" w:color="auto"/>
            </w:tcBorders>
            <w:vAlign w:val="center"/>
          </w:tcPr>
          <w:p w14:paraId="0F6E847E" w14:textId="4ABA4566" w:rsidR="002626DA" w:rsidRPr="00C7151A" w:rsidRDefault="002626DA" w:rsidP="00220897">
            <w:pPr>
              <w:keepNext/>
              <w:jc w:val="left"/>
              <w:rPr>
                <w:rFonts w:ascii="Arial Narrow" w:hAnsi="Arial Narrow"/>
                <w:b/>
                <w:sz w:val="20"/>
              </w:rPr>
            </w:pPr>
            <w:r w:rsidRPr="00C7151A">
              <w:rPr>
                <w:rFonts w:ascii="Arial Narrow" w:hAnsi="Arial Narrow"/>
                <w:b/>
                <w:sz w:val="20"/>
              </w:rPr>
              <w:lastRenderedPageBreak/>
              <w:t>Name, Restriction,</w:t>
            </w:r>
          </w:p>
          <w:p w14:paraId="1DDDA174" w14:textId="6705364A" w:rsidR="002626DA" w:rsidRPr="00C7151A" w:rsidRDefault="002626DA" w:rsidP="00220897">
            <w:pPr>
              <w:keepNext/>
              <w:jc w:val="left"/>
              <w:rPr>
                <w:rFonts w:ascii="Arial Narrow" w:hAnsi="Arial Narrow"/>
                <w:b/>
                <w:sz w:val="20"/>
              </w:rPr>
            </w:pPr>
            <w:r w:rsidRPr="00C7151A">
              <w:rPr>
                <w:rFonts w:ascii="Arial Narrow" w:hAnsi="Arial Narrow"/>
                <w:b/>
                <w:sz w:val="20"/>
              </w:rPr>
              <w:t>Manner of administration and form</w:t>
            </w:r>
          </w:p>
        </w:tc>
        <w:tc>
          <w:tcPr>
            <w:tcW w:w="469" w:type="pct"/>
            <w:tcBorders>
              <w:top w:val="single" w:sz="4" w:space="0" w:color="auto"/>
              <w:bottom w:val="single" w:sz="4" w:space="0" w:color="auto"/>
            </w:tcBorders>
            <w:vAlign w:val="center"/>
          </w:tcPr>
          <w:p w14:paraId="5A87A426" w14:textId="77777777" w:rsidR="002626DA" w:rsidRPr="00C7151A" w:rsidRDefault="002626DA" w:rsidP="00220897">
            <w:pPr>
              <w:keepNext/>
              <w:jc w:val="center"/>
              <w:rPr>
                <w:rFonts w:ascii="Arial Narrow" w:hAnsi="Arial Narrow"/>
                <w:b/>
                <w:sz w:val="20"/>
              </w:rPr>
            </w:pPr>
            <w:r w:rsidRPr="00C7151A">
              <w:rPr>
                <w:rFonts w:ascii="Arial Narrow" w:hAnsi="Arial Narrow"/>
                <w:b/>
                <w:sz w:val="20"/>
              </w:rPr>
              <w:t>Max.</w:t>
            </w:r>
          </w:p>
          <w:p w14:paraId="20B12ACF" w14:textId="1E6D4623" w:rsidR="002626DA" w:rsidRPr="00C7151A" w:rsidRDefault="002626DA" w:rsidP="00220897">
            <w:pPr>
              <w:keepNext/>
              <w:jc w:val="center"/>
              <w:rPr>
                <w:rFonts w:ascii="Arial Narrow" w:hAnsi="Arial Narrow"/>
                <w:b/>
                <w:bCs/>
                <w:sz w:val="20"/>
                <w:szCs w:val="20"/>
              </w:rPr>
            </w:pPr>
            <w:r w:rsidRPr="5AF8F45F">
              <w:rPr>
                <w:rFonts w:ascii="Arial Narrow" w:hAnsi="Arial Narrow"/>
                <w:b/>
                <w:bCs/>
                <w:sz w:val="20"/>
                <w:szCs w:val="20"/>
              </w:rPr>
              <w:t>Qty (packs)</w:t>
            </w:r>
          </w:p>
        </w:tc>
        <w:tc>
          <w:tcPr>
            <w:tcW w:w="469" w:type="pct"/>
            <w:tcBorders>
              <w:top w:val="single" w:sz="4" w:space="0" w:color="auto"/>
              <w:bottom w:val="single" w:sz="4" w:space="0" w:color="auto"/>
            </w:tcBorders>
            <w:vAlign w:val="center"/>
          </w:tcPr>
          <w:p w14:paraId="74A8791C" w14:textId="13F97B29" w:rsidR="002626DA" w:rsidRDefault="002626DA" w:rsidP="00220897">
            <w:pPr>
              <w:jc w:val="center"/>
              <w:rPr>
                <w:rFonts w:ascii="Arial Narrow" w:hAnsi="Arial Narrow"/>
                <w:b/>
                <w:bCs/>
                <w:sz w:val="20"/>
                <w:szCs w:val="20"/>
              </w:rPr>
            </w:pPr>
            <w:r w:rsidRPr="5AF8F45F">
              <w:rPr>
                <w:rFonts w:ascii="Arial Narrow" w:hAnsi="Arial Narrow"/>
                <w:b/>
                <w:bCs/>
                <w:sz w:val="20"/>
                <w:szCs w:val="20"/>
              </w:rPr>
              <w:t xml:space="preserve">Max </w:t>
            </w:r>
            <w:r w:rsidR="008B44B1">
              <w:rPr>
                <w:rFonts w:ascii="Arial Narrow" w:hAnsi="Arial Narrow"/>
                <w:b/>
                <w:bCs/>
                <w:sz w:val="20"/>
                <w:szCs w:val="20"/>
              </w:rPr>
              <w:t>Qty</w:t>
            </w:r>
            <w:r w:rsidRPr="5AF8F45F">
              <w:rPr>
                <w:rFonts w:ascii="Arial Narrow" w:hAnsi="Arial Narrow"/>
                <w:b/>
                <w:bCs/>
                <w:sz w:val="20"/>
                <w:szCs w:val="20"/>
              </w:rPr>
              <w:t xml:space="preserve"> (units)</w:t>
            </w:r>
          </w:p>
        </w:tc>
        <w:tc>
          <w:tcPr>
            <w:tcW w:w="364" w:type="pct"/>
            <w:tcBorders>
              <w:top w:val="single" w:sz="4" w:space="0" w:color="auto"/>
              <w:bottom w:val="single" w:sz="4" w:space="0" w:color="auto"/>
            </w:tcBorders>
            <w:vAlign w:val="center"/>
          </w:tcPr>
          <w:p w14:paraId="47C41B58" w14:textId="75038632" w:rsidR="002626DA" w:rsidRPr="00C7151A" w:rsidRDefault="0046760E" w:rsidP="00220897">
            <w:pPr>
              <w:keepNext/>
              <w:jc w:val="center"/>
              <w:rPr>
                <w:rFonts w:ascii="Arial Narrow" w:hAnsi="Arial Narrow"/>
                <w:b/>
                <w:bCs/>
                <w:sz w:val="20"/>
                <w:szCs w:val="20"/>
              </w:rPr>
            </w:pPr>
            <w:r>
              <w:rPr>
                <w:rFonts w:ascii="Arial Narrow" w:hAnsi="Arial Narrow"/>
                <w:b/>
                <w:bCs/>
                <w:sz w:val="20"/>
                <w:szCs w:val="20"/>
              </w:rPr>
              <w:t>No</w:t>
            </w:r>
            <w:r w:rsidR="002626DA" w:rsidRPr="5AF8F45F">
              <w:rPr>
                <w:rFonts w:ascii="Arial Narrow" w:hAnsi="Arial Narrow"/>
                <w:b/>
                <w:bCs/>
                <w:sz w:val="20"/>
                <w:szCs w:val="20"/>
              </w:rPr>
              <w:t>.of</w:t>
            </w:r>
          </w:p>
          <w:p w14:paraId="4959D822" w14:textId="77777777" w:rsidR="002626DA" w:rsidRPr="00C7151A" w:rsidRDefault="002626DA" w:rsidP="00220897">
            <w:pPr>
              <w:keepNext/>
              <w:jc w:val="center"/>
              <w:rPr>
                <w:rFonts w:ascii="Arial Narrow" w:hAnsi="Arial Narrow"/>
                <w:b/>
                <w:bCs/>
                <w:sz w:val="20"/>
                <w:szCs w:val="20"/>
              </w:rPr>
            </w:pPr>
            <w:r w:rsidRPr="5AF8F45F">
              <w:rPr>
                <w:rFonts w:ascii="Arial Narrow" w:hAnsi="Arial Narrow"/>
                <w:b/>
                <w:bCs/>
                <w:sz w:val="20"/>
                <w:szCs w:val="20"/>
              </w:rPr>
              <w:t>Rpts</w:t>
            </w:r>
          </w:p>
        </w:tc>
        <w:tc>
          <w:tcPr>
            <w:tcW w:w="655" w:type="pct"/>
            <w:tcBorders>
              <w:top w:val="single" w:sz="4" w:space="0" w:color="auto"/>
              <w:bottom w:val="single" w:sz="4" w:space="0" w:color="auto"/>
            </w:tcBorders>
            <w:vAlign w:val="center"/>
          </w:tcPr>
          <w:p w14:paraId="16C5700A" w14:textId="558A9DD3" w:rsidR="002626DA" w:rsidRPr="00C7151A" w:rsidRDefault="002626DA" w:rsidP="00220897">
            <w:pPr>
              <w:spacing w:line="259" w:lineRule="auto"/>
              <w:jc w:val="center"/>
              <w:rPr>
                <w:b/>
                <w:bCs/>
              </w:rPr>
            </w:pPr>
            <w:r w:rsidRPr="5AF8F45F">
              <w:rPr>
                <w:rFonts w:ascii="Arial Narrow" w:hAnsi="Arial Narrow"/>
                <w:b/>
                <w:bCs/>
                <w:sz w:val="20"/>
                <w:szCs w:val="20"/>
              </w:rPr>
              <w:t>DPMQ</w:t>
            </w:r>
          </w:p>
        </w:tc>
        <w:tc>
          <w:tcPr>
            <w:tcW w:w="654" w:type="pct"/>
            <w:tcBorders>
              <w:top w:val="single" w:sz="4" w:space="0" w:color="auto"/>
              <w:bottom w:val="single" w:sz="4" w:space="0" w:color="auto"/>
            </w:tcBorders>
            <w:vAlign w:val="center"/>
          </w:tcPr>
          <w:p w14:paraId="09F85EB1" w14:textId="6267C824" w:rsidR="002626DA" w:rsidRDefault="002626DA" w:rsidP="00220897">
            <w:pPr>
              <w:spacing w:line="259" w:lineRule="auto"/>
              <w:jc w:val="center"/>
              <w:rPr>
                <w:rFonts w:ascii="Arial Narrow" w:hAnsi="Arial Narrow"/>
                <w:b/>
                <w:bCs/>
                <w:sz w:val="20"/>
                <w:szCs w:val="20"/>
              </w:rPr>
            </w:pPr>
            <w:r w:rsidRPr="5AF8F45F">
              <w:rPr>
                <w:rFonts w:ascii="Arial Narrow" w:hAnsi="Arial Narrow"/>
                <w:b/>
                <w:bCs/>
                <w:sz w:val="20"/>
                <w:szCs w:val="20"/>
              </w:rPr>
              <w:t>AEMP</w:t>
            </w:r>
          </w:p>
        </w:tc>
        <w:tc>
          <w:tcPr>
            <w:tcW w:w="934" w:type="pct"/>
            <w:gridSpan w:val="2"/>
            <w:tcBorders>
              <w:top w:val="single" w:sz="4" w:space="0" w:color="auto"/>
              <w:bottom w:val="single" w:sz="4" w:space="0" w:color="auto"/>
            </w:tcBorders>
            <w:vAlign w:val="center"/>
          </w:tcPr>
          <w:p w14:paraId="2F67E163" w14:textId="77777777" w:rsidR="002626DA" w:rsidRPr="00C7151A" w:rsidRDefault="002626DA" w:rsidP="00220897">
            <w:pPr>
              <w:keepNext/>
              <w:jc w:val="center"/>
              <w:rPr>
                <w:rFonts w:ascii="Arial Narrow" w:hAnsi="Arial Narrow"/>
                <w:b/>
                <w:sz w:val="20"/>
                <w:lang w:val="fr-FR"/>
              </w:rPr>
            </w:pPr>
            <w:r w:rsidRPr="00C7151A">
              <w:rPr>
                <w:rFonts w:ascii="Arial Narrow" w:hAnsi="Arial Narrow"/>
                <w:b/>
                <w:sz w:val="20"/>
              </w:rPr>
              <w:t>Proprietary Name and Manufacturer</w:t>
            </w:r>
          </w:p>
        </w:tc>
      </w:tr>
      <w:tr w:rsidR="002626DA" w14:paraId="3AB78844" w14:textId="77777777" w:rsidTr="0035762D">
        <w:trPr>
          <w:cantSplit/>
          <w:trHeight w:val="85"/>
        </w:trPr>
        <w:tc>
          <w:tcPr>
            <w:tcW w:w="1454" w:type="pct"/>
            <w:gridSpan w:val="2"/>
            <w:shd w:val="clear" w:color="auto" w:fill="BFBFBF" w:themeFill="background1" w:themeFillShade="BF"/>
            <w:vAlign w:val="center"/>
          </w:tcPr>
          <w:p w14:paraId="00D7C099" w14:textId="291315D2" w:rsidR="002626DA" w:rsidRDefault="002626DA" w:rsidP="00220897">
            <w:pPr>
              <w:pStyle w:val="TableText1"/>
              <w:rPr>
                <w:smallCaps/>
              </w:rPr>
            </w:pPr>
            <w:r>
              <w:t>Initial treatment</w:t>
            </w:r>
          </w:p>
        </w:tc>
        <w:tc>
          <w:tcPr>
            <w:tcW w:w="469" w:type="pct"/>
            <w:shd w:val="clear" w:color="auto" w:fill="BFBFBF" w:themeFill="background1" w:themeFillShade="BF"/>
            <w:vAlign w:val="center"/>
          </w:tcPr>
          <w:p w14:paraId="77A3B945" w14:textId="6BE5DEA5" w:rsidR="002626DA" w:rsidRDefault="002626DA" w:rsidP="00220897">
            <w:pPr>
              <w:jc w:val="center"/>
            </w:pPr>
          </w:p>
        </w:tc>
        <w:tc>
          <w:tcPr>
            <w:tcW w:w="469" w:type="pct"/>
            <w:shd w:val="clear" w:color="auto" w:fill="BFBFBF" w:themeFill="background1" w:themeFillShade="BF"/>
            <w:vAlign w:val="center"/>
          </w:tcPr>
          <w:p w14:paraId="6CBB1523" w14:textId="5DC62E78" w:rsidR="002626DA" w:rsidRDefault="002626DA" w:rsidP="00220897">
            <w:pPr>
              <w:jc w:val="center"/>
            </w:pPr>
          </w:p>
        </w:tc>
        <w:tc>
          <w:tcPr>
            <w:tcW w:w="364" w:type="pct"/>
            <w:shd w:val="clear" w:color="auto" w:fill="BFBFBF" w:themeFill="background1" w:themeFillShade="BF"/>
            <w:vAlign w:val="center"/>
          </w:tcPr>
          <w:p w14:paraId="08630A4B" w14:textId="6F270B43" w:rsidR="002626DA" w:rsidRDefault="002626DA" w:rsidP="00220897">
            <w:pPr>
              <w:jc w:val="center"/>
            </w:pPr>
          </w:p>
        </w:tc>
        <w:tc>
          <w:tcPr>
            <w:tcW w:w="655" w:type="pct"/>
            <w:shd w:val="clear" w:color="auto" w:fill="BFBFBF" w:themeFill="background1" w:themeFillShade="BF"/>
            <w:vAlign w:val="center"/>
          </w:tcPr>
          <w:p w14:paraId="05A640B6" w14:textId="087325B5" w:rsidR="002626DA" w:rsidRDefault="002626DA" w:rsidP="00220897">
            <w:pPr>
              <w:jc w:val="center"/>
            </w:pPr>
          </w:p>
        </w:tc>
        <w:tc>
          <w:tcPr>
            <w:tcW w:w="654" w:type="pct"/>
            <w:shd w:val="clear" w:color="auto" w:fill="BFBFBF" w:themeFill="background1" w:themeFillShade="BF"/>
            <w:vAlign w:val="center"/>
          </w:tcPr>
          <w:p w14:paraId="0B908D5C" w14:textId="4B3812F6" w:rsidR="002626DA" w:rsidRDefault="002626DA" w:rsidP="00220897">
            <w:pPr>
              <w:jc w:val="center"/>
            </w:pPr>
          </w:p>
        </w:tc>
        <w:tc>
          <w:tcPr>
            <w:tcW w:w="282" w:type="pct"/>
            <w:shd w:val="clear" w:color="auto" w:fill="BFBFBF" w:themeFill="background1" w:themeFillShade="BF"/>
            <w:vAlign w:val="center"/>
          </w:tcPr>
          <w:p w14:paraId="07DE95C7" w14:textId="03C6C9D2" w:rsidR="002626DA" w:rsidRDefault="002626DA" w:rsidP="00220897">
            <w:pPr>
              <w:jc w:val="center"/>
            </w:pPr>
          </w:p>
        </w:tc>
        <w:tc>
          <w:tcPr>
            <w:tcW w:w="652" w:type="pct"/>
            <w:shd w:val="clear" w:color="auto" w:fill="BFBFBF" w:themeFill="background1" w:themeFillShade="BF"/>
            <w:vAlign w:val="center"/>
          </w:tcPr>
          <w:p w14:paraId="5E3A45D6" w14:textId="273128A0" w:rsidR="002626DA" w:rsidRDefault="002626DA" w:rsidP="00220897">
            <w:pPr>
              <w:jc w:val="center"/>
            </w:pPr>
          </w:p>
        </w:tc>
      </w:tr>
      <w:tr w:rsidR="002626DA" w:rsidRPr="00413860" w14:paraId="7FCBB5F3" w14:textId="77777777" w:rsidTr="0035762D">
        <w:trPr>
          <w:cantSplit/>
          <w:trHeight w:val="567"/>
        </w:trPr>
        <w:tc>
          <w:tcPr>
            <w:tcW w:w="1454" w:type="pct"/>
            <w:gridSpan w:val="2"/>
            <w:vAlign w:val="center"/>
          </w:tcPr>
          <w:p w14:paraId="4A651333" w14:textId="188A3E67" w:rsidR="002626DA" w:rsidRPr="00591957" w:rsidRDefault="002626DA" w:rsidP="00220897">
            <w:pPr>
              <w:keepNext/>
              <w:jc w:val="left"/>
            </w:pPr>
            <w:r w:rsidRPr="5AF8F45F">
              <w:rPr>
                <w:rFonts w:ascii="Arial Narrow" w:hAnsi="Arial Narrow"/>
                <w:sz w:val="20"/>
                <w:szCs w:val="20"/>
              </w:rPr>
              <w:t>RISANKIZUMAB</w:t>
            </w:r>
          </w:p>
          <w:p w14:paraId="20DB567C" w14:textId="75C28853" w:rsidR="002626DA" w:rsidRPr="00591957" w:rsidRDefault="002626DA" w:rsidP="00220897">
            <w:pPr>
              <w:keepNext/>
              <w:jc w:val="left"/>
            </w:pPr>
            <w:r w:rsidRPr="5AF8F45F">
              <w:rPr>
                <w:rFonts w:ascii="Arial Narrow" w:hAnsi="Arial Narrow"/>
                <w:sz w:val="20"/>
                <w:szCs w:val="20"/>
              </w:rPr>
              <w:t>600</w:t>
            </w:r>
            <w:r w:rsidR="00EB59E1">
              <w:rPr>
                <w:rFonts w:ascii="Arial Narrow" w:hAnsi="Arial Narrow"/>
                <w:sz w:val="20"/>
                <w:szCs w:val="20"/>
              </w:rPr>
              <w:t xml:space="preserve"> </w:t>
            </w:r>
            <w:r w:rsidRPr="5AF8F45F">
              <w:rPr>
                <w:rFonts w:ascii="Arial Narrow" w:hAnsi="Arial Narrow"/>
                <w:sz w:val="20"/>
                <w:szCs w:val="20"/>
              </w:rPr>
              <w:t>mg/10.0</w:t>
            </w:r>
            <w:r w:rsidR="00EB59E1">
              <w:rPr>
                <w:rFonts w:ascii="Arial Narrow" w:hAnsi="Arial Narrow"/>
                <w:sz w:val="20"/>
                <w:szCs w:val="20"/>
              </w:rPr>
              <w:t xml:space="preserve"> </w:t>
            </w:r>
            <w:r w:rsidRPr="5AF8F45F">
              <w:rPr>
                <w:rFonts w:ascii="Arial Narrow" w:hAnsi="Arial Narrow"/>
                <w:sz w:val="20"/>
                <w:szCs w:val="20"/>
              </w:rPr>
              <w:t>mL concentrate solution for infusion in a single-dose vial</w:t>
            </w:r>
          </w:p>
        </w:tc>
        <w:tc>
          <w:tcPr>
            <w:tcW w:w="469" w:type="pct"/>
            <w:vAlign w:val="center"/>
          </w:tcPr>
          <w:p w14:paraId="0329C315" w14:textId="1F73BDBF" w:rsidR="002626DA" w:rsidRPr="00591957" w:rsidRDefault="002626DA" w:rsidP="00220897">
            <w:pPr>
              <w:spacing w:line="259" w:lineRule="auto"/>
              <w:jc w:val="center"/>
            </w:pPr>
            <w:r w:rsidRPr="5AF8F45F">
              <w:rPr>
                <w:rFonts w:ascii="Arial Narrow" w:hAnsi="Arial Narrow"/>
                <w:sz w:val="20"/>
                <w:szCs w:val="20"/>
              </w:rPr>
              <w:t>1</w:t>
            </w:r>
          </w:p>
        </w:tc>
        <w:tc>
          <w:tcPr>
            <w:tcW w:w="469" w:type="pct"/>
            <w:vAlign w:val="center"/>
          </w:tcPr>
          <w:p w14:paraId="09CB6355" w14:textId="122C4301" w:rsidR="002626DA" w:rsidRDefault="002626DA" w:rsidP="00220897">
            <w:pPr>
              <w:spacing w:line="259" w:lineRule="auto"/>
              <w:jc w:val="center"/>
              <w:rPr>
                <w:rFonts w:ascii="Arial Narrow" w:hAnsi="Arial Narrow"/>
                <w:sz w:val="20"/>
                <w:szCs w:val="20"/>
              </w:rPr>
            </w:pPr>
            <w:r w:rsidRPr="7B704D1B">
              <w:rPr>
                <w:rFonts w:ascii="Arial Narrow" w:hAnsi="Arial Narrow"/>
                <w:sz w:val="20"/>
                <w:szCs w:val="20"/>
              </w:rPr>
              <w:t>1</w:t>
            </w:r>
          </w:p>
        </w:tc>
        <w:tc>
          <w:tcPr>
            <w:tcW w:w="364" w:type="pct"/>
            <w:vAlign w:val="center"/>
          </w:tcPr>
          <w:p w14:paraId="1822E97A" w14:textId="50DADCC8" w:rsidR="002626DA" w:rsidRPr="00591957" w:rsidRDefault="002626DA" w:rsidP="00220897">
            <w:pPr>
              <w:spacing w:line="259" w:lineRule="auto"/>
              <w:jc w:val="center"/>
              <w:rPr>
                <w:rFonts w:ascii="Arial Narrow" w:hAnsi="Arial Narrow"/>
                <w:sz w:val="20"/>
                <w:szCs w:val="20"/>
              </w:rPr>
            </w:pPr>
            <w:r w:rsidRPr="5AF8F45F">
              <w:rPr>
                <w:rFonts w:ascii="Arial Narrow" w:hAnsi="Arial Narrow"/>
                <w:sz w:val="20"/>
                <w:szCs w:val="20"/>
              </w:rPr>
              <w:t>2</w:t>
            </w:r>
          </w:p>
        </w:tc>
        <w:tc>
          <w:tcPr>
            <w:tcW w:w="655" w:type="pct"/>
            <w:vAlign w:val="center"/>
          </w:tcPr>
          <w:p w14:paraId="3BBB2593" w14:textId="435AD0DF" w:rsidR="002626DA" w:rsidRPr="00591957" w:rsidRDefault="002626DA" w:rsidP="00220897">
            <w:pPr>
              <w:spacing w:line="259" w:lineRule="auto"/>
              <w:jc w:val="center"/>
              <w:rPr>
                <w:rFonts w:ascii="Arial Narrow" w:hAnsi="Arial Narrow"/>
                <w:sz w:val="20"/>
                <w:szCs w:val="20"/>
              </w:rPr>
            </w:pPr>
            <w:r w:rsidRPr="5821F0BB">
              <w:rPr>
                <w:rFonts w:ascii="Arial Narrow" w:hAnsi="Arial Narrow"/>
                <w:sz w:val="20"/>
                <w:szCs w:val="20"/>
              </w:rPr>
              <w:t>$</w:t>
            </w:r>
            <w:r w:rsidR="00981AF2" w:rsidRPr="00981AF2">
              <w:rPr>
                <w:rFonts w:ascii="Arial Narrow" w:hAnsi="Arial Narrow" w:hint="eastAsia"/>
                <w:color w:val="000000"/>
                <w:w w:val="15"/>
                <w:sz w:val="20"/>
                <w:szCs w:val="20"/>
                <w:shd w:val="solid" w:color="000000" w:fill="000000"/>
                <w:fitText w:val="31" w:id="-1436349184"/>
                <w14:textFill>
                  <w14:solidFill>
                    <w14:srgbClr w14:val="000000">
                      <w14:alpha w14:val="100000"/>
                    </w14:srgbClr>
                  </w14:solidFill>
                </w14:textFill>
              </w:rPr>
              <w:t xml:space="preserve">　</w:t>
            </w:r>
            <w:r w:rsidR="00981AF2" w:rsidRPr="00981AF2">
              <w:rPr>
                <w:rFonts w:ascii="Arial Narrow" w:hAnsi="Arial Narrow"/>
                <w:color w:val="000000"/>
                <w:w w:val="15"/>
                <w:sz w:val="20"/>
                <w:szCs w:val="20"/>
                <w:shd w:val="solid" w:color="000000" w:fill="000000"/>
                <w:fitText w:val="31" w:id="-1436349184"/>
                <w14:textFill>
                  <w14:solidFill>
                    <w14:srgbClr w14:val="000000">
                      <w14:alpha w14:val="100000"/>
                    </w14:srgbClr>
                  </w14:solidFill>
                </w14:textFill>
              </w:rPr>
              <w:t>|</w:t>
            </w:r>
            <w:r w:rsidR="00981AF2" w:rsidRPr="00981AF2">
              <w:rPr>
                <w:rFonts w:ascii="Arial Narrow" w:hAnsi="Arial Narrow" w:hint="eastAsia"/>
                <w:color w:val="000000"/>
                <w:spacing w:val="-34"/>
                <w:w w:val="15"/>
                <w:sz w:val="20"/>
                <w:szCs w:val="20"/>
                <w:shd w:val="solid" w:color="000000" w:fill="000000"/>
                <w:fitText w:val="31" w:id="-1436349184"/>
                <w14:textFill>
                  <w14:solidFill>
                    <w14:srgbClr w14:val="000000">
                      <w14:alpha w14:val="100000"/>
                    </w14:srgbClr>
                  </w14:solidFill>
                </w14:textFill>
              </w:rPr>
              <w:t xml:space="preserve">　</w:t>
            </w:r>
            <w:r w:rsidR="00C815AC" w:rsidRPr="00C815AC">
              <w:rPr>
                <w:rFonts w:ascii="Arial Narrow" w:hAnsi="Arial Narrow"/>
                <w:sz w:val="20"/>
                <w:szCs w:val="20"/>
              </w:rPr>
              <w:t xml:space="preserve"> </w:t>
            </w:r>
            <w:r w:rsidRPr="5821F0BB">
              <w:rPr>
                <w:rFonts w:ascii="Arial Narrow" w:hAnsi="Arial Narrow"/>
                <w:sz w:val="20"/>
                <w:szCs w:val="20"/>
              </w:rPr>
              <w:t>(published)</w:t>
            </w:r>
          </w:p>
          <w:p w14:paraId="2097F2B6" w14:textId="6B8F3947" w:rsidR="002626DA" w:rsidRPr="00591957" w:rsidRDefault="002626DA" w:rsidP="00220897">
            <w:pPr>
              <w:spacing w:line="259" w:lineRule="auto"/>
              <w:jc w:val="center"/>
            </w:pPr>
          </w:p>
        </w:tc>
        <w:tc>
          <w:tcPr>
            <w:tcW w:w="654" w:type="pct"/>
            <w:vAlign w:val="center"/>
          </w:tcPr>
          <w:p w14:paraId="4DC28734" w14:textId="444A0462" w:rsidR="002626DA" w:rsidRDefault="002626DA" w:rsidP="00220897">
            <w:pPr>
              <w:spacing w:line="259" w:lineRule="auto"/>
              <w:jc w:val="center"/>
            </w:pPr>
            <w:r w:rsidRPr="7B704D1B">
              <w:rPr>
                <w:rFonts w:ascii="Arial Narrow" w:hAnsi="Arial Narrow"/>
                <w:sz w:val="20"/>
                <w:szCs w:val="20"/>
              </w:rPr>
              <w:t>$</w:t>
            </w:r>
            <w:r w:rsidR="00981AF2" w:rsidRPr="00981AF2">
              <w:rPr>
                <w:rFonts w:ascii="Arial Narrow" w:hAnsi="Arial Narrow" w:hint="eastAsia"/>
                <w:color w:val="000000"/>
                <w:w w:val="15"/>
                <w:sz w:val="20"/>
                <w:szCs w:val="20"/>
                <w:shd w:val="solid" w:color="000000" w:fill="000000"/>
                <w:fitText w:val="46" w:id="-1436349183"/>
                <w14:textFill>
                  <w14:solidFill>
                    <w14:srgbClr w14:val="000000">
                      <w14:alpha w14:val="100000"/>
                    </w14:srgbClr>
                  </w14:solidFill>
                </w14:textFill>
              </w:rPr>
              <w:t xml:space="preserve">　</w:t>
            </w:r>
            <w:r w:rsidR="00981AF2" w:rsidRPr="00981AF2">
              <w:rPr>
                <w:rFonts w:ascii="Arial Narrow" w:hAnsi="Arial Narrow"/>
                <w:color w:val="000000"/>
                <w:w w:val="15"/>
                <w:sz w:val="20"/>
                <w:szCs w:val="20"/>
                <w:shd w:val="solid" w:color="000000" w:fill="000000"/>
                <w:fitText w:val="46" w:id="-1436349183"/>
                <w14:textFill>
                  <w14:solidFill>
                    <w14:srgbClr w14:val="000000">
                      <w14:alpha w14:val="100000"/>
                    </w14:srgbClr>
                  </w14:solidFill>
                </w14:textFill>
              </w:rPr>
              <w:t>|</w:t>
            </w:r>
            <w:r w:rsidR="00981AF2" w:rsidRPr="00981AF2">
              <w:rPr>
                <w:rFonts w:ascii="Arial Narrow" w:hAnsi="Arial Narrow" w:hint="eastAsia"/>
                <w:color w:val="000000"/>
                <w:spacing w:val="-23"/>
                <w:w w:val="15"/>
                <w:sz w:val="20"/>
                <w:szCs w:val="20"/>
                <w:shd w:val="solid" w:color="000000" w:fill="000000"/>
                <w:fitText w:val="46" w:id="-1436349183"/>
                <w14:textFill>
                  <w14:solidFill>
                    <w14:srgbClr w14:val="000000">
                      <w14:alpha w14:val="100000"/>
                    </w14:srgbClr>
                  </w14:solidFill>
                </w14:textFill>
              </w:rPr>
              <w:t xml:space="preserve">　</w:t>
            </w:r>
            <w:r w:rsidRPr="7B704D1B">
              <w:rPr>
                <w:rFonts w:ascii="Arial Narrow" w:hAnsi="Arial Narrow"/>
                <w:sz w:val="20"/>
                <w:szCs w:val="20"/>
              </w:rPr>
              <w:t>/</w:t>
            </w:r>
          </w:p>
          <w:p w14:paraId="4536A660" w14:textId="3AEE54A8" w:rsidR="002626DA" w:rsidRDefault="002626DA" w:rsidP="00220897">
            <w:pPr>
              <w:spacing w:line="259" w:lineRule="auto"/>
              <w:jc w:val="center"/>
            </w:pPr>
            <w:r w:rsidRPr="7B704D1B">
              <w:rPr>
                <w:rFonts w:ascii="Arial Narrow" w:hAnsi="Arial Narrow"/>
                <w:sz w:val="20"/>
                <w:szCs w:val="20"/>
              </w:rPr>
              <w:t>$</w:t>
            </w:r>
            <w:r w:rsidR="00981AF2" w:rsidRPr="00DE4045">
              <w:rPr>
                <w:rFonts w:ascii="Arial Narrow" w:hAnsi="Arial Narrow" w:hint="eastAsia"/>
                <w:color w:val="000000"/>
                <w:w w:val="15"/>
                <w:sz w:val="20"/>
                <w:szCs w:val="20"/>
                <w:shd w:val="solid" w:color="000000" w:fill="000000"/>
                <w:fitText w:val="23" w:id="-1436349182"/>
                <w14:textFill>
                  <w14:solidFill>
                    <w14:srgbClr w14:val="000000">
                      <w14:alpha w14:val="100000"/>
                    </w14:srgbClr>
                  </w14:solidFill>
                </w14:textFill>
              </w:rPr>
              <w:t xml:space="preserve">　</w:t>
            </w:r>
            <w:r w:rsidR="00981AF2" w:rsidRPr="00DE4045">
              <w:rPr>
                <w:rFonts w:ascii="Arial Narrow" w:hAnsi="Arial Narrow"/>
                <w:color w:val="000000"/>
                <w:w w:val="15"/>
                <w:sz w:val="20"/>
                <w:szCs w:val="20"/>
                <w:shd w:val="solid" w:color="000000" w:fill="000000"/>
                <w:fitText w:val="23" w:id="-1436349182"/>
                <w14:textFill>
                  <w14:solidFill>
                    <w14:srgbClr w14:val="000000">
                      <w14:alpha w14:val="100000"/>
                    </w14:srgbClr>
                  </w14:solidFill>
                </w14:textFill>
              </w:rPr>
              <w:t>|</w:t>
            </w:r>
            <w:r w:rsidR="00981AF2" w:rsidRPr="00DE4045">
              <w:rPr>
                <w:rFonts w:ascii="Arial Narrow" w:hAnsi="Arial Narrow" w:hint="eastAsia"/>
                <w:color w:val="000000"/>
                <w:spacing w:val="-42"/>
                <w:w w:val="15"/>
                <w:sz w:val="20"/>
                <w:szCs w:val="20"/>
                <w:shd w:val="solid" w:color="000000" w:fill="000000"/>
                <w:fitText w:val="23" w:id="-1436349182"/>
                <w14:textFill>
                  <w14:solidFill>
                    <w14:srgbClr w14:val="000000">
                      <w14:alpha w14:val="100000"/>
                    </w14:srgbClr>
                  </w14:solidFill>
                </w14:textFill>
              </w:rPr>
              <w:t xml:space="preserve">　</w:t>
            </w:r>
            <w:r w:rsidRPr="7B704D1B">
              <w:rPr>
                <w:rFonts w:ascii="Arial Narrow" w:hAnsi="Arial Narrow"/>
                <w:sz w:val="20"/>
                <w:szCs w:val="20"/>
              </w:rPr>
              <w:t xml:space="preserve"> (published)</w:t>
            </w:r>
          </w:p>
        </w:tc>
        <w:tc>
          <w:tcPr>
            <w:tcW w:w="934" w:type="pct"/>
            <w:gridSpan w:val="2"/>
            <w:vAlign w:val="center"/>
          </w:tcPr>
          <w:p w14:paraId="0047029E" w14:textId="2327C98E" w:rsidR="002626DA" w:rsidRPr="00591957" w:rsidRDefault="002626DA" w:rsidP="00220897">
            <w:pPr>
              <w:keepNext/>
              <w:jc w:val="center"/>
              <w:rPr>
                <w:rFonts w:ascii="Arial Narrow" w:hAnsi="Arial Narrow"/>
                <w:sz w:val="20"/>
                <w:szCs w:val="20"/>
              </w:rPr>
            </w:pPr>
            <w:r w:rsidRPr="7B704D1B">
              <w:rPr>
                <w:rFonts w:ascii="Arial Narrow" w:hAnsi="Arial Narrow"/>
                <w:sz w:val="20"/>
                <w:szCs w:val="20"/>
              </w:rPr>
              <w:t>SKYRIZI® AbbVie Pty Ltd</w:t>
            </w:r>
          </w:p>
        </w:tc>
      </w:tr>
      <w:tr w:rsidR="002626DA" w14:paraId="03978B62" w14:textId="77777777" w:rsidTr="0035762D">
        <w:trPr>
          <w:cantSplit/>
          <w:trHeight w:val="319"/>
        </w:trPr>
        <w:tc>
          <w:tcPr>
            <w:tcW w:w="5000" w:type="pct"/>
            <w:gridSpan w:val="9"/>
            <w:shd w:val="clear" w:color="auto" w:fill="BFBFBF" w:themeFill="background1" w:themeFillShade="BF"/>
            <w:vAlign w:val="center"/>
          </w:tcPr>
          <w:p w14:paraId="37F25028" w14:textId="2150F3CB" w:rsidR="002626DA" w:rsidRDefault="002626DA" w:rsidP="00220897">
            <w:pPr>
              <w:jc w:val="left"/>
              <w:rPr>
                <w:rFonts w:ascii="Arial Narrow" w:hAnsi="Arial Narrow" w:cs="Arial Narrow"/>
                <w:sz w:val="20"/>
                <w:szCs w:val="20"/>
                <w:lang w:eastAsia="en-US"/>
              </w:rPr>
            </w:pPr>
            <w:r w:rsidRPr="7B704D1B">
              <w:rPr>
                <w:rFonts w:ascii="Arial Narrow" w:hAnsi="Arial Narrow" w:cs="Arial Narrow"/>
                <w:sz w:val="20"/>
                <w:szCs w:val="20"/>
                <w:lang w:eastAsia="en-US"/>
              </w:rPr>
              <w:t>Continuing treatment</w:t>
            </w:r>
          </w:p>
        </w:tc>
      </w:tr>
      <w:tr w:rsidR="002626DA" w14:paraId="70033080" w14:textId="77777777" w:rsidTr="0035762D">
        <w:trPr>
          <w:cantSplit/>
          <w:trHeight w:val="567"/>
        </w:trPr>
        <w:tc>
          <w:tcPr>
            <w:tcW w:w="1454" w:type="pct"/>
            <w:gridSpan w:val="2"/>
            <w:vAlign w:val="center"/>
          </w:tcPr>
          <w:p w14:paraId="4D267AB9" w14:textId="188A3E67" w:rsidR="002626DA" w:rsidRDefault="002626DA" w:rsidP="00220897">
            <w:pPr>
              <w:keepNext/>
              <w:jc w:val="left"/>
            </w:pPr>
            <w:r w:rsidRPr="7B704D1B">
              <w:rPr>
                <w:rFonts w:ascii="Arial Narrow" w:hAnsi="Arial Narrow"/>
                <w:sz w:val="20"/>
                <w:szCs w:val="20"/>
              </w:rPr>
              <w:t>RISANKIZUMAB</w:t>
            </w:r>
          </w:p>
          <w:p w14:paraId="0A2CB775" w14:textId="42F4CD1E" w:rsidR="002626DA" w:rsidRDefault="002626DA" w:rsidP="00220897">
            <w:pPr>
              <w:keepNext/>
              <w:jc w:val="left"/>
            </w:pPr>
            <w:r w:rsidRPr="7B704D1B">
              <w:rPr>
                <w:rFonts w:ascii="Arial Narrow" w:hAnsi="Arial Narrow"/>
                <w:sz w:val="20"/>
                <w:szCs w:val="20"/>
              </w:rPr>
              <w:t>360</w:t>
            </w:r>
            <w:r w:rsidR="00EB59E1">
              <w:rPr>
                <w:rFonts w:ascii="Arial Narrow" w:hAnsi="Arial Narrow"/>
                <w:sz w:val="20"/>
                <w:szCs w:val="20"/>
              </w:rPr>
              <w:t xml:space="preserve"> </w:t>
            </w:r>
            <w:r w:rsidRPr="7B704D1B">
              <w:rPr>
                <w:rFonts w:ascii="Arial Narrow" w:hAnsi="Arial Narrow"/>
                <w:sz w:val="20"/>
                <w:szCs w:val="20"/>
              </w:rPr>
              <w:t>mg/2.4</w:t>
            </w:r>
            <w:r w:rsidR="00EB59E1">
              <w:rPr>
                <w:rFonts w:ascii="Arial Narrow" w:hAnsi="Arial Narrow"/>
                <w:sz w:val="20"/>
                <w:szCs w:val="20"/>
              </w:rPr>
              <w:t xml:space="preserve"> </w:t>
            </w:r>
            <w:r w:rsidRPr="7B704D1B">
              <w:rPr>
                <w:rFonts w:ascii="Arial Narrow" w:hAnsi="Arial Narrow"/>
                <w:sz w:val="20"/>
                <w:szCs w:val="20"/>
              </w:rPr>
              <w:t>mL solution for infusion subcutaneous injection in a pre-filled cartridge</w:t>
            </w:r>
          </w:p>
        </w:tc>
        <w:tc>
          <w:tcPr>
            <w:tcW w:w="469" w:type="pct"/>
            <w:vAlign w:val="center"/>
          </w:tcPr>
          <w:p w14:paraId="15953ABD" w14:textId="077DDBA0" w:rsidR="002626DA" w:rsidRDefault="002626DA" w:rsidP="00220897">
            <w:pPr>
              <w:spacing w:line="259" w:lineRule="auto"/>
              <w:jc w:val="center"/>
              <w:rPr>
                <w:rFonts w:ascii="Arial Narrow" w:hAnsi="Arial Narrow"/>
                <w:sz w:val="20"/>
                <w:szCs w:val="20"/>
              </w:rPr>
            </w:pPr>
            <w:r w:rsidRPr="7B704D1B">
              <w:rPr>
                <w:rFonts w:ascii="Arial Narrow" w:hAnsi="Arial Narrow"/>
                <w:sz w:val="20"/>
                <w:szCs w:val="20"/>
              </w:rPr>
              <w:t>1</w:t>
            </w:r>
          </w:p>
        </w:tc>
        <w:tc>
          <w:tcPr>
            <w:tcW w:w="469" w:type="pct"/>
            <w:vAlign w:val="center"/>
          </w:tcPr>
          <w:p w14:paraId="79AAEC86" w14:textId="43B9F0C8" w:rsidR="002626DA" w:rsidRDefault="002626DA" w:rsidP="00220897">
            <w:pPr>
              <w:spacing w:line="259" w:lineRule="auto"/>
              <w:jc w:val="center"/>
              <w:rPr>
                <w:rFonts w:ascii="Arial Narrow" w:hAnsi="Arial Narrow"/>
                <w:sz w:val="20"/>
                <w:szCs w:val="20"/>
              </w:rPr>
            </w:pPr>
            <w:r w:rsidRPr="7B704D1B">
              <w:rPr>
                <w:rFonts w:ascii="Arial Narrow" w:hAnsi="Arial Narrow"/>
                <w:sz w:val="20"/>
                <w:szCs w:val="20"/>
              </w:rPr>
              <w:t>1</w:t>
            </w:r>
          </w:p>
        </w:tc>
        <w:tc>
          <w:tcPr>
            <w:tcW w:w="364" w:type="pct"/>
            <w:vAlign w:val="center"/>
          </w:tcPr>
          <w:p w14:paraId="435CE2BE" w14:textId="77953D80" w:rsidR="002626DA" w:rsidRDefault="002626DA" w:rsidP="00220897">
            <w:pPr>
              <w:spacing w:line="259" w:lineRule="auto"/>
              <w:jc w:val="center"/>
              <w:rPr>
                <w:rFonts w:ascii="Arial Narrow" w:hAnsi="Arial Narrow"/>
                <w:sz w:val="20"/>
                <w:szCs w:val="20"/>
              </w:rPr>
            </w:pPr>
            <w:r w:rsidRPr="7B704D1B">
              <w:rPr>
                <w:rFonts w:ascii="Arial Narrow" w:hAnsi="Arial Narrow"/>
                <w:sz w:val="20"/>
                <w:szCs w:val="20"/>
              </w:rPr>
              <w:t>2</w:t>
            </w:r>
          </w:p>
        </w:tc>
        <w:tc>
          <w:tcPr>
            <w:tcW w:w="655" w:type="pct"/>
            <w:vAlign w:val="center"/>
          </w:tcPr>
          <w:p w14:paraId="25D887AB" w14:textId="50F9F4CB" w:rsidR="002626DA" w:rsidRDefault="002626DA" w:rsidP="00220897">
            <w:pPr>
              <w:spacing w:line="259" w:lineRule="auto"/>
              <w:jc w:val="center"/>
              <w:rPr>
                <w:rFonts w:ascii="Arial Narrow" w:hAnsi="Arial Narrow"/>
                <w:sz w:val="20"/>
                <w:szCs w:val="20"/>
              </w:rPr>
            </w:pPr>
            <w:r w:rsidRPr="5821F0BB">
              <w:rPr>
                <w:rFonts w:ascii="Arial Narrow" w:hAnsi="Arial Narrow"/>
                <w:sz w:val="20"/>
                <w:szCs w:val="20"/>
              </w:rPr>
              <w:t>$</w:t>
            </w:r>
            <w:r w:rsidR="00981AF2" w:rsidRPr="00981AF2">
              <w:rPr>
                <w:rFonts w:ascii="Arial Narrow" w:hAnsi="Arial Narrow" w:hint="eastAsia"/>
                <w:color w:val="000000"/>
                <w:w w:val="15"/>
                <w:sz w:val="20"/>
                <w:szCs w:val="20"/>
                <w:shd w:val="solid" w:color="000000" w:fill="000000"/>
                <w:fitText w:val="31" w:id="-1436349181"/>
                <w14:textFill>
                  <w14:solidFill>
                    <w14:srgbClr w14:val="000000">
                      <w14:alpha w14:val="100000"/>
                    </w14:srgbClr>
                  </w14:solidFill>
                </w14:textFill>
              </w:rPr>
              <w:t xml:space="preserve">　</w:t>
            </w:r>
            <w:r w:rsidR="00981AF2" w:rsidRPr="00981AF2">
              <w:rPr>
                <w:rFonts w:ascii="Arial Narrow" w:hAnsi="Arial Narrow"/>
                <w:color w:val="000000"/>
                <w:w w:val="15"/>
                <w:sz w:val="20"/>
                <w:szCs w:val="20"/>
                <w:shd w:val="solid" w:color="000000" w:fill="000000"/>
                <w:fitText w:val="31" w:id="-1436349181"/>
                <w14:textFill>
                  <w14:solidFill>
                    <w14:srgbClr w14:val="000000">
                      <w14:alpha w14:val="100000"/>
                    </w14:srgbClr>
                  </w14:solidFill>
                </w14:textFill>
              </w:rPr>
              <w:t>|</w:t>
            </w:r>
            <w:r w:rsidR="00981AF2" w:rsidRPr="00981AF2">
              <w:rPr>
                <w:rFonts w:ascii="Arial Narrow" w:hAnsi="Arial Narrow" w:hint="eastAsia"/>
                <w:color w:val="000000"/>
                <w:spacing w:val="-34"/>
                <w:w w:val="15"/>
                <w:sz w:val="20"/>
                <w:szCs w:val="20"/>
                <w:shd w:val="solid" w:color="000000" w:fill="000000"/>
                <w:fitText w:val="31" w:id="-1436349181"/>
                <w14:textFill>
                  <w14:solidFill>
                    <w14:srgbClr w14:val="000000">
                      <w14:alpha w14:val="100000"/>
                    </w14:srgbClr>
                  </w14:solidFill>
                </w14:textFill>
              </w:rPr>
              <w:t xml:space="preserve">　</w:t>
            </w:r>
            <w:r w:rsidRPr="5821F0BB">
              <w:rPr>
                <w:rFonts w:ascii="Arial Narrow" w:hAnsi="Arial Narrow"/>
                <w:sz w:val="20"/>
                <w:szCs w:val="20"/>
              </w:rPr>
              <w:t xml:space="preserve"> (published)</w:t>
            </w:r>
          </w:p>
          <w:p w14:paraId="6908C85E" w14:textId="2A7BB7DE" w:rsidR="002626DA" w:rsidRDefault="002626DA" w:rsidP="00220897">
            <w:pPr>
              <w:spacing w:line="259" w:lineRule="auto"/>
              <w:jc w:val="center"/>
              <w:rPr>
                <w:rFonts w:ascii="Arial Narrow" w:hAnsi="Arial Narrow"/>
                <w:sz w:val="20"/>
                <w:szCs w:val="20"/>
              </w:rPr>
            </w:pPr>
          </w:p>
        </w:tc>
        <w:tc>
          <w:tcPr>
            <w:tcW w:w="654" w:type="pct"/>
            <w:vAlign w:val="center"/>
          </w:tcPr>
          <w:p w14:paraId="720A1483" w14:textId="02DCA188" w:rsidR="002626DA" w:rsidRDefault="002626DA" w:rsidP="00220897">
            <w:pPr>
              <w:spacing w:line="259" w:lineRule="auto"/>
              <w:jc w:val="center"/>
              <w:rPr>
                <w:rFonts w:ascii="Arial Narrow" w:hAnsi="Arial Narrow"/>
                <w:sz w:val="20"/>
                <w:szCs w:val="20"/>
              </w:rPr>
            </w:pPr>
            <w:r w:rsidRPr="7B704D1B">
              <w:rPr>
                <w:rFonts w:ascii="Arial Narrow" w:hAnsi="Arial Narrow"/>
                <w:sz w:val="20"/>
                <w:szCs w:val="20"/>
              </w:rPr>
              <w:t>$</w:t>
            </w:r>
            <w:r w:rsidR="00981AF2" w:rsidRPr="00981AF2">
              <w:rPr>
                <w:rFonts w:ascii="Arial Narrow" w:hAnsi="Arial Narrow" w:hint="eastAsia"/>
                <w:color w:val="000000"/>
                <w:w w:val="15"/>
                <w:sz w:val="20"/>
                <w:szCs w:val="20"/>
                <w:shd w:val="solid" w:color="000000" w:fill="000000"/>
                <w:fitText w:val="46" w:id="-1436349180"/>
                <w14:textFill>
                  <w14:solidFill>
                    <w14:srgbClr w14:val="000000">
                      <w14:alpha w14:val="100000"/>
                    </w14:srgbClr>
                  </w14:solidFill>
                </w14:textFill>
              </w:rPr>
              <w:t xml:space="preserve">　</w:t>
            </w:r>
            <w:r w:rsidR="00981AF2" w:rsidRPr="00981AF2">
              <w:rPr>
                <w:rFonts w:ascii="Arial Narrow" w:hAnsi="Arial Narrow"/>
                <w:color w:val="000000"/>
                <w:w w:val="15"/>
                <w:sz w:val="20"/>
                <w:szCs w:val="20"/>
                <w:shd w:val="solid" w:color="000000" w:fill="000000"/>
                <w:fitText w:val="46" w:id="-1436349180"/>
                <w14:textFill>
                  <w14:solidFill>
                    <w14:srgbClr w14:val="000000">
                      <w14:alpha w14:val="100000"/>
                    </w14:srgbClr>
                  </w14:solidFill>
                </w14:textFill>
              </w:rPr>
              <w:t>|</w:t>
            </w:r>
            <w:r w:rsidR="00981AF2" w:rsidRPr="00981AF2">
              <w:rPr>
                <w:rFonts w:ascii="Arial Narrow" w:hAnsi="Arial Narrow" w:hint="eastAsia"/>
                <w:color w:val="000000"/>
                <w:spacing w:val="-19"/>
                <w:w w:val="15"/>
                <w:sz w:val="20"/>
                <w:szCs w:val="20"/>
                <w:shd w:val="solid" w:color="000000" w:fill="000000"/>
                <w:fitText w:val="46" w:id="-1436349180"/>
                <w14:textFill>
                  <w14:solidFill>
                    <w14:srgbClr w14:val="000000">
                      <w14:alpha w14:val="100000"/>
                    </w14:srgbClr>
                  </w14:solidFill>
                </w14:textFill>
              </w:rPr>
              <w:t xml:space="preserve">　</w:t>
            </w:r>
            <w:r w:rsidRPr="7B704D1B">
              <w:rPr>
                <w:rFonts w:ascii="Arial Narrow" w:hAnsi="Arial Narrow"/>
                <w:sz w:val="20"/>
                <w:szCs w:val="20"/>
              </w:rPr>
              <w:t>/</w:t>
            </w:r>
          </w:p>
          <w:p w14:paraId="387E6873" w14:textId="376E1560" w:rsidR="002626DA" w:rsidRDefault="002626DA" w:rsidP="00220897">
            <w:pPr>
              <w:spacing w:line="259" w:lineRule="auto"/>
              <w:jc w:val="center"/>
              <w:rPr>
                <w:rFonts w:ascii="Arial Narrow" w:hAnsi="Arial Narrow"/>
                <w:sz w:val="20"/>
                <w:szCs w:val="20"/>
              </w:rPr>
            </w:pPr>
            <w:r w:rsidRPr="002E67F9">
              <w:rPr>
                <w:rFonts w:ascii="Arial Narrow" w:hAnsi="Arial Narrow"/>
                <w:sz w:val="20"/>
                <w:szCs w:val="20"/>
              </w:rPr>
              <w:t>$</w:t>
            </w:r>
            <w:r w:rsidR="00981AF2" w:rsidRPr="00981AF2">
              <w:rPr>
                <w:rFonts w:ascii="Arial Narrow" w:hAnsi="Arial Narrow" w:hint="eastAsia"/>
                <w:color w:val="000000"/>
                <w:w w:val="15"/>
                <w:sz w:val="20"/>
                <w:szCs w:val="20"/>
                <w:shd w:val="solid" w:color="000000" w:fill="000000"/>
                <w:fitText w:val="62" w:id="-1436349179"/>
                <w14:textFill>
                  <w14:solidFill>
                    <w14:srgbClr w14:val="000000">
                      <w14:alpha w14:val="100000"/>
                    </w14:srgbClr>
                  </w14:solidFill>
                </w14:textFill>
              </w:rPr>
              <w:t xml:space="preserve">　</w:t>
            </w:r>
            <w:r w:rsidR="00981AF2" w:rsidRPr="00981AF2">
              <w:rPr>
                <w:rFonts w:ascii="Arial Narrow" w:hAnsi="Arial Narrow"/>
                <w:color w:val="000000"/>
                <w:w w:val="15"/>
                <w:sz w:val="20"/>
                <w:szCs w:val="20"/>
                <w:shd w:val="solid" w:color="000000" w:fill="000000"/>
                <w:fitText w:val="62" w:id="-1436349179"/>
                <w14:textFill>
                  <w14:solidFill>
                    <w14:srgbClr w14:val="000000">
                      <w14:alpha w14:val="100000"/>
                    </w14:srgbClr>
                  </w14:solidFill>
                </w14:textFill>
              </w:rPr>
              <w:t>|</w:t>
            </w:r>
            <w:r w:rsidR="00981AF2" w:rsidRPr="00981AF2">
              <w:rPr>
                <w:rFonts w:ascii="Arial Narrow" w:hAnsi="Arial Narrow" w:hint="eastAsia"/>
                <w:color w:val="000000"/>
                <w:w w:val="15"/>
                <w:sz w:val="20"/>
                <w:szCs w:val="20"/>
                <w:shd w:val="solid" w:color="000000" w:fill="000000"/>
                <w:fitText w:val="62" w:id="-1436349179"/>
                <w14:textFill>
                  <w14:solidFill>
                    <w14:srgbClr w14:val="000000">
                      <w14:alpha w14:val="100000"/>
                    </w14:srgbClr>
                  </w14:solidFill>
                </w14:textFill>
              </w:rPr>
              <w:t xml:space="preserve">　</w:t>
            </w:r>
            <w:r w:rsidRPr="005C678E">
              <w:rPr>
                <w:rFonts w:ascii="Arial Narrow" w:hAnsi="Arial Narrow"/>
                <w:sz w:val="20"/>
                <w:szCs w:val="20"/>
                <w:vertAlign w:val="superscript"/>
              </w:rPr>
              <w:t>a</w:t>
            </w:r>
            <w:r w:rsidRPr="5821F0BB">
              <w:rPr>
                <w:rFonts w:ascii="Arial Narrow" w:hAnsi="Arial Narrow"/>
                <w:sz w:val="20"/>
                <w:szCs w:val="20"/>
              </w:rPr>
              <w:t xml:space="preserve"> (published)</w:t>
            </w:r>
          </w:p>
        </w:tc>
        <w:tc>
          <w:tcPr>
            <w:tcW w:w="934" w:type="pct"/>
            <w:gridSpan w:val="2"/>
            <w:vAlign w:val="center"/>
          </w:tcPr>
          <w:p w14:paraId="74650E69" w14:textId="2327C98E" w:rsidR="002626DA" w:rsidRDefault="002626DA" w:rsidP="00220897">
            <w:pPr>
              <w:keepNext/>
              <w:jc w:val="center"/>
              <w:rPr>
                <w:rFonts w:ascii="Arial Narrow" w:hAnsi="Arial Narrow"/>
                <w:sz w:val="20"/>
                <w:szCs w:val="20"/>
              </w:rPr>
            </w:pPr>
            <w:r w:rsidRPr="7B704D1B">
              <w:rPr>
                <w:rFonts w:ascii="Arial Narrow" w:hAnsi="Arial Narrow"/>
                <w:sz w:val="20"/>
                <w:szCs w:val="20"/>
              </w:rPr>
              <w:t>SKYRIZI® AbbVie Pty Ltd</w:t>
            </w:r>
          </w:p>
          <w:p w14:paraId="59C2134E" w14:textId="7718131A" w:rsidR="002626DA" w:rsidRDefault="002626DA" w:rsidP="00220897">
            <w:pPr>
              <w:jc w:val="center"/>
            </w:pPr>
          </w:p>
        </w:tc>
      </w:tr>
      <w:tr w:rsidR="002626DA" w14:paraId="3F337813" w14:textId="77777777" w:rsidTr="0035762D">
        <w:trPr>
          <w:cantSplit/>
          <w:trHeight w:val="567"/>
        </w:trPr>
        <w:tc>
          <w:tcPr>
            <w:tcW w:w="5000" w:type="pct"/>
            <w:gridSpan w:val="9"/>
            <w:vAlign w:val="center"/>
          </w:tcPr>
          <w:p w14:paraId="36336D6D" w14:textId="4A0E2216" w:rsidR="002626DA" w:rsidRDefault="002626DA" w:rsidP="00220897">
            <w:pPr>
              <w:pStyle w:val="TableFigureFooter"/>
              <w:rPr>
                <w:rFonts w:eastAsia="Arial Narrow" w:cs="Arial Narrow"/>
                <w:color w:val="000000" w:themeColor="text1"/>
                <w:szCs w:val="18"/>
              </w:rPr>
            </w:pPr>
            <w:r w:rsidRPr="7B704D1B">
              <w:rPr>
                <w:rFonts w:eastAsia="Arial Narrow" w:cs="Arial Narrow"/>
                <w:color w:val="000000" w:themeColor="text1"/>
                <w:szCs w:val="18"/>
              </w:rPr>
              <w:t>Abbreviations: AEMP = approved ex-manufacturer price; DPMQ = dispensed price for maximum quantity</w:t>
            </w:r>
          </w:p>
          <w:p w14:paraId="31AF1ADD" w14:textId="6496AC6F" w:rsidR="002626DA" w:rsidRDefault="002626DA" w:rsidP="00220897">
            <w:pPr>
              <w:pStyle w:val="TableFigureFooter"/>
              <w:rPr>
                <w:rFonts w:eastAsia="Arial Narrow" w:cs="Arial Narrow"/>
                <w:color w:val="000000" w:themeColor="text1"/>
                <w:szCs w:val="18"/>
              </w:rPr>
            </w:pPr>
            <w:r w:rsidRPr="7B704D1B">
              <w:rPr>
                <w:rFonts w:eastAsia="Arial Narrow" w:cs="Arial Narrow"/>
                <w:color w:val="000000" w:themeColor="text1"/>
                <w:szCs w:val="18"/>
              </w:rPr>
              <w:t>Note: The sponsor propose</w:t>
            </w:r>
            <w:r w:rsidR="00B670EC">
              <w:rPr>
                <w:rFonts w:eastAsia="Arial Narrow" w:cs="Arial Narrow"/>
                <w:color w:val="000000" w:themeColor="text1"/>
                <w:szCs w:val="18"/>
              </w:rPr>
              <w:t>d</w:t>
            </w:r>
            <w:r w:rsidRPr="7B704D1B">
              <w:rPr>
                <w:rFonts w:eastAsia="Arial Narrow" w:cs="Arial Narrow"/>
                <w:color w:val="000000" w:themeColor="text1"/>
                <w:szCs w:val="18"/>
              </w:rPr>
              <w:t xml:space="preserve"> a special pricing agreement</w:t>
            </w:r>
            <w:r w:rsidR="00805C55">
              <w:rPr>
                <w:rFonts w:eastAsia="Arial Narrow" w:cs="Arial Narrow"/>
                <w:color w:val="000000" w:themeColor="text1"/>
                <w:szCs w:val="18"/>
              </w:rPr>
              <w:t xml:space="preserve"> (SPA)</w:t>
            </w:r>
          </w:p>
          <w:p w14:paraId="02490F61" w14:textId="4BB56E69" w:rsidR="002626DA" w:rsidRDefault="003071C5" w:rsidP="00220897">
            <w:pPr>
              <w:pStyle w:val="TableFigureFooter"/>
              <w:rPr>
                <w:rFonts w:eastAsia="Arial Narrow" w:cs="Arial Narrow"/>
                <w:color w:val="000000" w:themeColor="text1"/>
                <w:szCs w:val="18"/>
              </w:rPr>
            </w:pPr>
            <w:r>
              <w:rPr>
                <w:rFonts w:eastAsia="Arial Narrow" w:cs="Arial Narrow"/>
                <w:color w:val="000000" w:themeColor="text1"/>
                <w:szCs w:val="18"/>
                <w:vertAlign w:val="superscript"/>
              </w:rPr>
              <w:t>a</w:t>
            </w:r>
            <w:r w:rsidR="002626DA" w:rsidRPr="5821F0BB">
              <w:rPr>
                <w:rFonts w:eastAsia="Arial Narrow" w:cs="Arial Narrow"/>
                <w:color w:val="000000" w:themeColor="text1"/>
                <w:szCs w:val="18"/>
              </w:rPr>
              <w:t>The AEMP presented in Table 1-7 and the Executive Summary ($</w:t>
            </w:r>
            <w:r w:rsidR="00981AF2" w:rsidRPr="00981AF2">
              <w:rPr>
                <w:rFonts w:eastAsia="Arial Narrow" w:cs="Arial Narrow"/>
                <w:color w:val="000000" w:themeColor="text1"/>
                <w:spacing w:val="34"/>
                <w:szCs w:val="18"/>
                <w:shd w:val="solid" w:color="000000" w:fill="000000"/>
                <w:fitText w:val="280" w:id="-1436349178"/>
                <w14:textFill>
                  <w14:solidFill>
                    <w14:schemeClr w14:val="tx1">
                      <w14:alpha w14:val="100000"/>
                    </w14:schemeClr>
                  </w14:solidFill>
                </w14:textFill>
              </w:rPr>
              <w:t xml:space="preserve">|  </w:t>
            </w:r>
            <w:r w:rsidR="00981AF2" w:rsidRPr="00981AF2">
              <w:rPr>
                <w:rFonts w:eastAsia="Arial Narrow" w:cs="Arial Narrow"/>
                <w:color w:val="000000" w:themeColor="text1"/>
                <w:spacing w:val="11"/>
                <w:szCs w:val="18"/>
                <w:shd w:val="solid" w:color="000000" w:fill="000000"/>
                <w:fitText w:val="280" w:id="-1436349178"/>
                <w14:textFill>
                  <w14:solidFill>
                    <w14:schemeClr w14:val="tx1">
                      <w14:alpha w14:val="100000"/>
                    </w14:schemeClr>
                  </w14:solidFill>
                </w14:textFill>
              </w:rPr>
              <w:t>|</w:t>
            </w:r>
            <w:r w:rsidR="002626DA" w:rsidRPr="5821F0BB">
              <w:rPr>
                <w:rFonts w:eastAsia="Arial Narrow" w:cs="Arial Narrow"/>
                <w:color w:val="000000" w:themeColor="text1"/>
                <w:szCs w:val="18"/>
              </w:rPr>
              <w:t>)</w:t>
            </w:r>
            <w:r w:rsidR="00E529F1">
              <w:rPr>
                <w:rFonts w:eastAsia="Arial Narrow" w:cs="Arial Narrow"/>
                <w:color w:val="000000" w:themeColor="text1"/>
                <w:szCs w:val="18"/>
              </w:rPr>
              <w:t xml:space="preserve"> was</w:t>
            </w:r>
            <w:r w:rsidR="002626DA" w:rsidRPr="5821F0BB">
              <w:rPr>
                <w:rFonts w:eastAsia="Arial Narrow" w:cs="Arial Narrow"/>
                <w:color w:val="000000" w:themeColor="text1"/>
                <w:szCs w:val="18"/>
              </w:rPr>
              <w:t xml:space="preserve"> not consistent with the AEMP used in the cost-minimisation analysis presented in Section 3 (Table 3-7, p143 of the submission)</w:t>
            </w:r>
          </w:p>
          <w:p w14:paraId="7CF414A9" w14:textId="5C9F0DFF" w:rsidR="00AD1D40" w:rsidRDefault="00AD1D40" w:rsidP="0035015B">
            <w:pPr>
              <w:pStyle w:val="TableFigureFooter"/>
              <w:rPr>
                <w:rFonts w:eastAsia="Arial Narrow" w:cs="Arial Narrow"/>
                <w:color w:val="000000" w:themeColor="text1"/>
                <w:szCs w:val="18"/>
              </w:rPr>
            </w:pPr>
          </w:p>
        </w:tc>
      </w:tr>
      <w:tr w:rsidR="002626DA" w14:paraId="54C2A9F8" w14:textId="77777777" w:rsidTr="0035762D">
        <w:tblPrEx>
          <w:tblCellMar>
            <w:left w:w="108" w:type="dxa"/>
            <w:right w:w="108" w:type="dxa"/>
          </w:tblCellMar>
          <w:tblLook w:val="04A0" w:firstRow="1" w:lastRow="0" w:firstColumn="1" w:lastColumn="0" w:noHBand="0" w:noVBand="1"/>
        </w:tblPrEx>
        <w:tc>
          <w:tcPr>
            <w:tcW w:w="1371" w:type="pct"/>
            <w:tcBorders>
              <w:top w:val="single" w:sz="8" w:space="0" w:color="auto"/>
              <w:left w:val="single" w:sz="8" w:space="0" w:color="auto"/>
              <w:bottom w:val="single" w:sz="8" w:space="0" w:color="auto"/>
              <w:right w:val="single" w:sz="8" w:space="0" w:color="auto"/>
            </w:tcBorders>
          </w:tcPr>
          <w:p w14:paraId="35B56941" w14:textId="5F1183AF" w:rsidR="002626DA" w:rsidRDefault="002626DA" w:rsidP="00220897">
            <w:r w:rsidRPr="5821F0BB">
              <w:rPr>
                <w:rFonts w:ascii="Arial Narrow" w:eastAsia="Arial Narrow" w:hAnsi="Arial Narrow" w:cs="Arial Narrow"/>
                <w:b/>
                <w:bCs/>
                <w:sz w:val="20"/>
                <w:szCs w:val="20"/>
              </w:rPr>
              <w:t>Category / Program:</w:t>
            </w:r>
            <w:r w:rsidRPr="5821F0BB">
              <w:rPr>
                <w:rFonts w:ascii="Arial Narrow" w:eastAsia="Arial Narrow" w:hAnsi="Arial Narrow" w:cs="Arial Narrow"/>
                <w:sz w:val="20"/>
                <w:szCs w:val="20"/>
              </w:rPr>
              <w:t xml:space="preserve"> </w:t>
            </w:r>
          </w:p>
        </w:tc>
        <w:tc>
          <w:tcPr>
            <w:tcW w:w="3629" w:type="pct"/>
            <w:gridSpan w:val="8"/>
            <w:tcBorders>
              <w:top w:val="single" w:sz="8" w:space="0" w:color="auto"/>
              <w:left w:val="single" w:sz="8" w:space="0" w:color="auto"/>
              <w:bottom w:val="single" w:sz="8" w:space="0" w:color="auto"/>
              <w:right w:val="single" w:sz="8" w:space="0" w:color="auto"/>
            </w:tcBorders>
          </w:tcPr>
          <w:p w14:paraId="6ED9BA05" w14:textId="6B102C8F" w:rsidR="002626DA" w:rsidRDefault="002626DA" w:rsidP="00220897">
            <w:r w:rsidRPr="5821F0BB">
              <w:rPr>
                <w:rFonts w:ascii="Arial Narrow" w:eastAsia="Arial Narrow" w:hAnsi="Arial Narrow" w:cs="Arial Narrow"/>
                <w:sz w:val="20"/>
                <w:szCs w:val="20"/>
              </w:rPr>
              <w:t xml:space="preserve">Section 100 – Highly Specialised Drugs Program </w:t>
            </w:r>
          </w:p>
        </w:tc>
      </w:tr>
      <w:tr w:rsidR="002626DA" w14:paraId="520B8312" w14:textId="77777777" w:rsidTr="0035762D">
        <w:tblPrEx>
          <w:tblCellMar>
            <w:left w:w="108" w:type="dxa"/>
            <w:right w:w="108" w:type="dxa"/>
          </w:tblCellMar>
          <w:tblLook w:val="04A0" w:firstRow="1" w:lastRow="0" w:firstColumn="1" w:lastColumn="0" w:noHBand="0" w:noVBand="1"/>
        </w:tblPrEx>
        <w:tc>
          <w:tcPr>
            <w:tcW w:w="1371" w:type="pct"/>
            <w:tcBorders>
              <w:top w:val="single" w:sz="8" w:space="0" w:color="auto"/>
              <w:left w:val="single" w:sz="8" w:space="0" w:color="auto"/>
              <w:bottom w:val="single" w:sz="8" w:space="0" w:color="auto"/>
              <w:right w:val="single" w:sz="8" w:space="0" w:color="auto"/>
            </w:tcBorders>
          </w:tcPr>
          <w:p w14:paraId="42A757C0" w14:textId="19E139A8" w:rsidR="002626DA" w:rsidRDefault="002626DA" w:rsidP="00220897">
            <w:r w:rsidRPr="5821F0BB">
              <w:rPr>
                <w:rFonts w:ascii="Arial Narrow" w:eastAsia="Arial Narrow" w:hAnsi="Arial Narrow" w:cs="Arial Narrow"/>
                <w:b/>
                <w:bCs/>
                <w:sz w:val="20"/>
                <w:szCs w:val="20"/>
              </w:rPr>
              <w:t>Prescriber type:</w:t>
            </w:r>
            <w:r w:rsidRPr="5821F0BB">
              <w:rPr>
                <w:rFonts w:ascii="Arial Narrow" w:eastAsia="Arial Narrow" w:hAnsi="Arial Narrow" w:cs="Arial Narrow"/>
                <w:sz w:val="20"/>
                <w:szCs w:val="20"/>
              </w:rPr>
              <w:t xml:space="preserve"> </w:t>
            </w:r>
          </w:p>
        </w:tc>
        <w:tc>
          <w:tcPr>
            <w:tcW w:w="3629" w:type="pct"/>
            <w:gridSpan w:val="8"/>
            <w:tcBorders>
              <w:top w:val="single" w:sz="8" w:space="0" w:color="auto"/>
              <w:left w:val="single" w:sz="8" w:space="0" w:color="auto"/>
              <w:bottom w:val="single" w:sz="8" w:space="0" w:color="auto"/>
              <w:right w:val="single" w:sz="8" w:space="0" w:color="auto"/>
            </w:tcBorders>
          </w:tcPr>
          <w:p w14:paraId="7F90BDD9" w14:textId="37B2851D" w:rsidR="002626DA" w:rsidRDefault="002626DA" w:rsidP="00220897">
            <w:r w:rsidRPr="5821F0BB">
              <w:rPr>
                <w:rFonts w:ascii="Arial Narrow" w:eastAsia="Arial Narrow" w:hAnsi="Arial Narrow" w:cs="Arial Narrow"/>
                <w:sz w:val="20"/>
                <w:szCs w:val="20"/>
              </w:rPr>
              <w:t xml:space="preserve">Medical Practitioners  </w:t>
            </w:r>
          </w:p>
        </w:tc>
      </w:tr>
      <w:tr w:rsidR="002626DA" w14:paraId="3CB33275" w14:textId="77777777" w:rsidTr="0035762D">
        <w:tblPrEx>
          <w:tblCellMar>
            <w:left w:w="108" w:type="dxa"/>
            <w:right w:w="108" w:type="dxa"/>
          </w:tblCellMar>
          <w:tblLook w:val="04A0" w:firstRow="1" w:lastRow="0" w:firstColumn="1" w:lastColumn="0" w:noHBand="0" w:noVBand="1"/>
        </w:tblPrEx>
        <w:tc>
          <w:tcPr>
            <w:tcW w:w="1371" w:type="pct"/>
            <w:tcBorders>
              <w:top w:val="single" w:sz="8" w:space="0" w:color="auto"/>
              <w:left w:val="single" w:sz="8" w:space="0" w:color="auto"/>
              <w:bottom w:val="single" w:sz="8" w:space="0" w:color="auto"/>
              <w:right w:val="single" w:sz="8" w:space="0" w:color="auto"/>
            </w:tcBorders>
          </w:tcPr>
          <w:p w14:paraId="540B9CE6" w14:textId="6E38CEB2" w:rsidR="002626DA" w:rsidRDefault="002626DA" w:rsidP="00220897">
            <w:r w:rsidRPr="5821F0BB">
              <w:rPr>
                <w:rFonts w:ascii="Arial Narrow" w:eastAsia="Arial Narrow" w:hAnsi="Arial Narrow" w:cs="Arial Narrow"/>
                <w:b/>
                <w:bCs/>
                <w:sz w:val="20"/>
                <w:szCs w:val="20"/>
              </w:rPr>
              <w:t>Severity:</w:t>
            </w:r>
            <w:r w:rsidRPr="5821F0BB">
              <w:rPr>
                <w:rFonts w:ascii="Arial Narrow" w:eastAsia="Arial Narrow" w:hAnsi="Arial Narrow" w:cs="Arial Narrow"/>
                <w:sz w:val="20"/>
                <w:szCs w:val="20"/>
              </w:rPr>
              <w:t xml:space="preserve"> </w:t>
            </w:r>
          </w:p>
        </w:tc>
        <w:tc>
          <w:tcPr>
            <w:tcW w:w="3629" w:type="pct"/>
            <w:gridSpan w:val="8"/>
            <w:tcBorders>
              <w:top w:val="single" w:sz="8" w:space="0" w:color="auto"/>
              <w:left w:val="single" w:sz="8" w:space="0" w:color="auto"/>
              <w:bottom w:val="single" w:sz="8" w:space="0" w:color="auto"/>
              <w:right w:val="single" w:sz="8" w:space="0" w:color="auto"/>
            </w:tcBorders>
          </w:tcPr>
          <w:p w14:paraId="0D8B8BB4" w14:textId="4E9679B5" w:rsidR="002626DA" w:rsidRDefault="002626DA" w:rsidP="00220897">
            <w:r w:rsidRPr="5821F0BB">
              <w:rPr>
                <w:rFonts w:ascii="Arial Narrow" w:eastAsia="Arial Narrow" w:hAnsi="Arial Narrow" w:cs="Arial Narrow"/>
                <w:sz w:val="20"/>
                <w:szCs w:val="20"/>
              </w:rPr>
              <w:t xml:space="preserve">Severe </w:t>
            </w:r>
          </w:p>
        </w:tc>
      </w:tr>
      <w:tr w:rsidR="002626DA" w14:paraId="274DF794" w14:textId="77777777" w:rsidTr="0035762D">
        <w:tblPrEx>
          <w:tblCellMar>
            <w:left w:w="108" w:type="dxa"/>
            <w:right w:w="108" w:type="dxa"/>
          </w:tblCellMar>
          <w:tblLook w:val="04A0" w:firstRow="1" w:lastRow="0" w:firstColumn="1" w:lastColumn="0" w:noHBand="0" w:noVBand="1"/>
        </w:tblPrEx>
        <w:tc>
          <w:tcPr>
            <w:tcW w:w="1371" w:type="pct"/>
            <w:tcBorders>
              <w:top w:val="single" w:sz="8" w:space="0" w:color="auto"/>
              <w:left w:val="single" w:sz="8" w:space="0" w:color="auto"/>
              <w:bottom w:val="single" w:sz="8" w:space="0" w:color="auto"/>
              <w:right w:val="single" w:sz="8" w:space="0" w:color="auto"/>
            </w:tcBorders>
          </w:tcPr>
          <w:p w14:paraId="3D67AE38" w14:textId="2404CA26" w:rsidR="002626DA" w:rsidRDefault="002626DA" w:rsidP="00220897">
            <w:r w:rsidRPr="5821F0BB">
              <w:rPr>
                <w:rFonts w:ascii="Arial Narrow" w:eastAsia="Arial Narrow" w:hAnsi="Arial Narrow" w:cs="Arial Narrow"/>
                <w:b/>
                <w:bCs/>
                <w:sz w:val="20"/>
                <w:szCs w:val="20"/>
              </w:rPr>
              <w:t>Condition:</w:t>
            </w:r>
            <w:r w:rsidRPr="5821F0BB">
              <w:rPr>
                <w:rFonts w:ascii="Arial Narrow" w:eastAsia="Arial Narrow" w:hAnsi="Arial Narrow" w:cs="Arial Narrow"/>
                <w:sz w:val="20"/>
                <w:szCs w:val="20"/>
              </w:rPr>
              <w:t xml:space="preserve"> </w:t>
            </w:r>
          </w:p>
        </w:tc>
        <w:tc>
          <w:tcPr>
            <w:tcW w:w="3629" w:type="pct"/>
            <w:gridSpan w:val="8"/>
            <w:tcBorders>
              <w:top w:val="single" w:sz="8" w:space="0" w:color="auto"/>
              <w:left w:val="single" w:sz="8" w:space="0" w:color="auto"/>
              <w:bottom w:val="single" w:sz="8" w:space="0" w:color="auto"/>
              <w:right w:val="single" w:sz="8" w:space="0" w:color="auto"/>
            </w:tcBorders>
          </w:tcPr>
          <w:p w14:paraId="3D41C32C" w14:textId="39E83FFF" w:rsidR="002626DA" w:rsidRDefault="002626DA" w:rsidP="00220897">
            <w:r w:rsidRPr="5821F0BB">
              <w:rPr>
                <w:rFonts w:ascii="Arial Narrow" w:eastAsia="Arial Narrow" w:hAnsi="Arial Narrow" w:cs="Arial Narrow"/>
                <w:sz w:val="20"/>
                <w:szCs w:val="20"/>
              </w:rPr>
              <w:t xml:space="preserve">Crohn disease </w:t>
            </w:r>
          </w:p>
        </w:tc>
      </w:tr>
      <w:tr w:rsidR="002626DA" w14:paraId="7B7CF8C1" w14:textId="77777777" w:rsidTr="0035762D">
        <w:tblPrEx>
          <w:tblCellMar>
            <w:left w:w="108" w:type="dxa"/>
            <w:right w:w="108" w:type="dxa"/>
          </w:tblCellMar>
          <w:tblLook w:val="04A0" w:firstRow="1" w:lastRow="0" w:firstColumn="1" w:lastColumn="0" w:noHBand="0" w:noVBand="1"/>
        </w:tblPrEx>
        <w:tc>
          <w:tcPr>
            <w:tcW w:w="1371" w:type="pct"/>
            <w:tcBorders>
              <w:top w:val="single" w:sz="8" w:space="0" w:color="auto"/>
              <w:left w:val="single" w:sz="8" w:space="0" w:color="auto"/>
              <w:bottom w:val="single" w:sz="8" w:space="0" w:color="auto"/>
              <w:right w:val="single" w:sz="8" w:space="0" w:color="auto"/>
            </w:tcBorders>
          </w:tcPr>
          <w:p w14:paraId="3AAFA8CE" w14:textId="797026D6" w:rsidR="002626DA" w:rsidRDefault="002626DA" w:rsidP="00220897">
            <w:r w:rsidRPr="5821F0BB">
              <w:rPr>
                <w:rFonts w:ascii="Arial Narrow" w:eastAsia="Arial Narrow" w:hAnsi="Arial Narrow" w:cs="Arial Narrow"/>
                <w:b/>
                <w:bCs/>
                <w:sz w:val="20"/>
                <w:szCs w:val="20"/>
              </w:rPr>
              <w:t>PBS Indication:</w:t>
            </w:r>
            <w:r w:rsidRPr="5821F0BB">
              <w:rPr>
                <w:rFonts w:ascii="Arial Narrow" w:eastAsia="Arial Narrow" w:hAnsi="Arial Narrow" w:cs="Arial Narrow"/>
                <w:sz w:val="20"/>
                <w:szCs w:val="20"/>
              </w:rPr>
              <w:t xml:space="preserve"> </w:t>
            </w:r>
          </w:p>
        </w:tc>
        <w:tc>
          <w:tcPr>
            <w:tcW w:w="3629" w:type="pct"/>
            <w:gridSpan w:val="8"/>
            <w:tcBorders>
              <w:top w:val="single" w:sz="8" w:space="0" w:color="auto"/>
              <w:left w:val="single" w:sz="8" w:space="0" w:color="auto"/>
              <w:bottom w:val="single" w:sz="8" w:space="0" w:color="auto"/>
              <w:right w:val="single" w:sz="8" w:space="0" w:color="auto"/>
            </w:tcBorders>
          </w:tcPr>
          <w:p w14:paraId="32A301A1" w14:textId="7612F6E9" w:rsidR="002626DA" w:rsidRDefault="002626DA" w:rsidP="00220897">
            <w:r w:rsidRPr="5821F0BB">
              <w:rPr>
                <w:rFonts w:ascii="Arial Narrow" w:eastAsia="Arial Narrow" w:hAnsi="Arial Narrow" w:cs="Arial Narrow"/>
                <w:sz w:val="20"/>
                <w:szCs w:val="20"/>
              </w:rPr>
              <w:t xml:space="preserve">Severe Crohn disease </w:t>
            </w:r>
          </w:p>
        </w:tc>
      </w:tr>
      <w:tr w:rsidR="002626DA" w14:paraId="551ACA12" w14:textId="77777777" w:rsidTr="0035762D">
        <w:tblPrEx>
          <w:tblCellMar>
            <w:left w:w="108" w:type="dxa"/>
            <w:right w:w="108" w:type="dxa"/>
          </w:tblCellMar>
          <w:tblLook w:val="04A0" w:firstRow="1" w:lastRow="0" w:firstColumn="1" w:lastColumn="0" w:noHBand="0" w:noVBand="1"/>
        </w:tblPrEx>
        <w:tc>
          <w:tcPr>
            <w:tcW w:w="1371" w:type="pct"/>
            <w:tcBorders>
              <w:top w:val="single" w:sz="8" w:space="0" w:color="auto"/>
              <w:left w:val="single" w:sz="8" w:space="0" w:color="auto"/>
              <w:bottom w:val="single" w:sz="8" w:space="0" w:color="auto"/>
              <w:right w:val="single" w:sz="8" w:space="0" w:color="auto"/>
            </w:tcBorders>
          </w:tcPr>
          <w:p w14:paraId="609006B3" w14:textId="19C9C5DE" w:rsidR="002626DA" w:rsidRDefault="002626DA" w:rsidP="00220897">
            <w:r w:rsidRPr="5821F0BB">
              <w:rPr>
                <w:rFonts w:ascii="Arial Narrow" w:eastAsia="Arial Narrow" w:hAnsi="Arial Narrow" w:cs="Arial Narrow"/>
                <w:b/>
                <w:bCs/>
                <w:sz w:val="20"/>
                <w:szCs w:val="20"/>
              </w:rPr>
              <w:t>Restriction:</w:t>
            </w:r>
            <w:r w:rsidRPr="5821F0BB">
              <w:rPr>
                <w:rFonts w:ascii="Arial Narrow" w:eastAsia="Arial Narrow" w:hAnsi="Arial Narrow" w:cs="Arial Narrow"/>
                <w:sz w:val="20"/>
                <w:szCs w:val="20"/>
              </w:rPr>
              <w:t xml:space="preserve"> </w:t>
            </w:r>
          </w:p>
        </w:tc>
        <w:tc>
          <w:tcPr>
            <w:tcW w:w="3629" w:type="pct"/>
            <w:gridSpan w:val="8"/>
            <w:tcBorders>
              <w:top w:val="single" w:sz="8" w:space="0" w:color="auto"/>
              <w:left w:val="single" w:sz="8" w:space="0" w:color="auto"/>
              <w:bottom w:val="single" w:sz="8" w:space="0" w:color="auto"/>
              <w:right w:val="single" w:sz="8" w:space="0" w:color="auto"/>
            </w:tcBorders>
          </w:tcPr>
          <w:p w14:paraId="73F8FC54" w14:textId="0D58AD03" w:rsidR="002626DA" w:rsidRDefault="002626DA" w:rsidP="00220897">
            <w:r w:rsidRPr="5821F0BB">
              <w:rPr>
                <w:rFonts w:ascii="Arial Narrow" w:eastAsia="Arial Narrow" w:hAnsi="Arial Narrow" w:cs="Arial Narrow"/>
                <w:sz w:val="20"/>
                <w:szCs w:val="20"/>
              </w:rPr>
              <w:t xml:space="preserve">Authority Required - In Writing </w:t>
            </w:r>
          </w:p>
        </w:tc>
      </w:tr>
      <w:tr w:rsidR="002626DA" w14:paraId="1E12DA61" w14:textId="77777777" w:rsidTr="0035762D">
        <w:tblPrEx>
          <w:tblCellMar>
            <w:left w:w="108" w:type="dxa"/>
            <w:right w:w="108" w:type="dxa"/>
          </w:tblCellMar>
          <w:tblLook w:val="04A0" w:firstRow="1" w:lastRow="0" w:firstColumn="1" w:lastColumn="0" w:noHBand="0" w:noVBand="1"/>
        </w:tblPrEx>
        <w:tc>
          <w:tcPr>
            <w:tcW w:w="1371" w:type="pct"/>
            <w:tcBorders>
              <w:top w:val="single" w:sz="8" w:space="0" w:color="auto"/>
              <w:left w:val="single" w:sz="8" w:space="0" w:color="auto"/>
              <w:bottom w:val="single" w:sz="8" w:space="0" w:color="auto"/>
              <w:right w:val="single" w:sz="8" w:space="0" w:color="auto"/>
            </w:tcBorders>
          </w:tcPr>
          <w:p w14:paraId="22C88921" w14:textId="6E35577B" w:rsidR="002626DA" w:rsidRDefault="002626DA" w:rsidP="00220897">
            <w:r w:rsidRPr="5821F0BB">
              <w:rPr>
                <w:rFonts w:ascii="Arial Narrow" w:eastAsia="Arial Narrow" w:hAnsi="Arial Narrow" w:cs="Arial Narrow"/>
                <w:b/>
                <w:bCs/>
                <w:sz w:val="20"/>
                <w:szCs w:val="20"/>
              </w:rPr>
              <w:t>Treatment criteria:</w:t>
            </w:r>
            <w:r w:rsidRPr="5821F0BB">
              <w:rPr>
                <w:rFonts w:ascii="Arial Narrow" w:eastAsia="Arial Narrow" w:hAnsi="Arial Narrow" w:cs="Arial Narrow"/>
                <w:sz w:val="20"/>
                <w:szCs w:val="20"/>
              </w:rPr>
              <w:t xml:space="preserve"> </w:t>
            </w:r>
          </w:p>
        </w:tc>
        <w:tc>
          <w:tcPr>
            <w:tcW w:w="3629" w:type="pct"/>
            <w:gridSpan w:val="8"/>
            <w:tcBorders>
              <w:top w:val="single" w:sz="8" w:space="0" w:color="auto"/>
              <w:left w:val="single" w:sz="8" w:space="0" w:color="auto"/>
              <w:bottom w:val="single" w:sz="8" w:space="0" w:color="auto"/>
              <w:right w:val="single" w:sz="8" w:space="0" w:color="auto"/>
            </w:tcBorders>
          </w:tcPr>
          <w:p w14:paraId="7B4D1628" w14:textId="098FA667" w:rsidR="002626DA" w:rsidRDefault="002626DA" w:rsidP="00220897">
            <w:r w:rsidRPr="5821F0BB">
              <w:rPr>
                <w:rFonts w:ascii="Arial Narrow" w:eastAsia="Arial Narrow" w:hAnsi="Arial Narrow" w:cs="Arial Narrow"/>
                <w:sz w:val="20"/>
                <w:szCs w:val="20"/>
              </w:rPr>
              <w:t xml:space="preserve">Must be treated by a gastroenterologist or consultant physician [specialising in gastroenterology] </w:t>
            </w:r>
          </w:p>
        </w:tc>
      </w:tr>
      <w:tr w:rsidR="002626DA" w14:paraId="58160626" w14:textId="77777777" w:rsidTr="0035762D">
        <w:tblPrEx>
          <w:tblCellMar>
            <w:left w:w="108" w:type="dxa"/>
            <w:right w:w="108" w:type="dxa"/>
          </w:tblCellMar>
          <w:tblLook w:val="04A0" w:firstRow="1" w:lastRow="0" w:firstColumn="1" w:lastColumn="0" w:noHBand="0" w:noVBand="1"/>
        </w:tblPrEx>
        <w:tc>
          <w:tcPr>
            <w:tcW w:w="1371" w:type="pct"/>
            <w:tcBorders>
              <w:top w:val="single" w:sz="8" w:space="0" w:color="auto"/>
              <w:left w:val="single" w:sz="8" w:space="0" w:color="auto"/>
              <w:bottom w:val="single" w:sz="8" w:space="0" w:color="auto"/>
              <w:right w:val="single" w:sz="8" w:space="0" w:color="auto"/>
            </w:tcBorders>
          </w:tcPr>
          <w:p w14:paraId="69C64393" w14:textId="25C4082B" w:rsidR="002626DA" w:rsidRDefault="002626DA" w:rsidP="00220897">
            <w:r w:rsidRPr="5821F0BB">
              <w:rPr>
                <w:rFonts w:ascii="Arial Narrow" w:eastAsia="Arial Narrow" w:hAnsi="Arial Narrow" w:cs="Arial Narrow"/>
                <w:b/>
                <w:bCs/>
                <w:sz w:val="20"/>
                <w:szCs w:val="20"/>
              </w:rPr>
              <w:t>Population criteria:</w:t>
            </w:r>
            <w:r w:rsidRPr="5821F0BB">
              <w:rPr>
                <w:rFonts w:ascii="Arial Narrow" w:eastAsia="Arial Narrow" w:hAnsi="Arial Narrow" w:cs="Arial Narrow"/>
                <w:sz w:val="20"/>
                <w:szCs w:val="20"/>
              </w:rPr>
              <w:t xml:space="preserve"> </w:t>
            </w:r>
          </w:p>
        </w:tc>
        <w:tc>
          <w:tcPr>
            <w:tcW w:w="3629" w:type="pct"/>
            <w:gridSpan w:val="8"/>
            <w:tcBorders>
              <w:top w:val="single" w:sz="8" w:space="0" w:color="auto"/>
              <w:left w:val="single" w:sz="8" w:space="0" w:color="auto"/>
              <w:bottom w:val="single" w:sz="8" w:space="0" w:color="auto"/>
              <w:right w:val="single" w:sz="8" w:space="0" w:color="auto"/>
            </w:tcBorders>
          </w:tcPr>
          <w:p w14:paraId="49A426B0" w14:textId="2A682600" w:rsidR="002626DA" w:rsidRDefault="002626DA" w:rsidP="00220897">
            <w:r w:rsidRPr="5821F0BB">
              <w:rPr>
                <w:rFonts w:ascii="Arial Narrow" w:eastAsia="Arial Narrow" w:hAnsi="Arial Narrow" w:cs="Arial Narrow"/>
                <w:sz w:val="20"/>
                <w:szCs w:val="20"/>
              </w:rPr>
              <w:t xml:space="preserve">Patient must be aged 18 years or older.  </w:t>
            </w:r>
          </w:p>
        </w:tc>
      </w:tr>
      <w:tr w:rsidR="002626DA" w14:paraId="197E0272" w14:textId="77777777" w:rsidTr="0035762D">
        <w:tblPrEx>
          <w:tblCellMar>
            <w:left w:w="108" w:type="dxa"/>
            <w:right w:w="108" w:type="dxa"/>
          </w:tblCellMar>
          <w:tblLook w:val="04A0" w:firstRow="1" w:lastRow="0" w:firstColumn="1" w:lastColumn="0" w:noHBand="0" w:noVBand="1"/>
        </w:tblPrEx>
        <w:tc>
          <w:tcPr>
            <w:tcW w:w="1371" w:type="pct"/>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3B7CBC98" w14:textId="47870D24" w:rsidR="002626DA" w:rsidRDefault="002626DA" w:rsidP="00220897">
            <w:r w:rsidRPr="5821F0BB">
              <w:rPr>
                <w:rFonts w:ascii="Arial Narrow" w:eastAsia="Arial Narrow" w:hAnsi="Arial Narrow" w:cs="Arial Narrow"/>
                <w:b/>
                <w:bCs/>
                <w:color w:val="000000" w:themeColor="text1"/>
                <w:sz w:val="20"/>
                <w:szCs w:val="20"/>
              </w:rPr>
              <w:t>Treatment phase</w:t>
            </w:r>
            <w:r w:rsidRPr="5821F0BB">
              <w:rPr>
                <w:rFonts w:ascii="Arial Narrow" w:eastAsia="Arial Narrow" w:hAnsi="Arial Narrow" w:cs="Arial Narrow"/>
                <w:color w:val="000000" w:themeColor="text1"/>
                <w:sz w:val="20"/>
                <w:szCs w:val="20"/>
              </w:rPr>
              <w:t xml:space="preserve"> </w:t>
            </w:r>
          </w:p>
        </w:tc>
        <w:tc>
          <w:tcPr>
            <w:tcW w:w="3629" w:type="pct"/>
            <w:gridSpan w:val="8"/>
            <w:tcBorders>
              <w:top w:val="nil"/>
              <w:left w:val="single" w:sz="8" w:space="0" w:color="auto"/>
              <w:bottom w:val="single" w:sz="8" w:space="0" w:color="auto"/>
              <w:right w:val="single" w:sz="8" w:space="0" w:color="auto"/>
            </w:tcBorders>
            <w:shd w:val="clear" w:color="auto" w:fill="BFBFBF" w:themeFill="background1" w:themeFillShade="BF"/>
          </w:tcPr>
          <w:p w14:paraId="21E2386F" w14:textId="0D181774" w:rsidR="002626DA" w:rsidRDefault="002626DA" w:rsidP="00220897">
            <w:r w:rsidRPr="5821F0BB">
              <w:rPr>
                <w:rFonts w:ascii="Arial Narrow" w:eastAsia="Arial Narrow" w:hAnsi="Arial Narrow" w:cs="Arial Narrow"/>
                <w:b/>
                <w:bCs/>
                <w:color w:val="000000" w:themeColor="text1"/>
                <w:sz w:val="20"/>
                <w:szCs w:val="20"/>
              </w:rPr>
              <w:t xml:space="preserve">Initial treatment </w:t>
            </w:r>
          </w:p>
        </w:tc>
      </w:tr>
      <w:tr w:rsidR="002626DA" w14:paraId="19A4A4F3" w14:textId="77777777" w:rsidTr="0035762D">
        <w:tblPrEx>
          <w:tblCellMar>
            <w:left w:w="108" w:type="dxa"/>
            <w:right w:w="108" w:type="dxa"/>
          </w:tblCellMar>
          <w:tblLook w:val="04A0" w:firstRow="1" w:lastRow="0" w:firstColumn="1" w:lastColumn="0" w:noHBand="0" w:noVBand="1"/>
        </w:tblPrEx>
        <w:tc>
          <w:tcPr>
            <w:tcW w:w="1371" w:type="pct"/>
            <w:tcBorders>
              <w:top w:val="single" w:sz="8" w:space="0" w:color="auto"/>
              <w:left w:val="single" w:sz="8" w:space="0" w:color="auto"/>
              <w:bottom w:val="single" w:sz="8" w:space="0" w:color="auto"/>
              <w:right w:val="single" w:sz="8" w:space="0" w:color="auto"/>
            </w:tcBorders>
          </w:tcPr>
          <w:p w14:paraId="5AF106BA" w14:textId="313973A2" w:rsidR="002626DA" w:rsidRDefault="002626DA" w:rsidP="00220897">
            <w:r w:rsidRPr="5821F0BB">
              <w:rPr>
                <w:rFonts w:ascii="Arial Narrow" w:eastAsia="Arial Narrow" w:hAnsi="Arial Narrow" w:cs="Arial Narrow"/>
                <w:b/>
                <w:bCs/>
                <w:sz w:val="20"/>
                <w:szCs w:val="20"/>
              </w:rPr>
              <w:t xml:space="preserve">Clinical criteria </w:t>
            </w:r>
            <w:r w:rsidRPr="5821F0BB">
              <w:rPr>
                <w:rFonts w:ascii="Arial Narrow" w:eastAsia="Arial Narrow" w:hAnsi="Arial Narrow" w:cs="Arial Narrow"/>
                <w:sz w:val="20"/>
                <w:szCs w:val="20"/>
              </w:rPr>
              <w:t xml:space="preserve"> </w:t>
            </w:r>
          </w:p>
        </w:tc>
        <w:tc>
          <w:tcPr>
            <w:tcW w:w="3629" w:type="pct"/>
            <w:gridSpan w:val="8"/>
            <w:tcBorders>
              <w:top w:val="single" w:sz="8" w:space="0" w:color="auto"/>
              <w:left w:val="single" w:sz="8" w:space="0" w:color="auto"/>
              <w:bottom w:val="single" w:sz="8" w:space="0" w:color="auto"/>
              <w:right w:val="single" w:sz="8" w:space="0" w:color="auto"/>
            </w:tcBorders>
          </w:tcPr>
          <w:p w14:paraId="39B46F1F" w14:textId="5112A55D" w:rsidR="002626DA" w:rsidRDefault="002626DA" w:rsidP="00220897">
            <w:r w:rsidRPr="5821F0BB">
              <w:rPr>
                <w:rFonts w:ascii="Arial Narrow" w:eastAsia="Arial Narrow" w:hAnsi="Arial Narrow" w:cs="Arial Narrow"/>
                <w:sz w:val="20"/>
                <w:szCs w:val="20"/>
              </w:rPr>
              <w:t xml:space="preserve">Patient must have confirmed severe Crohn disease; AND </w:t>
            </w:r>
          </w:p>
          <w:p w14:paraId="6A10E147" w14:textId="103ACA35" w:rsidR="002626DA" w:rsidRDefault="002626DA" w:rsidP="00220897">
            <w:r w:rsidRPr="5821F0BB">
              <w:rPr>
                <w:rFonts w:ascii="Arial Narrow" w:eastAsia="Arial Narrow" w:hAnsi="Arial Narrow" w:cs="Arial Narrow"/>
                <w:sz w:val="20"/>
                <w:szCs w:val="20"/>
              </w:rPr>
              <w:t xml:space="preserve">Patient must have failed to achieve an adequate response to prior systemic therapy (corticosteroids and at least 3 months of immunosuppressive therapy); AND </w:t>
            </w:r>
          </w:p>
          <w:p w14:paraId="612E7DC9" w14:textId="00FB0C19" w:rsidR="002626DA" w:rsidRDefault="002626DA" w:rsidP="00220897">
            <w:r w:rsidRPr="5821F0BB">
              <w:rPr>
                <w:rFonts w:ascii="Arial Narrow" w:eastAsia="Arial Narrow" w:hAnsi="Arial Narrow" w:cs="Arial Narrow"/>
                <w:sz w:val="20"/>
                <w:szCs w:val="20"/>
              </w:rPr>
              <w:t xml:space="preserve">Patient must have severity of disease activity with CDAI ≥300; OR CDAI ≥220 with extensive small intestine disease; AND </w:t>
            </w:r>
          </w:p>
          <w:p w14:paraId="5D6C3720" w14:textId="769BB1B2" w:rsidR="002626DA" w:rsidRDefault="002626DA" w:rsidP="00220897">
            <w:r w:rsidRPr="5821F0BB">
              <w:rPr>
                <w:rFonts w:ascii="Arial Narrow" w:eastAsia="Arial Narrow" w:hAnsi="Arial Narrow" w:cs="Arial Narrow"/>
                <w:sz w:val="20"/>
                <w:szCs w:val="20"/>
              </w:rPr>
              <w:t xml:space="preserve">Evidence of intestinal inflammation; OR in high faecal output state; OR require surgery or total parenteral nutrition as the next therapeutic option; AND </w:t>
            </w:r>
          </w:p>
          <w:p w14:paraId="1DF6E6A2" w14:textId="539E5FB7" w:rsidR="002626DA" w:rsidRDefault="002626DA" w:rsidP="00220897">
            <w:r w:rsidRPr="5821F0BB">
              <w:rPr>
                <w:rFonts w:ascii="Arial Narrow" w:eastAsia="Arial Narrow" w:hAnsi="Arial Narrow" w:cs="Arial Narrow"/>
                <w:sz w:val="20"/>
                <w:szCs w:val="20"/>
              </w:rPr>
              <w:t xml:space="preserve">The treatment must not exceed a total of 3 doses to be administered at weeks 0, 4 and 8 under this restriction. </w:t>
            </w:r>
          </w:p>
        </w:tc>
      </w:tr>
      <w:tr w:rsidR="002626DA" w14:paraId="0C58CA19" w14:textId="77777777" w:rsidTr="0035762D">
        <w:tblPrEx>
          <w:tblCellMar>
            <w:left w:w="108" w:type="dxa"/>
            <w:right w:w="108" w:type="dxa"/>
          </w:tblCellMar>
          <w:tblLook w:val="04A0" w:firstRow="1" w:lastRow="0" w:firstColumn="1" w:lastColumn="0" w:noHBand="0" w:noVBand="1"/>
        </w:tblPrEx>
        <w:tc>
          <w:tcPr>
            <w:tcW w:w="1371" w:type="pct"/>
            <w:tcBorders>
              <w:top w:val="single" w:sz="8" w:space="0" w:color="auto"/>
              <w:left w:val="single" w:sz="8" w:space="0" w:color="auto"/>
              <w:bottom w:val="single" w:sz="8" w:space="0" w:color="auto"/>
              <w:right w:val="single" w:sz="8" w:space="0" w:color="auto"/>
            </w:tcBorders>
          </w:tcPr>
          <w:p w14:paraId="241EF5BC" w14:textId="143E2A73" w:rsidR="002626DA" w:rsidRDefault="002626DA" w:rsidP="00220897">
            <w:r w:rsidRPr="5821F0BB">
              <w:rPr>
                <w:rFonts w:ascii="Arial Narrow" w:eastAsia="Arial Narrow" w:hAnsi="Arial Narrow" w:cs="Arial Narrow"/>
                <w:b/>
                <w:bCs/>
                <w:sz w:val="20"/>
                <w:szCs w:val="20"/>
              </w:rPr>
              <w:t>Prescriber instructions</w:t>
            </w:r>
            <w:r w:rsidRPr="5821F0BB">
              <w:rPr>
                <w:rFonts w:ascii="Arial Narrow" w:eastAsia="Arial Narrow" w:hAnsi="Arial Narrow" w:cs="Arial Narrow"/>
                <w:sz w:val="20"/>
                <w:szCs w:val="20"/>
              </w:rPr>
              <w:t xml:space="preserve"> </w:t>
            </w:r>
          </w:p>
        </w:tc>
        <w:tc>
          <w:tcPr>
            <w:tcW w:w="3629" w:type="pct"/>
            <w:gridSpan w:val="8"/>
            <w:tcBorders>
              <w:top w:val="single" w:sz="8" w:space="0" w:color="auto"/>
              <w:left w:val="single" w:sz="8" w:space="0" w:color="auto"/>
              <w:bottom w:val="single" w:sz="8" w:space="0" w:color="auto"/>
              <w:right w:val="single" w:sz="8" w:space="0" w:color="auto"/>
            </w:tcBorders>
          </w:tcPr>
          <w:p w14:paraId="49190541" w14:textId="1931A481" w:rsidR="002626DA" w:rsidRDefault="002626DA" w:rsidP="00220897">
            <w:r w:rsidRPr="5821F0BB">
              <w:rPr>
                <w:rFonts w:ascii="Arial Narrow" w:eastAsia="Arial Narrow" w:hAnsi="Arial Narrow" w:cs="Arial Narrow"/>
                <w:sz w:val="20"/>
                <w:szCs w:val="20"/>
              </w:rPr>
              <w:t xml:space="preserve">A maximum quantity and number of repeats to provide for an initial 12 week course of this drug will be authorised under this item code. A further 8 week course of treatment can be accessed under the balance of supply criteria. </w:t>
            </w:r>
          </w:p>
          <w:p w14:paraId="7F83F9B6" w14:textId="548CCD0A" w:rsidR="002626DA" w:rsidRDefault="002626DA" w:rsidP="00220897">
            <w:r w:rsidRPr="5821F0BB">
              <w:rPr>
                <w:rFonts w:ascii="Arial Narrow" w:eastAsia="Arial Narrow" w:hAnsi="Arial Narrow" w:cs="Arial Narrow"/>
                <w:sz w:val="20"/>
                <w:szCs w:val="20"/>
              </w:rPr>
              <w:t xml:space="preserve">The assessment of the patient's response to this initial course of treatment, including the balance of supply, must be made following a minimum of 16 weeks of therapy so that there is adequate time for a response to be demonstrated. </w:t>
            </w:r>
          </w:p>
          <w:p w14:paraId="5DB0B61A" w14:textId="2C4442BC" w:rsidR="002626DA" w:rsidRDefault="002626DA" w:rsidP="00220897">
            <w:r w:rsidRPr="5821F0BB">
              <w:rPr>
                <w:rFonts w:ascii="Arial Narrow" w:eastAsia="Arial Narrow" w:hAnsi="Arial Narrow" w:cs="Arial Narrow"/>
                <w:sz w:val="20"/>
                <w:szCs w:val="20"/>
              </w:rPr>
              <w:t xml:space="preserve">It is recommended that an application for continuing treatment is posted to the Department of Human Services at the time of the 16 week assessment, to ensure continuity of treatment for those patients who meet the continuation criterion for PBS-subsidised treatment with this drug. </w:t>
            </w:r>
          </w:p>
        </w:tc>
      </w:tr>
    </w:tbl>
    <w:p w14:paraId="3B99CF1A" w14:textId="59A9A3CB" w:rsidR="0035762D" w:rsidRDefault="0035762D" w:rsidP="002626DA"/>
    <w:p w14:paraId="5BFD7D09" w14:textId="77777777" w:rsidR="0035762D" w:rsidRDefault="0035762D">
      <w:pPr>
        <w:jc w:val="left"/>
      </w:pPr>
      <w:r>
        <w:br w:type="page"/>
      </w:r>
    </w:p>
    <w:tbl>
      <w:tblPr>
        <w:tblW w:w="9015" w:type="dxa"/>
        <w:tblLayout w:type="fixed"/>
        <w:tblLook w:val="04A0" w:firstRow="1" w:lastRow="0" w:firstColumn="1" w:lastColumn="0" w:noHBand="0" w:noVBand="1"/>
      </w:tblPr>
      <w:tblGrid>
        <w:gridCol w:w="2475"/>
        <w:gridCol w:w="6540"/>
      </w:tblGrid>
      <w:tr w:rsidR="002626DA" w14:paraId="249C8813" w14:textId="77777777" w:rsidTr="00220897">
        <w:tc>
          <w:tcPr>
            <w:tcW w:w="2475" w:type="dxa"/>
            <w:tcBorders>
              <w:top w:val="single" w:sz="8" w:space="0" w:color="auto"/>
              <w:left w:val="single" w:sz="8" w:space="0" w:color="auto"/>
              <w:bottom w:val="single" w:sz="8" w:space="0" w:color="auto"/>
              <w:right w:val="single" w:sz="8" w:space="0" w:color="auto"/>
            </w:tcBorders>
          </w:tcPr>
          <w:p w14:paraId="7501B87A" w14:textId="4D9D918B" w:rsidR="002626DA" w:rsidRDefault="002626DA" w:rsidP="00220897">
            <w:r w:rsidRPr="5821F0BB">
              <w:rPr>
                <w:rFonts w:ascii="Arial Narrow" w:eastAsia="Arial Narrow" w:hAnsi="Arial Narrow" w:cs="Arial Narrow"/>
                <w:b/>
                <w:bCs/>
                <w:sz w:val="20"/>
                <w:szCs w:val="20"/>
              </w:rPr>
              <w:lastRenderedPageBreak/>
              <w:t>Category / Program:</w:t>
            </w:r>
            <w:r w:rsidRPr="5821F0BB">
              <w:rPr>
                <w:rFonts w:ascii="Arial Narrow" w:eastAsia="Arial Narrow" w:hAnsi="Arial Narrow" w:cs="Arial Narrow"/>
                <w:sz w:val="20"/>
                <w:szCs w:val="20"/>
              </w:rPr>
              <w:t xml:space="preserve"> </w:t>
            </w:r>
          </w:p>
        </w:tc>
        <w:tc>
          <w:tcPr>
            <w:tcW w:w="6540" w:type="dxa"/>
            <w:tcBorders>
              <w:top w:val="single" w:sz="8" w:space="0" w:color="auto"/>
              <w:left w:val="single" w:sz="8" w:space="0" w:color="auto"/>
              <w:bottom w:val="single" w:sz="8" w:space="0" w:color="auto"/>
              <w:right w:val="single" w:sz="8" w:space="0" w:color="auto"/>
            </w:tcBorders>
          </w:tcPr>
          <w:p w14:paraId="362F453D" w14:textId="38AE2C9A" w:rsidR="002626DA" w:rsidRDefault="002626DA" w:rsidP="00220897">
            <w:r w:rsidRPr="5821F0BB">
              <w:rPr>
                <w:rFonts w:ascii="Arial Narrow" w:eastAsia="Arial Narrow" w:hAnsi="Arial Narrow" w:cs="Arial Narrow"/>
                <w:sz w:val="20"/>
                <w:szCs w:val="20"/>
              </w:rPr>
              <w:t xml:space="preserve">Section 85 - General </w:t>
            </w:r>
          </w:p>
        </w:tc>
      </w:tr>
      <w:tr w:rsidR="002626DA" w14:paraId="12076D13" w14:textId="77777777" w:rsidTr="00220897">
        <w:tc>
          <w:tcPr>
            <w:tcW w:w="2475" w:type="dxa"/>
            <w:tcBorders>
              <w:top w:val="single" w:sz="8" w:space="0" w:color="auto"/>
              <w:left w:val="single" w:sz="8" w:space="0" w:color="auto"/>
              <w:bottom w:val="single" w:sz="8" w:space="0" w:color="auto"/>
              <w:right w:val="single" w:sz="8" w:space="0" w:color="auto"/>
            </w:tcBorders>
          </w:tcPr>
          <w:p w14:paraId="04F0301C" w14:textId="6A167BEE" w:rsidR="002626DA" w:rsidRDefault="002626DA" w:rsidP="00220897">
            <w:r w:rsidRPr="5821F0BB">
              <w:rPr>
                <w:rFonts w:ascii="Arial Narrow" w:eastAsia="Arial Narrow" w:hAnsi="Arial Narrow" w:cs="Arial Narrow"/>
                <w:b/>
                <w:bCs/>
                <w:sz w:val="20"/>
                <w:szCs w:val="20"/>
              </w:rPr>
              <w:t>Prescriber type:</w:t>
            </w:r>
            <w:r w:rsidRPr="5821F0BB">
              <w:rPr>
                <w:rFonts w:ascii="Arial Narrow" w:eastAsia="Arial Narrow" w:hAnsi="Arial Narrow" w:cs="Arial Narrow"/>
                <w:sz w:val="20"/>
                <w:szCs w:val="20"/>
              </w:rPr>
              <w:t xml:space="preserve"> </w:t>
            </w:r>
          </w:p>
        </w:tc>
        <w:tc>
          <w:tcPr>
            <w:tcW w:w="6540" w:type="dxa"/>
            <w:tcBorders>
              <w:top w:val="single" w:sz="8" w:space="0" w:color="auto"/>
              <w:left w:val="single" w:sz="8" w:space="0" w:color="auto"/>
              <w:bottom w:val="single" w:sz="8" w:space="0" w:color="auto"/>
              <w:right w:val="single" w:sz="8" w:space="0" w:color="auto"/>
            </w:tcBorders>
          </w:tcPr>
          <w:p w14:paraId="16D2DF7F" w14:textId="6210C79C" w:rsidR="002626DA" w:rsidRDefault="002626DA" w:rsidP="00220897">
            <w:r w:rsidRPr="5821F0BB">
              <w:rPr>
                <w:rFonts w:ascii="Arial Narrow" w:eastAsia="Arial Narrow" w:hAnsi="Arial Narrow" w:cs="Arial Narrow"/>
                <w:sz w:val="20"/>
                <w:szCs w:val="20"/>
              </w:rPr>
              <w:t xml:space="preserve">Medical Practitioners  </w:t>
            </w:r>
          </w:p>
        </w:tc>
      </w:tr>
      <w:tr w:rsidR="002626DA" w14:paraId="214B6730" w14:textId="77777777" w:rsidTr="00220897">
        <w:tc>
          <w:tcPr>
            <w:tcW w:w="2475" w:type="dxa"/>
            <w:tcBorders>
              <w:top w:val="single" w:sz="8" w:space="0" w:color="auto"/>
              <w:left w:val="single" w:sz="8" w:space="0" w:color="auto"/>
              <w:bottom w:val="single" w:sz="8" w:space="0" w:color="auto"/>
              <w:right w:val="single" w:sz="8" w:space="0" w:color="auto"/>
            </w:tcBorders>
          </w:tcPr>
          <w:p w14:paraId="1D018109" w14:textId="1C417F5F" w:rsidR="002626DA" w:rsidRDefault="002626DA" w:rsidP="00220897">
            <w:r w:rsidRPr="5821F0BB">
              <w:rPr>
                <w:rFonts w:ascii="Arial Narrow" w:eastAsia="Arial Narrow" w:hAnsi="Arial Narrow" w:cs="Arial Narrow"/>
                <w:b/>
                <w:bCs/>
                <w:sz w:val="20"/>
                <w:szCs w:val="20"/>
              </w:rPr>
              <w:t>Severity:</w:t>
            </w:r>
            <w:r w:rsidRPr="5821F0BB">
              <w:rPr>
                <w:rFonts w:ascii="Arial Narrow" w:eastAsia="Arial Narrow" w:hAnsi="Arial Narrow" w:cs="Arial Narrow"/>
                <w:sz w:val="20"/>
                <w:szCs w:val="20"/>
              </w:rPr>
              <w:t xml:space="preserve"> </w:t>
            </w:r>
          </w:p>
        </w:tc>
        <w:tc>
          <w:tcPr>
            <w:tcW w:w="6540" w:type="dxa"/>
            <w:tcBorders>
              <w:top w:val="single" w:sz="8" w:space="0" w:color="auto"/>
              <w:left w:val="single" w:sz="8" w:space="0" w:color="auto"/>
              <w:bottom w:val="single" w:sz="8" w:space="0" w:color="auto"/>
              <w:right w:val="single" w:sz="8" w:space="0" w:color="auto"/>
            </w:tcBorders>
          </w:tcPr>
          <w:p w14:paraId="61D5D6EC" w14:textId="338BB52B" w:rsidR="002626DA" w:rsidRDefault="002626DA" w:rsidP="00220897">
            <w:r w:rsidRPr="5821F0BB">
              <w:rPr>
                <w:rFonts w:ascii="Arial Narrow" w:eastAsia="Arial Narrow" w:hAnsi="Arial Narrow" w:cs="Arial Narrow"/>
                <w:sz w:val="20"/>
                <w:szCs w:val="20"/>
              </w:rPr>
              <w:t xml:space="preserve">Severe </w:t>
            </w:r>
          </w:p>
        </w:tc>
      </w:tr>
      <w:tr w:rsidR="002626DA" w14:paraId="7CD2DA9F" w14:textId="77777777" w:rsidTr="00220897">
        <w:tc>
          <w:tcPr>
            <w:tcW w:w="2475" w:type="dxa"/>
            <w:tcBorders>
              <w:top w:val="single" w:sz="8" w:space="0" w:color="auto"/>
              <w:left w:val="single" w:sz="8" w:space="0" w:color="auto"/>
              <w:bottom w:val="single" w:sz="8" w:space="0" w:color="auto"/>
              <w:right w:val="single" w:sz="8" w:space="0" w:color="auto"/>
            </w:tcBorders>
          </w:tcPr>
          <w:p w14:paraId="0A8B9876" w14:textId="026F2591" w:rsidR="002626DA" w:rsidRDefault="002626DA" w:rsidP="00220897">
            <w:r w:rsidRPr="5821F0BB">
              <w:rPr>
                <w:rFonts w:ascii="Arial Narrow" w:eastAsia="Arial Narrow" w:hAnsi="Arial Narrow" w:cs="Arial Narrow"/>
                <w:b/>
                <w:bCs/>
                <w:sz w:val="20"/>
                <w:szCs w:val="20"/>
              </w:rPr>
              <w:t>Condition:</w:t>
            </w:r>
            <w:r w:rsidRPr="5821F0BB">
              <w:rPr>
                <w:rFonts w:ascii="Arial Narrow" w:eastAsia="Arial Narrow" w:hAnsi="Arial Narrow" w:cs="Arial Narrow"/>
                <w:sz w:val="20"/>
                <w:szCs w:val="20"/>
              </w:rPr>
              <w:t xml:space="preserve"> </w:t>
            </w:r>
          </w:p>
        </w:tc>
        <w:tc>
          <w:tcPr>
            <w:tcW w:w="6540" w:type="dxa"/>
            <w:tcBorders>
              <w:top w:val="single" w:sz="8" w:space="0" w:color="auto"/>
              <w:left w:val="single" w:sz="8" w:space="0" w:color="auto"/>
              <w:bottom w:val="single" w:sz="8" w:space="0" w:color="auto"/>
              <w:right w:val="single" w:sz="8" w:space="0" w:color="auto"/>
            </w:tcBorders>
          </w:tcPr>
          <w:p w14:paraId="6C0BD310" w14:textId="35772982" w:rsidR="002626DA" w:rsidRDefault="002626DA" w:rsidP="00220897">
            <w:r w:rsidRPr="5821F0BB">
              <w:rPr>
                <w:rFonts w:ascii="Arial Narrow" w:eastAsia="Arial Narrow" w:hAnsi="Arial Narrow" w:cs="Arial Narrow"/>
                <w:sz w:val="20"/>
                <w:szCs w:val="20"/>
              </w:rPr>
              <w:t xml:space="preserve">Crohn disease </w:t>
            </w:r>
          </w:p>
        </w:tc>
      </w:tr>
      <w:tr w:rsidR="002626DA" w14:paraId="1CABA083" w14:textId="77777777" w:rsidTr="00220897">
        <w:tc>
          <w:tcPr>
            <w:tcW w:w="2475" w:type="dxa"/>
            <w:tcBorders>
              <w:top w:val="single" w:sz="8" w:space="0" w:color="auto"/>
              <w:left w:val="single" w:sz="8" w:space="0" w:color="auto"/>
              <w:bottom w:val="single" w:sz="8" w:space="0" w:color="auto"/>
              <w:right w:val="single" w:sz="8" w:space="0" w:color="auto"/>
            </w:tcBorders>
          </w:tcPr>
          <w:p w14:paraId="659D7B91" w14:textId="117BE797" w:rsidR="002626DA" w:rsidRDefault="002626DA" w:rsidP="00220897">
            <w:r w:rsidRPr="5821F0BB">
              <w:rPr>
                <w:rFonts w:ascii="Arial Narrow" w:eastAsia="Arial Narrow" w:hAnsi="Arial Narrow" w:cs="Arial Narrow"/>
                <w:b/>
                <w:bCs/>
                <w:sz w:val="20"/>
                <w:szCs w:val="20"/>
              </w:rPr>
              <w:t>PBS Indication:</w:t>
            </w:r>
            <w:r w:rsidRPr="5821F0BB">
              <w:rPr>
                <w:rFonts w:ascii="Arial Narrow" w:eastAsia="Arial Narrow" w:hAnsi="Arial Narrow" w:cs="Arial Narrow"/>
                <w:sz w:val="20"/>
                <w:szCs w:val="20"/>
              </w:rPr>
              <w:t xml:space="preserve"> </w:t>
            </w:r>
          </w:p>
        </w:tc>
        <w:tc>
          <w:tcPr>
            <w:tcW w:w="6540" w:type="dxa"/>
            <w:tcBorders>
              <w:top w:val="single" w:sz="8" w:space="0" w:color="auto"/>
              <w:left w:val="single" w:sz="8" w:space="0" w:color="auto"/>
              <w:bottom w:val="single" w:sz="8" w:space="0" w:color="auto"/>
              <w:right w:val="single" w:sz="8" w:space="0" w:color="auto"/>
            </w:tcBorders>
          </w:tcPr>
          <w:p w14:paraId="08EC02AC" w14:textId="40A9A87E" w:rsidR="002626DA" w:rsidRDefault="002626DA" w:rsidP="00220897">
            <w:r w:rsidRPr="5821F0BB">
              <w:rPr>
                <w:rFonts w:ascii="Arial Narrow" w:eastAsia="Arial Narrow" w:hAnsi="Arial Narrow" w:cs="Arial Narrow"/>
                <w:sz w:val="20"/>
                <w:szCs w:val="20"/>
              </w:rPr>
              <w:t xml:space="preserve">Severe Crohn disease </w:t>
            </w:r>
          </w:p>
        </w:tc>
      </w:tr>
      <w:tr w:rsidR="002626DA" w14:paraId="570A2D6F" w14:textId="77777777" w:rsidTr="00220897">
        <w:tc>
          <w:tcPr>
            <w:tcW w:w="2475" w:type="dxa"/>
            <w:tcBorders>
              <w:top w:val="single" w:sz="8" w:space="0" w:color="auto"/>
              <w:left w:val="single" w:sz="8" w:space="0" w:color="auto"/>
              <w:bottom w:val="single" w:sz="8" w:space="0" w:color="auto"/>
              <w:right w:val="single" w:sz="8" w:space="0" w:color="auto"/>
            </w:tcBorders>
          </w:tcPr>
          <w:p w14:paraId="70D86BC0" w14:textId="3D2BAA40" w:rsidR="002626DA" w:rsidRDefault="002626DA" w:rsidP="00220897">
            <w:r w:rsidRPr="5821F0BB">
              <w:rPr>
                <w:rFonts w:ascii="Arial Narrow" w:eastAsia="Arial Narrow" w:hAnsi="Arial Narrow" w:cs="Arial Narrow"/>
                <w:b/>
                <w:bCs/>
                <w:sz w:val="20"/>
                <w:szCs w:val="20"/>
              </w:rPr>
              <w:t>Treatment criteria:</w:t>
            </w:r>
            <w:r w:rsidRPr="5821F0BB">
              <w:rPr>
                <w:rFonts w:ascii="Arial Narrow" w:eastAsia="Arial Narrow" w:hAnsi="Arial Narrow" w:cs="Arial Narrow"/>
                <w:sz w:val="20"/>
                <w:szCs w:val="20"/>
              </w:rPr>
              <w:t xml:space="preserve"> </w:t>
            </w:r>
          </w:p>
        </w:tc>
        <w:tc>
          <w:tcPr>
            <w:tcW w:w="6540" w:type="dxa"/>
            <w:tcBorders>
              <w:top w:val="single" w:sz="8" w:space="0" w:color="auto"/>
              <w:left w:val="single" w:sz="8" w:space="0" w:color="auto"/>
              <w:bottom w:val="single" w:sz="8" w:space="0" w:color="auto"/>
              <w:right w:val="single" w:sz="8" w:space="0" w:color="auto"/>
            </w:tcBorders>
          </w:tcPr>
          <w:p w14:paraId="1008AB96" w14:textId="750496B1" w:rsidR="002626DA" w:rsidRDefault="002626DA" w:rsidP="00220897">
            <w:r w:rsidRPr="5821F0BB">
              <w:rPr>
                <w:rFonts w:ascii="Arial Narrow" w:eastAsia="Arial Narrow" w:hAnsi="Arial Narrow" w:cs="Arial Narrow"/>
                <w:sz w:val="20"/>
                <w:szCs w:val="20"/>
              </w:rPr>
              <w:t xml:space="preserve">Must be treated by a gastroenterologist or consultant physician [specialising in gastroenterology] </w:t>
            </w:r>
          </w:p>
        </w:tc>
      </w:tr>
      <w:tr w:rsidR="002626DA" w14:paraId="6F999348" w14:textId="77777777" w:rsidTr="00220897">
        <w:tc>
          <w:tcPr>
            <w:tcW w:w="2475" w:type="dxa"/>
            <w:tcBorders>
              <w:top w:val="single" w:sz="8" w:space="0" w:color="auto"/>
              <w:left w:val="single" w:sz="8" w:space="0" w:color="auto"/>
              <w:bottom w:val="single" w:sz="8" w:space="0" w:color="auto"/>
              <w:right w:val="single" w:sz="8" w:space="0" w:color="auto"/>
            </w:tcBorders>
          </w:tcPr>
          <w:p w14:paraId="69896E35" w14:textId="296AD3AA" w:rsidR="002626DA" w:rsidRDefault="002626DA" w:rsidP="00220897">
            <w:r w:rsidRPr="5821F0BB">
              <w:rPr>
                <w:rFonts w:ascii="Arial Narrow" w:eastAsia="Arial Narrow" w:hAnsi="Arial Narrow" w:cs="Arial Narrow"/>
                <w:b/>
                <w:bCs/>
                <w:sz w:val="20"/>
                <w:szCs w:val="20"/>
              </w:rPr>
              <w:t>Population criteria:</w:t>
            </w:r>
            <w:r w:rsidRPr="5821F0BB">
              <w:rPr>
                <w:rFonts w:ascii="Arial Narrow" w:eastAsia="Arial Narrow" w:hAnsi="Arial Narrow" w:cs="Arial Narrow"/>
                <w:sz w:val="20"/>
                <w:szCs w:val="20"/>
              </w:rPr>
              <w:t xml:space="preserve"> </w:t>
            </w:r>
          </w:p>
        </w:tc>
        <w:tc>
          <w:tcPr>
            <w:tcW w:w="6540" w:type="dxa"/>
            <w:tcBorders>
              <w:top w:val="single" w:sz="8" w:space="0" w:color="auto"/>
              <w:left w:val="single" w:sz="8" w:space="0" w:color="auto"/>
              <w:bottom w:val="single" w:sz="8" w:space="0" w:color="auto"/>
              <w:right w:val="single" w:sz="8" w:space="0" w:color="auto"/>
            </w:tcBorders>
          </w:tcPr>
          <w:p w14:paraId="2179D6B9" w14:textId="4D45B5E0" w:rsidR="002626DA" w:rsidRDefault="002626DA" w:rsidP="00220897">
            <w:r w:rsidRPr="5821F0BB">
              <w:rPr>
                <w:rFonts w:ascii="Arial Narrow" w:eastAsia="Arial Narrow" w:hAnsi="Arial Narrow" w:cs="Arial Narrow"/>
                <w:sz w:val="20"/>
                <w:szCs w:val="20"/>
              </w:rPr>
              <w:t xml:space="preserve">Patient must be aged 18 years or older.  </w:t>
            </w:r>
          </w:p>
        </w:tc>
      </w:tr>
      <w:tr w:rsidR="002626DA" w14:paraId="3692D11C" w14:textId="77777777" w:rsidTr="00220897">
        <w:tc>
          <w:tcPr>
            <w:tcW w:w="9015" w:type="dxa"/>
            <w:gridSpan w:val="2"/>
            <w:tcBorders>
              <w:top w:val="single" w:sz="8" w:space="0" w:color="auto"/>
              <w:left w:val="single" w:sz="8" w:space="0" w:color="auto"/>
              <w:bottom w:val="single" w:sz="8" w:space="0" w:color="auto"/>
              <w:right w:val="single" w:sz="8" w:space="0" w:color="auto"/>
            </w:tcBorders>
          </w:tcPr>
          <w:p w14:paraId="442E2686" w14:textId="5DD3BFBE" w:rsidR="002626DA" w:rsidRPr="00AF2677" w:rsidRDefault="002626DA" w:rsidP="00220897">
            <w:r w:rsidRPr="00AF2677">
              <w:rPr>
                <w:rFonts w:ascii="Arial Narrow" w:eastAsia="Arial Narrow" w:hAnsi="Arial Narrow" w:cs="Arial Narrow"/>
                <w:sz w:val="20"/>
                <w:szCs w:val="20"/>
              </w:rPr>
              <w:t xml:space="preserve">The above criteria apply to all treatment phases outlined below: </w:t>
            </w:r>
          </w:p>
        </w:tc>
      </w:tr>
      <w:tr w:rsidR="002626DA" w14:paraId="2E710BEF" w14:textId="77777777" w:rsidTr="00220897">
        <w:tc>
          <w:tcPr>
            <w:tcW w:w="247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08911EDA" w14:textId="1D3EE70D" w:rsidR="002626DA" w:rsidRDefault="002626DA" w:rsidP="00220897">
            <w:r w:rsidRPr="5821F0BB">
              <w:rPr>
                <w:rFonts w:ascii="Arial Narrow" w:eastAsia="Arial Narrow" w:hAnsi="Arial Narrow" w:cs="Arial Narrow"/>
                <w:b/>
                <w:bCs/>
                <w:color w:val="000000" w:themeColor="text1"/>
                <w:sz w:val="20"/>
                <w:szCs w:val="20"/>
              </w:rPr>
              <w:t>Treatment phase</w:t>
            </w:r>
            <w:r w:rsidRPr="5821F0BB">
              <w:rPr>
                <w:rFonts w:ascii="Arial Narrow" w:eastAsia="Arial Narrow" w:hAnsi="Arial Narrow" w:cs="Arial Narrow"/>
                <w:color w:val="000000" w:themeColor="text1"/>
                <w:sz w:val="20"/>
                <w:szCs w:val="20"/>
              </w:rPr>
              <w:t xml:space="preserve"> </w:t>
            </w:r>
          </w:p>
        </w:tc>
        <w:tc>
          <w:tcPr>
            <w:tcW w:w="6540" w:type="dxa"/>
            <w:tcBorders>
              <w:top w:val="nil"/>
              <w:left w:val="single" w:sz="8" w:space="0" w:color="auto"/>
              <w:bottom w:val="single" w:sz="8" w:space="0" w:color="auto"/>
              <w:right w:val="single" w:sz="8" w:space="0" w:color="auto"/>
            </w:tcBorders>
            <w:shd w:val="clear" w:color="auto" w:fill="BFBFBF" w:themeFill="background1" w:themeFillShade="BF"/>
          </w:tcPr>
          <w:p w14:paraId="5649BA57" w14:textId="193A42C8" w:rsidR="002626DA" w:rsidRDefault="002626DA" w:rsidP="00220897">
            <w:r w:rsidRPr="5821F0BB">
              <w:rPr>
                <w:rFonts w:ascii="Arial Narrow" w:eastAsia="Arial Narrow" w:hAnsi="Arial Narrow" w:cs="Arial Narrow"/>
                <w:b/>
                <w:bCs/>
                <w:color w:val="000000" w:themeColor="text1"/>
                <w:sz w:val="20"/>
                <w:szCs w:val="20"/>
              </w:rPr>
              <w:t>Continuing treatment</w:t>
            </w:r>
            <w:r w:rsidRPr="5821F0BB">
              <w:rPr>
                <w:rFonts w:ascii="Arial Narrow" w:eastAsia="Arial Narrow" w:hAnsi="Arial Narrow" w:cs="Arial Narrow"/>
                <w:color w:val="000000" w:themeColor="text1"/>
                <w:sz w:val="20"/>
                <w:szCs w:val="20"/>
              </w:rPr>
              <w:t xml:space="preserve"> </w:t>
            </w:r>
          </w:p>
        </w:tc>
      </w:tr>
      <w:tr w:rsidR="002626DA" w14:paraId="5F72038F" w14:textId="77777777" w:rsidTr="00220897">
        <w:tc>
          <w:tcPr>
            <w:tcW w:w="2475" w:type="dxa"/>
            <w:tcBorders>
              <w:top w:val="single" w:sz="8" w:space="0" w:color="auto"/>
              <w:left w:val="single" w:sz="8" w:space="0" w:color="auto"/>
              <w:bottom w:val="single" w:sz="8" w:space="0" w:color="auto"/>
              <w:right w:val="single" w:sz="8" w:space="0" w:color="auto"/>
            </w:tcBorders>
          </w:tcPr>
          <w:p w14:paraId="68CCDECD" w14:textId="6DCA077C" w:rsidR="002626DA" w:rsidRDefault="002626DA" w:rsidP="00220897">
            <w:r w:rsidRPr="5821F0BB">
              <w:rPr>
                <w:rFonts w:ascii="Arial Narrow" w:eastAsia="Arial Narrow" w:hAnsi="Arial Narrow" w:cs="Arial Narrow"/>
                <w:b/>
                <w:bCs/>
                <w:sz w:val="20"/>
                <w:szCs w:val="20"/>
              </w:rPr>
              <w:t xml:space="preserve">Clinical criteria </w:t>
            </w:r>
            <w:r w:rsidRPr="5821F0BB">
              <w:rPr>
                <w:rFonts w:ascii="Arial Narrow" w:eastAsia="Arial Narrow" w:hAnsi="Arial Narrow" w:cs="Arial Narrow"/>
                <w:sz w:val="20"/>
                <w:szCs w:val="20"/>
              </w:rPr>
              <w:t xml:space="preserve"> </w:t>
            </w:r>
          </w:p>
        </w:tc>
        <w:tc>
          <w:tcPr>
            <w:tcW w:w="6540" w:type="dxa"/>
            <w:tcBorders>
              <w:top w:val="single" w:sz="8" w:space="0" w:color="auto"/>
              <w:left w:val="single" w:sz="8" w:space="0" w:color="auto"/>
              <w:bottom w:val="single" w:sz="8" w:space="0" w:color="auto"/>
              <w:right w:val="single" w:sz="8" w:space="0" w:color="auto"/>
            </w:tcBorders>
          </w:tcPr>
          <w:p w14:paraId="68185C6C" w14:textId="56C7A35D" w:rsidR="002626DA" w:rsidRDefault="002626DA" w:rsidP="00220897">
            <w:r w:rsidRPr="5821F0BB">
              <w:rPr>
                <w:rFonts w:ascii="Arial Narrow" w:eastAsia="Arial Narrow" w:hAnsi="Arial Narrow" w:cs="Arial Narrow"/>
                <w:sz w:val="20"/>
                <w:szCs w:val="20"/>
              </w:rPr>
              <w:t xml:space="preserve">Patient must have previously received PBS-subsidised treatment with this drug for this condition; AND  </w:t>
            </w:r>
          </w:p>
          <w:p w14:paraId="6AD87FD4" w14:textId="72A4EA25" w:rsidR="002626DA" w:rsidRDefault="002626DA" w:rsidP="00220897">
            <w:r w:rsidRPr="5821F0BB">
              <w:rPr>
                <w:rFonts w:ascii="Arial Narrow" w:eastAsia="Arial Narrow" w:hAnsi="Arial Narrow" w:cs="Arial Narrow"/>
                <w:sz w:val="20"/>
                <w:szCs w:val="20"/>
              </w:rPr>
              <w:t xml:space="preserve">Patient must have shown adequate response as CDAI &lt;150; OR show an improvement of intestinal inflammation/reversal of high faecal output state/avoidance of TPN; AND </w:t>
            </w:r>
          </w:p>
          <w:p w14:paraId="5F86C35D" w14:textId="13192D26" w:rsidR="002626DA" w:rsidRDefault="002626DA" w:rsidP="00220897">
            <w:r w:rsidRPr="5821F0BB">
              <w:rPr>
                <w:rFonts w:ascii="Arial Narrow" w:eastAsia="Arial Narrow" w:hAnsi="Arial Narrow" w:cs="Arial Narrow"/>
                <w:sz w:val="20"/>
                <w:szCs w:val="20"/>
              </w:rPr>
              <w:t xml:space="preserve">Patient must not receive &gt;24 weeks of treatment </w:t>
            </w:r>
          </w:p>
        </w:tc>
      </w:tr>
      <w:tr w:rsidR="002626DA" w14:paraId="5AD03D57" w14:textId="77777777" w:rsidTr="00220897">
        <w:tc>
          <w:tcPr>
            <w:tcW w:w="2475" w:type="dxa"/>
            <w:tcBorders>
              <w:top w:val="single" w:sz="8" w:space="0" w:color="auto"/>
              <w:left w:val="single" w:sz="8" w:space="0" w:color="auto"/>
              <w:bottom w:val="single" w:sz="8" w:space="0" w:color="auto"/>
              <w:right w:val="single" w:sz="8" w:space="0" w:color="auto"/>
            </w:tcBorders>
          </w:tcPr>
          <w:p w14:paraId="65CB9F89" w14:textId="4092E7FF" w:rsidR="002626DA" w:rsidRDefault="002626DA" w:rsidP="00220897">
            <w:r w:rsidRPr="5821F0BB">
              <w:rPr>
                <w:rFonts w:ascii="Arial Narrow" w:eastAsia="Arial Narrow" w:hAnsi="Arial Narrow" w:cs="Arial Narrow"/>
                <w:b/>
                <w:bCs/>
                <w:sz w:val="20"/>
                <w:szCs w:val="20"/>
              </w:rPr>
              <w:t>Restriction level</w:t>
            </w:r>
            <w:r w:rsidRPr="5821F0BB">
              <w:rPr>
                <w:rFonts w:ascii="Arial Narrow" w:eastAsia="Arial Narrow" w:hAnsi="Arial Narrow" w:cs="Arial Narrow"/>
                <w:sz w:val="20"/>
                <w:szCs w:val="20"/>
              </w:rPr>
              <w:t xml:space="preserve"> </w:t>
            </w:r>
          </w:p>
        </w:tc>
        <w:tc>
          <w:tcPr>
            <w:tcW w:w="6540" w:type="dxa"/>
            <w:tcBorders>
              <w:top w:val="single" w:sz="8" w:space="0" w:color="auto"/>
              <w:left w:val="single" w:sz="8" w:space="0" w:color="auto"/>
              <w:bottom w:val="single" w:sz="8" w:space="0" w:color="auto"/>
              <w:right w:val="single" w:sz="8" w:space="0" w:color="auto"/>
            </w:tcBorders>
          </w:tcPr>
          <w:p w14:paraId="64C8A0CE" w14:textId="47F4EB84" w:rsidR="002626DA" w:rsidRDefault="002626DA" w:rsidP="00220897">
            <w:r w:rsidRPr="5821F0BB">
              <w:rPr>
                <w:rFonts w:ascii="Arial Narrow" w:eastAsia="Arial Narrow" w:hAnsi="Arial Narrow" w:cs="Arial Narrow"/>
                <w:sz w:val="20"/>
                <w:szCs w:val="20"/>
              </w:rPr>
              <w:t xml:space="preserve">Authority Required – Telephone </w:t>
            </w:r>
          </w:p>
        </w:tc>
      </w:tr>
      <w:tr w:rsidR="002626DA" w14:paraId="697224D9" w14:textId="77777777" w:rsidTr="00220897">
        <w:tc>
          <w:tcPr>
            <w:tcW w:w="2475" w:type="dxa"/>
            <w:tcBorders>
              <w:top w:val="single" w:sz="8" w:space="0" w:color="auto"/>
              <w:left w:val="single" w:sz="8" w:space="0" w:color="auto"/>
              <w:bottom w:val="single" w:sz="8" w:space="0" w:color="auto"/>
              <w:right w:val="single" w:sz="8" w:space="0" w:color="auto"/>
            </w:tcBorders>
          </w:tcPr>
          <w:p w14:paraId="65207921" w14:textId="2C7A4776" w:rsidR="002626DA" w:rsidRDefault="002626DA" w:rsidP="00220897">
            <w:r w:rsidRPr="5821F0BB">
              <w:rPr>
                <w:rFonts w:ascii="Arial Narrow" w:eastAsia="Arial Narrow" w:hAnsi="Arial Narrow" w:cs="Arial Narrow"/>
                <w:b/>
                <w:bCs/>
                <w:sz w:val="20"/>
                <w:szCs w:val="20"/>
              </w:rPr>
              <w:t>Prescriber instructions</w:t>
            </w:r>
            <w:r w:rsidRPr="5821F0BB">
              <w:rPr>
                <w:rFonts w:ascii="Arial Narrow" w:eastAsia="Arial Narrow" w:hAnsi="Arial Narrow" w:cs="Arial Narrow"/>
                <w:sz w:val="20"/>
                <w:szCs w:val="20"/>
              </w:rPr>
              <w:t xml:space="preserve"> </w:t>
            </w:r>
          </w:p>
        </w:tc>
        <w:tc>
          <w:tcPr>
            <w:tcW w:w="6540" w:type="dxa"/>
            <w:tcBorders>
              <w:top w:val="single" w:sz="8" w:space="0" w:color="auto"/>
              <w:left w:val="single" w:sz="8" w:space="0" w:color="auto"/>
              <w:bottom w:val="single" w:sz="8" w:space="0" w:color="auto"/>
              <w:right w:val="single" w:sz="8" w:space="0" w:color="auto"/>
            </w:tcBorders>
          </w:tcPr>
          <w:p w14:paraId="6013510C" w14:textId="31303A99" w:rsidR="002626DA" w:rsidRDefault="002626DA" w:rsidP="00220897">
            <w:r w:rsidRPr="5821F0BB">
              <w:rPr>
                <w:rFonts w:ascii="Arial Narrow" w:eastAsia="Arial Narrow" w:hAnsi="Arial Narrow" w:cs="Arial Narrow"/>
                <w:sz w:val="20"/>
                <w:szCs w:val="20"/>
              </w:rPr>
              <w:t xml:space="preserve">Each application for subsequent continuing treatment with this drug must include an assessment of the patient's response to the prior course of therapy.  </w:t>
            </w:r>
          </w:p>
          <w:p w14:paraId="245A2D4C" w14:textId="56746934" w:rsidR="002626DA" w:rsidRDefault="002626DA" w:rsidP="00220897">
            <w:r w:rsidRPr="5821F0BB">
              <w:rPr>
                <w:rFonts w:ascii="Arial Narrow" w:eastAsia="Arial Narrow" w:hAnsi="Arial Narrow" w:cs="Arial Narrow"/>
                <w:sz w:val="20"/>
                <w:szCs w:val="20"/>
              </w:rPr>
              <w:t xml:space="preserve">If a patient fails to demonstrate a response to treatment with this drug they will not be eligible to receive further PBS-subsidised treatment with this drug for this condition within this treatment cycle. </w:t>
            </w:r>
          </w:p>
        </w:tc>
      </w:tr>
    </w:tbl>
    <w:p w14:paraId="2700C36D" w14:textId="50312D96" w:rsidR="002626DA" w:rsidRDefault="002626DA" w:rsidP="002626DA"/>
    <w:tbl>
      <w:tblPr>
        <w:tblW w:w="9015" w:type="dxa"/>
        <w:tblLayout w:type="fixed"/>
        <w:tblLook w:val="04A0" w:firstRow="1" w:lastRow="0" w:firstColumn="1" w:lastColumn="0" w:noHBand="0" w:noVBand="1"/>
      </w:tblPr>
      <w:tblGrid>
        <w:gridCol w:w="2475"/>
        <w:gridCol w:w="6540"/>
      </w:tblGrid>
      <w:tr w:rsidR="002626DA" w14:paraId="775791B5" w14:textId="77777777" w:rsidTr="00220897">
        <w:tc>
          <w:tcPr>
            <w:tcW w:w="2475" w:type="dxa"/>
            <w:tcBorders>
              <w:top w:val="single" w:sz="8" w:space="0" w:color="auto"/>
              <w:left w:val="single" w:sz="8" w:space="0" w:color="auto"/>
              <w:bottom w:val="single" w:sz="8" w:space="0" w:color="auto"/>
              <w:right w:val="single" w:sz="8" w:space="0" w:color="auto"/>
            </w:tcBorders>
          </w:tcPr>
          <w:p w14:paraId="0F7EBDFA" w14:textId="56FF7615" w:rsidR="002626DA" w:rsidRDefault="002626DA" w:rsidP="00220897">
            <w:r w:rsidRPr="5821F0BB">
              <w:rPr>
                <w:rFonts w:ascii="Arial Narrow" w:eastAsia="Arial Narrow" w:hAnsi="Arial Narrow" w:cs="Arial Narrow"/>
                <w:b/>
                <w:bCs/>
                <w:sz w:val="20"/>
                <w:szCs w:val="20"/>
              </w:rPr>
              <w:t>Category / Program:</w:t>
            </w:r>
            <w:r w:rsidRPr="5821F0BB">
              <w:rPr>
                <w:rFonts w:ascii="Arial Narrow" w:eastAsia="Arial Narrow" w:hAnsi="Arial Narrow" w:cs="Arial Narrow"/>
                <w:sz w:val="20"/>
                <w:szCs w:val="20"/>
              </w:rPr>
              <w:t xml:space="preserve"> </w:t>
            </w:r>
          </w:p>
        </w:tc>
        <w:tc>
          <w:tcPr>
            <w:tcW w:w="6540" w:type="dxa"/>
            <w:tcBorders>
              <w:top w:val="single" w:sz="8" w:space="0" w:color="auto"/>
              <w:left w:val="single" w:sz="8" w:space="0" w:color="auto"/>
              <w:bottom w:val="single" w:sz="8" w:space="0" w:color="auto"/>
              <w:right w:val="single" w:sz="8" w:space="0" w:color="auto"/>
            </w:tcBorders>
          </w:tcPr>
          <w:p w14:paraId="1BF24D07" w14:textId="785A53E1" w:rsidR="002626DA" w:rsidRDefault="002626DA" w:rsidP="00220897">
            <w:r w:rsidRPr="5821F0BB">
              <w:rPr>
                <w:rFonts w:ascii="Arial Narrow" w:eastAsia="Arial Narrow" w:hAnsi="Arial Narrow" w:cs="Arial Narrow"/>
                <w:sz w:val="20"/>
                <w:szCs w:val="20"/>
              </w:rPr>
              <w:t xml:space="preserve">Section 100 – Highly Specialised Drugs Program </w:t>
            </w:r>
          </w:p>
        </w:tc>
      </w:tr>
      <w:tr w:rsidR="002626DA" w14:paraId="60EFBC05" w14:textId="77777777" w:rsidTr="00220897">
        <w:tc>
          <w:tcPr>
            <w:tcW w:w="2475" w:type="dxa"/>
            <w:tcBorders>
              <w:top w:val="single" w:sz="8" w:space="0" w:color="auto"/>
              <w:left w:val="single" w:sz="8" w:space="0" w:color="auto"/>
              <w:bottom w:val="single" w:sz="8" w:space="0" w:color="auto"/>
              <w:right w:val="single" w:sz="8" w:space="0" w:color="auto"/>
            </w:tcBorders>
          </w:tcPr>
          <w:p w14:paraId="5F458515" w14:textId="4CEA1E01" w:rsidR="002626DA" w:rsidRDefault="002626DA" w:rsidP="00220897">
            <w:r w:rsidRPr="5821F0BB">
              <w:rPr>
                <w:rFonts w:ascii="Arial Narrow" w:eastAsia="Arial Narrow" w:hAnsi="Arial Narrow" w:cs="Arial Narrow"/>
                <w:b/>
                <w:bCs/>
                <w:sz w:val="20"/>
                <w:szCs w:val="20"/>
              </w:rPr>
              <w:t>Prescriber type:</w:t>
            </w:r>
            <w:r w:rsidRPr="5821F0BB">
              <w:rPr>
                <w:rFonts w:ascii="Arial Narrow" w:eastAsia="Arial Narrow" w:hAnsi="Arial Narrow" w:cs="Arial Narrow"/>
                <w:sz w:val="20"/>
                <w:szCs w:val="20"/>
              </w:rPr>
              <w:t xml:space="preserve"> </w:t>
            </w:r>
          </w:p>
        </w:tc>
        <w:tc>
          <w:tcPr>
            <w:tcW w:w="6540" w:type="dxa"/>
            <w:tcBorders>
              <w:top w:val="single" w:sz="8" w:space="0" w:color="auto"/>
              <w:left w:val="single" w:sz="8" w:space="0" w:color="auto"/>
              <w:bottom w:val="single" w:sz="8" w:space="0" w:color="auto"/>
              <w:right w:val="single" w:sz="8" w:space="0" w:color="auto"/>
            </w:tcBorders>
          </w:tcPr>
          <w:p w14:paraId="6E4E0EE5" w14:textId="170906CC" w:rsidR="002626DA" w:rsidRDefault="002626DA" w:rsidP="00220897">
            <w:r w:rsidRPr="5821F0BB">
              <w:rPr>
                <w:rFonts w:ascii="Arial Narrow" w:eastAsia="Arial Narrow" w:hAnsi="Arial Narrow" w:cs="Arial Narrow"/>
                <w:sz w:val="20"/>
                <w:szCs w:val="20"/>
              </w:rPr>
              <w:t xml:space="preserve">Medical Practitioners  </w:t>
            </w:r>
          </w:p>
        </w:tc>
      </w:tr>
      <w:tr w:rsidR="002626DA" w14:paraId="05853F25" w14:textId="77777777" w:rsidTr="00220897">
        <w:tc>
          <w:tcPr>
            <w:tcW w:w="2475" w:type="dxa"/>
            <w:tcBorders>
              <w:top w:val="single" w:sz="8" w:space="0" w:color="auto"/>
              <w:left w:val="single" w:sz="8" w:space="0" w:color="auto"/>
              <w:bottom w:val="single" w:sz="8" w:space="0" w:color="auto"/>
              <w:right w:val="single" w:sz="8" w:space="0" w:color="auto"/>
            </w:tcBorders>
          </w:tcPr>
          <w:p w14:paraId="2B7DD029" w14:textId="7245EA1B" w:rsidR="002626DA" w:rsidRDefault="002626DA" w:rsidP="00220897">
            <w:r w:rsidRPr="5821F0BB">
              <w:rPr>
                <w:rFonts w:ascii="Arial Narrow" w:eastAsia="Arial Narrow" w:hAnsi="Arial Narrow" w:cs="Arial Narrow"/>
                <w:b/>
                <w:bCs/>
                <w:sz w:val="20"/>
                <w:szCs w:val="20"/>
              </w:rPr>
              <w:t>Severity:</w:t>
            </w:r>
            <w:r w:rsidRPr="5821F0BB">
              <w:rPr>
                <w:rFonts w:ascii="Arial Narrow" w:eastAsia="Arial Narrow" w:hAnsi="Arial Narrow" w:cs="Arial Narrow"/>
                <w:sz w:val="20"/>
                <w:szCs w:val="20"/>
              </w:rPr>
              <w:t xml:space="preserve"> </w:t>
            </w:r>
          </w:p>
        </w:tc>
        <w:tc>
          <w:tcPr>
            <w:tcW w:w="6540" w:type="dxa"/>
            <w:tcBorders>
              <w:top w:val="single" w:sz="8" w:space="0" w:color="auto"/>
              <w:left w:val="single" w:sz="8" w:space="0" w:color="auto"/>
              <w:bottom w:val="single" w:sz="8" w:space="0" w:color="auto"/>
              <w:right w:val="single" w:sz="8" w:space="0" w:color="auto"/>
            </w:tcBorders>
          </w:tcPr>
          <w:p w14:paraId="011D4438" w14:textId="67AC9A27" w:rsidR="002626DA" w:rsidRDefault="002626DA" w:rsidP="00220897">
            <w:r w:rsidRPr="5821F0BB">
              <w:rPr>
                <w:rFonts w:ascii="Arial Narrow" w:eastAsia="Arial Narrow" w:hAnsi="Arial Narrow" w:cs="Arial Narrow"/>
                <w:sz w:val="20"/>
                <w:szCs w:val="20"/>
              </w:rPr>
              <w:t xml:space="preserve">Complex refractory  </w:t>
            </w:r>
          </w:p>
        </w:tc>
      </w:tr>
      <w:tr w:rsidR="002626DA" w14:paraId="233E828D" w14:textId="77777777" w:rsidTr="00220897">
        <w:trPr>
          <w:trHeight w:val="270"/>
        </w:trPr>
        <w:tc>
          <w:tcPr>
            <w:tcW w:w="2475" w:type="dxa"/>
            <w:tcBorders>
              <w:top w:val="single" w:sz="8" w:space="0" w:color="auto"/>
              <w:left w:val="single" w:sz="8" w:space="0" w:color="auto"/>
              <w:bottom w:val="single" w:sz="8" w:space="0" w:color="auto"/>
              <w:right w:val="single" w:sz="8" w:space="0" w:color="auto"/>
            </w:tcBorders>
          </w:tcPr>
          <w:p w14:paraId="59B4A759" w14:textId="79A2D6EE" w:rsidR="002626DA" w:rsidRDefault="002626DA" w:rsidP="00220897">
            <w:r w:rsidRPr="5821F0BB">
              <w:rPr>
                <w:rFonts w:ascii="Arial Narrow" w:eastAsia="Arial Narrow" w:hAnsi="Arial Narrow" w:cs="Arial Narrow"/>
                <w:b/>
                <w:bCs/>
                <w:sz w:val="20"/>
                <w:szCs w:val="20"/>
              </w:rPr>
              <w:t>Condition:</w:t>
            </w:r>
            <w:r w:rsidRPr="5821F0BB">
              <w:rPr>
                <w:rFonts w:ascii="Arial Narrow" w:eastAsia="Arial Narrow" w:hAnsi="Arial Narrow" w:cs="Arial Narrow"/>
                <w:sz w:val="20"/>
                <w:szCs w:val="20"/>
              </w:rPr>
              <w:t xml:space="preserve"> </w:t>
            </w:r>
          </w:p>
        </w:tc>
        <w:tc>
          <w:tcPr>
            <w:tcW w:w="6540" w:type="dxa"/>
            <w:tcBorders>
              <w:top w:val="single" w:sz="8" w:space="0" w:color="auto"/>
              <w:left w:val="single" w:sz="8" w:space="0" w:color="auto"/>
              <w:bottom w:val="single" w:sz="8" w:space="0" w:color="auto"/>
              <w:right w:val="single" w:sz="8" w:space="0" w:color="auto"/>
            </w:tcBorders>
          </w:tcPr>
          <w:p w14:paraId="285B9DE1" w14:textId="284F13EB" w:rsidR="002626DA" w:rsidRDefault="002626DA" w:rsidP="00220897">
            <w:r w:rsidRPr="5821F0BB">
              <w:rPr>
                <w:rFonts w:ascii="Arial Narrow" w:eastAsia="Arial Narrow" w:hAnsi="Arial Narrow" w:cs="Arial Narrow"/>
                <w:sz w:val="20"/>
                <w:szCs w:val="20"/>
              </w:rPr>
              <w:t xml:space="preserve">Fistulising Crohn disease </w:t>
            </w:r>
          </w:p>
        </w:tc>
      </w:tr>
      <w:tr w:rsidR="002626DA" w14:paraId="6D7ECB97" w14:textId="77777777" w:rsidTr="00220897">
        <w:tc>
          <w:tcPr>
            <w:tcW w:w="2475" w:type="dxa"/>
            <w:tcBorders>
              <w:top w:val="single" w:sz="8" w:space="0" w:color="auto"/>
              <w:left w:val="single" w:sz="8" w:space="0" w:color="auto"/>
              <w:bottom w:val="single" w:sz="8" w:space="0" w:color="auto"/>
              <w:right w:val="single" w:sz="8" w:space="0" w:color="auto"/>
            </w:tcBorders>
          </w:tcPr>
          <w:p w14:paraId="5CD83CF4" w14:textId="4FDDB972" w:rsidR="002626DA" w:rsidRDefault="002626DA" w:rsidP="00220897">
            <w:r w:rsidRPr="5821F0BB">
              <w:rPr>
                <w:rFonts w:ascii="Arial Narrow" w:eastAsia="Arial Narrow" w:hAnsi="Arial Narrow" w:cs="Arial Narrow"/>
                <w:b/>
                <w:bCs/>
                <w:sz w:val="20"/>
                <w:szCs w:val="20"/>
              </w:rPr>
              <w:t>PBS Indication:</w:t>
            </w:r>
            <w:r w:rsidRPr="5821F0BB">
              <w:rPr>
                <w:rFonts w:ascii="Arial Narrow" w:eastAsia="Arial Narrow" w:hAnsi="Arial Narrow" w:cs="Arial Narrow"/>
                <w:sz w:val="20"/>
                <w:szCs w:val="20"/>
              </w:rPr>
              <w:t xml:space="preserve"> </w:t>
            </w:r>
          </w:p>
        </w:tc>
        <w:tc>
          <w:tcPr>
            <w:tcW w:w="6540" w:type="dxa"/>
            <w:tcBorders>
              <w:top w:val="single" w:sz="8" w:space="0" w:color="auto"/>
              <w:left w:val="single" w:sz="8" w:space="0" w:color="auto"/>
              <w:bottom w:val="single" w:sz="8" w:space="0" w:color="auto"/>
              <w:right w:val="single" w:sz="8" w:space="0" w:color="auto"/>
            </w:tcBorders>
          </w:tcPr>
          <w:p w14:paraId="59C5FF70" w14:textId="6E1E5BF5" w:rsidR="002626DA" w:rsidRDefault="002626DA" w:rsidP="00220897">
            <w:r w:rsidRPr="5821F0BB">
              <w:rPr>
                <w:rFonts w:ascii="Arial Narrow" w:eastAsia="Arial Narrow" w:hAnsi="Arial Narrow" w:cs="Arial Narrow"/>
                <w:sz w:val="20"/>
                <w:szCs w:val="20"/>
              </w:rPr>
              <w:t xml:space="preserve">Complex refractory fistulising Crohn disease </w:t>
            </w:r>
          </w:p>
        </w:tc>
      </w:tr>
      <w:tr w:rsidR="002626DA" w14:paraId="5776C932" w14:textId="77777777" w:rsidTr="00220897">
        <w:tc>
          <w:tcPr>
            <w:tcW w:w="2475" w:type="dxa"/>
            <w:tcBorders>
              <w:top w:val="single" w:sz="8" w:space="0" w:color="auto"/>
              <w:left w:val="single" w:sz="8" w:space="0" w:color="auto"/>
              <w:bottom w:val="single" w:sz="8" w:space="0" w:color="auto"/>
              <w:right w:val="single" w:sz="8" w:space="0" w:color="auto"/>
            </w:tcBorders>
          </w:tcPr>
          <w:p w14:paraId="515E82DC" w14:textId="0D57B319" w:rsidR="002626DA" w:rsidRDefault="002626DA" w:rsidP="00220897">
            <w:r w:rsidRPr="5821F0BB">
              <w:rPr>
                <w:rFonts w:ascii="Arial Narrow" w:eastAsia="Arial Narrow" w:hAnsi="Arial Narrow" w:cs="Arial Narrow"/>
                <w:b/>
                <w:bCs/>
                <w:sz w:val="20"/>
                <w:szCs w:val="20"/>
              </w:rPr>
              <w:t>Restriction:</w:t>
            </w:r>
            <w:r w:rsidRPr="5821F0BB">
              <w:rPr>
                <w:rFonts w:ascii="Arial Narrow" w:eastAsia="Arial Narrow" w:hAnsi="Arial Narrow" w:cs="Arial Narrow"/>
                <w:sz w:val="20"/>
                <w:szCs w:val="20"/>
              </w:rPr>
              <w:t xml:space="preserve"> </w:t>
            </w:r>
          </w:p>
        </w:tc>
        <w:tc>
          <w:tcPr>
            <w:tcW w:w="6540" w:type="dxa"/>
            <w:tcBorders>
              <w:top w:val="single" w:sz="8" w:space="0" w:color="auto"/>
              <w:left w:val="single" w:sz="8" w:space="0" w:color="auto"/>
              <w:bottom w:val="single" w:sz="8" w:space="0" w:color="auto"/>
              <w:right w:val="single" w:sz="8" w:space="0" w:color="auto"/>
            </w:tcBorders>
          </w:tcPr>
          <w:p w14:paraId="4BB74737" w14:textId="3D149D12" w:rsidR="002626DA" w:rsidRDefault="002626DA" w:rsidP="00220897">
            <w:r w:rsidRPr="5821F0BB">
              <w:rPr>
                <w:rFonts w:ascii="Arial Narrow" w:eastAsia="Arial Narrow" w:hAnsi="Arial Narrow" w:cs="Arial Narrow"/>
                <w:sz w:val="20"/>
                <w:szCs w:val="20"/>
              </w:rPr>
              <w:t xml:space="preserve">Authority Required - In Writing </w:t>
            </w:r>
          </w:p>
        </w:tc>
      </w:tr>
      <w:tr w:rsidR="002626DA" w14:paraId="49BA29E7" w14:textId="77777777" w:rsidTr="00220897">
        <w:tc>
          <w:tcPr>
            <w:tcW w:w="2475" w:type="dxa"/>
            <w:tcBorders>
              <w:top w:val="single" w:sz="8" w:space="0" w:color="auto"/>
              <w:left w:val="single" w:sz="8" w:space="0" w:color="auto"/>
              <w:bottom w:val="single" w:sz="8" w:space="0" w:color="auto"/>
              <w:right w:val="single" w:sz="8" w:space="0" w:color="auto"/>
            </w:tcBorders>
          </w:tcPr>
          <w:p w14:paraId="0D9B5DA8" w14:textId="45CFCCCD" w:rsidR="002626DA" w:rsidRDefault="002626DA" w:rsidP="00220897">
            <w:r w:rsidRPr="5821F0BB">
              <w:rPr>
                <w:rFonts w:ascii="Arial Narrow" w:eastAsia="Arial Narrow" w:hAnsi="Arial Narrow" w:cs="Arial Narrow"/>
                <w:b/>
                <w:bCs/>
                <w:sz w:val="20"/>
                <w:szCs w:val="20"/>
              </w:rPr>
              <w:t>Treatment criteria:</w:t>
            </w:r>
            <w:r w:rsidRPr="5821F0BB">
              <w:rPr>
                <w:rFonts w:ascii="Arial Narrow" w:eastAsia="Arial Narrow" w:hAnsi="Arial Narrow" w:cs="Arial Narrow"/>
                <w:sz w:val="20"/>
                <w:szCs w:val="20"/>
              </w:rPr>
              <w:t xml:space="preserve"> </w:t>
            </w:r>
          </w:p>
        </w:tc>
        <w:tc>
          <w:tcPr>
            <w:tcW w:w="6540" w:type="dxa"/>
            <w:tcBorders>
              <w:top w:val="single" w:sz="8" w:space="0" w:color="auto"/>
              <w:left w:val="single" w:sz="8" w:space="0" w:color="auto"/>
              <w:bottom w:val="single" w:sz="8" w:space="0" w:color="auto"/>
              <w:right w:val="single" w:sz="8" w:space="0" w:color="auto"/>
            </w:tcBorders>
          </w:tcPr>
          <w:p w14:paraId="32423E81" w14:textId="56D555A6" w:rsidR="002626DA" w:rsidRDefault="002626DA" w:rsidP="00220897">
            <w:r w:rsidRPr="5821F0BB">
              <w:rPr>
                <w:rFonts w:ascii="Arial Narrow" w:eastAsia="Arial Narrow" w:hAnsi="Arial Narrow" w:cs="Arial Narrow"/>
                <w:sz w:val="20"/>
                <w:szCs w:val="20"/>
              </w:rPr>
              <w:t xml:space="preserve">Must be treated by a gastroenterologist or consultant physician [specialising in gastroenterology] </w:t>
            </w:r>
          </w:p>
        </w:tc>
      </w:tr>
      <w:tr w:rsidR="002626DA" w14:paraId="5286F398" w14:textId="77777777" w:rsidTr="00220897">
        <w:tc>
          <w:tcPr>
            <w:tcW w:w="2475" w:type="dxa"/>
            <w:tcBorders>
              <w:top w:val="single" w:sz="8" w:space="0" w:color="auto"/>
              <w:left w:val="single" w:sz="8" w:space="0" w:color="auto"/>
              <w:bottom w:val="single" w:sz="8" w:space="0" w:color="auto"/>
              <w:right w:val="single" w:sz="8" w:space="0" w:color="auto"/>
            </w:tcBorders>
          </w:tcPr>
          <w:p w14:paraId="16284616" w14:textId="3D8B9F2D" w:rsidR="002626DA" w:rsidRDefault="002626DA" w:rsidP="00220897">
            <w:r w:rsidRPr="5821F0BB">
              <w:rPr>
                <w:rFonts w:ascii="Arial Narrow" w:eastAsia="Arial Narrow" w:hAnsi="Arial Narrow" w:cs="Arial Narrow"/>
                <w:b/>
                <w:bCs/>
                <w:sz w:val="20"/>
                <w:szCs w:val="20"/>
              </w:rPr>
              <w:t>Population criteria:</w:t>
            </w:r>
            <w:r w:rsidRPr="5821F0BB">
              <w:rPr>
                <w:rFonts w:ascii="Arial Narrow" w:eastAsia="Arial Narrow" w:hAnsi="Arial Narrow" w:cs="Arial Narrow"/>
                <w:sz w:val="20"/>
                <w:szCs w:val="20"/>
              </w:rPr>
              <w:t xml:space="preserve"> </w:t>
            </w:r>
          </w:p>
        </w:tc>
        <w:tc>
          <w:tcPr>
            <w:tcW w:w="6540" w:type="dxa"/>
            <w:tcBorders>
              <w:top w:val="single" w:sz="8" w:space="0" w:color="auto"/>
              <w:left w:val="single" w:sz="8" w:space="0" w:color="auto"/>
              <w:bottom w:val="single" w:sz="8" w:space="0" w:color="auto"/>
              <w:right w:val="single" w:sz="8" w:space="0" w:color="auto"/>
            </w:tcBorders>
          </w:tcPr>
          <w:p w14:paraId="644D42EC" w14:textId="5D3C0EDD" w:rsidR="002626DA" w:rsidRDefault="002626DA" w:rsidP="00220897">
            <w:r w:rsidRPr="5821F0BB">
              <w:rPr>
                <w:rFonts w:ascii="Arial Narrow" w:eastAsia="Arial Narrow" w:hAnsi="Arial Narrow" w:cs="Arial Narrow"/>
                <w:sz w:val="20"/>
                <w:szCs w:val="20"/>
              </w:rPr>
              <w:t xml:space="preserve">Patient must be aged 18 years or older.  </w:t>
            </w:r>
          </w:p>
        </w:tc>
      </w:tr>
      <w:tr w:rsidR="002626DA" w14:paraId="4A003EA2" w14:textId="77777777" w:rsidTr="00220897">
        <w:tc>
          <w:tcPr>
            <w:tcW w:w="9015" w:type="dxa"/>
            <w:gridSpan w:val="2"/>
            <w:tcBorders>
              <w:top w:val="single" w:sz="8" w:space="0" w:color="auto"/>
              <w:left w:val="single" w:sz="8" w:space="0" w:color="auto"/>
              <w:bottom w:val="single" w:sz="8" w:space="0" w:color="auto"/>
              <w:right w:val="single" w:sz="8" w:space="0" w:color="auto"/>
            </w:tcBorders>
          </w:tcPr>
          <w:p w14:paraId="4D120A75" w14:textId="4730B63F" w:rsidR="002626DA" w:rsidRPr="00AF2677" w:rsidRDefault="002626DA" w:rsidP="00220897">
            <w:r w:rsidRPr="00AF2677">
              <w:rPr>
                <w:rFonts w:ascii="Arial Narrow" w:eastAsia="Arial Narrow" w:hAnsi="Arial Narrow" w:cs="Arial Narrow"/>
                <w:sz w:val="20"/>
                <w:szCs w:val="20"/>
              </w:rPr>
              <w:t xml:space="preserve">The above criteria apply to all treatment phases outlined below: </w:t>
            </w:r>
          </w:p>
        </w:tc>
      </w:tr>
      <w:tr w:rsidR="002626DA" w14:paraId="11EE2913" w14:textId="77777777" w:rsidTr="00220897">
        <w:tc>
          <w:tcPr>
            <w:tcW w:w="247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6D73CD41" w14:textId="1892C178" w:rsidR="002626DA" w:rsidRDefault="002626DA" w:rsidP="00220897">
            <w:r w:rsidRPr="5821F0BB">
              <w:rPr>
                <w:rFonts w:ascii="Arial Narrow" w:eastAsia="Arial Narrow" w:hAnsi="Arial Narrow" w:cs="Arial Narrow"/>
                <w:b/>
                <w:bCs/>
                <w:color w:val="000000" w:themeColor="text1"/>
                <w:sz w:val="20"/>
                <w:szCs w:val="20"/>
              </w:rPr>
              <w:t>Treatment phase</w:t>
            </w:r>
            <w:r w:rsidRPr="5821F0BB">
              <w:rPr>
                <w:rFonts w:ascii="Arial Narrow" w:eastAsia="Arial Narrow" w:hAnsi="Arial Narrow" w:cs="Arial Narrow"/>
                <w:color w:val="000000" w:themeColor="text1"/>
                <w:sz w:val="20"/>
                <w:szCs w:val="20"/>
              </w:rPr>
              <w:t xml:space="preserve"> </w:t>
            </w:r>
          </w:p>
        </w:tc>
        <w:tc>
          <w:tcPr>
            <w:tcW w:w="6540" w:type="dxa"/>
            <w:tcBorders>
              <w:top w:val="nil"/>
              <w:left w:val="single" w:sz="8" w:space="0" w:color="auto"/>
              <w:bottom w:val="single" w:sz="8" w:space="0" w:color="auto"/>
              <w:right w:val="single" w:sz="8" w:space="0" w:color="auto"/>
            </w:tcBorders>
            <w:shd w:val="clear" w:color="auto" w:fill="BFBFBF" w:themeFill="background1" w:themeFillShade="BF"/>
          </w:tcPr>
          <w:p w14:paraId="56A34FB7" w14:textId="0D280C28" w:rsidR="002626DA" w:rsidRDefault="002626DA" w:rsidP="00220897">
            <w:r w:rsidRPr="5821F0BB">
              <w:rPr>
                <w:rFonts w:ascii="Arial Narrow" w:eastAsia="Arial Narrow" w:hAnsi="Arial Narrow" w:cs="Arial Narrow"/>
                <w:b/>
                <w:bCs/>
                <w:color w:val="000000" w:themeColor="text1"/>
                <w:sz w:val="20"/>
                <w:szCs w:val="20"/>
              </w:rPr>
              <w:t xml:space="preserve">Initial treatment </w:t>
            </w:r>
          </w:p>
        </w:tc>
      </w:tr>
      <w:tr w:rsidR="002626DA" w14:paraId="05BEEEBD" w14:textId="77777777" w:rsidTr="00220897">
        <w:tc>
          <w:tcPr>
            <w:tcW w:w="2475" w:type="dxa"/>
            <w:tcBorders>
              <w:top w:val="single" w:sz="8" w:space="0" w:color="auto"/>
              <w:left w:val="single" w:sz="8" w:space="0" w:color="auto"/>
              <w:bottom w:val="single" w:sz="8" w:space="0" w:color="auto"/>
              <w:right w:val="single" w:sz="8" w:space="0" w:color="auto"/>
            </w:tcBorders>
          </w:tcPr>
          <w:p w14:paraId="18926CDA" w14:textId="43CD9994" w:rsidR="002626DA" w:rsidRDefault="002626DA" w:rsidP="00220897">
            <w:r w:rsidRPr="5821F0BB">
              <w:rPr>
                <w:rFonts w:ascii="Arial Narrow" w:eastAsia="Arial Narrow" w:hAnsi="Arial Narrow" w:cs="Arial Narrow"/>
                <w:b/>
                <w:bCs/>
                <w:sz w:val="20"/>
                <w:szCs w:val="20"/>
              </w:rPr>
              <w:t xml:space="preserve">Clinical criteria </w:t>
            </w:r>
            <w:r w:rsidRPr="5821F0BB">
              <w:rPr>
                <w:rFonts w:ascii="Arial Narrow" w:eastAsia="Arial Narrow" w:hAnsi="Arial Narrow" w:cs="Arial Narrow"/>
                <w:sz w:val="20"/>
                <w:szCs w:val="20"/>
              </w:rPr>
              <w:t xml:space="preserve"> </w:t>
            </w:r>
          </w:p>
        </w:tc>
        <w:tc>
          <w:tcPr>
            <w:tcW w:w="6540" w:type="dxa"/>
            <w:tcBorders>
              <w:top w:val="single" w:sz="8" w:space="0" w:color="auto"/>
              <w:left w:val="single" w:sz="8" w:space="0" w:color="auto"/>
              <w:bottom w:val="single" w:sz="8" w:space="0" w:color="auto"/>
              <w:right w:val="single" w:sz="8" w:space="0" w:color="auto"/>
            </w:tcBorders>
          </w:tcPr>
          <w:p w14:paraId="15264EEB" w14:textId="6B1ABED4" w:rsidR="002626DA" w:rsidRDefault="002626DA" w:rsidP="00220897">
            <w:r w:rsidRPr="5821F0BB">
              <w:rPr>
                <w:rFonts w:ascii="Arial Narrow" w:eastAsia="Arial Narrow" w:hAnsi="Arial Narrow" w:cs="Arial Narrow"/>
                <w:sz w:val="20"/>
                <w:szCs w:val="20"/>
              </w:rPr>
              <w:t xml:space="preserve">Patient must have confirmed Crohn disease; AND </w:t>
            </w:r>
          </w:p>
          <w:p w14:paraId="7F72B674" w14:textId="36FAFFB7" w:rsidR="002626DA" w:rsidRDefault="002626DA" w:rsidP="00220897">
            <w:r w:rsidRPr="5821F0BB">
              <w:rPr>
                <w:rFonts w:ascii="Arial Narrow" w:eastAsia="Arial Narrow" w:hAnsi="Arial Narrow" w:cs="Arial Narrow"/>
                <w:sz w:val="20"/>
                <w:szCs w:val="20"/>
              </w:rPr>
              <w:t xml:space="preserve">Must have an externally draining enterocutaneous or rectovaginal fistula; AND </w:t>
            </w:r>
          </w:p>
          <w:p w14:paraId="06495783" w14:textId="18F520BD" w:rsidR="002626DA" w:rsidRDefault="002626DA" w:rsidP="00220897">
            <w:r w:rsidRPr="5821F0BB">
              <w:rPr>
                <w:rFonts w:ascii="Arial Narrow" w:eastAsia="Arial Narrow" w:hAnsi="Arial Narrow" w:cs="Arial Narrow"/>
                <w:sz w:val="20"/>
                <w:szCs w:val="20"/>
              </w:rPr>
              <w:t xml:space="preserve">The treatment must not exceed a total of 3 doses to be administered at weeks 0, 4 and 8 under this restriction. </w:t>
            </w:r>
          </w:p>
        </w:tc>
      </w:tr>
      <w:tr w:rsidR="002626DA" w14:paraId="105FAD08" w14:textId="77777777" w:rsidTr="00220897">
        <w:tc>
          <w:tcPr>
            <w:tcW w:w="2475" w:type="dxa"/>
            <w:tcBorders>
              <w:top w:val="single" w:sz="8" w:space="0" w:color="auto"/>
              <w:left w:val="single" w:sz="8" w:space="0" w:color="auto"/>
              <w:bottom w:val="single" w:sz="8" w:space="0" w:color="auto"/>
              <w:right w:val="single" w:sz="8" w:space="0" w:color="auto"/>
            </w:tcBorders>
          </w:tcPr>
          <w:p w14:paraId="4D805E13" w14:textId="5A4E0400" w:rsidR="002626DA" w:rsidRDefault="002626DA" w:rsidP="00220897">
            <w:r w:rsidRPr="5821F0BB">
              <w:rPr>
                <w:rFonts w:ascii="Arial Narrow" w:eastAsia="Arial Narrow" w:hAnsi="Arial Narrow" w:cs="Arial Narrow"/>
                <w:b/>
                <w:bCs/>
                <w:sz w:val="20"/>
                <w:szCs w:val="20"/>
              </w:rPr>
              <w:t>Prescriber instructions</w:t>
            </w:r>
            <w:r w:rsidRPr="5821F0BB">
              <w:rPr>
                <w:rFonts w:ascii="Arial Narrow" w:eastAsia="Arial Narrow" w:hAnsi="Arial Narrow" w:cs="Arial Narrow"/>
                <w:sz w:val="20"/>
                <w:szCs w:val="20"/>
              </w:rPr>
              <w:t xml:space="preserve"> </w:t>
            </w:r>
          </w:p>
        </w:tc>
        <w:tc>
          <w:tcPr>
            <w:tcW w:w="6540" w:type="dxa"/>
            <w:tcBorders>
              <w:top w:val="single" w:sz="8" w:space="0" w:color="auto"/>
              <w:left w:val="single" w:sz="8" w:space="0" w:color="auto"/>
              <w:bottom w:val="single" w:sz="8" w:space="0" w:color="auto"/>
              <w:right w:val="single" w:sz="8" w:space="0" w:color="auto"/>
            </w:tcBorders>
          </w:tcPr>
          <w:p w14:paraId="72C57E36" w14:textId="7D205E4D" w:rsidR="002626DA" w:rsidRDefault="002626DA" w:rsidP="00220897">
            <w:r w:rsidRPr="5821F0BB">
              <w:rPr>
                <w:rFonts w:ascii="Arial Narrow" w:eastAsia="Arial Narrow" w:hAnsi="Arial Narrow" w:cs="Arial Narrow"/>
                <w:sz w:val="20"/>
                <w:szCs w:val="20"/>
              </w:rPr>
              <w:t xml:space="preserve">A maximum quantity and number of repeats to provide for an initial 12 week course of this drug will be authorised under this item code. A further 8 week course of treatment can be accessed under the balance of supply criteria. </w:t>
            </w:r>
          </w:p>
          <w:p w14:paraId="0DBF9C3F" w14:textId="6849EF03" w:rsidR="002626DA" w:rsidRDefault="002626DA" w:rsidP="00220897">
            <w:r w:rsidRPr="5821F0BB">
              <w:rPr>
                <w:rFonts w:ascii="Arial Narrow" w:eastAsia="Arial Narrow" w:hAnsi="Arial Narrow" w:cs="Arial Narrow"/>
                <w:sz w:val="20"/>
                <w:szCs w:val="20"/>
              </w:rPr>
              <w:t xml:space="preserve">The assessment of the patient's response to this initial course of treatment, including the balance of supply, must be made following a minimum of 16 weeks of therapy so that there is adequate time for a response to be demonstrated. </w:t>
            </w:r>
          </w:p>
          <w:p w14:paraId="55575C98" w14:textId="74AE4F5C" w:rsidR="002626DA" w:rsidRDefault="002626DA" w:rsidP="00220897">
            <w:r w:rsidRPr="5821F0BB">
              <w:rPr>
                <w:rFonts w:ascii="Arial Narrow" w:eastAsia="Arial Narrow" w:hAnsi="Arial Narrow" w:cs="Arial Narrow"/>
                <w:sz w:val="20"/>
                <w:szCs w:val="20"/>
              </w:rPr>
              <w:t xml:space="preserve">It is recommended that an application for continuing treatment is posted to the Department of Human Services at the time of the 16 week assessment, to ensure continuity of treatment for those patients who meet the continuation criterion for PBS-subsidised treatment with this drug. </w:t>
            </w:r>
          </w:p>
        </w:tc>
      </w:tr>
    </w:tbl>
    <w:p w14:paraId="2F19D052" w14:textId="76E1BBBE" w:rsidR="0035762D" w:rsidRDefault="0035762D" w:rsidP="002626DA"/>
    <w:p w14:paraId="4CEC6B5F" w14:textId="77777777" w:rsidR="0035762D" w:rsidRDefault="0035762D">
      <w:pPr>
        <w:jc w:val="left"/>
      </w:pPr>
      <w:r>
        <w:br w:type="page"/>
      </w:r>
    </w:p>
    <w:tbl>
      <w:tblPr>
        <w:tblW w:w="9015" w:type="dxa"/>
        <w:tblLayout w:type="fixed"/>
        <w:tblLook w:val="04A0" w:firstRow="1" w:lastRow="0" w:firstColumn="1" w:lastColumn="0" w:noHBand="0" w:noVBand="1"/>
      </w:tblPr>
      <w:tblGrid>
        <w:gridCol w:w="2475"/>
        <w:gridCol w:w="6540"/>
      </w:tblGrid>
      <w:tr w:rsidR="002626DA" w14:paraId="0574124D" w14:textId="77777777" w:rsidTr="00220897">
        <w:tc>
          <w:tcPr>
            <w:tcW w:w="2475" w:type="dxa"/>
            <w:tcBorders>
              <w:top w:val="single" w:sz="8" w:space="0" w:color="auto"/>
              <w:left w:val="single" w:sz="8" w:space="0" w:color="auto"/>
              <w:bottom w:val="single" w:sz="8" w:space="0" w:color="auto"/>
              <w:right w:val="single" w:sz="8" w:space="0" w:color="auto"/>
            </w:tcBorders>
          </w:tcPr>
          <w:p w14:paraId="3EB71C9E" w14:textId="2B7555D9" w:rsidR="002626DA" w:rsidRDefault="002626DA" w:rsidP="00220897">
            <w:r w:rsidRPr="5821F0BB">
              <w:rPr>
                <w:rFonts w:ascii="Arial Narrow" w:eastAsia="Arial Narrow" w:hAnsi="Arial Narrow" w:cs="Arial Narrow"/>
                <w:b/>
                <w:bCs/>
                <w:sz w:val="20"/>
                <w:szCs w:val="20"/>
              </w:rPr>
              <w:lastRenderedPageBreak/>
              <w:t>Category / Program:</w:t>
            </w:r>
            <w:r w:rsidRPr="5821F0BB">
              <w:rPr>
                <w:rFonts w:ascii="Arial Narrow" w:eastAsia="Arial Narrow" w:hAnsi="Arial Narrow" w:cs="Arial Narrow"/>
                <w:sz w:val="20"/>
                <w:szCs w:val="20"/>
              </w:rPr>
              <w:t xml:space="preserve"> </w:t>
            </w:r>
          </w:p>
        </w:tc>
        <w:tc>
          <w:tcPr>
            <w:tcW w:w="6540" w:type="dxa"/>
            <w:tcBorders>
              <w:top w:val="single" w:sz="8" w:space="0" w:color="auto"/>
              <w:left w:val="single" w:sz="8" w:space="0" w:color="auto"/>
              <w:bottom w:val="single" w:sz="8" w:space="0" w:color="auto"/>
              <w:right w:val="single" w:sz="8" w:space="0" w:color="auto"/>
            </w:tcBorders>
          </w:tcPr>
          <w:p w14:paraId="74D711A9" w14:textId="1D2E79C8" w:rsidR="002626DA" w:rsidRDefault="002626DA" w:rsidP="00220897">
            <w:r w:rsidRPr="5821F0BB">
              <w:rPr>
                <w:rFonts w:ascii="Arial Narrow" w:eastAsia="Arial Narrow" w:hAnsi="Arial Narrow" w:cs="Arial Narrow"/>
                <w:sz w:val="20"/>
                <w:szCs w:val="20"/>
              </w:rPr>
              <w:t xml:space="preserve">Section 85 - General </w:t>
            </w:r>
          </w:p>
        </w:tc>
      </w:tr>
      <w:tr w:rsidR="002626DA" w14:paraId="0495FA3B" w14:textId="77777777" w:rsidTr="00220897">
        <w:tc>
          <w:tcPr>
            <w:tcW w:w="2475" w:type="dxa"/>
            <w:tcBorders>
              <w:top w:val="single" w:sz="8" w:space="0" w:color="auto"/>
              <w:left w:val="single" w:sz="8" w:space="0" w:color="auto"/>
              <w:bottom w:val="single" w:sz="8" w:space="0" w:color="auto"/>
              <w:right w:val="single" w:sz="8" w:space="0" w:color="auto"/>
            </w:tcBorders>
          </w:tcPr>
          <w:p w14:paraId="2619EA98" w14:textId="546BD83B" w:rsidR="002626DA" w:rsidRDefault="002626DA" w:rsidP="00220897">
            <w:r w:rsidRPr="5821F0BB">
              <w:rPr>
                <w:rFonts w:ascii="Arial Narrow" w:eastAsia="Arial Narrow" w:hAnsi="Arial Narrow" w:cs="Arial Narrow"/>
                <w:b/>
                <w:bCs/>
                <w:sz w:val="20"/>
                <w:szCs w:val="20"/>
              </w:rPr>
              <w:t>Prescriber type:</w:t>
            </w:r>
            <w:r w:rsidRPr="5821F0BB">
              <w:rPr>
                <w:rFonts w:ascii="Arial Narrow" w:eastAsia="Arial Narrow" w:hAnsi="Arial Narrow" w:cs="Arial Narrow"/>
                <w:sz w:val="20"/>
                <w:szCs w:val="20"/>
              </w:rPr>
              <w:t xml:space="preserve"> </w:t>
            </w:r>
          </w:p>
        </w:tc>
        <w:tc>
          <w:tcPr>
            <w:tcW w:w="6540" w:type="dxa"/>
            <w:tcBorders>
              <w:top w:val="single" w:sz="8" w:space="0" w:color="auto"/>
              <w:left w:val="single" w:sz="8" w:space="0" w:color="auto"/>
              <w:bottom w:val="single" w:sz="8" w:space="0" w:color="auto"/>
              <w:right w:val="single" w:sz="8" w:space="0" w:color="auto"/>
            </w:tcBorders>
          </w:tcPr>
          <w:p w14:paraId="5250B4D5" w14:textId="4F190F12" w:rsidR="002626DA" w:rsidRDefault="002626DA" w:rsidP="00220897">
            <w:r w:rsidRPr="5821F0BB">
              <w:rPr>
                <w:rFonts w:ascii="Arial Narrow" w:eastAsia="Arial Narrow" w:hAnsi="Arial Narrow" w:cs="Arial Narrow"/>
                <w:sz w:val="20"/>
                <w:szCs w:val="20"/>
              </w:rPr>
              <w:t xml:space="preserve">Medical Practitioners  </w:t>
            </w:r>
          </w:p>
        </w:tc>
      </w:tr>
      <w:tr w:rsidR="002626DA" w14:paraId="5FC348BC" w14:textId="77777777" w:rsidTr="00220897">
        <w:tc>
          <w:tcPr>
            <w:tcW w:w="2475" w:type="dxa"/>
            <w:tcBorders>
              <w:top w:val="single" w:sz="8" w:space="0" w:color="auto"/>
              <w:left w:val="single" w:sz="8" w:space="0" w:color="auto"/>
              <w:bottom w:val="single" w:sz="8" w:space="0" w:color="auto"/>
              <w:right w:val="single" w:sz="8" w:space="0" w:color="auto"/>
            </w:tcBorders>
          </w:tcPr>
          <w:p w14:paraId="2820DA76" w14:textId="09A2B3A8" w:rsidR="002626DA" w:rsidRDefault="002626DA" w:rsidP="00220897">
            <w:r w:rsidRPr="5821F0BB">
              <w:rPr>
                <w:rFonts w:ascii="Arial Narrow" w:eastAsia="Arial Narrow" w:hAnsi="Arial Narrow" w:cs="Arial Narrow"/>
                <w:b/>
                <w:bCs/>
                <w:sz w:val="20"/>
                <w:szCs w:val="20"/>
              </w:rPr>
              <w:t>Severity:</w:t>
            </w:r>
            <w:r w:rsidRPr="5821F0BB">
              <w:rPr>
                <w:rFonts w:ascii="Arial Narrow" w:eastAsia="Arial Narrow" w:hAnsi="Arial Narrow" w:cs="Arial Narrow"/>
                <w:sz w:val="20"/>
                <w:szCs w:val="20"/>
              </w:rPr>
              <w:t xml:space="preserve"> </w:t>
            </w:r>
          </w:p>
        </w:tc>
        <w:tc>
          <w:tcPr>
            <w:tcW w:w="6540" w:type="dxa"/>
            <w:tcBorders>
              <w:top w:val="single" w:sz="8" w:space="0" w:color="auto"/>
              <w:left w:val="single" w:sz="8" w:space="0" w:color="auto"/>
              <w:bottom w:val="single" w:sz="8" w:space="0" w:color="auto"/>
              <w:right w:val="single" w:sz="8" w:space="0" w:color="auto"/>
            </w:tcBorders>
          </w:tcPr>
          <w:p w14:paraId="75CD4366" w14:textId="32DDB8EA" w:rsidR="002626DA" w:rsidRDefault="002626DA" w:rsidP="00220897">
            <w:r w:rsidRPr="5821F0BB">
              <w:rPr>
                <w:rFonts w:ascii="Arial Narrow" w:eastAsia="Arial Narrow" w:hAnsi="Arial Narrow" w:cs="Arial Narrow"/>
                <w:sz w:val="20"/>
                <w:szCs w:val="20"/>
              </w:rPr>
              <w:t xml:space="preserve">Complex refractory </w:t>
            </w:r>
          </w:p>
        </w:tc>
      </w:tr>
      <w:tr w:rsidR="002626DA" w14:paraId="71A07D56" w14:textId="77777777" w:rsidTr="00220897">
        <w:tc>
          <w:tcPr>
            <w:tcW w:w="2475" w:type="dxa"/>
            <w:tcBorders>
              <w:top w:val="single" w:sz="8" w:space="0" w:color="auto"/>
              <w:left w:val="single" w:sz="8" w:space="0" w:color="auto"/>
              <w:bottom w:val="single" w:sz="8" w:space="0" w:color="auto"/>
              <w:right w:val="single" w:sz="8" w:space="0" w:color="auto"/>
            </w:tcBorders>
          </w:tcPr>
          <w:p w14:paraId="4289368F" w14:textId="58E6789E" w:rsidR="002626DA" w:rsidRDefault="002626DA" w:rsidP="00220897">
            <w:r w:rsidRPr="5821F0BB">
              <w:rPr>
                <w:rFonts w:ascii="Arial Narrow" w:eastAsia="Arial Narrow" w:hAnsi="Arial Narrow" w:cs="Arial Narrow"/>
                <w:b/>
                <w:bCs/>
                <w:sz w:val="20"/>
                <w:szCs w:val="20"/>
              </w:rPr>
              <w:t>Condition:</w:t>
            </w:r>
            <w:r w:rsidRPr="5821F0BB">
              <w:rPr>
                <w:rFonts w:ascii="Arial Narrow" w:eastAsia="Arial Narrow" w:hAnsi="Arial Narrow" w:cs="Arial Narrow"/>
                <w:sz w:val="20"/>
                <w:szCs w:val="20"/>
              </w:rPr>
              <w:t xml:space="preserve"> </w:t>
            </w:r>
          </w:p>
        </w:tc>
        <w:tc>
          <w:tcPr>
            <w:tcW w:w="6540" w:type="dxa"/>
            <w:tcBorders>
              <w:top w:val="single" w:sz="8" w:space="0" w:color="auto"/>
              <w:left w:val="single" w:sz="8" w:space="0" w:color="auto"/>
              <w:bottom w:val="single" w:sz="8" w:space="0" w:color="auto"/>
              <w:right w:val="single" w:sz="8" w:space="0" w:color="auto"/>
            </w:tcBorders>
          </w:tcPr>
          <w:p w14:paraId="087D75FC" w14:textId="48D54614" w:rsidR="002626DA" w:rsidRDefault="002626DA" w:rsidP="00220897">
            <w:r w:rsidRPr="5821F0BB">
              <w:rPr>
                <w:rFonts w:ascii="Arial Narrow" w:eastAsia="Arial Narrow" w:hAnsi="Arial Narrow" w:cs="Arial Narrow"/>
                <w:sz w:val="20"/>
                <w:szCs w:val="20"/>
              </w:rPr>
              <w:t xml:space="preserve">Fistulising Crohn disease </w:t>
            </w:r>
          </w:p>
        </w:tc>
      </w:tr>
      <w:tr w:rsidR="002626DA" w14:paraId="39581E2F" w14:textId="77777777" w:rsidTr="00220897">
        <w:tc>
          <w:tcPr>
            <w:tcW w:w="2475" w:type="dxa"/>
            <w:tcBorders>
              <w:top w:val="single" w:sz="8" w:space="0" w:color="auto"/>
              <w:left w:val="single" w:sz="8" w:space="0" w:color="auto"/>
              <w:bottom w:val="single" w:sz="8" w:space="0" w:color="auto"/>
              <w:right w:val="single" w:sz="8" w:space="0" w:color="auto"/>
            </w:tcBorders>
          </w:tcPr>
          <w:p w14:paraId="4E7EADF0" w14:textId="1177D315" w:rsidR="002626DA" w:rsidRDefault="002626DA" w:rsidP="00220897">
            <w:r w:rsidRPr="5821F0BB">
              <w:rPr>
                <w:rFonts w:ascii="Arial Narrow" w:eastAsia="Arial Narrow" w:hAnsi="Arial Narrow" w:cs="Arial Narrow"/>
                <w:b/>
                <w:bCs/>
                <w:sz w:val="20"/>
                <w:szCs w:val="20"/>
              </w:rPr>
              <w:t>PBS Indication:</w:t>
            </w:r>
            <w:r w:rsidRPr="5821F0BB">
              <w:rPr>
                <w:rFonts w:ascii="Arial Narrow" w:eastAsia="Arial Narrow" w:hAnsi="Arial Narrow" w:cs="Arial Narrow"/>
                <w:sz w:val="20"/>
                <w:szCs w:val="20"/>
              </w:rPr>
              <w:t xml:space="preserve"> </w:t>
            </w:r>
          </w:p>
        </w:tc>
        <w:tc>
          <w:tcPr>
            <w:tcW w:w="6540" w:type="dxa"/>
            <w:tcBorders>
              <w:top w:val="single" w:sz="8" w:space="0" w:color="auto"/>
              <w:left w:val="single" w:sz="8" w:space="0" w:color="auto"/>
              <w:bottom w:val="single" w:sz="8" w:space="0" w:color="auto"/>
              <w:right w:val="single" w:sz="8" w:space="0" w:color="auto"/>
            </w:tcBorders>
          </w:tcPr>
          <w:p w14:paraId="6708596D" w14:textId="3D6476CF" w:rsidR="002626DA" w:rsidRDefault="002626DA" w:rsidP="00220897">
            <w:r w:rsidRPr="5821F0BB">
              <w:rPr>
                <w:rFonts w:ascii="Arial Narrow" w:eastAsia="Arial Narrow" w:hAnsi="Arial Narrow" w:cs="Arial Narrow"/>
                <w:sz w:val="20"/>
                <w:szCs w:val="20"/>
              </w:rPr>
              <w:t xml:space="preserve">Complex refractory fistulising Crohn disease  </w:t>
            </w:r>
          </w:p>
        </w:tc>
      </w:tr>
      <w:tr w:rsidR="002626DA" w14:paraId="51AA9833" w14:textId="77777777" w:rsidTr="00220897">
        <w:tc>
          <w:tcPr>
            <w:tcW w:w="2475" w:type="dxa"/>
            <w:tcBorders>
              <w:top w:val="single" w:sz="8" w:space="0" w:color="auto"/>
              <w:left w:val="single" w:sz="8" w:space="0" w:color="auto"/>
              <w:bottom w:val="single" w:sz="8" w:space="0" w:color="auto"/>
              <w:right w:val="single" w:sz="8" w:space="0" w:color="auto"/>
            </w:tcBorders>
          </w:tcPr>
          <w:p w14:paraId="17A2C770" w14:textId="3281A007" w:rsidR="002626DA" w:rsidRDefault="002626DA" w:rsidP="00220897">
            <w:r w:rsidRPr="5821F0BB">
              <w:rPr>
                <w:rFonts w:ascii="Arial Narrow" w:eastAsia="Arial Narrow" w:hAnsi="Arial Narrow" w:cs="Arial Narrow"/>
                <w:b/>
                <w:bCs/>
                <w:sz w:val="20"/>
                <w:szCs w:val="20"/>
              </w:rPr>
              <w:t>Treatment criteria:</w:t>
            </w:r>
            <w:r w:rsidRPr="5821F0BB">
              <w:rPr>
                <w:rFonts w:ascii="Arial Narrow" w:eastAsia="Arial Narrow" w:hAnsi="Arial Narrow" w:cs="Arial Narrow"/>
                <w:sz w:val="20"/>
                <w:szCs w:val="20"/>
              </w:rPr>
              <w:t xml:space="preserve"> </w:t>
            </w:r>
          </w:p>
        </w:tc>
        <w:tc>
          <w:tcPr>
            <w:tcW w:w="6540" w:type="dxa"/>
            <w:tcBorders>
              <w:top w:val="single" w:sz="8" w:space="0" w:color="auto"/>
              <w:left w:val="single" w:sz="8" w:space="0" w:color="auto"/>
              <w:bottom w:val="single" w:sz="8" w:space="0" w:color="auto"/>
              <w:right w:val="single" w:sz="8" w:space="0" w:color="auto"/>
            </w:tcBorders>
          </w:tcPr>
          <w:p w14:paraId="5D22923D" w14:textId="41E77C14" w:rsidR="002626DA" w:rsidRDefault="002626DA" w:rsidP="00220897">
            <w:r w:rsidRPr="5821F0BB">
              <w:rPr>
                <w:rFonts w:ascii="Arial Narrow" w:eastAsia="Arial Narrow" w:hAnsi="Arial Narrow" w:cs="Arial Narrow"/>
                <w:sz w:val="20"/>
                <w:szCs w:val="20"/>
              </w:rPr>
              <w:t xml:space="preserve">Must be treated by a gastroenterologist or consultant physician [specialising in gastroenterology] </w:t>
            </w:r>
          </w:p>
        </w:tc>
      </w:tr>
      <w:tr w:rsidR="002626DA" w14:paraId="0795FEDF" w14:textId="77777777" w:rsidTr="00220897">
        <w:tc>
          <w:tcPr>
            <w:tcW w:w="2475" w:type="dxa"/>
            <w:tcBorders>
              <w:top w:val="single" w:sz="8" w:space="0" w:color="auto"/>
              <w:left w:val="single" w:sz="8" w:space="0" w:color="auto"/>
              <w:bottom w:val="single" w:sz="8" w:space="0" w:color="auto"/>
              <w:right w:val="single" w:sz="8" w:space="0" w:color="auto"/>
            </w:tcBorders>
          </w:tcPr>
          <w:p w14:paraId="3710E750" w14:textId="160366D7" w:rsidR="002626DA" w:rsidRDefault="002626DA" w:rsidP="00220897">
            <w:r w:rsidRPr="5821F0BB">
              <w:rPr>
                <w:rFonts w:ascii="Arial Narrow" w:eastAsia="Arial Narrow" w:hAnsi="Arial Narrow" w:cs="Arial Narrow"/>
                <w:b/>
                <w:bCs/>
                <w:sz w:val="20"/>
                <w:szCs w:val="20"/>
              </w:rPr>
              <w:t>Population criteria:</w:t>
            </w:r>
            <w:r w:rsidRPr="5821F0BB">
              <w:rPr>
                <w:rFonts w:ascii="Arial Narrow" w:eastAsia="Arial Narrow" w:hAnsi="Arial Narrow" w:cs="Arial Narrow"/>
                <w:sz w:val="20"/>
                <w:szCs w:val="20"/>
              </w:rPr>
              <w:t xml:space="preserve"> </w:t>
            </w:r>
          </w:p>
        </w:tc>
        <w:tc>
          <w:tcPr>
            <w:tcW w:w="6540" w:type="dxa"/>
            <w:tcBorders>
              <w:top w:val="single" w:sz="8" w:space="0" w:color="auto"/>
              <w:left w:val="single" w:sz="8" w:space="0" w:color="auto"/>
              <w:bottom w:val="single" w:sz="8" w:space="0" w:color="auto"/>
              <w:right w:val="single" w:sz="8" w:space="0" w:color="auto"/>
            </w:tcBorders>
          </w:tcPr>
          <w:p w14:paraId="67C5BB34" w14:textId="327ACDB5" w:rsidR="002626DA" w:rsidRDefault="002626DA" w:rsidP="00220897">
            <w:r w:rsidRPr="5821F0BB">
              <w:rPr>
                <w:rFonts w:ascii="Arial Narrow" w:eastAsia="Arial Narrow" w:hAnsi="Arial Narrow" w:cs="Arial Narrow"/>
                <w:sz w:val="20"/>
                <w:szCs w:val="20"/>
              </w:rPr>
              <w:t xml:space="preserve">Patient must be aged 18 years or older.  </w:t>
            </w:r>
          </w:p>
        </w:tc>
      </w:tr>
      <w:tr w:rsidR="002626DA" w14:paraId="4DE17D38" w14:textId="77777777" w:rsidTr="00220897">
        <w:tc>
          <w:tcPr>
            <w:tcW w:w="9015" w:type="dxa"/>
            <w:gridSpan w:val="2"/>
            <w:tcBorders>
              <w:top w:val="single" w:sz="8" w:space="0" w:color="auto"/>
              <w:left w:val="single" w:sz="8" w:space="0" w:color="auto"/>
              <w:bottom w:val="single" w:sz="8" w:space="0" w:color="auto"/>
              <w:right w:val="single" w:sz="8" w:space="0" w:color="auto"/>
            </w:tcBorders>
          </w:tcPr>
          <w:p w14:paraId="08B47B66" w14:textId="5CFB2F04" w:rsidR="002626DA" w:rsidRPr="00AF2677" w:rsidRDefault="002626DA" w:rsidP="00220897">
            <w:r w:rsidRPr="00AF2677">
              <w:rPr>
                <w:rFonts w:ascii="Arial Narrow" w:eastAsia="Arial Narrow" w:hAnsi="Arial Narrow" w:cs="Arial Narrow"/>
                <w:sz w:val="20"/>
                <w:szCs w:val="20"/>
              </w:rPr>
              <w:t xml:space="preserve">The above criteria apply to all treatment phases outlined below: </w:t>
            </w:r>
          </w:p>
        </w:tc>
      </w:tr>
      <w:tr w:rsidR="002626DA" w14:paraId="4746651A" w14:textId="77777777" w:rsidTr="00220897">
        <w:tc>
          <w:tcPr>
            <w:tcW w:w="247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035E3CA1" w14:textId="38891EC3" w:rsidR="002626DA" w:rsidRDefault="002626DA" w:rsidP="00220897">
            <w:r w:rsidRPr="5821F0BB">
              <w:rPr>
                <w:rFonts w:ascii="Arial Narrow" w:eastAsia="Arial Narrow" w:hAnsi="Arial Narrow" w:cs="Arial Narrow"/>
                <w:b/>
                <w:bCs/>
                <w:color w:val="000000" w:themeColor="text1"/>
                <w:sz w:val="20"/>
                <w:szCs w:val="20"/>
              </w:rPr>
              <w:t>Treatment phase</w:t>
            </w:r>
            <w:r w:rsidRPr="5821F0BB">
              <w:rPr>
                <w:rFonts w:ascii="Arial Narrow" w:eastAsia="Arial Narrow" w:hAnsi="Arial Narrow" w:cs="Arial Narrow"/>
                <w:color w:val="000000" w:themeColor="text1"/>
                <w:sz w:val="20"/>
                <w:szCs w:val="20"/>
              </w:rPr>
              <w:t xml:space="preserve"> </w:t>
            </w:r>
          </w:p>
        </w:tc>
        <w:tc>
          <w:tcPr>
            <w:tcW w:w="6540" w:type="dxa"/>
            <w:tcBorders>
              <w:top w:val="nil"/>
              <w:left w:val="single" w:sz="8" w:space="0" w:color="auto"/>
              <w:bottom w:val="single" w:sz="8" w:space="0" w:color="auto"/>
              <w:right w:val="single" w:sz="8" w:space="0" w:color="auto"/>
            </w:tcBorders>
            <w:shd w:val="clear" w:color="auto" w:fill="BFBFBF" w:themeFill="background1" w:themeFillShade="BF"/>
          </w:tcPr>
          <w:p w14:paraId="17BF86A3" w14:textId="48C2717B" w:rsidR="002626DA" w:rsidRDefault="002626DA" w:rsidP="00220897">
            <w:r w:rsidRPr="5821F0BB">
              <w:rPr>
                <w:rFonts w:ascii="Arial Narrow" w:eastAsia="Arial Narrow" w:hAnsi="Arial Narrow" w:cs="Arial Narrow"/>
                <w:b/>
                <w:bCs/>
                <w:color w:val="000000" w:themeColor="text1"/>
                <w:sz w:val="20"/>
                <w:szCs w:val="20"/>
              </w:rPr>
              <w:t>Continuing treatment</w:t>
            </w:r>
            <w:r w:rsidRPr="5821F0BB">
              <w:rPr>
                <w:rFonts w:ascii="Arial Narrow" w:eastAsia="Arial Narrow" w:hAnsi="Arial Narrow" w:cs="Arial Narrow"/>
                <w:color w:val="000000" w:themeColor="text1"/>
                <w:sz w:val="20"/>
                <w:szCs w:val="20"/>
              </w:rPr>
              <w:t xml:space="preserve"> </w:t>
            </w:r>
          </w:p>
        </w:tc>
      </w:tr>
      <w:tr w:rsidR="002626DA" w14:paraId="13CF7933" w14:textId="77777777" w:rsidTr="00220897">
        <w:tc>
          <w:tcPr>
            <w:tcW w:w="2475" w:type="dxa"/>
            <w:tcBorders>
              <w:top w:val="single" w:sz="8" w:space="0" w:color="auto"/>
              <w:left w:val="single" w:sz="8" w:space="0" w:color="auto"/>
              <w:bottom w:val="single" w:sz="8" w:space="0" w:color="auto"/>
              <w:right w:val="single" w:sz="8" w:space="0" w:color="auto"/>
            </w:tcBorders>
          </w:tcPr>
          <w:p w14:paraId="5733A5E1" w14:textId="64E62D9C" w:rsidR="002626DA" w:rsidRDefault="002626DA" w:rsidP="00220897">
            <w:r w:rsidRPr="5821F0BB">
              <w:rPr>
                <w:rFonts w:ascii="Arial Narrow" w:eastAsia="Arial Narrow" w:hAnsi="Arial Narrow" w:cs="Arial Narrow"/>
                <w:b/>
                <w:bCs/>
                <w:sz w:val="20"/>
                <w:szCs w:val="20"/>
              </w:rPr>
              <w:t xml:space="preserve">Clinical criteria </w:t>
            </w:r>
            <w:r w:rsidRPr="5821F0BB">
              <w:rPr>
                <w:rFonts w:ascii="Arial Narrow" w:eastAsia="Arial Narrow" w:hAnsi="Arial Narrow" w:cs="Arial Narrow"/>
                <w:sz w:val="20"/>
                <w:szCs w:val="20"/>
              </w:rPr>
              <w:t xml:space="preserve"> </w:t>
            </w:r>
          </w:p>
        </w:tc>
        <w:tc>
          <w:tcPr>
            <w:tcW w:w="6540" w:type="dxa"/>
            <w:tcBorders>
              <w:top w:val="single" w:sz="8" w:space="0" w:color="auto"/>
              <w:left w:val="single" w:sz="8" w:space="0" w:color="auto"/>
              <w:bottom w:val="single" w:sz="8" w:space="0" w:color="auto"/>
              <w:right w:val="single" w:sz="8" w:space="0" w:color="auto"/>
            </w:tcBorders>
          </w:tcPr>
          <w:p w14:paraId="4A470D74" w14:textId="33FC9C89" w:rsidR="002626DA" w:rsidRDefault="002626DA" w:rsidP="00220897">
            <w:r w:rsidRPr="5821F0BB">
              <w:rPr>
                <w:rFonts w:ascii="Arial Narrow" w:eastAsia="Arial Narrow" w:hAnsi="Arial Narrow" w:cs="Arial Narrow"/>
                <w:sz w:val="20"/>
                <w:szCs w:val="20"/>
              </w:rPr>
              <w:t xml:space="preserve">Patient must have received this drug as most recent course of PBS biological for this condition; AND  </w:t>
            </w:r>
          </w:p>
          <w:p w14:paraId="45550EFD" w14:textId="19D8EF37" w:rsidR="002626DA" w:rsidRDefault="002626DA" w:rsidP="00220897">
            <w:r w:rsidRPr="5821F0BB">
              <w:rPr>
                <w:rFonts w:ascii="Arial Narrow" w:eastAsia="Arial Narrow" w:hAnsi="Arial Narrow" w:cs="Arial Narrow"/>
                <w:sz w:val="20"/>
                <w:szCs w:val="20"/>
              </w:rPr>
              <w:t xml:space="preserve">Patient must have demonstrated an adequate response to treatment with this drug for this condition as ≥50% reduction in draining fistula or marked reduction in drainage and less pain; AND </w:t>
            </w:r>
          </w:p>
          <w:p w14:paraId="2EDAA406" w14:textId="63FF849C" w:rsidR="002626DA" w:rsidRDefault="002626DA" w:rsidP="00220897">
            <w:r w:rsidRPr="5821F0BB">
              <w:rPr>
                <w:rFonts w:ascii="Arial Narrow" w:eastAsia="Arial Narrow" w:hAnsi="Arial Narrow" w:cs="Arial Narrow"/>
                <w:sz w:val="20"/>
                <w:szCs w:val="20"/>
              </w:rPr>
              <w:t xml:space="preserve">Patient must not receive &gt;24 weeks of treatment </w:t>
            </w:r>
          </w:p>
        </w:tc>
      </w:tr>
      <w:tr w:rsidR="002626DA" w14:paraId="5817E078" w14:textId="77777777" w:rsidTr="00220897">
        <w:tc>
          <w:tcPr>
            <w:tcW w:w="2475" w:type="dxa"/>
            <w:tcBorders>
              <w:top w:val="single" w:sz="8" w:space="0" w:color="auto"/>
              <w:left w:val="single" w:sz="8" w:space="0" w:color="auto"/>
              <w:bottom w:val="single" w:sz="8" w:space="0" w:color="auto"/>
              <w:right w:val="single" w:sz="8" w:space="0" w:color="auto"/>
            </w:tcBorders>
          </w:tcPr>
          <w:p w14:paraId="7990B398" w14:textId="587EC8F0" w:rsidR="002626DA" w:rsidRDefault="002626DA" w:rsidP="00220897">
            <w:r w:rsidRPr="5821F0BB">
              <w:rPr>
                <w:rFonts w:ascii="Arial Narrow" w:eastAsia="Arial Narrow" w:hAnsi="Arial Narrow" w:cs="Arial Narrow"/>
                <w:b/>
                <w:bCs/>
                <w:sz w:val="20"/>
                <w:szCs w:val="20"/>
              </w:rPr>
              <w:t>Restriction level</w:t>
            </w:r>
            <w:r w:rsidRPr="5821F0BB">
              <w:rPr>
                <w:rFonts w:ascii="Arial Narrow" w:eastAsia="Arial Narrow" w:hAnsi="Arial Narrow" w:cs="Arial Narrow"/>
                <w:sz w:val="20"/>
                <w:szCs w:val="20"/>
              </w:rPr>
              <w:t xml:space="preserve"> </w:t>
            </w:r>
          </w:p>
        </w:tc>
        <w:tc>
          <w:tcPr>
            <w:tcW w:w="6540" w:type="dxa"/>
            <w:tcBorders>
              <w:top w:val="single" w:sz="8" w:space="0" w:color="auto"/>
              <w:left w:val="single" w:sz="8" w:space="0" w:color="auto"/>
              <w:bottom w:val="single" w:sz="8" w:space="0" w:color="auto"/>
              <w:right w:val="single" w:sz="8" w:space="0" w:color="auto"/>
            </w:tcBorders>
          </w:tcPr>
          <w:p w14:paraId="7654CBBC" w14:textId="0CB922EC" w:rsidR="002626DA" w:rsidRDefault="002626DA" w:rsidP="00220897">
            <w:r w:rsidRPr="5821F0BB">
              <w:rPr>
                <w:rFonts w:ascii="Arial Narrow" w:eastAsia="Arial Narrow" w:hAnsi="Arial Narrow" w:cs="Arial Narrow"/>
                <w:sz w:val="20"/>
                <w:szCs w:val="20"/>
              </w:rPr>
              <w:t xml:space="preserve">Authority Required – Telephone </w:t>
            </w:r>
          </w:p>
        </w:tc>
      </w:tr>
      <w:tr w:rsidR="002626DA" w14:paraId="607F2242" w14:textId="77777777" w:rsidTr="00220897">
        <w:tc>
          <w:tcPr>
            <w:tcW w:w="2475" w:type="dxa"/>
            <w:tcBorders>
              <w:top w:val="single" w:sz="8" w:space="0" w:color="auto"/>
              <w:left w:val="single" w:sz="8" w:space="0" w:color="auto"/>
              <w:bottom w:val="single" w:sz="8" w:space="0" w:color="auto"/>
              <w:right w:val="single" w:sz="8" w:space="0" w:color="auto"/>
            </w:tcBorders>
          </w:tcPr>
          <w:p w14:paraId="22F75D3A" w14:textId="5D9FAE4C" w:rsidR="002626DA" w:rsidRDefault="002626DA" w:rsidP="00220897">
            <w:r w:rsidRPr="5821F0BB">
              <w:rPr>
                <w:rFonts w:ascii="Arial Narrow" w:eastAsia="Arial Narrow" w:hAnsi="Arial Narrow" w:cs="Arial Narrow"/>
                <w:b/>
                <w:bCs/>
                <w:sz w:val="20"/>
                <w:szCs w:val="20"/>
              </w:rPr>
              <w:t>Prescriber instructions</w:t>
            </w:r>
            <w:r w:rsidRPr="5821F0BB">
              <w:rPr>
                <w:rFonts w:ascii="Arial Narrow" w:eastAsia="Arial Narrow" w:hAnsi="Arial Narrow" w:cs="Arial Narrow"/>
                <w:sz w:val="20"/>
                <w:szCs w:val="20"/>
              </w:rPr>
              <w:t xml:space="preserve"> </w:t>
            </w:r>
          </w:p>
        </w:tc>
        <w:tc>
          <w:tcPr>
            <w:tcW w:w="6540" w:type="dxa"/>
            <w:tcBorders>
              <w:top w:val="single" w:sz="8" w:space="0" w:color="auto"/>
              <w:left w:val="single" w:sz="8" w:space="0" w:color="auto"/>
              <w:bottom w:val="single" w:sz="8" w:space="0" w:color="auto"/>
              <w:right w:val="single" w:sz="8" w:space="0" w:color="auto"/>
            </w:tcBorders>
          </w:tcPr>
          <w:p w14:paraId="0D896FD6" w14:textId="0C009BC9" w:rsidR="002626DA" w:rsidRDefault="002626DA" w:rsidP="00220897">
            <w:r w:rsidRPr="5821F0BB">
              <w:rPr>
                <w:rFonts w:ascii="Arial Narrow" w:eastAsia="Arial Narrow" w:hAnsi="Arial Narrow" w:cs="Arial Narrow"/>
                <w:sz w:val="20"/>
                <w:szCs w:val="20"/>
              </w:rPr>
              <w:t xml:space="preserve">Each application for subsequent continuing treatment with this drug must include an assessment of the patient's response to the prior course of therapy.  </w:t>
            </w:r>
          </w:p>
          <w:p w14:paraId="5CF01D81" w14:textId="0CF8AFD2" w:rsidR="002626DA" w:rsidRDefault="002626DA" w:rsidP="00220897">
            <w:r w:rsidRPr="5821F0BB">
              <w:rPr>
                <w:rFonts w:ascii="Arial Narrow" w:eastAsia="Arial Narrow" w:hAnsi="Arial Narrow" w:cs="Arial Narrow"/>
                <w:sz w:val="20"/>
                <w:szCs w:val="20"/>
              </w:rPr>
              <w:t xml:space="preserve">If a patient fails to demonstrate a response to treatment with this drug they will not be eligible to receive further PBS-subsidised treatment with this drug for this condition within this treatment cycle. </w:t>
            </w:r>
          </w:p>
        </w:tc>
      </w:tr>
    </w:tbl>
    <w:p w14:paraId="5CFF1DEF" w14:textId="4DC1690D" w:rsidR="002626DA" w:rsidRDefault="002626DA" w:rsidP="002626DA"/>
    <w:p w14:paraId="5EE96D10" w14:textId="27D833BE" w:rsidR="002626DA" w:rsidRDefault="008F49AC" w:rsidP="008F49AC">
      <w:pPr>
        <w:pStyle w:val="3-BodyText"/>
        <w:numPr>
          <w:ilvl w:val="0"/>
          <w:numId w:val="0"/>
        </w:numPr>
        <w:ind w:left="720" w:hanging="720"/>
        <w:rPr>
          <w:color w:val="0066FF"/>
        </w:rPr>
      </w:pPr>
      <w:r>
        <w:t>3.2</w:t>
      </w:r>
      <w:r>
        <w:tab/>
      </w:r>
      <w:r w:rsidR="002626DA">
        <w:t xml:space="preserve">A Special Pricing Arrangement (SPA) </w:t>
      </w:r>
      <w:r w:rsidR="00457573">
        <w:t xml:space="preserve">was </w:t>
      </w:r>
      <w:r w:rsidR="002626DA">
        <w:t>requested.</w:t>
      </w:r>
      <w:r w:rsidR="002626DA" w:rsidRPr="5821F0BB">
        <w:rPr>
          <w:color w:val="0066FF"/>
        </w:rPr>
        <w:t xml:space="preserve"> </w:t>
      </w:r>
      <w:r w:rsidR="002626DA" w:rsidRPr="009827F7">
        <w:t xml:space="preserve">It is noted that SPAs </w:t>
      </w:r>
      <w:r w:rsidR="006B4095" w:rsidRPr="009827F7">
        <w:t>apply</w:t>
      </w:r>
      <w:r w:rsidR="002626DA" w:rsidRPr="009827F7">
        <w:t xml:space="preserve"> to ustekinumab and vedolizumab in CD. </w:t>
      </w:r>
    </w:p>
    <w:p w14:paraId="35E976CD" w14:textId="0CFDDABF" w:rsidR="170A8049" w:rsidRPr="00AF2677" w:rsidRDefault="008F49AC" w:rsidP="008F49AC">
      <w:pPr>
        <w:pStyle w:val="3-BodyText"/>
        <w:numPr>
          <w:ilvl w:val="0"/>
          <w:numId w:val="0"/>
        </w:numPr>
        <w:ind w:left="720" w:hanging="720"/>
        <w:rPr>
          <w:color w:val="000000" w:themeColor="text1"/>
        </w:rPr>
      </w:pPr>
      <w:r>
        <w:rPr>
          <w:rFonts w:ascii="Calibri" w:eastAsia="Calibri" w:hAnsi="Calibri" w:cs="Calibri"/>
          <w:color w:val="000000" w:themeColor="text1"/>
        </w:rPr>
        <w:t>3.3</w:t>
      </w:r>
      <w:r>
        <w:rPr>
          <w:rFonts w:ascii="Calibri" w:eastAsia="Calibri" w:hAnsi="Calibri" w:cs="Calibri"/>
          <w:color w:val="000000" w:themeColor="text1"/>
        </w:rPr>
        <w:tab/>
      </w:r>
      <w:r w:rsidR="170A8049" w:rsidRPr="00AF2677">
        <w:rPr>
          <w:rFonts w:ascii="Calibri" w:eastAsia="Calibri" w:hAnsi="Calibri" w:cs="Calibri"/>
          <w:color w:val="000000" w:themeColor="text1"/>
        </w:rPr>
        <w:t xml:space="preserve">The requested restrictions </w:t>
      </w:r>
      <w:r w:rsidR="00D26DA5" w:rsidRPr="00AF2677">
        <w:rPr>
          <w:rFonts w:ascii="Calibri" w:eastAsia="Calibri" w:hAnsi="Calibri" w:cs="Calibri"/>
          <w:color w:val="000000" w:themeColor="text1"/>
        </w:rPr>
        <w:t xml:space="preserve">population is narrower than the </w:t>
      </w:r>
      <w:r w:rsidR="170A8049" w:rsidRPr="00AF2677">
        <w:rPr>
          <w:rFonts w:ascii="Calibri" w:eastAsia="Calibri" w:hAnsi="Calibri" w:cs="Calibri"/>
          <w:color w:val="000000" w:themeColor="text1"/>
        </w:rPr>
        <w:t xml:space="preserve">proposed TGA indications in the target age group. The proposed TGA indication for risankizumab is for the treatment of moderate to severe active Crohn’s disease in patients 16 years of age and older. The requested PBS restrictions in the submission restrict use to adults over 18 years. </w:t>
      </w:r>
    </w:p>
    <w:p w14:paraId="18AA3095" w14:textId="115A3195" w:rsidR="0006386E" w:rsidRPr="008F49AC" w:rsidRDefault="008F49AC" w:rsidP="008F49AC">
      <w:pPr>
        <w:pStyle w:val="3-BodyText"/>
        <w:numPr>
          <w:ilvl w:val="0"/>
          <w:numId w:val="0"/>
        </w:numPr>
        <w:ind w:left="720" w:hanging="720"/>
        <w:rPr>
          <w:rFonts w:eastAsiaTheme="minorEastAsia" w:cstheme="minorBidi"/>
          <w:color w:val="000000" w:themeColor="text1"/>
        </w:rPr>
      </w:pPr>
      <w:r>
        <w:rPr>
          <w:rFonts w:ascii="Calibri" w:eastAsia="Calibri" w:hAnsi="Calibri" w:cs="Calibri"/>
          <w:color w:val="000000" w:themeColor="text1"/>
        </w:rPr>
        <w:t>3.4</w:t>
      </w:r>
      <w:r>
        <w:rPr>
          <w:rFonts w:ascii="Calibri" w:eastAsia="Calibri" w:hAnsi="Calibri" w:cs="Calibri"/>
          <w:color w:val="000000" w:themeColor="text1"/>
        </w:rPr>
        <w:tab/>
      </w:r>
      <w:r w:rsidR="4E69CF9A" w:rsidRPr="008F49AC">
        <w:rPr>
          <w:rFonts w:ascii="Calibri" w:eastAsia="Calibri" w:hAnsi="Calibri" w:cs="Calibri"/>
          <w:color w:val="000000" w:themeColor="text1"/>
        </w:rPr>
        <w:t xml:space="preserve">The submission proposed that the Authority level for risankizumab be lowered to Telephone Authority for continuing prescriptions, </w:t>
      </w:r>
      <w:r w:rsidR="002F4108" w:rsidRPr="008F49AC">
        <w:rPr>
          <w:rFonts w:ascii="Calibri" w:eastAsia="Calibri" w:hAnsi="Calibri" w:cs="Calibri"/>
          <w:color w:val="000000" w:themeColor="text1"/>
        </w:rPr>
        <w:t xml:space="preserve">to </w:t>
      </w:r>
      <w:r w:rsidR="4E69CF9A" w:rsidRPr="008F49AC">
        <w:rPr>
          <w:rFonts w:ascii="Calibri" w:eastAsia="Calibri" w:hAnsi="Calibri" w:cs="Calibri"/>
          <w:color w:val="000000" w:themeColor="text1"/>
        </w:rPr>
        <w:t>align with the restriction level in place for</w:t>
      </w:r>
      <w:r w:rsidR="00CF59EE" w:rsidRPr="008F49AC">
        <w:rPr>
          <w:rFonts w:ascii="Calibri" w:eastAsia="Calibri" w:hAnsi="Calibri" w:cs="Calibri"/>
          <w:color w:val="000000" w:themeColor="text1"/>
        </w:rPr>
        <w:t xml:space="preserve"> some</w:t>
      </w:r>
      <w:r w:rsidR="4E69CF9A" w:rsidRPr="008F49AC">
        <w:rPr>
          <w:rFonts w:ascii="Calibri" w:eastAsia="Calibri" w:hAnsi="Calibri" w:cs="Calibri"/>
          <w:color w:val="000000" w:themeColor="text1"/>
        </w:rPr>
        <w:t xml:space="preserve"> PBS listings in moderate to severe ulcerative colitis (the other form of IBD).</w:t>
      </w:r>
      <w:r w:rsidR="4E69CF9A" w:rsidRPr="008F49AC">
        <w:rPr>
          <w:rFonts w:ascii="Calibri" w:eastAsia="Calibri" w:hAnsi="Calibri" w:cs="Calibri"/>
          <w:b/>
          <w:color w:val="000000" w:themeColor="text1"/>
        </w:rPr>
        <w:t xml:space="preserve"> </w:t>
      </w:r>
      <w:r w:rsidR="4E69CF9A" w:rsidRPr="008F49AC">
        <w:rPr>
          <w:rFonts w:ascii="Calibri" w:eastAsia="Calibri" w:hAnsi="Calibri" w:cs="Calibri"/>
          <w:color w:val="000000" w:themeColor="text1"/>
        </w:rPr>
        <w:t xml:space="preserve">All the other biologic drugs PBS listed for severe CD and/or FCD require Written Authorities. The PBAC recently considered the written authority level of the following medicines for severe Crohn disease (adult): infliximab, ustekinumab, vedolizumab and adalimumab and recommended no change to written authority level (Review of Authority </w:t>
      </w:r>
      <w:r w:rsidR="00D26DA5" w:rsidRPr="008F49AC">
        <w:rPr>
          <w:rFonts w:ascii="Calibri" w:eastAsia="Calibri" w:hAnsi="Calibri" w:cs="Calibri"/>
          <w:color w:val="000000" w:themeColor="text1"/>
        </w:rPr>
        <w:t>R</w:t>
      </w:r>
      <w:r w:rsidR="4E69CF9A" w:rsidRPr="008F49AC">
        <w:rPr>
          <w:rFonts w:ascii="Calibri" w:eastAsia="Calibri" w:hAnsi="Calibri" w:cs="Calibri"/>
          <w:color w:val="000000" w:themeColor="text1"/>
        </w:rPr>
        <w:t>equired (</w:t>
      </w:r>
      <w:r w:rsidR="00D26DA5" w:rsidRPr="008F49AC">
        <w:rPr>
          <w:rFonts w:ascii="Calibri" w:eastAsia="Calibri" w:hAnsi="Calibri" w:cs="Calibri"/>
          <w:color w:val="000000" w:themeColor="text1"/>
        </w:rPr>
        <w:t>W</w:t>
      </w:r>
      <w:r w:rsidR="4E69CF9A" w:rsidRPr="008F49AC">
        <w:rPr>
          <w:rFonts w:ascii="Calibri" w:eastAsia="Calibri" w:hAnsi="Calibri" w:cs="Calibri"/>
          <w:color w:val="000000" w:themeColor="text1"/>
        </w:rPr>
        <w:t>ritten)</w:t>
      </w:r>
      <w:r w:rsidR="003E5E8B" w:rsidRPr="008F49AC">
        <w:rPr>
          <w:rFonts w:ascii="Calibri" w:eastAsia="Calibri" w:hAnsi="Calibri" w:cs="Calibri"/>
          <w:color w:val="000000" w:themeColor="text1"/>
        </w:rPr>
        <w:t xml:space="preserve"> </w:t>
      </w:r>
      <w:r w:rsidR="00D26DA5" w:rsidRPr="008F49AC">
        <w:rPr>
          <w:rFonts w:ascii="Calibri" w:eastAsia="Calibri" w:hAnsi="Calibri" w:cs="Calibri"/>
          <w:color w:val="000000" w:themeColor="text1"/>
        </w:rPr>
        <w:t>PBS listings Tranche 3</w:t>
      </w:r>
      <w:r w:rsidR="4E69CF9A" w:rsidRPr="008F49AC">
        <w:rPr>
          <w:rFonts w:ascii="Calibri" w:eastAsia="Calibri" w:hAnsi="Calibri" w:cs="Calibri"/>
          <w:color w:val="000000" w:themeColor="text1"/>
        </w:rPr>
        <w:t xml:space="preserve">, July 2021 </w:t>
      </w:r>
      <w:r w:rsidR="00424E1A">
        <w:rPr>
          <w:rFonts w:ascii="Calibri" w:eastAsia="Calibri" w:hAnsi="Calibri" w:cs="Calibri"/>
          <w:color w:val="000000" w:themeColor="text1"/>
        </w:rPr>
        <w:t>PBAC Outcomes</w:t>
      </w:r>
      <w:r w:rsidR="00A64F34" w:rsidRPr="008F49AC">
        <w:rPr>
          <w:rFonts w:ascii="Calibri" w:eastAsia="Calibri" w:hAnsi="Calibri" w:cs="Calibri"/>
          <w:color w:val="000000" w:themeColor="text1"/>
        </w:rPr>
        <w:t>)</w:t>
      </w:r>
      <w:r w:rsidR="4E69CF9A" w:rsidRPr="008F49AC">
        <w:rPr>
          <w:rFonts w:ascii="Calibri" w:eastAsia="Calibri" w:hAnsi="Calibri" w:cs="Calibri"/>
          <w:color w:val="000000" w:themeColor="text1"/>
        </w:rPr>
        <w:t>.</w:t>
      </w:r>
    </w:p>
    <w:p w14:paraId="7A803F1F" w14:textId="0471B144" w:rsidR="0006386E" w:rsidRPr="0006386E" w:rsidRDefault="0006386E" w:rsidP="0006386E">
      <w:pPr>
        <w:pStyle w:val="3-BodyText"/>
        <w:numPr>
          <w:ilvl w:val="0"/>
          <w:numId w:val="0"/>
        </w:numPr>
        <w:ind w:left="720"/>
        <w:rPr>
          <w:rFonts w:eastAsiaTheme="minorEastAsia" w:cstheme="minorBidi"/>
          <w:i/>
          <w:iCs/>
          <w:color w:val="000000" w:themeColor="text1"/>
        </w:rPr>
      </w:pPr>
      <w:r w:rsidRPr="0006386E">
        <w:rPr>
          <w:rFonts w:ascii="Calibri" w:eastAsia="Calibri" w:hAnsi="Calibri" w:cs="Calibri"/>
          <w:i/>
          <w:iCs/>
          <w:color w:val="000000" w:themeColor="text1"/>
        </w:rPr>
        <w:t>For more detail on PBAC’s view, see section 7 PBAC outcome.</w:t>
      </w:r>
    </w:p>
    <w:p w14:paraId="54BCB41B" w14:textId="77777777" w:rsidR="0006386E" w:rsidRPr="00AF2677" w:rsidRDefault="0006386E" w:rsidP="0043472F">
      <w:pPr>
        <w:pStyle w:val="3-BodyText"/>
        <w:numPr>
          <w:ilvl w:val="0"/>
          <w:numId w:val="0"/>
        </w:numPr>
        <w:rPr>
          <w:rFonts w:eastAsiaTheme="minorEastAsia" w:cstheme="minorBidi"/>
          <w:color w:val="000000" w:themeColor="text1"/>
        </w:rPr>
      </w:pPr>
    </w:p>
    <w:p w14:paraId="7075B85C" w14:textId="4C99FD6A" w:rsidR="00B50DB8" w:rsidRPr="00407F2D" w:rsidRDefault="00203181" w:rsidP="00F7160C">
      <w:pPr>
        <w:pStyle w:val="2-SectionHeading"/>
      </w:pPr>
      <w:bookmarkStart w:id="7" w:name="_Toc103776021"/>
      <w:r>
        <w:t xml:space="preserve">Population and </w:t>
      </w:r>
      <w:r w:rsidR="008E0D3C">
        <w:t>d</w:t>
      </w:r>
      <w:r>
        <w:t>isease</w:t>
      </w:r>
      <w:bookmarkEnd w:id="7"/>
    </w:p>
    <w:p w14:paraId="21FDD135" w14:textId="4C2CE58A" w:rsidR="00894489" w:rsidRPr="00943A7C" w:rsidRDefault="0616FF1F" w:rsidP="00F7160C">
      <w:pPr>
        <w:pStyle w:val="3-BodyText"/>
        <w:ind w:left="709"/>
        <w:rPr>
          <w:rFonts w:eastAsiaTheme="minorEastAsia" w:cstheme="minorBidi"/>
          <w:color w:val="0066FF"/>
        </w:rPr>
      </w:pPr>
      <w:r w:rsidRPr="170A8049">
        <w:rPr>
          <w:rFonts w:ascii="Calibri" w:eastAsia="Calibri" w:hAnsi="Calibri" w:cs="Calibri"/>
          <w:color w:val="000000" w:themeColor="text1"/>
        </w:rPr>
        <w:t xml:space="preserve">Crohn’s disease is one of the main forms of inflammatory bowel disease (IBD), along with ulcerative colitis. It is an incurable, progressive, inflammatory gastrointestinal disorder that damages the gastrointestinal tract through inappropriate immune </w:t>
      </w:r>
      <w:r w:rsidRPr="170A8049">
        <w:rPr>
          <w:rFonts w:ascii="Calibri" w:eastAsia="Calibri" w:hAnsi="Calibri" w:cs="Calibri"/>
          <w:color w:val="000000" w:themeColor="text1"/>
        </w:rPr>
        <w:lastRenderedPageBreak/>
        <w:t xml:space="preserve">activation and chronic inflammation. Anywhere from the mouth to the anus can be affected. The course of disease is usually episodic with remitting and relapsing symptoms. </w:t>
      </w:r>
      <w:r w:rsidRPr="170A8049">
        <w:rPr>
          <w:color w:val="000000" w:themeColor="text1"/>
        </w:rPr>
        <w:t>Damage to the gastrointestinal tract in CD is associated with significant morbidity and has a marked impact on the patient’s quality of life as the most common symptoms include debilitating pain, rectal bleeding, diarrhoea, fatigue, and weight loss due to malnutrition.</w:t>
      </w:r>
      <w:r w:rsidRPr="170A8049">
        <w:rPr>
          <w:color w:val="0066FF"/>
        </w:rPr>
        <w:t xml:space="preserve"> </w:t>
      </w:r>
      <w:r w:rsidRPr="170A8049">
        <w:rPr>
          <w:rFonts w:ascii="Calibri" w:eastAsia="Calibri" w:hAnsi="Calibri" w:cs="Calibri"/>
          <w:color w:val="000000" w:themeColor="text1"/>
        </w:rPr>
        <w:t>The submission target</w:t>
      </w:r>
      <w:r w:rsidR="00E529F1">
        <w:rPr>
          <w:rFonts w:ascii="Calibri" w:eastAsia="Calibri" w:hAnsi="Calibri" w:cs="Calibri"/>
          <w:color w:val="000000" w:themeColor="text1"/>
        </w:rPr>
        <w:t>ed</w:t>
      </w:r>
      <w:r w:rsidRPr="170A8049">
        <w:rPr>
          <w:rFonts w:ascii="Calibri" w:eastAsia="Calibri" w:hAnsi="Calibri" w:cs="Calibri"/>
          <w:color w:val="000000" w:themeColor="text1"/>
        </w:rPr>
        <w:t xml:space="preserve"> two subgroups of patients with Crohn’s disease – severe </w:t>
      </w:r>
      <w:r w:rsidR="002F4108">
        <w:rPr>
          <w:rFonts w:ascii="Calibri" w:eastAsia="Calibri" w:hAnsi="Calibri" w:cs="Calibri"/>
          <w:color w:val="000000" w:themeColor="text1"/>
        </w:rPr>
        <w:t>CD</w:t>
      </w:r>
      <w:r w:rsidRPr="170A8049">
        <w:rPr>
          <w:rFonts w:ascii="Calibri" w:eastAsia="Calibri" w:hAnsi="Calibri" w:cs="Calibri"/>
          <w:color w:val="000000" w:themeColor="text1"/>
        </w:rPr>
        <w:t xml:space="preserve"> and complex refractory FCD. FCD is characterised by ulceration and development of a sinus tract which penetrates through the bowel wall and connects two epithelial-lined organs such as the intestine to the skin (enterocutaneous) or to the vagina (enterovaginal).</w:t>
      </w:r>
    </w:p>
    <w:p w14:paraId="236111C6" w14:textId="35BD7B04" w:rsidR="00943A7C" w:rsidRPr="00943A7C" w:rsidRDefault="00943A7C" w:rsidP="00F7160C">
      <w:pPr>
        <w:pStyle w:val="3-BodyText"/>
        <w:ind w:left="709"/>
        <w:rPr>
          <w:rFonts w:eastAsiaTheme="minorEastAsia" w:cstheme="minorBidi"/>
          <w:color w:val="0066FF"/>
        </w:rPr>
      </w:pPr>
      <w:r>
        <w:t xml:space="preserve">Risankizumab is a selective humanised immunoglobulin G1 antagonistic monoclonal antibody directed against the p19 subunit of IL-23, a cytokine that contributes to gastrointestinal inflammation in CD. IL-23 is elevated in colonic mucosa in Crohn’s disease and promotes survival of T helper 17 (Th17) cells, which produce pro-inflammatory downstream </w:t>
      </w:r>
      <w:r w:rsidRPr="001E7905">
        <w:t xml:space="preserve">cytokines. </w:t>
      </w:r>
      <w:r w:rsidR="00C06E91" w:rsidRPr="001E7905">
        <w:t>The submission stated that r</w:t>
      </w:r>
      <w:r w:rsidRPr="001E7905">
        <w:t xml:space="preserve">isankizumab </w:t>
      </w:r>
      <w:r w:rsidRPr="5E3E16D7">
        <w:rPr>
          <w:color w:val="000000" w:themeColor="text1"/>
        </w:rPr>
        <w:t xml:space="preserve">has unique pharmacokinetic and pharmacodynamic properties that give rise to a durable effect of more than 1 year after the final induction dose, which may bias results against risankizumab. </w:t>
      </w:r>
      <w:r w:rsidRPr="00AF2677">
        <w:rPr>
          <w:color w:val="000000" w:themeColor="text1"/>
        </w:rPr>
        <w:t>The PBAC has acknowledged this in their recommendation of ustekinumab for CD (paragraph 7.6, Ustekinumab PSD, March 2017).</w:t>
      </w:r>
      <w:r w:rsidRPr="008A4B69">
        <w:rPr>
          <w:iCs/>
          <w:color w:val="000000" w:themeColor="text1"/>
        </w:rPr>
        <w:t xml:space="preserve"> </w:t>
      </w:r>
    </w:p>
    <w:p w14:paraId="17C62DD3" w14:textId="56F02430" w:rsidR="00943A7C" w:rsidRPr="002E4F02" w:rsidRDefault="00943A7C" w:rsidP="00F7160C">
      <w:pPr>
        <w:pStyle w:val="3-BodyText"/>
        <w:ind w:left="709"/>
        <w:rPr>
          <w:rFonts w:eastAsiaTheme="minorEastAsia" w:cstheme="minorBidi"/>
          <w:color w:val="0066FF"/>
        </w:rPr>
      </w:pPr>
      <w:r>
        <w:rPr>
          <w:rFonts w:ascii="Calibri" w:eastAsia="Calibri" w:hAnsi="Calibri" w:cs="Calibri"/>
          <w:color w:val="000000" w:themeColor="text1"/>
        </w:rPr>
        <w:t>The proposed treatment algorithms for CD and FCD are presented in the figures below.</w:t>
      </w:r>
    </w:p>
    <w:p w14:paraId="430AD8AA" w14:textId="2633E803" w:rsidR="002C2775" w:rsidRPr="00B34F98" w:rsidRDefault="5453B129" w:rsidP="001A38CA">
      <w:pPr>
        <w:pStyle w:val="Caption"/>
        <w:keepNext/>
        <w:widowControl w:val="0"/>
        <w:rPr>
          <w:rStyle w:val="CommentReference"/>
          <w:b/>
          <w:bCs w:val="0"/>
          <w:color w:val="auto"/>
        </w:rPr>
      </w:pPr>
      <w:r w:rsidRPr="00B34F98">
        <w:rPr>
          <w:rStyle w:val="CommentReference"/>
          <w:b/>
          <w:bCs w:val="0"/>
          <w:color w:val="auto"/>
        </w:rPr>
        <w:lastRenderedPageBreak/>
        <w:t>Figure</w:t>
      </w:r>
      <w:r w:rsidR="00B34F98" w:rsidRPr="00B34F98">
        <w:rPr>
          <w:rStyle w:val="CommentReference"/>
          <w:b/>
          <w:bCs w:val="0"/>
          <w:color w:val="auto"/>
        </w:rPr>
        <w:t xml:space="preserve"> </w:t>
      </w:r>
      <w:r w:rsidR="00B34F98" w:rsidRPr="00B34F98">
        <w:rPr>
          <w:rStyle w:val="CommentReference"/>
          <w:b/>
          <w:bCs w:val="0"/>
          <w:color w:val="auto"/>
        </w:rPr>
        <w:fldChar w:fldCharType="begin" w:fldLock="1"/>
      </w:r>
      <w:r w:rsidR="00B34F98" w:rsidRPr="00B34F98">
        <w:rPr>
          <w:rStyle w:val="CommentReference"/>
          <w:b/>
          <w:bCs w:val="0"/>
          <w:color w:val="auto"/>
        </w:rPr>
        <w:instrText xml:space="preserve"> SEQ Figure \* ARABIC </w:instrText>
      </w:r>
      <w:r w:rsidR="00B34F98" w:rsidRPr="00B34F98">
        <w:rPr>
          <w:rStyle w:val="CommentReference"/>
          <w:b/>
          <w:bCs w:val="0"/>
          <w:color w:val="auto"/>
        </w:rPr>
        <w:fldChar w:fldCharType="separate"/>
      </w:r>
      <w:r w:rsidR="00B34F98">
        <w:rPr>
          <w:rStyle w:val="CommentReference"/>
          <w:b/>
          <w:bCs w:val="0"/>
          <w:noProof/>
          <w:color w:val="auto"/>
        </w:rPr>
        <w:t>1</w:t>
      </w:r>
      <w:r w:rsidR="00B34F98" w:rsidRPr="00B34F98">
        <w:rPr>
          <w:rStyle w:val="CommentReference"/>
          <w:b/>
          <w:bCs w:val="0"/>
          <w:color w:val="auto"/>
        </w:rPr>
        <w:fldChar w:fldCharType="end"/>
      </w:r>
      <w:r w:rsidR="6FBACE14" w:rsidRPr="00B34F98">
        <w:rPr>
          <w:rStyle w:val="CommentReference"/>
          <w:b/>
          <w:bCs w:val="0"/>
          <w:color w:val="auto"/>
        </w:rPr>
        <w:t>:</w:t>
      </w:r>
      <w:r w:rsidRPr="00B34F98">
        <w:rPr>
          <w:rStyle w:val="CommentReference"/>
          <w:b/>
          <w:bCs w:val="0"/>
          <w:color w:val="auto"/>
        </w:rPr>
        <w:t xml:space="preserve"> Current and proposed clinical management algorithms – severe CD</w:t>
      </w:r>
    </w:p>
    <w:p w14:paraId="66C20128" w14:textId="7233C964" w:rsidR="002C2775" w:rsidRPr="002E4F02" w:rsidRDefault="002C2775" w:rsidP="001A38CA">
      <w:pPr>
        <w:keepNext/>
        <w:widowControl w:val="0"/>
        <w:rPr>
          <w:rFonts w:ascii="Arial Narrow" w:eastAsia="Arial Narrow" w:hAnsi="Arial Narrow" w:cs="Arial Narrow"/>
          <w:b/>
          <w:bCs/>
          <w:color w:val="000000" w:themeColor="text1"/>
          <w:sz w:val="20"/>
          <w:szCs w:val="20"/>
        </w:rPr>
      </w:pPr>
    </w:p>
    <w:p w14:paraId="33172526" w14:textId="1260AC59" w:rsidR="002C2775" w:rsidRPr="002E4F02" w:rsidRDefault="5453B129" w:rsidP="001A38CA">
      <w:pPr>
        <w:keepNext/>
        <w:widowControl w:val="0"/>
        <w:rPr>
          <w:rFonts w:ascii="Arial Narrow" w:eastAsia="Arial Narrow" w:hAnsi="Arial Narrow" w:cs="Arial Narrow"/>
          <w:b/>
          <w:bCs/>
          <w:color w:val="000000" w:themeColor="text1"/>
          <w:sz w:val="20"/>
          <w:szCs w:val="20"/>
        </w:rPr>
      </w:pPr>
      <w:r>
        <w:rPr>
          <w:noProof/>
        </w:rPr>
        <w:drawing>
          <wp:inline distT="0" distB="0" distL="0" distR="0" wp14:anchorId="7A03D342" wp14:editId="65BB7ED2">
            <wp:extent cx="5286375" cy="3943350"/>
            <wp:effectExtent l="0" t="0" r="0" b="0"/>
            <wp:docPr id="824567729" name="Picture 824567729" descr="Figure 1: Current and proposed clinical management algorithms – severe 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567729" name="Picture 824567729" descr="Figure 1: Current and proposed clinical management algorithms – severe CD"/>
                    <pic:cNvPicPr/>
                  </pic:nvPicPr>
                  <pic:blipFill>
                    <a:blip r:embed="rId8">
                      <a:extLst>
                        <a:ext uri="{28A0092B-C50C-407E-A947-70E740481C1C}">
                          <a14:useLocalDpi xmlns:a14="http://schemas.microsoft.com/office/drawing/2010/main" val="0"/>
                        </a:ext>
                      </a:extLst>
                    </a:blip>
                    <a:stretch>
                      <a:fillRect/>
                    </a:stretch>
                  </pic:blipFill>
                  <pic:spPr>
                    <a:xfrm>
                      <a:off x="0" y="0"/>
                      <a:ext cx="5286375" cy="3943350"/>
                    </a:xfrm>
                    <a:prstGeom prst="rect">
                      <a:avLst/>
                    </a:prstGeom>
                  </pic:spPr>
                </pic:pic>
              </a:graphicData>
            </a:graphic>
          </wp:inline>
        </w:drawing>
      </w:r>
    </w:p>
    <w:p w14:paraId="6D73B576" w14:textId="584A8B00" w:rsidR="002C2775" w:rsidRPr="00A5092C" w:rsidRDefault="5453B129" w:rsidP="00A5092C">
      <w:pPr>
        <w:pStyle w:val="TableFootnote"/>
        <w:rPr>
          <w:i w:val="0"/>
          <w:iCs/>
        </w:rPr>
      </w:pPr>
      <w:r w:rsidRPr="00A5092C">
        <w:rPr>
          <w:i w:val="0"/>
          <w:iCs/>
          <w:lang w:val="en-GB"/>
        </w:rPr>
        <w:t>Source: Figure 1-5, p41 of the submission</w:t>
      </w:r>
    </w:p>
    <w:p w14:paraId="4CD88E8A" w14:textId="2BFFDC7F" w:rsidR="002C2775" w:rsidRPr="00A5092C" w:rsidRDefault="5453B129" w:rsidP="00A5092C">
      <w:pPr>
        <w:pStyle w:val="TableFootnote"/>
        <w:rPr>
          <w:i w:val="0"/>
          <w:iCs/>
        </w:rPr>
      </w:pPr>
      <w:r w:rsidRPr="00A5092C">
        <w:rPr>
          <w:i w:val="0"/>
          <w:iCs/>
          <w:lang w:val="en-GB"/>
        </w:rPr>
        <w:t>Abbreviations: ADA = adalimumab; CDAI = Crohn’s Disease Activity Index; CS = corticosteroids; IL = interleukin; INFX = infliximab; MP = mercaptopurine; MTX = methotrexate; TPN = total parenteral nutrition; RISA = risankizumab; USTE = ustekinumab; VEDO = vedolizumab.</w:t>
      </w:r>
    </w:p>
    <w:p w14:paraId="43067D0F" w14:textId="305889D7" w:rsidR="002C2775" w:rsidRPr="00B34F98" w:rsidRDefault="4D6C2240" w:rsidP="00B34F98">
      <w:pPr>
        <w:pStyle w:val="TableFigureHeading"/>
      </w:pPr>
      <w:r w:rsidRPr="00B34F98">
        <w:lastRenderedPageBreak/>
        <w:t xml:space="preserve">Figure </w:t>
      </w:r>
      <w:r>
        <w:fldChar w:fldCharType="begin" w:fldLock="1"/>
      </w:r>
      <w:r>
        <w:instrText>SEQ Figure \* ARABIC</w:instrText>
      </w:r>
      <w:r>
        <w:fldChar w:fldCharType="separate"/>
      </w:r>
      <w:r w:rsidR="00B34F98" w:rsidRPr="00B34F98">
        <w:t>2</w:t>
      </w:r>
      <w:r>
        <w:fldChar w:fldCharType="end"/>
      </w:r>
      <w:r w:rsidRPr="00B34F98">
        <w:t>: Current and proposed clinical management algorithms – FCD</w:t>
      </w:r>
    </w:p>
    <w:p w14:paraId="20F2066D" w14:textId="32CC8A83" w:rsidR="002C2775" w:rsidRPr="002E4F02" w:rsidRDefault="4D6C2240" w:rsidP="4D6C2240">
      <w:pPr>
        <w:rPr>
          <w:rFonts w:ascii="Arial Narrow" w:eastAsia="Arial Narrow" w:hAnsi="Arial Narrow" w:cs="Arial Narrow"/>
          <w:b/>
          <w:bCs/>
          <w:color w:val="000000" w:themeColor="text1"/>
          <w:sz w:val="20"/>
          <w:szCs w:val="20"/>
          <w:lang w:val="en-GB"/>
        </w:rPr>
      </w:pPr>
      <w:r>
        <w:rPr>
          <w:noProof/>
        </w:rPr>
        <w:drawing>
          <wp:inline distT="0" distB="0" distL="0" distR="0" wp14:anchorId="6581CC00" wp14:editId="2934ABB0">
            <wp:extent cx="5267324" cy="4086225"/>
            <wp:effectExtent l="0" t="0" r="0" b="0"/>
            <wp:docPr id="1055366970" name="Picture 1055366970" descr="Figure 2: Current and proposed clinical management algorithms – F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366970" name="Picture 1055366970" descr="Figure 2: Current and proposed clinical management algorithms – FCD"/>
                    <pic:cNvPicPr/>
                  </pic:nvPicPr>
                  <pic:blipFill>
                    <a:blip r:embed="rId9">
                      <a:extLst>
                        <a:ext uri="{28A0092B-C50C-407E-A947-70E740481C1C}">
                          <a14:useLocalDpi xmlns:a14="http://schemas.microsoft.com/office/drawing/2010/main" val="0"/>
                        </a:ext>
                      </a:extLst>
                    </a:blip>
                    <a:stretch>
                      <a:fillRect/>
                    </a:stretch>
                  </pic:blipFill>
                  <pic:spPr>
                    <a:xfrm>
                      <a:off x="0" y="0"/>
                      <a:ext cx="5267324" cy="4086225"/>
                    </a:xfrm>
                    <a:prstGeom prst="rect">
                      <a:avLst/>
                    </a:prstGeom>
                  </pic:spPr>
                </pic:pic>
              </a:graphicData>
            </a:graphic>
          </wp:inline>
        </w:drawing>
      </w:r>
    </w:p>
    <w:p w14:paraId="32DB302C" w14:textId="40F483F6" w:rsidR="002C2775" w:rsidRPr="002E4F02" w:rsidRDefault="002C2775" w:rsidP="4D6C2240">
      <w:pPr>
        <w:rPr>
          <w:rFonts w:ascii="Arial Narrow" w:eastAsia="Arial Narrow" w:hAnsi="Arial Narrow" w:cs="Arial Narrow"/>
          <w:b/>
          <w:bCs/>
          <w:color w:val="000000" w:themeColor="text1"/>
          <w:sz w:val="20"/>
          <w:szCs w:val="20"/>
          <w:lang w:val="en-GB"/>
        </w:rPr>
      </w:pPr>
    </w:p>
    <w:p w14:paraId="2ECD51F4" w14:textId="52759472" w:rsidR="002C2775" w:rsidRPr="002E4F02" w:rsidRDefault="4D6C2240" w:rsidP="4D6C2240">
      <w:pPr>
        <w:rPr>
          <w:rFonts w:ascii="Arial Narrow" w:eastAsia="Arial Narrow" w:hAnsi="Arial Narrow" w:cs="Arial Narrow"/>
          <w:color w:val="000000" w:themeColor="text1"/>
          <w:sz w:val="18"/>
          <w:szCs w:val="18"/>
          <w:lang w:val="en-GB"/>
        </w:rPr>
      </w:pPr>
      <w:r w:rsidRPr="4D6C2240">
        <w:rPr>
          <w:rFonts w:ascii="Arial Narrow" w:eastAsia="Arial Narrow" w:hAnsi="Arial Narrow" w:cs="Arial Narrow"/>
          <w:color w:val="000000" w:themeColor="text1"/>
          <w:sz w:val="18"/>
          <w:szCs w:val="18"/>
          <w:lang w:val="en-GB"/>
        </w:rPr>
        <w:t>Source: Figure 1-6, p42 of the submission</w:t>
      </w:r>
    </w:p>
    <w:p w14:paraId="5488672F" w14:textId="3BB4EECD" w:rsidR="002C2775" w:rsidRDefault="4D6C2240" w:rsidP="6D0DB2A8">
      <w:pPr>
        <w:jc w:val="left"/>
        <w:rPr>
          <w:rFonts w:ascii="Arial Narrow" w:eastAsia="Arial Narrow" w:hAnsi="Arial Narrow" w:cs="Arial Narrow"/>
          <w:color w:val="000000" w:themeColor="text1"/>
          <w:sz w:val="18"/>
          <w:szCs w:val="18"/>
          <w:lang w:val="en-GB"/>
        </w:rPr>
      </w:pPr>
      <w:r w:rsidRPr="4D6C2240">
        <w:rPr>
          <w:rFonts w:ascii="Arial Narrow" w:eastAsia="Arial Narrow" w:hAnsi="Arial Narrow" w:cs="Arial Narrow"/>
          <w:color w:val="000000" w:themeColor="text1"/>
          <w:sz w:val="18"/>
          <w:szCs w:val="18"/>
          <w:lang w:val="en-GB"/>
        </w:rPr>
        <w:t>Abbreviations: ADA = adalimumab; IL = interleukin; INFX = infliximab; RISA = risankizumab</w:t>
      </w:r>
    </w:p>
    <w:p w14:paraId="273A09F6" w14:textId="3E8FCEE5" w:rsidR="0036750C" w:rsidRDefault="0036750C" w:rsidP="6D0DB2A8">
      <w:pPr>
        <w:jc w:val="left"/>
        <w:rPr>
          <w:rFonts w:ascii="Arial Narrow" w:eastAsia="Arial Narrow" w:hAnsi="Arial Narrow" w:cs="Arial Narrow"/>
          <w:color w:val="000000" w:themeColor="text1"/>
          <w:sz w:val="18"/>
          <w:szCs w:val="18"/>
          <w:lang w:val="en-GB"/>
        </w:rPr>
      </w:pPr>
    </w:p>
    <w:p w14:paraId="76F9086E" w14:textId="77777777" w:rsidR="0036750C" w:rsidRPr="0006386E" w:rsidRDefault="0036750C" w:rsidP="0036750C">
      <w:pPr>
        <w:pStyle w:val="3-BodyText"/>
        <w:numPr>
          <w:ilvl w:val="0"/>
          <w:numId w:val="0"/>
        </w:numPr>
        <w:ind w:left="720" w:hanging="720"/>
        <w:rPr>
          <w:rFonts w:eastAsiaTheme="minorEastAsia" w:cstheme="minorBidi"/>
          <w:i/>
          <w:iCs/>
          <w:color w:val="000000" w:themeColor="text1"/>
        </w:rPr>
      </w:pPr>
      <w:r w:rsidRPr="0006386E">
        <w:rPr>
          <w:rFonts w:ascii="Calibri" w:eastAsia="Calibri" w:hAnsi="Calibri" w:cs="Calibri"/>
          <w:i/>
          <w:iCs/>
          <w:color w:val="000000" w:themeColor="text1"/>
        </w:rPr>
        <w:t>For more detail on PBAC’s view, see section 7 PBAC outcome.</w:t>
      </w:r>
    </w:p>
    <w:p w14:paraId="0D0F9C84" w14:textId="563EF258" w:rsidR="002C2775" w:rsidRPr="002E4F02" w:rsidRDefault="002C2775" w:rsidP="4D6C2240">
      <w:pPr>
        <w:rPr>
          <w:color w:val="000000" w:themeColor="text1"/>
          <w:lang w:val="en-GB"/>
        </w:rPr>
      </w:pPr>
    </w:p>
    <w:p w14:paraId="51E5AE96" w14:textId="136A63B1" w:rsidR="00B50DB8" w:rsidRPr="00407F2D" w:rsidRDefault="00B50DB8" w:rsidP="00F7160C">
      <w:pPr>
        <w:pStyle w:val="2-SectionHeading"/>
      </w:pPr>
      <w:bookmarkStart w:id="8" w:name="_Toc103776022"/>
      <w:r w:rsidRPr="00407F2D">
        <w:t>Comparator</w:t>
      </w:r>
      <w:bookmarkEnd w:id="8"/>
    </w:p>
    <w:p w14:paraId="62BE248C" w14:textId="307B5957" w:rsidR="00A05472" w:rsidRPr="008A4B69" w:rsidRDefault="7694E0CC" w:rsidP="00465970">
      <w:pPr>
        <w:pStyle w:val="3-BodyText"/>
        <w:ind w:left="709"/>
        <w:rPr>
          <w:rFonts w:eastAsiaTheme="minorEastAsia" w:cstheme="minorBidi"/>
          <w:iCs/>
          <w:snapToGrid/>
          <w:color w:val="000000" w:themeColor="text1"/>
        </w:rPr>
      </w:pPr>
      <w:r w:rsidRPr="170A8049">
        <w:rPr>
          <w:rFonts w:ascii="Calibri" w:eastAsia="Calibri" w:hAnsi="Calibri" w:cs="Calibri"/>
          <w:color w:val="000000" w:themeColor="text1"/>
        </w:rPr>
        <w:t>For severe CD population, the submission nominated ustekinumab as the main comparator</w:t>
      </w:r>
      <w:r w:rsidR="00943A7C">
        <w:rPr>
          <w:rFonts w:ascii="Calibri" w:eastAsia="Calibri" w:hAnsi="Calibri" w:cs="Calibri"/>
          <w:color w:val="000000" w:themeColor="text1"/>
        </w:rPr>
        <w:t xml:space="preserve"> because</w:t>
      </w:r>
      <w:r w:rsidRPr="170A8049">
        <w:rPr>
          <w:rFonts w:ascii="Calibri" w:eastAsia="Calibri" w:hAnsi="Calibri" w:cs="Calibri"/>
          <w:color w:val="000000" w:themeColor="text1"/>
        </w:rPr>
        <w:t xml:space="preserve"> ustekinumab is the closest pharmacological analogue to risankizumab, has a PBS population that is also restricted to use in adults, and has an almost identical manner of administration and dosing regimen. </w:t>
      </w:r>
      <w:r w:rsidR="0CB69824" w:rsidRPr="170A8049">
        <w:rPr>
          <w:rFonts w:ascii="Calibri" w:eastAsia="Calibri" w:hAnsi="Calibri" w:cs="Calibri"/>
          <w:color w:val="000000" w:themeColor="text1"/>
        </w:rPr>
        <w:t xml:space="preserve">The submission </w:t>
      </w:r>
      <w:r w:rsidR="00276F13">
        <w:rPr>
          <w:rFonts w:ascii="Calibri" w:eastAsia="Calibri" w:hAnsi="Calibri" w:cs="Calibri"/>
          <w:color w:val="000000" w:themeColor="text1"/>
        </w:rPr>
        <w:t>also nominated</w:t>
      </w:r>
      <w:r w:rsidR="0CB69824" w:rsidRPr="170A8049">
        <w:rPr>
          <w:rFonts w:ascii="Calibri" w:eastAsia="Calibri" w:hAnsi="Calibri" w:cs="Calibri"/>
          <w:color w:val="000000" w:themeColor="text1"/>
        </w:rPr>
        <w:t xml:space="preserve"> infliximab, adalimumab and vedolizumab as supplementary </w:t>
      </w:r>
      <w:r w:rsidR="0CB69824" w:rsidRPr="000B2B7E">
        <w:rPr>
          <w:rFonts w:ascii="Calibri" w:eastAsia="Calibri" w:hAnsi="Calibri" w:cs="Calibri"/>
          <w:color w:val="000000" w:themeColor="text1"/>
        </w:rPr>
        <w:t xml:space="preserve">comparators. </w:t>
      </w:r>
    </w:p>
    <w:p w14:paraId="672B2BD9" w14:textId="39B4A01E" w:rsidR="00A41FAD" w:rsidRPr="000B2B7E" w:rsidRDefault="00A41FAD" w:rsidP="00465970">
      <w:pPr>
        <w:pStyle w:val="3-BodyText"/>
        <w:ind w:left="709"/>
      </w:pPr>
      <w:r w:rsidRPr="00EF2EF2">
        <w:rPr>
          <w:rFonts w:eastAsiaTheme="minorEastAsia" w:cstheme="minorBidi"/>
          <w:snapToGrid/>
          <w:color w:val="000000" w:themeColor="text1"/>
        </w:rPr>
        <w:t>For FCD population, the submission nominated adalimumab and infliximab as the main comparators as they are the only other treatment options available in the proposed FCD patient population.  The submission claimed that adalimumab is the most widely used treatment for FCD, therefore, the most appropriate comparator for risankizumab</w:t>
      </w:r>
      <w:r w:rsidRPr="008A4B69">
        <w:rPr>
          <w:rFonts w:eastAsiaTheme="minorEastAsia" w:cstheme="minorBidi"/>
          <w:iCs/>
          <w:snapToGrid/>
          <w:color w:val="000000" w:themeColor="text1"/>
        </w:rPr>
        <w:t>.</w:t>
      </w:r>
      <w:r w:rsidR="00276F13" w:rsidRPr="008A4B69">
        <w:rPr>
          <w:rFonts w:eastAsiaTheme="minorEastAsia" w:cstheme="minorBidi"/>
          <w:iCs/>
          <w:snapToGrid/>
          <w:color w:val="000000" w:themeColor="text1"/>
        </w:rPr>
        <w:t xml:space="preserve"> </w:t>
      </w:r>
    </w:p>
    <w:p w14:paraId="06C2C6AE" w14:textId="77777777" w:rsidR="0036750C" w:rsidRPr="0036750C" w:rsidRDefault="006B4095" w:rsidP="00465970">
      <w:pPr>
        <w:pStyle w:val="3-BodyText"/>
        <w:ind w:left="709"/>
        <w:rPr>
          <w:rFonts w:eastAsiaTheme="minorEastAsia" w:cstheme="minorBidi"/>
          <w:iCs/>
          <w:snapToGrid/>
          <w:color w:val="000000" w:themeColor="text1"/>
        </w:rPr>
      </w:pPr>
      <w:r w:rsidRPr="00AF2677">
        <w:rPr>
          <w:iCs/>
          <w:lang w:val="en-US"/>
        </w:rPr>
        <w:t xml:space="preserve">Under Section 101(3B) of the National Health Act 1953, when the proposed medicine is substantially more costly than an alternative therapy, the committee cannot make </w:t>
      </w:r>
      <w:r w:rsidRPr="00AF2677">
        <w:rPr>
          <w:iCs/>
          <w:lang w:val="en-US"/>
        </w:rPr>
        <w:lastRenderedPageBreak/>
        <w:t xml:space="preserve">a positive recommendation unless it is satisfied that, for some patients, the proposed medicine provides a significant improvement in efficacy and/or reduction of toxicity over the alternative therapy. </w:t>
      </w:r>
      <w:r w:rsidR="00A259CE" w:rsidRPr="00AF2677">
        <w:rPr>
          <w:iCs/>
          <w:lang w:val="en-US"/>
        </w:rPr>
        <w:t xml:space="preserve">Alternative therapies for CD include infliximab, adalimumab, ustekinumab and vedolizumab and for FCD include infliximab and adalimumab. </w:t>
      </w:r>
    </w:p>
    <w:p w14:paraId="5CD0A19A" w14:textId="597C0B1A" w:rsidR="0036750C" w:rsidRPr="0036750C" w:rsidRDefault="0036750C" w:rsidP="0036750C">
      <w:pPr>
        <w:pStyle w:val="3-BodyText"/>
        <w:numPr>
          <w:ilvl w:val="0"/>
          <w:numId w:val="0"/>
        </w:numPr>
        <w:rPr>
          <w:rFonts w:eastAsiaTheme="minorEastAsia" w:cstheme="minorBidi"/>
          <w:iCs/>
          <w:snapToGrid/>
          <w:color w:val="000000" w:themeColor="text1"/>
        </w:rPr>
      </w:pPr>
      <w:r w:rsidRPr="0036750C">
        <w:rPr>
          <w:rFonts w:ascii="Calibri" w:eastAsia="Calibri" w:hAnsi="Calibri" w:cs="Calibri"/>
          <w:i/>
          <w:iCs/>
          <w:color w:val="000000" w:themeColor="text1"/>
        </w:rPr>
        <w:t>For more detail on PBAC’s view, see section 7 PBAC outcome.</w:t>
      </w:r>
    </w:p>
    <w:p w14:paraId="3C93144B" w14:textId="77777777" w:rsidR="0036750C" w:rsidRPr="00AF2677" w:rsidRDefault="0036750C" w:rsidP="0036750C">
      <w:pPr>
        <w:pStyle w:val="3-BodyText"/>
        <w:numPr>
          <w:ilvl w:val="0"/>
          <w:numId w:val="0"/>
        </w:numPr>
        <w:rPr>
          <w:rFonts w:eastAsiaTheme="minorEastAsia" w:cstheme="minorBidi"/>
          <w:iCs/>
          <w:snapToGrid/>
          <w:color w:val="000000" w:themeColor="text1"/>
        </w:rPr>
      </w:pPr>
    </w:p>
    <w:p w14:paraId="7F9C27C8" w14:textId="0B4C11F4" w:rsidR="00223D5A" w:rsidRDefault="00223D5A" w:rsidP="00223D5A">
      <w:pPr>
        <w:pStyle w:val="2-SectionHeading"/>
      </w:pPr>
      <w:bookmarkStart w:id="9" w:name="_Toc103776023"/>
      <w:bookmarkStart w:id="10" w:name="_Toc22897640"/>
      <w:r>
        <w:t>C</w:t>
      </w:r>
      <w:r w:rsidRPr="00407F2D">
        <w:t>onsideration of the evidence</w:t>
      </w:r>
      <w:bookmarkEnd w:id="9"/>
    </w:p>
    <w:p w14:paraId="1DCFA2A6" w14:textId="3C4ADD12" w:rsidR="00AA65D4" w:rsidRPr="00AA65D4" w:rsidRDefault="00AA65D4" w:rsidP="00A93A3B">
      <w:pPr>
        <w:widowControl w:val="0"/>
        <w:numPr>
          <w:ilvl w:val="1"/>
          <w:numId w:val="13"/>
        </w:numPr>
        <w:spacing w:after="120"/>
        <w:ind w:left="720"/>
        <w:rPr>
          <w:rFonts w:cs="Calibri"/>
          <w:bCs/>
          <w:snapToGrid w:val="0"/>
        </w:rPr>
      </w:pPr>
      <w:bookmarkStart w:id="11" w:name="_Hlk76375935"/>
      <w:r>
        <w:rPr>
          <w:rFonts w:cs="Calibri"/>
          <w:bCs/>
          <w:snapToGrid w:val="0"/>
        </w:rPr>
        <w:t xml:space="preserve">In the pre-PBAC response, the sponsor acknowledged that the </w:t>
      </w:r>
      <w:r w:rsidR="00531D58">
        <w:rPr>
          <w:rFonts w:cs="Calibri"/>
          <w:bCs/>
          <w:snapToGrid w:val="0"/>
        </w:rPr>
        <w:t xml:space="preserve">low patient numbers in </w:t>
      </w:r>
      <w:r>
        <w:rPr>
          <w:rFonts w:cs="Calibri"/>
          <w:bCs/>
          <w:snapToGrid w:val="0"/>
        </w:rPr>
        <w:t xml:space="preserve">clinical </w:t>
      </w:r>
      <w:r w:rsidR="00531D58">
        <w:rPr>
          <w:rFonts w:cs="Calibri"/>
          <w:bCs/>
          <w:snapToGrid w:val="0"/>
        </w:rPr>
        <w:t>trials</w:t>
      </w:r>
      <w:r>
        <w:rPr>
          <w:rFonts w:cs="Calibri"/>
          <w:bCs/>
          <w:snapToGrid w:val="0"/>
        </w:rPr>
        <w:t xml:space="preserve"> made it difficult to demonstrate the clinical effectiveness of risankizumab </w:t>
      </w:r>
      <w:r w:rsidR="00531D58">
        <w:rPr>
          <w:rFonts w:cs="Calibri"/>
          <w:bCs/>
          <w:snapToGrid w:val="0"/>
        </w:rPr>
        <w:t xml:space="preserve">in the treatment of FCD </w:t>
      </w:r>
      <w:r>
        <w:rPr>
          <w:rFonts w:cs="Calibri"/>
          <w:bCs/>
          <w:snapToGrid w:val="0"/>
        </w:rPr>
        <w:t xml:space="preserve">and therefore withdrew their request for a listing </w:t>
      </w:r>
      <w:r w:rsidR="00531D58">
        <w:rPr>
          <w:rFonts w:cs="Calibri"/>
          <w:bCs/>
          <w:snapToGrid w:val="0"/>
        </w:rPr>
        <w:t xml:space="preserve">RIS </w:t>
      </w:r>
      <w:r>
        <w:rPr>
          <w:rFonts w:cs="Calibri"/>
          <w:bCs/>
          <w:snapToGrid w:val="0"/>
        </w:rPr>
        <w:t xml:space="preserve">for </w:t>
      </w:r>
      <w:r w:rsidR="00531D58">
        <w:rPr>
          <w:rFonts w:cs="Calibri"/>
          <w:bCs/>
          <w:snapToGrid w:val="0"/>
        </w:rPr>
        <w:t xml:space="preserve">FCD. </w:t>
      </w:r>
      <w:r w:rsidR="00CE4921">
        <w:rPr>
          <w:rFonts w:cs="Calibri"/>
          <w:bCs/>
          <w:snapToGrid w:val="0"/>
        </w:rPr>
        <w:t>For completeness, the clinical evaluation and ESC view of the request relating the FCD population have been retained in the</w:t>
      </w:r>
      <w:r w:rsidR="006912CC">
        <w:rPr>
          <w:rFonts w:cs="Calibri"/>
          <w:bCs/>
          <w:snapToGrid w:val="0"/>
        </w:rPr>
        <w:t xml:space="preserve"> PSD</w:t>
      </w:r>
      <w:r w:rsidR="00CE4921">
        <w:rPr>
          <w:rFonts w:cs="Calibri"/>
          <w:bCs/>
          <w:snapToGrid w:val="0"/>
        </w:rPr>
        <w:t xml:space="preserve"> .</w:t>
      </w:r>
    </w:p>
    <w:p w14:paraId="425BD0FA" w14:textId="05FB8951" w:rsidR="0036750C" w:rsidRPr="006E1229" w:rsidRDefault="0036750C" w:rsidP="0036750C">
      <w:pPr>
        <w:pStyle w:val="4-SubsectionHeading"/>
      </w:pPr>
      <w:r w:rsidRPr="006E1229">
        <w:t>Sponsor hearing</w:t>
      </w:r>
    </w:p>
    <w:p w14:paraId="08831318" w14:textId="06D0E811" w:rsidR="0036750C" w:rsidRPr="00F91542" w:rsidRDefault="0036750C" w:rsidP="00A93A3B">
      <w:pPr>
        <w:widowControl w:val="0"/>
        <w:numPr>
          <w:ilvl w:val="1"/>
          <w:numId w:val="13"/>
        </w:numPr>
        <w:spacing w:after="120"/>
        <w:ind w:left="720"/>
        <w:rPr>
          <w:rFonts w:cs="Calibri"/>
          <w:bCs/>
          <w:snapToGrid w:val="0"/>
        </w:rPr>
      </w:pPr>
      <w:r w:rsidRPr="00F91542">
        <w:rPr>
          <w:rFonts w:cs="Calibri"/>
          <w:bCs/>
          <w:snapToGrid w:val="0"/>
        </w:rPr>
        <w:t>There was no hearing for this item.</w:t>
      </w:r>
    </w:p>
    <w:p w14:paraId="7C8C3315" w14:textId="77777777" w:rsidR="0036750C" w:rsidRPr="006E1229" w:rsidRDefault="0036750C" w:rsidP="0036750C">
      <w:pPr>
        <w:pStyle w:val="4-SubsectionHeading"/>
      </w:pPr>
      <w:r w:rsidRPr="006E1229">
        <w:t>Consumer comments</w:t>
      </w:r>
    </w:p>
    <w:p w14:paraId="6677FB1B" w14:textId="20A70B6A" w:rsidR="008246F0" w:rsidRDefault="0036750C" w:rsidP="00A93A3B">
      <w:pPr>
        <w:widowControl w:val="0"/>
        <w:numPr>
          <w:ilvl w:val="1"/>
          <w:numId w:val="13"/>
        </w:numPr>
        <w:spacing w:after="120"/>
        <w:ind w:left="720"/>
        <w:rPr>
          <w:rFonts w:asciiTheme="minorHAnsi" w:hAnsiTheme="minorHAnsi"/>
          <w:bCs/>
          <w:snapToGrid w:val="0"/>
        </w:rPr>
      </w:pPr>
      <w:bookmarkStart w:id="12" w:name="_Hlk76382618"/>
      <w:r w:rsidRPr="00836F75">
        <w:rPr>
          <w:rFonts w:asciiTheme="minorHAnsi" w:hAnsiTheme="minorHAnsi"/>
          <w:bCs/>
          <w:snapToGrid w:val="0"/>
        </w:rPr>
        <w:t>The PBAC noted and welcomed the input from health care professionals</w:t>
      </w:r>
      <w:r w:rsidR="00C00AC6">
        <w:rPr>
          <w:rFonts w:asciiTheme="minorHAnsi" w:hAnsiTheme="minorHAnsi"/>
          <w:bCs/>
          <w:snapToGrid w:val="0"/>
        </w:rPr>
        <w:t xml:space="preserve"> (HCPs;</w:t>
      </w:r>
      <w:r w:rsidR="006F6402">
        <w:rPr>
          <w:rFonts w:asciiTheme="minorHAnsi" w:hAnsiTheme="minorHAnsi"/>
          <w:bCs/>
          <w:snapToGrid w:val="0"/>
        </w:rPr>
        <w:t xml:space="preserve"> </w:t>
      </w:r>
      <w:r w:rsidR="00C00AC6">
        <w:rPr>
          <w:rFonts w:asciiTheme="minorHAnsi" w:hAnsiTheme="minorHAnsi"/>
          <w:bCs/>
          <w:snapToGrid w:val="0"/>
        </w:rPr>
        <w:t>2)</w:t>
      </w:r>
      <w:r w:rsidR="008246F0">
        <w:rPr>
          <w:rFonts w:asciiTheme="minorHAnsi" w:hAnsiTheme="minorHAnsi"/>
          <w:bCs/>
          <w:snapToGrid w:val="0"/>
        </w:rPr>
        <w:t xml:space="preserve"> </w:t>
      </w:r>
      <w:r w:rsidRPr="00836F75">
        <w:rPr>
          <w:rFonts w:asciiTheme="minorHAnsi" w:hAnsiTheme="minorHAnsi"/>
          <w:bCs/>
          <w:snapToGrid w:val="0"/>
        </w:rPr>
        <w:t>and</w:t>
      </w:r>
      <w:r w:rsidR="00C00AC6">
        <w:rPr>
          <w:rFonts w:asciiTheme="minorHAnsi" w:hAnsiTheme="minorHAnsi"/>
          <w:bCs/>
          <w:snapToGrid w:val="0"/>
        </w:rPr>
        <w:t xml:space="preserve"> </w:t>
      </w:r>
      <w:r w:rsidR="008246F0">
        <w:rPr>
          <w:rFonts w:asciiTheme="minorHAnsi" w:hAnsiTheme="minorHAnsi"/>
          <w:bCs/>
          <w:snapToGrid w:val="0"/>
        </w:rPr>
        <w:t xml:space="preserve">consumer </w:t>
      </w:r>
      <w:r w:rsidRPr="00836F75">
        <w:rPr>
          <w:rFonts w:asciiTheme="minorHAnsi" w:hAnsiTheme="minorHAnsi"/>
          <w:bCs/>
          <w:snapToGrid w:val="0"/>
        </w:rPr>
        <w:t>organisation</w:t>
      </w:r>
      <w:r w:rsidR="008246F0">
        <w:rPr>
          <w:rFonts w:asciiTheme="minorHAnsi" w:hAnsiTheme="minorHAnsi"/>
          <w:bCs/>
          <w:snapToGrid w:val="0"/>
        </w:rPr>
        <w:t xml:space="preserve"> Crohn’s &amp; Colitis Australia (CCA)</w:t>
      </w:r>
      <w:r w:rsidRPr="00836F75">
        <w:rPr>
          <w:rFonts w:asciiTheme="minorHAnsi" w:hAnsiTheme="minorHAnsi"/>
          <w:bCs/>
          <w:snapToGrid w:val="0"/>
        </w:rPr>
        <w:t xml:space="preserve"> via the Consumer Comments facility on the PBS website.  </w:t>
      </w:r>
    </w:p>
    <w:p w14:paraId="1545130B" w14:textId="16E0B411" w:rsidR="00DD0859" w:rsidRDefault="008246F0" w:rsidP="00A93A3B">
      <w:pPr>
        <w:widowControl w:val="0"/>
        <w:numPr>
          <w:ilvl w:val="1"/>
          <w:numId w:val="13"/>
        </w:numPr>
        <w:spacing w:after="120"/>
        <w:ind w:left="720"/>
        <w:rPr>
          <w:rFonts w:asciiTheme="minorHAnsi" w:hAnsiTheme="minorHAnsi"/>
          <w:bCs/>
          <w:snapToGrid w:val="0"/>
        </w:rPr>
      </w:pPr>
      <w:r>
        <w:rPr>
          <w:rFonts w:asciiTheme="minorHAnsi" w:hAnsiTheme="minorHAnsi"/>
          <w:bCs/>
          <w:snapToGrid w:val="0"/>
        </w:rPr>
        <w:t>CCA</w:t>
      </w:r>
      <w:r w:rsidR="0036750C" w:rsidRPr="00836F75">
        <w:rPr>
          <w:rFonts w:asciiTheme="minorHAnsi" w:hAnsiTheme="minorHAnsi"/>
          <w:bCs/>
          <w:snapToGrid w:val="0"/>
        </w:rPr>
        <w:t xml:space="preserve"> </w:t>
      </w:r>
      <w:r>
        <w:rPr>
          <w:rFonts w:asciiTheme="minorHAnsi" w:hAnsiTheme="minorHAnsi"/>
          <w:bCs/>
          <w:snapToGrid w:val="0"/>
        </w:rPr>
        <w:t xml:space="preserve">stated that the </w:t>
      </w:r>
      <w:r w:rsidR="00C00AC6">
        <w:rPr>
          <w:rFonts w:asciiTheme="minorHAnsi" w:hAnsiTheme="minorHAnsi"/>
          <w:bCs/>
          <w:snapToGrid w:val="0"/>
        </w:rPr>
        <w:t xml:space="preserve">SC formulation is an important option for consumers because it would not require infusion in a medical facility, providing flexibility for consumers, avoidance of absence from work for treatment and reduced travel for those particularly in remote or regional areas. CCA noted that risankizumab provides an additional treatment option for consumers who had failed multiple agents. </w:t>
      </w:r>
    </w:p>
    <w:p w14:paraId="2F302990" w14:textId="5121AD32" w:rsidR="00C00AC6" w:rsidRDefault="00C00AC6" w:rsidP="00A93A3B">
      <w:pPr>
        <w:widowControl w:val="0"/>
        <w:numPr>
          <w:ilvl w:val="1"/>
          <w:numId w:val="13"/>
        </w:numPr>
        <w:spacing w:after="120"/>
        <w:ind w:left="720"/>
        <w:rPr>
          <w:rFonts w:asciiTheme="minorHAnsi" w:hAnsiTheme="minorHAnsi"/>
          <w:bCs/>
          <w:snapToGrid w:val="0"/>
        </w:rPr>
      </w:pPr>
      <w:r>
        <w:rPr>
          <w:rFonts w:asciiTheme="minorHAnsi" w:hAnsiTheme="minorHAnsi"/>
          <w:bCs/>
          <w:snapToGrid w:val="0"/>
        </w:rPr>
        <w:t xml:space="preserve">The HCPs detailed the high morbidity and disability associated with Crohn’s Disease and the poor response to existing treatments in up to 50% of patients, thereby creating an unmet need.  </w:t>
      </w:r>
      <w:r w:rsidR="0034411C">
        <w:rPr>
          <w:rFonts w:asciiTheme="minorHAnsi" w:hAnsiTheme="minorHAnsi"/>
          <w:bCs/>
          <w:snapToGrid w:val="0"/>
        </w:rPr>
        <w:t>The</w:t>
      </w:r>
      <w:r>
        <w:rPr>
          <w:rFonts w:asciiTheme="minorHAnsi" w:hAnsiTheme="minorHAnsi"/>
          <w:bCs/>
          <w:snapToGrid w:val="0"/>
        </w:rPr>
        <w:t xml:space="preserve"> comments from HCPs described a range of benefits of treatment with risankizumab including its excellent efficacy, similar safety profile to other biologics, enhanced quality of life and the advantages of the SC administration. </w:t>
      </w:r>
    </w:p>
    <w:p w14:paraId="609C0765" w14:textId="3A85420A" w:rsidR="00B60939" w:rsidRPr="00C9624D" w:rsidRDefault="00B60939" w:rsidP="002E4F02">
      <w:pPr>
        <w:pStyle w:val="4-SubsectionHeading"/>
      </w:pPr>
      <w:bookmarkStart w:id="13" w:name="_Toc103776024"/>
      <w:bookmarkEnd w:id="11"/>
      <w:bookmarkEnd w:id="12"/>
      <w:r w:rsidRPr="00C9624D">
        <w:t>Clinical trials</w:t>
      </w:r>
      <w:bookmarkEnd w:id="10"/>
      <w:bookmarkEnd w:id="13"/>
    </w:p>
    <w:p w14:paraId="760DB2C1" w14:textId="156D4F96" w:rsidR="00957807" w:rsidRPr="00957807" w:rsidRDefault="00957807" w:rsidP="00465970">
      <w:pPr>
        <w:pStyle w:val="3-BodyText"/>
        <w:ind w:left="709"/>
        <w:rPr>
          <w:color w:val="0066FF"/>
        </w:rPr>
      </w:pPr>
      <w:r>
        <w:t xml:space="preserve">There were no head-to-head trials comparing </w:t>
      </w:r>
      <w:r w:rsidRPr="170A8049">
        <w:rPr>
          <w:rFonts w:cstheme="minorBidi"/>
        </w:rPr>
        <w:t>risankizumab</w:t>
      </w:r>
      <w:r>
        <w:t xml:space="preserve"> with </w:t>
      </w:r>
      <w:r w:rsidRPr="00BD4F60">
        <w:t>ustekinumab</w:t>
      </w:r>
      <w:r>
        <w:t xml:space="preserve"> for severe CD or </w:t>
      </w:r>
      <w:r w:rsidRPr="00BD4F60">
        <w:t>risankizumab with adalimumab</w:t>
      </w:r>
      <w:r>
        <w:t xml:space="preserve"> and/or </w:t>
      </w:r>
      <w:r w:rsidRPr="00BD4F60">
        <w:t>infliximab</w:t>
      </w:r>
      <w:r>
        <w:t xml:space="preserve"> for FCD.</w:t>
      </w:r>
    </w:p>
    <w:p w14:paraId="33DA0BBB" w14:textId="77777777" w:rsidR="00C17668" w:rsidRDefault="00957807" w:rsidP="00465970">
      <w:pPr>
        <w:pStyle w:val="3-BodyText"/>
        <w:ind w:left="709"/>
      </w:pPr>
      <w:r>
        <w:t>For severe CD, the submission was based on</w:t>
      </w:r>
      <w:r w:rsidR="00C17668">
        <w:t>:</w:t>
      </w:r>
    </w:p>
    <w:p w14:paraId="1D92ECBC" w14:textId="5019808B" w:rsidR="00957807" w:rsidRDefault="00C17668" w:rsidP="00873FBD">
      <w:pPr>
        <w:pStyle w:val="3-BodyText"/>
        <w:numPr>
          <w:ilvl w:val="0"/>
          <w:numId w:val="4"/>
        </w:numPr>
      </w:pPr>
      <w:r>
        <w:t>F</w:t>
      </w:r>
      <w:r w:rsidR="00957807">
        <w:t>our trials comparing risankizumab to placebo: M15-993</w:t>
      </w:r>
      <w:r w:rsidR="00DB4D60">
        <w:t xml:space="preserve"> (N=80)</w:t>
      </w:r>
      <w:r>
        <w:t xml:space="preserve">, ADVANCE </w:t>
      </w:r>
      <w:r w:rsidR="00DB4D60">
        <w:t xml:space="preserve">(N=559) </w:t>
      </w:r>
      <w:r>
        <w:t>and MOTIVATE</w:t>
      </w:r>
      <w:r w:rsidR="00DB4D60">
        <w:t xml:space="preserve"> (</w:t>
      </w:r>
      <w:r w:rsidR="00DB4D60">
        <w:rPr>
          <w:rFonts w:cstheme="minorHAnsi"/>
        </w:rPr>
        <w:t>N=413)</w:t>
      </w:r>
      <w:r>
        <w:t xml:space="preserve"> (induction trials) and FORTIFY</w:t>
      </w:r>
      <w:r w:rsidR="00DB4D60">
        <w:t xml:space="preserve"> </w:t>
      </w:r>
      <w:r w:rsidR="00DB4D60">
        <w:rPr>
          <w:rFonts w:cstheme="minorHAnsi"/>
        </w:rPr>
        <w:t xml:space="preserve">(N=363) </w:t>
      </w:r>
      <w:r>
        <w:lastRenderedPageBreak/>
        <w:t xml:space="preserve">(maintenance trial). </w:t>
      </w:r>
      <w:r w:rsidR="00FC12C4">
        <w:t xml:space="preserve">Results from the induction trials were meta-analysed and used </w:t>
      </w:r>
      <w:r w:rsidR="00A2733D">
        <w:t xml:space="preserve">in the indirect comparison. </w:t>
      </w:r>
    </w:p>
    <w:p w14:paraId="149819B1" w14:textId="381F04A6" w:rsidR="00C17668" w:rsidRDefault="00C17668" w:rsidP="00873FBD">
      <w:pPr>
        <w:pStyle w:val="3-BodyText"/>
        <w:numPr>
          <w:ilvl w:val="0"/>
          <w:numId w:val="4"/>
        </w:numPr>
      </w:pPr>
      <w:r>
        <w:t xml:space="preserve">An indirect comparison to ustekinumab, based on three trials comparing ustekinumab to placebo: </w:t>
      </w:r>
      <w:r w:rsidRPr="00414040">
        <w:t xml:space="preserve">UNITI-1 </w:t>
      </w:r>
      <w:r w:rsidR="00DA3856" w:rsidRPr="00AC6C55">
        <w:rPr>
          <w:rFonts w:cstheme="minorHAnsi"/>
        </w:rPr>
        <w:t>(N=496)</w:t>
      </w:r>
      <w:r w:rsidR="00DA3856">
        <w:rPr>
          <w:rFonts w:cstheme="minorHAnsi"/>
        </w:rPr>
        <w:t xml:space="preserve"> </w:t>
      </w:r>
      <w:r w:rsidRPr="00414040">
        <w:t>and UNITI-2</w:t>
      </w:r>
      <w:r w:rsidR="00DA3856">
        <w:t xml:space="preserve"> </w:t>
      </w:r>
      <w:r w:rsidR="00DA3856" w:rsidRPr="00AC6C55">
        <w:rPr>
          <w:rFonts w:cstheme="minorHAnsi"/>
        </w:rPr>
        <w:t>(N=419</w:t>
      </w:r>
      <w:r w:rsidR="00DA3856">
        <w:rPr>
          <w:rFonts w:cstheme="minorHAnsi"/>
        </w:rPr>
        <w:t>)</w:t>
      </w:r>
      <w:r w:rsidRPr="00414040">
        <w:t xml:space="preserve"> (induction trials)</w:t>
      </w:r>
      <w:r>
        <w:t xml:space="preserve"> </w:t>
      </w:r>
      <w:r w:rsidRPr="00414040">
        <w:t>and IM-UNITI</w:t>
      </w:r>
      <w:r w:rsidR="00DA3856">
        <w:t xml:space="preserve"> </w:t>
      </w:r>
      <w:r w:rsidR="00DA3856" w:rsidRPr="00AC6C55">
        <w:rPr>
          <w:rFonts w:cstheme="minorHAnsi"/>
        </w:rPr>
        <w:t>(N=265)</w:t>
      </w:r>
      <w:r w:rsidRPr="00414040">
        <w:t xml:space="preserve"> (maintenance trial)</w:t>
      </w:r>
      <w:r>
        <w:t>.</w:t>
      </w:r>
      <w:r w:rsidR="00A2733D">
        <w:t xml:space="preserve"> Results from the induction trials were meta-analysed and used in the indirect comparison.</w:t>
      </w:r>
    </w:p>
    <w:p w14:paraId="315269B5" w14:textId="28005A06" w:rsidR="00A2733D" w:rsidRDefault="00A2733D" w:rsidP="00873FBD">
      <w:pPr>
        <w:pStyle w:val="ListParagraph"/>
        <w:numPr>
          <w:ilvl w:val="0"/>
          <w:numId w:val="4"/>
        </w:numPr>
        <w:rPr>
          <w:rFonts w:cstheme="minorHAnsi"/>
          <w:i/>
          <w:iCs/>
        </w:rPr>
      </w:pPr>
      <w:r w:rsidRPr="00A2733D">
        <w:rPr>
          <w:rFonts w:cstheme="minorHAnsi"/>
        </w:rPr>
        <w:t xml:space="preserve">The submission also </w:t>
      </w:r>
      <w:bookmarkStart w:id="14" w:name="_Hlk98851024"/>
      <w:r w:rsidRPr="00A2733D">
        <w:rPr>
          <w:rFonts w:cstheme="minorHAnsi"/>
        </w:rPr>
        <w:t>presented supplementary analyses of indirect comparisons comparing risankizumab to adalimumab, infliximab, and vedolizumab</w:t>
      </w:r>
      <w:bookmarkEnd w:id="14"/>
      <w:r w:rsidRPr="00A2733D">
        <w:rPr>
          <w:rFonts w:cstheme="minorHAnsi"/>
        </w:rPr>
        <w:t xml:space="preserve"> to support the clinical claim. </w:t>
      </w:r>
      <w:bookmarkStart w:id="15" w:name="_Hlk98851095"/>
    </w:p>
    <w:p w14:paraId="5DD5686E" w14:textId="0EAF89A5" w:rsidR="00DB4D60" w:rsidRPr="00AF2677" w:rsidRDefault="00DB4D60" w:rsidP="00873FBD">
      <w:pPr>
        <w:pStyle w:val="ListParagraph"/>
        <w:numPr>
          <w:ilvl w:val="0"/>
          <w:numId w:val="6"/>
        </w:numPr>
      </w:pPr>
      <w:r w:rsidRPr="00AF2677">
        <w:t>The total patient population (N) included for consideration in the submission were based on patients allocated to placebo and the proposed risankizumab dose (600</w:t>
      </w:r>
      <w:r w:rsidR="00F14EE7" w:rsidRPr="00AF2677">
        <w:t xml:space="preserve"> </w:t>
      </w:r>
      <w:r w:rsidRPr="00AF2677">
        <w:t>mg IV for induction and 360</w:t>
      </w:r>
      <w:r w:rsidR="00F14EE7" w:rsidRPr="00AF2677">
        <w:t xml:space="preserve"> </w:t>
      </w:r>
      <w:r w:rsidRPr="00AF2677">
        <w:t xml:space="preserve">mg SC for maintenance). </w:t>
      </w:r>
    </w:p>
    <w:p w14:paraId="28EEBFA3" w14:textId="7F402B72" w:rsidR="00672235" w:rsidRPr="00AF2677" w:rsidRDefault="00D76B00" w:rsidP="00873FBD">
      <w:pPr>
        <w:pStyle w:val="ListParagraph"/>
        <w:numPr>
          <w:ilvl w:val="0"/>
          <w:numId w:val="6"/>
        </w:numPr>
      </w:pPr>
      <w:r w:rsidRPr="00AF2677">
        <w:t>The results of all comparator trials have previously been considered by the PBAC</w:t>
      </w:r>
      <w:r w:rsidR="00CC7CCB" w:rsidRPr="00AF2677">
        <w:t xml:space="preserve"> </w:t>
      </w:r>
      <w:r w:rsidRPr="00AF2677">
        <w:t xml:space="preserve">in the March 2017 submission for ustekinumab. </w:t>
      </w:r>
      <w:bookmarkEnd w:id="15"/>
    </w:p>
    <w:p w14:paraId="3EC7CEDE" w14:textId="635AAEBF" w:rsidR="00C17668" w:rsidRDefault="00C17668" w:rsidP="00E529F1">
      <w:pPr>
        <w:pStyle w:val="3-BodyText"/>
        <w:ind w:left="709"/>
      </w:pPr>
      <w:r>
        <w:t>For FCD, the submission was based on:</w:t>
      </w:r>
    </w:p>
    <w:p w14:paraId="6ED52C08" w14:textId="55F2AD43" w:rsidR="00C17668" w:rsidRDefault="00C17668" w:rsidP="00873FBD">
      <w:pPr>
        <w:pStyle w:val="3-BodyText"/>
        <w:numPr>
          <w:ilvl w:val="0"/>
          <w:numId w:val="4"/>
        </w:numPr>
      </w:pPr>
      <w:r>
        <w:t>Subgroup analysis of patients with FCD from three trials comparing risankizumab and placebo: ADVANCE</w:t>
      </w:r>
      <w:r w:rsidR="00DA3856">
        <w:t xml:space="preserve"> (</w:t>
      </w:r>
      <w:r w:rsidR="00DA3856" w:rsidRPr="00680011">
        <w:t>27/559</w:t>
      </w:r>
      <w:r w:rsidR="00DA3856">
        <w:t xml:space="preserve">; </w:t>
      </w:r>
      <w:r w:rsidR="00DA3856" w:rsidRPr="00680011">
        <w:t>5%)</w:t>
      </w:r>
      <w:r>
        <w:t xml:space="preserve"> and MOTIVATE </w:t>
      </w:r>
      <w:r w:rsidR="00DA3856">
        <w:t>(</w:t>
      </w:r>
      <w:r w:rsidR="00DA3856" w:rsidRPr="00680011">
        <w:t>29/413</w:t>
      </w:r>
      <w:r w:rsidR="00DA3856">
        <w:t xml:space="preserve">; </w:t>
      </w:r>
      <w:r w:rsidR="00DA3856" w:rsidRPr="00680011">
        <w:t>7%)</w:t>
      </w:r>
      <w:r w:rsidR="00DA3856">
        <w:t xml:space="preserve"> </w:t>
      </w:r>
      <w:r>
        <w:t xml:space="preserve">(induction trials) and FORTIFY </w:t>
      </w:r>
      <w:r w:rsidR="00DA3856">
        <w:t>(</w:t>
      </w:r>
      <w:r w:rsidR="00DA3856" w:rsidRPr="00680011">
        <w:t>22/363</w:t>
      </w:r>
      <w:r w:rsidR="00DA3856">
        <w:t xml:space="preserve">; 6%) </w:t>
      </w:r>
      <w:r>
        <w:t xml:space="preserve">(maintenance trial). </w:t>
      </w:r>
      <w:r w:rsidR="00DD4D08">
        <w:t xml:space="preserve">These trials reported </w:t>
      </w:r>
      <w:r w:rsidR="00DD4D08" w:rsidRPr="00DD4D08">
        <w:t>fistula remission at week 12 in patients with draining fistulae at baseline</w:t>
      </w:r>
      <w:r w:rsidR="00DD4D08">
        <w:t xml:space="preserve"> as a secondary endpoint and fistula response (</w:t>
      </w:r>
      <w:r w:rsidR="00DD4D08" w:rsidRPr="00080200">
        <w:rPr>
          <w:rFonts w:cstheme="minorHAnsi"/>
        </w:rPr>
        <w:t>≥50% reduction in number of draining fistula from baseline</w:t>
      </w:r>
      <w:r w:rsidR="00DD4D08">
        <w:rPr>
          <w:rFonts w:cstheme="minorHAnsi"/>
        </w:rPr>
        <w:t xml:space="preserve">) as a post-hoc subgroup analysis. </w:t>
      </w:r>
    </w:p>
    <w:p w14:paraId="039F389B" w14:textId="32C42E9A" w:rsidR="00DB4D60" w:rsidRPr="008A4B69" w:rsidRDefault="00C17668" w:rsidP="00873FBD">
      <w:pPr>
        <w:pStyle w:val="ListParagraph"/>
        <w:numPr>
          <w:ilvl w:val="0"/>
          <w:numId w:val="5"/>
        </w:numPr>
        <w:rPr>
          <w:iCs/>
        </w:rPr>
      </w:pPr>
      <w:r>
        <w:t xml:space="preserve">A naïve </w:t>
      </w:r>
      <w:r w:rsidR="00A259CE">
        <w:t xml:space="preserve">(unadjusted) </w:t>
      </w:r>
      <w:r>
        <w:t xml:space="preserve">comparison to adalimumab based on subgroup analysis of patients with FCD from three trials comparing adalimumab and placebo: CLASSIC-I </w:t>
      </w:r>
      <w:r w:rsidR="00DA3856">
        <w:t>(</w:t>
      </w:r>
      <w:r w:rsidR="00DA3856" w:rsidRPr="009F49B3">
        <w:t>18/150</w:t>
      </w:r>
      <w:r w:rsidR="00DA3856">
        <w:t xml:space="preserve">; </w:t>
      </w:r>
      <w:r w:rsidR="00DA3856" w:rsidRPr="009F49B3">
        <w:t>12%)</w:t>
      </w:r>
      <w:r w:rsidR="00DA3856">
        <w:t xml:space="preserve"> </w:t>
      </w:r>
      <w:r>
        <w:t>and GAIN</w:t>
      </w:r>
      <w:r w:rsidR="00DA3856">
        <w:t xml:space="preserve"> (</w:t>
      </w:r>
      <w:r w:rsidR="00DA3856" w:rsidRPr="00BA5FA5">
        <w:t>45/325</w:t>
      </w:r>
      <w:r w:rsidR="00DA3856">
        <w:t xml:space="preserve">; </w:t>
      </w:r>
      <w:r w:rsidR="00DA3856" w:rsidRPr="00BA5FA5">
        <w:t>14%)</w:t>
      </w:r>
      <w:r>
        <w:t xml:space="preserve"> (induction trials) and CHARM</w:t>
      </w:r>
      <w:r w:rsidR="00C6166D">
        <w:t xml:space="preserve"> (approximately 15%)</w:t>
      </w:r>
      <w:r>
        <w:t xml:space="preserve"> (maintenance trial)</w:t>
      </w:r>
      <w:r w:rsidR="00FC12C4">
        <w:t xml:space="preserve"> and to infliximab based on two trials with FCD specific populations comparing infliximab and placebo: T20 </w:t>
      </w:r>
      <w:r w:rsidR="002755ED" w:rsidRPr="001B6DAF">
        <w:rPr>
          <w:rFonts w:ascii="Calibri" w:hAnsi="Calibri"/>
          <w:snapToGrid/>
        </w:rPr>
        <w:t>(N=62</w:t>
      </w:r>
      <w:r w:rsidR="002755ED">
        <w:rPr>
          <w:rFonts w:ascii="Calibri" w:hAnsi="Calibri"/>
          <w:snapToGrid/>
        </w:rPr>
        <w:t>)</w:t>
      </w:r>
      <w:r w:rsidR="002755ED">
        <w:t xml:space="preserve"> </w:t>
      </w:r>
      <w:r w:rsidR="00FC12C4">
        <w:t>(induction trial) and ACCENT-II</w:t>
      </w:r>
      <w:r w:rsidR="002755ED">
        <w:t xml:space="preserve"> (</w:t>
      </w:r>
      <w:r w:rsidR="002755ED" w:rsidRPr="001B6DAF">
        <w:rPr>
          <w:rFonts w:ascii="Calibri" w:hAnsi="Calibri"/>
          <w:snapToGrid/>
        </w:rPr>
        <w:t>N=195</w:t>
      </w:r>
      <w:r w:rsidR="002755ED">
        <w:rPr>
          <w:rFonts w:ascii="Calibri" w:hAnsi="Calibri"/>
          <w:snapToGrid/>
        </w:rPr>
        <w:t>)</w:t>
      </w:r>
      <w:r w:rsidR="00FC12C4">
        <w:t xml:space="preserve"> (maintenance trial</w:t>
      </w:r>
      <w:r w:rsidR="00FC12C4" w:rsidRPr="00AF2677">
        <w:t>)</w:t>
      </w:r>
      <w:r w:rsidR="00D76B00" w:rsidRPr="00AF2677">
        <w:t>.</w:t>
      </w:r>
      <w:r w:rsidR="00DB4D60" w:rsidRPr="00AF2677">
        <w:t xml:space="preserve"> Naïve comparisons limit the ability to determine if any differences noted between the efficacy measures were solely attributable to the treatment.</w:t>
      </w:r>
      <w:r w:rsidR="00DB4D60" w:rsidRPr="008A4B69">
        <w:rPr>
          <w:iCs/>
        </w:rPr>
        <w:t xml:space="preserve"> </w:t>
      </w:r>
    </w:p>
    <w:p w14:paraId="2B59ABAC" w14:textId="222A82E0" w:rsidR="00862502" w:rsidRPr="00B50DB8" w:rsidRDefault="00A73134" w:rsidP="00465970">
      <w:pPr>
        <w:pStyle w:val="3-BodyText"/>
        <w:ind w:left="709"/>
      </w:pPr>
      <w:r>
        <w:rPr>
          <w:snapToGrid/>
          <w:lang w:val="en-US"/>
        </w:rPr>
        <w:t>Details of the trials presented in the submission are provided in the table below.</w:t>
      </w:r>
      <w:r w:rsidR="00BC591F">
        <w:rPr>
          <w:snapToGrid/>
          <w:lang w:val="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061"/>
        <w:gridCol w:w="2531"/>
      </w:tblGrid>
      <w:tr w:rsidR="007C01FB" w:rsidRPr="00B41614" w14:paraId="072A1FCF" w14:textId="77777777" w:rsidTr="0035762D">
        <w:trPr>
          <w:cantSplit/>
          <w:tblHeader/>
        </w:trPr>
        <w:tc>
          <w:tcPr>
            <w:tcW w:w="5000" w:type="pct"/>
            <w:gridSpan w:val="3"/>
            <w:tcBorders>
              <w:top w:val="nil"/>
              <w:left w:val="nil"/>
              <w:bottom w:val="single" w:sz="4" w:space="0" w:color="auto"/>
              <w:right w:val="nil"/>
            </w:tcBorders>
            <w:vAlign w:val="center"/>
          </w:tcPr>
          <w:p w14:paraId="2A728A23" w14:textId="31F0153B" w:rsidR="007C01FB" w:rsidRPr="007C01FB" w:rsidRDefault="007C01FB" w:rsidP="0035762D">
            <w:pPr>
              <w:pStyle w:val="PbacTableHeading"/>
              <w:rPr>
                <w:sz w:val="20"/>
                <w:szCs w:val="24"/>
              </w:rPr>
            </w:pPr>
            <w:r w:rsidRPr="002E4F02">
              <w:rPr>
                <w:rStyle w:val="CommentReference"/>
                <w:b/>
                <w:szCs w:val="24"/>
              </w:rPr>
              <w:lastRenderedPageBreak/>
              <w:t xml:space="preserve">Table </w:t>
            </w:r>
            <w:r>
              <w:rPr>
                <w:rStyle w:val="CommentReference"/>
                <w:b/>
                <w:szCs w:val="24"/>
              </w:rPr>
              <w:fldChar w:fldCharType="begin" w:fldLock="1"/>
            </w:r>
            <w:r>
              <w:rPr>
                <w:rStyle w:val="CommentReference"/>
                <w:b/>
                <w:szCs w:val="24"/>
              </w:rPr>
              <w:instrText xml:space="preserve"> SEQ Table \* ARABIC </w:instrText>
            </w:r>
            <w:r>
              <w:rPr>
                <w:rStyle w:val="CommentReference"/>
                <w:b/>
                <w:szCs w:val="24"/>
              </w:rPr>
              <w:fldChar w:fldCharType="separate"/>
            </w:r>
            <w:r w:rsidR="003D76A2">
              <w:rPr>
                <w:rStyle w:val="CommentReference"/>
                <w:b/>
                <w:noProof/>
                <w:szCs w:val="24"/>
              </w:rPr>
              <w:t>3</w:t>
            </w:r>
            <w:r>
              <w:rPr>
                <w:rStyle w:val="CommentReference"/>
                <w:b/>
                <w:szCs w:val="24"/>
              </w:rPr>
              <w:fldChar w:fldCharType="end"/>
            </w:r>
            <w:r w:rsidRPr="002E4F02">
              <w:rPr>
                <w:rStyle w:val="CommentReference"/>
                <w:b/>
                <w:szCs w:val="24"/>
              </w:rPr>
              <w:t xml:space="preserve">: </w:t>
            </w:r>
            <w:r>
              <w:rPr>
                <w:rStyle w:val="CommentReference"/>
                <w:b/>
                <w:szCs w:val="24"/>
              </w:rPr>
              <w:t>T</w:t>
            </w:r>
            <w:r w:rsidRPr="002E4F02">
              <w:rPr>
                <w:rStyle w:val="CommentReference"/>
                <w:b/>
                <w:szCs w:val="24"/>
              </w:rPr>
              <w:t>rials and associated reports presented in the submission</w:t>
            </w:r>
          </w:p>
        </w:tc>
      </w:tr>
      <w:tr w:rsidR="008E0D3C" w:rsidRPr="00B41614" w14:paraId="6ACD35C4" w14:textId="77777777" w:rsidTr="0035762D">
        <w:trPr>
          <w:cantSplit/>
          <w:tblHeader/>
        </w:trPr>
        <w:tc>
          <w:tcPr>
            <w:tcW w:w="795" w:type="pct"/>
            <w:tcBorders>
              <w:bottom w:val="single" w:sz="4" w:space="0" w:color="auto"/>
            </w:tcBorders>
            <w:vAlign w:val="center"/>
          </w:tcPr>
          <w:p w14:paraId="20DEEB23" w14:textId="77777777" w:rsidR="008E0D3C" w:rsidRPr="00B41614" w:rsidRDefault="008E0D3C" w:rsidP="0035762D">
            <w:pPr>
              <w:pStyle w:val="TableFigureHeading"/>
            </w:pPr>
            <w:r w:rsidRPr="00B41614">
              <w:t>Trial ID</w:t>
            </w:r>
          </w:p>
        </w:tc>
        <w:tc>
          <w:tcPr>
            <w:tcW w:w="2803" w:type="pct"/>
            <w:tcBorders>
              <w:bottom w:val="single" w:sz="4" w:space="0" w:color="auto"/>
            </w:tcBorders>
            <w:vAlign w:val="center"/>
          </w:tcPr>
          <w:p w14:paraId="22EF6C51" w14:textId="77777777" w:rsidR="008E0D3C" w:rsidRPr="00B41614" w:rsidRDefault="008E0D3C" w:rsidP="0035762D">
            <w:pPr>
              <w:pStyle w:val="TableFigureHeading"/>
            </w:pPr>
            <w:r w:rsidRPr="00B41614">
              <w:t>Protocol title/ Publication title</w:t>
            </w:r>
          </w:p>
        </w:tc>
        <w:tc>
          <w:tcPr>
            <w:tcW w:w="1402" w:type="pct"/>
            <w:tcBorders>
              <w:bottom w:val="single" w:sz="4" w:space="0" w:color="auto"/>
            </w:tcBorders>
            <w:vAlign w:val="center"/>
          </w:tcPr>
          <w:p w14:paraId="561B27A8" w14:textId="77777777" w:rsidR="008E0D3C" w:rsidRPr="00B41614" w:rsidRDefault="008E0D3C" w:rsidP="0035762D">
            <w:pPr>
              <w:pStyle w:val="TableFigureHeading"/>
            </w:pPr>
            <w:r w:rsidRPr="00B41614">
              <w:t>Publication citation</w:t>
            </w:r>
          </w:p>
        </w:tc>
      </w:tr>
      <w:tr w:rsidR="00311BCC" w:rsidRPr="00B41614" w14:paraId="4EC0B504" w14:textId="77777777" w:rsidTr="0035762D">
        <w:trPr>
          <w:cantSplit/>
          <w:tblHeader/>
        </w:trPr>
        <w:tc>
          <w:tcPr>
            <w:tcW w:w="5000" w:type="pct"/>
            <w:gridSpan w:val="3"/>
            <w:tcBorders>
              <w:bottom w:val="nil"/>
            </w:tcBorders>
          </w:tcPr>
          <w:p w14:paraId="10D822EE" w14:textId="5CBB7055" w:rsidR="00311BCC" w:rsidRPr="00311BCC" w:rsidRDefault="00311BCC" w:rsidP="0035762D">
            <w:pPr>
              <w:pStyle w:val="TableText0"/>
              <w:rPr>
                <w:b/>
                <w:bCs w:val="0"/>
              </w:rPr>
            </w:pPr>
            <w:r w:rsidRPr="00311BCC">
              <w:rPr>
                <w:b/>
                <w:bCs w:val="0"/>
              </w:rPr>
              <w:t>Risankizumab</w:t>
            </w:r>
          </w:p>
        </w:tc>
      </w:tr>
      <w:tr w:rsidR="008E7443" w:rsidRPr="00B41614" w14:paraId="2290D3FD" w14:textId="77777777" w:rsidTr="0035762D">
        <w:trPr>
          <w:cantSplit/>
          <w:tblHeader/>
        </w:trPr>
        <w:tc>
          <w:tcPr>
            <w:tcW w:w="795" w:type="pct"/>
            <w:tcBorders>
              <w:bottom w:val="nil"/>
            </w:tcBorders>
          </w:tcPr>
          <w:p w14:paraId="1F340409" w14:textId="77777777" w:rsidR="008E7443" w:rsidRPr="00E158A1" w:rsidRDefault="008E7443" w:rsidP="0035762D">
            <w:pPr>
              <w:pStyle w:val="TableText0"/>
            </w:pPr>
            <w:r w:rsidRPr="00E158A1">
              <w:t>M15-993</w:t>
            </w:r>
          </w:p>
          <w:p w14:paraId="298B8A1D" w14:textId="77777777" w:rsidR="008E7443" w:rsidRPr="00E158A1" w:rsidRDefault="008E7443" w:rsidP="0035762D">
            <w:pPr>
              <w:pStyle w:val="TableText0"/>
            </w:pPr>
            <w:r w:rsidRPr="00E158A1">
              <w:t>NCT02031276</w:t>
            </w:r>
          </w:p>
          <w:p w14:paraId="4E1C559F" w14:textId="77777777" w:rsidR="008E7443" w:rsidRPr="00E158A1" w:rsidRDefault="008E7443" w:rsidP="0035762D">
            <w:pPr>
              <w:pStyle w:val="TableText0"/>
            </w:pPr>
          </w:p>
        </w:tc>
        <w:tc>
          <w:tcPr>
            <w:tcW w:w="2803" w:type="pct"/>
            <w:tcBorders>
              <w:bottom w:val="nil"/>
            </w:tcBorders>
          </w:tcPr>
          <w:p w14:paraId="300DA049" w14:textId="693E40E4" w:rsidR="008E7443" w:rsidRPr="00E158A1" w:rsidRDefault="008E7443" w:rsidP="0035762D">
            <w:pPr>
              <w:pStyle w:val="TableText0"/>
            </w:pPr>
            <w:r w:rsidRPr="00E158A1">
              <w:t>A Phase 2, Multicenter, Randomized, Double-Blind, Multiple Dose, Placebo-Controlled, Parallel-Group Study to Evaluate the Efficacy, Pharmacokinetics, and Safety of BI 655066 (Risankizumab), an IL-23 p19 Antagonist Monoclonal Antibody, in Patients With Moderately to Severely Active Crohn's Disease Who Are Naïve to or Were Previously Treated With Anti-TNF Therapy.</w:t>
            </w:r>
          </w:p>
        </w:tc>
        <w:tc>
          <w:tcPr>
            <w:tcW w:w="1402" w:type="pct"/>
            <w:tcBorders>
              <w:bottom w:val="nil"/>
            </w:tcBorders>
          </w:tcPr>
          <w:p w14:paraId="144C5A2D" w14:textId="77777777" w:rsidR="008E7443" w:rsidRPr="00E158A1" w:rsidRDefault="008E7443" w:rsidP="0035762D">
            <w:pPr>
              <w:pStyle w:val="TableText0"/>
            </w:pPr>
            <w:r w:rsidRPr="00E158A1">
              <w:t>26 October 2017</w:t>
            </w:r>
          </w:p>
          <w:p w14:paraId="502C20AD" w14:textId="77777777" w:rsidR="008E7443" w:rsidRPr="00E158A1" w:rsidRDefault="008E7443" w:rsidP="0035762D">
            <w:pPr>
              <w:pStyle w:val="TableText0"/>
            </w:pPr>
          </w:p>
          <w:p w14:paraId="47EE6CC1" w14:textId="77777777" w:rsidR="008E7443" w:rsidRPr="00E158A1" w:rsidRDefault="008E7443" w:rsidP="0035762D">
            <w:pPr>
              <w:pStyle w:val="TableText0"/>
            </w:pPr>
          </w:p>
          <w:p w14:paraId="20CF1523" w14:textId="77777777" w:rsidR="008E7443" w:rsidRPr="00E158A1" w:rsidRDefault="008E7443" w:rsidP="0035762D">
            <w:pPr>
              <w:pStyle w:val="TableText0"/>
            </w:pPr>
          </w:p>
          <w:p w14:paraId="436A9E35" w14:textId="77777777" w:rsidR="008E7443" w:rsidRPr="00E158A1" w:rsidRDefault="008E7443" w:rsidP="0035762D">
            <w:pPr>
              <w:pStyle w:val="TableText0"/>
            </w:pPr>
          </w:p>
          <w:p w14:paraId="6C441D76" w14:textId="77777777" w:rsidR="008E7443" w:rsidRPr="00E158A1" w:rsidRDefault="008E7443" w:rsidP="0035762D">
            <w:pPr>
              <w:pStyle w:val="TableText0"/>
            </w:pPr>
          </w:p>
          <w:p w14:paraId="15CADD19" w14:textId="77777777" w:rsidR="008E7443" w:rsidRPr="00E158A1" w:rsidRDefault="008E7443" w:rsidP="0035762D">
            <w:pPr>
              <w:pStyle w:val="TableText0"/>
            </w:pPr>
          </w:p>
        </w:tc>
      </w:tr>
      <w:tr w:rsidR="008E7443" w:rsidRPr="00B41614" w14:paraId="652FABF8" w14:textId="77777777" w:rsidTr="0035762D">
        <w:trPr>
          <w:cantSplit/>
          <w:tblHeader/>
        </w:trPr>
        <w:tc>
          <w:tcPr>
            <w:tcW w:w="795" w:type="pct"/>
            <w:tcBorders>
              <w:top w:val="nil"/>
            </w:tcBorders>
          </w:tcPr>
          <w:p w14:paraId="4382944D" w14:textId="77777777" w:rsidR="008E7443" w:rsidRPr="00E158A1" w:rsidRDefault="008E7443" w:rsidP="0035762D">
            <w:pPr>
              <w:pStyle w:val="TableText0"/>
            </w:pPr>
          </w:p>
        </w:tc>
        <w:tc>
          <w:tcPr>
            <w:tcW w:w="2803" w:type="pct"/>
            <w:tcBorders>
              <w:top w:val="nil"/>
            </w:tcBorders>
          </w:tcPr>
          <w:p w14:paraId="03802CC3" w14:textId="0C2B1947" w:rsidR="008E7443" w:rsidRPr="00E158A1" w:rsidRDefault="008E7443" w:rsidP="0035762D">
            <w:pPr>
              <w:pStyle w:val="TableText0"/>
            </w:pPr>
            <w:r w:rsidRPr="00E158A1">
              <w:t>Feagan, Sandborn, W. J., D’Haens, G., Panés, J., Kaser, A., Ferrante, M., Louis, E., Franchimont, D., Dewit, O., Seidler, U., Kim, K.-J., Neurath, M. F., Schreiber, S., Scholl, P., Pamulapati, C., Lalovic, B., Visvanathan, S., Padula, S. J., Herichova, I., … Böcher, W. O. (2017). Induction therapy with the selective interleukin-23 inhibitor risankizumab in patients with moderate-to-severe Crohn’s disease: a randomised, double-blind, placebo-controlled phase 2 study.</w:t>
            </w:r>
          </w:p>
        </w:tc>
        <w:tc>
          <w:tcPr>
            <w:tcW w:w="1402" w:type="pct"/>
            <w:tcBorders>
              <w:top w:val="nil"/>
            </w:tcBorders>
          </w:tcPr>
          <w:p w14:paraId="6741DFB2" w14:textId="6C75715D" w:rsidR="008E7443" w:rsidRPr="00E158A1" w:rsidRDefault="008E7443" w:rsidP="0035762D">
            <w:pPr>
              <w:pStyle w:val="TableText0"/>
            </w:pPr>
            <w:r w:rsidRPr="00E158A1">
              <w:t>The Lancet (British Edition), 389(10080), 1699–1709. https://doi.org/10.1016/S0140-6736(17)30570-6.</w:t>
            </w:r>
          </w:p>
        </w:tc>
      </w:tr>
      <w:tr w:rsidR="008E7443" w:rsidRPr="00B41614" w14:paraId="2CAE2CC8" w14:textId="77777777" w:rsidTr="0035762D">
        <w:trPr>
          <w:cantSplit/>
          <w:tblHeader/>
        </w:trPr>
        <w:tc>
          <w:tcPr>
            <w:tcW w:w="795" w:type="pct"/>
          </w:tcPr>
          <w:p w14:paraId="708ADBF1" w14:textId="77777777" w:rsidR="008E7443" w:rsidRPr="00E158A1" w:rsidRDefault="008E7443" w:rsidP="0035762D">
            <w:pPr>
              <w:pStyle w:val="TableText0"/>
            </w:pPr>
            <w:r w:rsidRPr="00E158A1">
              <w:t>M16-066</w:t>
            </w:r>
          </w:p>
          <w:p w14:paraId="1A24A0C4" w14:textId="77777777" w:rsidR="008E7443" w:rsidRPr="00E158A1" w:rsidRDefault="008E7443" w:rsidP="0035762D">
            <w:pPr>
              <w:pStyle w:val="TableText0"/>
            </w:pPr>
            <w:r w:rsidRPr="00E158A1">
              <w:t>ADVANCE</w:t>
            </w:r>
          </w:p>
          <w:p w14:paraId="77031618" w14:textId="0A384E8E" w:rsidR="008E7443" w:rsidRPr="00E158A1" w:rsidRDefault="008E7443" w:rsidP="0035762D">
            <w:pPr>
              <w:pStyle w:val="TableText0"/>
            </w:pPr>
            <w:r w:rsidRPr="00E158A1">
              <w:t>NCT03105128</w:t>
            </w:r>
          </w:p>
        </w:tc>
        <w:tc>
          <w:tcPr>
            <w:tcW w:w="2803" w:type="pct"/>
          </w:tcPr>
          <w:p w14:paraId="4C737DBF" w14:textId="2D2A5EC6" w:rsidR="008E7443" w:rsidRPr="00E158A1" w:rsidRDefault="008E7443" w:rsidP="0035762D">
            <w:pPr>
              <w:pStyle w:val="TableText0"/>
            </w:pPr>
            <w:r w:rsidRPr="00E158A1">
              <w:t>A Multicenter, Randomized, Double-Blind, Placebo-Controlled Induction Study of the Efficacy and Safety of Risankizumab in Subjects with Moderately to Severely Active Crohn's Disease.</w:t>
            </w:r>
          </w:p>
        </w:tc>
        <w:tc>
          <w:tcPr>
            <w:tcW w:w="1402" w:type="pct"/>
          </w:tcPr>
          <w:p w14:paraId="05ABD8F0" w14:textId="4D82ACD1" w:rsidR="008E7443" w:rsidRPr="00E158A1" w:rsidRDefault="008E7443" w:rsidP="0035762D">
            <w:pPr>
              <w:pStyle w:val="TableText0"/>
            </w:pPr>
            <w:r w:rsidRPr="00E158A1">
              <w:t>19 December 2019.</w:t>
            </w:r>
          </w:p>
        </w:tc>
      </w:tr>
      <w:tr w:rsidR="008E7443" w:rsidRPr="00B41614" w14:paraId="20F0F614" w14:textId="77777777" w:rsidTr="0035762D">
        <w:trPr>
          <w:cantSplit/>
          <w:tblHeader/>
        </w:trPr>
        <w:tc>
          <w:tcPr>
            <w:tcW w:w="795" w:type="pct"/>
          </w:tcPr>
          <w:p w14:paraId="292CB46E" w14:textId="77777777" w:rsidR="008E7443" w:rsidRPr="00E158A1" w:rsidRDefault="008E7443" w:rsidP="0035762D">
            <w:pPr>
              <w:pStyle w:val="TableText0"/>
            </w:pPr>
            <w:r w:rsidRPr="00E158A1">
              <w:t>M15-991</w:t>
            </w:r>
          </w:p>
          <w:p w14:paraId="3312A605" w14:textId="77777777" w:rsidR="008E7443" w:rsidRPr="00E158A1" w:rsidRDefault="008E7443" w:rsidP="0035762D">
            <w:pPr>
              <w:pStyle w:val="TableText0"/>
            </w:pPr>
            <w:r w:rsidRPr="00E158A1">
              <w:t>MOTIVATE</w:t>
            </w:r>
          </w:p>
          <w:p w14:paraId="154AF6CA" w14:textId="6D77E149" w:rsidR="008E7443" w:rsidRPr="00E158A1" w:rsidRDefault="008E7443" w:rsidP="0035762D">
            <w:pPr>
              <w:pStyle w:val="TableText0"/>
            </w:pPr>
            <w:r w:rsidRPr="00E158A1">
              <w:t>NCT03104413</w:t>
            </w:r>
          </w:p>
        </w:tc>
        <w:tc>
          <w:tcPr>
            <w:tcW w:w="2803" w:type="pct"/>
          </w:tcPr>
          <w:p w14:paraId="77EA57E8" w14:textId="2B0A94B3" w:rsidR="008E7443" w:rsidRPr="00E158A1" w:rsidRDefault="008E7443" w:rsidP="0035762D">
            <w:pPr>
              <w:pStyle w:val="TableText0"/>
            </w:pPr>
            <w:r w:rsidRPr="00E158A1">
              <w:t xml:space="preserve">A Multicenter, Randomized, Double-Blind, Placebo-Controlled Induction Study to Assess the Efficacy and Safety of Risankizumab in Subjects with Moderately to Severely Active Crohn's Disease Who Failed Prior Biologic Treatment. </w:t>
            </w:r>
          </w:p>
        </w:tc>
        <w:tc>
          <w:tcPr>
            <w:tcW w:w="1402" w:type="pct"/>
          </w:tcPr>
          <w:p w14:paraId="743B45C8" w14:textId="4FF74F26" w:rsidR="008E7443" w:rsidRPr="00E158A1" w:rsidRDefault="008E7443" w:rsidP="0035762D">
            <w:pPr>
              <w:pStyle w:val="TableText0"/>
            </w:pPr>
            <w:r w:rsidRPr="00E158A1">
              <w:t>19 December 2019.</w:t>
            </w:r>
          </w:p>
        </w:tc>
      </w:tr>
      <w:tr w:rsidR="008E7443" w:rsidRPr="00B41614" w14:paraId="548BEC44" w14:textId="77777777" w:rsidTr="0035762D">
        <w:trPr>
          <w:cantSplit/>
          <w:tblHeader/>
        </w:trPr>
        <w:tc>
          <w:tcPr>
            <w:tcW w:w="795" w:type="pct"/>
          </w:tcPr>
          <w:p w14:paraId="5DA44084" w14:textId="77777777" w:rsidR="008E7443" w:rsidRPr="00E158A1" w:rsidRDefault="008E7443" w:rsidP="0035762D">
            <w:pPr>
              <w:pStyle w:val="TableText0"/>
            </w:pPr>
            <w:r w:rsidRPr="00E158A1">
              <w:t>M16-000</w:t>
            </w:r>
          </w:p>
          <w:p w14:paraId="014BEE62" w14:textId="77777777" w:rsidR="008E7443" w:rsidRPr="00E158A1" w:rsidRDefault="008E7443" w:rsidP="0035762D">
            <w:pPr>
              <w:pStyle w:val="TableText0"/>
            </w:pPr>
            <w:r w:rsidRPr="00E158A1">
              <w:t>FORTIFY</w:t>
            </w:r>
          </w:p>
          <w:p w14:paraId="78EDBADE" w14:textId="5904E4B1" w:rsidR="008E7443" w:rsidRPr="00E158A1" w:rsidRDefault="008E7443" w:rsidP="0035762D">
            <w:pPr>
              <w:pStyle w:val="TableText0"/>
            </w:pPr>
            <w:r w:rsidRPr="00E158A1">
              <w:t>NCT03105102</w:t>
            </w:r>
          </w:p>
        </w:tc>
        <w:tc>
          <w:tcPr>
            <w:tcW w:w="2803" w:type="pct"/>
          </w:tcPr>
          <w:p w14:paraId="5326DD5E" w14:textId="2BC631E5" w:rsidR="008E7443" w:rsidRPr="00E158A1" w:rsidRDefault="008E7443" w:rsidP="0035762D">
            <w:pPr>
              <w:pStyle w:val="TableText0"/>
            </w:pPr>
            <w:r w:rsidRPr="00E158A1">
              <w:t>Controlled 52-Week Maintenance and an Open-Label Extension Study of the Efficacy and Safety of Risankizumab in Subjects with Crohn's Disease Who Responded to Induction Treatment in M16-006 or M15-991; or Completed M15-989.</w:t>
            </w:r>
          </w:p>
        </w:tc>
        <w:tc>
          <w:tcPr>
            <w:tcW w:w="1402" w:type="pct"/>
          </w:tcPr>
          <w:p w14:paraId="15074FC5" w14:textId="6D74EA17" w:rsidR="008E7443" w:rsidRPr="00E158A1" w:rsidRDefault="008E7443" w:rsidP="0035762D">
            <w:pPr>
              <w:pStyle w:val="TableText0"/>
            </w:pPr>
            <w:r w:rsidRPr="00E158A1">
              <w:t>9 April 2020.</w:t>
            </w:r>
          </w:p>
        </w:tc>
      </w:tr>
      <w:tr w:rsidR="00311BCC" w:rsidRPr="00B41614" w14:paraId="74D477D8" w14:textId="77777777" w:rsidTr="0035762D">
        <w:trPr>
          <w:cantSplit/>
          <w:tblHeader/>
        </w:trPr>
        <w:tc>
          <w:tcPr>
            <w:tcW w:w="5000" w:type="pct"/>
            <w:gridSpan w:val="3"/>
          </w:tcPr>
          <w:p w14:paraId="4AE60180" w14:textId="2D65454D" w:rsidR="00311BCC" w:rsidRPr="00311BCC" w:rsidRDefault="00311BCC" w:rsidP="0035762D">
            <w:pPr>
              <w:pStyle w:val="TableText0"/>
              <w:rPr>
                <w:b/>
                <w:bCs w:val="0"/>
              </w:rPr>
            </w:pPr>
            <w:r w:rsidRPr="00311BCC">
              <w:rPr>
                <w:b/>
                <w:bCs w:val="0"/>
              </w:rPr>
              <w:t>Ustekinumab</w:t>
            </w:r>
          </w:p>
        </w:tc>
      </w:tr>
      <w:tr w:rsidR="008E7443" w:rsidRPr="00B41614" w14:paraId="7907DF91" w14:textId="77777777" w:rsidTr="0035762D">
        <w:trPr>
          <w:cantSplit/>
          <w:tblHeader/>
        </w:trPr>
        <w:tc>
          <w:tcPr>
            <w:tcW w:w="795" w:type="pct"/>
          </w:tcPr>
          <w:p w14:paraId="394574A2" w14:textId="77777777" w:rsidR="008E7443" w:rsidRPr="00E158A1" w:rsidRDefault="008E7443" w:rsidP="0035762D">
            <w:pPr>
              <w:pStyle w:val="TableText0"/>
            </w:pPr>
            <w:r w:rsidRPr="00E158A1">
              <w:t>UNITI-I</w:t>
            </w:r>
          </w:p>
          <w:p w14:paraId="3898437E" w14:textId="77777777" w:rsidR="008E7443" w:rsidRPr="00E158A1" w:rsidRDefault="008E7443" w:rsidP="0035762D">
            <w:pPr>
              <w:pStyle w:val="TableText0"/>
            </w:pPr>
            <w:r w:rsidRPr="00E158A1">
              <w:t>UNITI-II</w:t>
            </w:r>
          </w:p>
          <w:p w14:paraId="7FB42B7F" w14:textId="44620E0B" w:rsidR="008E7443" w:rsidRPr="00E158A1" w:rsidRDefault="008E7443" w:rsidP="0035762D">
            <w:pPr>
              <w:pStyle w:val="TableText0"/>
            </w:pPr>
            <w:r w:rsidRPr="00E158A1">
              <w:t>IM-UNITI</w:t>
            </w:r>
          </w:p>
        </w:tc>
        <w:tc>
          <w:tcPr>
            <w:tcW w:w="2803" w:type="pct"/>
          </w:tcPr>
          <w:p w14:paraId="3DF5A039" w14:textId="00C18A9A" w:rsidR="008E7443" w:rsidRPr="00E158A1" w:rsidRDefault="008E7443" w:rsidP="0035762D">
            <w:pPr>
              <w:pStyle w:val="TableText0"/>
            </w:pPr>
            <w:r w:rsidRPr="00E158A1">
              <w:t>Feagan BG, Sandborn WJ, Gasink C, Jacobstein D, Lang Y, Friedman JR, et al. Ustekinumab as Induction and Maintenance Therapy for Crohn's Disease.</w:t>
            </w:r>
          </w:p>
        </w:tc>
        <w:tc>
          <w:tcPr>
            <w:tcW w:w="1402" w:type="pct"/>
          </w:tcPr>
          <w:p w14:paraId="13107291" w14:textId="1BEED7D1" w:rsidR="008E7443" w:rsidRPr="00E158A1" w:rsidRDefault="008E7443" w:rsidP="0035762D">
            <w:pPr>
              <w:pStyle w:val="TableText0"/>
            </w:pPr>
            <w:r w:rsidRPr="00E158A1">
              <w:t>New England Journal of Medicine. 2016;375(20):1946-60</w:t>
            </w:r>
          </w:p>
        </w:tc>
      </w:tr>
      <w:tr w:rsidR="00311BCC" w:rsidRPr="00B41614" w14:paraId="08AFCC43" w14:textId="77777777" w:rsidTr="0035762D">
        <w:trPr>
          <w:cantSplit/>
          <w:tblHeader/>
        </w:trPr>
        <w:tc>
          <w:tcPr>
            <w:tcW w:w="5000" w:type="pct"/>
            <w:gridSpan w:val="3"/>
          </w:tcPr>
          <w:p w14:paraId="1B578C58" w14:textId="60CAF6DE" w:rsidR="00311BCC" w:rsidRPr="00311BCC" w:rsidRDefault="00311BCC" w:rsidP="0035762D">
            <w:pPr>
              <w:pStyle w:val="TableText0"/>
              <w:rPr>
                <w:b/>
                <w:bCs w:val="0"/>
              </w:rPr>
            </w:pPr>
            <w:r w:rsidRPr="00311BCC">
              <w:rPr>
                <w:b/>
                <w:bCs w:val="0"/>
              </w:rPr>
              <w:t>Adalimumab</w:t>
            </w:r>
          </w:p>
        </w:tc>
      </w:tr>
      <w:tr w:rsidR="008E7443" w:rsidRPr="00B41614" w14:paraId="7BA0C493" w14:textId="77777777" w:rsidTr="0035762D">
        <w:trPr>
          <w:cantSplit/>
          <w:tblHeader/>
        </w:trPr>
        <w:tc>
          <w:tcPr>
            <w:tcW w:w="795" w:type="pct"/>
          </w:tcPr>
          <w:p w14:paraId="27F4081F" w14:textId="34DA244D" w:rsidR="008E7443" w:rsidRPr="00E158A1" w:rsidRDefault="008E7443" w:rsidP="0035762D">
            <w:pPr>
              <w:pStyle w:val="TableText0"/>
            </w:pPr>
            <w:r w:rsidRPr="00E158A1">
              <w:t>CLASSIC-I</w:t>
            </w:r>
          </w:p>
        </w:tc>
        <w:tc>
          <w:tcPr>
            <w:tcW w:w="2803" w:type="pct"/>
          </w:tcPr>
          <w:p w14:paraId="57E8526C" w14:textId="2FAF65DE" w:rsidR="008E7443" w:rsidRPr="00E158A1" w:rsidRDefault="008E7443" w:rsidP="0035762D">
            <w:pPr>
              <w:pStyle w:val="TableText0"/>
            </w:pPr>
            <w:r w:rsidRPr="00E158A1">
              <w:t>Hanauer, S. B., Sandborn, W. J., Rutgeerts, P., Fedorak, R. N., Lukas, M., MacIntosh, D., Panaccione, R., Wolf, D., and Pollack, P. Human anti-tumor necrosis factor monoclonal antibody (adalimumab) in Crohn's disease: The CLASSIC-I trial.</w:t>
            </w:r>
          </w:p>
        </w:tc>
        <w:tc>
          <w:tcPr>
            <w:tcW w:w="1402" w:type="pct"/>
          </w:tcPr>
          <w:p w14:paraId="06AED151" w14:textId="76E3C734" w:rsidR="008E7443" w:rsidRPr="00E158A1" w:rsidRDefault="008E7443" w:rsidP="0035762D">
            <w:pPr>
              <w:pStyle w:val="TableText0"/>
            </w:pPr>
            <w:r w:rsidRPr="00E158A1">
              <w:t>Gastroenterology. 2006 Feb;130(2):323-33</w:t>
            </w:r>
          </w:p>
        </w:tc>
      </w:tr>
      <w:tr w:rsidR="008E7443" w:rsidRPr="00B41614" w14:paraId="05D392BF" w14:textId="77777777" w:rsidTr="0035762D">
        <w:trPr>
          <w:cantSplit/>
          <w:tblHeader/>
        </w:trPr>
        <w:tc>
          <w:tcPr>
            <w:tcW w:w="795" w:type="pct"/>
          </w:tcPr>
          <w:p w14:paraId="4D03BF10" w14:textId="1B5E1E60" w:rsidR="008E7443" w:rsidRPr="00E158A1" w:rsidRDefault="008E7443" w:rsidP="0035762D">
            <w:pPr>
              <w:pStyle w:val="TableText0"/>
            </w:pPr>
            <w:r w:rsidRPr="00E158A1">
              <w:t>GAIN</w:t>
            </w:r>
          </w:p>
        </w:tc>
        <w:tc>
          <w:tcPr>
            <w:tcW w:w="2803" w:type="pct"/>
          </w:tcPr>
          <w:p w14:paraId="23C5B8C2" w14:textId="04C00A24" w:rsidR="008E7443" w:rsidRPr="00E158A1" w:rsidRDefault="008E7443" w:rsidP="0035762D">
            <w:pPr>
              <w:pStyle w:val="TableText0"/>
            </w:pPr>
            <w:r w:rsidRPr="00E158A1">
              <w:t>Sandborn, W. J., Rutgeerts, P., Enns, R., Hanauer, S. B., Colombel, J. F., Panaccione, R., D'Haens, G., Li, J., Rosenfeld, M. R., Kent, J. D., and Pollack, P. F. Adalimumab induction therapy for Crohn disease previously treated with infliximab: A randomized trial.</w:t>
            </w:r>
          </w:p>
        </w:tc>
        <w:tc>
          <w:tcPr>
            <w:tcW w:w="1402" w:type="pct"/>
          </w:tcPr>
          <w:p w14:paraId="734DAC30" w14:textId="5651C292" w:rsidR="008E7443" w:rsidRPr="00E158A1" w:rsidRDefault="008E7443" w:rsidP="0035762D">
            <w:pPr>
              <w:pStyle w:val="TableText0"/>
            </w:pPr>
            <w:r w:rsidRPr="00E158A1">
              <w:t>Annals of Internal Medicine 2007; 146 (12): 829-838</w:t>
            </w:r>
          </w:p>
        </w:tc>
      </w:tr>
      <w:tr w:rsidR="008E7443" w:rsidRPr="00B41614" w14:paraId="2F2C0AEB" w14:textId="77777777" w:rsidTr="0035762D">
        <w:trPr>
          <w:cantSplit/>
          <w:tblHeader/>
        </w:trPr>
        <w:tc>
          <w:tcPr>
            <w:tcW w:w="795" w:type="pct"/>
          </w:tcPr>
          <w:p w14:paraId="390F116E" w14:textId="19A23D6C" w:rsidR="008E7443" w:rsidRPr="00E158A1" w:rsidRDefault="008E7443" w:rsidP="0035762D">
            <w:pPr>
              <w:pStyle w:val="TableText0"/>
            </w:pPr>
            <w:r w:rsidRPr="00E158A1">
              <w:t>CHARM</w:t>
            </w:r>
          </w:p>
        </w:tc>
        <w:tc>
          <w:tcPr>
            <w:tcW w:w="2803" w:type="pct"/>
          </w:tcPr>
          <w:p w14:paraId="121C73AB" w14:textId="001B1EAC" w:rsidR="008E7443" w:rsidRPr="00E158A1" w:rsidRDefault="008E7443" w:rsidP="0035762D">
            <w:pPr>
              <w:pStyle w:val="TableText0"/>
            </w:pPr>
            <w:r w:rsidRPr="00E158A1">
              <w:t>Colombel, J., Sandborn, W. J., Rutgeerts, P., Enns, R., Hanauer, S. B., Panaccione, R., Schreiber, S., Byczkowski, D., Li, J., Kent, J. D., and Pollack, P. F. Adalimumab for Maintenance of Clinical Response and Remission in Patients With Crohn's Disease: The CHARM Trial.</w:t>
            </w:r>
          </w:p>
        </w:tc>
        <w:tc>
          <w:tcPr>
            <w:tcW w:w="1402" w:type="pct"/>
          </w:tcPr>
          <w:p w14:paraId="688E1E44" w14:textId="2B745612" w:rsidR="008E7443" w:rsidRPr="00E158A1" w:rsidRDefault="008E7443" w:rsidP="0035762D">
            <w:pPr>
              <w:pStyle w:val="TableText0"/>
            </w:pPr>
            <w:r w:rsidRPr="00E158A1">
              <w:t>Gastroenterology 2007; 132 (1): 52-65.s</w:t>
            </w:r>
          </w:p>
        </w:tc>
      </w:tr>
      <w:tr w:rsidR="00311BCC" w:rsidRPr="00B41614" w14:paraId="5139DDC7" w14:textId="77777777" w:rsidTr="0035762D">
        <w:trPr>
          <w:cantSplit/>
          <w:tblHeader/>
        </w:trPr>
        <w:tc>
          <w:tcPr>
            <w:tcW w:w="5000" w:type="pct"/>
            <w:gridSpan w:val="3"/>
          </w:tcPr>
          <w:p w14:paraId="5EF0A6BF" w14:textId="02F67068" w:rsidR="00311BCC" w:rsidRPr="00311BCC" w:rsidRDefault="00311BCC" w:rsidP="0035762D">
            <w:pPr>
              <w:pStyle w:val="TableText0"/>
              <w:rPr>
                <w:b/>
                <w:bCs w:val="0"/>
              </w:rPr>
            </w:pPr>
            <w:r w:rsidRPr="00311BCC">
              <w:rPr>
                <w:b/>
                <w:bCs w:val="0"/>
              </w:rPr>
              <w:t>Infliximab</w:t>
            </w:r>
          </w:p>
        </w:tc>
      </w:tr>
      <w:tr w:rsidR="008E7443" w:rsidRPr="00B41614" w14:paraId="2204D499" w14:textId="77777777" w:rsidTr="0035762D">
        <w:trPr>
          <w:cantSplit/>
          <w:tblHeader/>
        </w:trPr>
        <w:tc>
          <w:tcPr>
            <w:tcW w:w="795" w:type="pct"/>
          </w:tcPr>
          <w:p w14:paraId="2C8D8C95" w14:textId="42622285" w:rsidR="008E7443" w:rsidRPr="00E158A1" w:rsidRDefault="008E7443" w:rsidP="0035762D">
            <w:pPr>
              <w:pStyle w:val="TableText0"/>
            </w:pPr>
            <w:r w:rsidRPr="00E158A1">
              <w:t>T20</w:t>
            </w:r>
          </w:p>
        </w:tc>
        <w:tc>
          <w:tcPr>
            <w:tcW w:w="2803" w:type="pct"/>
          </w:tcPr>
          <w:p w14:paraId="4D56F2AA" w14:textId="49D31DCF" w:rsidR="008E7443" w:rsidRPr="00E158A1" w:rsidRDefault="008E7443" w:rsidP="0035762D">
            <w:pPr>
              <w:pStyle w:val="TableText0"/>
            </w:pPr>
            <w:r w:rsidRPr="00E158A1">
              <w:t>Present, D. H., Rutgeerts, P., Targan, S., Hanauer, S. B., Mayer, L., Van Hogezand, R. A., Podolsky, D. K., Sands, B. E., Braakman, T., DeWoody, K. L., Schaible, T. F., and Van Deventer, S. J. Infliximab for the treatment of fistulae in patients with Crohn’s disease. The New England Journal of Medicine; 1999; 340: 1398- 1405.</w:t>
            </w:r>
          </w:p>
        </w:tc>
        <w:tc>
          <w:tcPr>
            <w:tcW w:w="1402" w:type="pct"/>
          </w:tcPr>
          <w:p w14:paraId="1BA848FD" w14:textId="432B71B4" w:rsidR="008E7443" w:rsidRPr="00E158A1" w:rsidRDefault="008E7443" w:rsidP="0035762D">
            <w:pPr>
              <w:pStyle w:val="TableText0"/>
            </w:pPr>
            <w:r w:rsidRPr="00E158A1">
              <w:t>New England Journal of Medicine. 1999;340:1398-1405</w:t>
            </w:r>
          </w:p>
        </w:tc>
      </w:tr>
      <w:tr w:rsidR="008E7443" w:rsidRPr="00B41614" w14:paraId="39A5638E" w14:textId="77777777" w:rsidTr="0035762D">
        <w:trPr>
          <w:cantSplit/>
          <w:tblHeader/>
        </w:trPr>
        <w:tc>
          <w:tcPr>
            <w:tcW w:w="795" w:type="pct"/>
          </w:tcPr>
          <w:p w14:paraId="36210268" w14:textId="74B5E89E" w:rsidR="008E7443" w:rsidRPr="00E158A1" w:rsidRDefault="008E7443" w:rsidP="0035762D">
            <w:pPr>
              <w:pStyle w:val="TableText0"/>
            </w:pPr>
            <w:r w:rsidRPr="00E158A1">
              <w:lastRenderedPageBreak/>
              <w:t>ACCENT-II</w:t>
            </w:r>
          </w:p>
        </w:tc>
        <w:tc>
          <w:tcPr>
            <w:tcW w:w="2803" w:type="pct"/>
          </w:tcPr>
          <w:p w14:paraId="2B6622E1" w14:textId="01A9FAA0" w:rsidR="008E7443" w:rsidRPr="00E158A1" w:rsidRDefault="008E7443" w:rsidP="0035762D">
            <w:pPr>
              <w:pStyle w:val="TableText0"/>
            </w:pPr>
            <w:r w:rsidRPr="00E158A1">
              <w:t>Sands, B. E., Anderson, F. H., Bernstein, C. N., Chey, W. Y., Feagan, B. G., Fedorak, R. N., Kamm, M. A., Korzenik, J. R., Lashner, B. A., Onken, J. E., Rachmilewitz, D., Rutgeerts, P., Wild, G., Wolf, D. C., Marsters, P. A., Travers, S. B., Blank, M. A., and Van Deventer, S. J. Infliximab maintenance therapy for fistulising Crohn's disease. The New England Journal of Medicine 2004; 350(9): 876-885.</w:t>
            </w:r>
          </w:p>
        </w:tc>
        <w:tc>
          <w:tcPr>
            <w:tcW w:w="1402" w:type="pct"/>
          </w:tcPr>
          <w:p w14:paraId="0854D614" w14:textId="71007E19" w:rsidR="008E7443" w:rsidRPr="00E158A1" w:rsidRDefault="008E7443" w:rsidP="0035762D">
            <w:pPr>
              <w:pStyle w:val="TableText0"/>
            </w:pPr>
            <w:r w:rsidRPr="00E158A1">
              <w:t>New England Journal of Medicine 2004; 350(9): 876-885</w:t>
            </w:r>
          </w:p>
        </w:tc>
      </w:tr>
    </w:tbl>
    <w:p w14:paraId="51D8173A" w14:textId="52848527" w:rsidR="008E0D3C" w:rsidRPr="00F42FA4" w:rsidRDefault="008E7443" w:rsidP="00F42FA4">
      <w:pPr>
        <w:pStyle w:val="TableFigureFooter"/>
      </w:pPr>
      <w:r w:rsidRPr="00F42FA4">
        <w:t>Source: Table 2.3, pp31-33 of the submission.</w:t>
      </w:r>
    </w:p>
    <w:p w14:paraId="1DD06D7D" w14:textId="7105B77C" w:rsidR="007F1017" w:rsidRPr="00EC5836" w:rsidRDefault="008F120A" w:rsidP="00465970">
      <w:pPr>
        <w:pStyle w:val="3-BodyText"/>
        <w:ind w:left="709"/>
        <w:rPr>
          <w:color w:val="0066FF"/>
        </w:rPr>
      </w:pPr>
      <w:r w:rsidRPr="00B50DB8">
        <w:t xml:space="preserve">The key features of the randomised trials </w:t>
      </w:r>
      <w:r w:rsidR="00570644">
        <w:t xml:space="preserve">for severe CD and FCD </w:t>
      </w:r>
      <w:r w:rsidRPr="00B50DB8">
        <w:t>are summarised in the table</w:t>
      </w:r>
      <w:r w:rsidR="00570644">
        <w:t>s</w:t>
      </w:r>
      <w:r w:rsidRPr="00B50DB8">
        <w:t xml:space="preserve"> below.</w:t>
      </w:r>
      <w:r w:rsidR="00BC591F">
        <w:t xml:space="preserve"> </w:t>
      </w:r>
    </w:p>
    <w:p w14:paraId="355E2F15" w14:textId="1C93FE08" w:rsidR="007F1017" w:rsidRPr="00672235" w:rsidRDefault="00672235" w:rsidP="00672235">
      <w:pPr>
        <w:pStyle w:val="TableFigureHeading"/>
        <w:rPr>
          <w:rStyle w:val="CommentReference"/>
          <w:b/>
          <w:bCs w:val="0"/>
        </w:rPr>
      </w:pPr>
      <w:r w:rsidRPr="00672235">
        <w:rPr>
          <w:rStyle w:val="CommentReference"/>
          <w:b/>
          <w:bCs w:val="0"/>
        </w:rPr>
        <w:t xml:space="preserve">Table </w:t>
      </w:r>
      <w:r w:rsidRPr="00672235">
        <w:rPr>
          <w:rStyle w:val="CommentReference"/>
          <w:b/>
          <w:bCs w:val="0"/>
        </w:rPr>
        <w:fldChar w:fldCharType="begin" w:fldLock="1"/>
      </w:r>
      <w:r w:rsidRPr="00672235">
        <w:rPr>
          <w:rStyle w:val="CommentReference"/>
          <w:b/>
          <w:bCs w:val="0"/>
        </w:rPr>
        <w:instrText xml:space="preserve"> SEQ Table \* ARABIC </w:instrText>
      </w:r>
      <w:r w:rsidRPr="00672235">
        <w:rPr>
          <w:rStyle w:val="CommentReference"/>
          <w:b/>
          <w:bCs w:val="0"/>
        </w:rPr>
        <w:fldChar w:fldCharType="separate"/>
      </w:r>
      <w:r w:rsidR="003D76A2">
        <w:rPr>
          <w:rStyle w:val="CommentReference"/>
          <w:b/>
          <w:bCs w:val="0"/>
          <w:noProof/>
        </w:rPr>
        <w:t>4</w:t>
      </w:r>
      <w:r w:rsidRPr="00672235">
        <w:rPr>
          <w:rStyle w:val="CommentReference"/>
          <w:b/>
          <w:bCs w:val="0"/>
        </w:rPr>
        <w:fldChar w:fldCharType="end"/>
      </w:r>
      <w:r w:rsidR="007F1017" w:rsidRPr="00672235">
        <w:rPr>
          <w:rStyle w:val="CommentReference"/>
          <w:b/>
          <w:bCs w:val="0"/>
        </w:rPr>
        <w:t>: Key features of the included evidence</w:t>
      </w:r>
      <w:r w:rsidR="00570644" w:rsidRPr="00672235">
        <w:rPr>
          <w:rStyle w:val="CommentReference"/>
          <w:b/>
          <w:bCs w:val="0"/>
        </w:rPr>
        <w:t>: Severe CD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89"/>
        <w:gridCol w:w="849"/>
        <w:gridCol w:w="1417"/>
        <w:gridCol w:w="1277"/>
        <w:gridCol w:w="992"/>
        <w:gridCol w:w="2409"/>
        <w:gridCol w:w="1084"/>
      </w:tblGrid>
      <w:tr w:rsidR="00494B51" w:rsidRPr="00B41614" w14:paraId="53DD7CC6" w14:textId="77777777" w:rsidTr="0035762D">
        <w:trPr>
          <w:cantSplit/>
          <w:tblHeader/>
        </w:trPr>
        <w:tc>
          <w:tcPr>
            <w:tcW w:w="548" w:type="pct"/>
            <w:shd w:val="clear" w:color="auto" w:fill="auto"/>
            <w:vAlign w:val="center"/>
          </w:tcPr>
          <w:p w14:paraId="794116BC" w14:textId="77777777" w:rsidR="00570644" w:rsidRPr="00B41614" w:rsidRDefault="00570644" w:rsidP="001E34DF">
            <w:pPr>
              <w:pStyle w:val="In-tableHeading"/>
            </w:pPr>
            <w:r w:rsidRPr="00B41614">
              <w:t>Trial</w:t>
            </w:r>
          </w:p>
        </w:tc>
        <w:tc>
          <w:tcPr>
            <w:tcW w:w="471" w:type="pct"/>
            <w:shd w:val="clear" w:color="auto" w:fill="auto"/>
            <w:vAlign w:val="center"/>
          </w:tcPr>
          <w:p w14:paraId="51122FE5" w14:textId="77777777" w:rsidR="00570644" w:rsidRPr="00B41614" w:rsidRDefault="00570644" w:rsidP="00587DA2">
            <w:pPr>
              <w:pStyle w:val="In-tableHeading"/>
              <w:jc w:val="center"/>
            </w:pPr>
            <w:r w:rsidRPr="00B41614">
              <w:t>N</w:t>
            </w:r>
          </w:p>
        </w:tc>
        <w:tc>
          <w:tcPr>
            <w:tcW w:w="786" w:type="pct"/>
            <w:shd w:val="clear" w:color="auto" w:fill="auto"/>
            <w:vAlign w:val="center"/>
          </w:tcPr>
          <w:p w14:paraId="41C438EF" w14:textId="0A4DB43C" w:rsidR="00570644" w:rsidRPr="00B41614" w:rsidRDefault="00570644" w:rsidP="00587DA2">
            <w:pPr>
              <w:pStyle w:val="In-tableHeading"/>
              <w:jc w:val="center"/>
            </w:pPr>
            <w:r w:rsidRPr="00B41614">
              <w:t>Design</w:t>
            </w:r>
          </w:p>
        </w:tc>
        <w:tc>
          <w:tcPr>
            <w:tcW w:w="708" w:type="pct"/>
            <w:vAlign w:val="center"/>
          </w:tcPr>
          <w:p w14:paraId="28DD638D" w14:textId="55FDA8C5" w:rsidR="00570644" w:rsidRPr="00B41614" w:rsidRDefault="00570644" w:rsidP="00587DA2">
            <w:pPr>
              <w:pStyle w:val="In-tableHeading"/>
              <w:jc w:val="center"/>
            </w:pPr>
            <w:r>
              <w:t>Duration (Assessment of outcomes)</w:t>
            </w:r>
          </w:p>
        </w:tc>
        <w:tc>
          <w:tcPr>
            <w:tcW w:w="550" w:type="pct"/>
            <w:shd w:val="clear" w:color="auto" w:fill="auto"/>
            <w:vAlign w:val="center"/>
          </w:tcPr>
          <w:p w14:paraId="1FC91360" w14:textId="5D0BCDA7" w:rsidR="00570644" w:rsidRPr="00B41614" w:rsidRDefault="00570644" w:rsidP="00587DA2">
            <w:pPr>
              <w:pStyle w:val="In-tableHeading"/>
              <w:jc w:val="center"/>
            </w:pPr>
            <w:r w:rsidRPr="00B41614">
              <w:t>Risk of bias</w:t>
            </w:r>
          </w:p>
        </w:tc>
        <w:tc>
          <w:tcPr>
            <w:tcW w:w="1336" w:type="pct"/>
            <w:shd w:val="clear" w:color="auto" w:fill="auto"/>
            <w:vAlign w:val="center"/>
          </w:tcPr>
          <w:p w14:paraId="7FF90896" w14:textId="77777777" w:rsidR="00570644" w:rsidRPr="00B41614" w:rsidRDefault="00570644" w:rsidP="00587DA2">
            <w:pPr>
              <w:pStyle w:val="In-tableHeading"/>
              <w:jc w:val="center"/>
            </w:pPr>
            <w:r w:rsidRPr="00B41614">
              <w:t>Patient population</w:t>
            </w:r>
          </w:p>
        </w:tc>
        <w:tc>
          <w:tcPr>
            <w:tcW w:w="601" w:type="pct"/>
            <w:shd w:val="clear" w:color="auto" w:fill="auto"/>
            <w:vAlign w:val="center"/>
          </w:tcPr>
          <w:p w14:paraId="0FCB63F9" w14:textId="77777777" w:rsidR="00570644" w:rsidRPr="00B41614" w:rsidRDefault="00570644" w:rsidP="00587DA2">
            <w:pPr>
              <w:pStyle w:val="In-tableHeading"/>
              <w:jc w:val="center"/>
            </w:pPr>
            <w:r w:rsidRPr="00B41614">
              <w:t>Outcome(s)</w:t>
            </w:r>
          </w:p>
        </w:tc>
      </w:tr>
      <w:tr w:rsidR="00570644" w:rsidRPr="00B41614" w14:paraId="7923871E" w14:textId="77777777" w:rsidTr="0035762D">
        <w:trPr>
          <w:cantSplit/>
          <w:tblHeader/>
        </w:trPr>
        <w:tc>
          <w:tcPr>
            <w:tcW w:w="5000" w:type="pct"/>
            <w:gridSpan w:val="7"/>
            <w:vAlign w:val="center"/>
          </w:tcPr>
          <w:p w14:paraId="041D7524" w14:textId="28858650" w:rsidR="00570644" w:rsidRPr="00B41614" w:rsidRDefault="00570644" w:rsidP="00587DA2">
            <w:pPr>
              <w:pStyle w:val="In-tableHeading"/>
            </w:pPr>
            <w:r>
              <w:t>Risankizumab versus placebo</w:t>
            </w:r>
          </w:p>
        </w:tc>
      </w:tr>
      <w:tr w:rsidR="00543B2F" w:rsidRPr="00E2771E" w14:paraId="4EE88DCB" w14:textId="77777777" w:rsidTr="0035762D">
        <w:trPr>
          <w:cantSplit/>
        </w:trPr>
        <w:tc>
          <w:tcPr>
            <w:tcW w:w="548" w:type="pct"/>
            <w:shd w:val="clear" w:color="auto" w:fill="auto"/>
            <w:vAlign w:val="center"/>
          </w:tcPr>
          <w:p w14:paraId="6EE77D33" w14:textId="25A01602" w:rsidR="00543B2F" w:rsidRPr="00587DA2" w:rsidRDefault="00543B2F" w:rsidP="00587DA2">
            <w:pPr>
              <w:pStyle w:val="TableText0"/>
            </w:pPr>
            <w:r w:rsidRPr="00587DA2">
              <w:t>M15-993</w:t>
            </w:r>
          </w:p>
        </w:tc>
        <w:tc>
          <w:tcPr>
            <w:tcW w:w="471" w:type="pct"/>
            <w:shd w:val="clear" w:color="auto" w:fill="auto"/>
            <w:vAlign w:val="center"/>
          </w:tcPr>
          <w:p w14:paraId="41BB0E41" w14:textId="18959A38" w:rsidR="00543B2F" w:rsidRPr="00587DA2" w:rsidRDefault="00543B2F" w:rsidP="00587DA2">
            <w:pPr>
              <w:pStyle w:val="TableText0"/>
              <w:jc w:val="center"/>
            </w:pPr>
            <w:r w:rsidRPr="00587DA2">
              <w:t>IP: 121</w:t>
            </w:r>
          </w:p>
        </w:tc>
        <w:tc>
          <w:tcPr>
            <w:tcW w:w="786" w:type="pct"/>
            <w:shd w:val="clear" w:color="auto" w:fill="auto"/>
            <w:vAlign w:val="center"/>
          </w:tcPr>
          <w:p w14:paraId="744D08AC" w14:textId="6058EF40" w:rsidR="00543B2F" w:rsidRPr="00587DA2" w:rsidRDefault="00543B2F" w:rsidP="00587DA2">
            <w:pPr>
              <w:pStyle w:val="TableText0"/>
              <w:jc w:val="center"/>
            </w:pPr>
            <w:r w:rsidRPr="00587DA2">
              <w:t>Phase 2, R, DB, PC, MC, IP</w:t>
            </w:r>
          </w:p>
        </w:tc>
        <w:tc>
          <w:tcPr>
            <w:tcW w:w="708" w:type="pct"/>
            <w:vAlign w:val="center"/>
          </w:tcPr>
          <w:p w14:paraId="019AE7F7" w14:textId="2196FE01" w:rsidR="00543B2F" w:rsidRPr="00587DA2" w:rsidRDefault="00543B2F" w:rsidP="00587DA2">
            <w:pPr>
              <w:pStyle w:val="TableText0"/>
              <w:jc w:val="center"/>
            </w:pPr>
            <w:r w:rsidRPr="00587DA2">
              <w:t>IP: 12 weeks</w:t>
            </w:r>
          </w:p>
        </w:tc>
        <w:tc>
          <w:tcPr>
            <w:tcW w:w="550" w:type="pct"/>
            <w:shd w:val="clear" w:color="auto" w:fill="auto"/>
            <w:vAlign w:val="center"/>
          </w:tcPr>
          <w:p w14:paraId="4A529D74" w14:textId="1CC7424C" w:rsidR="00543B2F" w:rsidRPr="00CE6C9F" w:rsidRDefault="00543B2F" w:rsidP="00587DA2">
            <w:pPr>
              <w:pStyle w:val="TableText0"/>
              <w:jc w:val="center"/>
            </w:pPr>
            <w:r w:rsidRPr="00CE6C9F">
              <w:t>Low</w:t>
            </w:r>
          </w:p>
        </w:tc>
        <w:tc>
          <w:tcPr>
            <w:tcW w:w="1336" w:type="pct"/>
            <w:shd w:val="clear" w:color="auto" w:fill="auto"/>
            <w:vAlign w:val="center"/>
          </w:tcPr>
          <w:p w14:paraId="5E6F456D" w14:textId="4C5CE513" w:rsidR="00543B2F" w:rsidRPr="00587DA2" w:rsidRDefault="00543B2F" w:rsidP="00587DA2">
            <w:pPr>
              <w:pStyle w:val="TableText0"/>
              <w:jc w:val="center"/>
            </w:pPr>
            <w:r w:rsidRPr="00587DA2">
              <w:t>Bio</w:t>
            </w:r>
            <w:r w:rsidR="00804156">
              <w:t>logical</w:t>
            </w:r>
            <w:r w:rsidRPr="00587DA2">
              <w:t>-naïve and experienced patients</w:t>
            </w:r>
          </w:p>
        </w:tc>
        <w:tc>
          <w:tcPr>
            <w:tcW w:w="601" w:type="pct"/>
            <w:vMerge w:val="restart"/>
            <w:shd w:val="clear" w:color="auto" w:fill="auto"/>
            <w:vAlign w:val="center"/>
          </w:tcPr>
          <w:p w14:paraId="5A4BCFE1" w14:textId="43E0282A" w:rsidR="00543B2F" w:rsidRPr="00587DA2" w:rsidRDefault="00543B2F" w:rsidP="00587DA2">
            <w:pPr>
              <w:pStyle w:val="TableText0"/>
              <w:jc w:val="center"/>
            </w:pPr>
            <w:r w:rsidRPr="00587DA2">
              <w:t>CDAI clinical remission</w:t>
            </w:r>
            <w:r>
              <w:t xml:space="preserve"> </w:t>
            </w:r>
            <w:r w:rsidRPr="00587DA2">
              <w:rPr>
                <w:vertAlign w:val="superscript"/>
              </w:rPr>
              <w:t>a</w:t>
            </w:r>
            <w:r w:rsidRPr="00587DA2">
              <w:t xml:space="preserve"> *</w:t>
            </w:r>
          </w:p>
          <w:p w14:paraId="6DC76214" w14:textId="20F44678" w:rsidR="00543B2F" w:rsidRPr="00587DA2" w:rsidRDefault="00543B2F" w:rsidP="00587DA2">
            <w:pPr>
              <w:pStyle w:val="TableText0"/>
              <w:jc w:val="center"/>
            </w:pPr>
            <w:r w:rsidRPr="00587DA2">
              <w:t>CDAI clinical response</w:t>
            </w:r>
            <w:r>
              <w:t xml:space="preserve"> </w:t>
            </w:r>
            <w:r w:rsidRPr="00587DA2">
              <w:rPr>
                <w:vertAlign w:val="superscript"/>
              </w:rPr>
              <w:t>b</w:t>
            </w:r>
          </w:p>
        </w:tc>
      </w:tr>
      <w:tr w:rsidR="00543B2F" w:rsidRPr="00E2771E" w14:paraId="13A6895C" w14:textId="77777777" w:rsidTr="0035762D">
        <w:trPr>
          <w:cantSplit/>
        </w:trPr>
        <w:tc>
          <w:tcPr>
            <w:tcW w:w="548" w:type="pct"/>
            <w:shd w:val="clear" w:color="auto" w:fill="auto"/>
            <w:vAlign w:val="center"/>
          </w:tcPr>
          <w:p w14:paraId="4A9488B3" w14:textId="160FD1F8" w:rsidR="00543B2F" w:rsidRPr="00587DA2" w:rsidRDefault="00543B2F" w:rsidP="00587DA2">
            <w:pPr>
              <w:pStyle w:val="TableText0"/>
            </w:pPr>
            <w:r w:rsidRPr="00587DA2">
              <w:t>ADVANCE</w:t>
            </w:r>
          </w:p>
        </w:tc>
        <w:tc>
          <w:tcPr>
            <w:tcW w:w="471" w:type="pct"/>
            <w:shd w:val="clear" w:color="auto" w:fill="auto"/>
            <w:vAlign w:val="center"/>
          </w:tcPr>
          <w:p w14:paraId="3F4D20B5" w14:textId="6A36E956" w:rsidR="00543B2F" w:rsidRPr="00587DA2" w:rsidRDefault="00543B2F" w:rsidP="00587DA2">
            <w:pPr>
              <w:pStyle w:val="TableText0"/>
              <w:jc w:val="center"/>
            </w:pPr>
            <w:r w:rsidRPr="00587DA2">
              <w:t>IP: 931</w:t>
            </w:r>
          </w:p>
        </w:tc>
        <w:tc>
          <w:tcPr>
            <w:tcW w:w="786" w:type="pct"/>
            <w:shd w:val="clear" w:color="auto" w:fill="auto"/>
            <w:vAlign w:val="center"/>
          </w:tcPr>
          <w:p w14:paraId="68D92FE7" w14:textId="4EDF5BFE" w:rsidR="00543B2F" w:rsidRPr="00587DA2" w:rsidRDefault="00543B2F" w:rsidP="00587DA2">
            <w:pPr>
              <w:pStyle w:val="TableText0"/>
              <w:jc w:val="center"/>
            </w:pPr>
            <w:r w:rsidRPr="00587DA2">
              <w:t>Phase 3, R, DB, PC, MC, IP</w:t>
            </w:r>
          </w:p>
        </w:tc>
        <w:tc>
          <w:tcPr>
            <w:tcW w:w="708" w:type="pct"/>
            <w:vAlign w:val="center"/>
          </w:tcPr>
          <w:p w14:paraId="2E12C1F0" w14:textId="487E2E16" w:rsidR="00543B2F" w:rsidRPr="00587DA2" w:rsidRDefault="00543B2F" w:rsidP="00587DA2">
            <w:pPr>
              <w:pStyle w:val="TableText0"/>
              <w:jc w:val="center"/>
            </w:pPr>
            <w:r w:rsidRPr="00587DA2">
              <w:t>IP: 12 weeks</w:t>
            </w:r>
          </w:p>
        </w:tc>
        <w:tc>
          <w:tcPr>
            <w:tcW w:w="550" w:type="pct"/>
            <w:shd w:val="clear" w:color="auto" w:fill="auto"/>
            <w:vAlign w:val="center"/>
          </w:tcPr>
          <w:p w14:paraId="6F0F93F8" w14:textId="01FDE725" w:rsidR="00543B2F" w:rsidRPr="00CE6C9F" w:rsidRDefault="00543B2F" w:rsidP="00587DA2">
            <w:pPr>
              <w:pStyle w:val="TableText0"/>
              <w:jc w:val="center"/>
            </w:pPr>
            <w:r w:rsidRPr="00CE6C9F">
              <w:t>Low</w:t>
            </w:r>
          </w:p>
        </w:tc>
        <w:tc>
          <w:tcPr>
            <w:tcW w:w="1336" w:type="pct"/>
            <w:shd w:val="clear" w:color="auto" w:fill="auto"/>
            <w:vAlign w:val="center"/>
          </w:tcPr>
          <w:p w14:paraId="43AC963E" w14:textId="5433858A" w:rsidR="00543B2F" w:rsidRPr="00587DA2" w:rsidRDefault="00543B2F" w:rsidP="00587DA2">
            <w:pPr>
              <w:pStyle w:val="TableText0"/>
              <w:jc w:val="center"/>
            </w:pPr>
            <w:r w:rsidRPr="00587DA2">
              <w:t>Bio</w:t>
            </w:r>
            <w:r w:rsidR="00804156">
              <w:t>logical</w:t>
            </w:r>
            <w:r w:rsidRPr="00587DA2">
              <w:t>-naïve and experienced patients</w:t>
            </w:r>
          </w:p>
        </w:tc>
        <w:tc>
          <w:tcPr>
            <w:tcW w:w="601" w:type="pct"/>
            <w:vMerge/>
            <w:shd w:val="clear" w:color="auto" w:fill="auto"/>
            <w:vAlign w:val="center"/>
          </w:tcPr>
          <w:p w14:paraId="4F0C99D2" w14:textId="5700E886" w:rsidR="00543B2F" w:rsidRPr="00587DA2" w:rsidRDefault="00543B2F" w:rsidP="00587DA2">
            <w:pPr>
              <w:pStyle w:val="TableText0"/>
              <w:jc w:val="center"/>
            </w:pPr>
          </w:p>
        </w:tc>
      </w:tr>
      <w:tr w:rsidR="00543B2F" w:rsidRPr="00E2771E" w14:paraId="6DAFAEAF" w14:textId="77777777" w:rsidTr="0035762D">
        <w:trPr>
          <w:cantSplit/>
        </w:trPr>
        <w:tc>
          <w:tcPr>
            <w:tcW w:w="548" w:type="pct"/>
            <w:shd w:val="clear" w:color="auto" w:fill="auto"/>
            <w:vAlign w:val="center"/>
          </w:tcPr>
          <w:p w14:paraId="76F0584C" w14:textId="10C2441F" w:rsidR="00543B2F" w:rsidRPr="00587DA2" w:rsidRDefault="00543B2F" w:rsidP="00587DA2">
            <w:pPr>
              <w:pStyle w:val="TableText0"/>
            </w:pPr>
            <w:r w:rsidRPr="00587DA2">
              <w:t>MOTIVATE</w:t>
            </w:r>
          </w:p>
        </w:tc>
        <w:tc>
          <w:tcPr>
            <w:tcW w:w="471" w:type="pct"/>
            <w:shd w:val="clear" w:color="auto" w:fill="auto"/>
            <w:vAlign w:val="center"/>
          </w:tcPr>
          <w:p w14:paraId="7D785F8E" w14:textId="0D70CEE6" w:rsidR="00543B2F" w:rsidRPr="00587DA2" w:rsidRDefault="00543B2F" w:rsidP="00587DA2">
            <w:pPr>
              <w:pStyle w:val="TableText0"/>
              <w:jc w:val="center"/>
            </w:pPr>
            <w:r w:rsidRPr="00587DA2">
              <w:t>IP: 618</w:t>
            </w:r>
          </w:p>
        </w:tc>
        <w:tc>
          <w:tcPr>
            <w:tcW w:w="786" w:type="pct"/>
            <w:shd w:val="clear" w:color="auto" w:fill="auto"/>
            <w:vAlign w:val="center"/>
          </w:tcPr>
          <w:p w14:paraId="4F10C1AA" w14:textId="69D8EEC5" w:rsidR="00543B2F" w:rsidRPr="00587DA2" w:rsidRDefault="00543B2F" w:rsidP="00587DA2">
            <w:pPr>
              <w:pStyle w:val="TableText0"/>
              <w:jc w:val="center"/>
            </w:pPr>
            <w:r w:rsidRPr="00587DA2">
              <w:t>Phase 3, R, DB, PC, MC, IP</w:t>
            </w:r>
          </w:p>
        </w:tc>
        <w:tc>
          <w:tcPr>
            <w:tcW w:w="708" w:type="pct"/>
            <w:vAlign w:val="center"/>
          </w:tcPr>
          <w:p w14:paraId="61FD61CF" w14:textId="2BBAEE57" w:rsidR="00543B2F" w:rsidRPr="00587DA2" w:rsidRDefault="00543B2F" w:rsidP="00587DA2">
            <w:pPr>
              <w:pStyle w:val="TableText0"/>
              <w:jc w:val="center"/>
            </w:pPr>
            <w:r w:rsidRPr="00587DA2">
              <w:t>IP: 12 weeks</w:t>
            </w:r>
          </w:p>
        </w:tc>
        <w:tc>
          <w:tcPr>
            <w:tcW w:w="550" w:type="pct"/>
            <w:shd w:val="clear" w:color="auto" w:fill="auto"/>
            <w:vAlign w:val="center"/>
          </w:tcPr>
          <w:p w14:paraId="50E27A90" w14:textId="2AC0D93F" w:rsidR="00543B2F" w:rsidRPr="00CE6C9F" w:rsidRDefault="00543B2F" w:rsidP="00587DA2">
            <w:pPr>
              <w:pStyle w:val="TableText0"/>
              <w:jc w:val="center"/>
            </w:pPr>
            <w:r w:rsidRPr="00CE6C9F">
              <w:t>Low</w:t>
            </w:r>
          </w:p>
        </w:tc>
        <w:tc>
          <w:tcPr>
            <w:tcW w:w="1336" w:type="pct"/>
            <w:shd w:val="clear" w:color="auto" w:fill="auto"/>
            <w:vAlign w:val="center"/>
          </w:tcPr>
          <w:p w14:paraId="1B84BE0E" w14:textId="58752E97" w:rsidR="00543B2F" w:rsidRPr="00587DA2" w:rsidRDefault="00543B2F" w:rsidP="00587DA2">
            <w:pPr>
              <w:pStyle w:val="TableText0"/>
              <w:jc w:val="center"/>
            </w:pPr>
            <w:r w:rsidRPr="00587DA2">
              <w:t>Bio</w:t>
            </w:r>
            <w:r w:rsidR="00804156">
              <w:t>logical</w:t>
            </w:r>
            <w:r w:rsidRPr="00587DA2">
              <w:t>-experienced and inadequate response/intolerant only</w:t>
            </w:r>
          </w:p>
        </w:tc>
        <w:tc>
          <w:tcPr>
            <w:tcW w:w="601" w:type="pct"/>
            <w:vMerge/>
            <w:shd w:val="clear" w:color="auto" w:fill="auto"/>
            <w:vAlign w:val="center"/>
          </w:tcPr>
          <w:p w14:paraId="4E7BED76" w14:textId="36335901" w:rsidR="00543B2F" w:rsidRPr="00587DA2" w:rsidRDefault="00543B2F" w:rsidP="00587DA2">
            <w:pPr>
              <w:pStyle w:val="TableText0"/>
              <w:jc w:val="center"/>
            </w:pPr>
          </w:p>
        </w:tc>
      </w:tr>
      <w:tr w:rsidR="00543B2F" w:rsidRPr="00E2771E" w14:paraId="496E9E18" w14:textId="77777777" w:rsidTr="0035762D">
        <w:trPr>
          <w:cantSplit/>
        </w:trPr>
        <w:tc>
          <w:tcPr>
            <w:tcW w:w="548" w:type="pct"/>
            <w:shd w:val="clear" w:color="auto" w:fill="auto"/>
            <w:vAlign w:val="center"/>
          </w:tcPr>
          <w:p w14:paraId="675E6A62" w14:textId="54A567B1" w:rsidR="00543B2F" w:rsidRPr="00587DA2" w:rsidRDefault="00543B2F" w:rsidP="00587DA2">
            <w:pPr>
              <w:pStyle w:val="TableText0"/>
            </w:pPr>
            <w:r w:rsidRPr="00587DA2">
              <w:t>FORTIFY</w:t>
            </w:r>
          </w:p>
        </w:tc>
        <w:tc>
          <w:tcPr>
            <w:tcW w:w="471" w:type="pct"/>
            <w:shd w:val="clear" w:color="auto" w:fill="auto"/>
            <w:vAlign w:val="center"/>
          </w:tcPr>
          <w:p w14:paraId="38D6F2A6" w14:textId="0286A032" w:rsidR="00543B2F" w:rsidRPr="00587DA2" w:rsidRDefault="00543B2F" w:rsidP="00587DA2">
            <w:pPr>
              <w:pStyle w:val="TableText0"/>
              <w:jc w:val="center"/>
            </w:pPr>
            <w:r w:rsidRPr="00587DA2">
              <w:t>IP:524</w:t>
            </w:r>
          </w:p>
          <w:p w14:paraId="2C242B36" w14:textId="12F41504" w:rsidR="00543B2F" w:rsidRPr="00587DA2" w:rsidRDefault="00543B2F" w:rsidP="00587DA2">
            <w:pPr>
              <w:pStyle w:val="TableText0"/>
              <w:jc w:val="center"/>
            </w:pPr>
            <w:r w:rsidRPr="00587DA2">
              <w:t>(sub-study 1)</w:t>
            </w:r>
          </w:p>
        </w:tc>
        <w:tc>
          <w:tcPr>
            <w:tcW w:w="786" w:type="pct"/>
            <w:shd w:val="clear" w:color="auto" w:fill="auto"/>
            <w:vAlign w:val="center"/>
          </w:tcPr>
          <w:p w14:paraId="029A88E4" w14:textId="424CF10E" w:rsidR="00543B2F" w:rsidRPr="00587DA2" w:rsidRDefault="00543B2F" w:rsidP="00587DA2">
            <w:pPr>
              <w:pStyle w:val="TableText0"/>
              <w:jc w:val="center"/>
            </w:pPr>
            <w:r w:rsidRPr="00587DA2">
              <w:t>Phase 2, R, DB, PC, MC, IP</w:t>
            </w:r>
          </w:p>
        </w:tc>
        <w:tc>
          <w:tcPr>
            <w:tcW w:w="708" w:type="pct"/>
            <w:vAlign w:val="center"/>
          </w:tcPr>
          <w:p w14:paraId="145C280F" w14:textId="204BA59C" w:rsidR="00543B2F" w:rsidRPr="00587DA2" w:rsidRDefault="00543B2F" w:rsidP="00587DA2">
            <w:pPr>
              <w:pStyle w:val="TableText0"/>
              <w:jc w:val="center"/>
            </w:pPr>
            <w:r w:rsidRPr="00587DA2">
              <w:t>MP: 64 weeks#</w:t>
            </w:r>
          </w:p>
        </w:tc>
        <w:tc>
          <w:tcPr>
            <w:tcW w:w="550" w:type="pct"/>
            <w:shd w:val="clear" w:color="auto" w:fill="auto"/>
            <w:vAlign w:val="center"/>
          </w:tcPr>
          <w:p w14:paraId="7D82573C" w14:textId="7082688E" w:rsidR="00543B2F" w:rsidRPr="00CE6C9F" w:rsidRDefault="00543B2F" w:rsidP="00587DA2">
            <w:pPr>
              <w:pStyle w:val="TableText0"/>
              <w:jc w:val="center"/>
            </w:pPr>
            <w:r w:rsidRPr="00CE6C9F">
              <w:t>Low</w:t>
            </w:r>
          </w:p>
        </w:tc>
        <w:tc>
          <w:tcPr>
            <w:tcW w:w="1336" w:type="pct"/>
            <w:shd w:val="clear" w:color="auto" w:fill="auto"/>
            <w:vAlign w:val="center"/>
          </w:tcPr>
          <w:p w14:paraId="0C5992C9" w14:textId="1270B42D" w:rsidR="00543B2F" w:rsidRPr="00587DA2" w:rsidRDefault="00543B2F" w:rsidP="00587DA2">
            <w:pPr>
              <w:pStyle w:val="TableText0"/>
              <w:jc w:val="center"/>
            </w:pPr>
            <w:r w:rsidRPr="00587DA2">
              <w:t>Responders from ADVANCE and MOTIVATE (≥30% decrease in SF and/or ≥30% decrease in average daily AP score, and both not worse than baseline of induction)</w:t>
            </w:r>
          </w:p>
        </w:tc>
        <w:tc>
          <w:tcPr>
            <w:tcW w:w="601" w:type="pct"/>
            <w:vMerge/>
            <w:shd w:val="clear" w:color="auto" w:fill="auto"/>
            <w:vAlign w:val="center"/>
          </w:tcPr>
          <w:p w14:paraId="6360E87B" w14:textId="3D7502FA" w:rsidR="00543B2F" w:rsidRPr="00587DA2" w:rsidRDefault="00543B2F" w:rsidP="00587DA2">
            <w:pPr>
              <w:pStyle w:val="TableText0"/>
              <w:jc w:val="center"/>
            </w:pPr>
          </w:p>
        </w:tc>
      </w:tr>
      <w:tr w:rsidR="00494B51" w:rsidRPr="00E2771E" w14:paraId="3323230B" w14:textId="77777777" w:rsidTr="0035762D">
        <w:trPr>
          <w:cantSplit/>
        </w:trPr>
        <w:tc>
          <w:tcPr>
            <w:tcW w:w="5000" w:type="pct"/>
            <w:gridSpan w:val="7"/>
            <w:shd w:val="clear" w:color="auto" w:fill="auto"/>
            <w:vAlign w:val="center"/>
          </w:tcPr>
          <w:p w14:paraId="267312A9" w14:textId="4F7397C2" w:rsidR="00494B51" w:rsidRPr="00570644" w:rsidRDefault="00494B51" w:rsidP="00587DA2">
            <w:pPr>
              <w:pStyle w:val="TableText0"/>
              <w:rPr>
                <w:b/>
                <w:bCs w:val="0"/>
                <w:lang w:val="en-US"/>
              </w:rPr>
            </w:pPr>
            <w:r w:rsidRPr="00570644">
              <w:rPr>
                <w:b/>
                <w:bCs w:val="0"/>
                <w:lang w:val="en-US"/>
              </w:rPr>
              <w:t>Ustekinumab versus placebo</w:t>
            </w:r>
          </w:p>
        </w:tc>
      </w:tr>
      <w:tr w:rsidR="00543B2F" w:rsidRPr="00E2771E" w14:paraId="7AF2D08E" w14:textId="77777777" w:rsidTr="0035762D">
        <w:trPr>
          <w:cantSplit/>
        </w:trPr>
        <w:tc>
          <w:tcPr>
            <w:tcW w:w="548" w:type="pct"/>
            <w:shd w:val="clear" w:color="auto" w:fill="auto"/>
            <w:vAlign w:val="center"/>
          </w:tcPr>
          <w:p w14:paraId="1317ADC6" w14:textId="7769357A" w:rsidR="00543B2F" w:rsidRPr="00587DA2" w:rsidRDefault="00543B2F" w:rsidP="00587DA2">
            <w:pPr>
              <w:pStyle w:val="TableText0"/>
            </w:pPr>
            <w:r w:rsidRPr="00587DA2">
              <w:t>UNITI-1</w:t>
            </w:r>
          </w:p>
        </w:tc>
        <w:tc>
          <w:tcPr>
            <w:tcW w:w="471" w:type="pct"/>
            <w:shd w:val="clear" w:color="auto" w:fill="auto"/>
            <w:vAlign w:val="center"/>
          </w:tcPr>
          <w:p w14:paraId="0E72461F" w14:textId="1A35772B" w:rsidR="00543B2F" w:rsidRPr="00587DA2" w:rsidRDefault="00543B2F" w:rsidP="00587DA2">
            <w:pPr>
              <w:pStyle w:val="TableText0"/>
              <w:jc w:val="center"/>
            </w:pPr>
            <w:r w:rsidRPr="00587DA2">
              <w:t>IP: 741</w:t>
            </w:r>
          </w:p>
        </w:tc>
        <w:tc>
          <w:tcPr>
            <w:tcW w:w="786" w:type="pct"/>
            <w:shd w:val="clear" w:color="auto" w:fill="auto"/>
            <w:vAlign w:val="center"/>
          </w:tcPr>
          <w:p w14:paraId="50F8C7C9" w14:textId="47FCA9D8" w:rsidR="00543B2F" w:rsidRPr="00587DA2" w:rsidRDefault="00543B2F" w:rsidP="00587DA2">
            <w:pPr>
              <w:pStyle w:val="TableText0"/>
              <w:jc w:val="center"/>
            </w:pPr>
            <w:r w:rsidRPr="00587DA2">
              <w:t>Phase 3, R, DB, PC, MC, IP</w:t>
            </w:r>
          </w:p>
        </w:tc>
        <w:tc>
          <w:tcPr>
            <w:tcW w:w="708" w:type="pct"/>
            <w:vAlign w:val="center"/>
          </w:tcPr>
          <w:p w14:paraId="67B97226" w14:textId="2001DD9E" w:rsidR="00543B2F" w:rsidRPr="00587DA2" w:rsidRDefault="00543B2F" w:rsidP="00587DA2">
            <w:pPr>
              <w:pStyle w:val="TableText0"/>
              <w:jc w:val="center"/>
            </w:pPr>
            <w:r w:rsidRPr="00587DA2">
              <w:t>IP: 8 weeks</w:t>
            </w:r>
          </w:p>
        </w:tc>
        <w:tc>
          <w:tcPr>
            <w:tcW w:w="550" w:type="pct"/>
            <w:shd w:val="clear" w:color="auto" w:fill="auto"/>
            <w:vAlign w:val="center"/>
          </w:tcPr>
          <w:p w14:paraId="73155085" w14:textId="029FAD53" w:rsidR="00543B2F" w:rsidRPr="00F95484" w:rsidRDefault="00543B2F" w:rsidP="00587DA2">
            <w:pPr>
              <w:pStyle w:val="TableText0"/>
              <w:jc w:val="center"/>
            </w:pPr>
            <w:r w:rsidRPr="00F95484">
              <w:t>Low</w:t>
            </w:r>
          </w:p>
        </w:tc>
        <w:tc>
          <w:tcPr>
            <w:tcW w:w="1336" w:type="pct"/>
            <w:shd w:val="clear" w:color="auto" w:fill="auto"/>
            <w:vAlign w:val="center"/>
          </w:tcPr>
          <w:p w14:paraId="13BEEABE" w14:textId="42C90219" w:rsidR="00543B2F" w:rsidRPr="00587DA2" w:rsidRDefault="00543B2F" w:rsidP="00587DA2">
            <w:pPr>
              <w:pStyle w:val="TableText0"/>
              <w:jc w:val="center"/>
            </w:pPr>
            <w:r w:rsidRPr="00587DA2">
              <w:t>TNF</w:t>
            </w:r>
            <w:r w:rsidRPr="00587DA2">
              <w:rPr>
                <w:rFonts w:ascii="Arial" w:hAnsi="Arial" w:cs="Arial"/>
              </w:rPr>
              <w:t>ɑ</w:t>
            </w:r>
            <w:r w:rsidRPr="00587DA2">
              <w:t xml:space="preserve"> refractory</w:t>
            </w:r>
          </w:p>
        </w:tc>
        <w:tc>
          <w:tcPr>
            <w:tcW w:w="601" w:type="pct"/>
            <w:vMerge w:val="restart"/>
            <w:shd w:val="clear" w:color="auto" w:fill="auto"/>
            <w:vAlign w:val="center"/>
          </w:tcPr>
          <w:p w14:paraId="48C645B9" w14:textId="45E1F830" w:rsidR="00543B2F" w:rsidRPr="00587DA2" w:rsidRDefault="00543B2F" w:rsidP="00587DA2">
            <w:pPr>
              <w:pStyle w:val="TableText0"/>
              <w:jc w:val="center"/>
            </w:pPr>
            <w:r w:rsidRPr="00587DA2">
              <w:t>CDAI clinical response</w:t>
            </w:r>
            <w:r>
              <w:t xml:space="preserve"> </w:t>
            </w:r>
            <w:r w:rsidRPr="00587DA2">
              <w:rPr>
                <w:vertAlign w:val="superscript"/>
              </w:rPr>
              <w:t>b</w:t>
            </w:r>
            <w:r w:rsidRPr="00587DA2">
              <w:t xml:space="preserve"> *</w:t>
            </w:r>
          </w:p>
          <w:p w14:paraId="1E402835" w14:textId="05B2BB45" w:rsidR="00543B2F" w:rsidRPr="00587DA2" w:rsidRDefault="00543B2F" w:rsidP="00587DA2">
            <w:pPr>
              <w:pStyle w:val="TableText0"/>
              <w:jc w:val="center"/>
            </w:pPr>
            <w:r w:rsidRPr="00587DA2">
              <w:t>CDAI clinical remission</w:t>
            </w:r>
            <w:r>
              <w:t xml:space="preserve"> </w:t>
            </w:r>
            <w:r w:rsidRPr="00587DA2">
              <w:rPr>
                <w:vertAlign w:val="superscript"/>
              </w:rPr>
              <w:t>a</w:t>
            </w:r>
          </w:p>
        </w:tc>
      </w:tr>
      <w:tr w:rsidR="00543B2F" w:rsidRPr="00E2771E" w14:paraId="061F8741" w14:textId="77777777" w:rsidTr="0035762D">
        <w:trPr>
          <w:cantSplit/>
        </w:trPr>
        <w:tc>
          <w:tcPr>
            <w:tcW w:w="548" w:type="pct"/>
            <w:shd w:val="clear" w:color="auto" w:fill="auto"/>
            <w:vAlign w:val="center"/>
          </w:tcPr>
          <w:p w14:paraId="69918636" w14:textId="3B590D4E" w:rsidR="00543B2F" w:rsidRPr="00587DA2" w:rsidRDefault="00543B2F" w:rsidP="00587DA2">
            <w:pPr>
              <w:pStyle w:val="TableText0"/>
            </w:pPr>
            <w:r w:rsidRPr="00587DA2">
              <w:t>UNITI-2</w:t>
            </w:r>
          </w:p>
        </w:tc>
        <w:tc>
          <w:tcPr>
            <w:tcW w:w="471" w:type="pct"/>
            <w:shd w:val="clear" w:color="auto" w:fill="auto"/>
            <w:vAlign w:val="center"/>
          </w:tcPr>
          <w:p w14:paraId="0ED6AD52" w14:textId="626049D8" w:rsidR="00543B2F" w:rsidRPr="00587DA2" w:rsidRDefault="00543B2F" w:rsidP="00587DA2">
            <w:pPr>
              <w:pStyle w:val="TableText0"/>
              <w:jc w:val="center"/>
            </w:pPr>
            <w:r w:rsidRPr="00587DA2">
              <w:t>IP: 628</w:t>
            </w:r>
          </w:p>
        </w:tc>
        <w:tc>
          <w:tcPr>
            <w:tcW w:w="786" w:type="pct"/>
            <w:shd w:val="clear" w:color="auto" w:fill="auto"/>
            <w:vAlign w:val="center"/>
          </w:tcPr>
          <w:p w14:paraId="5CC3E540" w14:textId="57D03C4A" w:rsidR="00543B2F" w:rsidRPr="00587DA2" w:rsidRDefault="00543B2F" w:rsidP="00587DA2">
            <w:pPr>
              <w:pStyle w:val="TableText0"/>
              <w:jc w:val="center"/>
            </w:pPr>
            <w:r w:rsidRPr="00587DA2">
              <w:t>Phase 3, R, DB, PC, MC, IP</w:t>
            </w:r>
          </w:p>
        </w:tc>
        <w:tc>
          <w:tcPr>
            <w:tcW w:w="708" w:type="pct"/>
            <w:vAlign w:val="center"/>
          </w:tcPr>
          <w:p w14:paraId="5CCB1057" w14:textId="7B0F5479" w:rsidR="00543B2F" w:rsidRPr="00587DA2" w:rsidRDefault="00543B2F" w:rsidP="00587DA2">
            <w:pPr>
              <w:pStyle w:val="TableText0"/>
              <w:jc w:val="center"/>
            </w:pPr>
            <w:r w:rsidRPr="00587DA2">
              <w:t>IP: 8 weeks</w:t>
            </w:r>
          </w:p>
        </w:tc>
        <w:tc>
          <w:tcPr>
            <w:tcW w:w="550" w:type="pct"/>
            <w:shd w:val="clear" w:color="auto" w:fill="auto"/>
            <w:vAlign w:val="center"/>
          </w:tcPr>
          <w:p w14:paraId="623EA682" w14:textId="16289587" w:rsidR="00543B2F" w:rsidRPr="00F95484" w:rsidRDefault="00543B2F" w:rsidP="00587DA2">
            <w:pPr>
              <w:pStyle w:val="TableText0"/>
              <w:jc w:val="center"/>
            </w:pPr>
            <w:r w:rsidRPr="00F95484">
              <w:t>Low</w:t>
            </w:r>
          </w:p>
        </w:tc>
        <w:tc>
          <w:tcPr>
            <w:tcW w:w="1336" w:type="pct"/>
            <w:shd w:val="clear" w:color="auto" w:fill="auto"/>
            <w:vAlign w:val="center"/>
          </w:tcPr>
          <w:p w14:paraId="1886B666" w14:textId="2DFD215A" w:rsidR="00543B2F" w:rsidRPr="00587DA2" w:rsidRDefault="00543B2F" w:rsidP="00587DA2">
            <w:pPr>
              <w:pStyle w:val="TableText0"/>
              <w:jc w:val="center"/>
            </w:pPr>
            <w:r w:rsidRPr="00587DA2">
              <w:t>TNF naïve and TNF experienced (but non-refractory)</w:t>
            </w:r>
          </w:p>
        </w:tc>
        <w:tc>
          <w:tcPr>
            <w:tcW w:w="601" w:type="pct"/>
            <w:vMerge/>
            <w:shd w:val="clear" w:color="auto" w:fill="auto"/>
            <w:vAlign w:val="center"/>
          </w:tcPr>
          <w:p w14:paraId="0310337C" w14:textId="5F8ED094" w:rsidR="00543B2F" w:rsidRPr="00587DA2" w:rsidRDefault="00543B2F" w:rsidP="00587DA2">
            <w:pPr>
              <w:pStyle w:val="TableText0"/>
              <w:jc w:val="center"/>
            </w:pPr>
          </w:p>
        </w:tc>
      </w:tr>
      <w:tr w:rsidR="00543B2F" w:rsidRPr="00E2771E" w14:paraId="55391162" w14:textId="77777777" w:rsidTr="0035762D">
        <w:trPr>
          <w:cantSplit/>
        </w:trPr>
        <w:tc>
          <w:tcPr>
            <w:tcW w:w="548" w:type="pct"/>
            <w:shd w:val="clear" w:color="auto" w:fill="auto"/>
            <w:vAlign w:val="center"/>
          </w:tcPr>
          <w:p w14:paraId="4ECB02CB" w14:textId="62F55435" w:rsidR="00543B2F" w:rsidRPr="00587DA2" w:rsidRDefault="00543B2F" w:rsidP="00587DA2">
            <w:pPr>
              <w:pStyle w:val="TableText0"/>
            </w:pPr>
            <w:r w:rsidRPr="00587DA2">
              <w:t>IM-UNITI</w:t>
            </w:r>
          </w:p>
        </w:tc>
        <w:tc>
          <w:tcPr>
            <w:tcW w:w="471" w:type="pct"/>
            <w:shd w:val="clear" w:color="auto" w:fill="auto"/>
            <w:vAlign w:val="center"/>
          </w:tcPr>
          <w:p w14:paraId="5D36F984" w14:textId="78AC5F46" w:rsidR="00543B2F" w:rsidRPr="00587DA2" w:rsidRDefault="00543B2F" w:rsidP="00587DA2">
            <w:pPr>
              <w:pStyle w:val="TableText0"/>
              <w:jc w:val="center"/>
            </w:pPr>
            <w:r w:rsidRPr="00587DA2">
              <w:t>MP: 397</w:t>
            </w:r>
          </w:p>
        </w:tc>
        <w:tc>
          <w:tcPr>
            <w:tcW w:w="786" w:type="pct"/>
            <w:shd w:val="clear" w:color="auto" w:fill="auto"/>
            <w:vAlign w:val="center"/>
          </w:tcPr>
          <w:p w14:paraId="210F19A4" w14:textId="76061731" w:rsidR="00543B2F" w:rsidRPr="00587DA2" w:rsidRDefault="00543B2F" w:rsidP="00587DA2">
            <w:pPr>
              <w:pStyle w:val="TableText0"/>
              <w:jc w:val="center"/>
            </w:pPr>
            <w:r w:rsidRPr="00587DA2">
              <w:t>Phase 3, R, DB, PC, MC, MP</w:t>
            </w:r>
          </w:p>
        </w:tc>
        <w:tc>
          <w:tcPr>
            <w:tcW w:w="708" w:type="pct"/>
            <w:vAlign w:val="center"/>
          </w:tcPr>
          <w:p w14:paraId="72098614" w14:textId="51D4B740" w:rsidR="00543B2F" w:rsidRPr="00587DA2" w:rsidRDefault="00543B2F" w:rsidP="00587DA2">
            <w:pPr>
              <w:pStyle w:val="TableText0"/>
              <w:jc w:val="center"/>
            </w:pPr>
            <w:r w:rsidRPr="00587DA2">
              <w:t>MP: 52 weeks#</w:t>
            </w:r>
          </w:p>
        </w:tc>
        <w:tc>
          <w:tcPr>
            <w:tcW w:w="550" w:type="pct"/>
            <w:shd w:val="clear" w:color="auto" w:fill="auto"/>
            <w:vAlign w:val="center"/>
          </w:tcPr>
          <w:p w14:paraId="5B577681" w14:textId="6886F29B" w:rsidR="00543B2F" w:rsidRPr="00F95484" w:rsidRDefault="00543B2F" w:rsidP="00587DA2">
            <w:pPr>
              <w:pStyle w:val="TableText0"/>
              <w:jc w:val="center"/>
            </w:pPr>
            <w:r w:rsidRPr="00F95484">
              <w:t>Low</w:t>
            </w:r>
          </w:p>
        </w:tc>
        <w:tc>
          <w:tcPr>
            <w:tcW w:w="1336" w:type="pct"/>
            <w:shd w:val="clear" w:color="auto" w:fill="auto"/>
            <w:vAlign w:val="center"/>
          </w:tcPr>
          <w:p w14:paraId="456A091B" w14:textId="1C1614C7" w:rsidR="00543B2F" w:rsidRPr="00587DA2" w:rsidRDefault="00543B2F" w:rsidP="00587DA2">
            <w:pPr>
              <w:pStyle w:val="TableText0"/>
              <w:jc w:val="center"/>
            </w:pPr>
            <w:r w:rsidRPr="00587DA2">
              <w:t>Patients with response (CR-100) to UST induction at W8 of UNITI</w:t>
            </w:r>
            <w:r w:rsidRPr="00587DA2">
              <w:noBreakHyphen/>
              <w:t>1 or UNITI</w:t>
            </w:r>
            <w:r w:rsidRPr="00587DA2">
              <w:noBreakHyphen/>
              <w:t>2</w:t>
            </w:r>
          </w:p>
        </w:tc>
        <w:tc>
          <w:tcPr>
            <w:tcW w:w="601" w:type="pct"/>
            <w:vMerge/>
            <w:shd w:val="clear" w:color="auto" w:fill="auto"/>
            <w:vAlign w:val="center"/>
          </w:tcPr>
          <w:p w14:paraId="0FEC2D46" w14:textId="2C5046E0" w:rsidR="00543B2F" w:rsidRPr="00587DA2" w:rsidRDefault="00543B2F" w:rsidP="00587DA2">
            <w:pPr>
              <w:pStyle w:val="TableText0"/>
              <w:jc w:val="center"/>
            </w:pPr>
          </w:p>
        </w:tc>
      </w:tr>
    </w:tbl>
    <w:p w14:paraId="560080D2" w14:textId="09ED390A" w:rsidR="00045017" w:rsidRDefault="00045017" w:rsidP="00EC5836">
      <w:pPr>
        <w:pStyle w:val="TableFigureFooter"/>
      </w:pPr>
      <w:r>
        <w:t xml:space="preserve">Source: </w:t>
      </w:r>
      <w:r w:rsidR="009C6CE4">
        <w:t>Table 2.8, p48-52 of the submission</w:t>
      </w:r>
    </w:p>
    <w:p w14:paraId="445A8793" w14:textId="4386E3C2" w:rsidR="00494B51" w:rsidRPr="00587DA2" w:rsidRDefault="00494B51" w:rsidP="00587DA2">
      <w:pPr>
        <w:pStyle w:val="TableFigureFooter"/>
      </w:pPr>
      <w:r w:rsidRPr="00587DA2">
        <w:t xml:space="preserve">Abbreviations: </w:t>
      </w:r>
      <w:r w:rsidR="003A0A9F">
        <w:t xml:space="preserve">AP=abdominal pain; </w:t>
      </w:r>
      <w:r w:rsidR="00587DA2" w:rsidRPr="00587DA2">
        <w:t xml:space="preserve">CDAI=Crohn’s Disease Activity Index </w:t>
      </w:r>
      <w:r w:rsidRPr="00587DA2">
        <w:t xml:space="preserve">DB=double blind; MC=multicentre, IP= induction phase; MP = maintenance phase; OL=open-label; </w:t>
      </w:r>
      <w:r w:rsidR="00587DA2" w:rsidRPr="00587DA2">
        <w:t>PC= placebo-controlled</w:t>
      </w:r>
      <w:r w:rsidR="003A0A9F">
        <w:t>; SF= stool frequency;</w:t>
      </w:r>
      <w:r w:rsidR="00587DA2" w:rsidRPr="00587DA2">
        <w:t xml:space="preserve"> </w:t>
      </w:r>
      <w:r w:rsidRPr="00587DA2">
        <w:t xml:space="preserve">R=randomised; </w:t>
      </w:r>
      <w:r w:rsidR="00587DA2" w:rsidRPr="00587DA2">
        <w:t>TNF= tumour necrosis factor</w:t>
      </w:r>
      <w:r w:rsidR="003A0A9F">
        <w:t>;</w:t>
      </w:r>
      <w:r w:rsidR="00587DA2" w:rsidRPr="00587DA2">
        <w:t xml:space="preserve"> </w:t>
      </w:r>
      <w:r w:rsidRPr="00587DA2">
        <w:t>CR-100= clinical response as defined by attaining CDAI ≥ 100 point reduction from baseline</w:t>
      </w:r>
      <w:r w:rsidR="00587DA2" w:rsidRPr="00587DA2">
        <w:t>; UST= ustekinumab</w:t>
      </w:r>
      <w:r w:rsidR="003A0A9F">
        <w:t xml:space="preserve">; </w:t>
      </w:r>
    </w:p>
    <w:p w14:paraId="600FFDA0" w14:textId="77777777" w:rsidR="00494B51" w:rsidRPr="000648D6" w:rsidRDefault="00494B51" w:rsidP="00494B51">
      <w:pPr>
        <w:pStyle w:val="TableFigureFooter"/>
        <w:rPr>
          <w:snapToGrid/>
        </w:rPr>
      </w:pPr>
      <w:r w:rsidRPr="000648D6">
        <w:rPr>
          <w:snapToGrid/>
        </w:rPr>
        <w:t>*</w:t>
      </w:r>
      <w:r w:rsidRPr="000648D6">
        <w:rPr>
          <w:snapToGrid/>
        </w:rPr>
        <w:tab/>
        <w:t xml:space="preserve">denote primary trial outcome  </w:t>
      </w:r>
    </w:p>
    <w:p w14:paraId="6081BA31" w14:textId="1F8452A4" w:rsidR="00494B51" w:rsidRDefault="00494B51" w:rsidP="00494B51">
      <w:pPr>
        <w:pStyle w:val="TableFigureFooter"/>
        <w:rPr>
          <w:snapToGrid/>
        </w:rPr>
      </w:pPr>
      <w:r w:rsidRPr="000648D6">
        <w:rPr>
          <w:snapToGrid/>
        </w:rPr>
        <w:t>#</w:t>
      </w:r>
      <w:r w:rsidRPr="000648D6">
        <w:rPr>
          <w:snapToGrid/>
        </w:rPr>
        <w:tab/>
        <w:t>counted from start of induction therapy</w:t>
      </w:r>
    </w:p>
    <w:p w14:paraId="7AF10314" w14:textId="77777777" w:rsidR="00587DA2" w:rsidRPr="00587DA2" w:rsidRDefault="00587DA2" w:rsidP="00587DA2">
      <w:pPr>
        <w:pStyle w:val="TableFigureFooter"/>
        <w:rPr>
          <w:snapToGrid/>
        </w:rPr>
      </w:pPr>
      <w:r w:rsidRPr="00587DA2">
        <w:rPr>
          <w:snapToGrid/>
        </w:rPr>
        <w:t xml:space="preserve">a. CDAI clinical remission was classified as CDAI &lt; 150. </w:t>
      </w:r>
    </w:p>
    <w:p w14:paraId="32631746" w14:textId="0B100F94" w:rsidR="00587DA2" w:rsidRDefault="00587DA2" w:rsidP="00587DA2">
      <w:pPr>
        <w:pStyle w:val="TableFigureFooter"/>
        <w:rPr>
          <w:snapToGrid/>
        </w:rPr>
      </w:pPr>
      <w:r w:rsidRPr="00587DA2">
        <w:rPr>
          <w:snapToGrid/>
        </w:rPr>
        <w:t>b. CDAI clinical response defined by a CDAI reduction from baseline of at least 100 points or a CDAI &lt; 150.</w:t>
      </w:r>
    </w:p>
    <w:p w14:paraId="3350792E" w14:textId="77777777" w:rsidR="00587DA2" w:rsidRPr="000648D6" w:rsidRDefault="00587DA2" w:rsidP="00494B51">
      <w:pPr>
        <w:pStyle w:val="TableFigureFooter"/>
        <w:rPr>
          <w:snapToGrid/>
        </w:rPr>
      </w:pPr>
    </w:p>
    <w:p w14:paraId="2A8BE741" w14:textId="77777777" w:rsidR="0070661A" w:rsidRDefault="0070661A">
      <w:pPr>
        <w:jc w:val="left"/>
        <w:rPr>
          <w:rFonts w:ascii="Arial Narrow" w:eastAsiaTheme="majorEastAsia" w:hAnsi="Arial Narrow" w:cstheme="majorBidi"/>
          <w:b/>
          <w:bCs/>
          <w:sz w:val="20"/>
        </w:rPr>
      </w:pPr>
      <w:r>
        <w:br w:type="page"/>
      </w:r>
    </w:p>
    <w:p w14:paraId="124A0EAD" w14:textId="539C517A" w:rsidR="00494B51" w:rsidRPr="00672235" w:rsidRDefault="00672235" w:rsidP="00672235">
      <w:pPr>
        <w:pStyle w:val="TableFigureHeading"/>
        <w:rPr>
          <w:rStyle w:val="CommentReference"/>
          <w:b/>
          <w:bCs w:val="0"/>
        </w:rPr>
      </w:pPr>
      <w:r>
        <w:lastRenderedPageBreak/>
        <w:t xml:space="preserve">Table </w:t>
      </w:r>
      <w:r>
        <w:fldChar w:fldCharType="begin" w:fldLock="1"/>
      </w:r>
      <w:r>
        <w:instrText>SEQ Table \* ARABIC</w:instrText>
      </w:r>
      <w:r>
        <w:fldChar w:fldCharType="separate"/>
      </w:r>
      <w:r w:rsidR="003D76A2">
        <w:rPr>
          <w:noProof/>
        </w:rPr>
        <w:t>5</w:t>
      </w:r>
      <w:r>
        <w:fldChar w:fldCharType="end"/>
      </w:r>
      <w:r w:rsidRPr="00672235">
        <w:rPr>
          <w:rStyle w:val="CommentReference"/>
          <w:b/>
          <w:bCs w:val="0"/>
        </w:rPr>
        <w:t>: Key features of the included evidence: FCD (naive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86"/>
        <w:gridCol w:w="831"/>
        <w:gridCol w:w="976"/>
        <w:gridCol w:w="1118"/>
        <w:gridCol w:w="835"/>
        <w:gridCol w:w="1684"/>
        <w:gridCol w:w="2487"/>
      </w:tblGrid>
      <w:tr w:rsidR="003A0A9F" w:rsidRPr="00B41614" w14:paraId="541A3C76" w14:textId="77777777" w:rsidTr="003A0A9F">
        <w:trPr>
          <w:cantSplit/>
          <w:tblHeader/>
        </w:trPr>
        <w:tc>
          <w:tcPr>
            <w:tcW w:w="602" w:type="pct"/>
            <w:shd w:val="clear" w:color="auto" w:fill="auto"/>
            <w:vAlign w:val="center"/>
          </w:tcPr>
          <w:p w14:paraId="43C117D0" w14:textId="77777777" w:rsidR="00AB3727" w:rsidRPr="003A0A9F" w:rsidRDefault="00AB3727" w:rsidP="0074236E">
            <w:pPr>
              <w:pStyle w:val="TableFigureHeading"/>
              <w:keepNext w:val="0"/>
              <w:widowControl w:val="0"/>
              <w:jc w:val="center"/>
            </w:pPr>
            <w:r w:rsidRPr="003A0A9F">
              <w:t>Trial</w:t>
            </w:r>
          </w:p>
        </w:tc>
        <w:tc>
          <w:tcPr>
            <w:tcW w:w="461" w:type="pct"/>
            <w:shd w:val="clear" w:color="auto" w:fill="auto"/>
            <w:vAlign w:val="center"/>
          </w:tcPr>
          <w:p w14:paraId="61BB4E0B" w14:textId="4DFFD899" w:rsidR="00AB3727" w:rsidRPr="003A0A9F" w:rsidRDefault="00AB3727" w:rsidP="0074236E">
            <w:pPr>
              <w:pStyle w:val="TableFigureHeading"/>
              <w:keepNext w:val="0"/>
              <w:widowControl w:val="0"/>
              <w:jc w:val="center"/>
            </w:pPr>
            <w:r w:rsidRPr="003A0A9F">
              <w:t>N (with fistulas)</w:t>
            </w:r>
          </w:p>
        </w:tc>
        <w:tc>
          <w:tcPr>
            <w:tcW w:w="541" w:type="pct"/>
            <w:shd w:val="clear" w:color="auto" w:fill="auto"/>
            <w:vAlign w:val="center"/>
          </w:tcPr>
          <w:p w14:paraId="69ADE0C6" w14:textId="77777777" w:rsidR="00AB3727" w:rsidRPr="003A0A9F" w:rsidRDefault="00AB3727" w:rsidP="0074236E">
            <w:pPr>
              <w:pStyle w:val="TableFigureHeading"/>
              <w:keepNext w:val="0"/>
              <w:widowControl w:val="0"/>
              <w:jc w:val="center"/>
            </w:pPr>
            <w:r w:rsidRPr="003A0A9F">
              <w:t>Design</w:t>
            </w:r>
          </w:p>
        </w:tc>
        <w:tc>
          <w:tcPr>
            <w:tcW w:w="620" w:type="pct"/>
            <w:vAlign w:val="center"/>
          </w:tcPr>
          <w:p w14:paraId="4E94F188" w14:textId="77777777" w:rsidR="00AB3727" w:rsidRPr="003A0A9F" w:rsidRDefault="00AB3727" w:rsidP="0074236E">
            <w:pPr>
              <w:pStyle w:val="TableFigureHeading"/>
              <w:keepNext w:val="0"/>
              <w:widowControl w:val="0"/>
              <w:jc w:val="center"/>
            </w:pPr>
            <w:r w:rsidRPr="003A0A9F">
              <w:t>Duration (Assessment of outcomes)</w:t>
            </w:r>
          </w:p>
        </w:tc>
        <w:tc>
          <w:tcPr>
            <w:tcW w:w="463" w:type="pct"/>
            <w:shd w:val="clear" w:color="auto" w:fill="auto"/>
            <w:vAlign w:val="center"/>
          </w:tcPr>
          <w:p w14:paraId="4302D3EF" w14:textId="77777777" w:rsidR="00AB3727" w:rsidRPr="003A0A9F" w:rsidRDefault="00AB3727" w:rsidP="0074236E">
            <w:pPr>
              <w:pStyle w:val="TableFigureHeading"/>
              <w:keepNext w:val="0"/>
              <w:widowControl w:val="0"/>
              <w:jc w:val="center"/>
            </w:pPr>
            <w:r w:rsidRPr="003A0A9F">
              <w:t>Risk of bias</w:t>
            </w:r>
          </w:p>
        </w:tc>
        <w:tc>
          <w:tcPr>
            <w:tcW w:w="934" w:type="pct"/>
            <w:shd w:val="clear" w:color="auto" w:fill="auto"/>
            <w:vAlign w:val="center"/>
          </w:tcPr>
          <w:p w14:paraId="5E895662" w14:textId="77777777" w:rsidR="00AB3727" w:rsidRPr="003A0A9F" w:rsidRDefault="00AB3727" w:rsidP="0074236E">
            <w:pPr>
              <w:pStyle w:val="TableFigureHeading"/>
              <w:keepNext w:val="0"/>
              <w:widowControl w:val="0"/>
              <w:jc w:val="center"/>
            </w:pPr>
            <w:r w:rsidRPr="003A0A9F">
              <w:t>Patient population</w:t>
            </w:r>
          </w:p>
        </w:tc>
        <w:tc>
          <w:tcPr>
            <w:tcW w:w="1379" w:type="pct"/>
            <w:shd w:val="clear" w:color="auto" w:fill="auto"/>
            <w:vAlign w:val="center"/>
          </w:tcPr>
          <w:p w14:paraId="55C3D048" w14:textId="77777777" w:rsidR="00AB3727" w:rsidRPr="003A0A9F" w:rsidRDefault="00AB3727" w:rsidP="0074236E">
            <w:pPr>
              <w:pStyle w:val="TableFigureHeading"/>
              <w:keepNext w:val="0"/>
              <w:widowControl w:val="0"/>
              <w:jc w:val="center"/>
            </w:pPr>
            <w:r w:rsidRPr="003A0A9F">
              <w:t>Outcome(s)</w:t>
            </w:r>
          </w:p>
        </w:tc>
      </w:tr>
      <w:tr w:rsidR="003A0A9F" w:rsidRPr="00E2771E" w14:paraId="07E556BD" w14:textId="77777777" w:rsidTr="003A0A9F">
        <w:trPr>
          <w:cantSplit/>
        </w:trPr>
        <w:tc>
          <w:tcPr>
            <w:tcW w:w="5000" w:type="pct"/>
            <w:gridSpan w:val="7"/>
            <w:shd w:val="clear" w:color="auto" w:fill="auto"/>
            <w:vAlign w:val="center"/>
          </w:tcPr>
          <w:p w14:paraId="0EEF282F" w14:textId="086FC1D8" w:rsidR="003A0A9F" w:rsidRPr="003A0A9F" w:rsidRDefault="003A0A9F" w:rsidP="0074236E">
            <w:pPr>
              <w:pStyle w:val="TableText0"/>
              <w:keepNext w:val="0"/>
              <w:widowControl w:val="0"/>
              <w:rPr>
                <w:b/>
                <w:bCs w:val="0"/>
              </w:rPr>
            </w:pPr>
            <w:r w:rsidRPr="003A0A9F">
              <w:rPr>
                <w:b/>
                <w:bCs w:val="0"/>
              </w:rPr>
              <w:t>Risankizumab versus placebo</w:t>
            </w:r>
          </w:p>
        </w:tc>
      </w:tr>
      <w:tr w:rsidR="003A0A9F" w:rsidRPr="00E2771E" w14:paraId="43B6238B" w14:textId="77777777" w:rsidTr="003A0A9F">
        <w:trPr>
          <w:cantSplit/>
        </w:trPr>
        <w:tc>
          <w:tcPr>
            <w:tcW w:w="602" w:type="pct"/>
            <w:shd w:val="clear" w:color="auto" w:fill="auto"/>
            <w:vAlign w:val="center"/>
          </w:tcPr>
          <w:p w14:paraId="617044DC" w14:textId="4B7D894A" w:rsidR="003A0A9F" w:rsidRPr="00587DA2" w:rsidRDefault="003A0A9F" w:rsidP="0074236E">
            <w:pPr>
              <w:pStyle w:val="TableText0"/>
              <w:keepNext w:val="0"/>
              <w:widowControl w:val="0"/>
              <w:jc w:val="center"/>
            </w:pPr>
            <w:r w:rsidRPr="00587DA2">
              <w:t>ADVANCE</w:t>
            </w:r>
          </w:p>
        </w:tc>
        <w:tc>
          <w:tcPr>
            <w:tcW w:w="461" w:type="pct"/>
            <w:shd w:val="clear" w:color="auto" w:fill="auto"/>
            <w:vAlign w:val="center"/>
          </w:tcPr>
          <w:p w14:paraId="2B0EA24F" w14:textId="4A462588" w:rsidR="003A0A9F" w:rsidRPr="00C30156" w:rsidRDefault="003A0A9F" w:rsidP="0074236E">
            <w:pPr>
              <w:pStyle w:val="TableText0"/>
              <w:keepNext w:val="0"/>
              <w:widowControl w:val="0"/>
              <w:jc w:val="center"/>
            </w:pPr>
            <w:r w:rsidRPr="00C30156">
              <w:t>IP:</w:t>
            </w:r>
            <w:r w:rsidR="00A067B1">
              <w:t xml:space="preserve"> 27</w:t>
            </w:r>
          </w:p>
        </w:tc>
        <w:tc>
          <w:tcPr>
            <w:tcW w:w="541" w:type="pct"/>
            <w:shd w:val="clear" w:color="auto" w:fill="auto"/>
            <w:vAlign w:val="center"/>
          </w:tcPr>
          <w:p w14:paraId="6B758A3C" w14:textId="29EE5A5D" w:rsidR="003A0A9F" w:rsidRPr="00C30156" w:rsidRDefault="003A0A9F" w:rsidP="0074236E">
            <w:pPr>
              <w:pStyle w:val="TableText0"/>
              <w:keepNext w:val="0"/>
              <w:widowControl w:val="0"/>
              <w:jc w:val="center"/>
            </w:pPr>
            <w:r w:rsidRPr="00C30156">
              <w:t>Phase 3, R, DB, PC, MC, IP</w:t>
            </w:r>
          </w:p>
        </w:tc>
        <w:tc>
          <w:tcPr>
            <w:tcW w:w="620" w:type="pct"/>
            <w:vAlign w:val="center"/>
          </w:tcPr>
          <w:p w14:paraId="17452253" w14:textId="380D7C60" w:rsidR="003A0A9F" w:rsidRPr="00C30156" w:rsidRDefault="003A0A9F" w:rsidP="0074236E">
            <w:pPr>
              <w:pStyle w:val="TableText0"/>
              <w:keepNext w:val="0"/>
              <w:widowControl w:val="0"/>
              <w:jc w:val="center"/>
            </w:pPr>
            <w:r w:rsidRPr="00C30156">
              <w:t>IP: 12 weeks</w:t>
            </w:r>
          </w:p>
        </w:tc>
        <w:tc>
          <w:tcPr>
            <w:tcW w:w="463" w:type="pct"/>
            <w:shd w:val="clear" w:color="auto" w:fill="auto"/>
            <w:vAlign w:val="center"/>
          </w:tcPr>
          <w:p w14:paraId="52428DD0" w14:textId="78693980" w:rsidR="003A0A9F" w:rsidRPr="00CE6C9F" w:rsidRDefault="003A0A9F" w:rsidP="0074236E">
            <w:pPr>
              <w:pStyle w:val="TableText0"/>
              <w:keepNext w:val="0"/>
              <w:widowControl w:val="0"/>
              <w:jc w:val="center"/>
            </w:pPr>
            <w:r w:rsidRPr="00CE6C9F">
              <w:t>Low</w:t>
            </w:r>
          </w:p>
        </w:tc>
        <w:tc>
          <w:tcPr>
            <w:tcW w:w="934" w:type="pct"/>
            <w:shd w:val="clear" w:color="auto" w:fill="auto"/>
            <w:vAlign w:val="center"/>
          </w:tcPr>
          <w:p w14:paraId="5E473F39" w14:textId="77CFE067" w:rsidR="003A0A9F" w:rsidRPr="00C30156" w:rsidRDefault="003A0A9F" w:rsidP="0074236E">
            <w:pPr>
              <w:pStyle w:val="TableText0"/>
              <w:keepNext w:val="0"/>
              <w:widowControl w:val="0"/>
              <w:jc w:val="center"/>
            </w:pPr>
            <w:r w:rsidRPr="00C30156">
              <w:t>Bio-naïve and experienced patients</w:t>
            </w:r>
          </w:p>
        </w:tc>
        <w:tc>
          <w:tcPr>
            <w:tcW w:w="1379" w:type="pct"/>
            <w:shd w:val="clear" w:color="auto" w:fill="auto"/>
            <w:vAlign w:val="center"/>
          </w:tcPr>
          <w:p w14:paraId="7CE0C7D3" w14:textId="77777777" w:rsidR="003A0A9F" w:rsidRPr="00A80279" w:rsidRDefault="003A0A9F" w:rsidP="0074236E">
            <w:pPr>
              <w:pStyle w:val="TableText0"/>
              <w:keepNext w:val="0"/>
              <w:widowControl w:val="0"/>
              <w:jc w:val="center"/>
              <w:rPr>
                <w:u w:val="single"/>
              </w:rPr>
            </w:pPr>
            <w:r w:rsidRPr="00A80279">
              <w:rPr>
                <w:u w:val="single"/>
              </w:rPr>
              <w:t>Fistula remission</w:t>
            </w:r>
          </w:p>
          <w:p w14:paraId="565EE5F5" w14:textId="77777777" w:rsidR="003A0A9F" w:rsidRPr="00C30156" w:rsidRDefault="003A0A9F" w:rsidP="0074236E">
            <w:pPr>
              <w:pStyle w:val="TableText0"/>
              <w:keepNext w:val="0"/>
              <w:widowControl w:val="0"/>
              <w:jc w:val="center"/>
            </w:pPr>
            <w:r w:rsidRPr="00C30156">
              <w:t>No draining fistula (</w:t>
            </w:r>
            <w:r>
              <w:t>wk12</w:t>
            </w:r>
            <w:r w:rsidRPr="00C30156">
              <w:t>)</w:t>
            </w:r>
          </w:p>
          <w:p w14:paraId="11A8CF09" w14:textId="77777777" w:rsidR="003A0A9F" w:rsidRPr="00A80279" w:rsidRDefault="003A0A9F" w:rsidP="0074236E">
            <w:pPr>
              <w:pStyle w:val="TableText0"/>
              <w:keepNext w:val="0"/>
              <w:widowControl w:val="0"/>
              <w:jc w:val="center"/>
              <w:rPr>
                <w:u w:val="single"/>
                <w:vertAlign w:val="superscript"/>
              </w:rPr>
            </w:pPr>
            <w:r w:rsidRPr="00A80279">
              <w:rPr>
                <w:u w:val="single"/>
              </w:rPr>
              <w:t>Fistula response</w:t>
            </w:r>
            <w:r w:rsidRPr="00A80279">
              <w:t xml:space="preserve"> </w:t>
            </w:r>
            <w:r w:rsidRPr="00A80279">
              <w:rPr>
                <w:vertAlign w:val="superscript"/>
              </w:rPr>
              <w:t>a</w:t>
            </w:r>
          </w:p>
          <w:p w14:paraId="6E5165AA" w14:textId="141B3662" w:rsidR="003A0A9F" w:rsidRPr="00A80279" w:rsidRDefault="003A0A9F" w:rsidP="0074236E">
            <w:pPr>
              <w:pStyle w:val="TableText0"/>
              <w:keepNext w:val="0"/>
              <w:widowControl w:val="0"/>
              <w:jc w:val="center"/>
              <w:rPr>
                <w:u w:val="single"/>
              </w:rPr>
            </w:pPr>
            <w:r w:rsidRPr="00C30156">
              <w:t>≥50% reduction in number of draining fistulas</w:t>
            </w:r>
          </w:p>
        </w:tc>
      </w:tr>
      <w:tr w:rsidR="003A0A9F" w:rsidRPr="00E2771E" w14:paraId="4339064A" w14:textId="77777777" w:rsidTr="003A0A9F">
        <w:trPr>
          <w:cantSplit/>
        </w:trPr>
        <w:tc>
          <w:tcPr>
            <w:tcW w:w="602" w:type="pct"/>
            <w:shd w:val="clear" w:color="auto" w:fill="auto"/>
            <w:vAlign w:val="center"/>
          </w:tcPr>
          <w:p w14:paraId="043D44F7" w14:textId="77777777" w:rsidR="003A0A9F" w:rsidRPr="00587DA2" w:rsidRDefault="003A0A9F" w:rsidP="0074236E">
            <w:pPr>
              <w:pStyle w:val="TableText0"/>
              <w:keepNext w:val="0"/>
              <w:widowControl w:val="0"/>
              <w:jc w:val="center"/>
            </w:pPr>
            <w:r w:rsidRPr="00587DA2">
              <w:t>MOTIVATE</w:t>
            </w:r>
          </w:p>
        </w:tc>
        <w:tc>
          <w:tcPr>
            <w:tcW w:w="461" w:type="pct"/>
            <w:shd w:val="clear" w:color="auto" w:fill="auto"/>
            <w:vAlign w:val="center"/>
          </w:tcPr>
          <w:p w14:paraId="3D8B62F7" w14:textId="5587F3AD" w:rsidR="003A0A9F" w:rsidRPr="00C30156" w:rsidRDefault="003A0A9F" w:rsidP="0074236E">
            <w:pPr>
              <w:pStyle w:val="TableText0"/>
              <w:keepNext w:val="0"/>
              <w:widowControl w:val="0"/>
              <w:jc w:val="center"/>
            </w:pPr>
            <w:r w:rsidRPr="00C30156">
              <w:t>IP:</w:t>
            </w:r>
            <w:r w:rsidR="00A067B1">
              <w:t xml:space="preserve"> 29</w:t>
            </w:r>
          </w:p>
        </w:tc>
        <w:tc>
          <w:tcPr>
            <w:tcW w:w="541" w:type="pct"/>
            <w:shd w:val="clear" w:color="auto" w:fill="auto"/>
            <w:vAlign w:val="center"/>
          </w:tcPr>
          <w:p w14:paraId="27607027" w14:textId="77777777" w:rsidR="003A0A9F" w:rsidRPr="00C30156" w:rsidRDefault="003A0A9F" w:rsidP="0074236E">
            <w:pPr>
              <w:pStyle w:val="TableText0"/>
              <w:keepNext w:val="0"/>
              <w:widowControl w:val="0"/>
              <w:jc w:val="center"/>
            </w:pPr>
            <w:r w:rsidRPr="00C30156">
              <w:t>Phase 3, R, DB, PC, MC, IP</w:t>
            </w:r>
          </w:p>
        </w:tc>
        <w:tc>
          <w:tcPr>
            <w:tcW w:w="620" w:type="pct"/>
            <w:vAlign w:val="center"/>
          </w:tcPr>
          <w:p w14:paraId="39BB5A84" w14:textId="77777777" w:rsidR="003A0A9F" w:rsidRPr="00C30156" w:rsidRDefault="003A0A9F" w:rsidP="0074236E">
            <w:pPr>
              <w:pStyle w:val="TableText0"/>
              <w:keepNext w:val="0"/>
              <w:widowControl w:val="0"/>
              <w:jc w:val="center"/>
            </w:pPr>
            <w:r w:rsidRPr="00C30156">
              <w:t>IP: 12 weeks</w:t>
            </w:r>
          </w:p>
        </w:tc>
        <w:tc>
          <w:tcPr>
            <w:tcW w:w="463" w:type="pct"/>
            <w:shd w:val="clear" w:color="auto" w:fill="auto"/>
            <w:vAlign w:val="center"/>
          </w:tcPr>
          <w:p w14:paraId="638C4554" w14:textId="77777777" w:rsidR="003A0A9F" w:rsidRPr="00CE6C9F" w:rsidRDefault="003A0A9F" w:rsidP="0074236E">
            <w:pPr>
              <w:pStyle w:val="TableText0"/>
              <w:keepNext w:val="0"/>
              <w:widowControl w:val="0"/>
              <w:jc w:val="center"/>
            </w:pPr>
            <w:r w:rsidRPr="00CE6C9F">
              <w:t>Low</w:t>
            </w:r>
          </w:p>
        </w:tc>
        <w:tc>
          <w:tcPr>
            <w:tcW w:w="934" w:type="pct"/>
            <w:shd w:val="clear" w:color="auto" w:fill="auto"/>
            <w:vAlign w:val="center"/>
          </w:tcPr>
          <w:p w14:paraId="174C9D61" w14:textId="77777777" w:rsidR="003A0A9F" w:rsidRPr="00C30156" w:rsidRDefault="003A0A9F" w:rsidP="0074236E">
            <w:pPr>
              <w:pStyle w:val="TableText0"/>
              <w:keepNext w:val="0"/>
              <w:widowControl w:val="0"/>
              <w:jc w:val="center"/>
            </w:pPr>
            <w:r w:rsidRPr="00C30156">
              <w:t>Bio-experienced and inadequate response/intolerant only</w:t>
            </w:r>
          </w:p>
        </w:tc>
        <w:tc>
          <w:tcPr>
            <w:tcW w:w="1379" w:type="pct"/>
            <w:shd w:val="clear" w:color="auto" w:fill="auto"/>
            <w:vAlign w:val="center"/>
          </w:tcPr>
          <w:p w14:paraId="2D3B751F" w14:textId="77777777" w:rsidR="003A0A9F" w:rsidRPr="00A80279" w:rsidRDefault="003A0A9F" w:rsidP="0074236E">
            <w:pPr>
              <w:pStyle w:val="TableText0"/>
              <w:keepNext w:val="0"/>
              <w:widowControl w:val="0"/>
              <w:jc w:val="center"/>
              <w:rPr>
                <w:u w:val="single"/>
              </w:rPr>
            </w:pPr>
            <w:r w:rsidRPr="00A80279">
              <w:rPr>
                <w:u w:val="single"/>
              </w:rPr>
              <w:t>Fistula remission</w:t>
            </w:r>
          </w:p>
          <w:p w14:paraId="5D08EC9E" w14:textId="5AD5C696" w:rsidR="003A0A9F" w:rsidRPr="00C30156" w:rsidRDefault="003A0A9F" w:rsidP="0074236E">
            <w:pPr>
              <w:pStyle w:val="TableText0"/>
              <w:keepNext w:val="0"/>
              <w:widowControl w:val="0"/>
              <w:jc w:val="center"/>
            </w:pPr>
            <w:r w:rsidRPr="00C30156">
              <w:t>No draining fistula (</w:t>
            </w:r>
            <w:r>
              <w:t>wk12</w:t>
            </w:r>
            <w:r w:rsidRPr="00C30156">
              <w:t>)</w:t>
            </w:r>
          </w:p>
          <w:p w14:paraId="3A6A58BE" w14:textId="77777777" w:rsidR="003A0A9F" w:rsidRPr="00A80279" w:rsidRDefault="003A0A9F" w:rsidP="0074236E">
            <w:pPr>
              <w:pStyle w:val="TableText0"/>
              <w:keepNext w:val="0"/>
              <w:widowControl w:val="0"/>
              <w:jc w:val="center"/>
              <w:rPr>
                <w:u w:val="single"/>
                <w:vertAlign w:val="superscript"/>
              </w:rPr>
            </w:pPr>
            <w:r w:rsidRPr="00A80279">
              <w:rPr>
                <w:u w:val="single"/>
              </w:rPr>
              <w:t>Fistula response</w:t>
            </w:r>
            <w:r w:rsidRPr="00A80279">
              <w:t xml:space="preserve"> </w:t>
            </w:r>
            <w:r w:rsidRPr="00A80279">
              <w:rPr>
                <w:vertAlign w:val="superscript"/>
              </w:rPr>
              <w:t>a</w:t>
            </w:r>
          </w:p>
          <w:p w14:paraId="0129FF6F" w14:textId="5607351F" w:rsidR="003A0A9F" w:rsidRPr="00C30156" w:rsidRDefault="003A0A9F" w:rsidP="0074236E">
            <w:pPr>
              <w:pStyle w:val="TableText0"/>
              <w:keepNext w:val="0"/>
              <w:widowControl w:val="0"/>
              <w:jc w:val="center"/>
            </w:pPr>
            <w:r w:rsidRPr="00C30156">
              <w:t>≥50% reduction in number of draining fistulas</w:t>
            </w:r>
          </w:p>
        </w:tc>
      </w:tr>
      <w:tr w:rsidR="003A0A9F" w:rsidRPr="00E2771E" w14:paraId="7DA333EF" w14:textId="77777777" w:rsidTr="003A0A9F">
        <w:trPr>
          <w:cantSplit/>
        </w:trPr>
        <w:tc>
          <w:tcPr>
            <w:tcW w:w="602" w:type="pct"/>
            <w:shd w:val="clear" w:color="auto" w:fill="auto"/>
            <w:vAlign w:val="center"/>
          </w:tcPr>
          <w:p w14:paraId="7DB30ADD" w14:textId="77777777" w:rsidR="003A0A9F" w:rsidRPr="00587DA2" w:rsidRDefault="003A0A9F" w:rsidP="0074236E">
            <w:pPr>
              <w:pStyle w:val="TableText0"/>
              <w:keepNext w:val="0"/>
              <w:widowControl w:val="0"/>
              <w:jc w:val="center"/>
            </w:pPr>
            <w:r w:rsidRPr="00587DA2">
              <w:t>FORTIFY</w:t>
            </w:r>
          </w:p>
        </w:tc>
        <w:tc>
          <w:tcPr>
            <w:tcW w:w="461" w:type="pct"/>
            <w:shd w:val="clear" w:color="auto" w:fill="auto"/>
            <w:vAlign w:val="center"/>
          </w:tcPr>
          <w:p w14:paraId="58B4BE9D" w14:textId="603D39AA" w:rsidR="003A0A9F" w:rsidRPr="00C30156" w:rsidRDefault="003A0A9F" w:rsidP="0074236E">
            <w:pPr>
              <w:pStyle w:val="TableText0"/>
              <w:keepNext w:val="0"/>
              <w:widowControl w:val="0"/>
              <w:jc w:val="center"/>
            </w:pPr>
            <w:r w:rsidRPr="00C30156">
              <w:t>IP:</w:t>
            </w:r>
            <w:r w:rsidR="00A067B1">
              <w:t xml:space="preserve"> 22</w:t>
            </w:r>
          </w:p>
          <w:p w14:paraId="29017077" w14:textId="370664FD" w:rsidR="003A0A9F" w:rsidRPr="00C30156" w:rsidRDefault="003A0A9F" w:rsidP="0074236E">
            <w:pPr>
              <w:pStyle w:val="TableText0"/>
              <w:keepNext w:val="0"/>
              <w:widowControl w:val="0"/>
              <w:jc w:val="center"/>
            </w:pPr>
          </w:p>
        </w:tc>
        <w:tc>
          <w:tcPr>
            <w:tcW w:w="541" w:type="pct"/>
            <w:shd w:val="clear" w:color="auto" w:fill="auto"/>
            <w:vAlign w:val="center"/>
          </w:tcPr>
          <w:p w14:paraId="3744607E" w14:textId="77777777" w:rsidR="003A0A9F" w:rsidRPr="00C30156" w:rsidRDefault="003A0A9F" w:rsidP="0074236E">
            <w:pPr>
              <w:pStyle w:val="TableText0"/>
              <w:keepNext w:val="0"/>
              <w:widowControl w:val="0"/>
              <w:jc w:val="center"/>
            </w:pPr>
            <w:r w:rsidRPr="00C30156">
              <w:t>Phase 2, R, DB, PC, MC, IP</w:t>
            </w:r>
          </w:p>
        </w:tc>
        <w:tc>
          <w:tcPr>
            <w:tcW w:w="620" w:type="pct"/>
            <w:vAlign w:val="center"/>
          </w:tcPr>
          <w:p w14:paraId="5536A4C1" w14:textId="218C3248" w:rsidR="003A0A9F" w:rsidRPr="00C30156" w:rsidRDefault="003A0A9F" w:rsidP="0074236E">
            <w:pPr>
              <w:pStyle w:val="TableText0"/>
              <w:keepNext w:val="0"/>
              <w:widowControl w:val="0"/>
              <w:jc w:val="center"/>
            </w:pPr>
            <w:r w:rsidRPr="00C30156">
              <w:t>MP: 64 weeks#</w:t>
            </w:r>
          </w:p>
        </w:tc>
        <w:tc>
          <w:tcPr>
            <w:tcW w:w="463" w:type="pct"/>
            <w:shd w:val="clear" w:color="auto" w:fill="auto"/>
            <w:vAlign w:val="center"/>
          </w:tcPr>
          <w:p w14:paraId="2C5B57EE" w14:textId="77777777" w:rsidR="003A0A9F" w:rsidRPr="00CE6C9F" w:rsidRDefault="003A0A9F" w:rsidP="0074236E">
            <w:pPr>
              <w:pStyle w:val="TableText0"/>
              <w:keepNext w:val="0"/>
              <w:widowControl w:val="0"/>
              <w:jc w:val="center"/>
            </w:pPr>
            <w:r w:rsidRPr="00CE6C9F">
              <w:t>Low</w:t>
            </w:r>
          </w:p>
        </w:tc>
        <w:tc>
          <w:tcPr>
            <w:tcW w:w="934" w:type="pct"/>
            <w:shd w:val="clear" w:color="auto" w:fill="auto"/>
            <w:vAlign w:val="center"/>
          </w:tcPr>
          <w:p w14:paraId="47491ACE" w14:textId="3C5CBB99" w:rsidR="003A0A9F" w:rsidRPr="00C30156" w:rsidRDefault="003A0A9F" w:rsidP="0074236E">
            <w:pPr>
              <w:pStyle w:val="TableText0"/>
              <w:keepNext w:val="0"/>
              <w:widowControl w:val="0"/>
              <w:jc w:val="center"/>
            </w:pPr>
            <w:r w:rsidRPr="00587DA2">
              <w:t>Responders from ADVANCE and MOTIVATE (≥30% decrease in SF and/or ≥30% decrease in average daily AP score, and both not worse than baseline of induction)</w:t>
            </w:r>
          </w:p>
        </w:tc>
        <w:tc>
          <w:tcPr>
            <w:tcW w:w="1379" w:type="pct"/>
            <w:shd w:val="clear" w:color="auto" w:fill="auto"/>
            <w:vAlign w:val="center"/>
          </w:tcPr>
          <w:p w14:paraId="4711986E" w14:textId="77777777" w:rsidR="003A0A9F" w:rsidRPr="00A80279" w:rsidRDefault="003A0A9F" w:rsidP="0074236E">
            <w:pPr>
              <w:pStyle w:val="TableText0"/>
              <w:keepNext w:val="0"/>
              <w:widowControl w:val="0"/>
              <w:jc w:val="center"/>
              <w:rPr>
                <w:u w:val="single"/>
              </w:rPr>
            </w:pPr>
            <w:r w:rsidRPr="00A80279">
              <w:rPr>
                <w:u w:val="single"/>
              </w:rPr>
              <w:t>Fistula remission</w:t>
            </w:r>
          </w:p>
          <w:p w14:paraId="162758CB" w14:textId="77777777" w:rsidR="003A0A9F" w:rsidRPr="00C30156" w:rsidRDefault="003A0A9F" w:rsidP="0074236E">
            <w:pPr>
              <w:pStyle w:val="TableText0"/>
              <w:keepNext w:val="0"/>
              <w:widowControl w:val="0"/>
              <w:jc w:val="center"/>
            </w:pPr>
            <w:r w:rsidRPr="00C30156">
              <w:t>No draining fistula (wk64#)</w:t>
            </w:r>
          </w:p>
          <w:p w14:paraId="01E3D9D1" w14:textId="238C30A1" w:rsidR="003A0A9F" w:rsidRPr="00A80279" w:rsidRDefault="003A0A9F" w:rsidP="0074236E">
            <w:pPr>
              <w:pStyle w:val="TableText0"/>
              <w:keepNext w:val="0"/>
              <w:widowControl w:val="0"/>
              <w:jc w:val="center"/>
              <w:rPr>
                <w:u w:val="single"/>
                <w:vertAlign w:val="superscript"/>
              </w:rPr>
            </w:pPr>
            <w:r w:rsidRPr="00A80279">
              <w:rPr>
                <w:u w:val="single"/>
              </w:rPr>
              <w:t>Fistula response</w:t>
            </w:r>
            <w:r w:rsidRPr="00A80279">
              <w:t xml:space="preserve"> </w:t>
            </w:r>
            <w:r w:rsidRPr="00A80279">
              <w:rPr>
                <w:vertAlign w:val="superscript"/>
              </w:rPr>
              <w:t>a</w:t>
            </w:r>
          </w:p>
          <w:p w14:paraId="4D4C27E4" w14:textId="3D28E3D0" w:rsidR="003A0A9F" w:rsidRPr="00C30156" w:rsidRDefault="003A0A9F" w:rsidP="0074236E">
            <w:pPr>
              <w:pStyle w:val="TableText0"/>
              <w:keepNext w:val="0"/>
              <w:widowControl w:val="0"/>
              <w:jc w:val="center"/>
            </w:pPr>
            <w:r w:rsidRPr="00C30156">
              <w:t>≥50% reduction in number of draining fistulas</w:t>
            </w:r>
          </w:p>
        </w:tc>
      </w:tr>
      <w:tr w:rsidR="003A0A9F" w:rsidRPr="00E2771E" w14:paraId="6A68CCFA" w14:textId="77777777" w:rsidTr="003A0A9F">
        <w:trPr>
          <w:cantSplit/>
        </w:trPr>
        <w:tc>
          <w:tcPr>
            <w:tcW w:w="5000" w:type="pct"/>
            <w:gridSpan w:val="7"/>
            <w:shd w:val="clear" w:color="auto" w:fill="auto"/>
            <w:vAlign w:val="center"/>
          </w:tcPr>
          <w:p w14:paraId="790C5D6B" w14:textId="74848AC8" w:rsidR="003A0A9F" w:rsidRPr="00570644" w:rsidRDefault="003A0A9F" w:rsidP="0074236E">
            <w:pPr>
              <w:pStyle w:val="TableText0"/>
              <w:keepNext w:val="0"/>
              <w:widowControl w:val="0"/>
              <w:rPr>
                <w:b/>
                <w:bCs w:val="0"/>
                <w:lang w:val="en-US"/>
              </w:rPr>
            </w:pPr>
            <w:r>
              <w:rPr>
                <w:b/>
                <w:bCs w:val="0"/>
                <w:lang w:val="en-US"/>
              </w:rPr>
              <w:t>Adalimumab</w:t>
            </w:r>
            <w:r w:rsidRPr="00570644">
              <w:rPr>
                <w:b/>
                <w:bCs w:val="0"/>
                <w:lang w:val="en-US"/>
              </w:rPr>
              <w:t xml:space="preserve"> versus placebo</w:t>
            </w:r>
          </w:p>
        </w:tc>
      </w:tr>
      <w:tr w:rsidR="003A0A9F" w:rsidRPr="00E2771E" w14:paraId="2A290EB2" w14:textId="77777777" w:rsidTr="003A0A9F">
        <w:trPr>
          <w:cantSplit/>
        </w:trPr>
        <w:tc>
          <w:tcPr>
            <w:tcW w:w="602" w:type="pct"/>
            <w:shd w:val="clear" w:color="auto" w:fill="auto"/>
            <w:vAlign w:val="center"/>
          </w:tcPr>
          <w:p w14:paraId="518C7D71" w14:textId="38D25475" w:rsidR="003A0A9F" w:rsidRPr="00C30156" w:rsidRDefault="003A0A9F" w:rsidP="0074236E">
            <w:pPr>
              <w:pStyle w:val="TableText0"/>
              <w:keepNext w:val="0"/>
              <w:widowControl w:val="0"/>
              <w:jc w:val="center"/>
            </w:pPr>
            <w:r w:rsidRPr="00C30156">
              <w:t>CLASSIC I</w:t>
            </w:r>
          </w:p>
        </w:tc>
        <w:tc>
          <w:tcPr>
            <w:tcW w:w="461" w:type="pct"/>
            <w:shd w:val="clear" w:color="auto" w:fill="auto"/>
            <w:vAlign w:val="center"/>
          </w:tcPr>
          <w:p w14:paraId="15B5441A" w14:textId="638E88EE" w:rsidR="003A0A9F" w:rsidRPr="00C30156" w:rsidRDefault="003A0A9F" w:rsidP="0074236E">
            <w:pPr>
              <w:pStyle w:val="TableText0"/>
              <w:keepNext w:val="0"/>
              <w:widowControl w:val="0"/>
              <w:jc w:val="center"/>
            </w:pPr>
            <w:r w:rsidRPr="00C30156">
              <w:t xml:space="preserve">IP: </w:t>
            </w:r>
            <w:r w:rsidR="00A067B1">
              <w:t>18</w:t>
            </w:r>
          </w:p>
        </w:tc>
        <w:tc>
          <w:tcPr>
            <w:tcW w:w="541" w:type="pct"/>
            <w:shd w:val="clear" w:color="auto" w:fill="auto"/>
            <w:vAlign w:val="center"/>
          </w:tcPr>
          <w:p w14:paraId="66024A12" w14:textId="1E7730DB" w:rsidR="003A0A9F" w:rsidRPr="00C30156" w:rsidRDefault="003A0A9F" w:rsidP="0074236E">
            <w:pPr>
              <w:pStyle w:val="TableText0"/>
              <w:keepNext w:val="0"/>
              <w:widowControl w:val="0"/>
              <w:jc w:val="center"/>
            </w:pPr>
            <w:r w:rsidRPr="00C30156">
              <w:t>Phase 3, R, DB, PC, MC, IP</w:t>
            </w:r>
          </w:p>
        </w:tc>
        <w:tc>
          <w:tcPr>
            <w:tcW w:w="620" w:type="pct"/>
            <w:vAlign w:val="center"/>
          </w:tcPr>
          <w:p w14:paraId="00E09053" w14:textId="7A7D3B6F" w:rsidR="003A0A9F" w:rsidRPr="00C30156" w:rsidRDefault="003A0A9F" w:rsidP="0074236E">
            <w:pPr>
              <w:pStyle w:val="TableText0"/>
              <w:keepNext w:val="0"/>
              <w:widowControl w:val="0"/>
              <w:jc w:val="center"/>
            </w:pPr>
            <w:r w:rsidRPr="00C30156">
              <w:t>IP: 4 weeks</w:t>
            </w:r>
          </w:p>
        </w:tc>
        <w:tc>
          <w:tcPr>
            <w:tcW w:w="463" w:type="pct"/>
            <w:shd w:val="clear" w:color="auto" w:fill="auto"/>
            <w:vAlign w:val="center"/>
          </w:tcPr>
          <w:p w14:paraId="420D7653" w14:textId="315E126D" w:rsidR="003A0A9F" w:rsidRPr="00C30156" w:rsidRDefault="003A0A9F" w:rsidP="0074236E">
            <w:pPr>
              <w:pStyle w:val="TableText0"/>
              <w:keepNext w:val="0"/>
              <w:widowControl w:val="0"/>
              <w:jc w:val="center"/>
            </w:pPr>
            <w:r w:rsidRPr="00C30156">
              <w:t>Low</w:t>
            </w:r>
          </w:p>
        </w:tc>
        <w:tc>
          <w:tcPr>
            <w:tcW w:w="934" w:type="pct"/>
            <w:shd w:val="clear" w:color="auto" w:fill="auto"/>
            <w:vAlign w:val="center"/>
          </w:tcPr>
          <w:p w14:paraId="19813482" w14:textId="59AEB9EB" w:rsidR="003A0A9F" w:rsidRPr="00C30156" w:rsidRDefault="003A0A9F" w:rsidP="0074236E">
            <w:pPr>
              <w:pStyle w:val="TableText0"/>
              <w:keepNext w:val="0"/>
              <w:widowControl w:val="0"/>
              <w:jc w:val="center"/>
            </w:pPr>
            <w:r w:rsidRPr="00C30156">
              <w:t>TNF naive</w:t>
            </w:r>
          </w:p>
        </w:tc>
        <w:tc>
          <w:tcPr>
            <w:tcW w:w="1379" w:type="pct"/>
            <w:shd w:val="clear" w:color="auto" w:fill="auto"/>
            <w:vAlign w:val="center"/>
          </w:tcPr>
          <w:p w14:paraId="6DA9D16D" w14:textId="77777777" w:rsidR="003A0A9F" w:rsidRPr="00A80279" w:rsidRDefault="003A0A9F" w:rsidP="0074236E">
            <w:pPr>
              <w:pStyle w:val="TableText0"/>
              <w:keepNext w:val="0"/>
              <w:widowControl w:val="0"/>
              <w:jc w:val="center"/>
              <w:rPr>
                <w:u w:val="single"/>
              </w:rPr>
            </w:pPr>
            <w:r w:rsidRPr="00A80279">
              <w:rPr>
                <w:u w:val="single"/>
              </w:rPr>
              <w:t>Fistula response</w:t>
            </w:r>
          </w:p>
          <w:p w14:paraId="26D43790" w14:textId="77777777" w:rsidR="003A0A9F" w:rsidRPr="00C30156" w:rsidRDefault="003A0A9F" w:rsidP="0074236E">
            <w:pPr>
              <w:pStyle w:val="TableText0"/>
              <w:keepNext w:val="0"/>
              <w:widowControl w:val="0"/>
              <w:jc w:val="center"/>
            </w:pPr>
            <w:r w:rsidRPr="00C30156">
              <w:t>≥50% reduction in number of draining fistulas at 2 consecutive visits (wk 2 and 4).</w:t>
            </w:r>
          </w:p>
          <w:p w14:paraId="36646328" w14:textId="77777777" w:rsidR="003A0A9F" w:rsidRPr="00A80279" w:rsidRDefault="003A0A9F" w:rsidP="0074236E">
            <w:pPr>
              <w:pStyle w:val="TableText0"/>
              <w:keepNext w:val="0"/>
              <w:widowControl w:val="0"/>
              <w:jc w:val="center"/>
              <w:rPr>
                <w:u w:val="single"/>
              </w:rPr>
            </w:pPr>
            <w:r w:rsidRPr="00A80279">
              <w:rPr>
                <w:u w:val="single"/>
              </w:rPr>
              <w:t>Fistula remission</w:t>
            </w:r>
          </w:p>
          <w:p w14:paraId="74EC5941" w14:textId="443CD930" w:rsidR="003A0A9F" w:rsidRPr="00C30156" w:rsidRDefault="003A0A9F" w:rsidP="0074236E">
            <w:pPr>
              <w:pStyle w:val="TableText0"/>
              <w:keepNext w:val="0"/>
              <w:widowControl w:val="0"/>
              <w:jc w:val="center"/>
            </w:pPr>
            <w:r w:rsidRPr="00C30156">
              <w:t>Closing of all draining fistulas at 2 consecutive visits (wk 2 and 4)</w:t>
            </w:r>
          </w:p>
        </w:tc>
      </w:tr>
      <w:tr w:rsidR="003A0A9F" w:rsidRPr="00E2771E" w14:paraId="4FEFF7DA" w14:textId="77777777" w:rsidTr="003A0A9F">
        <w:trPr>
          <w:cantSplit/>
        </w:trPr>
        <w:tc>
          <w:tcPr>
            <w:tcW w:w="602" w:type="pct"/>
            <w:shd w:val="clear" w:color="auto" w:fill="auto"/>
            <w:vAlign w:val="center"/>
          </w:tcPr>
          <w:p w14:paraId="042594B7" w14:textId="095EA991" w:rsidR="003A0A9F" w:rsidRPr="00C30156" w:rsidRDefault="003A0A9F" w:rsidP="0074236E">
            <w:pPr>
              <w:pStyle w:val="TableText0"/>
              <w:keepNext w:val="0"/>
              <w:widowControl w:val="0"/>
              <w:jc w:val="center"/>
            </w:pPr>
            <w:r w:rsidRPr="00C30156">
              <w:t>GAIN</w:t>
            </w:r>
          </w:p>
        </w:tc>
        <w:tc>
          <w:tcPr>
            <w:tcW w:w="461" w:type="pct"/>
            <w:shd w:val="clear" w:color="auto" w:fill="auto"/>
            <w:vAlign w:val="center"/>
          </w:tcPr>
          <w:p w14:paraId="30C6DFFC" w14:textId="45EBFE1E" w:rsidR="003A0A9F" w:rsidRPr="00C30156" w:rsidRDefault="003A0A9F" w:rsidP="0074236E">
            <w:pPr>
              <w:pStyle w:val="TableText0"/>
              <w:keepNext w:val="0"/>
              <w:widowControl w:val="0"/>
              <w:jc w:val="center"/>
            </w:pPr>
            <w:r w:rsidRPr="00C30156">
              <w:t>IP: 45</w:t>
            </w:r>
          </w:p>
        </w:tc>
        <w:tc>
          <w:tcPr>
            <w:tcW w:w="541" w:type="pct"/>
            <w:shd w:val="clear" w:color="auto" w:fill="auto"/>
            <w:vAlign w:val="center"/>
          </w:tcPr>
          <w:p w14:paraId="588BA687" w14:textId="5D9A09A3" w:rsidR="003A0A9F" w:rsidRPr="00C30156" w:rsidRDefault="003A0A9F" w:rsidP="0074236E">
            <w:pPr>
              <w:pStyle w:val="TableText0"/>
              <w:keepNext w:val="0"/>
              <w:widowControl w:val="0"/>
              <w:jc w:val="center"/>
            </w:pPr>
            <w:r w:rsidRPr="00C30156">
              <w:t>Phase 3, R, DB, PC, MC, IP</w:t>
            </w:r>
          </w:p>
        </w:tc>
        <w:tc>
          <w:tcPr>
            <w:tcW w:w="620" w:type="pct"/>
            <w:vAlign w:val="center"/>
          </w:tcPr>
          <w:p w14:paraId="00807D09" w14:textId="4F95B124" w:rsidR="003A0A9F" w:rsidRPr="00C30156" w:rsidRDefault="003A0A9F" w:rsidP="0074236E">
            <w:pPr>
              <w:pStyle w:val="TableText0"/>
              <w:keepNext w:val="0"/>
              <w:widowControl w:val="0"/>
              <w:jc w:val="center"/>
            </w:pPr>
            <w:r w:rsidRPr="00C30156">
              <w:t>IP: 4 weeks</w:t>
            </w:r>
          </w:p>
        </w:tc>
        <w:tc>
          <w:tcPr>
            <w:tcW w:w="463" w:type="pct"/>
            <w:shd w:val="clear" w:color="auto" w:fill="auto"/>
            <w:vAlign w:val="center"/>
          </w:tcPr>
          <w:p w14:paraId="5C497CA3" w14:textId="3CB98B05" w:rsidR="003A0A9F" w:rsidRPr="00C30156" w:rsidRDefault="003A0A9F" w:rsidP="0074236E">
            <w:pPr>
              <w:pStyle w:val="TableText0"/>
              <w:keepNext w:val="0"/>
              <w:widowControl w:val="0"/>
              <w:jc w:val="center"/>
            </w:pPr>
            <w:r w:rsidRPr="00C30156">
              <w:t>Low</w:t>
            </w:r>
          </w:p>
        </w:tc>
        <w:tc>
          <w:tcPr>
            <w:tcW w:w="934" w:type="pct"/>
            <w:shd w:val="clear" w:color="auto" w:fill="auto"/>
            <w:vAlign w:val="center"/>
          </w:tcPr>
          <w:p w14:paraId="0A3F662A" w14:textId="1B5DECDA" w:rsidR="003A0A9F" w:rsidRPr="00C30156" w:rsidRDefault="003A0A9F" w:rsidP="0074236E">
            <w:pPr>
              <w:pStyle w:val="TableText0"/>
              <w:keepNext w:val="0"/>
              <w:widowControl w:val="0"/>
              <w:jc w:val="center"/>
            </w:pPr>
            <w:r w:rsidRPr="00C30156">
              <w:t>TNF-experienced (infliximab) – intolerant or lost response</w:t>
            </w:r>
          </w:p>
        </w:tc>
        <w:tc>
          <w:tcPr>
            <w:tcW w:w="1379" w:type="pct"/>
            <w:shd w:val="clear" w:color="auto" w:fill="auto"/>
            <w:vAlign w:val="center"/>
          </w:tcPr>
          <w:p w14:paraId="4FD7F0B2" w14:textId="77777777" w:rsidR="003A0A9F" w:rsidRPr="00A80279" w:rsidRDefault="003A0A9F" w:rsidP="0074236E">
            <w:pPr>
              <w:pStyle w:val="TableText0"/>
              <w:keepNext w:val="0"/>
              <w:widowControl w:val="0"/>
              <w:jc w:val="center"/>
              <w:rPr>
                <w:u w:val="single"/>
              </w:rPr>
            </w:pPr>
            <w:r w:rsidRPr="00A80279">
              <w:rPr>
                <w:u w:val="single"/>
              </w:rPr>
              <w:t>Fistula response</w:t>
            </w:r>
          </w:p>
          <w:p w14:paraId="2A39CCC2" w14:textId="77777777" w:rsidR="003A0A9F" w:rsidRPr="00C30156" w:rsidRDefault="003A0A9F" w:rsidP="0074236E">
            <w:pPr>
              <w:pStyle w:val="TableText0"/>
              <w:keepNext w:val="0"/>
              <w:widowControl w:val="0"/>
              <w:jc w:val="center"/>
            </w:pPr>
            <w:r w:rsidRPr="00C30156">
              <w:t>≥50% reduction in number of draining fistulas at 2 consecutive visits (wk 2 and 4).</w:t>
            </w:r>
          </w:p>
          <w:p w14:paraId="0670FE21" w14:textId="77777777" w:rsidR="003A0A9F" w:rsidRPr="00A80279" w:rsidRDefault="003A0A9F" w:rsidP="0074236E">
            <w:pPr>
              <w:pStyle w:val="TableText0"/>
              <w:keepNext w:val="0"/>
              <w:widowControl w:val="0"/>
              <w:jc w:val="center"/>
              <w:rPr>
                <w:u w:val="single"/>
              </w:rPr>
            </w:pPr>
            <w:r w:rsidRPr="00A80279">
              <w:rPr>
                <w:u w:val="single"/>
              </w:rPr>
              <w:t>Fistula remission</w:t>
            </w:r>
          </w:p>
          <w:p w14:paraId="392B5F33" w14:textId="37D1EEB0" w:rsidR="003A0A9F" w:rsidRPr="00C30156" w:rsidRDefault="003A0A9F" w:rsidP="0074236E">
            <w:pPr>
              <w:pStyle w:val="TableText0"/>
              <w:keepNext w:val="0"/>
              <w:widowControl w:val="0"/>
              <w:jc w:val="center"/>
            </w:pPr>
            <w:r w:rsidRPr="00C30156">
              <w:t>Closing of all draining fistulas at 2 consecutive visits (wk 2 and 4)</w:t>
            </w:r>
          </w:p>
        </w:tc>
      </w:tr>
      <w:tr w:rsidR="003A0A9F" w:rsidRPr="00E2771E" w14:paraId="3ABF4E43" w14:textId="77777777" w:rsidTr="003A0A9F">
        <w:trPr>
          <w:cantSplit/>
        </w:trPr>
        <w:tc>
          <w:tcPr>
            <w:tcW w:w="602" w:type="pct"/>
            <w:shd w:val="clear" w:color="auto" w:fill="auto"/>
            <w:vAlign w:val="center"/>
          </w:tcPr>
          <w:p w14:paraId="4404353F" w14:textId="67AA14B8" w:rsidR="003A0A9F" w:rsidRPr="00C30156" w:rsidRDefault="003A0A9F" w:rsidP="0074236E">
            <w:pPr>
              <w:pStyle w:val="TableText0"/>
              <w:keepNext w:val="0"/>
              <w:widowControl w:val="0"/>
              <w:jc w:val="center"/>
            </w:pPr>
            <w:r w:rsidRPr="00C30156">
              <w:t>CHARM</w:t>
            </w:r>
          </w:p>
        </w:tc>
        <w:tc>
          <w:tcPr>
            <w:tcW w:w="461" w:type="pct"/>
            <w:shd w:val="clear" w:color="auto" w:fill="auto"/>
            <w:vAlign w:val="center"/>
          </w:tcPr>
          <w:p w14:paraId="707B7D90" w14:textId="0980A329" w:rsidR="003A0A9F" w:rsidRPr="00C30156" w:rsidRDefault="003A0A9F" w:rsidP="0074236E">
            <w:pPr>
              <w:pStyle w:val="TableText0"/>
              <w:keepNext w:val="0"/>
              <w:widowControl w:val="0"/>
              <w:jc w:val="center"/>
            </w:pPr>
            <w:r w:rsidRPr="00C30156">
              <w:t>MP: 64</w:t>
            </w:r>
          </w:p>
        </w:tc>
        <w:tc>
          <w:tcPr>
            <w:tcW w:w="541" w:type="pct"/>
            <w:shd w:val="clear" w:color="auto" w:fill="auto"/>
            <w:vAlign w:val="center"/>
          </w:tcPr>
          <w:p w14:paraId="4C8CE8AF" w14:textId="7970A860" w:rsidR="003A0A9F" w:rsidRPr="00C30156" w:rsidRDefault="003A0A9F" w:rsidP="0074236E">
            <w:pPr>
              <w:pStyle w:val="TableText0"/>
              <w:keepNext w:val="0"/>
              <w:widowControl w:val="0"/>
              <w:jc w:val="center"/>
            </w:pPr>
            <w:r w:rsidRPr="00C30156">
              <w:t>Phase 3, R, DB for MP, PC, MC, MP</w:t>
            </w:r>
          </w:p>
        </w:tc>
        <w:tc>
          <w:tcPr>
            <w:tcW w:w="620" w:type="pct"/>
            <w:vAlign w:val="center"/>
          </w:tcPr>
          <w:p w14:paraId="2B1A119C" w14:textId="77777777" w:rsidR="003A0A9F" w:rsidRPr="00C30156" w:rsidRDefault="003A0A9F" w:rsidP="0074236E">
            <w:pPr>
              <w:pStyle w:val="TableText0"/>
              <w:keepNext w:val="0"/>
              <w:widowControl w:val="0"/>
              <w:jc w:val="center"/>
            </w:pPr>
            <w:r w:rsidRPr="00C30156">
              <w:t>(IP: 4 weeks)</w:t>
            </w:r>
          </w:p>
          <w:p w14:paraId="54C766A7" w14:textId="222245A5" w:rsidR="003A0A9F" w:rsidRPr="00C30156" w:rsidRDefault="003A0A9F" w:rsidP="0074236E">
            <w:pPr>
              <w:pStyle w:val="TableText0"/>
              <w:keepNext w:val="0"/>
              <w:widowControl w:val="0"/>
              <w:jc w:val="center"/>
            </w:pPr>
            <w:r w:rsidRPr="00C30156">
              <w:t>MP: 56 weeks#</w:t>
            </w:r>
          </w:p>
        </w:tc>
        <w:tc>
          <w:tcPr>
            <w:tcW w:w="463" w:type="pct"/>
            <w:shd w:val="clear" w:color="auto" w:fill="auto"/>
            <w:vAlign w:val="center"/>
          </w:tcPr>
          <w:p w14:paraId="00B9EFC9" w14:textId="17D698B8" w:rsidR="003A0A9F" w:rsidRPr="00C30156" w:rsidRDefault="003A0A9F" w:rsidP="0074236E">
            <w:pPr>
              <w:pStyle w:val="TableText0"/>
              <w:keepNext w:val="0"/>
              <w:widowControl w:val="0"/>
              <w:jc w:val="center"/>
            </w:pPr>
            <w:r w:rsidRPr="00C30156">
              <w:t>Low</w:t>
            </w:r>
          </w:p>
        </w:tc>
        <w:tc>
          <w:tcPr>
            <w:tcW w:w="934" w:type="pct"/>
            <w:shd w:val="clear" w:color="auto" w:fill="auto"/>
            <w:vAlign w:val="center"/>
          </w:tcPr>
          <w:p w14:paraId="7830A0B2" w14:textId="7943FF58" w:rsidR="003A0A9F" w:rsidRPr="00C30156" w:rsidRDefault="003A0A9F" w:rsidP="0074236E">
            <w:pPr>
              <w:pStyle w:val="TableText0"/>
              <w:keepNext w:val="0"/>
              <w:widowControl w:val="0"/>
              <w:jc w:val="center"/>
            </w:pPr>
            <w:r w:rsidRPr="00C30156">
              <w:t>TNF-naïve and TNF-experienced (</w:t>
            </w:r>
            <w:r w:rsidR="00B01E4B" w:rsidRPr="00C30156">
              <w:t>non-refractory</w:t>
            </w:r>
            <w:r w:rsidRPr="00C30156">
              <w:t>)</w:t>
            </w:r>
          </w:p>
        </w:tc>
        <w:tc>
          <w:tcPr>
            <w:tcW w:w="1379" w:type="pct"/>
            <w:shd w:val="clear" w:color="auto" w:fill="auto"/>
            <w:vAlign w:val="center"/>
          </w:tcPr>
          <w:p w14:paraId="03F2FD83" w14:textId="77777777" w:rsidR="003A0A9F" w:rsidRPr="00A80279" w:rsidRDefault="003A0A9F" w:rsidP="0074236E">
            <w:pPr>
              <w:pStyle w:val="TableText0"/>
              <w:keepNext w:val="0"/>
              <w:widowControl w:val="0"/>
              <w:jc w:val="center"/>
              <w:rPr>
                <w:u w:val="single"/>
              </w:rPr>
            </w:pPr>
            <w:r w:rsidRPr="00A80279">
              <w:rPr>
                <w:u w:val="single"/>
              </w:rPr>
              <w:t>Fistula remission</w:t>
            </w:r>
          </w:p>
          <w:p w14:paraId="015BD321" w14:textId="1BF442DD" w:rsidR="003A0A9F" w:rsidRPr="00C30156" w:rsidRDefault="003A0A9F" w:rsidP="0074236E">
            <w:pPr>
              <w:pStyle w:val="TableText0"/>
              <w:keepNext w:val="0"/>
              <w:widowControl w:val="0"/>
              <w:jc w:val="center"/>
            </w:pPr>
            <w:r w:rsidRPr="00C30156">
              <w:t>Complete closure of all draining fistulas (wk26 and 56#)</w:t>
            </w:r>
          </w:p>
        </w:tc>
      </w:tr>
      <w:tr w:rsidR="003A0A9F" w:rsidRPr="00E2771E" w14:paraId="17EAFEB2" w14:textId="77777777" w:rsidTr="003A0A9F">
        <w:trPr>
          <w:cantSplit/>
        </w:trPr>
        <w:tc>
          <w:tcPr>
            <w:tcW w:w="5000" w:type="pct"/>
            <w:gridSpan w:val="7"/>
            <w:shd w:val="clear" w:color="auto" w:fill="auto"/>
            <w:vAlign w:val="center"/>
          </w:tcPr>
          <w:p w14:paraId="5D40BEF7" w14:textId="2268ED4E" w:rsidR="003A0A9F" w:rsidRPr="00AB3727" w:rsidRDefault="003A0A9F" w:rsidP="0074236E">
            <w:pPr>
              <w:pStyle w:val="TableText0"/>
              <w:keepNext w:val="0"/>
              <w:widowControl w:val="0"/>
              <w:rPr>
                <w:b/>
                <w:bCs w:val="0"/>
              </w:rPr>
            </w:pPr>
            <w:r w:rsidRPr="00AB3727">
              <w:rPr>
                <w:b/>
                <w:bCs w:val="0"/>
              </w:rPr>
              <w:t>Infliximab versus placebo</w:t>
            </w:r>
          </w:p>
        </w:tc>
      </w:tr>
      <w:tr w:rsidR="003A0A9F" w:rsidRPr="00E2771E" w14:paraId="29D2ECDF" w14:textId="77777777" w:rsidTr="003A0A9F">
        <w:trPr>
          <w:cantSplit/>
        </w:trPr>
        <w:tc>
          <w:tcPr>
            <w:tcW w:w="602" w:type="pct"/>
            <w:shd w:val="clear" w:color="auto" w:fill="auto"/>
            <w:vAlign w:val="center"/>
          </w:tcPr>
          <w:p w14:paraId="24135754" w14:textId="31AFE104" w:rsidR="003A0A9F" w:rsidRPr="00587DA2" w:rsidRDefault="003A0A9F" w:rsidP="0074236E">
            <w:pPr>
              <w:pStyle w:val="TableText0"/>
              <w:keepNext w:val="0"/>
              <w:widowControl w:val="0"/>
            </w:pPr>
            <w:r>
              <w:t>T20</w:t>
            </w:r>
          </w:p>
        </w:tc>
        <w:tc>
          <w:tcPr>
            <w:tcW w:w="461" w:type="pct"/>
            <w:shd w:val="clear" w:color="auto" w:fill="auto"/>
            <w:vAlign w:val="center"/>
          </w:tcPr>
          <w:p w14:paraId="1509F867" w14:textId="3DCD6C0F" w:rsidR="003A0A9F" w:rsidRPr="00C30156" w:rsidRDefault="003A0A9F" w:rsidP="0074236E">
            <w:pPr>
              <w:pStyle w:val="TableText0"/>
              <w:keepNext w:val="0"/>
              <w:widowControl w:val="0"/>
              <w:jc w:val="center"/>
            </w:pPr>
            <w:r w:rsidRPr="00C30156">
              <w:t xml:space="preserve">IP: </w:t>
            </w:r>
            <w:r w:rsidR="00A067B1">
              <w:t>62</w:t>
            </w:r>
          </w:p>
        </w:tc>
        <w:tc>
          <w:tcPr>
            <w:tcW w:w="541" w:type="pct"/>
            <w:shd w:val="clear" w:color="auto" w:fill="auto"/>
            <w:vAlign w:val="center"/>
          </w:tcPr>
          <w:p w14:paraId="3A8B3473" w14:textId="4FAC4965" w:rsidR="003A0A9F" w:rsidRPr="00C30156" w:rsidRDefault="003A0A9F" w:rsidP="0074236E">
            <w:pPr>
              <w:pStyle w:val="TableText0"/>
              <w:keepNext w:val="0"/>
              <w:widowControl w:val="0"/>
              <w:jc w:val="center"/>
            </w:pPr>
            <w:r w:rsidRPr="00C30156">
              <w:t>Phase 3, R, DB, PC, MC, IP</w:t>
            </w:r>
          </w:p>
        </w:tc>
        <w:tc>
          <w:tcPr>
            <w:tcW w:w="620" w:type="pct"/>
            <w:vAlign w:val="center"/>
          </w:tcPr>
          <w:p w14:paraId="0967FFFD" w14:textId="0F507A42" w:rsidR="003A0A9F" w:rsidRPr="00C30156" w:rsidRDefault="003A0A9F" w:rsidP="0074236E">
            <w:pPr>
              <w:pStyle w:val="TableText0"/>
              <w:keepNext w:val="0"/>
              <w:widowControl w:val="0"/>
              <w:jc w:val="center"/>
            </w:pPr>
            <w:r w:rsidRPr="00C30156">
              <w:t>IP: 18 weeks</w:t>
            </w:r>
          </w:p>
        </w:tc>
        <w:tc>
          <w:tcPr>
            <w:tcW w:w="463" w:type="pct"/>
            <w:shd w:val="clear" w:color="auto" w:fill="auto"/>
            <w:vAlign w:val="center"/>
          </w:tcPr>
          <w:p w14:paraId="75D44913" w14:textId="1D6F0088" w:rsidR="003A0A9F" w:rsidRPr="00C30156" w:rsidRDefault="003A0A9F" w:rsidP="0074236E">
            <w:pPr>
              <w:pStyle w:val="TableText0"/>
              <w:keepNext w:val="0"/>
              <w:widowControl w:val="0"/>
              <w:jc w:val="center"/>
            </w:pPr>
            <w:r w:rsidRPr="00C30156">
              <w:t>Low</w:t>
            </w:r>
          </w:p>
        </w:tc>
        <w:tc>
          <w:tcPr>
            <w:tcW w:w="934" w:type="pct"/>
            <w:shd w:val="clear" w:color="auto" w:fill="auto"/>
            <w:vAlign w:val="center"/>
          </w:tcPr>
          <w:p w14:paraId="6C0458A2" w14:textId="6C0FF287" w:rsidR="003A0A9F" w:rsidRPr="00C30156" w:rsidRDefault="003A0A9F" w:rsidP="0074236E">
            <w:pPr>
              <w:pStyle w:val="TableText0"/>
              <w:keepNext w:val="0"/>
              <w:widowControl w:val="0"/>
              <w:jc w:val="center"/>
            </w:pPr>
            <w:r w:rsidRPr="00C30156">
              <w:t>Single or multiple draining fistulas fistulas &gt; 3 months; TNF naive</w:t>
            </w:r>
          </w:p>
        </w:tc>
        <w:tc>
          <w:tcPr>
            <w:tcW w:w="1379" w:type="pct"/>
            <w:shd w:val="clear" w:color="auto" w:fill="auto"/>
            <w:vAlign w:val="center"/>
          </w:tcPr>
          <w:p w14:paraId="7287E346" w14:textId="77777777" w:rsidR="003A0A9F" w:rsidRPr="00A80279" w:rsidRDefault="003A0A9F" w:rsidP="0074236E">
            <w:pPr>
              <w:pStyle w:val="TableText0"/>
              <w:keepNext w:val="0"/>
              <w:widowControl w:val="0"/>
              <w:jc w:val="center"/>
              <w:rPr>
                <w:u w:val="single"/>
              </w:rPr>
            </w:pPr>
            <w:r w:rsidRPr="00A80279">
              <w:rPr>
                <w:u w:val="single"/>
              </w:rPr>
              <w:t>Fistula response</w:t>
            </w:r>
          </w:p>
          <w:p w14:paraId="6226E951" w14:textId="77777777" w:rsidR="003A0A9F" w:rsidRPr="00C30156" w:rsidRDefault="003A0A9F" w:rsidP="0074236E">
            <w:pPr>
              <w:pStyle w:val="TableText0"/>
              <w:keepNext w:val="0"/>
              <w:widowControl w:val="0"/>
              <w:jc w:val="center"/>
            </w:pPr>
            <w:r w:rsidRPr="00C30156">
              <w:t>≥50% reduction in number of draining fistulas at &gt;2 consecutive visits.</w:t>
            </w:r>
          </w:p>
          <w:p w14:paraId="09D1B00E" w14:textId="77777777" w:rsidR="003A0A9F" w:rsidRPr="00A80279" w:rsidRDefault="003A0A9F" w:rsidP="0074236E">
            <w:pPr>
              <w:pStyle w:val="TableText0"/>
              <w:keepNext w:val="0"/>
              <w:widowControl w:val="0"/>
              <w:jc w:val="center"/>
              <w:rPr>
                <w:u w:val="single"/>
              </w:rPr>
            </w:pPr>
            <w:r w:rsidRPr="00A80279">
              <w:rPr>
                <w:u w:val="single"/>
              </w:rPr>
              <w:t>Fistula remission</w:t>
            </w:r>
          </w:p>
          <w:p w14:paraId="7DC92D11" w14:textId="4C5BC494" w:rsidR="003A0A9F" w:rsidRPr="00C30156" w:rsidRDefault="003A0A9F" w:rsidP="0074236E">
            <w:pPr>
              <w:pStyle w:val="TableText0"/>
              <w:keepNext w:val="0"/>
              <w:widowControl w:val="0"/>
              <w:jc w:val="center"/>
            </w:pPr>
            <w:r w:rsidRPr="00C30156">
              <w:t>Absence of any draining fistulas at 2 consecutive visits</w:t>
            </w:r>
          </w:p>
        </w:tc>
      </w:tr>
      <w:tr w:rsidR="003A0A9F" w:rsidRPr="00E2771E" w14:paraId="7A0B39D0" w14:textId="77777777" w:rsidTr="003A0A9F">
        <w:trPr>
          <w:cantSplit/>
        </w:trPr>
        <w:tc>
          <w:tcPr>
            <w:tcW w:w="602" w:type="pct"/>
            <w:shd w:val="clear" w:color="auto" w:fill="auto"/>
            <w:vAlign w:val="center"/>
          </w:tcPr>
          <w:p w14:paraId="5051C48F" w14:textId="43541CA9" w:rsidR="003A0A9F" w:rsidRPr="00587DA2" w:rsidRDefault="003A0A9F" w:rsidP="0074236E">
            <w:pPr>
              <w:pStyle w:val="TableText0"/>
              <w:keepNext w:val="0"/>
              <w:widowControl w:val="0"/>
            </w:pPr>
            <w:r>
              <w:lastRenderedPageBreak/>
              <w:t>ACCENT-II</w:t>
            </w:r>
          </w:p>
        </w:tc>
        <w:tc>
          <w:tcPr>
            <w:tcW w:w="461" w:type="pct"/>
            <w:shd w:val="clear" w:color="auto" w:fill="auto"/>
            <w:vAlign w:val="center"/>
          </w:tcPr>
          <w:p w14:paraId="6BEE8EAB" w14:textId="0F274D51" w:rsidR="003A0A9F" w:rsidRPr="00C30156" w:rsidRDefault="003A0A9F" w:rsidP="0074236E">
            <w:pPr>
              <w:pStyle w:val="TableText0"/>
              <w:keepNext w:val="0"/>
              <w:widowControl w:val="0"/>
              <w:jc w:val="center"/>
            </w:pPr>
            <w:r w:rsidRPr="00C30156">
              <w:t>MP: 195</w:t>
            </w:r>
          </w:p>
        </w:tc>
        <w:tc>
          <w:tcPr>
            <w:tcW w:w="541" w:type="pct"/>
            <w:shd w:val="clear" w:color="auto" w:fill="auto"/>
            <w:vAlign w:val="center"/>
          </w:tcPr>
          <w:p w14:paraId="39E42577" w14:textId="1F887FCF" w:rsidR="003A0A9F" w:rsidRPr="00C30156" w:rsidRDefault="003A0A9F" w:rsidP="0074236E">
            <w:pPr>
              <w:pStyle w:val="TableText0"/>
              <w:keepNext w:val="0"/>
              <w:widowControl w:val="0"/>
              <w:jc w:val="center"/>
            </w:pPr>
            <w:r w:rsidRPr="00C30156">
              <w:t>Phase 3, R, DB for MP, PC, MC, MP</w:t>
            </w:r>
          </w:p>
        </w:tc>
        <w:tc>
          <w:tcPr>
            <w:tcW w:w="620" w:type="pct"/>
            <w:vAlign w:val="center"/>
          </w:tcPr>
          <w:p w14:paraId="77914425" w14:textId="77777777" w:rsidR="003A0A9F" w:rsidRPr="00C30156" w:rsidRDefault="003A0A9F" w:rsidP="0074236E">
            <w:pPr>
              <w:pStyle w:val="TableText0"/>
              <w:keepNext w:val="0"/>
              <w:widowControl w:val="0"/>
              <w:jc w:val="center"/>
            </w:pPr>
            <w:r w:rsidRPr="00C30156">
              <w:t>(IP: 14 weeks)</w:t>
            </w:r>
          </w:p>
          <w:p w14:paraId="007E1D14" w14:textId="1AF02C3D" w:rsidR="003A0A9F" w:rsidRPr="00C30156" w:rsidRDefault="003A0A9F" w:rsidP="0074236E">
            <w:pPr>
              <w:pStyle w:val="TableText0"/>
              <w:keepNext w:val="0"/>
              <w:widowControl w:val="0"/>
              <w:jc w:val="center"/>
            </w:pPr>
            <w:r w:rsidRPr="00C30156">
              <w:t>MP: 54 weeks#</w:t>
            </w:r>
          </w:p>
        </w:tc>
        <w:tc>
          <w:tcPr>
            <w:tcW w:w="463" w:type="pct"/>
            <w:shd w:val="clear" w:color="auto" w:fill="auto"/>
            <w:vAlign w:val="center"/>
          </w:tcPr>
          <w:p w14:paraId="012E2963" w14:textId="0ADDF01D" w:rsidR="003A0A9F" w:rsidRPr="00C30156" w:rsidRDefault="003A0A9F" w:rsidP="0074236E">
            <w:pPr>
              <w:pStyle w:val="TableText0"/>
              <w:keepNext w:val="0"/>
              <w:widowControl w:val="0"/>
              <w:jc w:val="center"/>
            </w:pPr>
            <w:r w:rsidRPr="00C30156">
              <w:t>Low</w:t>
            </w:r>
          </w:p>
        </w:tc>
        <w:tc>
          <w:tcPr>
            <w:tcW w:w="934" w:type="pct"/>
            <w:shd w:val="clear" w:color="auto" w:fill="auto"/>
            <w:vAlign w:val="center"/>
          </w:tcPr>
          <w:p w14:paraId="62F67961" w14:textId="7F5134BD" w:rsidR="003A0A9F" w:rsidRPr="00C30156" w:rsidRDefault="003A0A9F" w:rsidP="0074236E">
            <w:pPr>
              <w:pStyle w:val="TableText0"/>
              <w:keepNext w:val="0"/>
              <w:widowControl w:val="0"/>
              <w:jc w:val="center"/>
            </w:pPr>
            <w:r w:rsidRPr="00C30156">
              <w:t>Single or multiple draining fistulas &gt; 3 months; Infliximab naive</w:t>
            </w:r>
          </w:p>
        </w:tc>
        <w:tc>
          <w:tcPr>
            <w:tcW w:w="1379" w:type="pct"/>
            <w:shd w:val="clear" w:color="auto" w:fill="auto"/>
            <w:vAlign w:val="center"/>
          </w:tcPr>
          <w:p w14:paraId="69613D4E" w14:textId="77777777" w:rsidR="003A0A9F" w:rsidRPr="00A80279" w:rsidRDefault="003A0A9F" w:rsidP="0074236E">
            <w:pPr>
              <w:pStyle w:val="TableText0"/>
              <w:keepNext w:val="0"/>
              <w:widowControl w:val="0"/>
              <w:jc w:val="center"/>
              <w:rPr>
                <w:u w:val="single"/>
              </w:rPr>
            </w:pPr>
            <w:r w:rsidRPr="00A80279">
              <w:rPr>
                <w:u w:val="single"/>
              </w:rPr>
              <w:t>Fistula response</w:t>
            </w:r>
          </w:p>
          <w:p w14:paraId="5279C2E9" w14:textId="77777777" w:rsidR="003A0A9F" w:rsidRPr="00C30156" w:rsidRDefault="003A0A9F" w:rsidP="0074236E">
            <w:pPr>
              <w:pStyle w:val="TableText0"/>
              <w:keepNext w:val="0"/>
              <w:widowControl w:val="0"/>
              <w:jc w:val="center"/>
            </w:pPr>
            <w:r w:rsidRPr="00C30156">
              <w:t>Time to loss of response*</w:t>
            </w:r>
          </w:p>
          <w:p w14:paraId="24373BDD" w14:textId="77777777" w:rsidR="003A0A9F" w:rsidRPr="00C30156" w:rsidRDefault="003A0A9F" w:rsidP="0074236E">
            <w:pPr>
              <w:pStyle w:val="TableText0"/>
              <w:keepNext w:val="0"/>
              <w:widowControl w:val="0"/>
              <w:jc w:val="center"/>
            </w:pPr>
            <w:r w:rsidRPr="00C30156">
              <w:t>≥50% reduction in number of draining fistulas at consecutive visits ≥4 weeks apart (at wk 54#).</w:t>
            </w:r>
          </w:p>
          <w:p w14:paraId="7600513E" w14:textId="77777777" w:rsidR="003A0A9F" w:rsidRPr="00A80279" w:rsidRDefault="003A0A9F" w:rsidP="0074236E">
            <w:pPr>
              <w:pStyle w:val="TableText0"/>
              <w:keepNext w:val="0"/>
              <w:widowControl w:val="0"/>
              <w:jc w:val="center"/>
              <w:rPr>
                <w:u w:val="single"/>
              </w:rPr>
            </w:pPr>
            <w:r w:rsidRPr="00A80279">
              <w:rPr>
                <w:u w:val="single"/>
              </w:rPr>
              <w:t>Fistula remission</w:t>
            </w:r>
          </w:p>
          <w:p w14:paraId="249B6F58" w14:textId="0539AE10" w:rsidR="003A0A9F" w:rsidRPr="00C30156" w:rsidRDefault="003A0A9F" w:rsidP="0074236E">
            <w:pPr>
              <w:pStyle w:val="TableText0"/>
              <w:keepNext w:val="0"/>
              <w:widowControl w:val="0"/>
              <w:jc w:val="center"/>
            </w:pPr>
            <w:r w:rsidRPr="00C30156">
              <w:t>Absence of draining fistulas (wk54#)</w:t>
            </w:r>
          </w:p>
        </w:tc>
      </w:tr>
    </w:tbl>
    <w:p w14:paraId="55045223" w14:textId="77777777" w:rsidR="00494B51" w:rsidRDefault="00494B51" w:rsidP="00494B51">
      <w:pPr>
        <w:pStyle w:val="TableFigureFooter"/>
      </w:pPr>
      <w:r>
        <w:t>Source: Table 2.8, p48-52 of the submission</w:t>
      </w:r>
    </w:p>
    <w:p w14:paraId="7209AE1A" w14:textId="0FF55A92" w:rsidR="00AB3727" w:rsidRPr="00587DA2" w:rsidRDefault="003A0A9F" w:rsidP="00AB3727">
      <w:pPr>
        <w:pStyle w:val="TableFigureFooter"/>
      </w:pPr>
      <w:r>
        <w:t xml:space="preserve">Abbreviations: AP=abdominal pain; </w:t>
      </w:r>
      <w:r w:rsidRPr="00587DA2">
        <w:t>CDAI=Crohn’s Disease Activity Index DB=double blind; MC=multicentre, IP= induction phase; MP = maintenance phase; OL=open-label; PC= placebo-controlled</w:t>
      </w:r>
      <w:r>
        <w:t>; SF= stool frequency;</w:t>
      </w:r>
      <w:r w:rsidRPr="00587DA2">
        <w:t xml:space="preserve"> R=randomised; TNF= tumour necrosis factor</w:t>
      </w:r>
      <w:r>
        <w:t>;</w:t>
      </w:r>
      <w:r w:rsidR="00C30156">
        <w:t xml:space="preserve"> wk= week</w:t>
      </w:r>
    </w:p>
    <w:p w14:paraId="78690BC2" w14:textId="77777777" w:rsidR="00AB3727" w:rsidRPr="000648D6" w:rsidRDefault="00AB3727" w:rsidP="00AB3727">
      <w:pPr>
        <w:pStyle w:val="TableFigureFooter"/>
        <w:rPr>
          <w:snapToGrid/>
        </w:rPr>
      </w:pPr>
      <w:r w:rsidRPr="000648D6">
        <w:rPr>
          <w:snapToGrid/>
        </w:rPr>
        <w:t>*</w:t>
      </w:r>
      <w:r w:rsidRPr="000648D6">
        <w:rPr>
          <w:snapToGrid/>
        </w:rPr>
        <w:tab/>
        <w:t xml:space="preserve">denote primary trial outcome  </w:t>
      </w:r>
    </w:p>
    <w:p w14:paraId="70F51C77" w14:textId="543260BC" w:rsidR="00AB3727" w:rsidRDefault="00AB3727" w:rsidP="00AB3727">
      <w:pPr>
        <w:pStyle w:val="TableFigureFooter"/>
        <w:rPr>
          <w:snapToGrid/>
        </w:rPr>
      </w:pPr>
      <w:r w:rsidRPr="000648D6">
        <w:rPr>
          <w:snapToGrid/>
        </w:rPr>
        <w:t>#</w:t>
      </w:r>
      <w:r w:rsidRPr="000648D6">
        <w:rPr>
          <w:snapToGrid/>
        </w:rPr>
        <w:tab/>
        <w:t>counted from start of induction therapy</w:t>
      </w:r>
    </w:p>
    <w:p w14:paraId="2BB5FABE" w14:textId="74EEDBB0" w:rsidR="00A80279" w:rsidRDefault="00A80279" w:rsidP="00A80279">
      <w:pPr>
        <w:pStyle w:val="TableFigureFooter"/>
        <w:rPr>
          <w:snapToGrid/>
        </w:rPr>
      </w:pPr>
      <w:r w:rsidRPr="00A80279">
        <w:rPr>
          <w:snapToGrid/>
        </w:rPr>
        <w:t>a.</w:t>
      </w:r>
      <w:r>
        <w:rPr>
          <w:snapToGrid/>
        </w:rPr>
        <w:t xml:space="preserve"> Not an outcome of the trial but was presented as post-hoc subgroup analysis</w:t>
      </w:r>
    </w:p>
    <w:p w14:paraId="7CBC43C5" w14:textId="18307F09" w:rsidR="00F26F11" w:rsidRPr="00F26F11" w:rsidRDefault="00F26F11" w:rsidP="00F26F11">
      <w:pPr>
        <w:pStyle w:val="3-BodyText"/>
        <w:numPr>
          <w:ilvl w:val="0"/>
          <w:numId w:val="0"/>
        </w:numPr>
        <w:ind w:left="720" w:hanging="720"/>
        <w:rPr>
          <w:b/>
          <w:bCs/>
          <w:u w:val="single"/>
        </w:rPr>
      </w:pPr>
      <w:r w:rsidRPr="00F26F11">
        <w:rPr>
          <w:b/>
          <w:bCs/>
          <w:u w:val="single"/>
        </w:rPr>
        <w:t>Severe CD</w:t>
      </w:r>
    </w:p>
    <w:p w14:paraId="5EB327FE" w14:textId="1CBBB9C8" w:rsidR="0074236E" w:rsidRPr="00F26F11" w:rsidRDefault="0074236E" w:rsidP="00465970">
      <w:pPr>
        <w:pStyle w:val="3-BodyText"/>
        <w:ind w:left="709"/>
      </w:pPr>
      <w:r>
        <w:t xml:space="preserve">All patients included in the trials </w:t>
      </w:r>
      <w:r w:rsidRPr="0074236E">
        <w:t>(M15-993, ADVANCE, MOTIVATE, FORTIFY, UNITI-I, UNITI-II AND IM-UNITI)</w:t>
      </w:r>
      <w:r>
        <w:t xml:space="preserve"> </w:t>
      </w:r>
      <w:r w:rsidRPr="0074236E">
        <w:t>had moderate to severe CD (CDAI score of ≥ 220 and ≤ 450).</w:t>
      </w:r>
      <w:r>
        <w:t xml:space="preserve"> </w:t>
      </w:r>
      <w:r w:rsidRPr="00C46A74">
        <w:t xml:space="preserve">The CDAI scores range from 0 to 600, therefore the upper cut-off at 450 may exclude patients with the most severe disease. The proposed PBS listing is for severe CD (CDAI score ≥300), therefore the population included in the trials is likely to include some moderate CD patients not eligible for the proposed PBS indication and exclude some severe CD patients who may be treated with risankizumab under PBS. This issue applies to both the risankizumab and ustekinumab trials. This was also highlighted in the </w:t>
      </w:r>
      <w:r w:rsidRPr="00C46A74">
        <w:rPr>
          <w:rFonts w:cstheme="minorBidi"/>
        </w:rPr>
        <w:t>TGA Clinical Evaluation report</w:t>
      </w:r>
      <w:r w:rsidR="00B35044">
        <w:rPr>
          <w:rFonts w:cstheme="minorBidi"/>
        </w:rPr>
        <w:t xml:space="preserve"> (Round 1) </w:t>
      </w:r>
      <w:r w:rsidR="00C00B43" w:rsidRPr="00C46A74">
        <w:rPr>
          <w:rFonts w:cstheme="minorBidi"/>
        </w:rPr>
        <w:t>where TGA has requested for further data</w:t>
      </w:r>
      <w:r w:rsidRPr="00C46A74">
        <w:rPr>
          <w:rFonts w:cstheme="minorBidi"/>
        </w:rPr>
        <w:t xml:space="preserve"> to demonstrate the outcomes by disease severity category (moderate Crohn’s disease (CDAI score between 220 and 450) and severe Crohn’s disease (CDAI score&gt;450)) or to provide justification for risa</w:t>
      </w:r>
      <w:r w:rsidR="0085754B" w:rsidRPr="00C46A74">
        <w:rPr>
          <w:rFonts w:cstheme="minorBidi"/>
        </w:rPr>
        <w:t>n</w:t>
      </w:r>
      <w:r w:rsidRPr="00C46A74">
        <w:rPr>
          <w:rFonts w:cstheme="minorBidi"/>
        </w:rPr>
        <w:t>kizumab treatment in patients with severe CD (p85, Risankizumab TGA Clinical Evaluation Report, March 2022).</w:t>
      </w:r>
      <w:r w:rsidR="00F26F11" w:rsidRPr="00C46A74">
        <w:rPr>
          <w:rFonts w:cstheme="minorBidi"/>
        </w:rPr>
        <w:t xml:space="preserve"> However, the PBAC has previously considered trials that included moderate to severe CD (CDAI score of ≥ 220 and ≤ 450) to support the clinical and safety claims for severe CD. This included considerations for ustekinumab and vedolizumab.</w:t>
      </w:r>
      <w:r w:rsidR="007A0D7B">
        <w:rPr>
          <w:rFonts w:cstheme="minorBidi"/>
        </w:rPr>
        <w:t xml:space="preserve"> </w:t>
      </w:r>
      <w:r w:rsidR="007A0D7B" w:rsidRPr="008A4B69">
        <w:rPr>
          <w:rFonts w:cstheme="minorBidi"/>
          <w:iCs/>
        </w:rPr>
        <w:t>The</w:t>
      </w:r>
      <w:r w:rsidR="000A0355">
        <w:rPr>
          <w:rFonts w:cstheme="minorBidi"/>
          <w:iCs/>
        </w:rPr>
        <w:t xml:space="preserve"> </w:t>
      </w:r>
      <w:r w:rsidR="000A0355">
        <w:t>Pre-Sub-Committee Response</w:t>
      </w:r>
      <w:r w:rsidR="007A0D7B" w:rsidRPr="008A4B69">
        <w:rPr>
          <w:rFonts w:cstheme="minorBidi"/>
          <w:iCs/>
        </w:rPr>
        <w:t xml:space="preserve"> </w:t>
      </w:r>
      <w:r w:rsidR="000A0355">
        <w:rPr>
          <w:rFonts w:cstheme="minorBidi"/>
          <w:iCs/>
        </w:rPr>
        <w:t>(</w:t>
      </w:r>
      <w:r w:rsidR="007A0D7B" w:rsidRPr="008A4B69">
        <w:rPr>
          <w:rFonts w:cstheme="minorBidi"/>
          <w:iCs/>
        </w:rPr>
        <w:t>PSCR</w:t>
      </w:r>
      <w:r w:rsidR="000A0355">
        <w:rPr>
          <w:rFonts w:cstheme="minorBidi"/>
          <w:iCs/>
        </w:rPr>
        <w:t>)</w:t>
      </w:r>
      <w:r w:rsidR="007A0D7B" w:rsidRPr="008A4B69">
        <w:rPr>
          <w:rFonts w:cstheme="minorBidi"/>
          <w:iCs/>
        </w:rPr>
        <w:t xml:space="preserve"> argued that</w:t>
      </w:r>
      <w:r w:rsidR="00D20BD4" w:rsidRPr="008A4B69">
        <w:rPr>
          <w:rFonts w:cstheme="minorBidi"/>
          <w:iCs/>
        </w:rPr>
        <w:t xml:space="preserve"> PBAC </w:t>
      </w:r>
      <w:r w:rsidR="007A0D7B" w:rsidRPr="008A4B69">
        <w:rPr>
          <w:rFonts w:cstheme="minorBidi"/>
          <w:iCs/>
        </w:rPr>
        <w:t xml:space="preserve">previously considered trials that included moderate to severe CD (CDAI score of ≥ 220 and ≤ 450) </w:t>
      </w:r>
      <w:r w:rsidR="00D20BD4" w:rsidRPr="008A4B69">
        <w:rPr>
          <w:rFonts w:cstheme="minorBidi"/>
          <w:iCs/>
        </w:rPr>
        <w:t>in other previously recommended biologic therapies and claimed that the evidence presented in the submission was reasonable to support the clinical and safety claims for severe CD. Additionally, the PSCR claimed that the baseline severity of disease showed no impact on treatment outcomes across the clinical trials.</w:t>
      </w:r>
      <w:r w:rsidR="00D20BD4">
        <w:rPr>
          <w:rFonts w:cstheme="minorBidi"/>
        </w:rPr>
        <w:t xml:space="preserve"> </w:t>
      </w:r>
    </w:p>
    <w:p w14:paraId="5DD2B01B" w14:textId="229312BE" w:rsidR="00F26F11" w:rsidRPr="00F26F11" w:rsidRDefault="00F26F11" w:rsidP="00465970">
      <w:pPr>
        <w:pStyle w:val="3-BodyText"/>
        <w:ind w:left="709"/>
      </w:pPr>
      <w:r>
        <w:t>P</w:t>
      </w:r>
      <w:r w:rsidRPr="00F26F11">
        <w:t>rior treatment eligibility</w:t>
      </w:r>
      <w:r>
        <w:t xml:space="preserve"> of patients included in the trials used in the indirect comparison differed. </w:t>
      </w:r>
      <w:r w:rsidRPr="00F26F11">
        <w:t>The risankizumab trials studied both patients who were bio</w:t>
      </w:r>
      <w:r w:rsidR="004139CB">
        <w:t>logic</w:t>
      </w:r>
      <w:r w:rsidRPr="00F26F11">
        <w:t>-naïve (M15-993) and who were bio</w:t>
      </w:r>
      <w:r w:rsidR="004139CB">
        <w:t>logic</w:t>
      </w:r>
      <w:r w:rsidRPr="00F26F11">
        <w:t>-experienced (ADVANCE, MOTIVATE AND FORTIFY), while the ustekinumab trials (UNITI-I and UNITI-II) included patients who were bio</w:t>
      </w:r>
      <w:r w:rsidR="004139CB">
        <w:t>logic</w:t>
      </w:r>
      <w:r w:rsidRPr="00F26F11">
        <w:t xml:space="preserve">-experienced (exposure to anti-TNF) but were naïve to interleukin-12 or </w:t>
      </w:r>
      <w:r w:rsidRPr="00F26F11">
        <w:lastRenderedPageBreak/>
        <w:t xml:space="preserve">interleukin-23 antagonists. </w:t>
      </w:r>
      <w:r w:rsidRPr="00C46A74">
        <w:t>While the proposed PBS population can be bio</w:t>
      </w:r>
      <w:r w:rsidR="004139CB" w:rsidRPr="00C46A74">
        <w:t>logic</w:t>
      </w:r>
      <w:r w:rsidRPr="00C46A74">
        <w:t>-naïve or bio</w:t>
      </w:r>
      <w:r w:rsidR="004139CB" w:rsidRPr="00C46A74">
        <w:t>logic</w:t>
      </w:r>
      <w:r w:rsidRPr="00C46A74">
        <w:t xml:space="preserve">-experienced, all patients are required to have failed to achieve adequate response to prior systemic therapy. </w:t>
      </w:r>
    </w:p>
    <w:p w14:paraId="568F9E4B" w14:textId="1DBC7E87" w:rsidR="00397967" w:rsidRPr="0022083A" w:rsidRDefault="00397967" w:rsidP="00465970">
      <w:pPr>
        <w:pStyle w:val="3-BodyText"/>
        <w:ind w:left="709"/>
      </w:pPr>
      <w:r w:rsidRPr="0022083A">
        <w:t xml:space="preserve">The PBS continuing criteria relies on achieving CDAI clinical remission (CDAI&lt;150 point). </w:t>
      </w:r>
      <w:r w:rsidRPr="00C46A74">
        <w:t>This was a primary outcome for the risankizumab trials but was a secondary outcome in the ustekinumab trials (UNITI-I and UNITI-II).</w:t>
      </w:r>
    </w:p>
    <w:p w14:paraId="534E25F2" w14:textId="42C17CB8" w:rsidR="00F26F11" w:rsidRPr="008A4B69" w:rsidRDefault="00F26F11" w:rsidP="00465970">
      <w:pPr>
        <w:pStyle w:val="3-BodyText"/>
        <w:ind w:left="709"/>
        <w:rPr>
          <w:iCs/>
        </w:rPr>
      </w:pPr>
      <w:r>
        <w:t xml:space="preserve">The eligibility criteria </w:t>
      </w:r>
      <w:r w:rsidRPr="00F26F11">
        <w:t>for entry into maintenance studies (</w:t>
      </w:r>
      <w:r>
        <w:t xml:space="preserve">risankizumab, </w:t>
      </w:r>
      <w:r w:rsidRPr="00F26F11">
        <w:t xml:space="preserve">FORTIFY and </w:t>
      </w:r>
      <w:r>
        <w:t xml:space="preserve">ustekinumab, </w:t>
      </w:r>
      <w:r w:rsidRPr="00F26F11">
        <w:t>IM-UNITI) differed between trials</w:t>
      </w:r>
      <w:r>
        <w:t xml:space="preserve">. Entry into FORTIFY required a </w:t>
      </w:r>
      <w:r w:rsidRPr="00F26F11">
        <w:t>SF/APS clinical response, defined as ≥30% decrease in average daily SF and/or ≥30% decrease in APS from baseline</w:t>
      </w:r>
      <w:r>
        <w:t xml:space="preserve">, while entry into IM-UNITI required </w:t>
      </w:r>
      <w:r w:rsidRPr="170A8049">
        <w:rPr>
          <w:rFonts w:cstheme="minorBidi"/>
        </w:rPr>
        <w:t>achieved clinical response, defined as a decrease in CDAI score of ≥100 points. Both these criteria were less stringent than the proposed PBS continuation criteria. The submission contended that the less stringent entry criteria for risankizumab has the potential to bias maintenance results in favour of ustekinumab</w:t>
      </w:r>
      <w:r w:rsidR="004139CB">
        <w:rPr>
          <w:rFonts w:cstheme="minorBidi"/>
        </w:rPr>
        <w:t xml:space="preserve">. </w:t>
      </w:r>
      <w:r w:rsidRPr="00C46A74">
        <w:rPr>
          <w:rFonts w:cstheme="minorBidi"/>
          <w:iCs/>
        </w:rPr>
        <w:t>The potential for bias in favour of ustekinumab is unclear as subgroup results</w:t>
      </w:r>
      <w:r w:rsidR="004139CB" w:rsidRPr="00C46A74">
        <w:rPr>
          <w:rFonts w:cstheme="minorBidi"/>
          <w:iCs/>
        </w:rPr>
        <w:t xml:space="preserve"> for</w:t>
      </w:r>
      <w:r w:rsidRPr="00C46A74">
        <w:rPr>
          <w:rFonts w:cstheme="minorBidi"/>
          <w:iCs/>
        </w:rPr>
        <w:t xml:space="preserve"> clinical remission </w:t>
      </w:r>
      <w:r w:rsidR="0027376B" w:rsidRPr="00C46A74">
        <w:rPr>
          <w:rFonts w:cstheme="minorBidi"/>
          <w:iCs/>
        </w:rPr>
        <w:t xml:space="preserve">were </w:t>
      </w:r>
      <w:r w:rsidRPr="00C46A74">
        <w:rPr>
          <w:rFonts w:cstheme="minorBidi"/>
          <w:iCs/>
        </w:rPr>
        <w:t>not presented.</w:t>
      </w:r>
      <w:r w:rsidRPr="008A4B69">
        <w:rPr>
          <w:rFonts w:cstheme="minorBidi"/>
        </w:rPr>
        <w:t xml:space="preserve"> </w:t>
      </w:r>
    </w:p>
    <w:p w14:paraId="00460BAD" w14:textId="4802EE0D" w:rsidR="00397967" w:rsidRPr="008A4B69" w:rsidRDefault="00397967" w:rsidP="00465970">
      <w:pPr>
        <w:pStyle w:val="3-BodyText"/>
        <w:ind w:left="709"/>
        <w:rPr>
          <w:iCs/>
        </w:rPr>
      </w:pPr>
      <w:r w:rsidRPr="00266668">
        <w:t>There were differences in the timing of assessment between risankizumab trials and the comparators</w:t>
      </w:r>
      <w:r w:rsidR="004139CB">
        <w:t>,</w:t>
      </w:r>
      <w:r w:rsidRPr="00266668">
        <w:t xml:space="preserve"> which were likely due to the different dosing regimens.</w:t>
      </w:r>
      <w:r w:rsidRPr="008A4B69">
        <w:rPr>
          <w:iCs/>
        </w:rPr>
        <w:t xml:space="preserve"> </w:t>
      </w:r>
      <w:r w:rsidRPr="00C46A74">
        <w:t>This will have an impact on the transitivity of the trials in the indirect comparison, however the direction of impact is unclear.</w:t>
      </w:r>
    </w:p>
    <w:p w14:paraId="40F41194" w14:textId="157434CF" w:rsidR="009E5910" w:rsidRPr="00C46A74" w:rsidRDefault="000B2839" w:rsidP="00465970">
      <w:pPr>
        <w:pStyle w:val="3-BodyText"/>
        <w:ind w:left="709"/>
      </w:pPr>
      <w:r w:rsidRPr="00C46A74">
        <w:t>There</w:t>
      </w:r>
      <w:r w:rsidR="009E5910" w:rsidRPr="00C46A74">
        <w:t xml:space="preserve"> were patients in the risankizumab trials that have been exposed to adalimumab, infliximab, vedolizumab and ustekinumab. The proportions exposed to these prior therapies range from 13.7% to 72.3%. This was balanced between risankizumab and placebo arms. No patients in the ustekinumab trials h</w:t>
      </w:r>
      <w:r w:rsidR="002174DF" w:rsidRPr="00C46A74">
        <w:t>ad</w:t>
      </w:r>
      <w:r w:rsidR="009E5910" w:rsidRPr="00C46A74">
        <w:t xml:space="preserve"> been exposed to any of these prior therapies. The proportion of patients on concomitant therapies appears to be higher in the ustekinumab trials – corticosteroids (ranges from 35.7 to 48.5% ustekinumab vs 28.% to 36.4% risankizumab), 5-ASA (ranges from 20.1% to 44.5% ustekinumab vs 15.4% to 33.7% risankizumab) and immunomodulator ranges from 31.3% to 35.3% ustekinumab vs 18.8% to 46.2% risankizumab). This is likely to affect the transitivity of trials, however, the direction of impact is unclear.</w:t>
      </w:r>
    </w:p>
    <w:p w14:paraId="0633F5FA" w14:textId="387CAEA4" w:rsidR="00397967" w:rsidRPr="00C46A74" w:rsidRDefault="00397967" w:rsidP="00465970">
      <w:pPr>
        <w:pStyle w:val="3-BodyText"/>
        <w:ind w:left="709"/>
      </w:pPr>
      <w:r w:rsidRPr="00C46A74">
        <w:t>Across the trials, there were differences in the protocol</w:t>
      </w:r>
      <w:r w:rsidR="0070235F" w:rsidRPr="00C46A74">
        <w:t>s</w:t>
      </w:r>
      <w:r w:rsidRPr="00C46A74">
        <w:t xml:space="preserve"> on use of concomitant treatments, particularly in the time when tapering or adjustments were allowed. This could impact the comparability between trials, and the direction of impact is unclear.</w:t>
      </w:r>
    </w:p>
    <w:p w14:paraId="60F81FD0" w14:textId="31C9B28A" w:rsidR="009E5910" w:rsidRDefault="009E5910" w:rsidP="00465970">
      <w:pPr>
        <w:pStyle w:val="3-BodyText"/>
        <w:ind w:left="709"/>
      </w:pPr>
      <w:r w:rsidRPr="009E5910">
        <w:t xml:space="preserve">Although multiple doses of risankizumab were trialled, the submission focused on arms relevant to the proposed registered doses of 600 mg intravenously in the induction period and 360 mg subcutaneously in the maintenance period (p39 of the submission). Similar to the risankizumab trials, multiple doses were trialled in these ustekinumab trials and arms relevant to the proposed registered doses (for example, for ustekinumab 6mg/kg IV for induction and 90mg SC for maintenance) were included. </w:t>
      </w:r>
    </w:p>
    <w:p w14:paraId="21D3161A" w14:textId="77777777" w:rsidR="0043472F" w:rsidRPr="009E5910" w:rsidRDefault="0043472F" w:rsidP="0043472F">
      <w:pPr>
        <w:pStyle w:val="3-BodyText"/>
        <w:numPr>
          <w:ilvl w:val="0"/>
          <w:numId w:val="0"/>
        </w:numPr>
        <w:ind w:left="709"/>
      </w:pPr>
    </w:p>
    <w:p w14:paraId="16983E99" w14:textId="35B20CBC" w:rsidR="009E5910" w:rsidRPr="009E5910" w:rsidRDefault="009E5910" w:rsidP="009B40C3">
      <w:pPr>
        <w:jc w:val="left"/>
        <w:rPr>
          <w:b/>
          <w:bCs/>
          <w:u w:val="single"/>
        </w:rPr>
      </w:pPr>
      <w:r w:rsidRPr="009E5910">
        <w:rPr>
          <w:b/>
          <w:bCs/>
          <w:u w:val="single"/>
        </w:rPr>
        <w:lastRenderedPageBreak/>
        <w:t>FCD</w:t>
      </w:r>
    </w:p>
    <w:p w14:paraId="78BF37F6" w14:textId="5C8C99FF" w:rsidR="0022083A" w:rsidRPr="008A4B69" w:rsidRDefault="0022083A" w:rsidP="00465970">
      <w:pPr>
        <w:pStyle w:val="3-BodyText"/>
        <w:ind w:left="709"/>
        <w:rPr>
          <w:iCs/>
        </w:rPr>
      </w:pPr>
      <w:r w:rsidRPr="00894BEB">
        <w:t xml:space="preserve">The number of patients with fistulas in the risankizumab trials </w:t>
      </w:r>
      <w:r w:rsidR="00055085">
        <w:t>was</w:t>
      </w:r>
      <w:r w:rsidRPr="00894BEB">
        <w:t xml:space="preserve"> small (</w:t>
      </w:r>
      <w:r w:rsidR="003D381B">
        <w:t xml:space="preserve">N = 11, </w:t>
      </w:r>
      <w:r w:rsidRPr="00894BEB">
        <w:t>less than 7% of the total trial population)</w:t>
      </w:r>
      <w:r w:rsidR="00894BEB">
        <w:t xml:space="preserve">. </w:t>
      </w:r>
      <w:r w:rsidR="00894BEB" w:rsidRPr="00C46A74">
        <w:t xml:space="preserve">Therefore, </w:t>
      </w:r>
      <w:r w:rsidRPr="00C46A74">
        <w:t>these trials are likely to be underpowered to detect differences in the outcomes proposed.</w:t>
      </w:r>
      <w:r w:rsidR="001D7101" w:rsidRPr="008A4B69">
        <w:rPr>
          <w:iCs/>
        </w:rPr>
        <w:t xml:space="preserve"> </w:t>
      </w:r>
    </w:p>
    <w:p w14:paraId="0095926D" w14:textId="50C65AA9" w:rsidR="00397967" w:rsidRPr="00C46A74" w:rsidRDefault="00397967" w:rsidP="00465970">
      <w:pPr>
        <w:pStyle w:val="3-BodyText"/>
        <w:ind w:left="709"/>
      </w:pPr>
      <w:r w:rsidRPr="00C46A74">
        <w:t xml:space="preserve">Apart from the infliximab trial (T20) which was a FCD specific trial with FCD related outcomes as a primary outcome (therefore adequately powered), </w:t>
      </w:r>
      <w:r w:rsidR="00C86A09" w:rsidRPr="00C46A74">
        <w:t xml:space="preserve">for </w:t>
      </w:r>
      <w:r w:rsidRPr="00C46A74">
        <w:t>all other trials presented in the submission a subgroup of FCD patients</w:t>
      </w:r>
      <w:r w:rsidR="00C86A09" w:rsidRPr="00C46A74">
        <w:t xml:space="preserve"> were presented</w:t>
      </w:r>
      <w:r w:rsidRPr="00C46A74">
        <w:t>. Risankizumab trials relied on post-hoc analysis</w:t>
      </w:r>
      <w:r w:rsidR="0070235F" w:rsidRPr="00C46A74">
        <w:t>,</w:t>
      </w:r>
      <w:r w:rsidRPr="00C46A74">
        <w:t xml:space="preserve"> therefore</w:t>
      </w:r>
      <w:r w:rsidR="0070235F" w:rsidRPr="00C46A74">
        <w:t xml:space="preserve"> the</w:t>
      </w:r>
      <w:r w:rsidRPr="00C46A74">
        <w:t xml:space="preserve"> results are uncertain and </w:t>
      </w:r>
      <w:r w:rsidR="00277F04" w:rsidRPr="00C46A74">
        <w:t>more prone to bias</w:t>
      </w:r>
      <w:r w:rsidRPr="00C46A74">
        <w:t xml:space="preserve"> compared to outcomes assessed as primary or secondary outcomes as presented in the comparator trials.</w:t>
      </w:r>
    </w:p>
    <w:p w14:paraId="769DE6B9" w14:textId="080F7077" w:rsidR="009E5910" w:rsidRPr="008A4B69" w:rsidRDefault="009E5910" w:rsidP="00465970">
      <w:pPr>
        <w:pStyle w:val="3-BodyText"/>
        <w:ind w:left="709"/>
        <w:rPr>
          <w:iCs/>
        </w:rPr>
      </w:pPr>
      <w:r w:rsidRPr="00894BEB">
        <w:t>There were imbalances in some baseline demographics and disease characteristics between treatment arms in the risankizumab trials.</w:t>
      </w:r>
      <w:r w:rsidRPr="008A4B69">
        <w:rPr>
          <w:iCs/>
        </w:rPr>
        <w:t xml:space="preserve"> </w:t>
      </w:r>
      <w:r w:rsidRPr="00C46A74">
        <w:t xml:space="preserve">This included differences in proportions of males (ADVANCE – 44.4% placebo vs 66.7% risankizumab; MOTIVATE – 60% placebo vs 42.9% risankizumab), duration of disease (ADVANCE – 12 years placebo vs 7.5 years risankizumab) and exposure to prior therapies. Although some differences were expected as the FCD population represent a subgroup from the trials, the observed differences may confound the observed treatment effect. This may be particularly important because a naïve comparison </w:t>
      </w:r>
      <w:r w:rsidR="0070235F" w:rsidRPr="00C46A74">
        <w:t>was used</w:t>
      </w:r>
      <w:r w:rsidRPr="00C46A74">
        <w:t xml:space="preserve"> to support the clinical claim for the FCD </w:t>
      </w:r>
      <w:r w:rsidR="00662751" w:rsidRPr="00C46A74">
        <w:t>indication,</w:t>
      </w:r>
      <w:r w:rsidRPr="00C46A74">
        <w:t xml:space="preserve"> and these differences </w:t>
      </w:r>
      <w:r w:rsidR="00277F04" w:rsidRPr="00C46A74">
        <w:t xml:space="preserve">are </w:t>
      </w:r>
      <w:r w:rsidRPr="00C46A74">
        <w:t xml:space="preserve">likely to have an impact on the </w:t>
      </w:r>
      <w:r w:rsidR="00425551" w:rsidRPr="00C46A74">
        <w:t xml:space="preserve">robustness </w:t>
      </w:r>
      <w:r w:rsidRPr="00C46A74">
        <w:t>of the naïve comparison results.</w:t>
      </w:r>
    </w:p>
    <w:p w14:paraId="28A14EE4" w14:textId="45753DFD" w:rsidR="009E5910" w:rsidRPr="00C46A74" w:rsidRDefault="009E5910" w:rsidP="00465970">
      <w:pPr>
        <w:pStyle w:val="3-BodyText"/>
        <w:ind w:left="709"/>
      </w:pPr>
      <w:r w:rsidRPr="00C46A74">
        <w:t>Across trials, observed differences include mean age (ranges from 33.1 to 35.7 risankizumab, 33.2 to 39 adalimumab, 37 to 41.2 infliximab), baseline disease severity based on mean CDAI score (ranges from 334.8 to 344.7 risankizumab, 295 to 317.8 adalimumab, 184.4</w:t>
      </w:r>
      <w:r w:rsidR="00425551" w:rsidRPr="00C46A74">
        <w:t xml:space="preserve"> (SD 98.5)</w:t>
      </w:r>
      <w:r w:rsidRPr="00C46A74">
        <w:t xml:space="preserve"> infliximab). These differences may impact the transitivity of trials for the naïve comparison.</w:t>
      </w:r>
    </w:p>
    <w:p w14:paraId="20D6BC50" w14:textId="41251435" w:rsidR="00397967" w:rsidRPr="008A4B69" w:rsidRDefault="00397967" w:rsidP="00465970">
      <w:pPr>
        <w:pStyle w:val="3-BodyText"/>
        <w:ind w:left="709"/>
        <w:rPr>
          <w:iCs/>
        </w:rPr>
      </w:pPr>
      <w:r w:rsidRPr="00894BEB">
        <w:t>The definition for fistula response in the risankizumab trials was a decrease in the number of draining fistulae ≥50% from baseline, whereas in the comparator trials, the definition required the demonstration of a decrease for at least 2 consecutive visits . Similarly, in the comparator trials, the definition for fistula remission required a demonstration of closure of draining fistulae at multiple visits (at least 2) where risankizumab trials only required a demonstration of no draining fistulae at week 12 (induction) or 64 (maintenance).</w:t>
      </w:r>
      <w:r w:rsidRPr="008A4B69">
        <w:rPr>
          <w:iCs/>
        </w:rPr>
        <w:t xml:space="preserve"> </w:t>
      </w:r>
      <w:r w:rsidRPr="00C46A74">
        <w:t>The definition of outcomes appeared to be more stringent in the comparator trials compared to risankizumab trials and would likely favour risankizumab.</w:t>
      </w:r>
    </w:p>
    <w:p w14:paraId="358A889C" w14:textId="77777777" w:rsidR="004A0D45" w:rsidRPr="008A4B69" w:rsidRDefault="004A0D45">
      <w:pPr>
        <w:jc w:val="left"/>
        <w:rPr>
          <w:rFonts w:asciiTheme="minorHAnsi" w:eastAsiaTheme="majorEastAsia" w:hAnsiTheme="minorHAnsi" w:cstheme="majorBidi"/>
          <w:spacing w:val="5"/>
          <w:kern w:val="28"/>
          <w:sz w:val="28"/>
          <w:szCs w:val="36"/>
        </w:rPr>
      </w:pPr>
      <w:bookmarkStart w:id="16" w:name="_Toc22897641"/>
      <w:r>
        <w:br w:type="page"/>
      </w:r>
    </w:p>
    <w:p w14:paraId="4A4FE085" w14:textId="206AA00B" w:rsidR="00B60939" w:rsidRPr="00C9624D" w:rsidRDefault="00B60939" w:rsidP="00EC5836">
      <w:pPr>
        <w:pStyle w:val="4-SubsectionHeading"/>
      </w:pPr>
      <w:bookmarkStart w:id="17" w:name="_Toc103776025"/>
      <w:r w:rsidRPr="00C9624D">
        <w:lastRenderedPageBreak/>
        <w:t>Comparative effectiveness</w:t>
      </w:r>
      <w:bookmarkEnd w:id="16"/>
      <w:bookmarkEnd w:id="17"/>
    </w:p>
    <w:p w14:paraId="1D3154CD" w14:textId="7F6AF633" w:rsidR="003E0A06" w:rsidRPr="003E0A06" w:rsidRDefault="003E0A06" w:rsidP="003E0A06">
      <w:pPr>
        <w:pStyle w:val="3-BodyText"/>
        <w:numPr>
          <w:ilvl w:val="0"/>
          <w:numId w:val="0"/>
        </w:numPr>
        <w:ind w:left="720" w:hanging="720"/>
        <w:rPr>
          <w:b/>
          <w:bCs/>
          <w:u w:val="single"/>
        </w:rPr>
      </w:pPr>
      <w:r w:rsidRPr="003E0A06">
        <w:rPr>
          <w:b/>
          <w:bCs/>
          <w:u w:val="single"/>
        </w:rPr>
        <w:t>Severe CD</w:t>
      </w:r>
    </w:p>
    <w:p w14:paraId="7A0C7B88" w14:textId="53DE4F18" w:rsidR="003E0A06" w:rsidRDefault="00F42AD4" w:rsidP="00465970">
      <w:pPr>
        <w:pStyle w:val="3-BodyText"/>
        <w:ind w:left="709"/>
      </w:pPr>
      <w:r w:rsidRPr="00F42AD4">
        <w:rPr>
          <w:color w:val="2B579A"/>
          <w:shd w:val="clear" w:color="auto" w:fill="E6E6E6"/>
        </w:rPr>
        <w:fldChar w:fldCharType="begin" w:fldLock="1"/>
      </w:r>
      <w:r w:rsidRPr="00F42AD4">
        <w:instrText xml:space="preserve"> REF _Ref101786488 \h  \* MERGEFORMAT </w:instrText>
      </w:r>
      <w:r w:rsidRPr="00F42AD4">
        <w:rPr>
          <w:color w:val="2B579A"/>
          <w:shd w:val="clear" w:color="auto" w:fill="E6E6E6"/>
        </w:rPr>
      </w:r>
      <w:r w:rsidRPr="00F42AD4">
        <w:rPr>
          <w:color w:val="2B579A"/>
          <w:shd w:val="clear" w:color="auto" w:fill="E6E6E6"/>
        </w:rPr>
        <w:fldChar w:fldCharType="separate"/>
      </w:r>
      <w:r w:rsidRPr="00F42AD4">
        <w:t>Table 4</w:t>
      </w:r>
      <w:r w:rsidRPr="00F42AD4">
        <w:rPr>
          <w:color w:val="2B579A"/>
          <w:shd w:val="clear" w:color="auto" w:fill="E6E6E6"/>
        </w:rPr>
        <w:fldChar w:fldCharType="end"/>
      </w:r>
      <w:r w:rsidR="00C6166D" w:rsidRPr="00F42AD4">
        <w:t xml:space="preserve"> below presents</w:t>
      </w:r>
      <w:r w:rsidR="006F33F3" w:rsidRPr="00F42AD4">
        <w:t xml:space="preserve"> the</w:t>
      </w:r>
      <w:r w:rsidR="00C6166D" w:rsidRPr="00F42AD4">
        <w:t xml:space="preserve"> </w:t>
      </w:r>
      <w:r w:rsidR="00B35044">
        <w:t xml:space="preserve">results for </w:t>
      </w:r>
      <w:r w:rsidR="00C6166D" w:rsidRPr="00F42AD4">
        <w:t>clinical remission and clinical response outcomes across the</w:t>
      </w:r>
      <w:r w:rsidR="00C6166D">
        <w:t xml:space="preserve"> trials for the induction and maintenance phases separately. It also includes meta-analysed </w:t>
      </w:r>
      <w:r w:rsidR="009A5000">
        <w:t xml:space="preserve">(pooled) </w:t>
      </w:r>
      <w:r w:rsidR="00C6166D">
        <w:t>results for the induction trials</w:t>
      </w:r>
      <w:r w:rsidR="006F33F3">
        <w:t xml:space="preserve"> and results of the indirect comparison between risankizumab and ustekinumab. </w:t>
      </w:r>
    </w:p>
    <w:p w14:paraId="2CA8685A" w14:textId="79ED6A00" w:rsidR="00C6166D" w:rsidRDefault="00C6166D" w:rsidP="00C6166D">
      <w:pPr>
        <w:pStyle w:val="TableFigureHeading"/>
        <w:keepNext w:val="0"/>
        <w:widowControl w:val="0"/>
        <w:rPr>
          <w:rStyle w:val="CommentReference"/>
          <w:b/>
        </w:rPr>
      </w:pPr>
      <w:bookmarkStart w:id="18" w:name="_Ref101786488"/>
      <w:bookmarkStart w:id="19" w:name="_Ref101786467"/>
      <w:r w:rsidRPr="00EC5836">
        <w:rPr>
          <w:rStyle w:val="CommentReference"/>
          <w:b/>
          <w:szCs w:val="24"/>
        </w:rPr>
        <w:t xml:space="preserve">Table </w:t>
      </w:r>
      <w:r w:rsidR="003B3D58">
        <w:rPr>
          <w:rStyle w:val="CommentReference"/>
          <w:b/>
          <w:szCs w:val="24"/>
        </w:rPr>
        <w:fldChar w:fldCharType="begin" w:fldLock="1"/>
      </w:r>
      <w:r w:rsidR="003B3D58">
        <w:rPr>
          <w:rStyle w:val="CommentReference"/>
          <w:b/>
          <w:szCs w:val="24"/>
        </w:rPr>
        <w:instrText xml:space="preserve"> SEQ Table \* ARABIC </w:instrText>
      </w:r>
      <w:r w:rsidR="003B3D58">
        <w:rPr>
          <w:rStyle w:val="CommentReference"/>
          <w:b/>
          <w:szCs w:val="24"/>
        </w:rPr>
        <w:fldChar w:fldCharType="separate"/>
      </w:r>
      <w:r w:rsidR="003D76A2">
        <w:rPr>
          <w:rStyle w:val="CommentReference"/>
          <w:b/>
          <w:noProof/>
          <w:szCs w:val="24"/>
        </w:rPr>
        <w:t>6</w:t>
      </w:r>
      <w:r w:rsidR="003B3D58">
        <w:rPr>
          <w:rStyle w:val="CommentReference"/>
          <w:b/>
          <w:szCs w:val="24"/>
        </w:rPr>
        <w:fldChar w:fldCharType="end"/>
      </w:r>
      <w:bookmarkEnd w:id="18"/>
      <w:r w:rsidRPr="00EC5836">
        <w:rPr>
          <w:rStyle w:val="CommentReference"/>
          <w:b/>
          <w:szCs w:val="24"/>
        </w:rPr>
        <w:t xml:space="preserve">: </w:t>
      </w:r>
      <w:r w:rsidR="009A5000">
        <w:rPr>
          <w:rStyle w:val="CommentReference"/>
          <w:b/>
          <w:szCs w:val="24"/>
        </w:rPr>
        <w:t xml:space="preserve">Trial and indirect comparison results: risankizumab vs ustekinumab </w:t>
      </w:r>
      <w:r w:rsidR="009A5000">
        <w:rPr>
          <w:rStyle w:val="CommentReference"/>
          <w:b/>
        </w:rPr>
        <w:t>for induction</w:t>
      </w:r>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1134"/>
        <w:gridCol w:w="1506"/>
        <w:gridCol w:w="1473"/>
        <w:gridCol w:w="1841"/>
        <w:gridCol w:w="1791"/>
      </w:tblGrid>
      <w:tr w:rsidR="009A5000" w:rsidRPr="00080200" w14:paraId="6DB5A15A" w14:textId="77777777" w:rsidTr="00B027D1">
        <w:trPr>
          <w:tblHeader/>
        </w:trPr>
        <w:tc>
          <w:tcPr>
            <w:tcW w:w="705" w:type="pct"/>
            <w:shd w:val="clear" w:color="auto" w:fill="BFBFBF" w:themeFill="background1" w:themeFillShade="BF"/>
          </w:tcPr>
          <w:p w14:paraId="0B8A0695" w14:textId="77777777" w:rsidR="009A5000" w:rsidRPr="00080200" w:rsidRDefault="009A5000" w:rsidP="00B027D1">
            <w:pPr>
              <w:pStyle w:val="In-tableHeading"/>
            </w:pPr>
            <w:r w:rsidRPr="00080200">
              <w:t>Trial type or estimate</w:t>
            </w:r>
          </w:p>
        </w:tc>
        <w:tc>
          <w:tcPr>
            <w:tcW w:w="629" w:type="pct"/>
            <w:shd w:val="clear" w:color="auto" w:fill="BFBFBF" w:themeFill="background1" w:themeFillShade="BF"/>
          </w:tcPr>
          <w:p w14:paraId="492B3D2C" w14:textId="77777777" w:rsidR="009A5000" w:rsidRPr="00080200" w:rsidRDefault="009A5000" w:rsidP="00B027D1">
            <w:pPr>
              <w:pStyle w:val="In-tableHeading"/>
              <w:jc w:val="center"/>
            </w:pPr>
            <w:r w:rsidRPr="00080200">
              <w:t>Trial ID</w:t>
            </w:r>
          </w:p>
        </w:tc>
        <w:tc>
          <w:tcPr>
            <w:tcW w:w="835" w:type="pct"/>
            <w:shd w:val="clear" w:color="auto" w:fill="BFBFBF" w:themeFill="background1" w:themeFillShade="BF"/>
          </w:tcPr>
          <w:p w14:paraId="1AD69FEC" w14:textId="77777777" w:rsidR="009A5000" w:rsidRDefault="009A5000" w:rsidP="00B027D1">
            <w:pPr>
              <w:pStyle w:val="In-tableHeading"/>
              <w:jc w:val="center"/>
            </w:pPr>
            <w:r w:rsidRPr="00080200">
              <w:t>DMARD</w:t>
            </w:r>
          </w:p>
          <w:p w14:paraId="36C1D988" w14:textId="77777777" w:rsidR="009A5000" w:rsidRPr="00080200" w:rsidRDefault="009A5000" w:rsidP="00B027D1">
            <w:pPr>
              <w:pStyle w:val="In-tableHeading"/>
              <w:jc w:val="center"/>
            </w:pPr>
            <w:r w:rsidRPr="00080200">
              <w:t>n/N (%)</w:t>
            </w:r>
          </w:p>
        </w:tc>
        <w:tc>
          <w:tcPr>
            <w:tcW w:w="817" w:type="pct"/>
            <w:shd w:val="clear" w:color="auto" w:fill="BFBFBF" w:themeFill="background1" w:themeFillShade="BF"/>
          </w:tcPr>
          <w:p w14:paraId="45C3041B" w14:textId="77777777" w:rsidR="009A5000" w:rsidRDefault="009A5000" w:rsidP="00B027D1">
            <w:pPr>
              <w:pStyle w:val="In-tableHeading"/>
              <w:jc w:val="center"/>
            </w:pPr>
            <w:r w:rsidRPr="00080200">
              <w:t>PBO</w:t>
            </w:r>
          </w:p>
          <w:p w14:paraId="65816782" w14:textId="77777777" w:rsidR="009A5000" w:rsidRPr="00080200" w:rsidRDefault="009A5000" w:rsidP="00B027D1">
            <w:pPr>
              <w:pStyle w:val="In-tableHeading"/>
              <w:jc w:val="center"/>
            </w:pPr>
            <w:r w:rsidRPr="00080200">
              <w:t>n/N (%)</w:t>
            </w:r>
          </w:p>
        </w:tc>
        <w:tc>
          <w:tcPr>
            <w:tcW w:w="1021" w:type="pct"/>
            <w:shd w:val="clear" w:color="auto" w:fill="BFBFBF" w:themeFill="background1" w:themeFillShade="BF"/>
          </w:tcPr>
          <w:p w14:paraId="306CCF0D" w14:textId="77777777" w:rsidR="009A5000" w:rsidRPr="00080200" w:rsidRDefault="009A5000" w:rsidP="00B027D1">
            <w:pPr>
              <w:pStyle w:val="In-tableHeading"/>
              <w:jc w:val="center"/>
            </w:pPr>
            <w:r w:rsidRPr="00080200">
              <w:t>OR</w:t>
            </w:r>
            <w:r>
              <w:t xml:space="preserve"> [95% CI]</w:t>
            </w:r>
            <w:r w:rsidRPr="00080200">
              <w:rPr>
                <w:vertAlign w:val="superscript"/>
              </w:rPr>
              <w:t>a</w:t>
            </w:r>
            <w:r w:rsidRPr="00080200">
              <w:br/>
            </w:r>
          </w:p>
        </w:tc>
        <w:tc>
          <w:tcPr>
            <w:tcW w:w="993" w:type="pct"/>
            <w:shd w:val="clear" w:color="auto" w:fill="BFBFBF" w:themeFill="background1" w:themeFillShade="BF"/>
          </w:tcPr>
          <w:p w14:paraId="595003FB" w14:textId="77777777" w:rsidR="009A5000" w:rsidRPr="00080200" w:rsidRDefault="009A5000" w:rsidP="00B027D1">
            <w:pPr>
              <w:pStyle w:val="In-tableHeading"/>
              <w:jc w:val="center"/>
            </w:pPr>
            <w:r w:rsidRPr="00080200">
              <w:t>RD</w:t>
            </w:r>
            <w:r>
              <w:t xml:space="preserve"> [95% CI]</w:t>
            </w:r>
            <w:r w:rsidRPr="00080200">
              <w:rPr>
                <w:vertAlign w:val="superscript"/>
              </w:rPr>
              <w:t>b</w:t>
            </w:r>
            <w:r w:rsidRPr="00080200">
              <w:br/>
            </w:r>
          </w:p>
        </w:tc>
      </w:tr>
      <w:tr w:rsidR="006F33F3" w:rsidRPr="00080200" w14:paraId="054C7EA1" w14:textId="77777777" w:rsidTr="006F33F3">
        <w:tc>
          <w:tcPr>
            <w:tcW w:w="5000" w:type="pct"/>
            <w:gridSpan w:val="6"/>
            <w:shd w:val="clear" w:color="auto" w:fill="D9D9D9" w:themeFill="background1" w:themeFillShade="D9"/>
          </w:tcPr>
          <w:p w14:paraId="3626B076" w14:textId="650457DA" w:rsidR="006F33F3" w:rsidRPr="00080200" w:rsidRDefault="006F33F3" w:rsidP="00B027D1">
            <w:pPr>
              <w:pStyle w:val="TableText0"/>
              <w:keepNext w:val="0"/>
              <w:widowControl w:val="0"/>
            </w:pPr>
            <w:r w:rsidRPr="006F146E">
              <w:rPr>
                <w:b/>
              </w:rPr>
              <w:t xml:space="preserve">Clinical </w:t>
            </w:r>
            <w:r w:rsidRPr="00E4533A">
              <w:rPr>
                <w:b/>
                <w:bCs w:val="0"/>
              </w:rPr>
              <w:t>remission (CDAI &lt; 150)</w:t>
            </w:r>
          </w:p>
        </w:tc>
      </w:tr>
      <w:tr w:rsidR="009A5000" w:rsidRPr="00080200" w14:paraId="63CC4C2D" w14:textId="77777777" w:rsidTr="00B027D1">
        <w:tc>
          <w:tcPr>
            <w:tcW w:w="705" w:type="pct"/>
            <w:vMerge w:val="restart"/>
          </w:tcPr>
          <w:p w14:paraId="62A29F35" w14:textId="77777777" w:rsidR="009A5000" w:rsidRPr="00080200" w:rsidRDefault="009A5000" w:rsidP="00B027D1">
            <w:pPr>
              <w:pStyle w:val="TableText0"/>
              <w:keepNext w:val="0"/>
              <w:widowControl w:val="0"/>
            </w:pPr>
            <w:r w:rsidRPr="00080200">
              <w:t>RISA vs PBO</w:t>
            </w:r>
          </w:p>
        </w:tc>
        <w:tc>
          <w:tcPr>
            <w:tcW w:w="629" w:type="pct"/>
          </w:tcPr>
          <w:p w14:paraId="13C2A15A" w14:textId="77777777" w:rsidR="009A5000" w:rsidRPr="00080200" w:rsidRDefault="009A5000" w:rsidP="00B027D1">
            <w:pPr>
              <w:pStyle w:val="TableText0"/>
              <w:keepNext w:val="0"/>
              <w:widowControl w:val="0"/>
              <w:jc w:val="center"/>
            </w:pPr>
            <w:r w:rsidRPr="00080200">
              <w:t>M15-993</w:t>
            </w:r>
          </w:p>
        </w:tc>
        <w:tc>
          <w:tcPr>
            <w:tcW w:w="835" w:type="pct"/>
          </w:tcPr>
          <w:p w14:paraId="2CB4BF28" w14:textId="77777777" w:rsidR="009A5000" w:rsidRPr="00080200" w:rsidRDefault="009A5000" w:rsidP="00B027D1">
            <w:pPr>
              <w:pStyle w:val="TableText0"/>
              <w:keepNext w:val="0"/>
              <w:widowControl w:val="0"/>
              <w:jc w:val="center"/>
            </w:pPr>
            <w:r w:rsidRPr="00080200">
              <w:t>15/41 (36.6)</w:t>
            </w:r>
          </w:p>
        </w:tc>
        <w:tc>
          <w:tcPr>
            <w:tcW w:w="817" w:type="pct"/>
          </w:tcPr>
          <w:p w14:paraId="2D16239F" w14:textId="77777777" w:rsidR="009A5000" w:rsidRPr="00080200" w:rsidRDefault="009A5000" w:rsidP="00B027D1">
            <w:pPr>
              <w:pStyle w:val="TableText0"/>
              <w:keepNext w:val="0"/>
              <w:widowControl w:val="0"/>
              <w:jc w:val="center"/>
            </w:pPr>
            <w:r w:rsidRPr="00080200">
              <w:t>6/39 (15.4)</w:t>
            </w:r>
          </w:p>
        </w:tc>
        <w:tc>
          <w:tcPr>
            <w:tcW w:w="1021" w:type="pct"/>
          </w:tcPr>
          <w:p w14:paraId="4561462E" w14:textId="77777777" w:rsidR="009A5000" w:rsidRPr="008F0465" w:rsidRDefault="009A5000" w:rsidP="00B027D1">
            <w:pPr>
              <w:pStyle w:val="TableText0"/>
              <w:keepNext w:val="0"/>
              <w:widowControl w:val="0"/>
              <w:jc w:val="center"/>
              <w:rPr>
                <w:b/>
              </w:rPr>
            </w:pPr>
            <w:r w:rsidRPr="008F0465">
              <w:rPr>
                <w:b/>
              </w:rPr>
              <w:t>3.17 [1.08, 9.32]</w:t>
            </w:r>
          </w:p>
        </w:tc>
        <w:tc>
          <w:tcPr>
            <w:tcW w:w="993" w:type="pct"/>
          </w:tcPr>
          <w:p w14:paraId="3FCE2E20" w14:textId="77777777" w:rsidR="009A5000" w:rsidRPr="008F0465" w:rsidRDefault="009A5000" w:rsidP="00B027D1">
            <w:pPr>
              <w:pStyle w:val="TableText0"/>
              <w:keepNext w:val="0"/>
              <w:widowControl w:val="0"/>
              <w:jc w:val="center"/>
              <w:rPr>
                <w:b/>
              </w:rPr>
            </w:pPr>
            <w:r w:rsidRPr="008F0465">
              <w:rPr>
                <w:b/>
              </w:rPr>
              <w:t>0.21 [0.03, 0.40]</w:t>
            </w:r>
          </w:p>
        </w:tc>
      </w:tr>
      <w:tr w:rsidR="009A5000" w:rsidRPr="00080200" w14:paraId="13EF9ADC" w14:textId="77777777" w:rsidTr="00B027D1">
        <w:tc>
          <w:tcPr>
            <w:tcW w:w="705" w:type="pct"/>
            <w:vMerge/>
          </w:tcPr>
          <w:p w14:paraId="2F935049" w14:textId="77777777" w:rsidR="009A5000" w:rsidRPr="00080200" w:rsidRDefault="009A5000" w:rsidP="00B027D1">
            <w:pPr>
              <w:pStyle w:val="TableText0"/>
              <w:keepNext w:val="0"/>
              <w:widowControl w:val="0"/>
            </w:pPr>
          </w:p>
        </w:tc>
        <w:tc>
          <w:tcPr>
            <w:tcW w:w="629" w:type="pct"/>
          </w:tcPr>
          <w:p w14:paraId="417BD69D" w14:textId="77777777" w:rsidR="009A5000" w:rsidRPr="00080200" w:rsidRDefault="009A5000" w:rsidP="00B027D1">
            <w:pPr>
              <w:pStyle w:val="TableText0"/>
              <w:keepNext w:val="0"/>
              <w:widowControl w:val="0"/>
              <w:jc w:val="center"/>
            </w:pPr>
            <w:r w:rsidRPr="00080200">
              <w:t>ADVANCE</w:t>
            </w:r>
          </w:p>
        </w:tc>
        <w:tc>
          <w:tcPr>
            <w:tcW w:w="835" w:type="pct"/>
          </w:tcPr>
          <w:p w14:paraId="46E5138F" w14:textId="77777777" w:rsidR="009A5000" w:rsidRPr="00080200" w:rsidRDefault="009A5000" w:rsidP="00B027D1">
            <w:pPr>
              <w:pStyle w:val="TableText0"/>
              <w:keepNext w:val="0"/>
              <w:widowControl w:val="0"/>
              <w:jc w:val="center"/>
            </w:pPr>
            <w:r w:rsidRPr="00080200">
              <w:t>152/336 (45.2)</w:t>
            </w:r>
          </w:p>
        </w:tc>
        <w:tc>
          <w:tcPr>
            <w:tcW w:w="817" w:type="pct"/>
          </w:tcPr>
          <w:p w14:paraId="5D2C3C93" w14:textId="77777777" w:rsidR="009A5000" w:rsidRPr="00080200" w:rsidRDefault="009A5000" w:rsidP="00B027D1">
            <w:pPr>
              <w:pStyle w:val="TableText0"/>
              <w:keepNext w:val="0"/>
              <w:widowControl w:val="0"/>
              <w:jc w:val="center"/>
            </w:pPr>
            <w:r w:rsidRPr="00080200">
              <w:t>43/175 (24.6)</w:t>
            </w:r>
          </w:p>
        </w:tc>
        <w:tc>
          <w:tcPr>
            <w:tcW w:w="1021" w:type="pct"/>
          </w:tcPr>
          <w:p w14:paraId="051CB543" w14:textId="77777777" w:rsidR="009A5000" w:rsidRPr="008F0465" w:rsidRDefault="009A5000" w:rsidP="00B027D1">
            <w:pPr>
              <w:pStyle w:val="TableText0"/>
              <w:keepNext w:val="0"/>
              <w:widowControl w:val="0"/>
              <w:jc w:val="center"/>
              <w:rPr>
                <w:b/>
              </w:rPr>
            </w:pPr>
            <w:r w:rsidRPr="008F0465">
              <w:rPr>
                <w:b/>
              </w:rPr>
              <w:t>2.54 [1.69, 3.80]</w:t>
            </w:r>
          </w:p>
        </w:tc>
        <w:tc>
          <w:tcPr>
            <w:tcW w:w="993" w:type="pct"/>
          </w:tcPr>
          <w:p w14:paraId="3962875C" w14:textId="77777777" w:rsidR="009A5000" w:rsidRPr="008F0465" w:rsidRDefault="009A5000" w:rsidP="00B027D1">
            <w:pPr>
              <w:pStyle w:val="TableText0"/>
              <w:keepNext w:val="0"/>
              <w:widowControl w:val="0"/>
              <w:jc w:val="center"/>
              <w:rPr>
                <w:b/>
              </w:rPr>
            </w:pPr>
            <w:r w:rsidRPr="008F0465">
              <w:rPr>
                <w:b/>
              </w:rPr>
              <w:t>0.21 [0.12, 0.29]</w:t>
            </w:r>
          </w:p>
        </w:tc>
      </w:tr>
      <w:tr w:rsidR="009A5000" w:rsidRPr="00080200" w14:paraId="5F0432D1" w14:textId="77777777" w:rsidTr="00B027D1">
        <w:tc>
          <w:tcPr>
            <w:tcW w:w="705" w:type="pct"/>
            <w:vMerge/>
          </w:tcPr>
          <w:p w14:paraId="6A149381" w14:textId="77777777" w:rsidR="009A5000" w:rsidRPr="00080200" w:rsidRDefault="009A5000" w:rsidP="00B027D1">
            <w:pPr>
              <w:pStyle w:val="TableText0"/>
              <w:keepNext w:val="0"/>
              <w:widowControl w:val="0"/>
            </w:pPr>
          </w:p>
        </w:tc>
        <w:tc>
          <w:tcPr>
            <w:tcW w:w="629" w:type="pct"/>
          </w:tcPr>
          <w:p w14:paraId="326BB4CC" w14:textId="77777777" w:rsidR="009A5000" w:rsidRPr="00080200" w:rsidRDefault="009A5000" w:rsidP="00B027D1">
            <w:pPr>
              <w:pStyle w:val="TableText0"/>
              <w:keepNext w:val="0"/>
              <w:widowControl w:val="0"/>
              <w:jc w:val="center"/>
            </w:pPr>
            <w:r w:rsidRPr="00080200">
              <w:t>MOTIVATE</w:t>
            </w:r>
          </w:p>
        </w:tc>
        <w:tc>
          <w:tcPr>
            <w:tcW w:w="835" w:type="pct"/>
          </w:tcPr>
          <w:p w14:paraId="6903D664" w14:textId="77777777" w:rsidR="009A5000" w:rsidRPr="00080200" w:rsidRDefault="009A5000" w:rsidP="00B027D1">
            <w:pPr>
              <w:pStyle w:val="TableText0"/>
              <w:keepNext w:val="0"/>
              <w:widowControl w:val="0"/>
              <w:jc w:val="center"/>
            </w:pPr>
            <w:r w:rsidRPr="00080200">
              <w:t>80/191 (41.9)</w:t>
            </w:r>
          </w:p>
        </w:tc>
        <w:tc>
          <w:tcPr>
            <w:tcW w:w="817" w:type="pct"/>
          </w:tcPr>
          <w:p w14:paraId="5344A3D4" w14:textId="77777777" w:rsidR="009A5000" w:rsidRPr="00080200" w:rsidRDefault="009A5000" w:rsidP="00B027D1">
            <w:pPr>
              <w:pStyle w:val="TableText0"/>
              <w:keepNext w:val="0"/>
              <w:widowControl w:val="0"/>
              <w:jc w:val="center"/>
            </w:pPr>
            <w:r w:rsidRPr="00080200">
              <w:t>37/187 (19.8)</w:t>
            </w:r>
          </w:p>
        </w:tc>
        <w:tc>
          <w:tcPr>
            <w:tcW w:w="1021" w:type="pct"/>
          </w:tcPr>
          <w:p w14:paraId="0B4DCC44" w14:textId="77777777" w:rsidR="009A5000" w:rsidRPr="008F0465" w:rsidRDefault="009A5000" w:rsidP="00B027D1">
            <w:pPr>
              <w:pStyle w:val="TableText0"/>
              <w:keepNext w:val="0"/>
              <w:widowControl w:val="0"/>
              <w:jc w:val="center"/>
              <w:rPr>
                <w:b/>
              </w:rPr>
            </w:pPr>
            <w:r w:rsidRPr="008F0465">
              <w:rPr>
                <w:b/>
              </w:rPr>
              <w:t>2.92 [1.84, 4.63]</w:t>
            </w:r>
          </w:p>
        </w:tc>
        <w:tc>
          <w:tcPr>
            <w:tcW w:w="993" w:type="pct"/>
          </w:tcPr>
          <w:p w14:paraId="42A214C9" w14:textId="77777777" w:rsidR="009A5000" w:rsidRPr="008F0465" w:rsidRDefault="009A5000" w:rsidP="00B027D1">
            <w:pPr>
              <w:pStyle w:val="TableText0"/>
              <w:keepNext w:val="0"/>
              <w:widowControl w:val="0"/>
              <w:jc w:val="center"/>
              <w:rPr>
                <w:b/>
              </w:rPr>
            </w:pPr>
            <w:r w:rsidRPr="008F0465">
              <w:rPr>
                <w:b/>
              </w:rPr>
              <w:t>0.22 [0.13, 0.31]</w:t>
            </w:r>
          </w:p>
        </w:tc>
      </w:tr>
      <w:tr w:rsidR="009A5000" w:rsidRPr="00080200" w14:paraId="10B9A465" w14:textId="77777777" w:rsidTr="00B027D1">
        <w:tc>
          <w:tcPr>
            <w:tcW w:w="705" w:type="pct"/>
            <w:vMerge/>
          </w:tcPr>
          <w:p w14:paraId="3F1E66EC" w14:textId="77777777" w:rsidR="009A5000" w:rsidRPr="00080200" w:rsidRDefault="009A5000" w:rsidP="00B027D1">
            <w:pPr>
              <w:pStyle w:val="TableText0"/>
              <w:keepNext w:val="0"/>
              <w:widowControl w:val="0"/>
            </w:pPr>
          </w:p>
        </w:tc>
        <w:tc>
          <w:tcPr>
            <w:tcW w:w="629" w:type="pct"/>
          </w:tcPr>
          <w:p w14:paraId="0C5F5443" w14:textId="77777777" w:rsidR="009A5000" w:rsidRPr="00080200" w:rsidRDefault="009A5000" w:rsidP="00B027D1">
            <w:pPr>
              <w:pStyle w:val="TableText0"/>
              <w:keepNext w:val="0"/>
              <w:widowControl w:val="0"/>
              <w:jc w:val="center"/>
            </w:pPr>
            <w:r w:rsidRPr="00080200">
              <w:t>Pooled</w:t>
            </w:r>
          </w:p>
        </w:tc>
        <w:tc>
          <w:tcPr>
            <w:tcW w:w="835" w:type="pct"/>
          </w:tcPr>
          <w:p w14:paraId="403050BA" w14:textId="77777777" w:rsidR="009A5000" w:rsidRPr="00080200" w:rsidRDefault="009A5000" w:rsidP="00B027D1">
            <w:pPr>
              <w:pStyle w:val="TableText0"/>
              <w:keepNext w:val="0"/>
              <w:widowControl w:val="0"/>
              <w:jc w:val="center"/>
            </w:pPr>
            <w:r w:rsidRPr="00080200">
              <w:t>247/568 (43.5)</w:t>
            </w:r>
          </w:p>
        </w:tc>
        <w:tc>
          <w:tcPr>
            <w:tcW w:w="817" w:type="pct"/>
          </w:tcPr>
          <w:p w14:paraId="1895C6DD" w14:textId="77777777" w:rsidR="009A5000" w:rsidRPr="00080200" w:rsidRDefault="009A5000" w:rsidP="00B027D1">
            <w:pPr>
              <w:pStyle w:val="TableText0"/>
              <w:keepNext w:val="0"/>
              <w:widowControl w:val="0"/>
              <w:jc w:val="center"/>
            </w:pPr>
            <w:r w:rsidRPr="00080200">
              <w:t>86/401 (21.4)</w:t>
            </w:r>
          </w:p>
        </w:tc>
        <w:tc>
          <w:tcPr>
            <w:tcW w:w="1021" w:type="pct"/>
          </w:tcPr>
          <w:p w14:paraId="44FAD737" w14:textId="77777777" w:rsidR="009A5000" w:rsidRPr="008F0465" w:rsidRDefault="009A5000" w:rsidP="00B027D1">
            <w:pPr>
              <w:pStyle w:val="TableText0"/>
              <w:keepNext w:val="0"/>
              <w:widowControl w:val="0"/>
              <w:jc w:val="center"/>
              <w:rPr>
                <w:b/>
              </w:rPr>
            </w:pPr>
            <w:r w:rsidRPr="008F0465">
              <w:rPr>
                <w:b/>
              </w:rPr>
              <w:t>2.73 [2.04, 3.66]</w:t>
            </w:r>
          </w:p>
          <w:p w14:paraId="661F2508" w14:textId="77777777" w:rsidR="009A5000" w:rsidRPr="008F0465" w:rsidRDefault="009A5000" w:rsidP="00B027D1">
            <w:pPr>
              <w:pStyle w:val="TableText0"/>
              <w:keepNext w:val="0"/>
              <w:widowControl w:val="0"/>
              <w:jc w:val="center"/>
              <w:rPr>
                <w:b/>
              </w:rPr>
            </w:pPr>
            <w:r w:rsidRPr="008F0465">
              <w:rPr>
                <w:b/>
              </w:rPr>
              <w:t>(p &lt; 0.0001)</w:t>
            </w:r>
          </w:p>
        </w:tc>
        <w:tc>
          <w:tcPr>
            <w:tcW w:w="993" w:type="pct"/>
          </w:tcPr>
          <w:p w14:paraId="53DC8BC2" w14:textId="77777777" w:rsidR="009A5000" w:rsidRPr="008F0465" w:rsidRDefault="009A5000" w:rsidP="00B027D1">
            <w:pPr>
              <w:pStyle w:val="TableText0"/>
              <w:keepNext w:val="0"/>
              <w:widowControl w:val="0"/>
              <w:jc w:val="center"/>
              <w:rPr>
                <w:b/>
              </w:rPr>
            </w:pPr>
            <w:r w:rsidRPr="008F0465">
              <w:rPr>
                <w:b/>
              </w:rPr>
              <w:t>0.21 [0.16, 0.27]</w:t>
            </w:r>
          </w:p>
          <w:p w14:paraId="4EEA61E0" w14:textId="77777777" w:rsidR="009A5000" w:rsidRPr="008F0465" w:rsidRDefault="009A5000" w:rsidP="00B027D1">
            <w:pPr>
              <w:pStyle w:val="TableText0"/>
              <w:keepNext w:val="0"/>
              <w:widowControl w:val="0"/>
              <w:jc w:val="center"/>
              <w:rPr>
                <w:b/>
              </w:rPr>
            </w:pPr>
            <w:r w:rsidRPr="008F0465">
              <w:rPr>
                <w:b/>
              </w:rPr>
              <w:t>(p &lt; 0.0001)</w:t>
            </w:r>
          </w:p>
        </w:tc>
      </w:tr>
      <w:tr w:rsidR="009A5000" w:rsidRPr="00080200" w14:paraId="7A775FB5" w14:textId="77777777" w:rsidTr="00B027D1">
        <w:tc>
          <w:tcPr>
            <w:tcW w:w="705" w:type="pct"/>
            <w:vMerge w:val="restart"/>
          </w:tcPr>
          <w:p w14:paraId="3CE47E40" w14:textId="77777777" w:rsidR="009A5000" w:rsidRPr="00080200" w:rsidRDefault="009A5000" w:rsidP="00B027D1">
            <w:pPr>
              <w:pStyle w:val="TableText0"/>
              <w:keepNext w:val="0"/>
              <w:widowControl w:val="0"/>
            </w:pPr>
            <w:r w:rsidRPr="00080200">
              <w:t>USTE vs PBO</w:t>
            </w:r>
          </w:p>
        </w:tc>
        <w:tc>
          <w:tcPr>
            <w:tcW w:w="629" w:type="pct"/>
          </w:tcPr>
          <w:p w14:paraId="24CC22A3" w14:textId="77777777" w:rsidR="009A5000" w:rsidRPr="00080200" w:rsidRDefault="009A5000" w:rsidP="00B027D1">
            <w:pPr>
              <w:pStyle w:val="TableText0"/>
              <w:keepNext w:val="0"/>
              <w:widowControl w:val="0"/>
              <w:jc w:val="center"/>
            </w:pPr>
            <w:r w:rsidRPr="00080200">
              <w:t>UNITI I</w:t>
            </w:r>
          </w:p>
        </w:tc>
        <w:tc>
          <w:tcPr>
            <w:tcW w:w="835" w:type="pct"/>
          </w:tcPr>
          <w:p w14:paraId="46598255" w14:textId="77777777" w:rsidR="009A5000" w:rsidRPr="00080200" w:rsidRDefault="009A5000" w:rsidP="00B027D1">
            <w:pPr>
              <w:pStyle w:val="TableText0"/>
              <w:keepNext w:val="0"/>
              <w:widowControl w:val="0"/>
              <w:jc w:val="center"/>
            </w:pPr>
            <w:r w:rsidRPr="00080200">
              <w:t>52/249 (20.9)</w:t>
            </w:r>
          </w:p>
        </w:tc>
        <w:tc>
          <w:tcPr>
            <w:tcW w:w="817" w:type="pct"/>
          </w:tcPr>
          <w:p w14:paraId="72E9DCC7" w14:textId="77777777" w:rsidR="009A5000" w:rsidRPr="00080200" w:rsidRDefault="009A5000" w:rsidP="00B027D1">
            <w:pPr>
              <w:pStyle w:val="TableText0"/>
              <w:keepNext w:val="0"/>
              <w:widowControl w:val="0"/>
              <w:jc w:val="center"/>
            </w:pPr>
            <w:r w:rsidRPr="00080200">
              <w:t>18/247 (7.3)</w:t>
            </w:r>
          </w:p>
        </w:tc>
        <w:tc>
          <w:tcPr>
            <w:tcW w:w="1021" w:type="pct"/>
          </w:tcPr>
          <w:p w14:paraId="10C7BFB3" w14:textId="77777777" w:rsidR="009A5000" w:rsidRPr="008F0465" w:rsidRDefault="009A5000" w:rsidP="00B027D1">
            <w:pPr>
              <w:pStyle w:val="TableText0"/>
              <w:keepNext w:val="0"/>
              <w:widowControl w:val="0"/>
              <w:jc w:val="center"/>
              <w:rPr>
                <w:b/>
              </w:rPr>
            </w:pPr>
            <w:r w:rsidRPr="008F0465">
              <w:rPr>
                <w:b/>
              </w:rPr>
              <w:t>3.36 [1.90, 5.93]</w:t>
            </w:r>
          </w:p>
        </w:tc>
        <w:tc>
          <w:tcPr>
            <w:tcW w:w="993" w:type="pct"/>
          </w:tcPr>
          <w:p w14:paraId="5A11DDD0" w14:textId="77777777" w:rsidR="009A5000" w:rsidRPr="008F0465" w:rsidRDefault="009A5000" w:rsidP="00B027D1">
            <w:pPr>
              <w:pStyle w:val="TableText0"/>
              <w:keepNext w:val="0"/>
              <w:widowControl w:val="0"/>
              <w:jc w:val="center"/>
              <w:rPr>
                <w:b/>
              </w:rPr>
            </w:pPr>
            <w:r w:rsidRPr="008F0465">
              <w:rPr>
                <w:b/>
              </w:rPr>
              <w:t>0.14 [0.08, 0.20]</w:t>
            </w:r>
          </w:p>
        </w:tc>
      </w:tr>
      <w:tr w:rsidR="009A5000" w:rsidRPr="00080200" w14:paraId="6CF6B0FF" w14:textId="77777777" w:rsidTr="00B027D1">
        <w:tc>
          <w:tcPr>
            <w:tcW w:w="705" w:type="pct"/>
            <w:vMerge/>
          </w:tcPr>
          <w:p w14:paraId="509F9937" w14:textId="77777777" w:rsidR="009A5000" w:rsidRPr="00080200" w:rsidRDefault="009A5000" w:rsidP="00B027D1">
            <w:pPr>
              <w:pStyle w:val="TableText0"/>
              <w:keepNext w:val="0"/>
              <w:widowControl w:val="0"/>
            </w:pPr>
          </w:p>
        </w:tc>
        <w:tc>
          <w:tcPr>
            <w:tcW w:w="629" w:type="pct"/>
          </w:tcPr>
          <w:p w14:paraId="15C5B391" w14:textId="77777777" w:rsidR="009A5000" w:rsidRPr="00080200" w:rsidRDefault="009A5000" w:rsidP="00B027D1">
            <w:pPr>
              <w:pStyle w:val="TableText0"/>
              <w:keepNext w:val="0"/>
              <w:widowControl w:val="0"/>
              <w:jc w:val="center"/>
            </w:pPr>
            <w:r w:rsidRPr="00080200">
              <w:t>UNITI II</w:t>
            </w:r>
          </w:p>
        </w:tc>
        <w:tc>
          <w:tcPr>
            <w:tcW w:w="835" w:type="pct"/>
          </w:tcPr>
          <w:p w14:paraId="5C867A52" w14:textId="77777777" w:rsidR="009A5000" w:rsidRPr="00080200" w:rsidRDefault="009A5000" w:rsidP="00B027D1">
            <w:pPr>
              <w:pStyle w:val="TableText0"/>
              <w:keepNext w:val="0"/>
              <w:widowControl w:val="0"/>
              <w:jc w:val="center"/>
            </w:pPr>
            <w:r w:rsidRPr="00080200">
              <w:t>84/209 (40.2)</w:t>
            </w:r>
          </w:p>
        </w:tc>
        <w:tc>
          <w:tcPr>
            <w:tcW w:w="817" w:type="pct"/>
          </w:tcPr>
          <w:p w14:paraId="2E0F81EB" w14:textId="77777777" w:rsidR="009A5000" w:rsidRPr="00080200" w:rsidRDefault="009A5000" w:rsidP="00B027D1">
            <w:pPr>
              <w:pStyle w:val="TableText0"/>
              <w:keepNext w:val="0"/>
              <w:widowControl w:val="0"/>
              <w:jc w:val="center"/>
            </w:pPr>
            <w:r w:rsidRPr="00080200">
              <w:t>41/210 (19.5)</w:t>
            </w:r>
          </w:p>
        </w:tc>
        <w:tc>
          <w:tcPr>
            <w:tcW w:w="1021" w:type="pct"/>
          </w:tcPr>
          <w:p w14:paraId="23F7DDF4" w14:textId="77777777" w:rsidR="009A5000" w:rsidRPr="008F0465" w:rsidRDefault="009A5000" w:rsidP="00B027D1">
            <w:pPr>
              <w:pStyle w:val="TableText0"/>
              <w:keepNext w:val="0"/>
              <w:widowControl w:val="0"/>
              <w:jc w:val="center"/>
              <w:rPr>
                <w:b/>
              </w:rPr>
            </w:pPr>
            <w:r w:rsidRPr="008F0465">
              <w:rPr>
                <w:b/>
              </w:rPr>
              <w:t>2.77 [1.79, 4.30]</w:t>
            </w:r>
          </w:p>
        </w:tc>
        <w:tc>
          <w:tcPr>
            <w:tcW w:w="993" w:type="pct"/>
          </w:tcPr>
          <w:p w14:paraId="770A9B5A" w14:textId="77777777" w:rsidR="009A5000" w:rsidRPr="008F0465" w:rsidRDefault="009A5000" w:rsidP="00B027D1">
            <w:pPr>
              <w:pStyle w:val="TableText0"/>
              <w:keepNext w:val="0"/>
              <w:widowControl w:val="0"/>
              <w:jc w:val="center"/>
              <w:rPr>
                <w:b/>
              </w:rPr>
            </w:pPr>
            <w:r w:rsidRPr="008F0465">
              <w:rPr>
                <w:b/>
              </w:rPr>
              <w:t>0.21 [0.12, 0.29]</w:t>
            </w:r>
          </w:p>
        </w:tc>
      </w:tr>
      <w:tr w:rsidR="009A5000" w:rsidRPr="00080200" w14:paraId="598A1978" w14:textId="77777777" w:rsidTr="00B027D1">
        <w:tc>
          <w:tcPr>
            <w:tcW w:w="705" w:type="pct"/>
            <w:vMerge/>
          </w:tcPr>
          <w:p w14:paraId="4EF116A7" w14:textId="77777777" w:rsidR="009A5000" w:rsidRPr="00080200" w:rsidRDefault="009A5000" w:rsidP="00B027D1">
            <w:pPr>
              <w:pStyle w:val="TableText0"/>
              <w:keepNext w:val="0"/>
              <w:widowControl w:val="0"/>
            </w:pPr>
          </w:p>
        </w:tc>
        <w:tc>
          <w:tcPr>
            <w:tcW w:w="629" w:type="pct"/>
          </w:tcPr>
          <w:p w14:paraId="11FEF3CA" w14:textId="77777777" w:rsidR="009A5000" w:rsidRPr="00080200" w:rsidRDefault="009A5000" w:rsidP="00B027D1">
            <w:pPr>
              <w:pStyle w:val="TableText0"/>
              <w:keepNext w:val="0"/>
              <w:widowControl w:val="0"/>
              <w:jc w:val="center"/>
            </w:pPr>
            <w:r w:rsidRPr="00080200">
              <w:t>Pooled</w:t>
            </w:r>
          </w:p>
        </w:tc>
        <w:tc>
          <w:tcPr>
            <w:tcW w:w="835" w:type="pct"/>
          </w:tcPr>
          <w:p w14:paraId="7CDB4E2B" w14:textId="77777777" w:rsidR="009A5000" w:rsidRPr="00080200" w:rsidRDefault="009A5000" w:rsidP="00B027D1">
            <w:pPr>
              <w:pStyle w:val="TableText0"/>
              <w:keepNext w:val="0"/>
              <w:widowControl w:val="0"/>
              <w:jc w:val="center"/>
            </w:pPr>
            <w:r w:rsidRPr="00080200">
              <w:t>136/458 (29.7)</w:t>
            </w:r>
          </w:p>
        </w:tc>
        <w:tc>
          <w:tcPr>
            <w:tcW w:w="817" w:type="pct"/>
          </w:tcPr>
          <w:p w14:paraId="0452B3E5" w14:textId="77777777" w:rsidR="009A5000" w:rsidRPr="00080200" w:rsidRDefault="009A5000" w:rsidP="00B027D1">
            <w:pPr>
              <w:pStyle w:val="TableText0"/>
              <w:keepNext w:val="0"/>
              <w:widowControl w:val="0"/>
              <w:jc w:val="center"/>
            </w:pPr>
            <w:r w:rsidRPr="00080200">
              <w:t>59/457 (12.9)</w:t>
            </w:r>
          </w:p>
        </w:tc>
        <w:tc>
          <w:tcPr>
            <w:tcW w:w="1021" w:type="pct"/>
          </w:tcPr>
          <w:p w14:paraId="73CC1DCC" w14:textId="77777777" w:rsidR="009A5000" w:rsidRPr="008F0465" w:rsidRDefault="009A5000" w:rsidP="00B027D1">
            <w:pPr>
              <w:pStyle w:val="TableText0"/>
              <w:keepNext w:val="0"/>
              <w:widowControl w:val="0"/>
              <w:jc w:val="center"/>
              <w:rPr>
                <w:b/>
              </w:rPr>
            </w:pPr>
            <w:r w:rsidRPr="008F0465">
              <w:rPr>
                <w:b/>
              </w:rPr>
              <w:t>2.98 [2.10, 4.21]</w:t>
            </w:r>
          </w:p>
          <w:p w14:paraId="78A0117E" w14:textId="77777777" w:rsidR="009A5000" w:rsidRPr="008F0465" w:rsidRDefault="009A5000" w:rsidP="00B027D1">
            <w:pPr>
              <w:pStyle w:val="TableText0"/>
              <w:keepNext w:val="0"/>
              <w:widowControl w:val="0"/>
              <w:jc w:val="center"/>
              <w:rPr>
                <w:b/>
              </w:rPr>
            </w:pPr>
            <w:r w:rsidRPr="008F0465">
              <w:rPr>
                <w:b/>
              </w:rPr>
              <w:t>(p &lt; 0.0001)</w:t>
            </w:r>
          </w:p>
        </w:tc>
        <w:tc>
          <w:tcPr>
            <w:tcW w:w="993" w:type="pct"/>
          </w:tcPr>
          <w:p w14:paraId="2FCC0EAD" w14:textId="77777777" w:rsidR="009A5000" w:rsidRPr="008F0465" w:rsidRDefault="009A5000" w:rsidP="00B027D1">
            <w:pPr>
              <w:pStyle w:val="TableText0"/>
              <w:keepNext w:val="0"/>
              <w:widowControl w:val="0"/>
              <w:jc w:val="center"/>
              <w:rPr>
                <w:b/>
              </w:rPr>
            </w:pPr>
            <w:r w:rsidRPr="008F0465">
              <w:rPr>
                <w:b/>
              </w:rPr>
              <w:t>0.16 [0.09, 0.24]</w:t>
            </w:r>
          </w:p>
          <w:p w14:paraId="425BDF16" w14:textId="77777777" w:rsidR="009A5000" w:rsidRPr="008F0465" w:rsidRDefault="009A5000" w:rsidP="00B027D1">
            <w:pPr>
              <w:pStyle w:val="TableText0"/>
              <w:keepNext w:val="0"/>
              <w:widowControl w:val="0"/>
              <w:jc w:val="center"/>
              <w:rPr>
                <w:b/>
              </w:rPr>
            </w:pPr>
            <w:r w:rsidRPr="008F0465">
              <w:rPr>
                <w:b/>
              </w:rPr>
              <w:t>(p &lt; 0.0001)</w:t>
            </w:r>
          </w:p>
        </w:tc>
      </w:tr>
      <w:tr w:rsidR="009A5000" w:rsidRPr="00080200" w14:paraId="4423D896" w14:textId="77777777" w:rsidTr="00B027D1">
        <w:tc>
          <w:tcPr>
            <w:tcW w:w="705" w:type="pct"/>
          </w:tcPr>
          <w:p w14:paraId="21FFFF91" w14:textId="77777777" w:rsidR="009A5000" w:rsidRPr="00080200" w:rsidRDefault="009A5000" w:rsidP="00B027D1">
            <w:pPr>
              <w:pStyle w:val="TableText0"/>
              <w:keepNext w:val="0"/>
              <w:widowControl w:val="0"/>
            </w:pPr>
            <w:r w:rsidRPr="00080200">
              <w:t>ITC result</w:t>
            </w:r>
          </w:p>
        </w:tc>
        <w:tc>
          <w:tcPr>
            <w:tcW w:w="629" w:type="pct"/>
          </w:tcPr>
          <w:p w14:paraId="74FC1186" w14:textId="77777777" w:rsidR="009A5000" w:rsidRPr="00080200" w:rsidRDefault="009A5000" w:rsidP="00B027D1">
            <w:pPr>
              <w:pStyle w:val="TableText0"/>
              <w:keepNext w:val="0"/>
              <w:widowControl w:val="0"/>
              <w:jc w:val="center"/>
            </w:pPr>
            <w:r w:rsidRPr="00080200">
              <w:t>–</w:t>
            </w:r>
          </w:p>
        </w:tc>
        <w:tc>
          <w:tcPr>
            <w:tcW w:w="835" w:type="pct"/>
          </w:tcPr>
          <w:p w14:paraId="05393632" w14:textId="77777777" w:rsidR="009A5000" w:rsidRPr="00080200" w:rsidRDefault="009A5000" w:rsidP="00B027D1">
            <w:pPr>
              <w:pStyle w:val="TableText0"/>
              <w:keepNext w:val="0"/>
              <w:widowControl w:val="0"/>
              <w:jc w:val="center"/>
            </w:pPr>
            <w:r w:rsidRPr="00080200">
              <w:t>–</w:t>
            </w:r>
          </w:p>
        </w:tc>
        <w:tc>
          <w:tcPr>
            <w:tcW w:w="817" w:type="pct"/>
          </w:tcPr>
          <w:p w14:paraId="7EE0E105" w14:textId="77777777" w:rsidR="009A5000" w:rsidRPr="00080200" w:rsidRDefault="009A5000" w:rsidP="00B027D1">
            <w:pPr>
              <w:pStyle w:val="TableText0"/>
              <w:keepNext w:val="0"/>
              <w:widowControl w:val="0"/>
              <w:jc w:val="center"/>
            </w:pPr>
            <w:r w:rsidRPr="00080200">
              <w:t>–</w:t>
            </w:r>
          </w:p>
        </w:tc>
        <w:tc>
          <w:tcPr>
            <w:tcW w:w="1021" w:type="pct"/>
          </w:tcPr>
          <w:p w14:paraId="14257A40" w14:textId="77777777" w:rsidR="009A5000" w:rsidRPr="0079188D" w:rsidRDefault="009A5000" w:rsidP="00B027D1">
            <w:pPr>
              <w:pStyle w:val="TableText0"/>
              <w:keepNext w:val="0"/>
              <w:widowControl w:val="0"/>
              <w:jc w:val="center"/>
            </w:pPr>
            <w:r w:rsidRPr="0079188D">
              <w:t>0.916 [0.582, 1.443] (p = 0.7054)</w:t>
            </w:r>
          </w:p>
        </w:tc>
        <w:tc>
          <w:tcPr>
            <w:tcW w:w="993" w:type="pct"/>
          </w:tcPr>
          <w:p w14:paraId="7CCF9F6B" w14:textId="77777777" w:rsidR="009A5000" w:rsidRPr="0079188D" w:rsidRDefault="009A5000" w:rsidP="00B027D1">
            <w:pPr>
              <w:pStyle w:val="TableText0"/>
              <w:keepNext w:val="0"/>
              <w:widowControl w:val="0"/>
              <w:jc w:val="center"/>
            </w:pPr>
            <w:r w:rsidRPr="0079188D">
              <w:t>0.05 [-0.043, 0.143] (p = 0.292)</w:t>
            </w:r>
          </w:p>
        </w:tc>
      </w:tr>
      <w:tr w:rsidR="006F33F3" w:rsidRPr="00080200" w14:paraId="6E5645B5" w14:textId="77777777" w:rsidTr="006F33F3">
        <w:tc>
          <w:tcPr>
            <w:tcW w:w="5000" w:type="pct"/>
            <w:gridSpan w:val="6"/>
            <w:shd w:val="clear" w:color="auto" w:fill="D9D9D9" w:themeFill="background1" w:themeFillShade="D9"/>
          </w:tcPr>
          <w:p w14:paraId="0C3F2AB6" w14:textId="163F405C" w:rsidR="006F33F3" w:rsidRPr="00080200" w:rsidRDefault="006F33F3" w:rsidP="00B027D1">
            <w:pPr>
              <w:pStyle w:val="TableText0"/>
              <w:keepNext w:val="0"/>
              <w:widowControl w:val="0"/>
            </w:pPr>
            <w:r w:rsidRPr="00E4533A">
              <w:rPr>
                <w:b/>
                <w:bCs w:val="0"/>
              </w:rPr>
              <w:t xml:space="preserve">Clinical </w:t>
            </w:r>
            <w:r>
              <w:rPr>
                <w:b/>
                <w:bCs w:val="0"/>
              </w:rPr>
              <w:t>response</w:t>
            </w:r>
            <w:r w:rsidRPr="00E4533A">
              <w:rPr>
                <w:b/>
                <w:bCs w:val="0"/>
              </w:rPr>
              <w:t xml:space="preserve"> (</w:t>
            </w:r>
            <w:r w:rsidRPr="00FA484A">
              <w:rPr>
                <w:b/>
                <w:bCs w:val="0"/>
              </w:rPr>
              <w:t>reduction of &gt;100 points in CDAI score from baseline</w:t>
            </w:r>
            <w:r w:rsidRPr="00E4533A">
              <w:rPr>
                <w:b/>
                <w:bCs w:val="0"/>
              </w:rPr>
              <w:t>)</w:t>
            </w:r>
          </w:p>
        </w:tc>
      </w:tr>
      <w:tr w:rsidR="009A5000" w:rsidRPr="00080200" w14:paraId="0BB243C6" w14:textId="77777777" w:rsidTr="00B027D1">
        <w:tc>
          <w:tcPr>
            <w:tcW w:w="705" w:type="pct"/>
            <w:vMerge w:val="restart"/>
          </w:tcPr>
          <w:p w14:paraId="7EBD166E" w14:textId="77777777" w:rsidR="009A5000" w:rsidRPr="00080200" w:rsidRDefault="009A5000" w:rsidP="00B027D1">
            <w:pPr>
              <w:pStyle w:val="TableText0"/>
              <w:keepNext w:val="0"/>
              <w:widowControl w:val="0"/>
            </w:pPr>
            <w:r w:rsidRPr="00080200">
              <w:t>RISA vs PBO</w:t>
            </w:r>
          </w:p>
        </w:tc>
        <w:tc>
          <w:tcPr>
            <w:tcW w:w="629" w:type="pct"/>
          </w:tcPr>
          <w:p w14:paraId="37126688" w14:textId="77777777" w:rsidR="009A5000" w:rsidRPr="00080200" w:rsidRDefault="009A5000" w:rsidP="00B027D1">
            <w:pPr>
              <w:pStyle w:val="TableText0"/>
              <w:keepNext w:val="0"/>
              <w:widowControl w:val="0"/>
              <w:jc w:val="center"/>
            </w:pPr>
            <w:r w:rsidRPr="00080200">
              <w:t>M15-993</w:t>
            </w:r>
          </w:p>
        </w:tc>
        <w:tc>
          <w:tcPr>
            <w:tcW w:w="835" w:type="pct"/>
          </w:tcPr>
          <w:p w14:paraId="57F450E3" w14:textId="77777777" w:rsidR="009A5000" w:rsidRPr="00080200" w:rsidRDefault="009A5000" w:rsidP="00B027D1">
            <w:pPr>
              <w:pStyle w:val="TableText0"/>
              <w:keepNext w:val="0"/>
              <w:widowControl w:val="0"/>
              <w:jc w:val="center"/>
            </w:pPr>
            <w:r w:rsidRPr="00080200">
              <w:t>17/41 (41.5)</w:t>
            </w:r>
          </w:p>
        </w:tc>
        <w:tc>
          <w:tcPr>
            <w:tcW w:w="817" w:type="pct"/>
          </w:tcPr>
          <w:p w14:paraId="52CFFA5E" w14:textId="77777777" w:rsidR="009A5000" w:rsidRPr="00080200" w:rsidRDefault="009A5000" w:rsidP="00B027D1">
            <w:pPr>
              <w:pStyle w:val="TableText0"/>
              <w:keepNext w:val="0"/>
              <w:widowControl w:val="0"/>
              <w:jc w:val="center"/>
            </w:pPr>
            <w:r w:rsidRPr="00080200">
              <w:t>9/39 (23.1)</w:t>
            </w:r>
          </w:p>
        </w:tc>
        <w:tc>
          <w:tcPr>
            <w:tcW w:w="1021" w:type="pct"/>
          </w:tcPr>
          <w:p w14:paraId="0FC4C331" w14:textId="77777777" w:rsidR="009A5000" w:rsidRPr="00080200" w:rsidRDefault="009A5000" w:rsidP="00B027D1">
            <w:pPr>
              <w:pStyle w:val="TableText0"/>
              <w:keepNext w:val="0"/>
              <w:widowControl w:val="0"/>
              <w:jc w:val="center"/>
            </w:pPr>
            <w:r w:rsidRPr="00080200">
              <w:t>2.36 [0.90, 6.23]</w:t>
            </w:r>
          </w:p>
        </w:tc>
        <w:tc>
          <w:tcPr>
            <w:tcW w:w="993" w:type="pct"/>
          </w:tcPr>
          <w:p w14:paraId="0A80D684" w14:textId="77777777" w:rsidR="009A5000" w:rsidRPr="00080200" w:rsidRDefault="009A5000" w:rsidP="00B027D1">
            <w:pPr>
              <w:pStyle w:val="TableText0"/>
              <w:keepNext w:val="0"/>
              <w:widowControl w:val="0"/>
              <w:jc w:val="center"/>
            </w:pPr>
            <w:r w:rsidRPr="00080200">
              <w:t>0.18 [-0.02, 0.38]</w:t>
            </w:r>
          </w:p>
        </w:tc>
      </w:tr>
      <w:tr w:rsidR="009A5000" w:rsidRPr="00080200" w14:paraId="1ABB0CD2" w14:textId="77777777" w:rsidTr="00B027D1">
        <w:tc>
          <w:tcPr>
            <w:tcW w:w="705" w:type="pct"/>
            <w:vMerge/>
          </w:tcPr>
          <w:p w14:paraId="50DEB0C9" w14:textId="77777777" w:rsidR="009A5000" w:rsidRPr="00080200" w:rsidRDefault="009A5000" w:rsidP="00B027D1">
            <w:pPr>
              <w:pStyle w:val="TableText0"/>
              <w:keepNext w:val="0"/>
              <w:widowControl w:val="0"/>
            </w:pPr>
          </w:p>
        </w:tc>
        <w:tc>
          <w:tcPr>
            <w:tcW w:w="629" w:type="pct"/>
          </w:tcPr>
          <w:p w14:paraId="0A30EF28" w14:textId="77777777" w:rsidR="009A5000" w:rsidRPr="00080200" w:rsidRDefault="009A5000" w:rsidP="00B027D1">
            <w:pPr>
              <w:pStyle w:val="TableText0"/>
              <w:keepNext w:val="0"/>
              <w:widowControl w:val="0"/>
              <w:jc w:val="center"/>
            </w:pPr>
            <w:r w:rsidRPr="00080200">
              <w:t>ADVANCE</w:t>
            </w:r>
          </w:p>
        </w:tc>
        <w:tc>
          <w:tcPr>
            <w:tcW w:w="835" w:type="pct"/>
          </w:tcPr>
          <w:p w14:paraId="125386BC" w14:textId="77777777" w:rsidR="009A5000" w:rsidRPr="00080200" w:rsidRDefault="009A5000" w:rsidP="00B027D1">
            <w:pPr>
              <w:pStyle w:val="TableText0"/>
              <w:keepNext w:val="0"/>
              <w:widowControl w:val="0"/>
              <w:jc w:val="center"/>
            </w:pPr>
            <w:r w:rsidRPr="00080200">
              <w:t>201/336 (59.8)</w:t>
            </w:r>
          </w:p>
        </w:tc>
        <w:tc>
          <w:tcPr>
            <w:tcW w:w="817" w:type="pct"/>
          </w:tcPr>
          <w:p w14:paraId="29648C6D" w14:textId="77777777" w:rsidR="009A5000" w:rsidRPr="00080200" w:rsidRDefault="009A5000" w:rsidP="00B027D1">
            <w:pPr>
              <w:pStyle w:val="TableText0"/>
              <w:keepNext w:val="0"/>
              <w:widowControl w:val="0"/>
              <w:jc w:val="center"/>
            </w:pPr>
            <w:r w:rsidRPr="00080200">
              <w:t>64/175 (36.6)</w:t>
            </w:r>
          </w:p>
        </w:tc>
        <w:tc>
          <w:tcPr>
            <w:tcW w:w="1021" w:type="pct"/>
          </w:tcPr>
          <w:p w14:paraId="116BF8EF" w14:textId="77777777" w:rsidR="009A5000" w:rsidRPr="008F0465" w:rsidRDefault="009A5000" w:rsidP="00B027D1">
            <w:pPr>
              <w:pStyle w:val="TableText0"/>
              <w:keepNext w:val="0"/>
              <w:widowControl w:val="0"/>
              <w:jc w:val="center"/>
              <w:rPr>
                <w:b/>
              </w:rPr>
            </w:pPr>
            <w:r w:rsidRPr="008F0465">
              <w:rPr>
                <w:b/>
              </w:rPr>
              <w:t>2.58 [1.77, 3.77]</w:t>
            </w:r>
          </w:p>
        </w:tc>
        <w:tc>
          <w:tcPr>
            <w:tcW w:w="993" w:type="pct"/>
          </w:tcPr>
          <w:p w14:paraId="7639994D" w14:textId="77777777" w:rsidR="009A5000" w:rsidRPr="008F0465" w:rsidRDefault="009A5000" w:rsidP="00B027D1">
            <w:pPr>
              <w:pStyle w:val="TableText0"/>
              <w:keepNext w:val="0"/>
              <w:widowControl w:val="0"/>
              <w:jc w:val="center"/>
              <w:rPr>
                <w:b/>
              </w:rPr>
            </w:pPr>
            <w:r w:rsidRPr="008F0465">
              <w:rPr>
                <w:b/>
              </w:rPr>
              <w:t>0.23 [0.14, 0.32]</w:t>
            </w:r>
          </w:p>
        </w:tc>
      </w:tr>
      <w:tr w:rsidR="009A5000" w:rsidRPr="00080200" w14:paraId="3591A13F" w14:textId="77777777" w:rsidTr="00B027D1">
        <w:tc>
          <w:tcPr>
            <w:tcW w:w="705" w:type="pct"/>
            <w:vMerge/>
          </w:tcPr>
          <w:p w14:paraId="14E792DB" w14:textId="77777777" w:rsidR="009A5000" w:rsidRPr="00080200" w:rsidRDefault="009A5000" w:rsidP="00B027D1">
            <w:pPr>
              <w:pStyle w:val="TableText0"/>
              <w:keepNext w:val="0"/>
              <w:widowControl w:val="0"/>
            </w:pPr>
          </w:p>
        </w:tc>
        <w:tc>
          <w:tcPr>
            <w:tcW w:w="629" w:type="pct"/>
          </w:tcPr>
          <w:p w14:paraId="12F9A8BD" w14:textId="77777777" w:rsidR="009A5000" w:rsidRPr="00080200" w:rsidRDefault="009A5000" w:rsidP="00B027D1">
            <w:pPr>
              <w:pStyle w:val="TableText0"/>
              <w:keepNext w:val="0"/>
              <w:widowControl w:val="0"/>
              <w:jc w:val="center"/>
            </w:pPr>
            <w:r w:rsidRPr="00080200">
              <w:t>MOTIVATE</w:t>
            </w:r>
          </w:p>
        </w:tc>
        <w:tc>
          <w:tcPr>
            <w:tcW w:w="835" w:type="pct"/>
          </w:tcPr>
          <w:p w14:paraId="0ECB1196" w14:textId="77777777" w:rsidR="009A5000" w:rsidRPr="00080200" w:rsidRDefault="009A5000" w:rsidP="00B027D1">
            <w:pPr>
              <w:pStyle w:val="TableText0"/>
              <w:keepNext w:val="0"/>
              <w:widowControl w:val="0"/>
              <w:jc w:val="center"/>
            </w:pPr>
            <w:r w:rsidRPr="00080200">
              <w:t>114/191 (59.7)</w:t>
            </w:r>
          </w:p>
        </w:tc>
        <w:tc>
          <w:tcPr>
            <w:tcW w:w="817" w:type="pct"/>
          </w:tcPr>
          <w:p w14:paraId="1F6E6071" w14:textId="77777777" w:rsidR="009A5000" w:rsidRPr="00080200" w:rsidRDefault="009A5000" w:rsidP="00B027D1">
            <w:pPr>
              <w:pStyle w:val="TableText0"/>
              <w:keepNext w:val="0"/>
              <w:widowControl w:val="0"/>
              <w:jc w:val="center"/>
            </w:pPr>
            <w:r w:rsidRPr="00080200">
              <w:t>56/187 (29.9)</w:t>
            </w:r>
          </w:p>
        </w:tc>
        <w:tc>
          <w:tcPr>
            <w:tcW w:w="1021" w:type="pct"/>
          </w:tcPr>
          <w:p w14:paraId="68768453" w14:textId="77777777" w:rsidR="009A5000" w:rsidRPr="008F0465" w:rsidRDefault="009A5000" w:rsidP="00B027D1">
            <w:pPr>
              <w:pStyle w:val="TableText0"/>
              <w:keepNext w:val="0"/>
              <w:widowControl w:val="0"/>
              <w:jc w:val="center"/>
              <w:rPr>
                <w:b/>
              </w:rPr>
            </w:pPr>
            <w:r w:rsidRPr="008F0465">
              <w:rPr>
                <w:b/>
              </w:rPr>
              <w:t>3.46 [2.26, 5.30]</w:t>
            </w:r>
          </w:p>
        </w:tc>
        <w:tc>
          <w:tcPr>
            <w:tcW w:w="993" w:type="pct"/>
          </w:tcPr>
          <w:p w14:paraId="25BF439D" w14:textId="77777777" w:rsidR="009A5000" w:rsidRPr="008F0465" w:rsidRDefault="009A5000" w:rsidP="00B027D1">
            <w:pPr>
              <w:pStyle w:val="TableText0"/>
              <w:keepNext w:val="0"/>
              <w:widowControl w:val="0"/>
              <w:jc w:val="center"/>
              <w:rPr>
                <w:b/>
              </w:rPr>
            </w:pPr>
            <w:r w:rsidRPr="008F0465">
              <w:rPr>
                <w:b/>
              </w:rPr>
              <w:t>0.30 [0.20, 0.39]</w:t>
            </w:r>
          </w:p>
        </w:tc>
      </w:tr>
      <w:tr w:rsidR="009A5000" w:rsidRPr="00080200" w14:paraId="00BD046A" w14:textId="77777777" w:rsidTr="00B027D1">
        <w:tc>
          <w:tcPr>
            <w:tcW w:w="705" w:type="pct"/>
            <w:vMerge/>
          </w:tcPr>
          <w:p w14:paraId="2EE3C51B" w14:textId="77777777" w:rsidR="009A5000" w:rsidRPr="00080200" w:rsidRDefault="009A5000" w:rsidP="00B027D1">
            <w:pPr>
              <w:pStyle w:val="TableText0"/>
              <w:keepNext w:val="0"/>
              <w:widowControl w:val="0"/>
            </w:pPr>
          </w:p>
        </w:tc>
        <w:tc>
          <w:tcPr>
            <w:tcW w:w="629" w:type="pct"/>
          </w:tcPr>
          <w:p w14:paraId="730D60C4" w14:textId="77777777" w:rsidR="009A5000" w:rsidRPr="00080200" w:rsidRDefault="009A5000" w:rsidP="00B027D1">
            <w:pPr>
              <w:pStyle w:val="TableText0"/>
              <w:keepNext w:val="0"/>
              <w:widowControl w:val="0"/>
              <w:jc w:val="center"/>
            </w:pPr>
            <w:r w:rsidRPr="00080200">
              <w:t>Pooled</w:t>
            </w:r>
          </w:p>
        </w:tc>
        <w:tc>
          <w:tcPr>
            <w:tcW w:w="835" w:type="pct"/>
          </w:tcPr>
          <w:p w14:paraId="634635BD" w14:textId="77777777" w:rsidR="009A5000" w:rsidRPr="00080200" w:rsidRDefault="009A5000" w:rsidP="00B027D1">
            <w:pPr>
              <w:pStyle w:val="TableText0"/>
              <w:keepNext w:val="0"/>
              <w:widowControl w:val="0"/>
              <w:jc w:val="center"/>
            </w:pPr>
            <w:r w:rsidRPr="00080200">
              <w:t>332/568 (58.5)</w:t>
            </w:r>
          </w:p>
        </w:tc>
        <w:tc>
          <w:tcPr>
            <w:tcW w:w="817" w:type="pct"/>
          </w:tcPr>
          <w:p w14:paraId="17887B4A" w14:textId="77777777" w:rsidR="009A5000" w:rsidRPr="00080200" w:rsidRDefault="009A5000" w:rsidP="00B027D1">
            <w:pPr>
              <w:pStyle w:val="TableText0"/>
              <w:keepNext w:val="0"/>
              <w:widowControl w:val="0"/>
              <w:jc w:val="center"/>
            </w:pPr>
            <w:r w:rsidRPr="00080200">
              <w:t>129/401 (32.2)</w:t>
            </w:r>
          </w:p>
        </w:tc>
        <w:tc>
          <w:tcPr>
            <w:tcW w:w="1021" w:type="pct"/>
          </w:tcPr>
          <w:p w14:paraId="69EE8160" w14:textId="77777777" w:rsidR="009A5000" w:rsidRPr="008F0465" w:rsidRDefault="009A5000" w:rsidP="00B027D1">
            <w:pPr>
              <w:pStyle w:val="TableText0"/>
              <w:keepNext w:val="0"/>
              <w:widowControl w:val="0"/>
              <w:jc w:val="center"/>
              <w:rPr>
                <w:b/>
              </w:rPr>
            </w:pPr>
            <w:r w:rsidRPr="008F0465">
              <w:rPr>
                <w:b/>
              </w:rPr>
              <w:t>2.89 [2.20, 3.79]</w:t>
            </w:r>
          </w:p>
        </w:tc>
        <w:tc>
          <w:tcPr>
            <w:tcW w:w="993" w:type="pct"/>
          </w:tcPr>
          <w:p w14:paraId="7DE62241" w14:textId="77777777" w:rsidR="009A5000" w:rsidRPr="008F0465" w:rsidRDefault="009A5000" w:rsidP="00B027D1">
            <w:pPr>
              <w:pStyle w:val="TableText0"/>
              <w:keepNext w:val="0"/>
              <w:widowControl w:val="0"/>
              <w:jc w:val="center"/>
              <w:rPr>
                <w:b/>
              </w:rPr>
            </w:pPr>
            <w:r w:rsidRPr="008F0465">
              <w:rPr>
                <w:b/>
              </w:rPr>
              <w:t>0.25 [0.19, 0.32]</w:t>
            </w:r>
          </w:p>
        </w:tc>
      </w:tr>
      <w:tr w:rsidR="009A5000" w:rsidRPr="00080200" w14:paraId="31323C4B" w14:textId="77777777" w:rsidTr="00B027D1">
        <w:tc>
          <w:tcPr>
            <w:tcW w:w="705" w:type="pct"/>
            <w:vMerge w:val="restart"/>
          </w:tcPr>
          <w:p w14:paraId="6E5F0017" w14:textId="77777777" w:rsidR="009A5000" w:rsidRPr="00080200" w:rsidRDefault="009A5000" w:rsidP="00B027D1">
            <w:pPr>
              <w:pStyle w:val="TableText0"/>
              <w:keepNext w:val="0"/>
              <w:widowControl w:val="0"/>
            </w:pPr>
            <w:r w:rsidRPr="00080200">
              <w:t>USTE vs PBO</w:t>
            </w:r>
          </w:p>
        </w:tc>
        <w:tc>
          <w:tcPr>
            <w:tcW w:w="629" w:type="pct"/>
          </w:tcPr>
          <w:p w14:paraId="4D936B4A" w14:textId="77777777" w:rsidR="009A5000" w:rsidRPr="00080200" w:rsidRDefault="009A5000" w:rsidP="00B027D1">
            <w:pPr>
              <w:pStyle w:val="TableText0"/>
              <w:keepNext w:val="0"/>
              <w:widowControl w:val="0"/>
              <w:jc w:val="center"/>
            </w:pPr>
            <w:r w:rsidRPr="00080200">
              <w:t>UNITI I</w:t>
            </w:r>
          </w:p>
        </w:tc>
        <w:tc>
          <w:tcPr>
            <w:tcW w:w="835" w:type="pct"/>
          </w:tcPr>
          <w:p w14:paraId="2B87E1B5" w14:textId="77777777" w:rsidR="009A5000" w:rsidRPr="00080200" w:rsidRDefault="009A5000" w:rsidP="00B027D1">
            <w:pPr>
              <w:pStyle w:val="TableText0"/>
              <w:keepNext w:val="0"/>
              <w:widowControl w:val="0"/>
              <w:jc w:val="center"/>
            </w:pPr>
            <w:r w:rsidRPr="00080200">
              <w:t>94/249 (37.8)</w:t>
            </w:r>
          </w:p>
        </w:tc>
        <w:tc>
          <w:tcPr>
            <w:tcW w:w="817" w:type="pct"/>
          </w:tcPr>
          <w:p w14:paraId="16EA9ED8" w14:textId="77777777" w:rsidR="009A5000" w:rsidRPr="00080200" w:rsidRDefault="009A5000" w:rsidP="00B027D1">
            <w:pPr>
              <w:pStyle w:val="TableText0"/>
              <w:keepNext w:val="0"/>
              <w:widowControl w:val="0"/>
              <w:jc w:val="center"/>
            </w:pPr>
            <w:r w:rsidRPr="00080200">
              <w:t>50/247 (20.2)</w:t>
            </w:r>
          </w:p>
        </w:tc>
        <w:tc>
          <w:tcPr>
            <w:tcW w:w="1021" w:type="pct"/>
          </w:tcPr>
          <w:p w14:paraId="41DC7FE3" w14:textId="77777777" w:rsidR="009A5000" w:rsidRPr="008F0465" w:rsidRDefault="009A5000" w:rsidP="00B027D1">
            <w:pPr>
              <w:pStyle w:val="TableText0"/>
              <w:keepNext w:val="0"/>
              <w:widowControl w:val="0"/>
              <w:jc w:val="center"/>
              <w:rPr>
                <w:b/>
              </w:rPr>
            </w:pPr>
            <w:r w:rsidRPr="008F0465">
              <w:rPr>
                <w:b/>
              </w:rPr>
              <w:t>2.39 [1.60, 3.57]</w:t>
            </w:r>
          </w:p>
        </w:tc>
        <w:tc>
          <w:tcPr>
            <w:tcW w:w="993" w:type="pct"/>
          </w:tcPr>
          <w:p w14:paraId="432302E1" w14:textId="77777777" w:rsidR="009A5000" w:rsidRPr="008F0465" w:rsidRDefault="009A5000" w:rsidP="00B027D1">
            <w:pPr>
              <w:pStyle w:val="TableText0"/>
              <w:keepNext w:val="0"/>
              <w:widowControl w:val="0"/>
              <w:jc w:val="center"/>
              <w:rPr>
                <w:b/>
              </w:rPr>
            </w:pPr>
            <w:r w:rsidRPr="008F0465">
              <w:rPr>
                <w:b/>
              </w:rPr>
              <w:t>0.18 [0.10, 0.25]</w:t>
            </w:r>
          </w:p>
        </w:tc>
      </w:tr>
      <w:tr w:rsidR="009A5000" w:rsidRPr="00080200" w14:paraId="1FD267CF" w14:textId="77777777" w:rsidTr="00B027D1">
        <w:tc>
          <w:tcPr>
            <w:tcW w:w="705" w:type="pct"/>
            <w:vMerge/>
          </w:tcPr>
          <w:p w14:paraId="6F3FD8D1" w14:textId="77777777" w:rsidR="009A5000" w:rsidRPr="00080200" w:rsidRDefault="009A5000" w:rsidP="00B027D1">
            <w:pPr>
              <w:pStyle w:val="TableText0"/>
              <w:keepNext w:val="0"/>
              <w:widowControl w:val="0"/>
            </w:pPr>
          </w:p>
        </w:tc>
        <w:tc>
          <w:tcPr>
            <w:tcW w:w="629" w:type="pct"/>
          </w:tcPr>
          <w:p w14:paraId="7F6DC661" w14:textId="77777777" w:rsidR="009A5000" w:rsidRPr="00080200" w:rsidRDefault="009A5000" w:rsidP="00B027D1">
            <w:pPr>
              <w:pStyle w:val="TableText0"/>
              <w:keepNext w:val="0"/>
              <w:widowControl w:val="0"/>
              <w:jc w:val="center"/>
            </w:pPr>
            <w:r w:rsidRPr="00080200">
              <w:t>UNITI II</w:t>
            </w:r>
          </w:p>
        </w:tc>
        <w:tc>
          <w:tcPr>
            <w:tcW w:w="835" w:type="pct"/>
          </w:tcPr>
          <w:p w14:paraId="31606C34" w14:textId="77777777" w:rsidR="009A5000" w:rsidRPr="00080200" w:rsidRDefault="009A5000" w:rsidP="00B027D1">
            <w:pPr>
              <w:pStyle w:val="TableText0"/>
              <w:keepNext w:val="0"/>
              <w:widowControl w:val="0"/>
              <w:jc w:val="center"/>
            </w:pPr>
            <w:r w:rsidRPr="00080200">
              <w:t>121/209 (57.9)</w:t>
            </w:r>
          </w:p>
        </w:tc>
        <w:tc>
          <w:tcPr>
            <w:tcW w:w="817" w:type="pct"/>
          </w:tcPr>
          <w:p w14:paraId="5B23CF32" w14:textId="77777777" w:rsidR="009A5000" w:rsidRPr="00080200" w:rsidRDefault="009A5000" w:rsidP="00B027D1">
            <w:pPr>
              <w:pStyle w:val="TableText0"/>
              <w:keepNext w:val="0"/>
              <w:widowControl w:val="0"/>
              <w:jc w:val="center"/>
            </w:pPr>
            <w:r w:rsidRPr="00080200">
              <w:t>67/210 (31.9)</w:t>
            </w:r>
          </w:p>
        </w:tc>
        <w:tc>
          <w:tcPr>
            <w:tcW w:w="1021" w:type="pct"/>
          </w:tcPr>
          <w:p w14:paraId="07D095DF" w14:textId="77777777" w:rsidR="009A5000" w:rsidRPr="008F0465" w:rsidRDefault="009A5000" w:rsidP="00B027D1">
            <w:pPr>
              <w:pStyle w:val="TableText0"/>
              <w:keepNext w:val="0"/>
              <w:widowControl w:val="0"/>
              <w:jc w:val="center"/>
              <w:rPr>
                <w:b/>
              </w:rPr>
            </w:pPr>
            <w:r w:rsidRPr="008F0465">
              <w:rPr>
                <w:b/>
              </w:rPr>
              <w:t>2.93 [1.97, 4.38]</w:t>
            </w:r>
          </w:p>
        </w:tc>
        <w:tc>
          <w:tcPr>
            <w:tcW w:w="993" w:type="pct"/>
          </w:tcPr>
          <w:p w14:paraId="68124448" w14:textId="77777777" w:rsidR="009A5000" w:rsidRPr="008F0465" w:rsidRDefault="009A5000" w:rsidP="00B027D1">
            <w:pPr>
              <w:pStyle w:val="TableText0"/>
              <w:keepNext w:val="0"/>
              <w:widowControl w:val="0"/>
              <w:jc w:val="center"/>
              <w:rPr>
                <w:b/>
              </w:rPr>
            </w:pPr>
            <w:r w:rsidRPr="008F0465">
              <w:rPr>
                <w:b/>
              </w:rPr>
              <w:t>0.26 [0.17, 0.35]</w:t>
            </w:r>
          </w:p>
        </w:tc>
      </w:tr>
      <w:tr w:rsidR="009A5000" w:rsidRPr="00080200" w14:paraId="705170E1" w14:textId="77777777" w:rsidTr="00B027D1">
        <w:tc>
          <w:tcPr>
            <w:tcW w:w="705" w:type="pct"/>
            <w:vMerge/>
          </w:tcPr>
          <w:p w14:paraId="65E52805" w14:textId="77777777" w:rsidR="009A5000" w:rsidRPr="00080200" w:rsidRDefault="009A5000" w:rsidP="00B027D1">
            <w:pPr>
              <w:pStyle w:val="TableText0"/>
              <w:keepNext w:val="0"/>
              <w:widowControl w:val="0"/>
            </w:pPr>
          </w:p>
        </w:tc>
        <w:tc>
          <w:tcPr>
            <w:tcW w:w="629" w:type="pct"/>
          </w:tcPr>
          <w:p w14:paraId="233D2E05" w14:textId="77777777" w:rsidR="009A5000" w:rsidRPr="00080200" w:rsidRDefault="009A5000" w:rsidP="00B027D1">
            <w:pPr>
              <w:pStyle w:val="TableText0"/>
              <w:keepNext w:val="0"/>
              <w:widowControl w:val="0"/>
              <w:jc w:val="center"/>
            </w:pPr>
            <w:r w:rsidRPr="00080200">
              <w:t>Pooled</w:t>
            </w:r>
          </w:p>
        </w:tc>
        <w:tc>
          <w:tcPr>
            <w:tcW w:w="835" w:type="pct"/>
          </w:tcPr>
          <w:p w14:paraId="7D1B465C" w14:textId="77777777" w:rsidR="009A5000" w:rsidRPr="00080200" w:rsidRDefault="009A5000" w:rsidP="00B027D1">
            <w:pPr>
              <w:pStyle w:val="TableText0"/>
              <w:keepNext w:val="0"/>
              <w:widowControl w:val="0"/>
              <w:jc w:val="center"/>
            </w:pPr>
            <w:r w:rsidRPr="00080200">
              <w:t>215/458 (46.9)</w:t>
            </w:r>
          </w:p>
        </w:tc>
        <w:tc>
          <w:tcPr>
            <w:tcW w:w="817" w:type="pct"/>
          </w:tcPr>
          <w:p w14:paraId="1A6741BE" w14:textId="77777777" w:rsidR="009A5000" w:rsidRPr="00080200" w:rsidRDefault="009A5000" w:rsidP="00B027D1">
            <w:pPr>
              <w:pStyle w:val="TableText0"/>
              <w:keepNext w:val="0"/>
              <w:widowControl w:val="0"/>
              <w:jc w:val="center"/>
            </w:pPr>
            <w:r w:rsidRPr="00080200">
              <w:t>117/457 (25.6)</w:t>
            </w:r>
          </w:p>
        </w:tc>
        <w:tc>
          <w:tcPr>
            <w:tcW w:w="1021" w:type="pct"/>
          </w:tcPr>
          <w:p w14:paraId="0651D57E" w14:textId="77777777" w:rsidR="009A5000" w:rsidRPr="008F0465" w:rsidRDefault="009A5000" w:rsidP="00B027D1">
            <w:pPr>
              <w:pStyle w:val="TableText0"/>
              <w:keepNext w:val="0"/>
              <w:widowControl w:val="0"/>
              <w:jc w:val="center"/>
              <w:rPr>
                <w:b/>
              </w:rPr>
            </w:pPr>
            <w:r w:rsidRPr="008F0465">
              <w:rPr>
                <w:b/>
              </w:rPr>
              <w:t>2.65 [2.00, 3.52]</w:t>
            </w:r>
          </w:p>
        </w:tc>
        <w:tc>
          <w:tcPr>
            <w:tcW w:w="993" w:type="pct"/>
          </w:tcPr>
          <w:p w14:paraId="0C77F07C" w14:textId="77777777" w:rsidR="009A5000" w:rsidRPr="008F0465" w:rsidRDefault="009A5000" w:rsidP="00B027D1">
            <w:pPr>
              <w:pStyle w:val="TableText0"/>
              <w:keepNext w:val="0"/>
              <w:widowControl w:val="0"/>
              <w:jc w:val="center"/>
              <w:rPr>
                <w:b/>
              </w:rPr>
            </w:pPr>
            <w:r w:rsidRPr="008F0465">
              <w:rPr>
                <w:b/>
              </w:rPr>
              <w:t>0.21 [0.13, 0.30]</w:t>
            </w:r>
          </w:p>
        </w:tc>
      </w:tr>
      <w:tr w:rsidR="009A5000" w:rsidRPr="00080200" w14:paraId="68BF2F64" w14:textId="77777777" w:rsidTr="00B027D1">
        <w:tc>
          <w:tcPr>
            <w:tcW w:w="705" w:type="pct"/>
          </w:tcPr>
          <w:p w14:paraId="7F644B8A" w14:textId="77777777" w:rsidR="009A5000" w:rsidRPr="00080200" w:rsidRDefault="009A5000" w:rsidP="00B027D1">
            <w:pPr>
              <w:pStyle w:val="TableText0"/>
              <w:keepNext w:val="0"/>
              <w:widowControl w:val="0"/>
            </w:pPr>
            <w:r w:rsidRPr="00080200">
              <w:t>ITC result</w:t>
            </w:r>
          </w:p>
        </w:tc>
        <w:tc>
          <w:tcPr>
            <w:tcW w:w="629" w:type="pct"/>
          </w:tcPr>
          <w:p w14:paraId="45B2EB3D" w14:textId="77777777" w:rsidR="009A5000" w:rsidRPr="00080200" w:rsidRDefault="009A5000" w:rsidP="00B027D1">
            <w:pPr>
              <w:pStyle w:val="TableText0"/>
              <w:keepNext w:val="0"/>
              <w:widowControl w:val="0"/>
              <w:jc w:val="center"/>
            </w:pPr>
            <w:r w:rsidRPr="00080200">
              <w:t>–</w:t>
            </w:r>
          </w:p>
        </w:tc>
        <w:tc>
          <w:tcPr>
            <w:tcW w:w="835" w:type="pct"/>
          </w:tcPr>
          <w:p w14:paraId="7BF7519B" w14:textId="77777777" w:rsidR="009A5000" w:rsidRPr="00080200" w:rsidRDefault="009A5000" w:rsidP="00B027D1">
            <w:pPr>
              <w:pStyle w:val="TableText0"/>
              <w:keepNext w:val="0"/>
              <w:widowControl w:val="0"/>
              <w:jc w:val="center"/>
            </w:pPr>
            <w:r w:rsidRPr="00080200">
              <w:t>–</w:t>
            </w:r>
          </w:p>
        </w:tc>
        <w:tc>
          <w:tcPr>
            <w:tcW w:w="817" w:type="pct"/>
          </w:tcPr>
          <w:p w14:paraId="5A02AE54" w14:textId="77777777" w:rsidR="009A5000" w:rsidRPr="00080200" w:rsidRDefault="009A5000" w:rsidP="00B027D1">
            <w:pPr>
              <w:pStyle w:val="TableText0"/>
              <w:keepNext w:val="0"/>
              <w:widowControl w:val="0"/>
              <w:jc w:val="center"/>
            </w:pPr>
            <w:r w:rsidRPr="00080200">
              <w:t>–</w:t>
            </w:r>
          </w:p>
        </w:tc>
        <w:tc>
          <w:tcPr>
            <w:tcW w:w="1021" w:type="pct"/>
          </w:tcPr>
          <w:p w14:paraId="33E6B2A5" w14:textId="77777777" w:rsidR="009A5000" w:rsidRPr="0079188D" w:rsidRDefault="009A5000" w:rsidP="00B027D1">
            <w:pPr>
              <w:pStyle w:val="TableText0"/>
              <w:keepNext w:val="0"/>
              <w:widowControl w:val="0"/>
              <w:jc w:val="center"/>
            </w:pPr>
            <w:r w:rsidRPr="0079188D">
              <w:t>1.091 [0.737, 1.614] (p = 0.6649)</w:t>
            </w:r>
          </w:p>
        </w:tc>
        <w:tc>
          <w:tcPr>
            <w:tcW w:w="993" w:type="pct"/>
          </w:tcPr>
          <w:p w14:paraId="34602D86" w14:textId="77777777" w:rsidR="009A5000" w:rsidRPr="0079188D" w:rsidRDefault="009A5000" w:rsidP="00B027D1">
            <w:pPr>
              <w:pStyle w:val="TableText0"/>
              <w:keepNext w:val="0"/>
              <w:widowControl w:val="0"/>
              <w:jc w:val="center"/>
            </w:pPr>
            <w:r w:rsidRPr="0079188D">
              <w:t>0.04 [-0.067, 0.147] (p = 0.4638)</w:t>
            </w:r>
          </w:p>
        </w:tc>
      </w:tr>
    </w:tbl>
    <w:p w14:paraId="0989F4A3" w14:textId="77777777" w:rsidR="009A5000" w:rsidRPr="008F5349" w:rsidRDefault="009A5000" w:rsidP="009A5000">
      <w:pPr>
        <w:pStyle w:val="TableFigureFooter"/>
      </w:pPr>
      <w:r>
        <w:t>Source: Table 2.39, p118 of the submission</w:t>
      </w:r>
    </w:p>
    <w:p w14:paraId="0C7AB482" w14:textId="77777777" w:rsidR="009A5000" w:rsidRDefault="009A5000" w:rsidP="009A5000">
      <w:pPr>
        <w:pStyle w:val="TableFigureFooter"/>
      </w:pPr>
      <w:r w:rsidRPr="00080200">
        <w:t>Abbreviations: –, not required; CI, confidence interval; n, number of participants with event; N, total number of participants in group; OR, odds ratio; RD, risk difference</w:t>
      </w:r>
      <w:r>
        <w:t xml:space="preserve">; RISA, risankizumab; PBO, placebo; UST, ustekinumab; ITC, indirect treatment comparison. </w:t>
      </w:r>
      <w:r w:rsidRPr="00760F9E">
        <w:rPr>
          <w:rFonts w:eastAsia="Calibri"/>
          <w:b/>
        </w:rPr>
        <w:t>Bold</w:t>
      </w:r>
      <w:r>
        <w:rPr>
          <w:rFonts w:eastAsia="Calibri"/>
        </w:rPr>
        <w:t xml:space="preserve"> indicates statistically significant results.</w:t>
      </w:r>
    </w:p>
    <w:p w14:paraId="5A6BA7E8" w14:textId="77777777" w:rsidR="009A5000" w:rsidRPr="00080200" w:rsidRDefault="009A5000" w:rsidP="009A5000">
      <w:pPr>
        <w:pStyle w:val="TableFigureFooter"/>
      </w:pPr>
      <w:r w:rsidRPr="00080200">
        <w:rPr>
          <w:vertAlign w:val="superscript"/>
        </w:rPr>
        <w:t>a</w:t>
      </w:r>
      <w:r w:rsidRPr="00080200">
        <w:t xml:space="preserve">&gt;1 favours RISA in ITC; </w:t>
      </w:r>
      <w:r w:rsidRPr="00080200">
        <w:rPr>
          <w:vertAlign w:val="superscript"/>
        </w:rPr>
        <w:t>b</w:t>
      </w:r>
      <w:r w:rsidRPr="00080200">
        <w:t>&gt;0 favours RISA in ITC</w:t>
      </w:r>
    </w:p>
    <w:p w14:paraId="1E7B9514" w14:textId="24088D85" w:rsidR="009A5000" w:rsidRDefault="009A5000" w:rsidP="00F42AD4">
      <w:pPr>
        <w:pStyle w:val="TableFigureHeading"/>
        <w:rPr>
          <w:rStyle w:val="CommentReference"/>
          <w:b/>
        </w:rPr>
      </w:pPr>
      <w:r w:rsidRPr="00EC5836">
        <w:rPr>
          <w:rStyle w:val="CommentReference"/>
          <w:b/>
          <w:szCs w:val="24"/>
        </w:rPr>
        <w:lastRenderedPageBreak/>
        <w:t xml:space="preserve">Table </w:t>
      </w:r>
      <w:r w:rsidR="00F42AD4">
        <w:rPr>
          <w:rStyle w:val="CommentReference"/>
          <w:b/>
          <w:szCs w:val="24"/>
        </w:rPr>
        <w:fldChar w:fldCharType="begin" w:fldLock="1"/>
      </w:r>
      <w:r w:rsidR="00F42AD4">
        <w:rPr>
          <w:rStyle w:val="CommentReference"/>
          <w:b/>
          <w:szCs w:val="24"/>
        </w:rPr>
        <w:instrText xml:space="preserve"> SEQ Table \* ARABIC </w:instrText>
      </w:r>
      <w:r w:rsidR="00F42AD4">
        <w:rPr>
          <w:rStyle w:val="CommentReference"/>
          <w:b/>
          <w:szCs w:val="24"/>
        </w:rPr>
        <w:fldChar w:fldCharType="separate"/>
      </w:r>
      <w:r w:rsidR="003D76A2">
        <w:rPr>
          <w:rStyle w:val="CommentReference"/>
          <w:b/>
          <w:noProof/>
          <w:szCs w:val="24"/>
        </w:rPr>
        <w:t>7</w:t>
      </w:r>
      <w:r w:rsidR="00F42AD4">
        <w:rPr>
          <w:rStyle w:val="CommentReference"/>
          <w:b/>
          <w:szCs w:val="24"/>
        </w:rPr>
        <w:fldChar w:fldCharType="end"/>
      </w:r>
      <w:r w:rsidRPr="00EC5836">
        <w:rPr>
          <w:rStyle w:val="CommentReference"/>
          <w:b/>
          <w:szCs w:val="24"/>
        </w:rPr>
        <w:t xml:space="preserve">: </w:t>
      </w:r>
      <w:r>
        <w:rPr>
          <w:rStyle w:val="CommentReference"/>
          <w:b/>
          <w:szCs w:val="24"/>
        </w:rPr>
        <w:t xml:space="preserve">Trial and indirect comparison results: risankizumab vs ustekinumab </w:t>
      </w:r>
      <w:r>
        <w:rPr>
          <w:rStyle w:val="CommentReference"/>
          <w:b/>
        </w:rPr>
        <w:t>for maintenance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1134"/>
        <w:gridCol w:w="1506"/>
        <w:gridCol w:w="1473"/>
        <w:gridCol w:w="1841"/>
        <w:gridCol w:w="1791"/>
      </w:tblGrid>
      <w:tr w:rsidR="009A5000" w:rsidRPr="00080200" w14:paraId="11153BED" w14:textId="77777777" w:rsidTr="00B027D1">
        <w:trPr>
          <w:tblHeader/>
        </w:trPr>
        <w:tc>
          <w:tcPr>
            <w:tcW w:w="705" w:type="pct"/>
            <w:shd w:val="clear" w:color="auto" w:fill="BFBFBF" w:themeFill="background1" w:themeFillShade="BF"/>
          </w:tcPr>
          <w:p w14:paraId="1800419D" w14:textId="77777777" w:rsidR="009A5000" w:rsidRPr="00080200" w:rsidRDefault="009A5000" w:rsidP="00B027D1">
            <w:pPr>
              <w:pStyle w:val="In-tableHeading"/>
            </w:pPr>
            <w:r w:rsidRPr="00080200">
              <w:t>Trial type or estimate</w:t>
            </w:r>
          </w:p>
        </w:tc>
        <w:tc>
          <w:tcPr>
            <w:tcW w:w="629" w:type="pct"/>
            <w:shd w:val="clear" w:color="auto" w:fill="BFBFBF" w:themeFill="background1" w:themeFillShade="BF"/>
          </w:tcPr>
          <w:p w14:paraId="5CE1DF9A" w14:textId="77777777" w:rsidR="009A5000" w:rsidRPr="00080200" w:rsidRDefault="009A5000" w:rsidP="00B027D1">
            <w:pPr>
              <w:pStyle w:val="In-tableHeading"/>
              <w:jc w:val="center"/>
            </w:pPr>
            <w:r w:rsidRPr="00080200">
              <w:t>Trial ID</w:t>
            </w:r>
          </w:p>
        </w:tc>
        <w:tc>
          <w:tcPr>
            <w:tcW w:w="835" w:type="pct"/>
            <w:shd w:val="clear" w:color="auto" w:fill="BFBFBF" w:themeFill="background1" w:themeFillShade="BF"/>
          </w:tcPr>
          <w:p w14:paraId="604C004B" w14:textId="77777777" w:rsidR="009A5000" w:rsidRDefault="009A5000" w:rsidP="00B027D1">
            <w:pPr>
              <w:pStyle w:val="In-tableHeading"/>
              <w:jc w:val="center"/>
            </w:pPr>
            <w:r w:rsidRPr="00080200">
              <w:t>DMARD</w:t>
            </w:r>
          </w:p>
          <w:p w14:paraId="5EB425EB" w14:textId="77777777" w:rsidR="009A5000" w:rsidRPr="00080200" w:rsidRDefault="009A5000" w:rsidP="00B027D1">
            <w:pPr>
              <w:pStyle w:val="In-tableHeading"/>
              <w:jc w:val="center"/>
            </w:pPr>
            <w:r w:rsidRPr="00080200">
              <w:t>n/N (%)</w:t>
            </w:r>
          </w:p>
        </w:tc>
        <w:tc>
          <w:tcPr>
            <w:tcW w:w="817" w:type="pct"/>
            <w:shd w:val="clear" w:color="auto" w:fill="BFBFBF" w:themeFill="background1" w:themeFillShade="BF"/>
          </w:tcPr>
          <w:p w14:paraId="401F9F0F" w14:textId="77777777" w:rsidR="009A5000" w:rsidRDefault="009A5000" w:rsidP="00B027D1">
            <w:pPr>
              <w:pStyle w:val="In-tableHeading"/>
              <w:jc w:val="center"/>
            </w:pPr>
            <w:r w:rsidRPr="00080200">
              <w:t>PBO</w:t>
            </w:r>
          </w:p>
          <w:p w14:paraId="1825D180" w14:textId="77777777" w:rsidR="009A5000" w:rsidRPr="00080200" w:rsidRDefault="009A5000" w:rsidP="00B027D1">
            <w:pPr>
              <w:pStyle w:val="In-tableHeading"/>
              <w:jc w:val="center"/>
            </w:pPr>
            <w:r w:rsidRPr="00080200">
              <w:t>n/N (%)</w:t>
            </w:r>
          </w:p>
        </w:tc>
        <w:tc>
          <w:tcPr>
            <w:tcW w:w="1021" w:type="pct"/>
            <w:shd w:val="clear" w:color="auto" w:fill="BFBFBF" w:themeFill="background1" w:themeFillShade="BF"/>
          </w:tcPr>
          <w:p w14:paraId="7DE2E72D" w14:textId="77777777" w:rsidR="009A5000" w:rsidRPr="00080200" w:rsidRDefault="009A5000" w:rsidP="00B027D1">
            <w:pPr>
              <w:pStyle w:val="In-tableHeading"/>
              <w:jc w:val="center"/>
            </w:pPr>
            <w:r w:rsidRPr="00080200">
              <w:t>OR</w:t>
            </w:r>
            <w:r>
              <w:t xml:space="preserve"> [95% CI]</w:t>
            </w:r>
            <w:r w:rsidRPr="00080200">
              <w:rPr>
                <w:vertAlign w:val="superscript"/>
              </w:rPr>
              <w:t>a</w:t>
            </w:r>
            <w:r w:rsidRPr="00080200">
              <w:br/>
            </w:r>
          </w:p>
        </w:tc>
        <w:tc>
          <w:tcPr>
            <w:tcW w:w="993" w:type="pct"/>
            <w:shd w:val="clear" w:color="auto" w:fill="BFBFBF" w:themeFill="background1" w:themeFillShade="BF"/>
          </w:tcPr>
          <w:p w14:paraId="04CB94B9" w14:textId="77777777" w:rsidR="009A5000" w:rsidRPr="00080200" w:rsidRDefault="009A5000" w:rsidP="00B027D1">
            <w:pPr>
              <w:pStyle w:val="In-tableHeading"/>
              <w:jc w:val="center"/>
            </w:pPr>
            <w:r w:rsidRPr="00080200">
              <w:t>RD</w:t>
            </w:r>
            <w:r>
              <w:t xml:space="preserve"> [95% CI]</w:t>
            </w:r>
            <w:r w:rsidRPr="00080200">
              <w:rPr>
                <w:vertAlign w:val="superscript"/>
              </w:rPr>
              <w:t>b</w:t>
            </w:r>
            <w:r w:rsidRPr="00080200">
              <w:br/>
            </w:r>
          </w:p>
        </w:tc>
      </w:tr>
      <w:tr w:rsidR="006F33F3" w:rsidRPr="00080200" w14:paraId="6ED8A072" w14:textId="77777777" w:rsidTr="006F33F3">
        <w:tc>
          <w:tcPr>
            <w:tcW w:w="5000" w:type="pct"/>
            <w:gridSpan w:val="6"/>
            <w:shd w:val="clear" w:color="auto" w:fill="D9D9D9" w:themeFill="background1" w:themeFillShade="D9"/>
          </w:tcPr>
          <w:p w14:paraId="1DDE2907" w14:textId="3F6FBD4C" w:rsidR="006F33F3" w:rsidRPr="00080200" w:rsidRDefault="006F33F3" w:rsidP="006F33F3">
            <w:pPr>
              <w:pStyle w:val="TableText0"/>
            </w:pPr>
            <w:r w:rsidRPr="006F146E">
              <w:rPr>
                <w:b/>
              </w:rPr>
              <w:t xml:space="preserve">Clinical </w:t>
            </w:r>
            <w:r w:rsidRPr="00E4533A">
              <w:rPr>
                <w:b/>
                <w:bCs w:val="0"/>
              </w:rPr>
              <w:t>remission (CDAI &lt; 150)</w:t>
            </w:r>
          </w:p>
        </w:tc>
      </w:tr>
      <w:tr w:rsidR="006F33F3" w:rsidRPr="00080200" w14:paraId="01CC506B" w14:textId="77777777" w:rsidTr="00B027D1">
        <w:tc>
          <w:tcPr>
            <w:tcW w:w="705" w:type="pct"/>
          </w:tcPr>
          <w:p w14:paraId="07902A62" w14:textId="77777777" w:rsidR="006F33F3" w:rsidRPr="00E20580" w:rsidRDefault="006F33F3" w:rsidP="006F33F3">
            <w:pPr>
              <w:pStyle w:val="TableText0"/>
            </w:pPr>
            <w:r w:rsidRPr="00E20580">
              <w:t>RISA vs PBO</w:t>
            </w:r>
          </w:p>
        </w:tc>
        <w:tc>
          <w:tcPr>
            <w:tcW w:w="629" w:type="pct"/>
          </w:tcPr>
          <w:p w14:paraId="40B6938B" w14:textId="77777777" w:rsidR="006F33F3" w:rsidRPr="00E20580" w:rsidRDefault="006F33F3" w:rsidP="006F33F3">
            <w:pPr>
              <w:pStyle w:val="TableText0"/>
              <w:jc w:val="center"/>
            </w:pPr>
            <w:r w:rsidRPr="00E20580">
              <w:t>FORTIFY</w:t>
            </w:r>
          </w:p>
        </w:tc>
        <w:tc>
          <w:tcPr>
            <w:tcW w:w="835" w:type="pct"/>
          </w:tcPr>
          <w:p w14:paraId="37472033" w14:textId="77777777" w:rsidR="006F33F3" w:rsidRPr="00E20580" w:rsidRDefault="006F33F3" w:rsidP="006F33F3">
            <w:pPr>
              <w:pStyle w:val="TableText0"/>
              <w:jc w:val="center"/>
            </w:pPr>
            <w:r w:rsidRPr="00E20580">
              <w:t>74/141 (52.5)</w:t>
            </w:r>
          </w:p>
        </w:tc>
        <w:tc>
          <w:tcPr>
            <w:tcW w:w="817" w:type="pct"/>
          </w:tcPr>
          <w:p w14:paraId="3EAB232A" w14:textId="77777777" w:rsidR="006F33F3" w:rsidRPr="00E20580" w:rsidRDefault="006F33F3" w:rsidP="006F33F3">
            <w:pPr>
              <w:pStyle w:val="TableText0"/>
              <w:jc w:val="center"/>
            </w:pPr>
            <w:r w:rsidRPr="00E20580">
              <w:t>67/164 (40.9)</w:t>
            </w:r>
          </w:p>
        </w:tc>
        <w:tc>
          <w:tcPr>
            <w:tcW w:w="1021" w:type="pct"/>
          </w:tcPr>
          <w:p w14:paraId="4670C58B" w14:textId="77777777" w:rsidR="006F33F3" w:rsidRPr="00E20580" w:rsidRDefault="006F33F3" w:rsidP="006F33F3">
            <w:pPr>
              <w:pStyle w:val="TableText0"/>
              <w:jc w:val="center"/>
              <w:rPr>
                <w:b/>
              </w:rPr>
            </w:pPr>
            <w:r w:rsidRPr="00E20580">
              <w:rPr>
                <w:b/>
              </w:rPr>
              <w:t>1.60 [1.02, 2.52]</w:t>
            </w:r>
          </w:p>
        </w:tc>
        <w:tc>
          <w:tcPr>
            <w:tcW w:w="993" w:type="pct"/>
          </w:tcPr>
          <w:p w14:paraId="6F5743AE" w14:textId="77777777" w:rsidR="006F33F3" w:rsidRPr="00E20580" w:rsidRDefault="006F33F3" w:rsidP="006F33F3">
            <w:pPr>
              <w:pStyle w:val="TableText0"/>
              <w:jc w:val="center"/>
              <w:rPr>
                <w:b/>
              </w:rPr>
            </w:pPr>
            <w:r w:rsidRPr="00E20580">
              <w:rPr>
                <w:b/>
              </w:rPr>
              <w:t>0.12 [0.00, 0.23]</w:t>
            </w:r>
          </w:p>
        </w:tc>
      </w:tr>
      <w:tr w:rsidR="006F33F3" w:rsidRPr="00080200" w14:paraId="782E8023" w14:textId="77777777" w:rsidTr="00B027D1">
        <w:tc>
          <w:tcPr>
            <w:tcW w:w="705" w:type="pct"/>
          </w:tcPr>
          <w:p w14:paraId="1635C30F" w14:textId="77777777" w:rsidR="006F33F3" w:rsidRPr="00E20580" w:rsidRDefault="006F33F3" w:rsidP="006F33F3">
            <w:pPr>
              <w:pStyle w:val="TableText0"/>
            </w:pPr>
            <w:r w:rsidRPr="00E20580">
              <w:t>USTE vs PBO</w:t>
            </w:r>
          </w:p>
        </w:tc>
        <w:tc>
          <w:tcPr>
            <w:tcW w:w="629" w:type="pct"/>
          </w:tcPr>
          <w:p w14:paraId="2788D40B" w14:textId="77777777" w:rsidR="006F33F3" w:rsidRPr="00E20580" w:rsidRDefault="006F33F3" w:rsidP="006F33F3">
            <w:pPr>
              <w:pStyle w:val="TableText0"/>
              <w:jc w:val="center"/>
            </w:pPr>
            <w:r w:rsidRPr="00E20580">
              <w:t>IM UNITI</w:t>
            </w:r>
          </w:p>
        </w:tc>
        <w:tc>
          <w:tcPr>
            <w:tcW w:w="835" w:type="pct"/>
          </w:tcPr>
          <w:p w14:paraId="473B8050" w14:textId="77777777" w:rsidR="006F33F3" w:rsidRPr="00E20580" w:rsidRDefault="006F33F3" w:rsidP="006F33F3">
            <w:pPr>
              <w:pStyle w:val="TableText0"/>
              <w:jc w:val="center"/>
            </w:pPr>
            <w:r w:rsidRPr="00E20580">
              <w:t>68/128 (53.1)</w:t>
            </w:r>
          </w:p>
        </w:tc>
        <w:tc>
          <w:tcPr>
            <w:tcW w:w="817" w:type="pct"/>
          </w:tcPr>
          <w:p w14:paraId="50B6607E" w14:textId="77777777" w:rsidR="006F33F3" w:rsidRPr="00E20580" w:rsidRDefault="006F33F3" w:rsidP="006F33F3">
            <w:pPr>
              <w:pStyle w:val="TableText0"/>
              <w:jc w:val="center"/>
            </w:pPr>
            <w:r w:rsidRPr="00E20580">
              <w:t>47/131 (35.9)</w:t>
            </w:r>
          </w:p>
        </w:tc>
        <w:tc>
          <w:tcPr>
            <w:tcW w:w="1021" w:type="pct"/>
          </w:tcPr>
          <w:p w14:paraId="7FA09D08" w14:textId="77777777" w:rsidR="006F33F3" w:rsidRPr="00E20580" w:rsidRDefault="006F33F3" w:rsidP="006F33F3">
            <w:pPr>
              <w:pStyle w:val="TableText0"/>
              <w:jc w:val="center"/>
              <w:rPr>
                <w:b/>
              </w:rPr>
            </w:pPr>
            <w:r w:rsidRPr="00E20580">
              <w:rPr>
                <w:b/>
              </w:rPr>
              <w:t>2.03 [1.23, 3.33]</w:t>
            </w:r>
          </w:p>
        </w:tc>
        <w:tc>
          <w:tcPr>
            <w:tcW w:w="993" w:type="pct"/>
          </w:tcPr>
          <w:p w14:paraId="4FB54540" w14:textId="77777777" w:rsidR="006F33F3" w:rsidRPr="00E20580" w:rsidRDefault="006F33F3" w:rsidP="006F33F3">
            <w:pPr>
              <w:pStyle w:val="TableText0"/>
              <w:jc w:val="center"/>
              <w:rPr>
                <w:b/>
              </w:rPr>
            </w:pPr>
            <w:r w:rsidRPr="00E20580">
              <w:rPr>
                <w:b/>
              </w:rPr>
              <w:t>0.17 [0.05, 0.29]</w:t>
            </w:r>
          </w:p>
        </w:tc>
      </w:tr>
      <w:tr w:rsidR="006F33F3" w:rsidRPr="00080200" w14:paraId="1914CC2F" w14:textId="77777777" w:rsidTr="00B027D1">
        <w:tc>
          <w:tcPr>
            <w:tcW w:w="705" w:type="pct"/>
          </w:tcPr>
          <w:p w14:paraId="2AF6C164" w14:textId="77777777" w:rsidR="006F33F3" w:rsidRPr="00E20580" w:rsidRDefault="006F33F3" w:rsidP="006F33F3">
            <w:pPr>
              <w:pStyle w:val="TableText0"/>
            </w:pPr>
            <w:r w:rsidRPr="00E20580">
              <w:t>ITC result</w:t>
            </w:r>
          </w:p>
        </w:tc>
        <w:tc>
          <w:tcPr>
            <w:tcW w:w="629" w:type="pct"/>
          </w:tcPr>
          <w:p w14:paraId="5765EAC6" w14:textId="77777777" w:rsidR="006F33F3" w:rsidRPr="00E20580" w:rsidRDefault="006F33F3" w:rsidP="006F33F3">
            <w:pPr>
              <w:pStyle w:val="TableText0"/>
              <w:jc w:val="center"/>
            </w:pPr>
            <w:r w:rsidRPr="00E20580">
              <w:t>–</w:t>
            </w:r>
          </w:p>
        </w:tc>
        <w:tc>
          <w:tcPr>
            <w:tcW w:w="835" w:type="pct"/>
          </w:tcPr>
          <w:p w14:paraId="7BEC98C6" w14:textId="77777777" w:rsidR="006F33F3" w:rsidRPr="00E20580" w:rsidRDefault="006F33F3" w:rsidP="006F33F3">
            <w:pPr>
              <w:pStyle w:val="TableText0"/>
              <w:jc w:val="center"/>
            </w:pPr>
            <w:r w:rsidRPr="00E20580">
              <w:t>–</w:t>
            </w:r>
          </w:p>
        </w:tc>
        <w:tc>
          <w:tcPr>
            <w:tcW w:w="817" w:type="pct"/>
          </w:tcPr>
          <w:p w14:paraId="3EADE4E2" w14:textId="77777777" w:rsidR="006F33F3" w:rsidRPr="00E20580" w:rsidRDefault="006F33F3" w:rsidP="006F33F3">
            <w:pPr>
              <w:pStyle w:val="TableText0"/>
              <w:jc w:val="center"/>
            </w:pPr>
            <w:r w:rsidRPr="00E20580">
              <w:t>–</w:t>
            </w:r>
          </w:p>
        </w:tc>
        <w:tc>
          <w:tcPr>
            <w:tcW w:w="1021" w:type="pct"/>
          </w:tcPr>
          <w:p w14:paraId="30327CCE" w14:textId="77777777" w:rsidR="006F33F3" w:rsidRPr="00E20580" w:rsidRDefault="006F33F3" w:rsidP="006F33F3">
            <w:pPr>
              <w:pStyle w:val="TableText0"/>
              <w:jc w:val="center"/>
            </w:pPr>
            <w:r w:rsidRPr="00E20580">
              <w:t>0.788 [0.402, 1.544] (p = 0.488)</w:t>
            </w:r>
          </w:p>
        </w:tc>
        <w:tc>
          <w:tcPr>
            <w:tcW w:w="993" w:type="pct"/>
          </w:tcPr>
          <w:p w14:paraId="1BEAC859" w14:textId="77777777" w:rsidR="006F33F3" w:rsidRPr="00E20580" w:rsidRDefault="006F33F3" w:rsidP="006F33F3">
            <w:pPr>
              <w:pStyle w:val="TableText0"/>
              <w:jc w:val="center"/>
            </w:pPr>
            <w:r w:rsidRPr="00E20580">
              <w:t>-0.05 [-0.216, 0.116] (p = 0.5555)</w:t>
            </w:r>
          </w:p>
        </w:tc>
      </w:tr>
      <w:tr w:rsidR="006F33F3" w:rsidRPr="00080200" w14:paraId="0063CBD5" w14:textId="77777777" w:rsidTr="006F33F3">
        <w:tc>
          <w:tcPr>
            <w:tcW w:w="5000" w:type="pct"/>
            <w:gridSpan w:val="6"/>
            <w:shd w:val="clear" w:color="auto" w:fill="D9D9D9" w:themeFill="background1" w:themeFillShade="D9"/>
          </w:tcPr>
          <w:p w14:paraId="3E6694B5" w14:textId="3F2652B3" w:rsidR="006F33F3" w:rsidRPr="00080200" w:rsidRDefault="006F33F3" w:rsidP="006F33F3">
            <w:pPr>
              <w:pStyle w:val="TableText0"/>
            </w:pPr>
            <w:r w:rsidRPr="00E4533A">
              <w:rPr>
                <w:b/>
                <w:bCs w:val="0"/>
              </w:rPr>
              <w:t xml:space="preserve">Clinical </w:t>
            </w:r>
            <w:r>
              <w:rPr>
                <w:b/>
                <w:bCs w:val="0"/>
              </w:rPr>
              <w:t>response</w:t>
            </w:r>
            <w:r w:rsidRPr="00E4533A">
              <w:rPr>
                <w:b/>
                <w:bCs w:val="0"/>
              </w:rPr>
              <w:t xml:space="preserve"> (</w:t>
            </w:r>
            <w:r w:rsidRPr="00FA484A">
              <w:rPr>
                <w:b/>
                <w:bCs w:val="0"/>
              </w:rPr>
              <w:t>reduction of &gt;100 points in CDAI score from baseline</w:t>
            </w:r>
            <w:r w:rsidRPr="00E4533A">
              <w:rPr>
                <w:b/>
                <w:bCs w:val="0"/>
              </w:rPr>
              <w:t>)</w:t>
            </w:r>
          </w:p>
        </w:tc>
      </w:tr>
      <w:tr w:rsidR="006F33F3" w:rsidRPr="00080200" w14:paraId="55CDE5BE" w14:textId="77777777" w:rsidTr="00B027D1">
        <w:tc>
          <w:tcPr>
            <w:tcW w:w="705" w:type="pct"/>
          </w:tcPr>
          <w:p w14:paraId="0F8F6952" w14:textId="77777777" w:rsidR="006F33F3" w:rsidRPr="00E20580" w:rsidRDefault="006F33F3" w:rsidP="006F33F3">
            <w:pPr>
              <w:pStyle w:val="TableText0"/>
            </w:pPr>
            <w:r w:rsidRPr="00E20580">
              <w:t>RISA vs PBO</w:t>
            </w:r>
          </w:p>
        </w:tc>
        <w:tc>
          <w:tcPr>
            <w:tcW w:w="629" w:type="pct"/>
          </w:tcPr>
          <w:p w14:paraId="0BC83873" w14:textId="77777777" w:rsidR="006F33F3" w:rsidRPr="00E20580" w:rsidRDefault="006F33F3" w:rsidP="006F33F3">
            <w:pPr>
              <w:pStyle w:val="TableText0"/>
              <w:jc w:val="center"/>
            </w:pPr>
            <w:r w:rsidRPr="00E20580">
              <w:t>FORTIFY</w:t>
            </w:r>
          </w:p>
        </w:tc>
        <w:tc>
          <w:tcPr>
            <w:tcW w:w="835" w:type="pct"/>
          </w:tcPr>
          <w:p w14:paraId="1B2A4477" w14:textId="77777777" w:rsidR="006F33F3" w:rsidRPr="00E20580" w:rsidRDefault="006F33F3" w:rsidP="006F33F3">
            <w:pPr>
              <w:pStyle w:val="TableText0"/>
              <w:jc w:val="center"/>
            </w:pPr>
            <w:r w:rsidRPr="00E20580">
              <w:t>87/141 (61.7)</w:t>
            </w:r>
          </w:p>
        </w:tc>
        <w:tc>
          <w:tcPr>
            <w:tcW w:w="817" w:type="pct"/>
          </w:tcPr>
          <w:p w14:paraId="3F91471A" w14:textId="77777777" w:rsidR="006F33F3" w:rsidRPr="00E20580" w:rsidRDefault="006F33F3" w:rsidP="006F33F3">
            <w:pPr>
              <w:pStyle w:val="TableText0"/>
              <w:jc w:val="center"/>
            </w:pPr>
            <w:r w:rsidRPr="00E20580">
              <w:t>79/164 (48.2)</w:t>
            </w:r>
          </w:p>
        </w:tc>
        <w:tc>
          <w:tcPr>
            <w:tcW w:w="1021" w:type="pct"/>
          </w:tcPr>
          <w:p w14:paraId="43619380" w14:textId="77777777" w:rsidR="006F33F3" w:rsidRPr="00E20580" w:rsidRDefault="006F33F3" w:rsidP="006F33F3">
            <w:pPr>
              <w:pStyle w:val="TableText0"/>
              <w:jc w:val="center"/>
              <w:rPr>
                <w:b/>
              </w:rPr>
            </w:pPr>
            <w:r w:rsidRPr="00E20580">
              <w:rPr>
                <w:b/>
              </w:rPr>
              <w:t>1.73 [1.10, 2.74]</w:t>
            </w:r>
          </w:p>
        </w:tc>
        <w:tc>
          <w:tcPr>
            <w:tcW w:w="993" w:type="pct"/>
          </w:tcPr>
          <w:p w14:paraId="1164744A" w14:textId="77777777" w:rsidR="006F33F3" w:rsidRPr="00E20580" w:rsidRDefault="006F33F3" w:rsidP="006F33F3">
            <w:pPr>
              <w:pStyle w:val="TableText0"/>
              <w:jc w:val="center"/>
              <w:rPr>
                <w:b/>
              </w:rPr>
            </w:pPr>
            <w:r w:rsidRPr="00E20580">
              <w:rPr>
                <w:b/>
              </w:rPr>
              <w:t>0.14 [0.02, 0.25]</w:t>
            </w:r>
          </w:p>
        </w:tc>
      </w:tr>
      <w:tr w:rsidR="006F33F3" w:rsidRPr="00080200" w14:paraId="225870CC" w14:textId="77777777" w:rsidTr="00B027D1">
        <w:tc>
          <w:tcPr>
            <w:tcW w:w="705" w:type="pct"/>
          </w:tcPr>
          <w:p w14:paraId="56F37FF7" w14:textId="77777777" w:rsidR="006F33F3" w:rsidRPr="00E20580" w:rsidRDefault="006F33F3" w:rsidP="006F33F3">
            <w:pPr>
              <w:pStyle w:val="TableText0"/>
            </w:pPr>
            <w:r w:rsidRPr="00E20580">
              <w:t>USTE vs PBO</w:t>
            </w:r>
          </w:p>
        </w:tc>
        <w:tc>
          <w:tcPr>
            <w:tcW w:w="629" w:type="pct"/>
          </w:tcPr>
          <w:p w14:paraId="56810DAE" w14:textId="77777777" w:rsidR="006F33F3" w:rsidRPr="00E20580" w:rsidRDefault="006F33F3" w:rsidP="006F33F3">
            <w:pPr>
              <w:pStyle w:val="TableText0"/>
              <w:jc w:val="center"/>
            </w:pPr>
            <w:r w:rsidRPr="00E20580">
              <w:t>IM UNITI</w:t>
            </w:r>
          </w:p>
        </w:tc>
        <w:tc>
          <w:tcPr>
            <w:tcW w:w="835" w:type="pct"/>
          </w:tcPr>
          <w:p w14:paraId="2FF6BC15" w14:textId="77777777" w:rsidR="006F33F3" w:rsidRPr="00E20580" w:rsidRDefault="006F33F3" w:rsidP="006F33F3">
            <w:pPr>
              <w:pStyle w:val="TableText0"/>
              <w:jc w:val="center"/>
            </w:pPr>
            <w:r w:rsidRPr="00E20580">
              <w:t>76/128 (59.38)</w:t>
            </w:r>
          </w:p>
        </w:tc>
        <w:tc>
          <w:tcPr>
            <w:tcW w:w="817" w:type="pct"/>
          </w:tcPr>
          <w:p w14:paraId="279A2C60" w14:textId="77777777" w:rsidR="006F33F3" w:rsidRPr="00E20580" w:rsidRDefault="006F33F3" w:rsidP="006F33F3">
            <w:pPr>
              <w:pStyle w:val="TableText0"/>
              <w:jc w:val="center"/>
            </w:pPr>
            <w:r w:rsidRPr="00E20580">
              <w:t>58/131 (44.27)</w:t>
            </w:r>
          </w:p>
        </w:tc>
        <w:tc>
          <w:tcPr>
            <w:tcW w:w="1021" w:type="pct"/>
          </w:tcPr>
          <w:p w14:paraId="60A521EF" w14:textId="77777777" w:rsidR="006F33F3" w:rsidRPr="00E20580" w:rsidRDefault="006F33F3" w:rsidP="006F33F3">
            <w:pPr>
              <w:pStyle w:val="TableText0"/>
              <w:jc w:val="center"/>
              <w:rPr>
                <w:b/>
              </w:rPr>
            </w:pPr>
            <w:r w:rsidRPr="00E20580">
              <w:rPr>
                <w:b/>
              </w:rPr>
              <w:t>1.84 [1.12, 3.01]</w:t>
            </w:r>
          </w:p>
        </w:tc>
        <w:tc>
          <w:tcPr>
            <w:tcW w:w="993" w:type="pct"/>
          </w:tcPr>
          <w:p w14:paraId="3A13BD78" w14:textId="77777777" w:rsidR="006F33F3" w:rsidRPr="00E20580" w:rsidRDefault="006F33F3" w:rsidP="006F33F3">
            <w:pPr>
              <w:pStyle w:val="TableText0"/>
              <w:jc w:val="center"/>
              <w:rPr>
                <w:b/>
              </w:rPr>
            </w:pPr>
            <w:r w:rsidRPr="00E20580">
              <w:rPr>
                <w:b/>
              </w:rPr>
              <w:t>0.15 [0.03, 0.27]</w:t>
            </w:r>
          </w:p>
        </w:tc>
      </w:tr>
      <w:tr w:rsidR="006F33F3" w:rsidRPr="00080200" w14:paraId="1B91DD82" w14:textId="77777777" w:rsidTr="00B027D1">
        <w:tc>
          <w:tcPr>
            <w:tcW w:w="705" w:type="pct"/>
          </w:tcPr>
          <w:p w14:paraId="35EC1189" w14:textId="77777777" w:rsidR="006F33F3" w:rsidRPr="00E20580" w:rsidRDefault="006F33F3" w:rsidP="006F33F3">
            <w:pPr>
              <w:pStyle w:val="TableText0"/>
            </w:pPr>
            <w:r w:rsidRPr="00E20580">
              <w:t>ITC result</w:t>
            </w:r>
          </w:p>
        </w:tc>
        <w:tc>
          <w:tcPr>
            <w:tcW w:w="629" w:type="pct"/>
          </w:tcPr>
          <w:p w14:paraId="3C697CED" w14:textId="77777777" w:rsidR="006F33F3" w:rsidRPr="00E20580" w:rsidRDefault="006F33F3" w:rsidP="006F33F3">
            <w:pPr>
              <w:pStyle w:val="TableText0"/>
              <w:jc w:val="center"/>
            </w:pPr>
            <w:r w:rsidRPr="00E20580">
              <w:t>–</w:t>
            </w:r>
          </w:p>
        </w:tc>
        <w:tc>
          <w:tcPr>
            <w:tcW w:w="835" w:type="pct"/>
          </w:tcPr>
          <w:p w14:paraId="35EA66DE" w14:textId="77777777" w:rsidR="006F33F3" w:rsidRPr="00E20580" w:rsidRDefault="006F33F3" w:rsidP="006F33F3">
            <w:pPr>
              <w:pStyle w:val="TableText0"/>
              <w:jc w:val="center"/>
            </w:pPr>
            <w:r w:rsidRPr="00E20580">
              <w:t>–</w:t>
            </w:r>
          </w:p>
        </w:tc>
        <w:tc>
          <w:tcPr>
            <w:tcW w:w="817" w:type="pct"/>
          </w:tcPr>
          <w:p w14:paraId="7C791329" w14:textId="77777777" w:rsidR="006F33F3" w:rsidRPr="00E20580" w:rsidRDefault="006F33F3" w:rsidP="006F33F3">
            <w:pPr>
              <w:pStyle w:val="TableText0"/>
              <w:jc w:val="center"/>
            </w:pPr>
            <w:r w:rsidRPr="00E20580">
              <w:t>–</w:t>
            </w:r>
          </w:p>
        </w:tc>
        <w:tc>
          <w:tcPr>
            <w:tcW w:w="1021" w:type="pct"/>
          </w:tcPr>
          <w:p w14:paraId="4BE0F4CB" w14:textId="77777777" w:rsidR="006F33F3" w:rsidRPr="00E20580" w:rsidRDefault="006F33F3" w:rsidP="006F33F3">
            <w:pPr>
              <w:pStyle w:val="TableText0"/>
              <w:jc w:val="center"/>
            </w:pPr>
            <w:r w:rsidRPr="00E20580">
              <w:t>0.94 [0.48, 1.842] (p = 0.8575)</w:t>
            </w:r>
          </w:p>
        </w:tc>
        <w:tc>
          <w:tcPr>
            <w:tcW w:w="993" w:type="pct"/>
          </w:tcPr>
          <w:p w14:paraId="101BF4FA" w14:textId="77777777" w:rsidR="006F33F3" w:rsidRPr="00E20580" w:rsidRDefault="006F33F3" w:rsidP="006F33F3">
            <w:pPr>
              <w:pStyle w:val="TableText0"/>
              <w:jc w:val="center"/>
            </w:pPr>
            <w:r w:rsidRPr="00E20580">
              <w:t>-0.01 [-0.176, 0.156] (p = 0.9061)</w:t>
            </w:r>
          </w:p>
        </w:tc>
      </w:tr>
    </w:tbl>
    <w:p w14:paraId="45EB9107" w14:textId="77777777" w:rsidR="009A5000" w:rsidRPr="008F5349" w:rsidRDefault="009A5000" w:rsidP="009A5000">
      <w:pPr>
        <w:pStyle w:val="TableFigureFooter"/>
      </w:pPr>
      <w:r>
        <w:t>Source: Table 2.40, p119 of the submission</w:t>
      </w:r>
    </w:p>
    <w:p w14:paraId="79279A59" w14:textId="77777777" w:rsidR="009A5000" w:rsidRDefault="009A5000" w:rsidP="009A5000">
      <w:pPr>
        <w:pStyle w:val="TableFigureFooter"/>
        <w:rPr>
          <w:vertAlign w:val="superscript"/>
        </w:rPr>
      </w:pPr>
      <w:r w:rsidRPr="00080200">
        <w:t>Abbreviations: –, not required; CI, confidence interval; n, number of participants with event; N, total number of participants in group; OR, odds ratio; RD, risk difference</w:t>
      </w:r>
      <w:r>
        <w:t xml:space="preserve">; RISA, risankizumab; PBO, placebo; UST, ustekinumab; ITC, indirect treatment comparison. </w:t>
      </w:r>
      <w:r w:rsidRPr="00760F9E">
        <w:rPr>
          <w:rFonts w:eastAsia="Calibri"/>
          <w:b/>
        </w:rPr>
        <w:t>Bold</w:t>
      </w:r>
      <w:r>
        <w:rPr>
          <w:rFonts w:eastAsia="Calibri"/>
        </w:rPr>
        <w:t xml:space="preserve"> indicates statistically significant results.</w:t>
      </w:r>
      <w:r w:rsidRPr="001C7489">
        <w:rPr>
          <w:vertAlign w:val="superscript"/>
        </w:rPr>
        <w:t xml:space="preserve"> </w:t>
      </w:r>
    </w:p>
    <w:p w14:paraId="7F593C3E" w14:textId="77777777" w:rsidR="009A5000" w:rsidRPr="00080200" w:rsidRDefault="009A5000" w:rsidP="009A5000">
      <w:pPr>
        <w:pStyle w:val="TableFigureFooter"/>
      </w:pPr>
      <w:r w:rsidRPr="00080200">
        <w:rPr>
          <w:vertAlign w:val="superscript"/>
        </w:rPr>
        <w:t>a</w:t>
      </w:r>
      <w:r w:rsidRPr="00080200">
        <w:t xml:space="preserve">&gt;1 favours RISA in ITC; </w:t>
      </w:r>
      <w:r w:rsidRPr="00080200">
        <w:rPr>
          <w:vertAlign w:val="superscript"/>
        </w:rPr>
        <w:t>b</w:t>
      </w:r>
      <w:r w:rsidRPr="00080200">
        <w:t>&gt;0 favours RISA in ITC</w:t>
      </w:r>
    </w:p>
    <w:p w14:paraId="00986AC1" w14:textId="58D48899" w:rsidR="00AC5B69" w:rsidRDefault="001863B4" w:rsidP="00465970">
      <w:pPr>
        <w:pStyle w:val="3-BodyText"/>
        <w:ind w:left="709"/>
      </w:pPr>
      <w:r>
        <w:t>A</w:t>
      </w:r>
      <w:r w:rsidR="00AC5B69" w:rsidRPr="00AC5B69">
        <w:t xml:space="preserve"> statistically significant greater proportion of patients treated with risankizumab compared to placebo achieved clinical remission (CDAI&lt;150) at week 12 (induction phase) and at week 64 (maintenance phase).</w:t>
      </w:r>
      <w:r w:rsidR="00AC5B69">
        <w:t xml:space="preserve"> Similarly, </w:t>
      </w:r>
      <w:r w:rsidR="00AC5B69" w:rsidRPr="00AC5B69">
        <w:t>a statistically significant greater proportion of patients treated with ustekinumab compared to placebo achieved clinical remission (CDAI&lt;150) at week 8 (induction phase) and at week 52 (maintenance phase).</w:t>
      </w:r>
    </w:p>
    <w:p w14:paraId="7F51BA63" w14:textId="409A487B" w:rsidR="00AC5B69" w:rsidRDefault="00AC5B69" w:rsidP="00465970">
      <w:pPr>
        <w:pStyle w:val="3-BodyText"/>
        <w:ind w:left="709"/>
      </w:pPr>
      <w:r w:rsidRPr="00AC5B69">
        <w:t xml:space="preserve">Three of the risankizumab trials (all except M15-993) showed a statistically significant greater proportion of patients achieved a clinical response when treated with risankizumab compared to placebo at week 12 (induction phase) and at week 64 (maintenance phase). </w:t>
      </w:r>
      <w:r w:rsidRPr="00C46A74">
        <w:t xml:space="preserve">The confidence interval of results from M15-993 (induction phase) crossed the null – OR 2.36 </w:t>
      </w:r>
      <w:r w:rsidR="00425551" w:rsidRPr="00C46A74">
        <w:t xml:space="preserve">(95%CI: </w:t>
      </w:r>
      <w:r w:rsidRPr="00C46A74">
        <w:t>0.90, 6.23</w:t>
      </w:r>
      <w:r w:rsidR="00425551" w:rsidRPr="00C46A74">
        <w:t>)</w:t>
      </w:r>
      <w:r w:rsidRPr="00C46A74">
        <w:t xml:space="preserve"> and RD 0.18 </w:t>
      </w:r>
      <w:r w:rsidR="00425551" w:rsidRPr="00C46A74">
        <w:t xml:space="preserve">(95%CI: </w:t>
      </w:r>
      <w:r w:rsidRPr="00C46A74">
        <w:t>-0.02, 0.38</w:t>
      </w:r>
      <w:r w:rsidR="00425551" w:rsidRPr="00C46A74">
        <w:t>)</w:t>
      </w:r>
      <w:r w:rsidRPr="00C46A74">
        <w:t>.</w:t>
      </w:r>
      <w:r w:rsidR="00DD3DC2" w:rsidRPr="00C46A74">
        <w:t xml:space="preserve"> M15-993 had smaller patient numbers (N=80) and lower statistical power (82% power)</w:t>
      </w:r>
      <w:r w:rsidR="00DD3DC2" w:rsidRPr="008A4B69">
        <w:rPr>
          <w:iCs/>
        </w:rPr>
        <w:t xml:space="preserve"> </w:t>
      </w:r>
      <w:r w:rsidR="00DD3DC2" w:rsidRPr="00C46A74">
        <w:t xml:space="preserve">compared to other three risankizumab trials. </w:t>
      </w:r>
      <w:r w:rsidRPr="00C46A74">
        <w:t xml:space="preserve"> In</w:t>
      </w:r>
      <w:r w:rsidRPr="00AC5B69">
        <w:t xml:space="preserve"> all ustekinumab trials (UNITI-I, UNITI-II and IM-UNITI) a statistically significant greater proportion of patients treated with ustekinumab compared to placebo achieved clinical response at week 8 (induction phase) and at week 52 (maintenance phase).</w:t>
      </w:r>
    </w:p>
    <w:p w14:paraId="5E70D39A" w14:textId="3C3D197D" w:rsidR="00AC5B69" w:rsidRPr="00E9248C" w:rsidRDefault="00AC5B69" w:rsidP="00465970">
      <w:pPr>
        <w:pStyle w:val="3-BodyText"/>
        <w:ind w:left="709"/>
      </w:pPr>
      <w:r w:rsidRPr="00C46A74">
        <w:t xml:space="preserve">Patients that were randomised in FORTIFY were patients from either ADVANCE and MOTIVATE trials who responded to treatment and these patients had different induction doses. Subgrouping by induction dose </w:t>
      </w:r>
      <w:r w:rsidR="00FC136D" w:rsidRPr="00C46A74">
        <w:t>(either 1200</w:t>
      </w:r>
      <w:r w:rsidR="00EB59E1" w:rsidRPr="00C46A74">
        <w:t xml:space="preserve"> </w:t>
      </w:r>
      <w:r w:rsidR="00FC136D" w:rsidRPr="00C46A74">
        <w:t>mg IV or 600</w:t>
      </w:r>
      <w:r w:rsidR="00EB59E1" w:rsidRPr="00C46A74">
        <w:t xml:space="preserve"> </w:t>
      </w:r>
      <w:r w:rsidR="00FC136D" w:rsidRPr="00C46A74">
        <w:t xml:space="preserve">mg IV) </w:t>
      </w:r>
      <w:r w:rsidRPr="00C46A74">
        <w:t xml:space="preserve">was pre-specified and stratified at randomisation. </w:t>
      </w:r>
      <w:r w:rsidR="00FC136D" w:rsidRPr="00C46A74">
        <w:t>Patients whose last induction dose was 600</w:t>
      </w:r>
      <w:r w:rsidR="00951EBE" w:rsidRPr="00C46A74">
        <w:t xml:space="preserve"> </w:t>
      </w:r>
      <w:r w:rsidR="00FC136D" w:rsidRPr="00C46A74">
        <w:t xml:space="preserve">mg IV (proposed PBS induction dose) did not show a statistically significant difference in </w:t>
      </w:r>
      <w:r w:rsidR="002A3AC6" w:rsidRPr="00C46A74">
        <w:t>clinical remission</w:t>
      </w:r>
      <w:r w:rsidR="00FC136D" w:rsidRPr="00C46A74">
        <w:t xml:space="preserve"> compared to placebo (</w:t>
      </w:r>
      <w:r w:rsidR="002A3AC6" w:rsidRPr="00C46A74">
        <w:t xml:space="preserve">51.9% vs 50.7%; </w:t>
      </w:r>
      <w:r w:rsidR="00FC136D" w:rsidRPr="00C46A74">
        <w:t xml:space="preserve">response rate difference 1.2% (95%CI: -15.7, 26.9%)) (Table 9, p108 FORTIFY CSR). </w:t>
      </w:r>
      <w:r w:rsidR="002A3AC6" w:rsidRPr="00C46A74">
        <w:t xml:space="preserve">This contrasts with the statistically significant result presented in the submission when all patients were analysed together regardless of induction dose. </w:t>
      </w:r>
      <w:r w:rsidR="00FC136D" w:rsidRPr="00C46A74">
        <w:t xml:space="preserve">The overall results were likely driven </w:t>
      </w:r>
      <w:r w:rsidR="00251E1F" w:rsidRPr="00C46A74">
        <w:t>by the low placebo rates in the subgroup of patients who had the higher induction dose.</w:t>
      </w:r>
      <w:r w:rsidR="00766EB9">
        <w:t xml:space="preserve"> </w:t>
      </w:r>
    </w:p>
    <w:p w14:paraId="6D65615F" w14:textId="16037F88" w:rsidR="00E9248C" w:rsidRPr="00C46A74" w:rsidRDefault="00E9248C" w:rsidP="00465970">
      <w:pPr>
        <w:pStyle w:val="3-BodyText"/>
        <w:ind w:left="709"/>
      </w:pPr>
      <w:r w:rsidRPr="008A4B69">
        <w:rPr>
          <w:iCs/>
        </w:rPr>
        <w:lastRenderedPageBreak/>
        <w:t>The PSCR argued that the full ITT population was the most appropriate basis upon which to evaluate the comparative effectiveness of risankizumab as the analyses by induction dosing subgroup would be underpowered to detect differences for the primary outcome (clinical remission). The ESC considered while it was appropriate undertake the indirect comparisons based on the ITT population of the FORTIFY trial, also noted there appeared to be differences in the placebo response rates between induction dosage arms in the pivotal trial (50.7% in cohort randomised to placebo after 600</w:t>
      </w:r>
      <w:r w:rsidR="00B35044" w:rsidRPr="008A4B69">
        <w:rPr>
          <w:iCs/>
        </w:rPr>
        <w:t xml:space="preserve"> </w:t>
      </w:r>
      <w:r w:rsidRPr="008A4B69">
        <w:rPr>
          <w:iCs/>
        </w:rPr>
        <w:t>mg induction dose, 32.6% in the cohort randomised to placebo after 1,200</w:t>
      </w:r>
      <w:r w:rsidR="00B35044" w:rsidRPr="008A4B69">
        <w:rPr>
          <w:iCs/>
        </w:rPr>
        <w:t xml:space="preserve"> </w:t>
      </w:r>
      <w:r w:rsidRPr="008A4B69">
        <w:rPr>
          <w:iCs/>
        </w:rPr>
        <w:t>mg induction dose (Table 9, pg. 108 of the FORTIFY CSR).  The ESC considered apparent lower placebo response rate in the subgroup who initially received the 1,200</w:t>
      </w:r>
      <w:r w:rsidR="00B35044" w:rsidRPr="008A4B69">
        <w:rPr>
          <w:iCs/>
        </w:rPr>
        <w:t xml:space="preserve"> </w:t>
      </w:r>
      <w:r w:rsidRPr="008A4B69">
        <w:rPr>
          <w:iCs/>
        </w:rPr>
        <w:t>mg dose may have driven the observed differences in results based on induction dose</w:t>
      </w:r>
      <w:r w:rsidR="00AE4048" w:rsidRPr="008A4B69">
        <w:rPr>
          <w:iCs/>
        </w:rPr>
        <w:t>.</w:t>
      </w:r>
      <w:r w:rsidR="00983275">
        <w:rPr>
          <w:iCs/>
        </w:rPr>
        <w:t xml:space="preserve"> The Pre-PBAC response </w:t>
      </w:r>
      <w:r w:rsidR="002B6094">
        <w:rPr>
          <w:iCs/>
        </w:rPr>
        <w:t>acknowledged and agreed with the ESC view that the</w:t>
      </w:r>
      <w:r w:rsidR="00983275">
        <w:rPr>
          <w:iCs/>
        </w:rPr>
        <w:t xml:space="preserve"> full ITT trial population </w:t>
      </w:r>
      <w:r w:rsidR="002B6094">
        <w:rPr>
          <w:iCs/>
        </w:rPr>
        <w:t>was the most appropriate basis for the indirect comparisons</w:t>
      </w:r>
      <w:r w:rsidR="00983275">
        <w:rPr>
          <w:iCs/>
        </w:rPr>
        <w:t xml:space="preserve"> and</w:t>
      </w:r>
      <w:r w:rsidR="00173EAD">
        <w:rPr>
          <w:iCs/>
        </w:rPr>
        <w:t xml:space="preserve"> noted</w:t>
      </w:r>
      <w:r w:rsidR="00983275">
        <w:rPr>
          <w:iCs/>
        </w:rPr>
        <w:t xml:space="preserve"> the FORTIFY trial demonstrated a statistically significant proportion of patients treated with risankizumab achieved clinical remission at week 64 (53% v 41%, risk difference [95% CI] 0.12 [0.00, 0.23]) when compared to placebo. The Sponsor acknowledged the differences in placebo rates as highlighted by ESC</w:t>
      </w:r>
      <w:r w:rsidR="00530865">
        <w:rPr>
          <w:iCs/>
        </w:rPr>
        <w:t xml:space="preserve"> but</w:t>
      </w:r>
      <w:r w:rsidR="00983275">
        <w:rPr>
          <w:iCs/>
        </w:rPr>
        <w:t xml:space="preserve"> noted the TGA did not request for additional clarification on outcomes by dosing subgroup. </w:t>
      </w:r>
    </w:p>
    <w:p w14:paraId="2F548AB4" w14:textId="5BC3B1B2" w:rsidR="00AC5B69" w:rsidRPr="00C46A74" w:rsidRDefault="00AC5B69" w:rsidP="00465970">
      <w:pPr>
        <w:pStyle w:val="3-BodyText"/>
        <w:ind w:left="709"/>
      </w:pPr>
      <w:r w:rsidRPr="00C46A74">
        <w:t>In FORTIFY, the secondary endpoint results (Table 12, p116 of FORTIFY CSR) showed that among subjects with CDAI remission at start of maintenance phase (i.e., those who would have met PBS continuing criteria), the proportion of patients in the risankizumab arm (68.6%) who achieved clinical remission was higher compared to placebo (48.2%), although not statistically significant after adjusting for this randomisation stratification factor. It does not appear that there is a difference in the treatment effect between those who achieved CDAI remission at start of maintenance phase (14.3%; 95%CI</w:t>
      </w:r>
      <w:r w:rsidR="008B45EE" w:rsidRPr="00C46A74">
        <w:t xml:space="preserve">: </w:t>
      </w:r>
      <w:r w:rsidRPr="00C46A74">
        <w:t>0.5</w:t>
      </w:r>
      <w:r w:rsidR="008B45EE" w:rsidRPr="00C46A74">
        <w:t>,</w:t>
      </w:r>
      <w:r w:rsidRPr="00C46A74">
        <w:t>28.1) and those using the less stringent criteria (14.6%; 95%CI</w:t>
      </w:r>
      <w:r w:rsidR="008B45EE" w:rsidRPr="00C46A74">
        <w:t xml:space="preserve">: </w:t>
      </w:r>
      <w:r w:rsidRPr="00C46A74">
        <w:t>4.3</w:t>
      </w:r>
      <w:r w:rsidR="008B45EE" w:rsidRPr="00C46A74">
        <w:t>,</w:t>
      </w:r>
      <w:r w:rsidRPr="00C46A74">
        <w:t>25).</w:t>
      </w:r>
    </w:p>
    <w:p w14:paraId="0080A55A" w14:textId="79DB6C66" w:rsidR="00AC5B69" w:rsidRPr="00AC5B69" w:rsidRDefault="00AC5B69" w:rsidP="00465970">
      <w:pPr>
        <w:pStyle w:val="3-BodyText"/>
        <w:ind w:left="709"/>
      </w:pPr>
      <w:r w:rsidRPr="00AC5B69">
        <w:t>For both clinical outcomes, results from the meta-analyses for risankizumab versus placebo and ustekinumab versus placebo showed that both biologics performed statistically better than placebo in both clinical remission and clinical response outcomes (p&lt;0.00001) at the end of the induction period. Heterogeneity across trials ranged between 0% and 48% and was not statistically significant.</w:t>
      </w:r>
    </w:p>
    <w:p w14:paraId="56A8FC98" w14:textId="71DA7D76" w:rsidR="00F84BB7" w:rsidRPr="008A4B69" w:rsidRDefault="002B6269" w:rsidP="00465970">
      <w:pPr>
        <w:pStyle w:val="3-BodyText"/>
        <w:ind w:left="709"/>
        <w:rPr>
          <w:iCs/>
        </w:rPr>
      </w:pPr>
      <w:r w:rsidRPr="0022083A">
        <w:t>There was no statistically significant difference in the efficacy results between risankizumab and ustekinumab based on the indirect comparison presented.</w:t>
      </w:r>
      <w:r w:rsidR="00AC5B69" w:rsidRPr="008A4B69">
        <w:rPr>
          <w:iCs/>
        </w:rPr>
        <w:t xml:space="preserve"> </w:t>
      </w:r>
      <w:r w:rsidR="00FA3450" w:rsidRPr="00BA7230">
        <w:rPr>
          <w:rFonts w:cstheme="minorBidi"/>
          <w:iCs/>
        </w:rPr>
        <w:t>A non-inferiority margin was not nominated by the submission to assist with interpretation of the evidence.</w:t>
      </w:r>
      <w:r w:rsidR="009A59D7" w:rsidRPr="00BA7230">
        <w:rPr>
          <w:rFonts w:cstheme="minorBidi"/>
          <w:iCs/>
        </w:rPr>
        <w:t xml:space="preserve"> </w:t>
      </w:r>
      <w:r w:rsidR="00F84BB7" w:rsidRPr="170A8049">
        <w:rPr>
          <w:rFonts w:cstheme="minorBidi"/>
        </w:rPr>
        <w:t xml:space="preserve">The submission </w:t>
      </w:r>
      <w:r w:rsidR="009A59D7" w:rsidRPr="009A59D7">
        <w:rPr>
          <w:rFonts w:cstheme="minorBidi"/>
        </w:rPr>
        <w:t>stated</w:t>
      </w:r>
      <w:r w:rsidR="00F84BB7" w:rsidRPr="170A8049">
        <w:rPr>
          <w:rFonts w:cstheme="minorBidi"/>
        </w:rPr>
        <w:t xml:space="preserve"> </w:t>
      </w:r>
      <w:r w:rsidR="009A59D7">
        <w:rPr>
          <w:rFonts w:cstheme="minorBidi"/>
        </w:rPr>
        <w:t>that</w:t>
      </w:r>
      <w:r w:rsidR="00F84BB7" w:rsidRPr="170A8049">
        <w:rPr>
          <w:rFonts w:cstheme="minorBidi"/>
        </w:rPr>
        <w:t xml:space="preserve"> no non-inferiority margin has previously been considered by the PBAC for severe Crohn’s disease (vedolizumab PSD, March 2015; ustekinumab PSD, March 2017) or fistulising Crohn’s disease (adalimumab PSD, November 2010</w:t>
      </w:r>
      <w:r w:rsidR="00FA3450" w:rsidRPr="170A8049">
        <w:rPr>
          <w:rFonts w:cstheme="minorBidi"/>
        </w:rPr>
        <w:t xml:space="preserve">). </w:t>
      </w:r>
      <w:r w:rsidR="00F84BB7" w:rsidRPr="00C46A74">
        <w:t xml:space="preserve">The submission </w:t>
      </w:r>
      <w:r w:rsidR="00FA3450" w:rsidRPr="00C46A74">
        <w:t xml:space="preserve">also </w:t>
      </w:r>
      <w:r w:rsidR="00F84BB7" w:rsidRPr="00C46A74">
        <w:t>did not present a defined minimally clinically important difference (MCID) for any of the efficacy outcomes.</w:t>
      </w:r>
    </w:p>
    <w:p w14:paraId="2D7351B0" w14:textId="77777777" w:rsidR="000B2839" w:rsidRPr="00C46A74" w:rsidRDefault="000B2839" w:rsidP="00465970">
      <w:pPr>
        <w:pStyle w:val="3-BodyText"/>
        <w:ind w:left="709"/>
      </w:pPr>
      <w:r w:rsidRPr="00C46A74">
        <w:t>Some key considerations that may impact the transitivity assumption include:</w:t>
      </w:r>
    </w:p>
    <w:p w14:paraId="3C119638" w14:textId="29563AD0" w:rsidR="000B2839" w:rsidRPr="00C46A74" w:rsidRDefault="000B2839" w:rsidP="00873FBD">
      <w:pPr>
        <w:pStyle w:val="ListParagraph"/>
        <w:numPr>
          <w:ilvl w:val="0"/>
          <w:numId w:val="7"/>
        </w:numPr>
        <w:tabs>
          <w:tab w:val="num" w:pos="1080"/>
        </w:tabs>
        <w:ind w:left="1080"/>
      </w:pPr>
      <w:r w:rsidRPr="00C46A74">
        <w:lastRenderedPageBreak/>
        <w:t>The differences in prior treatment eligibility between trials resulting in patients exposed to different treatments prior and may have been intolerant or refractory. For example, patients in the risankizumab trials that have been exposed to adalimumab, infli</w:t>
      </w:r>
      <w:r w:rsidR="00DC619B" w:rsidRPr="00C46A74">
        <w:t>x</w:t>
      </w:r>
      <w:r w:rsidRPr="00C46A74">
        <w:t xml:space="preserve">imab, vedolizumab and ustekinumab while no patients in the ustekinumab trials have been exposed to any of these prior therapies. This could impact on the treatment effect and transitivity. However, the direction of the impact is unclear. </w:t>
      </w:r>
    </w:p>
    <w:p w14:paraId="09BCAE8D" w14:textId="2FB880E4" w:rsidR="000B2839" w:rsidRPr="00C46A74" w:rsidRDefault="000B2839" w:rsidP="00873FBD">
      <w:pPr>
        <w:pStyle w:val="ListParagraph"/>
        <w:numPr>
          <w:ilvl w:val="0"/>
          <w:numId w:val="7"/>
        </w:numPr>
        <w:tabs>
          <w:tab w:val="num" w:pos="1080"/>
        </w:tabs>
        <w:ind w:left="1080"/>
      </w:pPr>
      <w:r w:rsidRPr="00C46A74">
        <w:t>The proportion of patients on concomitant therapies appears to be higher in the ustekinumab trials – corticosteroids (ranges from 35.7 to 48.5% ustekinumab vs 28% to 36.4% risankizumab), 5-ASA (ranges from 20.1% to 44.5% ustekinumab vs 15.4% to 33.7% risankizumab) and immunomodulator ranges from 31.3% to 35.3% ustekinumab vs 18.8% to 46.2% risankizumab). This could impact on the treatment effect and transitivity. However, the direction of the impact is unclear.</w:t>
      </w:r>
    </w:p>
    <w:p w14:paraId="26810049" w14:textId="77777777" w:rsidR="000B2839" w:rsidRPr="00C46A74" w:rsidRDefault="000B2839" w:rsidP="00873FBD">
      <w:pPr>
        <w:pStyle w:val="ListParagraph"/>
        <w:numPr>
          <w:ilvl w:val="0"/>
          <w:numId w:val="7"/>
        </w:numPr>
        <w:ind w:left="1080"/>
      </w:pPr>
      <w:r w:rsidRPr="00C46A74">
        <w:t>In the maintenance phase trials (FORTIFY and IM-UNITI), the entry response criteria were different. The criteria in FORTIFY was based on SF/APS clinical response that was less stringent that that in IM-UNITI (CDAI clinical response).</w:t>
      </w:r>
    </w:p>
    <w:p w14:paraId="3DF4B8AD" w14:textId="031BD7E4" w:rsidR="000B2839" w:rsidRPr="00C46A74" w:rsidRDefault="000B2839" w:rsidP="00873FBD">
      <w:pPr>
        <w:pStyle w:val="ListParagraph"/>
        <w:numPr>
          <w:ilvl w:val="0"/>
          <w:numId w:val="7"/>
        </w:numPr>
        <w:ind w:left="1080"/>
      </w:pPr>
      <w:r w:rsidRPr="00C46A74">
        <w:t xml:space="preserve">There were differences in timing of assessments between the risankizumab and ustekinumab trials. For example, for induction, assessment was at Week 12 for risankizumab and Week 8 for ustekinumab and for maintenance, assessments were at Weeks 64 and 52 for risankizumab and ustekinumab respectively. This could impact the comparability between </w:t>
      </w:r>
      <w:r w:rsidR="00662751" w:rsidRPr="00C46A74">
        <w:t>trials;</w:t>
      </w:r>
      <w:r w:rsidRPr="00C46A74">
        <w:t xml:space="preserve"> however, the direction of impact is unclear.</w:t>
      </w:r>
    </w:p>
    <w:p w14:paraId="705D9B9D" w14:textId="794935CA" w:rsidR="000B2839" w:rsidRPr="00C46A74" w:rsidRDefault="000B2839" w:rsidP="00873FBD">
      <w:pPr>
        <w:pStyle w:val="ListParagraph"/>
        <w:numPr>
          <w:ilvl w:val="0"/>
          <w:numId w:val="7"/>
        </w:numPr>
        <w:tabs>
          <w:tab w:val="num" w:pos="1080"/>
        </w:tabs>
        <w:ind w:left="1080"/>
      </w:pPr>
      <w:r w:rsidRPr="00C46A74">
        <w:t xml:space="preserve">Across all maintenance trials, treatment </w:t>
      </w:r>
      <w:r w:rsidR="00662751" w:rsidRPr="00C46A74">
        <w:t>switching,</w:t>
      </w:r>
      <w:r w:rsidRPr="00C46A74">
        <w:t xml:space="preserve"> or rescue therapy was permitted if patients demonstrated inadequate response or had treatment flare. The timing of intervention varied between trials. This could impact the comparability between trials however, the direction of the impact is unclear.</w:t>
      </w:r>
    </w:p>
    <w:p w14:paraId="5227BCE9" w14:textId="63FC3781" w:rsidR="000B2839" w:rsidRPr="00C46A74" w:rsidRDefault="000B2839" w:rsidP="00873FBD">
      <w:pPr>
        <w:pStyle w:val="ListParagraph"/>
        <w:numPr>
          <w:ilvl w:val="0"/>
          <w:numId w:val="7"/>
        </w:numPr>
        <w:tabs>
          <w:tab w:val="num" w:pos="1080"/>
        </w:tabs>
        <w:ind w:left="1080"/>
      </w:pPr>
      <w:r w:rsidRPr="00C46A74">
        <w:t>The event rates in the placebo arm for risa</w:t>
      </w:r>
      <w:r w:rsidR="00DC619B" w:rsidRPr="00C46A74">
        <w:t>n</w:t>
      </w:r>
      <w:r w:rsidRPr="00C46A74">
        <w:t>kizumab trials were higher compared to placebo in the ustekinumab trials. For example, for the clinical remission outcome the pooled placebo response rate for risa</w:t>
      </w:r>
      <w:r w:rsidR="00DC619B" w:rsidRPr="00C46A74">
        <w:t>n</w:t>
      </w:r>
      <w:r w:rsidRPr="00C46A74">
        <w:t xml:space="preserve">kizumab trials was 21.4% compared to 12.9% in ustekinumab trials. </w:t>
      </w:r>
      <w:r w:rsidR="00552626" w:rsidRPr="00C46A74">
        <w:t>The difference in placebo response rate may also reflect differences in the populations recruited</w:t>
      </w:r>
      <w:r w:rsidR="002B59B0" w:rsidRPr="00C46A74">
        <w:t xml:space="preserve">, </w:t>
      </w:r>
      <w:r w:rsidR="00552626" w:rsidRPr="00C46A74">
        <w:t>concomitant medication use</w:t>
      </w:r>
      <w:r w:rsidR="002B59B0" w:rsidRPr="00C46A74">
        <w:t xml:space="preserve"> or response criteria</w:t>
      </w:r>
      <w:r w:rsidR="00552626" w:rsidRPr="00C46A74">
        <w:t xml:space="preserve">. </w:t>
      </w:r>
      <w:r w:rsidR="00EB0EFF" w:rsidRPr="00C46A74">
        <w:t>This may bias against risankizumab in the indirect comparison.</w:t>
      </w:r>
      <w:r w:rsidR="009B4B0B" w:rsidRPr="00C46A74">
        <w:t xml:space="preserve"> </w:t>
      </w:r>
    </w:p>
    <w:p w14:paraId="1F9597F8" w14:textId="5C03CF37" w:rsidR="00F132BD" w:rsidRPr="008A4B69" w:rsidRDefault="00F132BD" w:rsidP="00465970">
      <w:pPr>
        <w:pStyle w:val="3-BodyText"/>
        <w:ind w:left="709"/>
        <w:rPr>
          <w:iCs/>
        </w:rPr>
      </w:pPr>
      <w:r>
        <w:t xml:space="preserve">The submission also presented </w:t>
      </w:r>
      <w:r w:rsidRPr="00F132BD">
        <w:t>supplementary analyses comparing risankizumab to other PBS-listed biologics (adalimumab, infliximab and vedolizumab). The submission performed a series of secondary ITCs for the induction and maintenance phases comparing risankizumab with ustekinumab, adalimumab, infliximab and vedolizumab via placebo.</w:t>
      </w:r>
      <w:r>
        <w:t xml:space="preserve"> </w:t>
      </w:r>
      <w:r w:rsidRPr="00C46A74">
        <w:t>Only results based on the clinical remission (CDAI&lt;150) outcome were presented</w:t>
      </w:r>
      <w:r w:rsidR="00B91AA6" w:rsidRPr="00C46A74">
        <w:t xml:space="preserve"> in the submission</w:t>
      </w:r>
      <w:r w:rsidRPr="00C46A74">
        <w:t>.</w:t>
      </w:r>
    </w:p>
    <w:p w14:paraId="6D632B3B" w14:textId="1EB1DD49" w:rsidR="00F132BD" w:rsidRPr="008A4B69" w:rsidRDefault="00F132BD" w:rsidP="00465970">
      <w:pPr>
        <w:pStyle w:val="3-BodyText"/>
        <w:ind w:left="709"/>
        <w:rPr>
          <w:rFonts w:cstheme="minorBidi"/>
        </w:rPr>
      </w:pPr>
      <w:bookmarkStart w:id="20" w:name="_Ref106009133"/>
      <w:r>
        <w:lastRenderedPageBreak/>
        <w:t>Results for the</w:t>
      </w:r>
      <w:r w:rsidR="00B72895">
        <w:t xml:space="preserve"> supplementary analyses in the</w:t>
      </w:r>
      <w:r>
        <w:t xml:space="preserve"> induction phase indicated that overall, there were no statistically significant differences in the clinical remission outcomes when comparing risankizumab against adalimumab. </w:t>
      </w:r>
      <w:r w:rsidRPr="00C46A74">
        <w:t xml:space="preserve">The </w:t>
      </w:r>
      <w:r w:rsidRPr="00C46A74">
        <w:rPr>
          <w:rFonts w:cstheme="minorBidi"/>
        </w:rPr>
        <w:t>ITC result based on risk difference show a statistically significant difference (RD -0.23 (95%CI</w:t>
      </w:r>
      <w:r w:rsidR="008B45EE" w:rsidRPr="00C46A74">
        <w:rPr>
          <w:rFonts w:cstheme="minorBidi"/>
        </w:rPr>
        <w:t>:</w:t>
      </w:r>
      <w:r w:rsidRPr="00C46A74">
        <w:rPr>
          <w:rFonts w:cstheme="minorBidi"/>
        </w:rPr>
        <w:t xml:space="preserve"> -0.437</w:t>
      </w:r>
      <w:r w:rsidR="008B45EE" w:rsidRPr="00C46A74">
        <w:rPr>
          <w:rFonts w:cstheme="minorBidi"/>
        </w:rPr>
        <w:t>,</w:t>
      </w:r>
      <w:r w:rsidRPr="00C46A74">
        <w:rPr>
          <w:rFonts w:cstheme="minorBidi"/>
        </w:rPr>
        <w:t xml:space="preserve"> -0.023)) in favour of infliximab. The patient numbers were small (N=51) in the infliximab T16 trial. Conversely, when compared to vedolizumab, the ITC results based on risk difference show a statistically significant result (RD 0.14 (95%CI</w:t>
      </w:r>
      <w:r w:rsidR="008B45EE" w:rsidRPr="00C46A74">
        <w:rPr>
          <w:rFonts w:cstheme="minorBidi"/>
        </w:rPr>
        <w:t>:</w:t>
      </w:r>
      <w:r w:rsidRPr="00C46A74">
        <w:rPr>
          <w:rFonts w:cstheme="minorBidi"/>
        </w:rPr>
        <w:t xml:space="preserve"> 0.069</w:t>
      </w:r>
      <w:r w:rsidR="008B45EE" w:rsidRPr="00C46A74">
        <w:rPr>
          <w:rFonts w:cstheme="minorBidi"/>
        </w:rPr>
        <w:t xml:space="preserve">, </w:t>
      </w:r>
      <w:r w:rsidRPr="00C46A74">
        <w:rPr>
          <w:rFonts w:cstheme="minorBidi"/>
        </w:rPr>
        <w:t>0.211)) in favour of risankizumab.</w:t>
      </w:r>
      <w:bookmarkEnd w:id="20"/>
      <w:r w:rsidRPr="00C46A74">
        <w:rPr>
          <w:rFonts w:cstheme="minorBidi"/>
        </w:rPr>
        <w:t xml:space="preserve"> </w:t>
      </w:r>
    </w:p>
    <w:p w14:paraId="4240DB93" w14:textId="7C7E1C2C" w:rsidR="00F132BD" w:rsidRPr="00BC764A" w:rsidRDefault="00AE4048" w:rsidP="00465970">
      <w:pPr>
        <w:pStyle w:val="3-BodyText"/>
        <w:ind w:left="709"/>
        <w:rPr>
          <w:iCs/>
        </w:rPr>
      </w:pPr>
      <w:r>
        <w:rPr>
          <w:rFonts w:cstheme="minorBidi"/>
          <w:iCs/>
        </w:rPr>
        <w:t>There was no statistically significant difference in t</w:t>
      </w:r>
      <w:r w:rsidR="00F132BD" w:rsidRPr="00C46A74">
        <w:rPr>
          <w:rFonts w:cstheme="minorBidi"/>
          <w:iCs/>
        </w:rPr>
        <w:t>he overall results for the maintenance phase in the clinical remission outcomes when comparing risankizumab against infliximab and vedolizumab. The ITC result based on RR and RD show a statistically significant result (RR 0.504 (95%CI</w:t>
      </w:r>
      <w:r w:rsidR="008B45EE" w:rsidRPr="00C46A74">
        <w:rPr>
          <w:rFonts w:cstheme="minorBidi"/>
          <w:iCs/>
        </w:rPr>
        <w:t>:</w:t>
      </w:r>
      <w:r w:rsidR="00F132BD" w:rsidRPr="00C46A74">
        <w:rPr>
          <w:rFonts w:cstheme="minorBidi"/>
          <w:iCs/>
        </w:rPr>
        <w:t xml:space="preserve"> 0.306</w:t>
      </w:r>
      <w:r w:rsidR="008B45EE" w:rsidRPr="00C46A74">
        <w:rPr>
          <w:rFonts w:cstheme="minorBidi"/>
          <w:iCs/>
        </w:rPr>
        <w:t xml:space="preserve">, </w:t>
      </w:r>
      <w:r w:rsidR="00F132BD" w:rsidRPr="00C46A74">
        <w:rPr>
          <w:rFonts w:cstheme="minorBidi"/>
          <w:iCs/>
        </w:rPr>
        <w:t>0.829); RD -0.14 (95%CI</w:t>
      </w:r>
      <w:r w:rsidR="008B45EE" w:rsidRPr="00C46A74">
        <w:rPr>
          <w:rFonts w:cstheme="minorBidi"/>
          <w:iCs/>
        </w:rPr>
        <w:t xml:space="preserve">: </w:t>
      </w:r>
      <w:r w:rsidR="00F132BD" w:rsidRPr="00C46A74">
        <w:rPr>
          <w:rFonts w:cstheme="minorBidi"/>
          <w:iCs/>
        </w:rPr>
        <w:t xml:space="preserve"> -0.277</w:t>
      </w:r>
      <w:r w:rsidR="008B45EE" w:rsidRPr="00C46A74">
        <w:rPr>
          <w:rFonts w:cstheme="minorBidi"/>
          <w:iCs/>
        </w:rPr>
        <w:t>,</w:t>
      </w:r>
      <w:r w:rsidR="00F132BD" w:rsidRPr="00C46A74">
        <w:rPr>
          <w:rFonts w:cstheme="minorBidi"/>
          <w:iCs/>
        </w:rPr>
        <w:t xml:space="preserve"> -0.003)) in favour of adalimumab.</w:t>
      </w:r>
      <w:r w:rsidR="00167CA6">
        <w:rPr>
          <w:rFonts w:cstheme="minorBidi"/>
          <w:iCs/>
        </w:rPr>
        <w:t xml:space="preserve"> </w:t>
      </w:r>
    </w:p>
    <w:p w14:paraId="155C6C5E" w14:textId="5E10E601" w:rsidR="00F132BD" w:rsidRDefault="00F132BD" w:rsidP="00465970">
      <w:pPr>
        <w:pStyle w:val="3-BodyText"/>
        <w:ind w:left="709"/>
      </w:pPr>
      <w:r w:rsidRPr="00C46A74">
        <w:t>These results need to be interpreted with caution given the number of exchangeability issues in the indirect comparison. Differences across trials include prior treatment and response to TNFα antagonists, timing of treatment assessments, date of the trials and response criteria for enrolment into the maintenance phase. These were</w:t>
      </w:r>
      <w:r w:rsidR="00A312CA" w:rsidRPr="00C46A74">
        <w:t xml:space="preserve"> noted in the ustekinumab PSD</w:t>
      </w:r>
      <w:r w:rsidRPr="00C46A74">
        <w:t xml:space="preserve"> (paragraphs 7.1, 6.22 and 6.24, Ustekinumab</w:t>
      </w:r>
      <w:r w:rsidR="00B35044">
        <w:t xml:space="preserve"> PSD</w:t>
      </w:r>
      <w:r w:rsidRPr="00C46A74">
        <w:t>, March 2017 PBAC meeting)</w:t>
      </w:r>
      <w:r w:rsidR="00A312CA" w:rsidRPr="00C46A74">
        <w:t xml:space="preserve"> and are likely to </w:t>
      </w:r>
      <w:r w:rsidR="00055CE2" w:rsidRPr="00C46A74">
        <w:t xml:space="preserve">also </w:t>
      </w:r>
      <w:r w:rsidR="00A312CA" w:rsidRPr="00C46A74">
        <w:t xml:space="preserve">apply to the risankizumab </w:t>
      </w:r>
      <w:r w:rsidR="00055CE2" w:rsidRPr="00C46A74">
        <w:t>comparisons</w:t>
      </w:r>
      <w:r w:rsidR="00A312CA" w:rsidRPr="00C46A74">
        <w:t xml:space="preserve">. </w:t>
      </w:r>
    </w:p>
    <w:p w14:paraId="592010C5" w14:textId="1F403F4D" w:rsidR="00C64613" w:rsidRPr="00C46A74" w:rsidRDefault="00C64613" w:rsidP="00465970">
      <w:pPr>
        <w:pStyle w:val="3-BodyText"/>
        <w:ind w:left="709"/>
      </w:pPr>
      <w:bookmarkStart w:id="21" w:name="_Ref106008517"/>
      <w:r w:rsidRPr="008A4B69">
        <w:rPr>
          <w:rFonts w:cstheme="minorBidi"/>
        </w:rPr>
        <w:t>The PSCR claimed that the longer biological half-life and durable effect of risankizumab may persist after treatment withdrawal, resulting in a higher response rate in the re-randomised withdrawal (i.e.</w:t>
      </w:r>
      <w:r w:rsidR="0046760E" w:rsidRPr="008A4B69">
        <w:rPr>
          <w:rFonts w:cstheme="minorBidi"/>
        </w:rPr>
        <w:t xml:space="preserve"> </w:t>
      </w:r>
      <w:r w:rsidRPr="008A4B69">
        <w:rPr>
          <w:rFonts w:cstheme="minorBidi"/>
        </w:rPr>
        <w:t xml:space="preserve">placebo) arm in FORTIFY. </w:t>
      </w:r>
      <w:bookmarkEnd w:id="21"/>
      <w:r w:rsidR="009F47A0" w:rsidRPr="008A4B69">
        <w:rPr>
          <w:rFonts w:cstheme="minorBidi"/>
        </w:rPr>
        <w:t>The ESC agreed</w:t>
      </w:r>
      <w:r w:rsidR="008115B1" w:rsidRPr="008A4B69">
        <w:rPr>
          <w:rFonts w:cstheme="minorBidi"/>
        </w:rPr>
        <w:t xml:space="preserve"> </w:t>
      </w:r>
      <w:r w:rsidR="00872E07" w:rsidRPr="008A4B69">
        <w:rPr>
          <w:rFonts w:cstheme="minorBidi"/>
        </w:rPr>
        <w:t xml:space="preserve">with the </w:t>
      </w:r>
      <w:r w:rsidR="008115B1" w:rsidRPr="008A4B69">
        <w:rPr>
          <w:rFonts w:cstheme="minorBidi"/>
        </w:rPr>
        <w:t xml:space="preserve">PSCR and considered these factors may have biased against risankizumab in the comparisons, </w:t>
      </w:r>
      <w:r w:rsidR="00AE4048" w:rsidRPr="008A4B69">
        <w:rPr>
          <w:rFonts w:cstheme="minorBidi"/>
        </w:rPr>
        <w:t>however,</w:t>
      </w:r>
      <w:r w:rsidR="008115B1" w:rsidRPr="008A4B69">
        <w:rPr>
          <w:rFonts w:cstheme="minorBidi"/>
        </w:rPr>
        <w:t xml:space="preserve"> was unsure as to the magnitude of the impact on the supplementary comparisons.</w:t>
      </w:r>
    </w:p>
    <w:p w14:paraId="082B259E" w14:textId="408E8692" w:rsidR="00B027D1" w:rsidRPr="000B2839" w:rsidRDefault="000B2839" w:rsidP="000B2839">
      <w:pPr>
        <w:pStyle w:val="3-BodyText"/>
        <w:numPr>
          <w:ilvl w:val="0"/>
          <w:numId w:val="0"/>
        </w:numPr>
        <w:ind w:left="720" w:hanging="720"/>
        <w:rPr>
          <w:b/>
          <w:bCs/>
          <w:u w:val="single"/>
        </w:rPr>
      </w:pPr>
      <w:r w:rsidRPr="000B2839">
        <w:rPr>
          <w:b/>
          <w:bCs/>
          <w:u w:val="single"/>
        </w:rPr>
        <w:t>FCD</w:t>
      </w:r>
    </w:p>
    <w:p w14:paraId="3A6ECEBF" w14:textId="13BDB3D9" w:rsidR="00C6166D" w:rsidRPr="008A4B69" w:rsidRDefault="00F42AD4" w:rsidP="00465970">
      <w:pPr>
        <w:pStyle w:val="3-BodyText"/>
        <w:ind w:left="709"/>
        <w:rPr>
          <w:iCs/>
        </w:rPr>
      </w:pPr>
      <w:r w:rsidRPr="00F42AD4">
        <w:rPr>
          <w:color w:val="2B579A"/>
          <w:shd w:val="clear" w:color="auto" w:fill="E6E6E6"/>
        </w:rPr>
        <w:fldChar w:fldCharType="begin" w:fldLock="1"/>
      </w:r>
      <w:r w:rsidRPr="00F42AD4">
        <w:instrText xml:space="preserve"> REF _Ref101786577 \h </w:instrText>
      </w:r>
      <w:r>
        <w:instrText xml:space="preserve"> \* MERGEFORMAT </w:instrText>
      </w:r>
      <w:r w:rsidRPr="00F42AD4">
        <w:rPr>
          <w:color w:val="2B579A"/>
          <w:shd w:val="clear" w:color="auto" w:fill="E6E6E6"/>
        </w:rPr>
      </w:r>
      <w:r w:rsidRPr="00F42AD4">
        <w:rPr>
          <w:color w:val="2B579A"/>
          <w:shd w:val="clear" w:color="auto" w:fill="E6E6E6"/>
        </w:rPr>
        <w:fldChar w:fldCharType="separate"/>
      </w:r>
      <w:r w:rsidRPr="00F42AD4">
        <w:t xml:space="preserve">Table </w:t>
      </w:r>
      <w:r w:rsidRPr="00F42AD4">
        <w:rPr>
          <w:noProof/>
        </w:rPr>
        <w:t>6</w:t>
      </w:r>
      <w:r w:rsidRPr="00F42AD4">
        <w:rPr>
          <w:color w:val="2B579A"/>
          <w:shd w:val="clear" w:color="auto" w:fill="E6E6E6"/>
        </w:rPr>
        <w:fldChar w:fldCharType="end"/>
      </w:r>
      <w:r w:rsidR="000B2839" w:rsidRPr="00F42AD4">
        <w:t xml:space="preserve"> below pr</w:t>
      </w:r>
      <w:r w:rsidR="000B2839">
        <w:t xml:space="preserve">esents the subgroup analysis for the FCD population. </w:t>
      </w:r>
      <w:r w:rsidR="000B2839" w:rsidRPr="000B2839">
        <w:t xml:space="preserve">The FCD population is represented as a subgroup of the total trial populations of the risankizumab severe CD evidence (ADVANCE, MOTIVATE and FORTIFY trials). </w:t>
      </w:r>
    </w:p>
    <w:p w14:paraId="78D2AE5E" w14:textId="77777777" w:rsidR="00543B2F" w:rsidRDefault="00543B2F">
      <w:pPr>
        <w:jc w:val="left"/>
        <w:rPr>
          <w:rFonts w:ascii="Arial Narrow" w:eastAsiaTheme="majorEastAsia" w:hAnsi="Arial Narrow" w:cstheme="majorBidi"/>
          <w:b/>
          <w:bCs/>
          <w:sz w:val="20"/>
        </w:rPr>
      </w:pPr>
      <w:bookmarkStart w:id="22" w:name="_Ref101786577"/>
      <w:r>
        <w:br w:type="page"/>
      </w:r>
    </w:p>
    <w:p w14:paraId="1E441423" w14:textId="05DFF3F9" w:rsidR="00D64698" w:rsidRPr="0042047F" w:rsidRDefault="00D64698" w:rsidP="00F42AD4">
      <w:pPr>
        <w:pStyle w:val="TableFigureHeading"/>
        <w:rPr>
          <w:rStyle w:val="CommentReference"/>
          <w:b/>
        </w:rPr>
      </w:pPr>
      <w:r w:rsidRPr="00BF6876">
        <w:lastRenderedPageBreak/>
        <w:t xml:space="preserve">Table </w:t>
      </w:r>
      <w:r>
        <w:fldChar w:fldCharType="begin" w:fldLock="1"/>
      </w:r>
      <w:r>
        <w:instrText>SEQ Table \* ARABIC</w:instrText>
      </w:r>
      <w:r>
        <w:fldChar w:fldCharType="separate"/>
      </w:r>
      <w:r w:rsidR="003D76A2">
        <w:rPr>
          <w:noProof/>
        </w:rPr>
        <w:t>8</w:t>
      </w:r>
      <w:r>
        <w:fldChar w:fldCharType="end"/>
      </w:r>
      <w:bookmarkEnd w:id="22"/>
      <w:r w:rsidRPr="00BF6876">
        <w:t>: Fistula response and remission outcomes in patients with draining fistulae at baseline</w:t>
      </w:r>
      <w:r w:rsidRPr="004F75EB">
        <w:rPr>
          <w:rStyle w:val="CommentReference"/>
          <w:b/>
          <w:vertAlign w:val="superscript"/>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1832"/>
        <w:gridCol w:w="1933"/>
        <w:gridCol w:w="1904"/>
        <w:gridCol w:w="1919"/>
      </w:tblGrid>
      <w:tr w:rsidR="00D64698" w:rsidRPr="00B84117" w14:paraId="679F07D5" w14:textId="77777777" w:rsidTr="0022083A">
        <w:trPr>
          <w:tblHeader/>
        </w:trPr>
        <w:tc>
          <w:tcPr>
            <w:tcW w:w="792" w:type="pct"/>
            <w:vAlign w:val="center"/>
          </w:tcPr>
          <w:p w14:paraId="34C55823" w14:textId="77777777" w:rsidR="00D64698" w:rsidRPr="00B84117" w:rsidRDefault="00D64698" w:rsidP="0022083A">
            <w:pPr>
              <w:pStyle w:val="In-tableHeading"/>
              <w:keepNext w:val="0"/>
              <w:widowControl w:val="0"/>
            </w:pPr>
            <w:r w:rsidRPr="00B84117">
              <w:t>Trial ID</w:t>
            </w:r>
          </w:p>
        </w:tc>
        <w:tc>
          <w:tcPr>
            <w:tcW w:w="1016" w:type="pct"/>
            <w:vAlign w:val="center"/>
          </w:tcPr>
          <w:p w14:paraId="11D2FB47" w14:textId="16CB453F" w:rsidR="00D64698" w:rsidRPr="00B84117" w:rsidRDefault="00D64698" w:rsidP="0022083A">
            <w:pPr>
              <w:pStyle w:val="In-tableHeading"/>
              <w:keepNext w:val="0"/>
              <w:widowControl w:val="0"/>
              <w:jc w:val="center"/>
            </w:pPr>
            <w:r w:rsidRPr="00B84117">
              <w:t>Proposed medicine</w:t>
            </w:r>
          </w:p>
        </w:tc>
        <w:tc>
          <w:tcPr>
            <w:tcW w:w="1072" w:type="pct"/>
            <w:vAlign w:val="center"/>
          </w:tcPr>
          <w:p w14:paraId="65FE8DFC" w14:textId="7CFB45B5" w:rsidR="00D64698" w:rsidRPr="00B84117" w:rsidRDefault="008B45EE" w:rsidP="0022083A">
            <w:pPr>
              <w:pStyle w:val="In-tableHeading"/>
              <w:keepNext w:val="0"/>
              <w:widowControl w:val="0"/>
              <w:jc w:val="center"/>
            </w:pPr>
            <w:r w:rsidRPr="00B84117" w:rsidDel="008B45EE">
              <w:t xml:space="preserve"> </w:t>
            </w:r>
            <w:r w:rsidR="00D64698">
              <w:t>Placebo</w:t>
            </w:r>
          </w:p>
        </w:tc>
        <w:tc>
          <w:tcPr>
            <w:tcW w:w="1056" w:type="pct"/>
            <w:vAlign w:val="center"/>
          </w:tcPr>
          <w:p w14:paraId="7199E96A" w14:textId="77777777" w:rsidR="00D64698" w:rsidRPr="00B84117" w:rsidRDefault="00D64698" w:rsidP="0022083A">
            <w:pPr>
              <w:pStyle w:val="In-tableHeading"/>
              <w:keepNext w:val="0"/>
              <w:widowControl w:val="0"/>
              <w:jc w:val="center"/>
            </w:pPr>
            <w:r w:rsidRPr="00EE142C">
              <w:t xml:space="preserve">RR </w:t>
            </w:r>
            <w:r>
              <w:t>(</w:t>
            </w:r>
            <w:r w:rsidRPr="00EE142C">
              <w:t>95% CI</w:t>
            </w:r>
            <w:r>
              <w:t>)</w:t>
            </w:r>
          </w:p>
        </w:tc>
        <w:tc>
          <w:tcPr>
            <w:tcW w:w="1064" w:type="pct"/>
            <w:vAlign w:val="center"/>
          </w:tcPr>
          <w:p w14:paraId="389C84CA" w14:textId="77777777" w:rsidR="00D64698" w:rsidRPr="00B84117" w:rsidRDefault="00D64698" w:rsidP="0022083A">
            <w:pPr>
              <w:pStyle w:val="In-tableHeading"/>
              <w:keepNext w:val="0"/>
              <w:widowControl w:val="0"/>
              <w:jc w:val="center"/>
            </w:pPr>
            <w:r w:rsidRPr="00B84117">
              <w:t>Risk difference (95% CI)</w:t>
            </w:r>
          </w:p>
        </w:tc>
      </w:tr>
      <w:tr w:rsidR="00D64698" w:rsidRPr="00B1011F" w14:paraId="1DA3DA40" w14:textId="77777777" w:rsidTr="0022083A">
        <w:tc>
          <w:tcPr>
            <w:tcW w:w="5000" w:type="pct"/>
            <w:gridSpan w:val="5"/>
            <w:shd w:val="clear" w:color="auto" w:fill="D9D9D9" w:themeFill="background1" w:themeFillShade="D9"/>
          </w:tcPr>
          <w:p w14:paraId="5AFC5709" w14:textId="77777777" w:rsidR="00D64698" w:rsidRPr="00B1011F" w:rsidRDefault="00D64698" w:rsidP="0022083A">
            <w:pPr>
              <w:pStyle w:val="TableText0"/>
              <w:keepNext w:val="0"/>
              <w:widowControl w:val="0"/>
            </w:pPr>
            <w:r w:rsidRPr="00E4533A">
              <w:rPr>
                <w:b/>
                <w:bCs w:val="0"/>
              </w:rPr>
              <w:t xml:space="preserve">Outcome: </w:t>
            </w:r>
            <w:r w:rsidRPr="007302CF">
              <w:rPr>
                <w:b/>
                <w:bCs w:val="0"/>
              </w:rPr>
              <w:t xml:space="preserve">Fistula remission </w:t>
            </w:r>
            <w:r w:rsidRPr="001455A4">
              <w:rPr>
                <w:b/>
                <w:bCs w:val="0"/>
                <w:vertAlign w:val="superscript"/>
              </w:rPr>
              <w:t>d</w:t>
            </w:r>
          </w:p>
        </w:tc>
      </w:tr>
      <w:tr w:rsidR="00D64698" w:rsidRPr="00B1011F" w14:paraId="260F0F26" w14:textId="77777777" w:rsidTr="0022083A">
        <w:tc>
          <w:tcPr>
            <w:tcW w:w="5000" w:type="pct"/>
            <w:gridSpan w:val="5"/>
          </w:tcPr>
          <w:p w14:paraId="31F884E5" w14:textId="77777777" w:rsidR="00D64698" w:rsidRPr="00B1011F" w:rsidRDefault="00D64698" w:rsidP="0022083A">
            <w:pPr>
              <w:pStyle w:val="TableText0"/>
              <w:keepNext w:val="0"/>
              <w:widowControl w:val="0"/>
            </w:pPr>
            <w:r w:rsidRPr="00E4533A">
              <w:rPr>
                <w:b/>
                <w:bCs w:val="0"/>
              </w:rPr>
              <w:t>INDUCTION</w:t>
            </w:r>
          </w:p>
        </w:tc>
      </w:tr>
      <w:tr w:rsidR="00D64698" w:rsidRPr="00B1011F" w14:paraId="5E452155" w14:textId="77777777" w:rsidTr="0022083A">
        <w:tc>
          <w:tcPr>
            <w:tcW w:w="5000" w:type="pct"/>
            <w:gridSpan w:val="5"/>
          </w:tcPr>
          <w:p w14:paraId="2AC4E2FF" w14:textId="60755B5C" w:rsidR="00D64698" w:rsidRPr="00B1011F" w:rsidRDefault="00D64698" w:rsidP="0022083A">
            <w:pPr>
              <w:pStyle w:val="TableText0"/>
              <w:keepNext w:val="0"/>
              <w:widowControl w:val="0"/>
            </w:pPr>
            <w:r w:rsidRPr="00E4533A">
              <w:rPr>
                <w:b/>
                <w:bCs w:val="0"/>
              </w:rPr>
              <w:t>Risankizumab (600</w:t>
            </w:r>
            <w:r w:rsidR="00EB59E1">
              <w:rPr>
                <w:b/>
                <w:bCs w:val="0"/>
              </w:rPr>
              <w:t xml:space="preserve"> </w:t>
            </w:r>
            <w:r w:rsidRPr="00E4533A">
              <w:rPr>
                <w:b/>
                <w:bCs w:val="0"/>
              </w:rPr>
              <w:t>mg IV) at Week 12</w:t>
            </w:r>
          </w:p>
        </w:tc>
      </w:tr>
      <w:tr w:rsidR="00D64698" w:rsidRPr="00B1011F" w14:paraId="11228F1A" w14:textId="77777777" w:rsidTr="0022083A">
        <w:tc>
          <w:tcPr>
            <w:tcW w:w="792" w:type="pct"/>
          </w:tcPr>
          <w:p w14:paraId="1D1CABC6" w14:textId="77777777" w:rsidR="00D64698" w:rsidRPr="00B1011F" w:rsidRDefault="00D64698" w:rsidP="0022083A">
            <w:pPr>
              <w:pStyle w:val="TableText0"/>
              <w:keepNext w:val="0"/>
              <w:widowControl w:val="0"/>
            </w:pPr>
            <w:r w:rsidRPr="006E3558">
              <w:t>ADVANCE</w:t>
            </w:r>
          </w:p>
        </w:tc>
        <w:tc>
          <w:tcPr>
            <w:tcW w:w="1016" w:type="pct"/>
          </w:tcPr>
          <w:p w14:paraId="6FF68200" w14:textId="77777777" w:rsidR="00D64698" w:rsidRPr="00B1011F" w:rsidRDefault="00D64698" w:rsidP="0022083A">
            <w:pPr>
              <w:pStyle w:val="TableText0"/>
              <w:keepNext w:val="0"/>
              <w:widowControl w:val="0"/>
              <w:jc w:val="center"/>
            </w:pPr>
            <w:r w:rsidRPr="008A6D55">
              <w:t>5/18 (27.8)</w:t>
            </w:r>
          </w:p>
        </w:tc>
        <w:tc>
          <w:tcPr>
            <w:tcW w:w="1072" w:type="pct"/>
          </w:tcPr>
          <w:p w14:paraId="5EE6273E" w14:textId="77777777" w:rsidR="00D64698" w:rsidRPr="00B1011F" w:rsidRDefault="00D64698" w:rsidP="0022083A">
            <w:pPr>
              <w:pStyle w:val="TableText0"/>
              <w:keepNext w:val="0"/>
              <w:widowControl w:val="0"/>
              <w:jc w:val="center"/>
            </w:pPr>
            <w:r w:rsidRPr="008A6D55">
              <w:t>2/9 (22.2)</w:t>
            </w:r>
          </w:p>
        </w:tc>
        <w:tc>
          <w:tcPr>
            <w:tcW w:w="1056" w:type="pct"/>
          </w:tcPr>
          <w:p w14:paraId="3E7C6F6F" w14:textId="77777777" w:rsidR="00D64698" w:rsidRPr="00B1011F" w:rsidRDefault="00D64698" w:rsidP="0022083A">
            <w:pPr>
              <w:pStyle w:val="TableText0"/>
              <w:keepNext w:val="0"/>
              <w:widowControl w:val="0"/>
              <w:jc w:val="center"/>
            </w:pPr>
            <w:r w:rsidRPr="008A6D55">
              <w:t>1.25 [0.30, 5.23]</w:t>
            </w:r>
          </w:p>
        </w:tc>
        <w:tc>
          <w:tcPr>
            <w:tcW w:w="1064" w:type="pct"/>
          </w:tcPr>
          <w:p w14:paraId="46CBBD1B" w14:textId="77777777" w:rsidR="00D64698" w:rsidRPr="00B1011F" w:rsidRDefault="00D64698" w:rsidP="0022083A">
            <w:pPr>
              <w:pStyle w:val="TableText0"/>
              <w:keepNext w:val="0"/>
              <w:widowControl w:val="0"/>
              <w:jc w:val="center"/>
            </w:pPr>
            <w:r w:rsidRPr="008A6D55">
              <w:t>0.06 [-0.29, 0.40]</w:t>
            </w:r>
          </w:p>
        </w:tc>
      </w:tr>
      <w:tr w:rsidR="00D64698" w:rsidRPr="00B1011F" w14:paraId="3620A796" w14:textId="77777777" w:rsidTr="0022083A">
        <w:tc>
          <w:tcPr>
            <w:tcW w:w="792" w:type="pct"/>
          </w:tcPr>
          <w:p w14:paraId="75D88733" w14:textId="77777777" w:rsidR="00D64698" w:rsidRPr="00B1011F" w:rsidRDefault="00D64698" w:rsidP="0022083A">
            <w:pPr>
              <w:pStyle w:val="TableText0"/>
              <w:keepNext w:val="0"/>
              <w:widowControl w:val="0"/>
            </w:pPr>
            <w:r w:rsidRPr="006E3558">
              <w:t>MOTIVATE</w:t>
            </w:r>
          </w:p>
        </w:tc>
        <w:tc>
          <w:tcPr>
            <w:tcW w:w="1016" w:type="pct"/>
          </w:tcPr>
          <w:p w14:paraId="0EC7968F" w14:textId="77777777" w:rsidR="00D64698" w:rsidRPr="00B1011F" w:rsidRDefault="00D64698" w:rsidP="0022083A">
            <w:pPr>
              <w:pStyle w:val="TableText0"/>
              <w:keepNext w:val="0"/>
              <w:widowControl w:val="0"/>
              <w:jc w:val="center"/>
            </w:pPr>
            <w:r w:rsidRPr="008A6D55">
              <w:t>1/14 (7.1)</w:t>
            </w:r>
          </w:p>
        </w:tc>
        <w:tc>
          <w:tcPr>
            <w:tcW w:w="1072" w:type="pct"/>
          </w:tcPr>
          <w:p w14:paraId="19E79623" w14:textId="77777777" w:rsidR="00D64698" w:rsidRPr="00B1011F" w:rsidRDefault="00D64698" w:rsidP="0022083A">
            <w:pPr>
              <w:pStyle w:val="TableText0"/>
              <w:keepNext w:val="0"/>
              <w:widowControl w:val="0"/>
              <w:jc w:val="center"/>
            </w:pPr>
            <w:r w:rsidRPr="008A6D55">
              <w:t>2/15 (13.3)</w:t>
            </w:r>
          </w:p>
        </w:tc>
        <w:tc>
          <w:tcPr>
            <w:tcW w:w="1056" w:type="pct"/>
          </w:tcPr>
          <w:p w14:paraId="64777A4E" w14:textId="77777777" w:rsidR="00D64698" w:rsidRPr="00A54C94" w:rsidRDefault="00D64698" w:rsidP="0022083A">
            <w:pPr>
              <w:pStyle w:val="TableText0"/>
              <w:keepNext w:val="0"/>
              <w:widowControl w:val="0"/>
              <w:jc w:val="center"/>
              <w:rPr>
                <w:b/>
                <w:bCs w:val="0"/>
              </w:rPr>
            </w:pPr>
            <w:r w:rsidRPr="008A6D55">
              <w:t>0.54 [0.05, 5.27]</w:t>
            </w:r>
          </w:p>
        </w:tc>
        <w:tc>
          <w:tcPr>
            <w:tcW w:w="1064" w:type="pct"/>
          </w:tcPr>
          <w:p w14:paraId="569BE803" w14:textId="77777777" w:rsidR="00D64698" w:rsidRPr="00A54C94" w:rsidRDefault="00D64698" w:rsidP="0022083A">
            <w:pPr>
              <w:pStyle w:val="TableText0"/>
              <w:keepNext w:val="0"/>
              <w:widowControl w:val="0"/>
              <w:jc w:val="center"/>
              <w:rPr>
                <w:b/>
                <w:bCs w:val="0"/>
              </w:rPr>
            </w:pPr>
            <w:r w:rsidRPr="008A6D55">
              <w:t>-0.06 [-0.28, 0.16]</w:t>
            </w:r>
          </w:p>
        </w:tc>
      </w:tr>
      <w:tr w:rsidR="00D64698" w:rsidRPr="00B1011F" w14:paraId="2CD7D9F3" w14:textId="77777777" w:rsidTr="0022083A">
        <w:tc>
          <w:tcPr>
            <w:tcW w:w="792" w:type="pct"/>
            <w:shd w:val="clear" w:color="auto" w:fill="FDE9D9" w:themeFill="accent6" w:themeFillTint="33"/>
          </w:tcPr>
          <w:p w14:paraId="1DC9FFEF" w14:textId="77777777" w:rsidR="00D64698" w:rsidRPr="00B1011F" w:rsidRDefault="00D64698" w:rsidP="0022083A">
            <w:pPr>
              <w:pStyle w:val="TableText0"/>
              <w:keepNext w:val="0"/>
              <w:widowControl w:val="0"/>
            </w:pPr>
            <w:r>
              <w:t>Meta-analysis</w:t>
            </w:r>
          </w:p>
        </w:tc>
        <w:tc>
          <w:tcPr>
            <w:tcW w:w="1016" w:type="pct"/>
            <w:shd w:val="clear" w:color="auto" w:fill="FDE9D9" w:themeFill="accent6" w:themeFillTint="33"/>
          </w:tcPr>
          <w:p w14:paraId="696C3084" w14:textId="77777777" w:rsidR="00D64698" w:rsidRPr="00B1011F" w:rsidRDefault="00D64698" w:rsidP="0022083A">
            <w:pPr>
              <w:pStyle w:val="TableText0"/>
              <w:keepNext w:val="0"/>
              <w:widowControl w:val="0"/>
              <w:jc w:val="center"/>
            </w:pPr>
            <w:r w:rsidRPr="008A6D55">
              <w:t>6/32 (18.75)</w:t>
            </w:r>
          </w:p>
        </w:tc>
        <w:tc>
          <w:tcPr>
            <w:tcW w:w="1072" w:type="pct"/>
            <w:shd w:val="clear" w:color="auto" w:fill="FDE9D9" w:themeFill="accent6" w:themeFillTint="33"/>
          </w:tcPr>
          <w:p w14:paraId="768E16BC" w14:textId="77777777" w:rsidR="00D64698" w:rsidRPr="00B1011F" w:rsidRDefault="00D64698" w:rsidP="0022083A">
            <w:pPr>
              <w:pStyle w:val="TableText0"/>
              <w:keepNext w:val="0"/>
              <w:widowControl w:val="0"/>
              <w:jc w:val="center"/>
            </w:pPr>
            <w:r w:rsidRPr="008A6D55">
              <w:t>4/24 (16.7)</w:t>
            </w:r>
          </w:p>
        </w:tc>
        <w:tc>
          <w:tcPr>
            <w:tcW w:w="1056" w:type="pct"/>
            <w:shd w:val="clear" w:color="auto" w:fill="FDE9D9" w:themeFill="accent6" w:themeFillTint="33"/>
          </w:tcPr>
          <w:p w14:paraId="440B21E2" w14:textId="77777777" w:rsidR="00D64698" w:rsidRPr="00A54C94" w:rsidRDefault="00D64698" w:rsidP="0022083A">
            <w:pPr>
              <w:pStyle w:val="TableText0"/>
              <w:keepNext w:val="0"/>
              <w:widowControl w:val="0"/>
              <w:jc w:val="center"/>
              <w:rPr>
                <w:b/>
                <w:bCs w:val="0"/>
              </w:rPr>
            </w:pPr>
            <w:r w:rsidRPr="008A6D55">
              <w:t>0.98 [0.29, 3.31]</w:t>
            </w:r>
          </w:p>
        </w:tc>
        <w:tc>
          <w:tcPr>
            <w:tcW w:w="1064" w:type="pct"/>
            <w:shd w:val="clear" w:color="auto" w:fill="FDE9D9" w:themeFill="accent6" w:themeFillTint="33"/>
          </w:tcPr>
          <w:p w14:paraId="7A1FB10B" w14:textId="77777777" w:rsidR="00D64698" w:rsidRPr="00A54C94" w:rsidRDefault="00D64698" w:rsidP="0022083A">
            <w:pPr>
              <w:pStyle w:val="TableText0"/>
              <w:keepNext w:val="0"/>
              <w:widowControl w:val="0"/>
              <w:jc w:val="center"/>
              <w:rPr>
                <w:b/>
                <w:bCs w:val="0"/>
              </w:rPr>
            </w:pPr>
            <w:r w:rsidRPr="008A6D55">
              <w:t>-0.03 [-0.21, 0.16]</w:t>
            </w:r>
          </w:p>
        </w:tc>
      </w:tr>
      <w:tr w:rsidR="00D64698" w:rsidRPr="00B1011F" w14:paraId="11166A65" w14:textId="77777777" w:rsidTr="0022083A">
        <w:tc>
          <w:tcPr>
            <w:tcW w:w="5000" w:type="pct"/>
            <w:gridSpan w:val="5"/>
            <w:vAlign w:val="center"/>
          </w:tcPr>
          <w:p w14:paraId="52BBFE44" w14:textId="77777777" w:rsidR="00D64698" w:rsidRPr="00AD154A" w:rsidRDefault="00D64698" w:rsidP="0022083A">
            <w:pPr>
              <w:pStyle w:val="TableText0"/>
              <w:keepNext w:val="0"/>
              <w:widowControl w:val="0"/>
            </w:pPr>
            <w:r>
              <w:rPr>
                <w:b/>
                <w:bCs w:val="0"/>
              </w:rPr>
              <w:t>Adalimumab</w:t>
            </w:r>
            <w:r w:rsidRPr="00371234">
              <w:rPr>
                <w:b/>
                <w:bCs w:val="0"/>
              </w:rPr>
              <w:t xml:space="preserve"> at Week </w:t>
            </w:r>
            <w:r>
              <w:rPr>
                <w:b/>
                <w:bCs w:val="0"/>
              </w:rPr>
              <w:t>4</w:t>
            </w:r>
          </w:p>
        </w:tc>
      </w:tr>
      <w:tr w:rsidR="00D64698" w:rsidRPr="00B1011F" w14:paraId="739FCB1B" w14:textId="77777777" w:rsidTr="0022083A">
        <w:tc>
          <w:tcPr>
            <w:tcW w:w="792" w:type="pct"/>
          </w:tcPr>
          <w:p w14:paraId="23FC698D" w14:textId="77777777" w:rsidR="00D64698" w:rsidRPr="00371234" w:rsidRDefault="00D64698" w:rsidP="0022083A">
            <w:pPr>
              <w:pStyle w:val="TableText0"/>
              <w:keepNext w:val="0"/>
              <w:widowControl w:val="0"/>
              <w:rPr>
                <w:b/>
                <w:bCs w:val="0"/>
              </w:rPr>
            </w:pPr>
            <w:r w:rsidRPr="00DA6D8D">
              <w:t>CLASSIC I</w:t>
            </w:r>
          </w:p>
        </w:tc>
        <w:tc>
          <w:tcPr>
            <w:tcW w:w="1016" w:type="pct"/>
          </w:tcPr>
          <w:p w14:paraId="256A1D4B" w14:textId="77777777" w:rsidR="00D64698" w:rsidRPr="00AD154A" w:rsidRDefault="00D64698" w:rsidP="0022083A">
            <w:pPr>
              <w:pStyle w:val="TableText0"/>
              <w:keepNext w:val="0"/>
              <w:widowControl w:val="0"/>
              <w:jc w:val="center"/>
            </w:pPr>
            <w:r w:rsidRPr="00DA6D8D">
              <w:t>0/12 (0)</w:t>
            </w:r>
          </w:p>
        </w:tc>
        <w:tc>
          <w:tcPr>
            <w:tcW w:w="1072" w:type="pct"/>
          </w:tcPr>
          <w:p w14:paraId="72F27C44" w14:textId="77777777" w:rsidR="00D64698" w:rsidRPr="00AD154A" w:rsidRDefault="00D64698" w:rsidP="0022083A">
            <w:pPr>
              <w:pStyle w:val="TableText0"/>
              <w:keepNext w:val="0"/>
              <w:widowControl w:val="0"/>
              <w:jc w:val="center"/>
            </w:pPr>
            <w:r w:rsidRPr="00DA6D8D">
              <w:t>1/6 (17)</w:t>
            </w:r>
          </w:p>
        </w:tc>
        <w:tc>
          <w:tcPr>
            <w:tcW w:w="1056" w:type="pct"/>
          </w:tcPr>
          <w:p w14:paraId="5B963B7B" w14:textId="77777777" w:rsidR="00D64698" w:rsidRPr="00A54C94" w:rsidRDefault="00D64698" w:rsidP="0022083A">
            <w:pPr>
              <w:pStyle w:val="TableText0"/>
              <w:keepNext w:val="0"/>
              <w:widowControl w:val="0"/>
              <w:jc w:val="center"/>
              <w:rPr>
                <w:b/>
                <w:bCs w:val="0"/>
              </w:rPr>
            </w:pPr>
            <w:r w:rsidRPr="00DA6D8D">
              <w:t>0.25 [0.00, 1.80]</w:t>
            </w:r>
          </w:p>
        </w:tc>
        <w:tc>
          <w:tcPr>
            <w:tcW w:w="1064" w:type="pct"/>
          </w:tcPr>
          <w:p w14:paraId="2D74C469" w14:textId="77777777" w:rsidR="00D64698" w:rsidRPr="00A54C94" w:rsidRDefault="00D64698" w:rsidP="0022083A">
            <w:pPr>
              <w:pStyle w:val="TableText0"/>
              <w:keepNext w:val="0"/>
              <w:widowControl w:val="0"/>
              <w:jc w:val="center"/>
              <w:rPr>
                <w:b/>
                <w:bCs w:val="0"/>
              </w:rPr>
            </w:pPr>
            <w:r w:rsidRPr="00DA6D8D">
              <w:t>-0.17 [-0.57, 0.12]</w:t>
            </w:r>
          </w:p>
        </w:tc>
      </w:tr>
      <w:tr w:rsidR="00D64698" w:rsidRPr="00B1011F" w14:paraId="474E9BB1" w14:textId="77777777" w:rsidTr="0022083A">
        <w:tc>
          <w:tcPr>
            <w:tcW w:w="792" w:type="pct"/>
          </w:tcPr>
          <w:p w14:paraId="543FB847" w14:textId="77777777" w:rsidR="00D64698" w:rsidRPr="00345F2D" w:rsidRDefault="00D64698" w:rsidP="0022083A">
            <w:pPr>
              <w:pStyle w:val="TableText0"/>
              <w:keepNext w:val="0"/>
              <w:widowControl w:val="0"/>
            </w:pPr>
            <w:r w:rsidRPr="00DA6D8D">
              <w:t>GAIN</w:t>
            </w:r>
          </w:p>
        </w:tc>
        <w:tc>
          <w:tcPr>
            <w:tcW w:w="1016" w:type="pct"/>
          </w:tcPr>
          <w:p w14:paraId="2B8D642B" w14:textId="77777777" w:rsidR="00D64698" w:rsidRPr="00345F2D" w:rsidRDefault="00D64698" w:rsidP="0022083A">
            <w:pPr>
              <w:pStyle w:val="TableText0"/>
              <w:keepNext w:val="0"/>
              <w:widowControl w:val="0"/>
              <w:jc w:val="center"/>
            </w:pPr>
            <w:r w:rsidRPr="00DA6D8D">
              <w:t>1/20 (5)</w:t>
            </w:r>
          </w:p>
        </w:tc>
        <w:tc>
          <w:tcPr>
            <w:tcW w:w="1072" w:type="pct"/>
          </w:tcPr>
          <w:p w14:paraId="6A48A06F" w14:textId="77777777" w:rsidR="00D64698" w:rsidRPr="00345F2D" w:rsidRDefault="00D64698" w:rsidP="0022083A">
            <w:pPr>
              <w:pStyle w:val="TableText0"/>
              <w:keepNext w:val="0"/>
              <w:widowControl w:val="0"/>
              <w:jc w:val="center"/>
            </w:pPr>
            <w:r w:rsidRPr="00DA6D8D">
              <w:t>2/25 (8)</w:t>
            </w:r>
          </w:p>
        </w:tc>
        <w:tc>
          <w:tcPr>
            <w:tcW w:w="1056" w:type="pct"/>
          </w:tcPr>
          <w:p w14:paraId="7F3FA1DB" w14:textId="77777777" w:rsidR="00D64698" w:rsidRPr="00A54C94" w:rsidRDefault="00D64698" w:rsidP="0022083A">
            <w:pPr>
              <w:pStyle w:val="TableText0"/>
              <w:keepNext w:val="0"/>
              <w:widowControl w:val="0"/>
              <w:jc w:val="center"/>
              <w:rPr>
                <w:b/>
                <w:bCs w:val="0"/>
              </w:rPr>
            </w:pPr>
            <w:r w:rsidRPr="00DA6D8D">
              <w:t>0.63 [0.08, 4.46]</w:t>
            </w:r>
          </w:p>
        </w:tc>
        <w:tc>
          <w:tcPr>
            <w:tcW w:w="1064" w:type="pct"/>
          </w:tcPr>
          <w:p w14:paraId="47313F1A" w14:textId="77777777" w:rsidR="00D64698" w:rsidRPr="00A54C94" w:rsidRDefault="00D64698" w:rsidP="0022083A">
            <w:pPr>
              <w:pStyle w:val="TableText0"/>
              <w:keepNext w:val="0"/>
              <w:widowControl w:val="0"/>
              <w:jc w:val="center"/>
              <w:rPr>
                <w:b/>
                <w:bCs w:val="0"/>
              </w:rPr>
            </w:pPr>
            <w:r w:rsidRPr="00DA6D8D">
              <w:t>-0.03 [-0.21, 0.17]</w:t>
            </w:r>
          </w:p>
        </w:tc>
      </w:tr>
      <w:tr w:rsidR="00D64698" w:rsidRPr="00B1011F" w14:paraId="332723EF" w14:textId="77777777" w:rsidTr="0022083A">
        <w:tc>
          <w:tcPr>
            <w:tcW w:w="792" w:type="pct"/>
          </w:tcPr>
          <w:p w14:paraId="2DB7A793" w14:textId="77777777" w:rsidR="00D64698" w:rsidRPr="00345F2D" w:rsidRDefault="00D64698" w:rsidP="0022083A">
            <w:pPr>
              <w:pStyle w:val="TableText0"/>
              <w:keepNext w:val="0"/>
              <w:widowControl w:val="0"/>
            </w:pPr>
            <w:r w:rsidRPr="001455A4">
              <w:rPr>
                <w:b/>
                <w:bCs w:val="0"/>
              </w:rPr>
              <w:t>Infliximab at Week 18</w:t>
            </w:r>
          </w:p>
        </w:tc>
        <w:tc>
          <w:tcPr>
            <w:tcW w:w="1016" w:type="pct"/>
          </w:tcPr>
          <w:p w14:paraId="79A476CF" w14:textId="77777777" w:rsidR="00D64698" w:rsidRPr="00345F2D" w:rsidRDefault="00D64698" w:rsidP="0022083A">
            <w:pPr>
              <w:pStyle w:val="TableText0"/>
              <w:keepNext w:val="0"/>
              <w:widowControl w:val="0"/>
              <w:jc w:val="center"/>
            </w:pPr>
          </w:p>
        </w:tc>
        <w:tc>
          <w:tcPr>
            <w:tcW w:w="1072" w:type="pct"/>
          </w:tcPr>
          <w:p w14:paraId="356EDD2F" w14:textId="77777777" w:rsidR="00D64698" w:rsidRPr="00345F2D" w:rsidRDefault="00D64698" w:rsidP="0022083A">
            <w:pPr>
              <w:pStyle w:val="TableText0"/>
              <w:keepNext w:val="0"/>
              <w:widowControl w:val="0"/>
              <w:jc w:val="center"/>
            </w:pPr>
          </w:p>
        </w:tc>
        <w:tc>
          <w:tcPr>
            <w:tcW w:w="1056" w:type="pct"/>
          </w:tcPr>
          <w:p w14:paraId="792822D2" w14:textId="77777777" w:rsidR="00D64698" w:rsidRPr="00A54C94" w:rsidRDefault="00D64698" w:rsidP="0022083A">
            <w:pPr>
              <w:pStyle w:val="TableText0"/>
              <w:keepNext w:val="0"/>
              <w:widowControl w:val="0"/>
              <w:jc w:val="center"/>
              <w:rPr>
                <w:b/>
                <w:bCs w:val="0"/>
              </w:rPr>
            </w:pPr>
          </w:p>
        </w:tc>
        <w:tc>
          <w:tcPr>
            <w:tcW w:w="1064" w:type="pct"/>
          </w:tcPr>
          <w:p w14:paraId="13CCCED3" w14:textId="77777777" w:rsidR="00D64698" w:rsidRPr="00A54C94" w:rsidRDefault="00D64698" w:rsidP="0022083A">
            <w:pPr>
              <w:pStyle w:val="TableText0"/>
              <w:keepNext w:val="0"/>
              <w:widowControl w:val="0"/>
              <w:jc w:val="center"/>
              <w:rPr>
                <w:b/>
                <w:bCs w:val="0"/>
              </w:rPr>
            </w:pPr>
          </w:p>
        </w:tc>
      </w:tr>
      <w:tr w:rsidR="00D64698" w:rsidRPr="00B1011F" w14:paraId="37280B06" w14:textId="77777777" w:rsidTr="0022083A">
        <w:tc>
          <w:tcPr>
            <w:tcW w:w="792" w:type="pct"/>
          </w:tcPr>
          <w:p w14:paraId="7F9A52E6" w14:textId="77777777" w:rsidR="00D64698" w:rsidRPr="00345F2D" w:rsidRDefault="00D64698" w:rsidP="0022083A">
            <w:pPr>
              <w:pStyle w:val="TableText0"/>
              <w:keepNext w:val="0"/>
              <w:widowControl w:val="0"/>
            </w:pPr>
            <w:r w:rsidRPr="00381B6D">
              <w:t>T20</w:t>
            </w:r>
          </w:p>
        </w:tc>
        <w:tc>
          <w:tcPr>
            <w:tcW w:w="1016" w:type="pct"/>
          </w:tcPr>
          <w:p w14:paraId="5E6B41E8" w14:textId="77777777" w:rsidR="00D64698" w:rsidRPr="00345F2D" w:rsidRDefault="00D64698" w:rsidP="0022083A">
            <w:pPr>
              <w:pStyle w:val="TableText0"/>
              <w:keepNext w:val="0"/>
              <w:widowControl w:val="0"/>
              <w:jc w:val="center"/>
            </w:pPr>
            <w:r w:rsidRPr="00381B6D">
              <w:t>17/31 (55)</w:t>
            </w:r>
          </w:p>
        </w:tc>
        <w:tc>
          <w:tcPr>
            <w:tcW w:w="1072" w:type="pct"/>
          </w:tcPr>
          <w:p w14:paraId="53CC40F7" w14:textId="77777777" w:rsidR="00D64698" w:rsidRPr="00345F2D" w:rsidRDefault="00D64698" w:rsidP="0022083A">
            <w:pPr>
              <w:pStyle w:val="TableText0"/>
              <w:keepNext w:val="0"/>
              <w:widowControl w:val="0"/>
              <w:jc w:val="center"/>
            </w:pPr>
            <w:r w:rsidRPr="00381B6D">
              <w:t>4/31 (13)</w:t>
            </w:r>
          </w:p>
        </w:tc>
        <w:tc>
          <w:tcPr>
            <w:tcW w:w="1056" w:type="pct"/>
          </w:tcPr>
          <w:p w14:paraId="5DE51BD8" w14:textId="77777777" w:rsidR="00D64698" w:rsidRPr="00CA7037" w:rsidRDefault="00D64698" w:rsidP="0022083A">
            <w:pPr>
              <w:pStyle w:val="TableText0"/>
              <w:keepNext w:val="0"/>
              <w:widowControl w:val="0"/>
              <w:jc w:val="center"/>
              <w:rPr>
                <w:b/>
                <w:bCs w:val="0"/>
              </w:rPr>
            </w:pPr>
            <w:r w:rsidRPr="00CA7037">
              <w:rPr>
                <w:b/>
                <w:bCs w:val="0"/>
              </w:rPr>
              <w:t>4.25 [1.75, 11.15]</w:t>
            </w:r>
          </w:p>
        </w:tc>
        <w:tc>
          <w:tcPr>
            <w:tcW w:w="1064" w:type="pct"/>
          </w:tcPr>
          <w:p w14:paraId="396A1EB0" w14:textId="77777777" w:rsidR="00D64698" w:rsidRPr="00CA7037" w:rsidRDefault="00D64698" w:rsidP="0022083A">
            <w:pPr>
              <w:pStyle w:val="TableText0"/>
              <w:keepNext w:val="0"/>
              <w:widowControl w:val="0"/>
              <w:jc w:val="center"/>
              <w:rPr>
                <w:b/>
                <w:bCs w:val="0"/>
              </w:rPr>
            </w:pPr>
            <w:r w:rsidRPr="00CA7037">
              <w:rPr>
                <w:b/>
                <w:bCs w:val="0"/>
              </w:rPr>
              <w:t>0.42 [0.19, 0.61]</w:t>
            </w:r>
          </w:p>
        </w:tc>
      </w:tr>
      <w:tr w:rsidR="00D64698" w:rsidRPr="00B1011F" w14:paraId="117EE7E6" w14:textId="77777777" w:rsidTr="0022083A">
        <w:tc>
          <w:tcPr>
            <w:tcW w:w="792" w:type="pct"/>
          </w:tcPr>
          <w:p w14:paraId="163BAACA" w14:textId="77777777" w:rsidR="00D64698" w:rsidRPr="00345F2D" w:rsidRDefault="00D64698" w:rsidP="0022083A">
            <w:pPr>
              <w:pStyle w:val="TableText0"/>
              <w:keepNext w:val="0"/>
              <w:widowControl w:val="0"/>
            </w:pPr>
            <w:r>
              <w:rPr>
                <w:b/>
                <w:bCs w:val="0"/>
              </w:rPr>
              <w:t>MAINTENANCE</w:t>
            </w:r>
            <w:r w:rsidRPr="00D50476">
              <w:rPr>
                <w:b/>
                <w:bCs w:val="0"/>
              </w:rPr>
              <w:t xml:space="preserve"> </w:t>
            </w:r>
          </w:p>
        </w:tc>
        <w:tc>
          <w:tcPr>
            <w:tcW w:w="1016" w:type="pct"/>
          </w:tcPr>
          <w:p w14:paraId="0A13D769" w14:textId="77777777" w:rsidR="00D64698" w:rsidRPr="00345F2D" w:rsidRDefault="00D64698" w:rsidP="0022083A">
            <w:pPr>
              <w:pStyle w:val="TableText0"/>
              <w:keepNext w:val="0"/>
              <w:widowControl w:val="0"/>
              <w:jc w:val="center"/>
            </w:pPr>
          </w:p>
        </w:tc>
        <w:tc>
          <w:tcPr>
            <w:tcW w:w="1072" w:type="pct"/>
          </w:tcPr>
          <w:p w14:paraId="363B8A52" w14:textId="77777777" w:rsidR="00D64698" w:rsidRPr="00345F2D" w:rsidRDefault="00D64698" w:rsidP="0022083A">
            <w:pPr>
              <w:pStyle w:val="TableText0"/>
              <w:keepNext w:val="0"/>
              <w:widowControl w:val="0"/>
              <w:jc w:val="center"/>
            </w:pPr>
          </w:p>
        </w:tc>
        <w:tc>
          <w:tcPr>
            <w:tcW w:w="1056" w:type="pct"/>
          </w:tcPr>
          <w:p w14:paraId="253647F4" w14:textId="77777777" w:rsidR="00D64698" w:rsidRPr="00345F2D" w:rsidRDefault="00D64698" w:rsidP="0022083A">
            <w:pPr>
              <w:pStyle w:val="TableText0"/>
              <w:keepNext w:val="0"/>
              <w:widowControl w:val="0"/>
              <w:jc w:val="center"/>
            </w:pPr>
          </w:p>
        </w:tc>
        <w:tc>
          <w:tcPr>
            <w:tcW w:w="1064" w:type="pct"/>
          </w:tcPr>
          <w:p w14:paraId="2E731F27" w14:textId="77777777" w:rsidR="00D64698" w:rsidRPr="00345F2D" w:rsidRDefault="00D64698" w:rsidP="0022083A">
            <w:pPr>
              <w:pStyle w:val="TableText0"/>
              <w:keepNext w:val="0"/>
              <w:widowControl w:val="0"/>
              <w:jc w:val="center"/>
            </w:pPr>
          </w:p>
        </w:tc>
      </w:tr>
      <w:tr w:rsidR="00D64698" w:rsidRPr="00B1011F" w14:paraId="41C10294" w14:textId="77777777" w:rsidTr="0022083A">
        <w:tc>
          <w:tcPr>
            <w:tcW w:w="5000" w:type="pct"/>
            <w:gridSpan w:val="5"/>
          </w:tcPr>
          <w:p w14:paraId="4C931608" w14:textId="31FDEFD3" w:rsidR="00D64698" w:rsidRPr="00345F2D" w:rsidRDefault="00D64698" w:rsidP="0022083A">
            <w:pPr>
              <w:pStyle w:val="TableText0"/>
              <w:keepNext w:val="0"/>
              <w:widowControl w:val="0"/>
            </w:pPr>
            <w:r w:rsidRPr="00F4522C">
              <w:rPr>
                <w:b/>
                <w:bCs w:val="0"/>
              </w:rPr>
              <w:t>Risankizumab (360</w:t>
            </w:r>
            <w:r w:rsidR="00EB59E1">
              <w:rPr>
                <w:b/>
                <w:bCs w:val="0"/>
              </w:rPr>
              <w:t xml:space="preserve"> </w:t>
            </w:r>
            <w:r w:rsidRPr="00F4522C">
              <w:rPr>
                <w:b/>
                <w:bCs w:val="0"/>
              </w:rPr>
              <w:t>mg SC) at Week 64</w:t>
            </w:r>
            <w:r>
              <w:rPr>
                <w:b/>
                <w:bCs w:val="0"/>
              </w:rPr>
              <w:t xml:space="preserve"> </w:t>
            </w:r>
          </w:p>
        </w:tc>
      </w:tr>
      <w:tr w:rsidR="00D64698" w:rsidRPr="00B1011F" w14:paraId="51CD7410" w14:textId="77777777" w:rsidTr="0022083A">
        <w:tc>
          <w:tcPr>
            <w:tcW w:w="792" w:type="pct"/>
          </w:tcPr>
          <w:p w14:paraId="248CC128" w14:textId="77777777" w:rsidR="00D64698" w:rsidRPr="00F4522C" w:rsidRDefault="00D64698" w:rsidP="0022083A">
            <w:pPr>
              <w:pStyle w:val="TableText0"/>
              <w:keepNext w:val="0"/>
              <w:widowControl w:val="0"/>
              <w:rPr>
                <w:b/>
                <w:bCs w:val="0"/>
              </w:rPr>
            </w:pPr>
            <w:r w:rsidRPr="00BD03E2">
              <w:t>FORTIFY</w:t>
            </w:r>
          </w:p>
        </w:tc>
        <w:tc>
          <w:tcPr>
            <w:tcW w:w="1016" w:type="pct"/>
          </w:tcPr>
          <w:p w14:paraId="46DAE9C2" w14:textId="77777777" w:rsidR="00D64698" w:rsidRPr="00345F2D" w:rsidRDefault="00D64698" w:rsidP="0022083A">
            <w:pPr>
              <w:pStyle w:val="TableText0"/>
              <w:keepNext w:val="0"/>
              <w:widowControl w:val="0"/>
              <w:jc w:val="center"/>
            </w:pPr>
            <w:r w:rsidRPr="00816313">
              <w:t>8/11 (72.7)</w:t>
            </w:r>
          </w:p>
        </w:tc>
        <w:tc>
          <w:tcPr>
            <w:tcW w:w="1072" w:type="pct"/>
          </w:tcPr>
          <w:p w14:paraId="5746833A" w14:textId="77777777" w:rsidR="00D64698" w:rsidRPr="00345F2D" w:rsidRDefault="00D64698" w:rsidP="0022083A">
            <w:pPr>
              <w:pStyle w:val="TableText0"/>
              <w:keepNext w:val="0"/>
              <w:widowControl w:val="0"/>
              <w:jc w:val="center"/>
            </w:pPr>
            <w:r w:rsidRPr="00816313">
              <w:t>5/11 (45.5)</w:t>
            </w:r>
          </w:p>
        </w:tc>
        <w:tc>
          <w:tcPr>
            <w:tcW w:w="1056" w:type="pct"/>
          </w:tcPr>
          <w:p w14:paraId="47253A69" w14:textId="77777777" w:rsidR="00D64698" w:rsidRPr="00A54C94" w:rsidRDefault="00D64698" w:rsidP="0022083A">
            <w:pPr>
              <w:pStyle w:val="TableText0"/>
              <w:keepNext w:val="0"/>
              <w:widowControl w:val="0"/>
              <w:jc w:val="center"/>
              <w:rPr>
                <w:b/>
                <w:bCs w:val="0"/>
              </w:rPr>
            </w:pPr>
            <w:r w:rsidRPr="00816313">
              <w:t>1.60 (0.76, 3.36)</w:t>
            </w:r>
          </w:p>
        </w:tc>
        <w:tc>
          <w:tcPr>
            <w:tcW w:w="1064" w:type="pct"/>
          </w:tcPr>
          <w:p w14:paraId="7A3EAF06" w14:textId="77777777" w:rsidR="00D64698" w:rsidRPr="00A54C94" w:rsidRDefault="00D64698" w:rsidP="0022083A">
            <w:pPr>
              <w:pStyle w:val="TableText0"/>
              <w:keepNext w:val="0"/>
              <w:widowControl w:val="0"/>
              <w:jc w:val="center"/>
              <w:rPr>
                <w:b/>
                <w:bCs w:val="0"/>
              </w:rPr>
            </w:pPr>
            <w:r w:rsidRPr="00816313">
              <w:t>0.27 (-0.12, 0.67)</w:t>
            </w:r>
          </w:p>
        </w:tc>
      </w:tr>
      <w:tr w:rsidR="00D64698" w:rsidRPr="00B1011F" w14:paraId="275CD695" w14:textId="77777777" w:rsidTr="0022083A">
        <w:tc>
          <w:tcPr>
            <w:tcW w:w="5000" w:type="pct"/>
            <w:gridSpan w:val="5"/>
            <w:vAlign w:val="center"/>
          </w:tcPr>
          <w:p w14:paraId="51EA5F74" w14:textId="77777777" w:rsidR="00D64698" w:rsidRPr="00A54C94" w:rsidRDefault="00D64698" w:rsidP="0022083A">
            <w:pPr>
              <w:pStyle w:val="TableText0"/>
              <w:keepNext w:val="0"/>
              <w:widowControl w:val="0"/>
              <w:rPr>
                <w:b/>
                <w:bCs w:val="0"/>
              </w:rPr>
            </w:pPr>
            <w:r>
              <w:rPr>
                <w:b/>
                <w:bCs w:val="0"/>
              </w:rPr>
              <w:t>Adalimumab</w:t>
            </w:r>
            <w:r w:rsidRPr="00371234">
              <w:rPr>
                <w:b/>
                <w:bCs w:val="0"/>
              </w:rPr>
              <w:t xml:space="preserve"> at Week </w:t>
            </w:r>
            <w:r>
              <w:rPr>
                <w:b/>
                <w:bCs w:val="0"/>
              </w:rPr>
              <w:t>56</w:t>
            </w:r>
          </w:p>
        </w:tc>
      </w:tr>
      <w:tr w:rsidR="00D64698" w:rsidRPr="00B1011F" w14:paraId="0DFD0F6A" w14:textId="77777777" w:rsidTr="0022083A">
        <w:tc>
          <w:tcPr>
            <w:tcW w:w="792" w:type="pct"/>
          </w:tcPr>
          <w:p w14:paraId="2FA0EC1E" w14:textId="77777777" w:rsidR="00D64698" w:rsidRPr="00371234" w:rsidRDefault="00D64698" w:rsidP="0022083A">
            <w:pPr>
              <w:pStyle w:val="TableText0"/>
              <w:keepNext w:val="0"/>
              <w:widowControl w:val="0"/>
              <w:rPr>
                <w:b/>
                <w:bCs w:val="0"/>
              </w:rPr>
            </w:pPr>
            <w:r w:rsidRPr="00542DD8">
              <w:t>CHARM</w:t>
            </w:r>
          </w:p>
        </w:tc>
        <w:tc>
          <w:tcPr>
            <w:tcW w:w="1016" w:type="pct"/>
          </w:tcPr>
          <w:p w14:paraId="4B8F1A82" w14:textId="77777777" w:rsidR="00D64698" w:rsidRPr="00BD03E2" w:rsidRDefault="00D64698" w:rsidP="0022083A">
            <w:pPr>
              <w:pStyle w:val="TableText0"/>
              <w:keepNext w:val="0"/>
              <w:widowControl w:val="0"/>
              <w:jc w:val="center"/>
            </w:pPr>
            <w:r w:rsidRPr="00542DD8">
              <w:t>11/30 (37)</w:t>
            </w:r>
          </w:p>
        </w:tc>
        <w:tc>
          <w:tcPr>
            <w:tcW w:w="1072" w:type="pct"/>
          </w:tcPr>
          <w:p w14:paraId="4BF8BE60" w14:textId="77777777" w:rsidR="00D64698" w:rsidRPr="00BD03E2" w:rsidRDefault="00D64698" w:rsidP="0022083A">
            <w:pPr>
              <w:pStyle w:val="TableText0"/>
              <w:keepNext w:val="0"/>
              <w:widowControl w:val="0"/>
              <w:jc w:val="center"/>
            </w:pPr>
            <w:r w:rsidRPr="00542DD8">
              <w:t>6/47 (13)</w:t>
            </w:r>
          </w:p>
        </w:tc>
        <w:tc>
          <w:tcPr>
            <w:tcW w:w="1056" w:type="pct"/>
          </w:tcPr>
          <w:p w14:paraId="20AC37DA" w14:textId="77777777" w:rsidR="00D64698" w:rsidRPr="00CA7037" w:rsidRDefault="00D64698" w:rsidP="0022083A">
            <w:pPr>
              <w:pStyle w:val="TableText0"/>
              <w:keepNext w:val="0"/>
              <w:widowControl w:val="0"/>
              <w:jc w:val="center"/>
              <w:rPr>
                <w:b/>
                <w:bCs w:val="0"/>
              </w:rPr>
            </w:pPr>
            <w:r w:rsidRPr="00CA7037">
              <w:rPr>
                <w:b/>
                <w:bCs w:val="0"/>
              </w:rPr>
              <w:t>2.87 [1.23, 6.83]</w:t>
            </w:r>
          </w:p>
        </w:tc>
        <w:tc>
          <w:tcPr>
            <w:tcW w:w="1064" w:type="pct"/>
          </w:tcPr>
          <w:p w14:paraId="09E76AE8" w14:textId="77777777" w:rsidR="00D64698" w:rsidRPr="00CA7037" w:rsidRDefault="00D64698" w:rsidP="0022083A">
            <w:pPr>
              <w:pStyle w:val="TableText0"/>
              <w:keepNext w:val="0"/>
              <w:widowControl w:val="0"/>
              <w:jc w:val="center"/>
              <w:rPr>
                <w:b/>
                <w:bCs w:val="0"/>
              </w:rPr>
            </w:pPr>
            <w:r w:rsidRPr="00CA7037">
              <w:rPr>
                <w:b/>
                <w:bCs w:val="0"/>
              </w:rPr>
              <w:t>0.24 [0.05, 0.44]</w:t>
            </w:r>
          </w:p>
        </w:tc>
      </w:tr>
      <w:tr w:rsidR="00D64698" w:rsidRPr="00B1011F" w14:paraId="35146A99" w14:textId="77777777" w:rsidTr="0022083A">
        <w:tc>
          <w:tcPr>
            <w:tcW w:w="5000" w:type="pct"/>
            <w:gridSpan w:val="5"/>
          </w:tcPr>
          <w:p w14:paraId="404513C6" w14:textId="77777777" w:rsidR="00D64698" w:rsidRPr="00CA7037" w:rsidRDefault="00D64698" w:rsidP="0022083A">
            <w:pPr>
              <w:pStyle w:val="TableText0"/>
              <w:keepNext w:val="0"/>
              <w:widowControl w:val="0"/>
              <w:rPr>
                <w:b/>
                <w:bCs w:val="0"/>
              </w:rPr>
            </w:pPr>
            <w:r w:rsidRPr="001455A4">
              <w:rPr>
                <w:b/>
                <w:bCs w:val="0"/>
              </w:rPr>
              <w:t xml:space="preserve">Infliximab at Week </w:t>
            </w:r>
            <w:r>
              <w:rPr>
                <w:b/>
                <w:bCs w:val="0"/>
              </w:rPr>
              <w:t>54</w:t>
            </w:r>
          </w:p>
        </w:tc>
      </w:tr>
      <w:tr w:rsidR="00D64698" w:rsidRPr="008A4B69" w14:paraId="0030F302" w14:textId="77777777" w:rsidTr="0022083A">
        <w:tc>
          <w:tcPr>
            <w:tcW w:w="792" w:type="pct"/>
          </w:tcPr>
          <w:p w14:paraId="6B4A36FD" w14:textId="77777777" w:rsidR="00D64698" w:rsidRPr="008A4B69" w:rsidRDefault="00D64698" w:rsidP="0022083A">
            <w:pPr>
              <w:pStyle w:val="TableText0"/>
              <w:keepNext w:val="0"/>
              <w:widowControl w:val="0"/>
            </w:pPr>
            <w:r w:rsidRPr="008A4B69">
              <w:t>ACCENT II</w:t>
            </w:r>
          </w:p>
        </w:tc>
        <w:tc>
          <w:tcPr>
            <w:tcW w:w="1016" w:type="pct"/>
          </w:tcPr>
          <w:p w14:paraId="192C65B9" w14:textId="77777777" w:rsidR="00D64698" w:rsidRPr="008A4B69" w:rsidRDefault="00D64698" w:rsidP="0022083A">
            <w:pPr>
              <w:pStyle w:val="TableText0"/>
              <w:keepNext w:val="0"/>
              <w:widowControl w:val="0"/>
              <w:jc w:val="center"/>
            </w:pPr>
            <w:r w:rsidRPr="008A4B69">
              <w:rPr>
                <w:iCs/>
              </w:rPr>
              <w:t>33/91 (36)</w:t>
            </w:r>
          </w:p>
        </w:tc>
        <w:tc>
          <w:tcPr>
            <w:tcW w:w="1072" w:type="pct"/>
          </w:tcPr>
          <w:p w14:paraId="57472D91" w14:textId="77777777" w:rsidR="00D64698" w:rsidRPr="008A4B69" w:rsidRDefault="00D64698" w:rsidP="0022083A">
            <w:pPr>
              <w:pStyle w:val="TableText0"/>
              <w:keepNext w:val="0"/>
              <w:widowControl w:val="0"/>
              <w:jc w:val="center"/>
            </w:pPr>
            <w:r w:rsidRPr="008A4B69">
              <w:rPr>
                <w:iCs/>
              </w:rPr>
              <w:t>19/98 (19)</w:t>
            </w:r>
          </w:p>
        </w:tc>
        <w:tc>
          <w:tcPr>
            <w:tcW w:w="1056" w:type="pct"/>
          </w:tcPr>
          <w:p w14:paraId="60ABF8D4" w14:textId="77777777" w:rsidR="00D64698" w:rsidRPr="008A4B69" w:rsidRDefault="00D64698" w:rsidP="0022083A">
            <w:pPr>
              <w:pStyle w:val="TableText0"/>
              <w:keepNext w:val="0"/>
              <w:widowControl w:val="0"/>
              <w:jc w:val="center"/>
            </w:pPr>
            <w:r w:rsidRPr="008A4B69">
              <w:rPr>
                <w:bCs w:val="0"/>
                <w:iCs/>
              </w:rPr>
              <w:t>1.87 (1.16, 3.05)</w:t>
            </w:r>
          </w:p>
        </w:tc>
        <w:tc>
          <w:tcPr>
            <w:tcW w:w="1064" w:type="pct"/>
          </w:tcPr>
          <w:p w14:paraId="4075BF19" w14:textId="7B2E43AB" w:rsidR="00D64698" w:rsidRPr="008A4B69" w:rsidRDefault="00D64698" w:rsidP="0022083A">
            <w:pPr>
              <w:pStyle w:val="TableText0"/>
              <w:keepNext w:val="0"/>
              <w:widowControl w:val="0"/>
              <w:jc w:val="center"/>
            </w:pPr>
            <w:r w:rsidRPr="008A4B69">
              <w:t>0.</w:t>
            </w:r>
            <w:r w:rsidRPr="008A4B69">
              <w:rPr>
                <w:bCs w:val="0"/>
                <w:iCs/>
              </w:rPr>
              <w:t>17 (</w:t>
            </w:r>
            <w:r w:rsidRPr="008A4B69">
              <w:t>0.</w:t>
            </w:r>
            <w:r w:rsidRPr="008A4B69">
              <w:rPr>
                <w:bCs w:val="0"/>
                <w:iCs/>
              </w:rPr>
              <w:t>04</w:t>
            </w:r>
            <w:r w:rsidRPr="008A4B69">
              <w:t>, 0.</w:t>
            </w:r>
            <w:r w:rsidRPr="008A4B69">
              <w:rPr>
                <w:bCs w:val="0"/>
                <w:iCs/>
              </w:rPr>
              <w:t>29)</w:t>
            </w:r>
          </w:p>
        </w:tc>
      </w:tr>
      <w:tr w:rsidR="00D64698" w:rsidRPr="00B1011F" w14:paraId="74A05C2E" w14:textId="77777777" w:rsidTr="0022083A">
        <w:tc>
          <w:tcPr>
            <w:tcW w:w="5000" w:type="pct"/>
            <w:gridSpan w:val="5"/>
            <w:shd w:val="clear" w:color="auto" w:fill="D9D9D9" w:themeFill="background1" w:themeFillShade="D9"/>
          </w:tcPr>
          <w:p w14:paraId="70E74DCB" w14:textId="77777777" w:rsidR="00D64698" w:rsidRPr="00CA7037" w:rsidRDefault="00D64698" w:rsidP="0022083A">
            <w:pPr>
              <w:pStyle w:val="TableText0"/>
              <w:keepNext w:val="0"/>
              <w:widowControl w:val="0"/>
              <w:jc w:val="both"/>
              <w:rPr>
                <w:b/>
                <w:bCs w:val="0"/>
              </w:rPr>
            </w:pPr>
            <w:r w:rsidRPr="00E4533A">
              <w:rPr>
                <w:b/>
                <w:bCs w:val="0"/>
              </w:rPr>
              <w:t xml:space="preserve">Outcome: </w:t>
            </w:r>
            <w:r w:rsidRPr="005C0B62">
              <w:rPr>
                <w:b/>
                <w:bCs w:val="0"/>
              </w:rPr>
              <w:t xml:space="preserve">Fistula response (≥50% reduction in number of draining fistula </w:t>
            </w:r>
            <w:r w:rsidRPr="001455A4">
              <w:rPr>
                <w:b/>
                <w:bCs w:val="0"/>
                <w:vertAlign w:val="superscript"/>
              </w:rPr>
              <w:t>c</w:t>
            </w:r>
            <w:r>
              <w:rPr>
                <w:b/>
                <w:bCs w:val="0"/>
              </w:rPr>
              <w:t>)</w:t>
            </w:r>
          </w:p>
        </w:tc>
      </w:tr>
      <w:tr w:rsidR="00D64698" w:rsidRPr="00B1011F" w14:paraId="7E91B8B3" w14:textId="77777777" w:rsidTr="0022083A">
        <w:tc>
          <w:tcPr>
            <w:tcW w:w="5000" w:type="pct"/>
            <w:gridSpan w:val="5"/>
          </w:tcPr>
          <w:p w14:paraId="46FD4D77" w14:textId="77777777" w:rsidR="00D64698" w:rsidRPr="00CA7037" w:rsidRDefault="00D64698" w:rsidP="0022083A">
            <w:pPr>
              <w:pStyle w:val="TableText0"/>
              <w:keepNext w:val="0"/>
              <w:widowControl w:val="0"/>
              <w:rPr>
                <w:b/>
                <w:bCs w:val="0"/>
              </w:rPr>
            </w:pPr>
            <w:r w:rsidRPr="00E4533A">
              <w:rPr>
                <w:b/>
                <w:bCs w:val="0"/>
              </w:rPr>
              <w:t>INDUCTION</w:t>
            </w:r>
          </w:p>
        </w:tc>
      </w:tr>
      <w:tr w:rsidR="00D64698" w:rsidRPr="00B1011F" w14:paraId="1FC4A0BC" w14:textId="77777777" w:rsidTr="0022083A">
        <w:tc>
          <w:tcPr>
            <w:tcW w:w="5000" w:type="pct"/>
            <w:gridSpan w:val="5"/>
          </w:tcPr>
          <w:p w14:paraId="3767AF80" w14:textId="113ED1A9" w:rsidR="00D64698" w:rsidRPr="00CA7037" w:rsidRDefault="00D64698" w:rsidP="0022083A">
            <w:pPr>
              <w:pStyle w:val="TableText0"/>
              <w:keepNext w:val="0"/>
              <w:widowControl w:val="0"/>
              <w:rPr>
                <w:b/>
                <w:bCs w:val="0"/>
              </w:rPr>
            </w:pPr>
            <w:r w:rsidRPr="00E4533A">
              <w:rPr>
                <w:b/>
                <w:bCs w:val="0"/>
              </w:rPr>
              <w:t>Risankizumab (600</w:t>
            </w:r>
            <w:r w:rsidR="00EB59E1">
              <w:rPr>
                <w:b/>
                <w:bCs w:val="0"/>
              </w:rPr>
              <w:t xml:space="preserve"> </w:t>
            </w:r>
            <w:r w:rsidRPr="00E4533A">
              <w:rPr>
                <w:b/>
                <w:bCs w:val="0"/>
              </w:rPr>
              <w:t>mg IV) at Week 12</w:t>
            </w:r>
          </w:p>
        </w:tc>
      </w:tr>
      <w:tr w:rsidR="00D64698" w:rsidRPr="00B1011F" w14:paraId="2A45EEDD" w14:textId="77777777" w:rsidTr="0022083A">
        <w:tc>
          <w:tcPr>
            <w:tcW w:w="792" w:type="pct"/>
          </w:tcPr>
          <w:p w14:paraId="555720F7" w14:textId="77777777" w:rsidR="00D64698" w:rsidRPr="00E4533A" w:rsidRDefault="00D64698" w:rsidP="0022083A">
            <w:pPr>
              <w:pStyle w:val="TableText0"/>
              <w:keepNext w:val="0"/>
              <w:widowControl w:val="0"/>
              <w:rPr>
                <w:b/>
                <w:bCs w:val="0"/>
              </w:rPr>
            </w:pPr>
            <w:r w:rsidRPr="006E3558">
              <w:t>ADVANCE</w:t>
            </w:r>
          </w:p>
        </w:tc>
        <w:tc>
          <w:tcPr>
            <w:tcW w:w="1016" w:type="pct"/>
          </w:tcPr>
          <w:p w14:paraId="0A988750" w14:textId="77777777" w:rsidR="00D64698" w:rsidRPr="0010142E" w:rsidRDefault="00D64698" w:rsidP="0022083A">
            <w:pPr>
              <w:pStyle w:val="TableText0"/>
              <w:keepNext w:val="0"/>
              <w:widowControl w:val="0"/>
              <w:jc w:val="center"/>
            </w:pPr>
            <w:r w:rsidRPr="0030088B">
              <w:t>5/18 (27.8)</w:t>
            </w:r>
          </w:p>
        </w:tc>
        <w:tc>
          <w:tcPr>
            <w:tcW w:w="1072" w:type="pct"/>
          </w:tcPr>
          <w:p w14:paraId="188BCAE7" w14:textId="77777777" w:rsidR="00D64698" w:rsidRPr="0010142E" w:rsidRDefault="00D64698" w:rsidP="0022083A">
            <w:pPr>
              <w:pStyle w:val="TableText0"/>
              <w:keepNext w:val="0"/>
              <w:widowControl w:val="0"/>
              <w:jc w:val="center"/>
            </w:pPr>
            <w:r w:rsidRPr="0030088B">
              <w:t>2/9 (22.2)</w:t>
            </w:r>
          </w:p>
        </w:tc>
        <w:tc>
          <w:tcPr>
            <w:tcW w:w="1056" w:type="pct"/>
          </w:tcPr>
          <w:p w14:paraId="45F3B44B" w14:textId="77777777" w:rsidR="00D64698" w:rsidRPr="00CA7037" w:rsidRDefault="00D64698" w:rsidP="0022083A">
            <w:pPr>
              <w:pStyle w:val="TableText0"/>
              <w:keepNext w:val="0"/>
              <w:widowControl w:val="0"/>
              <w:jc w:val="center"/>
              <w:rPr>
                <w:b/>
                <w:bCs w:val="0"/>
              </w:rPr>
            </w:pPr>
            <w:r w:rsidRPr="0030088B">
              <w:t>1.25 [0.30, 5.23]</w:t>
            </w:r>
          </w:p>
        </w:tc>
        <w:tc>
          <w:tcPr>
            <w:tcW w:w="1064" w:type="pct"/>
          </w:tcPr>
          <w:p w14:paraId="315879D0" w14:textId="77777777" w:rsidR="00D64698" w:rsidRPr="00CA7037" w:rsidRDefault="00D64698" w:rsidP="0022083A">
            <w:pPr>
              <w:pStyle w:val="TableText0"/>
              <w:keepNext w:val="0"/>
              <w:widowControl w:val="0"/>
              <w:jc w:val="center"/>
              <w:rPr>
                <w:b/>
                <w:bCs w:val="0"/>
              </w:rPr>
            </w:pPr>
            <w:r w:rsidRPr="0030088B">
              <w:t>0.06 [-0.29, 0.40]</w:t>
            </w:r>
          </w:p>
        </w:tc>
      </w:tr>
      <w:tr w:rsidR="00D64698" w:rsidRPr="00B1011F" w14:paraId="49239484" w14:textId="77777777" w:rsidTr="0022083A">
        <w:tc>
          <w:tcPr>
            <w:tcW w:w="792" w:type="pct"/>
          </w:tcPr>
          <w:p w14:paraId="57E96701" w14:textId="77777777" w:rsidR="00D64698" w:rsidRPr="006E3558" w:rsidRDefault="00D64698" w:rsidP="0022083A">
            <w:pPr>
              <w:pStyle w:val="TableText0"/>
              <w:keepNext w:val="0"/>
              <w:widowControl w:val="0"/>
            </w:pPr>
            <w:r w:rsidRPr="006E3558">
              <w:t>MOTIVATE</w:t>
            </w:r>
          </w:p>
        </w:tc>
        <w:tc>
          <w:tcPr>
            <w:tcW w:w="1016" w:type="pct"/>
          </w:tcPr>
          <w:p w14:paraId="30217F96" w14:textId="77777777" w:rsidR="00D64698" w:rsidRPr="0030088B" w:rsidRDefault="00D64698" w:rsidP="0022083A">
            <w:pPr>
              <w:pStyle w:val="TableText0"/>
              <w:keepNext w:val="0"/>
              <w:widowControl w:val="0"/>
              <w:jc w:val="center"/>
            </w:pPr>
            <w:r w:rsidRPr="0030088B">
              <w:t>3/14 (21.4)</w:t>
            </w:r>
          </w:p>
        </w:tc>
        <w:tc>
          <w:tcPr>
            <w:tcW w:w="1072" w:type="pct"/>
          </w:tcPr>
          <w:p w14:paraId="10285864" w14:textId="77777777" w:rsidR="00D64698" w:rsidRPr="0030088B" w:rsidRDefault="00D64698" w:rsidP="0022083A">
            <w:pPr>
              <w:pStyle w:val="TableText0"/>
              <w:keepNext w:val="0"/>
              <w:widowControl w:val="0"/>
              <w:jc w:val="center"/>
            </w:pPr>
            <w:r w:rsidRPr="0030088B">
              <w:t>2/15 (13.3)</w:t>
            </w:r>
          </w:p>
        </w:tc>
        <w:tc>
          <w:tcPr>
            <w:tcW w:w="1056" w:type="pct"/>
          </w:tcPr>
          <w:p w14:paraId="76D39EF6" w14:textId="77777777" w:rsidR="00D64698" w:rsidRPr="0030088B" w:rsidRDefault="00D64698" w:rsidP="0022083A">
            <w:pPr>
              <w:pStyle w:val="TableText0"/>
              <w:keepNext w:val="0"/>
              <w:widowControl w:val="0"/>
              <w:jc w:val="center"/>
            </w:pPr>
            <w:r w:rsidRPr="0030088B">
              <w:t>1.61 [0.31, 8.23]</w:t>
            </w:r>
          </w:p>
        </w:tc>
        <w:tc>
          <w:tcPr>
            <w:tcW w:w="1064" w:type="pct"/>
          </w:tcPr>
          <w:p w14:paraId="2F862AC5" w14:textId="77777777" w:rsidR="00D64698" w:rsidRPr="0030088B" w:rsidRDefault="00D64698" w:rsidP="0022083A">
            <w:pPr>
              <w:pStyle w:val="TableText0"/>
              <w:keepNext w:val="0"/>
              <w:widowControl w:val="0"/>
              <w:jc w:val="center"/>
            </w:pPr>
            <w:r w:rsidRPr="0030088B">
              <w:t>0.08 [-0.20, 0.36]</w:t>
            </w:r>
          </w:p>
        </w:tc>
      </w:tr>
      <w:tr w:rsidR="00D64698" w:rsidRPr="00B1011F" w14:paraId="3E1BEAEE" w14:textId="77777777" w:rsidTr="0022083A">
        <w:tc>
          <w:tcPr>
            <w:tcW w:w="792" w:type="pct"/>
            <w:shd w:val="clear" w:color="auto" w:fill="FDE9D9" w:themeFill="accent6" w:themeFillTint="33"/>
          </w:tcPr>
          <w:p w14:paraId="75057AB2" w14:textId="77777777" w:rsidR="00D64698" w:rsidRPr="006E3558" w:rsidRDefault="00D64698" w:rsidP="0022083A">
            <w:pPr>
              <w:pStyle w:val="TableText0"/>
              <w:keepNext w:val="0"/>
              <w:widowControl w:val="0"/>
            </w:pPr>
            <w:r>
              <w:t>Meta-analysis</w:t>
            </w:r>
          </w:p>
        </w:tc>
        <w:tc>
          <w:tcPr>
            <w:tcW w:w="1016" w:type="pct"/>
            <w:shd w:val="clear" w:color="auto" w:fill="FDE9D9" w:themeFill="accent6" w:themeFillTint="33"/>
          </w:tcPr>
          <w:p w14:paraId="6E40EA55" w14:textId="77777777" w:rsidR="00D64698" w:rsidRPr="0030088B" w:rsidRDefault="00D64698" w:rsidP="0022083A">
            <w:pPr>
              <w:pStyle w:val="TableText0"/>
              <w:keepNext w:val="0"/>
              <w:widowControl w:val="0"/>
              <w:jc w:val="center"/>
            </w:pPr>
            <w:r w:rsidRPr="0030088B">
              <w:t>8/32 (25)</w:t>
            </w:r>
          </w:p>
        </w:tc>
        <w:tc>
          <w:tcPr>
            <w:tcW w:w="1072" w:type="pct"/>
            <w:shd w:val="clear" w:color="auto" w:fill="FDE9D9" w:themeFill="accent6" w:themeFillTint="33"/>
          </w:tcPr>
          <w:p w14:paraId="4B6ABFD5" w14:textId="77777777" w:rsidR="00D64698" w:rsidRPr="0030088B" w:rsidRDefault="00D64698" w:rsidP="0022083A">
            <w:pPr>
              <w:pStyle w:val="TableText0"/>
              <w:keepNext w:val="0"/>
              <w:widowControl w:val="0"/>
              <w:jc w:val="center"/>
            </w:pPr>
            <w:r w:rsidRPr="0030088B">
              <w:t>4/24 (16.7)</w:t>
            </w:r>
          </w:p>
        </w:tc>
        <w:tc>
          <w:tcPr>
            <w:tcW w:w="1056" w:type="pct"/>
            <w:shd w:val="clear" w:color="auto" w:fill="FDE9D9" w:themeFill="accent6" w:themeFillTint="33"/>
          </w:tcPr>
          <w:p w14:paraId="594E1915" w14:textId="77777777" w:rsidR="00D64698" w:rsidRPr="0030088B" w:rsidRDefault="00D64698" w:rsidP="0022083A">
            <w:pPr>
              <w:pStyle w:val="TableText0"/>
              <w:keepNext w:val="0"/>
              <w:widowControl w:val="0"/>
              <w:jc w:val="center"/>
            </w:pPr>
            <w:r w:rsidRPr="0030088B">
              <w:t>1.39 [0.47, 4.09]</w:t>
            </w:r>
          </w:p>
        </w:tc>
        <w:tc>
          <w:tcPr>
            <w:tcW w:w="1064" w:type="pct"/>
            <w:shd w:val="clear" w:color="auto" w:fill="FDE9D9" w:themeFill="accent6" w:themeFillTint="33"/>
          </w:tcPr>
          <w:p w14:paraId="24251824" w14:textId="77777777" w:rsidR="00D64698" w:rsidRPr="0030088B" w:rsidRDefault="00D64698" w:rsidP="0022083A">
            <w:pPr>
              <w:pStyle w:val="TableText0"/>
              <w:keepNext w:val="0"/>
              <w:widowControl w:val="0"/>
              <w:jc w:val="center"/>
            </w:pPr>
            <w:r w:rsidRPr="0030088B">
              <w:t xml:space="preserve">0.07 </w:t>
            </w:r>
            <w:r w:rsidRPr="008A4B69">
              <w:rPr>
                <w:iCs/>
              </w:rPr>
              <w:t>[-0.14, 0.29]</w:t>
            </w:r>
          </w:p>
        </w:tc>
      </w:tr>
      <w:tr w:rsidR="00D64698" w:rsidRPr="00B1011F" w14:paraId="144BFC7C" w14:textId="77777777" w:rsidTr="0022083A">
        <w:tc>
          <w:tcPr>
            <w:tcW w:w="5000" w:type="pct"/>
            <w:gridSpan w:val="5"/>
            <w:vAlign w:val="center"/>
          </w:tcPr>
          <w:p w14:paraId="25644F89" w14:textId="77777777" w:rsidR="00D64698" w:rsidRPr="0030088B" w:rsidRDefault="00D64698" w:rsidP="0022083A">
            <w:pPr>
              <w:pStyle w:val="TableText0"/>
              <w:keepNext w:val="0"/>
              <w:widowControl w:val="0"/>
            </w:pPr>
            <w:r>
              <w:rPr>
                <w:b/>
                <w:bCs w:val="0"/>
              </w:rPr>
              <w:t>Adalimumab</w:t>
            </w:r>
            <w:r w:rsidRPr="00371234">
              <w:rPr>
                <w:b/>
                <w:bCs w:val="0"/>
              </w:rPr>
              <w:t xml:space="preserve"> at Week </w:t>
            </w:r>
            <w:r>
              <w:rPr>
                <w:b/>
                <w:bCs w:val="0"/>
              </w:rPr>
              <w:t>4</w:t>
            </w:r>
          </w:p>
        </w:tc>
      </w:tr>
      <w:tr w:rsidR="00D64698" w:rsidRPr="00B1011F" w14:paraId="2CF219BF" w14:textId="77777777" w:rsidTr="0022083A">
        <w:tc>
          <w:tcPr>
            <w:tcW w:w="792" w:type="pct"/>
          </w:tcPr>
          <w:p w14:paraId="4221DFFD" w14:textId="77777777" w:rsidR="00D64698" w:rsidRDefault="00D64698" w:rsidP="0022083A">
            <w:pPr>
              <w:pStyle w:val="TableText0"/>
              <w:keepNext w:val="0"/>
              <w:widowControl w:val="0"/>
              <w:rPr>
                <w:b/>
                <w:bCs w:val="0"/>
              </w:rPr>
            </w:pPr>
            <w:r w:rsidRPr="005A795D">
              <w:t>CLASSIC I</w:t>
            </w:r>
          </w:p>
        </w:tc>
        <w:tc>
          <w:tcPr>
            <w:tcW w:w="1016" w:type="pct"/>
          </w:tcPr>
          <w:p w14:paraId="289AB691" w14:textId="77777777" w:rsidR="00D64698" w:rsidRPr="0030088B" w:rsidRDefault="00D64698" w:rsidP="0022083A">
            <w:pPr>
              <w:pStyle w:val="TableText0"/>
              <w:keepNext w:val="0"/>
              <w:widowControl w:val="0"/>
              <w:jc w:val="center"/>
            </w:pPr>
            <w:r w:rsidRPr="005A795D">
              <w:t>1/12 (8)</w:t>
            </w:r>
          </w:p>
        </w:tc>
        <w:tc>
          <w:tcPr>
            <w:tcW w:w="1072" w:type="pct"/>
          </w:tcPr>
          <w:p w14:paraId="525AA15B" w14:textId="77777777" w:rsidR="00D64698" w:rsidRPr="0030088B" w:rsidRDefault="00D64698" w:rsidP="0022083A">
            <w:pPr>
              <w:pStyle w:val="TableText0"/>
              <w:keepNext w:val="0"/>
              <w:widowControl w:val="0"/>
              <w:jc w:val="center"/>
            </w:pPr>
            <w:r w:rsidRPr="005A795D">
              <w:t>2/6 (33)</w:t>
            </w:r>
          </w:p>
        </w:tc>
        <w:tc>
          <w:tcPr>
            <w:tcW w:w="1056" w:type="pct"/>
          </w:tcPr>
          <w:p w14:paraId="79ED013D" w14:textId="77777777" w:rsidR="00D64698" w:rsidRPr="0030088B" w:rsidRDefault="00D64698" w:rsidP="0022083A">
            <w:pPr>
              <w:pStyle w:val="TableText0"/>
              <w:keepNext w:val="0"/>
              <w:widowControl w:val="0"/>
              <w:jc w:val="center"/>
            </w:pPr>
            <w:r w:rsidRPr="005A795D">
              <w:t>0.25 [0.04, 1.67]</w:t>
            </w:r>
          </w:p>
        </w:tc>
        <w:tc>
          <w:tcPr>
            <w:tcW w:w="1064" w:type="pct"/>
          </w:tcPr>
          <w:p w14:paraId="1455718E" w14:textId="77777777" w:rsidR="00D64698" w:rsidRPr="0030088B" w:rsidRDefault="00D64698" w:rsidP="0022083A">
            <w:pPr>
              <w:pStyle w:val="TableText0"/>
              <w:keepNext w:val="0"/>
              <w:widowControl w:val="0"/>
              <w:jc w:val="center"/>
            </w:pPr>
            <w:r w:rsidRPr="005A795D">
              <w:t>-0.25 [-0.65, 0.13]</w:t>
            </w:r>
          </w:p>
        </w:tc>
      </w:tr>
      <w:tr w:rsidR="00D64698" w:rsidRPr="00B1011F" w14:paraId="1D73F643" w14:textId="77777777" w:rsidTr="0022083A">
        <w:tc>
          <w:tcPr>
            <w:tcW w:w="792" w:type="pct"/>
          </w:tcPr>
          <w:p w14:paraId="5ED280F6" w14:textId="77777777" w:rsidR="00D64698" w:rsidRPr="005A795D" w:rsidRDefault="00D64698" w:rsidP="0022083A">
            <w:pPr>
              <w:pStyle w:val="TableText0"/>
              <w:keepNext w:val="0"/>
              <w:widowControl w:val="0"/>
            </w:pPr>
            <w:r w:rsidRPr="005A795D">
              <w:t>GAIN</w:t>
            </w:r>
          </w:p>
        </w:tc>
        <w:tc>
          <w:tcPr>
            <w:tcW w:w="1016" w:type="pct"/>
          </w:tcPr>
          <w:p w14:paraId="4CAA4FA2" w14:textId="77777777" w:rsidR="00D64698" w:rsidRPr="005A795D" w:rsidRDefault="00D64698" w:rsidP="0022083A">
            <w:pPr>
              <w:pStyle w:val="TableText0"/>
              <w:keepNext w:val="0"/>
              <w:widowControl w:val="0"/>
              <w:jc w:val="center"/>
            </w:pPr>
            <w:r w:rsidRPr="005A795D">
              <w:t>3/20 (15)</w:t>
            </w:r>
          </w:p>
        </w:tc>
        <w:tc>
          <w:tcPr>
            <w:tcW w:w="1072" w:type="pct"/>
          </w:tcPr>
          <w:p w14:paraId="3CBDD3C4" w14:textId="77777777" w:rsidR="00D64698" w:rsidRPr="005A795D" w:rsidRDefault="00D64698" w:rsidP="0022083A">
            <w:pPr>
              <w:pStyle w:val="TableText0"/>
              <w:keepNext w:val="0"/>
              <w:widowControl w:val="0"/>
              <w:jc w:val="center"/>
            </w:pPr>
            <w:r w:rsidRPr="005A795D">
              <w:t>5/25 (20)</w:t>
            </w:r>
          </w:p>
        </w:tc>
        <w:tc>
          <w:tcPr>
            <w:tcW w:w="1056" w:type="pct"/>
          </w:tcPr>
          <w:p w14:paraId="5971DED8" w14:textId="77777777" w:rsidR="00D64698" w:rsidRPr="005A795D" w:rsidRDefault="00D64698" w:rsidP="0022083A">
            <w:pPr>
              <w:pStyle w:val="TableText0"/>
              <w:keepNext w:val="0"/>
              <w:widowControl w:val="0"/>
              <w:jc w:val="center"/>
            </w:pPr>
            <w:r w:rsidRPr="005A795D">
              <w:t>0.75 [0.21, 2.51]</w:t>
            </w:r>
          </w:p>
        </w:tc>
        <w:tc>
          <w:tcPr>
            <w:tcW w:w="1064" w:type="pct"/>
          </w:tcPr>
          <w:p w14:paraId="007ED9BE" w14:textId="77777777" w:rsidR="00D64698" w:rsidRPr="005A795D" w:rsidRDefault="00D64698" w:rsidP="0022083A">
            <w:pPr>
              <w:pStyle w:val="TableText0"/>
              <w:keepNext w:val="0"/>
              <w:widowControl w:val="0"/>
              <w:jc w:val="center"/>
            </w:pPr>
            <w:r w:rsidRPr="005A795D">
              <w:t>-0.05 [-0.28, 0.20]</w:t>
            </w:r>
          </w:p>
        </w:tc>
      </w:tr>
      <w:tr w:rsidR="00D64698" w:rsidRPr="00B1011F" w14:paraId="1C433A47" w14:textId="77777777" w:rsidTr="0022083A">
        <w:tc>
          <w:tcPr>
            <w:tcW w:w="5000" w:type="pct"/>
            <w:gridSpan w:val="5"/>
          </w:tcPr>
          <w:p w14:paraId="04BB3093" w14:textId="77777777" w:rsidR="00D64698" w:rsidRPr="005A795D" w:rsidRDefault="00D64698" w:rsidP="0022083A">
            <w:pPr>
              <w:pStyle w:val="TableText0"/>
              <w:keepNext w:val="0"/>
              <w:widowControl w:val="0"/>
            </w:pPr>
            <w:r w:rsidRPr="001455A4">
              <w:rPr>
                <w:b/>
                <w:bCs w:val="0"/>
              </w:rPr>
              <w:t>Infliximab at Week 18/14</w:t>
            </w:r>
          </w:p>
        </w:tc>
      </w:tr>
      <w:tr w:rsidR="00D64698" w:rsidRPr="00B1011F" w14:paraId="22EC7036" w14:textId="77777777" w:rsidTr="0022083A">
        <w:tc>
          <w:tcPr>
            <w:tcW w:w="792" w:type="pct"/>
          </w:tcPr>
          <w:p w14:paraId="5A1F80D5" w14:textId="77777777" w:rsidR="00D64698" w:rsidRPr="001455A4" w:rsidRDefault="00D64698" w:rsidP="0022083A">
            <w:pPr>
              <w:pStyle w:val="TableText0"/>
              <w:keepNext w:val="0"/>
              <w:widowControl w:val="0"/>
              <w:rPr>
                <w:b/>
                <w:bCs w:val="0"/>
              </w:rPr>
            </w:pPr>
            <w:r w:rsidRPr="000A2120">
              <w:t>T20</w:t>
            </w:r>
          </w:p>
        </w:tc>
        <w:tc>
          <w:tcPr>
            <w:tcW w:w="1016" w:type="pct"/>
          </w:tcPr>
          <w:p w14:paraId="059E5512" w14:textId="77777777" w:rsidR="00D64698" w:rsidRPr="005A795D" w:rsidRDefault="00D64698" w:rsidP="0022083A">
            <w:pPr>
              <w:pStyle w:val="TableText0"/>
              <w:keepNext w:val="0"/>
              <w:widowControl w:val="0"/>
              <w:jc w:val="center"/>
            </w:pPr>
            <w:r w:rsidRPr="000A2120">
              <w:t>21/31 (68)</w:t>
            </w:r>
          </w:p>
        </w:tc>
        <w:tc>
          <w:tcPr>
            <w:tcW w:w="1072" w:type="pct"/>
          </w:tcPr>
          <w:p w14:paraId="26323BB4" w14:textId="77777777" w:rsidR="00D64698" w:rsidRPr="005A795D" w:rsidRDefault="00D64698" w:rsidP="0022083A">
            <w:pPr>
              <w:pStyle w:val="TableText0"/>
              <w:keepNext w:val="0"/>
              <w:widowControl w:val="0"/>
              <w:jc w:val="center"/>
            </w:pPr>
            <w:r w:rsidRPr="000A2120">
              <w:t>8/31 (26)</w:t>
            </w:r>
          </w:p>
        </w:tc>
        <w:tc>
          <w:tcPr>
            <w:tcW w:w="1056" w:type="pct"/>
          </w:tcPr>
          <w:p w14:paraId="702929A7" w14:textId="77777777" w:rsidR="00D64698" w:rsidRPr="005A795D" w:rsidRDefault="00D64698" w:rsidP="0022083A">
            <w:pPr>
              <w:pStyle w:val="TableText0"/>
              <w:keepNext w:val="0"/>
              <w:widowControl w:val="0"/>
              <w:jc w:val="center"/>
            </w:pPr>
            <w:r w:rsidRPr="001455A4">
              <w:rPr>
                <w:b/>
                <w:bCs w:val="0"/>
              </w:rPr>
              <w:t>2.63 [1.45, 5.13]</w:t>
            </w:r>
          </w:p>
        </w:tc>
        <w:tc>
          <w:tcPr>
            <w:tcW w:w="1064" w:type="pct"/>
          </w:tcPr>
          <w:p w14:paraId="762FCD85" w14:textId="77777777" w:rsidR="00D64698" w:rsidRPr="005A795D" w:rsidRDefault="00D64698" w:rsidP="0022083A">
            <w:pPr>
              <w:pStyle w:val="TableText0"/>
              <w:keepNext w:val="0"/>
              <w:widowControl w:val="0"/>
              <w:jc w:val="center"/>
            </w:pPr>
            <w:r w:rsidRPr="001455A4">
              <w:rPr>
                <w:b/>
                <w:bCs w:val="0"/>
              </w:rPr>
              <w:t>0.42 [0.17, 0.62]</w:t>
            </w:r>
          </w:p>
        </w:tc>
      </w:tr>
      <w:tr w:rsidR="00D64698" w:rsidRPr="00B1011F" w14:paraId="1704E07D" w14:textId="77777777" w:rsidTr="0022083A">
        <w:tc>
          <w:tcPr>
            <w:tcW w:w="5000" w:type="pct"/>
            <w:gridSpan w:val="5"/>
          </w:tcPr>
          <w:p w14:paraId="63999C0F" w14:textId="77777777" w:rsidR="00D64698" w:rsidRPr="000A2120" w:rsidRDefault="00D64698" w:rsidP="0022083A">
            <w:pPr>
              <w:pStyle w:val="TableText0"/>
              <w:keepNext w:val="0"/>
              <w:widowControl w:val="0"/>
            </w:pPr>
            <w:r>
              <w:rPr>
                <w:b/>
                <w:bCs w:val="0"/>
              </w:rPr>
              <w:t>MAINTENANCE</w:t>
            </w:r>
            <w:r w:rsidRPr="00D50476">
              <w:rPr>
                <w:b/>
                <w:bCs w:val="0"/>
              </w:rPr>
              <w:t xml:space="preserve"> </w:t>
            </w:r>
          </w:p>
        </w:tc>
      </w:tr>
      <w:tr w:rsidR="00D64698" w:rsidRPr="00B1011F" w14:paraId="70493C49" w14:textId="77777777" w:rsidTr="0022083A">
        <w:tc>
          <w:tcPr>
            <w:tcW w:w="5000" w:type="pct"/>
            <w:gridSpan w:val="5"/>
          </w:tcPr>
          <w:p w14:paraId="3124EA9C" w14:textId="75E64AAA" w:rsidR="00D64698" w:rsidRPr="000A2120" w:rsidRDefault="00D64698" w:rsidP="0022083A">
            <w:pPr>
              <w:pStyle w:val="TableText0"/>
              <w:keepNext w:val="0"/>
              <w:widowControl w:val="0"/>
            </w:pPr>
            <w:r w:rsidRPr="00F4522C">
              <w:rPr>
                <w:b/>
                <w:bCs w:val="0"/>
              </w:rPr>
              <w:t>Risankizumab (360</w:t>
            </w:r>
            <w:r w:rsidR="00EB59E1">
              <w:rPr>
                <w:b/>
                <w:bCs w:val="0"/>
              </w:rPr>
              <w:t xml:space="preserve"> </w:t>
            </w:r>
            <w:r w:rsidRPr="00F4522C">
              <w:rPr>
                <w:b/>
                <w:bCs w:val="0"/>
              </w:rPr>
              <w:t>mg SC) at Week 64</w:t>
            </w:r>
            <w:r w:rsidRPr="001455A4">
              <w:rPr>
                <w:b/>
                <w:bCs w:val="0"/>
                <w:vertAlign w:val="superscript"/>
              </w:rPr>
              <w:t xml:space="preserve"> b</w:t>
            </w:r>
          </w:p>
        </w:tc>
      </w:tr>
      <w:tr w:rsidR="00D64698" w:rsidRPr="00B1011F" w14:paraId="6A22CBB9" w14:textId="77777777" w:rsidTr="0022083A">
        <w:tc>
          <w:tcPr>
            <w:tcW w:w="792" w:type="pct"/>
          </w:tcPr>
          <w:p w14:paraId="449A9FA6" w14:textId="77777777" w:rsidR="00D64698" w:rsidRPr="00F4522C" w:rsidRDefault="00D64698" w:rsidP="0022083A">
            <w:pPr>
              <w:pStyle w:val="TableText0"/>
              <w:keepNext w:val="0"/>
              <w:widowControl w:val="0"/>
              <w:rPr>
                <w:b/>
                <w:bCs w:val="0"/>
              </w:rPr>
            </w:pPr>
            <w:r w:rsidRPr="00BD03E2">
              <w:t>FORTIFY</w:t>
            </w:r>
          </w:p>
        </w:tc>
        <w:tc>
          <w:tcPr>
            <w:tcW w:w="1016" w:type="pct"/>
          </w:tcPr>
          <w:p w14:paraId="7AEB8921" w14:textId="77777777" w:rsidR="00D64698" w:rsidRPr="000A2120" w:rsidRDefault="00D64698" w:rsidP="0022083A">
            <w:pPr>
              <w:pStyle w:val="TableText0"/>
              <w:keepNext w:val="0"/>
              <w:widowControl w:val="0"/>
              <w:jc w:val="center"/>
            </w:pPr>
            <w:r w:rsidRPr="00E736E7">
              <w:t>8/11 (72.7)</w:t>
            </w:r>
          </w:p>
        </w:tc>
        <w:tc>
          <w:tcPr>
            <w:tcW w:w="1072" w:type="pct"/>
          </w:tcPr>
          <w:p w14:paraId="38F8B16C" w14:textId="77777777" w:rsidR="00D64698" w:rsidRPr="000A2120" w:rsidRDefault="00D64698" w:rsidP="0022083A">
            <w:pPr>
              <w:pStyle w:val="TableText0"/>
              <w:keepNext w:val="0"/>
              <w:widowControl w:val="0"/>
              <w:jc w:val="center"/>
            </w:pPr>
            <w:r w:rsidRPr="00E736E7">
              <w:t>5/9 (55.6)</w:t>
            </w:r>
          </w:p>
        </w:tc>
        <w:tc>
          <w:tcPr>
            <w:tcW w:w="1056" w:type="pct"/>
          </w:tcPr>
          <w:p w14:paraId="37BB4E95" w14:textId="77777777" w:rsidR="00D64698" w:rsidRPr="000A2120" w:rsidRDefault="00D64698" w:rsidP="0022083A">
            <w:pPr>
              <w:pStyle w:val="TableText0"/>
              <w:keepNext w:val="0"/>
              <w:widowControl w:val="0"/>
              <w:jc w:val="center"/>
            </w:pPr>
            <w:r w:rsidRPr="00E736E7">
              <w:t>1.31 (0.66, 2.60)</w:t>
            </w:r>
          </w:p>
        </w:tc>
        <w:tc>
          <w:tcPr>
            <w:tcW w:w="1064" w:type="pct"/>
          </w:tcPr>
          <w:p w14:paraId="27C27582" w14:textId="77777777" w:rsidR="00D64698" w:rsidRPr="000A2120" w:rsidRDefault="00D64698" w:rsidP="0022083A">
            <w:pPr>
              <w:pStyle w:val="TableText0"/>
              <w:keepNext w:val="0"/>
              <w:widowControl w:val="0"/>
              <w:jc w:val="center"/>
            </w:pPr>
            <w:r w:rsidRPr="00E736E7">
              <w:t>0.17 (-0.25, 0.59)</w:t>
            </w:r>
          </w:p>
        </w:tc>
      </w:tr>
      <w:tr w:rsidR="00D64698" w:rsidRPr="00B1011F" w14:paraId="7CF3184E" w14:textId="77777777" w:rsidTr="0022083A">
        <w:tc>
          <w:tcPr>
            <w:tcW w:w="5000" w:type="pct"/>
            <w:gridSpan w:val="5"/>
            <w:vAlign w:val="center"/>
          </w:tcPr>
          <w:p w14:paraId="53EE6DB2" w14:textId="77777777" w:rsidR="00D64698" w:rsidRPr="00E736E7" w:rsidRDefault="00D64698" w:rsidP="0022083A">
            <w:pPr>
              <w:pStyle w:val="TableText0"/>
              <w:keepNext w:val="0"/>
              <w:widowControl w:val="0"/>
            </w:pPr>
            <w:r>
              <w:rPr>
                <w:b/>
                <w:bCs w:val="0"/>
              </w:rPr>
              <w:t>Infliximab</w:t>
            </w:r>
            <w:r w:rsidRPr="00371234">
              <w:rPr>
                <w:b/>
                <w:bCs w:val="0"/>
              </w:rPr>
              <w:t xml:space="preserve"> at Week </w:t>
            </w:r>
            <w:r>
              <w:rPr>
                <w:b/>
                <w:bCs w:val="0"/>
              </w:rPr>
              <w:t xml:space="preserve">54 </w:t>
            </w:r>
          </w:p>
        </w:tc>
      </w:tr>
      <w:tr w:rsidR="00D64698" w:rsidRPr="00B1011F" w14:paraId="78AB6B9F" w14:textId="77777777" w:rsidTr="0022083A">
        <w:tc>
          <w:tcPr>
            <w:tcW w:w="792" w:type="pct"/>
          </w:tcPr>
          <w:p w14:paraId="14F875F4" w14:textId="77777777" w:rsidR="00D64698" w:rsidRDefault="00D64698" w:rsidP="0022083A">
            <w:pPr>
              <w:pStyle w:val="TableText0"/>
              <w:keepNext w:val="0"/>
              <w:widowControl w:val="0"/>
              <w:rPr>
                <w:b/>
                <w:bCs w:val="0"/>
              </w:rPr>
            </w:pPr>
            <w:r w:rsidRPr="00A26984">
              <w:t>ACCENT II</w:t>
            </w:r>
          </w:p>
        </w:tc>
        <w:tc>
          <w:tcPr>
            <w:tcW w:w="1016" w:type="pct"/>
          </w:tcPr>
          <w:p w14:paraId="1AD1D0CF" w14:textId="77777777" w:rsidR="00D64698" w:rsidRPr="00E736E7" w:rsidRDefault="00D64698" w:rsidP="0022083A">
            <w:pPr>
              <w:pStyle w:val="TableText0"/>
              <w:keepNext w:val="0"/>
              <w:widowControl w:val="0"/>
              <w:jc w:val="center"/>
            </w:pPr>
            <w:r w:rsidRPr="00A26984">
              <w:t>42/91 (46)</w:t>
            </w:r>
          </w:p>
        </w:tc>
        <w:tc>
          <w:tcPr>
            <w:tcW w:w="1072" w:type="pct"/>
          </w:tcPr>
          <w:p w14:paraId="7E444D64" w14:textId="77777777" w:rsidR="00D64698" w:rsidRPr="00E736E7" w:rsidRDefault="00D64698" w:rsidP="0022083A">
            <w:pPr>
              <w:pStyle w:val="TableText0"/>
              <w:keepNext w:val="0"/>
              <w:widowControl w:val="0"/>
              <w:jc w:val="center"/>
            </w:pPr>
            <w:r w:rsidRPr="00A26984">
              <w:t>23/98 (23)</w:t>
            </w:r>
          </w:p>
        </w:tc>
        <w:tc>
          <w:tcPr>
            <w:tcW w:w="1056" w:type="pct"/>
          </w:tcPr>
          <w:p w14:paraId="1D59FE60" w14:textId="77777777" w:rsidR="00D64698" w:rsidRPr="00E736E7" w:rsidRDefault="00D64698" w:rsidP="0022083A">
            <w:pPr>
              <w:pStyle w:val="TableText0"/>
              <w:keepNext w:val="0"/>
              <w:widowControl w:val="0"/>
              <w:jc w:val="center"/>
            </w:pPr>
            <w:r w:rsidRPr="001455A4">
              <w:rPr>
                <w:b/>
                <w:bCs w:val="0"/>
              </w:rPr>
              <w:t>1.97 [1.30, 3.01]</w:t>
            </w:r>
          </w:p>
        </w:tc>
        <w:tc>
          <w:tcPr>
            <w:tcW w:w="1064" w:type="pct"/>
          </w:tcPr>
          <w:p w14:paraId="208064E5" w14:textId="77777777" w:rsidR="00D64698" w:rsidRPr="00E736E7" w:rsidRDefault="00D64698" w:rsidP="0022083A">
            <w:pPr>
              <w:pStyle w:val="TableText0"/>
              <w:keepNext w:val="0"/>
              <w:widowControl w:val="0"/>
              <w:jc w:val="center"/>
            </w:pPr>
            <w:r w:rsidRPr="001455A4">
              <w:rPr>
                <w:b/>
                <w:bCs w:val="0"/>
              </w:rPr>
              <w:t>0.23 [0.09, 0.36]</w:t>
            </w:r>
          </w:p>
        </w:tc>
      </w:tr>
    </w:tbl>
    <w:p w14:paraId="634CA912" w14:textId="77777777" w:rsidR="00D64698" w:rsidRPr="00812212" w:rsidRDefault="00D64698" w:rsidP="00D64698">
      <w:pPr>
        <w:pStyle w:val="TableFigureFooter"/>
        <w:widowControl w:val="0"/>
      </w:pPr>
      <w:r w:rsidRPr="00812212">
        <w:t>Source: Table 2.34, p112 of the submission and corrected during the evaluation based on results in Attachment 4.14 of the submission.</w:t>
      </w:r>
      <w:r w:rsidRPr="008A4B69">
        <w:rPr>
          <w:iCs/>
        </w:rPr>
        <w:t xml:space="preserve"> </w:t>
      </w:r>
      <w:r w:rsidRPr="00812212">
        <w:t>Abbreviations: – = not required; CI = confidence interval; k = number of studies contributing to the pooled estimate of effect; n = number of participants with event; N = total participants in group;; RD = risk difference; RR = relative risk</w:t>
      </w:r>
      <w:r w:rsidRPr="00812212">
        <w:rPr>
          <w:rFonts w:eastAsia="Calibri"/>
          <w:b/>
        </w:rPr>
        <w:t xml:space="preserve"> Bold</w:t>
      </w:r>
      <w:r w:rsidRPr="00812212">
        <w:rPr>
          <w:rFonts w:eastAsia="Calibri"/>
        </w:rPr>
        <w:t xml:space="preserve"> indicates statistically significant results.</w:t>
      </w:r>
    </w:p>
    <w:p w14:paraId="0EFF108D" w14:textId="77777777" w:rsidR="00D64698" w:rsidRPr="00812212" w:rsidRDefault="00D64698" w:rsidP="00D64698">
      <w:pPr>
        <w:pStyle w:val="TableFigureFooter"/>
        <w:widowControl w:val="0"/>
        <w:rPr>
          <w:rFonts w:eastAsia="Calibri"/>
        </w:rPr>
      </w:pPr>
      <w:r w:rsidRPr="00812212">
        <w:t>Note: There were some discrepancies between the results presented in the submission compared to that provided in the Revman file- Attachment 4.14 of the submission. However, differences were small and unlikely to have a substantial impact.</w:t>
      </w:r>
    </w:p>
    <w:p w14:paraId="6A2AB21C" w14:textId="77777777" w:rsidR="00D64698" w:rsidRDefault="00D64698" w:rsidP="00D64698">
      <w:pPr>
        <w:pStyle w:val="TableFigureFooter"/>
        <w:widowControl w:val="0"/>
      </w:pPr>
      <w:r w:rsidRPr="00812212">
        <w:t>a. Draining fistulae at baseline defined as a baseline SES-CD of ≥6 (or ≥4 for isolated ileal disease).</w:t>
      </w:r>
    </w:p>
    <w:p w14:paraId="02FFC18E" w14:textId="77777777" w:rsidR="00D64698" w:rsidRDefault="00D64698" w:rsidP="00D64698">
      <w:pPr>
        <w:pStyle w:val="TableFigureFooter"/>
        <w:widowControl w:val="0"/>
      </w:pPr>
      <w:r>
        <w:t xml:space="preserve">b. </w:t>
      </w:r>
      <w:r w:rsidRPr="001455A4">
        <w:t>Draining fistulae at baseline defined as a baseline SES-CD of ≥6 (or ≥4 for isolated ileal disease) at the time a patient entered the induction trial.</w:t>
      </w:r>
    </w:p>
    <w:p w14:paraId="28B10ED9" w14:textId="77777777" w:rsidR="00D64698" w:rsidRDefault="00D64698" w:rsidP="00D64698">
      <w:pPr>
        <w:pStyle w:val="TableFigureFooter"/>
        <w:widowControl w:val="0"/>
      </w:pPr>
      <w:r>
        <w:t xml:space="preserve">c. </w:t>
      </w:r>
      <w:r w:rsidRPr="001455A4">
        <w:t>Fistula response defined as: risankizumab:  ≥50% reduction in fistulae; adalimumab; ≥50% reduction in fistulae at week 2 and 4; infliximab: ≥50% reduction in fistulae at 2 or more visits</w:t>
      </w:r>
    </w:p>
    <w:p w14:paraId="2B935F65" w14:textId="77777777" w:rsidR="00D64698" w:rsidRDefault="00D64698" w:rsidP="00D64698">
      <w:pPr>
        <w:pStyle w:val="TableFigureFooter"/>
        <w:widowControl w:val="0"/>
      </w:pPr>
      <w:r>
        <w:t xml:space="preserve">d. Fistula remission defined as: risankizumab: no draining fistulae; all other trials: </w:t>
      </w:r>
      <w:r w:rsidRPr="001455A4">
        <w:t>complete closure of fistulae</w:t>
      </w:r>
    </w:p>
    <w:p w14:paraId="29BB2A9C" w14:textId="28495A20" w:rsidR="00CC567B" w:rsidRPr="00D64698" w:rsidRDefault="00CC567B" w:rsidP="00465970">
      <w:pPr>
        <w:pStyle w:val="3-BodyText"/>
        <w:ind w:left="709"/>
      </w:pPr>
      <w:bookmarkStart w:id="23" w:name="_Ref106204269"/>
      <w:r w:rsidRPr="00D64698">
        <w:t xml:space="preserve">The submission used a naïve </w:t>
      </w:r>
      <w:r w:rsidR="00226044">
        <w:t>(unadjusted indirect</w:t>
      </w:r>
      <w:r w:rsidR="006E13B0">
        <w:t>)</w:t>
      </w:r>
      <w:r w:rsidR="00226044">
        <w:t xml:space="preserve"> </w:t>
      </w:r>
      <w:r w:rsidRPr="00D64698">
        <w:t>comparison</w:t>
      </w:r>
      <w:r w:rsidR="00EB3908">
        <w:t xml:space="preserve"> </w:t>
      </w:r>
      <w:r w:rsidRPr="00D64698">
        <w:t>approach</w:t>
      </w:r>
      <w:r>
        <w:t xml:space="preserve"> between </w:t>
      </w:r>
      <w:r w:rsidRPr="00D64698">
        <w:t>risankizumab and comparators</w:t>
      </w:r>
      <w:r>
        <w:t>, adalimumab and infliximab.</w:t>
      </w:r>
      <w:bookmarkEnd w:id="23"/>
      <w:r>
        <w:t xml:space="preserve"> </w:t>
      </w:r>
    </w:p>
    <w:p w14:paraId="55CF8962" w14:textId="7F1D07C6" w:rsidR="00C64613" w:rsidRPr="008A4B69" w:rsidRDefault="005E6CDE" w:rsidP="00465970">
      <w:pPr>
        <w:pStyle w:val="3-BodyText"/>
        <w:ind w:left="709"/>
        <w:rPr>
          <w:iCs/>
        </w:rPr>
      </w:pPr>
      <w:r w:rsidRPr="0022083A">
        <w:lastRenderedPageBreak/>
        <w:t>The</w:t>
      </w:r>
      <w:r w:rsidR="00872E07">
        <w:t xml:space="preserve"> </w:t>
      </w:r>
      <w:r w:rsidR="00872E07" w:rsidRPr="008A4B69">
        <w:rPr>
          <w:iCs/>
        </w:rPr>
        <w:t>ESC noted the</w:t>
      </w:r>
      <w:r w:rsidRPr="008A4B69">
        <w:rPr>
          <w:iCs/>
        </w:rPr>
        <w:t>re</w:t>
      </w:r>
      <w:r w:rsidRPr="0022083A">
        <w:t xml:space="preserve"> was no statistically significant difference </w:t>
      </w:r>
      <w:r>
        <w:t xml:space="preserve">between risankizumab and placebo in demonstrating </w:t>
      </w:r>
      <w:r w:rsidRPr="005E6CDE">
        <w:t>fistula remission or response in FCD patients for both induction and maintenance</w:t>
      </w:r>
      <w:r>
        <w:t xml:space="preserve"> phases. </w:t>
      </w:r>
      <w:r w:rsidR="00D64698" w:rsidRPr="00C46A74">
        <w:t>The results presented crossed the null and had wide confidence intervals. This contrasts with results from the adalimumab (for maintenance) and infliximab (for induction and maintenance) trials</w:t>
      </w:r>
      <w:r w:rsidR="00055CE2" w:rsidRPr="00C46A74">
        <w:t xml:space="preserve"> which showed significant improvements</w:t>
      </w:r>
      <w:r w:rsidR="007768BC" w:rsidRPr="00C46A74">
        <w:t xml:space="preserve"> in fistula re</w:t>
      </w:r>
      <w:r w:rsidR="00187B93" w:rsidRPr="00C46A74">
        <w:t>mission and fistula response</w:t>
      </w:r>
      <w:r w:rsidR="00D64698" w:rsidRPr="00C46A74">
        <w:t>.</w:t>
      </w:r>
      <w:r w:rsidR="00462E99">
        <w:t xml:space="preserve"> </w:t>
      </w:r>
    </w:p>
    <w:p w14:paraId="02C2FFC7" w14:textId="7EC93DF7" w:rsidR="00D64698" w:rsidRPr="008A4B69" w:rsidRDefault="00462E99" w:rsidP="00465970">
      <w:pPr>
        <w:pStyle w:val="3-BodyText"/>
        <w:ind w:left="709"/>
        <w:rPr>
          <w:iCs/>
        </w:rPr>
      </w:pPr>
      <w:r w:rsidRPr="008A4B69">
        <w:rPr>
          <w:iCs/>
        </w:rPr>
        <w:t xml:space="preserve">The </w:t>
      </w:r>
      <w:r w:rsidR="005B3EC1" w:rsidRPr="008A4B69">
        <w:rPr>
          <w:iCs/>
        </w:rPr>
        <w:t>PSCR agreed that the confidence inter</w:t>
      </w:r>
      <w:r w:rsidR="00872E07" w:rsidRPr="008A4B69">
        <w:rPr>
          <w:iCs/>
        </w:rPr>
        <w:t>v</w:t>
      </w:r>
      <w:r w:rsidR="005B3EC1" w:rsidRPr="008A4B69">
        <w:rPr>
          <w:iCs/>
        </w:rPr>
        <w:t xml:space="preserve">als for this subpopulation were wide due to the small sample size but argued the </w:t>
      </w:r>
      <w:r w:rsidRPr="008A4B69">
        <w:rPr>
          <w:iCs/>
        </w:rPr>
        <w:t>PBAC previously recommended adalimumab for the treatment of FCD based on subgroup analyses that did not demonstrate a statistical difference in treatment outcomes between the two arms</w:t>
      </w:r>
      <w:r w:rsidR="00C64613" w:rsidRPr="008A4B69">
        <w:rPr>
          <w:iCs/>
        </w:rPr>
        <w:t xml:space="preserve"> of the CHARM trial</w:t>
      </w:r>
      <w:r w:rsidRPr="008A4B69">
        <w:rPr>
          <w:iCs/>
        </w:rPr>
        <w:t xml:space="preserve"> for induction</w:t>
      </w:r>
      <w:r w:rsidR="00C64613" w:rsidRPr="008A4B69">
        <w:rPr>
          <w:iCs/>
        </w:rPr>
        <w:t>;</w:t>
      </w:r>
      <w:r w:rsidRPr="008A4B69">
        <w:rPr>
          <w:iCs/>
        </w:rPr>
        <w:t xml:space="preserve"> </w:t>
      </w:r>
      <w:r w:rsidR="00C64613" w:rsidRPr="008A4B69">
        <w:rPr>
          <w:iCs/>
        </w:rPr>
        <w:t>however, the ESC noted the results</w:t>
      </w:r>
      <w:r w:rsidRPr="008A4B69">
        <w:rPr>
          <w:iCs/>
        </w:rPr>
        <w:t xml:space="preserve"> did favour adalimumab for fistula remission in the maintenance phase</w:t>
      </w:r>
      <w:r w:rsidR="005B3EC1" w:rsidRPr="008A4B69">
        <w:rPr>
          <w:iCs/>
          <w:lang w:val="en-US"/>
        </w:rPr>
        <w:t xml:space="preserve"> (</w:t>
      </w:r>
      <w:r w:rsidR="00A47A81" w:rsidRPr="008A4B69">
        <w:rPr>
          <w:iCs/>
          <w:lang w:val="en-US"/>
        </w:rPr>
        <w:t>paragraph 6.37 refers</w:t>
      </w:r>
      <w:r w:rsidR="005B3EC1" w:rsidRPr="008A4B69">
        <w:rPr>
          <w:iCs/>
          <w:sz w:val="22"/>
          <w:szCs w:val="22"/>
          <w:lang w:val="en-US"/>
        </w:rPr>
        <w:t>)</w:t>
      </w:r>
      <w:r w:rsidRPr="008A4B69">
        <w:rPr>
          <w:iCs/>
        </w:rPr>
        <w:t>. The PSCR</w:t>
      </w:r>
      <w:r w:rsidR="00C64613" w:rsidRPr="008A4B69">
        <w:rPr>
          <w:iCs/>
        </w:rPr>
        <w:t xml:space="preserve"> also </w:t>
      </w:r>
      <w:r w:rsidRPr="008A4B69">
        <w:rPr>
          <w:iCs/>
        </w:rPr>
        <w:t>argued</w:t>
      </w:r>
      <w:r w:rsidR="00C64613" w:rsidRPr="008A4B69">
        <w:rPr>
          <w:iCs/>
        </w:rPr>
        <w:t xml:space="preserve"> (similar</w:t>
      </w:r>
      <w:r w:rsidR="0046760E" w:rsidRPr="008A4B69">
        <w:rPr>
          <w:iCs/>
        </w:rPr>
        <w:t xml:space="preserve"> </w:t>
      </w:r>
      <w:r w:rsidR="00C64613" w:rsidRPr="008A4B69">
        <w:rPr>
          <w:iCs/>
        </w:rPr>
        <w:t>to the severe CD comparison)</w:t>
      </w:r>
      <w:r w:rsidRPr="008A4B69">
        <w:rPr>
          <w:iCs/>
        </w:rPr>
        <w:t xml:space="preserve"> that </w:t>
      </w:r>
      <w:r w:rsidR="00C64613" w:rsidRPr="008A4B69">
        <w:rPr>
          <w:iCs/>
        </w:rPr>
        <w:t xml:space="preserve">trial design and biological nature of risankizumab likely biased against risankizumab in the comparisons (paragraph </w:t>
      </w:r>
      <w:r w:rsidR="00C64613" w:rsidRPr="008A4B69">
        <w:rPr>
          <w:iCs/>
        </w:rPr>
        <w:fldChar w:fldCharType="begin" w:fldLock="1"/>
      </w:r>
      <w:r w:rsidR="00C64613" w:rsidRPr="008A4B69">
        <w:rPr>
          <w:iCs/>
        </w:rPr>
        <w:instrText xml:space="preserve"> REF _Ref106008517 \r \h </w:instrText>
      </w:r>
      <w:r w:rsidR="00C64613" w:rsidRPr="008A4B69">
        <w:rPr>
          <w:iCs/>
        </w:rPr>
      </w:r>
      <w:r w:rsidR="00C64613" w:rsidRPr="008A4B69">
        <w:rPr>
          <w:iCs/>
        </w:rPr>
        <w:fldChar w:fldCharType="separate"/>
      </w:r>
      <w:r w:rsidR="00C64613" w:rsidRPr="008A4B69">
        <w:rPr>
          <w:iCs/>
        </w:rPr>
        <w:t>6.32</w:t>
      </w:r>
      <w:r w:rsidR="00C64613" w:rsidRPr="008A4B69">
        <w:rPr>
          <w:iCs/>
        </w:rPr>
        <w:fldChar w:fldCharType="end"/>
      </w:r>
      <w:r w:rsidR="00C64613" w:rsidRPr="008A4B69">
        <w:rPr>
          <w:iCs/>
        </w:rPr>
        <w:t xml:space="preserve"> refers)</w:t>
      </w:r>
      <w:r w:rsidR="00BD7E3E" w:rsidRPr="008A4B69">
        <w:rPr>
          <w:iCs/>
        </w:rPr>
        <w:t xml:space="preserve"> and</w:t>
      </w:r>
      <w:r w:rsidR="00C64613" w:rsidRPr="008A4B69">
        <w:rPr>
          <w:iCs/>
        </w:rPr>
        <w:t xml:space="preserve"> further</w:t>
      </w:r>
      <w:r w:rsidR="00BD7E3E" w:rsidRPr="008A4B69">
        <w:rPr>
          <w:iCs/>
        </w:rPr>
        <w:t xml:space="preserve"> noted</w:t>
      </w:r>
      <w:r w:rsidRPr="008A4B69">
        <w:rPr>
          <w:iCs/>
        </w:rPr>
        <w:t xml:space="preserve"> that a more biologic-experienced and treatment refractory population was recruited to the FORTIFY tri</w:t>
      </w:r>
      <w:r w:rsidR="00BD7E3E" w:rsidRPr="008A4B69">
        <w:rPr>
          <w:iCs/>
        </w:rPr>
        <w:t>a</w:t>
      </w:r>
      <w:r w:rsidRPr="008A4B69">
        <w:rPr>
          <w:iCs/>
        </w:rPr>
        <w:t>l compared to infliximab and adalimumab trials,</w:t>
      </w:r>
      <w:r w:rsidR="00C64613" w:rsidRPr="008A4B69">
        <w:rPr>
          <w:iCs/>
        </w:rPr>
        <w:t xml:space="preserve"> also</w:t>
      </w:r>
      <w:r w:rsidRPr="008A4B69">
        <w:rPr>
          <w:iCs/>
        </w:rPr>
        <w:t xml:space="preserve"> biasing against risankizumab.</w:t>
      </w:r>
      <w:r>
        <w:t xml:space="preserve"> </w:t>
      </w:r>
      <w:r w:rsidRPr="008A4B69">
        <w:rPr>
          <w:iCs/>
        </w:rPr>
        <w:t>The PSCR</w:t>
      </w:r>
      <w:r w:rsidR="00C64613" w:rsidRPr="008A4B69">
        <w:rPr>
          <w:iCs/>
        </w:rPr>
        <w:t xml:space="preserve"> argued</w:t>
      </w:r>
      <w:r w:rsidRPr="008A4B69">
        <w:rPr>
          <w:iCs/>
        </w:rPr>
        <w:t xml:space="preserve"> the balance of evidence still favours treatment with risankizumab </w:t>
      </w:r>
      <w:r w:rsidR="00C64613" w:rsidRPr="008A4B69">
        <w:rPr>
          <w:iCs/>
        </w:rPr>
        <w:t>and noted the</w:t>
      </w:r>
      <w:r w:rsidRPr="008A4B69">
        <w:rPr>
          <w:iCs/>
        </w:rPr>
        <w:t xml:space="preserve"> high unmet medical need and limited treatment options in the FCD population</w:t>
      </w:r>
      <w:r w:rsidR="00BD7E3E" w:rsidRPr="008A4B69">
        <w:rPr>
          <w:iCs/>
        </w:rPr>
        <w:t xml:space="preserve"> as noted by PBAC previously. </w:t>
      </w:r>
      <w:r w:rsidR="002046F6" w:rsidRPr="008A4B69">
        <w:rPr>
          <w:iCs/>
        </w:rPr>
        <w:t xml:space="preserve">The </w:t>
      </w:r>
      <w:r w:rsidR="00E86E20" w:rsidRPr="008A4B69">
        <w:rPr>
          <w:iCs/>
        </w:rPr>
        <w:t>ESC</w:t>
      </w:r>
      <w:r w:rsidR="002046F6" w:rsidRPr="008A4B69">
        <w:rPr>
          <w:iCs/>
        </w:rPr>
        <w:t xml:space="preserve"> </w:t>
      </w:r>
      <w:r w:rsidR="00BD7E3E" w:rsidRPr="008A4B69">
        <w:rPr>
          <w:iCs/>
        </w:rPr>
        <w:t>considered</w:t>
      </w:r>
      <w:r w:rsidR="002046F6" w:rsidRPr="008A4B69">
        <w:rPr>
          <w:iCs/>
        </w:rPr>
        <w:t xml:space="preserve"> that the trial data for risankizumab for the treatment of FCD was </w:t>
      </w:r>
      <w:r w:rsidR="00C64613" w:rsidRPr="008A4B69">
        <w:rPr>
          <w:iCs/>
        </w:rPr>
        <w:t>very limited,</w:t>
      </w:r>
      <w:r w:rsidR="002046F6" w:rsidRPr="008A4B69">
        <w:rPr>
          <w:iCs/>
        </w:rPr>
        <w:t xml:space="preserve"> with only 11 patients in the </w:t>
      </w:r>
      <w:r w:rsidR="00C64613" w:rsidRPr="008A4B69">
        <w:rPr>
          <w:iCs/>
        </w:rPr>
        <w:t>FCD subgroup</w:t>
      </w:r>
      <w:r w:rsidR="002046F6" w:rsidRPr="008A4B69">
        <w:rPr>
          <w:iCs/>
        </w:rPr>
        <w:t xml:space="preserve"> of the maintenance tr</w:t>
      </w:r>
      <w:r w:rsidR="00BD7E3E" w:rsidRPr="008A4B69">
        <w:rPr>
          <w:iCs/>
        </w:rPr>
        <w:t>ia</w:t>
      </w:r>
      <w:r w:rsidR="002046F6" w:rsidRPr="008A4B69">
        <w:rPr>
          <w:iCs/>
        </w:rPr>
        <w:t>l</w:t>
      </w:r>
      <w:r w:rsidR="004D4E5E" w:rsidRPr="008A4B69">
        <w:rPr>
          <w:iCs/>
        </w:rPr>
        <w:t xml:space="preserve"> and was of the overall view that there was insufficient evidence available to demonstrate risankizumab is effective for the treatment of FCD</w:t>
      </w:r>
      <w:r w:rsidR="007228AC" w:rsidRPr="008A4B69">
        <w:rPr>
          <w:iCs/>
        </w:rPr>
        <w:t>.</w:t>
      </w:r>
    </w:p>
    <w:p w14:paraId="12E75383" w14:textId="72167B39" w:rsidR="00D64698" w:rsidRDefault="00D64698" w:rsidP="00465970">
      <w:pPr>
        <w:pStyle w:val="3-BodyText"/>
        <w:ind w:left="709"/>
      </w:pPr>
      <w:r w:rsidRPr="00D64698">
        <w:t>The trials comparing adalimumab and placebo (CLASSIC I and GAIN) did not demonstrate a statistically difference in treatment outcomes between the two arms for induction. However, the fistula remission outcome favoured adalimumab in the maintenance study (CHARM) – 37% vs 13%, RR 2.87 (95%CI</w:t>
      </w:r>
      <w:r w:rsidR="00586B4D">
        <w:t xml:space="preserve">: </w:t>
      </w:r>
      <w:r w:rsidRPr="00D64698">
        <w:t>1.23</w:t>
      </w:r>
      <w:r w:rsidR="00586B4D">
        <w:t xml:space="preserve">, </w:t>
      </w:r>
      <w:r w:rsidRPr="00D64698">
        <w:t>6.82).</w:t>
      </w:r>
      <w:r w:rsidR="000F6CFE" w:rsidRPr="000F6CFE">
        <w:t xml:space="preserve"> </w:t>
      </w:r>
      <w:r w:rsidR="000F6CFE" w:rsidRPr="00C46A74">
        <w:t>No outcome relating to fistula response was presented for adalimumab.</w:t>
      </w:r>
    </w:p>
    <w:p w14:paraId="6341F203" w14:textId="56B63796" w:rsidR="00D64698" w:rsidRDefault="00D64698" w:rsidP="00465970">
      <w:pPr>
        <w:pStyle w:val="3-BodyText"/>
        <w:ind w:left="709"/>
      </w:pPr>
      <w:r w:rsidRPr="00D64698">
        <w:t xml:space="preserve">The trials comparing infliximab and placebo (T20 and ACCENT II) demonstrated a statistically significant difference in the treatment outcomes in favour of infliximab. </w:t>
      </w:r>
      <w:r w:rsidRPr="00C46A74">
        <w:t>The results from T20 trial demonstrating fistula response was based on primary analysis performed according to ITT principle. Across all trials presented for the proposed FCD population, the infliximab trials were the only trials which specifically recruited and randomised FCD patients, therefore, the evidence presented for infliximab is considered most reliable.</w:t>
      </w:r>
      <w:r w:rsidRPr="00D64698">
        <w:t xml:space="preserve">  </w:t>
      </w:r>
    </w:p>
    <w:p w14:paraId="277F67C2" w14:textId="0C77B70F" w:rsidR="00D64698" w:rsidRPr="00C46A74" w:rsidRDefault="00D64698" w:rsidP="00465970">
      <w:pPr>
        <w:pStyle w:val="3-BodyText"/>
        <w:ind w:left="709"/>
      </w:pPr>
      <w:bookmarkStart w:id="24" w:name="_Ref106204261"/>
      <w:r w:rsidRPr="00C46A74">
        <w:t xml:space="preserve">The results from these trials were used to support the clinical claim using naïve comparison. In such comparisons, no attempts have been made to adjust for any discordance in comparators between and among trials. Naïve comparisons are akin to a descriptive comparation, therefore can be difficult to interpret as they are not able to determine if any differences noted between efficacy measures are solely attributable to the treatment. Additionally, differences in trial characteristics can affect the transitivity of trials in the comparison. Note the definitions of fistula </w:t>
      </w:r>
      <w:r w:rsidRPr="00C46A74">
        <w:lastRenderedPageBreak/>
        <w:t>remission and response differed slightly (</w:t>
      </w:r>
      <w:r w:rsidR="0046760E" w:rsidRPr="00C46A74">
        <w:t>e.g.,</w:t>
      </w:r>
      <w:r w:rsidRPr="00C46A74">
        <w:t xml:space="preserve"> demonstration of outcome at one time point vs multiple time points) and there were differences in the timing of assessments between the risankizumab and comparator trials.</w:t>
      </w:r>
      <w:bookmarkEnd w:id="24"/>
    </w:p>
    <w:p w14:paraId="5C5D5E14" w14:textId="77777777" w:rsidR="00B80B1B" w:rsidRPr="008A4B69" w:rsidRDefault="00B80B1B">
      <w:pPr>
        <w:jc w:val="left"/>
        <w:rPr>
          <w:rFonts w:asciiTheme="minorHAnsi" w:eastAsiaTheme="majorEastAsia" w:hAnsiTheme="minorHAnsi" w:cstheme="majorBidi"/>
          <w:spacing w:val="5"/>
          <w:kern w:val="28"/>
          <w:sz w:val="28"/>
          <w:szCs w:val="36"/>
        </w:rPr>
      </w:pPr>
      <w:bookmarkStart w:id="25" w:name="_Toc22897642"/>
      <w:bookmarkStart w:id="26" w:name="_Toc103776026"/>
      <w:r>
        <w:br w:type="page"/>
      </w:r>
    </w:p>
    <w:p w14:paraId="1452C351" w14:textId="3600EBA8" w:rsidR="00B60939" w:rsidRPr="00C9624D" w:rsidRDefault="00B60939" w:rsidP="00D86231">
      <w:pPr>
        <w:pStyle w:val="4-SubsectionHeading"/>
      </w:pPr>
      <w:r w:rsidRPr="00C9624D">
        <w:lastRenderedPageBreak/>
        <w:t>Comparative harms</w:t>
      </w:r>
      <w:bookmarkEnd w:id="25"/>
      <w:bookmarkEnd w:id="26"/>
    </w:p>
    <w:p w14:paraId="1A792EB1" w14:textId="62136DE5" w:rsidR="00B80B1B" w:rsidRPr="00B80B1B" w:rsidRDefault="004F5AD7" w:rsidP="00465970">
      <w:pPr>
        <w:pStyle w:val="3-BodyText"/>
        <w:ind w:left="709"/>
        <w:jc w:val="left"/>
      </w:pPr>
      <w:r w:rsidRPr="0073292B">
        <w:t>The tables (</w:t>
      </w:r>
      <w:r w:rsidRPr="00B80B1B">
        <w:rPr>
          <w:color w:val="2B579A"/>
          <w:shd w:val="clear" w:color="auto" w:fill="E6E6E6"/>
        </w:rPr>
        <w:fldChar w:fldCharType="begin" w:fldLock="1"/>
      </w:r>
      <w:r w:rsidRPr="0073292B">
        <w:instrText xml:space="preserve"> REF _Ref101786657 \h </w:instrText>
      </w:r>
      <w:r>
        <w:instrText xml:space="preserve"> \* MERGEFORMAT </w:instrText>
      </w:r>
      <w:r w:rsidRPr="00B80B1B">
        <w:rPr>
          <w:color w:val="2B579A"/>
          <w:shd w:val="clear" w:color="auto" w:fill="E6E6E6"/>
        </w:rPr>
      </w:r>
      <w:r w:rsidRPr="00B80B1B">
        <w:rPr>
          <w:color w:val="2B579A"/>
          <w:shd w:val="clear" w:color="auto" w:fill="E6E6E6"/>
        </w:rPr>
        <w:fldChar w:fldCharType="separate"/>
      </w:r>
      <w:r w:rsidRPr="00B80B1B">
        <w:rPr>
          <w:rStyle w:val="CommentReference"/>
          <w:rFonts w:asciiTheme="minorHAnsi" w:hAnsiTheme="minorHAnsi"/>
          <w:b w:val="0"/>
          <w:sz w:val="24"/>
          <w:szCs w:val="24"/>
        </w:rPr>
        <w:t>Table 7</w:t>
      </w:r>
      <w:r w:rsidRPr="00B80B1B">
        <w:rPr>
          <w:color w:val="2B579A"/>
          <w:shd w:val="clear" w:color="auto" w:fill="E6E6E6"/>
        </w:rPr>
        <w:fldChar w:fldCharType="end"/>
      </w:r>
      <w:r w:rsidRPr="0073292B">
        <w:t xml:space="preserve"> and </w:t>
      </w:r>
      <w:r w:rsidRPr="00B80B1B">
        <w:rPr>
          <w:color w:val="2B579A"/>
          <w:shd w:val="clear" w:color="auto" w:fill="E6E6E6"/>
        </w:rPr>
        <w:fldChar w:fldCharType="begin" w:fldLock="1"/>
      </w:r>
      <w:r w:rsidRPr="0073292B">
        <w:instrText xml:space="preserve"> REF _Ref101786660 \h </w:instrText>
      </w:r>
      <w:r>
        <w:instrText xml:space="preserve"> \* MERGEFORMAT </w:instrText>
      </w:r>
      <w:r w:rsidRPr="00B80B1B">
        <w:rPr>
          <w:color w:val="2B579A"/>
          <w:shd w:val="clear" w:color="auto" w:fill="E6E6E6"/>
        </w:rPr>
      </w:r>
      <w:r w:rsidRPr="00B80B1B">
        <w:rPr>
          <w:color w:val="2B579A"/>
          <w:shd w:val="clear" w:color="auto" w:fill="E6E6E6"/>
        </w:rPr>
        <w:fldChar w:fldCharType="separate"/>
      </w:r>
      <w:r w:rsidRPr="00B80B1B">
        <w:rPr>
          <w:rStyle w:val="CommentReference"/>
          <w:rFonts w:asciiTheme="minorHAnsi" w:hAnsiTheme="minorHAnsi"/>
          <w:b w:val="0"/>
          <w:sz w:val="24"/>
          <w:szCs w:val="24"/>
        </w:rPr>
        <w:t>Table 8</w:t>
      </w:r>
      <w:r w:rsidRPr="00B80B1B">
        <w:rPr>
          <w:color w:val="2B579A"/>
          <w:shd w:val="clear" w:color="auto" w:fill="E6E6E6"/>
        </w:rPr>
        <w:fldChar w:fldCharType="end"/>
      </w:r>
      <w:r w:rsidRPr="0073292B">
        <w:t>) below present a summary of the safety results (induction and maintenance phases).</w:t>
      </w:r>
    </w:p>
    <w:p w14:paraId="02507851" w14:textId="02000FB2" w:rsidR="004F5AD7" w:rsidRPr="00D86231" w:rsidRDefault="004F5AD7" w:rsidP="004F5AD7">
      <w:pPr>
        <w:pStyle w:val="TableFigureHeading"/>
        <w:rPr>
          <w:rStyle w:val="CommentReference"/>
          <w:b/>
          <w:szCs w:val="24"/>
        </w:rPr>
      </w:pPr>
      <w:bookmarkStart w:id="27" w:name="_Ref101786657"/>
      <w:r w:rsidRPr="00D86231">
        <w:rPr>
          <w:rStyle w:val="CommentReference"/>
          <w:b/>
          <w:szCs w:val="24"/>
        </w:rPr>
        <w:t xml:space="preserve">Table </w:t>
      </w:r>
      <w:r>
        <w:rPr>
          <w:rStyle w:val="CommentReference"/>
          <w:b/>
          <w:bCs w:val="0"/>
          <w:szCs w:val="24"/>
        </w:rPr>
        <w:fldChar w:fldCharType="begin" w:fldLock="1"/>
      </w:r>
      <w:r>
        <w:rPr>
          <w:rStyle w:val="CommentReference"/>
          <w:b/>
          <w:szCs w:val="24"/>
        </w:rPr>
        <w:instrText xml:space="preserve"> SEQ Table \* ARABIC </w:instrText>
      </w:r>
      <w:r>
        <w:rPr>
          <w:rStyle w:val="CommentReference"/>
          <w:b/>
          <w:bCs w:val="0"/>
          <w:szCs w:val="24"/>
        </w:rPr>
        <w:fldChar w:fldCharType="separate"/>
      </w:r>
      <w:r>
        <w:rPr>
          <w:rStyle w:val="CommentReference"/>
          <w:b/>
          <w:noProof/>
          <w:szCs w:val="24"/>
        </w:rPr>
        <w:t>9</w:t>
      </w:r>
      <w:r>
        <w:rPr>
          <w:rStyle w:val="CommentReference"/>
          <w:b/>
          <w:bCs w:val="0"/>
          <w:szCs w:val="24"/>
        </w:rPr>
        <w:fldChar w:fldCharType="end"/>
      </w:r>
      <w:bookmarkEnd w:id="27"/>
      <w:r w:rsidRPr="00D86231">
        <w:rPr>
          <w:rStyle w:val="CommentReference"/>
          <w:b/>
          <w:szCs w:val="24"/>
        </w:rPr>
        <w:t>: Summary of key adverse events in the trials</w:t>
      </w:r>
      <w:r>
        <w:rPr>
          <w:rStyle w:val="CommentReference"/>
          <w:b/>
          <w:szCs w:val="24"/>
        </w:rPr>
        <w:t xml:space="preserve"> </w:t>
      </w:r>
      <w:r w:rsidRPr="00AC26E6">
        <w:t>– safety outcomes for induction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055"/>
        <w:gridCol w:w="1540"/>
        <w:gridCol w:w="1551"/>
        <w:gridCol w:w="1692"/>
        <w:gridCol w:w="1919"/>
      </w:tblGrid>
      <w:tr w:rsidR="004F5AD7" w:rsidRPr="00080200" w14:paraId="639D385C" w14:textId="77777777" w:rsidTr="00212E10">
        <w:trPr>
          <w:tblHeader/>
        </w:trPr>
        <w:tc>
          <w:tcPr>
            <w:tcW w:w="699" w:type="pct"/>
            <w:shd w:val="clear" w:color="auto" w:fill="BFBFBF" w:themeFill="background1" w:themeFillShade="BF"/>
          </w:tcPr>
          <w:p w14:paraId="6424799D" w14:textId="77777777" w:rsidR="004F5AD7" w:rsidRPr="00080200" w:rsidRDefault="004F5AD7" w:rsidP="00212E10">
            <w:pPr>
              <w:pStyle w:val="In-tableHeading"/>
            </w:pPr>
            <w:r w:rsidRPr="00080200">
              <w:t>Trial type or estimate</w:t>
            </w:r>
          </w:p>
        </w:tc>
        <w:tc>
          <w:tcPr>
            <w:tcW w:w="585" w:type="pct"/>
            <w:shd w:val="clear" w:color="auto" w:fill="BFBFBF" w:themeFill="background1" w:themeFillShade="BF"/>
          </w:tcPr>
          <w:p w14:paraId="665A7319" w14:textId="77777777" w:rsidR="004F5AD7" w:rsidRPr="00080200" w:rsidRDefault="004F5AD7" w:rsidP="00212E10">
            <w:pPr>
              <w:pStyle w:val="In-tableHeading"/>
              <w:jc w:val="center"/>
            </w:pPr>
            <w:r w:rsidRPr="00080200">
              <w:t>Trial ID</w:t>
            </w:r>
          </w:p>
        </w:tc>
        <w:tc>
          <w:tcPr>
            <w:tcW w:w="854" w:type="pct"/>
            <w:shd w:val="clear" w:color="auto" w:fill="BFBFBF" w:themeFill="background1" w:themeFillShade="BF"/>
          </w:tcPr>
          <w:p w14:paraId="36FE689D" w14:textId="77777777" w:rsidR="004F5AD7" w:rsidRDefault="004F5AD7" w:rsidP="00212E10">
            <w:pPr>
              <w:pStyle w:val="In-tableHeading"/>
              <w:jc w:val="center"/>
            </w:pPr>
            <w:r w:rsidRPr="00080200">
              <w:t>DMARD</w:t>
            </w:r>
          </w:p>
          <w:p w14:paraId="59002367" w14:textId="77777777" w:rsidR="004F5AD7" w:rsidRPr="00080200" w:rsidRDefault="004F5AD7" w:rsidP="00212E10">
            <w:pPr>
              <w:pStyle w:val="In-tableHeading"/>
              <w:jc w:val="center"/>
            </w:pPr>
            <w:r w:rsidRPr="00080200">
              <w:t>n/N (%)</w:t>
            </w:r>
          </w:p>
        </w:tc>
        <w:tc>
          <w:tcPr>
            <w:tcW w:w="860" w:type="pct"/>
            <w:shd w:val="clear" w:color="auto" w:fill="BFBFBF" w:themeFill="background1" w:themeFillShade="BF"/>
          </w:tcPr>
          <w:p w14:paraId="755B147C" w14:textId="77777777" w:rsidR="004F5AD7" w:rsidRDefault="004F5AD7" w:rsidP="00212E10">
            <w:pPr>
              <w:pStyle w:val="In-tableHeading"/>
              <w:jc w:val="center"/>
            </w:pPr>
            <w:r w:rsidRPr="00080200">
              <w:t>PBO</w:t>
            </w:r>
          </w:p>
          <w:p w14:paraId="422DD2BB" w14:textId="77777777" w:rsidR="004F5AD7" w:rsidRPr="00080200" w:rsidRDefault="004F5AD7" w:rsidP="00212E10">
            <w:pPr>
              <w:pStyle w:val="In-tableHeading"/>
              <w:jc w:val="center"/>
            </w:pPr>
            <w:r w:rsidRPr="00080200">
              <w:t>n/N (%)</w:t>
            </w:r>
          </w:p>
        </w:tc>
        <w:tc>
          <w:tcPr>
            <w:tcW w:w="938" w:type="pct"/>
            <w:shd w:val="clear" w:color="auto" w:fill="BFBFBF" w:themeFill="background1" w:themeFillShade="BF"/>
          </w:tcPr>
          <w:p w14:paraId="72FA292C" w14:textId="77777777" w:rsidR="004F5AD7" w:rsidRPr="00080200" w:rsidRDefault="004F5AD7" w:rsidP="00212E10">
            <w:pPr>
              <w:pStyle w:val="In-tableHeading"/>
              <w:jc w:val="center"/>
            </w:pPr>
            <w:r w:rsidRPr="00080200">
              <w:t>OR</w:t>
            </w:r>
            <w:r>
              <w:t xml:space="preserve"> [95% CI]</w:t>
            </w:r>
            <w:r w:rsidRPr="00080200">
              <w:rPr>
                <w:vertAlign w:val="superscript"/>
              </w:rPr>
              <w:t>a</w:t>
            </w:r>
            <w:r w:rsidRPr="00080200">
              <w:br/>
            </w:r>
          </w:p>
        </w:tc>
        <w:tc>
          <w:tcPr>
            <w:tcW w:w="1064" w:type="pct"/>
            <w:shd w:val="clear" w:color="auto" w:fill="BFBFBF" w:themeFill="background1" w:themeFillShade="BF"/>
          </w:tcPr>
          <w:p w14:paraId="020A63A4" w14:textId="77777777" w:rsidR="004F5AD7" w:rsidRPr="00080200" w:rsidRDefault="004F5AD7" w:rsidP="00212E10">
            <w:pPr>
              <w:pStyle w:val="In-tableHeading"/>
              <w:jc w:val="center"/>
            </w:pPr>
            <w:r w:rsidRPr="00080200">
              <w:t>RD</w:t>
            </w:r>
            <w:r>
              <w:t xml:space="preserve"> [95% CI]</w:t>
            </w:r>
            <w:r w:rsidRPr="00080200">
              <w:rPr>
                <w:vertAlign w:val="superscript"/>
              </w:rPr>
              <w:t>b</w:t>
            </w:r>
            <w:r w:rsidRPr="00080200">
              <w:br/>
            </w:r>
          </w:p>
        </w:tc>
      </w:tr>
      <w:tr w:rsidR="004F5AD7" w:rsidRPr="00080200" w14:paraId="64E1FBEA" w14:textId="77777777" w:rsidTr="00212E10">
        <w:tc>
          <w:tcPr>
            <w:tcW w:w="1284" w:type="pct"/>
            <w:gridSpan w:val="2"/>
            <w:shd w:val="clear" w:color="auto" w:fill="D9D9D9" w:themeFill="background1" w:themeFillShade="D9"/>
          </w:tcPr>
          <w:p w14:paraId="2187FA97" w14:textId="77777777" w:rsidR="004F5AD7" w:rsidRPr="00DA4DD6" w:rsidRDefault="004F5AD7" w:rsidP="00212E10">
            <w:pPr>
              <w:pStyle w:val="TableText0"/>
              <w:rPr>
                <w:b/>
              </w:rPr>
            </w:pPr>
            <w:r w:rsidRPr="00DA4DD6">
              <w:rPr>
                <w:b/>
              </w:rPr>
              <w:t>Any AE</w:t>
            </w:r>
          </w:p>
        </w:tc>
        <w:tc>
          <w:tcPr>
            <w:tcW w:w="854" w:type="pct"/>
            <w:shd w:val="clear" w:color="auto" w:fill="D9D9D9" w:themeFill="background1" w:themeFillShade="D9"/>
          </w:tcPr>
          <w:p w14:paraId="78A5432D" w14:textId="77777777" w:rsidR="004F5AD7" w:rsidRPr="00080200" w:rsidRDefault="004F5AD7" w:rsidP="00212E10">
            <w:pPr>
              <w:pStyle w:val="TableText0"/>
            </w:pPr>
          </w:p>
        </w:tc>
        <w:tc>
          <w:tcPr>
            <w:tcW w:w="860" w:type="pct"/>
            <w:shd w:val="clear" w:color="auto" w:fill="D9D9D9" w:themeFill="background1" w:themeFillShade="D9"/>
          </w:tcPr>
          <w:p w14:paraId="770F0AC2" w14:textId="77777777" w:rsidR="004F5AD7" w:rsidRPr="00080200" w:rsidRDefault="004F5AD7" w:rsidP="00212E10">
            <w:pPr>
              <w:pStyle w:val="TableText0"/>
            </w:pPr>
          </w:p>
        </w:tc>
        <w:tc>
          <w:tcPr>
            <w:tcW w:w="938" w:type="pct"/>
            <w:shd w:val="clear" w:color="auto" w:fill="D9D9D9" w:themeFill="background1" w:themeFillShade="D9"/>
          </w:tcPr>
          <w:p w14:paraId="171CA698" w14:textId="77777777" w:rsidR="004F5AD7" w:rsidRPr="00080200" w:rsidRDefault="004F5AD7" w:rsidP="00212E10">
            <w:pPr>
              <w:pStyle w:val="TableText0"/>
            </w:pPr>
          </w:p>
        </w:tc>
        <w:tc>
          <w:tcPr>
            <w:tcW w:w="1064" w:type="pct"/>
            <w:shd w:val="clear" w:color="auto" w:fill="D9D9D9" w:themeFill="background1" w:themeFillShade="D9"/>
          </w:tcPr>
          <w:p w14:paraId="412FE145" w14:textId="77777777" w:rsidR="004F5AD7" w:rsidRPr="00080200" w:rsidRDefault="004F5AD7" w:rsidP="00212E10">
            <w:pPr>
              <w:pStyle w:val="TableText0"/>
            </w:pPr>
          </w:p>
        </w:tc>
      </w:tr>
      <w:tr w:rsidR="004F5AD7" w:rsidRPr="00080200" w14:paraId="4CA2EA42" w14:textId="77777777" w:rsidTr="00212E10">
        <w:tc>
          <w:tcPr>
            <w:tcW w:w="699" w:type="pct"/>
            <w:vMerge w:val="restart"/>
          </w:tcPr>
          <w:p w14:paraId="4C8A36C5" w14:textId="77777777" w:rsidR="004F5AD7" w:rsidRPr="00080200" w:rsidRDefault="004F5AD7" w:rsidP="00212E10">
            <w:pPr>
              <w:pStyle w:val="TableText0"/>
            </w:pPr>
            <w:r w:rsidRPr="00080200">
              <w:t>RISA vs PBO</w:t>
            </w:r>
          </w:p>
        </w:tc>
        <w:tc>
          <w:tcPr>
            <w:tcW w:w="585" w:type="pct"/>
          </w:tcPr>
          <w:p w14:paraId="6D63F995" w14:textId="77777777" w:rsidR="004F5AD7" w:rsidRPr="00080200" w:rsidRDefault="004F5AD7" w:rsidP="00212E10">
            <w:pPr>
              <w:pStyle w:val="TableText0"/>
              <w:jc w:val="center"/>
            </w:pPr>
            <w:r w:rsidRPr="00080200">
              <w:t>M15-993</w:t>
            </w:r>
          </w:p>
        </w:tc>
        <w:tc>
          <w:tcPr>
            <w:tcW w:w="854" w:type="pct"/>
          </w:tcPr>
          <w:p w14:paraId="2F6AB70D" w14:textId="77777777" w:rsidR="004F5AD7" w:rsidRPr="00080200" w:rsidRDefault="004F5AD7" w:rsidP="00212E10">
            <w:pPr>
              <w:pStyle w:val="TableText0"/>
              <w:jc w:val="center"/>
            </w:pPr>
            <w:r w:rsidRPr="00080200">
              <w:t>31/41 (75.6)</w:t>
            </w:r>
          </w:p>
        </w:tc>
        <w:tc>
          <w:tcPr>
            <w:tcW w:w="860" w:type="pct"/>
          </w:tcPr>
          <w:p w14:paraId="2BFD332F" w14:textId="77777777" w:rsidR="004F5AD7" w:rsidRPr="00080200" w:rsidRDefault="004F5AD7" w:rsidP="00212E10">
            <w:pPr>
              <w:pStyle w:val="TableText0"/>
              <w:jc w:val="center"/>
            </w:pPr>
            <w:r w:rsidRPr="00080200">
              <w:t>32/39 (82.1)</w:t>
            </w:r>
          </w:p>
        </w:tc>
        <w:tc>
          <w:tcPr>
            <w:tcW w:w="938" w:type="pct"/>
          </w:tcPr>
          <w:p w14:paraId="2BA1542A" w14:textId="77777777" w:rsidR="004F5AD7" w:rsidRPr="00080200" w:rsidRDefault="004F5AD7" w:rsidP="00212E10">
            <w:pPr>
              <w:pStyle w:val="TableText0"/>
              <w:jc w:val="center"/>
            </w:pPr>
            <w:r w:rsidRPr="00080200">
              <w:t>0.68 [0.23, 2.01]</w:t>
            </w:r>
          </w:p>
        </w:tc>
        <w:tc>
          <w:tcPr>
            <w:tcW w:w="1064" w:type="pct"/>
          </w:tcPr>
          <w:p w14:paraId="67268AAD" w14:textId="77777777" w:rsidR="004F5AD7" w:rsidRPr="00080200" w:rsidRDefault="004F5AD7" w:rsidP="00212E10">
            <w:pPr>
              <w:pStyle w:val="TableText0"/>
              <w:jc w:val="center"/>
            </w:pPr>
            <w:r w:rsidRPr="00080200">
              <w:t>-0.06 [-0.24, 0.11]</w:t>
            </w:r>
          </w:p>
        </w:tc>
      </w:tr>
      <w:tr w:rsidR="004F5AD7" w:rsidRPr="00080200" w14:paraId="1964C33B" w14:textId="77777777" w:rsidTr="00212E10">
        <w:tc>
          <w:tcPr>
            <w:tcW w:w="699" w:type="pct"/>
            <w:vMerge/>
          </w:tcPr>
          <w:p w14:paraId="2101D6E5" w14:textId="77777777" w:rsidR="004F5AD7" w:rsidRPr="00080200" w:rsidRDefault="004F5AD7" w:rsidP="00212E10">
            <w:pPr>
              <w:pStyle w:val="TableText0"/>
            </w:pPr>
          </w:p>
        </w:tc>
        <w:tc>
          <w:tcPr>
            <w:tcW w:w="585" w:type="pct"/>
          </w:tcPr>
          <w:p w14:paraId="5E9DDEC4" w14:textId="77777777" w:rsidR="004F5AD7" w:rsidRPr="00080200" w:rsidRDefault="004F5AD7" w:rsidP="00212E10">
            <w:pPr>
              <w:pStyle w:val="TableText0"/>
              <w:jc w:val="center"/>
            </w:pPr>
            <w:r w:rsidRPr="00080200">
              <w:t>ADVANCE</w:t>
            </w:r>
          </w:p>
        </w:tc>
        <w:tc>
          <w:tcPr>
            <w:tcW w:w="854" w:type="pct"/>
          </w:tcPr>
          <w:p w14:paraId="6977DB4B" w14:textId="77777777" w:rsidR="004F5AD7" w:rsidRPr="00080200" w:rsidRDefault="004F5AD7" w:rsidP="00212E10">
            <w:pPr>
              <w:pStyle w:val="TableText0"/>
              <w:jc w:val="center"/>
            </w:pPr>
            <w:r w:rsidRPr="00080200">
              <w:t>191/338 (56.5)</w:t>
            </w:r>
          </w:p>
        </w:tc>
        <w:tc>
          <w:tcPr>
            <w:tcW w:w="860" w:type="pct"/>
          </w:tcPr>
          <w:p w14:paraId="3624C123" w14:textId="77777777" w:rsidR="004F5AD7" w:rsidRPr="00080200" w:rsidRDefault="004F5AD7" w:rsidP="00212E10">
            <w:pPr>
              <w:pStyle w:val="TableText0"/>
              <w:jc w:val="center"/>
            </w:pPr>
            <w:r w:rsidRPr="00080200">
              <w:t>99/176 (56.3)</w:t>
            </w:r>
          </w:p>
        </w:tc>
        <w:tc>
          <w:tcPr>
            <w:tcW w:w="938" w:type="pct"/>
          </w:tcPr>
          <w:p w14:paraId="3B121CFA" w14:textId="77777777" w:rsidR="004F5AD7" w:rsidRPr="00080200" w:rsidRDefault="004F5AD7" w:rsidP="00212E10">
            <w:pPr>
              <w:pStyle w:val="TableText0"/>
              <w:jc w:val="center"/>
            </w:pPr>
            <w:r w:rsidRPr="00080200">
              <w:t>1.01 [0.70, 1.46]</w:t>
            </w:r>
          </w:p>
        </w:tc>
        <w:tc>
          <w:tcPr>
            <w:tcW w:w="1064" w:type="pct"/>
          </w:tcPr>
          <w:p w14:paraId="40EE84AD" w14:textId="77777777" w:rsidR="004F5AD7" w:rsidRPr="00080200" w:rsidRDefault="004F5AD7" w:rsidP="00212E10">
            <w:pPr>
              <w:pStyle w:val="TableText0"/>
              <w:jc w:val="center"/>
            </w:pPr>
            <w:r w:rsidRPr="00080200">
              <w:t>0.00 [-0.09, 0.09]</w:t>
            </w:r>
          </w:p>
        </w:tc>
      </w:tr>
      <w:tr w:rsidR="004F5AD7" w:rsidRPr="00080200" w14:paraId="00636F7D" w14:textId="77777777" w:rsidTr="00212E10">
        <w:tc>
          <w:tcPr>
            <w:tcW w:w="699" w:type="pct"/>
            <w:vMerge/>
          </w:tcPr>
          <w:p w14:paraId="49A274DE" w14:textId="77777777" w:rsidR="004F5AD7" w:rsidRPr="00080200" w:rsidRDefault="004F5AD7" w:rsidP="00212E10">
            <w:pPr>
              <w:pStyle w:val="TableText0"/>
            </w:pPr>
          </w:p>
        </w:tc>
        <w:tc>
          <w:tcPr>
            <w:tcW w:w="585" w:type="pct"/>
          </w:tcPr>
          <w:p w14:paraId="786A3898" w14:textId="77777777" w:rsidR="004F5AD7" w:rsidRPr="00080200" w:rsidRDefault="004F5AD7" w:rsidP="00212E10">
            <w:pPr>
              <w:pStyle w:val="TableText0"/>
              <w:jc w:val="center"/>
            </w:pPr>
            <w:r w:rsidRPr="00080200">
              <w:t>MOTIVATE</w:t>
            </w:r>
          </w:p>
        </w:tc>
        <w:tc>
          <w:tcPr>
            <w:tcW w:w="854" w:type="pct"/>
          </w:tcPr>
          <w:p w14:paraId="1E0A1828" w14:textId="77777777" w:rsidR="004F5AD7" w:rsidRPr="00080200" w:rsidRDefault="004F5AD7" w:rsidP="00212E10">
            <w:pPr>
              <w:pStyle w:val="TableText0"/>
              <w:jc w:val="center"/>
            </w:pPr>
            <w:r w:rsidRPr="00080200">
              <w:t>94/195 (48.2)</w:t>
            </w:r>
          </w:p>
        </w:tc>
        <w:tc>
          <w:tcPr>
            <w:tcW w:w="860" w:type="pct"/>
          </w:tcPr>
          <w:p w14:paraId="044D709B" w14:textId="77777777" w:rsidR="004F5AD7" w:rsidRPr="00080200" w:rsidRDefault="004F5AD7" w:rsidP="00212E10">
            <w:pPr>
              <w:pStyle w:val="TableText0"/>
              <w:jc w:val="center"/>
            </w:pPr>
            <w:r w:rsidRPr="00080200">
              <w:t>125/192 (65.1)</w:t>
            </w:r>
          </w:p>
        </w:tc>
        <w:tc>
          <w:tcPr>
            <w:tcW w:w="938" w:type="pct"/>
          </w:tcPr>
          <w:p w14:paraId="29E59505" w14:textId="77777777" w:rsidR="004F5AD7" w:rsidRPr="00790F5E" w:rsidRDefault="004F5AD7" w:rsidP="00212E10">
            <w:pPr>
              <w:pStyle w:val="TableText0"/>
              <w:jc w:val="center"/>
              <w:rPr>
                <w:b/>
              </w:rPr>
            </w:pPr>
            <w:r w:rsidRPr="00790F5E">
              <w:rPr>
                <w:b/>
              </w:rPr>
              <w:t>0.50 [0.33, 0.75]</w:t>
            </w:r>
          </w:p>
        </w:tc>
        <w:tc>
          <w:tcPr>
            <w:tcW w:w="1064" w:type="pct"/>
          </w:tcPr>
          <w:p w14:paraId="6792A8D2" w14:textId="77777777" w:rsidR="004F5AD7" w:rsidRPr="00790F5E" w:rsidRDefault="004F5AD7" w:rsidP="00212E10">
            <w:pPr>
              <w:pStyle w:val="TableText0"/>
              <w:jc w:val="center"/>
              <w:rPr>
                <w:b/>
              </w:rPr>
            </w:pPr>
            <w:r w:rsidRPr="00790F5E">
              <w:rPr>
                <w:b/>
              </w:rPr>
              <w:t>-0.17 [-0.27, -0.07]</w:t>
            </w:r>
          </w:p>
        </w:tc>
      </w:tr>
      <w:tr w:rsidR="004F5AD7" w:rsidRPr="00080200" w14:paraId="1FB040D9" w14:textId="77777777" w:rsidTr="00212E10">
        <w:tc>
          <w:tcPr>
            <w:tcW w:w="699" w:type="pct"/>
            <w:vMerge/>
          </w:tcPr>
          <w:p w14:paraId="01B8B0CE" w14:textId="77777777" w:rsidR="004F5AD7" w:rsidRPr="00080200" w:rsidRDefault="004F5AD7" w:rsidP="00212E10">
            <w:pPr>
              <w:pStyle w:val="TableText0"/>
            </w:pPr>
          </w:p>
        </w:tc>
        <w:tc>
          <w:tcPr>
            <w:tcW w:w="585" w:type="pct"/>
          </w:tcPr>
          <w:p w14:paraId="256390A0" w14:textId="77777777" w:rsidR="004F5AD7" w:rsidRPr="00080200" w:rsidRDefault="004F5AD7" w:rsidP="00212E10">
            <w:pPr>
              <w:pStyle w:val="TableText0"/>
              <w:jc w:val="center"/>
            </w:pPr>
            <w:r w:rsidRPr="00080200">
              <w:t>Pooled</w:t>
            </w:r>
          </w:p>
        </w:tc>
        <w:tc>
          <w:tcPr>
            <w:tcW w:w="854" w:type="pct"/>
          </w:tcPr>
          <w:p w14:paraId="77B01E68" w14:textId="77777777" w:rsidR="004F5AD7" w:rsidRPr="00080200" w:rsidRDefault="004F5AD7" w:rsidP="00212E10">
            <w:pPr>
              <w:pStyle w:val="TableText0"/>
              <w:jc w:val="center"/>
            </w:pPr>
            <w:r w:rsidRPr="00080200">
              <w:t>316/574 (55.1)</w:t>
            </w:r>
          </w:p>
        </w:tc>
        <w:tc>
          <w:tcPr>
            <w:tcW w:w="860" w:type="pct"/>
          </w:tcPr>
          <w:p w14:paraId="3A8B62FF" w14:textId="77777777" w:rsidR="004F5AD7" w:rsidRPr="00080200" w:rsidRDefault="004F5AD7" w:rsidP="00212E10">
            <w:pPr>
              <w:pStyle w:val="TableText0"/>
              <w:jc w:val="center"/>
            </w:pPr>
            <w:r w:rsidRPr="00080200">
              <w:t>256/407 (62.9)</w:t>
            </w:r>
          </w:p>
        </w:tc>
        <w:tc>
          <w:tcPr>
            <w:tcW w:w="938" w:type="pct"/>
          </w:tcPr>
          <w:p w14:paraId="10619F64" w14:textId="77777777" w:rsidR="004F5AD7" w:rsidRPr="00080200" w:rsidRDefault="004F5AD7" w:rsidP="00212E10">
            <w:pPr>
              <w:pStyle w:val="TableText0"/>
              <w:jc w:val="center"/>
            </w:pPr>
            <w:r w:rsidRPr="00080200">
              <w:t>0.71 [0.41, 1.22]</w:t>
            </w:r>
          </w:p>
        </w:tc>
        <w:tc>
          <w:tcPr>
            <w:tcW w:w="1064" w:type="pct"/>
          </w:tcPr>
          <w:p w14:paraId="0C2C6F23" w14:textId="77777777" w:rsidR="004F5AD7" w:rsidRPr="00080200" w:rsidRDefault="004F5AD7" w:rsidP="00212E10">
            <w:pPr>
              <w:pStyle w:val="TableText0"/>
              <w:jc w:val="center"/>
            </w:pPr>
            <w:r w:rsidRPr="00080200">
              <w:t>-0.08 [-0.20, 0.04]</w:t>
            </w:r>
          </w:p>
        </w:tc>
      </w:tr>
      <w:tr w:rsidR="004F5AD7" w:rsidRPr="00080200" w14:paraId="4F4B6C4A" w14:textId="77777777" w:rsidTr="00212E10">
        <w:tc>
          <w:tcPr>
            <w:tcW w:w="699" w:type="pct"/>
            <w:vMerge w:val="restart"/>
          </w:tcPr>
          <w:p w14:paraId="47B481F9" w14:textId="77777777" w:rsidR="004F5AD7" w:rsidRPr="00080200" w:rsidRDefault="004F5AD7" w:rsidP="00212E10">
            <w:pPr>
              <w:pStyle w:val="TableText0"/>
            </w:pPr>
            <w:r w:rsidRPr="00080200">
              <w:t>USTE vs PBO</w:t>
            </w:r>
          </w:p>
        </w:tc>
        <w:tc>
          <w:tcPr>
            <w:tcW w:w="585" w:type="pct"/>
          </w:tcPr>
          <w:p w14:paraId="72EB0FAF" w14:textId="77777777" w:rsidR="004F5AD7" w:rsidRPr="00080200" w:rsidRDefault="004F5AD7" w:rsidP="00212E10">
            <w:pPr>
              <w:pStyle w:val="TableText0"/>
              <w:jc w:val="center"/>
            </w:pPr>
            <w:r w:rsidRPr="00080200">
              <w:t>UNITI I</w:t>
            </w:r>
          </w:p>
        </w:tc>
        <w:tc>
          <w:tcPr>
            <w:tcW w:w="854" w:type="pct"/>
          </w:tcPr>
          <w:p w14:paraId="3EC5B1CC" w14:textId="77777777" w:rsidR="004F5AD7" w:rsidRPr="00080200" w:rsidRDefault="004F5AD7" w:rsidP="00212E10">
            <w:pPr>
              <w:pStyle w:val="TableText0"/>
              <w:jc w:val="center"/>
            </w:pPr>
            <w:r w:rsidRPr="00080200">
              <w:t>164/249 (65.9)</w:t>
            </w:r>
          </w:p>
        </w:tc>
        <w:tc>
          <w:tcPr>
            <w:tcW w:w="860" w:type="pct"/>
          </w:tcPr>
          <w:p w14:paraId="4142B773" w14:textId="77777777" w:rsidR="004F5AD7" w:rsidRPr="00080200" w:rsidRDefault="004F5AD7" w:rsidP="00212E10">
            <w:pPr>
              <w:pStyle w:val="TableText0"/>
              <w:jc w:val="center"/>
            </w:pPr>
            <w:r w:rsidRPr="00080200">
              <w:t>159/245 (64.9)</w:t>
            </w:r>
          </w:p>
        </w:tc>
        <w:tc>
          <w:tcPr>
            <w:tcW w:w="938" w:type="pct"/>
          </w:tcPr>
          <w:p w14:paraId="37849689" w14:textId="77777777" w:rsidR="004F5AD7" w:rsidRPr="00080200" w:rsidRDefault="004F5AD7" w:rsidP="00212E10">
            <w:pPr>
              <w:pStyle w:val="TableText0"/>
              <w:jc w:val="center"/>
            </w:pPr>
            <w:r w:rsidRPr="00080200">
              <w:t>1.04 [0.72, 1.51]</w:t>
            </w:r>
          </w:p>
        </w:tc>
        <w:tc>
          <w:tcPr>
            <w:tcW w:w="1064" w:type="pct"/>
          </w:tcPr>
          <w:p w14:paraId="748FE4DA" w14:textId="77777777" w:rsidR="004F5AD7" w:rsidRPr="00080200" w:rsidRDefault="004F5AD7" w:rsidP="00212E10">
            <w:pPr>
              <w:pStyle w:val="TableText0"/>
              <w:jc w:val="center"/>
            </w:pPr>
            <w:r w:rsidRPr="00080200">
              <w:t>0.01 [-0.07, 0.09]</w:t>
            </w:r>
          </w:p>
        </w:tc>
      </w:tr>
      <w:tr w:rsidR="004F5AD7" w:rsidRPr="00080200" w14:paraId="6BD4DB61" w14:textId="77777777" w:rsidTr="00212E10">
        <w:tc>
          <w:tcPr>
            <w:tcW w:w="699" w:type="pct"/>
            <w:vMerge/>
          </w:tcPr>
          <w:p w14:paraId="1B863EB5" w14:textId="77777777" w:rsidR="004F5AD7" w:rsidRPr="00080200" w:rsidRDefault="004F5AD7" w:rsidP="00212E10">
            <w:pPr>
              <w:pStyle w:val="TableText0"/>
            </w:pPr>
          </w:p>
        </w:tc>
        <w:tc>
          <w:tcPr>
            <w:tcW w:w="585" w:type="pct"/>
          </w:tcPr>
          <w:p w14:paraId="082067D8" w14:textId="77777777" w:rsidR="004F5AD7" w:rsidRPr="00080200" w:rsidRDefault="004F5AD7" w:rsidP="00212E10">
            <w:pPr>
              <w:pStyle w:val="TableText0"/>
              <w:jc w:val="center"/>
            </w:pPr>
            <w:r w:rsidRPr="00080200">
              <w:t>UNITI II</w:t>
            </w:r>
          </w:p>
        </w:tc>
        <w:tc>
          <w:tcPr>
            <w:tcW w:w="854" w:type="pct"/>
          </w:tcPr>
          <w:p w14:paraId="5E3C84E3" w14:textId="77777777" w:rsidR="004F5AD7" w:rsidRPr="00080200" w:rsidRDefault="004F5AD7" w:rsidP="00212E10">
            <w:pPr>
              <w:pStyle w:val="TableText0"/>
              <w:jc w:val="center"/>
            </w:pPr>
            <w:r w:rsidRPr="00080200">
              <w:t>115/207 (55.6)</w:t>
            </w:r>
          </w:p>
        </w:tc>
        <w:tc>
          <w:tcPr>
            <w:tcW w:w="860" w:type="pct"/>
          </w:tcPr>
          <w:p w14:paraId="52C2D3E0" w14:textId="77777777" w:rsidR="004F5AD7" w:rsidRPr="00080200" w:rsidRDefault="004F5AD7" w:rsidP="00212E10">
            <w:pPr>
              <w:pStyle w:val="TableText0"/>
              <w:jc w:val="center"/>
            </w:pPr>
            <w:r w:rsidRPr="00080200">
              <w:t>113/208 (54.3)</w:t>
            </w:r>
          </w:p>
        </w:tc>
        <w:tc>
          <w:tcPr>
            <w:tcW w:w="938" w:type="pct"/>
          </w:tcPr>
          <w:p w14:paraId="1747294B" w14:textId="77777777" w:rsidR="004F5AD7" w:rsidRPr="00080200" w:rsidRDefault="004F5AD7" w:rsidP="00212E10">
            <w:pPr>
              <w:pStyle w:val="TableText0"/>
              <w:jc w:val="center"/>
            </w:pPr>
            <w:r w:rsidRPr="00080200">
              <w:t>1.05 [0.71, 1.55]</w:t>
            </w:r>
          </w:p>
        </w:tc>
        <w:tc>
          <w:tcPr>
            <w:tcW w:w="1064" w:type="pct"/>
          </w:tcPr>
          <w:p w14:paraId="2007F1D2" w14:textId="77777777" w:rsidR="004F5AD7" w:rsidRPr="00080200" w:rsidRDefault="004F5AD7" w:rsidP="00212E10">
            <w:pPr>
              <w:pStyle w:val="TableText0"/>
              <w:jc w:val="center"/>
            </w:pPr>
            <w:r w:rsidRPr="00080200">
              <w:t>0.01 [-0.08, 0.11]</w:t>
            </w:r>
          </w:p>
        </w:tc>
      </w:tr>
      <w:tr w:rsidR="004F5AD7" w:rsidRPr="00080200" w14:paraId="13B1E3F6" w14:textId="77777777" w:rsidTr="00212E10">
        <w:tc>
          <w:tcPr>
            <w:tcW w:w="699" w:type="pct"/>
            <w:vMerge/>
          </w:tcPr>
          <w:p w14:paraId="5FF10D20" w14:textId="77777777" w:rsidR="004F5AD7" w:rsidRPr="00080200" w:rsidRDefault="004F5AD7" w:rsidP="00212E10">
            <w:pPr>
              <w:pStyle w:val="TableText0"/>
            </w:pPr>
          </w:p>
        </w:tc>
        <w:tc>
          <w:tcPr>
            <w:tcW w:w="585" w:type="pct"/>
          </w:tcPr>
          <w:p w14:paraId="3D916C40" w14:textId="77777777" w:rsidR="004F5AD7" w:rsidRPr="00080200" w:rsidRDefault="004F5AD7" w:rsidP="00212E10">
            <w:pPr>
              <w:pStyle w:val="TableText0"/>
              <w:jc w:val="center"/>
            </w:pPr>
            <w:r w:rsidRPr="00080200">
              <w:t>Pooled</w:t>
            </w:r>
          </w:p>
        </w:tc>
        <w:tc>
          <w:tcPr>
            <w:tcW w:w="854" w:type="pct"/>
          </w:tcPr>
          <w:p w14:paraId="0EF2B51C" w14:textId="77777777" w:rsidR="004F5AD7" w:rsidRPr="00080200" w:rsidRDefault="004F5AD7" w:rsidP="00212E10">
            <w:pPr>
              <w:pStyle w:val="TableText0"/>
              <w:jc w:val="center"/>
            </w:pPr>
            <w:r w:rsidRPr="00080200">
              <w:t>279/456 (61.2)</w:t>
            </w:r>
          </w:p>
        </w:tc>
        <w:tc>
          <w:tcPr>
            <w:tcW w:w="860" w:type="pct"/>
          </w:tcPr>
          <w:p w14:paraId="101AAF31" w14:textId="77777777" w:rsidR="004F5AD7" w:rsidRPr="00080200" w:rsidRDefault="004F5AD7" w:rsidP="00212E10">
            <w:pPr>
              <w:pStyle w:val="TableText0"/>
              <w:jc w:val="center"/>
            </w:pPr>
            <w:r w:rsidRPr="00080200">
              <w:t>272/453 (60.0)</w:t>
            </w:r>
          </w:p>
        </w:tc>
        <w:tc>
          <w:tcPr>
            <w:tcW w:w="938" w:type="pct"/>
          </w:tcPr>
          <w:p w14:paraId="6ABFB13B" w14:textId="77777777" w:rsidR="004F5AD7" w:rsidRPr="00080200" w:rsidRDefault="004F5AD7" w:rsidP="00212E10">
            <w:pPr>
              <w:pStyle w:val="TableText0"/>
              <w:jc w:val="center"/>
            </w:pPr>
            <w:r w:rsidRPr="00080200">
              <w:t>1.05 [0.80, 1.37]</w:t>
            </w:r>
          </w:p>
        </w:tc>
        <w:tc>
          <w:tcPr>
            <w:tcW w:w="1064" w:type="pct"/>
          </w:tcPr>
          <w:p w14:paraId="56FF1ABF" w14:textId="77777777" w:rsidR="004F5AD7" w:rsidRPr="00080200" w:rsidRDefault="004F5AD7" w:rsidP="00212E10">
            <w:pPr>
              <w:pStyle w:val="TableText0"/>
              <w:jc w:val="center"/>
            </w:pPr>
            <w:r w:rsidRPr="00080200">
              <w:t>0.01 [-0.05, 0.07]</w:t>
            </w:r>
          </w:p>
        </w:tc>
      </w:tr>
      <w:tr w:rsidR="004F5AD7" w:rsidRPr="00080200" w14:paraId="7468C7C6" w14:textId="77777777" w:rsidTr="00212E10">
        <w:tc>
          <w:tcPr>
            <w:tcW w:w="699" w:type="pct"/>
          </w:tcPr>
          <w:p w14:paraId="2A830E4A" w14:textId="77777777" w:rsidR="004F5AD7" w:rsidRPr="00080200" w:rsidRDefault="004F5AD7" w:rsidP="00212E10">
            <w:pPr>
              <w:pStyle w:val="TableText0"/>
            </w:pPr>
            <w:r w:rsidRPr="00080200">
              <w:t>ITC result</w:t>
            </w:r>
          </w:p>
        </w:tc>
        <w:tc>
          <w:tcPr>
            <w:tcW w:w="585" w:type="pct"/>
          </w:tcPr>
          <w:p w14:paraId="00C7F006" w14:textId="77777777" w:rsidR="004F5AD7" w:rsidRPr="00080200" w:rsidRDefault="004F5AD7" w:rsidP="00212E10">
            <w:pPr>
              <w:pStyle w:val="TableText0"/>
              <w:jc w:val="center"/>
            </w:pPr>
            <w:r w:rsidRPr="00080200">
              <w:t>–</w:t>
            </w:r>
          </w:p>
        </w:tc>
        <w:tc>
          <w:tcPr>
            <w:tcW w:w="854" w:type="pct"/>
          </w:tcPr>
          <w:p w14:paraId="114FC011" w14:textId="77777777" w:rsidR="004F5AD7" w:rsidRPr="00080200" w:rsidRDefault="004F5AD7" w:rsidP="00212E10">
            <w:pPr>
              <w:pStyle w:val="TableText0"/>
              <w:jc w:val="center"/>
            </w:pPr>
            <w:r w:rsidRPr="00080200">
              <w:t>–</w:t>
            </w:r>
          </w:p>
        </w:tc>
        <w:tc>
          <w:tcPr>
            <w:tcW w:w="860" w:type="pct"/>
          </w:tcPr>
          <w:p w14:paraId="3B881442" w14:textId="77777777" w:rsidR="004F5AD7" w:rsidRPr="00080200" w:rsidRDefault="004F5AD7" w:rsidP="00212E10">
            <w:pPr>
              <w:pStyle w:val="TableText0"/>
              <w:jc w:val="center"/>
            </w:pPr>
            <w:r w:rsidRPr="00080200">
              <w:t>–</w:t>
            </w:r>
          </w:p>
        </w:tc>
        <w:tc>
          <w:tcPr>
            <w:tcW w:w="938" w:type="pct"/>
          </w:tcPr>
          <w:p w14:paraId="6E7E0346" w14:textId="77777777" w:rsidR="004F5AD7" w:rsidRPr="00080200" w:rsidRDefault="004F5AD7" w:rsidP="00212E10">
            <w:pPr>
              <w:pStyle w:val="TableText0"/>
              <w:jc w:val="center"/>
            </w:pPr>
            <w:r w:rsidRPr="00080200">
              <w:t>0.676 [0.368, 1.242] (p = 0.2072)</w:t>
            </w:r>
          </w:p>
        </w:tc>
        <w:tc>
          <w:tcPr>
            <w:tcW w:w="1064" w:type="pct"/>
          </w:tcPr>
          <w:p w14:paraId="73508E1C" w14:textId="77777777" w:rsidR="004F5AD7" w:rsidRPr="00080200" w:rsidRDefault="004F5AD7" w:rsidP="00212E10">
            <w:pPr>
              <w:pStyle w:val="TableText0"/>
              <w:jc w:val="center"/>
            </w:pPr>
            <w:r w:rsidRPr="00080200">
              <w:t>-0.09 [-0.224, 0.044] (p = 0.1886)</w:t>
            </w:r>
          </w:p>
        </w:tc>
      </w:tr>
      <w:tr w:rsidR="004F5AD7" w:rsidRPr="00080200" w14:paraId="406FC29B" w14:textId="77777777" w:rsidTr="00212E10">
        <w:tc>
          <w:tcPr>
            <w:tcW w:w="1284" w:type="pct"/>
            <w:gridSpan w:val="2"/>
            <w:shd w:val="clear" w:color="auto" w:fill="D9D9D9" w:themeFill="background1" w:themeFillShade="D9"/>
          </w:tcPr>
          <w:p w14:paraId="72C4DDA7" w14:textId="77777777" w:rsidR="004F5AD7" w:rsidRPr="00DA4DD6" w:rsidRDefault="004F5AD7" w:rsidP="00212E10">
            <w:pPr>
              <w:pStyle w:val="TableText0"/>
              <w:rPr>
                <w:b/>
              </w:rPr>
            </w:pPr>
            <w:r w:rsidRPr="00DA4DD6">
              <w:rPr>
                <w:b/>
              </w:rPr>
              <w:t>Serious AEs</w:t>
            </w:r>
          </w:p>
        </w:tc>
        <w:tc>
          <w:tcPr>
            <w:tcW w:w="854" w:type="pct"/>
            <w:shd w:val="clear" w:color="auto" w:fill="D9D9D9" w:themeFill="background1" w:themeFillShade="D9"/>
          </w:tcPr>
          <w:p w14:paraId="05785113" w14:textId="77777777" w:rsidR="004F5AD7" w:rsidRPr="00080200" w:rsidRDefault="004F5AD7" w:rsidP="00212E10">
            <w:pPr>
              <w:pStyle w:val="TableText0"/>
            </w:pPr>
          </w:p>
        </w:tc>
        <w:tc>
          <w:tcPr>
            <w:tcW w:w="860" w:type="pct"/>
            <w:shd w:val="clear" w:color="auto" w:fill="D9D9D9" w:themeFill="background1" w:themeFillShade="D9"/>
          </w:tcPr>
          <w:p w14:paraId="73CAEDB0" w14:textId="77777777" w:rsidR="004F5AD7" w:rsidRPr="00080200" w:rsidRDefault="004F5AD7" w:rsidP="00212E10">
            <w:pPr>
              <w:pStyle w:val="TableText0"/>
            </w:pPr>
          </w:p>
        </w:tc>
        <w:tc>
          <w:tcPr>
            <w:tcW w:w="938" w:type="pct"/>
            <w:shd w:val="clear" w:color="auto" w:fill="D9D9D9" w:themeFill="background1" w:themeFillShade="D9"/>
          </w:tcPr>
          <w:p w14:paraId="4B0D6416" w14:textId="77777777" w:rsidR="004F5AD7" w:rsidRPr="00080200" w:rsidRDefault="004F5AD7" w:rsidP="00212E10">
            <w:pPr>
              <w:pStyle w:val="TableText0"/>
            </w:pPr>
          </w:p>
        </w:tc>
        <w:tc>
          <w:tcPr>
            <w:tcW w:w="1064" w:type="pct"/>
            <w:shd w:val="clear" w:color="auto" w:fill="D9D9D9" w:themeFill="background1" w:themeFillShade="D9"/>
          </w:tcPr>
          <w:p w14:paraId="5BC5703D" w14:textId="77777777" w:rsidR="004F5AD7" w:rsidRPr="00080200" w:rsidRDefault="004F5AD7" w:rsidP="00212E10">
            <w:pPr>
              <w:pStyle w:val="TableText0"/>
            </w:pPr>
          </w:p>
        </w:tc>
      </w:tr>
      <w:tr w:rsidR="004F5AD7" w:rsidRPr="00080200" w14:paraId="3BA23543" w14:textId="77777777" w:rsidTr="00212E10">
        <w:tc>
          <w:tcPr>
            <w:tcW w:w="699" w:type="pct"/>
            <w:vMerge w:val="restart"/>
          </w:tcPr>
          <w:p w14:paraId="1A89841C" w14:textId="77777777" w:rsidR="004F5AD7" w:rsidRPr="00080200" w:rsidRDefault="004F5AD7" w:rsidP="00212E10">
            <w:pPr>
              <w:pStyle w:val="TableText0"/>
            </w:pPr>
            <w:r w:rsidRPr="00080200">
              <w:t>RISA vs PBO</w:t>
            </w:r>
          </w:p>
        </w:tc>
        <w:tc>
          <w:tcPr>
            <w:tcW w:w="585" w:type="pct"/>
          </w:tcPr>
          <w:p w14:paraId="289DEACF" w14:textId="77777777" w:rsidR="004F5AD7" w:rsidRPr="00080200" w:rsidRDefault="004F5AD7" w:rsidP="00212E10">
            <w:pPr>
              <w:pStyle w:val="TableText0"/>
              <w:jc w:val="center"/>
            </w:pPr>
            <w:r w:rsidRPr="00080200">
              <w:t>M15-993</w:t>
            </w:r>
          </w:p>
        </w:tc>
        <w:tc>
          <w:tcPr>
            <w:tcW w:w="854" w:type="pct"/>
          </w:tcPr>
          <w:p w14:paraId="4D45C95C" w14:textId="77777777" w:rsidR="004F5AD7" w:rsidRPr="00080200" w:rsidRDefault="004F5AD7" w:rsidP="00212E10">
            <w:pPr>
              <w:pStyle w:val="TableText0"/>
              <w:jc w:val="center"/>
            </w:pPr>
            <w:r w:rsidRPr="00080200">
              <w:t>4/41 (9.8)</w:t>
            </w:r>
          </w:p>
        </w:tc>
        <w:tc>
          <w:tcPr>
            <w:tcW w:w="860" w:type="pct"/>
          </w:tcPr>
          <w:p w14:paraId="094AB72D" w14:textId="77777777" w:rsidR="004F5AD7" w:rsidRPr="00080200" w:rsidRDefault="004F5AD7" w:rsidP="00212E10">
            <w:pPr>
              <w:pStyle w:val="TableText0"/>
              <w:jc w:val="center"/>
            </w:pPr>
            <w:r w:rsidRPr="00080200">
              <w:t>13/39 (33.3)</w:t>
            </w:r>
          </w:p>
        </w:tc>
        <w:tc>
          <w:tcPr>
            <w:tcW w:w="938" w:type="pct"/>
          </w:tcPr>
          <w:p w14:paraId="1261EA47" w14:textId="77777777" w:rsidR="004F5AD7" w:rsidRPr="00790F5E" w:rsidRDefault="004F5AD7" w:rsidP="00212E10">
            <w:pPr>
              <w:pStyle w:val="TableText0"/>
              <w:jc w:val="center"/>
              <w:rPr>
                <w:b/>
              </w:rPr>
            </w:pPr>
            <w:r w:rsidRPr="00790F5E">
              <w:rPr>
                <w:b/>
              </w:rPr>
              <w:t>0.22 [0.06, 0.74]</w:t>
            </w:r>
          </w:p>
        </w:tc>
        <w:tc>
          <w:tcPr>
            <w:tcW w:w="1064" w:type="pct"/>
          </w:tcPr>
          <w:p w14:paraId="516570B8" w14:textId="77777777" w:rsidR="004F5AD7" w:rsidRPr="00790F5E" w:rsidRDefault="004F5AD7" w:rsidP="00212E10">
            <w:pPr>
              <w:pStyle w:val="TableText0"/>
              <w:jc w:val="center"/>
              <w:rPr>
                <w:b/>
              </w:rPr>
            </w:pPr>
            <w:r w:rsidRPr="00790F5E">
              <w:rPr>
                <w:b/>
              </w:rPr>
              <w:t>-0.24 [-0.41, -0.06]</w:t>
            </w:r>
          </w:p>
        </w:tc>
      </w:tr>
      <w:tr w:rsidR="004F5AD7" w:rsidRPr="00080200" w14:paraId="4FAC178A" w14:textId="77777777" w:rsidTr="00212E10">
        <w:tc>
          <w:tcPr>
            <w:tcW w:w="699" w:type="pct"/>
            <w:vMerge/>
          </w:tcPr>
          <w:p w14:paraId="58E20CD3" w14:textId="77777777" w:rsidR="004F5AD7" w:rsidRPr="00080200" w:rsidRDefault="004F5AD7" w:rsidP="00212E10">
            <w:pPr>
              <w:pStyle w:val="TableText0"/>
            </w:pPr>
          </w:p>
        </w:tc>
        <w:tc>
          <w:tcPr>
            <w:tcW w:w="585" w:type="pct"/>
          </w:tcPr>
          <w:p w14:paraId="7312F169" w14:textId="77777777" w:rsidR="004F5AD7" w:rsidRPr="00080200" w:rsidRDefault="004F5AD7" w:rsidP="00212E10">
            <w:pPr>
              <w:pStyle w:val="TableText0"/>
              <w:jc w:val="center"/>
            </w:pPr>
            <w:r w:rsidRPr="00080200">
              <w:t>ADVANCE</w:t>
            </w:r>
          </w:p>
        </w:tc>
        <w:tc>
          <w:tcPr>
            <w:tcW w:w="854" w:type="pct"/>
          </w:tcPr>
          <w:p w14:paraId="38C44587" w14:textId="77777777" w:rsidR="004F5AD7" w:rsidRPr="00080200" w:rsidRDefault="004F5AD7" w:rsidP="00212E10">
            <w:pPr>
              <w:pStyle w:val="TableText0"/>
              <w:jc w:val="center"/>
            </w:pPr>
            <w:r w:rsidRPr="00080200">
              <w:t>22/338 (6.5)</w:t>
            </w:r>
          </w:p>
        </w:tc>
        <w:tc>
          <w:tcPr>
            <w:tcW w:w="860" w:type="pct"/>
          </w:tcPr>
          <w:p w14:paraId="5CAC1399" w14:textId="77777777" w:rsidR="004F5AD7" w:rsidRPr="00080200" w:rsidRDefault="004F5AD7" w:rsidP="00212E10">
            <w:pPr>
              <w:pStyle w:val="TableText0"/>
              <w:jc w:val="center"/>
            </w:pPr>
            <w:r w:rsidRPr="00080200">
              <w:t>27/176 (15.3)</w:t>
            </w:r>
          </w:p>
        </w:tc>
        <w:tc>
          <w:tcPr>
            <w:tcW w:w="938" w:type="pct"/>
          </w:tcPr>
          <w:p w14:paraId="5078C054" w14:textId="77777777" w:rsidR="004F5AD7" w:rsidRPr="00790F5E" w:rsidRDefault="004F5AD7" w:rsidP="00212E10">
            <w:pPr>
              <w:pStyle w:val="TableText0"/>
              <w:jc w:val="center"/>
              <w:rPr>
                <w:b/>
              </w:rPr>
            </w:pPr>
            <w:r w:rsidRPr="00790F5E">
              <w:rPr>
                <w:b/>
              </w:rPr>
              <w:t>0.38 [0.21, 0.70]</w:t>
            </w:r>
          </w:p>
        </w:tc>
        <w:tc>
          <w:tcPr>
            <w:tcW w:w="1064" w:type="pct"/>
          </w:tcPr>
          <w:p w14:paraId="437737FF" w14:textId="77777777" w:rsidR="004F5AD7" w:rsidRPr="00790F5E" w:rsidRDefault="004F5AD7" w:rsidP="00212E10">
            <w:pPr>
              <w:pStyle w:val="TableText0"/>
              <w:jc w:val="center"/>
              <w:rPr>
                <w:b/>
              </w:rPr>
            </w:pPr>
            <w:r w:rsidRPr="00790F5E">
              <w:rPr>
                <w:b/>
              </w:rPr>
              <w:t>-0.09 [-0.15, -0.03]</w:t>
            </w:r>
          </w:p>
        </w:tc>
      </w:tr>
      <w:tr w:rsidR="004F5AD7" w:rsidRPr="00080200" w14:paraId="76738508" w14:textId="77777777" w:rsidTr="00212E10">
        <w:tc>
          <w:tcPr>
            <w:tcW w:w="699" w:type="pct"/>
            <w:vMerge/>
          </w:tcPr>
          <w:p w14:paraId="180FE42C" w14:textId="77777777" w:rsidR="004F5AD7" w:rsidRPr="00080200" w:rsidRDefault="004F5AD7" w:rsidP="00212E10">
            <w:pPr>
              <w:pStyle w:val="TableText0"/>
            </w:pPr>
          </w:p>
        </w:tc>
        <w:tc>
          <w:tcPr>
            <w:tcW w:w="585" w:type="pct"/>
          </w:tcPr>
          <w:p w14:paraId="34B13A10" w14:textId="77777777" w:rsidR="004F5AD7" w:rsidRPr="00080200" w:rsidRDefault="004F5AD7" w:rsidP="00212E10">
            <w:pPr>
              <w:pStyle w:val="TableText0"/>
              <w:jc w:val="center"/>
            </w:pPr>
            <w:r w:rsidRPr="00080200">
              <w:t>MOTIVATE</w:t>
            </w:r>
          </w:p>
        </w:tc>
        <w:tc>
          <w:tcPr>
            <w:tcW w:w="854" w:type="pct"/>
          </w:tcPr>
          <w:p w14:paraId="0E0D35A2" w14:textId="77777777" w:rsidR="004F5AD7" w:rsidRPr="00080200" w:rsidRDefault="004F5AD7" w:rsidP="00212E10">
            <w:pPr>
              <w:pStyle w:val="TableText0"/>
              <w:jc w:val="center"/>
            </w:pPr>
            <w:r w:rsidRPr="00080200">
              <w:t>10/195 (5.1)</w:t>
            </w:r>
          </w:p>
        </w:tc>
        <w:tc>
          <w:tcPr>
            <w:tcW w:w="860" w:type="pct"/>
          </w:tcPr>
          <w:p w14:paraId="2BCF35B6" w14:textId="77777777" w:rsidR="004F5AD7" w:rsidRPr="00080200" w:rsidRDefault="004F5AD7" w:rsidP="00212E10">
            <w:pPr>
              <w:pStyle w:val="TableText0"/>
              <w:jc w:val="center"/>
            </w:pPr>
            <w:r w:rsidRPr="00080200">
              <w:t>23/192 (12.0)</w:t>
            </w:r>
          </w:p>
        </w:tc>
        <w:tc>
          <w:tcPr>
            <w:tcW w:w="938" w:type="pct"/>
          </w:tcPr>
          <w:p w14:paraId="474C40E3" w14:textId="77777777" w:rsidR="004F5AD7" w:rsidRPr="00790F5E" w:rsidRDefault="004F5AD7" w:rsidP="00212E10">
            <w:pPr>
              <w:pStyle w:val="TableText0"/>
              <w:jc w:val="center"/>
              <w:rPr>
                <w:b/>
              </w:rPr>
            </w:pPr>
            <w:r w:rsidRPr="00790F5E">
              <w:rPr>
                <w:b/>
              </w:rPr>
              <w:t>0.40 [0.18, 0.86]</w:t>
            </w:r>
          </w:p>
        </w:tc>
        <w:tc>
          <w:tcPr>
            <w:tcW w:w="1064" w:type="pct"/>
          </w:tcPr>
          <w:p w14:paraId="53622007" w14:textId="77777777" w:rsidR="004F5AD7" w:rsidRPr="00790F5E" w:rsidRDefault="004F5AD7" w:rsidP="00212E10">
            <w:pPr>
              <w:pStyle w:val="TableText0"/>
              <w:jc w:val="center"/>
              <w:rPr>
                <w:b/>
              </w:rPr>
            </w:pPr>
            <w:r w:rsidRPr="00790F5E">
              <w:rPr>
                <w:b/>
              </w:rPr>
              <w:t>-0.07 [-0.12, -0.01]</w:t>
            </w:r>
          </w:p>
        </w:tc>
      </w:tr>
      <w:tr w:rsidR="004F5AD7" w:rsidRPr="00080200" w14:paraId="53C848E7" w14:textId="77777777" w:rsidTr="00212E10">
        <w:tc>
          <w:tcPr>
            <w:tcW w:w="699" w:type="pct"/>
            <w:vMerge/>
          </w:tcPr>
          <w:p w14:paraId="48C3719A" w14:textId="77777777" w:rsidR="004F5AD7" w:rsidRPr="00080200" w:rsidRDefault="004F5AD7" w:rsidP="00212E10">
            <w:pPr>
              <w:pStyle w:val="TableText0"/>
            </w:pPr>
          </w:p>
        </w:tc>
        <w:tc>
          <w:tcPr>
            <w:tcW w:w="585" w:type="pct"/>
          </w:tcPr>
          <w:p w14:paraId="0CE9F7CA" w14:textId="77777777" w:rsidR="004F5AD7" w:rsidRPr="00080200" w:rsidRDefault="004F5AD7" w:rsidP="00212E10">
            <w:pPr>
              <w:pStyle w:val="TableText0"/>
              <w:jc w:val="center"/>
            </w:pPr>
            <w:r w:rsidRPr="00080200">
              <w:t>Pooled</w:t>
            </w:r>
          </w:p>
        </w:tc>
        <w:tc>
          <w:tcPr>
            <w:tcW w:w="854" w:type="pct"/>
          </w:tcPr>
          <w:p w14:paraId="06D3C7DE" w14:textId="77777777" w:rsidR="004F5AD7" w:rsidRPr="00080200" w:rsidRDefault="004F5AD7" w:rsidP="00212E10">
            <w:pPr>
              <w:pStyle w:val="TableText0"/>
              <w:jc w:val="center"/>
            </w:pPr>
            <w:r w:rsidRPr="00080200">
              <w:t>36/574 (6.3)</w:t>
            </w:r>
          </w:p>
        </w:tc>
        <w:tc>
          <w:tcPr>
            <w:tcW w:w="860" w:type="pct"/>
          </w:tcPr>
          <w:p w14:paraId="05A74E11" w14:textId="77777777" w:rsidR="004F5AD7" w:rsidRPr="00080200" w:rsidRDefault="004F5AD7" w:rsidP="00212E10">
            <w:pPr>
              <w:pStyle w:val="TableText0"/>
              <w:jc w:val="center"/>
            </w:pPr>
            <w:r w:rsidRPr="00080200">
              <w:t>63/407 (15.5)</w:t>
            </w:r>
          </w:p>
        </w:tc>
        <w:tc>
          <w:tcPr>
            <w:tcW w:w="938" w:type="pct"/>
          </w:tcPr>
          <w:p w14:paraId="7E6AA169" w14:textId="77777777" w:rsidR="004F5AD7" w:rsidRPr="00790F5E" w:rsidRDefault="004F5AD7" w:rsidP="00212E10">
            <w:pPr>
              <w:pStyle w:val="TableText0"/>
              <w:jc w:val="center"/>
              <w:rPr>
                <w:b/>
              </w:rPr>
            </w:pPr>
            <w:r w:rsidRPr="00790F5E">
              <w:rPr>
                <w:b/>
              </w:rPr>
              <w:t>0.36 [0.23, 0.56]</w:t>
            </w:r>
          </w:p>
        </w:tc>
        <w:tc>
          <w:tcPr>
            <w:tcW w:w="1064" w:type="pct"/>
          </w:tcPr>
          <w:p w14:paraId="5BBF4509" w14:textId="77777777" w:rsidR="004F5AD7" w:rsidRPr="00790F5E" w:rsidRDefault="004F5AD7" w:rsidP="00212E10">
            <w:pPr>
              <w:pStyle w:val="TableText0"/>
              <w:jc w:val="center"/>
              <w:rPr>
                <w:b/>
              </w:rPr>
            </w:pPr>
            <w:r w:rsidRPr="00790F5E">
              <w:rPr>
                <w:b/>
              </w:rPr>
              <w:t>-0.09 [-0.15, -0.04]</w:t>
            </w:r>
          </w:p>
        </w:tc>
      </w:tr>
      <w:tr w:rsidR="004F5AD7" w:rsidRPr="00080200" w14:paraId="54536286" w14:textId="77777777" w:rsidTr="00212E10">
        <w:tc>
          <w:tcPr>
            <w:tcW w:w="699" w:type="pct"/>
            <w:vMerge w:val="restart"/>
          </w:tcPr>
          <w:p w14:paraId="45A1AF91" w14:textId="77777777" w:rsidR="004F5AD7" w:rsidRPr="00080200" w:rsidRDefault="004F5AD7" w:rsidP="00212E10">
            <w:pPr>
              <w:pStyle w:val="TableText0"/>
            </w:pPr>
            <w:r w:rsidRPr="00080200">
              <w:t>USTE vs PBO</w:t>
            </w:r>
          </w:p>
        </w:tc>
        <w:tc>
          <w:tcPr>
            <w:tcW w:w="585" w:type="pct"/>
          </w:tcPr>
          <w:p w14:paraId="66D92BDC" w14:textId="77777777" w:rsidR="004F5AD7" w:rsidRPr="00080200" w:rsidRDefault="004F5AD7" w:rsidP="00212E10">
            <w:pPr>
              <w:pStyle w:val="TableText0"/>
              <w:jc w:val="center"/>
            </w:pPr>
            <w:r w:rsidRPr="00080200">
              <w:t>UNITI I</w:t>
            </w:r>
          </w:p>
        </w:tc>
        <w:tc>
          <w:tcPr>
            <w:tcW w:w="854" w:type="pct"/>
          </w:tcPr>
          <w:p w14:paraId="34747D20" w14:textId="77777777" w:rsidR="004F5AD7" w:rsidRPr="00080200" w:rsidRDefault="004F5AD7" w:rsidP="00212E10">
            <w:pPr>
              <w:pStyle w:val="TableText0"/>
              <w:jc w:val="center"/>
            </w:pPr>
            <w:r w:rsidRPr="00080200">
              <w:t>18/249 (7.2)</w:t>
            </w:r>
          </w:p>
        </w:tc>
        <w:tc>
          <w:tcPr>
            <w:tcW w:w="860" w:type="pct"/>
          </w:tcPr>
          <w:p w14:paraId="73F1052C" w14:textId="77777777" w:rsidR="004F5AD7" w:rsidRPr="00080200" w:rsidRDefault="004F5AD7" w:rsidP="00212E10">
            <w:pPr>
              <w:pStyle w:val="TableText0"/>
              <w:jc w:val="center"/>
            </w:pPr>
            <w:r w:rsidRPr="00080200">
              <w:t>15/245 (6.1)</w:t>
            </w:r>
          </w:p>
        </w:tc>
        <w:tc>
          <w:tcPr>
            <w:tcW w:w="938" w:type="pct"/>
          </w:tcPr>
          <w:p w14:paraId="00604CF1" w14:textId="77777777" w:rsidR="004F5AD7" w:rsidRPr="00080200" w:rsidRDefault="004F5AD7" w:rsidP="00212E10">
            <w:pPr>
              <w:pStyle w:val="TableText0"/>
              <w:jc w:val="center"/>
            </w:pPr>
            <w:r w:rsidRPr="00080200">
              <w:t>1.19 [0.59, 2.43]</w:t>
            </w:r>
          </w:p>
        </w:tc>
        <w:tc>
          <w:tcPr>
            <w:tcW w:w="1064" w:type="pct"/>
          </w:tcPr>
          <w:p w14:paraId="09747905" w14:textId="77777777" w:rsidR="004F5AD7" w:rsidRPr="00080200" w:rsidRDefault="004F5AD7" w:rsidP="00212E10">
            <w:pPr>
              <w:pStyle w:val="TableText0"/>
              <w:jc w:val="center"/>
            </w:pPr>
            <w:r w:rsidRPr="00080200">
              <w:t>0.01 [-0.03, 0.06]</w:t>
            </w:r>
          </w:p>
        </w:tc>
      </w:tr>
      <w:tr w:rsidR="004F5AD7" w:rsidRPr="00080200" w14:paraId="1BC70A07" w14:textId="77777777" w:rsidTr="00212E10">
        <w:tc>
          <w:tcPr>
            <w:tcW w:w="699" w:type="pct"/>
            <w:vMerge/>
          </w:tcPr>
          <w:p w14:paraId="1DF78F41" w14:textId="77777777" w:rsidR="004F5AD7" w:rsidRPr="00080200" w:rsidRDefault="004F5AD7" w:rsidP="00212E10">
            <w:pPr>
              <w:pStyle w:val="TableText0"/>
            </w:pPr>
          </w:p>
        </w:tc>
        <w:tc>
          <w:tcPr>
            <w:tcW w:w="585" w:type="pct"/>
          </w:tcPr>
          <w:p w14:paraId="3D3F8056" w14:textId="77777777" w:rsidR="004F5AD7" w:rsidRPr="00080200" w:rsidRDefault="004F5AD7" w:rsidP="00212E10">
            <w:pPr>
              <w:pStyle w:val="TableText0"/>
              <w:jc w:val="center"/>
            </w:pPr>
            <w:r w:rsidRPr="00080200">
              <w:t>UNITI II</w:t>
            </w:r>
          </w:p>
        </w:tc>
        <w:tc>
          <w:tcPr>
            <w:tcW w:w="854" w:type="pct"/>
          </w:tcPr>
          <w:p w14:paraId="482B4745" w14:textId="77777777" w:rsidR="004F5AD7" w:rsidRPr="00080200" w:rsidRDefault="004F5AD7" w:rsidP="00212E10">
            <w:pPr>
              <w:pStyle w:val="TableText0"/>
              <w:jc w:val="center"/>
            </w:pPr>
            <w:r w:rsidRPr="00080200">
              <w:t>6/207 (2.9)</w:t>
            </w:r>
          </w:p>
        </w:tc>
        <w:tc>
          <w:tcPr>
            <w:tcW w:w="860" w:type="pct"/>
          </w:tcPr>
          <w:p w14:paraId="3F5A0EB6" w14:textId="77777777" w:rsidR="004F5AD7" w:rsidRPr="00080200" w:rsidRDefault="004F5AD7" w:rsidP="00212E10">
            <w:pPr>
              <w:pStyle w:val="TableText0"/>
              <w:jc w:val="center"/>
            </w:pPr>
            <w:r w:rsidRPr="00080200">
              <w:t>12/208 (5.8)</w:t>
            </w:r>
          </w:p>
        </w:tc>
        <w:tc>
          <w:tcPr>
            <w:tcW w:w="938" w:type="pct"/>
          </w:tcPr>
          <w:p w14:paraId="7CF3447D" w14:textId="77777777" w:rsidR="004F5AD7" w:rsidRPr="00080200" w:rsidRDefault="004F5AD7" w:rsidP="00212E10">
            <w:pPr>
              <w:pStyle w:val="TableText0"/>
              <w:jc w:val="center"/>
            </w:pPr>
            <w:r w:rsidRPr="00080200">
              <w:t>0.49 [0.18, 1.32]</w:t>
            </w:r>
          </w:p>
        </w:tc>
        <w:tc>
          <w:tcPr>
            <w:tcW w:w="1064" w:type="pct"/>
          </w:tcPr>
          <w:p w14:paraId="1B977097" w14:textId="77777777" w:rsidR="004F5AD7" w:rsidRPr="00080200" w:rsidRDefault="004F5AD7" w:rsidP="00212E10">
            <w:pPr>
              <w:pStyle w:val="TableText0"/>
              <w:jc w:val="center"/>
            </w:pPr>
            <w:r w:rsidRPr="00080200">
              <w:t>-0.03 [-0.07, 0.01]</w:t>
            </w:r>
          </w:p>
        </w:tc>
      </w:tr>
      <w:tr w:rsidR="004F5AD7" w:rsidRPr="00080200" w14:paraId="1BC11989" w14:textId="77777777" w:rsidTr="00212E10">
        <w:tc>
          <w:tcPr>
            <w:tcW w:w="699" w:type="pct"/>
            <w:vMerge/>
          </w:tcPr>
          <w:p w14:paraId="3DD878B9" w14:textId="77777777" w:rsidR="004F5AD7" w:rsidRPr="00080200" w:rsidRDefault="004F5AD7" w:rsidP="00212E10">
            <w:pPr>
              <w:pStyle w:val="TableText0"/>
            </w:pPr>
          </w:p>
        </w:tc>
        <w:tc>
          <w:tcPr>
            <w:tcW w:w="585" w:type="pct"/>
          </w:tcPr>
          <w:p w14:paraId="349C244E" w14:textId="77777777" w:rsidR="004F5AD7" w:rsidRPr="00080200" w:rsidRDefault="004F5AD7" w:rsidP="00212E10">
            <w:pPr>
              <w:pStyle w:val="TableText0"/>
              <w:jc w:val="center"/>
            </w:pPr>
            <w:r w:rsidRPr="00080200">
              <w:t>Pooled</w:t>
            </w:r>
          </w:p>
        </w:tc>
        <w:tc>
          <w:tcPr>
            <w:tcW w:w="854" w:type="pct"/>
          </w:tcPr>
          <w:p w14:paraId="652988AB" w14:textId="77777777" w:rsidR="004F5AD7" w:rsidRPr="00080200" w:rsidRDefault="004F5AD7" w:rsidP="00212E10">
            <w:pPr>
              <w:pStyle w:val="TableText0"/>
              <w:jc w:val="center"/>
            </w:pPr>
            <w:r w:rsidRPr="00080200">
              <w:t>24/456 (5.3)</w:t>
            </w:r>
          </w:p>
        </w:tc>
        <w:tc>
          <w:tcPr>
            <w:tcW w:w="860" w:type="pct"/>
          </w:tcPr>
          <w:p w14:paraId="056CFB24" w14:textId="77777777" w:rsidR="004F5AD7" w:rsidRPr="00080200" w:rsidRDefault="004F5AD7" w:rsidP="00212E10">
            <w:pPr>
              <w:pStyle w:val="TableText0"/>
              <w:jc w:val="center"/>
            </w:pPr>
            <w:r w:rsidRPr="00080200">
              <w:t>27/453 (6.0)</w:t>
            </w:r>
          </w:p>
        </w:tc>
        <w:tc>
          <w:tcPr>
            <w:tcW w:w="938" w:type="pct"/>
          </w:tcPr>
          <w:p w14:paraId="40EB4096" w14:textId="77777777" w:rsidR="004F5AD7" w:rsidRPr="00080200" w:rsidRDefault="004F5AD7" w:rsidP="00212E10">
            <w:pPr>
              <w:pStyle w:val="TableText0"/>
              <w:jc w:val="center"/>
            </w:pPr>
            <w:r w:rsidRPr="00080200">
              <w:t>0.82 [0.34, 1.95]</w:t>
            </w:r>
          </w:p>
        </w:tc>
        <w:tc>
          <w:tcPr>
            <w:tcW w:w="1064" w:type="pct"/>
          </w:tcPr>
          <w:p w14:paraId="1C19904A" w14:textId="77777777" w:rsidR="004F5AD7" w:rsidRPr="00080200" w:rsidRDefault="004F5AD7" w:rsidP="00212E10">
            <w:pPr>
              <w:pStyle w:val="TableText0"/>
              <w:jc w:val="center"/>
            </w:pPr>
            <w:r w:rsidRPr="00080200">
              <w:t>-0.01 [-0.04, 0.02]</w:t>
            </w:r>
          </w:p>
        </w:tc>
      </w:tr>
      <w:tr w:rsidR="004F5AD7" w:rsidRPr="00080200" w14:paraId="683D4CCC" w14:textId="77777777" w:rsidTr="00212E10">
        <w:tc>
          <w:tcPr>
            <w:tcW w:w="699" w:type="pct"/>
          </w:tcPr>
          <w:p w14:paraId="59FD6E84" w14:textId="77777777" w:rsidR="004F5AD7" w:rsidRPr="00080200" w:rsidRDefault="004F5AD7" w:rsidP="00212E10">
            <w:pPr>
              <w:pStyle w:val="TableText0"/>
            </w:pPr>
            <w:r w:rsidRPr="00080200">
              <w:t>ITC result</w:t>
            </w:r>
          </w:p>
        </w:tc>
        <w:tc>
          <w:tcPr>
            <w:tcW w:w="585" w:type="pct"/>
          </w:tcPr>
          <w:p w14:paraId="6A859E4F" w14:textId="77777777" w:rsidR="004F5AD7" w:rsidRPr="00080200" w:rsidRDefault="004F5AD7" w:rsidP="00212E10">
            <w:pPr>
              <w:pStyle w:val="TableText0"/>
              <w:jc w:val="center"/>
            </w:pPr>
            <w:r w:rsidRPr="00080200">
              <w:t>–</w:t>
            </w:r>
          </w:p>
        </w:tc>
        <w:tc>
          <w:tcPr>
            <w:tcW w:w="854" w:type="pct"/>
          </w:tcPr>
          <w:p w14:paraId="23172D2B" w14:textId="77777777" w:rsidR="004F5AD7" w:rsidRPr="00080200" w:rsidRDefault="004F5AD7" w:rsidP="00212E10">
            <w:pPr>
              <w:pStyle w:val="TableText0"/>
              <w:jc w:val="center"/>
            </w:pPr>
            <w:r w:rsidRPr="00080200">
              <w:t>–</w:t>
            </w:r>
          </w:p>
        </w:tc>
        <w:tc>
          <w:tcPr>
            <w:tcW w:w="860" w:type="pct"/>
          </w:tcPr>
          <w:p w14:paraId="4B2C96BF" w14:textId="77777777" w:rsidR="004F5AD7" w:rsidRPr="00080200" w:rsidRDefault="004F5AD7" w:rsidP="00212E10">
            <w:pPr>
              <w:pStyle w:val="TableText0"/>
              <w:jc w:val="center"/>
            </w:pPr>
            <w:r w:rsidRPr="00080200">
              <w:t>–</w:t>
            </w:r>
          </w:p>
        </w:tc>
        <w:tc>
          <w:tcPr>
            <w:tcW w:w="938" w:type="pct"/>
          </w:tcPr>
          <w:p w14:paraId="08A00C36" w14:textId="77777777" w:rsidR="004F5AD7" w:rsidRPr="00C46A74" w:rsidRDefault="004F5AD7" w:rsidP="00212E10">
            <w:pPr>
              <w:pStyle w:val="TableText0"/>
              <w:jc w:val="center"/>
              <w:rPr>
                <w:bCs w:val="0"/>
              </w:rPr>
            </w:pPr>
            <w:r w:rsidRPr="00C46A74">
              <w:rPr>
                <w:bCs w:val="0"/>
              </w:rPr>
              <w:t>0.439 [0.165,1.170] (p=0.100)</w:t>
            </w:r>
          </w:p>
        </w:tc>
        <w:tc>
          <w:tcPr>
            <w:tcW w:w="1064" w:type="pct"/>
          </w:tcPr>
          <w:p w14:paraId="7F011987" w14:textId="77777777" w:rsidR="004F5AD7" w:rsidRPr="00B71D2F" w:rsidRDefault="004F5AD7" w:rsidP="00212E10">
            <w:pPr>
              <w:pStyle w:val="TableText0"/>
              <w:jc w:val="center"/>
              <w:rPr>
                <w:b/>
              </w:rPr>
            </w:pPr>
            <w:r w:rsidRPr="00B71D2F">
              <w:rPr>
                <w:b/>
              </w:rPr>
              <w:t>-0.08 [-0.143, -0.017] (p = 0.0123)</w:t>
            </w:r>
          </w:p>
        </w:tc>
      </w:tr>
      <w:tr w:rsidR="004F5AD7" w:rsidRPr="00080200" w14:paraId="3A69CA33" w14:textId="77777777" w:rsidTr="00212E10">
        <w:tc>
          <w:tcPr>
            <w:tcW w:w="1284" w:type="pct"/>
            <w:gridSpan w:val="2"/>
            <w:shd w:val="clear" w:color="auto" w:fill="D9D9D9" w:themeFill="background1" w:themeFillShade="D9"/>
          </w:tcPr>
          <w:p w14:paraId="12B81896" w14:textId="77777777" w:rsidR="004F5AD7" w:rsidRPr="00DA4DD6" w:rsidRDefault="004F5AD7" w:rsidP="00212E10">
            <w:pPr>
              <w:pStyle w:val="TableText0"/>
              <w:rPr>
                <w:b/>
              </w:rPr>
            </w:pPr>
            <w:r w:rsidRPr="00DA4DD6">
              <w:rPr>
                <w:b/>
              </w:rPr>
              <w:t>Serious infections</w:t>
            </w:r>
          </w:p>
        </w:tc>
        <w:tc>
          <w:tcPr>
            <w:tcW w:w="854" w:type="pct"/>
            <w:shd w:val="clear" w:color="auto" w:fill="D9D9D9" w:themeFill="background1" w:themeFillShade="D9"/>
          </w:tcPr>
          <w:p w14:paraId="3B93EA3D" w14:textId="77777777" w:rsidR="004F5AD7" w:rsidRPr="00080200" w:rsidRDefault="004F5AD7" w:rsidP="00212E10">
            <w:pPr>
              <w:pStyle w:val="TableText0"/>
            </w:pPr>
          </w:p>
        </w:tc>
        <w:tc>
          <w:tcPr>
            <w:tcW w:w="860" w:type="pct"/>
            <w:shd w:val="clear" w:color="auto" w:fill="D9D9D9" w:themeFill="background1" w:themeFillShade="D9"/>
          </w:tcPr>
          <w:p w14:paraId="348E0565" w14:textId="77777777" w:rsidR="004F5AD7" w:rsidRPr="00080200" w:rsidRDefault="004F5AD7" w:rsidP="00212E10">
            <w:pPr>
              <w:pStyle w:val="TableText0"/>
            </w:pPr>
          </w:p>
        </w:tc>
        <w:tc>
          <w:tcPr>
            <w:tcW w:w="938" w:type="pct"/>
            <w:shd w:val="clear" w:color="auto" w:fill="D9D9D9" w:themeFill="background1" w:themeFillShade="D9"/>
          </w:tcPr>
          <w:p w14:paraId="4771C85C" w14:textId="77777777" w:rsidR="004F5AD7" w:rsidRPr="00080200" w:rsidRDefault="004F5AD7" w:rsidP="00212E10">
            <w:pPr>
              <w:pStyle w:val="TableText0"/>
            </w:pPr>
          </w:p>
        </w:tc>
        <w:tc>
          <w:tcPr>
            <w:tcW w:w="1064" w:type="pct"/>
            <w:shd w:val="clear" w:color="auto" w:fill="D9D9D9" w:themeFill="background1" w:themeFillShade="D9"/>
          </w:tcPr>
          <w:p w14:paraId="73205500" w14:textId="77777777" w:rsidR="004F5AD7" w:rsidRPr="00080200" w:rsidRDefault="004F5AD7" w:rsidP="00212E10">
            <w:pPr>
              <w:pStyle w:val="TableText0"/>
            </w:pPr>
          </w:p>
        </w:tc>
      </w:tr>
      <w:tr w:rsidR="004F5AD7" w:rsidRPr="00080200" w14:paraId="3B525348" w14:textId="77777777" w:rsidTr="00212E10">
        <w:tc>
          <w:tcPr>
            <w:tcW w:w="699" w:type="pct"/>
            <w:vMerge w:val="restart"/>
          </w:tcPr>
          <w:p w14:paraId="077EE145" w14:textId="77777777" w:rsidR="004F5AD7" w:rsidRPr="00080200" w:rsidRDefault="004F5AD7" w:rsidP="00212E10">
            <w:pPr>
              <w:pStyle w:val="TableText0"/>
            </w:pPr>
            <w:r w:rsidRPr="00080200">
              <w:t>RISA vs PBO</w:t>
            </w:r>
          </w:p>
        </w:tc>
        <w:tc>
          <w:tcPr>
            <w:tcW w:w="585" w:type="pct"/>
          </w:tcPr>
          <w:p w14:paraId="2994C645" w14:textId="77777777" w:rsidR="004F5AD7" w:rsidRPr="00080200" w:rsidRDefault="004F5AD7" w:rsidP="00212E10">
            <w:pPr>
              <w:pStyle w:val="TableText0"/>
              <w:jc w:val="center"/>
            </w:pPr>
            <w:r w:rsidRPr="00080200">
              <w:t>M15-993</w:t>
            </w:r>
          </w:p>
        </w:tc>
        <w:tc>
          <w:tcPr>
            <w:tcW w:w="854" w:type="pct"/>
          </w:tcPr>
          <w:p w14:paraId="4B87135E" w14:textId="77777777" w:rsidR="004F5AD7" w:rsidRPr="00080200" w:rsidRDefault="004F5AD7" w:rsidP="00212E10">
            <w:pPr>
              <w:pStyle w:val="TableText0"/>
              <w:jc w:val="center"/>
            </w:pPr>
            <w:r w:rsidRPr="00080200">
              <w:t>2/41 (4.9)</w:t>
            </w:r>
          </w:p>
        </w:tc>
        <w:tc>
          <w:tcPr>
            <w:tcW w:w="860" w:type="pct"/>
          </w:tcPr>
          <w:p w14:paraId="17FECFDF" w14:textId="77777777" w:rsidR="004F5AD7" w:rsidRPr="00080200" w:rsidRDefault="004F5AD7" w:rsidP="00212E10">
            <w:pPr>
              <w:pStyle w:val="TableText0"/>
              <w:jc w:val="center"/>
            </w:pPr>
            <w:r w:rsidRPr="00080200">
              <w:t>4/39 (10.3)</w:t>
            </w:r>
          </w:p>
        </w:tc>
        <w:tc>
          <w:tcPr>
            <w:tcW w:w="938" w:type="pct"/>
          </w:tcPr>
          <w:p w14:paraId="257965DF" w14:textId="77777777" w:rsidR="004F5AD7" w:rsidRPr="00F372E2" w:rsidRDefault="004F5AD7" w:rsidP="00212E10">
            <w:pPr>
              <w:pStyle w:val="TableText0"/>
              <w:jc w:val="center"/>
              <w:rPr>
                <w:b/>
                <w:bCs w:val="0"/>
              </w:rPr>
            </w:pPr>
            <w:r w:rsidRPr="00F372E2">
              <w:rPr>
                <w:b/>
                <w:bCs w:val="0"/>
              </w:rPr>
              <w:t>0.45 [0.08, 2.60]</w:t>
            </w:r>
          </w:p>
        </w:tc>
        <w:tc>
          <w:tcPr>
            <w:tcW w:w="1064" w:type="pct"/>
          </w:tcPr>
          <w:p w14:paraId="3D45D6E8" w14:textId="77777777" w:rsidR="004F5AD7" w:rsidRPr="00080200" w:rsidRDefault="004F5AD7" w:rsidP="00212E10">
            <w:pPr>
              <w:pStyle w:val="TableText0"/>
              <w:jc w:val="center"/>
            </w:pPr>
            <w:r w:rsidRPr="00080200">
              <w:t>-0.05 [-0.17, 0.06]</w:t>
            </w:r>
          </w:p>
        </w:tc>
      </w:tr>
      <w:tr w:rsidR="004F5AD7" w:rsidRPr="00080200" w14:paraId="0F659807" w14:textId="77777777" w:rsidTr="00212E10">
        <w:tc>
          <w:tcPr>
            <w:tcW w:w="699" w:type="pct"/>
            <w:vMerge/>
          </w:tcPr>
          <w:p w14:paraId="6051B231" w14:textId="77777777" w:rsidR="004F5AD7" w:rsidRPr="00080200" w:rsidRDefault="004F5AD7" w:rsidP="00212E10">
            <w:pPr>
              <w:pStyle w:val="TableText0"/>
            </w:pPr>
          </w:p>
        </w:tc>
        <w:tc>
          <w:tcPr>
            <w:tcW w:w="585" w:type="pct"/>
          </w:tcPr>
          <w:p w14:paraId="392DF51E" w14:textId="77777777" w:rsidR="004F5AD7" w:rsidRPr="00080200" w:rsidRDefault="004F5AD7" w:rsidP="00212E10">
            <w:pPr>
              <w:pStyle w:val="TableText0"/>
              <w:jc w:val="center"/>
            </w:pPr>
            <w:r w:rsidRPr="00080200">
              <w:t>ADVANCE</w:t>
            </w:r>
          </w:p>
        </w:tc>
        <w:tc>
          <w:tcPr>
            <w:tcW w:w="854" w:type="pct"/>
          </w:tcPr>
          <w:p w14:paraId="33214848" w14:textId="77777777" w:rsidR="004F5AD7" w:rsidRPr="00080200" w:rsidRDefault="004F5AD7" w:rsidP="00212E10">
            <w:pPr>
              <w:pStyle w:val="TableText0"/>
              <w:jc w:val="center"/>
            </w:pPr>
            <w:r w:rsidRPr="00080200">
              <w:t>3/338 (0.9)</w:t>
            </w:r>
          </w:p>
        </w:tc>
        <w:tc>
          <w:tcPr>
            <w:tcW w:w="860" w:type="pct"/>
          </w:tcPr>
          <w:p w14:paraId="1EDEB778" w14:textId="77777777" w:rsidR="004F5AD7" w:rsidRPr="00080200" w:rsidRDefault="004F5AD7" w:rsidP="00212E10">
            <w:pPr>
              <w:pStyle w:val="TableText0"/>
              <w:jc w:val="center"/>
            </w:pPr>
            <w:r w:rsidRPr="00080200">
              <w:t>7/176 (4.0)</w:t>
            </w:r>
          </w:p>
        </w:tc>
        <w:tc>
          <w:tcPr>
            <w:tcW w:w="938" w:type="pct"/>
          </w:tcPr>
          <w:p w14:paraId="61312ABE" w14:textId="77777777" w:rsidR="004F5AD7" w:rsidRPr="00F372E2" w:rsidRDefault="004F5AD7" w:rsidP="00212E10">
            <w:pPr>
              <w:pStyle w:val="TableText0"/>
              <w:jc w:val="center"/>
              <w:rPr>
                <w:b/>
                <w:bCs w:val="0"/>
              </w:rPr>
            </w:pPr>
            <w:r w:rsidRPr="00F372E2">
              <w:rPr>
                <w:b/>
                <w:bCs w:val="0"/>
              </w:rPr>
              <w:t>0.22 [0.06, 0.85]</w:t>
            </w:r>
          </w:p>
        </w:tc>
        <w:tc>
          <w:tcPr>
            <w:tcW w:w="1064" w:type="pct"/>
          </w:tcPr>
          <w:p w14:paraId="3641A50C" w14:textId="77777777" w:rsidR="004F5AD7" w:rsidRPr="00F372E2" w:rsidRDefault="004F5AD7" w:rsidP="00212E10">
            <w:pPr>
              <w:pStyle w:val="TableText0"/>
              <w:jc w:val="center"/>
              <w:rPr>
                <w:b/>
                <w:bCs w:val="0"/>
              </w:rPr>
            </w:pPr>
            <w:r w:rsidRPr="00F372E2">
              <w:rPr>
                <w:b/>
                <w:bCs w:val="0"/>
              </w:rPr>
              <w:t>-0.03 [-0.06, -0.00]</w:t>
            </w:r>
          </w:p>
        </w:tc>
      </w:tr>
      <w:tr w:rsidR="004F5AD7" w:rsidRPr="00080200" w14:paraId="78670FF1" w14:textId="77777777" w:rsidTr="00212E10">
        <w:tc>
          <w:tcPr>
            <w:tcW w:w="699" w:type="pct"/>
            <w:vMerge/>
          </w:tcPr>
          <w:p w14:paraId="4785EFC7" w14:textId="77777777" w:rsidR="004F5AD7" w:rsidRPr="00080200" w:rsidRDefault="004F5AD7" w:rsidP="00212E10">
            <w:pPr>
              <w:pStyle w:val="TableText0"/>
            </w:pPr>
          </w:p>
        </w:tc>
        <w:tc>
          <w:tcPr>
            <w:tcW w:w="585" w:type="pct"/>
          </w:tcPr>
          <w:p w14:paraId="784C77B6" w14:textId="77777777" w:rsidR="004F5AD7" w:rsidRPr="00080200" w:rsidRDefault="004F5AD7" w:rsidP="00212E10">
            <w:pPr>
              <w:pStyle w:val="TableText0"/>
              <w:jc w:val="center"/>
            </w:pPr>
            <w:r w:rsidRPr="00080200">
              <w:t>MOTIVATE</w:t>
            </w:r>
          </w:p>
        </w:tc>
        <w:tc>
          <w:tcPr>
            <w:tcW w:w="854" w:type="pct"/>
          </w:tcPr>
          <w:p w14:paraId="289979D4" w14:textId="77777777" w:rsidR="004F5AD7" w:rsidRPr="00080200" w:rsidRDefault="004F5AD7" w:rsidP="00212E10">
            <w:pPr>
              <w:pStyle w:val="TableText0"/>
              <w:jc w:val="center"/>
            </w:pPr>
            <w:r w:rsidRPr="00080200">
              <w:t>1/195 (0.5)</w:t>
            </w:r>
          </w:p>
        </w:tc>
        <w:tc>
          <w:tcPr>
            <w:tcW w:w="860" w:type="pct"/>
          </w:tcPr>
          <w:p w14:paraId="22E38578" w14:textId="77777777" w:rsidR="004F5AD7" w:rsidRPr="00080200" w:rsidRDefault="004F5AD7" w:rsidP="00212E10">
            <w:pPr>
              <w:pStyle w:val="TableText0"/>
              <w:jc w:val="center"/>
            </w:pPr>
            <w:r w:rsidRPr="00080200">
              <w:t>5/192 (2.6)</w:t>
            </w:r>
          </w:p>
        </w:tc>
        <w:tc>
          <w:tcPr>
            <w:tcW w:w="938" w:type="pct"/>
          </w:tcPr>
          <w:p w14:paraId="0D842310" w14:textId="77777777" w:rsidR="004F5AD7" w:rsidRPr="00F372E2" w:rsidRDefault="004F5AD7" w:rsidP="00212E10">
            <w:pPr>
              <w:pStyle w:val="TableText0"/>
              <w:jc w:val="center"/>
              <w:rPr>
                <w:b/>
                <w:bCs w:val="0"/>
              </w:rPr>
            </w:pPr>
            <w:r w:rsidRPr="00F372E2">
              <w:rPr>
                <w:b/>
                <w:bCs w:val="0"/>
              </w:rPr>
              <w:t>0.19 [0.02, 1.67]</w:t>
            </w:r>
          </w:p>
        </w:tc>
        <w:tc>
          <w:tcPr>
            <w:tcW w:w="1064" w:type="pct"/>
          </w:tcPr>
          <w:p w14:paraId="2141E7D1" w14:textId="77777777" w:rsidR="004F5AD7" w:rsidRPr="00F372E2" w:rsidRDefault="004F5AD7" w:rsidP="00212E10">
            <w:pPr>
              <w:pStyle w:val="TableText0"/>
              <w:jc w:val="center"/>
              <w:rPr>
                <w:b/>
                <w:bCs w:val="0"/>
              </w:rPr>
            </w:pPr>
            <w:r w:rsidRPr="00F372E2">
              <w:rPr>
                <w:b/>
                <w:bCs w:val="0"/>
              </w:rPr>
              <w:t>-0.02 [-0.05, 0.00]</w:t>
            </w:r>
          </w:p>
        </w:tc>
      </w:tr>
      <w:tr w:rsidR="004F5AD7" w:rsidRPr="00080200" w14:paraId="6BF88E89" w14:textId="77777777" w:rsidTr="00212E10">
        <w:tc>
          <w:tcPr>
            <w:tcW w:w="699" w:type="pct"/>
            <w:vMerge/>
          </w:tcPr>
          <w:p w14:paraId="24DB9AA5" w14:textId="77777777" w:rsidR="004F5AD7" w:rsidRPr="00080200" w:rsidRDefault="004F5AD7" w:rsidP="00212E10">
            <w:pPr>
              <w:pStyle w:val="TableText0"/>
            </w:pPr>
          </w:p>
        </w:tc>
        <w:tc>
          <w:tcPr>
            <w:tcW w:w="585" w:type="pct"/>
          </w:tcPr>
          <w:p w14:paraId="17C87CCB" w14:textId="77777777" w:rsidR="004F5AD7" w:rsidRPr="00080200" w:rsidRDefault="004F5AD7" w:rsidP="00212E10">
            <w:pPr>
              <w:pStyle w:val="TableText0"/>
              <w:jc w:val="center"/>
            </w:pPr>
            <w:r w:rsidRPr="00080200">
              <w:t>Pooled</w:t>
            </w:r>
          </w:p>
        </w:tc>
        <w:tc>
          <w:tcPr>
            <w:tcW w:w="854" w:type="pct"/>
          </w:tcPr>
          <w:p w14:paraId="01682ADA" w14:textId="77777777" w:rsidR="004F5AD7" w:rsidRPr="00080200" w:rsidRDefault="004F5AD7" w:rsidP="00212E10">
            <w:pPr>
              <w:pStyle w:val="TableText0"/>
              <w:jc w:val="center"/>
            </w:pPr>
            <w:r w:rsidRPr="00080200">
              <w:t>6/574 (1.0)</w:t>
            </w:r>
          </w:p>
        </w:tc>
        <w:tc>
          <w:tcPr>
            <w:tcW w:w="860" w:type="pct"/>
          </w:tcPr>
          <w:p w14:paraId="14409C07" w14:textId="77777777" w:rsidR="004F5AD7" w:rsidRPr="00080200" w:rsidRDefault="004F5AD7" w:rsidP="00212E10">
            <w:pPr>
              <w:pStyle w:val="TableText0"/>
              <w:jc w:val="center"/>
            </w:pPr>
            <w:r w:rsidRPr="00080200">
              <w:t>16/407 (3.9)</w:t>
            </w:r>
          </w:p>
        </w:tc>
        <w:tc>
          <w:tcPr>
            <w:tcW w:w="938" w:type="pct"/>
          </w:tcPr>
          <w:p w14:paraId="0DAE802E" w14:textId="77777777" w:rsidR="004F5AD7" w:rsidRPr="00790F5E" w:rsidRDefault="004F5AD7" w:rsidP="00212E10">
            <w:pPr>
              <w:pStyle w:val="TableText0"/>
              <w:jc w:val="center"/>
              <w:rPr>
                <w:b/>
              </w:rPr>
            </w:pPr>
            <w:r w:rsidRPr="00790F5E">
              <w:rPr>
                <w:b/>
              </w:rPr>
              <w:t>0.26 [0.10, 0.69]</w:t>
            </w:r>
          </w:p>
        </w:tc>
        <w:tc>
          <w:tcPr>
            <w:tcW w:w="1064" w:type="pct"/>
          </w:tcPr>
          <w:p w14:paraId="7A781633" w14:textId="77777777" w:rsidR="004F5AD7" w:rsidRPr="00790F5E" w:rsidRDefault="004F5AD7" w:rsidP="00212E10">
            <w:pPr>
              <w:pStyle w:val="TableText0"/>
              <w:jc w:val="center"/>
              <w:rPr>
                <w:b/>
              </w:rPr>
            </w:pPr>
            <w:r w:rsidRPr="00790F5E">
              <w:rPr>
                <w:b/>
              </w:rPr>
              <w:t>-0.03 [-0.04, -0.01]</w:t>
            </w:r>
          </w:p>
        </w:tc>
      </w:tr>
      <w:tr w:rsidR="004F5AD7" w:rsidRPr="00080200" w14:paraId="00FD53F5" w14:textId="77777777" w:rsidTr="00212E10">
        <w:tc>
          <w:tcPr>
            <w:tcW w:w="699" w:type="pct"/>
            <w:vMerge w:val="restart"/>
          </w:tcPr>
          <w:p w14:paraId="3981047F" w14:textId="77777777" w:rsidR="004F5AD7" w:rsidRPr="00080200" w:rsidRDefault="004F5AD7" w:rsidP="00212E10">
            <w:pPr>
              <w:pStyle w:val="TableText0"/>
            </w:pPr>
            <w:r w:rsidRPr="00080200">
              <w:t>USTE vs PBO</w:t>
            </w:r>
          </w:p>
        </w:tc>
        <w:tc>
          <w:tcPr>
            <w:tcW w:w="585" w:type="pct"/>
          </w:tcPr>
          <w:p w14:paraId="2596572D" w14:textId="77777777" w:rsidR="004F5AD7" w:rsidRPr="00080200" w:rsidRDefault="004F5AD7" w:rsidP="00212E10">
            <w:pPr>
              <w:pStyle w:val="TableText0"/>
              <w:jc w:val="center"/>
            </w:pPr>
            <w:r w:rsidRPr="00080200">
              <w:t>UNITI I</w:t>
            </w:r>
          </w:p>
        </w:tc>
        <w:tc>
          <w:tcPr>
            <w:tcW w:w="854" w:type="pct"/>
          </w:tcPr>
          <w:p w14:paraId="139B276D" w14:textId="77777777" w:rsidR="004F5AD7" w:rsidRPr="00080200" w:rsidRDefault="004F5AD7" w:rsidP="00212E10">
            <w:pPr>
              <w:pStyle w:val="TableText0"/>
              <w:jc w:val="center"/>
            </w:pPr>
            <w:r w:rsidRPr="00080200">
              <w:t>7/249 (2.8)</w:t>
            </w:r>
          </w:p>
        </w:tc>
        <w:tc>
          <w:tcPr>
            <w:tcW w:w="860" w:type="pct"/>
          </w:tcPr>
          <w:p w14:paraId="42443E6A" w14:textId="77777777" w:rsidR="004F5AD7" w:rsidRPr="00080200" w:rsidRDefault="004F5AD7" w:rsidP="00212E10">
            <w:pPr>
              <w:pStyle w:val="TableText0"/>
              <w:jc w:val="center"/>
            </w:pPr>
            <w:r w:rsidRPr="00080200">
              <w:t>3/245 (1.2)</w:t>
            </w:r>
          </w:p>
        </w:tc>
        <w:tc>
          <w:tcPr>
            <w:tcW w:w="938" w:type="pct"/>
          </w:tcPr>
          <w:p w14:paraId="4F1B3CBA" w14:textId="77777777" w:rsidR="004F5AD7" w:rsidRPr="00080200" w:rsidRDefault="004F5AD7" w:rsidP="00212E10">
            <w:pPr>
              <w:pStyle w:val="TableText0"/>
              <w:jc w:val="center"/>
            </w:pPr>
            <w:r w:rsidRPr="00080200">
              <w:t>2.33 [0.60, 9.13]</w:t>
            </w:r>
          </w:p>
        </w:tc>
        <w:tc>
          <w:tcPr>
            <w:tcW w:w="1064" w:type="pct"/>
          </w:tcPr>
          <w:p w14:paraId="62F58BB4" w14:textId="77777777" w:rsidR="004F5AD7" w:rsidRPr="00080200" w:rsidRDefault="004F5AD7" w:rsidP="00212E10">
            <w:pPr>
              <w:pStyle w:val="TableText0"/>
              <w:jc w:val="center"/>
            </w:pPr>
            <w:r w:rsidRPr="00080200">
              <w:t>0.02 [-0.01, 0.04]</w:t>
            </w:r>
          </w:p>
        </w:tc>
      </w:tr>
      <w:tr w:rsidR="004F5AD7" w:rsidRPr="00080200" w14:paraId="63733D8D" w14:textId="77777777" w:rsidTr="00212E10">
        <w:tc>
          <w:tcPr>
            <w:tcW w:w="699" w:type="pct"/>
            <w:vMerge/>
          </w:tcPr>
          <w:p w14:paraId="118A9022" w14:textId="77777777" w:rsidR="004F5AD7" w:rsidRPr="00080200" w:rsidRDefault="004F5AD7" w:rsidP="00212E10">
            <w:pPr>
              <w:pStyle w:val="TableText0"/>
            </w:pPr>
          </w:p>
        </w:tc>
        <w:tc>
          <w:tcPr>
            <w:tcW w:w="585" w:type="pct"/>
          </w:tcPr>
          <w:p w14:paraId="0BC82FB0" w14:textId="77777777" w:rsidR="004F5AD7" w:rsidRPr="00080200" w:rsidRDefault="004F5AD7" w:rsidP="00212E10">
            <w:pPr>
              <w:pStyle w:val="TableText0"/>
              <w:jc w:val="center"/>
            </w:pPr>
            <w:r w:rsidRPr="00080200">
              <w:t>UNITI II</w:t>
            </w:r>
          </w:p>
        </w:tc>
        <w:tc>
          <w:tcPr>
            <w:tcW w:w="854" w:type="pct"/>
          </w:tcPr>
          <w:p w14:paraId="19DA2EEC" w14:textId="77777777" w:rsidR="004F5AD7" w:rsidRPr="00080200" w:rsidRDefault="004F5AD7" w:rsidP="00212E10">
            <w:pPr>
              <w:pStyle w:val="TableText0"/>
              <w:jc w:val="center"/>
            </w:pPr>
            <w:r w:rsidRPr="00080200">
              <w:t>1/207 (0.5)</w:t>
            </w:r>
          </w:p>
        </w:tc>
        <w:tc>
          <w:tcPr>
            <w:tcW w:w="860" w:type="pct"/>
          </w:tcPr>
          <w:p w14:paraId="6246C380" w14:textId="77777777" w:rsidR="004F5AD7" w:rsidRPr="00080200" w:rsidRDefault="004F5AD7" w:rsidP="00212E10">
            <w:pPr>
              <w:pStyle w:val="TableText0"/>
              <w:jc w:val="center"/>
            </w:pPr>
            <w:r w:rsidRPr="00080200">
              <w:t>3/208 (1.4)</w:t>
            </w:r>
          </w:p>
        </w:tc>
        <w:tc>
          <w:tcPr>
            <w:tcW w:w="938" w:type="pct"/>
          </w:tcPr>
          <w:p w14:paraId="4FC6EAB1" w14:textId="77777777" w:rsidR="004F5AD7" w:rsidRPr="00080200" w:rsidRDefault="004F5AD7" w:rsidP="00212E10">
            <w:pPr>
              <w:pStyle w:val="TableText0"/>
              <w:jc w:val="center"/>
            </w:pPr>
            <w:r w:rsidRPr="00080200">
              <w:t>0.33 [0.03, 3.22]</w:t>
            </w:r>
          </w:p>
        </w:tc>
        <w:tc>
          <w:tcPr>
            <w:tcW w:w="1064" w:type="pct"/>
          </w:tcPr>
          <w:p w14:paraId="1D265AB9" w14:textId="77777777" w:rsidR="004F5AD7" w:rsidRPr="00080200" w:rsidRDefault="004F5AD7" w:rsidP="00212E10">
            <w:pPr>
              <w:pStyle w:val="TableText0"/>
              <w:jc w:val="center"/>
            </w:pPr>
            <w:r w:rsidRPr="00080200">
              <w:t>-0.01 [-0.03, 0.01]</w:t>
            </w:r>
          </w:p>
        </w:tc>
      </w:tr>
      <w:tr w:rsidR="004F5AD7" w:rsidRPr="00080200" w14:paraId="3493FF15" w14:textId="77777777" w:rsidTr="00212E10">
        <w:tc>
          <w:tcPr>
            <w:tcW w:w="699" w:type="pct"/>
            <w:vMerge/>
          </w:tcPr>
          <w:p w14:paraId="570D3BF6" w14:textId="77777777" w:rsidR="004F5AD7" w:rsidRPr="00080200" w:rsidRDefault="004F5AD7" w:rsidP="00212E10">
            <w:pPr>
              <w:pStyle w:val="TableText0"/>
            </w:pPr>
          </w:p>
        </w:tc>
        <w:tc>
          <w:tcPr>
            <w:tcW w:w="585" w:type="pct"/>
          </w:tcPr>
          <w:p w14:paraId="31C2423B" w14:textId="77777777" w:rsidR="004F5AD7" w:rsidRPr="00080200" w:rsidRDefault="004F5AD7" w:rsidP="00212E10">
            <w:pPr>
              <w:pStyle w:val="TableText0"/>
              <w:jc w:val="center"/>
            </w:pPr>
            <w:r w:rsidRPr="00080200">
              <w:t>Pooled</w:t>
            </w:r>
          </w:p>
        </w:tc>
        <w:tc>
          <w:tcPr>
            <w:tcW w:w="854" w:type="pct"/>
          </w:tcPr>
          <w:p w14:paraId="0473A090" w14:textId="77777777" w:rsidR="004F5AD7" w:rsidRPr="00080200" w:rsidRDefault="004F5AD7" w:rsidP="00212E10">
            <w:pPr>
              <w:pStyle w:val="TableText0"/>
              <w:jc w:val="center"/>
            </w:pPr>
            <w:r w:rsidRPr="00080200">
              <w:t>8/456 (1.8)</w:t>
            </w:r>
          </w:p>
        </w:tc>
        <w:tc>
          <w:tcPr>
            <w:tcW w:w="860" w:type="pct"/>
          </w:tcPr>
          <w:p w14:paraId="62E36098" w14:textId="77777777" w:rsidR="004F5AD7" w:rsidRPr="00080200" w:rsidRDefault="004F5AD7" w:rsidP="00212E10">
            <w:pPr>
              <w:pStyle w:val="TableText0"/>
              <w:jc w:val="center"/>
            </w:pPr>
            <w:r w:rsidRPr="00080200">
              <w:t>6/453 (1.3)</w:t>
            </w:r>
          </w:p>
        </w:tc>
        <w:tc>
          <w:tcPr>
            <w:tcW w:w="938" w:type="pct"/>
          </w:tcPr>
          <w:p w14:paraId="47FD8E78" w14:textId="77777777" w:rsidR="004F5AD7" w:rsidRPr="00080200" w:rsidRDefault="004F5AD7" w:rsidP="00212E10">
            <w:pPr>
              <w:pStyle w:val="TableText0"/>
              <w:jc w:val="center"/>
            </w:pPr>
            <w:r w:rsidRPr="00080200">
              <w:t>1.10 [0.17, 7.08]</w:t>
            </w:r>
          </w:p>
        </w:tc>
        <w:tc>
          <w:tcPr>
            <w:tcW w:w="1064" w:type="pct"/>
          </w:tcPr>
          <w:p w14:paraId="654F76F8" w14:textId="77777777" w:rsidR="004F5AD7" w:rsidRPr="00080200" w:rsidRDefault="004F5AD7" w:rsidP="00212E10">
            <w:pPr>
              <w:pStyle w:val="TableText0"/>
              <w:jc w:val="center"/>
            </w:pPr>
            <w:r w:rsidRPr="00080200">
              <w:t>0.00 [-0.02, 0.03]</w:t>
            </w:r>
          </w:p>
        </w:tc>
      </w:tr>
      <w:tr w:rsidR="004F5AD7" w:rsidRPr="00080200" w14:paraId="1A1C3A1A" w14:textId="77777777" w:rsidTr="00212E10">
        <w:tc>
          <w:tcPr>
            <w:tcW w:w="699" w:type="pct"/>
          </w:tcPr>
          <w:p w14:paraId="2CAD8D31" w14:textId="77777777" w:rsidR="004F5AD7" w:rsidRPr="00080200" w:rsidRDefault="004F5AD7" w:rsidP="00212E10">
            <w:pPr>
              <w:pStyle w:val="TableText0"/>
            </w:pPr>
            <w:r w:rsidRPr="00080200">
              <w:t>ITC result</w:t>
            </w:r>
          </w:p>
        </w:tc>
        <w:tc>
          <w:tcPr>
            <w:tcW w:w="585" w:type="pct"/>
          </w:tcPr>
          <w:p w14:paraId="190E4BFF" w14:textId="77777777" w:rsidR="004F5AD7" w:rsidRPr="00080200" w:rsidRDefault="004F5AD7" w:rsidP="00212E10">
            <w:pPr>
              <w:pStyle w:val="TableText0"/>
              <w:jc w:val="center"/>
            </w:pPr>
            <w:r w:rsidRPr="00080200">
              <w:t>–</w:t>
            </w:r>
          </w:p>
        </w:tc>
        <w:tc>
          <w:tcPr>
            <w:tcW w:w="854" w:type="pct"/>
          </w:tcPr>
          <w:p w14:paraId="54863C25" w14:textId="77777777" w:rsidR="004F5AD7" w:rsidRPr="00080200" w:rsidRDefault="004F5AD7" w:rsidP="00212E10">
            <w:pPr>
              <w:pStyle w:val="TableText0"/>
              <w:jc w:val="center"/>
            </w:pPr>
            <w:r w:rsidRPr="00080200">
              <w:t>–</w:t>
            </w:r>
          </w:p>
        </w:tc>
        <w:tc>
          <w:tcPr>
            <w:tcW w:w="860" w:type="pct"/>
          </w:tcPr>
          <w:p w14:paraId="3CBE2E5C" w14:textId="77777777" w:rsidR="004F5AD7" w:rsidRPr="00080200" w:rsidRDefault="004F5AD7" w:rsidP="00212E10">
            <w:pPr>
              <w:pStyle w:val="TableText0"/>
              <w:jc w:val="center"/>
            </w:pPr>
            <w:r w:rsidRPr="00080200">
              <w:t>–</w:t>
            </w:r>
          </w:p>
        </w:tc>
        <w:tc>
          <w:tcPr>
            <w:tcW w:w="938" w:type="pct"/>
          </w:tcPr>
          <w:p w14:paraId="67054DDF" w14:textId="77777777" w:rsidR="004F5AD7" w:rsidRPr="00080200" w:rsidRDefault="004F5AD7" w:rsidP="00212E10">
            <w:pPr>
              <w:pStyle w:val="TableText0"/>
              <w:jc w:val="center"/>
            </w:pPr>
            <w:r w:rsidRPr="00080200">
              <w:t>0.236 [0.029, 1.93] (p = 0.1782)</w:t>
            </w:r>
          </w:p>
        </w:tc>
        <w:tc>
          <w:tcPr>
            <w:tcW w:w="1064" w:type="pct"/>
          </w:tcPr>
          <w:p w14:paraId="518944AB" w14:textId="77777777" w:rsidR="004F5AD7" w:rsidRPr="001733E9" w:rsidRDefault="004F5AD7" w:rsidP="00212E10">
            <w:pPr>
              <w:pStyle w:val="TableText0"/>
              <w:jc w:val="center"/>
              <w:rPr>
                <w:b/>
              </w:rPr>
            </w:pPr>
            <w:r w:rsidRPr="001733E9">
              <w:rPr>
                <w:b/>
              </w:rPr>
              <w:t>-0.03 [-0.059, -0.001] (p = 0.0437)</w:t>
            </w:r>
          </w:p>
        </w:tc>
      </w:tr>
    </w:tbl>
    <w:p w14:paraId="47EDB317" w14:textId="77777777" w:rsidR="004F5AD7" w:rsidRPr="00080200" w:rsidRDefault="004F5AD7" w:rsidP="004F5AD7">
      <w:pPr>
        <w:pStyle w:val="TableFigureFooter"/>
        <w:widowControl w:val="0"/>
      </w:pPr>
      <w:bookmarkStart w:id="28" w:name="_Hlk94622676"/>
      <w:r w:rsidRPr="00812212">
        <w:t>Source: Table 2.41, p 121-122 of the submission and corrected during the evaluation based on results in Attachment 4.14 of the submission. There were some discrepancies between the results presented in the submission compared to that provided in the Revman file- Attachment 4.14 of the submission. However, differences were small.</w:t>
      </w:r>
    </w:p>
    <w:p w14:paraId="04FC4350" w14:textId="77777777" w:rsidR="004F5AD7" w:rsidRDefault="004F5AD7" w:rsidP="004F5AD7">
      <w:pPr>
        <w:pStyle w:val="TableFigureFooter"/>
        <w:widowControl w:val="0"/>
      </w:pPr>
      <w:r w:rsidRPr="00080200">
        <w:t>Abbreviations: –, not required; CI, confidence interval; n, number of participants with event; N, total number of participants in group; OR, odds ratio; RD, risk difference</w:t>
      </w:r>
      <w:r>
        <w:t>; RISA, risankizumab; PBO, placebo; UST, ustekinumab; ITC, indirect treatment comparison.</w:t>
      </w:r>
      <w:r w:rsidRPr="00EB6030">
        <w:rPr>
          <w:rFonts w:eastAsia="Calibri"/>
          <w:b/>
        </w:rPr>
        <w:t xml:space="preserve"> </w:t>
      </w:r>
      <w:r w:rsidRPr="00760F9E">
        <w:rPr>
          <w:rFonts w:eastAsia="Calibri"/>
          <w:b/>
        </w:rPr>
        <w:t>Bold</w:t>
      </w:r>
      <w:r>
        <w:rPr>
          <w:rFonts w:eastAsia="Calibri"/>
        </w:rPr>
        <w:t xml:space="preserve"> indicates statistically significant results.</w:t>
      </w:r>
    </w:p>
    <w:p w14:paraId="5CAF1240" w14:textId="77777777" w:rsidR="004F5AD7" w:rsidRPr="00080200" w:rsidRDefault="004F5AD7" w:rsidP="004F5AD7">
      <w:pPr>
        <w:pStyle w:val="TableFigureFooter"/>
        <w:widowControl w:val="0"/>
      </w:pPr>
      <w:r w:rsidRPr="00080200">
        <w:rPr>
          <w:vertAlign w:val="superscript"/>
        </w:rPr>
        <w:t>a</w:t>
      </w:r>
      <w:r w:rsidRPr="00080200">
        <w:t xml:space="preserve">&lt;1 favours RISA in ITC; </w:t>
      </w:r>
      <w:r w:rsidRPr="00080200">
        <w:rPr>
          <w:vertAlign w:val="superscript"/>
        </w:rPr>
        <w:t>b</w:t>
      </w:r>
      <w:r w:rsidRPr="00080200">
        <w:t>&lt;0 favours RISA in ITC</w:t>
      </w:r>
    </w:p>
    <w:p w14:paraId="435C1850" w14:textId="77777777" w:rsidR="004F5AD7" w:rsidRDefault="004F5AD7" w:rsidP="004F5AD7">
      <w:pPr>
        <w:jc w:val="left"/>
        <w:rPr>
          <w:rStyle w:val="CommentReference"/>
          <w:rFonts w:eastAsiaTheme="majorEastAsia" w:cstheme="majorBidi"/>
          <w:bCs/>
          <w:szCs w:val="24"/>
        </w:rPr>
      </w:pPr>
      <w:bookmarkStart w:id="29" w:name="_Ref101786660"/>
      <w:bookmarkEnd w:id="28"/>
      <w:r>
        <w:rPr>
          <w:rStyle w:val="CommentReference"/>
          <w:b w:val="0"/>
          <w:szCs w:val="24"/>
        </w:rPr>
        <w:br w:type="page"/>
      </w:r>
    </w:p>
    <w:p w14:paraId="3F1D8097" w14:textId="4B6F6C4E" w:rsidR="004F5AD7" w:rsidRDefault="004F5AD7" w:rsidP="004F5AD7">
      <w:pPr>
        <w:pStyle w:val="TableFigureHeading"/>
      </w:pPr>
      <w:r w:rsidRPr="00D86231">
        <w:rPr>
          <w:rStyle w:val="CommentReference"/>
          <w:b/>
          <w:szCs w:val="24"/>
        </w:rPr>
        <w:lastRenderedPageBreak/>
        <w:t xml:space="preserve">Table </w:t>
      </w:r>
      <w:r>
        <w:rPr>
          <w:rStyle w:val="CommentReference"/>
          <w:b/>
          <w:bCs w:val="0"/>
          <w:szCs w:val="24"/>
        </w:rPr>
        <w:fldChar w:fldCharType="begin" w:fldLock="1"/>
      </w:r>
      <w:r>
        <w:rPr>
          <w:rStyle w:val="CommentReference"/>
          <w:b/>
          <w:szCs w:val="24"/>
        </w:rPr>
        <w:instrText xml:space="preserve"> SEQ Table \* ARABIC </w:instrText>
      </w:r>
      <w:r>
        <w:rPr>
          <w:rStyle w:val="CommentReference"/>
          <w:b/>
          <w:bCs w:val="0"/>
          <w:szCs w:val="24"/>
        </w:rPr>
        <w:fldChar w:fldCharType="separate"/>
      </w:r>
      <w:r>
        <w:rPr>
          <w:rStyle w:val="CommentReference"/>
          <w:b/>
          <w:noProof/>
          <w:szCs w:val="24"/>
        </w:rPr>
        <w:t>10</w:t>
      </w:r>
      <w:r>
        <w:rPr>
          <w:rStyle w:val="CommentReference"/>
          <w:b/>
          <w:bCs w:val="0"/>
          <w:szCs w:val="24"/>
        </w:rPr>
        <w:fldChar w:fldCharType="end"/>
      </w:r>
      <w:bookmarkEnd w:id="29"/>
      <w:r w:rsidRPr="00D86231">
        <w:rPr>
          <w:rStyle w:val="CommentReference"/>
          <w:b/>
          <w:szCs w:val="24"/>
        </w:rPr>
        <w:t>: Summary of key adverse events in the trials</w:t>
      </w:r>
      <w:r>
        <w:rPr>
          <w:rStyle w:val="CommentReference"/>
          <w:b/>
          <w:szCs w:val="24"/>
        </w:rPr>
        <w:t xml:space="preserve"> </w:t>
      </w:r>
      <w:r w:rsidRPr="00AC26E6">
        <w:t xml:space="preserve">– safety outcomes for </w:t>
      </w:r>
      <w:r w:rsidRPr="0056249D">
        <w:t>maintenance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998"/>
        <w:gridCol w:w="1558"/>
        <w:gridCol w:w="1574"/>
        <w:gridCol w:w="1693"/>
        <w:gridCol w:w="1922"/>
      </w:tblGrid>
      <w:tr w:rsidR="004F5AD7" w:rsidRPr="00080200" w14:paraId="18442B0C" w14:textId="77777777" w:rsidTr="00212E10">
        <w:tc>
          <w:tcPr>
            <w:tcW w:w="705" w:type="pct"/>
          </w:tcPr>
          <w:p w14:paraId="69DAFE4A" w14:textId="77777777" w:rsidR="004F5AD7" w:rsidRPr="00080200" w:rsidRDefault="004F5AD7" w:rsidP="00212E10">
            <w:pPr>
              <w:pStyle w:val="In-tableHeading"/>
            </w:pPr>
            <w:r w:rsidRPr="00080200">
              <w:t>Trial type or estimate</w:t>
            </w:r>
          </w:p>
        </w:tc>
        <w:tc>
          <w:tcPr>
            <w:tcW w:w="552" w:type="pct"/>
          </w:tcPr>
          <w:p w14:paraId="115A4A22" w14:textId="77777777" w:rsidR="004F5AD7" w:rsidRPr="00080200" w:rsidRDefault="004F5AD7" w:rsidP="00212E10">
            <w:pPr>
              <w:pStyle w:val="In-tableHeading"/>
              <w:jc w:val="center"/>
            </w:pPr>
            <w:r w:rsidRPr="00080200">
              <w:t>Trial ID</w:t>
            </w:r>
          </w:p>
        </w:tc>
        <w:tc>
          <w:tcPr>
            <w:tcW w:w="864" w:type="pct"/>
          </w:tcPr>
          <w:p w14:paraId="4FDAA762" w14:textId="77777777" w:rsidR="004F5AD7" w:rsidRPr="00080200" w:rsidRDefault="004F5AD7" w:rsidP="00212E10">
            <w:pPr>
              <w:pStyle w:val="In-tableHeading"/>
              <w:jc w:val="center"/>
            </w:pPr>
            <w:r w:rsidRPr="00080200">
              <w:t>biologic n/N (%)</w:t>
            </w:r>
          </w:p>
        </w:tc>
        <w:tc>
          <w:tcPr>
            <w:tcW w:w="873" w:type="pct"/>
          </w:tcPr>
          <w:p w14:paraId="12543AD0" w14:textId="77777777" w:rsidR="004F5AD7" w:rsidRPr="00080200" w:rsidRDefault="004F5AD7" w:rsidP="00212E10">
            <w:pPr>
              <w:pStyle w:val="In-tableHeading"/>
              <w:jc w:val="center"/>
            </w:pPr>
            <w:r w:rsidRPr="00080200">
              <w:t>PBO n/N (%)</w:t>
            </w:r>
          </w:p>
        </w:tc>
        <w:tc>
          <w:tcPr>
            <w:tcW w:w="939" w:type="pct"/>
          </w:tcPr>
          <w:p w14:paraId="4460F9BB" w14:textId="77777777" w:rsidR="004F5AD7" w:rsidRPr="00080200" w:rsidRDefault="004F5AD7" w:rsidP="00212E10">
            <w:pPr>
              <w:pStyle w:val="In-tableHeading"/>
              <w:jc w:val="center"/>
            </w:pPr>
            <w:r w:rsidRPr="00080200">
              <w:t>Treatment effect (OR)</w:t>
            </w:r>
            <w:r w:rsidRPr="00080200">
              <w:rPr>
                <w:vertAlign w:val="superscript"/>
              </w:rPr>
              <w:t>a</w:t>
            </w:r>
            <w:r w:rsidRPr="00080200">
              <w:br/>
            </w:r>
          </w:p>
        </w:tc>
        <w:tc>
          <w:tcPr>
            <w:tcW w:w="1067" w:type="pct"/>
          </w:tcPr>
          <w:p w14:paraId="57594F4D" w14:textId="77777777" w:rsidR="004F5AD7" w:rsidRPr="00080200" w:rsidRDefault="004F5AD7" w:rsidP="00212E10">
            <w:pPr>
              <w:pStyle w:val="In-tableHeading"/>
              <w:jc w:val="center"/>
            </w:pPr>
            <w:r w:rsidRPr="00080200">
              <w:t>Treatment effect (RD)</w:t>
            </w:r>
            <w:r w:rsidRPr="00080200">
              <w:rPr>
                <w:vertAlign w:val="superscript"/>
              </w:rPr>
              <w:t>b</w:t>
            </w:r>
            <w:r w:rsidRPr="00080200">
              <w:br/>
            </w:r>
          </w:p>
        </w:tc>
      </w:tr>
      <w:tr w:rsidR="004F5AD7" w:rsidRPr="00080200" w14:paraId="46F4EC43" w14:textId="77777777" w:rsidTr="00212E10">
        <w:tc>
          <w:tcPr>
            <w:tcW w:w="1258" w:type="pct"/>
            <w:gridSpan w:val="2"/>
            <w:shd w:val="clear" w:color="auto" w:fill="D9D9D9"/>
          </w:tcPr>
          <w:p w14:paraId="0A341852" w14:textId="77777777" w:rsidR="004F5AD7" w:rsidRPr="00C05506" w:rsidRDefault="004F5AD7" w:rsidP="00212E10">
            <w:pPr>
              <w:pStyle w:val="TableText0"/>
              <w:keepNext w:val="0"/>
              <w:widowControl w:val="0"/>
              <w:rPr>
                <w:b/>
              </w:rPr>
            </w:pPr>
            <w:r w:rsidRPr="00C05506">
              <w:rPr>
                <w:b/>
              </w:rPr>
              <w:t>Any AE</w:t>
            </w:r>
          </w:p>
        </w:tc>
        <w:tc>
          <w:tcPr>
            <w:tcW w:w="864" w:type="pct"/>
            <w:shd w:val="clear" w:color="auto" w:fill="D9D9D9"/>
          </w:tcPr>
          <w:p w14:paraId="0B95B4AB" w14:textId="77777777" w:rsidR="004F5AD7" w:rsidRPr="00080200" w:rsidRDefault="004F5AD7" w:rsidP="00212E10">
            <w:pPr>
              <w:pStyle w:val="TableText0"/>
              <w:keepNext w:val="0"/>
              <w:widowControl w:val="0"/>
            </w:pPr>
          </w:p>
        </w:tc>
        <w:tc>
          <w:tcPr>
            <w:tcW w:w="873" w:type="pct"/>
            <w:shd w:val="clear" w:color="auto" w:fill="D9D9D9"/>
          </w:tcPr>
          <w:p w14:paraId="0940C46A" w14:textId="77777777" w:rsidR="004F5AD7" w:rsidRPr="00080200" w:rsidRDefault="004F5AD7" w:rsidP="00212E10">
            <w:pPr>
              <w:pStyle w:val="TableText0"/>
              <w:keepNext w:val="0"/>
              <w:widowControl w:val="0"/>
            </w:pPr>
          </w:p>
        </w:tc>
        <w:tc>
          <w:tcPr>
            <w:tcW w:w="939" w:type="pct"/>
            <w:shd w:val="clear" w:color="auto" w:fill="D9D9D9"/>
          </w:tcPr>
          <w:p w14:paraId="14BBC424" w14:textId="77777777" w:rsidR="004F5AD7" w:rsidRPr="00080200" w:rsidRDefault="004F5AD7" w:rsidP="00212E10">
            <w:pPr>
              <w:pStyle w:val="TableText0"/>
              <w:keepNext w:val="0"/>
              <w:widowControl w:val="0"/>
            </w:pPr>
          </w:p>
        </w:tc>
        <w:tc>
          <w:tcPr>
            <w:tcW w:w="1067" w:type="pct"/>
            <w:shd w:val="clear" w:color="auto" w:fill="D9D9D9"/>
          </w:tcPr>
          <w:p w14:paraId="0260644F" w14:textId="77777777" w:rsidR="004F5AD7" w:rsidRPr="00080200" w:rsidRDefault="004F5AD7" w:rsidP="00212E10">
            <w:pPr>
              <w:pStyle w:val="TableText0"/>
              <w:keepNext w:val="0"/>
              <w:widowControl w:val="0"/>
            </w:pPr>
          </w:p>
        </w:tc>
      </w:tr>
      <w:tr w:rsidR="004F5AD7" w:rsidRPr="00080200" w14:paraId="7D87D431" w14:textId="77777777" w:rsidTr="00212E10">
        <w:tc>
          <w:tcPr>
            <w:tcW w:w="705" w:type="pct"/>
          </w:tcPr>
          <w:p w14:paraId="3D189DB6" w14:textId="77777777" w:rsidR="004F5AD7" w:rsidRPr="00080200" w:rsidRDefault="004F5AD7" w:rsidP="00212E10">
            <w:pPr>
              <w:pStyle w:val="TableText0"/>
              <w:keepNext w:val="0"/>
              <w:widowControl w:val="0"/>
            </w:pPr>
            <w:r w:rsidRPr="00080200">
              <w:t>RISA vs PBO</w:t>
            </w:r>
          </w:p>
        </w:tc>
        <w:tc>
          <w:tcPr>
            <w:tcW w:w="552" w:type="pct"/>
          </w:tcPr>
          <w:p w14:paraId="746711A7" w14:textId="77777777" w:rsidR="004F5AD7" w:rsidRPr="00080200" w:rsidRDefault="004F5AD7" w:rsidP="00212E10">
            <w:pPr>
              <w:pStyle w:val="TableText0"/>
              <w:keepNext w:val="0"/>
              <w:widowControl w:val="0"/>
              <w:jc w:val="center"/>
            </w:pPr>
            <w:r w:rsidRPr="00080200">
              <w:t>FORTIFY</w:t>
            </w:r>
          </w:p>
        </w:tc>
        <w:tc>
          <w:tcPr>
            <w:tcW w:w="864" w:type="pct"/>
          </w:tcPr>
          <w:p w14:paraId="311D18E6" w14:textId="77777777" w:rsidR="004F5AD7" w:rsidRPr="00080200" w:rsidRDefault="004F5AD7" w:rsidP="00212E10">
            <w:pPr>
              <w:pStyle w:val="TableText0"/>
              <w:keepNext w:val="0"/>
              <w:widowControl w:val="0"/>
              <w:jc w:val="center"/>
            </w:pPr>
            <w:r w:rsidRPr="00080200">
              <w:t>114/159 (71.7)</w:t>
            </w:r>
          </w:p>
        </w:tc>
        <w:tc>
          <w:tcPr>
            <w:tcW w:w="873" w:type="pct"/>
          </w:tcPr>
          <w:p w14:paraId="4450F251" w14:textId="77777777" w:rsidR="004F5AD7" w:rsidRPr="00080200" w:rsidRDefault="004F5AD7" w:rsidP="00212E10">
            <w:pPr>
              <w:pStyle w:val="TableText0"/>
              <w:keepNext w:val="0"/>
              <w:widowControl w:val="0"/>
              <w:jc w:val="center"/>
            </w:pPr>
            <w:r w:rsidRPr="00080200">
              <w:t>120/166 (72.3)</w:t>
            </w:r>
          </w:p>
        </w:tc>
        <w:tc>
          <w:tcPr>
            <w:tcW w:w="939" w:type="pct"/>
          </w:tcPr>
          <w:p w14:paraId="706CE131" w14:textId="77777777" w:rsidR="004F5AD7" w:rsidRPr="00080200" w:rsidRDefault="004F5AD7" w:rsidP="00212E10">
            <w:pPr>
              <w:pStyle w:val="TableText0"/>
              <w:keepNext w:val="0"/>
              <w:widowControl w:val="0"/>
              <w:jc w:val="center"/>
            </w:pPr>
            <w:r w:rsidRPr="00080200">
              <w:t>0.97 [0.60, 1.58]</w:t>
            </w:r>
          </w:p>
        </w:tc>
        <w:tc>
          <w:tcPr>
            <w:tcW w:w="1067" w:type="pct"/>
          </w:tcPr>
          <w:p w14:paraId="1C0817DA" w14:textId="77777777" w:rsidR="004F5AD7" w:rsidRPr="00080200" w:rsidRDefault="004F5AD7" w:rsidP="00212E10">
            <w:pPr>
              <w:pStyle w:val="TableText0"/>
              <w:keepNext w:val="0"/>
              <w:widowControl w:val="0"/>
              <w:jc w:val="center"/>
            </w:pPr>
            <w:r w:rsidRPr="00080200">
              <w:t>-0.01 [-0.10, 0.09]</w:t>
            </w:r>
          </w:p>
        </w:tc>
      </w:tr>
      <w:tr w:rsidR="004F5AD7" w:rsidRPr="00080200" w14:paraId="2AEAA597" w14:textId="77777777" w:rsidTr="00212E10">
        <w:tc>
          <w:tcPr>
            <w:tcW w:w="705" w:type="pct"/>
          </w:tcPr>
          <w:p w14:paraId="5EE45F60" w14:textId="77777777" w:rsidR="004F5AD7" w:rsidRPr="00080200" w:rsidRDefault="004F5AD7" w:rsidP="00212E10">
            <w:pPr>
              <w:pStyle w:val="TableText0"/>
              <w:keepNext w:val="0"/>
              <w:widowControl w:val="0"/>
            </w:pPr>
            <w:r w:rsidRPr="00080200">
              <w:t>USTE vs PBO</w:t>
            </w:r>
          </w:p>
        </w:tc>
        <w:tc>
          <w:tcPr>
            <w:tcW w:w="552" w:type="pct"/>
          </w:tcPr>
          <w:p w14:paraId="7A2BBE36" w14:textId="77777777" w:rsidR="004F5AD7" w:rsidRPr="00080200" w:rsidRDefault="004F5AD7" w:rsidP="00212E10">
            <w:pPr>
              <w:pStyle w:val="TableText0"/>
              <w:keepNext w:val="0"/>
              <w:widowControl w:val="0"/>
              <w:jc w:val="center"/>
            </w:pPr>
            <w:r w:rsidRPr="00080200">
              <w:t>IM UNITI</w:t>
            </w:r>
          </w:p>
        </w:tc>
        <w:tc>
          <w:tcPr>
            <w:tcW w:w="864" w:type="pct"/>
          </w:tcPr>
          <w:p w14:paraId="7B2D23BC" w14:textId="77777777" w:rsidR="004F5AD7" w:rsidRPr="00080200" w:rsidRDefault="004F5AD7" w:rsidP="00212E10">
            <w:pPr>
              <w:pStyle w:val="TableText0"/>
              <w:keepNext w:val="0"/>
              <w:widowControl w:val="0"/>
              <w:jc w:val="center"/>
            </w:pPr>
            <w:r w:rsidRPr="00080200">
              <w:t>107/131 (81.7)</w:t>
            </w:r>
          </w:p>
        </w:tc>
        <w:tc>
          <w:tcPr>
            <w:tcW w:w="873" w:type="pct"/>
          </w:tcPr>
          <w:p w14:paraId="0DC0E8E6" w14:textId="77777777" w:rsidR="004F5AD7" w:rsidRPr="00080200" w:rsidRDefault="004F5AD7" w:rsidP="00212E10">
            <w:pPr>
              <w:pStyle w:val="TableText0"/>
              <w:keepNext w:val="0"/>
              <w:widowControl w:val="0"/>
              <w:jc w:val="center"/>
            </w:pPr>
            <w:r w:rsidRPr="00080200">
              <w:t>111/133 (83.5)</w:t>
            </w:r>
          </w:p>
        </w:tc>
        <w:tc>
          <w:tcPr>
            <w:tcW w:w="939" w:type="pct"/>
          </w:tcPr>
          <w:p w14:paraId="3CB36DF0" w14:textId="77777777" w:rsidR="004F5AD7" w:rsidRPr="00080200" w:rsidRDefault="004F5AD7" w:rsidP="00212E10">
            <w:pPr>
              <w:pStyle w:val="TableText0"/>
              <w:keepNext w:val="0"/>
              <w:widowControl w:val="0"/>
              <w:jc w:val="center"/>
            </w:pPr>
            <w:r w:rsidRPr="00080200">
              <w:t>0.88 [0.47, 1.67]</w:t>
            </w:r>
          </w:p>
        </w:tc>
        <w:tc>
          <w:tcPr>
            <w:tcW w:w="1067" w:type="pct"/>
          </w:tcPr>
          <w:p w14:paraId="4A8D545F" w14:textId="77777777" w:rsidR="004F5AD7" w:rsidRPr="00080200" w:rsidRDefault="004F5AD7" w:rsidP="00212E10">
            <w:pPr>
              <w:pStyle w:val="TableText0"/>
              <w:keepNext w:val="0"/>
              <w:widowControl w:val="0"/>
              <w:jc w:val="center"/>
            </w:pPr>
            <w:r w:rsidRPr="00080200">
              <w:t>-0.02 [-0.11, 0.07]</w:t>
            </w:r>
          </w:p>
        </w:tc>
      </w:tr>
      <w:tr w:rsidR="004F5AD7" w:rsidRPr="00080200" w14:paraId="56FFEF41" w14:textId="77777777" w:rsidTr="00212E10">
        <w:tc>
          <w:tcPr>
            <w:tcW w:w="705" w:type="pct"/>
          </w:tcPr>
          <w:p w14:paraId="06DF6CF9" w14:textId="77777777" w:rsidR="004F5AD7" w:rsidRPr="00080200" w:rsidRDefault="004F5AD7" w:rsidP="00212E10">
            <w:pPr>
              <w:pStyle w:val="TableText0"/>
              <w:keepNext w:val="0"/>
              <w:widowControl w:val="0"/>
            </w:pPr>
            <w:r w:rsidRPr="00080200">
              <w:t>ITC result</w:t>
            </w:r>
          </w:p>
        </w:tc>
        <w:tc>
          <w:tcPr>
            <w:tcW w:w="552" w:type="pct"/>
          </w:tcPr>
          <w:p w14:paraId="44643B23" w14:textId="77777777" w:rsidR="004F5AD7" w:rsidRPr="00080200" w:rsidRDefault="004F5AD7" w:rsidP="00212E10">
            <w:pPr>
              <w:pStyle w:val="TableText0"/>
              <w:keepNext w:val="0"/>
              <w:widowControl w:val="0"/>
              <w:jc w:val="center"/>
            </w:pPr>
            <w:r w:rsidRPr="00080200">
              <w:t>–</w:t>
            </w:r>
          </w:p>
        </w:tc>
        <w:tc>
          <w:tcPr>
            <w:tcW w:w="864" w:type="pct"/>
          </w:tcPr>
          <w:p w14:paraId="543D8DC6" w14:textId="77777777" w:rsidR="004F5AD7" w:rsidRPr="00080200" w:rsidRDefault="004F5AD7" w:rsidP="00212E10">
            <w:pPr>
              <w:pStyle w:val="TableText0"/>
              <w:keepNext w:val="0"/>
              <w:widowControl w:val="0"/>
              <w:jc w:val="center"/>
            </w:pPr>
            <w:r w:rsidRPr="00080200">
              <w:t>–</w:t>
            </w:r>
          </w:p>
        </w:tc>
        <w:tc>
          <w:tcPr>
            <w:tcW w:w="873" w:type="pct"/>
          </w:tcPr>
          <w:p w14:paraId="5874B986" w14:textId="77777777" w:rsidR="004F5AD7" w:rsidRPr="00080200" w:rsidRDefault="004F5AD7" w:rsidP="00212E10">
            <w:pPr>
              <w:pStyle w:val="TableText0"/>
              <w:keepNext w:val="0"/>
              <w:widowControl w:val="0"/>
              <w:jc w:val="center"/>
            </w:pPr>
            <w:r w:rsidRPr="00080200">
              <w:t>–</w:t>
            </w:r>
          </w:p>
        </w:tc>
        <w:tc>
          <w:tcPr>
            <w:tcW w:w="939" w:type="pct"/>
          </w:tcPr>
          <w:p w14:paraId="10FE264B" w14:textId="77777777" w:rsidR="004F5AD7" w:rsidRPr="00080200" w:rsidRDefault="004F5AD7" w:rsidP="00212E10">
            <w:pPr>
              <w:pStyle w:val="TableText0"/>
              <w:keepNext w:val="0"/>
              <w:widowControl w:val="0"/>
              <w:jc w:val="center"/>
            </w:pPr>
            <w:r w:rsidRPr="00080200">
              <w:t>1.102 [0.496, 2.447] (p = 0.8109)</w:t>
            </w:r>
          </w:p>
        </w:tc>
        <w:tc>
          <w:tcPr>
            <w:tcW w:w="1067" w:type="pct"/>
          </w:tcPr>
          <w:p w14:paraId="010FD235" w14:textId="77777777" w:rsidR="004F5AD7" w:rsidRPr="00080200" w:rsidRDefault="004F5AD7" w:rsidP="00212E10">
            <w:pPr>
              <w:pStyle w:val="TableText0"/>
              <w:keepNext w:val="0"/>
              <w:widowControl w:val="0"/>
              <w:jc w:val="center"/>
            </w:pPr>
            <w:r w:rsidRPr="00080200">
              <w:t>0.01 [-0.121, 0.141] (p = 0.8809)</w:t>
            </w:r>
          </w:p>
        </w:tc>
      </w:tr>
      <w:tr w:rsidR="004F5AD7" w:rsidRPr="00080200" w14:paraId="7BA24131" w14:textId="77777777" w:rsidTr="00212E10">
        <w:tc>
          <w:tcPr>
            <w:tcW w:w="1258" w:type="pct"/>
            <w:gridSpan w:val="2"/>
            <w:shd w:val="clear" w:color="auto" w:fill="D9D9D9"/>
          </w:tcPr>
          <w:p w14:paraId="338A6CB4" w14:textId="77777777" w:rsidR="004F5AD7" w:rsidRPr="00C05506" w:rsidRDefault="004F5AD7" w:rsidP="00212E10">
            <w:pPr>
              <w:pStyle w:val="TableText0"/>
              <w:keepNext w:val="0"/>
              <w:widowControl w:val="0"/>
              <w:rPr>
                <w:b/>
              </w:rPr>
            </w:pPr>
            <w:r w:rsidRPr="00C05506">
              <w:rPr>
                <w:b/>
              </w:rPr>
              <w:t>Serious AEs</w:t>
            </w:r>
          </w:p>
        </w:tc>
        <w:tc>
          <w:tcPr>
            <w:tcW w:w="864" w:type="pct"/>
            <w:shd w:val="clear" w:color="auto" w:fill="D9D9D9"/>
          </w:tcPr>
          <w:p w14:paraId="6078FD65" w14:textId="77777777" w:rsidR="004F5AD7" w:rsidRPr="00080200" w:rsidRDefault="004F5AD7" w:rsidP="00212E10">
            <w:pPr>
              <w:pStyle w:val="TableText0"/>
              <w:keepNext w:val="0"/>
              <w:widowControl w:val="0"/>
            </w:pPr>
          </w:p>
        </w:tc>
        <w:tc>
          <w:tcPr>
            <w:tcW w:w="873" w:type="pct"/>
            <w:shd w:val="clear" w:color="auto" w:fill="D9D9D9"/>
          </w:tcPr>
          <w:p w14:paraId="1C9DFAE3" w14:textId="77777777" w:rsidR="004F5AD7" w:rsidRPr="00080200" w:rsidRDefault="004F5AD7" w:rsidP="00212E10">
            <w:pPr>
              <w:pStyle w:val="TableText0"/>
              <w:keepNext w:val="0"/>
              <w:widowControl w:val="0"/>
            </w:pPr>
          </w:p>
        </w:tc>
        <w:tc>
          <w:tcPr>
            <w:tcW w:w="939" w:type="pct"/>
            <w:shd w:val="clear" w:color="auto" w:fill="D9D9D9"/>
          </w:tcPr>
          <w:p w14:paraId="73AE9F38" w14:textId="77777777" w:rsidR="004F5AD7" w:rsidRPr="00080200" w:rsidRDefault="004F5AD7" w:rsidP="00212E10">
            <w:pPr>
              <w:pStyle w:val="TableText0"/>
              <w:keepNext w:val="0"/>
              <w:widowControl w:val="0"/>
            </w:pPr>
          </w:p>
        </w:tc>
        <w:tc>
          <w:tcPr>
            <w:tcW w:w="1067" w:type="pct"/>
            <w:shd w:val="clear" w:color="auto" w:fill="D9D9D9"/>
          </w:tcPr>
          <w:p w14:paraId="0D1F0F7F" w14:textId="77777777" w:rsidR="004F5AD7" w:rsidRPr="00080200" w:rsidRDefault="004F5AD7" w:rsidP="00212E10">
            <w:pPr>
              <w:pStyle w:val="TableText0"/>
              <w:keepNext w:val="0"/>
              <w:widowControl w:val="0"/>
            </w:pPr>
          </w:p>
        </w:tc>
      </w:tr>
      <w:tr w:rsidR="004F5AD7" w:rsidRPr="00080200" w14:paraId="3465C7CA" w14:textId="77777777" w:rsidTr="00212E10">
        <w:tc>
          <w:tcPr>
            <w:tcW w:w="705" w:type="pct"/>
          </w:tcPr>
          <w:p w14:paraId="1AABEEA3" w14:textId="77777777" w:rsidR="004F5AD7" w:rsidRPr="00080200" w:rsidRDefault="004F5AD7" w:rsidP="00212E10">
            <w:pPr>
              <w:pStyle w:val="TableText0"/>
              <w:keepNext w:val="0"/>
              <w:widowControl w:val="0"/>
            </w:pPr>
            <w:r w:rsidRPr="00080200">
              <w:t>RISA vs PBO</w:t>
            </w:r>
          </w:p>
        </w:tc>
        <w:tc>
          <w:tcPr>
            <w:tcW w:w="552" w:type="pct"/>
          </w:tcPr>
          <w:p w14:paraId="50EEA42D" w14:textId="77777777" w:rsidR="004F5AD7" w:rsidRPr="00080200" w:rsidRDefault="004F5AD7" w:rsidP="00212E10">
            <w:pPr>
              <w:pStyle w:val="TableText0"/>
              <w:keepNext w:val="0"/>
              <w:widowControl w:val="0"/>
              <w:jc w:val="center"/>
            </w:pPr>
            <w:r w:rsidRPr="00080200">
              <w:t>FORTIFY</w:t>
            </w:r>
          </w:p>
        </w:tc>
        <w:tc>
          <w:tcPr>
            <w:tcW w:w="864" w:type="pct"/>
          </w:tcPr>
          <w:p w14:paraId="6E1D3EB1" w14:textId="77777777" w:rsidR="004F5AD7" w:rsidRPr="00080200" w:rsidRDefault="004F5AD7" w:rsidP="00212E10">
            <w:pPr>
              <w:pStyle w:val="TableText0"/>
              <w:keepNext w:val="0"/>
              <w:widowControl w:val="0"/>
              <w:jc w:val="center"/>
            </w:pPr>
            <w:r w:rsidRPr="00080200">
              <w:t>19/159 (11.9)</w:t>
            </w:r>
          </w:p>
        </w:tc>
        <w:tc>
          <w:tcPr>
            <w:tcW w:w="873" w:type="pct"/>
          </w:tcPr>
          <w:p w14:paraId="72FAFF2A" w14:textId="77777777" w:rsidR="004F5AD7" w:rsidRPr="00080200" w:rsidRDefault="004F5AD7" w:rsidP="00212E10">
            <w:pPr>
              <w:pStyle w:val="TableText0"/>
              <w:keepNext w:val="0"/>
              <w:widowControl w:val="0"/>
              <w:jc w:val="center"/>
            </w:pPr>
            <w:r w:rsidRPr="00080200">
              <w:t>20/166 (12.0)</w:t>
            </w:r>
          </w:p>
        </w:tc>
        <w:tc>
          <w:tcPr>
            <w:tcW w:w="939" w:type="pct"/>
          </w:tcPr>
          <w:p w14:paraId="221BD9A2" w14:textId="77777777" w:rsidR="004F5AD7" w:rsidRPr="00080200" w:rsidRDefault="004F5AD7" w:rsidP="00212E10">
            <w:pPr>
              <w:pStyle w:val="TableText0"/>
              <w:keepNext w:val="0"/>
              <w:widowControl w:val="0"/>
              <w:jc w:val="center"/>
            </w:pPr>
            <w:r w:rsidRPr="00080200">
              <w:t>0.99 [0.51, 1.93]</w:t>
            </w:r>
          </w:p>
        </w:tc>
        <w:tc>
          <w:tcPr>
            <w:tcW w:w="1067" w:type="pct"/>
          </w:tcPr>
          <w:p w14:paraId="2178DA92" w14:textId="77777777" w:rsidR="004F5AD7" w:rsidRPr="00080200" w:rsidRDefault="004F5AD7" w:rsidP="00212E10">
            <w:pPr>
              <w:pStyle w:val="TableText0"/>
              <w:keepNext w:val="0"/>
              <w:widowControl w:val="0"/>
              <w:jc w:val="center"/>
            </w:pPr>
            <w:r w:rsidRPr="00080200">
              <w:t>-0.00 [-0.07, 0.07]</w:t>
            </w:r>
          </w:p>
        </w:tc>
      </w:tr>
      <w:tr w:rsidR="004F5AD7" w:rsidRPr="00080200" w14:paraId="7096ADED" w14:textId="77777777" w:rsidTr="00212E10">
        <w:tc>
          <w:tcPr>
            <w:tcW w:w="705" w:type="pct"/>
          </w:tcPr>
          <w:p w14:paraId="3FAE656D" w14:textId="77777777" w:rsidR="004F5AD7" w:rsidRPr="00080200" w:rsidRDefault="004F5AD7" w:rsidP="00212E10">
            <w:pPr>
              <w:pStyle w:val="TableText0"/>
              <w:keepNext w:val="0"/>
              <w:widowControl w:val="0"/>
            </w:pPr>
            <w:r w:rsidRPr="00080200">
              <w:t>USTE vs PBO</w:t>
            </w:r>
          </w:p>
        </w:tc>
        <w:tc>
          <w:tcPr>
            <w:tcW w:w="552" w:type="pct"/>
          </w:tcPr>
          <w:p w14:paraId="2075E6A8" w14:textId="77777777" w:rsidR="004F5AD7" w:rsidRPr="00080200" w:rsidRDefault="004F5AD7" w:rsidP="00212E10">
            <w:pPr>
              <w:pStyle w:val="TableText0"/>
              <w:keepNext w:val="0"/>
              <w:widowControl w:val="0"/>
              <w:jc w:val="center"/>
            </w:pPr>
            <w:r w:rsidRPr="00080200">
              <w:t>IM UNITI</w:t>
            </w:r>
          </w:p>
        </w:tc>
        <w:tc>
          <w:tcPr>
            <w:tcW w:w="864" w:type="pct"/>
          </w:tcPr>
          <w:p w14:paraId="661E8FA0" w14:textId="77777777" w:rsidR="004F5AD7" w:rsidRPr="00080200" w:rsidRDefault="004F5AD7" w:rsidP="00212E10">
            <w:pPr>
              <w:pStyle w:val="TableText0"/>
              <w:keepNext w:val="0"/>
              <w:widowControl w:val="0"/>
              <w:jc w:val="center"/>
            </w:pPr>
            <w:r w:rsidRPr="00080200">
              <w:t>13/131 (9.9)</w:t>
            </w:r>
          </w:p>
        </w:tc>
        <w:tc>
          <w:tcPr>
            <w:tcW w:w="873" w:type="pct"/>
          </w:tcPr>
          <w:p w14:paraId="3D78C9BD" w14:textId="77777777" w:rsidR="004F5AD7" w:rsidRPr="00080200" w:rsidRDefault="004F5AD7" w:rsidP="00212E10">
            <w:pPr>
              <w:pStyle w:val="TableText0"/>
              <w:keepNext w:val="0"/>
              <w:widowControl w:val="0"/>
              <w:jc w:val="center"/>
            </w:pPr>
            <w:r w:rsidRPr="00080200">
              <w:t>20/133 (15.0)</w:t>
            </w:r>
          </w:p>
        </w:tc>
        <w:tc>
          <w:tcPr>
            <w:tcW w:w="939" w:type="pct"/>
          </w:tcPr>
          <w:p w14:paraId="5DE01E9E" w14:textId="77777777" w:rsidR="004F5AD7" w:rsidRPr="00080200" w:rsidRDefault="004F5AD7" w:rsidP="00212E10">
            <w:pPr>
              <w:pStyle w:val="TableText0"/>
              <w:keepNext w:val="0"/>
              <w:widowControl w:val="0"/>
              <w:jc w:val="center"/>
            </w:pPr>
            <w:r w:rsidRPr="00080200">
              <w:t>0.62 [0.30, 1.31]</w:t>
            </w:r>
          </w:p>
        </w:tc>
        <w:tc>
          <w:tcPr>
            <w:tcW w:w="1067" w:type="pct"/>
          </w:tcPr>
          <w:p w14:paraId="7A036DC2" w14:textId="77777777" w:rsidR="004F5AD7" w:rsidRPr="00080200" w:rsidRDefault="004F5AD7" w:rsidP="00212E10">
            <w:pPr>
              <w:pStyle w:val="TableText0"/>
              <w:keepNext w:val="0"/>
              <w:widowControl w:val="0"/>
              <w:jc w:val="center"/>
            </w:pPr>
            <w:r w:rsidRPr="00080200">
              <w:t>-0.05 [-0.13, 0.03]</w:t>
            </w:r>
          </w:p>
        </w:tc>
      </w:tr>
      <w:tr w:rsidR="004F5AD7" w:rsidRPr="00080200" w14:paraId="599DFB2C" w14:textId="77777777" w:rsidTr="00212E10">
        <w:tc>
          <w:tcPr>
            <w:tcW w:w="705" w:type="pct"/>
          </w:tcPr>
          <w:p w14:paraId="5F9B4014" w14:textId="77777777" w:rsidR="004F5AD7" w:rsidRPr="00080200" w:rsidRDefault="004F5AD7" w:rsidP="00212E10">
            <w:pPr>
              <w:pStyle w:val="TableText0"/>
              <w:keepNext w:val="0"/>
              <w:widowControl w:val="0"/>
            </w:pPr>
            <w:r w:rsidRPr="00080200">
              <w:t>ITC result</w:t>
            </w:r>
          </w:p>
        </w:tc>
        <w:tc>
          <w:tcPr>
            <w:tcW w:w="552" w:type="pct"/>
          </w:tcPr>
          <w:p w14:paraId="61F61728" w14:textId="77777777" w:rsidR="004F5AD7" w:rsidRPr="00080200" w:rsidRDefault="004F5AD7" w:rsidP="00212E10">
            <w:pPr>
              <w:pStyle w:val="TableText0"/>
              <w:keepNext w:val="0"/>
              <w:widowControl w:val="0"/>
              <w:jc w:val="center"/>
            </w:pPr>
            <w:r w:rsidRPr="00080200">
              <w:t>–</w:t>
            </w:r>
          </w:p>
        </w:tc>
        <w:tc>
          <w:tcPr>
            <w:tcW w:w="864" w:type="pct"/>
          </w:tcPr>
          <w:p w14:paraId="38E335D8" w14:textId="77777777" w:rsidR="004F5AD7" w:rsidRPr="00080200" w:rsidRDefault="004F5AD7" w:rsidP="00212E10">
            <w:pPr>
              <w:pStyle w:val="TableText0"/>
              <w:keepNext w:val="0"/>
              <w:widowControl w:val="0"/>
              <w:jc w:val="center"/>
            </w:pPr>
            <w:r w:rsidRPr="00080200">
              <w:t>–</w:t>
            </w:r>
          </w:p>
        </w:tc>
        <w:tc>
          <w:tcPr>
            <w:tcW w:w="873" w:type="pct"/>
          </w:tcPr>
          <w:p w14:paraId="7F9570EA" w14:textId="77777777" w:rsidR="004F5AD7" w:rsidRPr="00080200" w:rsidRDefault="004F5AD7" w:rsidP="00212E10">
            <w:pPr>
              <w:pStyle w:val="TableText0"/>
              <w:keepNext w:val="0"/>
              <w:widowControl w:val="0"/>
              <w:jc w:val="center"/>
            </w:pPr>
            <w:r w:rsidRPr="00080200">
              <w:t>–</w:t>
            </w:r>
          </w:p>
        </w:tc>
        <w:tc>
          <w:tcPr>
            <w:tcW w:w="939" w:type="pct"/>
          </w:tcPr>
          <w:p w14:paraId="2319ABDC" w14:textId="77777777" w:rsidR="004F5AD7" w:rsidRPr="00080200" w:rsidRDefault="004F5AD7" w:rsidP="00212E10">
            <w:pPr>
              <w:pStyle w:val="TableText0"/>
              <w:keepNext w:val="0"/>
              <w:widowControl w:val="0"/>
              <w:jc w:val="center"/>
            </w:pPr>
            <w:r w:rsidRPr="00080200">
              <w:t>1.597 [0.592, 4.31] (p = 0.3556)</w:t>
            </w:r>
          </w:p>
        </w:tc>
        <w:tc>
          <w:tcPr>
            <w:tcW w:w="1067" w:type="pct"/>
          </w:tcPr>
          <w:p w14:paraId="2AE2CB4C" w14:textId="77777777" w:rsidR="004F5AD7" w:rsidRPr="00080200" w:rsidRDefault="004F5AD7" w:rsidP="00212E10">
            <w:pPr>
              <w:pStyle w:val="TableText0"/>
              <w:keepNext w:val="0"/>
              <w:widowControl w:val="0"/>
              <w:jc w:val="center"/>
            </w:pPr>
            <w:r w:rsidRPr="00080200">
              <w:t>0.05 [-0.056, 0.156] (p = 0.3566)</w:t>
            </w:r>
          </w:p>
        </w:tc>
      </w:tr>
      <w:tr w:rsidR="004F5AD7" w:rsidRPr="00080200" w14:paraId="68BC5CEC" w14:textId="77777777" w:rsidTr="00212E10">
        <w:tc>
          <w:tcPr>
            <w:tcW w:w="1258" w:type="pct"/>
            <w:gridSpan w:val="2"/>
            <w:shd w:val="clear" w:color="auto" w:fill="D9D9D9"/>
          </w:tcPr>
          <w:p w14:paraId="1CB9BBA6" w14:textId="77777777" w:rsidR="004F5AD7" w:rsidRPr="00C05506" w:rsidRDefault="004F5AD7" w:rsidP="00212E10">
            <w:pPr>
              <w:pStyle w:val="TableText0"/>
              <w:keepNext w:val="0"/>
              <w:widowControl w:val="0"/>
              <w:rPr>
                <w:b/>
              </w:rPr>
            </w:pPr>
            <w:r w:rsidRPr="00C05506">
              <w:rPr>
                <w:b/>
              </w:rPr>
              <w:t>Serious infections</w:t>
            </w:r>
          </w:p>
        </w:tc>
        <w:tc>
          <w:tcPr>
            <w:tcW w:w="864" w:type="pct"/>
            <w:shd w:val="clear" w:color="auto" w:fill="D9D9D9"/>
          </w:tcPr>
          <w:p w14:paraId="1C60A207" w14:textId="77777777" w:rsidR="004F5AD7" w:rsidRPr="00080200" w:rsidRDefault="004F5AD7" w:rsidP="00212E10">
            <w:pPr>
              <w:pStyle w:val="TableText0"/>
              <w:keepNext w:val="0"/>
              <w:widowControl w:val="0"/>
            </w:pPr>
          </w:p>
        </w:tc>
        <w:tc>
          <w:tcPr>
            <w:tcW w:w="873" w:type="pct"/>
            <w:shd w:val="clear" w:color="auto" w:fill="D9D9D9"/>
          </w:tcPr>
          <w:p w14:paraId="4234AE66" w14:textId="77777777" w:rsidR="004F5AD7" w:rsidRPr="00080200" w:rsidRDefault="004F5AD7" w:rsidP="00212E10">
            <w:pPr>
              <w:pStyle w:val="TableText0"/>
              <w:keepNext w:val="0"/>
              <w:widowControl w:val="0"/>
            </w:pPr>
          </w:p>
        </w:tc>
        <w:tc>
          <w:tcPr>
            <w:tcW w:w="939" w:type="pct"/>
            <w:shd w:val="clear" w:color="auto" w:fill="D9D9D9"/>
          </w:tcPr>
          <w:p w14:paraId="7A13604F" w14:textId="77777777" w:rsidR="004F5AD7" w:rsidRPr="00080200" w:rsidRDefault="004F5AD7" w:rsidP="00212E10">
            <w:pPr>
              <w:pStyle w:val="TableText0"/>
              <w:keepNext w:val="0"/>
              <w:widowControl w:val="0"/>
            </w:pPr>
          </w:p>
        </w:tc>
        <w:tc>
          <w:tcPr>
            <w:tcW w:w="1067" w:type="pct"/>
            <w:shd w:val="clear" w:color="auto" w:fill="D9D9D9"/>
          </w:tcPr>
          <w:p w14:paraId="5462AE0F" w14:textId="77777777" w:rsidR="004F5AD7" w:rsidRPr="00080200" w:rsidRDefault="004F5AD7" w:rsidP="00212E10">
            <w:pPr>
              <w:pStyle w:val="TableText0"/>
              <w:keepNext w:val="0"/>
              <w:widowControl w:val="0"/>
            </w:pPr>
          </w:p>
        </w:tc>
      </w:tr>
      <w:tr w:rsidR="004F5AD7" w:rsidRPr="00080200" w14:paraId="69FF747B" w14:textId="77777777" w:rsidTr="00212E10">
        <w:tc>
          <w:tcPr>
            <w:tcW w:w="705" w:type="pct"/>
          </w:tcPr>
          <w:p w14:paraId="1D45C405" w14:textId="77777777" w:rsidR="004F5AD7" w:rsidRPr="00080200" w:rsidRDefault="004F5AD7" w:rsidP="00212E10">
            <w:pPr>
              <w:pStyle w:val="TableText0"/>
              <w:keepNext w:val="0"/>
              <w:widowControl w:val="0"/>
            </w:pPr>
            <w:r w:rsidRPr="00080200">
              <w:t>RISA vs PBO</w:t>
            </w:r>
          </w:p>
        </w:tc>
        <w:tc>
          <w:tcPr>
            <w:tcW w:w="552" w:type="pct"/>
          </w:tcPr>
          <w:p w14:paraId="187DB814" w14:textId="77777777" w:rsidR="004F5AD7" w:rsidRPr="00080200" w:rsidRDefault="004F5AD7" w:rsidP="00212E10">
            <w:pPr>
              <w:pStyle w:val="TableText0"/>
              <w:keepNext w:val="0"/>
              <w:widowControl w:val="0"/>
              <w:jc w:val="center"/>
            </w:pPr>
            <w:r w:rsidRPr="00080200">
              <w:t>FORTIFY</w:t>
            </w:r>
          </w:p>
        </w:tc>
        <w:tc>
          <w:tcPr>
            <w:tcW w:w="864" w:type="pct"/>
          </w:tcPr>
          <w:p w14:paraId="2A0B9CF3" w14:textId="77777777" w:rsidR="004F5AD7" w:rsidRPr="00080200" w:rsidRDefault="004F5AD7" w:rsidP="00212E10">
            <w:pPr>
              <w:pStyle w:val="TableText0"/>
              <w:keepNext w:val="0"/>
              <w:widowControl w:val="0"/>
              <w:jc w:val="center"/>
            </w:pPr>
            <w:r w:rsidRPr="00080200">
              <w:t>3/159 (1.9)</w:t>
            </w:r>
          </w:p>
        </w:tc>
        <w:tc>
          <w:tcPr>
            <w:tcW w:w="873" w:type="pct"/>
          </w:tcPr>
          <w:p w14:paraId="1A90ED46" w14:textId="77777777" w:rsidR="004F5AD7" w:rsidRPr="00080200" w:rsidRDefault="004F5AD7" w:rsidP="00212E10">
            <w:pPr>
              <w:pStyle w:val="TableText0"/>
              <w:keepNext w:val="0"/>
              <w:widowControl w:val="0"/>
              <w:jc w:val="center"/>
            </w:pPr>
            <w:r w:rsidRPr="00080200">
              <w:t>5/166 (3.0)</w:t>
            </w:r>
          </w:p>
        </w:tc>
        <w:tc>
          <w:tcPr>
            <w:tcW w:w="939" w:type="pct"/>
          </w:tcPr>
          <w:p w14:paraId="44EB457C" w14:textId="77777777" w:rsidR="004F5AD7" w:rsidRPr="00080200" w:rsidRDefault="004F5AD7" w:rsidP="00212E10">
            <w:pPr>
              <w:pStyle w:val="TableText0"/>
              <w:keepNext w:val="0"/>
              <w:widowControl w:val="0"/>
              <w:jc w:val="center"/>
            </w:pPr>
            <w:r w:rsidRPr="00080200">
              <w:t>0.62 [0.15, 2.64]</w:t>
            </w:r>
          </w:p>
        </w:tc>
        <w:tc>
          <w:tcPr>
            <w:tcW w:w="1067" w:type="pct"/>
          </w:tcPr>
          <w:p w14:paraId="10D58296" w14:textId="77777777" w:rsidR="004F5AD7" w:rsidRPr="00080200" w:rsidRDefault="004F5AD7" w:rsidP="00212E10">
            <w:pPr>
              <w:pStyle w:val="TableText0"/>
              <w:keepNext w:val="0"/>
              <w:widowControl w:val="0"/>
              <w:jc w:val="center"/>
            </w:pPr>
            <w:r w:rsidRPr="00080200">
              <w:t>-0.01 [-0.04, 0.02]</w:t>
            </w:r>
          </w:p>
        </w:tc>
      </w:tr>
      <w:tr w:rsidR="004F5AD7" w:rsidRPr="00080200" w14:paraId="0B851AEE" w14:textId="77777777" w:rsidTr="00212E10">
        <w:tc>
          <w:tcPr>
            <w:tcW w:w="705" w:type="pct"/>
          </w:tcPr>
          <w:p w14:paraId="0824712C" w14:textId="77777777" w:rsidR="004F5AD7" w:rsidRPr="00080200" w:rsidRDefault="004F5AD7" w:rsidP="00212E10">
            <w:pPr>
              <w:pStyle w:val="TableText0"/>
              <w:keepNext w:val="0"/>
              <w:widowControl w:val="0"/>
            </w:pPr>
            <w:r w:rsidRPr="00080200">
              <w:t>USTE vs PBO</w:t>
            </w:r>
          </w:p>
        </w:tc>
        <w:tc>
          <w:tcPr>
            <w:tcW w:w="552" w:type="pct"/>
          </w:tcPr>
          <w:p w14:paraId="79165A55" w14:textId="77777777" w:rsidR="004F5AD7" w:rsidRPr="00080200" w:rsidRDefault="004F5AD7" w:rsidP="00212E10">
            <w:pPr>
              <w:pStyle w:val="TableText0"/>
              <w:keepNext w:val="0"/>
              <w:widowControl w:val="0"/>
              <w:jc w:val="center"/>
            </w:pPr>
            <w:r w:rsidRPr="00080200">
              <w:t>IM UNITI</w:t>
            </w:r>
          </w:p>
        </w:tc>
        <w:tc>
          <w:tcPr>
            <w:tcW w:w="864" w:type="pct"/>
          </w:tcPr>
          <w:p w14:paraId="6994554E" w14:textId="77777777" w:rsidR="004F5AD7" w:rsidRPr="00080200" w:rsidRDefault="004F5AD7" w:rsidP="00212E10">
            <w:pPr>
              <w:pStyle w:val="TableText0"/>
              <w:keepNext w:val="0"/>
              <w:widowControl w:val="0"/>
              <w:jc w:val="center"/>
            </w:pPr>
            <w:r w:rsidRPr="00080200">
              <w:t>3/131 (2.3)</w:t>
            </w:r>
          </w:p>
        </w:tc>
        <w:tc>
          <w:tcPr>
            <w:tcW w:w="873" w:type="pct"/>
          </w:tcPr>
          <w:p w14:paraId="7A9976DC" w14:textId="77777777" w:rsidR="004F5AD7" w:rsidRPr="00080200" w:rsidRDefault="004F5AD7" w:rsidP="00212E10">
            <w:pPr>
              <w:pStyle w:val="TableText0"/>
              <w:keepNext w:val="0"/>
              <w:widowControl w:val="0"/>
              <w:jc w:val="center"/>
            </w:pPr>
            <w:r w:rsidRPr="00080200">
              <w:t>3/133 (2.3)</w:t>
            </w:r>
          </w:p>
        </w:tc>
        <w:tc>
          <w:tcPr>
            <w:tcW w:w="939" w:type="pct"/>
          </w:tcPr>
          <w:p w14:paraId="6C71DAD8" w14:textId="77777777" w:rsidR="004F5AD7" w:rsidRPr="00080200" w:rsidRDefault="004F5AD7" w:rsidP="00212E10">
            <w:pPr>
              <w:pStyle w:val="TableText0"/>
              <w:keepNext w:val="0"/>
              <w:widowControl w:val="0"/>
              <w:jc w:val="center"/>
            </w:pPr>
            <w:r w:rsidRPr="00080200">
              <w:t>1.02 [0.20, 5.13]</w:t>
            </w:r>
          </w:p>
        </w:tc>
        <w:tc>
          <w:tcPr>
            <w:tcW w:w="1067" w:type="pct"/>
          </w:tcPr>
          <w:p w14:paraId="66E5734C" w14:textId="77777777" w:rsidR="004F5AD7" w:rsidRPr="00080200" w:rsidRDefault="004F5AD7" w:rsidP="00212E10">
            <w:pPr>
              <w:pStyle w:val="TableText0"/>
              <w:keepNext w:val="0"/>
              <w:widowControl w:val="0"/>
              <w:jc w:val="center"/>
            </w:pPr>
            <w:r w:rsidRPr="00080200">
              <w:t>0.00 [-0.04, 0.04]</w:t>
            </w:r>
          </w:p>
        </w:tc>
      </w:tr>
      <w:tr w:rsidR="004F5AD7" w:rsidRPr="00080200" w14:paraId="7317ACC5" w14:textId="77777777" w:rsidTr="00212E10">
        <w:tc>
          <w:tcPr>
            <w:tcW w:w="705" w:type="pct"/>
          </w:tcPr>
          <w:p w14:paraId="0C66DAA8" w14:textId="77777777" w:rsidR="004F5AD7" w:rsidRPr="00080200" w:rsidRDefault="004F5AD7" w:rsidP="00212E10">
            <w:pPr>
              <w:pStyle w:val="TableText0"/>
              <w:keepNext w:val="0"/>
              <w:widowControl w:val="0"/>
            </w:pPr>
            <w:r w:rsidRPr="00080200">
              <w:t>ITC result</w:t>
            </w:r>
          </w:p>
        </w:tc>
        <w:tc>
          <w:tcPr>
            <w:tcW w:w="552" w:type="pct"/>
          </w:tcPr>
          <w:p w14:paraId="60DF095D" w14:textId="77777777" w:rsidR="004F5AD7" w:rsidRPr="00080200" w:rsidRDefault="004F5AD7" w:rsidP="00212E10">
            <w:pPr>
              <w:pStyle w:val="TableText0"/>
              <w:keepNext w:val="0"/>
              <w:widowControl w:val="0"/>
              <w:jc w:val="center"/>
            </w:pPr>
            <w:r w:rsidRPr="00080200">
              <w:t>–</w:t>
            </w:r>
          </w:p>
        </w:tc>
        <w:tc>
          <w:tcPr>
            <w:tcW w:w="864" w:type="pct"/>
          </w:tcPr>
          <w:p w14:paraId="677726AD" w14:textId="77777777" w:rsidR="004F5AD7" w:rsidRPr="00080200" w:rsidRDefault="004F5AD7" w:rsidP="00212E10">
            <w:pPr>
              <w:pStyle w:val="TableText0"/>
              <w:keepNext w:val="0"/>
              <w:widowControl w:val="0"/>
              <w:jc w:val="center"/>
            </w:pPr>
            <w:r w:rsidRPr="00080200">
              <w:t>–</w:t>
            </w:r>
          </w:p>
        </w:tc>
        <w:tc>
          <w:tcPr>
            <w:tcW w:w="873" w:type="pct"/>
          </w:tcPr>
          <w:p w14:paraId="61139848" w14:textId="77777777" w:rsidR="004F5AD7" w:rsidRPr="00080200" w:rsidRDefault="004F5AD7" w:rsidP="00212E10">
            <w:pPr>
              <w:pStyle w:val="TableText0"/>
              <w:keepNext w:val="0"/>
              <w:widowControl w:val="0"/>
              <w:jc w:val="center"/>
            </w:pPr>
            <w:r w:rsidRPr="00080200">
              <w:t>–</w:t>
            </w:r>
          </w:p>
        </w:tc>
        <w:tc>
          <w:tcPr>
            <w:tcW w:w="939" w:type="pct"/>
          </w:tcPr>
          <w:p w14:paraId="47C5EF67" w14:textId="77777777" w:rsidR="004F5AD7" w:rsidRPr="00080200" w:rsidRDefault="004F5AD7" w:rsidP="00212E10">
            <w:pPr>
              <w:pStyle w:val="TableText0"/>
              <w:keepNext w:val="0"/>
              <w:widowControl w:val="0"/>
              <w:jc w:val="center"/>
            </w:pPr>
            <w:r w:rsidRPr="00080200">
              <w:t>0.608 [0.07, 5.298] (p = 0.6522)</w:t>
            </w:r>
          </w:p>
        </w:tc>
        <w:tc>
          <w:tcPr>
            <w:tcW w:w="1067" w:type="pct"/>
          </w:tcPr>
          <w:p w14:paraId="0F7E15D1" w14:textId="77777777" w:rsidR="004F5AD7" w:rsidRPr="00080200" w:rsidRDefault="004F5AD7" w:rsidP="00212E10">
            <w:pPr>
              <w:pStyle w:val="TableText0"/>
              <w:keepNext w:val="0"/>
              <w:widowControl w:val="0"/>
              <w:jc w:val="center"/>
            </w:pPr>
            <w:r w:rsidRPr="00080200">
              <w:t>-0.01 [-0.06, 0.04] (p = 0.6951)</w:t>
            </w:r>
          </w:p>
        </w:tc>
      </w:tr>
    </w:tbl>
    <w:p w14:paraId="6E4BE418" w14:textId="77777777" w:rsidR="004F5AD7" w:rsidRPr="00F54E9A" w:rsidRDefault="004F5AD7" w:rsidP="004F5AD7">
      <w:pPr>
        <w:pStyle w:val="TableFigureFooter"/>
      </w:pPr>
      <w:r>
        <w:t>Source: Table 2.42, p 122 of the submission</w:t>
      </w:r>
    </w:p>
    <w:p w14:paraId="707A6786" w14:textId="77777777" w:rsidR="004F5AD7" w:rsidRDefault="004F5AD7" w:rsidP="004F5AD7">
      <w:pPr>
        <w:pStyle w:val="TableFigureFooter"/>
      </w:pPr>
      <w:r w:rsidRPr="00080200">
        <w:t>Abbreviations: –, not required; CI, confidence interval; n, number of participants with event; N, total number of participants in group; OR, odds ratio; RD, risk difference</w:t>
      </w:r>
      <w:r>
        <w:t xml:space="preserve">; RISA, risankizumab; PBO, placebo; UST, ustekinumab; ITC, indirect treatment comparison. </w:t>
      </w:r>
      <w:r w:rsidRPr="00760F9E">
        <w:rPr>
          <w:rFonts w:eastAsia="Calibri"/>
          <w:b/>
        </w:rPr>
        <w:t>Bold</w:t>
      </w:r>
      <w:r>
        <w:rPr>
          <w:rFonts w:eastAsia="Calibri"/>
        </w:rPr>
        <w:t xml:space="preserve"> indicates statistically significant results.</w:t>
      </w:r>
    </w:p>
    <w:p w14:paraId="7DB642A2" w14:textId="26B2793F" w:rsidR="004F5AD7" w:rsidRDefault="004F5AD7" w:rsidP="004F5AD7">
      <w:pPr>
        <w:pStyle w:val="TableFigureFooter"/>
      </w:pPr>
      <w:r w:rsidRPr="00080200">
        <w:rPr>
          <w:vertAlign w:val="superscript"/>
        </w:rPr>
        <w:t>a</w:t>
      </w:r>
      <w:r w:rsidRPr="00080200">
        <w:t xml:space="preserve">&lt;1 favours RISA in ITC; </w:t>
      </w:r>
      <w:r w:rsidRPr="00080200">
        <w:rPr>
          <w:vertAlign w:val="superscript"/>
        </w:rPr>
        <w:t>b</w:t>
      </w:r>
      <w:r w:rsidRPr="00080200">
        <w:t>&lt;0 favours RISA in ITC</w:t>
      </w:r>
    </w:p>
    <w:p w14:paraId="718CEB48" w14:textId="32B743F6" w:rsidR="00A312CA" w:rsidRDefault="00A312CA" w:rsidP="00465970">
      <w:pPr>
        <w:pStyle w:val="3-BodyText"/>
        <w:ind w:left="709"/>
      </w:pPr>
      <w:r w:rsidRPr="00A312CA">
        <w:t>The safety outcomes observed at week 12 in clinical trials of risankizumab versus placebo showed a statistically significant</w:t>
      </w:r>
      <w:r w:rsidR="00D37EC5">
        <w:t>ly</w:t>
      </w:r>
      <w:r w:rsidRPr="00A312CA">
        <w:t xml:space="preserve"> higher proportion of patients in the placebo arm experiencing higher serious AEs, serious infections, severe AE and having AEs leading to discontinuation compared to the risankizumab arm (p105-106 of the submission). </w:t>
      </w:r>
      <w:r w:rsidRPr="00C46A74">
        <w:t>The</w:t>
      </w:r>
      <w:r w:rsidR="00424E1A">
        <w:t xml:space="preserve"> PBAC considered the</w:t>
      </w:r>
      <w:r w:rsidRPr="00C46A74">
        <w:t xml:space="preserve"> higher rates of adverse events in the placebo treatment group may be attributable to the worsening of the underlying condition in placebo-treated subjects rather than due to the study drug exposure (p77, Risankizumab TGA Clinical Evaluation Report, March 2022).</w:t>
      </w:r>
    </w:p>
    <w:p w14:paraId="0200A42B" w14:textId="2BBA1BEB" w:rsidR="009F6FD6" w:rsidRDefault="009F6FD6" w:rsidP="00465970">
      <w:pPr>
        <w:pStyle w:val="3-BodyText"/>
        <w:ind w:left="709"/>
      </w:pPr>
      <w:bookmarkStart w:id="30" w:name="_Ref106204230"/>
      <w:r w:rsidRPr="00A312CA">
        <w:t>Longer term safety data from the FORTIFY trial at week 64 did not show any statistically significant differences between the risankizumab and placebo arms.</w:t>
      </w:r>
      <w:bookmarkEnd w:id="30"/>
      <w:r w:rsidR="00424E1A">
        <w:t xml:space="preserve"> </w:t>
      </w:r>
    </w:p>
    <w:p w14:paraId="588D4F38" w14:textId="77777777" w:rsidR="009F6FD6" w:rsidRDefault="009F6FD6" w:rsidP="00465970">
      <w:pPr>
        <w:pStyle w:val="3-BodyText"/>
        <w:ind w:left="709"/>
      </w:pPr>
      <w:r w:rsidRPr="00A312CA">
        <w:t>None of the safety outcomes observed in the clinical trials of ustekinumab versus placebo at week 8 and week 52 were statistically significant.</w:t>
      </w:r>
    </w:p>
    <w:p w14:paraId="60C44B4D" w14:textId="6866B793" w:rsidR="005E6CDE" w:rsidRPr="006B4FC9" w:rsidRDefault="009F6FD6" w:rsidP="00465970">
      <w:pPr>
        <w:pStyle w:val="3-BodyText"/>
        <w:ind w:left="709"/>
      </w:pPr>
      <w:r>
        <w:t xml:space="preserve">The results from the indirect comparison of safety outcomes between risankizumab and ustekinumab </w:t>
      </w:r>
      <w:r w:rsidR="007B184A">
        <w:t xml:space="preserve">showed patients </w:t>
      </w:r>
      <w:r w:rsidR="007B184A" w:rsidRPr="007B184A">
        <w:t>treated with risankizumab had significantly lower rates of serious AEs and serious infections versus ustekinumab for induction (when tested using the RD statistic).</w:t>
      </w:r>
      <w:r w:rsidR="007B184A">
        <w:t xml:space="preserve"> </w:t>
      </w:r>
      <w:r w:rsidR="005E6CDE" w:rsidRPr="00C46A74">
        <w:t xml:space="preserve">In both cases these differences were driven by an increase in AEs in the placebo group rather than a decrease in AEs within the risankizumab group. The reason for the higher AE rate in the placebo group </w:t>
      </w:r>
      <w:r w:rsidR="00F372E2" w:rsidRPr="00C46A74">
        <w:t>may be due to disease worsening</w:t>
      </w:r>
      <w:r w:rsidR="005E6CDE" w:rsidRPr="00C46A74">
        <w:t xml:space="preserve">. These results should be interpreted with caution due to transitivity issues. </w:t>
      </w:r>
    </w:p>
    <w:p w14:paraId="6FB3B5D3" w14:textId="77777777" w:rsidR="006B4FC9" w:rsidRPr="00C46A74" w:rsidRDefault="006B4FC9" w:rsidP="00465970">
      <w:pPr>
        <w:pStyle w:val="3-BodyText"/>
        <w:ind w:left="709"/>
      </w:pPr>
      <w:r w:rsidRPr="00C46A74">
        <w:t xml:space="preserve">The proportion of patients who discontinued was consistent across all risankizumab and ustekinumab trials. </w:t>
      </w:r>
    </w:p>
    <w:p w14:paraId="23A665A4" w14:textId="3C0FB962" w:rsidR="00307A3C" w:rsidRDefault="00367444" w:rsidP="00465970">
      <w:pPr>
        <w:pStyle w:val="3-BodyText"/>
        <w:ind w:left="709"/>
      </w:pPr>
      <w:r w:rsidRPr="00367444">
        <w:lastRenderedPageBreak/>
        <w:t xml:space="preserve">The submission provided an extended assessment of harms which included data from long-term open-label extension (OLE) sub-studies from the main risankizumab trials. Across these studies, a total of 1,574 patients received at least 1 dose of risankizumab, representing a total of 2,059.2 patient-years (PY) of risankizumab exposure. </w:t>
      </w:r>
    </w:p>
    <w:p w14:paraId="60B1907E" w14:textId="206A6D8B" w:rsidR="00367444" w:rsidRDefault="00367444" w:rsidP="00465970">
      <w:pPr>
        <w:pStyle w:val="3-BodyText"/>
        <w:ind w:left="709"/>
      </w:pPr>
      <w:r w:rsidRPr="00367444">
        <w:t>In the integrated analysis of subjects receiving any SC risankizumab, the rate of AEs was 272.0 events per 100 PY (E/100 PY), the rate of serious AEs was 18.1 E/100 PY, and the rate of AEs leading to discontinuation of study drug was 3.7 E/100 PY, which were similar to the corresponding rates observed in the placebo-controlled 52-week maintenance period safety analysis set.</w:t>
      </w:r>
      <w:r>
        <w:t xml:space="preserve"> </w:t>
      </w:r>
      <w:r w:rsidRPr="00C46A74">
        <w:t>The submission referenced the Summary of Clinical Safety, Section 2.7.4.1.2, p. 46 as the data source for information to demonstrate the long-term safety of risankizumab. This document could not be located during the evaluation and the data provided could not be verified.</w:t>
      </w:r>
    </w:p>
    <w:p w14:paraId="7A37FA2E" w14:textId="114C40E3" w:rsidR="006F33F3" w:rsidRPr="006F33F3" w:rsidRDefault="00A312CA" w:rsidP="00465970">
      <w:pPr>
        <w:pStyle w:val="3-BodyText"/>
        <w:ind w:left="709"/>
      </w:pPr>
      <w:r w:rsidRPr="00A312CA">
        <w:t xml:space="preserve">The submission did not present safety data on the sub-population of FCD. The submission </w:t>
      </w:r>
      <w:r w:rsidR="0055660A">
        <w:t>claimed</w:t>
      </w:r>
      <w:r w:rsidRPr="00A312CA">
        <w:t xml:space="preserve"> that for FCD, the low patient numbers as a result of deriving evidence from a subset of patients with fistulae at baseline from risankizumab, adalimumab and infliximab trials would make FCD-specific safety analysis uninformative (p98 of the submission). The submission also stated that PBAC has previously found that ustekinumab is non-inferior to adalimumab in terms of safety (ustekinumab PSD, March 2017) and that adalimumab is non-inferior to infliximab in terms of safety (adalimumab PSD, November 2010), therefore, a comparison with ustekinumab on an ITT basis is a reasonable proxy for determining safety versus other biologics in fistulising Crohn’s disease. </w:t>
      </w:r>
      <w:r w:rsidR="00BC764A" w:rsidRPr="008A4B69">
        <w:rPr>
          <w:iCs/>
        </w:rPr>
        <w:t>The ESC considered</w:t>
      </w:r>
      <w:r w:rsidR="004D4E5E" w:rsidRPr="008A4B69">
        <w:rPr>
          <w:iCs/>
        </w:rPr>
        <w:t xml:space="preserve"> this approach was inappropriate and agreed safety data specific to FCD should be presented, however noted that given the size of the FCD subgroups in the risankizumab trials the data would be very limited.</w:t>
      </w:r>
      <w:r w:rsidR="00BC764A">
        <w:t xml:space="preserve"> </w:t>
      </w:r>
    </w:p>
    <w:p w14:paraId="7A1772B6" w14:textId="38C9CA31" w:rsidR="00B60939" w:rsidRPr="00C9624D" w:rsidRDefault="00B60939" w:rsidP="00E9094A">
      <w:pPr>
        <w:pStyle w:val="4-SubsectionHeading"/>
      </w:pPr>
      <w:bookmarkStart w:id="31" w:name="_Toc22897644"/>
      <w:bookmarkStart w:id="32" w:name="_Toc103776027"/>
      <w:r w:rsidRPr="00C9624D">
        <w:t>Clinical claim</w:t>
      </w:r>
      <w:bookmarkEnd w:id="31"/>
      <w:bookmarkEnd w:id="32"/>
    </w:p>
    <w:p w14:paraId="43F87623" w14:textId="77777777" w:rsidR="00BE3E56" w:rsidRPr="00442A27" w:rsidRDefault="00BE3E56" w:rsidP="00BE3E56">
      <w:pPr>
        <w:pStyle w:val="3-BodyText"/>
        <w:numPr>
          <w:ilvl w:val="0"/>
          <w:numId w:val="0"/>
        </w:numPr>
        <w:ind w:left="720" w:hanging="720"/>
        <w:rPr>
          <w:b/>
          <w:bCs/>
          <w:u w:val="single"/>
        </w:rPr>
      </w:pPr>
      <w:r w:rsidRPr="00442A27">
        <w:rPr>
          <w:b/>
          <w:bCs/>
          <w:u w:val="single"/>
        </w:rPr>
        <w:t>Severe CD</w:t>
      </w:r>
    </w:p>
    <w:p w14:paraId="42A97F4D" w14:textId="1D0C767F" w:rsidR="00BE3E56" w:rsidRPr="008A4B69" w:rsidRDefault="00BE3E56" w:rsidP="00465970">
      <w:pPr>
        <w:pStyle w:val="3-BodyText"/>
        <w:ind w:left="709"/>
        <w:rPr>
          <w:iCs/>
        </w:rPr>
      </w:pPr>
      <w:r>
        <w:t>The submission described risankizumab in severe CD as non-inferior in terms of effectiveness</w:t>
      </w:r>
      <w:r w:rsidR="009B717E">
        <w:t xml:space="preserve"> and safety</w:t>
      </w:r>
      <w:r>
        <w:t xml:space="preserve"> compared to ustekinumab. </w:t>
      </w:r>
      <w:r w:rsidR="00477CC7" w:rsidRPr="008A4B69">
        <w:rPr>
          <w:iCs/>
        </w:rPr>
        <w:t>The ESC considered that the</w:t>
      </w:r>
      <w:r w:rsidR="00477CC7" w:rsidRPr="00477CC7">
        <w:t xml:space="preserve"> </w:t>
      </w:r>
      <w:r w:rsidRPr="00477CC7">
        <w:t xml:space="preserve">claim was </w:t>
      </w:r>
      <w:r w:rsidR="00F46335" w:rsidRPr="008A4B69">
        <w:rPr>
          <w:iCs/>
        </w:rPr>
        <w:t xml:space="preserve">overall </w:t>
      </w:r>
      <w:r w:rsidRPr="008A4B69">
        <w:rPr>
          <w:iCs/>
        </w:rPr>
        <w:t>adequately supported because:</w:t>
      </w:r>
    </w:p>
    <w:p w14:paraId="67D2AB45" w14:textId="1DC6B3DE" w:rsidR="00BE3E56" w:rsidRPr="00C46A74" w:rsidRDefault="00BE3E56" w:rsidP="00873FBD">
      <w:pPr>
        <w:pStyle w:val="3-BodyText"/>
        <w:numPr>
          <w:ilvl w:val="0"/>
          <w:numId w:val="8"/>
        </w:numPr>
      </w:pPr>
      <w:r w:rsidRPr="00C46A74">
        <w:t>Risankizumab demonstrated statistically significant superiority over placebo in efficacy outcomes in the respective trials (for both induction and maintenance phases).</w:t>
      </w:r>
      <w:r w:rsidR="00A16E43" w:rsidRPr="008A4B69">
        <w:rPr>
          <w:rFonts w:cstheme="minorBidi"/>
        </w:rPr>
        <w:t xml:space="preserve"> </w:t>
      </w:r>
    </w:p>
    <w:p w14:paraId="1801778C" w14:textId="6AEF0112" w:rsidR="00BE3E56" w:rsidRPr="00C46A74" w:rsidRDefault="00BE3E56" w:rsidP="00873FBD">
      <w:pPr>
        <w:pStyle w:val="3-BodyText"/>
        <w:numPr>
          <w:ilvl w:val="0"/>
          <w:numId w:val="8"/>
        </w:numPr>
      </w:pPr>
      <w:r w:rsidRPr="00C46A74">
        <w:t>There was no statistically significant difference in the efficacy results between risankizumab and ustekinumab based on the indirect comparison presented.</w:t>
      </w:r>
      <w:r w:rsidR="00F63A78" w:rsidRPr="008A4B69">
        <w:rPr>
          <w:iCs/>
        </w:rPr>
        <w:t xml:space="preserve"> </w:t>
      </w:r>
    </w:p>
    <w:p w14:paraId="0B53E48B" w14:textId="6E08FCEF" w:rsidR="00BE3E56" w:rsidRPr="00C46A74" w:rsidRDefault="00BE3E56" w:rsidP="00873FBD">
      <w:pPr>
        <w:pStyle w:val="3-BodyText"/>
        <w:numPr>
          <w:ilvl w:val="0"/>
          <w:numId w:val="8"/>
        </w:numPr>
      </w:pPr>
      <w:r w:rsidRPr="00C46A74">
        <w:t>There was no statistically significant difference in the safety outcomes between risankizumab and ustekinumab based on the indirect comparison presented.</w:t>
      </w:r>
      <w:r w:rsidR="00F63A78">
        <w:t xml:space="preserve"> </w:t>
      </w:r>
    </w:p>
    <w:p w14:paraId="7F6AC54C" w14:textId="3BB71074" w:rsidR="007228AC" w:rsidRPr="00424E1A" w:rsidRDefault="00F960C2" w:rsidP="00465970">
      <w:pPr>
        <w:pStyle w:val="3-BodyText"/>
        <w:ind w:left="709"/>
      </w:pPr>
      <w:r w:rsidRPr="008A4B69">
        <w:rPr>
          <w:iCs/>
        </w:rPr>
        <w:t>With regards to the supplementary indirect comparisons versus adalimumab, infliximab and vedolizumab, the</w:t>
      </w:r>
      <w:r w:rsidR="00BE3E56" w:rsidRPr="00C46A74">
        <w:t xml:space="preserve"> </w:t>
      </w:r>
      <w:r w:rsidR="00477CC7" w:rsidRPr="008A4B69">
        <w:rPr>
          <w:iCs/>
        </w:rPr>
        <w:t>ESC noted</w:t>
      </w:r>
      <w:r w:rsidRPr="008A4B69">
        <w:rPr>
          <w:iCs/>
        </w:rPr>
        <w:t xml:space="preserve"> the submission did not make an explicit </w:t>
      </w:r>
      <w:r w:rsidRPr="008A4B69">
        <w:rPr>
          <w:iCs/>
        </w:rPr>
        <w:lastRenderedPageBreak/>
        <w:t>clinical claim versus these therapies and also considered</w:t>
      </w:r>
      <w:r w:rsidR="00477CC7" w:rsidRPr="008A4B69">
        <w:rPr>
          <w:iCs/>
        </w:rPr>
        <w:t xml:space="preserve"> </w:t>
      </w:r>
      <w:r w:rsidR="004D4E5E" w:rsidRPr="008A4B69">
        <w:rPr>
          <w:iCs/>
        </w:rPr>
        <w:t xml:space="preserve">there were </w:t>
      </w:r>
      <w:r w:rsidRPr="008A4B69">
        <w:rPr>
          <w:iCs/>
        </w:rPr>
        <w:t>uncertainties</w:t>
      </w:r>
      <w:r w:rsidR="004D4E5E" w:rsidRPr="008A4B69">
        <w:rPr>
          <w:iCs/>
        </w:rPr>
        <w:t xml:space="preserve"> with the results of the supplementary indirect comparisons with adalimumab, infliximab and vedolizumab</w:t>
      </w:r>
      <w:r w:rsidRPr="008A4B69">
        <w:rPr>
          <w:iCs/>
        </w:rPr>
        <w:t xml:space="preserve">, which are </w:t>
      </w:r>
      <w:r w:rsidR="004D4E5E" w:rsidRPr="008A4B69">
        <w:rPr>
          <w:iCs/>
        </w:rPr>
        <w:t xml:space="preserve">discussed in paragraphs </w:t>
      </w:r>
      <w:r w:rsidR="004D4E5E" w:rsidRPr="008A4B69">
        <w:rPr>
          <w:iCs/>
        </w:rPr>
        <w:fldChar w:fldCharType="begin" w:fldLock="1"/>
      </w:r>
      <w:r w:rsidR="004D4E5E" w:rsidRPr="008A4B69">
        <w:rPr>
          <w:iCs/>
        </w:rPr>
        <w:instrText xml:space="preserve"> REF _Ref106009133 \r \h </w:instrText>
      </w:r>
      <w:r w:rsidR="004D4E5E" w:rsidRPr="008A4B69">
        <w:rPr>
          <w:iCs/>
        </w:rPr>
      </w:r>
      <w:r w:rsidR="004D4E5E" w:rsidRPr="008A4B69">
        <w:rPr>
          <w:iCs/>
        </w:rPr>
        <w:fldChar w:fldCharType="separate"/>
      </w:r>
      <w:r w:rsidR="004D4E5E" w:rsidRPr="008A4B69">
        <w:rPr>
          <w:iCs/>
        </w:rPr>
        <w:t>6.29</w:t>
      </w:r>
      <w:r w:rsidR="004D4E5E" w:rsidRPr="008A4B69">
        <w:rPr>
          <w:iCs/>
        </w:rPr>
        <w:fldChar w:fldCharType="end"/>
      </w:r>
      <w:r w:rsidR="004D4E5E" w:rsidRPr="008A4B69">
        <w:rPr>
          <w:iCs/>
        </w:rPr>
        <w:t xml:space="preserve"> to </w:t>
      </w:r>
      <w:r w:rsidR="004D4E5E" w:rsidRPr="008A4B69">
        <w:rPr>
          <w:iCs/>
        </w:rPr>
        <w:fldChar w:fldCharType="begin" w:fldLock="1"/>
      </w:r>
      <w:r w:rsidR="004D4E5E" w:rsidRPr="008A4B69">
        <w:rPr>
          <w:iCs/>
        </w:rPr>
        <w:instrText xml:space="preserve"> REF _Ref106008517 \r \h </w:instrText>
      </w:r>
      <w:r w:rsidR="004D4E5E" w:rsidRPr="008A4B69">
        <w:rPr>
          <w:iCs/>
        </w:rPr>
      </w:r>
      <w:r w:rsidR="004D4E5E" w:rsidRPr="008A4B69">
        <w:rPr>
          <w:iCs/>
        </w:rPr>
        <w:fldChar w:fldCharType="separate"/>
      </w:r>
      <w:r w:rsidR="004D4E5E" w:rsidRPr="008A4B69">
        <w:rPr>
          <w:iCs/>
        </w:rPr>
        <w:t>6.32</w:t>
      </w:r>
      <w:r w:rsidR="004D4E5E" w:rsidRPr="008A4B69">
        <w:rPr>
          <w:iCs/>
        </w:rPr>
        <w:fldChar w:fldCharType="end"/>
      </w:r>
      <w:r w:rsidRPr="008A4B69">
        <w:rPr>
          <w:iCs/>
        </w:rPr>
        <w:t>.</w:t>
      </w:r>
    </w:p>
    <w:p w14:paraId="78FF150B" w14:textId="1B1E8918" w:rsidR="00424E1A" w:rsidRPr="00C46A74" w:rsidRDefault="00424E1A" w:rsidP="00465970">
      <w:pPr>
        <w:pStyle w:val="3-BodyText"/>
        <w:ind w:left="709"/>
      </w:pPr>
      <w:r>
        <w:rPr>
          <w:iCs/>
        </w:rPr>
        <w:t>The PBAC considered the claims of non-inferior comparative effectiveness and safety were reasonable.</w:t>
      </w:r>
    </w:p>
    <w:p w14:paraId="73AA72AD" w14:textId="77777777" w:rsidR="00BE3E56" w:rsidRPr="00442A27" w:rsidRDefault="00BE3E56" w:rsidP="00BE3E56">
      <w:pPr>
        <w:pStyle w:val="3-BodyText"/>
        <w:numPr>
          <w:ilvl w:val="0"/>
          <w:numId w:val="0"/>
        </w:numPr>
        <w:ind w:left="720" w:hanging="720"/>
        <w:rPr>
          <w:b/>
          <w:bCs/>
          <w:u w:val="single"/>
        </w:rPr>
      </w:pPr>
      <w:r w:rsidRPr="00442A27">
        <w:rPr>
          <w:b/>
          <w:bCs/>
          <w:u w:val="single"/>
        </w:rPr>
        <w:t>FCD</w:t>
      </w:r>
    </w:p>
    <w:p w14:paraId="4E75B096" w14:textId="6AB4B96C" w:rsidR="00EB6E03" w:rsidRPr="00EB6E03" w:rsidRDefault="00EB6E03" w:rsidP="00465970">
      <w:pPr>
        <w:pStyle w:val="3-BodyText"/>
        <w:ind w:left="709"/>
        <w:rPr>
          <w:rFonts w:eastAsia="Calibri"/>
        </w:rPr>
      </w:pPr>
      <w:r w:rsidRPr="00EB6E03">
        <w:rPr>
          <w:rFonts w:eastAsia="Calibri"/>
        </w:rPr>
        <w:t>The submission described risankizumab in FCD as non-inferior in terms of effectiveness compared to adalimumab and infliximab.</w:t>
      </w:r>
    </w:p>
    <w:p w14:paraId="26319877" w14:textId="21C2EFC9" w:rsidR="004D4E5E" w:rsidRPr="008A4B69" w:rsidRDefault="004D4E5E" w:rsidP="00465970">
      <w:pPr>
        <w:pStyle w:val="3-BodyText"/>
        <w:ind w:left="709"/>
        <w:rPr>
          <w:rFonts w:eastAsia="Calibri"/>
          <w:iCs/>
        </w:rPr>
      </w:pPr>
      <w:r w:rsidRPr="008A4B69">
        <w:rPr>
          <w:rFonts w:eastAsia="Calibri"/>
          <w:iCs/>
        </w:rPr>
        <w:t xml:space="preserve">The ESC considered, based on the limited evidence presented in FCD, that risankizumab had not adequately demonstrated superior comparative effectiveness over placebo </w:t>
      </w:r>
      <w:r w:rsidR="00577B33" w:rsidRPr="008A4B69">
        <w:rPr>
          <w:rFonts w:eastAsia="Calibri"/>
          <w:iCs/>
        </w:rPr>
        <w:t xml:space="preserve">(paragraph 6.35 to 6.39) </w:t>
      </w:r>
      <w:r w:rsidRPr="008A4B69">
        <w:rPr>
          <w:rFonts w:eastAsia="Calibri"/>
          <w:iCs/>
        </w:rPr>
        <w:t xml:space="preserve">and therefore the claim of non-inferior comparative effectiveness to adalimumab was not adequately supported.  </w:t>
      </w:r>
    </w:p>
    <w:p w14:paraId="7FD82713" w14:textId="6EF3DD19" w:rsidR="00793671" w:rsidRPr="00C46A74" w:rsidRDefault="00793671" w:rsidP="00465970">
      <w:pPr>
        <w:pStyle w:val="3-BodyText"/>
        <w:ind w:left="709"/>
      </w:pPr>
      <w:r w:rsidRPr="008A4B69">
        <w:rPr>
          <w:rFonts w:hint="eastAsia"/>
          <w:iCs/>
        </w:rPr>
        <w:t xml:space="preserve">The ESC noted the PBAC </w:t>
      </w:r>
      <w:r w:rsidRPr="008A4B69">
        <w:rPr>
          <w:iCs/>
        </w:rPr>
        <w:t>had previously considered</w:t>
      </w:r>
      <w:r w:rsidRPr="008A4B69">
        <w:rPr>
          <w:rFonts w:hint="eastAsia"/>
          <w:iCs/>
        </w:rPr>
        <w:t xml:space="preserve"> that ustekinumab was not significantly more effective in inducing fistula response (</w:t>
      </w:r>
      <w:r w:rsidRPr="008A4B69">
        <w:rPr>
          <w:rFonts w:hint="eastAsia"/>
          <w:iCs/>
        </w:rPr>
        <w:t>≥</w:t>
      </w:r>
      <w:r w:rsidRPr="008A4B69">
        <w:rPr>
          <w:rFonts w:hint="eastAsia"/>
          <w:iCs/>
        </w:rPr>
        <w:t>50% reduction in fistulas) compared with placebo in either induction (UNITI-1 and UNITI-2) or maintenance trials (IM-UNITI)</w:t>
      </w:r>
      <w:r w:rsidRPr="008A4B69">
        <w:rPr>
          <w:iCs/>
        </w:rPr>
        <w:t xml:space="preserve"> and the PBAC therefore concluded that non-inferiority of ustekinumab compared with adalimumab or infliximab was not supported in the submission (paragraph 7.10, ustekinumab PSD, March 2017 PBAC meeting).</w:t>
      </w:r>
      <w:r>
        <w:t xml:space="preserve"> </w:t>
      </w:r>
      <w:r w:rsidRPr="008A4B69">
        <w:rPr>
          <w:iCs/>
        </w:rPr>
        <w:t xml:space="preserve"> The ESC considered the outcomes of the comparison of ustekinumab appeared to be similar to the results of the risankizumab comparisons in the current submission.</w:t>
      </w:r>
    </w:p>
    <w:p w14:paraId="4F98528B" w14:textId="12253C40" w:rsidR="00E8396A" w:rsidRPr="001763AD" w:rsidRDefault="00E8396A" w:rsidP="00465970">
      <w:pPr>
        <w:pStyle w:val="3-BodyText"/>
        <w:ind w:left="709"/>
        <w:rPr>
          <w:rFonts w:eastAsia="Calibri"/>
        </w:rPr>
      </w:pPr>
      <w:r w:rsidRPr="005D6F6E">
        <w:rPr>
          <w:rFonts w:eastAsia="Calibri"/>
        </w:rPr>
        <w:t>The submission described</w:t>
      </w:r>
      <w:r>
        <w:rPr>
          <w:rFonts w:eastAsia="Calibri"/>
        </w:rPr>
        <w:t xml:space="preserve"> risankizumab as non-inferior in terms of safety compared to </w:t>
      </w:r>
      <w:r w:rsidR="00616684">
        <w:rPr>
          <w:rFonts w:eastAsia="Calibri"/>
        </w:rPr>
        <w:t>adalimumab and infliximab</w:t>
      </w:r>
      <w:r w:rsidR="00F46335">
        <w:rPr>
          <w:rFonts w:eastAsia="Calibri"/>
        </w:rPr>
        <w:t xml:space="preserve"> for FCD</w:t>
      </w:r>
      <w:r>
        <w:rPr>
          <w:rFonts w:eastAsia="Calibri"/>
        </w:rPr>
        <w:t xml:space="preserve">. </w:t>
      </w:r>
      <w:r w:rsidR="00E86E20" w:rsidRPr="008A4B69">
        <w:rPr>
          <w:rFonts w:eastAsia="Calibri"/>
          <w:iCs/>
        </w:rPr>
        <w:t>The ESC considered that this</w:t>
      </w:r>
      <w:r w:rsidR="00E86E20" w:rsidRPr="00477CC7">
        <w:rPr>
          <w:rFonts w:eastAsia="Calibri"/>
        </w:rPr>
        <w:t xml:space="preserve"> </w:t>
      </w:r>
      <w:r w:rsidRPr="008A4B69">
        <w:rPr>
          <w:rFonts w:eastAsia="Calibri"/>
          <w:iCs/>
        </w:rPr>
        <w:t>claim was not adequately supported</w:t>
      </w:r>
      <w:r w:rsidR="005379E3" w:rsidRPr="008A4B69">
        <w:rPr>
          <w:rFonts w:eastAsia="Calibri"/>
          <w:iCs/>
        </w:rPr>
        <w:t>.</w:t>
      </w:r>
      <w:r>
        <w:rPr>
          <w:rFonts w:eastAsia="Calibri"/>
        </w:rPr>
        <w:t xml:space="preserve"> </w:t>
      </w:r>
      <w:r w:rsidR="005379E3">
        <w:rPr>
          <w:rFonts w:eastAsia="Calibri"/>
        </w:rPr>
        <w:t>T</w:t>
      </w:r>
      <w:r>
        <w:rPr>
          <w:rFonts w:eastAsia="Calibri"/>
        </w:rPr>
        <w:t xml:space="preserve">he submission contended that a </w:t>
      </w:r>
      <w:r w:rsidRPr="00E8396A">
        <w:t>comparison with ustekinumab served as a reasonable proxy for determining safety versus other biologics, therefore, did not present any safety data for the FCD population to support their safety claims.</w:t>
      </w:r>
      <w:r w:rsidR="00376646">
        <w:t xml:space="preserve"> </w:t>
      </w:r>
      <w:r w:rsidR="00E86E20" w:rsidRPr="008A4B69">
        <w:rPr>
          <w:iCs/>
        </w:rPr>
        <w:t>The ESC considered t</w:t>
      </w:r>
      <w:r w:rsidR="00376646" w:rsidRPr="00C46A74">
        <w:t xml:space="preserve">his </w:t>
      </w:r>
      <w:r w:rsidR="00257FA5" w:rsidRPr="008A4B69">
        <w:rPr>
          <w:iCs/>
        </w:rPr>
        <w:t>was</w:t>
      </w:r>
      <w:r w:rsidR="00376646" w:rsidRPr="008A4B69">
        <w:rPr>
          <w:iCs/>
        </w:rPr>
        <w:t xml:space="preserve"> inappropriate</w:t>
      </w:r>
      <w:r w:rsidR="00257FA5" w:rsidRPr="008A4B69">
        <w:rPr>
          <w:iCs/>
        </w:rPr>
        <w:t xml:space="preserve"> and the comparative safety of risankizumab to other biologics cannot implicitly be inferred from the safety comparison in severe CD (especially in the context of ustekinumab not being a relevant alternative in FCD)</w:t>
      </w:r>
      <w:r w:rsidR="00376646" w:rsidRPr="008A4B69">
        <w:rPr>
          <w:iCs/>
        </w:rPr>
        <w:t>.</w:t>
      </w:r>
      <w:r w:rsidR="00376646">
        <w:t xml:space="preserve"> </w:t>
      </w:r>
    </w:p>
    <w:p w14:paraId="39852EB4" w14:textId="52CF563D" w:rsidR="001763AD" w:rsidRPr="00E8396A" w:rsidRDefault="00F7160C" w:rsidP="00465970">
      <w:pPr>
        <w:pStyle w:val="3-BodyText"/>
        <w:ind w:left="709"/>
        <w:rPr>
          <w:rFonts w:eastAsia="Calibri"/>
        </w:rPr>
      </w:pPr>
      <w:r>
        <w:t>As noted in paragraph 6.1 above, the sponsor withdrew the request for the FCD population in the Pre-PBAC Response.</w:t>
      </w:r>
    </w:p>
    <w:p w14:paraId="74A1172E" w14:textId="774E7A70" w:rsidR="00B60939" w:rsidRPr="00C9624D" w:rsidRDefault="00F7160C" w:rsidP="00E9094A">
      <w:pPr>
        <w:pStyle w:val="4-SubsectionHeading"/>
      </w:pPr>
      <w:bookmarkStart w:id="33" w:name="_Toc22897645"/>
      <w:bookmarkStart w:id="34" w:name="_Toc103776028"/>
      <w:r>
        <w:t>E</w:t>
      </w:r>
      <w:r w:rsidR="00B60939" w:rsidRPr="00C9624D">
        <w:t>conomic analysis</w:t>
      </w:r>
      <w:bookmarkEnd w:id="33"/>
      <w:bookmarkEnd w:id="34"/>
      <w:r w:rsidR="00491B3A" w:rsidRPr="00C9624D">
        <w:t xml:space="preserve"> </w:t>
      </w:r>
    </w:p>
    <w:p w14:paraId="1BA81A24" w14:textId="7D7E25F2" w:rsidR="000C4663" w:rsidRPr="000C4663" w:rsidRDefault="004D7AE6" w:rsidP="00465970">
      <w:pPr>
        <w:pStyle w:val="3-BodyText"/>
        <w:ind w:left="709"/>
        <w:rPr>
          <w:b/>
          <w:bCs/>
          <w:color w:val="0066FF"/>
          <w:lang w:val="en-US"/>
        </w:rPr>
      </w:pPr>
      <w:r w:rsidRPr="170A8049">
        <w:rPr>
          <w:rFonts w:eastAsia="Calibri"/>
        </w:rPr>
        <w:t xml:space="preserve">The submission </w:t>
      </w:r>
      <w:r w:rsidR="0046760E" w:rsidRPr="170A8049">
        <w:rPr>
          <w:rFonts w:eastAsia="Calibri"/>
        </w:rPr>
        <w:t xml:space="preserve">presented </w:t>
      </w:r>
      <w:r w:rsidR="0046760E">
        <w:rPr>
          <w:rFonts w:eastAsia="Calibri"/>
        </w:rPr>
        <w:t>separate</w:t>
      </w:r>
      <w:r w:rsidRPr="170A8049">
        <w:rPr>
          <w:rFonts w:eastAsia="Calibri"/>
        </w:rPr>
        <w:t xml:space="preserve"> </w:t>
      </w:r>
      <w:r w:rsidR="00FB7456">
        <w:rPr>
          <w:rFonts w:eastAsia="Calibri"/>
        </w:rPr>
        <w:t>CMA</w:t>
      </w:r>
      <w:r w:rsidRPr="170A8049">
        <w:rPr>
          <w:rFonts w:eastAsia="Calibri"/>
        </w:rPr>
        <w:t xml:space="preserve"> for severe CD and FCD. For severe CD, risankizumab is compared to ustekinumab. For FCD, risankizumab is compared to adalimumab. </w:t>
      </w:r>
      <w:r w:rsidRPr="00C46A74">
        <w:rPr>
          <w:rFonts w:eastAsia="Calibri"/>
        </w:rPr>
        <w:t xml:space="preserve">The claim of non-inferior efficacy and safety for severe CD appears adequately supported by the evidence presented in the submission. </w:t>
      </w:r>
      <w:r w:rsidR="00E86E20" w:rsidRPr="008A4B69">
        <w:rPr>
          <w:rFonts w:eastAsia="Calibri"/>
          <w:iCs/>
        </w:rPr>
        <w:t>The ESC considered that t</w:t>
      </w:r>
      <w:r w:rsidRPr="008A4B69">
        <w:rPr>
          <w:rFonts w:eastAsia="Calibri"/>
          <w:iCs/>
        </w:rPr>
        <w:t xml:space="preserve">he claim of non-inferior efficacy and safety for FCD </w:t>
      </w:r>
      <w:r w:rsidR="00257FA5" w:rsidRPr="008A4B69">
        <w:rPr>
          <w:rFonts w:eastAsia="Calibri"/>
          <w:iCs/>
        </w:rPr>
        <w:t>was</w:t>
      </w:r>
      <w:r w:rsidRPr="008A4B69">
        <w:rPr>
          <w:rFonts w:eastAsia="Calibri"/>
          <w:iCs/>
        </w:rPr>
        <w:t xml:space="preserve"> not </w:t>
      </w:r>
      <w:r w:rsidRPr="008A4B69">
        <w:rPr>
          <w:rFonts w:eastAsia="Calibri"/>
          <w:iCs/>
        </w:rPr>
        <w:lastRenderedPageBreak/>
        <w:t>supported by the evidence presented the submission</w:t>
      </w:r>
      <w:r w:rsidR="00E86E20" w:rsidRPr="008A4B69">
        <w:rPr>
          <w:rFonts w:eastAsia="Calibri"/>
          <w:iCs/>
        </w:rPr>
        <w:t xml:space="preserve"> and therefore </w:t>
      </w:r>
      <w:r w:rsidR="00B02CF6" w:rsidRPr="008A4B69">
        <w:rPr>
          <w:rFonts w:eastAsia="Calibri"/>
          <w:iCs/>
        </w:rPr>
        <w:t>the use of a cost minimisation approach</w:t>
      </w:r>
      <w:r w:rsidR="00E86E20" w:rsidRPr="008A4B69">
        <w:rPr>
          <w:rFonts w:eastAsia="Calibri"/>
          <w:iCs/>
        </w:rPr>
        <w:t xml:space="preserve"> for FCD </w:t>
      </w:r>
      <w:r w:rsidR="00B02CF6" w:rsidRPr="008A4B69">
        <w:rPr>
          <w:rFonts w:eastAsia="Calibri"/>
          <w:iCs/>
        </w:rPr>
        <w:t>was</w:t>
      </w:r>
      <w:r w:rsidR="00E86E20" w:rsidRPr="008A4B69">
        <w:rPr>
          <w:rFonts w:eastAsia="Calibri"/>
          <w:iCs/>
        </w:rPr>
        <w:t xml:space="preserve"> not appropriate</w:t>
      </w:r>
      <w:r w:rsidRPr="008A4B69">
        <w:rPr>
          <w:rFonts w:eastAsia="Calibri"/>
          <w:iCs/>
        </w:rPr>
        <w:t xml:space="preserve">. </w:t>
      </w:r>
      <w:r w:rsidR="00E86E20">
        <w:rPr>
          <w:rFonts w:eastAsia="Calibri"/>
        </w:rPr>
        <w:t xml:space="preserve"> </w:t>
      </w:r>
    </w:p>
    <w:p w14:paraId="57EB5816" w14:textId="1F92A213" w:rsidR="00772C5D" w:rsidRPr="000C4663" w:rsidRDefault="0042687E" w:rsidP="00465970">
      <w:pPr>
        <w:pStyle w:val="3-BodyText"/>
        <w:ind w:left="709"/>
        <w:rPr>
          <w:b/>
          <w:bCs/>
          <w:color w:val="0066FF"/>
          <w:lang w:val="en-US"/>
        </w:rPr>
      </w:pPr>
      <w:r w:rsidRPr="170A8049">
        <w:rPr>
          <w:rFonts w:eastAsia="Calibri"/>
        </w:rPr>
        <w:t>Cost minimisation analyses were performed based on published prices</w:t>
      </w:r>
      <w:r w:rsidR="00A4764B" w:rsidRPr="170A8049">
        <w:rPr>
          <w:rFonts w:eastAsia="Calibri"/>
        </w:rPr>
        <w:t xml:space="preserve"> </w:t>
      </w:r>
      <w:r w:rsidR="001267BA" w:rsidRPr="170A8049">
        <w:rPr>
          <w:rFonts w:eastAsia="Calibri"/>
        </w:rPr>
        <w:t xml:space="preserve">for </w:t>
      </w:r>
      <w:r w:rsidR="00A4764B" w:rsidRPr="170A8049">
        <w:rPr>
          <w:rFonts w:eastAsia="Calibri"/>
        </w:rPr>
        <w:t>ustekinumab</w:t>
      </w:r>
      <w:r w:rsidR="001634EA">
        <w:rPr>
          <w:rFonts w:eastAsia="Calibri"/>
        </w:rPr>
        <w:t xml:space="preserve"> and</w:t>
      </w:r>
      <w:r w:rsidR="00A4764B" w:rsidRPr="170A8049">
        <w:rPr>
          <w:rFonts w:eastAsia="Calibri"/>
        </w:rPr>
        <w:t xml:space="preserve"> </w:t>
      </w:r>
      <w:r w:rsidR="002A1337" w:rsidRPr="170A8049">
        <w:rPr>
          <w:rFonts w:eastAsia="Calibri"/>
        </w:rPr>
        <w:t xml:space="preserve">adalimumab. </w:t>
      </w:r>
      <w:r w:rsidR="00D76007" w:rsidRPr="170A8049">
        <w:rPr>
          <w:rFonts w:eastAsia="Calibri"/>
        </w:rPr>
        <w:t>Ustekinumab has a</w:t>
      </w:r>
      <w:r w:rsidR="00B02CF6">
        <w:rPr>
          <w:rFonts w:eastAsia="Calibri"/>
        </w:rPr>
        <w:t>n</w:t>
      </w:r>
      <w:r w:rsidR="00D76007" w:rsidRPr="170A8049">
        <w:rPr>
          <w:rFonts w:eastAsia="Calibri"/>
        </w:rPr>
        <w:t xml:space="preserve"> </w:t>
      </w:r>
      <w:r w:rsidR="0046760E">
        <w:rPr>
          <w:rFonts w:eastAsia="Calibri"/>
        </w:rPr>
        <w:t>SPA,</w:t>
      </w:r>
      <w:r w:rsidR="00B02CF6">
        <w:rPr>
          <w:rFonts w:eastAsia="Calibri"/>
        </w:rPr>
        <w:t xml:space="preserve"> and</w:t>
      </w:r>
      <w:r w:rsidR="00965DE1" w:rsidRPr="170A8049">
        <w:rPr>
          <w:rFonts w:eastAsia="Calibri"/>
        </w:rPr>
        <w:t xml:space="preserve"> t</w:t>
      </w:r>
      <w:r w:rsidR="002A1337" w:rsidRPr="170A8049">
        <w:rPr>
          <w:rFonts w:eastAsia="Calibri"/>
        </w:rPr>
        <w:t xml:space="preserve">he effective price </w:t>
      </w:r>
      <w:r w:rsidR="00C87B11" w:rsidRPr="170A8049">
        <w:rPr>
          <w:rFonts w:eastAsia="Calibri"/>
        </w:rPr>
        <w:t>is not available</w:t>
      </w:r>
      <w:r w:rsidR="009F7E1E">
        <w:rPr>
          <w:rFonts w:eastAsia="Calibri"/>
        </w:rPr>
        <w:t xml:space="preserve"> to the sponsor</w:t>
      </w:r>
      <w:r w:rsidR="00C87B11" w:rsidRPr="170A8049">
        <w:rPr>
          <w:rFonts w:eastAsia="Calibri"/>
        </w:rPr>
        <w:t>.</w:t>
      </w:r>
      <w:r w:rsidR="002A1337" w:rsidRPr="170A8049">
        <w:rPr>
          <w:rFonts w:eastAsia="Calibri"/>
        </w:rPr>
        <w:t xml:space="preserve"> </w:t>
      </w:r>
      <w:r w:rsidR="00AE45EF" w:rsidRPr="170A8049">
        <w:rPr>
          <w:rFonts w:eastAsia="Calibri"/>
        </w:rPr>
        <w:t xml:space="preserve"> </w:t>
      </w:r>
    </w:p>
    <w:p w14:paraId="53BFC408" w14:textId="4F093CB3" w:rsidR="005624CD" w:rsidRPr="00C4260F" w:rsidRDefault="00C4260F" w:rsidP="00465970">
      <w:pPr>
        <w:pStyle w:val="3-BodyText"/>
        <w:ind w:left="709"/>
        <w:rPr>
          <w:rFonts w:eastAsia="Calibri"/>
        </w:rPr>
      </w:pPr>
      <w:r w:rsidRPr="170A8049">
        <w:rPr>
          <w:rFonts w:eastAsia="Calibri"/>
        </w:rPr>
        <w:t xml:space="preserve">The </w:t>
      </w:r>
      <w:r w:rsidR="00CE20A7">
        <w:t>equi-effective doses</w:t>
      </w:r>
      <w:r w:rsidR="00CE20A7" w:rsidRPr="170A8049">
        <w:rPr>
          <w:rFonts w:eastAsia="Calibri"/>
        </w:rPr>
        <w:t xml:space="preserve"> for severe CD were estimated as r</w:t>
      </w:r>
      <w:r w:rsidRPr="170A8049">
        <w:rPr>
          <w:rFonts w:eastAsia="Calibri"/>
        </w:rPr>
        <w:t>isankizumab 600 mg IV at week 0, 4 and 8</w:t>
      </w:r>
      <w:r w:rsidR="0013534B" w:rsidRPr="170A8049">
        <w:rPr>
          <w:rFonts w:eastAsia="Calibri"/>
        </w:rPr>
        <w:t xml:space="preserve"> followed by </w:t>
      </w:r>
      <w:r w:rsidRPr="170A8049">
        <w:rPr>
          <w:rFonts w:eastAsia="Calibri"/>
        </w:rPr>
        <w:t>360</w:t>
      </w:r>
      <w:r w:rsidR="00EB59E1">
        <w:rPr>
          <w:rFonts w:eastAsia="Calibri"/>
        </w:rPr>
        <w:t xml:space="preserve"> </w:t>
      </w:r>
      <w:r w:rsidRPr="170A8049">
        <w:rPr>
          <w:rFonts w:eastAsia="Calibri"/>
        </w:rPr>
        <w:t xml:space="preserve">mg SC every 8 weeks </w:t>
      </w:r>
      <w:r w:rsidR="00EA78ED" w:rsidRPr="170A8049">
        <w:rPr>
          <w:rFonts w:eastAsia="Calibri"/>
        </w:rPr>
        <w:t>over two years and</w:t>
      </w:r>
      <w:r w:rsidRPr="170A8049">
        <w:rPr>
          <w:rFonts w:eastAsia="Calibri"/>
        </w:rPr>
        <w:t xml:space="preserve"> ustekinumab </w:t>
      </w:r>
      <w:r w:rsidR="00EA78ED" w:rsidRPr="007D731C">
        <w:rPr>
          <w:rFonts w:eastAsia="Calibri"/>
        </w:rPr>
        <w:t>425</w:t>
      </w:r>
      <w:r w:rsidRPr="007D731C">
        <w:rPr>
          <w:rFonts w:eastAsia="Calibri"/>
        </w:rPr>
        <w:t xml:space="preserve"> mg</w:t>
      </w:r>
      <w:r w:rsidRPr="170A8049">
        <w:rPr>
          <w:rFonts w:eastAsia="Calibri"/>
        </w:rPr>
        <w:t xml:space="preserve"> IV at week 0</w:t>
      </w:r>
      <w:r w:rsidR="0013534B" w:rsidRPr="170A8049">
        <w:rPr>
          <w:rFonts w:eastAsia="Calibri"/>
        </w:rPr>
        <w:t xml:space="preserve"> followed by </w:t>
      </w:r>
      <w:r w:rsidRPr="170A8049">
        <w:rPr>
          <w:rFonts w:eastAsia="Calibri"/>
        </w:rPr>
        <w:t>90 mg SC every 8 weeks</w:t>
      </w:r>
      <w:r w:rsidR="0050493C" w:rsidRPr="170A8049">
        <w:rPr>
          <w:rFonts w:eastAsia="Calibri"/>
        </w:rPr>
        <w:t xml:space="preserve"> over two years</w:t>
      </w:r>
      <w:r w:rsidRPr="170A8049">
        <w:rPr>
          <w:rFonts w:eastAsia="Calibri"/>
        </w:rPr>
        <w:t>.</w:t>
      </w:r>
      <w:r w:rsidR="00977948" w:rsidRPr="170A8049">
        <w:rPr>
          <w:rFonts w:eastAsia="Calibri"/>
        </w:rPr>
        <w:t xml:space="preserve"> </w:t>
      </w:r>
      <w:r w:rsidR="0050493C" w:rsidRPr="170A8049">
        <w:rPr>
          <w:rFonts w:eastAsia="Calibri"/>
        </w:rPr>
        <w:t xml:space="preserve">The </w:t>
      </w:r>
      <w:r w:rsidR="0050493C">
        <w:t>equi-effective doses</w:t>
      </w:r>
      <w:r w:rsidR="0050493C" w:rsidRPr="170A8049">
        <w:rPr>
          <w:rFonts w:eastAsia="Calibri"/>
        </w:rPr>
        <w:t xml:space="preserve"> for FCD were estimated as r</w:t>
      </w:r>
      <w:r w:rsidRPr="170A8049">
        <w:rPr>
          <w:rFonts w:eastAsia="Calibri"/>
        </w:rPr>
        <w:t xml:space="preserve">isankizumab 600 mg IV at week 0, 4 and 8, </w:t>
      </w:r>
      <w:r w:rsidR="002E7FA3" w:rsidRPr="170A8049">
        <w:rPr>
          <w:rFonts w:eastAsia="Calibri"/>
        </w:rPr>
        <w:t>followed by</w:t>
      </w:r>
      <w:r w:rsidRPr="170A8049">
        <w:rPr>
          <w:rFonts w:eastAsia="Calibri"/>
        </w:rPr>
        <w:t xml:space="preserve"> 360 mg SC every 8 weeks </w:t>
      </w:r>
      <w:r w:rsidR="0050493C" w:rsidRPr="170A8049">
        <w:rPr>
          <w:rFonts w:eastAsia="Calibri"/>
        </w:rPr>
        <w:t>over two years and</w:t>
      </w:r>
      <w:r w:rsidRPr="170A8049">
        <w:rPr>
          <w:rFonts w:eastAsia="Calibri"/>
        </w:rPr>
        <w:t xml:space="preserve"> adalimumab 160 mg SC at week 0, 80 mg SC at week 2 and 40 mg every 2 weeks</w:t>
      </w:r>
      <w:r w:rsidR="0050493C" w:rsidRPr="170A8049">
        <w:rPr>
          <w:rFonts w:eastAsia="Calibri"/>
        </w:rPr>
        <w:t xml:space="preserve"> over two years. </w:t>
      </w:r>
      <w:r w:rsidR="00735ADE" w:rsidRPr="00C46A74">
        <w:rPr>
          <w:lang w:eastAsia="zh-CN"/>
        </w:rPr>
        <w:t xml:space="preserve">The equi-effective doses are in line with the proposed doses in the draft TGA product information (PI) for risankizumab, and the recommended doses in the approved TGA PI for ustekinumab and </w:t>
      </w:r>
      <w:r w:rsidR="00735ADE" w:rsidRPr="00C46A74">
        <w:t>adalimumab</w:t>
      </w:r>
      <w:r w:rsidR="00735ADE" w:rsidRPr="00C46A74">
        <w:rPr>
          <w:lang w:eastAsia="zh-CN"/>
        </w:rPr>
        <w:t xml:space="preserve">. </w:t>
      </w:r>
      <w:r w:rsidR="00331040" w:rsidRPr="00C46A74">
        <w:rPr>
          <w:lang w:eastAsia="zh-CN"/>
        </w:rPr>
        <w:t xml:space="preserve">The submission estimated the </w:t>
      </w:r>
      <w:r w:rsidR="00E5781F" w:rsidRPr="00C46A74">
        <w:rPr>
          <w:lang w:eastAsia="zh-CN"/>
        </w:rPr>
        <w:t xml:space="preserve">average weight-based loading dose (3.27 vials of </w:t>
      </w:r>
      <w:r w:rsidR="00CD5952" w:rsidRPr="00C46A74">
        <w:rPr>
          <w:lang w:eastAsia="zh-CN"/>
        </w:rPr>
        <w:t>130 mg</w:t>
      </w:r>
      <w:r w:rsidR="00421EF4" w:rsidRPr="00C46A74">
        <w:rPr>
          <w:lang w:eastAsia="zh-CN"/>
        </w:rPr>
        <w:t xml:space="preserve"> vial, 425mg) of ustekinumab</w:t>
      </w:r>
      <w:r w:rsidR="00E5781F" w:rsidRPr="00C46A74">
        <w:rPr>
          <w:lang w:eastAsia="zh-CN"/>
        </w:rPr>
        <w:t xml:space="preserve"> based on the </w:t>
      </w:r>
      <w:r w:rsidR="008866A6" w:rsidRPr="00C46A74">
        <w:rPr>
          <w:lang w:eastAsia="zh-CN"/>
        </w:rPr>
        <w:t xml:space="preserve">PBS utilisation data. </w:t>
      </w:r>
      <w:r w:rsidR="007D4531" w:rsidRPr="00C46A74">
        <w:rPr>
          <w:lang w:eastAsia="zh-CN"/>
        </w:rPr>
        <w:t xml:space="preserve">The estimation was not made </w:t>
      </w:r>
      <w:r w:rsidR="000E3849" w:rsidRPr="00C46A74">
        <w:rPr>
          <w:lang w:eastAsia="zh-CN"/>
        </w:rPr>
        <w:t xml:space="preserve">based on </w:t>
      </w:r>
      <w:r w:rsidR="007D4531" w:rsidRPr="00C46A74">
        <w:rPr>
          <w:lang w:eastAsia="zh-CN"/>
        </w:rPr>
        <w:t>average body weight</w:t>
      </w:r>
      <w:r w:rsidR="004D06F4" w:rsidRPr="00C46A74">
        <w:rPr>
          <w:lang w:eastAsia="zh-CN"/>
        </w:rPr>
        <w:t xml:space="preserve"> of severe CD </w:t>
      </w:r>
      <w:r w:rsidR="004F5AD7" w:rsidRPr="00C46A74">
        <w:rPr>
          <w:lang w:eastAsia="zh-CN"/>
        </w:rPr>
        <w:t>patients;</w:t>
      </w:r>
      <w:r w:rsidR="004D06F4" w:rsidRPr="00C46A74">
        <w:rPr>
          <w:lang w:eastAsia="zh-CN"/>
        </w:rPr>
        <w:t xml:space="preserve"> </w:t>
      </w:r>
      <w:r w:rsidR="000E3849" w:rsidRPr="00C46A74">
        <w:rPr>
          <w:lang w:eastAsia="zh-CN"/>
        </w:rPr>
        <w:t>however</w:t>
      </w:r>
      <w:r w:rsidR="00A827E1">
        <w:rPr>
          <w:lang w:eastAsia="zh-CN"/>
        </w:rPr>
        <w:t>,</w:t>
      </w:r>
      <w:r w:rsidR="004D06F4" w:rsidRPr="00C46A74">
        <w:rPr>
          <w:lang w:eastAsia="zh-CN"/>
        </w:rPr>
        <w:t xml:space="preserve"> the estimated initial dose is similar to the average loading doses in the ustekinumab trials (417</w:t>
      </w:r>
      <w:r w:rsidR="00AD52FF">
        <w:rPr>
          <w:lang w:eastAsia="zh-CN"/>
        </w:rPr>
        <w:t xml:space="preserve"> </w:t>
      </w:r>
      <w:r w:rsidR="004D06F4" w:rsidRPr="00C46A74">
        <w:rPr>
          <w:lang w:eastAsia="zh-CN"/>
        </w:rPr>
        <w:t>mg and 431</w:t>
      </w:r>
      <w:r w:rsidR="00AD52FF">
        <w:rPr>
          <w:lang w:eastAsia="zh-CN"/>
        </w:rPr>
        <w:t xml:space="preserve"> </w:t>
      </w:r>
      <w:r w:rsidR="004D06F4" w:rsidRPr="00C46A74">
        <w:rPr>
          <w:lang w:eastAsia="zh-CN"/>
        </w:rPr>
        <w:t xml:space="preserve">mg in UNITI-I and UNITI-II, </w:t>
      </w:r>
      <w:r w:rsidR="000E3849" w:rsidRPr="00C46A74">
        <w:rPr>
          <w:lang w:eastAsia="zh-CN"/>
        </w:rPr>
        <w:t>respectively</w:t>
      </w:r>
      <w:r w:rsidR="004D06F4" w:rsidRPr="00C46A74">
        <w:rPr>
          <w:lang w:eastAsia="zh-CN"/>
        </w:rPr>
        <w:t>).</w:t>
      </w:r>
    </w:p>
    <w:p w14:paraId="4D889FF0" w14:textId="6B82B903" w:rsidR="00167EA3" w:rsidRPr="008A4B69" w:rsidRDefault="00167EA3" w:rsidP="00465970">
      <w:pPr>
        <w:pStyle w:val="3-BodyText"/>
        <w:ind w:left="709"/>
        <w:rPr>
          <w:rFonts w:cstheme="minorBidi"/>
          <w:iCs/>
        </w:rPr>
      </w:pPr>
      <w:r w:rsidRPr="170A8049">
        <w:rPr>
          <w:rFonts w:cstheme="minorBidi"/>
        </w:rPr>
        <w:t xml:space="preserve">The submission included the </w:t>
      </w:r>
      <w:r w:rsidRPr="170A8049">
        <w:rPr>
          <w:rFonts w:cstheme="minorBidi"/>
          <w:lang w:val="en-GB" w:eastAsia="en-GB"/>
        </w:rPr>
        <w:t xml:space="preserve">MBS administration fees for IV dosing as additional costs in </w:t>
      </w:r>
      <w:r w:rsidRPr="170A8049">
        <w:rPr>
          <w:rFonts w:cstheme="minorBidi"/>
        </w:rPr>
        <w:t xml:space="preserve">the </w:t>
      </w:r>
      <w:r w:rsidR="00CD4A64">
        <w:rPr>
          <w:rFonts w:cstheme="minorBidi"/>
        </w:rPr>
        <w:t>CMA</w:t>
      </w:r>
      <w:r w:rsidRPr="170A8049">
        <w:rPr>
          <w:rFonts w:cstheme="minorBidi"/>
        </w:rPr>
        <w:t>.</w:t>
      </w:r>
      <w:r w:rsidR="00025F3D" w:rsidRPr="170A8049">
        <w:rPr>
          <w:rFonts w:cstheme="minorBidi"/>
        </w:rPr>
        <w:t xml:space="preserve"> </w:t>
      </w:r>
      <w:r w:rsidR="004A7E82" w:rsidRPr="170A8049">
        <w:rPr>
          <w:rFonts w:cstheme="minorBidi"/>
        </w:rPr>
        <w:t xml:space="preserve">Other healthcare resource utilisation such as periodic face-to-face consultation visits and associated monitoring are assumed to occur equally across treatments. </w:t>
      </w:r>
    </w:p>
    <w:p w14:paraId="09CFD8DC" w14:textId="731126BC" w:rsidR="00A86DBD" w:rsidRPr="00A86DBD" w:rsidRDefault="004B5ACB" w:rsidP="00465970">
      <w:pPr>
        <w:pStyle w:val="3-BodyText"/>
        <w:ind w:left="709"/>
      </w:pPr>
      <w:r>
        <w:t>The submission requested flat pricing of the 600</w:t>
      </w:r>
      <w:r w:rsidR="00EB59E1">
        <w:t xml:space="preserve"> </w:t>
      </w:r>
      <w:r>
        <w:t>mg vial and the 360 mg pre-filled cartridge of risankizumab.</w:t>
      </w:r>
      <w:r w:rsidR="003F66AB">
        <w:t xml:space="preserve"> </w:t>
      </w:r>
      <w:r w:rsidR="005408B2">
        <w:t>On the basis of equivalence of cost over two years, the requested AEMP for risankizumab was calculated at $</w:t>
      </w:r>
      <w:r w:rsidR="005408B2" w:rsidRPr="00C31994">
        <w:t>7</w:t>
      </w:r>
      <w:r w:rsidR="00334F4B" w:rsidRPr="00C31994">
        <w:t>,</w:t>
      </w:r>
      <w:r w:rsidR="005408B2" w:rsidRPr="00C31994">
        <w:t>151.98</w:t>
      </w:r>
      <w:r w:rsidR="005408B2">
        <w:t xml:space="preserve"> for severe CD and </w:t>
      </w:r>
      <w:r w:rsidR="005408B2" w:rsidRPr="00C31994">
        <w:t>$</w:t>
      </w:r>
      <w:r w:rsidR="00981AF2" w:rsidRPr="00DE4045">
        <w:rPr>
          <w:color w:val="000000"/>
          <w:w w:val="15"/>
          <w:shd w:val="solid" w:color="000000" w:fill="000000"/>
          <w:fitText w:val="-20" w:id="-1436349177"/>
          <w14:textFill>
            <w14:solidFill>
              <w14:srgbClr w14:val="000000">
                <w14:alpha w14:val="100000"/>
              </w14:srgbClr>
            </w14:solidFill>
          </w14:textFill>
        </w:rPr>
        <w:t xml:space="preserve">|  </w:t>
      </w:r>
      <w:r w:rsidR="00981AF2" w:rsidRPr="00DE4045">
        <w:rPr>
          <w:color w:val="000000"/>
          <w:spacing w:val="-69"/>
          <w:w w:val="15"/>
          <w:shd w:val="solid" w:color="000000" w:fill="000000"/>
          <w:fitText w:val="-20" w:id="-1436349177"/>
          <w14:textFill>
            <w14:solidFill>
              <w14:srgbClr w14:val="000000">
                <w14:alpha w14:val="100000"/>
              </w14:srgbClr>
            </w14:solidFill>
          </w14:textFill>
        </w:rPr>
        <w:t>|</w:t>
      </w:r>
      <w:r w:rsidR="005408B2">
        <w:t xml:space="preserve"> for FCD in the </w:t>
      </w:r>
      <w:r w:rsidR="005408B2" w:rsidRPr="000528A1">
        <w:t>submission</w:t>
      </w:r>
      <w:r w:rsidR="008F48AE" w:rsidRPr="000528A1">
        <w:t xml:space="preserve"> (</w:t>
      </w:r>
      <w:r w:rsidR="000528A1" w:rsidRPr="0616FF1F">
        <w:rPr>
          <w:color w:val="2B579A"/>
        </w:rPr>
        <w:fldChar w:fldCharType="begin" w:fldLock="1"/>
      </w:r>
      <w:r w:rsidR="000528A1" w:rsidRPr="000528A1">
        <w:instrText xml:space="preserve"> REF _Ref101959509 \h </w:instrText>
      </w:r>
      <w:r w:rsidR="000528A1" w:rsidRPr="0616FF1F">
        <w:rPr>
          <w:color w:val="2B579A"/>
        </w:rPr>
        <w:instrText xml:space="preserve"> \* MERGEFORMAT </w:instrText>
      </w:r>
      <w:r w:rsidR="000528A1" w:rsidRPr="0616FF1F">
        <w:rPr>
          <w:color w:val="2B579A"/>
        </w:rPr>
      </w:r>
      <w:r w:rsidR="000528A1" w:rsidRPr="0616FF1F">
        <w:rPr>
          <w:color w:val="2B579A"/>
        </w:rPr>
        <w:fldChar w:fldCharType="separate"/>
      </w:r>
      <w:r w:rsidR="000528A1" w:rsidRPr="000528A1">
        <w:t>Table 9</w:t>
      </w:r>
      <w:r w:rsidR="000528A1" w:rsidRPr="0616FF1F">
        <w:rPr>
          <w:color w:val="2B579A"/>
        </w:rPr>
        <w:fldChar w:fldCharType="end"/>
      </w:r>
      <w:r w:rsidR="00FB3C7C">
        <w:t xml:space="preserve">, </w:t>
      </w:r>
      <w:r w:rsidR="000528A1" w:rsidRPr="0616FF1F">
        <w:rPr>
          <w:color w:val="2B579A"/>
        </w:rPr>
        <w:fldChar w:fldCharType="begin" w:fldLock="1"/>
      </w:r>
      <w:r w:rsidR="000528A1" w:rsidRPr="000528A1">
        <w:instrText xml:space="preserve"> REF _Ref101959517 \h </w:instrText>
      </w:r>
      <w:r w:rsidR="000528A1" w:rsidRPr="0616FF1F">
        <w:rPr>
          <w:color w:val="2B579A"/>
        </w:rPr>
        <w:instrText xml:space="preserve"> \* MERGEFORMAT </w:instrText>
      </w:r>
      <w:r w:rsidR="000528A1" w:rsidRPr="0616FF1F">
        <w:rPr>
          <w:color w:val="2B579A"/>
        </w:rPr>
      </w:r>
      <w:r w:rsidR="000528A1" w:rsidRPr="0616FF1F">
        <w:rPr>
          <w:color w:val="2B579A"/>
        </w:rPr>
        <w:fldChar w:fldCharType="separate"/>
      </w:r>
      <w:r w:rsidR="000528A1" w:rsidRPr="000528A1">
        <w:t>Table 10</w:t>
      </w:r>
      <w:r w:rsidR="000528A1" w:rsidRPr="0616FF1F">
        <w:rPr>
          <w:color w:val="2B579A"/>
        </w:rPr>
        <w:fldChar w:fldCharType="end"/>
      </w:r>
      <w:r w:rsidR="000528A1">
        <w:t>)</w:t>
      </w:r>
      <w:r w:rsidR="005408B2">
        <w:t>.</w:t>
      </w:r>
      <w:r w:rsidR="00455609" w:rsidRPr="008A4B69">
        <w:rPr>
          <w:iCs/>
        </w:rPr>
        <w:t xml:space="preserve"> </w:t>
      </w:r>
      <w:r w:rsidR="00455609" w:rsidRPr="00812212">
        <w:t>The proposed AEMP for severe CD does not correspond to the requested price ($</w:t>
      </w:r>
      <w:r w:rsidR="00981AF2" w:rsidRPr="00DE4045">
        <w:rPr>
          <w:color w:val="000000"/>
          <w:w w:val="15"/>
          <w:shd w:val="solid" w:color="000000" w:fill="000000"/>
          <w:fitText w:val="-20" w:id="-1436349176"/>
          <w14:textFill>
            <w14:solidFill>
              <w14:srgbClr w14:val="000000">
                <w14:alpha w14:val="100000"/>
              </w14:srgbClr>
            </w14:solidFill>
          </w14:textFill>
        </w:rPr>
        <w:t xml:space="preserve">|  </w:t>
      </w:r>
      <w:r w:rsidR="00981AF2" w:rsidRPr="00DE4045">
        <w:rPr>
          <w:color w:val="000000"/>
          <w:spacing w:val="-69"/>
          <w:w w:val="15"/>
          <w:shd w:val="solid" w:color="000000" w:fill="000000"/>
          <w:fitText w:val="-20" w:id="-1436349176"/>
          <w14:textFill>
            <w14:solidFill>
              <w14:srgbClr w14:val="000000">
                <w14:alpha w14:val="100000"/>
              </w14:srgbClr>
            </w14:solidFill>
          </w14:textFill>
        </w:rPr>
        <w:t>|</w:t>
      </w:r>
      <w:r w:rsidR="00455609" w:rsidRPr="00812212">
        <w:t>) presented in the submission.</w:t>
      </w:r>
      <w:r w:rsidR="00CF5913" w:rsidRPr="008A4B69">
        <w:rPr>
          <w:iCs/>
        </w:rPr>
        <w:t xml:space="preserve"> </w:t>
      </w:r>
      <w:r w:rsidR="00CF5913" w:rsidRPr="00F81E78">
        <w:t>These results were based on the published price of the comparator</w:t>
      </w:r>
      <w:r w:rsidR="00CF5913">
        <w:t>s</w:t>
      </w:r>
      <w:r w:rsidR="00CF5913" w:rsidRPr="008A4B69">
        <w:rPr>
          <w:iCs/>
        </w:rPr>
        <w:t xml:space="preserve">. </w:t>
      </w:r>
    </w:p>
    <w:p w14:paraId="74276959" w14:textId="048DCFB7" w:rsidR="003D33D8" w:rsidRPr="00A56023" w:rsidRDefault="00A56023" w:rsidP="00A56023">
      <w:pPr>
        <w:pStyle w:val="TableFigureHeading"/>
        <w:rPr>
          <w:rStyle w:val="CommentReference"/>
          <w:b/>
          <w:szCs w:val="24"/>
        </w:rPr>
      </w:pPr>
      <w:bookmarkStart w:id="35" w:name="_Ref101959509"/>
      <w:r w:rsidRPr="00A56023">
        <w:rPr>
          <w:rStyle w:val="CommentReference"/>
          <w:b/>
          <w:szCs w:val="24"/>
        </w:rPr>
        <w:t xml:space="preserve">Table </w:t>
      </w:r>
      <w:bookmarkEnd w:id="35"/>
      <w:r w:rsidR="004D3A8A">
        <w:rPr>
          <w:rStyle w:val="CommentReference"/>
          <w:b/>
          <w:szCs w:val="24"/>
        </w:rPr>
        <w:t>11</w:t>
      </w:r>
      <w:r w:rsidR="003D33D8" w:rsidRPr="00656188">
        <w:rPr>
          <w:rStyle w:val="CommentReference"/>
          <w:b/>
          <w:szCs w:val="24"/>
        </w:rPr>
        <w:t>: Results of the cost-minimisation analysis</w:t>
      </w:r>
      <w:r w:rsidR="003D33D8">
        <w:rPr>
          <w:rStyle w:val="CommentReference"/>
          <w:b/>
          <w:szCs w:val="24"/>
        </w:rPr>
        <w:t xml:space="preserve"> – severe Crohn’s disease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3008"/>
        <w:gridCol w:w="3005"/>
      </w:tblGrid>
      <w:tr w:rsidR="003D33D8" w:rsidRPr="00383B78" w14:paraId="1C3C481A" w14:textId="77777777" w:rsidTr="00334F4B">
        <w:tc>
          <w:tcPr>
            <w:tcW w:w="3004" w:type="dxa"/>
          </w:tcPr>
          <w:p w14:paraId="270167D4" w14:textId="77777777" w:rsidR="003D33D8" w:rsidRPr="00B71397" w:rsidRDefault="003D33D8" w:rsidP="00334F4B">
            <w:pPr>
              <w:pStyle w:val="In-tableHeading"/>
            </w:pPr>
            <w:r w:rsidRPr="00B71397">
              <w:t>Component</w:t>
            </w:r>
          </w:p>
        </w:tc>
        <w:tc>
          <w:tcPr>
            <w:tcW w:w="3008" w:type="dxa"/>
          </w:tcPr>
          <w:p w14:paraId="7BF90A73" w14:textId="77777777" w:rsidR="003D33D8" w:rsidRPr="00B71397" w:rsidRDefault="003D33D8" w:rsidP="00CA7E68">
            <w:pPr>
              <w:pStyle w:val="In-tableHeading"/>
              <w:jc w:val="center"/>
            </w:pPr>
            <w:r w:rsidRPr="00B71397">
              <w:t>Risankizumab</w:t>
            </w:r>
          </w:p>
        </w:tc>
        <w:tc>
          <w:tcPr>
            <w:tcW w:w="3005" w:type="dxa"/>
          </w:tcPr>
          <w:p w14:paraId="1C12E733" w14:textId="77777777" w:rsidR="003D33D8" w:rsidRPr="00B71397" w:rsidRDefault="003D33D8" w:rsidP="00CA7E68">
            <w:pPr>
              <w:pStyle w:val="In-tableHeading"/>
              <w:jc w:val="center"/>
            </w:pPr>
            <w:r w:rsidRPr="00B71397">
              <w:t>Ustekinumab</w:t>
            </w:r>
          </w:p>
        </w:tc>
      </w:tr>
      <w:tr w:rsidR="003D33D8" w14:paraId="27D59E9C" w14:textId="77777777" w:rsidTr="00334F4B">
        <w:tc>
          <w:tcPr>
            <w:tcW w:w="3004" w:type="dxa"/>
          </w:tcPr>
          <w:p w14:paraId="4FA6C63E" w14:textId="77777777" w:rsidR="003D33D8" w:rsidRPr="00B71397" w:rsidRDefault="003D33D8" w:rsidP="00334F4B">
            <w:pPr>
              <w:pStyle w:val="TableText0"/>
            </w:pPr>
            <w:r w:rsidRPr="00B71397">
              <w:t>Cost per vial (AEMP)</w:t>
            </w:r>
          </w:p>
        </w:tc>
        <w:tc>
          <w:tcPr>
            <w:tcW w:w="3008" w:type="dxa"/>
          </w:tcPr>
          <w:p w14:paraId="4C100639" w14:textId="77777777" w:rsidR="003D33D8" w:rsidRPr="00B71397" w:rsidRDefault="003D33D8" w:rsidP="00CA7E68">
            <w:pPr>
              <w:pStyle w:val="TableText0"/>
              <w:jc w:val="center"/>
            </w:pPr>
            <w:r w:rsidRPr="00B71397">
              <w:t>$7,151.98</w:t>
            </w:r>
            <w:r w:rsidRPr="00B71397">
              <w:rPr>
                <w:vertAlign w:val="superscript"/>
              </w:rPr>
              <w:t>a</w:t>
            </w:r>
          </w:p>
        </w:tc>
        <w:tc>
          <w:tcPr>
            <w:tcW w:w="3005" w:type="dxa"/>
          </w:tcPr>
          <w:p w14:paraId="1DCBA069" w14:textId="77777777" w:rsidR="003D33D8" w:rsidRPr="00B71397" w:rsidRDefault="003D33D8" w:rsidP="00CA7E68">
            <w:pPr>
              <w:pStyle w:val="TableText0"/>
              <w:jc w:val="center"/>
            </w:pPr>
            <w:r w:rsidRPr="00B71397">
              <w:t>$3,809.08</w:t>
            </w:r>
            <w:r w:rsidRPr="00B71397">
              <w:rPr>
                <w:vertAlign w:val="superscript"/>
              </w:rPr>
              <w:t>b</w:t>
            </w:r>
          </w:p>
        </w:tc>
      </w:tr>
      <w:tr w:rsidR="003D33D8" w14:paraId="6B7FCA4E" w14:textId="77777777" w:rsidTr="00334F4B">
        <w:tc>
          <w:tcPr>
            <w:tcW w:w="3004" w:type="dxa"/>
          </w:tcPr>
          <w:p w14:paraId="49327E91" w14:textId="5C6E8D40" w:rsidR="003D33D8" w:rsidRPr="00B71397" w:rsidRDefault="00804156" w:rsidP="00334F4B">
            <w:pPr>
              <w:pStyle w:val="TableText0"/>
            </w:pPr>
            <w:r>
              <w:t>Treatment duration</w:t>
            </w:r>
          </w:p>
        </w:tc>
        <w:tc>
          <w:tcPr>
            <w:tcW w:w="3008" w:type="dxa"/>
          </w:tcPr>
          <w:p w14:paraId="312E6DD9" w14:textId="77777777" w:rsidR="003D33D8" w:rsidRPr="00B71397" w:rsidRDefault="003D33D8" w:rsidP="00CA7E68">
            <w:pPr>
              <w:pStyle w:val="TableText0"/>
              <w:jc w:val="center"/>
            </w:pPr>
            <w:r w:rsidRPr="00B71397">
              <w:t>two years</w:t>
            </w:r>
          </w:p>
        </w:tc>
        <w:tc>
          <w:tcPr>
            <w:tcW w:w="3005" w:type="dxa"/>
          </w:tcPr>
          <w:p w14:paraId="5D38EA42" w14:textId="77777777" w:rsidR="003D33D8" w:rsidRPr="00B71397" w:rsidRDefault="003D33D8" w:rsidP="00CA7E68">
            <w:pPr>
              <w:pStyle w:val="TableText0"/>
              <w:jc w:val="center"/>
            </w:pPr>
            <w:r w:rsidRPr="00B71397">
              <w:t>two years</w:t>
            </w:r>
          </w:p>
        </w:tc>
      </w:tr>
      <w:tr w:rsidR="003D33D8" w14:paraId="40EF9AC5" w14:textId="77777777" w:rsidTr="00334F4B">
        <w:tc>
          <w:tcPr>
            <w:tcW w:w="3004" w:type="dxa"/>
          </w:tcPr>
          <w:p w14:paraId="2080F47F" w14:textId="77777777" w:rsidR="003D33D8" w:rsidRPr="00B71397" w:rsidRDefault="003D33D8" w:rsidP="00334F4B">
            <w:pPr>
              <w:pStyle w:val="TableText0"/>
            </w:pPr>
            <w:r w:rsidRPr="00B71397">
              <w:t>Vials over two years</w:t>
            </w:r>
          </w:p>
        </w:tc>
        <w:tc>
          <w:tcPr>
            <w:tcW w:w="3008" w:type="dxa"/>
          </w:tcPr>
          <w:p w14:paraId="0E305DD1" w14:textId="77777777" w:rsidR="003D33D8" w:rsidRPr="00B71397" w:rsidRDefault="003D33D8" w:rsidP="00CA7E68">
            <w:pPr>
              <w:pStyle w:val="TableText0"/>
              <w:jc w:val="center"/>
            </w:pPr>
            <w:r w:rsidRPr="00B71397">
              <w:t>14.5</w:t>
            </w:r>
            <w:r w:rsidRPr="00B71397">
              <w:rPr>
                <w:vertAlign w:val="superscript"/>
              </w:rPr>
              <w:t>c</w:t>
            </w:r>
          </w:p>
        </w:tc>
        <w:tc>
          <w:tcPr>
            <w:tcW w:w="3005" w:type="dxa"/>
          </w:tcPr>
          <w:p w14:paraId="708BDECF" w14:textId="77777777" w:rsidR="003D33D8" w:rsidRPr="00B71397" w:rsidRDefault="003D33D8" w:rsidP="00CA7E68">
            <w:pPr>
              <w:pStyle w:val="TableText0"/>
              <w:jc w:val="center"/>
            </w:pPr>
            <w:r w:rsidRPr="00B71397">
              <w:t>27.27</w:t>
            </w:r>
            <w:r w:rsidRPr="00B71397">
              <w:rPr>
                <w:vertAlign w:val="superscript"/>
              </w:rPr>
              <w:t>d</w:t>
            </w:r>
          </w:p>
        </w:tc>
      </w:tr>
      <w:tr w:rsidR="003D33D8" w14:paraId="78666415" w14:textId="77777777" w:rsidTr="00334F4B">
        <w:tc>
          <w:tcPr>
            <w:tcW w:w="3004" w:type="dxa"/>
          </w:tcPr>
          <w:p w14:paraId="43113CE0" w14:textId="77777777" w:rsidR="003D33D8" w:rsidRPr="00B71397" w:rsidRDefault="003D33D8" w:rsidP="00334F4B">
            <w:pPr>
              <w:pStyle w:val="TableText0"/>
            </w:pPr>
            <w:r w:rsidRPr="00B71397">
              <w:t>Administration cost per dose</w:t>
            </w:r>
          </w:p>
          <w:p w14:paraId="075937E4" w14:textId="77777777" w:rsidR="003D33D8" w:rsidRPr="00B71397" w:rsidRDefault="003D33D8" w:rsidP="00A93A3B">
            <w:pPr>
              <w:pStyle w:val="TableText0"/>
              <w:numPr>
                <w:ilvl w:val="0"/>
                <w:numId w:val="10"/>
              </w:numPr>
            </w:pPr>
            <w:r w:rsidRPr="00B71397">
              <w:t>IV</w:t>
            </w:r>
          </w:p>
          <w:p w14:paraId="04C1E97E" w14:textId="77777777" w:rsidR="003D33D8" w:rsidRPr="00B71397" w:rsidRDefault="003D33D8" w:rsidP="00A93A3B">
            <w:pPr>
              <w:pStyle w:val="TableText0"/>
              <w:numPr>
                <w:ilvl w:val="0"/>
                <w:numId w:val="10"/>
              </w:numPr>
            </w:pPr>
            <w:r w:rsidRPr="00B71397">
              <w:t>SC</w:t>
            </w:r>
          </w:p>
        </w:tc>
        <w:tc>
          <w:tcPr>
            <w:tcW w:w="3008" w:type="dxa"/>
          </w:tcPr>
          <w:p w14:paraId="1E273B13" w14:textId="77777777" w:rsidR="003D33D8" w:rsidRPr="00B71397" w:rsidRDefault="003D33D8" w:rsidP="00CA7E68">
            <w:pPr>
              <w:pStyle w:val="TableText0"/>
              <w:jc w:val="center"/>
            </w:pPr>
          </w:p>
          <w:p w14:paraId="6212197F" w14:textId="1D40DC16" w:rsidR="003D33D8" w:rsidRPr="00DF6B34" w:rsidRDefault="003D33D8" w:rsidP="00CA7E68">
            <w:pPr>
              <w:pStyle w:val="TableText0"/>
              <w:jc w:val="center"/>
              <w:rPr>
                <w:vertAlign w:val="superscript"/>
              </w:rPr>
            </w:pPr>
            <w:r w:rsidRPr="00B71397">
              <w:t>$79.75</w:t>
            </w:r>
            <w:r w:rsidR="00DF6B34">
              <w:rPr>
                <w:vertAlign w:val="superscript"/>
              </w:rPr>
              <w:t>e</w:t>
            </w:r>
          </w:p>
          <w:p w14:paraId="6B6915EB" w14:textId="77777777" w:rsidR="003D33D8" w:rsidRPr="00B71397" w:rsidRDefault="003D33D8" w:rsidP="00CA7E68">
            <w:pPr>
              <w:pStyle w:val="TableText0"/>
              <w:jc w:val="center"/>
            </w:pPr>
            <w:r w:rsidRPr="00B71397">
              <w:t>$0</w:t>
            </w:r>
          </w:p>
        </w:tc>
        <w:tc>
          <w:tcPr>
            <w:tcW w:w="3005" w:type="dxa"/>
          </w:tcPr>
          <w:p w14:paraId="397AD115" w14:textId="77777777" w:rsidR="003D33D8" w:rsidRPr="00B71397" w:rsidRDefault="003D33D8" w:rsidP="00CA7E68">
            <w:pPr>
              <w:pStyle w:val="TableText0"/>
              <w:jc w:val="center"/>
            </w:pPr>
          </w:p>
          <w:p w14:paraId="37B3DE15" w14:textId="5C4806AA" w:rsidR="003D33D8" w:rsidRPr="00DF6B34" w:rsidRDefault="003D33D8" w:rsidP="00CA7E68">
            <w:pPr>
              <w:pStyle w:val="TableText0"/>
              <w:jc w:val="center"/>
              <w:rPr>
                <w:vertAlign w:val="superscript"/>
              </w:rPr>
            </w:pPr>
            <w:r w:rsidRPr="00B71397">
              <w:t>$79.75</w:t>
            </w:r>
            <w:r w:rsidR="00DF6B34">
              <w:rPr>
                <w:vertAlign w:val="superscript"/>
              </w:rPr>
              <w:t>e</w:t>
            </w:r>
          </w:p>
          <w:p w14:paraId="0A5BA21A" w14:textId="77777777" w:rsidR="003D33D8" w:rsidRPr="00B71397" w:rsidRDefault="003D33D8" w:rsidP="00CA7E68">
            <w:pPr>
              <w:pStyle w:val="TableText0"/>
              <w:jc w:val="center"/>
            </w:pPr>
            <w:r w:rsidRPr="00B71397">
              <w:t>$0</w:t>
            </w:r>
          </w:p>
        </w:tc>
      </w:tr>
      <w:tr w:rsidR="003D33D8" w14:paraId="774E824E" w14:textId="77777777" w:rsidTr="00334F4B">
        <w:tc>
          <w:tcPr>
            <w:tcW w:w="3004" w:type="dxa"/>
          </w:tcPr>
          <w:p w14:paraId="0B1A7304" w14:textId="77777777" w:rsidR="003D33D8" w:rsidRPr="00B71397" w:rsidRDefault="003D33D8" w:rsidP="00334F4B">
            <w:pPr>
              <w:pStyle w:val="TableText0"/>
            </w:pPr>
            <w:r w:rsidRPr="00B71397">
              <w:t>Doses over two years</w:t>
            </w:r>
          </w:p>
        </w:tc>
        <w:tc>
          <w:tcPr>
            <w:tcW w:w="3008" w:type="dxa"/>
          </w:tcPr>
          <w:p w14:paraId="10BB1DD3" w14:textId="77777777" w:rsidR="003D33D8" w:rsidRPr="00B71397" w:rsidRDefault="003D33D8" w:rsidP="00CA7E68">
            <w:pPr>
              <w:pStyle w:val="TableText0"/>
              <w:jc w:val="center"/>
            </w:pPr>
            <w:r w:rsidRPr="00B71397">
              <w:t>3 IV + 11.5 SC</w:t>
            </w:r>
            <w:r w:rsidRPr="00B71397">
              <w:rPr>
                <w:vertAlign w:val="superscript"/>
              </w:rPr>
              <w:t>c</w:t>
            </w:r>
          </w:p>
        </w:tc>
        <w:tc>
          <w:tcPr>
            <w:tcW w:w="3005" w:type="dxa"/>
          </w:tcPr>
          <w:p w14:paraId="7573D20F" w14:textId="77777777" w:rsidR="003D33D8" w:rsidRPr="00B71397" w:rsidRDefault="003D33D8" w:rsidP="00CA7E68">
            <w:pPr>
              <w:pStyle w:val="TableText0"/>
              <w:jc w:val="center"/>
            </w:pPr>
            <w:r w:rsidRPr="00B71397">
              <w:t>1 IV + 12 SC</w:t>
            </w:r>
          </w:p>
        </w:tc>
      </w:tr>
      <w:tr w:rsidR="003D33D8" w14:paraId="393528F8" w14:textId="77777777" w:rsidTr="00334F4B">
        <w:tc>
          <w:tcPr>
            <w:tcW w:w="3004" w:type="dxa"/>
          </w:tcPr>
          <w:p w14:paraId="19E9EA17" w14:textId="77777777" w:rsidR="003D33D8" w:rsidRPr="00B71397" w:rsidRDefault="003D33D8" w:rsidP="00334F4B">
            <w:pPr>
              <w:pStyle w:val="TableText0"/>
            </w:pPr>
            <w:r w:rsidRPr="00B71397">
              <w:t>Total medicine cost over two years</w:t>
            </w:r>
          </w:p>
        </w:tc>
        <w:tc>
          <w:tcPr>
            <w:tcW w:w="3008" w:type="dxa"/>
          </w:tcPr>
          <w:p w14:paraId="3DC642A8" w14:textId="77777777" w:rsidR="003D33D8" w:rsidRPr="00B71397" w:rsidRDefault="003D33D8" w:rsidP="00CA7E68">
            <w:pPr>
              <w:pStyle w:val="TableText0"/>
              <w:jc w:val="center"/>
            </w:pPr>
            <w:r w:rsidRPr="00B71397">
              <w:t>$103,943.03</w:t>
            </w:r>
          </w:p>
        </w:tc>
        <w:tc>
          <w:tcPr>
            <w:tcW w:w="3005" w:type="dxa"/>
          </w:tcPr>
          <w:p w14:paraId="79F7F9C0" w14:textId="77777777" w:rsidR="003D33D8" w:rsidRPr="00B71397" w:rsidRDefault="003D33D8" w:rsidP="00CA7E68">
            <w:pPr>
              <w:pStyle w:val="TableText0"/>
              <w:jc w:val="center"/>
            </w:pPr>
            <w:r w:rsidRPr="00B71397">
              <w:t>$103,943.03</w:t>
            </w:r>
          </w:p>
        </w:tc>
      </w:tr>
      <w:tr w:rsidR="003D33D8" w14:paraId="4484039F" w14:textId="77777777" w:rsidTr="00334F4B">
        <w:tc>
          <w:tcPr>
            <w:tcW w:w="3004" w:type="dxa"/>
          </w:tcPr>
          <w:p w14:paraId="4771936D" w14:textId="77777777" w:rsidR="003D33D8" w:rsidRPr="00B71397" w:rsidRDefault="003D33D8" w:rsidP="00334F4B">
            <w:pPr>
              <w:pStyle w:val="TableText0"/>
            </w:pPr>
            <w:r w:rsidRPr="00B71397">
              <w:t>Difference in cost</w:t>
            </w:r>
          </w:p>
        </w:tc>
        <w:tc>
          <w:tcPr>
            <w:tcW w:w="3008" w:type="dxa"/>
          </w:tcPr>
          <w:p w14:paraId="6B319490" w14:textId="77777777" w:rsidR="003D33D8" w:rsidRPr="00B71397" w:rsidRDefault="003D33D8" w:rsidP="00CA7E68">
            <w:pPr>
              <w:pStyle w:val="TableText0"/>
              <w:jc w:val="center"/>
            </w:pPr>
            <w:r w:rsidRPr="00B71397">
              <w:t>$0</w:t>
            </w:r>
          </w:p>
        </w:tc>
        <w:tc>
          <w:tcPr>
            <w:tcW w:w="3005" w:type="dxa"/>
          </w:tcPr>
          <w:p w14:paraId="681D3B97" w14:textId="77777777" w:rsidR="003D33D8" w:rsidRPr="00B71397" w:rsidRDefault="003D33D8" w:rsidP="00CA7E68">
            <w:pPr>
              <w:pStyle w:val="TableText0"/>
              <w:jc w:val="center"/>
            </w:pPr>
            <w:r w:rsidRPr="00B71397">
              <w:t>-</w:t>
            </w:r>
          </w:p>
        </w:tc>
      </w:tr>
    </w:tbl>
    <w:p w14:paraId="178BB698" w14:textId="77777777" w:rsidR="003D33D8" w:rsidRDefault="003D33D8" w:rsidP="003D33D8">
      <w:pPr>
        <w:pStyle w:val="TableFigureFooter"/>
      </w:pPr>
      <w:r>
        <w:t xml:space="preserve">Source: Table 3-7, p143 </w:t>
      </w:r>
      <w:r w:rsidRPr="00D13A3E">
        <w:t xml:space="preserve">of the </w:t>
      </w:r>
      <w:r>
        <w:t>submission.</w:t>
      </w:r>
    </w:p>
    <w:p w14:paraId="65E891CD" w14:textId="77777777" w:rsidR="003D33D8" w:rsidRDefault="003D33D8" w:rsidP="003D33D8">
      <w:pPr>
        <w:pStyle w:val="TableFigureFooter"/>
      </w:pPr>
      <w:r>
        <w:t xml:space="preserve">Abbreviations: AEMP, approved ex-manufacturer price; </w:t>
      </w:r>
      <w:r w:rsidRPr="005645CD">
        <w:t>IV</w:t>
      </w:r>
      <w:r>
        <w:t xml:space="preserve">, </w:t>
      </w:r>
      <w:r w:rsidRPr="005645CD">
        <w:t>intravenous</w:t>
      </w:r>
      <w:r>
        <w:t xml:space="preserve">; </w:t>
      </w:r>
      <w:r w:rsidRPr="00A37AEE">
        <w:t>SC, subcutaneous.</w:t>
      </w:r>
    </w:p>
    <w:p w14:paraId="262E423C" w14:textId="77777777" w:rsidR="003D33D8" w:rsidRDefault="003D33D8" w:rsidP="003D33D8">
      <w:pPr>
        <w:pStyle w:val="TableFigureFooter"/>
      </w:pPr>
      <w:r w:rsidRPr="00F7151A">
        <w:rPr>
          <w:vertAlign w:val="superscript"/>
        </w:rPr>
        <w:t xml:space="preserve">a </w:t>
      </w:r>
      <w:r w:rsidRPr="008E62EC">
        <w:t>flat priced for IV and SC vials or devices.</w:t>
      </w:r>
    </w:p>
    <w:p w14:paraId="57AFCCB1" w14:textId="77777777" w:rsidR="003D33D8" w:rsidRPr="00094B79" w:rsidRDefault="003D33D8" w:rsidP="003D33D8">
      <w:pPr>
        <w:pStyle w:val="TableFigureFooter"/>
      </w:pPr>
      <w:r w:rsidRPr="00094B79">
        <w:rPr>
          <w:vertAlign w:val="superscript"/>
        </w:rPr>
        <w:lastRenderedPageBreak/>
        <w:t>b</w:t>
      </w:r>
      <w:r w:rsidRPr="00094B79">
        <w:t xml:space="preserve"> published AEMP.</w:t>
      </w:r>
    </w:p>
    <w:p w14:paraId="0E4C746D" w14:textId="77777777" w:rsidR="003D33D8" w:rsidRPr="008A4B69" w:rsidRDefault="003D33D8" w:rsidP="003D33D8">
      <w:pPr>
        <w:pStyle w:val="TableFigureFooter"/>
        <w:rPr>
          <w:iCs/>
          <w:vertAlign w:val="superscript"/>
        </w:rPr>
      </w:pPr>
      <w:r w:rsidRPr="008A4B69">
        <w:rPr>
          <w:iCs/>
          <w:vertAlign w:val="superscript"/>
        </w:rPr>
        <w:t xml:space="preserve">c </w:t>
      </w:r>
      <w:r w:rsidRPr="00C0039D">
        <w:t>adjusted for last dose covering 4 weeks beyond Year 2.</w:t>
      </w:r>
    </w:p>
    <w:p w14:paraId="261B3013" w14:textId="52349D52" w:rsidR="003D33D8" w:rsidRDefault="003D33D8" w:rsidP="003D33D8">
      <w:pPr>
        <w:pStyle w:val="TableFigureFooter"/>
      </w:pPr>
      <w:r w:rsidRPr="00094B79">
        <w:rPr>
          <w:vertAlign w:val="superscript"/>
        </w:rPr>
        <w:t xml:space="preserve">d </w:t>
      </w:r>
      <w:r w:rsidRPr="00094B79">
        <w:t>including average vials of the initial doses derived from PBS utilisation</w:t>
      </w:r>
    </w:p>
    <w:p w14:paraId="47842C67" w14:textId="6483B4B9" w:rsidR="00DF6B34" w:rsidRPr="00DF6B34" w:rsidRDefault="00DF6B34" w:rsidP="003D33D8">
      <w:pPr>
        <w:pStyle w:val="TableFigureFooter"/>
      </w:pPr>
      <w:r>
        <w:rPr>
          <w:vertAlign w:val="superscript"/>
        </w:rPr>
        <w:t xml:space="preserve">e </w:t>
      </w:r>
      <w:r>
        <w:t>MBS item 116</w:t>
      </w:r>
    </w:p>
    <w:p w14:paraId="7C0FFE66" w14:textId="5F8DDAE5" w:rsidR="003D33D8" w:rsidRDefault="003D33D8" w:rsidP="003D33D8">
      <w:pPr>
        <w:pStyle w:val="TableFigureFooter"/>
      </w:pPr>
    </w:p>
    <w:p w14:paraId="0C9F836C" w14:textId="0179B16D" w:rsidR="003D33D8" w:rsidRPr="00A56023" w:rsidRDefault="003D33D8" w:rsidP="00A56023">
      <w:pPr>
        <w:pStyle w:val="TableFigureHeading"/>
        <w:rPr>
          <w:rStyle w:val="CommentReference"/>
          <w:b/>
          <w:szCs w:val="24"/>
        </w:rPr>
      </w:pPr>
      <w:bookmarkStart w:id="36" w:name="_Ref101959517"/>
      <w:r w:rsidRPr="00656188">
        <w:rPr>
          <w:rStyle w:val="CommentReference"/>
          <w:b/>
          <w:szCs w:val="24"/>
        </w:rPr>
        <w:t xml:space="preserve">Table </w:t>
      </w:r>
      <w:bookmarkEnd w:id="36"/>
      <w:r w:rsidR="004D3A8A">
        <w:t>12</w:t>
      </w:r>
      <w:r w:rsidRPr="00656188">
        <w:rPr>
          <w:rStyle w:val="CommentReference"/>
          <w:b/>
          <w:szCs w:val="24"/>
        </w:rPr>
        <w:t>: Results of the cost-minimisation analysis</w:t>
      </w:r>
      <w:r>
        <w:rPr>
          <w:rStyle w:val="CommentReference"/>
          <w:b/>
          <w:szCs w:val="24"/>
        </w:rPr>
        <w:t xml:space="preserve"> – </w:t>
      </w:r>
      <w:r w:rsidRPr="00DF7EC6">
        <w:rPr>
          <w:rStyle w:val="CommentReference"/>
          <w:b/>
          <w:szCs w:val="24"/>
        </w:rPr>
        <w:t>fistulising Crohn’s disease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8"/>
        <w:gridCol w:w="3004"/>
      </w:tblGrid>
      <w:tr w:rsidR="003D33D8" w:rsidRPr="00383B78" w14:paraId="4683357B" w14:textId="77777777" w:rsidTr="00334F4B">
        <w:tc>
          <w:tcPr>
            <w:tcW w:w="3005" w:type="dxa"/>
          </w:tcPr>
          <w:p w14:paraId="5E817D28" w14:textId="77777777" w:rsidR="003D33D8" w:rsidRPr="00383B78" w:rsidRDefault="003D33D8" w:rsidP="00334F4B">
            <w:pPr>
              <w:pStyle w:val="In-tableHeading"/>
            </w:pPr>
            <w:r>
              <w:t>Component</w:t>
            </w:r>
          </w:p>
        </w:tc>
        <w:tc>
          <w:tcPr>
            <w:tcW w:w="3008" w:type="dxa"/>
          </w:tcPr>
          <w:p w14:paraId="28AB46D7" w14:textId="77777777" w:rsidR="003D33D8" w:rsidRPr="00383B78" w:rsidRDefault="003D33D8" w:rsidP="00CA7E68">
            <w:pPr>
              <w:pStyle w:val="In-tableHeading"/>
              <w:jc w:val="center"/>
            </w:pPr>
            <w:r>
              <w:t>Risankizumab</w:t>
            </w:r>
          </w:p>
        </w:tc>
        <w:tc>
          <w:tcPr>
            <w:tcW w:w="3004" w:type="dxa"/>
          </w:tcPr>
          <w:p w14:paraId="4DC981BE" w14:textId="77777777" w:rsidR="003D33D8" w:rsidRPr="00383B78" w:rsidRDefault="003D33D8" w:rsidP="00CA7E68">
            <w:pPr>
              <w:pStyle w:val="In-tableHeading"/>
              <w:jc w:val="center"/>
            </w:pPr>
            <w:r>
              <w:t>Adalimumab</w:t>
            </w:r>
          </w:p>
        </w:tc>
      </w:tr>
      <w:tr w:rsidR="003D33D8" w14:paraId="0CEF65CD" w14:textId="77777777" w:rsidTr="00334F4B">
        <w:tc>
          <w:tcPr>
            <w:tcW w:w="3005" w:type="dxa"/>
          </w:tcPr>
          <w:p w14:paraId="32A79942" w14:textId="77777777" w:rsidR="003D33D8" w:rsidRPr="00994C7E" w:rsidRDefault="003D33D8" w:rsidP="00334F4B">
            <w:pPr>
              <w:pStyle w:val="TableText0"/>
            </w:pPr>
            <w:r w:rsidRPr="00994C7E">
              <w:t>Cost per vial (AEMP)</w:t>
            </w:r>
          </w:p>
        </w:tc>
        <w:tc>
          <w:tcPr>
            <w:tcW w:w="3008" w:type="dxa"/>
          </w:tcPr>
          <w:p w14:paraId="62AF5031" w14:textId="6B0CA8DC" w:rsidR="003D33D8" w:rsidRPr="00F34308" w:rsidRDefault="003D33D8" w:rsidP="00CA7E68">
            <w:pPr>
              <w:pStyle w:val="TableText0"/>
              <w:jc w:val="center"/>
              <w:rPr>
                <w:highlight w:val="yellow"/>
              </w:rPr>
            </w:pPr>
            <w:r w:rsidRPr="00956EA3">
              <w:t>$</w:t>
            </w:r>
            <w:r w:rsidR="00981AF2" w:rsidRPr="00981AF2">
              <w:rPr>
                <w:color w:val="000000"/>
                <w:shd w:val="solid" w:color="000000" w:fill="000000"/>
                <w14:textFill>
                  <w14:solidFill>
                    <w14:srgbClr w14:val="000000">
                      <w14:alpha w14:val="100000"/>
                    </w14:srgbClr>
                  </w14:solidFill>
                </w14:textFill>
              </w:rPr>
              <w:t>|</w:t>
            </w:r>
            <w:r w:rsidRPr="00956EA3">
              <w:rPr>
                <w:vertAlign w:val="superscript"/>
              </w:rPr>
              <w:t>a</w:t>
            </w:r>
          </w:p>
        </w:tc>
        <w:tc>
          <w:tcPr>
            <w:tcW w:w="3004" w:type="dxa"/>
          </w:tcPr>
          <w:p w14:paraId="7AA4521F" w14:textId="77777777" w:rsidR="003D33D8" w:rsidRPr="00956EA3" w:rsidRDefault="003D33D8" w:rsidP="00CA7E68">
            <w:pPr>
              <w:pStyle w:val="TableText0"/>
              <w:jc w:val="center"/>
            </w:pPr>
            <w:r w:rsidRPr="00956EA3">
              <w:t>$409.27</w:t>
            </w:r>
            <w:r w:rsidRPr="00956EA3">
              <w:rPr>
                <w:vertAlign w:val="superscript"/>
              </w:rPr>
              <w:t>b</w:t>
            </w:r>
          </w:p>
        </w:tc>
      </w:tr>
      <w:tr w:rsidR="003D33D8" w14:paraId="079349A9" w14:textId="77777777" w:rsidTr="00334F4B">
        <w:tc>
          <w:tcPr>
            <w:tcW w:w="3005" w:type="dxa"/>
          </w:tcPr>
          <w:p w14:paraId="57212ABC" w14:textId="37873CF0" w:rsidR="003D33D8" w:rsidRPr="00994C7E" w:rsidRDefault="00804156" w:rsidP="00334F4B">
            <w:pPr>
              <w:pStyle w:val="TableText0"/>
            </w:pPr>
            <w:r>
              <w:t>Treatment duration</w:t>
            </w:r>
          </w:p>
        </w:tc>
        <w:tc>
          <w:tcPr>
            <w:tcW w:w="3008" w:type="dxa"/>
          </w:tcPr>
          <w:p w14:paraId="2E715028" w14:textId="77777777" w:rsidR="003D33D8" w:rsidRPr="00994C7E" w:rsidRDefault="003D33D8" w:rsidP="00CA7E68">
            <w:pPr>
              <w:pStyle w:val="TableText0"/>
              <w:jc w:val="center"/>
            </w:pPr>
            <w:r w:rsidRPr="00994C7E">
              <w:t>two years</w:t>
            </w:r>
          </w:p>
        </w:tc>
        <w:tc>
          <w:tcPr>
            <w:tcW w:w="3004" w:type="dxa"/>
          </w:tcPr>
          <w:p w14:paraId="4C1CCA8C" w14:textId="77777777" w:rsidR="003D33D8" w:rsidRPr="00956EA3" w:rsidRDefault="003D33D8" w:rsidP="00CA7E68">
            <w:pPr>
              <w:pStyle w:val="TableText0"/>
              <w:jc w:val="center"/>
            </w:pPr>
            <w:r w:rsidRPr="00956EA3">
              <w:t>two years</w:t>
            </w:r>
          </w:p>
        </w:tc>
      </w:tr>
      <w:tr w:rsidR="003D33D8" w14:paraId="0F5AD432" w14:textId="77777777" w:rsidTr="00334F4B">
        <w:tc>
          <w:tcPr>
            <w:tcW w:w="3005" w:type="dxa"/>
          </w:tcPr>
          <w:p w14:paraId="387D81FB" w14:textId="77777777" w:rsidR="003D33D8" w:rsidRPr="00994C7E" w:rsidRDefault="003D33D8" w:rsidP="00334F4B">
            <w:pPr>
              <w:pStyle w:val="TableText0"/>
            </w:pPr>
            <w:r w:rsidRPr="00994C7E">
              <w:t>Vials over two years</w:t>
            </w:r>
          </w:p>
        </w:tc>
        <w:tc>
          <w:tcPr>
            <w:tcW w:w="3008" w:type="dxa"/>
          </w:tcPr>
          <w:p w14:paraId="41F04CC1" w14:textId="77777777" w:rsidR="003D33D8" w:rsidRPr="00994C7E" w:rsidRDefault="003D33D8" w:rsidP="00CA7E68">
            <w:pPr>
              <w:pStyle w:val="TableText0"/>
              <w:jc w:val="center"/>
            </w:pPr>
            <w:r w:rsidRPr="00994C7E">
              <w:t>14.5</w:t>
            </w:r>
            <w:r w:rsidRPr="00994C7E">
              <w:rPr>
                <w:vertAlign w:val="superscript"/>
              </w:rPr>
              <w:t xml:space="preserve"> c</w:t>
            </w:r>
          </w:p>
        </w:tc>
        <w:tc>
          <w:tcPr>
            <w:tcW w:w="3004" w:type="dxa"/>
          </w:tcPr>
          <w:p w14:paraId="3ABD6866" w14:textId="77777777" w:rsidR="003D33D8" w:rsidRPr="00956EA3" w:rsidRDefault="003D33D8" w:rsidP="00CA7E68">
            <w:pPr>
              <w:pStyle w:val="TableText0"/>
              <w:jc w:val="center"/>
            </w:pPr>
            <w:r w:rsidRPr="00956EA3">
              <w:t>56</w:t>
            </w:r>
          </w:p>
        </w:tc>
      </w:tr>
      <w:tr w:rsidR="003D33D8" w14:paraId="41B5090C" w14:textId="77777777" w:rsidTr="00334F4B">
        <w:tc>
          <w:tcPr>
            <w:tcW w:w="3005" w:type="dxa"/>
          </w:tcPr>
          <w:p w14:paraId="2A8B2C0D" w14:textId="77777777" w:rsidR="003D33D8" w:rsidRPr="00994C7E" w:rsidRDefault="003D33D8" w:rsidP="00334F4B">
            <w:pPr>
              <w:pStyle w:val="TableText0"/>
            </w:pPr>
            <w:r w:rsidRPr="00994C7E">
              <w:t>Administration cost per dose</w:t>
            </w:r>
          </w:p>
          <w:p w14:paraId="3825B6CE" w14:textId="77777777" w:rsidR="003D33D8" w:rsidRPr="00994C7E" w:rsidRDefault="003D33D8" w:rsidP="00A93A3B">
            <w:pPr>
              <w:pStyle w:val="TableText0"/>
              <w:numPr>
                <w:ilvl w:val="0"/>
                <w:numId w:val="10"/>
              </w:numPr>
            </w:pPr>
            <w:r w:rsidRPr="00994C7E">
              <w:t>IV</w:t>
            </w:r>
          </w:p>
          <w:p w14:paraId="19E2CCA3" w14:textId="77777777" w:rsidR="003D33D8" w:rsidRPr="00994C7E" w:rsidRDefault="003D33D8" w:rsidP="00A93A3B">
            <w:pPr>
              <w:pStyle w:val="TableText0"/>
              <w:numPr>
                <w:ilvl w:val="0"/>
                <w:numId w:val="10"/>
              </w:numPr>
            </w:pPr>
            <w:r w:rsidRPr="00994C7E">
              <w:t>SC</w:t>
            </w:r>
          </w:p>
        </w:tc>
        <w:tc>
          <w:tcPr>
            <w:tcW w:w="3008" w:type="dxa"/>
          </w:tcPr>
          <w:p w14:paraId="2CD14DDA" w14:textId="77777777" w:rsidR="003D33D8" w:rsidRPr="00994C7E" w:rsidRDefault="003D33D8" w:rsidP="00CA7E68">
            <w:pPr>
              <w:pStyle w:val="TableText0"/>
              <w:jc w:val="center"/>
            </w:pPr>
          </w:p>
          <w:p w14:paraId="74A4665B" w14:textId="25B81D90" w:rsidR="003D33D8" w:rsidRPr="00DF6B34" w:rsidRDefault="003D33D8" w:rsidP="00CA7E68">
            <w:pPr>
              <w:pStyle w:val="TableText0"/>
              <w:jc w:val="center"/>
              <w:rPr>
                <w:vertAlign w:val="superscript"/>
              </w:rPr>
            </w:pPr>
            <w:r w:rsidRPr="00994C7E">
              <w:t>$79.75</w:t>
            </w:r>
            <w:r w:rsidR="00DF6B34">
              <w:rPr>
                <w:vertAlign w:val="superscript"/>
              </w:rPr>
              <w:t>d</w:t>
            </w:r>
          </w:p>
          <w:p w14:paraId="61F799CE" w14:textId="77777777" w:rsidR="003D33D8" w:rsidRPr="00994C7E" w:rsidRDefault="003D33D8" w:rsidP="00CA7E68">
            <w:pPr>
              <w:pStyle w:val="TableText0"/>
              <w:jc w:val="center"/>
            </w:pPr>
            <w:r w:rsidRPr="00994C7E">
              <w:t>$0</w:t>
            </w:r>
          </w:p>
        </w:tc>
        <w:tc>
          <w:tcPr>
            <w:tcW w:w="3004" w:type="dxa"/>
          </w:tcPr>
          <w:p w14:paraId="72D471A3" w14:textId="77777777" w:rsidR="003D33D8" w:rsidRPr="00956EA3" w:rsidRDefault="003D33D8" w:rsidP="00CA7E68">
            <w:pPr>
              <w:pStyle w:val="TableText0"/>
              <w:jc w:val="center"/>
            </w:pPr>
          </w:p>
          <w:p w14:paraId="54F7CE60" w14:textId="54F82BE9" w:rsidR="003D33D8" w:rsidRPr="00956EA3" w:rsidRDefault="003D33D8" w:rsidP="00CA7E68">
            <w:pPr>
              <w:pStyle w:val="TableText0"/>
              <w:jc w:val="center"/>
            </w:pPr>
            <w:r w:rsidRPr="00956EA3">
              <w:t>$0</w:t>
            </w:r>
          </w:p>
        </w:tc>
      </w:tr>
      <w:tr w:rsidR="003D33D8" w14:paraId="2303B080" w14:textId="77777777" w:rsidTr="00334F4B">
        <w:tc>
          <w:tcPr>
            <w:tcW w:w="3005" w:type="dxa"/>
          </w:tcPr>
          <w:p w14:paraId="5928F8D6" w14:textId="77777777" w:rsidR="003D33D8" w:rsidRPr="00994C7E" w:rsidRDefault="003D33D8" w:rsidP="00334F4B">
            <w:pPr>
              <w:pStyle w:val="TableText0"/>
            </w:pPr>
            <w:r w:rsidRPr="00994C7E">
              <w:t>Doses over two years</w:t>
            </w:r>
          </w:p>
        </w:tc>
        <w:tc>
          <w:tcPr>
            <w:tcW w:w="3008" w:type="dxa"/>
          </w:tcPr>
          <w:p w14:paraId="13DEFDAA" w14:textId="4AECDCEB" w:rsidR="003D33D8" w:rsidRPr="00956EA3" w:rsidRDefault="003D33D8" w:rsidP="00CA7E68">
            <w:pPr>
              <w:pStyle w:val="TableText0"/>
              <w:jc w:val="center"/>
            </w:pPr>
            <w:r w:rsidRPr="00956EA3">
              <w:t>3 IV + 11.5 SC</w:t>
            </w:r>
            <w:r w:rsidRPr="00956EA3">
              <w:rPr>
                <w:vertAlign w:val="superscript"/>
              </w:rPr>
              <w:t>c</w:t>
            </w:r>
          </w:p>
        </w:tc>
        <w:tc>
          <w:tcPr>
            <w:tcW w:w="3004" w:type="dxa"/>
          </w:tcPr>
          <w:p w14:paraId="6CB62704" w14:textId="57CFABA1" w:rsidR="003D33D8" w:rsidRPr="00956EA3" w:rsidRDefault="003D33D8" w:rsidP="00CA7E68">
            <w:pPr>
              <w:pStyle w:val="TableText0"/>
              <w:jc w:val="center"/>
            </w:pPr>
            <w:r w:rsidRPr="00956EA3">
              <w:t>5</w:t>
            </w:r>
            <w:r w:rsidR="00793671" w:rsidRPr="00956EA3">
              <w:t>6</w:t>
            </w:r>
            <w:r w:rsidRPr="00956EA3">
              <w:t xml:space="preserve"> SC</w:t>
            </w:r>
          </w:p>
        </w:tc>
      </w:tr>
      <w:tr w:rsidR="003D33D8" w14:paraId="731DC5FF" w14:textId="77777777" w:rsidTr="00334F4B">
        <w:tc>
          <w:tcPr>
            <w:tcW w:w="3005" w:type="dxa"/>
          </w:tcPr>
          <w:p w14:paraId="5F96F5A4" w14:textId="77777777" w:rsidR="003D33D8" w:rsidRPr="00994C7E" w:rsidRDefault="003D33D8" w:rsidP="00334F4B">
            <w:pPr>
              <w:pStyle w:val="TableText0"/>
            </w:pPr>
            <w:r w:rsidRPr="00994C7E">
              <w:t>Total medicine cost over two years</w:t>
            </w:r>
          </w:p>
        </w:tc>
        <w:tc>
          <w:tcPr>
            <w:tcW w:w="3008" w:type="dxa"/>
          </w:tcPr>
          <w:p w14:paraId="3D5A77EF" w14:textId="1A76E166" w:rsidR="003D33D8" w:rsidRPr="00956EA3" w:rsidRDefault="003D33D8" w:rsidP="00CA7E68">
            <w:pPr>
              <w:pStyle w:val="TableText0"/>
              <w:jc w:val="center"/>
            </w:pPr>
            <w:r w:rsidRPr="00956EA3">
              <w:t xml:space="preserve">$ </w:t>
            </w:r>
            <w:r w:rsidR="00981AF2" w:rsidRPr="00981AF2">
              <w:rPr>
                <w:color w:val="000000"/>
                <w:shd w:val="solid" w:color="000000" w:fill="000000"/>
                <w14:textFill>
                  <w14:solidFill>
                    <w14:srgbClr w14:val="000000">
                      <w14:alpha w14:val="100000"/>
                    </w14:srgbClr>
                  </w14:solidFill>
                </w14:textFill>
              </w:rPr>
              <w:t>|</w:t>
            </w:r>
          </w:p>
        </w:tc>
        <w:tc>
          <w:tcPr>
            <w:tcW w:w="3004" w:type="dxa"/>
          </w:tcPr>
          <w:p w14:paraId="52B7E01E" w14:textId="77777777" w:rsidR="003D33D8" w:rsidRPr="00956EA3" w:rsidRDefault="003D33D8" w:rsidP="00CA7E68">
            <w:pPr>
              <w:pStyle w:val="TableText0"/>
              <w:jc w:val="center"/>
            </w:pPr>
            <w:r w:rsidRPr="00956EA3">
              <w:t>$ 22,919.12</w:t>
            </w:r>
          </w:p>
        </w:tc>
      </w:tr>
      <w:tr w:rsidR="003D33D8" w14:paraId="42877E5A" w14:textId="77777777" w:rsidTr="00334F4B">
        <w:tc>
          <w:tcPr>
            <w:tcW w:w="3005" w:type="dxa"/>
          </w:tcPr>
          <w:p w14:paraId="5841C571" w14:textId="77777777" w:rsidR="003D33D8" w:rsidRDefault="003D33D8" w:rsidP="00334F4B">
            <w:pPr>
              <w:pStyle w:val="TableText0"/>
            </w:pPr>
            <w:r>
              <w:t>Difference in cost</w:t>
            </w:r>
          </w:p>
        </w:tc>
        <w:tc>
          <w:tcPr>
            <w:tcW w:w="3008" w:type="dxa"/>
          </w:tcPr>
          <w:p w14:paraId="6E4058FD" w14:textId="34581AA5" w:rsidR="003D33D8" w:rsidRDefault="003D33D8" w:rsidP="00CA7E68">
            <w:pPr>
              <w:pStyle w:val="TableText0"/>
              <w:jc w:val="center"/>
            </w:pPr>
            <w:r>
              <w:t>$</w:t>
            </w:r>
            <w:r w:rsidR="00981AF2" w:rsidRPr="00981AF2">
              <w:rPr>
                <w:color w:val="000000"/>
                <w:shd w:val="solid" w:color="000000" w:fill="000000"/>
                <w14:textFill>
                  <w14:solidFill>
                    <w14:srgbClr w14:val="000000">
                      <w14:alpha w14:val="100000"/>
                    </w14:srgbClr>
                  </w14:solidFill>
                </w14:textFill>
              </w:rPr>
              <w:t>|</w:t>
            </w:r>
          </w:p>
        </w:tc>
        <w:tc>
          <w:tcPr>
            <w:tcW w:w="3004" w:type="dxa"/>
          </w:tcPr>
          <w:p w14:paraId="35A2D30E" w14:textId="77777777" w:rsidR="003D33D8" w:rsidRDefault="003D33D8" w:rsidP="00CA7E68">
            <w:pPr>
              <w:pStyle w:val="TableText0"/>
              <w:jc w:val="center"/>
            </w:pPr>
            <w:r>
              <w:t>-</w:t>
            </w:r>
          </w:p>
        </w:tc>
      </w:tr>
    </w:tbl>
    <w:p w14:paraId="63071A5C" w14:textId="77777777" w:rsidR="003D33D8" w:rsidRDefault="003D33D8" w:rsidP="003D33D8">
      <w:pPr>
        <w:pStyle w:val="TableFigureFooter"/>
      </w:pPr>
      <w:r>
        <w:t xml:space="preserve">Source: Table 3-9, p144 </w:t>
      </w:r>
      <w:r w:rsidRPr="00D13A3E">
        <w:t xml:space="preserve">of the </w:t>
      </w:r>
      <w:r>
        <w:t>submission.</w:t>
      </w:r>
    </w:p>
    <w:p w14:paraId="228B2932" w14:textId="77777777" w:rsidR="003D33D8" w:rsidRDefault="003D33D8" w:rsidP="003D33D8">
      <w:pPr>
        <w:pStyle w:val="TableFigureFooter"/>
      </w:pPr>
      <w:r>
        <w:t>Abbreviations:</w:t>
      </w:r>
      <w:r w:rsidRPr="00A37AEE">
        <w:t xml:space="preserve"> </w:t>
      </w:r>
      <w:r>
        <w:t xml:space="preserve">AEMP, approved ex-manufacturer price; </w:t>
      </w:r>
      <w:r w:rsidRPr="005645CD">
        <w:t>IV</w:t>
      </w:r>
      <w:r>
        <w:t xml:space="preserve">, </w:t>
      </w:r>
      <w:r w:rsidRPr="005645CD">
        <w:t>intravenous</w:t>
      </w:r>
      <w:r>
        <w:t xml:space="preserve">; </w:t>
      </w:r>
      <w:r w:rsidRPr="00A37AEE">
        <w:t>SC,</w:t>
      </w:r>
      <w:r w:rsidRPr="004E5653">
        <w:t xml:space="preserve"> </w:t>
      </w:r>
      <w:r w:rsidRPr="00A37AEE">
        <w:t>subcutaneous.</w:t>
      </w:r>
    </w:p>
    <w:p w14:paraId="4FB81A9C" w14:textId="77777777" w:rsidR="003D33D8" w:rsidRDefault="003D33D8" w:rsidP="003D33D8">
      <w:pPr>
        <w:pStyle w:val="TableFigureFooter"/>
      </w:pPr>
      <w:r w:rsidRPr="00F7151A">
        <w:rPr>
          <w:vertAlign w:val="superscript"/>
        </w:rPr>
        <w:t xml:space="preserve">a </w:t>
      </w:r>
      <w:r w:rsidRPr="008E62EC">
        <w:t>flat priced for IV and SC vials or devices.</w:t>
      </w:r>
    </w:p>
    <w:p w14:paraId="64E1BC65" w14:textId="77777777" w:rsidR="003D33D8" w:rsidRPr="00094B79" w:rsidRDefault="003D33D8" w:rsidP="003D33D8">
      <w:pPr>
        <w:pStyle w:val="TableFigureFooter"/>
      </w:pPr>
      <w:r w:rsidRPr="00094B79">
        <w:rPr>
          <w:vertAlign w:val="superscript"/>
        </w:rPr>
        <w:t>b</w:t>
      </w:r>
      <w:r w:rsidRPr="00094B79">
        <w:t xml:space="preserve"> published AEMP.</w:t>
      </w:r>
    </w:p>
    <w:p w14:paraId="1BBE9C77" w14:textId="7B93239F" w:rsidR="000C153A" w:rsidRDefault="003D33D8" w:rsidP="00C802A9">
      <w:pPr>
        <w:pStyle w:val="TableFigureFooter"/>
      </w:pPr>
      <w:r w:rsidRPr="008A4B69">
        <w:rPr>
          <w:iCs/>
          <w:vertAlign w:val="superscript"/>
        </w:rPr>
        <w:t xml:space="preserve">c </w:t>
      </w:r>
      <w:r w:rsidRPr="00C0039D">
        <w:t>adjusted for last dose covering 4 weeks beyond Year 2.</w:t>
      </w:r>
    </w:p>
    <w:p w14:paraId="315F0D35" w14:textId="2679B241" w:rsidR="00DF6B34" w:rsidRPr="00DF6B34" w:rsidRDefault="00DF6B34" w:rsidP="00DF6B34">
      <w:pPr>
        <w:pStyle w:val="TableFigureFooter"/>
      </w:pPr>
      <w:r>
        <w:rPr>
          <w:vertAlign w:val="superscript"/>
        </w:rPr>
        <w:t xml:space="preserve">d </w:t>
      </w:r>
      <w:r>
        <w:t>MBS item 116</w:t>
      </w:r>
    </w:p>
    <w:p w14:paraId="56CA7E60" w14:textId="7A8C8893" w:rsidR="00DF6B34" w:rsidRPr="008A4B69" w:rsidRDefault="00DF6B34" w:rsidP="00C802A9">
      <w:pPr>
        <w:pStyle w:val="TableFigureFooter"/>
        <w:rPr>
          <w:iCs/>
          <w:vertAlign w:val="superscript"/>
        </w:rPr>
      </w:pPr>
    </w:p>
    <w:p w14:paraId="76230A8A" w14:textId="6D2A9FA8" w:rsidR="00F46335" w:rsidRPr="008A4B69" w:rsidRDefault="00F46335" w:rsidP="00465970">
      <w:pPr>
        <w:pStyle w:val="3-BodyText"/>
        <w:ind w:left="709"/>
        <w:rPr>
          <w:rFonts w:cstheme="minorBidi"/>
          <w:iCs/>
        </w:rPr>
      </w:pPr>
      <w:r w:rsidRPr="008A4B69">
        <w:rPr>
          <w:rFonts w:cstheme="minorBidi"/>
          <w:iCs/>
        </w:rPr>
        <w:t xml:space="preserve">The ESC advised the cost minimisation approach was reliable for decision-making for the severe CD population only, as the claim of non-inferiority to alternative therapies in FCD was not supported by the available evidence. </w:t>
      </w:r>
    </w:p>
    <w:p w14:paraId="472842D7" w14:textId="69597523" w:rsidR="00C25D9C" w:rsidRDefault="00C25D9C" w:rsidP="00BB732D">
      <w:pPr>
        <w:pStyle w:val="4-SubsectionHeading"/>
      </w:pPr>
      <w:bookmarkStart w:id="37" w:name="_Toc103776029"/>
      <w:r w:rsidRPr="002C2775">
        <w:t>Drug cost/patient/year</w:t>
      </w:r>
      <w:bookmarkEnd w:id="37"/>
    </w:p>
    <w:p w14:paraId="053CE91A" w14:textId="6D688E69" w:rsidR="00CE62A7" w:rsidRPr="008A4B69" w:rsidRDefault="00C60381" w:rsidP="00465970">
      <w:pPr>
        <w:pStyle w:val="3-BodyText"/>
        <w:ind w:left="709"/>
        <w:rPr>
          <w:iCs/>
        </w:rPr>
      </w:pPr>
      <w:r w:rsidRPr="170A8049">
        <w:t>The submission presented the cost per patient per year for severe CD and FCD based on the published price of ustekinumab and adalimumab</w:t>
      </w:r>
      <w:r w:rsidR="004D6B91">
        <w:rPr>
          <w:iCs/>
        </w:rPr>
        <w:t xml:space="preserve"> </w:t>
      </w:r>
      <w:r w:rsidR="004D6B91" w:rsidRPr="170A8049">
        <w:t>(</w:t>
      </w:r>
      <w:r w:rsidR="007A6536" w:rsidRPr="00646518">
        <w:fldChar w:fldCharType="begin" w:fldLock="1"/>
      </w:r>
      <w:r w:rsidR="007A6536" w:rsidRPr="00646518">
        <w:instrText xml:space="preserve"> REF _Ref101963285 \h </w:instrText>
      </w:r>
      <w:r w:rsidR="00646518" w:rsidRPr="00646518">
        <w:instrText xml:space="preserve"> \* MERGEFORMAT </w:instrText>
      </w:r>
      <w:r w:rsidR="007A6536" w:rsidRPr="00646518">
        <w:fldChar w:fldCharType="separate"/>
      </w:r>
      <w:r w:rsidR="00AD52FF" w:rsidRPr="00AD52FF">
        <w:t>Table 1</w:t>
      </w:r>
      <w:r w:rsidR="007A6536" w:rsidRPr="00646518">
        <w:fldChar w:fldCharType="end"/>
      </w:r>
      <w:r w:rsidR="004D3A8A">
        <w:t>3</w:t>
      </w:r>
      <w:r w:rsidR="004D6B91" w:rsidRPr="170A8049">
        <w:t>)</w:t>
      </w:r>
      <w:r w:rsidRPr="170A8049">
        <w:t xml:space="preserve">. </w:t>
      </w:r>
    </w:p>
    <w:p w14:paraId="371EF494" w14:textId="621847EA" w:rsidR="005F160C" w:rsidRPr="004550D1" w:rsidRDefault="005F160C" w:rsidP="00253A16">
      <w:pPr>
        <w:pStyle w:val="TableFigureHeading"/>
        <w:rPr>
          <w:rStyle w:val="CommentReference"/>
          <w:b/>
          <w:szCs w:val="24"/>
        </w:rPr>
      </w:pPr>
      <w:bookmarkStart w:id="38" w:name="_Ref101963285"/>
      <w:r w:rsidRPr="00253A16">
        <w:rPr>
          <w:rStyle w:val="CommentReference"/>
          <w:b/>
          <w:szCs w:val="24"/>
        </w:rPr>
        <w:t>Table</w:t>
      </w:r>
      <w:r w:rsidR="004550D1" w:rsidRPr="004550D1">
        <w:rPr>
          <w:rStyle w:val="CommentReference"/>
          <w:b/>
          <w:szCs w:val="24"/>
        </w:rPr>
        <w:t xml:space="preserve"> </w:t>
      </w:r>
      <w:bookmarkEnd w:id="38"/>
      <w:r w:rsidR="004D3A8A">
        <w:rPr>
          <w:rStyle w:val="CommentReference"/>
          <w:b/>
          <w:szCs w:val="24"/>
        </w:rPr>
        <w:t>13</w:t>
      </w:r>
      <w:r w:rsidRPr="004550D1">
        <w:rPr>
          <w:rStyle w:val="CommentReference"/>
          <w:b/>
          <w:szCs w:val="24"/>
        </w:rPr>
        <w:t>: Annual cost per patient with risankizumab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884"/>
        <w:gridCol w:w="893"/>
        <w:gridCol w:w="971"/>
        <w:gridCol w:w="1346"/>
        <w:gridCol w:w="1517"/>
        <w:gridCol w:w="1481"/>
      </w:tblGrid>
      <w:tr w:rsidR="0042295B" w:rsidRPr="00383B78" w14:paraId="1797CE10" w14:textId="77777777" w:rsidTr="00933AD4">
        <w:tc>
          <w:tcPr>
            <w:tcW w:w="1925" w:type="dxa"/>
          </w:tcPr>
          <w:p w14:paraId="0CA3ED3D" w14:textId="77777777" w:rsidR="0042295B" w:rsidRPr="00383B78" w:rsidRDefault="0042295B" w:rsidP="00933AD4">
            <w:pPr>
              <w:pStyle w:val="In-tableHeading"/>
            </w:pPr>
            <w:r>
              <w:t>Therapy</w:t>
            </w:r>
          </w:p>
        </w:tc>
        <w:tc>
          <w:tcPr>
            <w:tcW w:w="884" w:type="dxa"/>
          </w:tcPr>
          <w:p w14:paraId="07D0FE20" w14:textId="77777777" w:rsidR="0042295B" w:rsidRPr="00B2637C" w:rsidRDefault="0042295B" w:rsidP="00933AD4">
            <w:pPr>
              <w:pStyle w:val="In-tableHeading"/>
              <w:jc w:val="center"/>
            </w:pPr>
            <w:r>
              <w:t>IV Vials</w:t>
            </w:r>
          </w:p>
        </w:tc>
        <w:tc>
          <w:tcPr>
            <w:tcW w:w="893" w:type="dxa"/>
          </w:tcPr>
          <w:p w14:paraId="77B1D79B" w14:textId="77777777" w:rsidR="0042295B" w:rsidRPr="00B2637C" w:rsidRDefault="0042295B" w:rsidP="00933AD4">
            <w:pPr>
              <w:pStyle w:val="In-tableHeading"/>
              <w:jc w:val="center"/>
            </w:pPr>
            <w:r>
              <w:t>SC Vials</w:t>
            </w:r>
          </w:p>
        </w:tc>
        <w:tc>
          <w:tcPr>
            <w:tcW w:w="971" w:type="dxa"/>
          </w:tcPr>
          <w:p w14:paraId="7CA9482C" w14:textId="77777777" w:rsidR="0042295B" w:rsidRPr="00B2637C" w:rsidRDefault="0042295B" w:rsidP="00933AD4">
            <w:pPr>
              <w:pStyle w:val="In-tableHeading"/>
              <w:jc w:val="center"/>
            </w:pPr>
            <w:r>
              <w:t>IV Admin</w:t>
            </w:r>
          </w:p>
        </w:tc>
        <w:tc>
          <w:tcPr>
            <w:tcW w:w="1346" w:type="dxa"/>
          </w:tcPr>
          <w:p w14:paraId="0542AB5C" w14:textId="77777777" w:rsidR="0042295B" w:rsidRPr="00383B78" w:rsidRDefault="0042295B" w:rsidP="00933AD4">
            <w:pPr>
              <w:pStyle w:val="In-tableHeading"/>
              <w:jc w:val="center"/>
            </w:pPr>
            <w:r w:rsidRPr="00B2637C">
              <w:t>IV Admin Cost</w:t>
            </w:r>
          </w:p>
        </w:tc>
        <w:tc>
          <w:tcPr>
            <w:tcW w:w="1517" w:type="dxa"/>
          </w:tcPr>
          <w:p w14:paraId="69B4A722" w14:textId="77777777" w:rsidR="0042295B" w:rsidRPr="00B2637C" w:rsidRDefault="0042295B" w:rsidP="00933AD4">
            <w:pPr>
              <w:pStyle w:val="In-tableHeading"/>
              <w:jc w:val="center"/>
              <w:rPr>
                <w:rFonts w:ascii="Times New Roman" w:hAnsi="Times New Roman"/>
                <w:szCs w:val="20"/>
                <w:lang w:val="en-GB"/>
              </w:rPr>
            </w:pPr>
            <w:r w:rsidRPr="00243F76">
              <w:t>Drug Cost AEMP</w:t>
            </w:r>
          </w:p>
        </w:tc>
        <w:tc>
          <w:tcPr>
            <w:tcW w:w="1481" w:type="dxa"/>
          </w:tcPr>
          <w:p w14:paraId="527CC4D4" w14:textId="77777777" w:rsidR="0042295B" w:rsidRDefault="0042295B" w:rsidP="00933AD4">
            <w:pPr>
              <w:pStyle w:val="In-tableHeading"/>
              <w:jc w:val="center"/>
            </w:pPr>
            <w:r>
              <w:t>Total Cost AEMP + IV Admin</w:t>
            </w:r>
          </w:p>
        </w:tc>
      </w:tr>
      <w:tr w:rsidR="0042295B" w14:paraId="797F50D1" w14:textId="77777777" w:rsidTr="00933AD4">
        <w:tc>
          <w:tcPr>
            <w:tcW w:w="9017" w:type="dxa"/>
            <w:gridSpan w:val="7"/>
          </w:tcPr>
          <w:p w14:paraId="35C8F582" w14:textId="77777777" w:rsidR="0042295B" w:rsidRDefault="0042295B" w:rsidP="00933AD4">
            <w:pPr>
              <w:pStyle w:val="TableText0"/>
            </w:pPr>
            <w:r w:rsidRPr="008655BC">
              <w:rPr>
                <w:b/>
                <w:bCs w:val="0"/>
              </w:rPr>
              <w:t>Severe Crohn’s disease</w:t>
            </w:r>
          </w:p>
        </w:tc>
      </w:tr>
      <w:tr w:rsidR="0042295B" w14:paraId="19406745" w14:textId="77777777" w:rsidTr="00933AD4">
        <w:tc>
          <w:tcPr>
            <w:tcW w:w="1925" w:type="dxa"/>
          </w:tcPr>
          <w:p w14:paraId="244C64E7" w14:textId="77777777" w:rsidR="0042295B" w:rsidRDefault="0042295B" w:rsidP="00933AD4">
            <w:pPr>
              <w:pStyle w:val="TableText0"/>
            </w:pPr>
            <w:r>
              <w:t>Year 1</w:t>
            </w:r>
          </w:p>
        </w:tc>
        <w:tc>
          <w:tcPr>
            <w:tcW w:w="884" w:type="dxa"/>
          </w:tcPr>
          <w:p w14:paraId="21C7B8E1" w14:textId="77777777" w:rsidR="0042295B" w:rsidRPr="00CF2DAC" w:rsidRDefault="0042295B" w:rsidP="00933AD4">
            <w:pPr>
              <w:pStyle w:val="TableText0"/>
              <w:jc w:val="center"/>
            </w:pPr>
            <w:r>
              <w:t>3</w:t>
            </w:r>
          </w:p>
        </w:tc>
        <w:tc>
          <w:tcPr>
            <w:tcW w:w="893" w:type="dxa"/>
          </w:tcPr>
          <w:p w14:paraId="060C43BE" w14:textId="77777777" w:rsidR="0042295B" w:rsidRPr="00CF2DAC" w:rsidRDefault="0042295B" w:rsidP="00933AD4">
            <w:pPr>
              <w:pStyle w:val="TableText0"/>
              <w:jc w:val="center"/>
            </w:pPr>
            <w:r>
              <w:t>5</w:t>
            </w:r>
          </w:p>
        </w:tc>
        <w:tc>
          <w:tcPr>
            <w:tcW w:w="971" w:type="dxa"/>
          </w:tcPr>
          <w:p w14:paraId="1F8F85C0" w14:textId="77777777" w:rsidR="0042295B" w:rsidRPr="00CF2DAC" w:rsidRDefault="0042295B" w:rsidP="00933AD4">
            <w:pPr>
              <w:pStyle w:val="TableText0"/>
              <w:jc w:val="center"/>
            </w:pPr>
            <w:r>
              <w:t>3</w:t>
            </w:r>
          </w:p>
        </w:tc>
        <w:tc>
          <w:tcPr>
            <w:tcW w:w="1346" w:type="dxa"/>
          </w:tcPr>
          <w:p w14:paraId="600AD34A" w14:textId="15E2E945" w:rsidR="0042295B" w:rsidRDefault="0042295B" w:rsidP="00933AD4">
            <w:pPr>
              <w:pStyle w:val="TableText0"/>
              <w:jc w:val="center"/>
            </w:pPr>
            <w:r w:rsidRPr="00CF2DAC">
              <w:t>$</w:t>
            </w:r>
            <w:r w:rsidR="00981AF2" w:rsidRPr="00981AF2">
              <w:rPr>
                <w:rFonts w:hint="eastAsia"/>
                <w:color w:val="000000"/>
                <w:w w:val="15"/>
                <w:shd w:val="solid" w:color="000000" w:fill="000000"/>
                <w:fitText w:val="31" w:id="-1436349175"/>
                <w14:textFill>
                  <w14:solidFill>
                    <w14:srgbClr w14:val="000000">
                      <w14:alpha w14:val="100000"/>
                    </w14:srgbClr>
                  </w14:solidFill>
                </w14:textFill>
              </w:rPr>
              <w:t xml:space="preserve">　</w:t>
            </w:r>
            <w:r w:rsidR="00981AF2" w:rsidRPr="00981AF2">
              <w:rPr>
                <w:color w:val="000000"/>
                <w:w w:val="15"/>
                <w:shd w:val="solid" w:color="000000" w:fill="000000"/>
                <w:fitText w:val="31" w:id="-1436349175"/>
                <w14:textFill>
                  <w14:solidFill>
                    <w14:srgbClr w14:val="000000">
                      <w14:alpha w14:val="100000"/>
                    </w14:srgbClr>
                  </w14:solidFill>
                </w14:textFill>
              </w:rPr>
              <w:t>|</w:t>
            </w:r>
            <w:r w:rsidR="00981AF2" w:rsidRPr="00981AF2">
              <w:rPr>
                <w:rFonts w:hint="eastAsia"/>
                <w:color w:val="000000"/>
                <w:spacing w:val="-34"/>
                <w:w w:val="15"/>
                <w:shd w:val="solid" w:color="000000" w:fill="000000"/>
                <w:fitText w:val="31" w:id="-1436349175"/>
                <w14:textFill>
                  <w14:solidFill>
                    <w14:srgbClr w14:val="000000">
                      <w14:alpha w14:val="100000"/>
                    </w14:srgbClr>
                  </w14:solidFill>
                </w14:textFill>
              </w:rPr>
              <w:t xml:space="preserve">　</w:t>
            </w:r>
          </w:p>
        </w:tc>
        <w:tc>
          <w:tcPr>
            <w:tcW w:w="1517" w:type="dxa"/>
          </w:tcPr>
          <w:p w14:paraId="1A58B519" w14:textId="25498BE5" w:rsidR="0042295B" w:rsidRPr="005F20DE" w:rsidRDefault="0042295B" w:rsidP="00933AD4">
            <w:pPr>
              <w:pStyle w:val="TableText0"/>
              <w:jc w:val="center"/>
              <w:rPr>
                <w:vertAlign w:val="superscript"/>
              </w:rPr>
            </w:pPr>
            <w:r w:rsidRPr="00CF2DAC">
              <w:t>$</w:t>
            </w:r>
            <w:r w:rsidR="00981AF2" w:rsidRPr="00981AF2">
              <w:rPr>
                <w:color w:val="000000"/>
                <w:shd w:val="solid" w:color="000000" w:fill="000000"/>
                <w14:textFill>
                  <w14:solidFill>
                    <w14:srgbClr w14:val="000000">
                      <w14:alpha w14:val="100000"/>
                    </w14:srgbClr>
                  </w14:solidFill>
                </w14:textFill>
              </w:rPr>
              <w:t>|</w:t>
            </w:r>
            <w:r w:rsidR="005F20DE">
              <w:rPr>
                <w:vertAlign w:val="superscript"/>
              </w:rPr>
              <w:t>b</w:t>
            </w:r>
          </w:p>
        </w:tc>
        <w:tc>
          <w:tcPr>
            <w:tcW w:w="1481" w:type="dxa"/>
          </w:tcPr>
          <w:p w14:paraId="5828332F" w14:textId="736ADCB7" w:rsidR="0042295B" w:rsidRDefault="0042295B" w:rsidP="00933AD4">
            <w:pPr>
              <w:pStyle w:val="TableText0"/>
              <w:jc w:val="center"/>
            </w:pPr>
            <w:r w:rsidRPr="00CF2DAC">
              <w:t>$</w:t>
            </w:r>
            <w:r w:rsidR="00981AF2" w:rsidRPr="00981AF2">
              <w:rPr>
                <w:color w:val="000000"/>
                <w:shd w:val="solid" w:color="000000" w:fill="000000"/>
                <w14:textFill>
                  <w14:solidFill>
                    <w14:srgbClr w14:val="000000">
                      <w14:alpha w14:val="100000"/>
                    </w14:srgbClr>
                  </w14:solidFill>
                </w14:textFill>
              </w:rPr>
              <w:t>|</w:t>
            </w:r>
            <w:r w:rsidR="005F20DE">
              <w:rPr>
                <w:vertAlign w:val="superscript"/>
              </w:rPr>
              <w:t>b</w:t>
            </w:r>
          </w:p>
        </w:tc>
      </w:tr>
      <w:tr w:rsidR="0042295B" w:rsidRPr="008A4B69" w14:paraId="38FF1D6F" w14:textId="77777777" w:rsidTr="00933AD4">
        <w:tc>
          <w:tcPr>
            <w:tcW w:w="1925" w:type="dxa"/>
          </w:tcPr>
          <w:p w14:paraId="56C689B2" w14:textId="77777777" w:rsidR="0042295B" w:rsidRPr="008A4B69" w:rsidRDefault="0042295B" w:rsidP="00933AD4">
            <w:pPr>
              <w:pStyle w:val="TableText0"/>
            </w:pPr>
            <w:r w:rsidRPr="008A4B69">
              <w:t>Year 2</w:t>
            </w:r>
          </w:p>
        </w:tc>
        <w:tc>
          <w:tcPr>
            <w:tcW w:w="884" w:type="dxa"/>
          </w:tcPr>
          <w:p w14:paraId="199D6462" w14:textId="77777777" w:rsidR="0042295B" w:rsidRPr="008A4B69" w:rsidRDefault="0042295B" w:rsidP="00933AD4">
            <w:pPr>
              <w:pStyle w:val="TableText0"/>
              <w:jc w:val="center"/>
            </w:pPr>
            <w:r w:rsidRPr="008A4B69">
              <w:t>0</w:t>
            </w:r>
          </w:p>
        </w:tc>
        <w:tc>
          <w:tcPr>
            <w:tcW w:w="893" w:type="dxa"/>
          </w:tcPr>
          <w:p w14:paraId="4620BA99" w14:textId="77777777" w:rsidR="0042295B" w:rsidRPr="008A4B69" w:rsidRDefault="0042295B" w:rsidP="00933AD4">
            <w:pPr>
              <w:pStyle w:val="TableText0"/>
              <w:jc w:val="center"/>
            </w:pPr>
            <w:r w:rsidRPr="008A4B69">
              <w:t>7</w:t>
            </w:r>
            <w:r w:rsidRPr="008A4B69">
              <w:rPr>
                <w:vertAlign w:val="superscript"/>
              </w:rPr>
              <w:t>a</w:t>
            </w:r>
          </w:p>
        </w:tc>
        <w:tc>
          <w:tcPr>
            <w:tcW w:w="971" w:type="dxa"/>
          </w:tcPr>
          <w:p w14:paraId="70A365DB" w14:textId="77777777" w:rsidR="0042295B" w:rsidRPr="008A4B69" w:rsidRDefault="0042295B" w:rsidP="00933AD4">
            <w:pPr>
              <w:pStyle w:val="TableText0"/>
              <w:jc w:val="center"/>
            </w:pPr>
            <w:r w:rsidRPr="008A4B69">
              <w:t>0</w:t>
            </w:r>
          </w:p>
        </w:tc>
        <w:tc>
          <w:tcPr>
            <w:tcW w:w="1346" w:type="dxa"/>
          </w:tcPr>
          <w:p w14:paraId="47878070" w14:textId="76A496CC" w:rsidR="0042295B" w:rsidRPr="008A4B69" w:rsidRDefault="0042295B" w:rsidP="00933AD4">
            <w:pPr>
              <w:pStyle w:val="TableText0"/>
              <w:jc w:val="center"/>
            </w:pPr>
            <w:r w:rsidRPr="008A4B69">
              <w:t>$</w:t>
            </w:r>
            <w:r w:rsidR="00981AF2" w:rsidRPr="00981AF2">
              <w:rPr>
                <w:rFonts w:hint="eastAsia"/>
                <w:color w:val="000000"/>
                <w:w w:val="15"/>
                <w:shd w:val="solid" w:color="000000" w:fill="000000"/>
                <w:fitText w:val="31" w:id="-1436349174"/>
                <w14:textFill>
                  <w14:solidFill>
                    <w14:srgbClr w14:val="000000">
                      <w14:alpha w14:val="100000"/>
                    </w14:srgbClr>
                  </w14:solidFill>
                </w14:textFill>
              </w:rPr>
              <w:t xml:space="preserve">　</w:t>
            </w:r>
            <w:r w:rsidR="00981AF2" w:rsidRPr="00981AF2">
              <w:rPr>
                <w:color w:val="000000"/>
                <w:w w:val="15"/>
                <w:shd w:val="solid" w:color="000000" w:fill="000000"/>
                <w:fitText w:val="31" w:id="-1436349174"/>
                <w14:textFill>
                  <w14:solidFill>
                    <w14:srgbClr w14:val="000000">
                      <w14:alpha w14:val="100000"/>
                    </w14:srgbClr>
                  </w14:solidFill>
                </w14:textFill>
              </w:rPr>
              <w:t>|</w:t>
            </w:r>
            <w:r w:rsidR="00981AF2" w:rsidRPr="00981AF2">
              <w:rPr>
                <w:rFonts w:hint="eastAsia"/>
                <w:color w:val="000000"/>
                <w:spacing w:val="-34"/>
                <w:w w:val="15"/>
                <w:shd w:val="solid" w:color="000000" w:fill="000000"/>
                <w:fitText w:val="31" w:id="-1436349174"/>
                <w14:textFill>
                  <w14:solidFill>
                    <w14:srgbClr w14:val="000000">
                      <w14:alpha w14:val="100000"/>
                    </w14:srgbClr>
                  </w14:solidFill>
                </w14:textFill>
              </w:rPr>
              <w:t xml:space="preserve">　</w:t>
            </w:r>
          </w:p>
        </w:tc>
        <w:tc>
          <w:tcPr>
            <w:tcW w:w="1517" w:type="dxa"/>
          </w:tcPr>
          <w:p w14:paraId="0EBA5C5F" w14:textId="6A3E5D44" w:rsidR="0042295B" w:rsidRPr="008A4B69" w:rsidRDefault="0042295B" w:rsidP="00AD52FF">
            <w:pPr>
              <w:pStyle w:val="TableText0"/>
              <w:jc w:val="center"/>
              <w:rPr>
                <w:iCs/>
              </w:rPr>
            </w:pPr>
            <w:r w:rsidRPr="008A4B69">
              <w:rPr>
                <w:iCs/>
              </w:rPr>
              <w:t>$</w:t>
            </w:r>
            <w:r w:rsidR="00981AF2" w:rsidRPr="00981AF2">
              <w:rPr>
                <w:iCs/>
                <w:color w:val="000000"/>
                <w:shd w:val="solid" w:color="000000" w:fill="000000"/>
                <w14:textFill>
                  <w14:solidFill>
                    <w14:srgbClr w14:val="000000">
                      <w14:alpha w14:val="100000"/>
                    </w14:srgbClr>
                  </w14:solidFill>
                </w14:textFill>
              </w:rPr>
              <w:t>|</w:t>
            </w:r>
            <w:r w:rsidR="005F20DE" w:rsidRPr="008A4B69">
              <w:rPr>
                <w:iCs/>
                <w:vertAlign w:val="superscript"/>
              </w:rPr>
              <w:t>b</w:t>
            </w:r>
          </w:p>
        </w:tc>
        <w:tc>
          <w:tcPr>
            <w:tcW w:w="1481" w:type="dxa"/>
          </w:tcPr>
          <w:p w14:paraId="3FF87075" w14:textId="33487682" w:rsidR="0042295B" w:rsidRPr="008A4B69" w:rsidRDefault="0042295B" w:rsidP="00933AD4">
            <w:pPr>
              <w:pStyle w:val="TableText0"/>
              <w:jc w:val="center"/>
            </w:pPr>
            <w:r w:rsidRPr="008A4B69">
              <w:rPr>
                <w:iCs/>
              </w:rPr>
              <w:t>$</w:t>
            </w:r>
            <w:r w:rsidR="00981AF2" w:rsidRPr="00981AF2">
              <w:rPr>
                <w:iCs/>
                <w:color w:val="000000"/>
                <w:shd w:val="solid" w:color="000000" w:fill="000000"/>
                <w14:textFill>
                  <w14:solidFill>
                    <w14:srgbClr w14:val="000000">
                      <w14:alpha w14:val="100000"/>
                    </w14:srgbClr>
                  </w14:solidFill>
                </w14:textFill>
              </w:rPr>
              <w:t>|</w:t>
            </w:r>
            <w:r w:rsidR="005F20DE" w:rsidRPr="008A4B69">
              <w:rPr>
                <w:iCs/>
                <w:vertAlign w:val="superscript"/>
              </w:rPr>
              <w:t>b</w:t>
            </w:r>
          </w:p>
        </w:tc>
      </w:tr>
      <w:tr w:rsidR="0042295B" w14:paraId="0F0223CA" w14:textId="77777777" w:rsidTr="00933AD4">
        <w:tc>
          <w:tcPr>
            <w:tcW w:w="9017" w:type="dxa"/>
            <w:gridSpan w:val="7"/>
          </w:tcPr>
          <w:p w14:paraId="2E18F880" w14:textId="77777777" w:rsidR="0042295B" w:rsidRPr="00CF1D62" w:rsidRDefault="0042295B" w:rsidP="00933AD4">
            <w:pPr>
              <w:pStyle w:val="TableText0"/>
            </w:pPr>
            <w:r w:rsidRPr="00CF1D62">
              <w:rPr>
                <w:b/>
                <w:bCs w:val="0"/>
              </w:rPr>
              <w:t>Fistulising Crohn’s disease</w:t>
            </w:r>
          </w:p>
        </w:tc>
      </w:tr>
      <w:tr w:rsidR="0042295B" w14:paraId="519ACDD7" w14:textId="77777777" w:rsidTr="00933AD4">
        <w:tc>
          <w:tcPr>
            <w:tcW w:w="1925" w:type="dxa"/>
          </w:tcPr>
          <w:p w14:paraId="6023B554" w14:textId="77777777" w:rsidR="0042295B" w:rsidRDefault="0042295B" w:rsidP="00933AD4">
            <w:pPr>
              <w:pStyle w:val="TableText0"/>
            </w:pPr>
            <w:r>
              <w:t>Year 1</w:t>
            </w:r>
          </w:p>
        </w:tc>
        <w:tc>
          <w:tcPr>
            <w:tcW w:w="884" w:type="dxa"/>
          </w:tcPr>
          <w:p w14:paraId="54F03327" w14:textId="77777777" w:rsidR="0042295B" w:rsidRPr="00CF2DAC" w:rsidRDefault="0042295B" w:rsidP="00933AD4">
            <w:pPr>
              <w:pStyle w:val="TableText0"/>
              <w:jc w:val="center"/>
            </w:pPr>
            <w:r>
              <w:t>3</w:t>
            </w:r>
          </w:p>
        </w:tc>
        <w:tc>
          <w:tcPr>
            <w:tcW w:w="893" w:type="dxa"/>
          </w:tcPr>
          <w:p w14:paraId="1DE73EA1" w14:textId="77777777" w:rsidR="0042295B" w:rsidRPr="00CF1D62" w:rsidRDefault="0042295B" w:rsidP="00933AD4">
            <w:pPr>
              <w:pStyle w:val="TableText0"/>
              <w:jc w:val="center"/>
            </w:pPr>
            <w:r w:rsidRPr="00CF1D62">
              <w:t>5</w:t>
            </w:r>
          </w:p>
        </w:tc>
        <w:tc>
          <w:tcPr>
            <w:tcW w:w="971" w:type="dxa"/>
          </w:tcPr>
          <w:p w14:paraId="4B5A69B3" w14:textId="77777777" w:rsidR="0042295B" w:rsidRPr="00CF1D62" w:rsidRDefault="0042295B" w:rsidP="00933AD4">
            <w:pPr>
              <w:pStyle w:val="TableText0"/>
              <w:jc w:val="center"/>
            </w:pPr>
            <w:r w:rsidRPr="00CF1D62">
              <w:t>3</w:t>
            </w:r>
          </w:p>
        </w:tc>
        <w:tc>
          <w:tcPr>
            <w:tcW w:w="1346" w:type="dxa"/>
          </w:tcPr>
          <w:p w14:paraId="6695CF3E" w14:textId="3FEC0A55" w:rsidR="0042295B" w:rsidRPr="00CF1D62" w:rsidRDefault="0042295B" w:rsidP="00933AD4">
            <w:pPr>
              <w:pStyle w:val="TableText0"/>
              <w:jc w:val="center"/>
            </w:pPr>
            <w:r w:rsidRPr="00CF1D62">
              <w:t>$</w:t>
            </w:r>
            <w:r w:rsidR="00981AF2" w:rsidRPr="00981AF2">
              <w:rPr>
                <w:rFonts w:hint="eastAsia"/>
                <w:color w:val="000000"/>
                <w:w w:val="15"/>
                <w:shd w:val="solid" w:color="000000" w:fill="000000"/>
                <w:fitText w:val="31" w:id="-1436349173"/>
                <w14:textFill>
                  <w14:solidFill>
                    <w14:srgbClr w14:val="000000">
                      <w14:alpha w14:val="100000"/>
                    </w14:srgbClr>
                  </w14:solidFill>
                </w14:textFill>
              </w:rPr>
              <w:t xml:space="preserve">　</w:t>
            </w:r>
            <w:r w:rsidR="00981AF2" w:rsidRPr="00981AF2">
              <w:rPr>
                <w:color w:val="000000"/>
                <w:w w:val="15"/>
                <w:shd w:val="solid" w:color="000000" w:fill="000000"/>
                <w:fitText w:val="31" w:id="-1436349173"/>
                <w14:textFill>
                  <w14:solidFill>
                    <w14:srgbClr w14:val="000000">
                      <w14:alpha w14:val="100000"/>
                    </w14:srgbClr>
                  </w14:solidFill>
                </w14:textFill>
              </w:rPr>
              <w:t>|</w:t>
            </w:r>
            <w:r w:rsidR="00981AF2" w:rsidRPr="00981AF2">
              <w:rPr>
                <w:rFonts w:hint="eastAsia"/>
                <w:color w:val="000000"/>
                <w:spacing w:val="-34"/>
                <w:w w:val="15"/>
                <w:shd w:val="solid" w:color="000000" w:fill="000000"/>
                <w:fitText w:val="31" w:id="-1436349173"/>
                <w14:textFill>
                  <w14:solidFill>
                    <w14:srgbClr w14:val="000000">
                      <w14:alpha w14:val="100000"/>
                    </w14:srgbClr>
                  </w14:solidFill>
                </w14:textFill>
              </w:rPr>
              <w:t xml:space="preserve">　</w:t>
            </w:r>
          </w:p>
        </w:tc>
        <w:tc>
          <w:tcPr>
            <w:tcW w:w="1517" w:type="dxa"/>
          </w:tcPr>
          <w:p w14:paraId="1C3C67D9" w14:textId="73F73469" w:rsidR="0042295B" w:rsidRPr="005F20DE" w:rsidRDefault="0042295B" w:rsidP="00933AD4">
            <w:pPr>
              <w:pStyle w:val="TableText0"/>
              <w:jc w:val="center"/>
              <w:rPr>
                <w:vertAlign w:val="superscript"/>
              </w:rPr>
            </w:pPr>
            <w:r w:rsidRPr="00CF1D62">
              <w:t>$</w:t>
            </w:r>
            <w:r w:rsidR="00981AF2" w:rsidRPr="00981AF2">
              <w:rPr>
                <w:color w:val="000000"/>
                <w:shd w:val="solid" w:color="000000" w:fill="000000"/>
                <w14:textFill>
                  <w14:solidFill>
                    <w14:srgbClr w14:val="000000">
                      <w14:alpha w14:val="100000"/>
                    </w14:srgbClr>
                  </w14:solidFill>
                </w14:textFill>
              </w:rPr>
              <w:t>|</w:t>
            </w:r>
            <w:r w:rsidR="005F20DE">
              <w:rPr>
                <w:vertAlign w:val="superscript"/>
              </w:rPr>
              <w:t>b</w:t>
            </w:r>
          </w:p>
        </w:tc>
        <w:tc>
          <w:tcPr>
            <w:tcW w:w="1481" w:type="dxa"/>
          </w:tcPr>
          <w:p w14:paraId="5468C001" w14:textId="6700C26E" w:rsidR="0042295B" w:rsidRPr="00CF1D62" w:rsidRDefault="0042295B" w:rsidP="00933AD4">
            <w:pPr>
              <w:pStyle w:val="TableText0"/>
              <w:jc w:val="center"/>
            </w:pPr>
            <w:r w:rsidRPr="00CF1D62">
              <w:t>$</w:t>
            </w:r>
            <w:r w:rsidR="00981AF2" w:rsidRPr="00981AF2">
              <w:rPr>
                <w:color w:val="000000"/>
                <w:shd w:val="solid" w:color="000000" w:fill="000000"/>
                <w14:textFill>
                  <w14:solidFill>
                    <w14:srgbClr w14:val="000000">
                      <w14:alpha w14:val="100000"/>
                    </w14:srgbClr>
                  </w14:solidFill>
                </w14:textFill>
              </w:rPr>
              <w:t>|</w:t>
            </w:r>
            <w:r w:rsidR="005F20DE">
              <w:rPr>
                <w:vertAlign w:val="superscript"/>
              </w:rPr>
              <w:t>b</w:t>
            </w:r>
          </w:p>
        </w:tc>
      </w:tr>
      <w:tr w:rsidR="0042295B" w14:paraId="59184397" w14:textId="77777777" w:rsidTr="00933AD4">
        <w:tc>
          <w:tcPr>
            <w:tcW w:w="1925" w:type="dxa"/>
          </w:tcPr>
          <w:p w14:paraId="3AD78507" w14:textId="77777777" w:rsidR="0042295B" w:rsidRPr="00AA131F" w:rsidRDefault="0042295B" w:rsidP="00933AD4">
            <w:pPr>
              <w:pStyle w:val="TableText0"/>
            </w:pPr>
            <w:r>
              <w:t>Year 2</w:t>
            </w:r>
          </w:p>
        </w:tc>
        <w:tc>
          <w:tcPr>
            <w:tcW w:w="884" w:type="dxa"/>
          </w:tcPr>
          <w:p w14:paraId="791721CD" w14:textId="77777777" w:rsidR="0042295B" w:rsidRPr="00CF2DAC" w:rsidRDefault="0042295B" w:rsidP="00933AD4">
            <w:pPr>
              <w:pStyle w:val="TableText0"/>
              <w:jc w:val="center"/>
            </w:pPr>
            <w:r>
              <w:t>0</w:t>
            </w:r>
          </w:p>
        </w:tc>
        <w:tc>
          <w:tcPr>
            <w:tcW w:w="893" w:type="dxa"/>
          </w:tcPr>
          <w:p w14:paraId="0778A186" w14:textId="77777777" w:rsidR="0042295B" w:rsidRPr="00CF1D62" w:rsidRDefault="0042295B" w:rsidP="00933AD4">
            <w:pPr>
              <w:pStyle w:val="TableText0"/>
              <w:jc w:val="center"/>
            </w:pPr>
            <w:r w:rsidRPr="00CF1D62">
              <w:t>7</w:t>
            </w:r>
            <w:r w:rsidRPr="0072042B">
              <w:rPr>
                <w:vertAlign w:val="superscript"/>
              </w:rPr>
              <w:t>a</w:t>
            </w:r>
          </w:p>
        </w:tc>
        <w:tc>
          <w:tcPr>
            <w:tcW w:w="971" w:type="dxa"/>
          </w:tcPr>
          <w:p w14:paraId="39D94275" w14:textId="77777777" w:rsidR="0042295B" w:rsidRPr="00CF1D62" w:rsidRDefault="0042295B" w:rsidP="00933AD4">
            <w:pPr>
              <w:pStyle w:val="TableText0"/>
              <w:jc w:val="center"/>
            </w:pPr>
            <w:r w:rsidRPr="00CF1D62">
              <w:t>0</w:t>
            </w:r>
          </w:p>
        </w:tc>
        <w:tc>
          <w:tcPr>
            <w:tcW w:w="1346" w:type="dxa"/>
          </w:tcPr>
          <w:p w14:paraId="5ED765DB" w14:textId="49B8AC27" w:rsidR="0042295B" w:rsidRPr="00CF1D62" w:rsidRDefault="0042295B" w:rsidP="00933AD4">
            <w:pPr>
              <w:pStyle w:val="TableText0"/>
              <w:jc w:val="center"/>
            </w:pPr>
            <w:r w:rsidRPr="00CF1D62">
              <w:t>$</w:t>
            </w:r>
            <w:r w:rsidR="00981AF2" w:rsidRPr="00981AF2">
              <w:rPr>
                <w:rFonts w:hint="eastAsia"/>
                <w:color w:val="000000"/>
                <w:w w:val="15"/>
                <w:shd w:val="solid" w:color="000000" w:fill="000000"/>
                <w:fitText w:val="31" w:id="-1436349172"/>
                <w14:textFill>
                  <w14:solidFill>
                    <w14:srgbClr w14:val="000000">
                      <w14:alpha w14:val="100000"/>
                    </w14:srgbClr>
                  </w14:solidFill>
                </w14:textFill>
              </w:rPr>
              <w:t xml:space="preserve">　</w:t>
            </w:r>
            <w:r w:rsidR="00981AF2" w:rsidRPr="00981AF2">
              <w:rPr>
                <w:color w:val="000000"/>
                <w:w w:val="15"/>
                <w:shd w:val="solid" w:color="000000" w:fill="000000"/>
                <w:fitText w:val="31" w:id="-1436349172"/>
                <w14:textFill>
                  <w14:solidFill>
                    <w14:srgbClr w14:val="000000">
                      <w14:alpha w14:val="100000"/>
                    </w14:srgbClr>
                  </w14:solidFill>
                </w14:textFill>
              </w:rPr>
              <w:t>|</w:t>
            </w:r>
            <w:r w:rsidR="00981AF2" w:rsidRPr="00981AF2">
              <w:rPr>
                <w:rFonts w:hint="eastAsia"/>
                <w:color w:val="000000"/>
                <w:spacing w:val="-34"/>
                <w:w w:val="15"/>
                <w:shd w:val="solid" w:color="000000" w:fill="000000"/>
                <w:fitText w:val="31" w:id="-1436349172"/>
                <w14:textFill>
                  <w14:solidFill>
                    <w14:srgbClr w14:val="000000">
                      <w14:alpha w14:val="100000"/>
                    </w14:srgbClr>
                  </w14:solidFill>
                </w14:textFill>
              </w:rPr>
              <w:t xml:space="preserve">　</w:t>
            </w:r>
          </w:p>
        </w:tc>
        <w:tc>
          <w:tcPr>
            <w:tcW w:w="1517" w:type="dxa"/>
          </w:tcPr>
          <w:p w14:paraId="1EAF8E16" w14:textId="3E84DC0D" w:rsidR="0042295B" w:rsidRPr="00472152" w:rsidRDefault="0042295B" w:rsidP="00AD52FF">
            <w:pPr>
              <w:pStyle w:val="TableText0"/>
              <w:jc w:val="center"/>
              <w:rPr>
                <w:i/>
                <w:iCs/>
              </w:rPr>
            </w:pPr>
            <w:r w:rsidRPr="008A4B69">
              <w:rPr>
                <w:iCs/>
              </w:rPr>
              <w:t>$</w:t>
            </w:r>
            <w:r w:rsidR="00981AF2" w:rsidRPr="00981AF2">
              <w:rPr>
                <w:iCs/>
                <w:color w:val="000000"/>
                <w:shd w:val="solid" w:color="000000" w:fill="000000"/>
                <w14:textFill>
                  <w14:solidFill>
                    <w14:srgbClr w14:val="000000">
                      <w14:alpha w14:val="100000"/>
                    </w14:srgbClr>
                  </w14:solidFill>
                </w14:textFill>
              </w:rPr>
              <w:t>|</w:t>
            </w:r>
            <w:r w:rsidR="005F20DE" w:rsidRPr="008A4B69">
              <w:rPr>
                <w:iCs/>
                <w:vertAlign w:val="superscript"/>
              </w:rPr>
              <w:t>b</w:t>
            </w:r>
          </w:p>
        </w:tc>
        <w:tc>
          <w:tcPr>
            <w:tcW w:w="1481" w:type="dxa"/>
          </w:tcPr>
          <w:p w14:paraId="7518F267" w14:textId="4241F10C" w:rsidR="0042295B" w:rsidRPr="0072042B" w:rsidRDefault="0042295B" w:rsidP="00AD52FF">
            <w:pPr>
              <w:pStyle w:val="TableText0"/>
              <w:jc w:val="center"/>
            </w:pPr>
            <w:r w:rsidRPr="008A4B69">
              <w:rPr>
                <w:iCs/>
              </w:rPr>
              <w:t>$</w:t>
            </w:r>
            <w:r w:rsidR="00981AF2" w:rsidRPr="00981AF2">
              <w:rPr>
                <w:iCs/>
                <w:color w:val="000000"/>
                <w:shd w:val="solid" w:color="000000" w:fill="000000"/>
                <w14:textFill>
                  <w14:solidFill>
                    <w14:srgbClr w14:val="000000">
                      <w14:alpha w14:val="100000"/>
                    </w14:srgbClr>
                  </w14:solidFill>
                </w14:textFill>
              </w:rPr>
              <w:t>|</w:t>
            </w:r>
            <w:r w:rsidR="005F20DE" w:rsidRPr="008A4B69">
              <w:rPr>
                <w:iCs/>
                <w:vertAlign w:val="superscript"/>
              </w:rPr>
              <w:t>b</w:t>
            </w:r>
          </w:p>
        </w:tc>
      </w:tr>
    </w:tbl>
    <w:p w14:paraId="66192521" w14:textId="579ECA42" w:rsidR="00C27BB0" w:rsidRPr="008A4B69" w:rsidRDefault="00C27BB0" w:rsidP="00C27BB0">
      <w:pPr>
        <w:pStyle w:val="TableFigureFooter"/>
      </w:pPr>
      <w:r>
        <w:t xml:space="preserve">Source: Table 3-8 and Table 3-10, p143-p144 </w:t>
      </w:r>
      <w:r w:rsidRPr="00D13A3E">
        <w:t xml:space="preserve">of the </w:t>
      </w:r>
      <w:r>
        <w:t>submission.</w:t>
      </w:r>
      <w:r w:rsidR="00FD6AFF">
        <w:t xml:space="preserve"> </w:t>
      </w:r>
      <w:r w:rsidR="00FD6AFF" w:rsidRPr="00C46A74">
        <w:t>And corrected during the evaluation.</w:t>
      </w:r>
    </w:p>
    <w:p w14:paraId="6DB25F4B" w14:textId="77777777" w:rsidR="00C27BB0" w:rsidRDefault="00C27BB0" w:rsidP="00C27BB0">
      <w:pPr>
        <w:pStyle w:val="TableFigureFooter"/>
      </w:pPr>
      <w:r w:rsidRPr="00E82AE1">
        <w:t>Abbreviations: IV, intravenous; SC, subcutaneous; AEMP, approved ex-manufacturer price</w:t>
      </w:r>
      <w:r>
        <w:t>; Admin, administration.</w:t>
      </w:r>
    </w:p>
    <w:p w14:paraId="5AAA11BE" w14:textId="2563D016" w:rsidR="00C60381" w:rsidRDefault="00C27BB0" w:rsidP="00C27BB0">
      <w:pPr>
        <w:pStyle w:val="TableFigureFooter"/>
      </w:pPr>
      <w:r w:rsidRPr="00EB6145">
        <w:rPr>
          <w:vertAlign w:val="superscript"/>
        </w:rPr>
        <w:t>a</w:t>
      </w:r>
      <w:r w:rsidRPr="00C665EF">
        <w:t xml:space="preserve"> note that with 8 weekly dosing, 6.5 SC injections are required per year of maintenance therapy</w:t>
      </w:r>
    </w:p>
    <w:p w14:paraId="0132A68D" w14:textId="300F54E5" w:rsidR="00D24F19" w:rsidRPr="00D24F19" w:rsidRDefault="00D24F19" w:rsidP="00C27BB0">
      <w:pPr>
        <w:pStyle w:val="TableFigureFooter"/>
      </w:pPr>
      <w:r>
        <w:rPr>
          <w:vertAlign w:val="superscript"/>
        </w:rPr>
        <w:t>b</w:t>
      </w:r>
      <w:r>
        <w:t xml:space="preserve"> calculation corrected using proposed AEMP for both Year 1 and Year 2 during the evaluation. Note Year 1 drug cost was calculated using the proposed AEMP and Year 2 drug cost was calculated using proposed DPMQ for risankizumab in the submission.</w:t>
      </w:r>
    </w:p>
    <w:p w14:paraId="096EB39A" w14:textId="77777777" w:rsidR="004C17F7" w:rsidRPr="008A4B69" w:rsidRDefault="004C17F7" w:rsidP="004C17F7">
      <w:pPr>
        <w:pStyle w:val="TableFigureFooter"/>
        <w:rPr>
          <w:iCs/>
        </w:rPr>
      </w:pPr>
    </w:p>
    <w:p w14:paraId="268768EF" w14:textId="272309E2" w:rsidR="00B60939" w:rsidRPr="00C9624D" w:rsidRDefault="00B60939" w:rsidP="002B05A1">
      <w:pPr>
        <w:pStyle w:val="4-SubsectionHeading"/>
      </w:pPr>
      <w:bookmarkStart w:id="39" w:name="_Toc22897647"/>
      <w:bookmarkStart w:id="40" w:name="_Toc103776030"/>
      <w:r w:rsidRPr="00C9624D">
        <w:lastRenderedPageBreak/>
        <w:t>Estimated PBS usage &amp; financial implications</w:t>
      </w:r>
      <w:bookmarkEnd w:id="39"/>
      <w:bookmarkEnd w:id="40"/>
    </w:p>
    <w:p w14:paraId="16EF4367" w14:textId="44C26F13" w:rsidR="002B05A1" w:rsidRPr="002B05A1" w:rsidRDefault="00C25D9C" w:rsidP="00465970">
      <w:pPr>
        <w:pStyle w:val="3-BodyText"/>
        <w:ind w:left="709"/>
        <w:rPr>
          <w:color w:val="0066FF"/>
        </w:rPr>
      </w:pPr>
      <w:r>
        <w:t xml:space="preserve">This submission </w:t>
      </w:r>
      <w:r w:rsidR="00903FC3">
        <w:t>was</w:t>
      </w:r>
      <w:r>
        <w:t xml:space="preserve"> </w:t>
      </w:r>
      <w:r w:rsidR="00765C83">
        <w:t>no</w:t>
      </w:r>
      <w:r w:rsidR="00903FC3">
        <w:t>t</w:t>
      </w:r>
      <w:r w:rsidR="002225C6">
        <w:t xml:space="preserve"> </w:t>
      </w:r>
      <w:r>
        <w:t>considered by DUSC</w:t>
      </w:r>
      <w:r w:rsidRPr="00B50DB8">
        <w:rPr>
          <w:color w:val="0070C0"/>
        </w:rPr>
        <w:t>.</w:t>
      </w:r>
      <w:r w:rsidR="00BC591F">
        <w:rPr>
          <w:color w:val="0070C0"/>
        </w:rPr>
        <w:t xml:space="preserve"> </w:t>
      </w:r>
      <w:r w:rsidR="00924832">
        <w:t xml:space="preserve">The submission used a market share approach to estimate the use of risankizumab </w:t>
      </w:r>
      <w:r w:rsidR="00FE33E3">
        <w:t xml:space="preserve">and financial implications </w:t>
      </w:r>
      <w:r w:rsidR="00924832">
        <w:t>using PBS utilisation data.</w:t>
      </w:r>
      <w:r w:rsidR="000345E2">
        <w:t xml:space="preserve"> </w:t>
      </w:r>
    </w:p>
    <w:p w14:paraId="3393BCE7" w14:textId="080A7B1D" w:rsidR="00E42F73" w:rsidRPr="007925DF" w:rsidRDefault="00E42F73" w:rsidP="007925DF">
      <w:pPr>
        <w:pStyle w:val="TableFigureHeading"/>
        <w:rPr>
          <w:rStyle w:val="CommentReference"/>
          <w:b/>
          <w:szCs w:val="24"/>
        </w:rPr>
      </w:pPr>
      <w:r w:rsidRPr="007925DF">
        <w:rPr>
          <w:rStyle w:val="CommentReference"/>
          <w:b/>
          <w:szCs w:val="24"/>
        </w:rPr>
        <w:t xml:space="preserve">Table </w:t>
      </w:r>
      <w:r>
        <w:fldChar w:fldCharType="begin" w:fldLock="1"/>
      </w:r>
      <w:r>
        <w:instrText>SEQ Table \* ARABIC</w:instrText>
      </w:r>
      <w:r>
        <w:fldChar w:fldCharType="separate"/>
      </w:r>
      <w:r w:rsidR="003D76A2">
        <w:rPr>
          <w:noProof/>
        </w:rPr>
        <w:t>1</w:t>
      </w:r>
      <w:r>
        <w:fldChar w:fldCharType="end"/>
      </w:r>
      <w:r w:rsidR="004D3A8A">
        <w:t>4</w:t>
      </w:r>
      <w:r w:rsidRPr="007925DF">
        <w:rPr>
          <w:rStyle w:val="CommentReference"/>
          <w:b/>
          <w:szCs w:val="24"/>
        </w:rPr>
        <w:t>: Key inputs for financial estimates</w:t>
      </w:r>
      <w:r w:rsidR="00B97AD5">
        <w:rPr>
          <w:rStyle w:val="CommentReference"/>
          <w:b/>
          <w:szCs w:val="24"/>
        </w:rPr>
        <w:t xml:space="preserve"> – severe CD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14"/>
        <w:gridCol w:w="3244"/>
        <w:gridCol w:w="4059"/>
      </w:tblGrid>
      <w:tr w:rsidR="00E42F73" w:rsidRPr="003D1DE4" w14:paraId="7AFD013A" w14:textId="77777777" w:rsidTr="00EB70E8">
        <w:trPr>
          <w:tblHeader/>
        </w:trPr>
        <w:tc>
          <w:tcPr>
            <w:tcW w:w="950" w:type="pct"/>
            <w:shd w:val="clear" w:color="auto" w:fill="auto"/>
            <w:vAlign w:val="center"/>
          </w:tcPr>
          <w:p w14:paraId="45C2C4CE" w14:textId="370E9AAB" w:rsidR="00E42F73" w:rsidRPr="003D1DE4" w:rsidRDefault="004658B5" w:rsidP="007925DF">
            <w:pPr>
              <w:pStyle w:val="In-tableHeading"/>
            </w:pPr>
            <w:r>
              <w:t>Parameter</w:t>
            </w:r>
          </w:p>
        </w:tc>
        <w:tc>
          <w:tcPr>
            <w:tcW w:w="1799" w:type="pct"/>
            <w:shd w:val="clear" w:color="auto" w:fill="auto"/>
            <w:vAlign w:val="center"/>
          </w:tcPr>
          <w:p w14:paraId="5C04F956" w14:textId="559E8DB1" w:rsidR="00E42F73" w:rsidRPr="003D1DE4" w:rsidRDefault="004658B5" w:rsidP="007925DF">
            <w:pPr>
              <w:pStyle w:val="In-tableHeading"/>
            </w:pPr>
            <w:r>
              <w:t>Value applied and source</w:t>
            </w:r>
          </w:p>
        </w:tc>
        <w:tc>
          <w:tcPr>
            <w:tcW w:w="2251" w:type="pct"/>
            <w:shd w:val="clear" w:color="auto" w:fill="auto"/>
            <w:vAlign w:val="center"/>
          </w:tcPr>
          <w:p w14:paraId="45DE44AA" w14:textId="4713F72E" w:rsidR="00E42F73" w:rsidRPr="003D1DE4" w:rsidRDefault="004658B5" w:rsidP="007925DF">
            <w:pPr>
              <w:pStyle w:val="In-tableHeading"/>
            </w:pPr>
            <w:r>
              <w:t>Comment</w:t>
            </w:r>
          </w:p>
        </w:tc>
      </w:tr>
      <w:tr w:rsidR="00E42F73" w:rsidRPr="00E2771E" w14:paraId="4BEF206D" w14:textId="77777777" w:rsidTr="00EB70E8">
        <w:tc>
          <w:tcPr>
            <w:tcW w:w="950" w:type="pct"/>
            <w:shd w:val="clear" w:color="auto" w:fill="auto"/>
            <w:vAlign w:val="center"/>
          </w:tcPr>
          <w:p w14:paraId="5724F53F" w14:textId="24A6491F" w:rsidR="00E42F73" w:rsidRPr="00E2771E" w:rsidRDefault="00106D8A" w:rsidP="007925DF">
            <w:pPr>
              <w:pStyle w:val="TableText0"/>
              <w:rPr>
                <w:lang w:val="en-US"/>
              </w:rPr>
            </w:pPr>
            <w:r w:rsidRPr="001F65A0">
              <w:t>Market growth without the listing of risankizumab</w:t>
            </w:r>
          </w:p>
        </w:tc>
        <w:tc>
          <w:tcPr>
            <w:tcW w:w="1799" w:type="pct"/>
            <w:shd w:val="clear" w:color="auto" w:fill="auto"/>
            <w:vAlign w:val="center"/>
          </w:tcPr>
          <w:p w14:paraId="693E0239" w14:textId="18EF1E73" w:rsidR="00740A5F" w:rsidRDefault="00740A5F" w:rsidP="00740A5F">
            <w:pPr>
              <w:pStyle w:val="TableText0"/>
              <w:keepNext w:val="0"/>
              <w:widowControl w:val="0"/>
            </w:pPr>
            <w:r w:rsidRPr="001F65A0">
              <w:t>Functional form: Linear</w:t>
            </w:r>
          </w:p>
          <w:p w14:paraId="2974F923" w14:textId="0C1037FD" w:rsidR="00E42F73" w:rsidRPr="00740A5F" w:rsidRDefault="00740A5F" w:rsidP="004777CD">
            <w:pPr>
              <w:pStyle w:val="TableText0"/>
              <w:keepNext w:val="0"/>
              <w:widowControl w:val="0"/>
            </w:pPr>
            <w:r>
              <w:t>Source:</w:t>
            </w:r>
            <w:r w:rsidR="00C63D43">
              <w:t xml:space="preserve"> </w:t>
            </w:r>
            <w:r w:rsidR="000F7010">
              <w:rPr>
                <w:rFonts w:hint="eastAsia"/>
                <w:lang w:eastAsia="zh-CN"/>
              </w:rPr>
              <w:t>A</w:t>
            </w:r>
            <w:r w:rsidRPr="001F65A0">
              <w:t xml:space="preserve">ssumed a linear trend of growth in Year 1 to 6 following listing reflecting the 2017-2021 </w:t>
            </w:r>
            <w:r w:rsidR="00DD4354">
              <w:t xml:space="preserve">PBS </w:t>
            </w:r>
            <w:r w:rsidRPr="001F65A0">
              <w:t>usage and each modelled list item was projected individually.</w:t>
            </w:r>
          </w:p>
        </w:tc>
        <w:tc>
          <w:tcPr>
            <w:tcW w:w="2251" w:type="pct"/>
            <w:shd w:val="clear" w:color="auto" w:fill="auto"/>
            <w:vAlign w:val="center"/>
          </w:tcPr>
          <w:p w14:paraId="078672CF" w14:textId="5A9B9E8C" w:rsidR="00E42F73" w:rsidRPr="00C46A74" w:rsidRDefault="00285BAA" w:rsidP="007925DF">
            <w:pPr>
              <w:pStyle w:val="TableText0"/>
            </w:pPr>
            <w:r w:rsidRPr="00C46A74">
              <w:t xml:space="preserve">It may be reasonable to assume linear growth of infliximab, ustekinumab and vedolizumab. </w:t>
            </w:r>
            <w:r w:rsidR="00740A5F" w:rsidRPr="00C46A74">
              <w:t>The usage of adalimumab initiation therapy fluctuates, and it is uncertain if it follows a linear trend. It is unclear whether the increased uptake rate</w:t>
            </w:r>
            <w:r w:rsidR="003E2588" w:rsidRPr="00C46A74">
              <w:t xml:space="preserve"> of ustekinumab</w:t>
            </w:r>
            <w:r w:rsidR="00740A5F" w:rsidRPr="00C46A74">
              <w:t xml:space="preserve"> is expected to plateau. </w:t>
            </w:r>
            <w:r w:rsidR="00247FC8" w:rsidRPr="00C46A74">
              <w:t>Likely</w:t>
            </w:r>
            <w:r w:rsidR="00740A5F" w:rsidRPr="00C46A74">
              <w:t xml:space="preserve"> overestimate</w:t>
            </w:r>
            <w:r w:rsidR="00247FC8" w:rsidRPr="00C46A74">
              <w:t>d</w:t>
            </w:r>
            <w:r w:rsidR="00740A5F" w:rsidRPr="00C46A74">
              <w:t xml:space="preserve"> the usage.</w:t>
            </w:r>
          </w:p>
        </w:tc>
      </w:tr>
      <w:tr w:rsidR="00E42F73" w:rsidRPr="00E2771E" w14:paraId="72C9FBDD" w14:textId="77777777" w:rsidTr="00EB70E8">
        <w:tc>
          <w:tcPr>
            <w:tcW w:w="950" w:type="pct"/>
            <w:shd w:val="clear" w:color="auto" w:fill="auto"/>
            <w:vAlign w:val="center"/>
          </w:tcPr>
          <w:p w14:paraId="2FBBDC67" w14:textId="2D6926FE" w:rsidR="00E42F73" w:rsidRPr="00E2771E" w:rsidRDefault="006240F9" w:rsidP="007925DF">
            <w:pPr>
              <w:pStyle w:val="TableText0"/>
              <w:rPr>
                <w:lang w:val="en-US"/>
              </w:rPr>
            </w:pPr>
            <w:r w:rsidRPr="001F65A0">
              <w:t>Substitution rates of risankizumab</w:t>
            </w:r>
          </w:p>
        </w:tc>
        <w:tc>
          <w:tcPr>
            <w:tcW w:w="1799" w:type="pct"/>
            <w:shd w:val="clear" w:color="auto" w:fill="auto"/>
            <w:vAlign w:val="center"/>
          </w:tcPr>
          <w:p w14:paraId="79DBBE5D" w14:textId="77777777" w:rsidR="0028424A" w:rsidRDefault="006240F9" w:rsidP="0028424A">
            <w:pPr>
              <w:pStyle w:val="TableText0"/>
              <w:keepNext w:val="0"/>
              <w:widowControl w:val="0"/>
            </w:pPr>
            <w:r w:rsidRPr="001F65A0">
              <w:t>Yr 1: 5%</w:t>
            </w:r>
            <w:r w:rsidR="0028424A">
              <w:t xml:space="preserve">; </w:t>
            </w:r>
            <w:r w:rsidRPr="001F65A0">
              <w:t>Yr 2: 7%</w:t>
            </w:r>
            <w:r w:rsidR="0028424A">
              <w:t xml:space="preserve">; </w:t>
            </w:r>
            <w:r w:rsidRPr="001F65A0">
              <w:t>Yr 3: 9%</w:t>
            </w:r>
            <w:r w:rsidR="0028424A">
              <w:t xml:space="preserve">; </w:t>
            </w:r>
          </w:p>
          <w:p w14:paraId="06A1130A" w14:textId="2F12A8A0" w:rsidR="00E42F73" w:rsidRDefault="006240F9" w:rsidP="0028424A">
            <w:pPr>
              <w:pStyle w:val="TableText0"/>
              <w:keepNext w:val="0"/>
              <w:widowControl w:val="0"/>
            </w:pPr>
            <w:r w:rsidRPr="001F65A0">
              <w:t>Yr 4: 11%</w:t>
            </w:r>
            <w:r w:rsidR="0028424A">
              <w:t xml:space="preserve">; </w:t>
            </w:r>
            <w:r w:rsidRPr="001F65A0">
              <w:t>Yr 5: 13%</w:t>
            </w:r>
            <w:r w:rsidR="0028424A">
              <w:t xml:space="preserve">; </w:t>
            </w:r>
            <w:r w:rsidRPr="001F65A0">
              <w:t>Yr 6: 15%</w:t>
            </w:r>
          </w:p>
          <w:p w14:paraId="550316FC" w14:textId="792CFFBF" w:rsidR="00E42F73" w:rsidRPr="00E2771E" w:rsidRDefault="006240F9" w:rsidP="007925DF">
            <w:pPr>
              <w:pStyle w:val="TableText0"/>
              <w:rPr>
                <w:lang w:val="en-US"/>
              </w:rPr>
            </w:pPr>
            <w:r>
              <w:rPr>
                <w:lang w:val="en-US"/>
              </w:rPr>
              <w:t>Source:</w:t>
            </w:r>
            <w:r w:rsidR="00E508A2">
              <w:rPr>
                <w:lang w:val="en-US"/>
              </w:rPr>
              <w:t xml:space="preserve"> </w:t>
            </w:r>
            <w:r w:rsidRPr="001F65A0">
              <w:t>Assumptions.</w:t>
            </w:r>
          </w:p>
        </w:tc>
        <w:tc>
          <w:tcPr>
            <w:tcW w:w="2251" w:type="pct"/>
            <w:shd w:val="clear" w:color="auto" w:fill="auto"/>
            <w:vAlign w:val="center"/>
          </w:tcPr>
          <w:p w14:paraId="7295AAE5" w14:textId="180D9515" w:rsidR="00E42F73" w:rsidRPr="00C46A74" w:rsidRDefault="006240F9" w:rsidP="007925DF">
            <w:pPr>
              <w:pStyle w:val="TableText0"/>
              <w:rPr>
                <w:lang w:val="en-US"/>
              </w:rPr>
            </w:pPr>
            <w:r w:rsidRPr="00C46A74">
              <w:t xml:space="preserve">The substitution rates assumed appear reasonable. The assumption of equal substitution rate across all comparators is uncertain. </w:t>
            </w:r>
          </w:p>
        </w:tc>
      </w:tr>
      <w:tr w:rsidR="00E42F73" w:rsidRPr="00E2771E" w14:paraId="0C865763" w14:textId="77777777" w:rsidTr="00EB70E8">
        <w:tc>
          <w:tcPr>
            <w:tcW w:w="950" w:type="pct"/>
            <w:shd w:val="clear" w:color="auto" w:fill="auto"/>
            <w:vAlign w:val="center"/>
          </w:tcPr>
          <w:p w14:paraId="49D0440C" w14:textId="6F3ECEFA" w:rsidR="00E42F73" w:rsidRPr="00E2771E" w:rsidRDefault="00A732A2" w:rsidP="007925DF">
            <w:pPr>
              <w:pStyle w:val="TableText0"/>
              <w:rPr>
                <w:lang w:val="en-US"/>
              </w:rPr>
            </w:pPr>
            <w:r w:rsidRPr="001F65A0">
              <w:t>% of initiation scripts of ustekinumab</w:t>
            </w:r>
          </w:p>
        </w:tc>
        <w:tc>
          <w:tcPr>
            <w:tcW w:w="1799" w:type="pct"/>
            <w:shd w:val="clear" w:color="auto" w:fill="auto"/>
            <w:vAlign w:val="center"/>
          </w:tcPr>
          <w:p w14:paraId="1BE6F3DA" w14:textId="77777777" w:rsidR="00A732A2" w:rsidRPr="008A4B69" w:rsidRDefault="00A732A2" w:rsidP="00A732A2">
            <w:pPr>
              <w:pStyle w:val="TableText0"/>
              <w:keepNext w:val="0"/>
              <w:widowControl w:val="0"/>
              <w:rPr>
                <w:iCs/>
              </w:rPr>
            </w:pPr>
            <w:r w:rsidRPr="001F65A0">
              <w:t xml:space="preserve">Yr 1: </w:t>
            </w:r>
            <w:r w:rsidRPr="00C46A74">
              <w:t>42.04%; Yr 2: 24.65%; Yr 3: 18.04%;</w:t>
            </w:r>
            <w:r w:rsidRPr="008A4B69">
              <w:rPr>
                <w:iCs/>
              </w:rPr>
              <w:t xml:space="preserve"> </w:t>
            </w:r>
          </w:p>
          <w:p w14:paraId="4B242914" w14:textId="77777777" w:rsidR="00A732A2" w:rsidRDefault="00A732A2" w:rsidP="00A732A2">
            <w:pPr>
              <w:pStyle w:val="TableText0"/>
              <w:keepNext w:val="0"/>
              <w:widowControl w:val="0"/>
            </w:pPr>
            <w:r w:rsidRPr="001F65A0">
              <w:t>Yr 4: 17.41%</w:t>
            </w:r>
            <w:r>
              <w:t xml:space="preserve">; </w:t>
            </w:r>
            <w:r w:rsidRPr="001F65A0">
              <w:t>Yr 5: 17.36%</w:t>
            </w:r>
            <w:r>
              <w:t xml:space="preserve">; </w:t>
            </w:r>
            <w:r w:rsidRPr="001F65A0">
              <w:t>Yr 6: 17.31%</w:t>
            </w:r>
          </w:p>
          <w:p w14:paraId="55CF5673" w14:textId="3FD09E02" w:rsidR="00E42F73" w:rsidRPr="00C33615" w:rsidRDefault="00A732A2" w:rsidP="00A732A2">
            <w:pPr>
              <w:pStyle w:val="TableText0"/>
              <w:keepNext w:val="0"/>
              <w:widowControl w:val="0"/>
            </w:pPr>
            <w:r>
              <w:t>Source: H</w:t>
            </w:r>
            <w:r w:rsidRPr="001F65A0">
              <w:t>istorical ustekinumab usage data since its listing in 2017.</w:t>
            </w:r>
          </w:p>
        </w:tc>
        <w:tc>
          <w:tcPr>
            <w:tcW w:w="2251" w:type="pct"/>
            <w:shd w:val="clear" w:color="auto" w:fill="auto"/>
            <w:vAlign w:val="center"/>
          </w:tcPr>
          <w:p w14:paraId="0E346EAB" w14:textId="61161C1C" w:rsidR="00E42F73" w:rsidRPr="00C46A74" w:rsidRDefault="00A732A2" w:rsidP="008132C6">
            <w:pPr>
              <w:pStyle w:val="TableText0"/>
              <w:keepNext w:val="0"/>
              <w:widowControl w:val="0"/>
            </w:pPr>
            <w:r w:rsidRPr="00C46A74">
              <w:t>It is uncertain if the % of initiation scripts of risankizumab following listing will be similar to the trend for ustekinumab. It appears reasonable to fit a power function to predict the proportion of initiation scripts</w:t>
            </w:r>
            <w:r w:rsidR="008132C6" w:rsidRPr="00C46A74">
              <w:t>, although there was an error in the function</w:t>
            </w:r>
            <w:r w:rsidRPr="00C46A74">
              <w:t xml:space="preserve">. </w:t>
            </w:r>
            <w:r w:rsidR="008132C6" w:rsidRPr="00C46A74">
              <w:t>S</w:t>
            </w:r>
            <w:r w:rsidRPr="00C46A74">
              <w:t>lightly overestimated the financial implications.</w:t>
            </w:r>
          </w:p>
        </w:tc>
      </w:tr>
      <w:tr w:rsidR="00A82B1E" w:rsidRPr="00E2771E" w14:paraId="2452D855" w14:textId="77777777" w:rsidTr="00EB70E8">
        <w:tc>
          <w:tcPr>
            <w:tcW w:w="950" w:type="pct"/>
            <w:shd w:val="clear" w:color="auto" w:fill="auto"/>
            <w:vAlign w:val="center"/>
          </w:tcPr>
          <w:p w14:paraId="3D2FCDE0" w14:textId="00FDB138" w:rsidR="00A82B1E" w:rsidRPr="001F65A0" w:rsidRDefault="00A82B1E" w:rsidP="00A82B1E">
            <w:pPr>
              <w:pStyle w:val="TableText0"/>
            </w:pPr>
            <w:r w:rsidRPr="001F65A0">
              <w:t>Ustekinumab vials</w:t>
            </w:r>
          </w:p>
        </w:tc>
        <w:tc>
          <w:tcPr>
            <w:tcW w:w="1799" w:type="pct"/>
            <w:shd w:val="clear" w:color="auto" w:fill="auto"/>
            <w:vAlign w:val="center"/>
          </w:tcPr>
          <w:p w14:paraId="71BB6AA4" w14:textId="77777777" w:rsidR="00A82B1E" w:rsidRDefault="00A82B1E" w:rsidP="00A82B1E">
            <w:pPr>
              <w:pStyle w:val="TableText0"/>
              <w:keepNext w:val="0"/>
              <w:widowControl w:val="0"/>
            </w:pPr>
            <w:r w:rsidRPr="001F65A0">
              <w:t>3.27 vials per initial IV script</w:t>
            </w:r>
          </w:p>
          <w:p w14:paraId="6DF9D9CC" w14:textId="3D0EEE53" w:rsidR="00A82B1E" w:rsidRPr="001F65A0" w:rsidRDefault="004B7525" w:rsidP="00A82B1E">
            <w:pPr>
              <w:pStyle w:val="TableText0"/>
              <w:keepNext w:val="0"/>
              <w:widowControl w:val="0"/>
            </w:pPr>
            <w:r>
              <w:t xml:space="preserve">Source: </w:t>
            </w:r>
            <w:r w:rsidRPr="001F65A0">
              <w:t>PBS utilisation data for PBS item 11182M for 2021</w:t>
            </w:r>
          </w:p>
        </w:tc>
        <w:tc>
          <w:tcPr>
            <w:tcW w:w="2251" w:type="pct"/>
            <w:shd w:val="clear" w:color="auto" w:fill="auto"/>
            <w:vAlign w:val="center"/>
          </w:tcPr>
          <w:p w14:paraId="252555A1" w14:textId="62717CF0" w:rsidR="00A82B1E" w:rsidRPr="00C46A74" w:rsidRDefault="004B7525" w:rsidP="00A82B1E">
            <w:pPr>
              <w:pStyle w:val="TableText0"/>
              <w:keepNext w:val="0"/>
              <w:widowControl w:val="0"/>
            </w:pPr>
            <w:r w:rsidRPr="00C46A74">
              <w:t>This is appropriate</w:t>
            </w:r>
            <w:r w:rsidR="000713BA" w:rsidRPr="00C46A74">
              <w:t>.</w:t>
            </w:r>
          </w:p>
        </w:tc>
      </w:tr>
      <w:tr w:rsidR="000713BA" w:rsidRPr="00E2771E" w14:paraId="4ADF253D" w14:textId="77777777" w:rsidTr="00EB70E8">
        <w:tc>
          <w:tcPr>
            <w:tcW w:w="950" w:type="pct"/>
            <w:shd w:val="clear" w:color="auto" w:fill="auto"/>
            <w:vAlign w:val="center"/>
          </w:tcPr>
          <w:p w14:paraId="59EB3A85" w14:textId="1F845A08" w:rsidR="000713BA" w:rsidRPr="001F65A0" w:rsidRDefault="000713BA" w:rsidP="000713BA">
            <w:pPr>
              <w:pStyle w:val="TableText0"/>
            </w:pPr>
            <w:r w:rsidRPr="001F65A0">
              <w:t>Infliximab vials (Initiating/first continuing)</w:t>
            </w:r>
          </w:p>
        </w:tc>
        <w:tc>
          <w:tcPr>
            <w:tcW w:w="1799" w:type="pct"/>
            <w:shd w:val="clear" w:color="auto" w:fill="auto"/>
            <w:vAlign w:val="center"/>
          </w:tcPr>
          <w:p w14:paraId="35610C3C" w14:textId="77777777" w:rsidR="000713BA" w:rsidRDefault="000713BA" w:rsidP="000713BA">
            <w:pPr>
              <w:pStyle w:val="TableText0"/>
              <w:keepNext w:val="0"/>
              <w:widowControl w:val="0"/>
            </w:pPr>
            <w:r w:rsidRPr="001F65A0">
              <w:t>4.34 vials per script</w:t>
            </w:r>
          </w:p>
          <w:p w14:paraId="3030E1B9" w14:textId="3C979498" w:rsidR="000713BA" w:rsidRPr="001F65A0" w:rsidRDefault="000713BA" w:rsidP="000713BA">
            <w:pPr>
              <w:pStyle w:val="TableText0"/>
              <w:keepNext w:val="0"/>
              <w:widowControl w:val="0"/>
            </w:pPr>
            <w:r>
              <w:rPr>
                <w:rFonts w:hint="eastAsia"/>
                <w:lang w:eastAsia="zh-CN"/>
              </w:rPr>
              <w:t>Sourc</w:t>
            </w:r>
            <w:r>
              <w:rPr>
                <w:lang w:eastAsia="zh-CN"/>
              </w:rPr>
              <w:t>e:</w:t>
            </w:r>
            <w:r w:rsidRPr="001F65A0">
              <w:t xml:space="preserve"> PBS utilisation data for PBS item 5754W for 2021</w:t>
            </w:r>
          </w:p>
        </w:tc>
        <w:tc>
          <w:tcPr>
            <w:tcW w:w="2251" w:type="pct"/>
            <w:shd w:val="clear" w:color="auto" w:fill="auto"/>
            <w:vAlign w:val="center"/>
          </w:tcPr>
          <w:p w14:paraId="5E505524" w14:textId="63B42D0B" w:rsidR="000713BA" w:rsidRPr="00C46A74" w:rsidRDefault="000713BA" w:rsidP="000713BA">
            <w:pPr>
              <w:pStyle w:val="TableText0"/>
              <w:keepNext w:val="0"/>
              <w:widowControl w:val="0"/>
            </w:pPr>
            <w:r w:rsidRPr="00C46A74">
              <w:t>This is appropriate.</w:t>
            </w:r>
          </w:p>
        </w:tc>
      </w:tr>
      <w:tr w:rsidR="000713BA" w:rsidRPr="00E2771E" w14:paraId="42F04639" w14:textId="77777777" w:rsidTr="00EB70E8">
        <w:tc>
          <w:tcPr>
            <w:tcW w:w="950" w:type="pct"/>
            <w:shd w:val="clear" w:color="auto" w:fill="auto"/>
            <w:vAlign w:val="center"/>
          </w:tcPr>
          <w:p w14:paraId="57D0A5C0" w14:textId="337EB096" w:rsidR="000713BA" w:rsidRPr="001F65A0" w:rsidRDefault="000713BA" w:rsidP="000713BA">
            <w:pPr>
              <w:pStyle w:val="TableText0"/>
            </w:pPr>
            <w:r w:rsidRPr="001F65A0">
              <w:t>Infliximab vials (continuing, no Max Qty)</w:t>
            </w:r>
          </w:p>
        </w:tc>
        <w:tc>
          <w:tcPr>
            <w:tcW w:w="1799" w:type="pct"/>
            <w:shd w:val="clear" w:color="auto" w:fill="auto"/>
            <w:vAlign w:val="center"/>
          </w:tcPr>
          <w:p w14:paraId="324284AA" w14:textId="77777777" w:rsidR="000713BA" w:rsidRDefault="000713BA" w:rsidP="000713BA">
            <w:pPr>
              <w:pStyle w:val="TableText0"/>
              <w:keepNext w:val="0"/>
              <w:widowControl w:val="0"/>
            </w:pPr>
            <w:r w:rsidRPr="001F65A0">
              <w:t xml:space="preserve">4.54 vials per script </w:t>
            </w:r>
          </w:p>
          <w:p w14:paraId="7A73A3EB" w14:textId="0485ED3D" w:rsidR="000713BA" w:rsidRPr="001F65A0" w:rsidRDefault="000713BA" w:rsidP="000713BA">
            <w:pPr>
              <w:pStyle w:val="TableText0"/>
              <w:keepNext w:val="0"/>
              <w:widowControl w:val="0"/>
            </w:pPr>
            <w:r>
              <w:t>Source:</w:t>
            </w:r>
            <w:r w:rsidRPr="001F65A0">
              <w:t xml:space="preserve"> PBS utilisation data for PBS item 11389K for 2021</w:t>
            </w:r>
          </w:p>
        </w:tc>
        <w:tc>
          <w:tcPr>
            <w:tcW w:w="2251" w:type="pct"/>
            <w:shd w:val="clear" w:color="auto" w:fill="auto"/>
            <w:vAlign w:val="center"/>
          </w:tcPr>
          <w:p w14:paraId="41646129" w14:textId="1CF76E71" w:rsidR="000713BA" w:rsidRPr="00C46A74" w:rsidRDefault="000713BA" w:rsidP="000713BA">
            <w:pPr>
              <w:pStyle w:val="TableText0"/>
              <w:keepNext w:val="0"/>
              <w:widowControl w:val="0"/>
            </w:pPr>
            <w:r w:rsidRPr="00C46A74">
              <w:t>This is appropriate.</w:t>
            </w:r>
          </w:p>
        </w:tc>
      </w:tr>
      <w:tr w:rsidR="00B974C3" w:rsidRPr="00E2771E" w14:paraId="21917D85" w14:textId="77777777" w:rsidTr="00EB70E8">
        <w:tc>
          <w:tcPr>
            <w:tcW w:w="950" w:type="pct"/>
            <w:shd w:val="clear" w:color="auto" w:fill="auto"/>
            <w:vAlign w:val="center"/>
          </w:tcPr>
          <w:p w14:paraId="706DC45E" w14:textId="40A8F0A2" w:rsidR="00B974C3" w:rsidRPr="001F65A0" w:rsidRDefault="00B974C3" w:rsidP="00B974C3">
            <w:pPr>
              <w:pStyle w:val="TableText0"/>
            </w:pPr>
            <w:r>
              <w:t xml:space="preserve">Risankizumab 600 mg/ 10.0 mL IV – Initiating </w:t>
            </w:r>
          </w:p>
        </w:tc>
        <w:tc>
          <w:tcPr>
            <w:tcW w:w="1799" w:type="pct"/>
            <w:shd w:val="clear" w:color="auto" w:fill="auto"/>
            <w:vAlign w:val="center"/>
          </w:tcPr>
          <w:p w14:paraId="00475AE6" w14:textId="77777777" w:rsidR="00B974C3" w:rsidRPr="005600B9" w:rsidRDefault="00B974C3" w:rsidP="00B974C3">
            <w:pPr>
              <w:pStyle w:val="TableText0"/>
              <w:keepNext w:val="0"/>
              <w:widowControl w:val="0"/>
            </w:pPr>
            <w:r w:rsidRPr="005600B9">
              <w:t>$7,151.98</w:t>
            </w:r>
          </w:p>
          <w:p w14:paraId="3E134FAC" w14:textId="58128BA3" w:rsidR="00B974C3" w:rsidRPr="005600B9" w:rsidRDefault="00B974C3" w:rsidP="00B974C3">
            <w:pPr>
              <w:pStyle w:val="TableText0"/>
              <w:keepNext w:val="0"/>
              <w:widowControl w:val="0"/>
            </w:pPr>
            <w:r w:rsidRPr="005600B9">
              <w:t xml:space="preserve">Source: </w:t>
            </w:r>
            <w:r w:rsidR="006443F5" w:rsidRPr="005600B9">
              <w:t xml:space="preserve">Proposed DPMQ </w:t>
            </w:r>
            <w:r w:rsidR="00F73B4A" w:rsidRPr="005600B9">
              <w:t xml:space="preserve">for s100 </w:t>
            </w:r>
            <w:r w:rsidR="00C73FB1" w:rsidRPr="005600B9">
              <w:t>Public</w:t>
            </w:r>
            <w:r w:rsidR="00D12154" w:rsidRPr="005600B9">
              <w:t>/Pri</w:t>
            </w:r>
            <w:r w:rsidR="00A4654F" w:rsidRPr="005600B9">
              <w:t>vate</w:t>
            </w:r>
            <w:r w:rsidR="00C73FB1" w:rsidRPr="005600B9">
              <w:t xml:space="preserve"> in Section 3 of the submission</w:t>
            </w:r>
          </w:p>
        </w:tc>
        <w:tc>
          <w:tcPr>
            <w:tcW w:w="2251" w:type="pct"/>
            <w:shd w:val="clear" w:color="auto" w:fill="auto"/>
            <w:vAlign w:val="center"/>
          </w:tcPr>
          <w:p w14:paraId="05E44757" w14:textId="28D6F3FA" w:rsidR="00B974C3" w:rsidRPr="00C46A74" w:rsidRDefault="00163578" w:rsidP="00B974C3">
            <w:pPr>
              <w:pStyle w:val="TableText0"/>
              <w:keepNext w:val="0"/>
              <w:widowControl w:val="0"/>
            </w:pPr>
            <w:r w:rsidRPr="00C46A74">
              <w:t>This is appropriate. However, it is different from the requested price</w:t>
            </w:r>
            <w:r w:rsidR="00AB4032">
              <w:t xml:space="preserve"> in </w:t>
            </w:r>
            <w:r w:rsidR="00E42781">
              <w:t xml:space="preserve">the </w:t>
            </w:r>
            <w:r w:rsidR="00AB4032">
              <w:t>Requested listing section</w:t>
            </w:r>
            <w:r w:rsidR="00E42781">
              <w:t>.</w:t>
            </w:r>
          </w:p>
        </w:tc>
      </w:tr>
      <w:tr w:rsidR="007D6831" w:rsidRPr="00E2771E" w14:paraId="3CB87EB3" w14:textId="77777777" w:rsidTr="00EB70E8">
        <w:tc>
          <w:tcPr>
            <w:tcW w:w="950" w:type="pct"/>
            <w:shd w:val="clear" w:color="auto" w:fill="auto"/>
            <w:vAlign w:val="center"/>
          </w:tcPr>
          <w:p w14:paraId="36E767EF" w14:textId="3ABD3BC8" w:rsidR="007D6831" w:rsidRPr="001F65A0" w:rsidRDefault="007D6831" w:rsidP="000713BA">
            <w:pPr>
              <w:pStyle w:val="TableText0"/>
            </w:pPr>
            <w:r w:rsidRPr="001F65A0">
              <w:t>Risankizumab 360 mg/2.4 mL SC – Initiating &amp; Continuing</w:t>
            </w:r>
          </w:p>
        </w:tc>
        <w:tc>
          <w:tcPr>
            <w:tcW w:w="1799" w:type="pct"/>
            <w:shd w:val="clear" w:color="auto" w:fill="auto"/>
            <w:vAlign w:val="center"/>
          </w:tcPr>
          <w:p w14:paraId="58E879D6" w14:textId="64E0448E" w:rsidR="007D6831" w:rsidRPr="00C46A74" w:rsidRDefault="007D6831" w:rsidP="000713BA">
            <w:pPr>
              <w:pStyle w:val="TableText0"/>
              <w:keepNext w:val="0"/>
              <w:widowControl w:val="0"/>
            </w:pPr>
            <w:r w:rsidRPr="00C46A74">
              <w:t>$</w:t>
            </w:r>
            <w:r w:rsidR="00981AF2" w:rsidRPr="00981AF2">
              <w:rPr>
                <w:color w:val="000000"/>
                <w:spacing w:val="53"/>
                <w:shd w:val="solid" w:color="000000" w:fill="000000"/>
                <w:fitText w:val="331" w:id="-1436349171"/>
                <w14:textFill>
                  <w14:solidFill>
                    <w14:srgbClr w14:val="000000">
                      <w14:alpha w14:val="100000"/>
                    </w14:srgbClr>
                  </w14:solidFill>
                </w14:textFill>
              </w:rPr>
              <w:t>|||</w:t>
            </w:r>
            <w:r w:rsidR="00981AF2" w:rsidRPr="00981AF2">
              <w:rPr>
                <w:color w:val="000000"/>
                <w:spacing w:val="2"/>
                <w:shd w:val="solid" w:color="000000" w:fill="000000"/>
                <w:fitText w:val="331" w:id="-1436349171"/>
                <w14:textFill>
                  <w14:solidFill>
                    <w14:srgbClr w14:val="000000">
                      <w14:alpha w14:val="100000"/>
                    </w14:srgbClr>
                  </w14:solidFill>
                </w14:textFill>
              </w:rPr>
              <w:t>|</w:t>
            </w:r>
          </w:p>
          <w:p w14:paraId="668B1FB4" w14:textId="5FD4FCCB" w:rsidR="00D0432E" w:rsidRPr="001F65A0" w:rsidRDefault="00D0432E" w:rsidP="000713BA">
            <w:pPr>
              <w:pStyle w:val="TableText0"/>
              <w:keepNext w:val="0"/>
              <w:widowControl w:val="0"/>
            </w:pPr>
            <w:r>
              <w:t xml:space="preserve">Source: </w:t>
            </w:r>
            <w:r w:rsidRPr="001F65A0">
              <w:t>Proposed DPMQ for s85</w:t>
            </w:r>
          </w:p>
        </w:tc>
        <w:tc>
          <w:tcPr>
            <w:tcW w:w="2251" w:type="pct"/>
            <w:shd w:val="clear" w:color="auto" w:fill="auto"/>
            <w:vAlign w:val="center"/>
          </w:tcPr>
          <w:p w14:paraId="024C1B1B" w14:textId="7CE4C343" w:rsidR="007D6831" w:rsidRPr="001F65A0" w:rsidRDefault="00B974C3" w:rsidP="000713BA">
            <w:pPr>
              <w:pStyle w:val="TableText0"/>
              <w:keepNext w:val="0"/>
              <w:widowControl w:val="0"/>
              <w:rPr>
                <w:i/>
                <w:iCs/>
              </w:rPr>
            </w:pPr>
            <w:r>
              <w:t>The submission used $</w:t>
            </w:r>
            <w:r w:rsidR="00981AF2" w:rsidRPr="00981AF2">
              <w:rPr>
                <w:color w:val="000000"/>
                <w:spacing w:val="53"/>
                <w:shd w:val="solid" w:color="000000" w:fill="000000"/>
                <w:fitText w:val="331" w:id="-1436349170"/>
                <w14:textFill>
                  <w14:solidFill>
                    <w14:srgbClr w14:val="000000">
                      <w14:alpha w14:val="100000"/>
                    </w14:srgbClr>
                  </w14:solidFill>
                </w14:textFill>
              </w:rPr>
              <w:t>|||</w:t>
            </w:r>
            <w:r w:rsidR="00981AF2" w:rsidRPr="00981AF2">
              <w:rPr>
                <w:color w:val="000000"/>
                <w:spacing w:val="2"/>
                <w:shd w:val="solid" w:color="000000" w:fill="000000"/>
                <w:fitText w:val="331" w:id="-1436349170"/>
                <w14:textFill>
                  <w14:solidFill>
                    <w14:srgbClr w14:val="000000">
                      <w14:alpha w14:val="100000"/>
                    </w14:srgbClr>
                  </w14:solidFill>
                </w14:textFill>
              </w:rPr>
              <w:t>|</w:t>
            </w:r>
            <w:r>
              <w:t xml:space="preserve"> in the financial impact estimation. </w:t>
            </w:r>
            <w:r w:rsidR="00B737C5" w:rsidRPr="00C46A74">
              <w:t>T</w:t>
            </w:r>
            <w:r w:rsidR="00D91E01" w:rsidRPr="00C46A74">
              <w:t xml:space="preserve">he error </w:t>
            </w:r>
            <w:r w:rsidR="00752E97" w:rsidRPr="00C46A74">
              <w:t xml:space="preserve">in the DPMQ </w:t>
            </w:r>
            <w:r w:rsidR="007827B7" w:rsidRPr="00C46A74">
              <w:t>(</w:t>
            </w:r>
            <w:r w:rsidR="0046760E" w:rsidRPr="00C46A74">
              <w:t>i.e.,</w:t>
            </w:r>
            <w:r w:rsidR="007827B7" w:rsidRPr="00C46A74">
              <w:t xml:space="preserve"> Tier One AHI Fee of $4.3 not included) </w:t>
            </w:r>
            <w:r w:rsidR="00B737C5" w:rsidRPr="00C46A74">
              <w:t>u</w:t>
            </w:r>
            <w:r w:rsidR="00D0432E" w:rsidRPr="00C46A74">
              <w:t xml:space="preserve">nderestimated the financial </w:t>
            </w:r>
            <w:r w:rsidR="005E2571" w:rsidRPr="00C46A74">
              <w:t>implications.</w:t>
            </w:r>
          </w:p>
        </w:tc>
      </w:tr>
      <w:tr w:rsidR="00EC5B62" w:rsidRPr="00E2771E" w14:paraId="37842545" w14:textId="77777777" w:rsidTr="00EB70E8">
        <w:tc>
          <w:tcPr>
            <w:tcW w:w="950" w:type="pct"/>
            <w:shd w:val="clear" w:color="auto" w:fill="auto"/>
            <w:vAlign w:val="center"/>
          </w:tcPr>
          <w:p w14:paraId="691ADAE5" w14:textId="447F0F9D" w:rsidR="00EC5B62" w:rsidRPr="001F65A0" w:rsidRDefault="00EC5B62" w:rsidP="000713BA">
            <w:pPr>
              <w:pStyle w:val="TableText0"/>
            </w:pPr>
            <w:r w:rsidRPr="001F65A0">
              <w:t>IV administration for risankizumab / ustekinumab / vedolizumab</w:t>
            </w:r>
          </w:p>
        </w:tc>
        <w:tc>
          <w:tcPr>
            <w:tcW w:w="1799" w:type="pct"/>
            <w:shd w:val="clear" w:color="auto" w:fill="auto"/>
            <w:vAlign w:val="center"/>
          </w:tcPr>
          <w:p w14:paraId="5144B1DB" w14:textId="77777777" w:rsidR="00EC5B62" w:rsidRDefault="00EC5B62" w:rsidP="000713BA">
            <w:pPr>
              <w:pStyle w:val="TableText0"/>
              <w:keepNext w:val="0"/>
              <w:widowControl w:val="0"/>
            </w:pPr>
            <w:r w:rsidRPr="001F65A0">
              <w:t>$79.75</w:t>
            </w:r>
          </w:p>
          <w:p w14:paraId="464C82A5" w14:textId="3B65258B" w:rsidR="00EC5B62" w:rsidRPr="00EC5B62" w:rsidRDefault="00EC5B62" w:rsidP="000713BA">
            <w:pPr>
              <w:pStyle w:val="TableText0"/>
              <w:keepNext w:val="0"/>
              <w:widowControl w:val="0"/>
            </w:pPr>
            <w:r>
              <w:t>Source:</w:t>
            </w:r>
            <w:r w:rsidRPr="001F65A0">
              <w:t xml:space="preserve"> MBS item 116</w:t>
            </w:r>
          </w:p>
        </w:tc>
        <w:tc>
          <w:tcPr>
            <w:tcW w:w="2251" w:type="pct"/>
            <w:shd w:val="clear" w:color="auto" w:fill="auto"/>
            <w:vAlign w:val="center"/>
          </w:tcPr>
          <w:p w14:paraId="003CCCA9" w14:textId="3CC064E5" w:rsidR="00EC5B62" w:rsidRPr="00C46A74" w:rsidRDefault="00EC5B62" w:rsidP="000713BA">
            <w:pPr>
              <w:pStyle w:val="TableText0"/>
              <w:keepNext w:val="0"/>
              <w:widowControl w:val="0"/>
            </w:pPr>
          </w:p>
        </w:tc>
      </w:tr>
      <w:tr w:rsidR="004658B5" w:rsidRPr="00E2771E" w14:paraId="7B7FA999" w14:textId="77777777" w:rsidTr="00EB70E8">
        <w:tc>
          <w:tcPr>
            <w:tcW w:w="950" w:type="pct"/>
            <w:shd w:val="clear" w:color="auto" w:fill="auto"/>
            <w:vAlign w:val="center"/>
          </w:tcPr>
          <w:p w14:paraId="2C67FF14" w14:textId="7E508ECF" w:rsidR="004658B5" w:rsidRPr="00E2771E" w:rsidRDefault="00EC5B62" w:rsidP="007925DF">
            <w:pPr>
              <w:pStyle w:val="TableText0"/>
              <w:rPr>
                <w:lang w:val="en-US"/>
              </w:rPr>
            </w:pPr>
            <w:r w:rsidRPr="001F65A0">
              <w:t>IV administration for infliximab</w:t>
            </w:r>
          </w:p>
        </w:tc>
        <w:tc>
          <w:tcPr>
            <w:tcW w:w="1799" w:type="pct"/>
            <w:shd w:val="clear" w:color="auto" w:fill="auto"/>
            <w:vAlign w:val="center"/>
          </w:tcPr>
          <w:p w14:paraId="46AE4AA5" w14:textId="77777777" w:rsidR="000713BA" w:rsidRDefault="00EC5B62" w:rsidP="000713BA">
            <w:pPr>
              <w:pStyle w:val="TableText0"/>
            </w:pPr>
            <w:r w:rsidRPr="001F65A0">
              <w:t>$101.90</w:t>
            </w:r>
          </w:p>
          <w:p w14:paraId="2CB17643" w14:textId="4C33220C" w:rsidR="004658B5" w:rsidRPr="00E2771E" w:rsidRDefault="00EC5B62" w:rsidP="007925DF">
            <w:pPr>
              <w:pStyle w:val="TableText0"/>
              <w:rPr>
                <w:lang w:val="en-US"/>
              </w:rPr>
            </w:pPr>
            <w:r>
              <w:rPr>
                <w:lang w:val="en-US"/>
              </w:rPr>
              <w:t xml:space="preserve">Source: </w:t>
            </w:r>
            <w:r w:rsidRPr="001F65A0">
              <w:t>MBS item 14245</w:t>
            </w:r>
          </w:p>
        </w:tc>
        <w:tc>
          <w:tcPr>
            <w:tcW w:w="2251" w:type="pct"/>
            <w:shd w:val="clear" w:color="auto" w:fill="auto"/>
            <w:vAlign w:val="center"/>
          </w:tcPr>
          <w:p w14:paraId="2F12B392" w14:textId="06A78C30" w:rsidR="004658B5" w:rsidRPr="00C46A74" w:rsidRDefault="00857FE9" w:rsidP="007925DF">
            <w:pPr>
              <w:pStyle w:val="TableText0"/>
              <w:rPr>
                <w:lang w:val="en-US"/>
              </w:rPr>
            </w:pPr>
            <w:r w:rsidRPr="00C46A74">
              <w:t xml:space="preserve"> This is appropriate</w:t>
            </w:r>
            <w:r w:rsidR="00C07616">
              <w:t>.</w:t>
            </w:r>
            <w:r w:rsidRPr="00C46A74">
              <w:t xml:space="preserve"> </w:t>
            </w:r>
            <w:r w:rsidR="00C07616">
              <w:t>H</w:t>
            </w:r>
            <w:r w:rsidRPr="00C46A74">
              <w:t>owever, it is noted that a subcutaneous injection form of IFX is currently listed for CD and was recommended for listing for FCD at the March 2022 PBAC meeting.</w:t>
            </w:r>
          </w:p>
        </w:tc>
      </w:tr>
    </w:tbl>
    <w:p w14:paraId="1AC32751" w14:textId="48528F30" w:rsidR="006913CE" w:rsidRPr="008A4B69" w:rsidRDefault="006913CE" w:rsidP="006913CE">
      <w:pPr>
        <w:pStyle w:val="TableFigureFooter"/>
        <w:widowControl w:val="0"/>
        <w:rPr>
          <w:iCs/>
        </w:rPr>
      </w:pPr>
      <w:r w:rsidRPr="001F65A0">
        <w:t>Source: Table 4-1 – Table 4-3</w:t>
      </w:r>
      <w:r w:rsidR="00016D51">
        <w:t>2</w:t>
      </w:r>
      <w:r w:rsidRPr="001F65A0">
        <w:t>, p146-17</w:t>
      </w:r>
      <w:r w:rsidR="00016D51">
        <w:t>1</w:t>
      </w:r>
      <w:r w:rsidRPr="001F65A0">
        <w:t xml:space="preserve"> and Attachment 4.6 of the submission. </w:t>
      </w:r>
      <w:r w:rsidRPr="00812212">
        <w:t>And corrected during the evaluation.</w:t>
      </w:r>
    </w:p>
    <w:p w14:paraId="722BE471" w14:textId="46071E17" w:rsidR="00D10444" w:rsidRPr="001F65A0" w:rsidRDefault="00D10444" w:rsidP="00D10444">
      <w:pPr>
        <w:pStyle w:val="TableFigureFooter"/>
        <w:widowControl w:val="0"/>
        <w:rPr>
          <w:iCs/>
        </w:rPr>
      </w:pPr>
      <w:r w:rsidRPr="001F65A0">
        <w:rPr>
          <w:iCs/>
        </w:rPr>
        <w:t xml:space="preserve">Abbreviations: </w:t>
      </w:r>
      <w:r w:rsidRPr="001F65A0">
        <w:t xml:space="preserve">CD, Crohn’s Disease; </w:t>
      </w:r>
      <w:r w:rsidRPr="001F65A0">
        <w:rPr>
          <w:iCs/>
        </w:rPr>
        <w:t xml:space="preserve">PBS, Pharmaceutical Benefits Scheme; MBS, Medicare Benefits Scheme; SC, sub-cutaneous; Max Qty, maximum quantity; DPMQ, dispensed price for maximum quantity; s85, Section 85; </w:t>
      </w:r>
      <w:r w:rsidR="00C73FB1">
        <w:rPr>
          <w:iCs/>
        </w:rPr>
        <w:t xml:space="preserve">s100, Section 100; </w:t>
      </w:r>
      <w:r w:rsidRPr="001F65A0">
        <w:rPr>
          <w:iCs/>
        </w:rPr>
        <w:t>AHI, Administration, Handling and Infrastructure.</w:t>
      </w:r>
    </w:p>
    <w:p w14:paraId="2AFA7059" w14:textId="77777777" w:rsidR="003E7FF4" w:rsidRPr="003E7FF4" w:rsidRDefault="003E7FF4" w:rsidP="006913CE">
      <w:pPr>
        <w:pStyle w:val="TableFigureFooter"/>
        <w:widowControl w:val="0"/>
      </w:pPr>
    </w:p>
    <w:p w14:paraId="1674C9D8" w14:textId="703F6D7B" w:rsidR="00B97AD5" w:rsidRPr="007925DF" w:rsidRDefault="00B97AD5" w:rsidP="00B97AD5">
      <w:pPr>
        <w:pStyle w:val="TableFigureHeading"/>
        <w:rPr>
          <w:rStyle w:val="CommentReference"/>
          <w:b/>
          <w:szCs w:val="24"/>
        </w:rPr>
      </w:pPr>
      <w:r w:rsidRPr="007925DF">
        <w:rPr>
          <w:rStyle w:val="CommentReference"/>
          <w:b/>
          <w:szCs w:val="24"/>
        </w:rPr>
        <w:lastRenderedPageBreak/>
        <w:t xml:space="preserve">Table </w:t>
      </w:r>
      <w:r w:rsidR="004D3A8A">
        <w:t>15</w:t>
      </w:r>
      <w:r w:rsidRPr="007925DF">
        <w:rPr>
          <w:rStyle w:val="CommentReference"/>
          <w:b/>
          <w:szCs w:val="24"/>
        </w:rPr>
        <w:t>: Key inputs for financial estimates</w:t>
      </w:r>
      <w:r>
        <w:rPr>
          <w:rStyle w:val="CommentReference"/>
          <w:b/>
          <w:szCs w:val="24"/>
        </w:rPr>
        <w:t xml:space="preserve"> – </w:t>
      </w:r>
      <w:r w:rsidR="006E5C90">
        <w:rPr>
          <w:rStyle w:val="CommentReference"/>
          <w:b/>
          <w:szCs w:val="24"/>
        </w:rPr>
        <w:t>F</w:t>
      </w:r>
      <w:r>
        <w:rPr>
          <w:rStyle w:val="CommentReference"/>
          <w:b/>
          <w:szCs w:val="24"/>
        </w:rPr>
        <w:t>CD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14"/>
        <w:gridCol w:w="3244"/>
        <w:gridCol w:w="4059"/>
      </w:tblGrid>
      <w:tr w:rsidR="00B97AD5" w:rsidRPr="003D1DE4" w14:paraId="459660E6" w14:textId="77777777" w:rsidTr="003F1398">
        <w:trPr>
          <w:tblHeader/>
        </w:trPr>
        <w:tc>
          <w:tcPr>
            <w:tcW w:w="950" w:type="pct"/>
            <w:shd w:val="clear" w:color="auto" w:fill="auto"/>
            <w:vAlign w:val="center"/>
          </w:tcPr>
          <w:p w14:paraId="19701347" w14:textId="77777777" w:rsidR="00B97AD5" w:rsidRPr="003D1DE4" w:rsidRDefault="00B97AD5" w:rsidP="003F1398">
            <w:pPr>
              <w:pStyle w:val="In-tableHeading"/>
            </w:pPr>
            <w:r>
              <w:t>Parameter</w:t>
            </w:r>
          </w:p>
        </w:tc>
        <w:tc>
          <w:tcPr>
            <w:tcW w:w="1799" w:type="pct"/>
            <w:shd w:val="clear" w:color="auto" w:fill="auto"/>
            <w:vAlign w:val="center"/>
          </w:tcPr>
          <w:p w14:paraId="7BA050EC" w14:textId="77777777" w:rsidR="00B97AD5" w:rsidRPr="003D1DE4" w:rsidRDefault="00B97AD5" w:rsidP="003F1398">
            <w:pPr>
              <w:pStyle w:val="In-tableHeading"/>
            </w:pPr>
            <w:r>
              <w:t>Value applied and source</w:t>
            </w:r>
          </w:p>
        </w:tc>
        <w:tc>
          <w:tcPr>
            <w:tcW w:w="2251" w:type="pct"/>
            <w:shd w:val="clear" w:color="auto" w:fill="auto"/>
            <w:vAlign w:val="center"/>
          </w:tcPr>
          <w:p w14:paraId="504D6E89" w14:textId="77777777" w:rsidR="00B97AD5" w:rsidRPr="003D1DE4" w:rsidRDefault="00B97AD5" w:rsidP="003F1398">
            <w:pPr>
              <w:pStyle w:val="In-tableHeading"/>
            </w:pPr>
            <w:r>
              <w:t>Comment</w:t>
            </w:r>
          </w:p>
        </w:tc>
      </w:tr>
      <w:tr w:rsidR="00B97AD5" w:rsidRPr="00E2771E" w14:paraId="6B7208D3" w14:textId="77777777" w:rsidTr="003F1398">
        <w:tc>
          <w:tcPr>
            <w:tcW w:w="950" w:type="pct"/>
            <w:shd w:val="clear" w:color="auto" w:fill="auto"/>
            <w:vAlign w:val="center"/>
          </w:tcPr>
          <w:p w14:paraId="35103D4F" w14:textId="77777777" w:rsidR="00B97AD5" w:rsidRPr="00E2771E" w:rsidRDefault="00B97AD5" w:rsidP="003F1398">
            <w:pPr>
              <w:pStyle w:val="TableText0"/>
              <w:rPr>
                <w:lang w:val="en-US"/>
              </w:rPr>
            </w:pPr>
            <w:r w:rsidRPr="001F65A0">
              <w:t>Market growth without the listing of risankizumab</w:t>
            </w:r>
          </w:p>
        </w:tc>
        <w:tc>
          <w:tcPr>
            <w:tcW w:w="1799" w:type="pct"/>
            <w:shd w:val="clear" w:color="auto" w:fill="auto"/>
            <w:vAlign w:val="center"/>
          </w:tcPr>
          <w:p w14:paraId="4B0CCCCD" w14:textId="77777777" w:rsidR="00B97AD5" w:rsidRDefault="00B97AD5" w:rsidP="003F1398">
            <w:pPr>
              <w:pStyle w:val="TableText0"/>
              <w:keepNext w:val="0"/>
              <w:widowControl w:val="0"/>
            </w:pPr>
            <w:r w:rsidRPr="001F65A0">
              <w:t>Functional form: Linear</w:t>
            </w:r>
          </w:p>
          <w:p w14:paraId="4519AACA" w14:textId="77777777" w:rsidR="00B97AD5" w:rsidRPr="00740A5F" w:rsidRDefault="00B97AD5" w:rsidP="003F1398">
            <w:pPr>
              <w:pStyle w:val="TableText0"/>
              <w:keepNext w:val="0"/>
              <w:widowControl w:val="0"/>
            </w:pPr>
            <w:r>
              <w:t xml:space="preserve">Source: </w:t>
            </w:r>
            <w:r>
              <w:rPr>
                <w:rFonts w:hint="eastAsia"/>
                <w:lang w:eastAsia="zh-CN"/>
              </w:rPr>
              <w:t>A</w:t>
            </w:r>
            <w:r w:rsidRPr="001F65A0">
              <w:t xml:space="preserve">ssumed a linear trend of growth in Year 1 to 6 following listing reflecting the 2017-2021 </w:t>
            </w:r>
            <w:r>
              <w:t xml:space="preserve">PBS </w:t>
            </w:r>
            <w:r w:rsidRPr="001F65A0">
              <w:t>usage and each modelled list item was projected individually.</w:t>
            </w:r>
          </w:p>
        </w:tc>
        <w:tc>
          <w:tcPr>
            <w:tcW w:w="2251" w:type="pct"/>
            <w:shd w:val="clear" w:color="auto" w:fill="auto"/>
            <w:vAlign w:val="center"/>
          </w:tcPr>
          <w:p w14:paraId="04B9EAD1" w14:textId="55CE6FBC" w:rsidR="00B97AD5" w:rsidRPr="00C46A74" w:rsidRDefault="00643906" w:rsidP="003F1398">
            <w:pPr>
              <w:pStyle w:val="TableText0"/>
            </w:pPr>
            <w:r w:rsidRPr="00C46A74">
              <w:t xml:space="preserve">It </w:t>
            </w:r>
            <w:r w:rsidR="00724114" w:rsidRPr="00C46A74">
              <w:t>may be</w:t>
            </w:r>
            <w:r w:rsidRPr="00C46A74">
              <w:t xml:space="preserve"> reasonable to assume linear growth of infliximab. The market growth of adalimumab is uncertain.</w:t>
            </w:r>
          </w:p>
        </w:tc>
      </w:tr>
      <w:tr w:rsidR="00B97AD5" w:rsidRPr="00E2771E" w14:paraId="65A78BC1" w14:textId="77777777" w:rsidTr="003F1398">
        <w:tc>
          <w:tcPr>
            <w:tcW w:w="950" w:type="pct"/>
            <w:shd w:val="clear" w:color="auto" w:fill="auto"/>
            <w:vAlign w:val="center"/>
          </w:tcPr>
          <w:p w14:paraId="10C969A3" w14:textId="77777777" w:rsidR="00B97AD5" w:rsidRPr="00E2771E" w:rsidRDefault="00B97AD5" w:rsidP="003F1398">
            <w:pPr>
              <w:pStyle w:val="TableText0"/>
              <w:rPr>
                <w:lang w:val="en-US"/>
              </w:rPr>
            </w:pPr>
            <w:r w:rsidRPr="001F65A0">
              <w:t>Substitution rates of risankizumab</w:t>
            </w:r>
          </w:p>
        </w:tc>
        <w:tc>
          <w:tcPr>
            <w:tcW w:w="1799" w:type="pct"/>
            <w:shd w:val="clear" w:color="auto" w:fill="auto"/>
            <w:vAlign w:val="center"/>
          </w:tcPr>
          <w:p w14:paraId="27CFA676" w14:textId="7103BB8D" w:rsidR="00F34436" w:rsidRPr="001F65A0" w:rsidRDefault="00F34436" w:rsidP="00F34436">
            <w:pPr>
              <w:pStyle w:val="TableText0"/>
              <w:keepNext w:val="0"/>
              <w:widowControl w:val="0"/>
            </w:pPr>
            <w:r w:rsidRPr="001F65A0">
              <w:t>Yr 1: 10%</w:t>
            </w:r>
            <w:r>
              <w:t xml:space="preserve">; </w:t>
            </w:r>
            <w:r w:rsidRPr="001F65A0">
              <w:t>Yr 2: 14%</w:t>
            </w:r>
            <w:r>
              <w:t xml:space="preserve">; </w:t>
            </w:r>
            <w:r w:rsidRPr="001F65A0">
              <w:t>Yr 3: 18%</w:t>
            </w:r>
          </w:p>
          <w:p w14:paraId="6CEDBA42" w14:textId="77777777" w:rsidR="00F34436" w:rsidRDefault="00F34436" w:rsidP="00F34436">
            <w:pPr>
              <w:pStyle w:val="TableText0"/>
              <w:keepNext w:val="0"/>
              <w:widowControl w:val="0"/>
            </w:pPr>
            <w:r w:rsidRPr="001F65A0">
              <w:t>Yr 4: 22%</w:t>
            </w:r>
            <w:r>
              <w:t xml:space="preserve">; </w:t>
            </w:r>
            <w:r w:rsidRPr="001F65A0">
              <w:t>Yr 5: 26%</w:t>
            </w:r>
            <w:r>
              <w:t xml:space="preserve">; </w:t>
            </w:r>
            <w:r w:rsidRPr="001F65A0">
              <w:t>Yr 6: 30%</w:t>
            </w:r>
          </w:p>
          <w:p w14:paraId="6DFD30B0" w14:textId="0733E53B" w:rsidR="00B97AD5" w:rsidRPr="00F34436" w:rsidRDefault="00B97AD5" w:rsidP="00F34436">
            <w:pPr>
              <w:pStyle w:val="TableText0"/>
              <w:keepNext w:val="0"/>
              <w:widowControl w:val="0"/>
            </w:pPr>
            <w:r>
              <w:rPr>
                <w:lang w:val="en-US"/>
              </w:rPr>
              <w:t xml:space="preserve">Source: </w:t>
            </w:r>
            <w:r w:rsidRPr="001F65A0">
              <w:t>Assumptions.</w:t>
            </w:r>
          </w:p>
        </w:tc>
        <w:tc>
          <w:tcPr>
            <w:tcW w:w="2251" w:type="pct"/>
            <w:shd w:val="clear" w:color="auto" w:fill="auto"/>
            <w:vAlign w:val="center"/>
          </w:tcPr>
          <w:p w14:paraId="2541BACA" w14:textId="4A2DA4E6" w:rsidR="00B97AD5" w:rsidRPr="00C46A74" w:rsidRDefault="00054824" w:rsidP="00323CDF">
            <w:pPr>
              <w:pStyle w:val="TableText0"/>
              <w:keepNext w:val="0"/>
              <w:widowControl w:val="0"/>
            </w:pPr>
            <w:r w:rsidRPr="00C46A74">
              <w:t xml:space="preserve">Given the lack of evidence demonstrating the clinical efficacy of risankizumab compared to </w:t>
            </w:r>
            <w:r w:rsidR="004E78E8" w:rsidRPr="00C46A74">
              <w:t xml:space="preserve">placebo, </w:t>
            </w:r>
            <w:r w:rsidRPr="00C46A74">
              <w:t>the uptake rate of risankizumab is unclear.</w:t>
            </w:r>
          </w:p>
        </w:tc>
      </w:tr>
      <w:tr w:rsidR="00B97AD5" w:rsidRPr="00E2771E" w14:paraId="73475995" w14:textId="77777777" w:rsidTr="003F1398">
        <w:tc>
          <w:tcPr>
            <w:tcW w:w="950" w:type="pct"/>
            <w:shd w:val="clear" w:color="auto" w:fill="auto"/>
            <w:vAlign w:val="center"/>
          </w:tcPr>
          <w:p w14:paraId="67A96A0A" w14:textId="77777777" w:rsidR="00B97AD5" w:rsidRPr="00E2771E" w:rsidRDefault="00B97AD5" w:rsidP="003F1398">
            <w:pPr>
              <w:pStyle w:val="TableText0"/>
              <w:rPr>
                <w:lang w:val="en-US"/>
              </w:rPr>
            </w:pPr>
            <w:r w:rsidRPr="001F65A0">
              <w:t>% of initiation scripts of ustekinumab</w:t>
            </w:r>
          </w:p>
        </w:tc>
        <w:tc>
          <w:tcPr>
            <w:tcW w:w="1799" w:type="pct"/>
            <w:shd w:val="clear" w:color="auto" w:fill="auto"/>
            <w:vAlign w:val="center"/>
          </w:tcPr>
          <w:p w14:paraId="1B1ABC2D" w14:textId="6FB4B999" w:rsidR="00323CDF" w:rsidRPr="00C46A74" w:rsidRDefault="00323CDF" w:rsidP="00323CDF">
            <w:pPr>
              <w:pStyle w:val="TableText0"/>
              <w:keepNext w:val="0"/>
              <w:widowControl w:val="0"/>
              <w:rPr>
                <w:iCs/>
              </w:rPr>
            </w:pPr>
            <w:r w:rsidRPr="002225C6">
              <w:t xml:space="preserve">Yr 1: </w:t>
            </w:r>
            <w:r w:rsidRPr="00C46A74">
              <w:rPr>
                <w:iCs/>
              </w:rPr>
              <w:t>42.04%; Yr 2: 24.65%; Yr 3: 18.04%;</w:t>
            </w:r>
          </w:p>
          <w:p w14:paraId="33A06C7D" w14:textId="151711C5" w:rsidR="00323CDF" w:rsidRPr="002225C6" w:rsidRDefault="00323CDF" w:rsidP="00323CDF">
            <w:pPr>
              <w:pStyle w:val="TableText0"/>
              <w:keepNext w:val="0"/>
              <w:widowControl w:val="0"/>
            </w:pPr>
            <w:r w:rsidRPr="00C46A74">
              <w:rPr>
                <w:iCs/>
              </w:rPr>
              <w:t>Yr 4: 14.46%;</w:t>
            </w:r>
            <w:r w:rsidRPr="002225C6">
              <w:t xml:space="preserve"> Yr 5: 14.31%; Yr 6: 14.27%</w:t>
            </w:r>
          </w:p>
          <w:p w14:paraId="400548BC" w14:textId="77777777" w:rsidR="00B97AD5" w:rsidRPr="00C33615" w:rsidRDefault="00B97AD5" w:rsidP="003F1398">
            <w:pPr>
              <w:pStyle w:val="TableText0"/>
              <w:keepNext w:val="0"/>
              <w:widowControl w:val="0"/>
            </w:pPr>
            <w:r>
              <w:t>Source: H</w:t>
            </w:r>
            <w:r w:rsidRPr="001F65A0">
              <w:t>istorical ustekinumab usage data since its listing in 2017.</w:t>
            </w:r>
          </w:p>
        </w:tc>
        <w:tc>
          <w:tcPr>
            <w:tcW w:w="2251" w:type="pct"/>
            <w:shd w:val="clear" w:color="auto" w:fill="auto"/>
            <w:vAlign w:val="center"/>
          </w:tcPr>
          <w:p w14:paraId="25C4358E" w14:textId="6894B27E" w:rsidR="00323CDF" w:rsidRPr="00C46A74" w:rsidRDefault="00B97AD5" w:rsidP="003F1398">
            <w:pPr>
              <w:pStyle w:val="TableText0"/>
              <w:keepNext w:val="0"/>
              <w:widowControl w:val="0"/>
            </w:pPr>
            <w:r w:rsidRPr="00C46A74">
              <w:t>It is uncertain if the % of initiation scripts of risankizumab following listing will be similar to the trend for ustekinumab. It appears reasonable to fit a power function to predict the proportion of initiation scripts, although there was an error in the function. Slightly overestimated the financial implications.</w:t>
            </w:r>
          </w:p>
        </w:tc>
      </w:tr>
      <w:tr w:rsidR="00B97AD5" w:rsidRPr="00E2771E" w14:paraId="316519D2" w14:textId="77777777" w:rsidTr="003F1398">
        <w:tc>
          <w:tcPr>
            <w:tcW w:w="950" w:type="pct"/>
            <w:shd w:val="clear" w:color="auto" w:fill="auto"/>
            <w:vAlign w:val="center"/>
          </w:tcPr>
          <w:p w14:paraId="30D4A2AA" w14:textId="77777777" w:rsidR="00B97AD5" w:rsidRPr="001F65A0" w:rsidRDefault="00B97AD5" w:rsidP="003F1398">
            <w:pPr>
              <w:pStyle w:val="TableText0"/>
            </w:pPr>
            <w:r w:rsidRPr="001F65A0">
              <w:t>Infliximab vials (Initiating/first continuing)</w:t>
            </w:r>
          </w:p>
        </w:tc>
        <w:tc>
          <w:tcPr>
            <w:tcW w:w="1799" w:type="pct"/>
            <w:shd w:val="clear" w:color="auto" w:fill="auto"/>
            <w:vAlign w:val="center"/>
          </w:tcPr>
          <w:p w14:paraId="18F1F7B0" w14:textId="77777777" w:rsidR="007D5725" w:rsidRDefault="007D5725" w:rsidP="003F1398">
            <w:pPr>
              <w:pStyle w:val="TableText0"/>
              <w:keepNext w:val="0"/>
              <w:widowControl w:val="0"/>
            </w:pPr>
            <w:r w:rsidRPr="001F65A0">
              <w:t xml:space="preserve">4.23 vials per script </w:t>
            </w:r>
          </w:p>
          <w:p w14:paraId="590EB6D5" w14:textId="4A59C85F" w:rsidR="00B97AD5" w:rsidRPr="001F65A0" w:rsidRDefault="00B97AD5" w:rsidP="003F1398">
            <w:pPr>
              <w:pStyle w:val="TableText0"/>
              <w:keepNext w:val="0"/>
              <w:widowControl w:val="0"/>
            </w:pPr>
            <w:r>
              <w:rPr>
                <w:rFonts w:hint="eastAsia"/>
                <w:lang w:eastAsia="zh-CN"/>
              </w:rPr>
              <w:t>Sourc</w:t>
            </w:r>
            <w:r>
              <w:rPr>
                <w:lang w:eastAsia="zh-CN"/>
              </w:rPr>
              <w:t>e:</w:t>
            </w:r>
            <w:r w:rsidRPr="001F65A0">
              <w:t xml:space="preserve"> </w:t>
            </w:r>
            <w:r w:rsidR="007D5725" w:rsidRPr="001F65A0">
              <w:t>PBS utilisation data for PBS item 9654D for 2021</w:t>
            </w:r>
          </w:p>
        </w:tc>
        <w:tc>
          <w:tcPr>
            <w:tcW w:w="2251" w:type="pct"/>
            <w:shd w:val="clear" w:color="auto" w:fill="auto"/>
            <w:vAlign w:val="center"/>
          </w:tcPr>
          <w:p w14:paraId="2488DBCD" w14:textId="77777777" w:rsidR="00B97AD5" w:rsidRPr="00C46A74" w:rsidRDefault="00B97AD5" w:rsidP="003F1398">
            <w:pPr>
              <w:pStyle w:val="TableText0"/>
              <w:keepNext w:val="0"/>
              <w:widowControl w:val="0"/>
            </w:pPr>
            <w:r w:rsidRPr="00C46A74">
              <w:t>This is appropriate.</w:t>
            </w:r>
          </w:p>
        </w:tc>
      </w:tr>
      <w:tr w:rsidR="00B97AD5" w:rsidRPr="00E2771E" w14:paraId="08E0696D" w14:textId="77777777" w:rsidTr="003F1398">
        <w:tc>
          <w:tcPr>
            <w:tcW w:w="950" w:type="pct"/>
            <w:shd w:val="clear" w:color="auto" w:fill="auto"/>
            <w:vAlign w:val="center"/>
          </w:tcPr>
          <w:p w14:paraId="0E9C58AC" w14:textId="77777777" w:rsidR="00B97AD5" w:rsidRPr="001F65A0" w:rsidRDefault="00B97AD5" w:rsidP="003F1398">
            <w:pPr>
              <w:pStyle w:val="TableText0"/>
            </w:pPr>
            <w:r w:rsidRPr="001F65A0">
              <w:t>Infliximab vials (continuing, no Max Qty)</w:t>
            </w:r>
          </w:p>
        </w:tc>
        <w:tc>
          <w:tcPr>
            <w:tcW w:w="1799" w:type="pct"/>
            <w:shd w:val="clear" w:color="auto" w:fill="auto"/>
            <w:vAlign w:val="center"/>
          </w:tcPr>
          <w:p w14:paraId="13CAA229" w14:textId="77777777" w:rsidR="009D0B4E" w:rsidRDefault="009D0B4E" w:rsidP="003F1398">
            <w:pPr>
              <w:pStyle w:val="TableText0"/>
              <w:keepNext w:val="0"/>
              <w:widowControl w:val="0"/>
            </w:pPr>
            <w:r w:rsidRPr="001F65A0">
              <w:t xml:space="preserve">4.53 vials per script </w:t>
            </w:r>
          </w:p>
          <w:p w14:paraId="3A4E0DE3" w14:textId="47FA138F" w:rsidR="00B97AD5" w:rsidRPr="001F65A0" w:rsidRDefault="00B97AD5" w:rsidP="003F1398">
            <w:pPr>
              <w:pStyle w:val="TableText0"/>
              <w:keepNext w:val="0"/>
              <w:widowControl w:val="0"/>
            </w:pPr>
            <w:r>
              <w:t>Source:</w:t>
            </w:r>
            <w:r w:rsidRPr="001F65A0">
              <w:t xml:space="preserve"> </w:t>
            </w:r>
            <w:r w:rsidR="009D0B4E" w:rsidRPr="001F65A0">
              <w:t>PBS utilisation data for PBS item 11424G for 2021</w:t>
            </w:r>
          </w:p>
        </w:tc>
        <w:tc>
          <w:tcPr>
            <w:tcW w:w="2251" w:type="pct"/>
            <w:shd w:val="clear" w:color="auto" w:fill="auto"/>
            <w:vAlign w:val="center"/>
          </w:tcPr>
          <w:p w14:paraId="5F77901C" w14:textId="77777777" w:rsidR="00B97AD5" w:rsidRPr="00C46A74" w:rsidRDefault="00B97AD5" w:rsidP="003F1398">
            <w:pPr>
              <w:pStyle w:val="TableText0"/>
              <w:keepNext w:val="0"/>
              <w:widowControl w:val="0"/>
            </w:pPr>
            <w:r w:rsidRPr="00C46A74">
              <w:t>This is appropriate.</w:t>
            </w:r>
          </w:p>
        </w:tc>
      </w:tr>
      <w:tr w:rsidR="00D76B3E" w:rsidRPr="00E2771E" w14:paraId="3766C026" w14:textId="77777777" w:rsidTr="003F1398">
        <w:tc>
          <w:tcPr>
            <w:tcW w:w="950" w:type="pct"/>
            <w:shd w:val="clear" w:color="auto" w:fill="auto"/>
            <w:vAlign w:val="center"/>
          </w:tcPr>
          <w:p w14:paraId="72E0CA69" w14:textId="647C9A04" w:rsidR="00D76B3E" w:rsidRPr="001F65A0" w:rsidRDefault="00D76B3E" w:rsidP="00D76B3E">
            <w:pPr>
              <w:pStyle w:val="TableText0"/>
            </w:pPr>
            <w:r>
              <w:t xml:space="preserve">Risankizumab 600 mg/ 10.0 mL IV – Initiating </w:t>
            </w:r>
          </w:p>
        </w:tc>
        <w:tc>
          <w:tcPr>
            <w:tcW w:w="1799" w:type="pct"/>
            <w:shd w:val="clear" w:color="auto" w:fill="auto"/>
            <w:vAlign w:val="center"/>
          </w:tcPr>
          <w:p w14:paraId="0D0DEFE8" w14:textId="77777777" w:rsidR="00D76B3E" w:rsidRPr="00171412" w:rsidRDefault="00D76B3E" w:rsidP="00D76B3E">
            <w:pPr>
              <w:pStyle w:val="TableText0"/>
              <w:keepNext w:val="0"/>
              <w:widowControl w:val="0"/>
            </w:pPr>
            <w:r w:rsidRPr="00171412">
              <w:t>$1,564.13</w:t>
            </w:r>
          </w:p>
          <w:p w14:paraId="34C20EEA" w14:textId="4731DE00" w:rsidR="00D76B3E" w:rsidRPr="00171412" w:rsidRDefault="00D76B3E" w:rsidP="00D76B3E">
            <w:pPr>
              <w:pStyle w:val="TableText0"/>
              <w:keepNext w:val="0"/>
              <w:widowControl w:val="0"/>
            </w:pPr>
            <w:r w:rsidRPr="00171412">
              <w:t>Source: Proposed DPMQ for s100 Public</w:t>
            </w:r>
            <w:r w:rsidR="001C7344" w:rsidRPr="00171412">
              <w:t>/Private</w:t>
            </w:r>
            <w:r w:rsidRPr="00171412">
              <w:t xml:space="preserve"> in Section 3 of the submission</w:t>
            </w:r>
          </w:p>
        </w:tc>
        <w:tc>
          <w:tcPr>
            <w:tcW w:w="2251" w:type="pct"/>
            <w:shd w:val="clear" w:color="auto" w:fill="auto"/>
            <w:vAlign w:val="center"/>
          </w:tcPr>
          <w:p w14:paraId="13C2E8B9" w14:textId="6ED6A9A5" w:rsidR="00D76B3E" w:rsidRPr="00C46A74" w:rsidRDefault="00801C2F" w:rsidP="00D76B3E">
            <w:pPr>
              <w:pStyle w:val="TableText0"/>
              <w:keepNext w:val="0"/>
              <w:widowControl w:val="0"/>
            </w:pPr>
            <w:r w:rsidRPr="00C46A74">
              <w:t>This is appropriate.</w:t>
            </w:r>
          </w:p>
        </w:tc>
      </w:tr>
      <w:tr w:rsidR="00B97AD5" w:rsidRPr="00E2771E" w14:paraId="452E2009" w14:textId="77777777" w:rsidTr="003F1398">
        <w:tc>
          <w:tcPr>
            <w:tcW w:w="950" w:type="pct"/>
            <w:shd w:val="clear" w:color="auto" w:fill="auto"/>
            <w:vAlign w:val="center"/>
          </w:tcPr>
          <w:p w14:paraId="2439399D" w14:textId="77777777" w:rsidR="00B97AD5" w:rsidRPr="001F65A0" w:rsidRDefault="00B97AD5" w:rsidP="003F1398">
            <w:pPr>
              <w:pStyle w:val="TableText0"/>
            </w:pPr>
            <w:r w:rsidRPr="001F65A0">
              <w:t>Risankizumab 360 mg/2.4 mL SC – Initiating &amp; Continuing</w:t>
            </w:r>
          </w:p>
        </w:tc>
        <w:tc>
          <w:tcPr>
            <w:tcW w:w="1799" w:type="pct"/>
            <w:shd w:val="clear" w:color="auto" w:fill="auto"/>
            <w:vAlign w:val="center"/>
          </w:tcPr>
          <w:p w14:paraId="25EA96D4" w14:textId="40A12724" w:rsidR="00B03C42" w:rsidRDefault="00801C2F" w:rsidP="00D76B3E">
            <w:pPr>
              <w:pStyle w:val="TableText0"/>
              <w:keepNext w:val="0"/>
              <w:widowControl w:val="0"/>
            </w:pPr>
            <w:r>
              <w:t>$</w:t>
            </w:r>
            <w:r w:rsidR="00981AF2" w:rsidRPr="00981AF2">
              <w:rPr>
                <w:color w:val="000000"/>
                <w:spacing w:val="53"/>
                <w:shd w:val="solid" w:color="000000" w:fill="000000"/>
                <w:fitText w:val="331" w:id="-1436349169"/>
                <w14:textFill>
                  <w14:solidFill>
                    <w14:srgbClr w14:val="000000">
                      <w14:alpha w14:val="100000"/>
                    </w14:srgbClr>
                  </w14:solidFill>
                </w14:textFill>
              </w:rPr>
              <w:t>|||</w:t>
            </w:r>
            <w:r w:rsidR="00981AF2" w:rsidRPr="00981AF2">
              <w:rPr>
                <w:color w:val="000000"/>
                <w:spacing w:val="2"/>
                <w:shd w:val="solid" w:color="000000" w:fill="000000"/>
                <w:fitText w:val="331" w:id="-1436349169"/>
                <w14:textFill>
                  <w14:solidFill>
                    <w14:srgbClr w14:val="000000">
                      <w14:alpha w14:val="100000"/>
                    </w14:srgbClr>
                  </w14:solidFill>
                </w14:textFill>
              </w:rPr>
              <w:t>|</w:t>
            </w:r>
          </w:p>
          <w:p w14:paraId="134673F5" w14:textId="73B94720" w:rsidR="00B97AD5" w:rsidRPr="001F65A0" w:rsidRDefault="00B97AD5" w:rsidP="003F1398">
            <w:pPr>
              <w:pStyle w:val="TableText0"/>
              <w:keepNext w:val="0"/>
              <w:widowControl w:val="0"/>
            </w:pPr>
            <w:r>
              <w:t xml:space="preserve">Source: </w:t>
            </w:r>
            <w:r w:rsidRPr="001F65A0">
              <w:t>Proposed DPMQ for s85</w:t>
            </w:r>
          </w:p>
        </w:tc>
        <w:tc>
          <w:tcPr>
            <w:tcW w:w="2251" w:type="pct"/>
            <w:shd w:val="clear" w:color="auto" w:fill="auto"/>
            <w:vAlign w:val="center"/>
          </w:tcPr>
          <w:p w14:paraId="10DB3933" w14:textId="5A1D32A8" w:rsidR="00B97AD5" w:rsidRPr="00C46A74" w:rsidRDefault="00B03C42" w:rsidP="003F1398">
            <w:pPr>
              <w:pStyle w:val="TableText0"/>
              <w:keepNext w:val="0"/>
              <w:widowControl w:val="0"/>
            </w:pPr>
            <w:r w:rsidRPr="00C46A74">
              <w:t>This is appropriate.</w:t>
            </w:r>
          </w:p>
        </w:tc>
      </w:tr>
      <w:tr w:rsidR="00B97AD5" w:rsidRPr="00E2771E" w14:paraId="27AF1D2B" w14:textId="77777777" w:rsidTr="003F1398">
        <w:tc>
          <w:tcPr>
            <w:tcW w:w="950" w:type="pct"/>
            <w:shd w:val="clear" w:color="auto" w:fill="auto"/>
            <w:vAlign w:val="center"/>
          </w:tcPr>
          <w:p w14:paraId="158FD030" w14:textId="771E724C" w:rsidR="00B97AD5" w:rsidRPr="001F65A0" w:rsidRDefault="00B97AD5" w:rsidP="003F1398">
            <w:pPr>
              <w:pStyle w:val="TableText0"/>
            </w:pPr>
            <w:r w:rsidRPr="001F65A0">
              <w:t>IV administration for risankizumab</w:t>
            </w:r>
          </w:p>
        </w:tc>
        <w:tc>
          <w:tcPr>
            <w:tcW w:w="1799" w:type="pct"/>
            <w:shd w:val="clear" w:color="auto" w:fill="auto"/>
            <w:vAlign w:val="center"/>
          </w:tcPr>
          <w:p w14:paraId="49328FE3" w14:textId="77777777" w:rsidR="00B97AD5" w:rsidRDefault="00B97AD5" w:rsidP="003F1398">
            <w:pPr>
              <w:pStyle w:val="TableText0"/>
              <w:keepNext w:val="0"/>
              <w:widowControl w:val="0"/>
            </w:pPr>
            <w:r w:rsidRPr="001F65A0">
              <w:t>$79.75</w:t>
            </w:r>
          </w:p>
          <w:p w14:paraId="33C6D820" w14:textId="77777777" w:rsidR="00B97AD5" w:rsidRPr="00EC5B62" w:rsidRDefault="00B97AD5" w:rsidP="003F1398">
            <w:pPr>
              <w:pStyle w:val="TableText0"/>
              <w:keepNext w:val="0"/>
              <w:widowControl w:val="0"/>
            </w:pPr>
            <w:r>
              <w:t>Source:</w:t>
            </w:r>
            <w:r w:rsidRPr="001F65A0">
              <w:t xml:space="preserve"> MBS item 116</w:t>
            </w:r>
          </w:p>
        </w:tc>
        <w:tc>
          <w:tcPr>
            <w:tcW w:w="2251" w:type="pct"/>
            <w:shd w:val="clear" w:color="auto" w:fill="auto"/>
            <w:vAlign w:val="center"/>
          </w:tcPr>
          <w:p w14:paraId="6E5E033D" w14:textId="77777777" w:rsidR="00B97AD5" w:rsidRPr="00C46A74" w:rsidRDefault="00B97AD5" w:rsidP="003F1398">
            <w:pPr>
              <w:pStyle w:val="TableText0"/>
              <w:keepNext w:val="0"/>
              <w:widowControl w:val="0"/>
            </w:pPr>
            <w:r w:rsidRPr="00C46A74">
              <w:t>This is appropriate.</w:t>
            </w:r>
          </w:p>
        </w:tc>
      </w:tr>
      <w:tr w:rsidR="00B97AD5" w:rsidRPr="00E2771E" w14:paraId="4768E2CE" w14:textId="77777777" w:rsidTr="003F1398">
        <w:tc>
          <w:tcPr>
            <w:tcW w:w="950" w:type="pct"/>
            <w:shd w:val="clear" w:color="auto" w:fill="auto"/>
            <w:vAlign w:val="center"/>
          </w:tcPr>
          <w:p w14:paraId="03FEC494" w14:textId="77777777" w:rsidR="00B97AD5" w:rsidRPr="00E2771E" w:rsidRDefault="00B97AD5" w:rsidP="003F1398">
            <w:pPr>
              <w:pStyle w:val="TableText0"/>
              <w:rPr>
                <w:lang w:val="en-US"/>
              </w:rPr>
            </w:pPr>
            <w:r w:rsidRPr="001F65A0">
              <w:t>IV administration for infliximab</w:t>
            </w:r>
          </w:p>
        </w:tc>
        <w:tc>
          <w:tcPr>
            <w:tcW w:w="1799" w:type="pct"/>
            <w:shd w:val="clear" w:color="auto" w:fill="auto"/>
            <w:vAlign w:val="center"/>
          </w:tcPr>
          <w:p w14:paraId="5FC81FF4" w14:textId="77777777" w:rsidR="00B97AD5" w:rsidRDefault="00B97AD5" w:rsidP="003F1398">
            <w:pPr>
              <w:pStyle w:val="TableText0"/>
            </w:pPr>
            <w:r w:rsidRPr="001F65A0">
              <w:t>$101.90</w:t>
            </w:r>
          </w:p>
          <w:p w14:paraId="1B7ECAB4" w14:textId="77777777" w:rsidR="00B97AD5" w:rsidRPr="00E2771E" w:rsidRDefault="00B97AD5" w:rsidP="003F1398">
            <w:pPr>
              <w:pStyle w:val="TableText0"/>
              <w:rPr>
                <w:lang w:val="en-US"/>
              </w:rPr>
            </w:pPr>
            <w:r>
              <w:rPr>
                <w:lang w:val="en-US"/>
              </w:rPr>
              <w:t xml:space="preserve">Source: </w:t>
            </w:r>
            <w:r w:rsidRPr="001F65A0">
              <w:t>MBS item 14245</w:t>
            </w:r>
          </w:p>
        </w:tc>
        <w:tc>
          <w:tcPr>
            <w:tcW w:w="2251" w:type="pct"/>
            <w:shd w:val="clear" w:color="auto" w:fill="auto"/>
            <w:vAlign w:val="center"/>
          </w:tcPr>
          <w:p w14:paraId="6A3326EB" w14:textId="04326F4B" w:rsidR="00B97AD5" w:rsidRPr="00C46A74" w:rsidRDefault="00857FE9" w:rsidP="003F1398">
            <w:pPr>
              <w:pStyle w:val="TableText0"/>
              <w:rPr>
                <w:lang w:val="en-US"/>
              </w:rPr>
            </w:pPr>
            <w:r w:rsidRPr="00C46A74">
              <w:t>This is appropriate</w:t>
            </w:r>
            <w:r w:rsidR="00C46A74">
              <w:t>.</w:t>
            </w:r>
            <w:r w:rsidRPr="00C46A74">
              <w:t xml:space="preserve"> </w:t>
            </w:r>
            <w:r w:rsidR="00C46A74">
              <w:t>H</w:t>
            </w:r>
            <w:r w:rsidRPr="00C46A74">
              <w:t>owever, it is noted that a subcutaneous injection form of IFX is currently listed for CD and was recommended for listing for FCD at the March 2022 PBAC meeting.</w:t>
            </w:r>
          </w:p>
        </w:tc>
      </w:tr>
    </w:tbl>
    <w:p w14:paraId="0B771677" w14:textId="409EBF7A" w:rsidR="00E64859" w:rsidRPr="00E64859" w:rsidRDefault="00B97AD5" w:rsidP="00B97AD5">
      <w:pPr>
        <w:pStyle w:val="TableFigureFooter"/>
        <w:widowControl w:val="0"/>
        <w:rPr>
          <w:iCs/>
        </w:rPr>
      </w:pPr>
      <w:r w:rsidRPr="001F65A0">
        <w:t>Source: Table 4-1 – Table 4-3</w:t>
      </w:r>
      <w:r w:rsidR="00016D51">
        <w:t>2</w:t>
      </w:r>
      <w:r w:rsidRPr="001F65A0">
        <w:t>, p146-17</w:t>
      </w:r>
      <w:r w:rsidR="00016D51">
        <w:t>1</w:t>
      </w:r>
      <w:r w:rsidRPr="001F65A0">
        <w:t xml:space="preserve"> and Attachment 4.</w:t>
      </w:r>
      <w:r w:rsidR="00016D51">
        <w:t>7</w:t>
      </w:r>
      <w:r w:rsidRPr="001F65A0">
        <w:t xml:space="preserve"> of the submission. </w:t>
      </w:r>
      <w:r w:rsidRPr="008A4B69">
        <w:rPr>
          <w:iCs/>
        </w:rPr>
        <w:t>And corrected during the evaluation</w:t>
      </w:r>
      <w:r w:rsidR="00A627BF" w:rsidRPr="008A4B69">
        <w:rPr>
          <w:iCs/>
        </w:rPr>
        <w:t xml:space="preserve"> </w:t>
      </w:r>
      <w:r w:rsidR="00E64859" w:rsidRPr="001F65A0">
        <w:rPr>
          <w:iCs/>
        </w:rPr>
        <w:t>reviations: FCD, Fistulising Crohn’s Disease</w:t>
      </w:r>
      <w:r w:rsidR="00E64859" w:rsidRPr="001F65A0">
        <w:t xml:space="preserve">; </w:t>
      </w:r>
      <w:r w:rsidR="00E64859" w:rsidRPr="001F65A0">
        <w:rPr>
          <w:iCs/>
        </w:rPr>
        <w:t>PBS, Pharmaceutical Benefits Scheme; MBS, Medicare Benefits Scheme; SC, sub-cutaneous; Max Qty, maximum quantity; DPMQ, dispensed price for maximum quantity; s85, Section 85</w:t>
      </w:r>
      <w:r w:rsidR="00C73FB1">
        <w:rPr>
          <w:iCs/>
        </w:rPr>
        <w:t>; s100, Section 100</w:t>
      </w:r>
      <w:r w:rsidR="00E64859" w:rsidRPr="001F65A0">
        <w:rPr>
          <w:iCs/>
        </w:rPr>
        <w:t>.</w:t>
      </w:r>
    </w:p>
    <w:p w14:paraId="26FB6670" w14:textId="44EA6256" w:rsidR="00B505C8" w:rsidRPr="002A71B7" w:rsidRDefault="00501341" w:rsidP="00465970">
      <w:pPr>
        <w:pStyle w:val="3-BodyText"/>
        <w:ind w:left="709"/>
      </w:pPr>
      <w:r w:rsidRPr="00B16492">
        <w:t>The estimated use and financial implications</w:t>
      </w:r>
      <w:r w:rsidR="00B16492">
        <w:t xml:space="preserve"> of </w:t>
      </w:r>
      <w:r w:rsidR="004366AB">
        <w:t>risankizumab</w:t>
      </w:r>
      <w:r w:rsidRPr="00B16492">
        <w:t xml:space="preserve"> for severe CD and FCD are </w:t>
      </w:r>
      <w:r w:rsidR="004366AB">
        <w:t>presented</w:t>
      </w:r>
      <w:r w:rsidRPr="00B16492">
        <w:t xml:space="preserve"> in </w:t>
      </w:r>
      <w:r w:rsidR="008B47B9">
        <w:fldChar w:fldCharType="begin" w:fldLock="1"/>
      </w:r>
      <w:r w:rsidR="008B47B9">
        <w:instrText xml:space="preserve"> REF _Ref102575700 \h </w:instrText>
      </w:r>
      <w:r w:rsidR="002A71B7">
        <w:instrText xml:space="preserve"> \* MERGEFORMAT </w:instrText>
      </w:r>
      <w:r w:rsidR="008B47B9">
        <w:fldChar w:fldCharType="end"/>
      </w:r>
      <w:r w:rsidR="004D3A8A">
        <w:t>Table 16</w:t>
      </w:r>
      <w:r w:rsidRPr="00B16492">
        <w:t xml:space="preserve"> and</w:t>
      </w:r>
      <w:r w:rsidR="004D3A8A">
        <w:t xml:space="preserve"> Table 17</w:t>
      </w:r>
      <w:r w:rsidRPr="00B16492">
        <w:t>.</w:t>
      </w:r>
      <w:r w:rsidRPr="002A71B7">
        <w:t xml:space="preserve"> </w:t>
      </w:r>
    </w:p>
    <w:p w14:paraId="38EC053C" w14:textId="661139C8" w:rsidR="00C25D9C" w:rsidRPr="00606FBA" w:rsidRDefault="002A2F50" w:rsidP="00606FBA">
      <w:pPr>
        <w:pStyle w:val="TableFigureHeading"/>
      </w:pPr>
      <w:bookmarkStart w:id="41" w:name="_Ref102575708"/>
      <w:bookmarkStart w:id="42" w:name="_Ref102575700"/>
      <w:r w:rsidRPr="00606FBA">
        <w:rPr>
          <w:rStyle w:val="CommentReference"/>
          <w:b/>
          <w:szCs w:val="24"/>
        </w:rPr>
        <w:lastRenderedPageBreak/>
        <w:t xml:space="preserve">Table </w:t>
      </w:r>
      <w:r>
        <w:fldChar w:fldCharType="begin" w:fldLock="1"/>
      </w:r>
      <w:r>
        <w:instrText>SEQ Table \* ARABIC</w:instrText>
      </w:r>
      <w:r>
        <w:fldChar w:fldCharType="separate"/>
      </w:r>
      <w:r w:rsidR="003D76A2">
        <w:rPr>
          <w:noProof/>
        </w:rPr>
        <w:t>1</w:t>
      </w:r>
      <w:r>
        <w:fldChar w:fldCharType="end"/>
      </w:r>
      <w:bookmarkEnd w:id="41"/>
      <w:r w:rsidR="004D3A8A">
        <w:t>6</w:t>
      </w:r>
      <w:r w:rsidRPr="00606FBA">
        <w:rPr>
          <w:rStyle w:val="CommentReference"/>
          <w:b/>
          <w:szCs w:val="24"/>
        </w:rPr>
        <w:t>: Estimated use and financial implications</w:t>
      </w:r>
      <w:r w:rsidR="005C0589">
        <w:rPr>
          <w:rStyle w:val="CommentReference"/>
          <w:b/>
          <w:szCs w:val="24"/>
        </w:rPr>
        <w:t xml:space="preserve"> – severe CD</w:t>
      </w:r>
      <w:bookmarkEnd w:id="42"/>
      <w:r w:rsidR="0094586E">
        <w:rPr>
          <w:rStyle w:val="CommentReference"/>
          <w:b/>
          <w:szCs w:val="24"/>
        </w:rPr>
        <w:t xml:space="preserve"> (using published prices)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2"/>
        <w:gridCol w:w="1167"/>
        <w:gridCol w:w="1167"/>
        <w:gridCol w:w="1167"/>
        <w:gridCol w:w="1167"/>
        <w:gridCol w:w="1167"/>
        <w:gridCol w:w="1170"/>
      </w:tblGrid>
      <w:tr w:rsidR="00385A9D" w:rsidRPr="00D1078F" w14:paraId="43A2A3A1" w14:textId="77777777" w:rsidTr="00093F4C">
        <w:trPr>
          <w:tblHeader/>
        </w:trPr>
        <w:tc>
          <w:tcPr>
            <w:tcW w:w="1116" w:type="pct"/>
            <w:shd w:val="clear" w:color="auto" w:fill="auto"/>
            <w:vAlign w:val="center"/>
          </w:tcPr>
          <w:p w14:paraId="0A4E41E1" w14:textId="77777777" w:rsidR="00385A9D" w:rsidRPr="003639A6" w:rsidRDefault="00385A9D" w:rsidP="00606FBA">
            <w:pPr>
              <w:pStyle w:val="In-tableHeading"/>
              <w:jc w:val="center"/>
            </w:pPr>
          </w:p>
        </w:tc>
        <w:tc>
          <w:tcPr>
            <w:tcW w:w="647" w:type="pct"/>
            <w:shd w:val="clear" w:color="auto" w:fill="auto"/>
            <w:vAlign w:val="center"/>
          </w:tcPr>
          <w:p w14:paraId="77420B6F" w14:textId="77777777" w:rsidR="00385A9D" w:rsidRPr="00D1078F" w:rsidRDefault="00385A9D" w:rsidP="00606FBA">
            <w:pPr>
              <w:pStyle w:val="In-tableHeading"/>
              <w:jc w:val="center"/>
            </w:pPr>
            <w:r w:rsidRPr="00D1078F">
              <w:t>Year 1</w:t>
            </w:r>
          </w:p>
        </w:tc>
        <w:tc>
          <w:tcPr>
            <w:tcW w:w="647" w:type="pct"/>
            <w:shd w:val="clear" w:color="auto" w:fill="auto"/>
            <w:vAlign w:val="center"/>
          </w:tcPr>
          <w:p w14:paraId="3BBD9218" w14:textId="77777777" w:rsidR="00385A9D" w:rsidRPr="00D1078F" w:rsidRDefault="00385A9D" w:rsidP="00606FBA">
            <w:pPr>
              <w:pStyle w:val="In-tableHeading"/>
              <w:jc w:val="center"/>
            </w:pPr>
            <w:r w:rsidRPr="00D1078F">
              <w:t>Year 2</w:t>
            </w:r>
          </w:p>
        </w:tc>
        <w:tc>
          <w:tcPr>
            <w:tcW w:w="647" w:type="pct"/>
            <w:shd w:val="clear" w:color="auto" w:fill="auto"/>
            <w:vAlign w:val="center"/>
          </w:tcPr>
          <w:p w14:paraId="729A646E" w14:textId="77777777" w:rsidR="00385A9D" w:rsidRPr="00D1078F" w:rsidRDefault="00385A9D" w:rsidP="00606FBA">
            <w:pPr>
              <w:pStyle w:val="In-tableHeading"/>
              <w:jc w:val="center"/>
            </w:pPr>
            <w:r w:rsidRPr="00D1078F">
              <w:t>Year 3</w:t>
            </w:r>
          </w:p>
        </w:tc>
        <w:tc>
          <w:tcPr>
            <w:tcW w:w="647" w:type="pct"/>
            <w:shd w:val="clear" w:color="auto" w:fill="auto"/>
            <w:vAlign w:val="center"/>
          </w:tcPr>
          <w:p w14:paraId="280BB544" w14:textId="77777777" w:rsidR="00385A9D" w:rsidRPr="00D1078F" w:rsidRDefault="00385A9D" w:rsidP="00606FBA">
            <w:pPr>
              <w:pStyle w:val="In-tableHeading"/>
              <w:jc w:val="center"/>
            </w:pPr>
            <w:r w:rsidRPr="00D1078F">
              <w:t>Year 4</w:t>
            </w:r>
          </w:p>
        </w:tc>
        <w:tc>
          <w:tcPr>
            <w:tcW w:w="647" w:type="pct"/>
            <w:shd w:val="clear" w:color="auto" w:fill="auto"/>
            <w:vAlign w:val="center"/>
          </w:tcPr>
          <w:p w14:paraId="6435BB5B" w14:textId="77777777" w:rsidR="00385A9D" w:rsidRPr="00D1078F" w:rsidRDefault="00385A9D" w:rsidP="00606FBA">
            <w:pPr>
              <w:pStyle w:val="In-tableHeading"/>
              <w:jc w:val="center"/>
            </w:pPr>
            <w:r w:rsidRPr="00D1078F">
              <w:t>Year 5</w:t>
            </w:r>
          </w:p>
        </w:tc>
        <w:tc>
          <w:tcPr>
            <w:tcW w:w="649" w:type="pct"/>
          </w:tcPr>
          <w:p w14:paraId="7C618119" w14:textId="77777777" w:rsidR="00385A9D" w:rsidRPr="00D1078F" w:rsidRDefault="00385A9D" w:rsidP="00606FBA">
            <w:pPr>
              <w:pStyle w:val="In-tableHeading"/>
              <w:jc w:val="center"/>
            </w:pPr>
            <w:r w:rsidRPr="00D1078F">
              <w:t>Year 6</w:t>
            </w:r>
          </w:p>
        </w:tc>
      </w:tr>
      <w:tr w:rsidR="00385A9D" w:rsidRPr="00D1078F" w14:paraId="3C519059" w14:textId="77777777" w:rsidTr="009C3A3A">
        <w:tc>
          <w:tcPr>
            <w:tcW w:w="5000" w:type="pct"/>
            <w:gridSpan w:val="7"/>
            <w:shd w:val="clear" w:color="auto" w:fill="auto"/>
            <w:vAlign w:val="center"/>
          </w:tcPr>
          <w:p w14:paraId="516C2197" w14:textId="77777777" w:rsidR="00385A9D" w:rsidRPr="00D1078F" w:rsidRDefault="00385A9D" w:rsidP="00606FBA">
            <w:pPr>
              <w:pStyle w:val="In-tableHeading"/>
              <w:rPr>
                <w:bCs/>
                <w:color w:val="000000"/>
              </w:rPr>
            </w:pPr>
            <w:r w:rsidRPr="00D1078F">
              <w:rPr>
                <w:bCs/>
                <w:color w:val="000000"/>
              </w:rPr>
              <w:t>Estimated extent of use</w:t>
            </w:r>
          </w:p>
        </w:tc>
      </w:tr>
      <w:tr w:rsidR="00385A9D" w:rsidRPr="003639A6" w14:paraId="1CEE4D09" w14:textId="77777777" w:rsidTr="00093F4C">
        <w:tc>
          <w:tcPr>
            <w:tcW w:w="1116" w:type="pct"/>
            <w:shd w:val="clear" w:color="auto" w:fill="auto"/>
            <w:vAlign w:val="center"/>
          </w:tcPr>
          <w:p w14:paraId="229A1EDF" w14:textId="77777777" w:rsidR="00385A9D" w:rsidRPr="003639A6" w:rsidRDefault="00385A9D" w:rsidP="00606FBA">
            <w:pPr>
              <w:pStyle w:val="TableText0"/>
              <w:rPr>
                <w:rFonts w:ascii="Times" w:hAnsi="Times"/>
              </w:rPr>
            </w:pPr>
            <w:r w:rsidRPr="003639A6">
              <w:t xml:space="preserve">Number of </w:t>
            </w:r>
            <w:r>
              <w:t>scripts</w:t>
            </w:r>
            <w:r w:rsidRPr="003639A6">
              <w:t xml:space="preserve"> dispensed</w:t>
            </w:r>
            <w:r w:rsidRPr="003639A6">
              <w:rPr>
                <w:vertAlign w:val="superscript"/>
              </w:rPr>
              <w:t>a</w:t>
            </w:r>
          </w:p>
        </w:tc>
        <w:tc>
          <w:tcPr>
            <w:tcW w:w="647" w:type="pct"/>
            <w:shd w:val="clear" w:color="auto" w:fill="auto"/>
          </w:tcPr>
          <w:p w14:paraId="0D9F25C2" w14:textId="09905A1E" w:rsidR="00385A9D" w:rsidRPr="003639A6" w:rsidRDefault="00E056A7" w:rsidP="00606FBA">
            <w:pPr>
              <w:pStyle w:val="TableText0"/>
              <w:jc w:val="center"/>
              <w:rPr>
                <w:color w:val="000000"/>
              </w:rPr>
            </w:pPr>
            <w:r w:rsidRPr="001F65A0">
              <w:rPr>
                <w:bCs w:val="0"/>
              </w:rPr>
              <w:t xml:space="preserve"> </w:t>
            </w:r>
            <w:r w:rsidR="00981AF2" w:rsidRPr="00981AF2">
              <w:rPr>
                <w:rFonts w:hint="eastAsia"/>
                <w:bCs w:val="0"/>
                <w:color w:val="000000"/>
                <w:w w:val="15"/>
                <w:shd w:val="solid" w:color="000000" w:fill="000000"/>
                <w:fitText w:val="46" w:id="-1436349168"/>
                <w14:textFill>
                  <w14:solidFill>
                    <w14:srgbClr w14:val="000000">
                      <w14:alpha w14:val="100000"/>
                    </w14:srgbClr>
                  </w14:solidFill>
                </w14:textFill>
              </w:rPr>
              <w:t xml:space="preserve">　</w:t>
            </w:r>
            <w:r w:rsidR="00981AF2" w:rsidRPr="00981AF2">
              <w:rPr>
                <w:bCs w:val="0"/>
                <w:color w:val="000000"/>
                <w:w w:val="15"/>
                <w:shd w:val="solid" w:color="000000" w:fill="000000"/>
                <w:fitText w:val="46" w:id="-1436349168"/>
                <w14:textFill>
                  <w14:solidFill>
                    <w14:srgbClr w14:val="000000">
                      <w14:alpha w14:val="100000"/>
                    </w14:srgbClr>
                  </w14:solidFill>
                </w14:textFill>
              </w:rPr>
              <w:t>|</w:t>
            </w:r>
            <w:r w:rsidR="00981AF2" w:rsidRPr="00981AF2">
              <w:rPr>
                <w:rFonts w:hint="eastAsia"/>
                <w:bCs w:val="0"/>
                <w:color w:val="000000"/>
                <w:spacing w:val="-19"/>
                <w:w w:val="15"/>
                <w:shd w:val="solid" w:color="000000" w:fill="000000"/>
                <w:fitText w:val="46" w:id="-1436349168"/>
                <w14:textFill>
                  <w14:solidFill>
                    <w14:srgbClr w14:val="000000">
                      <w14:alpha w14:val="100000"/>
                    </w14:srgbClr>
                  </w14:solidFill>
                </w14:textFill>
              </w:rPr>
              <w:t xml:space="preserve">　</w:t>
            </w:r>
            <w:r w:rsidR="001D15C3">
              <w:rPr>
                <w:bCs w:val="0"/>
                <w:vertAlign w:val="superscript"/>
              </w:rPr>
              <w:t>1</w:t>
            </w:r>
          </w:p>
        </w:tc>
        <w:tc>
          <w:tcPr>
            <w:tcW w:w="647" w:type="pct"/>
            <w:shd w:val="clear" w:color="auto" w:fill="auto"/>
          </w:tcPr>
          <w:p w14:paraId="2D7847AA" w14:textId="0EF7A0CB" w:rsidR="00385A9D" w:rsidRPr="003639A6" w:rsidRDefault="00E056A7" w:rsidP="00606FBA">
            <w:pPr>
              <w:pStyle w:val="TableText0"/>
              <w:jc w:val="center"/>
              <w:rPr>
                <w:color w:val="000000"/>
              </w:rPr>
            </w:pPr>
            <w:r w:rsidRPr="001F65A0">
              <w:rPr>
                <w:bCs w:val="0"/>
              </w:rPr>
              <w:t xml:space="preserve"> </w:t>
            </w:r>
            <w:r w:rsidR="00981AF2" w:rsidRPr="00981AF2">
              <w:rPr>
                <w:rFonts w:hint="eastAsia"/>
                <w:bCs w:val="0"/>
                <w:color w:val="000000"/>
                <w:w w:val="15"/>
                <w:shd w:val="solid" w:color="000000" w:fill="000000"/>
                <w:fitText w:val="46" w:id="-1436349184"/>
                <w14:textFill>
                  <w14:solidFill>
                    <w14:srgbClr w14:val="000000">
                      <w14:alpha w14:val="100000"/>
                    </w14:srgbClr>
                  </w14:solidFill>
                </w14:textFill>
              </w:rPr>
              <w:t xml:space="preserve">　</w:t>
            </w:r>
            <w:r w:rsidR="00981AF2" w:rsidRPr="00981AF2">
              <w:rPr>
                <w:bCs w:val="0"/>
                <w:color w:val="000000"/>
                <w:w w:val="15"/>
                <w:shd w:val="solid" w:color="000000" w:fill="000000"/>
                <w:fitText w:val="46" w:id="-1436349184"/>
                <w14:textFill>
                  <w14:solidFill>
                    <w14:srgbClr w14:val="000000">
                      <w14:alpha w14:val="100000"/>
                    </w14:srgbClr>
                  </w14:solidFill>
                </w14:textFill>
              </w:rPr>
              <w:t>|</w:t>
            </w:r>
            <w:r w:rsidR="00981AF2" w:rsidRPr="00981AF2">
              <w:rPr>
                <w:rFonts w:hint="eastAsia"/>
                <w:bCs w:val="0"/>
                <w:color w:val="000000"/>
                <w:spacing w:val="-19"/>
                <w:w w:val="15"/>
                <w:shd w:val="solid" w:color="000000" w:fill="000000"/>
                <w:fitText w:val="46" w:id="-1436349184"/>
                <w14:textFill>
                  <w14:solidFill>
                    <w14:srgbClr w14:val="000000">
                      <w14:alpha w14:val="100000"/>
                    </w14:srgbClr>
                  </w14:solidFill>
                </w14:textFill>
              </w:rPr>
              <w:t xml:space="preserve">　</w:t>
            </w:r>
            <w:r w:rsidR="001D15C3">
              <w:rPr>
                <w:bCs w:val="0"/>
                <w:vertAlign w:val="superscript"/>
              </w:rPr>
              <w:t>1</w:t>
            </w:r>
            <w:r w:rsidRPr="001F65A0">
              <w:rPr>
                <w:bCs w:val="0"/>
              </w:rPr>
              <w:t xml:space="preserve"> </w:t>
            </w:r>
          </w:p>
        </w:tc>
        <w:tc>
          <w:tcPr>
            <w:tcW w:w="647" w:type="pct"/>
            <w:shd w:val="clear" w:color="auto" w:fill="auto"/>
          </w:tcPr>
          <w:p w14:paraId="7A620378" w14:textId="67968E8A" w:rsidR="00385A9D" w:rsidRPr="003639A6" w:rsidRDefault="00E056A7" w:rsidP="00606FBA">
            <w:pPr>
              <w:pStyle w:val="TableText0"/>
              <w:jc w:val="center"/>
              <w:rPr>
                <w:color w:val="000000"/>
              </w:rPr>
            </w:pPr>
            <w:r w:rsidRPr="001F65A0">
              <w:rPr>
                <w:bCs w:val="0"/>
              </w:rPr>
              <w:t xml:space="preserve"> </w:t>
            </w:r>
            <w:r w:rsidR="00981AF2" w:rsidRPr="00981AF2">
              <w:rPr>
                <w:rFonts w:hint="eastAsia"/>
                <w:bCs w:val="0"/>
                <w:color w:val="000000"/>
                <w:w w:val="15"/>
                <w:shd w:val="solid" w:color="000000" w:fill="000000"/>
                <w:fitText w:val="46" w:id="-1436349183"/>
                <w14:textFill>
                  <w14:solidFill>
                    <w14:srgbClr w14:val="000000">
                      <w14:alpha w14:val="100000"/>
                    </w14:srgbClr>
                  </w14:solidFill>
                </w14:textFill>
              </w:rPr>
              <w:t xml:space="preserve">　</w:t>
            </w:r>
            <w:r w:rsidR="00981AF2" w:rsidRPr="00981AF2">
              <w:rPr>
                <w:bCs w:val="0"/>
                <w:color w:val="000000"/>
                <w:w w:val="15"/>
                <w:shd w:val="solid" w:color="000000" w:fill="000000"/>
                <w:fitText w:val="46" w:id="-1436349183"/>
                <w14:textFill>
                  <w14:solidFill>
                    <w14:srgbClr w14:val="000000">
                      <w14:alpha w14:val="100000"/>
                    </w14:srgbClr>
                  </w14:solidFill>
                </w14:textFill>
              </w:rPr>
              <w:t>|</w:t>
            </w:r>
            <w:r w:rsidR="00981AF2" w:rsidRPr="00981AF2">
              <w:rPr>
                <w:rFonts w:hint="eastAsia"/>
                <w:bCs w:val="0"/>
                <w:color w:val="000000"/>
                <w:spacing w:val="-19"/>
                <w:w w:val="15"/>
                <w:shd w:val="solid" w:color="000000" w:fill="000000"/>
                <w:fitText w:val="46" w:id="-1436349183"/>
                <w14:textFill>
                  <w14:solidFill>
                    <w14:srgbClr w14:val="000000">
                      <w14:alpha w14:val="100000"/>
                    </w14:srgbClr>
                  </w14:solidFill>
                </w14:textFill>
              </w:rPr>
              <w:t xml:space="preserve">　</w:t>
            </w:r>
            <w:r w:rsidR="001D15C3">
              <w:rPr>
                <w:bCs w:val="0"/>
                <w:vertAlign w:val="superscript"/>
              </w:rPr>
              <w:t>2</w:t>
            </w:r>
            <w:r w:rsidRPr="001F65A0">
              <w:rPr>
                <w:bCs w:val="0"/>
              </w:rPr>
              <w:t xml:space="preserve"> </w:t>
            </w:r>
          </w:p>
        </w:tc>
        <w:tc>
          <w:tcPr>
            <w:tcW w:w="647" w:type="pct"/>
            <w:shd w:val="clear" w:color="auto" w:fill="auto"/>
          </w:tcPr>
          <w:p w14:paraId="1D2C1413" w14:textId="0FBCEB1C" w:rsidR="00385A9D" w:rsidRPr="003639A6" w:rsidRDefault="00E056A7" w:rsidP="00606FBA">
            <w:pPr>
              <w:pStyle w:val="TableText0"/>
              <w:jc w:val="center"/>
              <w:rPr>
                <w:color w:val="000000"/>
              </w:rPr>
            </w:pPr>
            <w:r w:rsidRPr="001F65A0">
              <w:rPr>
                <w:bCs w:val="0"/>
              </w:rPr>
              <w:t xml:space="preserve"> </w:t>
            </w:r>
            <w:r w:rsidR="00981AF2" w:rsidRPr="00981AF2">
              <w:rPr>
                <w:rFonts w:hint="eastAsia"/>
                <w:bCs w:val="0"/>
                <w:color w:val="000000"/>
                <w:w w:val="15"/>
                <w:shd w:val="solid" w:color="000000" w:fill="000000"/>
                <w:fitText w:val="47" w:id="-1436349182"/>
                <w14:textFill>
                  <w14:solidFill>
                    <w14:srgbClr w14:val="000000">
                      <w14:alpha w14:val="100000"/>
                    </w14:srgbClr>
                  </w14:solidFill>
                </w14:textFill>
              </w:rPr>
              <w:t xml:space="preserve">　</w:t>
            </w:r>
            <w:r w:rsidR="00981AF2" w:rsidRPr="00981AF2">
              <w:rPr>
                <w:bCs w:val="0"/>
                <w:color w:val="000000"/>
                <w:w w:val="15"/>
                <w:shd w:val="solid" w:color="000000" w:fill="000000"/>
                <w:fitText w:val="47" w:id="-1436349182"/>
                <w14:textFill>
                  <w14:solidFill>
                    <w14:srgbClr w14:val="000000">
                      <w14:alpha w14:val="100000"/>
                    </w14:srgbClr>
                  </w14:solidFill>
                </w14:textFill>
              </w:rPr>
              <w:t>|</w:t>
            </w:r>
            <w:r w:rsidR="00981AF2" w:rsidRPr="00981AF2">
              <w:rPr>
                <w:rFonts w:hint="eastAsia"/>
                <w:bCs w:val="0"/>
                <w:color w:val="000000"/>
                <w:spacing w:val="-18"/>
                <w:w w:val="15"/>
                <w:shd w:val="solid" w:color="000000" w:fill="000000"/>
                <w:fitText w:val="47" w:id="-1436349182"/>
                <w14:textFill>
                  <w14:solidFill>
                    <w14:srgbClr w14:val="000000">
                      <w14:alpha w14:val="100000"/>
                    </w14:srgbClr>
                  </w14:solidFill>
                </w14:textFill>
              </w:rPr>
              <w:t xml:space="preserve">　</w:t>
            </w:r>
            <w:r w:rsidR="001D15C3">
              <w:rPr>
                <w:bCs w:val="0"/>
                <w:vertAlign w:val="superscript"/>
              </w:rPr>
              <w:t>2</w:t>
            </w:r>
          </w:p>
        </w:tc>
        <w:tc>
          <w:tcPr>
            <w:tcW w:w="647" w:type="pct"/>
            <w:shd w:val="clear" w:color="auto" w:fill="auto"/>
          </w:tcPr>
          <w:p w14:paraId="3F0ACB95" w14:textId="2A94D69C" w:rsidR="00385A9D" w:rsidRPr="001D15C3" w:rsidRDefault="00E056A7" w:rsidP="00606FBA">
            <w:pPr>
              <w:pStyle w:val="TableText0"/>
              <w:jc w:val="center"/>
              <w:rPr>
                <w:color w:val="000000"/>
                <w:highlight w:val="darkGray"/>
              </w:rPr>
            </w:pPr>
            <w:r w:rsidRPr="001D15C3">
              <w:rPr>
                <w:bCs w:val="0"/>
              </w:rPr>
              <w:t xml:space="preserve"> </w:t>
            </w:r>
            <w:r w:rsidR="00981AF2" w:rsidRPr="00981AF2">
              <w:rPr>
                <w:rFonts w:hint="eastAsia"/>
                <w:bCs w:val="0"/>
                <w:color w:val="000000"/>
                <w:w w:val="15"/>
                <w:shd w:val="solid" w:color="000000" w:fill="000000"/>
                <w:fitText w:val="46" w:id="-1436349181"/>
                <w14:textFill>
                  <w14:solidFill>
                    <w14:srgbClr w14:val="000000">
                      <w14:alpha w14:val="100000"/>
                    </w14:srgbClr>
                  </w14:solidFill>
                </w14:textFill>
              </w:rPr>
              <w:t xml:space="preserve">　</w:t>
            </w:r>
            <w:r w:rsidR="00981AF2" w:rsidRPr="00981AF2">
              <w:rPr>
                <w:bCs w:val="0"/>
                <w:color w:val="000000"/>
                <w:w w:val="15"/>
                <w:shd w:val="solid" w:color="000000" w:fill="000000"/>
                <w:fitText w:val="46" w:id="-1436349181"/>
                <w14:textFill>
                  <w14:solidFill>
                    <w14:srgbClr w14:val="000000">
                      <w14:alpha w14:val="100000"/>
                    </w14:srgbClr>
                  </w14:solidFill>
                </w14:textFill>
              </w:rPr>
              <w:t>|</w:t>
            </w:r>
            <w:r w:rsidR="00981AF2" w:rsidRPr="00981AF2">
              <w:rPr>
                <w:rFonts w:hint="eastAsia"/>
                <w:bCs w:val="0"/>
                <w:color w:val="000000"/>
                <w:spacing w:val="-19"/>
                <w:w w:val="15"/>
                <w:shd w:val="solid" w:color="000000" w:fill="000000"/>
                <w:fitText w:val="46" w:id="-1436349181"/>
                <w14:textFill>
                  <w14:solidFill>
                    <w14:srgbClr w14:val="000000">
                      <w14:alpha w14:val="100000"/>
                    </w14:srgbClr>
                  </w14:solidFill>
                </w14:textFill>
              </w:rPr>
              <w:t xml:space="preserve">　</w:t>
            </w:r>
            <w:r w:rsidR="001D15C3">
              <w:rPr>
                <w:bCs w:val="0"/>
                <w:vertAlign w:val="superscript"/>
              </w:rPr>
              <w:t>2</w:t>
            </w:r>
            <w:r w:rsidR="00C815AC" w:rsidRPr="00C815AC">
              <w:rPr>
                <w:bCs w:val="0"/>
              </w:rPr>
              <w:t xml:space="preserve"> </w:t>
            </w:r>
          </w:p>
        </w:tc>
        <w:tc>
          <w:tcPr>
            <w:tcW w:w="649" w:type="pct"/>
          </w:tcPr>
          <w:p w14:paraId="1C30F331" w14:textId="0BC63C89" w:rsidR="00385A9D" w:rsidRPr="003639A6" w:rsidRDefault="00E056A7" w:rsidP="00606FBA">
            <w:pPr>
              <w:pStyle w:val="TableText0"/>
              <w:jc w:val="center"/>
              <w:rPr>
                <w:color w:val="000000"/>
              </w:rPr>
            </w:pPr>
            <w:r w:rsidRPr="001F65A0">
              <w:rPr>
                <w:bCs w:val="0"/>
              </w:rPr>
              <w:t xml:space="preserve"> </w:t>
            </w:r>
            <w:r w:rsidR="00981AF2" w:rsidRPr="00981AF2">
              <w:rPr>
                <w:rFonts w:hint="eastAsia"/>
                <w:bCs w:val="0"/>
                <w:color w:val="000000"/>
                <w:w w:val="15"/>
                <w:shd w:val="solid" w:color="000000" w:fill="000000"/>
                <w:fitText w:val="46" w:id="-1436349180"/>
                <w14:textFill>
                  <w14:solidFill>
                    <w14:srgbClr w14:val="000000">
                      <w14:alpha w14:val="100000"/>
                    </w14:srgbClr>
                  </w14:solidFill>
                </w14:textFill>
              </w:rPr>
              <w:t xml:space="preserve">　</w:t>
            </w:r>
            <w:r w:rsidR="00981AF2" w:rsidRPr="00981AF2">
              <w:rPr>
                <w:bCs w:val="0"/>
                <w:color w:val="000000"/>
                <w:w w:val="15"/>
                <w:shd w:val="solid" w:color="000000" w:fill="000000"/>
                <w:fitText w:val="46" w:id="-1436349180"/>
                <w14:textFill>
                  <w14:solidFill>
                    <w14:srgbClr w14:val="000000">
                      <w14:alpha w14:val="100000"/>
                    </w14:srgbClr>
                  </w14:solidFill>
                </w14:textFill>
              </w:rPr>
              <w:t>|</w:t>
            </w:r>
            <w:r w:rsidR="00981AF2" w:rsidRPr="00981AF2">
              <w:rPr>
                <w:rFonts w:hint="eastAsia"/>
                <w:bCs w:val="0"/>
                <w:color w:val="000000"/>
                <w:spacing w:val="-19"/>
                <w:w w:val="15"/>
                <w:shd w:val="solid" w:color="000000" w:fill="000000"/>
                <w:fitText w:val="46" w:id="-1436349180"/>
                <w14:textFill>
                  <w14:solidFill>
                    <w14:srgbClr w14:val="000000">
                      <w14:alpha w14:val="100000"/>
                    </w14:srgbClr>
                  </w14:solidFill>
                </w14:textFill>
              </w:rPr>
              <w:t xml:space="preserve">　</w:t>
            </w:r>
            <w:r w:rsidR="001D15C3">
              <w:rPr>
                <w:bCs w:val="0"/>
                <w:vertAlign w:val="superscript"/>
              </w:rPr>
              <w:t>3</w:t>
            </w:r>
            <w:r w:rsidRPr="001F65A0">
              <w:rPr>
                <w:bCs w:val="0"/>
              </w:rPr>
              <w:t xml:space="preserve"> </w:t>
            </w:r>
          </w:p>
        </w:tc>
      </w:tr>
      <w:tr w:rsidR="00385A9D" w:rsidRPr="00D1078F" w14:paraId="1E699D47" w14:textId="77777777" w:rsidTr="009C3A3A">
        <w:tc>
          <w:tcPr>
            <w:tcW w:w="5000" w:type="pct"/>
            <w:gridSpan w:val="7"/>
            <w:shd w:val="clear" w:color="auto" w:fill="auto"/>
            <w:vAlign w:val="center"/>
          </w:tcPr>
          <w:p w14:paraId="7D0E0884" w14:textId="5E2E79FB" w:rsidR="00385A9D" w:rsidRPr="00D1078F" w:rsidRDefault="00385A9D" w:rsidP="00606FBA">
            <w:pPr>
              <w:pStyle w:val="In-tableHeading"/>
            </w:pPr>
            <w:r w:rsidRPr="00D1078F">
              <w:t xml:space="preserve">Estimated </w:t>
            </w:r>
            <w:r>
              <w:t xml:space="preserve">financial implications of </w:t>
            </w:r>
            <w:r w:rsidR="00093F4C">
              <w:t>risankizumab</w:t>
            </w:r>
          </w:p>
        </w:tc>
      </w:tr>
      <w:tr w:rsidR="00385A9D" w:rsidRPr="003639A6" w14:paraId="4B4ACF1A" w14:textId="77777777" w:rsidTr="00093F4C">
        <w:tc>
          <w:tcPr>
            <w:tcW w:w="1116" w:type="pct"/>
            <w:shd w:val="clear" w:color="auto" w:fill="auto"/>
            <w:vAlign w:val="center"/>
          </w:tcPr>
          <w:p w14:paraId="467993BD" w14:textId="77777777" w:rsidR="00385A9D" w:rsidRDefault="00385A9D" w:rsidP="00606FBA">
            <w:pPr>
              <w:pStyle w:val="TableText0"/>
              <w:rPr>
                <w:sz w:val="19"/>
                <w:szCs w:val="19"/>
              </w:rPr>
            </w:pPr>
            <w:r>
              <w:rPr>
                <w:sz w:val="19"/>
                <w:szCs w:val="19"/>
              </w:rPr>
              <w:t>Cost to PBS/RPBS less copayments</w:t>
            </w:r>
          </w:p>
        </w:tc>
        <w:tc>
          <w:tcPr>
            <w:tcW w:w="647" w:type="pct"/>
            <w:shd w:val="clear" w:color="auto" w:fill="auto"/>
            <w:vAlign w:val="center"/>
          </w:tcPr>
          <w:p w14:paraId="4125A2B6" w14:textId="27026732" w:rsidR="00385A9D" w:rsidRPr="00C14A5F" w:rsidRDefault="00093F4C" w:rsidP="00606FBA">
            <w:pPr>
              <w:pStyle w:val="TableText0"/>
              <w:jc w:val="center"/>
            </w:pPr>
            <w:r w:rsidRPr="00C14A5F">
              <w:t>$</w:t>
            </w:r>
            <w:r w:rsidR="00981AF2" w:rsidRPr="00981AF2">
              <w:rPr>
                <w:rFonts w:hint="eastAsia"/>
                <w:color w:val="000000"/>
                <w:w w:val="15"/>
                <w:shd w:val="solid" w:color="000000" w:fill="000000"/>
                <w:fitText w:val="70" w:id="-1436349179"/>
                <w14:textFill>
                  <w14:solidFill>
                    <w14:srgbClr w14:val="000000">
                      <w14:alpha w14:val="100000"/>
                    </w14:srgbClr>
                  </w14:solidFill>
                </w14:textFill>
              </w:rPr>
              <w:t xml:space="preserve">　</w:t>
            </w:r>
            <w:r w:rsidR="00981AF2" w:rsidRPr="00981AF2">
              <w:rPr>
                <w:color w:val="000000"/>
                <w:w w:val="15"/>
                <w:shd w:val="solid" w:color="000000" w:fill="000000"/>
                <w:fitText w:val="70" w:id="-1436349179"/>
                <w14:textFill>
                  <w14:solidFill>
                    <w14:srgbClr w14:val="000000">
                      <w14:alpha w14:val="100000"/>
                    </w14:srgbClr>
                  </w14:solidFill>
                </w14:textFill>
              </w:rPr>
              <w:t>|</w:t>
            </w:r>
            <w:r w:rsidR="00981AF2" w:rsidRPr="00981AF2">
              <w:rPr>
                <w:rFonts w:hint="eastAsia"/>
                <w:color w:val="000000"/>
                <w:spacing w:val="4"/>
                <w:w w:val="15"/>
                <w:shd w:val="solid" w:color="000000" w:fill="000000"/>
                <w:fitText w:val="70" w:id="-1436349179"/>
                <w14:textFill>
                  <w14:solidFill>
                    <w14:srgbClr w14:val="000000">
                      <w14:alpha w14:val="100000"/>
                    </w14:srgbClr>
                  </w14:solidFill>
                </w14:textFill>
              </w:rPr>
              <w:t xml:space="preserve">　</w:t>
            </w:r>
            <w:r w:rsidR="00D15743">
              <w:rPr>
                <w:bCs w:val="0"/>
                <w:vertAlign w:val="superscript"/>
              </w:rPr>
              <w:t>4</w:t>
            </w:r>
          </w:p>
        </w:tc>
        <w:tc>
          <w:tcPr>
            <w:tcW w:w="647" w:type="pct"/>
            <w:shd w:val="clear" w:color="auto" w:fill="auto"/>
            <w:vAlign w:val="center"/>
          </w:tcPr>
          <w:p w14:paraId="5BDFECEB" w14:textId="120BD868" w:rsidR="00385A9D" w:rsidRPr="00C14A5F" w:rsidRDefault="00093F4C" w:rsidP="00606FBA">
            <w:pPr>
              <w:pStyle w:val="TableText0"/>
              <w:jc w:val="center"/>
            </w:pPr>
            <w:r w:rsidRPr="00C14A5F">
              <w:t>$</w:t>
            </w:r>
            <w:r w:rsidR="00981AF2" w:rsidRPr="00981AF2">
              <w:rPr>
                <w:rFonts w:hint="eastAsia"/>
                <w:color w:val="000000"/>
                <w:w w:val="15"/>
                <w:shd w:val="solid" w:color="000000" w:fill="000000"/>
                <w:fitText w:val="69" w:id="-1436349178"/>
                <w14:textFill>
                  <w14:solidFill>
                    <w14:srgbClr w14:val="000000">
                      <w14:alpha w14:val="100000"/>
                    </w14:srgbClr>
                  </w14:solidFill>
                </w14:textFill>
              </w:rPr>
              <w:t xml:space="preserve">　</w:t>
            </w:r>
            <w:r w:rsidR="00981AF2" w:rsidRPr="00981AF2">
              <w:rPr>
                <w:color w:val="000000"/>
                <w:w w:val="15"/>
                <w:shd w:val="solid" w:color="000000" w:fill="000000"/>
                <w:fitText w:val="69" w:id="-1436349178"/>
                <w14:textFill>
                  <w14:solidFill>
                    <w14:srgbClr w14:val="000000">
                      <w14:alpha w14:val="100000"/>
                    </w14:srgbClr>
                  </w14:solidFill>
                </w14:textFill>
              </w:rPr>
              <w:t>|</w:t>
            </w:r>
            <w:r w:rsidR="00981AF2" w:rsidRPr="00981AF2">
              <w:rPr>
                <w:rFonts w:hint="eastAsia"/>
                <w:color w:val="000000"/>
                <w:spacing w:val="3"/>
                <w:w w:val="15"/>
                <w:shd w:val="solid" w:color="000000" w:fill="000000"/>
                <w:fitText w:val="69" w:id="-1436349178"/>
                <w14:textFill>
                  <w14:solidFill>
                    <w14:srgbClr w14:val="000000">
                      <w14:alpha w14:val="100000"/>
                    </w14:srgbClr>
                  </w14:solidFill>
                </w14:textFill>
              </w:rPr>
              <w:t xml:space="preserve">　</w:t>
            </w:r>
            <w:r w:rsidR="00D15743">
              <w:rPr>
                <w:bCs w:val="0"/>
                <w:vertAlign w:val="superscript"/>
              </w:rPr>
              <w:t>5</w:t>
            </w:r>
          </w:p>
        </w:tc>
        <w:tc>
          <w:tcPr>
            <w:tcW w:w="647" w:type="pct"/>
            <w:shd w:val="clear" w:color="auto" w:fill="auto"/>
            <w:vAlign w:val="center"/>
          </w:tcPr>
          <w:p w14:paraId="3890D42E" w14:textId="3373F6E1" w:rsidR="00385A9D" w:rsidRPr="00C14A5F" w:rsidRDefault="00093F4C" w:rsidP="00606FBA">
            <w:pPr>
              <w:pStyle w:val="TableText0"/>
              <w:jc w:val="center"/>
            </w:pPr>
            <w:r w:rsidRPr="00C14A5F">
              <w:t>$</w:t>
            </w:r>
            <w:r w:rsidR="00981AF2" w:rsidRPr="00981AF2">
              <w:rPr>
                <w:rFonts w:hint="eastAsia"/>
                <w:color w:val="000000"/>
                <w:w w:val="15"/>
                <w:shd w:val="solid" w:color="000000" w:fill="000000"/>
                <w:fitText w:val="69" w:id="-1436349177"/>
                <w14:textFill>
                  <w14:solidFill>
                    <w14:srgbClr w14:val="000000">
                      <w14:alpha w14:val="100000"/>
                    </w14:srgbClr>
                  </w14:solidFill>
                </w14:textFill>
              </w:rPr>
              <w:t xml:space="preserve">　</w:t>
            </w:r>
            <w:r w:rsidR="00981AF2" w:rsidRPr="00981AF2">
              <w:rPr>
                <w:color w:val="000000"/>
                <w:w w:val="15"/>
                <w:shd w:val="solid" w:color="000000" w:fill="000000"/>
                <w:fitText w:val="69" w:id="-1436349177"/>
                <w14:textFill>
                  <w14:solidFill>
                    <w14:srgbClr w14:val="000000">
                      <w14:alpha w14:val="100000"/>
                    </w14:srgbClr>
                  </w14:solidFill>
                </w14:textFill>
              </w:rPr>
              <w:t>|</w:t>
            </w:r>
            <w:r w:rsidR="00981AF2" w:rsidRPr="00981AF2">
              <w:rPr>
                <w:rFonts w:hint="eastAsia"/>
                <w:color w:val="000000"/>
                <w:spacing w:val="3"/>
                <w:w w:val="15"/>
                <w:shd w:val="solid" w:color="000000" w:fill="000000"/>
                <w:fitText w:val="69" w:id="-1436349177"/>
                <w14:textFill>
                  <w14:solidFill>
                    <w14:srgbClr w14:val="000000">
                      <w14:alpha w14:val="100000"/>
                    </w14:srgbClr>
                  </w14:solidFill>
                </w14:textFill>
              </w:rPr>
              <w:t xml:space="preserve">　</w:t>
            </w:r>
            <w:r w:rsidR="00D15743">
              <w:rPr>
                <w:bCs w:val="0"/>
                <w:vertAlign w:val="superscript"/>
              </w:rPr>
              <w:t>6</w:t>
            </w:r>
          </w:p>
        </w:tc>
        <w:tc>
          <w:tcPr>
            <w:tcW w:w="647" w:type="pct"/>
            <w:shd w:val="clear" w:color="auto" w:fill="auto"/>
            <w:vAlign w:val="center"/>
          </w:tcPr>
          <w:p w14:paraId="2728B643" w14:textId="2786FCFC" w:rsidR="00385A9D" w:rsidRPr="00C14A5F" w:rsidRDefault="00093F4C" w:rsidP="00606FBA">
            <w:pPr>
              <w:pStyle w:val="TableText0"/>
              <w:jc w:val="center"/>
            </w:pPr>
            <w:r w:rsidRPr="00C14A5F">
              <w:t>$</w:t>
            </w:r>
            <w:r w:rsidR="00981AF2" w:rsidRPr="00981AF2">
              <w:rPr>
                <w:rFonts w:hint="eastAsia"/>
                <w:color w:val="000000"/>
                <w:w w:val="15"/>
                <w:shd w:val="solid" w:color="000000" w:fill="000000"/>
                <w:fitText w:val="70" w:id="-1436349176"/>
                <w14:textFill>
                  <w14:solidFill>
                    <w14:srgbClr w14:val="000000">
                      <w14:alpha w14:val="100000"/>
                    </w14:srgbClr>
                  </w14:solidFill>
                </w14:textFill>
              </w:rPr>
              <w:t xml:space="preserve">　</w:t>
            </w:r>
            <w:r w:rsidR="00981AF2" w:rsidRPr="00981AF2">
              <w:rPr>
                <w:color w:val="000000"/>
                <w:w w:val="15"/>
                <w:shd w:val="solid" w:color="000000" w:fill="000000"/>
                <w:fitText w:val="70" w:id="-1436349176"/>
                <w14:textFill>
                  <w14:solidFill>
                    <w14:srgbClr w14:val="000000">
                      <w14:alpha w14:val="100000"/>
                    </w14:srgbClr>
                  </w14:solidFill>
                </w14:textFill>
              </w:rPr>
              <w:t>|</w:t>
            </w:r>
            <w:r w:rsidR="00981AF2" w:rsidRPr="00981AF2">
              <w:rPr>
                <w:rFonts w:hint="eastAsia"/>
                <w:color w:val="000000"/>
                <w:spacing w:val="4"/>
                <w:w w:val="15"/>
                <w:shd w:val="solid" w:color="000000" w:fill="000000"/>
                <w:fitText w:val="70" w:id="-1436349176"/>
                <w14:textFill>
                  <w14:solidFill>
                    <w14:srgbClr w14:val="000000">
                      <w14:alpha w14:val="100000"/>
                    </w14:srgbClr>
                  </w14:solidFill>
                </w14:textFill>
              </w:rPr>
              <w:t xml:space="preserve">　</w:t>
            </w:r>
            <w:r w:rsidR="00D15743">
              <w:rPr>
                <w:bCs w:val="0"/>
                <w:vertAlign w:val="superscript"/>
              </w:rPr>
              <w:t>7</w:t>
            </w:r>
          </w:p>
        </w:tc>
        <w:tc>
          <w:tcPr>
            <w:tcW w:w="647" w:type="pct"/>
            <w:shd w:val="clear" w:color="auto" w:fill="auto"/>
            <w:vAlign w:val="center"/>
          </w:tcPr>
          <w:p w14:paraId="5FE5021A" w14:textId="09CC57E5" w:rsidR="00385A9D" w:rsidRPr="00C14A5F" w:rsidRDefault="00093F4C" w:rsidP="00606FBA">
            <w:pPr>
              <w:pStyle w:val="TableText0"/>
              <w:jc w:val="center"/>
            </w:pPr>
            <w:r w:rsidRPr="00C14A5F">
              <w:t>$</w:t>
            </w:r>
            <w:r w:rsidR="00981AF2" w:rsidRPr="00981AF2">
              <w:rPr>
                <w:rFonts w:hint="eastAsia"/>
                <w:color w:val="000000"/>
                <w:w w:val="15"/>
                <w:shd w:val="solid" w:color="000000" w:fill="000000"/>
                <w:fitText w:val="69" w:id="-1436349175"/>
                <w14:textFill>
                  <w14:solidFill>
                    <w14:srgbClr w14:val="000000">
                      <w14:alpha w14:val="100000"/>
                    </w14:srgbClr>
                  </w14:solidFill>
                </w14:textFill>
              </w:rPr>
              <w:t xml:space="preserve">　</w:t>
            </w:r>
            <w:r w:rsidR="00981AF2" w:rsidRPr="00981AF2">
              <w:rPr>
                <w:color w:val="000000"/>
                <w:w w:val="15"/>
                <w:shd w:val="solid" w:color="000000" w:fill="000000"/>
                <w:fitText w:val="69" w:id="-1436349175"/>
                <w14:textFill>
                  <w14:solidFill>
                    <w14:srgbClr w14:val="000000">
                      <w14:alpha w14:val="100000"/>
                    </w14:srgbClr>
                  </w14:solidFill>
                </w14:textFill>
              </w:rPr>
              <w:t>|</w:t>
            </w:r>
            <w:r w:rsidR="00981AF2" w:rsidRPr="00981AF2">
              <w:rPr>
                <w:rFonts w:hint="eastAsia"/>
                <w:color w:val="000000"/>
                <w:spacing w:val="3"/>
                <w:w w:val="15"/>
                <w:shd w:val="solid" w:color="000000" w:fill="000000"/>
                <w:fitText w:val="69" w:id="-1436349175"/>
                <w14:textFill>
                  <w14:solidFill>
                    <w14:srgbClr w14:val="000000">
                      <w14:alpha w14:val="100000"/>
                    </w14:srgbClr>
                  </w14:solidFill>
                </w14:textFill>
              </w:rPr>
              <w:t xml:space="preserve">　</w:t>
            </w:r>
            <w:r w:rsidR="00D15743">
              <w:rPr>
                <w:bCs w:val="0"/>
                <w:vertAlign w:val="superscript"/>
              </w:rPr>
              <w:t>7</w:t>
            </w:r>
          </w:p>
        </w:tc>
        <w:tc>
          <w:tcPr>
            <w:tcW w:w="649" w:type="pct"/>
            <w:vAlign w:val="center"/>
          </w:tcPr>
          <w:p w14:paraId="6F8E9082" w14:textId="42071B40" w:rsidR="00385A9D" w:rsidRPr="00C14A5F" w:rsidRDefault="00093F4C" w:rsidP="00606FBA">
            <w:pPr>
              <w:pStyle w:val="TableText0"/>
              <w:jc w:val="center"/>
            </w:pPr>
            <w:r w:rsidRPr="00C14A5F">
              <w:t>$</w:t>
            </w:r>
            <w:r w:rsidR="00981AF2" w:rsidRPr="00981AF2">
              <w:rPr>
                <w:rFonts w:hint="eastAsia"/>
                <w:color w:val="000000"/>
                <w:w w:val="15"/>
                <w:shd w:val="solid" w:color="000000" w:fill="000000"/>
                <w:fitText w:val="69" w:id="-1436349174"/>
                <w14:textFill>
                  <w14:solidFill>
                    <w14:srgbClr w14:val="000000">
                      <w14:alpha w14:val="100000"/>
                    </w14:srgbClr>
                  </w14:solidFill>
                </w14:textFill>
              </w:rPr>
              <w:t xml:space="preserve">　</w:t>
            </w:r>
            <w:r w:rsidR="00981AF2" w:rsidRPr="00981AF2">
              <w:rPr>
                <w:color w:val="000000"/>
                <w:w w:val="15"/>
                <w:shd w:val="solid" w:color="000000" w:fill="000000"/>
                <w:fitText w:val="69" w:id="-1436349174"/>
                <w14:textFill>
                  <w14:solidFill>
                    <w14:srgbClr w14:val="000000">
                      <w14:alpha w14:val="100000"/>
                    </w14:srgbClr>
                  </w14:solidFill>
                </w14:textFill>
              </w:rPr>
              <w:t>|</w:t>
            </w:r>
            <w:r w:rsidR="00981AF2" w:rsidRPr="00981AF2">
              <w:rPr>
                <w:rFonts w:hint="eastAsia"/>
                <w:color w:val="000000"/>
                <w:spacing w:val="3"/>
                <w:w w:val="15"/>
                <w:shd w:val="solid" w:color="000000" w:fill="000000"/>
                <w:fitText w:val="69" w:id="-1436349174"/>
                <w14:textFill>
                  <w14:solidFill>
                    <w14:srgbClr w14:val="000000">
                      <w14:alpha w14:val="100000"/>
                    </w14:srgbClr>
                  </w14:solidFill>
                </w14:textFill>
              </w:rPr>
              <w:t xml:space="preserve">　</w:t>
            </w:r>
            <w:r w:rsidR="00D15743">
              <w:rPr>
                <w:bCs w:val="0"/>
                <w:vertAlign w:val="superscript"/>
              </w:rPr>
              <w:t>7</w:t>
            </w:r>
          </w:p>
        </w:tc>
      </w:tr>
      <w:tr w:rsidR="00385A9D" w:rsidRPr="003639A6" w14:paraId="344AC0E2" w14:textId="77777777" w:rsidTr="009C3A3A">
        <w:tc>
          <w:tcPr>
            <w:tcW w:w="5000" w:type="pct"/>
            <w:gridSpan w:val="7"/>
            <w:shd w:val="clear" w:color="auto" w:fill="auto"/>
            <w:vAlign w:val="center"/>
          </w:tcPr>
          <w:p w14:paraId="0FF7E64D" w14:textId="5F060231" w:rsidR="00385A9D" w:rsidRPr="003639A6" w:rsidRDefault="00385A9D" w:rsidP="00606FBA">
            <w:pPr>
              <w:pStyle w:val="TableText0"/>
            </w:pPr>
            <w:r w:rsidRPr="00D1078F">
              <w:t xml:space="preserve">Estimated </w:t>
            </w:r>
            <w:r>
              <w:t xml:space="preserve">financial implications for </w:t>
            </w:r>
            <w:r w:rsidR="00075D42">
              <w:t>ustekinumab, adalimumab, infliximab</w:t>
            </w:r>
            <w:r w:rsidR="00694718">
              <w:t xml:space="preserve"> and</w:t>
            </w:r>
            <w:r w:rsidR="00075D42">
              <w:t xml:space="preserve"> vedolizumab</w:t>
            </w:r>
          </w:p>
        </w:tc>
      </w:tr>
      <w:tr w:rsidR="00385A9D" w:rsidRPr="003639A6" w14:paraId="0CE077D9" w14:textId="77777777" w:rsidTr="003F1398">
        <w:tc>
          <w:tcPr>
            <w:tcW w:w="1116" w:type="pct"/>
            <w:shd w:val="clear" w:color="auto" w:fill="auto"/>
            <w:vAlign w:val="center"/>
          </w:tcPr>
          <w:p w14:paraId="40F6A2C5" w14:textId="77777777" w:rsidR="00385A9D" w:rsidRDefault="00385A9D" w:rsidP="00606FBA">
            <w:pPr>
              <w:pStyle w:val="TableText0"/>
              <w:rPr>
                <w:sz w:val="19"/>
                <w:szCs w:val="19"/>
              </w:rPr>
            </w:pPr>
            <w:r>
              <w:rPr>
                <w:sz w:val="19"/>
                <w:szCs w:val="19"/>
              </w:rPr>
              <w:t>Cost to PBS/RPBS less copayments</w:t>
            </w:r>
          </w:p>
        </w:tc>
        <w:tc>
          <w:tcPr>
            <w:tcW w:w="647" w:type="pct"/>
            <w:shd w:val="clear" w:color="auto" w:fill="auto"/>
            <w:vAlign w:val="center"/>
          </w:tcPr>
          <w:p w14:paraId="50CF2446" w14:textId="59869301" w:rsidR="00385A9D" w:rsidRPr="00D15743" w:rsidRDefault="00295FEA" w:rsidP="00606FBA">
            <w:pPr>
              <w:pStyle w:val="TableText0"/>
              <w:jc w:val="center"/>
              <w:rPr>
                <w:vertAlign w:val="superscript"/>
              </w:rPr>
            </w:pPr>
            <w:r w:rsidRPr="001F65A0">
              <w:t>-$</w:t>
            </w:r>
            <w:r w:rsidR="00981AF2" w:rsidRPr="00981AF2">
              <w:rPr>
                <w:rFonts w:hint="eastAsia"/>
                <w:color w:val="000000"/>
                <w:w w:val="21"/>
                <w:shd w:val="solid" w:color="000000" w:fill="000000"/>
                <w:fitText w:val="93" w:id="-1436349173"/>
                <w14:textFill>
                  <w14:solidFill>
                    <w14:srgbClr w14:val="000000">
                      <w14:alpha w14:val="100000"/>
                    </w14:srgbClr>
                  </w14:solidFill>
                </w14:textFill>
              </w:rPr>
              <w:t xml:space="preserve">　</w:t>
            </w:r>
            <w:r w:rsidR="00981AF2" w:rsidRPr="00981AF2">
              <w:rPr>
                <w:color w:val="000000"/>
                <w:w w:val="21"/>
                <w:shd w:val="solid" w:color="000000" w:fill="000000"/>
                <w:fitText w:val="93" w:id="-1436349173"/>
                <w14:textFill>
                  <w14:solidFill>
                    <w14:srgbClr w14:val="000000">
                      <w14:alpha w14:val="100000"/>
                    </w14:srgbClr>
                  </w14:solidFill>
                </w14:textFill>
              </w:rPr>
              <w:t>|</w:t>
            </w:r>
            <w:r w:rsidR="00981AF2" w:rsidRPr="00981AF2">
              <w:rPr>
                <w:rFonts w:hint="eastAsia"/>
                <w:color w:val="000000"/>
                <w:spacing w:val="2"/>
                <w:w w:val="21"/>
                <w:shd w:val="solid" w:color="000000" w:fill="000000"/>
                <w:fitText w:val="93" w:id="-1436349173"/>
                <w14:textFill>
                  <w14:solidFill>
                    <w14:srgbClr w14:val="000000">
                      <w14:alpha w14:val="100000"/>
                    </w14:srgbClr>
                  </w14:solidFill>
                </w14:textFill>
              </w:rPr>
              <w:t xml:space="preserve">　</w:t>
            </w:r>
            <w:r w:rsidR="00D15743">
              <w:rPr>
                <w:vertAlign w:val="superscript"/>
              </w:rPr>
              <w:t>8</w:t>
            </w:r>
          </w:p>
        </w:tc>
        <w:tc>
          <w:tcPr>
            <w:tcW w:w="647" w:type="pct"/>
            <w:shd w:val="clear" w:color="auto" w:fill="auto"/>
            <w:vAlign w:val="center"/>
          </w:tcPr>
          <w:p w14:paraId="35AF80ED" w14:textId="7E04F949" w:rsidR="00385A9D" w:rsidRPr="00D15743" w:rsidRDefault="00295FEA" w:rsidP="00606FBA">
            <w:pPr>
              <w:pStyle w:val="TableText0"/>
              <w:jc w:val="center"/>
              <w:rPr>
                <w:vertAlign w:val="superscript"/>
              </w:rPr>
            </w:pPr>
            <w:r w:rsidRPr="001F65A0">
              <w:t>-$</w:t>
            </w:r>
            <w:r w:rsidR="00981AF2" w:rsidRPr="00981AF2">
              <w:rPr>
                <w:rFonts w:hint="eastAsia"/>
                <w:color w:val="000000"/>
                <w:w w:val="20"/>
                <w:shd w:val="solid" w:color="000000" w:fill="000000"/>
                <w:fitText w:val="92" w:id="-1436349172"/>
                <w14:textFill>
                  <w14:solidFill>
                    <w14:srgbClr w14:val="000000">
                      <w14:alpha w14:val="100000"/>
                    </w14:srgbClr>
                  </w14:solidFill>
                </w14:textFill>
              </w:rPr>
              <w:t xml:space="preserve">　</w:t>
            </w:r>
            <w:r w:rsidR="00981AF2" w:rsidRPr="00981AF2">
              <w:rPr>
                <w:color w:val="000000"/>
                <w:w w:val="20"/>
                <w:shd w:val="solid" w:color="000000" w:fill="000000"/>
                <w:fitText w:val="92" w:id="-1436349172"/>
                <w14:textFill>
                  <w14:solidFill>
                    <w14:srgbClr w14:val="000000">
                      <w14:alpha w14:val="100000"/>
                    </w14:srgbClr>
                  </w14:solidFill>
                </w14:textFill>
              </w:rPr>
              <w:t>|</w:t>
            </w:r>
            <w:r w:rsidR="00981AF2" w:rsidRPr="00981AF2">
              <w:rPr>
                <w:rFonts w:hint="eastAsia"/>
                <w:color w:val="000000"/>
                <w:spacing w:val="5"/>
                <w:w w:val="20"/>
                <w:shd w:val="solid" w:color="000000" w:fill="000000"/>
                <w:fitText w:val="92" w:id="-1436349172"/>
                <w14:textFill>
                  <w14:solidFill>
                    <w14:srgbClr w14:val="000000">
                      <w14:alpha w14:val="100000"/>
                    </w14:srgbClr>
                  </w14:solidFill>
                </w14:textFill>
              </w:rPr>
              <w:t xml:space="preserve">　</w:t>
            </w:r>
            <w:r w:rsidR="00D15743">
              <w:rPr>
                <w:vertAlign w:val="superscript"/>
              </w:rPr>
              <w:t>9</w:t>
            </w:r>
          </w:p>
        </w:tc>
        <w:tc>
          <w:tcPr>
            <w:tcW w:w="647" w:type="pct"/>
            <w:shd w:val="clear" w:color="auto" w:fill="auto"/>
            <w:vAlign w:val="center"/>
          </w:tcPr>
          <w:p w14:paraId="28F1C25D" w14:textId="600CFBE4" w:rsidR="00385A9D" w:rsidRPr="00D15743" w:rsidRDefault="00295FEA" w:rsidP="00606FBA">
            <w:pPr>
              <w:pStyle w:val="TableText0"/>
              <w:jc w:val="center"/>
              <w:rPr>
                <w:vertAlign w:val="superscript"/>
              </w:rPr>
            </w:pPr>
            <w:r w:rsidRPr="001F65A0">
              <w:t>-$</w:t>
            </w:r>
            <w:r w:rsidR="00981AF2" w:rsidRPr="00981AF2">
              <w:rPr>
                <w:rFonts w:hint="eastAsia"/>
                <w:color w:val="000000"/>
                <w:w w:val="25"/>
                <w:shd w:val="solid" w:color="000000" w:fill="000000"/>
                <w:fitText w:val="115" w:id="-1436349171"/>
                <w14:textFill>
                  <w14:solidFill>
                    <w14:srgbClr w14:val="000000">
                      <w14:alpha w14:val="100000"/>
                    </w14:srgbClr>
                  </w14:solidFill>
                </w14:textFill>
              </w:rPr>
              <w:t xml:space="preserve">　</w:t>
            </w:r>
            <w:r w:rsidR="00981AF2" w:rsidRPr="00981AF2">
              <w:rPr>
                <w:color w:val="000000"/>
                <w:w w:val="25"/>
                <w:shd w:val="solid" w:color="000000" w:fill="000000"/>
                <w:fitText w:val="115" w:id="-1436349171"/>
                <w14:textFill>
                  <w14:solidFill>
                    <w14:srgbClr w14:val="000000">
                      <w14:alpha w14:val="100000"/>
                    </w14:srgbClr>
                  </w14:solidFill>
                </w14:textFill>
              </w:rPr>
              <w:t>|</w:t>
            </w:r>
            <w:r w:rsidR="00981AF2" w:rsidRPr="00981AF2">
              <w:rPr>
                <w:rFonts w:hint="eastAsia"/>
                <w:color w:val="000000"/>
                <w:spacing w:val="4"/>
                <w:w w:val="25"/>
                <w:shd w:val="solid" w:color="000000" w:fill="000000"/>
                <w:fitText w:val="115" w:id="-1436349171"/>
                <w14:textFill>
                  <w14:solidFill>
                    <w14:srgbClr w14:val="000000">
                      <w14:alpha w14:val="100000"/>
                    </w14:srgbClr>
                  </w14:solidFill>
                </w14:textFill>
              </w:rPr>
              <w:t xml:space="preserve">　</w:t>
            </w:r>
            <w:r w:rsidR="00D15743">
              <w:rPr>
                <w:vertAlign w:val="superscript"/>
              </w:rPr>
              <w:t>10</w:t>
            </w:r>
          </w:p>
        </w:tc>
        <w:tc>
          <w:tcPr>
            <w:tcW w:w="647" w:type="pct"/>
            <w:shd w:val="clear" w:color="auto" w:fill="auto"/>
            <w:vAlign w:val="center"/>
          </w:tcPr>
          <w:p w14:paraId="5DBA4173" w14:textId="48B8C45C" w:rsidR="00385A9D" w:rsidRPr="00D15743" w:rsidRDefault="00295FEA" w:rsidP="00606FBA">
            <w:pPr>
              <w:pStyle w:val="TableText0"/>
              <w:jc w:val="center"/>
              <w:rPr>
                <w:vertAlign w:val="superscript"/>
              </w:rPr>
            </w:pPr>
            <w:r w:rsidRPr="001F65A0">
              <w:t>-$</w:t>
            </w:r>
            <w:r w:rsidR="00981AF2" w:rsidRPr="00981AF2">
              <w:rPr>
                <w:rFonts w:hint="eastAsia"/>
                <w:color w:val="000000"/>
                <w:w w:val="21"/>
                <w:shd w:val="solid" w:color="000000" w:fill="000000"/>
                <w:fitText w:val="93" w:id="-1436349170"/>
                <w14:textFill>
                  <w14:solidFill>
                    <w14:srgbClr w14:val="000000">
                      <w14:alpha w14:val="100000"/>
                    </w14:srgbClr>
                  </w14:solidFill>
                </w14:textFill>
              </w:rPr>
              <w:t xml:space="preserve">　</w:t>
            </w:r>
            <w:r w:rsidR="00981AF2" w:rsidRPr="00981AF2">
              <w:rPr>
                <w:color w:val="000000"/>
                <w:w w:val="21"/>
                <w:shd w:val="solid" w:color="000000" w:fill="000000"/>
                <w:fitText w:val="93" w:id="-1436349170"/>
                <w14:textFill>
                  <w14:solidFill>
                    <w14:srgbClr w14:val="000000">
                      <w14:alpha w14:val="100000"/>
                    </w14:srgbClr>
                  </w14:solidFill>
                </w14:textFill>
              </w:rPr>
              <w:t>|</w:t>
            </w:r>
            <w:r w:rsidR="00981AF2" w:rsidRPr="00981AF2">
              <w:rPr>
                <w:rFonts w:hint="eastAsia"/>
                <w:color w:val="000000"/>
                <w:spacing w:val="2"/>
                <w:w w:val="21"/>
                <w:shd w:val="solid" w:color="000000" w:fill="000000"/>
                <w:fitText w:val="93" w:id="-1436349170"/>
                <w14:textFill>
                  <w14:solidFill>
                    <w14:srgbClr w14:val="000000">
                      <w14:alpha w14:val="100000"/>
                    </w14:srgbClr>
                  </w14:solidFill>
                </w14:textFill>
              </w:rPr>
              <w:t xml:space="preserve">　</w:t>
            </w:r>
            <w:r w:rsidR="00007C73">
              <w:rPr>
                <w:vertAlign w:val="superscript"/>
              </w:rPr>
              <w:t>5</w:t>
            </w:r>
          </w:p>
        </w:tc>
        <w:tc>
          <w:tcPr>
            <w:tcW w:w="647" w:type="pct"/>
            <w:shd w:val="clear" w:color="auto" w:fill="auto"/>
            <w:vAlign w:val="center"/>
          </w:tcPr>
          <w:p w14:paraId="4D6DC68C" w14:textId="106F92E6" w:rsidR="00385A9D" w:rsidRPr="00D15743" w:rsidRDefault="00295FEA" w:rsidP="00606FBA">
            <w:pPr>
              <w:pStyle w:val="TableText0"/>
              <w:jc w:val="center"/>
              <w:rPr>
                <w:vertAlign w:val="superscript"/>
              </w:rPr>
            </w:pPr>
            <w:r w:rsidRPr="001F65A0">
              <w:t>-$</w:t>
            </w:r>
            <w:r w:rsidR="00981AF2" w:rsidRPr="00981AF2">
              <w:rPr>
                <w:rFonts w:hint="eastAsia"/>
                <w:color w:val="000000"/>
                <w:w w:val="25"/>
                <w:shd w:val="solid" w:color="000000" w:fill="000000"/>
                <w:fitText w:val="115" w:id="-1436349169"/>
                <w14:textFill>
                  <w14:solidFill>
                    <w14:srgbClr w14:val="000000">
                      <w14:alpha w14:val="100000"/>
                    </w14:srgbClr>
                  </w14:solidFill>
                </w14:textFill>
              </w:rPr>
              <w:t xml:space="preserve">　</w:t>
            </w:r>
            <w:r w:rsidR="00981AF2" w:rsidRPr="00981AF2">
              <w:rPr>
                <w:color w:val="000000"/>
                <w:w w:val="25"/>
                <w:shd w:val="solid" w:color="000000" w:fill="000000"/>
                <w:fitText w:val="115" w:id="-1436349169"/>
                <w14:textFill>
                  <w14:solidFill>
                    <w14:srgbClr w14:val="000000">
                      <w14:alpha w14:val="100000"/>
                    </w14:srgbClr>
                  </w14:solidFill>
                </w14:textFill>
              </w:rPr>
              <w:t>|</w:t>
            </w:r>
            <w:r w:rsidR="00981AF2" w:rsidRPr="00981AF2">
              <w:rPr>
                <w:rFonts w:hint="eastAsia"/>
                <w:color w:val="000000"/>
                <w:spacing w:val="4"/>
                <w:w w:val="25"/>
                <w:shd w:val="solid" w:color="000000" w:fill="000000"/>
                <w:fitText w:val="115" w:id="-1436349169"/>
                <w14:textFill>
                  <w14:solidFill>
                    <w14:srgbClr w14:val="000000">
                      <w14:alpha w14:val="100000"/>
                    </w14:srgbClr>
                  </w14:solidFill>
                </w14:textFill>
              </w:rPr>
              <w:t xml:space="preserve">　</w:t>
            </w:r>
            <w:r w:rsidR="00D15743">
              <w:rPr>
                <w:vertAlign w:val="superscript"/>
              </w:rPr>
              <w:t>1</w:t>
            </w:r>
            <w:r w:rsidR="00007C73">
              <w:rPr>
                <w:vertAlign w:val="superscript"/>
              </w:rPr>
              <w:t>1</w:t>
            </w:r>
          </w:p>
        </w:tc>
        <w:tc>
          <w:tcPr>
            <w:tcW w:w="649" w:type="pct"/>
            <w:vAlign w:val="center"/>
          </w:tcPr>
          <w:p w14:paraId="0766C6AC" w14:textId="3369B8F6" w:rsidR="00385A9D" w:rsidRPr="00D15743" w:rsidRDefault="00295FEA" w:rsidP="00606FBA">
            <w:pPr>
              <w:pStyle w:val="TableText0"/>
              <w:jc w:val="center"/>
              <w:rPr>
                <w:vertAlign w:val="superscript"/>
              </w:rPr>
            </w:pPr>
            <w:r w:rsidRPr="001F65A0">
              <w:t>-$</w:t>
            </w:r>
            <w:r w:rsidR="00981AF2" w:rsidRPr="00981AF2">
              <w:rPr>
                <w:rFonts w:hint="eastAsia"/>
                <w:color w:val="000000"/>
                <w:w w:val="27"/>
                <w:shd w:val="solid" w:color="000000" w:fill="000000"/>
                <w:fitText w:val="123" w:id="-1436349168"/>
                <w14:textFill>
                  <w14:solidFill>
                    <w14:srgbClr w14:val="000000">
                      <w14:alpha w14:val="100000"/>
                    </w14:srgbClr>
                  </w14:solidFill>
                </w14:textFill>
              </w:rPr>
              <w:t xml:space="preserve">　</w:t>
            </w:r>
            <w:r w:rsidR="00981AF2" w:rsidRPr="00981AF2">
              <w:rPr>
                <w:color w:val="000000"/>
                <w:w w:val="27"/>
                <w:shd w:val="solid" w:color="000000" w:fill="000000"/>
                <w:fitText w:val="123" w:id="-1436349168"/>
                <w14:textFill>
                  <w14:solidFill>
                    <w14:srgbClr w14:val="000000">
                      <w14:alpha w14:val="100000"/>
                    </w14:srgbClr>
                  </w14:solidFill>
                </w14:textFill>
              </w:rPr>
              <w:t>|</w:t>
            </w:r>
            <w:r w:rsidR="00981AF2" w:rsidRPr="00981AF2">
              <w:rPr>
                <w:rFonts w:hint="eastAsia"/>
                <w:color w:val="000000"/>
                <w:spacing w:val="5"/>
                <w:w w:val="27"/>
                <w:shd w:val="solid" w:color="000000" w:fill="000000"/>
                <w:fitText w:val="123" w:id="-1436349168"/>
                <w14:textFill>
                  <w14:solidFill>
                    <w14:srgbClr w14:val="000000">
                      <w14:alpha w14:val="100000"/>
                    </w14:srgbClr>
                  </w14:solidFill>
                </w14:textFill>
              </w:rPr>
              <w:t xml:space="preserve">　</w:t>
            </w:r>
            <w:r w:rsidR="00D15743">
              <w:rPr>
                <w:vertAlign w:val="superscript"/>
              </w:rPr>
              <w:t>1</w:t>
            </w:r>
            <w:r w:rsidR="00007C73">
              <w:rPr>
                <w:vertAlign w:val="superscript"/>
              </w:rPr>
              <w:t>2</w:t>
            </w:r>
          </w:p>
        </w:tc>
      </w:tr>
      <w:tr w:rsidR="00385A9D" w:rsidRPr="00FC22AB" w14:paraId="4FA07BD8" w14:textId="77777777" w:rsidTr="009C3A3A">
        <w:tc>
          <w:tcPr>
            <w:tcW w:w="5000" w:type="pct"/>
            <w:gridSpan w:val="7"/>
            <w:shd w:val="clear" w:color="auto" w:fill="auto"/>
            <w:vAlign w:val="center"/>
          </w:tcPr>
          <w:p w14:paraId="1A627EA0" w14:textId="3B2A3C1F" w:rsidR="00385A9D" w:rsidRPr="00FC22AB" w:rsidRDefault="00385A9D" w:rsidP="00606FBA">
            <w:pPr>
              <w:pStyle w:val="In-tableHeading"/>
            </w:pPr>
            <w:r w:rsidRPr="00FC22AB">
              <w:t>Net financial implications</w:t>
            </w:r>
            <w:r w:rsidRPr="00FC22AB">
              <w:rPr>
                <w:color w:val="4BACC6" w:themeColor="accent5"/>
              </w:rPr>
              <w:t xml:space="preserve"> </w:t>
            </w:r>
          </w:p>
        </w:tc>
      </w:tr>
      <w:tr w:rsidR="00385A9D" w:rsidRPr="003639A6" w14:paraId="3F33D4C6" w14:textId="77777777" w:rsidTr="003F1398">
        <w:tc>
          <w:tcPr>
            <w:tcW w:w="1116" w:type="pct"/>
            <w:shd w:val="clear" w:color="auto" w:fill="auto"/>
            <w:vAlign w:val="center"/>
          </w:tcPr>
          <w:p w14:paraId="5ABBDE64" w14:textId="77777777" w:rsidR="00385A9D" w:rsidRPr="00C14A5F" w:rsidRDefault="00385A9D" w:rsidP="00606FBA">
            <w:pPr>
              <w:pStyle w:val="TableText0"/>
              <w:rPr>
                <w:sz w:val="19"/>
                <w:szCs w:val="19"/>
              </w:rPr>
            </w:pPr>
            <w:r w:rsidRPr="00C14A5F">
              <w:rPr>
                <w:sz w:val="19"/>
                <w:szCs w:val="19"/>
              </w:rPr>
              <w:t>Net cost to PBS/RPBS</w:t>
            </w:r>
          </w:p>
        </w:tc>
        <w:tc>
          <w:tcPr>
            <w:tcW w:w="647" w:type="pct"/>
            <w:shd w:val="clear" w:color="auto" w:fill="auto"/>
            <w:vAlign w:val="center"/>
          </w:tcPr>
          <w:p w14:paraId="744F82C2" w14:textId="164B0032" w:rsidR="00385A9D" w:rsidRPr="00C14A5F" w:rsidRDefault="00C665B0" w:rsidP="00606FBA">
            <w:pPr>
              <w:pStyle w:val="TableText0"/>
              <w:jc w:val="center"/>
            </w:pPr>
            <w:r w:rsidRPr="00C14A5F">
              <w:t>$</w:t>
            </w:r>
            <w:r w:rsidR="00981AF2" w:rsidRPr="00981AF2">
              <w:rPr>
                <w:rFonts w:hint="eastAsia"/>
                <w:color w:val="000000"/>
                <w:w w:val="15"/>
                <w:shd w:val="solid" w:color="000000" w:fill="000000"/>
                <w:fitText w:val="70" w:id="-1436349184"/>
                <w14:textFill>
                  <w14:solidFill>
                    <w14:srgbClr w14:val="000000">
                      <w14:alpha w14:val="100000"/>
                    </w14:srgbClr>
                  </w14:solidFill>
                </w14:textFill>
              </w:rPr>
              <w:t xml:space="preserve">　</w:t>
            </w:r>
            <w:r w:rsidR="00981AF2" w:rsidRPr="00981AF2">
              <w:rPr>
                <w:color w:val="000000"/>
                <w:w w:val="15"/>
                <w:shd w:val="solid" w:color="000000" w:fill="000000"/>
                <w:fitText w:val="70" w:id="-1436349184"/>
                <w14:textFill>
                  <w14:solidFill>
                    <w14:srgbClr w14:val="000000">
                      <w14:alpha w14:val="100000"/>
                    </w14:srgbClr>
                  </w14:solidFill>
                </w14:textFill>
              </w:rPr>
              <w:t>|</w:t>
            </w:r>
            <w:r w:rsidR="00981AF2" w:rsidRPr="00981AF2">
              <w:rPr>
                <w:rFonts w:hint="eastAsia"/>
                <w:color w:val="000000"/>
                <w:spacing w:val="4"/>
                <w:w w:val="15"/>
                <w:shd w:val="solid" w:color="000000" w:fill="000000"/>
                <w:fitText w:val="70" w:id="-1436349184"/>
                <w14:textFill>
                  <w14:solidFill>
                    <w14:srgbClr w14:val="000000">
                      <w14:alpha w14:val="100000"/>
                    </w14:srgbClr>
                  </w14:solidFill>
                </w14:textFill>
              </w:rPr>
              <w:t xml:space="preserve">　</w:t>
            </w:r>
            <w:r w:rsidR="00D15743">
              <w:rPr>
                <w:vertAlign w:val="superscript"/>
              </w:rPr>
              <w:t>9</w:t>
            </w:r>
          </w:p>
        </w:tc>
        <w:tc>
          <w:tcPr>
            <w:tcW w:w="647" w:type="pct"/>
            <w:shd w:val="clear" w:color="auto" w:fill="auto"/>
            <w:vAlign w:val="center"/>
          </w:tcPr>
          <w:p w14:paraId="295843EA" w14:textId="1868C908" w:rsidR="00385A9D" w:rsidRPr="00D15743" w:rsidRDefault="00C665B0" w:rsidP="00606FBA">
            <w:pPr>
              <w:pStyle w:val="TableText0"/>
              <w:jc w:val="center"/>
              <w:rPr>
                <w:vertAlign w:val="superscript"/>
              </w:rPr>
            </w:pPr>
            <w:r w:rsidRPr="00C14A5F">
              <w:t>$</w:t>
            </w:r>
            <w:r w:rsidR="00981AF2" w:rsidRPr="00981AF2">
              <w:rPr>
                <w:rFonts w:hint="eastAsia"/>
                <w:color w:val="000000"/>
                <w:w w:val="15"/>
                <w:shd w:val="solid" w:color="000000" w:fill="000000"/>
                <w:fitText w:val="69" w:id="-1436349183"/>
                <w14:textFill>
                  <w14:solidFill>
                    <w14:srgbClr w14:val="000000">
                      <w14:alpha w14:val="100000"/>
                    </w14:srgbClr>
                  </w14:solidFill>
                </w14:textFill>
              </w:rPr>
              <w:t xml:space="preserve">　</w:t>
            </w:r>
            <w:r w:rsidR="00981AF2" w:rsidRPr="00981AF2">
              <w:rPr>
                <w:color w:val="000000"/>
                <w:w w:val="15"/>
                <w:shd w:val="solid" w:color="000000" w:fill="000000"/>
                <w:fitText w:val="69" w:id="-1436349183"/>
                <w14:textFill>
                  <w14:solidFill>
                    <w14:srgbClr w14:val="000000">
                      <w14:alpha w14:val="100000"/>
                    </w14:srgbClr>
                  </w14:solidFill>
                </w14:textFill>
              </w:rPr>
              <w:t>|</w:t>
            </w:r>
            <w:r w:rsidR="00981AF2" w:rsidRPr="00981AF2">
              <w:rPr>
                <w:rFonts w:hint="eastAsia"/>
                <w:color w:val="000000"/>
                <w:spacing w:val="3"/>
                <w:w w:val="15"/>
                <w:shd w:val="solid" w:color="000000" w:fill="000000"/>
                <w:fitText w:val="69" w:id="-1436349183"/>
                <w14:textFill>
                  <w14:solidFill>
                    <w14:srgbClr w14:val="000000">
                      <w14:alpha w14:val="100000"/>
                    </w14:srgbClr>
                  </w14:solidFill>
                </w14:textFill>
              </w:rPr>
              <w:t xml:space="preserve">　</w:t>
            </w:r>
            <w:r w:rsidR="00D15743">
              <w:rPr>
                <w:vertAlign w:val="superscript"/>
              </w:rPr>
              <w:t>4</w:t>
            </w:r>
          </w:p>
        </w:tc>
        <w:tc>
          <w:tcPr>
            <w:tcW w:w="647" w:type="pct"/>
            <w:shd w:val="clear" w:color="auto" w:fill="auto"/>
            <w:vAlign w:val="center"/>
          </w:tcPr>
          <w:p w14:paraId="3A32302A" w14:textId="5864B891" w:rsidR="00385A9D" w:rsidRPr="00D15743" w:rsidRDefault="00C665B0" w:rsidP="00606FBA">
            <w:pPr>
              <w:pStyle w:val="TableText0"/>
              <w:jc w:val="center"/>
              <w:rPr>
                <w:vertAlign w:val="superscript"/>
              </w:rPr>
            </w:pPr>
            <w:r w:rsidRPr="00C14A5F">
              <w:t>$</w:t>
            </w:r>
            <w:r w:rsidR="00981AF2" w:rsidRPr="00981AF2">
              <w:rPr>
                <w:rFonts w:hint="eastAsia"/>
                <w:color w:val="000000"/>
                <w:w w:val="22"/>
                <w:shd w:val="solid" w:color="000000" w:fill="000000"/>
                <w:fitText w:val="100" w:id="-1436349182"/>
                <w14:textFill>
                  <w14:solidFill>
                    <w14:srgbClr w14:val="000000">
                      <w14:alpha w14:val="100000"/>
                    </w14:srgbClr>
                  </w14:solidFill>
                </w14:textFill>
              </w:rPr>
              <w:t xml:space="preserve">　</w:t>
            </w:r>
            <w:r w:rsidR="00981AF2" w:rsidRPr="00981AF2">
              <w:rPr>
                <w:color w:val="000000"/>
                <w:w w:val="22"/>
                <w:shd w:val="solid" w:color="000000" w:fill="000000"/>
                <w:fitText w:val="100" w:id="-1436349182"/>
                <w14:textFill>
                  <w14:solidFill>
                    <w14:srgbClr w14:val="000000">
                      <w14:alpha w14:val="100000"/>
                    </w14:srgbClr>
                  </w14:solidFill>
                </w14:textFill>
              </w:rPr>
              <w:t>|</w:t>
            </w:r>
            <w:r w:rsidR="00981AF2" w:rsidRPr="00981AF2">
              <w:rPr>
                <w:rFonts w:hint="eastAsia"/>
                <w:color w:val="000000"/>
                <w:spacing w:val="3"/>
                <w:w w:val="22"/>
                <w:shd w:val="solid" w:color="000000" w:fill="000000"/>
                <w:fitText w:val="100" w:id="-1436349182"/>
                <w14:textFill>
                  <w14:solidFill>
                    <w14:srgbClr w14:val="000000">
                      <w14:alpha w14:val="100000"/>
                    </w14:srgbClr>
                  </w14:solidFill>
                </w14:textFill>
              </w:rPr>
              <w:t xml:space="preserve">　</w:t>
            </w:r>
            <w:r w:rsidR="00D15743">
              <w:rPr>
                <w:vertAlign w:val="superscript"/>
              </w:rPr>
              <w:t>10</w:t>
            </w:r>
          </w:p>
        </w:tc>
        <w:tc>
          <w:tcPr>
            <w:tcW w:w="647" w:type="pct"/>
            <w:shd w:val="clear" w:color="auto" w:fill="auto"/>
            <w:vAlign w:val="center"/>
          </w:tcPr>
          <w:p w14:paraId="326E9207" w14:textId="016580BC" w:rsidR="00385A9D" w:rsidRPr="00D15743" w:rsidRDefault="00C665B0" w:rsidP="00606FBA">
            <w:pPr>
              <w:pStyle w:val="TableText0"/>
              <w:jc w:val="center"/>
              <w:rPr>
                <w:vertAlign w:val="superscript"/>
              </w:rPr>
            </w:pPr>
            <w:r w:rsidRPr="00C14A5F">
              <w:t>$</w:t>
            </w:r>
            <w:r w:rsidR="00981AF2" w:rsidRPr="00981AF2">
              <w:rPr>
                <w:rFonts w:hint="eastAsia"/>
                <w:color w:val="000000"/>
                <w:w w:val="15"/>
                <w:shd w:val="solid" w:color="000000" w:fill="000000"/>
                <w:fitText w:val="70" w:id="-1436349181"/>
                <w14:textFill>
                  <w14:solidFill>
                    <w14:srgbClr w14:val="000000">
                      <w14:alpha w14:val="100000"/>
                    </w14:srgbClr>
                  </w14:solidFill>
                </w14:textFill>
              </w:rPr>
              <w:t xml:space="preserve">　</w:t>
            </w:r>
            <w:r w:rsidR="00981AF2" w:rsidRPr="00981AF2">
              <w:rPr>
                <w:color w:val="000000"/>
                <w:w w:val="15"/>
                <w:shd w:val="solid" w:color="000000" w:fill="000000"/>
                <w:fitText w:val="70" w:id="-1436349181"/>
                <w14:textFill>
                  <w14:solidFill>
                    <w14:srgbClr w14:val="000000">
                      <w14:alpha w14:val="100000"/>
                    </w14:srgbClr>
                  </w14:solidFill>
                </w14:textFill>
              </w:rPr>
              <w:t>|</w:t>
            </w:r>
            <w:r w:rsidR="00981AF2" w:rsidRPr="00981AF2">
              <w:rPr>
                <w:rFonts w:hint="eastAsia"/>
                <w:color w:val="000000"/>
                <w:spacing w:val="4"/>
                <w:w w:val="15"/>
                <w:shd w:val="solid" w:color="000000" w:fill="000000"/>
                <w:fitText w:val="70" w:id="-1436349181"/>
                <w14:textFill>
                  <w14:solidFill>
                    <w14:srgbClr w14:val="000000">
                      <w14:alpha w14:val="100000"/>
                    </w14:srgbClr>
                  </w14:solidFill>
                </w14:textFill>
              </w:rPr>
              <w:t xml:space="preserve">　</w:t>
            </w:r>
            <w:r w:rsidR="00D15743">
              <w:rPr>
                <w:vertAlign w:val="superscript"/>
              </w:rPr>
              <w:t>5</w:t>
            </w:r>
          </w:p>
        </w:tc>
        <w:tc>
          <w:tcPr>
            <w:tcW w:w="647" w:type="pct"/>
            <w:shd w:val="clear" w:color="auto" w:fill="auto"/>
            <w:vAlign w:val="center"/>
          </w:tcPr>
          <w:p w14:paraId="56E4D70E" w14:textId="5EE4927D" w:rsidR="00385A9D" w:rsidRPr="00D15743" w:rsidRDefault="00C665B0" w:rsidP="00606FBA">
            <w:pPr>
              <w:pStyle w:val="TableText0"/>
              <w:jc w:val="center"/>
              <w:rPr>
                <w:vertAlign w:val="superscript"/>
              </w:rPr>
            </w:pPr>
            <w:r w:rsidRPr="00C14A5F">
              <w:t>$</w:t>
            </w:r>
            <w:r w:rsidR="00981AF2" w:rsidRPr="00981AF2">
              <w:rPr>
                <w:rFonts w:hint="eastAsia"/>
                <w:color w:val="000000"/>
                <w:w w:val="22"/>
                <w:shd w:val="solid" w:color="000000" w:fill="000000"/>
                <w:fitText w:val="100" w:id="-1436349180"/>
                <w14:textFill>
                  <w14:solidFill>
                    <w14:srgbClr w14:val="000000">
                      <w14:alpha w14:val="100000"/>
                    </w14:srgbClr>
                  </w14:solidFill>
                </w14:textFill>
              </w:rPr>
              <w:t xml:space="preserve">　</w:t>
            </w:r>
            <w:r w:rsidR="00981AF2" w:rsidRPr="00981AF2">
              <w:rPr>
                <w:color w:val="000000"/>
                <w:w w:val="22"/>
                <w:shd w:val="solid" w:color="000000" w:fill="000000"/>
                <w:fitText w:val="100" w:id="-1436349180"/>
                <w14:textFill>
                  <w14:solidFill>
                    <w14:srgbClr w14:val="000000">
                      <w14:alpha w14:val="100000"/>
                    </w14:srgbClr>
                  </w14:solidFill>
                </w14:textFill>
              </w:rPr>
              <w:t>|</w:t>
            </w:r>
            <w:r w:rsidR="00981AF2" w:rsidRPr="00981AF2">
              <w:rPr>
                <w:rFonts w:hint="eastAsia"/>
                <w:color w:val="000000"/>
                <w:spacing w:val="3"/>
                <w:w w:val="22"/>
                <w:shd w:val="solid" w:color="000000" w:fill="000000"/>
                <w:fitText w:val="100" w:id="-1436349180"/>
                <w14:textFill>
                  <w14:solidFill>
                    <w14:srgbClr w14:val="000000">
                      <w14:alpha w14:val="100000"/>
                    </w14:srgbClr>
                  </w14:solidFill>
                </w14:textFill>
              </w:rPr>
              <w:t xml:space="preserve">　</w:t>
            </w:r>
            <w:r w:rsidR="00D15743">
              <w:rPr>
                <w:vertAlign w:val="superscript"/>
              </w:rPr>
              <w:t>1</w:t>
            </w:r>
            <w:r w:rsidR="00007C73">
              <w:rPr>
                <w:vertAlign w:val="superscript"/>
              </w:rPr>
              <w:t>3</w:t>
            </w:r>
          </w:p>
        </w:tc>
        <w:tc>
          <w:tcPr>
            <w:tcW w:w="649" w:type="pct"/>
            <w:vAlign w:val="center"/>
          </w:tcPr>
          <w:p w14:paraId="241B1CFD" w14:textId="57E09353" w:rsidR="00385A9D" w:rsidRPr="00D15743" w:rsidRDefault="00C665B0" w:rsidP="00606FBA">
            <w:pPr>
              <w:pStyle w:val="TableText0"/>
              <w:jc w:val="center"/>
              <w:rPr>
                <w:vertAlign w:val="superscript"/>
              </w:rPr>
            </w:pPr>
            <w:r w:rsidRPr="00C14A5F">
              <w:t>$</w:t>
            </w:r>
            <w:r w:rsidR="00981AF2" w:rsidRPr="00981AF2">
              <w:rPr>
                <w:rFonts w:hint="eastAsia"/>
                <w:color w:val="000000"/>
                <w:w w:val="15"/>
                <w:shd w:val="solid" w:color="000000" w:fill="000000"/>
                <w:fitText w:val="69" w:id="-1436349179"/>
                <w14:textFill>
                  <w14:solidFill>
                    <w14:srgbClr w14:val="000000">
                      <w14:alpha w14:val="100000"/>
                    </w14:srgbClr>
                  </w14:solidFill>
                </w14:textFill>
              </w:rPr>
              <w:t xml:space="preserve">　</w:t>
            </w:r>
            <w:r w:rsidR="00981AF2" w:rsidRPr="00981AF2">
              <w:rPr>
                <w:color w:val="000000"/>
                <w:w w:val="15"/>
                <w:shd w:val="solid" w:color="000000" w:fill="000000"/>
                <w:fitText w:val="69" w:id="-1436349179"/>
                <w14:textFill>
                  <w14:solidFill>
                    <w14:srgbClr w14:val="000000">
                      <w14:alpha w14:val="100000"/>
                    </w14:srgbClr>
                  </w14:solidFill>
                </w14:textFill>
              </w:rPr>
              <w:t>|</w:t>
            </w:r>
            <w:r w:rsidR="00981AF2" w:rsidRPr="00981AF2">
              <w:rPr>
                <w:rFonts w:hint="eastAsia"/>
                <w:color w:val="000000"/>
                <w:spacing w:val="3"/>
                <w:w w:val="15"/>
                <w:shd w:val="solid" w:color="000000" w:fill="000000"/>
                <w:fitText w:val="69" w:id="-1436349179"/>
                <w14:textFill>
                  <w14:solidFill>
                    <w14:srgbClr w14:val="000000">
                      <w14:alpha w14:val="100000"/>
                    </w14:srgbClr>
                  </w14:solidFill>
                </w14:textFill>
              </w:rPr>
              <w:t xml:space="preserve">　</w:t>
            </w:r>
            <w:r w:rsidR="00D15743">
              <w:rPr>
                <w:vertAlign w:val="superscript"/>
              </w:rPr>
              <w:t>6</w:t>
            </w:r>
          </w:p>
        </w:tc>
      </w:tr>
      <w:tr w:rsidR="00385A9D" w:rsidRPr="003639A6" w14:paraId="571B64F4" w14:textId="77777777" w:rsidTr="003F1398">
        <w:tc>
          <w:tcPr>
            <w:tcW w:w="1116" w:type="pct"/>
            <w:shd w:val="clear" w:color="auto" w:fill="auto"/>
            <w:vAlign w:val="center"/>
          </w:tcPr>
          <w:p w14:paraId="427698FB" w14:textId="52533EEA" w:rsidR="00385A9D" w:rsidRPr="003639A6" w:rsidRDefault="00465A13" w:rsidP="00D244B6">
            <w:pPr>
              <w:pStyle w:val="TableText0"/>
              <w:rPr>
                <w:rFonts w:ascii="Times" w:hAnsi="Times"/>
              </w:rPr>
            </w:pPr>
            <w:r>
              <w:rPr>
                <w:sz w:val="19"/>
                <w:szCs w:val="19"/>
              </w:rPr>
              <w:t>Net cost to</w:t>
            </w:r>
            <w:r w:rsidRPr="003639A6">
              <w:rPr>
                <w:sz w:val="19"/>
                <w:szCs w:val="19"/>
              </w:rPr>
              <w:t xml:space="preserve"> </w:t>
            </w:r>
            <w:r w:rsidR="00336D7B">
              <w:rPr>
                <w:sz w:val="19"/>
                <w:szCs w:val="19"/>
              </w:rPr>
              <w:t>MBS</w:t>
            </w:r>
          </w:p>
        </w:tc>
        <w:tc>
          <w:tcPr>
            <w:tcW w:w="647" w:type="pct"/>
            <w:shd w:val="clear" w:color="auto" w:fill="auto"/>
            <w:vAlign w:val="center"/>
          </w:tcPr>
          <w:p w14:paraId="5AD7A1FC" w14:textId="5FA4DE29" w:rsidR="00385A9D" w:rsidRPr="00D15743" w:rsidRDefault="00465A13" w:rsidP="00606FBA">
            <w:pPr>
              <w:pStyle w:val="TableText0"/>
              <w:jc w:val="center"/>
              <w:rPr>
                <w:vertAlign w:val="superscript"/>
              </w:rPr>
            </w:pPr>
            <w:r w:rsidRPr="00C14A5F">
              <w:t>-$</w:t>
            </w:r>
            <w:r w:rsidR="00981AF2" w:rsidRPr="00981AF2">
              <w:rPr>
                <w:rFonts w:hint="eastAsia"/>
                <w:color w:val="000000"/>
                <w:w w:val="26"/>
                <w:shd w:val="solid" w:color="000000" w:fill="000000"/>
                <w:fitText w:val="116" w:id="-1436349178"/>
                <w14:textFill>
                  <w14:solidFill>
                    <w14:srgbClr w14:val="000000">
                      <w14:alpha w14:val="100000"/>
                    </w14:srgbClr>
                  </w14:solidFill>
                </w14:textFill>
              </w:rPr>
              <w:t xml:space="preserve">　</w:t>
            </w:r>
            <w:r w:rsidR="00981AF2" w:rsidRPr="00981AF2">
              <w:rPr>
                <w:color w:val="000000"/>
                <w:w w:val="26"/>
                <w:shd w:val="solid" w:color="000000" w:fill="000000"/>
                <w:fitText w:val="116" w:id="-1436349178"/>
                <w14:textFill>
                  <w14:solidFill>
                    <w14:srgbClr w14:val="000000">
                      <w14:alpha w14:val="100000"/>
                    </w14:srgbClr>
                  </w14:solidFill>
                </w14:textFill>
              </w:rPr>
              <w:t>|</w:t>
            </w:r>
            <w:r w:rsidR="00981AF2" w:rsidRPr="00981AF2">
              <w:rPr>
                <w:rFonts w:hint="eastAsia"/>
                <w:color w:val="000000"/>
                <w:spacing w:val="1"/>
                <w:w w:val="26"/>
                <w:shd w:val="solid" w:color="000000" w:fill="000000"/>
                <w:fitText w:val="116" w:id="-1436349178"/>
                <w14:textFill>
                  <w14:solidFill>
                    <w14:srgbClr w14:val="000000">
                      <w14:alpha w14:val="100000"/>
                    </w14:srgbClr>
                  </w14:solidFill>
                </w14:textFill>
              </w:rPr>
              <w:t xml:space="preserve">　</w:t>
            </w:r>
            <w:r w:rsidR="00D15743">
              <w:rPr>
                <w:vertAlign w:val="superscript"/>
              </w:rPr>
              <w:t>1</w:t>
            </w:r>
            <w:r w:rsidR="00007C73">
              <w:rPr>
                <w:vertAlign w:val="superscript"/>
              </w:rPr>
              <w:t>4</w:t>
            </w:r>
          </w:p>
        </w:tc>
        <w:tc>
          <w:tcPr>
            <w:tcW w:w="647" w:type="pct"/>
            <w:shd w:val="clear" w:color="auto" w:fill="auto"/>
            <w:vAlign w:val="center"/>
          </w:tcPr>
          <w:p w14:paraId="1D6E215B" w14:textId="3893694B" w:rsidR="00385A9D" w:rsidRPr="00D15743" w:rsidRDefault="00465A13" w:rsidP="00606FBA">
            <w:pPr>
              <w:pStyle w:val="TableText0"/>
              <w:jc w:val="center"/>
              <w:rPr>
                <w:vertAlign w:val="superscript"/>
              </w:rPr>
            </w:pPr>
            <w:r w:rsidRPr="00C14A5F">
              <w:t>-$</w:t>
            </w:r>
            <w:r w:rsidR="00981AF2" w:rsidRPr="00981AF2">
              <w:rPr>
                <w:rFonts w:hint="eastAsia"/>
                <w:color w:val="000000"/>
                <w:w w:val="26"/>
                <w:shd w:val="solid" w:color="000000" w:fill="000000"/>
                <w:fitText w:val="116" w:id="-1436349177"/>
                <w14:textFill>
                  <w14:solidFill>
                    <w14:srgbClr w14:val="000000">
                      <w14:alpha w14:val="100000"/>
                    </w14:srgbClr>
                  </w14:solidFill>
                </w14:textFill>
              </w:rPr>
              <w:t xml:space="preserve">　</w:t>
            </w:r>
            <w:r w:rsidR="00981AF2" w:rsidRPr="00981AF2">
              <w:rPr>
                <w:color w:val="000000"/>
                <w:w w:val="26"/>
                <w:shd w:val="solid" w:color="000000" w:fill="000000"/>
                <w:fitText w:val="116" w:id="-1436349177"/>
                <w14:textFill>
                  <w14:solidFill>
                    <w14:srgbClr w14:val="000000">
                      <w14:alpha w14:val="100000"/>
                    </w14:srgbClr>
                  </w14:solidFill>
                </w14:textFill>
              </w:rPr>
              <w:t>|</w:t>
            </w:r>
            <w:r w:rsidR="00981AF2" w:rsidRPr="00981AF2">
              <w:rPr>
                <w:rFonts w:hint="eastAsia"/>
                <w:color w:val="000000"/>
                <w:spacing w:val="1"/>
                <w:w w:val="26"/>
                <w:shd w:val="solid" w:color="000000" w:fill="000000"/>
                <w:fitText w:val="116" w:id="-1436349177"/>
                <w14:textFill>
                  <w14:solidFill>
                    <w14:srgbClr w14:val="000000">
                      <w14:alpha w14:val="100000"/>
                    </w14:srgbClr>
                  </w14:solidFill>
                </w14:textFill>
              </w:rPr>
              <w:t xml:space="preserve">　</w:t>
            </w:r>
            <w:r w:rsidR="00D15743">
              <w:rPr>
                <w:vertAlign w:val="superscript"/>
              </w:rPr>
              <w:t>1</w:t>
            </w:r>
            <w:r w:rsidR="00007C73">
              <w:rPr>
                <w:vertAlign w:val="superscript"/>
              </w:rPr>
              <w:t>4</w:t>
            </w:r>
          </w:p>
        </w:tc>
        <w:tc>
          <w:tcPr>
            <w:tcW w:w="647" w:type="pct"/>
            <w:shd w:val="clear" w:color="auto" w:fill="auto"/>
            <w:vAlign w:val="center"/>
          </w:tcPr>
          <w:p w14:paraId="25026D9D" w14:textId="1470DB5E" w:rsidR="00385A9D" w:rsidRPr="00D15743" w:rsidRDefault="00465A13" w:rsidP="00606FBA">
            <w:pPr>
              <w:pStyle w:val="TableText0"/>
              <w:jc w:val="center"/>
              <w:rPr>
                <w:vertAlign w:val="superscript"/>
              </w:rPr>
            </w:pPr>
            <w:r w:rsidRPr="00C14A5F">
              <w:t>-$</w:t>
            </w:r>
            <w:r w:rsidR="00981AF2" w:rsidRPr="00981AF2">
              <w:rPr>
                <w:rFonts w:hint="eastAsia"/>
                <w:color w:val="000000"/>
                <w:w w:val="25"/>
                <w:shd w:val="solid" w:color="000000" w:fill="000000"/>
                <w:fitText w:val="115" w:id="-1436349176"/>
                <w14:textFill>
                  <w14:solidFill>
                    <w14:srgbClr w14:val="000000">
                      <w14:alpha w14:val="100000"/>
                    </w14:srgbClr>
                  </w14:solidFill>
                </w14:textFill>
              </w:rPr>
              <w:t xml:space="preserve">　</w:t>
            </w:r>
            <w:r w:rsidR="00981AF2" w:rsidRPr="00981AF2">
              <w:rPr>
                <w:color w:val="000000"/>
                <w:w w:val="25"/>
                <w:shd w:val="solid" w:color="000000" w:fill="000000"/>
                <w:fitText w:val="115" w:id="-1436349176"/>
                <w14:textFill>
                  <w14:solidFill>
                    <w14:srgbClr w14:val="000000">
                      <w14:alpha w14:val="100000"/>
                    </w14:srgbClr>
                  </w14:solidFill>
                </w14:textFill>
              </w:rPr>
              <w:t>|</w:t>
            </w:r>
            <w:r w:rsidR="00981AF2" w:rsidRPr="00981AF2">
              <w:rPr>
                <w:rFonts w:hint="eastAsia"/>
                <w:color w:val="000000"/>
                <w:spacing w:val="4"/>
                <w:w w:val="25"/>
                <w:shd w:val="solid" w:color="000000" w:fill="000000"/>
                <w:fitText w:val="115" w:id="-1436349176"/>
                <w14:textFill>
                  <w14:solidFill>
                    <w14:srgbClr w14:val="000000">
                      <w14:alpha w14:val="100000"/>
                    </w14:srgbClr>
                  </w14:solidFill>
                </w14:textFill>
              </w:rPr>
              <w:t xml:space="preserve">　</w:t>
            </w:r>
            <w:r w:rsidR="00D15743">
              <w:rPr>
                <w:vertAlign w:val="superscript"/>
              </w:rPr>
              <w:t>1</w:t>
            </w:r>
            <w:r w:rsidR="00007C73">
              <w:rPr>
                <w:vertAlign w:val="superscript"/>
              </w:rPr>
              <w:t>4</w:t>
            </w:r>
          </w:p>
        </w:tc>
        <w:tc>
          <w:tcPr>
            <w:tcW w:w="647" w:type="pct"/>
            <w:shd w:val="clear" w:color="auto" w:fill="auto"/>
            <w:vAlign w:val="center"/>
          </w:tcPr>
          <w:p w14:paraId="6933D36F" w14:textId="1DC8F4FE" w:rsidR="00385A9D" w:rsidRPr="00D15743" w:rsidRDefault="00465A13" w:rsidP="00606FBA">
            <w:pPr>
              <w:pStyle w:val="TableText0"/>
              <w:jc w:val="center"/>
              <w:rPr>
                <w:vertAlign w:val="superscript"/>
              </w:rPr>
            </w:pPr>
            <w:r w:rsidRPr="001F65A0">
              <w:t>-$</w:t>
            </w:r>
            <w:r w:rsidR="00981AF2" w:rsidRPr="00981AF2">
              <w:rPr>
                <w:rFonts w:hint="eastAsia"/>
                <w:color w:val="000000"/>
                <w:w w:val="26"/>
                <w:shd w:val="solid" w:color="000000" w:fill="000000"/>
                <w:fitText w:val="116" w:id="-1436349175"/>
                <w14:textFill>
                  <w14:solidFill>
                    <w14:srgbClr w14:val="000000">
                      <w14:alpha w14:val="100000"/>
                    </w14:srgbClr>
                  </w14:solidFill>
                </w14:textFill>
              </w:rPr>
              <w:t xml:space="preserve">　</w:t>
            </w:r>
            <w:r w:rsidR="00981AF2" w:rsidRPr="00981AF2">
              <w:rPr>
                <w:color w:val="000000"/>
                <w:w w:val="26"/>
                <w:shd w:val="solid" w:color="000000" w:fill="000000"/>
                <w:fitText w:val="116" w:id="-1436349175"/>
                <w14:textFill>
                  <w14:solidFill>
                    <w14:srgbClr w14:val="000000">
                      <w14:alpha w14:val="100000"/>
                    </w14:srgbClr>
                  </w14:solidFill>
                </w14:textFill>
              </w:rPr>
              <w:t>|</w:t>
            </w:r>
            <w:r w:rsidR="00981AF2" w:rsidRPr="00981AF2">
              <w:rPr>
                <w:rFonts w:hint="eastAsia"/>
                <w:color w:val="000000"/>
                <w:spacing w:val="1"/>
                <w:w w:val="26"/>
                <w:shd w:val="solid" w:color="000000" w:fill="000000"/>
                <w:fitText w:val="116" w:id="-1436349175"/>
                <w14:textFill>
                  <w14:solidFill>
                    <w14:srgbClr w14:val="000000">
                      <w14:alpha w14:val="100000"/>
                    </w14:srgbClr>
                  </w14:solidFill>
                </w14:textFill>
              </w:rPr>
              <w:t xml:space="preserve">　</w:t>
            </w:r>
            <w:r w:rsidR="00007C73">
              <w:rPr>
                <w:vertAlign w:val="superscript"/>
              </w:rPr>
              <w:t>14</w:t>
            </w:r>
          </w:p>
        </w:tc>
        <w:tc>
          <w:tcPr>
            <w:tcW w:w="647" w:type="pct"/>
            <w:shd w:val="clear" w:color="auto" w:fill="auto"/>
            <w:vAlign w:val="center"/>
          </w:tcPr>
          <w:p w14:paraId="04433A65" w14:textId="40AF2B3C" w:rsidR="00385A9D" w:rsidRPr="00D15743" w:rsidRDefault="00465A13" w:rsidP="00606FBA">
            <w:pPr>
              <w:pStyle w:val="TableText0"/>
              <w:jc w:val="center"/>
              <w:rPr>
                <w:vertAlign w:val="superscript"/>
              </w:rPr>
            </w:pPr>
            <w:r w:rsidRPr="001F65A0">
              <w:t>-$</w:t>
            </w:r>
            <w:r w:rsidR="00981AF2" w:rsidRPr="00981AF2">
              <w:rPr>
                <w:rFonts w:hint="eastAsia"/>
                <w:color w:val="000000"/>
                <w:w w:val="25"/>
                <w:shd w:val="solid" w:color="000000" w:fill="000000"/>
                <w:fitText w:val="115" w:id="-1436349174"/>
                <w14:textFill>
                  <w14:solidFill>
                    <w14:srgbClr w14:val="000000">
                      <w14:alpha w14:val="100000"/>
                    </w14:srgbClr>
                  </w14:solidFill>
                </w14:textFill>
              </w:rPr>
              <w:t xml:space="preserve">　</w:t>
            </w:r>
            <w:r w:rsidR="00981AF2" w:rsidRPr="00981AF2">
              <w:rPr>
                <w:color w:val="000000"/>
                <w:w w:val="25"/>
                <w:shd w:val="solid" w:color="000000" w:fill="000000"/>
                <w:fitText w:val="115" w:id="-1436349174"/>
                <w14:textFill>
                  <w14:solidFill>
                    <w14:srgbClr w14:val="000000">
                      <w14:alpha w14:val="100000"/>
                    </w14:srgbClr>
                  </w14:solidFill>
                </w14:textFill>
              </w:rPr>
              <w:t>|</w:t>
            </w:r>
            <w:r w:rsidR="00981AF2" w:rsidRPr="00981AF2">
              <w:rPr>
                <w:rFonts w:hint="eastAsia"/>
                <w:color w:val="000000"/>
                <w:spacing w:val="4"/>
                <w:w w:val="25"/>
                <w:shd w:val="solid" w:color="000000" w:fill="000000"/>
                <w:fitText w:val="115" w:id="-1436349174"/>
                <w14:textFill>
                  <w14:solidFill>
                    <w14:srgbClr w14:val="000000">
                      <w14:alpha w14:val="100000"/>
                    </w14:srgbClr>
                  </w14:solidFill>
                </w14:textFill>
              </w:rPr>
              <w:t xml:space="preserve">　</w:t>
            </w:r>
            <w:r w:rsidR="00007C73">
              <w:rPr>
                <w:vertAlign w:val="superscript"/>
              </w:rPr>
              <w:t>14</w:t>
            </w:r>
          </w:p>
        </w:tc>
        <w:tc>
          <w:tcPr>
            <w:tcW w:w="649" w:type="pct"/>
            <w:vAlign w:val="center"/>
          </w:tcPr>
          <w:p w14:paraId="2223EBD7" w14:textId="02B59D2A" w:rsidR="00385A9D" w:rsidRPr="00D15743" w:rsidRDefault="00465A13" w:rsidP="00606FBA">
            <w:pPr>
              <w:pStyle w:val="TableText0"/>
              <w:jc w:val="center"/>
              <w:rPr>
                <w:vertAlign w:val="superscript"/>
              </w:rPr>
            </w:pPr>
            <w:r w:rsidRPr="001F65A0">
              <w:t>-$</w:t>
            </w:r>
            <w:r w:rsidR="00981AF2" w:rsidRPr="00981AF2">
              <w:rPr>
                <w:rFonts w:hint="eastAsia"/>
                <w:color w:val="000000"/>
                <w:w w:val="27"/>
                <w:shd w:val="solid" w:color="000000" w:fill="000000"/>
                <w:fitText w:val="123" w:id="-1436349173"/>
                <w14:textFill>
                  <w14:solidFill>
                    <w14:srgbClr w14:val="000000">
                      <w14:alpha w14:val="100000"/>
                    </w14:srgbClr>
                  </w14:solidFill>
                </w14:textFill>
              </w:rPr>
              <w:t xml:space="preserve">　</w:t>
            </w:r>
            <w:r w:rsidR="00981AF2" w:rsidRPr="00981AF2">
              <w:rPr>
                <w:color w:val="000000"/>
                <w:w w:val="27"/>
                <w:shd w:val="solid" w:color="000000" w:fill="000000"/>
                <w:fitText w:val="123" w:id="-1436349173"/>
                <w14:textFill>
                  <w14:solidFill>
                    <w14:srgbClr w14:val="000000">
                      <w14:alpha w14:val="100000"/>
                    </w14:srgbClr>
                  </w14:solidFill>
                </w14:textFill>
              </w:rPr>
              <w:t>|</w:t>
            </w:r>
            <w:r w:rsidR="00981AF2" w:rsidRPr="00981AF2">
              <w:rPr>
                <w:rFonts w:hint="eastAsia"/>
                <w:color w:val="000000"/>
                <w:spacing w:val="5"/>
                <w:w w:val="27"/>
                <w:shd w:val="solid" w:color="000000" w:fill="000000"/>
                <w:fitText w:val="123" w:id="-1436349173"/>
                <w14:textFill>
                  <w14:solidFill>
                    <w14:srgbClr w14:val="000000">
                      <w14:alpha w14:val="100000"/>
                    </w14:srgbClr>
                  </w14:solidFill>
                </w14:textFill>
              </w:rPr>
              <w:t xml:space="preserve">　</w:t>
            </w:r>
            <w:r w:rsidR="00007C73">
              <w:rPr>
                <w:vertAlign w:val="superscript"/>
              </w:rPr>
              <w:t>14</w:t>
            </w:r>
          </w:p>
        </w:tc>
      </w:tr>
    </w:tbl>
    <w:p w14:paraId="484CF5B6" w14:textId="620AB12A" w:rsidR="00620C25" w:rsidRPr="008A4B69" w:rsidRDefault="00620C25" w:rsidP="00620C25">
      <w:pPr>
        <w:pStyle w:val="TableFigureFooter"/>
      </w:pPr>
      <w:r>
        <w:t>Source: Table</w:t>
      </w:r>
      <w:r w:rsidR="00777886">
        <w:t xml:space="preserve"> 4-2</w:t>
      </w:r>
      <w:r w:rsidR="00F3602F">
        <w:t>3</w:t>
      </w:r>
      <w:r w:rsidR="00777886">
        <w:t>, p16</w:t>
      </w:r>
      <w:r w:rsidR="00F3602F">
        <w:t>6</w:t>
      </w:r>
      <w:r w:rsidR="00777886">
        <w:t xml:space="preserve"> and Attachment 4.6</w:t>
      </w:r>
      <w:r>
        <w:t xml:space="preserve"> </w:t>
      </w:r>
      <w:r w:rsidRPr="00D13A3E">
        <w:t xml:space="preserve">of the </w:t>
      </w:r>
      <w:r>
        <w:t>submission.</w:t>
      </w:r>
      <w:r w:rsidR="00777886">
        <w:t xml:space="preserve"> </w:t>
      </w:r>
      <w:r w:rsidR="00777886" w:rsidRPr="00812212">
        <w:t>And corrected during the evaluation</w:t>
      </w:r>
      <w:r w:rsidR="00777886" w:rsidRPr="008A4B69">
        <w:rPr>
          <w:iCs/>
        </w:rPr>
        <w:t>.</w:t>
      </w:r>
    </w:p>
    <w:p w14:paraId="129FC0F8" w14:textId="7373EAD2" w:rsidR="002839C5" w:rsidRDefault="00A668E0" w:rsidP="00620C25">
      <w:pPr>
        <w:pStyle w:val="TableFigureFooter"/>
        <w:rPr>
          <w:rStyle w:val="CommentReference"/>
        </w:rPr>
      </w:pPr>
      <w:r w:rsidRPr="001F65A0">
        <w:rPr>
          <w:iCs/>
        </w:rPr>
        <w:t>Abbreviations: CD, Crohn’s Disease</w:t>
      </w:r>
      <w:r w:rsidRPr="001F65A0">
        <w:t xml:space="preserve">; </w:t>
      </w:r>
      <w:r w:rsidRPr="001F65A0">
        <w:rPr>
          <w:iCs/>
        </w:rPr>
        <w:t xml:space="preserve">PBS, Pharmaceutical Benefits Scheme; </w:t>
      </w:r>
      <w:r w:rsidRPr="0031331C">
        <w:t>RPBS, Repatriations Pharmaceutical Benefits Scheme</w:t>
      </w:r>
      <w:r>
        <w:rPr>
          <w:iCs/>
        </w:rPr>
        <w:t xml:space="preserve">; </w:t>
      </w:r>
      <w:r w:rsidRPr="001F65A0">
        <w:rPr>
          <w:iCs/>
        </w:rPr>
        <w:t>MBS, Medicare Benefits Scheme</w:t>
      </w:r>
      <w:r>
        <w:rPr>
          <w:iCs/>
        </w:rPr>
        <w:t>.</w:t>
      </w:r>
    </w:p>
    <w:p w14:paraId="65E99FBE" w14:textId="6016BA2B" w:rsidR="00E466F3" w:rsidRDefault="00E466F3" w:rsidP="00606FBA">
      <w:pPr>
        <w:pStyle w:val="TableFigureFooter"/>
      </w:pPr>
      <w:r w:rsidRPr="003639A6">
        <w:rPr>
          <w:vertAlign w:val="superscript"/>
        </w:rPr>
        <w:t>a</w:t>
      </w:r>
      <w:r w:rsidR="00606FBA">
        <w:t xml:space="preserve"> </w:t>
      </w:r>
      <w:r w:rsidRPr="003639A6">
        <w:t xml:space="preserve">Assuming </w:t>
      </w:r>
      <w:r w:rsidR="008F2ACB">
        <w:t>+</w:t>
      </w:r>
      <w:r w:rsidR="00981AF2" w:rsidRPr="00981AF2">
        <w:rPr>
          <w:color w:val="000000"/>
          <w:spacing w:val="38"/>
          <w:shd w:val="solid" w:color="000000" w:fill="000000"/>
          <w:fitText w:val="273" w:id="-1436349172"/>
          <w14:textFill>
            <w14:solidFill>
              <w14:srgbClr w14:val="000000">
                <w14:alpha w14:val="100000"/>
              </w14:srgbClr>
            </w14:solidFill>
          </w14:textFill>
        </w:rPr>
        <w:t xml:space="preserve">|  </w:t>
      </w:r>
      <w:r w:rsidR="00981AF2" w:rsidRPr="00981AF2">
        <w:rPr>
          <w:color w:val="000000"/>
          <w:spacing w:val="1"/>
          <w:shd w:val="solid" w:color="000000" w:fill="000000"/>
          <w:fitText w:val="273" w:id="-1436349172"/>
          <w14:textFill>
            <w14:solidFill>
              <w14:srgbClr w14:val="000000">
                <w14:alpha w14:val="100000"/>
              </w14:srgbClr>
            </w14:solidFill>
          </w14:textFill>
        </w:rPr>
        <w:t>|</w:t>
      </w:r>
      <w:r w:rsidR="005F3543">
        <w:t xml:space="preserve"> </w:t>
      </w:r>
      <w:r>
        <w:t>scripts</w:t>
      </w:r>
      <w:r w:rsidRPr="003639A6">
        <w:t xml:space="preserve"> per year </w:t>
      </w:r>
      <w:r w:rsidR="00640871">
        <w:t>(</w:t>
      </w:r>
      <w:r w:rsidR="00981AF2" w:rsidRPr="00981AF2">
        <w:rPr>
          <w:color w:val="000000"/>
          <w:spacing w:val="38"/>
          <w:shd w:val="solid" w:color="000000" w:fill="000000"/>
          <w:fitText w:val="273" w:id="-1436348928"/>
          <w14:textFill>
            <w14:solidFill>
              <w14:srgbClr w14:val="000000">
                <w14:alpha w14:val="100000"/>
              </w14:srgbClr>
            </w14:solidFill>
          </w14:textFill>
        </w:rPr>
        <w:t xml:space="preserve">|  </w:t>
      </w:r>
      <w:r w:rsidR="00981AF2" w:rsidRPr="00981AF2">
        <w:rPr>
          <w:color w:val="000000"/>
          <w:spacing w:val="1"/>
          <w:shd w:val="solid" w:color="000000" w:fill="000000"/>
          <w:fitText w:val="273" w:id="-1436348928"/>
          <w14:textFill>
            <w14:solidFill>
              <w14:srgbClr w14:val="000000">
                <w14:alpha w14:val="100000"/>
              </w14:srgbClr>
            </w14:solidFill>
          </w14:textFill>
        </w:rPr>
        <w:t>|</w:t>
      </w:r>
      <w:r w:rsidR="00640871">
        <w:t xml:space="preserve"> script</w:t>
      </w:r>
      <w:r w:rsidR="00FA4AEE">
        <w:t>s</w:t>
      </w:r>
      <w:r w:rsidR="00640871">
        <w:t xml:space="preserve"> in the first year of treatment)</w:t>
      </w:r>
      <w:r w:rsidRPr="003639A6">
        <w:t xml:space="preserve"> as estimated by the submission.</w:t>
      </w:r>
    </w:p>
    <w:p w14:paraId="19CE3A22" w14:textId="77777777" w:rsidR="00067C3C" w:rsidRPr="00317748" w:rsidRDefault="00067C3C" w:rsidP="00067C3C">
      <w:pPr>
        <w:pStyle w:val="TableFigureFooter"/>
        <w:keepNext/>
        <w:spacing w:after="0"/>
        <w:contextualSpacing w:val="0"/>
        <w:rPr>
          <w:i/>
        </w:rPr>
      </w:pPr>
      <w:bookmarkStart w:id="43" w:name="_Hlk112839435"/>
      <w:r w:rsidRPr="00317748">
        <w:rPr>
          <w:i/>
        </w:rPr>
        <w:t>The redacted values correspond to the following ranges:</w:t>
      </w:r>
    </w:p>
    <w:bookmarkEnd w:id="43"/>
    <w:p w14:paraId="1798E925" w14:textId="277E5A2F" w:rsidR="00067C3C" w:rsidRPr="00281DAB" w:rsidRDefault="00067C3C" w:rsidP="00067C3C">
      <w:pPr>
        <w:pStyle w:val="TableFigureFooter"/>
        <w:keepNext/>
        <w:spacing w:after="0"/>
        <w:contextualSpacing w:val="0"/>
      </w:pPr>
      <w:r w:rsidRPr="00317748">
        <w:rPr>
          <w:i/>
          <w:szCs w:val="18"/>
          <w:vertAlign w:val="superscript"/>
        </w:rPr>
        <w:t>1</w:t>
      </w:r>
      <w:r w:rsidRPr="00317748">
        <w:rPr>
          <w:i/>
          <w:szCs w:val="18"/>
        </w:rPr>
        <w:t xml:space="preserve"> </w:t>
      </w:r>
      <w:r w:rsidR="00E5672C" w:rsidRPr="00E5672C">
        <w:rPr>
          <w:i/>
          <w:szCs w:val="18"/>
        </w:rPr>
        <w:t>5,000 to &lt; 10,000</w:t>
      </w:r>
    </w:p>
    <w:p w14:paraId="6034EC28" w14:textId="35567A4B" w:rsidR="00067C3C" w:rsidRPr="00317748" w:rsidRDefault="00067C3C" w:rsidP="00067C3C">
      <w:pPr>
        <w:rPr>
          <w:rFonts w:ascii="Arial Narrow" w:hAnsi="Arial Narrow"/>
          <w:i/>
          <w:sz w:val="18"/>
          <w:szCs w:val="18"/>
        </w:rPr>
      </w:pPr>
      <w:r w:rsidRPr="00317748">
        <w:rPr>
          <w:rFonts w:ascii="Arial Narrow" w:hAnsi="Arial Narrow"/>
          <w:i/>
          <w:sz w:val="18"/>
          <w:szCs w:val="18"/>
          <w:vertAlign w:val="superscript"/>
        </w:rPr>
        <w:t>2</w:t>
      </w:r>
      <w:r w:rsidRPr="00317748">
        <w:rPr>
          <w:rFonts w:ascii="Arial Narrow" w:hAnsi="Arial Narrow"/>
          <w:i/>
          <w:sz w:val="18"/>
          <w:szCs w:val="18"/>
        </w:rPr>
        <w:t xml:space="preserve"> </w:t>
      </w:r>
      <w:r w:rsidR="00E5672C" w:rsidRPr="00317748">
        <w:rPr>
          <w:rFonts w:ascii="Arial Narrow" w:hAnsi="Arial Narrow"/>
          <w:i/>
          <w:sz w:val="18"/>
          <w:szCs w:val="18"/>
        </w:rPr>
        <w:t>10,000 to &lt;</w:t>
      </w:r>
      <w:r w:rsidR="00E5672C">
        <w:rPr>
          <w:rFonts w:ascii="Arial Narrow" w:hAnsi="Arial Narrow"/>
          <w:i/>
          <w:sz w:val="18"/>
          <w:szCs w:val="18"/>
        </w:rPr>
        <w:t xml:space="preserve"> </w:t>
      </w:r>
      <w:r w:rsidR="00E5672C" w:rsidRPr="00317748">
        <w:rPr>
          <w:rFonts w:ascii="Arial Narrow" w:hAnsi="Arial Narrow"/>
          <w:i/>
          <w:sz w:val="18"/>
          <w:szCs w:val="18"/>
        </w:rPr>
        <w:t>20,000</w:t>
      </w:r>
    </w:p>
    <w:p w14:paraId="6954B1D1" w14:textId="519E5215" w:rsidR="00067C3C" w:rsidRPr="00317748" w:rsidRDefault="00067C3C" w:rsidP="00067C3C">
      <w:pPr>
        <w:rPr>
          <w:rFonts w:ascii="Arial Narrow" w:hAnsi="Arial Narrow"/>
          <w:i/>
          <w:sz w:val="18"/>
          <w:szCs w:val="18"/>
        </w:rPr>
      </w:pPr>
      <w:r w:rsidRPr="00317748">
        <w:rPr>
          <w:rFonts w:ascii="Arial Narrow" w:hAnsi="Arial Narrow"/>
          <w:i/>
          <w:sz w:val="18"/>
          <w:szCs w:val="18"/>
          <w:vertAlign w:val="superscript"/>
        </w:rPr>
        <w:t xml:space="preserve">3 </w:t>
      </w:r>
      <w:r w:rsidR="00E5672C" w:rsidRPr="00E5672C">
        <w:rPr>
          <w:rFonts w:ascii="Arial Narrow" w:hAnsi="Arial Narrow"/>
          <w:i/>
          <w:sz w:val="18"/>
          <w:szCs w:val="18"/>
        </w:rPr>
        <w:t>20,000 to &lt; 30,000</w:t>
      </w:r>
    </w:p>
    <w:p w14:paraId="71367F5B" w14:textId="41BFCA5E" w:rsidR="00067C3C" w:rsidRPr="00317748" w:rsidRDefault="00067C3C" w:rsidP="00067C3C">
      <w:pPr>
        <w:rPr>
          <w:rFonts w:ascii="Arial Narrow" w:hAnsi="Arial Narrow"/>
          <w:i/>
          <w:sz w:val="18"/>
          <w:szCs w:val="18"/>
        </w:rPr>
      </w:pPr>
      <w:r w:rsidRPr="00317748">
        <w:rPr>
          <w:rFonts w:ascii="Arial Narrow" w:hAnsi="Arial Narrow"/>
          <w:i/>
          <w:sz w:val="18"/>
          <w:szCs w:val="18"/>
          <w:vertAlign w:val="superscript"/>
        </w:rPr>
        <w:t xml:space="preserve">4 </w:t>
      </w:r>
      <w:r w:rsidR="00E5672C" w:rsidRPr="00E5672C">
        <w:rPr>
          <w:rFonts w:ascii="Arial Narrow" w:hAnsi="Arial Narrow"/>
          <w:i/>
          <w:sz w:val="18"/>
          <w:szCs w:val="18"/>
        </w:rPr>
        <w:t>$30 million to &lt; $40 million</w:t>
      </w:r>
    </w:p>
    <w:p w14:paraId="52C0BD7E" w14:textId="75C350B6" w:rsidR="00067C3C" w:rsidRPr="00317748" w:rsidRDefault="00067C3C" w:rsidP="00067C3C">
      <w:pPr>
        <w:rPr>
          <w:rFonts w:ascii="Arial Narrow" w:hAnsi="Arial Narrow"/>
          <w:i/>
          <w:sz w:val="18"/>
          <w:szCs w:val="18"/>
        </w:rPr>
      </w:pPr>
      <w:r w:rsidRPr="00317748">
        <w:rPr>
          <w:rFonts w:ascii="Arial Narrow" w:hAnsi="Arial Narrow"/>
          <w:i/>
          <w:sz w:val="18"/>
          <w:szCs w:val="18"/>
          <w:vertAlign w:val="superscript"/>
        </w:rPr>
        <w:t>5</w:t>
      </w:r>
      <w:r w:rsidRPr="00317748">
        <w:rPr>
          <w:rFonts w:ascii="Arial Narrow" w:hAnsi="Arial Narrow"/>
          <w:i/>
          <w:sz w:val="18"/>
          <w:szCs w:val="18"/>
        </w:rPr>
        <w:t xml:space="preserve"> </w:t>
      </w:r>
      <w:r w:rsidR="00E5672C" w:rsidRPr="00E5672C">
        <w:rPr>
          <w:rFonts w:ascii="Arial Narrow" w:hAnsi="Arial Narrow"/>
          <w:i/>
          <w:sz w:val="18"/>
          <w:szCs w:val="18"/>
        </w:rPr>
        <w:t>$50 million to &lt; $60 million</w:t>
      </w:r>
    </w:p>
    <w:p w14:paraId="4732794B" w14:textId="37D6CA04" w:rsidR="00067C3C" w:rsidRPr="00317748" w:rsidRDefault="00067C3C" w:rsidP="00067C3C">
      <w:pPr>
        <w:rPr>
          <w:rFonts w:ascii="Arial Narrow" w:hAnsi="Arial Narrow"/>
          <w:i/>
          <w:sz w:val="18"/>
          <w:szCs w:val="18"/>
        </w:rPr>
      </w:pPr>
      <w:r w:rsidRPr="00317748">
        <w:rPr>
          <w:rFonts w:ascii="Arial Narrow" w:hAnsi="Arial Narrow"/>
          <w:i/>
          <w:sz w:val="18"/>
          <w:szCs w:val="18"/>
          <w:vertAlign w:val="superscript"/>
        </w:rPr>
        <w:t xml:space="preserve">6 </w:t>
      </w:r>
      <w:bookmarkStart w:id="44" w:name="_Hlk116467932"/>
      <w:r w:rsidR="00C31994" w:rsidRPr="00C31994">
        <w:rPr>
          <w:rFonts w:ascii="Arial Narrow" w:hAnsi="Arial Narrow"/>
          <w:i/>
          <w:sz w:val="18"/>
          <w:szCs w:val="18"/>
        </w:rPr>
        <w:t>$</w:t>
      </w:r>
      <w:r w:rsidR="00E5672C" w:rsidRPr="00E5672C">
        <w:rPr>
          <w:rFonts w:ascii="Arial Narrow" w:hAnsi="Arial Narrow"/>
          <w:i/>
          <w:sz w:val="18"/>
          <w:szCs w:val="18"/>
        </w:rPr>
        <w:t xml:space="preserve">80 million to &lt; $90 </w:t>
      </w:r>
      <w:bookmarkEnd w:id="44"/>
      <w:r w:rsidR="00E5672C" w:rsidRPr="00E5672C">
        <w:rPr>
          <w:rFonts w:ascii="Arial Narrow" w:hAnsi="Arial Narrow"/>
          <w:i/>
          <w:sz w:val="18"/>
          <w:szCs w:val="18"/>
        </w:rPr>
        <w:t>million</w:t>
      </w:r>
    </w:p>
    <w:p w14:paraId="76640903" w14:textId="4E7F25DE" w:rsidR="00067C3C" w:rsidRPr="00317748" w:rsidRDefault="00067C3C" w:rsidP="00067C3C">
      <w:pPr>
        <w:rPr>
          <w:rFonts w:ascii="Arial Narrow" w:hAnsi="Arial Narrow"/>
          <w:i/>
          <w:sz w:val="18"/>
          <w:szCs w:val="18"/>
          <w:vertAlign w:val="superscript"/>
        </w:rPr>
      </w:pPr>
      <w:r w:rsidRPr="00317748">
        <w:rPr>
          <w:rFonts w:ascii="Arial Narrow" w:hAnsi="Arial Narrow"/>
          <w:i/>
          <w:sz w:val="18"/>
          <w:szCs w:val="18"/>
          <w:vertAlign w:val="superscript"/>
        </w:rPr>
        <w:t xml:space="preserve">7 </w:t>
      </w:r>
      <w:r w:rsidR="00E5672C" w:rsidRPr="00E5672C">
        <w:rPr>
          <w:rFonts w:ascii="Arial Narrow" w:hAnsi="Arial Narrow"/>
          <w:i/>
          <w:sz w:val="18"/>
          <w:szCs w:val="18"/>
        </w:rPr>
        <w:t>$100 million to &lt; $200 million</w:t>
      </w:r>
    </w:p>
    <w:p w14:paraId="76BA9EF7" w14:textId="7EDC8718" w:rsidR="00067C3C" w:rsidRPr="00317748" w:rsidRDefault="00067C3C" w:rsidP="00067C3C">
      <w:pPr>
        <w:rPr>
          <w:rFonts w:ascii="Arial Narrow" w:hAnsi="Arial Narrow"/>
          <w:i/>
          <w:sz w:val="18"/>
          <w:szCs w:val="18"/>
          <w:vertAlign w:val="superscript"/>
        </w:rPr>
      </w:pPr>
      <w:r w:rsidRPr="00317748">
        <w:rPr>
          <w:rFonts w:ascii="Arial Narrow" w:hAnsi="Arial Narrow"/>
          <w:sz w:val="18"/>
          <w:szCs w:val="18"/>
          <w:vertAlign w:val="superscript"/>
        </w:rPr>
        <w:t xml:space="preserve">8 </w:t>
      </w:r>
      <w:r w:rsidR="00007C73" w:rsidRPr="00007C73">
        <w:rPr>
          <w:rFonts w:ascii="Arial Narrow" w:hAnsi="Arial Narrow"/>
          <w:i/>
          <w:sz w:val="18"/>
          <w:szCs w:val="18"/>
        </w:rPr>
        <w:t>$10 million to &lt; $20 million</w:t>
      </w:r>
    </w:p>
    <w:p w14:paraId="707152B4" w14:textId="6D378E90" w:rsidR="00067C3C" w:rsidRPr="00317748" w:rsidRDefault="00067C3C" w:rsidP="00067C3C">
      <w:pPr>
        <w:rPr>
          <w:rFonts w:ascii="Arial Narrow" w:hAnsi="Arial Narrow"/>
          <w:i/>
          <w:sz w:val="18"/>
          <w:szCs w:val="18"/>
        </w:rPr>
      </w:pPr>
      <w:r w:rsidRPr="00317748">
        <w:rPr>
          <w:rFonts w:ascii="Arial Narrow" w:hAnsi="Arial Narrow"/>
          <w:sz w:val="18"/>
          <w:szCs w:val="18"/>
          <w:vertAlign w:val="superscript"/>
        </w:rPr>
        <w:t>9</w:t>
      </w:r>
      <w:r>
        <w:rPr>
          <w:rFonts w:ascii="Arial Narrow" w:hAnsi="Arial Narrow"/>
          <w:sz w:val="18"/>
          <w:szCs w:val="18"/>
          <w:vertAlign w:val="superscript"/>
        </w:rPr>
        <w:t xml:space="preserve"> </w:t>
      </w:r>
      <w:r w:rsidR="00007C73" w:rsidRPr="00007C73">
        <w:rPr>
          <w:rFonts w:ascii="Arial Narrow" w:hAnsi="Arial Narrow"/>
          <w:i/>
          <w:sz w:val="18"/>
          <w:szCs w:val="18"/>
        </w:rPr>
        <w:t>$20 million to &lt; $30 million</w:t>
      </w:r>
    </w:p>
    <w:p w14:paraId="14D3BB89" w14:textId="4F3F5A26" w:rsidR="00067C3C" w:rsidRDefault="00067C3C" w:rsidP="00067C3C">
      <w:pPr>
        <w:rPr>
          <w:rFonts w:ascii="Arial Narrow" w:hAnsi="Arial Narrow"/>
          <w:i/>
          <w:sz w:val="18"/>
          <w:szCs w:val="18"/>
        </w:rPr>
      </w:pPr>
      <w:r w:rsidRPr="00317748">
        <w:rPr>
          <w:rFonts w:ascii="Arial Narrow" w:hAnsi="Arial Narrow"/>
          <w:i/>
          <w:sz w:val="18"/>
          <w:szCs w:val="18"/>
          <w:vertAlign w:val="superscript"/>
        </w:rPr>
        <w:t>10</w:t>
      </w:r>
      <w:r w:rsidRPr="00317748">
        <w:rPr>
          <w:rFonts w:ascii="Arial Narrow" w:hAnsi="Arial Narrow"/>
          <w:i/>
          <w:sz w:val="18"/>
          <w:szCs w:val="18"/>
        </w:rPr>
        <w:t xml:space="preserve"> </w:t>
      </w:r>
      <w:r w:rsidR="00007C73" w:rsidRPr="00007C73">
        <w:rPr>
          <w:rFonts w:ascii="Arial Narrow" w:hAnsi="Arial Narrow"/>
          <w:i/>
          <w:sz w:val="18"/>
          <w:szCs w:val="18"/>
        </w:rPr>
        <w:t>$40 million to &lt; $50 million</w:t>
      </w:r>
    </w:p>
    <w:p w14:paraId="353F82C0" w14:textId="453DB49A" w:rsidR="00007C73" w:rsidRPr="00317748" w:rsidRDefault="00007C73" w:rsidP="00007C73">
      <w:pPr>
        <w:rPr>
          <w:rFonts w:ascii="Arial Narrow" w:hAnsi="Arial Narrow"/>
          <w:i/>
          <w:sz w:val="18"/>
          <w:szCs w:val="18"/>
        </w:rPr>
      </w:pPr>
      <w:r>
        <w:rPr>
          <w:rFonts w:ascii="Arial Narrow" w:hAnsi="Arial Narrow"/>
          <w:sz w:val="18"/>
          <w:szCs w:val="18"/>
          <w:vertAlign w:val="superscript"/>
        </w:rPr>
        <w:t xml:space="preserve">11 </w:t>
      </w:r>
      <w:r w:rsidRPr="00007C73">
        <w:rPr>
          <w:rFonts w:ascii="Arial Narrow" w:hAnsi="Arial Narrow"/>
          <w:i/>
          <w:sz w:val="18"/>
          <w:szCs w:val="18"/>
        </w:rPr>
        <w:t>$70 million to &lt; $80 million</w:t>
      </w:r>
    </w:p>
    <w:p w14:paraId="6087C4D5" w14:textId="4FF2C023" w:rsidR="00007C73" w:rsidRPr="00067C3C" w:rsidRDefault="00007C73" w:rsidP="00007C73">
      <w:pPr>
        <w:rPr>
          <w:rFonts w:ascii="Arial Narrow" w:hAnsi="Arial Narrow"/>
          <w:i/>
          <w:sz w:val="18"/>
          <w:szCs w:val="18"/>
        </w:rPr>
      </w:pPr>
      <w:r w:rsidRPr="00317748">
        <w:rPr>
          <w:rFonts w:ascii="Arial Narrow" w:hAnsi="Arial Narrow"/>
          <w:i/>
          <w:sz w:val="18"/>
          <w:szCs w:val="18"/>
          <w:vertAlign w:val="superscript"/>
        </w:rPr>
        <w:t>1</w:t>
      </w:r>
      <w:r>
        <w:rPr>
          <w:rFonts w:ascii="Arial Narrow" w:hAnsi="Arial Narrow"/>
          <w:i/>
          <w:sz w:val="18"/>
          <w:szCs w:val="18"/>
          <w:vertAlign w:val="superscript"/>
        </w:rPr>
        <w:t>2</w:t>
      </w:r>
      <w:r w:rsidRPr="00317748">
        <w:rPr>
          <w:rFonts w:ascii="Arial Narrow" w:hAnsi="Arial Narrow"/>
          <w:i/>
          <w:sz w:val="18"/>
          <w:szCs w:val="18"/>
        </w:rPr>
        <w:t xml:space="preserve"> </w:t>
      </w:r>
      <w:r w:rsidRPr="00007C73">
        <w:rPr>
          <w:rFonts w:ascii="Arial Narrow" w:hAnsi="Arial Narrow"/>
          <w:i/>
          <w:sz w:val="18"/>
          <w:szCs w:val="18"/>
        </w:rPr>
        <w:t>$90 million to &lt; $100 million</w:t>
      </w:r>
    </w:p>
    <w:p w14:paraId="3A8FAF29" w14:textId="43FB1294" w:rsidR="00007C73" w:rsidRDefault="00007C73" w:rsidP="00067C3C">
      <w:pPr>
        <w:rPr>
          <w:rFonts w:ascii="Arial Narrow" w:hAnsi="Arial Narrow"/>
          <w:i/>
          <w:sz w:val="18"/>
          <w:szCs w:val="18"/>
        </w:rPr>
      </w:pPr>
      <w:r w:rsidRPr="00317748">
        <w:rPr>
          <w:rFonts w:ascii="Arial Narrow" w:hAnsi="Arial Narrow"/>
          <w:i/>
          <w:sz w:val="18"/>
          <w:szCs w:val="18"/>
          <w:vertAlign w:val="superscript"/>
        </w:rPr>
        <w:t>1</w:t>
      </w:r>
      <w:r>
        <w:rPr>
          <w:rFonts w:ascii="Arial Narrow" w:hAnsi="Arial Narrow"/>
          <w:i/>
          <w:sz w:val="18"/>
          <w:szCs w:val="18"/>
          <w:vertAlign w:val="superscript"/>
        </w:rPr>
        <w:t>3</w:t>
      </w:r>
      <w:r w:rsidRPr="00317748">
        <w:rPr>
          <w:rFonts w:ascii="Arial Narrow" w:hAnsi="Arial Narrow"/>
          <w:i/>
          <w:sz w:val="18"/>
          <w:szCs w:val="18"/>
        </w:rPr>
        <w:t xml:space="preserve"> </w:t>
      </w:r>
      <w:r w:rsidRPr="00007C73">
        <w:rPr>
          <w:rFonts w:ascii="Arial Narrow" w:hAnsi="Arial Narrow"/>
          <w:i/>
          <w:sz w:val="18"/>
          <w:szCs w:val="18"/>
        </w:rPr>
        <w:t>$60 million to &lt; $70 million</w:t>
      </w:r>
    </w:p>
    <w:p w14:paraId="12049A00" w14:textId="4C723913" w:rsidR="00007C73" w:rsidRPr="00067C3C" w:rsidRDefault="001E68DE" w:rsidP="00067C3C">
      <w:pPr>
        <w:rPr>
          <w:rFonts w:ascii="Arial Narrow" w:hAnsi="Arial Narrow"/>
          <w:i/>
          <w:sz w:val="18"/>
          <w:szCs w:val="18"/>
        </w:rPr>
      </w:pPr>
      <w:r>
        <w:rPr>
          <w:rFonts w:ascii="Arial Narrow" w:hAnsi="Arial Narrow"/>
          <w:i/>
          <w:sz w:val="18"/>
          <w:szCs w:val="18"/>
          <w:vertAlign w:val="superscript"/>
        </w:rPr>
        <w:t>1</w:t>
      </w:r>
      <w:r w:rsidR="00007C73">
        <w:rPr>
          <w:rFonts w:ascii="Arial Narrow" w:hAnsi="Arial Narrow"/>
          <w:i/>
          <w:sz w:val="18"/>
          <w:szCs w:val="18"/>
          <w:vertAlign w:val="superscript"/>
        </w:rPr>
        <w:t>4</w:t>
      </w:r>
      <w:r w:rsidR="00007C73" w:rsidRPr="00317748">
        <w:rPr>
          <w:rFonts w:ascii="Arial Narrow" w:hAnsi="Arial Narrow"/>
          <w:i/>
          <w:sz w:val="18"/>
          <w:szCs w:val="18"/>
        </w:rPr>
        <w:t xml:space="preserve"> </w:t>
      </w:r>
      <w:r w:rsidR="00007C73" w:rsidRPr="00007C73">
        <w:rPr>
          <w:rFonts w:ascii="Arial Narrow" w:hAnsi="Arial Narrow"/>
          <w:i/>
          <w:sz w:val="18"/>
          <w:szCs w:val="18"/>
        </w:rPr>
        <w:t>$0 to &lt; $10 million</w:t>
      </w:r>
    </w:p>
    <w:p w14:paraId="5E50F060" w14:textId="77777777" w:rsidR="00CC33F8" w:rsidRDefault="00CC33F8" w:rsidP="00606FBA">
      <w:pPr>
        <w:pStyle w:val="TableFigureFooter"/>
      </w:pPr>
    </w:p>
    <w:p w14:paraId="2CA98F96" w14:textId="2F1D0C73" w:rsidR="005C0589" w:rsidRPr="00606FBA" w:rsidRDefault="005C0589" w:rsidP="005C0589">
      <w:pPr>
        <w:pStyle w:val="TableFigureHeading"/>
      </w:pPr>
      <w:bookmarkStart w:id="45" w:name="_Ref102575750"/>
      <w:r w:rsidRPr="00606FBA">
        <w:rPr>
          <w:rStyle w:val="CommentReference"/>
          <w:b/>
          <w:szCs w:val="24"/>
        </w:rPr>
        <w:t xml:space="preserve">Table </w:t>
      </w:r>
      <w:bookmarkEnd w:id="45"/>
      <w:r w:rsidR="004D3A8A">
        <w:t>17</w:t>
      </w:r>
      <w:r w:rsidRPr="00606FBA">
        <w:rPr>
          <w:rStyle w:val="CommentReference"/>
          <w:b/>
          <w:szCs w:val="24"/>
        </w:rPr>
        <w:t>: Estimated use and financial implications</w:t>
      </w:r>
      <w:r w:rsidR="00000FEC">
        <w:rPr>
          <w:rStyle w:val="CommentReference"/>
          <w:b/>
          <w:szCs w:val="24"/>
        </w:rPr>
        <w:t xml:space="preserve"> </w:t>
      </w:r>
      <w:r w:rsidR="002C34C3">
        <w:rPr>
          <w:rStyle w:val="CommentReference"/>
          <w:b/>
          <w:szCs w:val="24"/>
        </w:rPr>
        <w:t>–</w:t>
      </w:r>
      <w:r w:rsidR="00000FEC">
        <w:rPr>
          <w:rStyle w:val="CommentReference"/>
          <w:b/>
          <w:szCs w:val="24"/>
        </w:rPr>
        <w:t xml:space="preserve"> FCD</w:t>
      </w:r>
      <w:r w:rsidR="002C34C3">
        <w:rPr>
          <w:rStyle w:val="CommentReference"/>
          <w:b/>
          <w:szCs w:val="24"/>
        </w:rPr>
        <w:t xml:space="preserve"> </w:t>
      </w:r>
      <w:r w:rsidR="00192AC1">
        <w:rPr>
          <w:rStyle w:val="CommentReference"/>
          <w:b/>
          <w:szCs w:val="24"/>
        </w:rPr>
        <w:t>(using published price)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2"/>
        <w:gridCol w:w="1167"/>
        <w:gridCol w:w="1167"/>
        <w:gridCol w:w="1167"/>
        <w:gridCol w:w="1167"/>
        <w:gridCol w:w="1167"/>
        <w:gridCol w:w="1170"/>
      </w:tblGrid>
      <w:tr w:rsidR="005C0589" w:rsidRPr="00D1078F" w14:paraId="68F596F3" w14:textId="77777777" w:rsidTr="003F1398">
        <w:trPr>
          <w:tblHeader/>
        </w:trPr>
        <w:tc>
          <w:tcPr>
            <w:tcW w:w="1116" w:type="pct"/>
            <w:shd w:val="clear" w:color="auto" w:fill="auto"/>
            <w:vAlign w:val="center"/>
          </w:tcPr>
          <w:p w14:paraId="7FF6295B" w14:textId="77777777" w:rsidR="005C0589" w:rsidRPr="003639A6" w:rsidRDefault="005C0589" w:rsidP="003F1398">
            <w:pPr>
              <w:pStyle w:val="In-tableHeading"/>
              <w:jc w:val="center"/>
            </w:pPr>
          </w:p>
        </w:tc>
        <w:tc>
          <w:tcPr>
            <w:tcW w:w="647" w:type="pct"/>
            <w:shd w:val="clear" w:color="auto" w:fill="auto"/>
            <w:vAlign w:val="center"/>
          </w:tcPr>
          <w:p w14:paraId="219D8D49" w14:textId="77777777" w:rsidR="005C0589" w:rsidRPr="00D1078F" w:rsidRDefault="005C0589" w:rsidP="003F1398">
            <w:pPr>
              <w:pStyle w:val="In-tableHeading"/>
              <w:jc w:val="center"/>
            </w:pPr>
            <w:r w:rsidRPr="00D1078F">
              <w:t>Year 1</w:t>
            </w:r>
          </w:p>
        </w:tc>
        <w:tc>
          <w:tcPr>
            <w:tcW w:w="647" w:type="pct"/>
            <w:shd w:val="clear" w:color="auto" w:fill="auto"/>
            <w:vAlign w:val="center"/>
          </w:tcPr>
          <w:p w14:paraId="3441DB7F" w14:textId="77777777" w:rsidR="005C0589" w:rsidRPr="00D1078F" w:rsidRDefault="005C0589" w:rsidP="003F1398">
            <w:pPr>
              <w:pStyle w:val="In-tableHeading"/>
              <w:jc w:val="center"/>
            </w:pPr>
            <w:r w:rsidRPr="00D1078F">
              <w:t>Year 2</w:t>
            </w:r>
          </w:p>
        </w:tc>
        <w:tc>
          <w:tcPr>
            <w:tcW w:w="647" w:type="pct"/>
            <w:shd w:val="clear" w:color="auto" w:fill="auto"/>
            <w:vAlign w:val="center"/>
          </w:tcPr>
          <w:p w14:paraId="5D8E76E5" w14:textId="77777777" w:rsidR="005C0589" w:rsidRPr="00D1078F" w:rsidRDefault="005C0589" w:rsidP="003F1398">
            <w:pPr>
              <w:pStyle w:val="In-tableHeading"/>
              <w:jc w:val="center"/>
            </w:pPr>
            <w:r w:rsidRPr="00D1078F">
              <w:t>Year 3</w:t>
            </w:r>
          </w:p>
        </w:tc>
        <w:tc>
          <w:tcPr>
            <w:tcW w:w="647" w:type="pct"/>
            <w:shd w:val="clear" w:color="auto" w:fill="auto"/>
            <w:vAlign w:val="center"/>
          </w:tcPr>
          <w:p w14:paraId="3D740E47" w14:textId="77777777" w:rsidR="005C0589" w:rsidRPr="00D1078F" w:rsidRDefault="005C0589" w:rsidP="003F1398">
            <w:pPr>
              <w:pStyle w:val="In-tableHeading"/>
              <w:jc w:val="center"/>
            </w:pPr>
            <w:r w:rsidRPr="00D1078F">
              <w:t>Year 4</w:t>
            </w:r>
          </w:p>
        </w:tc>
        <w:tc>
          <w:tcPr>
            <w:tcW w:w="647" w:type="pct"/>
            <w:shd w:val="clear" w:color="auto" w:fill="auto"/>
            <w:vAlign w:val="center"/>
          </w:tcPr>
          <w:p w14:paraId="28548087" w14:textId="77777777" w:rsidR="005C0589" w:rsidRPr="00D1078F" w:rsidRDefault="005C0589" w:rsidP="003F1398">
            <w:pPr>
              <w:pStyle w:val="In-tableHeading"/>
              <w:jc w:val="center"/>
            </w:pPr>
            <w:r w:rsidRPr="00D1078F">
              <w:t>Year 5</w:t>
            </w:r>
          </w:p>
        </w:tc>
        <w:tc>
          <w:tcPr>
            <w:tcW w:w="649" w:type="pct"/>
          </w:tcPr>
          <w:p w14:paraId="4CD38080" w14:textId="77777777" w:rsidR="005C0589" w:rsidRPr="00D1078F" w:rsidRDefault="005C0589" w:rsidP="003F1398">
            <w:pPr>
              <w:pStyle w:val="In-tableHeading"/>
              <w:jc w:val="center"/>
            </w:pPr>
            <w:r w:rsidRPr="00D1078F">
              <w:t>Year 6</w:t>
            </w:r>
          </w:p>
        </w:tc>
      </w:tr>
      <w:tr w:rsidR="005C0589" w:rsidRPr="00D1078F" w14:paraId="6FD07CDC" w14:textId="77777777" w:rsidTr="003F1398">
        <w:tc>
          <w:tcPr>
            <w:tcW w:w="5000" w:type="pct"/>
            <w:gridSpan w:val="7"/>
            <w:shd w:val="clear" w:color="auto" w:fill="auto"/>
            <w:vAlign w:val="center"/>
          </w:tcPr>
          <w:p w14:paraId="30ACCA0F" w14:textId="77777777" w:rsidR="005C0589" w:rsidRPr="00D1078F" w:rsidRDefault="005C0589" w:rsidP="003F1398">
            <w:pPr>
              <w:pStyle w:val="In-tableHeading"/>
              <w:rPr>
                <w:bCs/>
                <w:color w:val="000000"/>
              </w:rPr>
            </w:pPr>
            <w:r w:rsidRPr="00D1078F">
              <w:rPr>
                <w:bCs/>
                <w:color w:val="000000"/>
              </w:rPr>
              <w:t>Estimated extent of use</w:t>
            </w:r>
          </w:p>
        </w:tc>
      </w:tr>
      <w:tr w:rsidR="0038122C" w:rsidRPr="003639A6" w14:paraId="759C57DF" w14:textId="77777777" w:rsidTr="003F1398">
        <w:tc>
          <w:tcPr>
            <w:tcW w:w="1116" w:type="pct"/>
            <w:shd w:val="clear" w:color="auto" w:fill="auto"/>
            <w:vAlign w:val="center"/>
          </w:tcPr>
          <w:p w14:paraId="2C52F4D7" w14:textId="77777777" w:rsidR="0038122C" w:rsidRPr="003639A6" w:rsidRDefault="0038122C" w:rsidP="0038122C">
            <w:pPr>
              <w:pStyle w:val="TableText0"/>
              <w:rPr>
                <w:rFonts w:ascii="Times" w:hAnsi="Times"/>
              </w:rPr>
            </w:pPr>
            <w:r w:rsidRPr="003639A6">
              <w:t xml:space="preserve">Number of </w:t>
            </w:r>
            <w:r>
              <w:t>scripts</w:t>
            </w:r>
            <w:r w:rsidRPr="003639A6">
              <w:t xml:space="preserve"> dispensed</w:t>
            </w:r>
            <w:r w:rsidRPr="003639A6">
              <w:rPr>
                <w:vertAlign w:val="superscript"/>
              </w:rPr>
              <w:t>a</w:t>
            </w:r>
          </w:p>
        </w:tc>
        <w:tc>
          <w:tcPr>
            <w:tcW w:w="647" w:type="pct"/>
            <w:shd w:val="clear" w:color="auto" w:fill="auto"/>
          </w:tcPr>
          <w:p w14:paraId="0587ABC2" w14:textId="02BE3223" w:rsidR="0038122C" w:rsidRPr="00AC613F" w:rsidRDefault="00C815AC" w:rsidP="0038122C">
            <w:pPr>
              <w:pStyle w:val="TableText0"/>
              <w:jc w:val="center"/>
              <w:rPr>
                <w:color w:val="000000"/>
                <w:highlight w:val="darkGray"/>
              </w:rPr>
            </w:pPr>
            <w:r w:rsidRPr="00C815AC">
              <w:rPr>
                <w:bCs w:val="0"/>
              </w:rPr>
              <w:t xml:space="preserve"> </w:t>
            </w:r>
            <w:r w:rsidR="00981AF2" w:rsidRPr="00981AF2">
              <w:rPr>
                <w:rFonts w:hint="eastAsia"/>
                <w:bCs w:val="0"/>
                <w:color w:val="000000"/>
                <w:w w:val="15"/>
                <w:shd w:val="solid" w:color="000000" w:fill="000000"/>
                <w:fitText w:val="46" w:id="-1436348927"/>
                <w14:textFill>
                  <w14:solidFill>
                    <w14:srgbClr w14:val="000000">
                      <w14:alpha w14:val="100000"/>
                    </w14:srgbClr>
                  </w14:solidFill>
                </w14:textFill>
              </w:rPr>
              <w:t xml:space="preserve">　</w:t>
            </w:r>
            <w:r w:rsidR="00981AF2" w:rsidRPr="00981AF2">
              <w:rPr>
                <w:bCs w:val="0"/>
                <w:color w:val="000000"/>
                <w:w w:val="15"/>
                <w:shd w:val="solid" w:color="000000" w:fill="000000"/>
                <w:fitText w:val="46" w:id="-1436348927"/>
                <w14:textFill>
                  <w14:solidFill>
                    <w14:srgbClr w14:val="000000">
                      <w14:alpha w14:val="100000"/>
                    </w14:srgbClr>
                  </w14:solidFill>
                </w14:textFill>
              </w:rPr>
              <w:t>|</w:t>
            </w:r>
            <w:r w:rsidR="00981AF2" w:rsidRPr="00981AF2">
              <w:rPr>
                <w:rFonts w:hint="eastAsia"/>
                <w:bCs w:val="0"/>
                <w:color w:val="000000"/>
                <w:spacing w:val="-19"/>
                <w:w w:val="15"/>
                <w:shd w:val="solid" w:color="000000" w:fill="000000"/>
                <w:fitText w:val="46" w:id="-1436348927"/>
                <w14:textFill>
                  <w14:solidFill>
                    <w14:srgbClr w14:val="000000">
                      <w14:alpha w14:val="100000"/>
                    </w14:srgbClr>
                  </w14:solidFill>
                </w14:textFill>
              </w:rPr>
              <w:t xml:space="preserve">　</w:t>
            </w:r>
            <w:r w:rsidR="009A7246" w:rsidRPr="009A7246">
              <w:rPr>
                <w:bCs w:val="0"/>
                <w:vertAlign w:val="superscript"/>
              </w:rPr>
              <w:t>1</w:t>
            </w:r>
            <w:r w:rsidR="0038122C" w:rsidRPr="009A7246">
              <w:rPr>
                <w:bCs w:val="0"/>
              </w:rPr>
              <w:t xml:space="preserve"> </w:t>
            </w:r>
          </w:p>
        </w:tc>
        <w:tc>
          <w:tcPr>
            <w:tcW w:w="647" w:type="pct"/>
            <w:shd w:val="clear" w:color="auto" w:fill="auto"/>
          </w:tcPr>
          <w:p w14:paraId="40D4E82D" w14:textId="507D5203" w:rsidR="0038122C" w:rsidRPr="00AC613F" w:rsidRDefault="00C815AC" w:rsidP="0038122C">
            <w:pPr>
              <w:pStyle w:val="TableText0"/>
              <w:jc w:val="center"/>
              <w:rPr>
                <w:color w:val="000000"/>
                <w:highlight w:val="darkGray"/>
              </w:rPr>
            </w:pPr>
            <w:r w:rsidRPr="00C815AC">
              <w:rPr>
                <w:bCs w:val="0"/>
              </w:rPr>
              <w:t xml:space="preserve"> </w:t>
            </w:r>
            <w:r w:rsidR="00981AF2" w:rsidRPr="00981AF2">
              <w:rPr>
                <w:rFonts w:hint="eastAsia"/>
                <w:bCs w:val="0"/>
                <w:color w:val="000000"/>
                <w:w w:val="15"/>
                <w:shd w:val="solid" w:color="000000" w:fill="000000"/>
                <w:fitText w:val="46" w:id="-1436348926"/>
                <w14:textFill>
                  <w14:solidFill>
                    <w14:srgbClr w14:val="000000">
                      <w14:alpha w14:val="100000"/>
                    </w14:srgbClr>
                  </w14:solidFill>
                </w14:textFill>
              </w:rPr>
              <w:t xml:space="preserve">　</w:t>
            </w:r>
            <w:r w:rsidR="00981AF2" w:rsidRPr="00981AF2">
              <w:rPr>
                <w:bCs w:val="0"/>
                <w:color w:val="000000"/>
                <w:w w:val="15"/>
                <w:shd w:val="solid" w:color="000000" w:fill="000000"/>
                <w:fitText w:val="46" w:id="-1436348926"/>
                <w14:textFill>
                  <w14:solidFill>
                    <w14:srgbClr w14:val="000000">
                      <w14:alpha w14:val="100000"/>
                    </w14:srgbClr>
                  </w14:solidFill>
                </w14:textFill>
              </w:rPr>
              <w:t>|</w:t>
            </w:r>
            <w:r w:rsidR="00981AF2" w:rsidRPr="00981AF2">
              <w:rPr>
                <w:rFonts w:hint="eastAsia"/>
                <w:bCs w:val="0"/>
                <w:color w:val="000000"/>
                <w:spacing w:val="-19"/>
                <w:w w:val="15"/>
                <w:shd w:val="solid" w:color="000000" w:fill="000000"/>
                <w:fitText w:val="46" w:id="-1436348926"/>
                <w14:textFill>
                  <w14:solidFill>
                    <w14:srgbClr w14:val="000000">
                      <w14:alpha w14:val="100000"/>
                    </w14:srgbClr>
                  </w14:solidFill>
                </w14:textFill>
              </w:rPr>
              <w:t xml:space="preserve">　</w:t>
            </w:r>
            <w:r w:rsidR="009A7246" w:rsidRPr="009A7246">
              <w:rPr>
                <w:bCs w:val="0"/>
                <w:vertAlign w:val="superscript"/>
              </w:rPr>
              <w:t>1</w:t>
            </w:r>
            <w:r w:rsidRPr="00C815AC">
              <w:rPr>
                <w:bCs w:val="0"/>
              </w:rPr>
              <w:t xml:space="preserve"> </w:t>
            </w:r>
          </w:p>
        </w:tc>
        <w:tc>
          <w:tcPr>
            <w:tcW w:w="647" w:type="pct"/>
            <w:shd w:val="clear" w:color="auto" w:fill="auto"/>
          </w:tcPr>
          <w:p w14:paraId="42DBD0C0" w14:textId="71F99FB2" w:rsidR="0038122C" w:rsidRPr="00AC613F" w:rsidRDefault="00C815AC" w:rsidP="0038122C">
            <w:pPr>
              <w:pStyle w:val="TableText0"/>
              <w:jc w:val="center"/>
              <w:rPr>
                <w:color w:val="000000"/>
                <w:highlight w:val="darkGray"/>
              </w:rPr>
            </w:pPr>
            <w:r w:rsidRPr="00C815AC">
              <w:rPr>
                <w:bCs w:val="0"/>
              </w:rPr>
              <w:t xml:space="preserve"> </w:t>
            </w:r>
            <w:r w:rsidR="00981AF2" w:rsidRPr="00981AF2">
              <w:rPr>
                <w:rFonts w:hint="eastAsia"/>
                <w:bCs w:val="0"/>
                <w:color w:val="000000"/>
                <w:w w:val="15"/>
                <w:shd w:val="solid" w:color="000000" w:fill="000000"/>
                <w:fitText w:val="46" w:id="-1436348925"/>
                <w14:textFill>
                  <w14:solidFill>
                    <w14:srgbClr w14:val="000000">
                      <w14:alpha w14:val="100000"/>
                    </w14:srgbClr>
                  </w14:solidFill>
                </w14:textFill>
              </w:rPr>
              <w:t xml:space="preserve">　</w:t>
            </w:r>
            <w:r w:rsidR="00981AF2" w:rsidRPr="00981AF2">
              <w:rPr>
                <w:bCs w:val="0"/>
                <w:color w:val="000000"/>
                <w:w w:val="15"/>
                <w:shd w:val="solid" w:color="000000" w:fill="000000"/>
                <w:fitText w:val="46" w:id="-1436348925"/>
                <w14:textFill>
                  <w14:solidFill>
                    <w14:srgbClr w14:val="000000">
                      <w14:alpha w14:val="100000"/>
                    </w14:srgbClr>
                  </w14:solidFill>
                </w14:textFill>
              </w:rPr>
              <w:t>|</w:t>
            </w:r>
            <w:r w:rsidR="00981AF2" w:rsidRPr="00981AF2">
              <w:rPr>
                <w:rFonts w:hint="eastAsia"/>
                <w:bCs w:val="0"/>
                <w:color w:val="000000"/>
                <w:spacing w:val="-19"/>
                <w:w w:val="15"/>
                <w:shd w:val="solid" w:color="000000" w:fill="000000"/>
                <w:fitText w:val="46" w:id="-1436348925"/>
                <w14:textFill>
                  <w14:solidFill>
                    <w14:srgbClr w14:val="000000">
                      <w14:alpha w14:val="100000"/>
                    </w14:srgbClr>
                  </w14:solidFill>
                </w14:textFill>
              </w:rPr>
              <w:t xml:space="preserve">　</w:t>
            </w:r>
            <w:r w:rsidR="009A7246">
              <w:rPr>
                <w:bCs w:val="0"/>
                <w:vertAlign w:val="superscript"/>
              </w:rPr>
              <w:t>2</w:t>
            </w:r>
            <w:r w:rsidRPr="00C815AC">
              <w:rPr>
                <w:bCs w:val="0"/>
              </w:rPr>
              <w:t xml:space="preserve"> </w:t>
            </w:r>
          </w:p>
        </w:tc>
        <w:tc>
          <w:tcPr>
            <w:tcW w:w="647" w:type="pct"/>
            <w:shd w:val="clear" w:color="auto" w:fill="auto"/>
          </w:tcPr>
          <w:p w14:paraId="05E43DC1" w14:textId="78C844FE" w:rsidR="0038122C" w:rsidRPr="00AC613F" w:rsidRDefault="00C815AC" w:rsidP="0038122C">
            <w:pPr>
              <w:pStyle w:val="TableText0"/>
              <w:jc w:val="center"/>
              <w:rPr>
                <w:color w:val="000000"/>
                <w:highlight w:val="darkGray"/>
              </w:rPr>
            </w:pPr>
            <w:r w:rsidRPr="00C815AC">
              <w:rPr>
                <w:bCs w:val="0"/>
              </w:rPr>
              <w:t xml:space="preserve"> </w:t>
            </w:r>
            <w:r w:rsidR="00981AF2" w:rsidRPr="00981AF2">
              <w:rPr>
                <w:rFonts w:hint="eastAsia"/>
                <w:bCs w:val="0"/>
                <w:color w:val="000000"/>
                <w:w w:val="15"/>
                <w:shd w:val="solid" w:color="000000" w:fill="000000"/>
                <w:fitText w:val="47" w:id="-1436348924"/>
                <w14:textFill>
                  <w14:solidFill>
                    <w14:srgbClr w14:val="000000">
                      <w14:alpha w14:val="100000"/>
                    </w14:srgbClr>
                  </w14:solidFill>
                </w14:textFill>
              </w:rPr>
              <w:t xml:space="preserve">　</w:t>
            </w:r>
            <w:r w:rsidR="00981AF2" w:rsidRPr="00981AF2">
              <w:rPr>
                <w:bCs w:val="0"/>
                <w:color w:val="000000"/>
                <w:w w:val="15"/>
                <w:shd w:val="solid" w:color="000000" w:fill="000000"/>
                <w:fitText w:val="47" w:id="-1436348924"/>
                <w14:textFill>
                  <w14:solidFill>
                    <w14:srgbClr w14:val="000000">
                      <w14:alpha w14:val="100000"/>
                    </w14:srgbClr>
                  </w14:solidFill>
                </w14:textFill>
              </w:rPr>
              <w:t>|</w:t>
            </w:r>
            <w:r w:rsidR="00981AF2" w:rsidRPr="00981AF2">
              <w:rPr>
                <w:rFonts w:hint="eastAsia"/>
                <w:bCs w:val="0"/>
                <w:color w:val="000000"/>
                <w:spacing w:val="-18"/>
                <w:w w:val="15"/>
                <w:shd w:val="solid" w:color="000000" w:fill="000000"/>
                <w:fitText w:val="47" w:id="-1436348924"/>
                <w14:textFill>
                  <w14:solidFill>
                    <w14:srgbClr w14:val="000000">
                      <w14:alpha w14:val="100000"/>
                    </w14:srgbClr>
                  </w14:solidFill>
                </w14:textFill>
              </w:rPr>
              <w:t xml:space="preserve">　</w:t>
            </w:r>
            <w:r w:rsidR="009A7246">
              <w:rPr>
                <w:bCs w:val="0"/>
                <w:vertAlign w:val="superscript"/>
              </w:rPr>
              <w:t>2</w:t>
            </w:r>
            <w:r w:rsidRPr="00C815AC">
              <w:rPr>
                <w:bCs w:val="0"/>
              </w:rPr>
              <w:t xml:space="preserve"> </w:t>
            </w:r>
          </w:p>
        </w:tc>
        <w:tc>
          <w:tcPr>
            <w:tcW w:w="647" w:type="pct"/>
            <w:shd w:val="clear" w:color="auto" w:fill="auto"/>
          </w:tcPr>
          <w:p w14:paraId="2021CD16" w14:textId="7910B5F4" w:rsidR="0038122C" w:rsidRPr="00AC613F" w:rsidRDefault="00C815AC" w:rsidP="0038122C">
            <w:pPr>
              <w:pStyle w:val="TableText0"/>
              <w:jc w:val="center"/>
              <w:rPr>
                <w:color w:val="000000"/>
                <w:highlight w:val="darkGray"/>
              </w:rPr>
            </w:pPr>
            <w:r w:rsidRPr="00C815AC">
              <w:rPr>
                <w:bCs w:val="0"/>
              </w:rPr>
              <w:t xml:space="preserve"> </w:t>
            </w:r>
            <w:r w:rsidR="00981AF2" w:rsidRPr="00981AF2">
              <w:rPr>
                <w:rFonts w:hint="eastAsia"/>
                <w:bCs w:val="0"/>
                <w:color w:val="000000"/>
                <w:w w:val="15"/>
                <w:shd w:val="solid" w:color="000000" w:fill="000000"/>
                <w:fitText w:val="46" w:id="-1436348923"/>
                <w14:textFill>
                  <w14:solidFill>
                    <w14:srgbClr w14:val="000000">
                      <w14:alpha w14:val="100000"/>
                    </w14:srgbClr>
                  </w14:solidFill>
                </w14:textFill>
              </w:rPr>
              <w:t xml:space="preserve">　</w:t>
            </w:r>
            <w:r w:rsidR="00981AF2" w:rsidRPr="00981AF2">
              <w:rPr>
                <w:bCs w:val="0"/>
                <w:color w:val="000000"/>
                <w:w w:val="15"/>
                <w:shd w:val="solid" w:color="000000" w:fill="000000"/>
                <w:fitText w:val="46" w:id="-1436348923"/>
                <w14:textFill>
                  <w14:solidFill>
                    <w14:srgbClr w14:val="000000">
                      <w14:alpha w14:val="100000"/>
                    </w14:srgbClr>
                  </w14:solidFill>
                </w14:textFill>
              </w:rPr>
              <w:t>|</w:t>
            </w:r>
            <w:r w:rsidR="00981AF2" w:rsidRPr="00981AF2">
              <w:rPr>
                <w:rFonts w:hint="eastAsia"/>
                <w:bCs w:val="0"/>
                <w:color w:val="000000"/>
                <w:spacing w:val="-19"/>
                <w:w w:val="15"/>
                <w:shd w:val="solid" w:color="000000" w:fill="000000"/>
                <w:fitText w:val="46" w:id="-1436348923"/>
                <w14:textFill>
                  <w14:solidFill>
                    <w14:srgbClr w14:val="000000">
                      <w14:alpha w14:val="100000"/>
                    </w14:srgbClr>
                  </w14:solidFill>
                </w14:textFill>
              </w:rPr>
              <w:t xml:space="preserve">　</w:t>
            </w:r>
            <w:r w:rsidR="009A7246">
              <w:rPr>
                <w:bCs w:val="0"/>
                <w:vertAlign w:val="superscript"/>
              </w:rPr>
              <w:t>2</w:t>
            </w:r>
            <w:r w:rsidRPr="00C815AC">
              <w:rPr>
                <w:bCs w:val="0"/>
              </w:rPr>
              <w:t xml:space="preserve"> </w:t>
            </w:r>
          </w:p>
        </w:tc>
        <w:tc>
          <w:tcPr>
            <w:tcW w:w="649" w:type="pct"/>
          </w:tcPr>
          <w:p w14:paraId="4BC592C4" w14:textId="257F8134" w:rsidR="0038122C" w:rsidRPr="00AC613F" w:rsidRDefault="00C815AC" w:rsidP="0038122C">
            <w:pPr>
              <w:pStyle w:val="TableText0"/>
              <w:jc w:val="center"/>
              <w:rPr>
                <w:color w:val="000000"/>
                <w:highlight w:val="darkGray"/>
              </w:rPr>
            </w:pPr>
            <w:r w:rsidRPr="00C815AC">
              <w:rPr>
                <w:bCs w:val="0"/>
              </w:rPr>
              <w:t xml:space="preserve"> </w:t>
            </w:r>
            <w:r w:rsidR="00981AF2" w:rsidRPr="00981AF2">
              <w:rPr>
                <w:rFonts w:hint="eastAsia"/>
                <w:bCs w:val="0"/>
                <w:color w:val="000000"/>
                <w:w w:val="15"/>
                <w:shd w:val="solid" w:color="000000" w:fill="000000"/>
                <w:fitText w:val="46" w:id="-1436348922"/>
                <w14:textFill>
                  <w14:solidFill>
                    <w14:srgbClr w14:val="000000">
                      <w14:alpha w14:val="100000"/>
                    </w14:srgbClr>
                  </w14:solidFill>
                </w14:textFill>
              </w:rPr>
              <w:t xml:space="preserve">　</w:t>
            </w:r>
            <w:r w:rsidR="00981AF2" w:rsidRPr="00981AF2">
              <w:rPr>
                <w:bCs w:val="0"/>
                <w:color w:val="000000"/>
                <w:w w:val="15"/>
                <w:shd w:val="solid" w:color="000000" w:fill="000000"/>
                <w:fitText w:val="46" w:id="-1436348922"/>
                <w14:textFill>
                  <w14:solidFill>
                    <w14:srgbClr w14:val="000000">
                      <w14:alpha w14:val="100000"/>
                    </w14:srgbClr>
                  </w14:solidFill>
                </w14:textFill>
              </w:rPr>
              <w:t>|</w:t>
            </w:r>
            <w:r w:rsidR="00981AF2" w:rsidRPr="00981AF2">
              <w:rPr>
                <w:rFonts w:hint="eastAsia"/>
                <w:bCs w:val="0"/>
                <w:color w:val="000000"/>
                <w:spacing w:val="-19"/>
                <w:w w:val="15"/>
                <w:shd w:val="solid" w:color="000000" w:fill="000000"/>
                <w:fitText w:val="46" w:id="-1436348922"/>
                <w14:textFill>
                  <w14:solidFill>
                    <w14:srgbClr w14:val="000000">
                      <w14:alpha w14:val="100000"/>
                    </w14:srgbClr>
                  </w14:solidFill>
                </w14:textFill>
              </w:rPr>
              <w:t xml:space="preserve">　</w:t>
            </w:r>
            <w:r w:rsidR="009A7246">
              <w:rPr>
                <w:bCs w:val="0"/>
                <w:vertAlign w:val="superscript"/>
              </w:rPr>
              <w:t>3</w:t>
            </w:r>
            <w:r w:rsidRPr="00C815AC">
              <w:rPr>
                <w:bCs w:val="0"/>
              </w:rPr>
              <w:t xml:space="preserve"> </w:t>
            </w:r>
          </w:p>
        </w:tc>
      </w:tr>
      <w:tr w:rsidR="005C0589" w:rsidRPr="00D1078F" w14:paraId="07B04D1E" w14:textId="77777777" w:rsidTr="003F1398">
        <w:tc>
          <w:tcPr>
            <w:tcW w:w="5000" w:type="pct"/>
            <w:gridSpan w:val="7"/>
            <w:shd w:val="clear" w:color="auto" w:fill="auto"/>
            <w:vAlign w:val="center"/>
          </w:tcPr>
          <w:p w14:paraId="09E3EAB8" w14:textId="77777777" w:rsidR="005C0589" w:rsidRPr="00D1078F" w:rsidRDefault="005C0589" w:rsidP="003F1398">
            <w:pPr>
              <w:pStyle w:val="In-tableHeading"/>
            </w:pPr>
            <w:r w:rsidRPr="00D1078F">
              <w:t xml:space="preserve">Estimated </w:t>
            </w:r>
            <w:r>
              <w:t>financial implications of risankizumab</w:t>
            </w:r>
          </w:p>
        </w:tc>
      </w:tr>
      <w:tr w:rsidR="00643BA3" w:rsidRPr="003639A6" w14:paraId="2DF53343" w14:textId="77777777" w:rsidTr="003F1398">
        <w:tc>
          <w:tcPr>
            <w:tcW w:w="1116" w:type="pct"/>
            <w:shd w:val="clear" w:color="auto" w:fill="auto"/>
            <w:vAlign w:val="center"/>
          </w:tcPr>
          <w:p w14:paraId="118B3B30" w14:textId="77777777" w:rsidR="00643BA3" w:rsidRDefault="00643BA3" w:rsidP="00643BA3">
            <w:pPr>
              <w:pStyle w:val="TableText0"/>
              <w:rPr>
                <w:sz w:val="19"/>
                <w:szCs w:val="19"/>
              </w:rPr>
            </w:pPr>
            <w:r>
              <w:rPr>
                <w:sz w:val="19"/>
                <w:szCs w:val="19"/>
              </w:rPr>
              <w:t>Cost to PBS/RPBS less copayments</w:t>
            </w:r>
          </w:p>
        </w:tc>
        <w:tc>
          <w:tcPr>
            <w:tcW w:w="647" w:type="pct"/>
            <w:shd w:val="clear" w:color="auto" w:fill="auto"/>
            <w:vAlign w:val="center"/>
          </w:tcPr>
          <w:p w14:paraId="256A5843" w14:textId="4ABFEFF7" w:rsidR="00643BA3" w:rsidRPr="00C14A5F" w:rsidRDefault="00643BA3" w:rsidP="00643BA3">
            <w:pPr>
              <w:pStyle w:val="TableText0"/>
              <w:jc w:val="center"/>
            </w:pPr>
            <w:r w:rsidRPr="00C14A5F">
              <w:t>$</w:t>
            </w:r>
            <w:r w:rsidR="00981AF2" w:rsidRPr="00981AF2">
              <w:rPr>
                <w:rFonts w:hint="eastAsia"/>
                <w:color w:val="000000"/>
                <w:w w:val="15"/>
                <w:shd w:val="solid" w:color="000000" w:fill="000000"/>
                <w:fitText w:val="70" w:id="-1436348921"/>
                <w14:textFill>
                  <w14:solidFill>
                    <w14:srgbClr w14:val="000000">
                      <w14:alpha w14:val="100000"/>
                    </w14:srgbClr>
                  </w14:solidFill>
                </w14:textFill>
              </w:rPr>
              <w:t xml:space="preserve">　</w:t>
            </w:r>
            <w:r w:rsidR="00981AF2" w:rsidRPr="00981AF2">
              <w:rPr>
                <w:color w:val="000000"/>
                <w:w w:val="15"/>
                <w:shd w:val="solid" w:color="000000" w:fill="000000"/>
                <w:fitText w:val="70" w:id="-1436348921"/>
                <w14:textFill>
                  <w14:solidFill>
                    <w14:srgbClr w14:val="000000">
                      <w14:alpha w14:val="100000"/>
                    </w14:srgbClr>
                  </w14:solidFill>
                </w14:textFill>
              </w:rPr>
              <w:t>|</w:t>
            </w:r>
            <w:r w:rsidR="00981AF2" w:rsidRPr="00981AF2">
              <w:rPr>
                <w:rFonts w:hint="eastAsia"/>
                <w:color w:val="000000"/>
                <w:spacing w:val="4"/>
                <w:w w:val="15"/>
                <w:shd w:val="solid" w:color="000000" w:fill="000000"/>
                <w:fitText w:val="70" w:id="-1436348921"/>
                <w14:textFill>
                  <w14:solidFill>
                    <w14:srgbClr w14:val="000000">
                      <w14:alpha w14:val="100000"/>
                    </w14:srgbClr>
                  </w14:solidFill>
                </w14:textFill>
              </w:rPr>
              <w:t xml:space="preserve">　</w:t>
            </w:r>
            <w:r w:rsidR="009A7246">
              <w:rPr>
                <w:bCs w:val="0"/>
                <w:vertAlign w:val="superscript"/>
              </w:rPr>
              <w:t>4</w:t>
            </w:r>
          </w:p>
        </w:tc>
        <w:tc>
          <w:tcPr>
            <w:tcW w:w="647" w:type="pct"/>
            <w:shd w:val="clear" w:color="auto" w:fill="auto"/>
            <w:vAlign w:val="center"/>
          </w:tcPr>
          <w:p w14:paraId="7BC8C22D" w14:textId="067B8800" w:rsidR="00643BA3" w:rsidRPr="00C14A5F" w:rsidRDefault="00643BA3" w:rsidP="00643BA3">
            <w:pPr>
              <w:pStyle w:val="TableText0"/>
              <w:jc w:val="center"/>
            </w:pPr>
            <w:r w:rsidRPr="00C14A5F">
              <w:t>$</w:t>
            </w:r>
            <w:r w:rsidR="00981AF2" w:rsidRPr="00981AF2">
              <w:rPr>
                <w:rFonts w:hint="eastAsia"/>
                <w:color w:val="000000"/>
                <w:w w:val="15"/>
                <w:shd w:val="solid" w:color="000000" w:fill="000000"/>
                <w:fitText w:val="69" w:id="-1436348920"/>
                <w14:textFill>
                  <w14:solidFill>
                    <w14:srgbClr w14:val="000000">
                      <w14:alpha w14:val="100000"/>
                    </w14:srgbClr>
                  </w14:solidFill>
                </w14:textFill>
              </w:rPr>
              <w:t xml:space="preserve">　</w:t>
            </w:r>
            <w:r w:rsidR="00981AF2" w:rsidRPr="00981AF2">
              <w:rPr>
                <w:color w:val="000000"/>
                <w:w w:val="15"/>
                <w:shd w:val="solid" w:color="000000" w:fill="000000"/>
                <w:fitText w:val="69" w:id="-1436348920"/>
                <w14:textFill>
                  <w14:solidFill>
                    <w14:srgbClr w14:val="000000">
                      <w14:alpha w14:val="100000"/>
                    </w14:srgbClr>
                  </w14:solidFill>
                </w14:textFill>
              </w:rPr>
              <w:t>|</w:t>
            </w:r>
            <w:r w:rsidR="00981AF2" w:rsidRPr="00981AF2">
              <w:rPr>
                <w:rFonts w:hint="eastAsia"/>
                <w:color w:val="000000"/>
                <w:spacing w:val="3"/>
                <w:w w:val="15"/>
                <w:shd w:val="solid" w:color="000000" w:fill="000000"/>
                <w:fitText w:val="69" w:id="-1436348920"/>
                <w14:textFill>
                  <w14:solidFill>
                    <w14:srgbClr w14:val="000000">
                      <w14:alpha w14:val="100000"/>
                    </w14:srgbClr>
                  </w14:solidFill>
                </w14:textFill>
              </w:rPr>
              <w:t xml:space="preserve">　</w:t>
            </w:r>
            <w:r w:rsidR="009A7246">
              <w:rPr>
                <w:bCs w:val="0"/>
                <w:vertAlign w:val="superscript"/>
              </w:rPr>
              <w:t>4</w:t>
            </w:r>
          </w:p>
        </w:tc>
        <w:tc>
          <w:tcPr>
            <w:tcW w:w="647" w:type="pct"/>
            <w:shd w:val="clear" w:color="auto" w:fill="auto"/>
            <w:vAlign w:val="center"/>
          </w:tcPr>
          <w:p w14:paraId="5FCE2F42" w14:textId="74CE601B" w:rsidR="00643BA3" w:rsidRPr="00C14A5F" w:rsidRDefault="00643BA3" w:rsidP="00643BA3">
            <w:pPr>
              <w:pStyle w:val="TableText0"/>
              <w:jc w:val="center"/>
            </w:pPr>
            <w:r w:rsidRPr="00C14A5F">
              <w:t>$</w:t>
            </w:r>
            <w:r w:rsidR="00981AF2" w:rsidRPr="00981AF2">
              <w:rPr>
                <w:rFonts w:hint="eastAsia"/>
                <w:color w:val="000000"/>
                <w:w w:val="15"/>
                <w:shd w:val="solid" w:color="000000" w:fill="000000"/>
                <w:fitText w:val="69" w:id="-1436348919"/>
                <w14:textFill>
                  <w14:solidFill>
                    <w14:srgbClr w14:val="000000">
                      <w14:alpha w14:val="100000"/>
                    </w14:srgbClr>
                  </w14:solidFill>
                </w14:textFill>
              </w:rPr>
              <w:t xml:space="preserve">　</w:t>
            </w:r>
            <w:r w:rsidR="00981AF2" w:rsidRPr="00981AF2">
              <w:rPr>
                <w:color w:val="000000"/>
                <w:w w:val="15"/>
                <w:shd w:val="solid" w:color="000000" w:fill="000000"/>
                <w:fitText w:val="69" w:id="-1436348919"/>
                <w14:textFill>
                  <w14:solidFill>
                    <w14:srgbClr w14:val="000000">
                      <w14:alpha w14:val="100000"/>
                    </w14:srgbClr>
                  </w14:solidFill>
                </w14:textFill>
              </w:rPr>
              <w:t>|</w:t>
            </w:r>
            <w:r w:rsidR="00981AF2" w:rsidRPr="00981AF2">
              <w:rPr>
                <w:rFonts w:hint="eastAsia"/>
                <w:color w:val="000000"/>
                <w:spacing w:val="3"/>
                <w:w w:val="15"/>
                <w:shd w:val="solid" w:color="000000" w:fill="000000"/>
                <w:fitText w:val="69" w:id="-1436348919"/>
                <w14:textFill>
                  <w14:solidFill>
                    <w14:srgbClr w14:val="000000">
                      <w14:alpha w14:val="100000"/>
                    </w14:srgbClr>
                  </w14:solidFill>
                </w14:textFill>
              </w:rPr>
              <w:t xml:space="preserve">　</w:t>
            </w:r>
            <w:r w:rsidR="009A7246">
              <w:rPr>
                <w:bCs w:val="0"/>
                <w:vertAlign w:val="superscript"/>
              </w:rPr>
              <w:t>4</w:t>
            </w:r>
          </w:p>
        </w:tc>
        <w:tc>
          <w:tcPr>
            <w:tcW w:w="647" w:type="pct"/>
            <w:shd w:val="clear" w:color="auto" w:fill="auto"/>
            <w:vAlign w:val="center"/>
          </w:tcPr>
          <w:p w14:paraId="03F7DB03" w14:textId="5B16BE31" w:rsidR="00643BA3" w:rsidRPr="00C14A5F" w:rsidRDefault="00643BA3" w:rsidP="00643BA3">
            <w:pPr>
              <w:pStyle w:val="TableText0"/>
              <w:jc w:val="center"/>
            </w:pPr>
            <w:r w:rsidRPr="00C14A5F">
              <w:t>$</w:t>
            </w:r>
            <w:r w:rsidR="00981AF2" w:rsidRPr="00981AF2">
              <w:rPr>
                <w:rFonts w:hint="eastAsia"/>
                <w:color w:val="000000"/>
                <w:w w:val="15"/>
                <w:shd w:val="solid" w:color="000000" w:fill="000000"/>
                <w:fitText w:val="70" w:id="-1436348918"/>
                <w14:textFill>
                  <w14:solidFill>
                    <w14:srgbClr w14:val="000000">
                      <w14:alpha w14:val="100000"/>
                    </w14:srgbClr>
                  </w14:solidFill>
                </w14:textFill>
              </w:rPr>
              <w:t xml:space="preserve">　</w:t>
            </w:r>
            <w:r w:rsidR="00981AF2" w:rsidRPr="00981AF2">
              <w:rPr>
                <w:color w:val="000000"/>
                <w:w w:val="15"/>
                <w:shd w:val="solid" w:color="000000" w:fill="000000"/>
                <w:fitText w:val="70" w:id="-1436348918"/>
                <w14:textFill>
                  <w14:solidFill>
                    <w14:srgbClr w14:val="000000">
                      <w14:alpha w14:val="100000"/>
                    </w14:srgbClr>
                  </w14:solidFill>
                </w14:textFill>
              </w:rPr>
              <w:t>|</w:t>
            </w:r>
            <w:r w:rsidR="00981AF2" w:rsidRPr="00981AF2">
              <w:rPr>
                <w:rFonts w:hint="eastAsia"/>
                <w:color w:val="000000"/>
                <w:spacing w:val="4"/>
                <w:w w:val="15"/>
                <w:shd w:val="solid" w:color="000000" w:fill="000000"/>
                <w:fitText w:val="70" w:id="-1436348918"/>
                <w14:textFill>
                  <w14:solidFill>
                    <w14:srgbClr w14:val="000000">
                      <w14:alpha w14:val="100000"/>
                    </w14:srgbClr>
                  </w14:solidFill>
                </w14:textFill>
              </w:rPr>
              <w:t xml:space="preserve">　</w:t>
            </w:r>
            <w:r w:rsidR="009A7246">
              <w:rPr>
                <w:bCs w:val="0"/>
                <w:vertAlign w:val="superscript"/>
              </w:rPr>
              <w:t>5</w:t>
            </w:r>
          </w:p>
        </w:tc>
        <w:tc>
          <w:tcPr>
            <w:tcW w:w="647" w:type="pct"/>
            <w:shd w:val="clear" w:color="auto" w:fill="auto"/>
            <w:vAlign w:val="center"/>
          </w:tcPr>
          <w:p w14:paraId="5699A202" w14:textId="47E5B33E" w:rsidR="00643BA3" w:rsidRPr="003639A6" w:rsidRDefault="00643BA3" w:rsidP="00643BA3">
            <w:pPr>
              <w:pStyle w:val="TableText0"/>
              <w:jc w:val="center"/>
            </w:pPr>
            <w:r w:rsidRPr="001F65A0">
              <w:t>$</w:t>
            </w:r>
            <w:r w:rsidR="00981AF2" w:rsidRPr="00981AF2">
              <w:rPr>
                <w:rFonts w:hint="eastAsia"/>
                <w:color w:val="000000"/>
                <w:w w:val="15"/>
                <w:shd w:val="solid" w:color="000000" w:fill="000000"/>
                <w:fitText w:val="69" w:id="-1436348917"/>
                <w14:textFill>
                  <w14:solidFill>
                    <w14:srgbClr w14:val="000000">
                      <w14:alpha w14:val="100000"/>
                    </w14:srgbClr>
                  </w14:solidFill>
                </w14:textFill>
              </w:rPr>
              <w:t xml:space="preserve">　</w:t>
            </w:r>
            <w:r w:rsidR="00981AF2" w:rsidRPr="00981AF2">
              <w:rPr>
                <w:color w:val="000000"/>
                <w:w w:val="15"/>
                <w:shd w:val="solid" w:color="000000" w:fill="000000"/>
                <w:fitText w:val="69" w:id="-1436348917"/>
                <w14:textFill>
                  <w14:solidFill>
                    <w14:srgbClr w14:val="000000">
                      <w14:alpha w14:val="100000"/>
                    </w14:srgbClr>
                  </w14:solidFill>
                </w14:textFill>
              </w:rPr>
              <w:t>|</w:t>
            </w:r>
            <w:r w:rsidR="00981AF2" w:rsidRPr="00981AF2">
              <w:rPr>
                <w:rFonts w:hint="eastAsia"/>
                <w:color w:val="000000"/>
                <w:spacing w:val="3"/>
                <w:w w:val="15"/>
                <w:shd w:val="solid" w:color="000000" w:fill="000000"/>
                <w:fitText w:val="69" w:id="-1436348917"/>
                <w14:textFill>
                  <w14:solidFill>
                    <w14:srgbClr w14:val="000000">
                      <w14:alpha w14:val="100000"/>
                    </w14:srgbClr>
                  </w14:solidFill>
                </w14:textFill>
              </w:rPr>
              <w:t xml:space="preserve">　</w:t>
            </w:r>
            <w:r w:rsidR="009A7246">
              <w:rPr>
                <w:bCs w:val="0"/>
                <w:vertAlign w:val="superscript"/>
              </w:rPr>
              <w:t>5</w:t>
            </w:r>
          </w:p>
        </w:tc>
        <w:tc>
          <w:tcPr>
            <w:tcW w:w="649" w:type="pct"/>
            <w:vAlign w:val="center"/>
          </w:tcPr>
          <w:p w14:paraId="5EE90F1A" w14:textId="116ABFA9" w:rsidR="00643BA3" w:rsidRPr="003639A6" w:rsidRDefault="00643BA3" w:rsidP="00643BA3">
            <w:pPr>
              <w:pStyle w:val="TableText0"/>
              <w:jc w:val="center"/>
            </w:pPr>
            <w:r w:rsidRPr="001F65A0">
              <w:t>$</w:t>
            </w:r>
            <w:r w:rsidR="00981AF2" w:rsidRPr="00981AF2">
              <w:rPr>
                <w:rFonts w:hint="eastAsia"/>
                <w:color w:val="000000"/>
                <w:w w:val="15"/>
                <w:shd w:val="solid" w:color="000000" w:fill="000000"/>
                <w:fitText w:val="69" w:id="-1436348916"/>
                <w14:textFill>
                  <w14:solidFill>
                    <w14:srgbClr w14:val="000000">
                      <w14:alpha w14:val="100000"/>
                    </w14:srgbClr>
                  </w14:solidFill>
                </w14:textFill>
              </w:rPr>
              <w:t xml:space="preserve">　</w:t>
            </w:r>
            <w:r w:rsidR="00981AF2" w:rsidRPr="00981AF2">
              <w:rPr>
                <w:color w:val="000000"/>
                <w:w w:val="15"/>
                <w:shd w:val="solid" w:color="000000" w:fill="000000"/>
                <w:fitText w:val="69" w:id="-1436348916"/>
                <w14:textFill>
                  <w14:solidFill>
                    <w14:srgbClr w14:val="000000">
                      <w14:alpha w14:val="100000"/>
                    </w14:srgbClr>
                  </w14:solidFill>
                </w14:textFill>
              </w:rPr>
              <w:t>|</w:t>
            </w:r>
            <w:r w:rsidR="00981AF2" w:rsidRPr="00981AF2">
              <w:rPr>
                <w:rFonts w:hint="eastAsia"/>
                <w:color w:val="000000"/>
                <w:spacing w:val="3"/>
                <w:w w:val="15"/>
                <w:shd w:val="solid" w:color="000000" w:fill="000000"/>
                <w:fitText w:val="69" w:id="-1436348916"/>
                <w14:textFill>
                  <w14:solidFill>
                    <w14:srgbClr w14:val="000000">
                      <w14:alpha w14:val="100000"/>
                    </w14:srgbClr>
                  </w14:solidFill>
                </w14:textFill>
              </w:rPr>
              <w:t xml:space="preserve">　</w:t>
            </w:r>
            <w:r w:rsidR="009A7246">
              <w:rPr>
                <w:bCs w:val="0"/>
                <w:vertAlign w:val="superscript"/>
              </w:rPr>
              <w:t>5</w:t>
            </w:r>
          </w:p>
        </w:tc>
      </w:tr>
      <w:tr w:rsidR="005C0589" w:rsidRPr="003639A6" w14:paraId="7C834DC4" w14:textId="77777777" w:rsidTr="003F1398">
        <w:tc>
          <w:tcPr>
            <w:tcW w:w="5000" w:type="pct"/>
            <w:gridSpan w:val="7"/>
            <w:shd w:val="clear" w:color="auto" w:fill="auto"/>
            <w:vAlign w:val="center"/>
          </w:tcPr>
          <w:p w14:paraId="32BC4A83" w14:textId="2AC96F63" w:rsidR="005C0589" w:rsidRPr="003639A6" w:rsidRDefault="005C0589" w:rsidP="003F1398">
            <w:pPr>
              <w:pStyle w:val="TableText0"/>
            </w:pPr>
            <w:r w:rsidRPr="00D1078F">
              <w:t xml:space="preserve">Estimated </w:t>
            </w:r>
            <w:r>
              <w:t xml:space="preserve">financial implications for </w:t>
            </w:r>
            <w:r w:rsidR="00B17E29">
              <w:t>adalimumab and infliximab</w:t>
            </w:r>
          </w:p>
        </w:tc>
      </w:tr>
      <w:tr w:rsidR="00FE2253" w:rsidRPr="003639A6" w14:paraId="77FB5AE1" w14:textId="77777777" w:rsidTr="003F1398">
        <w:tc>
          <w:tcPr>
            <w:tcW w:w="1116" w:type="pct"/>
            <w:shd w:val="clear" w:color="auto" w:fill="auto"/>
            <w:vAlign w:val="center"/>
          </w:tcPr>
          <w:p w14:paraId="544B51A9" w14:textId="77777777" w:rsidR="00FE2253" w:rsidRDefault="00FE2253" w:rsidP="00FE2253">
            <w:pPr>
              <w:pStyle w:val="TableText0"/>
              <w:rPr>
                <w:sz w:val="19"/>
                <w:szCs w:val="19"/>
              </w:rPr>
            </w:pPr>
            <w:r>
              <w:rPr>
                <w:sz w:val="19"/>
                <w:szCs w:val="19"/>
              </w:rPr>
              <w:t>Cost to PBS/RPBS less copayments</w:t>
            </w:r>
          </w:p>
        </w:tc>
        <w:tc>
          <w:tcPr>
            <w:tcW w:w="647" w:type="pct"/>
            <w:shd w:val="clear" w:color="auto" w:fill="auto"/>
            <w:vAlign w:val="center"/>
          </w:tcPr>
          <w:p w14:paraId="6888AB2A" w14:textId="256A4DB2" w:rsidR="00FE2253" w:rsidRPr="003639A6" w:rsidRDefault="00FE2253" w:rsidP="00FE2253">
            <w:pPr>
              <w:pStyle w:val="TableText0"/>
              <w:jc w:val="center"/>
            </w:pPr>
            <w:r w:rsidRPr="001F65A0">
              <w:t>-$</w:t>
            </w:r>
            <w:r w:rsidR="00981AF2" w:rsidRPr="00981AF2">
              <w:rPr>
                <w:rFonts w:hint="eastAsia"/>
                <w:color w:val="000000"/>
                <w:w w:val="21"/>
                <w:shd w:val="solid" w:color="000000" w:fill="000000"/>
                <w:fitText w:val="93" w:id="-1436348915"/>
                <w14:textFill>
                  <w14:solidFill>
                    <w14:srgbClr w14:val="000000">
                      <w14:alpha w14:val="100000"/>
                    </w14:srgbClr>
                  </w14:solidFill>
                </w14:textFill>
              </w:rPr>
              <w:t xml:space="preserve">　</w:t>
            </w:r>
            <w:r w:rsidR="00981AF2" w:rsidRPr="00981AF2">
              <w:rPr>
                <w:color w:val="000000"/>
                <w:w w:val="21"/>
                <w:shd w:val="solid" w:color="000000" w:fill="000000"/>
                <w:fitText w:val="93" w:id="-1436348915"/>
                <w14:textFill>
                  <w14:solidFill>
                    <w14:srgbClr w14:val="000000">
                      <w14:alpha w14:val="100000"/>
                    </w14:srgbClr>
                  </w14:solidFill>
                </w14:textFill>
              </w:rPr>
              <w:t>|</w:t>
            </w:r>
            <w:r w:rsidR="00981AF2" w:rsidRPr="00981AF2">
              <w:rPr>
                <w:rFonts w:hint="eastAsia"/>
                <w:color w:val="000000"/>
                <w:spacing w:val="2"/>
                <w:w w:val="21"/>
                <w:shd w:val="solid" w:color="000000" w:fill="000000"/>
                <w:fitText w:val="93" w:id="-1436348915"/>
                <w14:textFill>
                  <w14:solidFill>
                    <w14:srgbClr w14:val="000000">
                      <w14:alpha w14:val="100000"/>
                    </w14:srgbClr>
                  </w14:solidFill>
                </w14:textFill>
              </w:rPr>
              <w:t xml:space="preserve">　</w:t>
            </w:r>
            <w:r w:rsidR="009A7246">
              <w:rPr>
                <w:bCs w:val="0"/>
                <w:vertAlign w:val="superscript"/>
              </w:rPr>
              <w:t>4</w:t>
            </w:r>
          </w:p>
        </w:tc>
        <w:tc>
          <w:tcPr>
            <w:tcW w:w="647" w:type="pct"/>
            <w:shd w:val="clear" w:color="auto" w:fill="auto"/>
            <w:vAlign w:val="center"/>
          </w:tcPr>
          <w:p w14:paraId="5E1B643D" w14:textId="211CB290" w:rsidR="00FE2253" w:rsidRPr="003639A6" w:rsidRDefault="00FE2253" w:rsidP="00FE2253">
            <w:pPr>
              <w:pStyle w:val="TableText0"/>
              <w:jc w:val="center"/>
            </w:pPr>
            <w:r w:rsidRPr="001F65A0">
              <w:t>-$</w:t>
            </w:r>
            <w:r w:rsidR="00981AF2" w:rsidRPr="00981AF2">
              <w:rPr>
                <w:rFonts w:hint="eastAsia"/>
                <w:color w:val="000000"/>
                <w:w w:val="20"/>
                <w:shd w:val="solid" w:color="000000" w:fill="000000"/>
                <w:fitText w:val="92" w:id="-1436348914"/>
                <w14:textFill>
                  <w14:solidFill>
                    <w14:srgbClr w14:val="000000">
                      <w14:alpha w14:val="100000"/>
                    </w14:srgbClr>
                  </w14:solidFill>
                </w14:textFill>
              </w:rPr>
              <w:t xml:space="preserve">　</w:t>
            </w:r>
            <w:r w:rsidR="00981AF2" w:rsidRPr="00981AF2">
              <w:rPr>
                <w:color w:val="000000"/>
                <w:w w:val="20"/>
                <w:shd w:val="solid" w:color="000000" w:fill="000000"/>
                <w:fitText w:val="92" w:id="-1436348914"/>
                <w14:textFill>
                  <w14:solidFill>
                    <w14:srgbClr w14:val="000000">
                      <w14:alpha w14:val="100000"/>
                    </w14:srgbClr>
                  </w14:solidFill>
                </w14:textFill>
              </w:rPr>
              <w:t>|</w:t>
            </w:r>
            <w:r w:rsidR="00981AF2" w:rsidRPr="00981AF2">
              <w:rPr>
                <w:rFonts w:hint="eastAsia"/>
                <w:color w:val="000000"/>
                <w:spacing w:val="5"/>
                <w:w w:val="20"/>
                <w:shd w:val="solid" w:color="000000" w:fill="000000"/>
                <w:fitText w:val="92" w:id="-1436348914"/>
                <w14:textFill>
                  <w14:solidFill>
                    <w14:srgbClr w14:val="000000">
                      <w14:alpha w14:val="100000"/>
                    </w14:srgbClr>
                  </w14:solidFill>
                </w14:textFill>
              </w:rPr>
              <w:t xml:space="preserve">　</w:t>
            </w:r>
            <w:r w:rsidR="009A7246">
              <w:rPr>
                <w:bCs w:val="0"/>
                <w:vertAlign w:val="superscript"/>
              </w:rPr>
              <w:t>4</w:t>
            </w:r>
          </w:p>
        </w:tc>
        <w:tc>
          <w:tcPr>
            <w:tcW w:w="647" w:type="pct"/>
            <w:shd w:val="clear" w:color="auto" w:fill="auto"/>
            <w:vAlign w:val="center"/>
          </w:tcPr>
          <w:p w14:paraId="5BE16D46" w14:textId="6C383721" w:rsidR="00FE2253" w:rsidRPr="003639A6" w:rsidRDefault="00FE2253" w:rsidP="00FE2253">
            <w:pPr>
              <w:pStyle w:val="TableText0"/>
              <w:jc w:val="center"/>
            </w:pPr>
            <w:r w:rsidRPr="001F65A0">
              <w:t>-$</w:t>
            </w:r>
            <w:r w:rsidR="00981AF2" w:rsidRPr="00981AF2">
              <w:rPr>
                <w:rFonts w:hint="eastAsia"/>
                <w:color w:val="000000"/>
                <w:w w:val="21"/>
                <w:shd w:val="solid" w:color="000000" w:fill="000000"/>
                <w:fitText w:val="93" w:id="-1436348913"/>
                <w14:textFill>
                  <w14:solidFill>
                    <w14:srgbClr w14:val="000000">
                      <w14:alpha w14:val="100000"/>
                    </w14:srgbClr>
                  </w14:solidFill>
                </w14:textFill>
              </w:rPr>
              <w:t xml:space="preserve">　</w:t>
            </w:r>
            <w:r w:rsidR="00981AF2" w:rsidRPr="00981AF2">
              <w:rPr>
                <w:color w:val="000000"/>
                <w:w w:val="21"/>
                <w:shd w:val="solid" w:color="000000" w:fill="000000"/>
                <w:fitText w:val="93" w:id="-1436348913"/>
                <w14:textFill>
                  <w14:solidFill>
                    <w14:srgbClr w14:val="000000">
                      <w14:alpha w14:val="100000"/>
                    </w14:srgbClr>
                  </w14:solidFill>
                </w14:textFill>
              </w:rPr>
              <w:t>|</w:t>
            </w:r>
            <w:r w:rsidR="00981AF2" w:rsidRPr="00981AF2">
              <w:rPr>
                <w:rFonts w:hint="eastAsia"/>
                <w:color w:val="000000"/>
                <w:spacing w:val="2"/>
                <w:w w:val="21"/>
                <w:shd w:val="solid" w:color="000000" w:fill="000000"/>
                <w:fitText w:val="93" w:id="-1436348913"/>
                <w14:textFill>
                  <w14:solidFill>
                    <w14:srgbClr w14:val="000000">
                      <w14:alpha w14:val="100000"/>
                    </w14:srgbClr>
                  </w14:solidFill>
                </w14:textFill>
              </w:rPr>
              <w:t xml:space="preserve">　</w:t>
            </w:r>
            <w:r w:rsidR="009A7246">
              <w:rPr>
                <w:bCs w:val="0"/>
                <w:vertAlign w:val="superscript"/>
              </w:rPr>
              <w:t>4</w:t>
            </w:r>
          </w:p>
        </w:tc>
        <w:tc>
          <w:tcPr>
            <w:tcW w:w="647" w:type="pct"/>
            <w:shd w:val="clear" w:color="auto" w:fill="auto"/>
            <w:vAlign w:val="center"/>
          </w:tcPr>
          <w:p w14:paraId="7229EC98" w14:textId="238206F4" w:rsidR="00FE2253" w:rsidRPr="003639A6" w:rsidRDefault="00FE2253" w:rsidP="00FE2253">
            <w:pPr>
              <w:pStyle w:val="TableText0"/>
              <w:jc w:val="center"/>
            </w:pPr>
            <w:r w:rsidRPr="001F65A0">
              <w:t>-$</w:t>
            </w:r>
            <w:r w:rsidR="00981AF2" w:rsidRPr="00981AF2">
              <w:rPr>
                <w:rFonts w:hint="eastAsia"/>
                <w:color w:val="000000"/>
                <w:w w:val="21"/>
                <w:shd w:val="solid" w:color="000000" w:fill="000000"/>
                <w:fitText w:val="93" w:id="-1436348912"/>
                <w14:textFill>
                  <w14:solidFill>
                    <w14:srgbClr w14:val="000000">
                      <w14:alpha w14:val="100000"/>
                    </w14:srgbClr>
                  </w14:solidFill>
                </w14:textFill>
              </w:rPr>
              <w:t xml:space="preserve">　</w:t>
            </w:r>
            <w:r w:rsidR="00981AF2" w:rsidRPr="00981AF2">
              <w:rPr>
                <w:color w:val="000000"/>
                <w:w w:val="21"/>
                <w:shd w:val="solid" w:color="000000" w:fill="000000"/>
                <w:fitText w:val="93" w:id="-1436348912"/>
                <w14:textFill>
                  <w14:solidFill>
                    <w14:srgbClr w14:val="000000">
                      <w14:alpha w14:val="100000"/>
                    </w14:srgbClr>
                  </w14:solidFill>
                </w14:textFill>
              </w:rPr>
              <w:t>|</w:t>
            </w:r>
            <w:r w:rsidR="00981AF2" w:rsidRPr="00981AF2">
              <w:rPr>
                <w:rFonts w:hint="eastAsia"/>
                <w:color w:val="000000"/>
                <w:spacing w:val="2"/>
                <w:w w:val="21"/>
                <w:shd w:val="solid" w:color="000000" w:fill="000000"/>
                <w:fitText w:val="93" w:id="-1436348912"/>
                <w14:textFill>
                  <w14:solidFill>
                    <w14:srgbClr w14:val="000000">
                      <w14:alpha w14:val="100000"/>
                    </w14:srgbClr>
                  </w14:solidFill>
                </w14:textFill>
              </w:rPr>
              <w:t xml:space="preserve">　</w:t>
            </w:r>
            <w:r w:rsidR="009A7246">
              <w:rPr>
                <w:bCs w:val="0"/>
                <w:vertAlign w:val="superscript"/>
              </w:rPr>
              <w:t>5</w:t>
            </w:r>
          </w:p>
        </w:tc>
        <w:tc>
          <w:tcPr>
            <w:tcW w:w="647" w:type="pct"/>
            <w:shd w:val="clear" w:color="auto" w:fill="auto"/>
            <w:vAlign w:val="center"/>
          </w:tcPr>
          <w:p w14:paraId="4D667F13" w14:textId="6C541656" w:rsidR="00FE2253" w:rsidRPr="003639A6" w:rsidRDefault="00FE2253" w:rsidP="00FE2253">
            <w:pPr>
              <w:pStyle w:val="TableText0"/>
              <w:jc w:val="center"/>
            </w:pPr>
            <w:r w:rsidRPr="001F65A0">
              <w:t>-$</w:t>
            </w:r>
            <w:r w:rsidR="00981AF2" w:rsidRPr="00981AF2">
              <w:rPr>
                <w:rFonts w:hint="eastAsia"/>
                <w:color w:val="000000"/>
                <w:w w:val="20"/>
                <w:shd w:val="solid" w:color="000000" w:fill="000000"/>
                <w:fitText w:val="92" w:id="-1436348928"/>
                <w14:textFill>
                  <w14:solidFill>
                    <w14:srgbClr w14:val="000000">
                      <w14:alpha w14:val="100000"/>
                    </w14:srgbClr>
                  </w14:solidFill>
                </w14:textFill>
              </w:rPr>
              <w:t xml:space="preserve">　</w:t>
            </w:r>
            <w:r w:rsidR="00981AF2" w:rsidRPr="00981AF2">
              <w:rPr>
                <w:color w:val="000000"/>
                <w:w w:val="20"/>
                <w:shd w:val="solid" w:color="000000" w:fill="000000"/>
                <w:fitText w:val="92" w:id="-1436348928"/>
                <w14:textFill>
                  <w14:solidFill>
                    <w14:srgbClr w14:val="000000">
                      <w14:alpha w14:val="100000"/>
                    </w14:srgbClr>
                  </w14:solidFill>
                </w14:textFill>
              </w:rPr>
              <w:t>|</w:t>
            </w:r>
            <w:r w:rsidR="00981AF2" w:rsidRPr="00981AF2">
              <w:rPr>
                <w:rFonts w:hint="eastAsia"/>
                <w:color w:val="000000"/>
                <w:spacing w:val="5"/>
                <w:w w:val="20"/>
                <w:shd w:val="solid" w:color="000000" w:fill="000000"/>
                <w:fitText w:val="92" w:id="-1436348928"/>
                <w14:textFill>
                  <w14:solidFill>
                    <w14:srgbClr w14:val="000000">
                      <w14:alpha w14:val="100000"/>
                    </w14:srgbClr>
                  </w14:solidFill>
                </w14:textFill>
              </w:rPr>
              <w:t xml:space="preserve">　</w:t>
            </w:r>
            <w:r w:rsidR="009A7246">
              <w:rPr>
                <w:bCs w:val="0"/>
                <w:vertAlign w:val="superscript"/>
              </w:rPr>
              <w:t>5</w:t>
            </w:r>
          </w:p>
        </w:tc>
        <w:tc>
          <w:tcPr>
            <w:tcW w:w="649" w:type="pct"/>
            <w:vAlign w:val="center"/>
          </w:tcPr>
          <w:p w14:paraId="7025DF7B" w14:textId="00E4185A" w:rsidR="00FE2253" w:rsidRPr="003639A6" w:rsidRDefault="00FE2253" w:rsidP="00FE2253">
            <w:pPr>
              <w:pStyle w:val="TableText0"/>
              <w:jc w:val="center"/>
            </w:pPr>
            <w:r w:rsidRPr="001F65A0">
              <w:t>-$</w:t>
            </w:r>
            <w:r w:rsidR="00981AF2" w:rsidRPr="00981AF2">
              <w:rPr>
                <w:rFonts w:hint="eastAsia"/>
                <w:color w:val="000000"/>
                <w:w w:val="19"/>
                <w:shd w:val="solid" w:color="000000" w:fill="000000"/>
                <w:fitText w:val="85" w:id="-1436348927"/>
                <w14:textFill>
                  <w14:solidFill>
                    <w14:srgbClr w14:val="000000">
                      <w14:alpha w14:val="100000"/>
                    </w14:srgbClr>
                  </w14:solidFill>
                </w14:textFill>
              </w:rPr>
              <w:t xml:space="preserve">　</w:t>
            </w:r>
            <w:r w:rsidR="00981AF2" w:rsidRPr="00981AF2">
              <w:rPr>
                <w:color w:val="000000"/>
                <w:w w:val="19"/>
                <w:shd w:val="solid" w:color="000000" w:fill="000000"/>
                <w:fitText w:val="85" w:id="-1436348927"/>
                <w14:textFill>
                  <w14:solidFill>
                    <w14:srgbClr w14:val="000000">
                      <w14:alpha w14:val="100000"/>
                    </w14:srgbClr>
                  </w14:solidFill>
                </w14:textFill>
              </w:rPr>
              <w:t>|</w:t>
            </w:r>
            <w:r w:rsidR="00981AF2" w:rsidRPr="00981AF2">
              <w:rPr>
                <w:rFonts w:hint="eastAsia"/>
                <w:color w:val="000000"/>
                <w:spacing w:val="1"/>
                <w:w w:val="19"/>
                <w:shd w:val="solid" w:color="000000" w:fill="000000"/>
                <w:fitText w:val="85" w:id="-1436348927"/>
                <w14:textFill>
                  <w14:solidFill>
                    <w14:srgbClr w14:val="000000">
                      <w14:alpha w14:val="100000"/>
                    </w14:srgbClr>
                  </w14:solidFill>
                </w14:textFill>
              </w:rPr>
              <w:t xml:space="preserve">　</w:t>
            </w:r>
            <w:r w:rsidR="009A7246">
              <w:rPr>
                <w:bCs w:val="0"/>
                <w:vertAlign w:val="superscript"/>
              </w:rPr>
              <w:t>5</w:t>
            </w:r>
          </w:p>
        </w:tc>
      </w:tr>
      <w:tr w:rsidR="00FE2253" w:rsidRPr="00FC22AB" w14:paraId="564192BF" w14:textId="77777777" w:rsidTr="003F1398">
        <w:tc>
          <w:tcPr>
            <w:tcW w:w="5000" w:type="pct"/>
            <w:gridSpan w:val="7"/>
            <w:shd w:val="clear" w:color="auto" w:fill="auto"/>
            <w:vAlign w:val="center"/>
          </w:tcPr>
          <w:p w14:paraId="00DA6AD8" w14:textId="643E0A9E" w:rsidR="00FE2253" w:rsidRPr="00FC22AB" w:rsidRDefault="00FE2253" w:rsidP="00FE2253">
            <w:pPr>
              <w:pStyle w:val="In-tableHeading"/>
            </w:pPr>
            <w:r w:rsidRPr="00FC22AB">
              <w:t>Net financial implications</w:t>
            </w:r>
          </w:p>
        </w:tc>
      </w:tr>
      <w:tr w:rsidR="009F368D" w:rsidRPr="003639A6" w14:paraId="48D77A7C" w14:textId="77777777" w:rsidTr="003F1398">
        <w:tc>
          <w:tcPr>
            <w:tcW w:w="1116" w:type="pct"/>
            <w:shd w:val="clear" w:color="auto" w:fill="auto"/>
            <w:vAlign w:val="center"/>
          </w:tcPr>
          <w:p w14:paraId="2CA77EA8" w14:textId="77777777" w:rsidR="009F368D" w:rsidRDefault="009F368D" w:rsidP="009F368D">
            <w:pPr>
              <w:pStyle w:val="TableText0"/>
              <w:rPr>
                <w:sz w:val="19"/>
                <w:szCs w:val="19"/>
              </w:rPr>
            </w:pPr>
            <w:r>
              <w:rPr>
                <w:sz w:val="19"/>
                <w:szCs w:val="19"/>
              </w:rPr>
              <w:t>Net cost to PBS/RPBS</w:t>
            </w:r>
          </w:p>
        </w:tc>
        <w:tc>
          <w:tcPr>
            <w:tcW w:w="647" w:type="pct"/>
            <w:shd w:val="clear" w:color="auto" w:fill="auto"/>
            <w:vAlign w:val="center"/>
          </w:tcPr>
          <w:p w14:paraId="30B2CD19" w14:textId="1A354ACE" w:rsidR="009F368D" w:rsidRPr="00C14A5F" w:rsidRDefault="009F368D" w:rsidP="009F368D">
            <w:pPr>
              <w:pStyle w:val="TableText0"/>
              <w:jc w:val="center"/>
            </w:pPr>
            <w:r w:rsidRPr="00C14A5F">
              <w:t>$</w:t>
            </w:r>
            <w:r w:rsidR="00981AF2" w:rsidRPr="00981AF2">
              <w:rPr>
                <w:rFonts w:hint="eastAsia"/>
                <w:color w:val="000000"/>
                <w:w w:val="15"/>
                <w:shd w:val="solid" w:color="000000" w:fill="000000"/>
                <w:fitText w:val="70" w:id="-1436348926"/>
                <w14:textFill>
                  <w14:solidFill>
                    <w14:srgbClr w14:val="000000">
                      <w14:alpha w14:val="100000"/>
                    </w14:srgbClr>
                  </w14:solidFill>
                </w14:textFill>
              </w:rPr>
              <w:t xml:space="preserve">　</w:t>
            </w:r>
            <w:r w:rsidR="00981AF2" w:rsidRPr="00981AF2">
              <w:rPr>
                <w:color w:val="000000"/>
                <w:w w:val="15"/>
                <w:shd w:val="solid" w:color="000000" w:fill="000000"/>
                <w:fitText w:val="70" w:id="-1436348926"/>
                <w14:textFill>
                  <w14:solidFill>
                    <w14:srgbClr w14:val="000000">
                      <w14:alpha w14:val="100000"/>
                    </w14:srgbClr>
                  </w14:solidFill>
                </w14:textFill>
              </w:rPr>
              <w:t>|</w:t>
            </w:r>
            <w:r w:rsidR="00981AF2" w:rsidRPr="00981AF2">
              <w:rPr>
                <w:rFonts w:hint="eastAsia"/>
                <w:color w:val="000000"/>
                <w:spacing w:val="4"/>
                <w:w w:val="15"/>
                <w:shd w:val="solid" w:color="000000" w:fill="000000"/>
                <w:fitText w:val="70" w:id="-1436348926"/>
                <w14:textFill>
                  <w14:solidFill>
                    <w14:srgbClr w14:val="000000">
                      <w14:alpha w14:val="100000"/>
                    </w14:srgbClr>
                  </w14:solidFill>
                </w14:textFill>
              </w:rPr>
              <w:t xml:space="preserve">　</w:t>
            </w:r>
            <w:r w:rsidR="009A7246">
              <w:rPr>
                <w:bCs w:val="0"/>
                <w:vertAlign w:val="superscript"/>
              </w:rPr>
              <w:t>4</w:t>
            </w:r>
          </w:p>
        </w:tc>
        <w:tc>
          <w:tcPr>
            <w:tcW w:w="647" w:type="pct"/>
            <w:shd w:val="clear" w:color="auto" w:fill="auto"/>
            <w:vAlign w:val="center"/>
          </w:tcPr>
          <w:p w14:paraId="5672F84B" w14:textId="34159E20" w:rsidR="009F368D" w:rsidRPr="00C14A5F" w:rsidRDefault="009F368D" w:rsidP="009F368D">
            <w:pPr>
              <w:pStyle w:val="TableText0"/>
              <w:jc w:val="center"/>
            </w:pPr>
            <w:r w:rsidRPr="00C14A5F">
              <w:t>$</w:t>
            </w:r>
            <w:r w:rsidR="00981AF2" w:rsidRPr="00981AF2">
              <w:rPr>
                <w:rFonts w:hint="eastAsia"/>
                <w:color w:val="000000"/>
                <w:w w:val="15"/>
                <w:shd w:val="solid" w:color="000000" w:fill="000000"/>
                <w:fitText w:val="69" w:id="-1436348925"/>
                <w14:textFill>
                  <w14:solidFill>
                    <w14:srgbClr w14:val="000000">
                      <w14:alpha w14:val="100000"/>
                    </w14:srgbClr>
                  </w14:solidFill>
                </w14:textFill>
              </w:rPr>
              <w:t xml:space="preserve">　</w:t>
            </w:r>
            <w:r w:rsidR="00981AF2" w:rsidRPr="00981AF2">
              <w:rPr>
                <w:color w:val="000000"/>
                <w:w w:val="15"/>
                <w:shd w:val="solid" w:color="000000" w:fill="000000"/>
                <w:fitText w:val="69" w:id="-1436348925"/>
                <w14:textFill>
                  <w14:solidFill>
                    <w14:srgbClr w14:val="000000">
                      <w14:alpha w14:val="100000"/>
                    </w14:srgbClr>
                  </w14:solidFill>
                </w14:textFill>
              </w:rPr>
              <w:t>|</w:t>
            </w:r>
            <w:r w:rsidR="00981AF2" w:rsidRPr="00981AF2">
              <w:rPr>
                <w:rFonts w:hint="eastAsia"/>
                <w:color w:val="000000"/>
                <w:spacing w:val="3"/>
                <w:w w:val="15"/>
                <w:shd w:val="solid" w:color="000000" w:fill="000000"/>
                <w:fitText w:val="69" w:id="-1436348925"/>
                <w14:textFill>
                  <w14:solidFill>
                    <w14:srgbClr w14:val="000000">
                      <w14:alpha w14:val="100000"/>
                    </w14:srgbClr>
                  </w14:solidFill>
                </w14:textFill>
              </w:rPr>
              <w:t xml:space="preserve">　</w:t>
            </w:r>
            <w:r w:rsidR="009A7246">
              <w:rPr>
                <w:bCs w:val="0"/>
                <w:vertAlign w:val="superscript"/>
              </w:rPr>
              <w:t>4</w:t>
            </w:r>
          </w:p>
        </w:tc>
        <w:tc>
          <w:tcPr>
            <w:tcW w:w="647" w:type="pct"/>
            <w:shd w:val="clear" w:color="auto" w:fill="auto"/>
            <w:vAlign w:val="center"/>
          </w:tcPr>
          <w:p w14:paraId="13AC48A4" w14:textId="4A3E0D0E" w:rsidR="009F368D" w:rsidRPr="00C14A5F" w:rsidRDefault="009F368D" w:rsidP="009F368D">
            <w:pPr>
              <w:pStyle w:val="TableText0"/>
              <w:jc w:val="center"/>
            </w:pPr>
            <w:r w:rsidRPr="00C14A5F">
              <w:t>$</w:t>
            </w:r>
            <w:r w:rsidR="00981AF2" w:rsidRPr="00981AF2">
              <w:rPr>
                <w:rFonts w:hint="eastAsia"/>
                <w:color w:val="000000"/>
                <w:w w:val="15"/>
                <w:shd w:val="solid" w:color="000000" w:fill="000000"/>
                <w:fitText w:val="69" w:id="-1436348924"/>
                <w14:textFill>
                  <w14:solidFill>
                    <w14:srgbClr w14:val="000000">
                      <w14:alpha w14:val="100000"/>
                    </w14:srgbClr>
                  </w14:solidFill>
                </w14:textFill>
              </w:rPr>
              <w:t xml:space="preserve">　</w:t>
            </w:r>
            <w:r w:rsidR="00981AF2" w:rsidRPr="00981AF2">
              <w:rPr>
                <w:color w:val="000000"/>
                <w:w w:val="15"/>
                <w:shd w:val="solid" w:color="000000" w:fill="000000"/>
                <w:fitText w:val="69" w:id="-1436348924"/>
                <w14:textFill>
                  <w14:solidFill>
                    <w14:srgbClr w14:val="000000">
                      <w14:alpha w14:val="100000"/>
                    </w14:srgbClr>
                  </w14:solidFill>
                </w14:textFill>
              </w:rPr>
              <w:t>|</w:t>
            </w:r>
            <w:r w:rsidR="00981AF2" w:rsidRPr="00981AF2">
              <w:rPr>
                <w:rFonts w:hint="eastAsia"/>
                <w:color w:val="000000"/>
                <w:spacing w:val="3"/>
                <w:w w:val="15"/>
                <w:shd w:val="solid" w:color="000000" w:fill="000000"/>
                <w:fitText w:val="69" w:id="-1436348924"/>
                <w14:textFill>
                  <w14:solidFill>
                    <w14:srgbClr w14:val="000000">
                      <w14:alpha w14:val="100000"/>
                    </w14:srgbClr>
                  </w14:solidFill>
                </w14:textFill>
              </w:rPr>
              <w:t xml:space="preserve">　</w:t>
            </w:r>
            <w:r w:rsidR="009A7246">
              <w:rPr>
                <w:bCs w:val="0"/>
                <w:vertAlign w:val="superscript"/>
              </w:rPr>
              <w:t>4</w:t>
            </w:r>
          </w:p>
        </w:tc>
        <w:tc>
          <w:tcPr>
            <w:tcW w:w="647" w:type="pct"/>
            <w:shd w:val="clear" w:color="auto" w:fill="auto"/>
            <w:vAlign w:val="center"/>
          </w:tcPr>
          <w:p w14:paraId="536B6490" w14:textId="4D3919CE" w:rsidR="009F368D" w:rsidRPr="00C14A5F" w:rsidRDefault="009F368D" w:rsidP="009F368D">
            <w:pPr>
              <w:pStyle w:val="TableText0"/>
              <w:jc w:val="center"/>
            </w:pPr>
            <w:r w:rsidRPr="00C14A5F">
              <w:t>$</w:t>
            </w:r>
            <w:r w:rsidR="00981AF2" w:rsidRPr="00981AF2">
              <w:rPr>
                <w:rFonts w:hint="eastAsia"/>
                <w:color w:val="000000"/>
                <w:w w:val="15"/>
                <w:shd w:val="solid" w:color="000000" w:fill="000000"/>
                <w:fitText w:val="70" w:id="-1436348923"/>
                <w14:textFill>
                  <w14:solidFill>
                    <w14:srgbClr w14:val="000000">
                      <w14:alpha w14:val="100000"/>
                    </w14:srgbClr>
                  </w14:solidFill>
                </w14:textFill>
              </w:rPr>
              <w:t xml:space="preserve">　</w:t>
            </w:r>
            <w:r w:rsidR="00981AF2" w:rsidRPr="00981AF2">
              <w:rPr>
                <w:color w:val="000000"/>
                <w:w w:val="15"/>
                <w:shd w:val="solid" w:color="000000" w:fill="000000"/>
                <w:fitText w:val="70" w:id="-1436348923"/>
                <w14:textFill>
                  <w14:solidFill>
                    <w14:srgbClr w14:val="000000">
                      <w14:alpha w14:val="100000"/>
                    </w14:srgbClr>
                  </w14:solidFill>
                </w14:textFill>
              </w:rPr>
              <w:t>|</w:t>
            </w:r>
            <w:r w:rsidR="00981AF2" w:rsidRPr="00981AF2">
              <w:rPr>
                <w:rFonts w:hint="eastAsia"/>
                <w:color w:val="000000"/>
                <w:spacing w:val="4"/>
                <w:w w:val="15"/>
                <w:shd w:val="solid" w:color="000000" w:fill="000000"/>
                <w:fitText w:val="70" w:id="-1436348923"/>
                <w14:textFill>
                  <w14:solidFill>
                    <w14:srgbClr w14:val="000000">
                      <w14:alpha w14:val="100000"/>
                    </w14:srgbClr>
                  </w14:solidFill>
                </w14:textFill>
              </w:rPr>
              <w:t xml:space="preserve">　</w:t>
            </w:r>
            <w:r w:rsidR="009A7246">
              <w:rPr>
                <w:bCs w:val="0"/>
                <w:vertAlign w:val="superscript"/>
              </w:rPr>
              <w:t>4</w:t>
            </w:r>
          </w:p>
        </w:tc>
        <w:tc>
          <w:tcPr>
            <w:tcW w:w="647" w:type="pct"/>
            <w:shd w:val="clear" w:color="auto" w:fill="auto"/>
            <w:vAlign w:val="center"/>
          </w:tcPr>
          <w:p w14:paraId="59FDCFDD" w14:textId="667F944B" w:rsidR="009F368D" w:rsidRPr="003639A6" w:rsidRDefault="009F368D" w:rsidP="009F368D">
            <w:pPr>
              <w:pStyle w:val="TableText0"/>
              <w:jc w:val="center"/>
            </w:pPr>
            <w:r w:rsidRPr="001F65A0">
              <w:t>$</w:t>
            </w:r>
            <w:r w:rsidR="00981AF2" w:rsidRPr="00981AF2">
              <w:rPr>
                <w:rFonts w:hint="eastAsia"/>
                <w:color w:val="000000"/>
                <w:w w:val="15"/>
                <w:shd w:val="solid" w:color="000000" w:fill="000000"/>
                <w:fitText w:val="69" w:id="-1436348922"/>
                <w14:textFill>
                  <w14:solidFill>
                    <w14:srgbClr w14:val="000000">
                      <w14:alpha w14:val="100000"/>
                    </w14:srgbClr>
                  </w14:solidFill>
                </w14:textFill>
              </w:rPr>
              <w:t xml:space="preserve">　</w:t>
            </w:r>
            <w:r w:rsidR="00981AF2" w:rsidRPr="00981AF2">
              <w:rPr>
                <w:color w:val="000000"/>
                <w:w w:val="15"/>
                <w:shd w:val="solid" w:color="000000" w:fill="000000"/>
                <w:fitText w:val="69" w:id="-1436348922"/>
                <w14:textFill>
                  <w14:solidFill>
                    <w14:srgbClr w14:val="000000">
                      <w14:alpha w14:val="100000"/>
                    </w14:srgbClr>
                  </w14:solidFill>
                </w14:textFill>
              </w:rPr>
              <w:t>|</w:t>
            </w:r>
            <w:r w:rsidR="00981AF2" w:rsidRPr="00981AF2">
              <w:rPr>
                <w:rFonts w:hint="eastAsia"/>
                <w:color w:val="000000"/>
                <w:spacing w:val="3"/>
                <w:w w:val="15"/>
                <w:shd w:val="solid" w:color="000000" w:fill="000000"/>
                <w:fitText w:val="69" w:id="-1436348922"/>
                <w14:textFill>
                  <w14:solidFill>
                    <w14:srgbClr w14:val="000000">
                      <w14:alpha w14:val="100000"/>
                    </w14:srgbClr>
                  </w14:solidFill>
                </w14:textFill>
              </w:rPr>
              <w:t xml:space="preserve">　</w:t>
            </w:r>
            <w:r w:rsidR="009A7246">
              <w:rPr>
                <w:bCs w:val="0"/>
                <w:vertAlign w:val="superscript"/>
              </w:rPr>
              <w:t>4</w:t>
            </w:r>
          </w:p>
        </w:tc>
        <w:tc>
          <w:tcPr>
            <w:tcW w:w="649" w:type="pct"/>
            <w:vAlign w:val="center"/>
          </w:tcPr>
          <w:p w14:paraId="791C2C2C" w14:textId="482CFBC7" w:rsidR="009F368D" w:rsidRPr="003639A6" w:rsidRDefault="009F368D" w:rsidP="009F368D">
            <w:pPr>
              <w:pStyle w:val="TableText0"/>
              <w:jc w:val="center"/>
            </w:pPr>
            <w:r w:rsidRPr="001F65A0">
              <w:t>$</w:t>
            </w:r>
            <w:r w:rsidR="00981AF2" w:rsidRPr="00981AF2">
              <w:rPr>
                <w:rFonts w:hint="eastAsia"/>
                <w:color w:val="000000"/>
                <w:w w:val="15"/>
                <w:shd w:val="solid" w:color="000000" w:fill="000000"/>
                <w:fitText w:val="69" w:id="-1436348921"/>
                <w14:textFill>
                  <w14:solidFill>
                    <w14:srgbClr w14:val="000000">
                      <w14:alpha w14:val="100000"/>
                    </w14:srgbClr>
                  </w14:solidFill>
                </w14:textFill>
              </w:rPr>
              <w:t xml:space="preserve">　</w:t>
            </w:r>
            <w:r w:rsidR="00981AF2" w:rsidRPr="00981AF2">
              <w:rPr>
                <w:color w:val="000000"/>
                <w:w w:val="15"/>
                <w:shd w:val="solid" w:color="000000" w:fill="000000"/>
                <w:fitText w:val="69" w:id="-1436348921"/>
                <w14:textFill>
                  <w14:solidFill>
                    <w14:srgbClr w14:val="000000">
                      <w14:alpha w14:val="100000"/>
                    </w14:srgbClr>
                  </w14:solidFill>
                </w14:textFill>
              </w:rPr>
              <w:t>|</w:t>
            </w:r>
            <w:r w:rsidR="00981AF2" w:rsidRPr="00981AF2">
              <w:rPr>
                <w:rFonts w:hint="eastAsia"/>
                <w:color w:val="000000"/>
                <w:spacing w:val="3"/>
                <w:w w:val="15"/>
                <w:shd w:val="solid" w:color="000000" w:fill="000000"/>
                <w:fitText w:val="69" w:id="-1436348921"/>
                <w14:textFill>
                  <w14:solidFill>
                    <w14:srgbClr w14:val="000000">
                      <w14:alpha w14:val="100000"/>
                    </w14:srgbClr>
                  </w14:solidFill>
                </w14:textFill>
              </w:rPr>
              <w:t xml:space="preserve">　</w:t>
            </w:r>
            <w:r w:rsidR="009A7246">
              <w:rPr>
                <w:bCs w:val="0"/>
                <w:vertAlign w:val="superscript"/>
              </w:rPr>
              <w:t>4</w:t>
            </w:r>
          </w:p>
        </w:tc>
      </w:tr>
      <w:tr w:rsidR="001E13C2" w:rsidRPr="003639A6" w14:paraId="59806953" w14:textId="77777777" w:rsidTr="003F1398">
        <w:tc>
          <w:tcPr>
            <w:tcW w:w="1116" w:type="pct"/>
            <w:shd w:val="clear" w:color="auto" w:fill="auto"/>
            <w:vAlign w:val="center"/>
          </w:tcPr>
          <w:p w14:paraId="0D82D379" w14:textId="77777777" w:rsidR="001E13C2" w:rsidRPr="003639A6" w:rsidRDefault="001E13C2" w:rsidP="001E13C2">
            <w:pPr>
              <w:pStyle w:val="TableText0"/>
              <w:rPr>
                <w:rFonts w:ascii="Times" w:hAnsi="Times"/>
              </w:rPr>
            </w:pPr>
            <w:r>
              <w:rPr>
                <w:sz w:val="19"/>
                <w:szCs w:val="19"/>
              </w:rPr>
              <w:t>Net cost to</w:t>
            </w:r>
            <w:r w:rsidRPr="003639A6">
              <w:rPr>
                <w:sz w:val="19"/>
                <w:szCs w:val="19"/>
              </w:rPr>
              <w:t xml:space="preserve"> </w:t>
            </w:r>
            <w:r>
              <w:rPr>
                <w:sz w:val="19"/>
                <w:szCs w:val="19"/>
              </w:rPr>
              <w:t>MBS</w:t>
            </w:r>
          </w:p>
        </w:tc>
        <w:tc>
          <w:tcPr>
            <w:tcW w:w="647" w:type="pct"/>
            <w:shd w:val="clear" w:color="auto" w:fill="auto"/>
            <w:vAlign w:val="center"/>
          </w:tcPr>
          <w:p w14:paraId="6EF77610" w14:textId="6FBB0298" w:rsidR="001E13C2" w:rsidRPr="00C14A5F" w:rsidRDefault="001E13C2" w:rsidP="001E13C2">
            <w:pPr>
              <w:pStyle w:val="TableText0"/>
              <w:jc w:val="center"/>
            </w:pPr>
            <w:r w:rsidRPr="00C14A5F">
              <w:t>-$</w:t>
            </w:r>
            <w:r w:rsidR="00981AF2" w:rsidRPr="00981AF2">
              <w:rPr>
                <w:rFonts w:hint="eastAsia"/>
                <w:color w:val="000000"/>
                <w:w w:val="21"/>
                <w:shd w:val="solid" w:color="000000" w:fill="000000"/>
                <w:fitText w:val="93" w:id="-1436348920"/>
                <w14:textFill>
                  <w14:solidFill>
                    <w14:srgbClr w14:val="000000">
                      <w14:alpha w14:val="100000"/>
                    </w14:srgbClr>
                  </w14:solidFill>
                </w14:textFill>
              </w:rPr>
              <w:t xml:space="preserve">　</w:t>
            </w:r>
            <w:r w:rsidR="00981AF2" w:rsidRPr="00981AF2">
              <w:rPr>
                <w:color w:val="000000"/>
                <w:w w:val="21"/>
                <w:shd w:val="solid" w:color="000000" w:fill="000000"/>
                <w:fitText w:val="93" w:id="-1436348920"/>
                <w14:textFill>
                  <w14:solidFill>
                    <w14:srgbClr w14:val="000000">
                      <w14:alpha w14:val="100000"/>
                    </w14:srgbClr>
                  </w14:solidFill>
                </w14:textFill>
              </w:rPr>
              <w:t>|</w:t>
            </w:r>
            <w:r w:rsidR="00981AF2" w:rsidRPr="00981AF2">
              <w:rPr>
                <w:rFonts w:hint="eastAsia"/>
                <w:color w:val="000000"/>
                <w:spacing w:val="2"/>
                <w:w w:val="21"/>
                <w:shd w:val="solid" w:color="000000" w:fill="000000"/>
                <w:fitText w:val="93" w:id="-1436348920"/>
                <w14:textFill>
                  <w14:solidFill>
                    <w14:srgbClr w14:val="000000">
                      <w14:alpha w14:val="100000"/>
                    </w14:srgbClr>
                  </w14:solidFill>
                </w14:textFill>
              </w:rPr>
              <w:t xml:space="preserve">　</w:t>
            </w:r>
            <w:r w:rsidR="009A7246">
              <w:rPr>
                <w:bCs w:val="0"/>
                <w:vertAlign w:val="superscript"/>
              </w:rPr>
              <w:t>4</w:t>
            </w:r>
          </w:p>
        </w:tc>
        <w:tc>
          <w:tcPr>
            <w:tcW w:w="647" w:type="pct"/>
            <w:shd w:val="clear" w:color="auto" w:fill="auto"/>
            <w:vAlign w:val="center"/>
          </w:tcPr>
          <w:p w14:paraId="26792AFE" w14:textId="6908E6EF" w:rsidR="001E13C2" w:rsidRPr="00C14A5F" w:rsidRDefault="001E13C2" w:rsidP="001E13C2">
            <w:pPr>
              <w:pStyle w:val="TableText0"/>
              <w:jc w:val="center"/>
            </w:pPr>
            <w:r w:rsidRPr="00C14A5F">
              <w:t>-$</w:t>
            </w:r>
            <w:r w:rsidR="00981AF2" w:rsidRPr="00981AF2">
              <w:rPr>
                <w:rFonts w:hint="eastAsia"/>
                <w:color w:val="000000"/>
                <w:w w:val="20"/>
                <w:shd w:val="solid" w:color="000000" w:fill="000000"/>
                <w:fitText w:val="92" w:id="-1436348919"/>
                <w14:textFill>
                  <w14:solidFill>
                    <w14:srgbClr w14:val="000000">
                      <w14:alpha w14:val="100000"/>
                    </w14:srgbClr>
                  </w14:solidFill>
                </w14:textFill>
              </w:rPr>
              <w:t xml:space="preserve">　</w:t>
            </w:r>
            <w:r w:rsidR="00981AF2" w:rsidRPr="00981AF2">
              <w:rPr>
                <w:color w:val="000000"/>
                <w:w w:val="20"/>
                <w:shd w:val="solid" w:color="000000" w:fill="000000"/>
                <w:fitText w:val="92" w:id="-1436348919"/>
                <w14:textFill>
                  <w14:solidFill>
                    <w14:srgbClr w14:val="000000">
                      <w14:alpha w14:val="100000"/>
                    </w14:srgbClr>
                  </w14:solidFill>
                </w14:textFill>
              </w:rPr>
              <w:t>|</w:t>
            </w:r>
            <w:r w:rsidR="00981AF2" w:rsidRPr="00981AF2">
              <w:rPr>
                <w:rFonts w:hint="eastAsia"/>
                <w:color w:val="000000"/>
                <w:spacing w:val="5"/>
                <w:w w:val="20"/>
                <w:shd w:val="solid" w:color="000000" w:fill="000000"/>
                <w:fitText w:val="92" w:id="-1436348919"/>
                <w14:textFill>
                  <w14:solidFill>
                    <w14:srgbClr w14:val="000000">
                      <w14:alpha w14:val="100000"/>
                    </w14:srgbClr>
                  </w14:solidFill>
                </w14:textFill>
              </w:rPr>
              <w:t xml:space="preserve">　</w:t>
            </w:r>
            <w:r w:rsidR="009A7246">
              <w:rPr>
                <w:bCs w:val="0"/>
                <w:vertAlign w:val="superscript"/>
              </w:rPr>
              <w:t>4</w:t>
            </w:r>
          </w:p>
        </w:tc>
        <w:tc>
          <w:tcPr>
            <w:tcW w:w="647" w:type="pct"/>
            <w:shd w:val="clear" w:color="auto" w:fill="auto"/>
            <w:vAlign w:val="center"/>
          </w:tcPr>
          <w:p w14:paraId="11730A66" w14:textId="18F8CAAB" w:rsidR="001E13C2" w:rsidRPr="00C14A5F" w:rsidRDefault="001E13C2" w:rsidP="001E13C2">
            <w:pPr>
              <w:pStyle w:val="TableText0"/>
              <w:jc w:val="center"/>
            </w:pPr>
            <w:r w:rsidRPr="00C14A5F">
              <w:t>-$</w:t>
            </w:r>
            <w:r w:rsidR="00981AF2" w:rsidRPr="00981AF2">
              <w:rPr>
                <w:rFonts w:hint="eastAsia"/>
                <w:color w:val="000000"/>
                <w:w w:val="21"/>
                <w:shd w:val="solid" w:color="000000" w:fill="000000"/>
                <w:fitText w:val="93" w:id="-1436348918"/>
                <w14:textFill>
                  <w14:solidFill>
                    <w14:srgbClr w14:val="000000">
                      <w14:alpha w14:val="100000"/>
                    </w14:srgbClr>
                  </w14:solidFill>
                </w14:textFill>
              </w:rPr>
              <w:t xml:space="preserve">　</w:t>
            </w:r>
            <w:r w:rsidR="00981AF2" w:rsidRPr="00981AF2">
              <w:rPr>
                <w:color w:val="000000"/>
                <w:w w:val="21"/>
                <w:shd w:val="solid" w:color="000000" w:fill="000000"/>
                <w:fitText w:val="93" w:id="-1436348918"/>
                <w14:textFill>
                  <w14:solidFill>
                    <w14:srgbClr w14:val="000000">
                      <w14:alpha w14:val="100000"/>
                    </w14:srgbClr>
                  </w14:solidFill>
                </w14:textFill>
              </w:rPr>
              <w:t>|</w:t>
            </w:r>
            <w:r w:rsidR="00981AF2" w:rsidRPr="00981AF2">
              <w:rPr>
                <w:rFonts w:hint="eastAsia"/>
                <w:color w:val="000000"/>
                <w:spacing w:val="2"/>
                <w:w w:val="21"/>
                <w:shd w:val="solid" w:color="000000" w:fill="000000"/>
                <w:fitText w:val="93" w:id="-1436348918"/>
                <w14:textFill>
                  <w14:solidFill>
                    <w14:srgbClr w14:val="000000">
                      <w14:alpha w14:val="100000"/>
                    </w14:srgbClr>
                  </w14:solidFill>
                </w14:textFill>
              </w:rPr>
              <w:t xml:space="preserve">　</w:t>
            </w:r>
            <w:r w:rsidR="009A7246">
              <w:rPr>
                <w:bCs w:val="0"/>
                <w:vertAlign w:val="superscript"/>
              </w:rPr>
              <w:t>4</w:t>
            </w:r>
          </w:p>
        </w:tc>
        <w:tc>
          <w:tcPr>
            <w:tcW w:w="647" w:type="pct"/>
            <w:shd w:val="clear" w:color="auto" w:fill="auto"/>
            <w:vAlign w:val="center"/>
          </w:tcPr>
          <w:p w14:paraId="0562A068" w14:textId="0582181E" w:rsidR="001E13C2" w:rsidRPr="00C14A5F" w:rsidRDefault="001E13C2" w:rsidP="001E13C2">
            <w:pPr>
              <w:pStyle w:val="TableText0"/>
              <w:jc w:val="center"/>
            </w:pPr>
            <w:r w:rsidRPr="00C14A5F">
              <w:t>-$</w:t>
            </w:r>
            <w:r w:rsidR="00981AF2" w:rsidRPr="00981AF2">
              <w:rPr>
                <w:rFonts w:hint="eastAsia"/>
                <w:color w:val="000000"/>
                <w:w w:val="21"/>
                <w:shd w:val="solid" w:color="000000" w:fill="000000"/>
                <w:fitText w:val="93" w:id="-1436348917"/>
                <w14:textFill>
                  <w14:solidFill>
                    <w14:srgbClr w14:val="000000">
                      <w14:alpha w14:val="100000"/>
                    </w14:srgbClr>
                  </w14:solidFill>
                </w14:textFill>
              </w:rPr>
              <w:t xml:space="preserve">　</w:t>
            </w:r>
            <w:r w:rsidR="00981AF2" w:rsidRPr="00981AF2">
              <w:rPr>
                <w:color w:val="000000"/>
                <w:w w:val="21"/>
                <w:shd w:val="solid" w:color="000000" w:fill="000000"/>
                <w:fitText w:val="93" w:id="-1436348917"/>
                <w14:textFill>
                  <w14:solidFill>
                    <w14:srgbClr w14:val="000000">
                      <w14:alpha w14:val="100000"/>
                    </w14:srgbClr>
                  </w14:solidFill>
                </w14:textFill>
              </w:rPr>
              <w:t>|</w:t>
            </w:r>
            <w:r w:rsidR="00981AF2" w:rsidRPr="00981AF2">
              <w:rPr>
                <w:rFonts w:hint="eastAsia"/>
                <w:color w:val="000000"/>
                <w:spacing w:val="2"/>
                <w:w w:val="21"/>
                <w:shd w:val="solid" w:color="000000" w:fill="000000"/>
                <w:fitText w:val="93" w:id="-1436348917"/>
                <w14:textFill>
                  <w14:solidFill>
                    <w14:srgbClr w14:val="000000">
                      <w14:alpha w14:val="100000"/>
                    </w14:srgbClr>
                  </w14:solidFill>
                </w14:textFill>
              </w:rPr>
              <w:t xml:space="preserve">　</w:t>
            </w:r>
            <w:r w:rsidR="009A7246">
              <w:rPr>
                <w:bCs w:val="0"/>
                <w:vertAlign w:val="superscript"/>
              </w:rPr>
              <w:t>4</w:t>
            </w:r>
          </w:p>
        </w:tc>
        <w:tc>
          <w:tcPr>
            <w:tcW w:w="647" w:type="pct"/>
            <w:shd w:val="clear" w:color="auto" w:fill="auto"/>
            <w:vAlign w:val="center"/>
          </w:tcPr>
          <w:p w14:paraId="33B075D9" w14:textId="117F0D1A" w:rsidR="001E13C2" w:rsidRPr="003639A6" w:rsidRDefault="001E13C2" w:rsidP="001E13C2">
            <w:pPr>
              <w:pStyle w:val="TableText0"/>
              <w:jc w:val="center"/>
            </w:pPr>
            <w:r w:rsidRPr="001F65A0">
              <w:t>-$</w:t>
            </w:r>
            <w:r w:rsidR="00981AF2" w:rsidRPr="00981AF2">
              <w:rPr>
                <w:rFonts w:hint="eastAsia"/>
                <w:color w:val="000000"/>
                <w:w w:val="20"/>
                <w:shd w:val="solid" w:color="000000" w:fill="000000"/>
                <w:fitText w:val="92" w:id="-1436348916"/>
                <w14:textFill>
                  <w14:solidFill>
                    <w14:srgbClr w14:val="000000">
                      <w14:alpha w14:val="100000"/>
                    </w14:srgbClr>
                  </w14:solidFill>
                </w14:textFill>
              </w:rPr>
              <w:t xml:space="preserve">　</w:t>
            </w:r>
            <w:r w:rsidR="00981AF2" w:rsidRPr="00981AF2">
              <w:rPr>
                <w:color w:val="000000"/>
                <w:w w:val="20"/>
                <w:shd w:val="solid" w:color="000000" w:fill="000000"/>
                <w:fitText w:val="92" w:id="-1436348916"/>
                <w14:textFill>
                  <w14:solidFill>
                    <w14:srgbClr w14:val="000000">
                      <w14:alpha w14:val="100000"/>
                    </w14:srgbClr>
                  </w14:solidFill>
                </w14:textFill>
              </w:rPr>
              <w:t>|</w:t>
            </w:r>
            <w:r w:rsidR="00981AF2" w:rsidRPr="00981AF2">
              <w:rPr>
                <w:rFonts w:hint="eastAsia"/>
                <w:color w:val="000000"/>
                <w:spacing w:val="5"/>
                <w:w w:val="20"/>
                <w:shd w:val="solid" w:color="000000" w:fill="000000"/>
                <w:fitText w:val="92" w:id="-1436348916"/>
                <w14:textFill>
                  <w14:solidFill>
                    <w14:srgbClr w14:val="000000">
                      <w14:alpha w14:val="100000"/>
                    </w14:srgbClr>
                  </w14:solidFill>
                </w14:textFill>
              </w:rPr>
              <w:t xml:space="preserve">　</w:t>
            </w:r>
            <w:r w:rsidR="009A7246">
              <w:rPr>
                <w:bCs w:val="0"/>
                <w:vertAlign w:val="superscript"/>
              </w:rPr>
              <w:t>4</w:t>
            </w:r>
          </w:p>
        </w:tc>
        <w:tc>
          <w:tcPr>
            <w:tcW w:w="649" w:type="pct"/>
            <w:vAlign w:val="center"/>
          </w:tcPr>
          <w:p w14:paraId="13A5C4ED" w14:textId="66BB2C3B" w:rsidR="001E13C2" w:rsidRPr="003639A6" w:rsidRDefault="001E13C2" w:rsidP="001E13C2">
            <w:pPr>
              <w:pStyle w:val="TableText0"/>
              <w:jc w:val="center"/>
            </w:pPr>
            <w:r w:rsidRPr="001F65A0">
              <w:t>-$</w:t>
            </w:r>
            <w:r w:rsidR="00981AF2" w:rsidRPr="00981AF2">
              <w:rPr>
                <w:rFonts w:hint="eastAsia"/>
                <w:color w:val="000000"/>
                <w:w w:val="19"/>
                <w:shd w:val="solid" w:color="000000" w:fill="000000"/>
                <w:fitText w:val="85" w:id="-1436348915"/>
                <w14:textFill>
                  <w14:solidFill>
                    <w14:srgbClr w14:val="000000">
                      <w14:alpha w14:val="100000"/>
                    </w14:srgbClr>
                  </w14:solidFill>
                </w14:textFill>
              </w:rPr>
              <w:t xml:space="preserve">　</w:t>
            </w:r>
            <w:r w:rsidR="00981AF2" w:rsidRPr="00981AF2">
              <w:rPr>
                <w:color w:val="000000"/>
                <w:w w:val="19"/>
                <w:shd w:val="solid" w:color="000000" w:fill="000000"/>
                <w:fitText w:val="85" w:id="-1436348915"/>
                <w14:textFill>
                  <w14:solidFill>
                    <w14:srgbClr w14:val="000000">
                      <w14:alpha w14:val="100000"/>
                    </w14:srgbClr>
                  </w14:solidFill>
                </w14:textFill>
              </w:rPr>
              <w:t>|</w:t>
            </w:r>
            <w:r w:rsidR="00981AF2" w:rsidRPr="00981AF2">
              <w:rPr>
                <w:rFonts w:hint="eastAsia"/>
                <w:color w:val="000000"/>
                <w:spacing w:val="1"/>
                <w:w w:val="19"/>
                <w:shd w:val="solid" w:color="000000" w:fill="000000"/>
                <w:fitText w:val="85" w:id="-1436348915"/>
                <w14:textFill>
                  <w14:solidFill>
                    <w14:srgbClr w14:val="000000">
                      <w14:alpha w14:val="100000"/>
                    </w14:srgbClr>
                  </w14:solidFill>
                </w14:textFill>
              </w:rPr>
              <w:t xml:space="preserve">　</w:t>
            </w:r>
            <w:r w:rsidR="009A7246">
              <w:rPr>
                <w:bCs w:val="0"/>
                <w:vertAlign w:val="superscript"/>
              </w:rPr>
              <w:t>4</w:t>
            </w:r>
          </w:p>
        </w:tc>
      </w:tr>
    </w:tbl>
    <w:p w14:paraId="3E1B4D14" w14:textId="77777777" w:rsidR="002839C5" w:rsidRPr="008A4B69" w:rsidRDefault="005C0589" w:rsidP="005C0589">
      <w:pPr>
        <w:pStyle w:val="TableFigureFooter"/>
        <w:rPr>
          <w:iCs/>
        </w:rPr>
      </w:pPr>
      <w:r>
        <w:t xml:space="preserve">Source: Table 4-29, p169 and Attachment 4.6 of the submission. </w:t>
      </w:r>
      <w:r w:rsidRPr="00812212">
        <w:t>And corrected during the evaluation</w:t>
      </w:r>
    </w:p>
    <w:p w14:paraId="2E557BF5" w14:textId="07DA38C7" w:rsidR="005C0589" w:rsidRDefault="002839C5" w:rsidP="005C0589">
      <w:pPr>
        <w:pStyle w:val="TableFigureFooter"/>
        <w:rPr>
          <w:rStyle w:val="CommentReference"/>
        </w:rPr>
      </w:pPr>
      <w:r w:rsidRPr="001F65A0">
        <w:rPr>
          <w:iCs/>
        </w:rPr>
        <w:t>Abbreviations: FCD, Fistulising Crohn’s Disease</w:t>
      </w:r>
      <w:r w:rsidRPr="001F65A0">
        <w:t xml:space="preserve">; </w:t>
      </w:r>
      <w:r w:rsidRPr="001F65A0">
        <w:rPr>
          <w:iCs/>
        </w:rPr>
        <w:t xml:space="preserve">PBS, Pharmaceutical Benefits Scheme; </w:t>
      </w:r>
      <w:r w:rsidR="00A668E0" w:rsidRPr="0031331C">
        <w:t>RPBS, Repatriations Pharmaceutical Benefits Scheme</w:t>
      </w:r>
      <w:r w:rsidR="00A668E0">
        <w:rPr>
          <w:iCs/>
        </w:rPr>
        <w:t xml:space="preserve">; </w:t>
      </w:r>
      <w:r w:rsidRPr="001F65A0">
        <w:rPr>
          <w:iCs/>
        </w:rPr>
        <w:t>MBS, Medicare Benefits Scheme</w:t>
      </w:r>
      <w:r>
        <w:rPr>
          <w:iCs/>
        </w:rPr>
        <w:t>.</w:t>
      </w:r>
    </w:p>
    <w:p w14:paraId="20812193" w14:textId="2B820CAB" w:rsidR="005C0589" w:rsidRDefault="005C0589" w:rsidP="005C0589">
      <w:pPr>
        <w:pStyle w:val="TableFigureFooter"/>
      </w:pPr>
      <w:r w:rsidRPr="003639A6">
        <w:rPr>
          <w:vertAlign w:val="superscript"/>
        </w:rPr>
        <w:t>a</w:t>
      </w:r>
      <w:r>
        <w:t xml:space="preserve"> </w:t>
      </w:r>
      <w:r w:rsidRPr="003639A6">
        <w:t xml:space="preserve">Assuming </w:t>
      </w:r>
      <w:r w:rsidR="00981AF2" w:rsidRPr="00981AF2">
        <w:rPr>
          <w:color w:val="000000"/>
          <w:spacing w:val="37"/>
          <w:shd w:val="solid" w:color="000000" w:fill="000000"/>
          <w:fitText w:val="272" w:id="-1436348914"/>
          <w14:textFill>
            <w14:solidFill>
              <w14:srgbClr w14:val="000000">
                <w14:alpha w14:val="100000"/>
              </w14:srgbClr>
            </w14:solidFill>
          </w14:textFill>
        </w:rPr>
        <w:t xml:space="preserve">|  </w:t>
      </w:r>
      <w:r w:rsidR="00981AF2" w:rsidRPr="00981AF2">
        <w:rPr>
          <w:color w:val="000000"/>
          <w:spacing w:val="3"/>
          <w:shd w:val="solid" w:color="000000" w:fill="000000"/>
          <w:fitText w:val="272" w:id="-1436348914"/>
          <w14:textFill>
            <w14:solidFill>
              <w14:srgbClr w14:val="000000">
                <w14:alpha w14:val="100000"/>
              </w14:srgbClr>
            </w14:solidFill>
          </w14:textFill>
        </w:rPr>
        <w:t>|</w:t>
      </w:r>
      <w:r>
        <w:t xml:space="preserve"> scripts</w:t>
      </w:r>
      <w:r w:rsidRPr="003639A6">
        <w:t xml:space="preserve"> per year</w:t>
      </w:r>
      <w:r>
        <w:t xml:space="preserve"> (</w:t>
      </w:r>
      <w:r w:rsidR="00981AF2" w:rsidRPr="00981AF2">
        <w:rPr>
          <w:color w:val="000000"/>
          <w:spacing w:val="40"/>
          <w:shd w:val="solid" w:color="000000" w:fill="000000"/>
          <w:fitText w:val="280" w:id="-1436348913"/>
          <w14:textFill>
            <w14:solidFill>
              <w14:srgbClr w14:val="000000">
                <w14:alpha w14:val="100000"/>
              </w14:srgbClr>
            </w14:solidFill>
          </w14:textFill>
        </w:rPr>
        <w:t xml:space="preserve">|  </w:t>
      </w:r>
      <w:r w:rsidR="00981AF2" w:rsidRPr="00981AF2">
        <w:rPr>
          <w:color w:val="000000"/>
          <w:spacing w:val="2"/>
          <w:shd w:val="solid" w:color="000000" w:fill="000000"/>
          <w:fitText w:val="280" w:id="-1436348913"/>
          <w14:textFill>
            <w14:solidFill>
              <w14:srgbClr w14:val="000000">
                <w14:alpha w14:val="100000"/>
              </w14:srgbClr>
            </w14:solidFill>
          </w14:textFill>
        </w:rPr>
        <w:t>|</w:t>
      </w:r>
      <w:r>
        <w:t xml:space="preserve"> scripts in the first year of treatment)</w:t>
      </w:r>
      <w:r w:rsidRPr="003639A6">
        <w:t xml:space="preserve"> as estimated by the submission.</w:t>
      </w:r>
    </w:p>
    <w:p w14:paraId="28BB8315" w14:textId="77777777" w:rsidR="009A7246" w:rsidRPr="00317748" w:rsidRDefault="009A7246" w:rsidP="009A7246">
      <w:pPr>
        <w:pStyle w:val="TableFigureFooter"/>
        <w:keepNext/>
        <w:spacing w:after="0"/>
        <w:contextualSpacing w:val="0"/>
        <w:rPr>
          <w:i/>
        </w:rPr>
      </w:pPr>
      <w:r w:rsidRPr="00317748">
        <w:rPr>
          <w:i/>
        </w:rPr>
        <w:t>The redacted values correspond to the following ranges:</w:t>
      </w:r>
    </w:p>
    <w:p w14:paraId="3CA08BE7" w14:textId="4812DD64" w:rsidR="009A7246" w:rsidRPr="00281DAB" w:rsidRDefault="009A7246" w:rsidP="009A7246">
      <w:pPr>
        <w:pStyle w:val="TableFigureFooter"/>
        <w:keepNext/>
        <w:spacing w:after="0"/>
        <w:contextualSpacing w:val="0"/>
      </w:pPr>
      <w:r w:rsidRPr="00317748">
        <w:rPr>
          <w:i/>
          <w:szCs w:val="18"/>
          <w:vertAlign w:val="superscript"/>
        </w:rPr>
        <w:t>1</w:t>
      </w:r>
      <w:r w:rsidRPr="00317748">
        <w:rPr>
          <w:i/>
          <w:szCs w:val="18"/>
        </w:rPr>
        <w:t xml:space="preserve"> </w:t>
      </w:r>
      <w:r w:rsidRPr="009A7246">
        <w:rPr>
          <w:i/>
          <w:szCs w:val="18"/>
        </w:rPr>
        <w:t>500 to &lt; 5,000</w:t>
      </w:r>
    </w:p>
    <w:p w14:paraId="7623FD7F" w14:textId="0D3EC5DD" w:rsidR="009A7246" w:rsidRPr="00317748" w:rsidRDefault="009A7246" w:rsidP="009A7246">
      <w:pPr>
        <w:rPr>
          <w:rFonts w:ascii="Arial Narrow" w:hAnsi="Arial Narrow"/>
          <w:i/>
          <w:sz w:val="18"/>
          <w:szCs w:val="18"/>
        </w:rPr>
      </w:pPr>
      <w:r w:rsidRPr="00317748">
        <w:rPr>
          <w:rFonts w:ascii="Arial Narrow" w:hAnsi="Arial Narrow"/>
          <w:i/>
          <w:sz w:val="18"/>
          <w:szCs w:val="18"/>
          <w:vertAlign w:val="superscript"/>
        </w:rPr>
        <w:t>2</w:t>
      </w:r>
      <w:r w:rsidRPr="00317748">
        <w:rPr>
          <w:rFonts w:ascii="Arial Narrow" w:hAnsi="Arial Narrow"/>
          <w:i/>
          <w:sz w:val="18"/>
          <w:szCs w:val="18"/>
        </w:rPr>
        <w:t xml:space="preserve"> </w:t>
      </w:r>
      <w:r>
        <w:rPr>
          <w:rFonts w:ascii="Arial Narrow" w:hAnsi="Arial Narrow"/>
          <w:i/>
          <w:sz w:val="18"/>
          <w:szCs w:val="18"/>
        </w:rPr>
        <w:t>5</w:t>
      </w:r>
      <w:r w:rsidRPr="00317748">
        <w:rPr>
          <w:rFonts w:ascii="Arial Narrow" w:hAnsi="Arial Narrow"/>
          <w:i/>
          <w:sz w:val="18"/>
          <w:szCs w:val="18"/>
        </w:rPr>
        <w:t>,000 to &lt;</w:t>
      </w:r>
      <w:r>
        <w:rPr>
          <w:rFonts w:ascii="Arial Narrow" w:hAnsi="Arial Narrow"/>
          <w:i/>
          <w:sz w:val="18"/>
          <w:szCs w:val="18"/>
        </w:rPr>
        <w:t xml:space="preserve"> 1</w:t>
      </w:r>
      <w:r w:rsidRPr="00317748">
        <w:rPr>
          <w:rFonts w:ascii="Arial Narrow" w:hAnsi="Arial Narrow"/>
          <w:i/>
          <w:sz w:val="18"/>
          <w:szCs w:val="18"/>
        </w:rPr>
        <w:t>0,000</w:t>
      </w:r>
    </w:p>
    <w:p w14:paraId="5DC0F682" w14:textId="289B4E55" w:rsidR="009A7246" w:rsidRPr="00317748" w:rsidRDefault="009A7246" w:rsidP="009A7246">
      <w:pPr>
        <w:rPr>
          <w:rFonts w:ascii="Arial Narrow" w:hAnsi="Arial Narrow"/>
          <w:i/>
          <w:sz w:val="18"/>
          <w:szCs w:val="18"/>
        </w:rPr>
      </w:pPr>
      <w:r w:rsidRPr="00317748">
        <w:rPr>
          <w:rFonts w:ascii="Arial Narrow" w:hAnsi="Arial Narrow"/>
          <w:i/>
          <w:sz w:val="18"/>
          <w:szCs w:val="18"/>
          <w:vertAlign w:val="superscript"/>
        </w:rPr>
        <w:t xml:space="preserve">3 </w:t>
      </w:r>
      <w:r>
        <w:rPr>
          <w:rFonts w:ascii="Arial Narrow" w:hAnsi="Arial Narrow"/>
          <w:i/>
          <w:sz w:val="18"/>
          <w:szCs w:val="18"/>
        </w:rPr>
        <w:t>1</w:t>
      </w:r>
      <w:r w:rsidRPr="00E5672C">
        <w:rPr>
          <w:rFonts w:ascii="Arial Narrow" w:hAnsi="Arial Narrow"/>
          <w:i/>
          <w:sz w:val="18"/>
          <w:szCs w:val="18"/>
        </w:rPr>
        <w:t xml:space="preserve">0,000 to &lt; </w:t>
      </w:r>
      <w:r>
        <w:rPr>
          <w:rFonts w:ascii="Arial Narrow" w:hAnsi="Arial Narrow"/>
          <w:i/>
          <w:sz w:val="18"/>
          <w:szCs w:val="18"/>
        </w:rPr>
        <w:t>2</w:t>
      </w:r>
      <w:r w:rsidRPr="00E5672C">
        <w:rPr>
          <w:rFonts w:ascii="Arial Narrow" w:hAnsi="Arial Narrow"/>
          <w:i/>
          <w:sz w:val="18"/>
          <w:szCs w:val="18"/>
        </w:rPr>
        <w:t>0,000</w:t>
      </w:r>
    </w:p>
    <w:p w14:paraId="4EBDBF5A" w14:textId="2571DB07" w:rsidR="009A7246" w:rsidRPr="00317748" w:rsidRDefault="009A7246" w:rsidP="009A7246">
      <w:pPr>
        <w:rPr>
          <w:rFonts w:ascii="Arial Narrow" w:hAnsi="Arial Narrow"/>
          <w:i/>
          <w:sz w:val="18"/>
          <w:szCs w:val="18"/>
        </w:rPr>
      </w:pPr>
      <w:r w:rsidRPr="00317748">
        <w:rPr>
          <w:rFonts w:ascii="Arial Narrow" w:hAnsi="Arial Narrow"/>
          <w:i/>
          <w:sz w:val="18"/>
          <w:szCs w:val="18"/>
          <w:vertAlign w:val="superscript"/>
        </w:rPr>
        <w:t xml:space="preserve">4 </w:t>
      </w:r>
      <w:r w:rsidRPr="009A7246">
        <w:rPr>
          <w:rFonts w:ascii="Arial Narrow" w:hAnsi="Arial Narrow"/>
          <w:i/>
          <w:sz w:val="18"/>
          <w:szCs w:val="18"/>
        </w:rPr>
        <w:t>$0 to &lt; $10 million</w:t>
      </w:r>
    </w:p>
    <w:p w14:paraId="6062CFA3" w14:textId="3E7C2777" w:rsidR="009A7246" w:rsidRPr="00317748" w:rsidRDefault="009A7246" w:rsidP="009A7246">
      <w:pPr>
        <w:rPr>
          <w:rFonts w:ascii="Arial Narrow" w:hAnsi="Arial Narrow"/>
          <w:i/>
          <w:sz w:val="18"/>
          <w:szCs w:val="18"/>
        </w:rPr>
      </w:pPr>
      <w:r w:rsidRPr="00317748">
        <w:rPr>
          <w:rFonts w:ascii="Arial Narrow" w:hAnsi="Arial Narrow"/>
          <w:i/>
          <w:sz w:val="18"/>
          <w:szCs w:val="18"/>
          <w:vertAlign w:val="superscript"/>
        </w:rPr>
        <w:lastRenderedPageBreak/>
        <w:t>5</w:t>
      </w:r>
      <w:r w:rsidRPr="00317748">
        <w:rPr>
          <w:rFonts w:ascii="Arial Narrow" w:hAnsi="Arial Narrow"/>
          <w:i/>
          <w:sz w:val="18"/>
          <w:szCs w:val="18"/>
        </w:rPr>
        <w:t xml:space="preserve"> </w:t>
      </w:r>
      <w:r w:rsidRPr="009A7246">
        <w:rPr>
          <w:rFonts w:ascii="Arial Narrow" w:hAnsi="Arial Narrow"/>
          <w:i/>
          <w:sz w:val="18"/>
          <w:szCs w:val="18"/>
        </w:rPr>
        <w:t>$10 million to &lt; $20 million</w:t>
      </w:r>
    </w:p>
    <w:p w14:paraId="5511F324" w14:textId="77777777" w:rsidR="005C0589" w:rsidRDefault="005C0589" w:rsidP="00606FBA">
      <w:pPr>
        <w:pStyle w:val="TableFigureFooter"/>
      </w:pPr>
    </w:p>
    <w:p w14:paraId="75586731" w14:textId="229A83CC" w:rsidR="000902D9" w:rsidRPr="008C1B4E" w:rsidRDefault="001E68DE" w:rsidP="00465970">
      <w:pPr>
        <w:pStyle w:val="3-BodyText"/>
        <w:ind w:left="709"/>
      </w:pPr>
      <w:r>
        <w:t>A</w:t>
      </w:r>
      <w:r w:rsidRPr="00202AD0">
        <w:t>s the Sponsor withdrew the request for listing for the FCD population in its Pre-PBAC Response, the total cost to the PBS/RPBS of listing risankizumab for severe CD</w:t>
      </w:r>
      <w:r>
        <w:t>,</w:t>
      </w:r>
      <w:r w:rsidRPr="00202AD0">
        <w:t xml:space="preserve"> was estimated to be </w:t>
      </w:r>
      <w:r>
        <w:t>$</w:t>
      </w:r>
      <w:r w:rsidRPr="001E68DE">
        <w:t>80 million to &lt;</w:t>
      </w:r>
      <w:r>
        <w:t> </w:t>
      </w:r>
      <w:r w:rsidRPr="001E68DE">
        <w:t xml:space="preserve">$90 </w:t>
      </w:r>
      <w:r>
        <w:t>million</w:t>
      </w:r>
      <w:r w:rsidRPr="00202AD0">
        <w:t xml:space="preserve"> in year 6 and a total of </w:t>
      </w:r>
      <w:r>
        <w:t>$200 million to &lt; $300 million</w:t>
      </w:r>
      <w:r w:rsidRPr="00202AD0">
        <w:t xml:space="preserve"> in the first 6 years of listing</w:t>
      </w:r>
      <w:r w:rsidR="000902D9" w:rsidRPr="008C1B4E">
        <w:rPr>
          <w:color w:val="000000" w:themeColor="text1"/>
        </w:rPr>
        <w:t>.</w:t>
      </w:r>
      <w:r w:rsidR="002068A0" w:rsidRPr="008C1B4E">
        <w:rPr>
          <w:color w:val="3366FF"/>
        </w:rPr>
        <w:t xml:space="preserve"> </w:t>
      </w:r>
      <w:r w:rsidR="00802C3A" w:rsidRPr="008C1B4E">
        <w:rPr>
          <w:iCs/>
        </w:rPr>
        <w:t>The costs may differ between the Section 100 listings (risankizumab IV) and General Schedule (risankizumab SC) listings.</w:t>
      </w:r>
    </w:p>
    <w:p w14:paraId="72C603EC" w14:textId="269B15F7" w:rsidR="005C6E96" w:rsidRPr="00C14A5F" w:rsidRDefault="00355844" w:rsidP="00465970">
      <w:pPr>
        <w:pStyle w:val="3-BodyText"/>
        <w:ind w:left="709"/>
        <w:rPr>
          <w:color w:val="0066FF"/>
        </w:rPr>
      </w:pPr>
      <w:r w:rsidRPr="00C14A5F">
        <w:t>Some</w:t>
      </w:r>
      <w:r w:rsidR="00DB6AA2" w:rsidRPr="00C14A5F">
        <w:t xml:space="preserve"> </w:t>
      </w:r>
      <w:r w:rsidR="008342CC" w:rsidRPr="00C14A5F">
        <w:t xml:space="preserve">calculation errors were noted </w:t>
      </w:r>
      <w:r w:rsidR="0025016F" w:rsidRPr="00C14A5F">
        <w:t xml:space="preserve">during the </w:t>
      </w:r>
      <w:r w:rsidR="0046760E" w:rsidRPr="00C14A5F">
        <w:t>evaluation, including the inconsistent</w:t>
      </w:r>
      <w:r w:rsidR="003E7A96" w:rsidRPr="00C14A5F">
        <w:t xml:space="preserve"> </w:t>
      </w:r>
      <w:r w:rsidR="0025799F" w:rsidRPr="00C14A5F">
        <w:t xml:space="preserve">use of </w:t>
      </w:r>
      <w:r w:rsidR="000F3957" w:rsidRPr="00C14A5F">
        <w:t>DPMQ of risankizumab SC formulation</w:t>
      </w:r>
      <w:r w:rsidR="008D55C3" w:rsidRPr="00C14A5F">
        <w:t xml:space="preserve"> </w:t>
      </w:r>
      <w:r w:rsidR="00741512" w:rsidRPr="00C14A5F">
        <w:t>and</w:t>
      </w:r>
      <w:r w:rsidR="00B2470C" w:rsidRPr="00C14A5F">
        <w:t xml:space="preserve"> </w:t>
      </w:r>
      <w:r w:rsidR="0025799F" w:rsidRPr="00C14A5F">
        <w:t xml:space="preserve">an </w:t>
      </w:r>
      <w:r w:rsidR="003D76A2" w:rsidRPr="00C14A5F">
        <w:t>error in extrapolating script numbers</w:t>
      </w:r>
      <w:r w:rsidR="005572BF" w:rsidRPr="00C14A5F">
        <w:t xml:space="preserve"> </w:t>
      </w:r>
      <w:r w:rsidR="003D76A2" w:rsidRPr="00C14A5F">
        <w:t xml:space="preserve">for estimating </w:t>
      </w:r>
      <w:r w:rsidR="005572BF" w:rsidRPr="00C14A5F">
        <w:t>initiation/continuation risankizumab scripts</w:t>
      </w:r>
      <w:r w:rsidR="00741512" w:rsidRPr="00C14A5F">
        <w:t xml:space="preserve">. These resulted in </w:t>
      </w:r>
      <w:r w:rsidR="00F91F28" w:rsidRPr="00C14A5F">
        <w:t xml:space="preserve">slightly </w:t>
      </w:r>
      <w:r w:rsidR="00677E5D" w:rsidRPr="00C14A5F">
        <w:t>overestimated financial impact</w:t>
      </w:r>
      <w:r w:rsidR="008D55C3" w:rsidRPr="00C14A5F">
        <w:t xml:space="preserve"> </w:t>
      </w:r>
      <w:r w:rsidR="00F91F28" w:rsidRPr="00C14A5F">
        <w:t>estimates</w:t>
      </w:r>
      <w:r w:rsidRPr="00C14A5F">
        <w:t xml:space="preserve"> for severe CD</w:t>
      </w:r>
      <w:r w:rsidR="00F91F28" w:rsidRPr="00C14A5F">
        <w:t xml:space="preserve">. </w:t>
      </w:r>
      <w:r w:rsidR="00107D7D" w:rsidRPr="00C14A5F">
        <w:t xml:space="preserve">Similar </w:t>
      </w:r>
      <w:r w:rsidR="00CF448A" w:rsidRPr="00C14A5F">
        <w:t xml:space="preserve">issues with incorrect power function were noted for FCD. </w:t>
      </w:r>
    </w:p>
    <w:p w14:paraId="7C4F0A6A" w14:textId="01C0771D" w:rsidR="00060906" w:rsidRPr="00C14A5F" w:rsidRDefault="00204003" w:rsidP="00465970">
      <w:pPr>
        <w:pStyle w:val="3-BodyText"/>
        <w:ind w:left="709"/>
        <w:rPr>
          <w:color w:val="0066FF"/>
        </w:rPr>
      </w:pPr>
      <w:r w:rsidRPr="00C14A5F">
        <w:t>I</w:t>
      </w:r>
      <w:r w:rsidR="002225C6" w:rsidRPr="00C14A5F">
        <w:t>f recommended on a cost minimisation basis with the least costly alternative, the listing of risankizumab for severe CD and/or FCD would be expected to be cost neutral (or modestly cost saving if it replaced more expensive alternatives).</w:t>
      </w:r>
    </w:p>
    <w:p w14:paraId="41F02D90" w14:textId="2F81F7EE" w:rsidR="001671A0" w:rsidRPr="00C14A5F" w:rsidRDefault="007945C2" w:rsidP="00465970">
      <w:pPr>
        <w:pStyle w:val="3-BodyText"/>
        <w:ind w:left="709"/>
      </w:pPr>
      <w:r w:rsidRPr="00C14A5F">
        <w:t>T</w:t>
      </w:r>
      <w:r w:rsidR="008D0171" w:rsidRPr="00C14A5F">
        <w:t xml:space="preserve">he submission did not clarify if the grandfathered patients were accounted in the </w:t>
      </w:r>
      <w:r w:rsidR="008A2008" w:rsidRPr="00C14A5F">
        <w:t>project</w:t>
      </w:r>
      <w:r w:rsidR="00580467" w:rsidRPr="00C14A5F">
        <w:t xml:space="preserve">ed </w:t>
      </w:r>
      <w:r w:rsidR="00F43EE2" w:rsidRPr="00C14A5F">
        <w:t xml:space="preserve">usage or </w:t>
      </w:r>
      <w:r w:rsidR="00FD301E" w:rsidRPr="00C14A5F">
        <w:t>financial impact estimates</w:t>
      </w:r>
      <w:r w:rsidR="008D0171" w:rsidRPr="00C14A5F">
        <w:t>.</w:t>
      </w:r>
    </w:p>
    <w:p w14:paraId="2238DEE9" w14:textId="3E6A228B" w:rsidR="00576972" w:rsidRPr="00C9624D" w:rsidRDefault="00576972" w:rsidP="00606FBA">
      <w:pPr>
        <w:pStyle w:val="4-SubsectionHeading"/>
      </w:pPr>
      <w:bookmarkStart w:id="46" w:name="_Toc22897648"/>
      <w:bookmarkStart w:id="47" w:name="_Toc103776031"/>
      <w:r w:rsidRPr="00C9624D">
        <w:t>Quality Use of Medicines</w:t>
      </w:r>
      <w:bookmarkEnd w:id="46"/>
      <w:bookmarkEnd w:id="47"/>
    </w:p>
    <w:p w14:paraId="4D34901B" w14:textId="77777777" w:rsidR="0036750C" w:rsidRDefault="00D64F14" w:rsidP="00465970">
      <w:pPr>
        <w:pStyle w:val="3-BodyText"/>
        <w:ind w:left="709"/>
        <w:rPr>
          <w:color w:val="000000" w:themeColor="text1"/>
          <w:lang w:eastAsia="zh-CN"/>
        </w:rPr>
      </w:pPr>
      <w:r w:rsidRPr="00D64F14">
        <w:rPr>
          <w:color w:val="000000" w:themeColor="text1"/>
          <w:lang w:eastAsia="zh-CN"/>
        </w:rPr>
        <w:t>The sponsor has a risk management plan submitted to the TGA. A patient support program was proposed.</w:t>
      </w:r>
    </w:p>
    <w:p w14:paraId="2AF2065A" w14:textId="1CBEEFD8" w:rsidR="00936A8E" w:rsidRPr="00606FBA" w:rsidRDefault="0036750C" w:rsidP="0036750C">
      <w:pPr>
        <w:pStyle w:val="3-BodyText"/>
        <w:numPr>
          <w:ilvl w:val="0"/>
          <w:numId w:val="0"/>
        </w:numPr>
        <w:rPr>
          <w:color w:val="0066FF"/>
        </w:rPr>
      </w:pPr>
      <w:r w:rsidRPr="0036750C">
        <w:rPr>
          <w:rFonts w:ascii="Calibri" w:eastAsia="Calibri" w:hAnsi="Calibri" w:cs="Calibri"/>
          <w:i/>
          <w:iCs/>
          <w:color w:val="000000" w:themeColor="text1"/>
        </w:rPr>
        <w:t>For more detail on PBAC’s view, see section 7 PBAC outcome.</w:t>
      </w:r>
    </w:p>
    <w:p w14:paraId="14AE0C8E" w14:textId="77777777" w:rsidR="00DA33AD" w:rsidRPr="0090150D" w:rsidRDefault="00DA33AD" w:rsidP="00DA33AD">
      <w:pPr>
        <w:pStyle w:val="2-SectionHeading"/>
      </w:pPr>
      <w:bookmarkStart w:id="48" w:name="_Hlk76381249"/>
      <w:bookmarkStart w:id="49" w:name="_Hlk76377955"/>
      <w:bookmarkStart w:id="50" w:name="_Toc103776034"/>
      <w:r w:rsidRPr="0090150D">
        <w:t>PBAC Outcome</w:t>
      </w:r>
    </w:p>
    <w:p w14:paraId="6AF354BD" w14:textId="6388CBBF" w:rsidR="00F83E42" w:rsidRDefault="008F49AC" w:rsidP="00A93A3B">
      <w:pPr>
        <w:widowControl w:val="0"/>
        <w:numPr>
          <w:ilvl w:val="1"/>
          <w:numId w:val="13"/>
        </w:numPr>
        <w:spacing w:after="120"/>
        <w:ind w:left="720"/>
        <w:rPr>
          <w:rFonts w:asciiTheme="minorHAnsi" w:hAnsiTheme="minorHAnsi"/>
          <w:snapToGrid w:val="0"/>
          <w:lang w:val="en-GB"/>
        </w:rPr>
      </w:pPr>
      <w:r>
        <w:rPr>
          <w:rFonts w:asciiTheme="minorHAnsi" w:hAnsiTheme="minorHAnsi"/>
          <w:snapToGrid w:val="0"/>
          <w:lang w:val="en-GB"/>
        </w:rPr>
        <w:t xml:space="preserve">The PBAC </w:t>
      </w:r>
      <w:r w:rsidR="00674405">
        <w:rPr>
          <w:rFonts w:asciiTheme="minorHAnsi" w:hAnsiTheme="minorHAnsi"/>
          <w:snapToGrid w:val="0"/>
          <w:lang w:val="en-GB"/>
        </w:rPr>
        <w:t xml:space="preserve">deferred making a recommendation to list risankizumab </w:t>
      </w:r>
      <w:r w:rsidR="00F83E42">
        <w:rPr>
          <w:rFonts w:asciiTheme="minorHAnsi" w:hAnsiTheme="minorHAnsi"/>
          <w:snapToGrid w:val="0"/>
          <w:lang w:val="en-GB"/>
        </w:rPr>
        <w:t xml:space="preserve">(RIS) </w:t>
      </w:r>
      <w:r w:rsidR="00674405">
        <w:rPr>
          <w:rFonts w:asciiTheme="minorHAnsi" w:hAnsiTheme="minorHAnsi"/>
          <w:snapToGrid w:val="0"/>
          <w:lang w:val="en-GB"/>
        </w:rPr>
        <w:t>for the treatment of</w:t>
      </w:r>
      <w:r w:rsidR="00F83E42">
        <w:rPr>
          <w:rFonts w:asciiTheme="minorHAnsi" w:hAnsiTheme="minorHAnsi"/>
          <w:snapToGrid w:val="0"/>
          <w:lang w:val="en-GB"/>
        </w:rPr>
        <w:t xml:space="preserve"> severe</w:t>
      </w:r>
      <w:r w:rsidR="00674405">
        <w:rPr>
          <w:rFonts w:asciiTheme="minorHAnsi" w:hAnsiTheme="minorHAnsi"/>
          <w:snapToGrid w:val="0"/>
          <w:lang w:val="en-GB"/>
        </w:rPr>
        <w:t xml:space="preserve"> Crohn’s disease (CD) in adult patients as </w:t>
      </w:r>
      <w:r w:rsidR="00A500B9">
        <w:rPr>
          <w:rFonts w:asciiTheme="minorHAnsi" w:hAnsiTheme="minorHAnsi"/>
          <w:snapToGrid w:val="0"/>
          <w:lang w:val="en-GB"/>
        </w:rPr>
        <w:t>the</w:t>
      </w:r>
      <w:r w:rsidR="00674405">
        <w:rPr>
          <w:rFonts w:asciiTheme="minorHAnsi" w:hAnsiTheme="minorHAnsi"/>
          <w:snapToGrid w:val="0"/>
          <w:lang w:val="en-GB"/>
        </w:rPr>
        <w:t xml:space="preserve"> TGA Delegate’s Overview was not available at time of PBAC consideration. </w:t>
      </w:r>
      <w:r w:rsidR="00C07062">
        <w:rPr>
          <w:rFonts w:asciiTheme="minorHAnsi" w:hAnsiTheme="minorHAnsi"/>
          <w:snapToGrid w:val="0"/>
          <w:lang w:val="en-GB"/>
        </w:rPr>
        <w:t>However, t</w:t>
      </w:r>
      <w:r w:rsidR="00674405">
        <w:rPr>
          <w:rFonts w:asciiTheme="minorHAnsi" w:hAnsiTheme="minorHAnsi"/>
          <w:snapToGrid w:val="0"/>
          <w:lang w:val="en-GB"/>
        </w:rPr>
        <w:t>he PBAC was of a mind to recommend</w:t>
      </w:r>
      <w:r w:rsidR="00B7688C">
        <w:rPr>
          <w:rFonts w:asciiTheme="minorHAnsi" w:hAnsiTheme="minorHAnsi"/>
          <w:snapToGrid w:val="0"/>
          <w:lang w:val="en-GB"/>
        </w:rPr>
        <w:t xml:space="preserve"> the Authority Required (in writing),</w:t>
      </w:r>
      <w:r w:rsidR="00AE26CE">
        <w:rPr>
          <w:rFonts w:asciiTheme="minorHAnsi" w:hAnsiTheme="minorHAnsi"/>
          <w:snapToGrid w:val="0"/>
          <w:lang w:val="en-GB"/>
        </w:rPr>
        <w:t xml:space="preserve"> Section 100 (</w:t>
      </w:r>
      <w:r w:rsidR="00BB4317">
        <w:rPr>
          <w:rFonts w:asciiTheme="minorHAnsi" w:hAnsiTheme="minorHAnsi"/>
          <w:snapToGrid w:val="0"/>
          <w:lang w:val="en-GB"/>
        </w:rPr>
        <w:t>H</w:t>
      </w:r>
      <w:r w:rsidR="00AE26CE">
        <w:rPr>
          <w:rFonts w:asciiTheme="minorHAnsi" w:hAnsiTheme="minorHAnsi"/>
          <w:snapToGrid w:val="0"/>
          <w:lang w:val="en-GB"/>
        </w:rPr>
        <w:t xml:space="preserve">ighly </w:t>
      </w:r>
      <w:r w:rsidR="00BB4317">
        <w:rPr>
          <w:rFonts w:asciiTheme="minorHAnsi" w:hAnsiTheme="minorHAnsi"/>
          <w:snapToGrid w:val="0"/>
          <w:lang w:val="en-GB"/>
        </w:rPr>
        <w:t>S</w:t>
      </w:r>
      <w:r w:rsidR="00AE26CE">
        <w:rPr>
          <w:rFonts w:asciiTheme="minorHAnsi" w:hAnsiTheme="minorHAnsi"/>
          <w:snapToGrid w:val="0"/>
          <w:lang w:val="en-GB"/>
        </w:rPr>
        <w:t xml:space="preserve">pecialised </w:t>
      </w:r>
      <w:r w:rsidR="00BB4317">
        <w:rPr>
          <w:rFonts w:asciiTheme="minorHAnsi" w:hAnsiTheme="minorHAnsi"/>
          <w:snapToGrid w:val="0"/>
          <w:lang w:val="en-GB"/>
        </w:rPr>
        <w:t>D</w:t>
      </w:r>
      <w:r w:rsidR="00AE26CE">
        <w:rPr>
          <w:rFonts w:asciiTheme="minorHAnsi" w:hAnsiTheme="minorHAnsi"/>
          <w:snapToGrid w:val="0"/>
          <w:lang w:val="en-GB"/>
        </w:rPr>
        <w:t xml:space="preserve">rugs </w:t>
      </w:r>
      <w:r w:rsidR="00BB4317">
        <w:rPr>
          <w:rFonts w:asciiTheme="minorHAnsi" w:hAnsiTheme="minorHAnsi"/>
          <w:snapToGrid w:val="0"/>
          <w:lang w:val="en-GB"/>
        </w:rPr>
        <w:t>P</w:t>
      </w:r>
      <w:r w:rsidR="00AE26CE">
        <w:rPr>
          <w:rFonts w:asciiTheme="minorHAnsi" w:hAnsiTheme="minorHAnsi"/>
          <w:snapToGrid w:val="0"/>
          <w:lang w:val="en-GB"/>
        </w:rPr>
        <w:t xml:space="preserve">rogram) listing </w:t>
      </w:r>
      <w:r w:rsidR="00BB4317">
        <w:rPr>
          <w:rFonts w:asciiTheme="minorHAnsi" w:hAnsiTheme="minorHAnsi"/>
          <w:snapToGrid w:val="0"/>
          <w:lang w:val="en-GB"/>
        </w:rPr>
        <w:t>(</w:t>
      </w:r>
      <w:r w:rsidR="00AE26CE">
        <w:rPr>
          <w:rFonts w:asciiTheme="minorHAnsi" w:hAnsiTheme="minorHAnsi"/>
          <w:snapToGrid w:val="0"/>
          <w:lang w:val="en-GB"/>
        </w:rPr>
        <w:t>for IV induction therapy</w:t>
      </w:r>
      <w:r w:rsidR="00BB4317">
        <w:rPr>
          <w:rFonts w:asciiTheme="minorHAnsi" w:hAnsiTheme="minorHAnsi"/>
          <w:snapToGrid w:val="0"/>
          <w:lang w:val="en-GB"/>
        </w:rPr>
        <w:t>)</w:t>
      </w:r>
      <w:r w:rsidR="00AE26CE">
        <w:rPr>
          <w:rFonts w:asciiTheme="minorHAnsi" w:hAnsiTheme="minorHAnsi"/>
          <w:snapToGrid w:val="0"/>
          <w:lang w:val="en-GB"/>
        </w:rPr>
        <w:t xml:space="preserve"> and General Schedule</w:t>
      </w:r>
      <w:r w:rsidR="00B7688C">
        <w:rPr>
          <w:rFonts w:asciiTheme="minorHAnsi" w:hAnsiTheme="minorHAnsi"/>
          <w:snapToGrid w:val="0"/>
          <w:lang w:val="en-GB"/>
        </w:rPr>
        <w:t xml:space="preserve">, </w:t>
      </w:r>
      <w:r w:rsidR="00AE26CE">
        <w:rPr>
          <w:rFonts w:asciiTheme="minorHAnsi" w:hAnsiTheme="minorHAnsi"/>
          <w:snapToGrid w:val="0"/>
          <w:lang w:val="en-GB"/>
        </w:rPr>
        <w:t>listing of RIS for initial and continuing therapy</w:t>
      </w:r>
      <w:r w:rsidR="00674405">
        <w:rPr>
          <w:rFonts w:asciiTheme="minorHAnsi" w:hAnsiTheme="minorHAnsi"/>
          <w:snapToGrid w:val="0"/>
          <w:lang w:val="en-GB"/>
        </w:rPr>
        <w:t xml:space="preserve"> on the basis of cost-minimisation to the </w:t>
      </w:r>
      <w:r w:rsidR="004C1A0F">
        <w:rPr>
          <w:rFonts w:asciiTheme="minorHAnsi" w:hAnsiTheme="minorHAnsi"/>
          <w:snapToGrid w:val="0"/>
          <w:lang w:val="en-GB"/>
        </w:rPr>
        <w:t>lowest cost biologic disease modifying anti-rheumatic drug (</w:t>
      </w:r>
      <w:r w:rsidR="00674405">
        <w:rPr>
          <w:rFonts w:asciiTheme="minorHAnsi" w:hAnsiTheme="minorHAnsi"/>
          <w:snapToGrid w:val="0"/>
          <w:lang w:val="en-GB"/>
        </w:rPr>
        <w:t>b</w:t>
      </w:r>
      <w:r w:rsidR="00F83E42">
        <w:rPr>
          <w:rFonts w:asciiTheme="minorHAnsi" w:hAnsiTheme="minorHAnsi"/>
          <w:snapToGrid w:val="0"/>
          <w:lang w:val="en-GB"/>
        </w:rPr>
        <w:t>DMARD</w:t>
      </w:r>
      <w:r w:rsidR="004C1A0F">
        <w:rPr>
          <w:rFonts w:asciiTheme="minorHAnsi" w:hAnsiTheme="minorHAnsi"/>
          <w:snapToGrid w:val="0"/>
          <w:lang w:val="en-GB"/>
        </w:rPr>
        <w:t>)</w:t>
      </w:r>
      <w:r w:rsidR="00F83E42">
        <w:rPr>
          <w:rFonts w:asciiTheme="minorHAnsi" w:hAnsiTheme="minorHAnsi"/>
          <w:snapToGrid w:val="0"/>
          <w:lang w:val="en-GB"/>
        </w:rPr>
        <w:t xml:space="preserve"> for </w:t>
      </w:r>
      <w:r w:rsidR="001848BF">
        <w:rPr>
          <w:rFonts w:asciiTheme="minorHAnsi" w:hAnsiTheme="minorHAnsi"/>
          <w:snapToGrid w:val="0"/>
          <w:lang w:val="en-GB"/>
        </w:rPr>
        <w:t xml:space="preserve">this indication. </w:t>
      </w:r>
      <w:r w:rsidR="00F83E42">
        <w:rPr>
          <w:rFonts w:asciiTheme="minorHAnsi" w:hAnsiTheme="minorHAnsi"/>
          <w:snapToGrid w:val="0"/>
          <w:lang w:val="en-GB"/>
        </w:rPr>
        <w:t xml:space="preserve"> </w:t>
      </w:r>
    </w:p>
    <w:p w14:paraId="01261A0D" w14:textId="61D81566" w:rsidR="008F49AC" w:rsidRDefault="00674405" w:rsidP="00A93A3B">
      <w:pPr>
        <w:widowControl w:val="0"/>
        <w:numPr>
          <w:ilvl w:val="1"/>
          <w:numId w:val="13"/>
        </w:numPr>
        <w:spacing w:after="120"/>
        <w:ind w:left="720"/>
        <w:rPr>
          <w:rFonts w:asciiTheme="minorHAnsi" w:hAnsiTheme="minorHAnsi"/>
          <w:snapToGrid w:val="0"/>
          <w:lang w:val="en-GB"/>
        </w:rPr>
      </w:pPr>
      <w:r>
        <w:rPr>
          <w:rFonts w:asciiTheme="minorHAnsi" w:hAnsiTheme="minorHAnsi"/>
          <w:snapToGrid w:val="0"/>
          <w:lang w:val="en-GB"/>
        </w:rPr>
        <w:t xml:space="preserve">The PBAC noted that the sponsor withdrew </w:t>
      </w:r>
      <w:r w:rsidR="00F83E42">
        <w:rPr>
          <w:rFonts w:asciiTheme="minorHAnsi" w:hAnsiTheme="minorHAnsi"/>
          <w:snapToGrid w:val="0"/>
          <w:lang w:val="en-GB"/>
        </w:rPr>
        <w:t xml:space="preserve">their request for listing of </w:t>
      </w:r>
      <w:r w:rsidR="00CC38A8">
        <w:t>fistulising Crohn’s disease (</w:t>
      </w:r>
      <w:r w:rsidR="00F83E42">
        <w:rPr>
          <w:rFonts w:asciiTheme="minorHAnsi" w:hAnsiTheme="minorHAnsi"/>
          <w:snapToGrid w:val="0"/>
          <w:lang w:val="en-GB"/>
        </w:rPr>
        <w:t>FCD</w:t>
      </w:r>
      <w:r w:rsidR="00CC38A8">
        <w:rPr>
          <w:rFonts w:asciiTheme="minorHAnsi" w:hAnsiTheme="minorHAnsi"/>
          <w:snapToGrid w:val="0"/>
          <w:lang w:val="en-GB"/>
        </w:rPr>
        <w:t>)</w:t>
      </w:r>
      <w:r w:rsidR="00F83E42">
        <w:rPr>
          <w:rFonts w:asciiTheme="minorHAnsi" w:hAnsiTheme="minorHAnsi"/>
          <w:snapToGrid w:val="0"/>
          <w:lang w:val="en-GB"/>
        </w:rPr>
        <w:t xml:space="preserve"> in its pre-PBAC response (paragraph 6.1 refers) and did not consider th</w:t>
      </w:r>
      <w:r w:rsidR="00BB4317">
        <w:rPr>
          <w:rFonts w:asciiTheme="minorHAnsi" w:hAnsiTheme="minorHAnsi"/>
          <w:snapToGrid w:val="0"/>
          <w:lang w:val="en-GB"/>
        </w:rPr>
        <w:t>at</w:t>
      </w:r>
      <w:r w:rsidR="00F83E42">
        <w:rPr>
          <w:rFonts w:asciiTheme="minorHAnsi" w:hAnsiTheme="minorHAnsi"/>
          <w:snapToGrid w:val="0"/>
          <w:lang w:val="en-GB"/>
        </w:rPr>
        <w:t xml:space="preserve"> request further. </w:t>
      </w:r>
    </w:p>
    <w:p w14:paraId="3B23E50A" w14:textId="7EAE41AC" w:rsidR="00205F1F" w:rsidRDefault="00B254DB" w:rsidP="00A93A3B">
      <w:pPr>
        <w:widowControl w:val="0"/>
        <w:numPr>
          <w:ilvl w:val="1"/>
          <w:numId w:val="13"/>
        </w:numPr>
        <w:spacing w:after="120"/>
        <w:ind w:left="720"/>
        <w:rPr>
          <w:rFonts w:asciiTheme="minorHAnsi" w:hAnsiTheme="minorHAnsi"/>
          <w:snapToGrid w:val="0"/>
          <w:lang w:val="en-GB"/>
        </w:rPr>
      </w:pPr>
      <w:r>
        <w:rPr>
          <w:rFonts w:asciiTheme="minorHAnsi" w:hAnsiTheme="minorHAnsi"/>
          <w:snapToGrid w:val="0"/>
          <w:lang w:val="en-GB"/>
        </w:rPr>
        <w:t xml:space="preserve">The PBAC considered </w:t>
      </w:r>
      <w:r w:rsidR="00B56902">
        <w:rPr>
          <w:rFonts w:asciiTheme="minorHAnsi" w:hAnsiTheme="minorHAnsi"/>
          <w:snapToGrid w:val="0"/>
          <w:lang w:val="en-GB"/>
        </w:rPr>
        <w:t>the</w:t>
      </w:r>
      <w:r>
        <w:rPr>
          <w:rFonts w:asciiTheme="minorHAnsi" w:hAnsiTheme="minorHAnsi"/>
          <w:snapToGrid w:val="0"/>
          <w:lang w:val="en-GB"/>
        </w:rPr>
        <w:t xml:space="preserve"> nominated main comparato</w:t>
      </w:r>
      <w:r w:rsidR="001848BF">
        <w:rPr>
          <w:rFonts w:asciiTheme="minorHAnsi" w:hAnsiTheme="minorHAnsi"/>
          <w:snapToGrid w:val="0"/>
          <w:lang w:val="en-GB"/>
        </w:rPr>
        <w:t>r</w:t>
      </w:r>
      <w:r>
        <w:rPr>
          <w:rFonts w:asciiTheme="minorHAnsi" w:hAnsiTheme="minorHAnsi"/>
          <w:snapToGrid w:val="0"/>
          <w:lang w:val="en-GB"/>
        </w:rPr>
        <w:t xml:space="preserve"> </w:t>
      </w:r>
      <w:r w:rsidR="00B56902">
        <w:rPr>
          <w:rFonts w:asciiTheme="minorHAnsi" w:hAnsiTheme="minorHAnsi"/>
          <w:snapToGrid w:val="0"/>
          <w:lang w:val="en-GB"/>
        </w:rPr>
        <w:t xml:space="preserve">of </w:t>
      </w:r>
      <w:r w:rsidR="00AE26CE">
        <w:rPr>
          <w:rFonts w:asciiTheme="minorHAnsi" w:hAnsiTheme="minorHAnsi"/>
          <w:snapToGrid w:val="0"/>
          <w:lang w:val="en-GB"/>
        </w:rPr>
        <w:t>ustekinumab (UST)</w:t>
      </w:r>
      <w:r w:rsidR="001848BF">
        <w:rPr>
          <w:rFonts w:asciiTheme="minorHAnsi" w:hAnsiTheme="minorHAnsi"/>
          <w:snapToGrid w:val="0"/>
          <w:lang w:val="en-GB"/>
        </w:rPr>
        <w:t xml:space="preserve"> </w:t>
      </w:r>
      <w:r w:rsidR="00BB4317">
        <w:rPr>
          <w:rFonts w:asciiTheme="minorHAnsi" w:hAnsiTheme="minorHAnsi"/>
          <w:snapToGrid w:val="0"/>
          <w:lang w:val="en-GB"/>
        </w:rPr>
        <w:t xml:space="preserve">was </w:t>
      </w:r>
      <w:r w:rsidR="001848BF">
        <w:rPr>
          <w:rFonts w:asciiTheme="minorHAnsi" w:hAnsiTheme="minorHAnsi"/>
          <w:snapToGrid w:val="0"/>
          <w:lang w:val="en-GB"/>
        </w:rPr>
        <w:t>reasonable</w:t>
      </w:r>
      <w:r w:rsidR="00B56902">
        <w:rPr>
          <w:rFonts w:asciiTheme="minorHAnsi" w:hAnsiTheme="minorHAnsi"/>
          <w:snapToGrid w:val="0"/>
          <w:lang w:val="en-GB"/>
        </w:rPr>
        <w:t xml:space="preserve"> </w:t>
      </w:r>
      <w:r w:rsidR="00616E34">
        <w:rPr>
          <w:rFonts w:asciiTheme="minorHAnsi" w:hAnsiTheme="minorHAnsi"/>
          <w:snapToGrid w:val="0"/>
          <w:lang w:val="en-GB"/>
        </w:rPr>
        <w:t>and the</w:t>
      </w:r>
      <w:r w:rsidR="00D93298">
        <w:rPr>
          <w:rFonts w:asciiTheme="minorHAnsi" w:hAnsiTheme="minorHAnsi"/>
          <w:snapToGrid w:val="0"/>
          <w:lang w:val="en-GB"/>
        </w:rPr>
        <w:t xml:space="preserve"> nominated </w:t>
      </w:r>
      <w:r w:rsidR="00424E1A">
        <w:rPr>
          <w:rFonts w:asciiTheme="minorHAnsi" w:hAnsiTheme="minorHAnsi"/>
          <w:snapToGrid w:val="0"/>
          <w:lang w:val="en-GB"/>
        </w:rPr>
        <w:t>supplementary comparators</w:t>
      </w:r>
      <w:r w:rsidR="001848BF">
        <w:rPr>
          <w:rFonts w:asciiTheme="minorHAnsi" w:hAnsiTheme="minorHAnsi"/>
          <w:snapToGrid w:val="0"/>
          <w:lang w:val="en-GB"/>
        </w:rPr>
        <w:t xml:space="preserve"> </w:t>
      </w:r>
      <w:r w:rsidR="00BB4317">
        <w:rPr>
          <w:rFonts w:asciiTheme="minorHAnsi" w:hAnsiTheme="minorHAnsi"/>
          <w:snapToGrid w:val="0"/>
          <w:lang w:val="en-GB"/>
        </w:rPr>
        <w:t xml:space="preserve">of </w:t>
      </w:r>
      <w:r w:rsidR="001848BF">
        <w:rPr>
          <w:rFonts w:asciiTheme="minorHAnsi" w:hAnsiTheme="minorHAnsi"/>
          <w:snapToGrid w:val="0"/>
          <w:lang w:val="en-GB"/>
        </w:rPr>
        <w:t>adalimumab (ADA), vedolizumab (V</w:t>
      </w:r>
      <w:r w:rsidR="00B13A38">
        <w:rPr>
          <w:rFonts w:asciiTheme="minorHAnsi" w:hAnsiTheme="minorHAnsi"/>
          <w:snapToGrid w:val="0"/>
          <w:lang w:val="en-GB"/>
        </w:rPr>
        <w:t>DZ</w:t>
      </w:r>
      <w:r w:rsidR="00CC38A8">
        <w:rPr>
          <w:rFonts w:asciiTheme="minorHAnsi" w:hAnsiTheme="minorHAnsi"/>
          <w:snapToGrid w:val="0"/>
          <w:lang w:val="en-GB"/>
        </w:rPr>
        <w:t>)</w:t>
      </w:r>
      <w:r w:rsidR="001848BF">
        <w:rPr>
          <w:rFonts w:asciiTheme="minorHAnsi" w:hAnsiTheme="minorHAnsi"/>
          <w:snapToGrid w:val="0"/>
          <w:lang w:val="en-GB"/>
        </w:rPr>
        <w:t xml:space="preserve"> and infliximab (IFX)</w:t>
      </w:r>
      <w:r w:rsidR="00BB4317">
        <w:rPr>
          <w:rFonts w:asciiTheme="minorHAnsi" w:hAnsiTheme="minorHAnsi"/>
          <w:snapToGrid w:val="0"/>
          <w:lang w:val="en-GB"/>
        </w:rPr>
        <w:t xml:space="preserve"> were</w:t>
      </w:r>
      <w:r w:rsidR="00D93298">
        <w:rPr>
          <w:rFonts w:asciiTheme="minorHAnsi" w:hAnsiTheme="minorHAnsi"/>
          <w:snapToGrid w:val="0"/>
          <w:lang w:val="en-GB"/>
        </w:rPr>
        <w:t xml:space="preserve"> appropriate </w:t>
      </w:r>
      <w:r>
        <w:rPr>
          <w:rFonts w:asciiTheme="minorHAnsi" w:hAnsiTheme="minorHAnsi"/>
          <w:snapToGrid w:val="0"/>
          <w:lang w:val="en-GB"/>
        </w:rPr>
        <w:t>for the treatment of severe CD in adult patients</w:t>
      </w:r>
      <w:r w:rsidR="00804156">
        <w:rPr>
          <w:rFonts w:asciiTheme="minorHAnsi" w:hAnsiTheme="minorHAnsi"/>
          <w:snapToGrid w:val="0"/>
          <w:lang w:val="en-GB"/>
        </w:rPr>
        <w:t xml:space="preserve"> and agreed the supplementary comparators were alternative therapies</w:t>
      </w:r>
      <w:r w:rsidR="00B56902">
        <w:rPr>
          <w:rFonts w:asciiTheme="minorHAnsi" w:hAnsiTheme="minorHAnsi"/>
          <w:snapToGrid w:val="0"/>
          <w:lang w:val="en-GB"/>
        </w:rPr>
        <w:t xml:space="preserve">. </w:t>
      </w:r>
      <w:r w:rsidR="00EC776D">
        <w:rPr>
          <w:rFonts w:asciiTheme="minorHAnsi" w:hAnsiTheme="minorHAnsi"/>
          <w:snapToGrid w:val="0"/>
          <w:lang w:val="en-GB"/>
        </w:rPr>
        <w:t>The PBAC considered the equi-effective doses for RIS</w:t>
      </w:r>
      <w:r w:rsidR="0049602E">
        <w:rPr>
          <w:rFonts w:asciiTheme="minorHAnsi" w:hAnsiTheme="minorHAnsi"/>
          <w:snapToGrid w:val="0"/>
          <w:lang w:val="en-GB"/>
        </w:rPr>
        <w:t xml:space="preserve"> of</w:t>
      </w:r>
      <w:r w:rsidR="00EC776D">
        <w:rPr>
          <w:rFonts w:asciiTheme="minorHAnsi" w:hAnsiTheme="minorHAnsi"/>
          <w:snapToGrid w:val="0"/>
          <w:lang w:val="en-GB"/>
        </w:rPr>
        <w:t xml:space="preserve"> 600 mg IV at week </w:t>
      </w:r>
      <w:r w:rsidR="00EC776D">
        <w:rPr>
          <w:rFonts w:asciiTheme="minorHAnsi" w:hAnsiTheme="minorHAnsi"/>
          <w:snapToGrid w:val="0"/>
          <w:lang w:val="en-GB"/>
        </w:rPr>
        <w:lastRenderedPageBreak/>
        <w:t>0, 4 and 8 followed by 360 mg SC every 8 weeks over two years and UST</w:t>
      </w:r>
      <w:r w:rsidR="00CC38A8">
        <w:rPr>
          <w:rFonts w:asciiTheme="minorHAnsi" w:hAnsiTheme="minorHAnsi"/>
          <w:snapToGrid w:val="0"/>
          <w:lang w:val="en-GB"/>
        </w:rPr>
        <w:t xml:space="preserve"> of</w:t>
      </w:r>
      <w:r w:rsidR="00EC776D">
        <w:rPr>
          <w:rFonts w:asciiTheme="minorHAnsi" w:hAnsiTheme="minorHAnsi"/>
          <w:snapToGrid w:val="0"/>
          <w:lang w:val="en-GB"/>
        </w:rPr>
        <w:t xml:space="preserve"> 425 mg IV at week 0 followed by 90 mg SC every 8 weeks over two years </w:t>
      </w:r>
      <w:r w:rsidR="002A6C6B">
        <w:rPr>
          <w:rFonts w:asciiTheme="minorHAnsi" w:hAnsiTheme="minorHAnsi"/>
          <w:snapToGrid w:val="0"/>
          <w:lang w:val="en-GB"/>
        </w:rPr>
        <w:t xml:space="preserve">were reasonable, and </w:t>
      </w:r>
      <w:r w:rsidR="00CC38A8">
        <w:rPr>
          <w:rFonts w:asciiTheme="minorHAnsi" w:hAnsiTheme="minorHAnsi"/>
          <w:snapToGrid w:val="0"/>
          <w:lang w:val="en-GB"/>
        </w:rPr>
        <w:t xml:space="preserve">the </w:t>
      </w:r>
      <w:r w:rsidR="002A6C6B">
        <w:rPr>
          <w:rFonts w:asciiTheme="minorHAnsi" w:hAnsiTheme="minorHAnsi"/>
          <w:snapToGrid w:val="0"/>
          <w:lang w:val="en-GB"/>
        </w:rPr>
        <w:t>equi-effective doses with the alternative therapies could be derived with reference to the therapeutic relativity sheets</w:t>
      </w:r>
      <w:r w:rsidR="0056578E">
        <w:rPr>
          <w:rFonts w:asciiTheme="minorHAnsi" w:hAnsiTheme="minorHAnsi"/>
          <w:snapToGrid w:val="0"/>
          <w:lang w:val="en-GB"/>
        </w:rPr>
        <w:t xml:space="preserve"> and product information documents</w:t>
      </w:r>
      <w:r w:rsidR="00D932B4">
        <w:rPr>
          <w:rFonts w:asciiTheme="minorHAnsi" w:hAnsiTheme="minorHAnsi"/>
          <w:snapToGrid w:val="0"/>
          <w:lang w:val="en-GB"/>
        </w:rPr>
        <w:t>.</w:t>
      </w:r>
    </w:p>
    <w:p w14:paraId="2293D1DA" w14:textId="5C86241E" w:rsidR="00BB4317" w:rsidRPr="00BB4317" w:rsidRDefault="00BB4317" w:rsidP="00A93A3B">
      <w:pPr>
        <w:widowControl w:val="0"/>
        <w:numPr>
          <w:ilvl w:val="1"/>
          <w:numId w:val="13"/>
        </w:numPr>
        <w:spacing w:after="120"/>
        <w:ind w:left="720"/>
        <w:rPr>
          <w:rFonts w:asciiTheme="minorHAnsi" w:hAnsiTheme="minorHAnsi"/>
          <w:snapToGrid w:val="0"/>
          <w:lang w:val="en-GB"/>
        </w:rPr>
      </w:pPr>
      <w:bookmarkStart w:id="51" w:name="_Ref124264561"/>
      <w:r>
        <w:rPr>
          <w:lang w:val="en-GB"/>
        </w:rPr>
        <w:t>The PBAC considered that the restriction for RIS should be consistent with other bDMARDs for the treatment of severe CD and noted a grandfather restriction may be required for the listing. The Committee was not supportive of the request to lower the authority level to an electronic/telephone authority for continuing treatment as it was inconsistent with existing listings and the PBAC noted it had recently not recommended such a change as part of its recent review of authority required listings (</w:t>
      </w:r>
      <w:r w:rsidRPr="004530E8">
        <w:rPr>
          <w:lang w:val="en-GB"/>
        </w:rPr>
        <w:t xml:space="preserve">Review of Authority Required (Written) PBAC listings Tranche 3, July 2021 PBAC </w:t>
      </w:r>
      <w:r w:rsidR="00424E1A">
        <w:rPr>
          <w:lang w:val="en-GB"/>
        </w:rPr>
        <w:t>outcomes</w:t>
      </w:r>
      <w:r>
        <w:rPr>
          <w:lang w:val="en-GB"/>
        </w:rPr>
        <w:t>).</w:t>
      </w:r>
      <w:bookmarkEnd w:id="51"/>
      <w:r>
        <w:rPr>
          <w:lang w:val="en-GB"/>
        </w:rPr>
        <w:t xml:space="preserve"> </w:t>
      </w:r>
    </w:p>
    <w:p w14:paraId="6ABA250D" w14:textId="249CEE11" w:rsidR="00B56902" w:rsidRDefault="00ED39CB" w:rsidP="00A93A3B">
      <w:pPr>
        <w:widowControl w:val="0"/>
        <w:numPr>
          <w:ilvl w:val="1"/>
          <w:numId w:val="13"/>
        </w:numPr>
        <w:spacing w:after="120"/>
        <w:ind w:left="720"/>
        <w:rPr>
          <w:rFonts w:asciiTheme="minorHAnsi" w:hAnsiTheme="minorHAnsi"/>
          <w:snapToGrid w:val="0"/>
          <w:lang w:val="en-GB"/>
        </w:rPr>
      </w:pPr>
      <w:r>
        <w:rPr>
          <w:rFonts w:asciiTheme="minorHAnsi" w:hAnsiTheme="minorHAnsi"/>
          <w:snapToGrid w:val="0"/>
          <w:lang w:val="en-GB"/>
        </w:rPr>
        <w:t xml:space="preserve">The PBAC noted no direct trials comparing RIS to UST or the </w:t>
      </w:r>
      <w:r w:rsidR="00424E1A">
        <w:rPr>
          <w:rFonts w:asciiTheme="minorHAnsi" w:hAnsiTheme="minorHAnsi"/>
          <w:snapToGrid w:val="0"/>
          <w:lang w:val="en-GB"/>
        </w:rPr>
        <w:t xml:space="preserve">supplementary comparators </w:t>
      </w:r>
      <w:r>
        <w:rPr>
          <w:rFonts w:asciiTheme="minorHAnsi" w:hAnsiTheme="minorHAnsi"/>
          <w:snapToGrid w:val="0"/>
          <w:lang w:val="en-GB"/>
        </w:rPr>
        <w:t xml:space="preserve">were available, and the submission relied on indirect treatment comparisons with placebo as the common comparator. </w:t>
      </w:r>
      <w:r w:rsidR="00C0146B" w:rsidRPr="0059533A">
        <w:rPr>
          <w:rFonts w:asciiTheme="minorHAnsi" w:hAnsiTheme="minorHAnsi"/>
          <w:snapToGrid w:val="0"/>
          <w:lang w:val="en-GB"/>
        </w:rPr>
        <w:t>The PBAC also noted patients included in the</w:t>
      </w:r>
      <w:r>
        <w:rPr>
          <w:rFonts w:asciiTheme="minorHAnsi" w:hAnsiTheme="minorHAnsi"/>
          <w:snapToGrid w:val="0"/>
          <w:lang w:val="en-GB"/>
        </w:rPr>
        <w:t xml:space="preserve"> RIS</w:t>
      </w:r>
      <w:r w:rsidR="00C0146B" w:rsidRPr="0059533A">
        <w:rPr>
          <w:rFonts w:asciiTheme="minorHAnsi" w:hAnsiTheme="minorHAnsi"/>
          <w:snapToGrid w:val="0"/>
          <w:lang w:val="en-GB"/>
        </w:rPr>
        <w:t xml:space="preserve"> trials had moderate to severe CD</w:t>
      </w:r>
      <w:r w:rsidR="0059533A" w:rsidRPr="0059533A">
        <w:rPr>
          <w:rFonts w:asciiTheme="minorHAnsi" w:hAnsiTheme="minorHAnsi"/>
          <w:snapToGrid w:val="0"/>
          <w:lang w:val="en-GB"/>
        </w:rPr>
        <w:t xml:space="preserve"> (CDAI score of </w:t>
      </w:r>
      <w:r w:rsidR="0059533A" w:rsidRPr="0074236E">
        <w:t>≥ 220 and ≤ 450</w:t>
      </w:r>
      <w:r w:rsidR="0059533A">
        <w:t>)</w:t>
      </w:r>
      <w:r w:rsidR="001D5B48">
        <w:t xml:space="preserve">, </w:t>
      </w:r>
      <w:r w:rsidR="000D29EA">
        <w:t>however</w:t>
      </w:r>
      <w:r w:rsidR="001D5B48">
        <w:t xml:space="preserve"> the </w:t>
      </w:r>
      <w:r w:rsidR="00162051">
        <w:t>proposed P</w:t>
      </w:r>
      <w:r w:rsidR="00B42535">
        <w:t>B</w:t>
      </w:r>
      <w:r w:rsidR="00162051">
        <w:t xml:space="preserve">S listing </w:t>
      </w:r>
      <w:r w:rsidR="00B42535">
        <w:t>was</w:t>
      </w:r>
      <w:r w:rsidR="00162051">
        <w:t xml:space="preserve"> for severe CD (CDAI </w:t>
      </w:r>
      <w:r w:rsidR="00162051" w:rsidRPr="00C46A74">
        <w:t>score ≥300</w:t>
      </w:r>
      <w:r w:rsidR="00162051">
        <w:t>)</w:t>
      </w:r>
      <w:r w:rsidR="000D29EA">
        <w:t xml:space="preserve"> only</w:t>
      </w:r>
      <w:r w:rsidR="0059533A" w:rsidRPr="0059533A">
        <w:rPr>
          <w:rFonts w:asciiTheme="minorHAnsi" w:hAnsiTheme="minorHAnsi"/>
          <w:snapToGrid w:val="0"/>
          <w:lang w:val="en-GB"/>
        </w:rPr>
        <w:t>.</w:t>
      </w:r>
      <w:r w:rsidR="000C4F27">
        <w:rPr>
          <w:rFonts w:asciiTheme="minorHAnsi" w:hAnsiTheme="minorHAnsi"/>
          <w:snapToGrid w:val="0"/>
          <w:lang w:val="en-GB"/>
        </w:rPr>
        <w:t xml:space="preserve"> </w:t>
      </w:r>
      <w:r w:rsidR="000D29EA">
        <w:rPr>
          <w:rFonts w:asciiTheme="minorHAnsi" w:hAnsiTheme="minorHAnsi"/>
          <w:snapToGrid w:val="0"/>
          <w:lang w:val="en-GB"/>
        </w:rPr>
        <w:t>T</w:t>
      </w:r>
      <w:r w:rsidR="0059533A" w:rsidRPr="0059533A">
        <w:rPr>
          <w:rFonts w:asciiTheme="minorHAnsi" w:hAnsiTheme="minorHAnsi"/>
          <w:snapToGrid w:val="0"/>
          <w:lang w:val="en-GB"/>
        </w:rPr>
        <w:t xml:space="preserve">he PBAC </w:t>
      </w:r>
      <w:r w:rsidR="00E935CF">
        <w:rPr>
          <w:rFonts w:asciiTheme="minorHAnsi" w:hAnsiTheme="minorHAnsi"/>
          <w:snapToGrid w:val="0"/>
          <w:lang w:val="en-GB"/>
        </w:rPr>
        <w:t>noted it</w:t>
      </w:r>
      <w:r w:rsidR="00CF5688" w:rsidRPr="0059533A">
        <w:rPr>
          <w:rFonts w:asciiTheme="minorHAnsi" w:hAnsiTheme="minorHAnsi"/>
          <w:snapToGrid w:val="0"/>
          <w:lang w:val="en-GB"/>
        </w:rPr>
        <w:t xml:space="preserve"> has previously considered trials that included </w:t>
      </w:r>
      <w:r w:rsidR="000D29EA">
        <w:rPr>
          <w:rFonts w:asciiTheme="minorHAnsi" w:hAnsiTheme="minorHAnsi"/>
          <w:snapToGrid w:val="0"/>
          <w:lang w:val="en-GB"/>
        </w:rPr>
        <w:t xml:space="preserve">patients with </w:t>
      </w:r>
      <w:r w:rsidR="00CF5688" w:rsidRPr="0059533A">
        <w:rPr>
          <w:rFonts w:asciiTheme="minorHAnsi" w:hAnsiTheme="minorHAnsi"/>
          <w:snapToGrid w:val="0"/>
          <w:lang w:val="en-GB"/>
        </w:rPr>
        <w:t>moderate to severe CD to support the clinical and safety claims for severe CD in the UST and VD</w:t>
      </w:r>
      <w:r w:rsidR="00B13A38">
        <w:rPr>
          <w:rFonts w:asciiTheme="minorHAnsi" w:hAnsiTheme="minorHAnsi"/>
          <w:snapToGrid w:val="0"/>
          <w:lang w:val="en-GB"/>
        </w:rPr>
        <w:t>Z</w:t>
      </w:r>
      <w:r w:rsidR="00CF5688" w:rsidRPr="0059533A">
        <w:rPr>
          <w:rFonts w:asciiTheme="minorHAnsi" w:hAnsiTheme="minorHAnsi"/>
          <w:snapToGrid w:val="0"/>
          <w:lang w:val="en-GB"/>
        </w:rPr>
        <w:t xml:space="preserve"> considerations</w:t>
      </w:r>
      <w:r w:rsidR="0056578E">
        <w:rPr>
          <w:rFonts w:asciiTheme="minorHAnsi" w:hAnsiTheme="minorHAnsi"/>
          <w:snapToGrid w:val="0"/>
          <w:lang w:val="en-GB"/>
        </w:rPr>
        <w:t xml:space="preserve">. </w:t>
      </w:r>
      <w:r w:rsidR="00B56902" w:rsidRPr="00976362">
        <w:rPr>
          <w:rFonts w:asciiTheme="minorHAnsi" w:hAnsiTheme="minorHAnsi"/>
          <w:snapToGrid w:val="0"/>
          <w:lang w:val="en-GB"/>
        </w:rPr>
        <w:t xml:space="preserve">The PBAC </w:t>
      </w:r>
      <w:r w:rsidR="00F7160C">
        <w:rPr>
          <w:rFonts w:asciiTheme="minorHAnsi" w:hAnsiTheme="minorHAnsi"/>
          <w:snapToGrid w:val="0"/>
          <w:lang w:val="en-GB"/>
        </w:rPr>
        <w:t xml:space="preserve">also </w:t>
      </w:r>
      <w:r w:rsidR="00B56902" w:rsidRPr="00976362">
        <w:rPr>
          <w:rFonts w:asciiTheme="minorHAnsi" w:hAnsiTheme="minorHAnsi"/>
          <w:snapToGrid w:val="0"/>
          <w:lang w:val="en-GB"/>
        </w:rPr>
        <w:t xml:space="preserve">noted there were a number of transitivity issues across the trials, including differences in prior exposure to biologics, concomitant use of other therapies (e.g. </w:t>
      </w:r>
      <w:r w:rsidR="00F56469" w:rsidRPr="00976362">
        <w:rPr>
          <w:rFonts w:asciiTheme="minorHAnsi" w:hAnsiTheme="minorHAnsi"/>
          <w:snapToGrid w:val="0"/>
          <w:lang w:val="en-GB"/>
        </w:rPr>
        <w:t>cortico</w:t>
      </w:r>
      <w:r w:rsidR="00B56902" w:rsidRPr="00976362">
        <w:rPr>
          <w:rFonts w:asciiTheme="minorHAnsi" w:hAnsiTheme="minorHAnsi"/>
          <w:snapToGrid w:val="0"/>
          <w:lang w:val="en-GB"/>
        </w:rPr>
        <w:t>steroids, 5-ASA</w:t>
      </w:r>
      <w:r w:rsidR="00F56469" w:rsidRPr="00976362">
        <w:rPr>
          <w:rFonts w:asciiTheme="minorHAnsi" w:hAnsiTheme="minorHAnsi"/>
          <w:snapToGrid w:val="0"/>
          <w:lang w:val="en-GB"/>
        </w:rPr>
        <w:t xml:space="preserve"> and immunomodulator</w:t>
      </w:r>
      <w:r w:rsidR="00616E34" w:rsidRPr="00976362">
        <w:rPr>
          <w:rFonts w:asciiTheme="minorHAnsi" w:hAnsiTheme="minorHAnsi"/>
          <w:snapToGrid w:val="0"/>
          <w:lang w:val="en-GB"/>
        </w:rPr>
        <w:t>s</w:t>
      </w:r>
      <w:r w:rsidR="00B56902" w:rsidRPr="00976362">
        <w:rPr>
          <w:rFonts w:asciiTheme="minorHAnsi" w:hAnsiTheme="minorHAnsi"/>
          <w:snapToGrid w:val="0"/>
          <w:lang w:val="en-GB"/>
        </w:rPr>
        <w:t>), differen</w:t>
      </w:r>
      <w:r w:rsidR="00D93298" w:rsidRPr="00976362">
        <w:rPr>
          <w:rFonts w:asciiTheme="minorHAnsi" w:hAnsiTheme="minorHAnsi"/>
          <w:snapToGrid w:val="0"/>
          <w:lang w:val="en-GB"/>
        </w:rPr>
        <w:t>ces</w:t>
      </w:r>
      <w:r w:rsidR="00B56902" w:rsidRPr="00976362">
        <w:rPr>
          <w:rFonts w:asciiTheme="minorHAnsi" w:hAnsiTheme="minorHAnsi"/>
          <w:snapToGrid w:val="0"/>
          <w:lang w:val="en-GB"/>
        </w:rPr>
        <w:t xml:space="preserve"> in placebo response rate and </w:t>
      </w:r>
      <w:r w:rsidR="00D93298" w:rsidRPr="00976362">
        <w:rPr>
          <w:rFonts w:asciiTheme="minorHAnsi" w:hAnsiTheme="minorHAnsi"/>
          <w:snapToGrid w:val="0"/>
          <w:lang w:val="en-GB"/>
        </w:rPr>
        <w:t xml:space="preserve">differences in </w:t>
      </w:r>
      <w:r w:rsidR="00B56902" w:rsidRPr="00976362">
        <w:rPr>
          <w:rFonts w:asciiTheme="minorHAnsi" w:hAnsiTheme="minorHAnsi"/>
          <w:snapToGrid w:val="0"/>
          <w:lang w:val="en-GB"/>
        </w:rPr>
        <w:t xml:space="preserve">primary outcome </w:t>
      </w:r>
      <w:r w:rsidR="00616E34" w:rsidRPr="00976362">
        <w:rPr>
          <w:rFonts w:asciiTheme="minorHAnsi" w:hAnsiTheme="minorHAnsi"/>
          <w:snapToGrid w:val="0"/>
          <w:lang w:val="en-GB"/>
        </w:rPr>
        <w:t xml:space="preserve">measures </w:t>
      </w:r>
      <w:r w:rsidR="00530865" w:rsidRPr="00976362">
        <w:rPr>
          <w:rFonts w:asciiTheme="minorHAnsi" w:hAnsiTheme="minorHAnsi"/>
          <w:snapToGrid w:val="0"/>
          <w:lang w:val="en-GB"/>
        </w:rPr>
        <w:t>for</w:t>
      </w:r>
      <w:r w:rsidR="00B56902" w:rsidRPr="00976362">
        <w:rPr>
          <w:rFonts w:asciiTheme="minorHAnsi" w:hAnsiTheme="minorHAnsi"/>
          <w:snapToGrid w:val="0"/>
          <w:lang w:val="en-GB"/>
        </w:rPr>
        <w:t xml:space="preserve"> RIS </w:t>
      </w:r>
      <w:r w:rsidR="00530865" w:rsidRPr="00976362">
        <w:rPr>
          <w:rFonts w:asciiTheme="minorHAnsi" w:hAnsiTheme="minorHAnsi"/>
          <w:snapToGrid w:val="0"/>
          <w:lang w:val="en-GB"/>
        </w:rPr>
        <w:t>and</w:t>
      </w:r>
      <w:r w:rsidR="00B56902" w:rsidRPr="00976362">
        <w:rPr>
          <w:rFonts w:asciiTheme="minorHAnsi" w:hAnsiTheme="minorHAnsi"/>
          <w:snapToGrid w:val="0"/>
          <w:lang w:val="en-GB"/>
        </w:rPr>
        <w:t xml:space="preserve"> UST</w:t>
      </w:r>
      <w:r w:rsidR="00911B2F" w:rsidRPr="00976362">
        <w:rPr>
          <w:rFonts w:asciiTheme="minorHAnsi" w:hAnsiTheme="minorHAnsi"/>
          <w:snapToGrid w:val="0"/>
          <w:lang w:val="en-GB"/>
        </w:rPr>
        <w:t xml:space="preserve"> </w:t>
      </w:r>
      <w:r w:rsidR="00976362">
        <w:rPr>
          <w:rFonts w:asciiTheme="minorHAnsi" w:hAnsiTheme="minorHAnsi"/>
          <w:snapToGrid w:val="0"/>
          <w:lang w:val="en-GB"/>
        </w:rPr>
        <w:t>and considered</w:t>
      </w:r>
      <w:r w:rsidR="003F4160">
        <w:rPr>
          <w:rFonts w:asciiTheme="minorHAnsi" w:hAnsiTheme="minorHAnsi"/>
          <w:snapToGrid w:val="0"/>
          <w:lang w:val="en-GB"/>
        </w:rPr>
        <w:t xml:space="preserve"> that whilst</w:t>
      </w:r>
      <w:r w:rsidR="00976362">
        <w:rPr>
          <w:rFonts w:asciiTheme="minorHAnsi" w:hAnsiTheme="minorHAnsi"/>
          <w:snapToGrid w:val="0"/>
          <w:lang w:val="en-GB"/>
        </w:rPr>
        <w:t xml:space="preserve"> these added a degree of additional uncertainty to the indirect comparisons</w:t>
      </w:r>
      <w:r w:rsidR="003F4160">
        <w:rPr>
          <w:rFonts w:asciiTheme="minorHAnsi" w:hAnsiTheme="minorHAnsi"/>
          <w:snapToGrid w:val="0"/>
          <w:lang w:val="en-GB"/>
        </w:rPr>
        <w:t xml:space="preserve">, the analyses were generally reliable for informing a comparison </w:t>
      </w:r>
      <w:r w:rsidR="00FC23A0">
        <w:rPr>
          <w:rFonts w:asciiTheme="minorHAnsi" w:hAnsiTheme="minorHAnsi"/>
          <w:snapToGrid w:val="0"/>
          <w:lang w:val="en-GB"/>
        </w:rPr>
        <w:t>o</w:t>
      </w:r>
      <w:r w:rsidR="003F4160">
        <w:rPr>
          <w:rFonts w:asciiTheme="minorHAnsi" w:hAnsiTheme="minorHAnsi"/>
          <w:snapToGrid w:val="0"/>
          <w:lang w:val="en-GB"/>
        </w:rPr>
        <w:t>f RIS and UST</w:t>
      </w:r>
      <w:r w:rsidR="00976362">
        <w:rPr>
          <w:rFonts w:asciiTheme="minorHAnsi" w:hAnsiTheme="minorHAnsi"/>
          <w:snapToGrid w:val="0"/>
          <w:lang w:val="en-GB"/>
        </w:rPr>
        <w:t>.</w:t>
      </w:r>
      <w:r w:rsidR="00911B2F" w:rsidRPr="00976362">
        <w:rPr>
          <w:rFonts w:asciiTheme="minorHAnsi" w:hAnsiTheme="minorHAnsi"/>
          <w:snapToGrid w:val="0"/>
          <w:lang w:val="en-GB"/>
        </w:rPr>
        <w:t xml:space="preserve"> </w:t>
      </w:r>
    </w:p>
    <w:p w14:paraId="22FD2A97" w14:textId="16122A39" w:rsidR="00F7160C" w:rsidRDefault="00ED39CB" w:rsidP="00A93A3B">
      <w:pPr>
        <w:widowControl w:val="0"/>
        <w:numPr>
          <w:ilvl w:val="1"/>
          <w:numId w:val="13"/>
        </w:numPr>
        <w:spacing w:after="120"/>
        <w:ind w:left="720"/>
        <w:rPr>
          <w:rFonts w:asciiTheme="minorHAnsi" w:hAnsiTheme="minorHAnsi"/>
          <w:snapToGrid w:val="0"/>
          <w:lang w:val="en-GB"/>
        </w:rPr>
      </w:pPr>
      <w:r>
        <w:rPr>
          <w:rFonts w:asciiTheme="minorHAnsi" w:hAnsiTheme="minorHAnsi"/>
          <w:snapToGrid w:val="0"/>
          <w:lang w:val="en-GB"/>
        </w:rPr>
        <w:t xml:space="preserve">For induction treatment, the PBAC noted the results of </w:t>
      </w:r>
      <w:r w:rsidR="00BB4317">
        <w:rPr>
          <w:rFonts w:asciiTheme="minorHAnsi" w:hAnsiTheme="minorHAnsi"/>
          <w:snapToGrid w:val="0"/>
          <w:lang w:val="en-GB"/>
        </w:rPr>
        <w:t>the indirect comparisons showed no statistically significant differences between RIS and UST for the outcomes of clinical response or clinical remission and considered the available evidence supported a conclusion that RIS is likely of non-inferior comparative effectiveness to UST.</w:t>
      </w:r>
      <w:r w:rsidR="00F7160C">
        <w:rPr>
          <w:rFonts w:asciiTheme="minorHAnsi" w:hAnsiTheme="minorHAnsi"/>
          <w:snapToGrid w:val="0"/>
          <w:lang w:val="en-GB"/>
        </w:rPr>
        <w:t xml:space="preserve"> </w:t>
      </w:r>
    </w:p>
    <w:p w14:paraId="75E466D2" w14:textId="47E52C3E" w:rsidR="005A408F" w:rsidRDefault="000D750D" w:rsidP="00A93A3B">
      <w:pPr>
        <w:widowControl w:val="0"/>
        <w:numPr>
          <w:ilvl w:val="1"/>
          <w:numId w:val="13"/>
        </w:numPr>
        <w:spacing w:after="120"/>
        <w:ind w:left="720"/>
        <w:rPr>
          <w:rFonts w:asciiTheme="minorHAnsi" w:hAnsiTheme="minorHAnsi"/>
          <w:snapToGrid w:val="0"/>
          <w:lang w:val="en-GB"/>
        </w:rPr>
      </w:pPr>
      <w:r>
        <w:rPr>
          <w:rFonts w:asciiTheme="minorHAnsi" w:hAnsiTheme="minorHAnsi"/>
          <w:snapToGrid w:val="0"/>
          <w:lang w:val="en-GB"/>
        </w:rPr>
        <w:t>For</w:t>
      </w:r>
      <w:r w:rsidR="00BB4317">
        <w:rPr>
          <w:rFonts w:asciiTheme="minorHAnsi" w:hAnsiTheme="minorHAnsi"/>
          <w:snapToGrid w:val="0"/>
          <w:lang w:val="en-GB"/>
        </w:rPr>
        <w:t xml:space="preserve"> maintenance therapy, </w:t>
      </w:r>
      <w:r w:rsidR="005B5495">
        <w:rPr>
          <w:rFonts w:asciiTheme="minorHAnsi" w:hAnsiTheme="minorHAnsi"/>
          <w:snapToGrid w:val="0"/>
          <w:lang w:val="en-GB"/>
        </w:rPr>
        <w:t>the PBAC</w:t>
      </w:r>
      <w:r w:rsidR="00ED39CB">
        <w:rPr>
          <w:rFonts w:asciiTheme="minorHAnsi" w:hAnsiTheme="minorHAnsi"/>
          <w:snapToGrid w:val="0"/>
          <w:lang w:val="en-GB"/>
        </w:rPr>
        <w:t xml:space="preserve"> </w:t>
      </w:r>
      <w:r w:rsidR="009C5289">
        <w:t>agreed with the ESC</w:t>
      </w:r>
      <w:r w:rsidR="00490C76">
        <w:t xml:space="preserve"> </w:t>
      </w:r>
      <w:r>
        <w:t>that</w:t>
      </w:r>
      <w:r w:rsidR="00976362">
        <w:t xml:space="preserve"> the</w:t>
      </w:r>
      <w:r w:rsidR="0084058F" w:rsidRPr="00C1582A">
        <w:t xml:space="preserve"> full ITT population were</w:t>
      </w:r>
      <w:r w:rsidR="00976362">
        <w:t xml:space="preserve"> the most appropriate basis to consider the effectiveness of RIS</w:t>
      </w:r>
      <w:r w:rsidR="000C4F27">
        <w:t>.</w:t>
      </w:r>
      <w:r w:rsidR="00BB4317">
        <w:t xml:space="preserve"> The PBAC noted there was no statistically significant differences between RIS and UST for the outcomes of clinical response or clinical remission in the maintenance phase and considered the available evidence supported a conclusion that RIS is also likely of non-inferior comparative effectiveness to UST in maintenance therapy for severe CD.</w:t>
      </w:r>
    </w:p>
    <w:p w14:paraId="75663E11" w14:textId="660C6027" w:rsidR="00E27549" w:rsidRPr="005A408F" w:rsidRDefault="00E27549" w:rsidP="00A93A3B">
      <w:pPr>
        <w:widowControl w:val="0"/>
        <w:numPr>
          <w:ilvl w:val="1"/>
          <w:numId w:val="13"/>
        </w:numPr>
        <w:spacing w:after="120"/>
        <w:ind w:left="720"/>
        <w:rPr>
          <w:rFonts w:asciiTheme="minorHAnsi" w:hAnsiTheme="minorHAnsi"/>
          <w:snapToGrid w:val="0"/>
          <w:lang w:val="en-GB"/>
        </w:rPr>
      </w:pPr>
      <w:r w:rsidRPr="005A408F">
        <w:rPr>
          <w:rFonts w:asciiTheme="minorHAnsi" w:hAnsiTheme="minorHAnsi"/>
          <w:snapToGrid w:val="0"/>
          <w:lang w:val="en-GB"/>
        </w:rPr>
        <w:t xml:space="preserve">The PBAC </w:t>
      </w:r>
      <w:r w:rsidR="00C1582A" w:rsidRPr="005A408F">
        <w:rPr>
          <w:rFonts w:asciiTheme="minorHAnsi" w:hAnsiTheme="minorHAnsi"/>
          <w:snapToGrid w:val="0"/>
          <w:lang w:val="en-GB"/>
        </w:rPr>
        <w:t>noted</w:t>
      </w:r>
      <w:r w:rsidR="009B717E">
        <w:rPr>
          <w:rFonts w:asciiTheme="minorHAnsi" w:hAnsiTheme="minorHAnsi"/>
          <w:snapToGrid w:val="0"/>
          <w:lang w:val="en-GB"/>
        </w:rPr>
        <w:t xml:space="preserve"> the submission described RIS as being of non-inferior comparative safety to UST</w:t>
      </w:r>
      <w:r w:rsidR="00424E1A">
        <w:rPr>
          <w:rFonts w:asciiTheme="minorHAnsi" w:hAnsiTheme="minorHAnsi"/>
          <w:snapToGrid w:val="0"/>
          <w:lang w:val="en-GB"/>
        </w:rPr>
        <w:t xml:space="preserve"> and the supplementary comparators</w:t>
      </w:r>
      <w:r w:rsidR="00F53D69">
        <w:rPr>
          <w:rFonts w:asciiTheme="minorHAnsi" w:hAnsiTheme="minorHAnsi"/>
          <w:snapToGrid w:val="0"/>
          <w:lang w:val="en-GB"/>
        </w:rPr>
        <w:t xml:space="preserve"> and considered this claim was reasonable. </w:t>
      </w:r>
    </w:p>
    <w:p w14:paraId="73FD7E9B" w14:textId="77F8088C" w:rsidR="00635841" w:rsidRPr="00635841" w:rsidRDefault="00635841" w:rsidP="00A93A3B">
      <w:pPr>
        <w:widowControl w:val="0"/>
        <w:numPr>
          <w:ilvl w:val="1"/>
          <w:numId w:val="13"/>
        </w:numPr>
        <w:spacing w:after="120"/>
        <w:ind w:left="720"/>
        <w:rPr>
          <w:rFonts w:asciiTheme="minorHAnsi" w:hAnsiTheme="minorHAnsi"/>
          <w:snapToGrid w:val="0"/>
          <w:lang w:val="en-GB"/>
        </w:rPr>
      </w:pPr>
      <w:bookmarkStart w:id="52" w:name="_Ref124264585"/>
      <w:r>
        <w:rPr>
          <w:rFonts w:asciiTheme="minorHAnsi" w:hAnsiTheme="minorHAnsi"/>
          <w:snapToGrid w:val="0"/>
          <w:lang w:val="en-GB"/>
        </w:rPr>
        <w:t xml:space="preserve">The PBAC considered that a listing based on a cost minimisation approach with costs </w:t>
      </w:r>
      <w:r>
        <w:rPr>
          <w:rFonts w:asciiTheme="minorHAnsi" w:hAnsiTheme="minorHAnsi"/>
          <w:snapToGrid w:val="0"/>
          <w:lang w:val="en-GB"/>
        </w:rPr>
        <w:lastRenderedPageBreak/>
        <w:t>over two years, consistent with the approach previously used for bDMARDs, was appropriate to determine the cost minimised price of RIS. The PBAC</w:t>
      </w:r>
      <w:r w:rsidR="009B717E">
        <w:rPr>
          <w:rFonts w:asciiTheme="minorHAnsi" w:hAnsiTheme="minorHAnsi"/>
          <w:snapToGrid w:val="0"/>
          <w:lang w:val="en-GB"/>
        </w:rPr>
        <w:t xml:space="preserve"> considered the cost of RIS should be no greater than the least costly of the alternative therapies.</w:t>
      </w:r>
      <w:bookmarkEnd w:id="52"/>
    </w:p>
    <w:p w14:paraId="0A0E34A9" w14:textId="7349FE22" w:rsidR="00EC776D" w:rsidRPr="003C6DC0" w:rsidRDefault="00EC776D" w:rsidP="00A93A3B">
      <w:pPr>
        <w:widowControl w:val="0"/>
        <w:numPr>
          <w:ilvl w:val="1"/>
          <w:numId w:val="13"/>
        </w:numPr>
        <w:spacing w:after="120"/>
        <w:ind w:left="720"/>
        <w:rPr>
          <w:rFonts w:asciiTheme="minorHAnsi" w:hAnsiTheme="minorHAnsi"/>
          <w:snapToGrid w:val="0"/>
          <w:lang w:val="en-GB"/>
        </w:rPr>
      </w:pPr>
      <w:r w:rsidRPr="003C6DC0">
        <w:rPr>
          <w:rFonts w:asciiTheme="minorHAnsi" w:hAnsiTheme="minorHAnsi"/>
          <w:snapToGrid w:val="0"/>
          <w:lang w:val="en-GB"/>
        </w:rPr>
        <w:t xml:space="preserve">The PBAC considered the </w:t>
      </w:r>
      <w:r w:rsidR="004530E8">
        <w:rPr>
          <w:rFonts w:asciiTheme="minorHAnsi" w:hAnsiTheme="minorHAnsi"/>
          <w:snapToGrid w:val="0"/>
          <w:lang w:val="en-GB"/>
        </w:rPr>
        <w:t>uptake of</w:t>
      </w:r>
      <w:r w:rsidRPr="003C6DC0">
        <w:rPr>
          <w:rFonts w:asciiTheme="minorHAnsi" w:hAnsiTheme="minorHAnsi"/>
          <w:snapToGrid w:val="0"/>
          <w:lang w:val="en-GB"/>
        </w:rPr>
        <w:t xml:space="preserve"> RIS may be overestimated</w:t>
      </w:r>
      <w:r w:rsidR="004530E8">
        <w:rPr>
          <w:rFonts w:asciiTheme="minorHAnsi" w:hAnsiTheme="minorHAnsi"/>
          <w:snapToGrid w:val="0"/>
          <w:lang w:val="en-GB"/>
        </w:rPr>
        <w:t xml:space="preserve"> </w:t>
      </w:r>
      <w:r w:rsidR="004D3C72">
        <w:rPr>
          <w:rFonts w:asciiTheme="minorHAnsi" w:hAnsiTheme="minorHAnsi"/>
          <w:snapToGrid w:val="0"/>
          <w:lang w:val="en-GB"/>
        </w:rPr>
        <w:t xml:space="preserve">as </w:t>
      </w:r>
      <w:r w:rsidR="009B717E">
        <w:rPr>
          <w:rFonts w:asciiTheme="minorHAnsi" w:hAnsiTheme="minorHAnsi"/>
          <w:snapToGrid w:val="0"/>
          <w:lang w:val="en-GB"/>
        </w:rPr>
        <w:t>RIS requires 3 IV infusions in the induction phase</w:t>
      </w:r>
      <w:r w:rsidR="00424E1A">
        <w:rPr>
          <w:rFonts w:asciiTheme="minorHAnsi" w:hAnsiTheme="minorHAnsi"/>
          <w:snapToGrid w:val="0"/>
          <w:lang w:val="en-GB"/>
        </w:rPr>
        <w:t>, whilst UST requires only 1 IV infusion at commencement of treatment</w:t>
      </w:r>
      <w:r w:rsidR="009B717E">
        <w:rPr>
          <w:rFonts w:asciiTheme="minorHAnsi" w:hAnsiTheme="minorHAnsi"/>
          <w:snapToGrid w:val="0"/>
          <w:lang w:val="en-GB"/>
        </w:rPr>
        <w:t>. This issue notwithstanding, the PBAC considered that, if listed on a cost minimisation basis with the least costly alternative of UST, ADA, V</w:t>
      </w:r>
      <w:r w:rsidR="00B13A38">
        <w:rPr>
          <w:rFonts w:asciiTheme="minorHAnsi" w:hAnsiTheme="minorHAnsi"/>
          <w:snapToGrid w:val="0"/>
          <w:lang w:val="en-GB"/>
        </w:rPr>
        <w:t>DZ</w:t>
      </w:r>
      <w:r w:rsidR="009B717E">
        <w:rPr>
          <w:rFonts w:asciiTheme="minorHAnsi" w:hAnsiTheme="minorHAnsi"/>
          <w:snapToGrid w:val="0"/>
          <w:lang w:val="en-GB"/>
        </w:rPr>
        <w:t xml:space="preserve"> and IFX, that the listing of RIS would likely be cost neutral to the PBS or result in a modest net save as it will replace therapies that are either of equivalent cost or more expensive. </w:t>
      </w:r>
      <w:r w:rsidR="004530E8">
        <w:rPr>
          <w:rFonts w:asciiTheme="minorHAnsi" w:hAnsiTheme="minorHAnsi"/>
          <w:snapToGrid w:val="0"/>
          <w:lang w:val="en-GB"/>
        </w:rPr>
        <w:t xml:space="preserve"> </w:t>
      </w:r>
    </w:p>
    <w:p w14:paraId="25DF9D39" w14:textId="76BA203A" w:rsidR="00DA33AD" w:rsidRPr="00525B39" w:rsidRDefault="00DA33AD" w:rsidP="00DA33AD">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0E9F4A8F" w14:textId="0058D2C0" w:rsidR="00DA33AD" w:rsidRPr="00525B39" w:rsidRDefault="00DA33AD" w:rsidP="00DA33AD">
      <w:pPr>
        <w:rPr>
          <w:rFonts w:asciiTheme="minorHAnsi" w:hAnsiTheme="minorHAnsi"/>
          <w:bCs/>
          <w:snapToGrid w:val="0"/>
          <w:lang w:val="en-GB"/>
        </w:rPr>
      </w:pPr>
      <w:r w:rsidRPr="00525B39">
        <w:rPr>
          <w:rFonts w:asciiTheme="minorHAnsi" w:hAnsiTheme="minorHAnsi"/>
          <w:bCs/>
          <w:snapToGrid w:val="0"/>
          <w:lang w:val="en-GB"/>
        </w:rPr>
        <w:t xml:space="preserve">Deferred </w:t>
      </w:r>
    </w:p>
    <w:bookmarkEnd w:id="48"/>
    <w:bookmarkEnd w:id="49"/>
    <w:bookmarkEnd w:id="50"/>
    <w:p w14:paraId="7223049B" w14:textId="77777777" w:rsidR="00DD07E9" w:rsidRPr="00DC6997" w:rsidRDefault="00DD07E9" w:rsidP="00A93A3B">
      <w:pPr>
        <w:pStyle w:val="2-SectionHeading"/>
      </w:pPr>
      <w:r w:rsidRPr="00DC6997">
        <w:t>Context for Decision</w:t>
      </w:r>
    </w:p>
    <w:p w14:paraId="44748FF1" w14:textId="77777777" w:rsidR="00DD07E9" w:rsidRPr="00DC6997" w:rsidRDefault="00DD07E9" w:rsidP="00DD07E9">
      <w:pPr>
        <w:spacing w:after="120" w:line="259" w:lineRule="auto"/>
        <w:ind w:left="709"/>
        <w:rPr>
          <w:rFonts w:eastAsia="Calibri"/>
          <w:bCs/>
          <w:sz w:val="22"/>
          <w:szCs w:val="22"/>
          <w:lang w:val="en-GB" w:eastAsia="en-US"/>
        </w:rPr>
      </w:pPr>
      <w:r w:rsidRPr="00DC6997">
        <w:rPr>
          <w:rFonts w:eastAsia="Calibri"/>
          <w:bCs/>
          <w:sz w:val="22"/>
          <w:szCs w:val="22"/>
          <w:lang w:val="en-GB" w:eastAsia="en-U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6C2DE1A" w14:textId="77777777" w:rsidR="00DD07E9" w:rsidRPr="00DC6997" w:rsidRDefault="00DD07E9" w:rsidP="00A93A3B">
      <w:pPr>
        <w:pStyle w:val="2-SectionHeading"/>
      </w:pPr>
      <w:r w:rsidRPr="00DC6997">
        <w:t>Sponsor’s Comment</w:t>
      </w:r>
    </w:p>
    <w:p w14:paraId="7B6A9351" w14:textId="77777777" w:rsidR="00DD07E9" w:rsidRPr="00DC6997" w:rsidRDefault="00DD07E9" w:rsidP="00DD07E9">
      <w:pPr>
        <w:spacing w:after="120" w:line="259" w:lineRule="auto"/>
        <w:ind w:left="709"/>
        <w:rPr>
          <w:rFonts w:eastAsia="Calibri"/>
          <w:bCs/>
          <w:sz w:val="22"/>
          <w:szCs w:val="22"/>
          <w:lang w:eastAsia="en-US"/>
        </w:rPr>
      </w:pPr>
      <w:r w:rsidRPr="00DC6997">
        <w:rPr>
          <w:rFonts w:eastAsia="Calibri"/>
          <w:bCs/>
          <w:sz w:val="22"/>
          <w:szCs w:val="22"/>
          <w:lang w:eastAsia="en-US"/>
        </w:rPr>
        <w:t>The sponsor had no comment.</w:t>
      </w:r>
    </w:p>
    <w:p w14:paraId="5F4B986A" w14:textId="07CC7A8B" w:rsidR="00A93A3B" w:rsidRDefault="00A93A3B">
      <w:pPr>
        <w:jc w:val="left"/>
        <w:rPr>
          <w:color w:val="3366FF"/>
        </w:rPr>
      </w:pPr>
      <w:r>
        <w:rPr>
          <w:color w:val="3366FF"/>
        </w:rPr>
        <w:br w:type="page"/>
      </w:r>
    </w:p>
    <w:p w14:paraId="0B8C5CB2" w14:textId="5A7B53E0" w:rsidR="00A93A3B" w:rsidRDefault="00A93A3B" w:rsidP="00A93A3B">
      <w:pPr>
        <w:widowControl w:val="0"/>
        <w:spacing w:before="120" w:after="160"/>
        <w:outlineLvl w:val="0"/>
        <w:rPr>
          <w:rFonts w:eastAsia="Calibri"/>
          <w:b/>
          <w:snapToGrid w:val="0"/>
          <w:color w:val="FF0000"/>
          <w:sz w:val="28"/>
          <w:szCs w:val="28"/>
          <w:lang w:eastAsia="en-US"/>
        </w:rPr>
      </w:pPr>
      <w:r w:rsidRPr="00073B4B">
        <w:rPr>
          <w:rFonts w:eastAsia="Calibri"/>
          <w:b/>
          <w:snapToGrid w:val="0"/>
          <w:color w:val="FF0000"/>
          <w:sz w:val="28"/>
          <w:szCs w:val="28"/>
          <w:lang w:eastAsia="en-US"/>
        </w:rPr>
        <w:lastRenderedPageBreak/>
        <w:t xml:space="preserve">Addendum to the </w:t>
      </w:r>
      <w:r>
        <w:rPr>
          <w:rFonts w:eastAsia="Calibri"/>
          <w:b/>
          <w:snapToGrid w:val="0"/>
          <w:color w:val="FF0000"/>
          <w:sz w:val="28"/>
          <w:szCs w:val="28"/>
          <w:lang w:eastAsia="en-US"/>
        </w:rPr>
        <w:t>July 2022</w:t>
      </w:r>
      <w:r w:rsidRPr="00073B4B">
        <w:rPr>
          <w:rFonts w:eastAsia="Calibri"/>
          <w:b/>
          <w:snapToGrid w:val="0"/>
          <w:color w:val="FF0000"/>
          <w:sz w:val="28"/>
          <w:szCs w:val="28"/>
          <w:lang w:eastAsia="en-US"/>
        </w:rPr>
        <w:t xml:space="preserve"> P</w:t>
      </w:r>
      <w:r>
        <w:rPr>
          <w:rFonts w:eastAsia="Calibri"/>
          <w:b/>
          <w:snapToGrid w:val="0"/>
          <w:color w:val="FF0000"/>
          <w:sz w:val="28"/>
          <w:szCs w:val="28"/>
          <w:lang w:eastAsia="en-US"/>
        </w:rPr>
        <w:t>ublic Summary Document</w:t>
      </w:r>
      <w:r w:rsidRPr="00073B4B">
        <w:rPr>
          <w:rFonts w:eastAsia="Calibri"/>
          <w:b/>
          <w:snapToGrid w:val="0"/>
          <w:color w:val="FF0000"/>
          <w:sz w:val="28"/>
          <w:szCs w:val="28"/>
          <w:lang w:eastAsia="en-US"/>
        </w:rPr>
        <w:t>:</w:t>
      </w:r>
    </w:p>
    <w:p w14:paraId="131958B8" w14:textId="24DA1FD0" w:rsidR="00A93A3B" w:rsidRDefault="00A93A3B" w:rsidP="00A93A3B">
      <w:pPr>
        <w:pStyle w:val="1-MainHeading"/>
      </w:pPr>
      <w:r>
        <w:t>4.02</w:t>
      </w:r>
      <w:r>
        <w:tab/>
        <w:t>RISANKIZUMAB,</w:t>
      </w:r>
      <w:r>
        <w:br/>
        <w:t xml:space="preserve">Solution concentrate for I.V. infusion </w:t>
      </w:r>
      <w:r w:rsidR="00092C71">
        <w:t>600 </w:t>
      </w:r>
      <w:r>
        <w:t>mg in 10 mL,</w:t>
      </w:r>
      <w:r>
        <w:br/>
      </w:r>
      <w:r w:rsidRPr="0073178E">
        <w:t>Injection 360 mg in 2.4 mL in pre-filled cartridge</w:t>
      </w:r>
      <w:r>
        <w:t>,</w:t>
      </w:r>
      <w:r>
        <w:br/>
      </w:r>
      <w:r w:rsidRPr="0073178E">
        <w:t>Skyrizi</w:t>
      </w:r>
      <w:r w:rsidRPr="004A6040">
        <w:rPr>
          <w:vertAlign w:val="superscript"/>
        </w:rPr>
        <w:t>®</w:t>
      </w:r>
      <w:r w:rsidRPr="004A6040">
        <w:t>,</w:t>
      </w:r>
      <w:r w:rsidRPr="004A6040">
        <w:br/>
      </w:r>
      <w:r w:rsidRPr="0073178E">
        <w:t>AbbVie Pty Ltd</w:t>
      </w:r>
      <w:r w:rsidRPr="004A6040">
        <w:t>.</w:t>
      </w:r>
    </w:p>
    <w:p w14:paraId="4E6D42D1" w14:textId="77777777" w:rsidR="00A93A3B" w:rsidRDefault="00A93A3B" w:rsidP="00A93A3B">
      <w:pPr>
        <w:pStyle w:val="2-SectionHeading"/>
        <w:rPr>
          <w:lang w:eastAsia="en-US"/>
        </w:rPr>
      </w:pPr>
      <w:r w:rsidRPr="00145EE9">
        <w:rPr>
          <w:lang w:eastAsia="en-US"/>
        </w:rPr>
        <w:t>Backgroun</w:t>
      </w:r>
      <w:r>
        <w:rPr>
          <w:lang w:eastAsia="en-US"/>
        </w:rPr>
        <w:t>d</w:t>
      </w:r>
    </w:p>
    <w:p w14:paraId="50A919B3" w14:textId="77777777" w:rsidR="00A93A3B" w:rsidRPr="00CD5BCB" w:rsidRDefault="00A93A3B" w:rsidP="00A93A3B">
      <w:pPr>
        <w:widowControl w:val="0"/>
        <w:numPr>
          <w:ilvl w:val="1"/>
          <w:numId w:val="9"/>
        </w:numPr>
        <w:spacing w:after="120"/>
        <w:ind w:left="720"/>
        <w:rPr>
          <w:lang w:val="en-GB"/>
        </w:rPr>
      </w:pPr>
      <w:r w:rsidRPr="00CD5BCB">
        <w:rPr>
          <w:lang w:val="en-GB"/>
        </w:rPr>
        <w:t xml:space="preserve">At its July 2022 meeting, the PBAC deferred making </w:t>
      </w:r>
      <w:r>
        <w:rPr>
          <w:lang w:val="en-GB"/>
        </w:rPr>
        <w:t xml:space="preserve">a recommendation for </w:t>
      </w:r>
      <w:r w:rsidRPr="00CD5BCB">
        <w:rPr>
          <w:lang w:val="en-GB"/>
        </w:rPr>
        <w:t xml:space="preserve">the listing of risankizumab (RIS) for the treatment of severe Crohn’s disease (CD) in adult patients as the TGA Delegate’s Overview was not available at the time of PBAC consideration. The PBAC was of a mind to recommend the Authority Required (in writing), Section 100 (Highly Specialised Drugs Program) listing (for IV induction therapy) and General Schedule, listing of RIS for initial and continuing therapy on the basis of cost-minimisation to the lowest cost biologic disease modifying anti-rheumatic drug (bDMARD) for this indication pending receipt of a positive TGA Delegate’s Overview. </w:t>
      </w:r>
    </w:p>
    <w:p w14:paraId="024BD6B3" w14:textId="77777777" w:rsidR="00A93A3B" w:rsidRPr="00CD5BCB" w:rsidRDefault="00A93A3B" w:rsidP="00A93A3B">
      <w:pPr>
        <w:widowControl w:val="0"/>
        <w:numPr>
          <w:ilvl w:val="1"/>
          <w:numId w:val="9"/>
        </w:numPr>
        <w:spacing w:after="120"/>
        <w:ind w:left="720"/>
        <w:rPr>
          <w:lang w:val="en-GB"/>
        </w:rPr>
      </w:pPr>
      <w:r w:rsidRPr="00CD5BCB">
        <w:rPr>
          <w:lang w:val="en-GB"/>
        </w:rPr>
        <w:t>The TGA Delegate’s Overview was provided prior to the November 202</w:t>
      </w:r>
      <w:r>
        <w:rPr>
          <w:lang w:val="en-GB"/>
        </w:rPr>
        <w:t>2</w:t>
      </w:r>
      <w:r w:rsidRPr="00CD5BCB">
        <w:rPr>
          <w:lang w:val="en-GB"/>
        </w:rPr>
        <w:t xml:space="preserve"> PBAC meeting. The Delegate proposed to approve the registration of RIS as follows: </w:t>
      </w:r>
    </w:p>
    <w:p w14:paraId="32784F5E" w14:textId="77777777" w:rsidR="00A93A3B" w:rsidRPr="002B28EF" w:rsidRDefault="00A93A3B" w:rsidP="00A93A3B">
      <w:pPr>
        <w:widowControl w:val="0"/>
        <w:spacing w:after="120"/>
        <w:ind w:left="720"/>
        <w:rPr>
          <w:i/>
          <w:iCs/>
          <w:lang w:val="en-GB"/>
        </w:rPr>
      </w:pPr>
      <w:r>
        <w:rPr>
          <w:i/>
          <w:iCs/>
          <w:lang w:val="en-GB"/>
        </w:rPr>
        <w:t>‘</w:t>
      </w:r>
      <w:r w:rsidRPr="002B28EF">
        <w:rPr>
          <w:i/>
          <w:iCs/>
          <w:lang w:val="en-GB"/>
        </w:rPr>
        <w:t>Skyrizi is indicated for the treatment of moderate to severe Crohn’s disease in adult patients, who have an inadequate response, a lost response, an intolerance or a contra-indication to either conventional or biologic therapy.</w:t>
      </w:r>
      <w:r>
        <w:rPr>
          <w:i/>
          <w:iCs/>
          <w:lang w:val="en-GB"/>
        </w:rPr>
        <w:t>’</w:t>
      </w:r>
    </w:p>
    <w:p w14:paraId="4C89A7C9" w14:textId="50916B00" w:rsidR="00A93A3B" w:rsidRDefault="00A93A3B" w:rsidP="00A93A3B">
      <w:pPr>
        <w:pStyle w:val="2-SectionHeading"/>
        <w:rPr>
          <w:lang w:eastAsia="en-US"/>
        </w:rPr>
      </w:pPr>
      <w:r>
        <w:rPr>
          <w:lang w:eastAsia="en-US"/>
        </w:rPr>
        <w:t>PBAC Outcome</w:t>
      </w:r>
    </w:p>
    <w:p w14:paraId="57F6A44F" w14:textId="77777777" w:rsidR="00A93A3B" w:rsidRPr="00CD5BCB" w:rsidRDefault="00A93A3B" w:rsidP="00A93A3B">
      <w:pPr>
        <w:widowControl w:val="0"/>
        <w:numPr>
          <w:ilvl w:val="1"/>
          <w:numId w:val="9"/>
        </w:numPr>
        <w:spacing w:after="120"/>
        <w:ind w:left="720"/>
        <w:rPr>
          <w:rFonts w:asciiTheme="minorHAnsi" w:hAnsiTheme="minorHAnsi"/>
          <w:snapToGrid w:val="0"/>
          <w:lang w:val="en-GB"/>
        </w:rPr>
      </w:pPr>
      <w:r w:rsidRPr="00CD5BCB">
        <w:rPr>
          <w:rFonts w:asciiTheme="minorHAnsi" w:hAnsiTheme="minorHAnsi"/>
          <w:snapToGrid w:val="0"/>
          <w:lang w:val="en-GB"/>
        </w:rPr>
        <w:t>The PBAC recommended the listing of risankizumab (RIS) for the treatment of severe Crohn’s disease (CD) in adult patients. The PBAC recommended the Authority Required (in writing), Section 100 (Highly Specialised Drugs Program) listing (for IV induction therapy) and General Schedule, listing of RIS for initial and continuing therapy on the basis of cost-minimisation to the lowest cost biologic</w:t>
      </w:r>
      <w:r>
        <w:rPr>
          <w:rFonts w:asciiTheme="minorHAnsi" w:hAnsiTheme="minorHAnsi"/>
          <w:snapToGrid w:val="0"/>
          <w:lang w:val="en-GB"/>
        </w:rPr>
        <w:t xml:space="preserve"> or targeted synthetic</w:t>
      </w:r>
      <w:r w:rsidRPr="00CD5BCB">
        <w:rPr>
          <w:rFonts w:asciiTheme="minorHAnsi" w:hAnsiTheme="minorHAnsi"/>
          <w:snapToGrid w:val="0"/>
          <w:lang w:val="en-GB"/>
        </w:rPr>
        <w:t xml:space="preserve"> disease modifying anti-rheumatic drug (bDMARD</w:t>
      </w:r>
      <w:r>
        <w:rPr>
          <w:rFonts w:asciiTheme="minorHAnsi" w:hAnsiTheme="minorHAnsi"/>
          <w:snapToGrid w:val="0"/>
          <w:lang w:val="en-GB"/>
        </w:rPr>
        <w:t>/tsDMARD</w:t>
      </w:r>
      <w:r w:rsidRPr="00CD5BCB">
        <w:rPr>
          <w:rFonts w:asciiTheme="minorHAnsi" w:hAnsiTheme="minorHAnsi"/>
          <w:snapToGrid w:val="0"/>
          <w:lang w:val="en-GB"/>
        </w:rPr>
        <w:t>) for this indication.</w:t>
      </w:r>
    </w:p>
    <w:p w14:paraId="2C0A3FD2" w14:textId="5F03324C" w:rsidR="00A93A3B" w:rsidRDefault="00A93A3B" w:rsidP="00A93A3B">
      <w:pPr>
        <w:widowControl w:val="0"/>
        <w:numPr>
          <w:ilvl w:val="1"/>
          <w:numId w:val="9"/>
        </w:numPr>
        <w:spacing w:after="120"/>
        <w:ind w:left="720"/>
        <w:rPr>
          <w:rFonts w:asciiTheme="minorHAnsi" w:hAnsiTheme="minorHAnsi"/>
          <w:snapToGrid w:val="0"/>
          <w:lang w:val="en-GB"/>
        </w:rPr>
      </w:pPr>
      <w:r>
        <w:rPr>
          <w:rFonts w:asciiTheme="minorHAnsi" w:hAnsiTheme="minorHAnsi"/>
          <w:snapToGrid w:val="0"/>
          <w:lang w:val="en-GB"/>
        </w:rPr>
        <w:t xml:space="preserve">The PBAC reiterated its view that the Committee was not supportive of the request to lower the authority level to an electronic/telephone authority for continuing treatment as it was inconsistent with existing listings (paragraph </w:t>
      </w:r>
      <w:r w:rsidR="00092C71">
        <w:rPr>
          <w:rFonts w:asciiTheme="minorHAnsi" w:hAnsiTheme="minorHAnsi"/>
          <w:snapToGrid w:val="0"/>
          <w:lang w:val="en-GB"/>
        </w:rPr>
        <w:fldChar w:fldCharType="begin" w:fldLock="1"/>
      </w:r>
      <w:r w:rsidR="00092C71">
        <w:rPr>
          <w:rFonts w:asciiTheme="minorHAnsi" w:hAnsiTheme="minorHAnsi"/>
          <w:snapToGrid w:val="0"/>
          <w:lang w:val="en-GB"/>
        </w:rPr>
        <w:instrText xml:space="preserve"> REF _Ref124264561 \r \h </w:instrText>
      </w:r>
      <w:r w:rsidR="00092C71">
        <w:rPr>
          <w:rFonts w:asciiTheme="minorHAnsi" w:hAnsiTheme="minorHAnsi"/>
          <w:snapToGrid w:val="0"/>
          <w:lang w:val="en-GB"/>
        </w:rPr>
      </w:r>
      <w:r w:rsidR="00092C71">
        <w:rPr>
          <w:rFonts w:asciiTheme="minorHAnsi" w:hAnsiTheme="minorHAnsi"/>
          <w:snapToGrid w:val="0"/>
          <w:lang w:val="en-GB"/>
        </w:rPr>
        <w:fldChar w:fldCharType="separate"/>
      </w:r>
      <w:r w:rsidR="00092C71">
        <w:rPr>
          <w:rFonts w:asciiTheme="minorHAnsi" w:hAnsiTheme="minorHAnsi"/>
          <w:snapToGrid w:val="0"/>
          <w:lang w:val="en-GB"/>
        </w:rPr>
        <w:t>7.4</w:t>
      </w:r>
      <w:r w:rsidR="00092C71">
        <w:rPr>
          <w:rFonts w:asciiTheme="minorHAnsi" w:hAnsiTheme="minorHAnsi"/>
          <w:snapToGrid w:val="0"/>
          <w:lang w:val="en-GB"/>
        </w:rPr>
        <w:fldChar w:fldCharType="end"/>
      </w:r>
      <w:r>
        <w:rPr>
          <w:rFonts w:asciiTheme="minorHAnsi" w:hAnsiTheme="minorHAnsi"/>
          <w:snapToGrid w:val="0"/>
          <w:lang w:val="en-GB"/>
        </w:rPr>
        <w:t xml:space="preserve">). </w:t>
      </w:r>
    </w:p>
    <w:p w14:paraId="203F1BF4" w14:textId="2BCA7A77" w:rsidR="00A93A3B" w:rsidRDefault="00A93A3B" w:rsidP="00A93A3B">
      <w:pPr>
        <w:widowControl w:val="0"/>
        <w:numPr>
          <w:ilvl w:val="1"/>
          <w:numId w:val="9"/>
        </w:numPr>
        <w:spacing w:after="120"/>
        <w:ind w:left="720"/>
        <w:rPr>
          <w:rFonts w:asciiTheme="minorHAnsi" w:hAnsiTheme="minorHAnsi"/>
          <w:snapToGrid w:val="0"/>
          <w:lang w:val="en-GB"/>
        </w:rPr>
      </w:pPr>
      <w:r>
        <w:rPr>
          <w:rFonts w:asciiTheme="minorHAnsi" w:hAnsiTheme="minorHAnsi"/>
          <w:snapToGrid w:val="0"/>
          <w:lang w:val="en-GB"/>
        </w:rPr>
        <w:t xml:space="preserve">The PBAC reiterated that the cost of RIS should be no greater than the least costly of the alternative therapies, which include </w:t>
      </w:r>
      <w:r w:rsidRPr="00C214ED">
        <w:rPr>
          <w:rFonts w:asciiTheme="minorHAnsi" w:hAnsiTheme="minorHAnsi"/>
          <w:snapToGrid w:val="0"/>
          <w:lang w:val="en-GB"/>
        </w:rPr>
        <w:t xml:space="preserve">adalimumab (ADA), vedolizumab (VDZ) and </w:t>
      </w:r>
      <w:r w:rsidRPr="00C214ED">
        <w:rPr>
          <w:rFonts w:asciiTheme="minorHAnsi" w:hAnsiTheme="minorHAnsi"/>
          <w:snapToGrid w:val="0"/>
          <w:lang w:val="en-GB"/>
        </w:rPr>
        <w:lastRenderedPageBreak/>
        <w:t xml:space="preserve">infliximab (IFX) </w:t>
      </w:r>
      <w:r>
        <w:rPr>
          <w:rFonts w:asciiTheme="minorHAnsi" w:hAnsiTheme="minorHAnsi"/>
          <w:snapToGrid w:val="0"/>
          <w:lang w:val="en-GB"/>
        </w:rPr>
        <w:t xml:space="preserve">(paragraph </w:t>
      </w:r>
      <w:r w:rsidR="00092C71">
        <w:rPr>
          <w:rFonts w:asciiTheme="minorHAnsi" w:hAnsiTheme="minorHAnsi"/>
          <w:snapToGrid w:val="0"/>
          <w:lang w:val="en-GB"/>
        </w:rPr>
        <w:fldChar w:fldCharType="begin" w:fldLock="1"/>
      </w:r>
      <w:r w:rsidR="00092C71">
        <w:rPr>
          <w:rFonts w:asciiTheme="minorHAnsi" w:hAnsiTheme="minorHAnsi"/>
          <w:snapToGrid w:val="0"/>
          <w:lang w:val="en-GB"/>
        </w:rPr>
        <w:instrText xml:space="preserve"> REF _Ref124264585 \r \h </w:instrText>
      </w:r>
      <w:r w:rsidR="00092C71">
        <w:rPr>
          <w:rFonts w:asciiTheme="minorHAnsi" w:hAnsiTheme="minorHAnsi"/>
          <w:snapToGrid w:val="0"/>
          <w:lang w:val="en-GB"/>
        </w:rPr>
      </w:r>
      <w:r w:rsidR="00092C71">
        <w:rPr>
          <w:rFonts w:asciiTheme="minorHAnsi" w:hAnsiTheme="minorHAnsi"/>
          <w:snapToGrid w:val="0"/>
          <w:lang w:val="en-GB"/>
        </w:rPr>
        <w:fldChar w:fldCharType="separate"/>
      </w:r>
      <w:r w:rsidR="00092C71">
        <w:rPr>
          <w:rFonts w:asciiTheme="minorHAnsi" w:hAnsiTheme="minorHAnsi"/>
          <w:snapToGrid w:val="0"/>
          <w:lang w:val="en-GB"/>
        </w:rPr>
        <w:t>7.9</w:t>
      </w:r>
      <w:r w:rsidR="00092C71">
        <w:rPr>
          <w:rFonts w:asciiTheme="minorHAnsi" w:hAnsiTheme="minorHAnsi"/>
          <w:snapToGrid w:val="0"/>
          <w:lang w:val="en-GB"/>
        </w:rPr>
        <w:fldChar w:fldCharType="end"/>
      </w:r>
      <w:r>
        <w:rPr>
          <w:rFonts w:asciiTheme="minorHAnsi" w:hAnsiTheme="minorHAnsi"/>
          <w:snapToGrid w:val="0"/>
          <w:lang w:val="en-GB"/>
        </w:rPr>
        <w:t xml:space="preserve">). </w:t>
      </w:r>
      <w:r w:rsidRPr="00C214ED">
        <w:rPr>
          <w:rFonts w:asciiTheme="minorHAnsi" w:hAnsiTheme="minorHAnsi"/>
          <w:snapToGrid w:val="0"/>
          <w:lang w:val="en-GB"/>
        </w:rPr>
        <w:t xml:space="preserve">The PBAC </w:t>
      </w:r>
      <w:r>
        <w:rPr>
          <w:rFonts w:asciiTheme="minorHAnsi" w:hAnsiTheme="minorHAnsi"/>
          <w:snapToGrid w:val="0"/>
          <w:lang w:val="en-GB"/>
        </w:rPr>
        <w:t>also reiterated</w:t>
      </w:r>
      <w:r w:rsidRPr="00C214ED">
        <w:rPr>
          <w:rFonts w:asciiTheme="minorHAnsi" w:hAnsiTheme="minorHAnsi"/>
          <w:snapToGrid w:val="0"/>
          <w:lang w:val="en-GB"/>
        </w:rPr>
        <w:t xml:space="preserve"> the equi-effective doses for RIS of </w:t>
      </w:r>
      <w:r w:rsidR="00092C71" w:rsidRPr="00C214ED">
        <w:rPr>
          <w:rFonts w:asciiTheme="minorHAnsi" w:hAnsiTheme="minorHAnsi"/>
          <w:snapToGrid w:val="0"/>
          <w:lang w:val="en-GB"/>
        </w:rPr>
        <w:t>600</w:t>
      </w:r>
      <w:r w:rsidR="00092C71">
        <w:rPr>
          <w:rFonts w:asciiTheme="minorHAnsi" w:hAnsiTheme="minorHAnsi"/>
          <w:snapToGrid w:val="0"/>
          <w:lang w:val="en-GB"/>
        </w:rPr>
        <w:t> </w:t>
      </w:r>
      <w:r w:rsidRPr="00C214ED">
        <w:rPr>
          <w:rFonts w:asciiTheme="minorHAnsi" w:hAnsiTheme="minorHAnsi"/>
          <w:snapToGrid w:val="0"/>
          <w:lang w:val="en-GB"/>
        </w:rPr>
        <w:t xml:space="preserve">mg IV at week 0, 4 and 8 followed by </w:t>
      </w:r>
      <w:r w:rsidR="00092C71" w:rsidRPr="00C214ED">
        <w:rPr>
          <w:rFonts w:asciiTheme="minorHAnsi" w:hAnsiTheme="minorHAnsi"/>
          <w:snapToGrid w:val="0"/>
          <w:lang w:val="en-GB"/>
        </w:rPr>
        <w:t>360</w:t>
      </w:r>
      <w:r w:rsidR="00092C71">
        <w:rPr>
          <w:rFonts w:asciiTheme="minorHAnsi" w:hAnsiTheme="minorHAnsi"/>
          <w:snapToGrid w:val="0"/>
          <w:lang w:val="en-GB"/>
        </w:rPr>
        <w:t> </w:t>
      </w:r>
      <w:r w:rsidRPr="00C214ED">
        <w:rPr>
          <w:rFonts w:asciiTheme="minorHAnsi" w:hAnsiTheme="minorHAnsi"/>
          <w:snapToGrid w:val="0"/>
          <w:lang w:val="en-GB"/>
        </w:rPr>
        <w:t xml:space="preserve">mg SC every 8 weeks over two years and UST of </w:t>
      </w:r>
      <w:r w:rsidR="00092C71" w:rsidRPr="00C214ED">
        <w:rPr>
          <w:rFonts w:asciiTheme="minorHAnsi" w:hAnsiTheme="minorHAnsi"/>
          <w:snapToGrid w:val="0"/>
          <w:lang w:val="en-GB"/>
        </w:rPr>
        <w:t>425</w:t>
      </w:r>
      <w:r w:rsidR="00092C71">
        <w:rPr>
          <w:rFonts w:asciiTheme="minorHAnsi" w:hAnsiTheme="minorHAnsi"/>
          <w:snapToGrid w:val="0"/>
          <w:lang w:val="en-GB"/>
        </w:rPr>
        <w:t> </w:t>
      </w:r>
      <w:r w:rsidRPr="00C214ED">
        <w:rPr>
          <w:rFonts w:asciiTheme="minorHAnsi" w:hAnsiTheme="minorHAnsi"/>
          <w:snapToGrid w:val="0"/>
          <w:lang w:val="en-GB"/>
        </w:rPr>
        <w:t xml:space="preserve">mg IV at week 0 followed by </w:t>
      </w:r>
      <w:r w:rsidR="00092C71" w:rsidRPr="00C214ED">
        <w:rPr>
          <w:rFonts w:asciiTheme="minorHAnsi" w:hAnsiTheme="minorHAnsi"/>
          <w:snapToGrid w:val="0"/>
          <w:lang w:val="en-GB"/>
        </w:rPr>
        <w:t>90</w:t>
      </w:r>
      <w:r w:rsidR="00092C71">
        <w:rPr>
          <w:rFonts w:asciiTheme="minorHAnsi" w:hAnsiTheme="minorHAnsi"/>
          <w:snapToGrid w:val="0"/>
          <w:lang w:val="en-GB"/>
        </w:rPr>
        <w:t> </w:t>
      </w:r>
      <w:r w:rsidRPr="00C214ED">
        <w:rPr>
          <w:rFonts w:asciiTheme="minorHAnsi" w:hAnsiTheme="minorHAnsi"/>
          <w:snapToGrid w:val="0"/>
          <w:lang w:val="en-GB"/>
        </w:rPr>
        <w:t>mg SC every 8 weeks over two years were reasonable, and the equi-effective doses with the alternative therapies could be derived with reference to the therapeutic relativity sheets and product information documents.</w:t>
      </w:r>
    </w:p>
    <w:p w14:paraId="3020301D" w14:textId="77777777" w:rsidR="00A93A3B" w:rsidRPr="00CD5BCB" w:rsidRDefault="00A93A3B" w:rsidP="00A93A3B">
      <w:pPr>
        <w:widowControl w:val="0"/>
        <w:numPr>
          <w:ilvl w:val="1"/>
          <w:numId w:val="9"/>
        </w:numPr>
        <w:spacing w:after="120"/>
        <w:ind w:left="720"/>
        <w:rPr>
          <w:rFonts w:asciiTheme="minorHAnsi" w:hAnsiTheme="minorHAnsi"/>
          <w:snapToGrid w:val="0"/>
          <w:lang w:val="en-GB"/>
        </w:rPr>
      </w:pPr>
      <w:bookmarkStart w:id="53" w:name="_Hlk117844263"/>
      <w:r w:rsidRPr="00CD5BCB">
        <w:rPr>
          <w:rFonts w:asciiTheme="minorHAnsi" w:hAnsiTheme="minorHAnsi"/>
          <w:snapToGrid w:val="0"/>
          <w:lang w:val="en-GB"/>
        </w:rPr>
        <w:t xml:space="preserve">The PBAC noted that its recommendation was on a cost-minimisation basis and advised that, because RIS is not expected to provide a substantial and clinically relevant improvement in efficacy, or reduction of toxicity, over </w:t>
      </w:r>
      <w:r>
        <w:rPr>
          <w:rFonts w:asciiTheme="minorHAnsi" w:hAnsiTheme="minorHAnsi"/>
          <w:snapToGrid w:val="0"/>
          <w:lang w:val="en-GB"/>
        </w:rPr>
        <w:t>the alternative therapies</w:t>
      </w:r>
      <w:r w:rsidRPr="00CD5BCB">
        <w:rPr>
          <w:rFonts w:asciiTheme="minorHAnsi" w:hAnsiTheme="minorHAnsi"/>
          <w:snapToGrid w:val="0"/>
          <w:lang w:val="en-GB"/>
        </w:rPr>
        <w:t xml:space="preserve"> or not expected to address a high and urgent unmet clinical need given the presence of an alternative therapy, the criteria prescribed by the </w:t>
      </w:r>
      <w:r w:rsidRPr="00092C71">
        <w:rPr>
          <w:rFonts w:asciiTheme="minorHAnsi" w:hAnsiTheme="minorHAnsi"/>
          <w:i/>
          <w:iCs/>
          <w:snapToGrid w:val="0"/>
          <w:lang w:val="en-GB"/>
        </w:rPr>
        <w:t>National Health (Pharmaceuticals and Vaccines – Cost Recovery) Regulations 2022</w:t>
      </w:r>
      <w:r w:rsidRPr="00CD5BCB">
        <w:rPr>
          <w:rFonts w:asciiTheme="minorHAnsi" w:hAnsiTheme="minorHAnsi"/>
          <w:snapToGrid w:val="0"/>
          <w:lang w:val="en-GB"/>
        </w:rPr>
        <w:t xml:space="preserve"> for Pricing Pathway A were not met.</w:t>
      </w:r>
    </w:p>
    <w:p w14:paraId="5DE2A585" w14:textId="77777777" w:rsidR="00A93A3B" w:rsidRPr="00CD5BCB" w:rsidRDefault="00A93A3B" w:rsidP="00A93A3B">
      <w:pPr>
        <w:widowControl w:val="0"/>
        <w:numPr>
          <w:ilvl w:val="1"/>
          <w:numId w:val="9"/>
        </w:numPr>
        <w:spacing w:after="120"/>
        <w:ind w:left="720"/>
        <w:rPr>
          <w:rFonts w:asciiTheme="minorHAnsi" w:hAnsiTheme="minorHAnsi"/>
          <w:snapToGrid w:val="0"/>
          <w:lang w:val="en-GB"/>
        </w:rPr>
      </w:pPr>
      <w:r w:rsidRPr="00CD5BCB">
        <w:rPr>
          <w:rFonts w:asciiTheme="minorHAnsi" w:hAnsiTheme="minorHAnsi"/>
          <w:snapToGrid w:val="0"/>
          <w:lang w:val="en-GB"/>
        </w:rPr>
        <w:t xml:space="preserve">The PBAC noted that this submission is not eligible for an Independent Review, as it received a positive recommendation. </w:t>
      </w:r>
    </w:p>
    <w:p w14:paraId="7BD449A7" w14:textId="77777777" w:rsidR="00A93A3B" w:rsidRPr="00FC0761" w:rsidRDefault="00A93A3B" w:rsidP="00A93A3B">
      <w:pPr>
        <w:ind w:left="720" w:hanging="720"/>
        <w:rPr>
          <w:b/>
          <w:bCs/>
          <w:lang w:val="en-GB"/>
        </w:rPr>
      </w:pPr>
      <w:bookmarkStart w:id="54" w:name="_Hlk117844300"/>
      <w:bookmarkEnd w:id="53"/>
      <w:r w:rsidRPr="00FC0761">
        <w:rPr>
          <w:b/>
          <w:bCs/>
          <w:lang w:val="en-GB"/>
        </w:rPr>
        <w:t>Outcome:</w:t>
      </w:r>
    </w:p>
    <w:p w14:paraId="1A1A8FFE" w14:textId="77777777" w:rsidR="00A93A3B" w:rsidRPr="00FC0761" w:rsidRDefault="00A93A3B" w:rsidP="00A93A3B">
      <w:pPr>
        <w:ind w:left="720" w:hanging="720"/>
        <w:rPr>
          <w:lang w:val="en-GB"/>
        </w:rPr>
      </w:pPr>
      <w:r w:rsidRPr="00FC0761">
        <w:rPr>
          <w:lang w:val="en-GB"/>
        </w:rPr>
        <w:t>Recommended</w:t>
      </w:r>
    </w:p>
    <w:p w14:paraId="6C4F1EC7" w14:textId="195B0057" w:rsidR="00A93A3B" w:rsidRPr="00F237A4" w:rsidRDefault="00092C71" w:rsidP="00A93A3B">
      <w:pPr>
        <w:pStyle w:val="2-SectionHeading"/>
        <w:rPr>
          <w:b w:val="0"/>
          <w:bCs/>
          <w:iCs/>
          <w:lang w:val="en-GB"/>
        </w:rPr>
      </w:pPr>
      <w:bookmarkStart w:id="55" w:name="_Hlk117844517"/>
      <w:bookmarkEnd w:id="54"/>
      <w:r>
        <w:rPr>
          <w:bCs/>
          <w:lang w:val="en-GB"/>
        </w:rPr>
        <w:t>R</w:t>
      </w:r>
      <w:r w:rsidR="00A93A3B" w:rsidRPr="00525B39">
        <w:rPr>
          <w:bCs/>
          <w:lang w:val="en-GB"/>
        </w:rPr>
        <w:t>ecommended listing</w:t>
      </w:r>
    </w:p>
    <w:p w14:paraId="25E8C24F" w14:textId="5328C459" w:rsidR="00A93A3B" w:rsidRPr="00092C71" w:rsidRDefault="00A93A3B" w:rsidP="00092C71">
      <w:pPr>
        <w:widowControl w:val="0"/>
        <w:numPr>
          <w:ilvl w:val="1"/>
          <w:numId w:val="9"/>
        </w:numPr>
        <w:spacing w:after="120"/>
        <w:ind w:left="720"/>
        <w:contextualSpacing/>
        <w:rPr>
          <w:rFonts w:asciiTheme="minorHAnsi" w:hAnsiTheme="minorHAnsi"/>
          <w:b/>
          <w:bCs/>
          <w:snapToGrid w:val="0"/>
        </w:rPr>
      </w:pPr>
      <w:r w:rsidRPr="0086161F">
        <w:rPr>
          <w:rFonts w:asciiTheme="minorHAnsi" w:hAnsiTheme="minorHAnsi"/>
          <w:bCs/>
          <w:snapToGrid w:val="0"/>
        </w:rPr>
        <w:t>Add new item(s):</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
        <w:gridCol w:w="844"/>
        <w:gridCol w:w="2650"/>
        <w:gridCol w:w="807"/>
        <w:gridCol w:w="808"/>
        <w:gridCol w:w="807"/>
        <w:gridCol w:w="808"/>
        <w:gridCol w:w="1820"/>
      </w:tblGrid>
      <w:tr w:rsidR="00A93A3B" w:rsidRPr="001428E9" w14:paraId="3FCC9EDE" w14:textId="77777777" w:rsidTr="00264EE0">
        <w:trPr>
          <w:cantSplit/>
          <w:trHeight w:val="20"/>
        </w:trPr>
        <w:tc>
          <w:tcPr>
            <w:tcW w:w="3916" w:type="dxa"/>
            <w:gridSpan w:val="3"/>
            <w:vAlign w:val="center"/>
          </w:tcPr>
          <w:bookmarkEnd w:id="55"/>
          <w:p w14:paraId="0E068C16" w14:textId="77777777" w:rsidR="00A93A3B" w:rsidRPr="001428E9" w:rsidRDefault="00A93A3B" w:rsidP="00264EE0">
            <w:pPr>
              <w:keepLines/>
              <w:rPr>
                <w:rFonts w:ascii="Arial Narrow" w:hAnsi="Arial Narrow"/>
                <w:b/>
                <w:bCs/>
                <w:sz w:val="20"/>
                <w:szCs w:val="20"/>
              </w:rPr>
            </w:pPr>
            <w:r w:rsidRPr="001428E9">
              <w:rPr>
                <w:rFonts w:ascii="Arial Narrow" w:hAnsi="Arial Narrow"/>
                <w:b/>
                <w:bCs/>
                <w:sz w:val="20"/>
                <w:szCs w:val="20"/>
              </w:rPr>
              <w:t>MEDICINAL PRODUCT</w:t>
            </w:r>
          </w:p>
          <w:p w14:paraId="2C38E49C" w14:textId="77777777" w:rsidR="00A93A3B" w:rsidRPr="001428E9" w:rsidRDefault="00A93A3B" w:rsidP="00264EE0">
            <w:pPr>
              <w:keepLines/>
              <w:rPr>
                <w:rFonts w:ascii="Arial Narrow" w:hAnsi="Arial Narrow"/>
                <w:b/>
                <w:sz w:val="20"/>
                <w:szCs w:val="20"/>
              </w:rPr>
            </w:pPr>
            <w:r w:rsidRPr="001428E9">
              <w:rPr>
                <w:rFonts w:ascii="Arial Narrow" w:hAnsi="Arial Narrow"/>
                <w:b/>
                <w:bCs/>
                <w:sz w:val="20"/>
                <w:szCs w:val="20"/>
              </w:rPr>
              <w:t>medicinal product pack</w:t>
            </w:r>
          </w:p>
        </w:tc>
        <w:tc>
          <w:tcPr>
            <w:tcW w:w="807" w:type="dxa"/>
            <w:vAlign w:val="center"/>
          </w:tcPr>
          <w:p w14:paraId="1DA70C7E" w14:textId="77777777" w:rsidR="00A93A3B" w:rsidRPr="001428E9" w:rsidRDefault="00A93A3B" w:rsidP="00264EE0">
            <w:pPr>
              <w:keepLines/>
              <w:jc w:val="center"/>
              <w:rPr>
                <w:rFonts w:ascii="Arial Narrow" w:hAnsi="Arial Narrow"/>
                <w:b/>
                <w:sz w:val="20"/>
                <w:szCs w:val="20"/>
              </w:rPr>
            </w:pPr>
            <w:r w:rsidRPr="001428E9">
              <w:rPr>
                <w:rFonts w:ascii="Arial Narrow" w:hAnsi="Arial Narrow"/>
                <w:b/>
                <w:sz w:val="20"/>
                <w:szCs w:val="20"/>
              </w:rPr>
              <w:t>PBS item code</w:t>
            </w:r>
          </w:p>
        </w:tc>
        <w:tc>
          <w:tcPr>
            <w:tcW w:w="808" w:type="dxa"/>
            <w:vAlign w:val="center"/>
          </w:tcPr>
          <w:p w14:paraId="2C96ECC1" w14:textId="77777777" w:rsidR="00A93A3B" w:rsidRPr="001428E9" w:rsidRDefault="00A93A3B" w:rsidP="00264EE0">
            <w:pPr>
              <w:keepLines/>
              <w:jc w:val="center"/>
              <w:rPr>
                <w:rFonts w:ascii="Arial Narrow" w:hAnsi="Arial Narrow"/>
                <w:b/>
                <w:sz w:val="20"/>
                <w:szCs w:val="20"/>
              </w:rPr>
            </w:pPr>
            <w:r w:rsidRPr="001428E9">
              <w:rPr>
                <w:rFonts w:ascii="Arial Narrow" w:hAnsi="Arial Narrow"/>
                <w:b/>
                <w:sz w:val="20"/>
                <w:szCs w:val="20"/>
              </w:rPr>
              <w:t>Max. qty packs</w:t>
            </w:r>
          </w:p>
        </w:tc>
        <w:tc>
          <w:tcPr>
            <w:tcW w:w="807" w:type="dxa"/>
            <w:vAlign w:val="center"/>
          </w:tcPr>
          <w:p w14:paraId="35057DAF" w14:textId="77777777" w:rsidR="00A93A3B" w:rsidRPr="001428E9" w:rsidRDefault="00A93A3B" w:rsidP="00264EE0">
            <w:pPr>
              <w:keepLines/>
              <w:jc w:val="center"/>
              <w:rPr>
                <w:rFonts w:ascii="Arial Narrow" w:hAnsi="Arial Narrow"/>
                <w:b/>
                <w:sz w:val="20"/>
                <w:szCs w:val="20"/>
              </w:rPr>
            </w:pPr>
            <w:r w:rsidRPr="001428E9">
              <w:rPr>
                <w:rFonts w:ascii="Arial Narrow" w:hAnsi="Arial Narrow"/>
                <w:b/>
                <w:sz w:val="20"/>
                <w:szCs w:val="20"/>
              </w:rPr>
              <w:t>Max. qty units</w:t>
            </w:r>
          </w:p>
        </w:tc>
        <w:tc>
          <w:tcPr>
            <w:tcW w:w="808" w:type="dxa"/>
            <w:vAlign w:val="center"/>
          </w:tcPr>
          <w:p w14:paraId="2EB366AF" w14:textId="77777777" w:rsidR="00A93A3B" w:rsidRPr="001428E9" w:rsidRDefault="00A93A3B" w:rsidP="00264EE0">
            <w:pPr>
              <w:keepLines/>
              <w:jc w:val="center"/>
              <w:rPr>
                <w:rFonts w:ascii="Arial Narrow" w:hAnsi="Arial Narrow"/>
                <w:b/>
                <w:sz w:val="20"/>
                <w:szCs w:val="20"/>
              </w:rPr>
            </w:pPr>
            <w:r w:rsidRPr="001428E9">
              <w:rPr>
                <w:rFonts w:ascii="Arial Narrow" w:hAnsi="Arial Narrow"/>
                <w:b/>
                <w:sz w:val="20"/>
                <w:szCs w:val="20"/>
              </w:rPr>
              <w:t>№.of</w:t>
            </w:r>
          </w:p>
          <w:p w14:paraId="337725AF" w14:textId="77777777" w:rsidR="00A93A3B" w:rsidRPr="001428E9" w:rsidRDefault="00A93A3B" w:rsidP="00264EE0">
            <w:pPr>
              <w:keepLines/>
              <w:jc w:val="center"/>
              <w:rPr>
                <w:rFonts w:ascii="Arial Narrow" w:hAnsi="Arial Narrow"/>
                <w:b/>
                <w:sz w:val="20"/>
                <w:szCs w:val="20"/>
              </w:rPr>
            </w:pPr>
            <w:r w:rsidRPr="001428E9">
              <w:rPr>
                <w:rFonts w:ascii="Arial Narrow" w:hAnsi="Arial Narrow"/>
                <w:b/>
                <w:sz w:val="20"/>
                <w:szCs w:val="20"/>
              </w:rPr>
              <w:t>Rpts</w:t>
            </w:r>
          </w:p>
        </w:tc>
        <w:tc>
          <w:tcPr>
            <w:tcW w:w="1820" w:type="dxa"/>
            <w:vAlign w:val="center"/>
          </w:tcPr>
          <w:p w14:paraId="7CED89CE" w14:textId="77777777" w:rsidR="00A93A3B" w:rsidRPr="001428E9" w:rsidRDefault="00A93A3B" w:rsidP="00264EE0">
            <w:pPr>
              <w:keepLines/>
              <w:rPr>
                <w:rFonts w:ascii="Arial Narrow" w:hAnsi="Arial Narrow"/>
                <w:b/>
                <w:sz w:val="20"/>
                <w:szCs w:val="20"/>
                <w:lang w:val="fr-FR"/>
              </w:rPr>
            </w:pPr>
            <w:r w:rsidRPr="001428E9">
              <w:rPr>
                <w:rFonts w:ascii="Arial Narrow" w:hAnsi="Arial Narrow"/>
                <w:b/>
                <w:sz w:val="20"/>
                <w:szCs w:val="20"/>
              </w:rPr>
              <w:t>Available brands</w:t>
            </w:r>
          </w:p>
        </w:tc>
      </w:tr>
      <w:tr w:rsidR="00A93A3B" w:rsidRPr="001428E9" w14:paraId="5F1DF002" w14:textId="77777777" w:rsidTr="00264EE0">
        <w:trPr>
          <w:cantSplit/>
          <w:trHeight w:val="20"/>
        </w:trPr>
        <w:tc>
          <w:tcPr>
            <w:tcW w:w="8966" w:type="dxa"/>
            <w:gridSpan w:val="8"/>
            <w:vAlign w:val="center"/>
          </w:tcPr>
          <w:p w14:paraId="27F78E61" w14:textId="77777777" w:rsidR="00A93A3B" w:rsidRPr="001428E9" w:rsidRDefault="00A93A3B" w:rsidP="00264EE0">
            <w:pPr>
              <w:keepLines/>
              <w:rPr>
                <w:rFonts w:ascii="Arial Narrow" w:hAnsi="Arial Narrow"/>
                <w:sz w:val="20"/>
                <w:szCs w:val="20"/>
              </w:rPr>
            </w:pPr>
            <w:r>
              <w:rPr>
                <w:rFonts w:ascii="Arial Narrow" w:hAnsi="Arial Narrow"/>
                <w:sz w:val="20"/>
                <w:szCs w:val="20"/>
              </w:rPr>
              <w:t>RISANKIZUMAB</w:t>
            </w:r>
          </w:p>
        </w:tc>
      </w:tr>
      <w:tr w:rsidR="00A93A3B" w:rsidRPr="001428E9" w14:paraId="0A18AC8B" w14:textId="77777777" w:rsidTr="00264EE0">
        <w:trPr>
          <w:cantSplit/>
          <w:trHeight w:val="20"/>
        </w:trPr>
        <w:tc>
          <w:tcPr>
            <w:tcW w:w="3916" w:type="dxa"/>
            <w:gridSpan w:val="3"/>
            <w:vAlign w:val="center"/>
          </w:tcPr>
          <w:p w14:paraId="1A8D7597" w14:textId="77777777" w:rsidR="00A93A3B" w:rsidRDefault="00A93A3B" w:rsidP="00264EE0">
            <w:pPr>
              <w:keepLines/>
              <w:rPr>
                <w:rFonts w:ascii="Arial Narrow" w:hAnsi="Arial Narrow"/>
                <w:sz w:val="20"/>
                <w:szCs w:val="20"/>
              </w:rPr>
            </w:pPr>
            <w:r>
              <w:rPr>
                <w:rFonts w:ascii="Arial Narrow" w:hAnsi="Arial Narrow"/>
                <w:sz w:val="20"/>
                <w:szCs w:val="20"/>
              </w:rPr>
              <w:t xml:space="preserve">Risankizumab </w:t>
            </w:r>
          </w:p>
          <w:p w14:paraId="3FE4D4CF" w14:textId="77777777" w:rsidR="00A93A3B" w:rsidRPr="001428E9" w:rsidRDefault="00A93A3B" w:rsidP="00264EE0">
            <w:pPr>
              <w:keepLines/>
              <w:rPr>
                <w:rFonts w:ascii="Arial Narrow" w:hAnsi="Arial Narrow"/>
                <w:sz w:val="20"/>
                <w:szCs w:val="20"/>
              </w:rPr>
            </w:pPr>
            <w:r>
              <w:rPr>
                <w:rFonts w:ascii="Arial Narrow" w:hAnsi="Arial Narrow"/>
                <w:sz w:val="20"/>
                <w:szCs w:val="20"/>
              </w:rPr>
              <w:t xml:space="preserve">600 mg/ 10 mL injection, 10 mL vial </w:t>
            </w:r>
          </w:p>
        </w:tc>
        <w:tc>
          <w:tcPr>
            <w:tcW w:w="807" w:type="dxa"/>
            <w:vAlign w:val="center"/>
          </w:tcPr>
          <w:p w14:paraId="48C4D075" w14:textId="77777777" w:rsidR="00A93A3B" w:rsidRPr="001428E9" w:rsidRDefault="00A93A3B" w:rsidP="00264EE0">
            <w:pPr>
              <w:keepLines/>
              <w:jc w:val="center"/>
              <w:rPr>
                <w:rFonts w:ascii="Arial Narrow" w:hAnsi="Arial Narrow"/>
                <w:sz w:val="20"/>
                <w:szCs w:val="20"/>
              </w:rPr>
            </w:pPr>
            <w:r>
              <w:rPr>
                <w:rFonts w:ascii="Arial Narrow" w:hAnsi="Arial Narrow"/>
                <w:sz w:val="20"/>
                <w:szCs w:val="20"/>
              </w:rPr>
              <w:t>NEW</w:t>
            </w:r>
          </w:p>
        </w:tc>
        <w:tc>
          <w:tcPr>
            <w:tcW w:w="808" w:type="dxa"/>
            <w:vAlign w:val="center"/>
          </w:tcPr>
          <w:p w14:paraId="417DE861" w14:textId="77777777" w:rsidR="00A93A3B" w:rsidRPr="001428E9" w:rsidRDefault="00A93A3B" w:rsidP="00264EE0">
            <w:pPr>
              <w:keepLines/>
              <w:jc w:val="center"/>
              <w:rPr>
                <w:rFonts w:ascii="Arial Narrow" w:hAnsi="Arial Narrow"/>
                <w:sz w:val="20"/>
                <w:szCs w:val="20"/>
              </w:rPr>
            </w:pPr>
            <w:r w:rsidRPr="001428E9">
              <w:rPr>
                <w:rFonts w:ascii="Arial Narrow" w:hAnsi="Arial Narrow"/>
                <w:sz w:val="20"/>
                <w:szCs w:val="20"/>
              </w:rPr>
              <w:t>1</w:t>
            </w:r>
          </w:p>
        </w:tc>
        <w:tc>
          <w:tcPr>
            <w:tcW w:w="807" w:type="dxa"/>
            <w:vAlign w:val="center"/>
          </w:tcPr>
          <w:p w14:paraId="16489CD8" w14:textId="77777777" w:rsidR="00A93A3B" w:rsidRPr="001428E9" w:rsidRDefault="00A93A3B" w:rsidP="00264EE0">
            <w:pPr>
              <w:keepLines/>
              <w:jc w:val="center"/>
              <w:rPr>
                <w:rFonts w:ascii="Arial Narrow" w:hAnsi="Arial Narrow"/>
                <w:sz w:val="20"/>
                <w:szCs w:val="20"/>
              </w:rPr>
            </w:pPr>
            <w:r>
              <w:rPr>
                <w:rFonts w:ascii="Arial Narrow" w:hAnsi="Arial Narrow"/>
                <w:sz w:val="20"/>
                <w:szCs w:val="20"/>
              </w:rPr>
              <w:t>1</w:t>
            </w:r>
          </w:p>
        </w:tc>
        <w:tc>
          <w:tcPr>
            <w:tcW w:w="808" w:type="dxa"/>
            <w:vAlign w:val="center"/>
          </w:tcPr>
          <w:p w14:paraId="7AB5C882" w14:textId="77777777" w:rsidR="00A93A3B" w:rsidRPr="001428E9" w:rsidRDefault="00A93A3B" w:rsidP="00264EE0">
            <w:pPr>
              <w:keepLines/>
              <w:jc w:val="center"/>
              <w:rPr>
                <w:rFonts w:ascii="Arial Narrow" w:hAnsi="Arial Narrow"/>
                <w:sz w:val="20"/>
                <w:szCs w:val="20"/>
              </w:rPr>
            </w:pPr>
            <w:r>
              <w:rPr>
                <w:rFonts w:ascii="Arial Narrow" w:hAnsi="Arial Narrow"/>
                <w:sz w:val="20"/>
                <w:szCs w:val="20"/>
              </w:rPr>
              <w:t>2</w:t>
            </w:r>
          </w:p>
        </w:tc>
        <w:tc>
          <w:tcPr>
            <w:tcW w:w="1820" w:type="dxa"/>
            <w:vAlign w:val="center"/>
          </w:tcPr>
          <w:p w14:paraId="2ADA0C5A" w14:textId="77777777" w:rsidR="00A93A3B" w:rsidRPr="001428E9" w:rsidRDefault="00A93A3B" w:rsidP="00264EE0">
            <w:pPr>
              <w:keepLines/>
              <w:rPr>
                <w:rFonts w:ascii="Arial Narrow" w:hAnsi="Arial Narrow"/>
                <w:sz w:val="20"/>
                <w:szCs w:val="20"/>
              </w:rPr>
            </w:pPr>
            <w:r>
              <w:rPr>
                <w:rFonts w:ascii="Arial Narrow" w:hAnsi="Arial Narrow"/>
                <w:sz w:val="20"/>
                <w:szCs w:val="20"/>
              </w:rPr>
              <w:t>Skyrizi</w:t>
            </w:r>
          </w:p>
        </w:tc>
      </w:tr>
      <w:tr w:rsidR="00A93A3B" w:rsidRPr="001428E9" w14:paraId="6A3DC82F" w14:textId="77777777" w:rsidTr="00264EE0">
        <w:tblPrEx>
          <w:tblCellMar>
            <w:top w:w="15" w:type="dxa"/>
            <w:bottom w:w="15" w:type="dxa"/>
          </w:tblCellMar>
          <w:tblLook w:val="04A0" w:firstRow="1" w:lastRow="0" w:firstColumn="1" w:lastColumn="0" w:noHBand="0" w:noVBand="1"/>
        </w:tblPrEx>
        <w:trPr>
          <w:trHeight w:val="20"/>
        </w:trPr>
        <w:tc>
          <w:tcPr>
            <w:tcW w:w="8966" w:type="dxa"/>
            <w:gridSpan w:val="8"/>
            <w:tcBorders>
              <w:top w:val="single" w:sz="4" w:space="0" w:color="auto"/>
              <w:left w:val="single" w:sz="4" w:space="0" w:color="auto"/>
              <w:right w:val="single" w:sz="4" w:space="0" w:color="auto"/>
            </w:tcBorders>
            <w:vAlign w:val="center"/>
          </w:tcPr>
          <w:p w14:paraId="6FA00DC9" w14:textId="77777777" w:rsidR="00A93A3B" w:rsidRPr="001428E9" w:rsidRDefault="00A93A3B" w:rsidP="00264EE0">
            <w:pPr>
              <w:rPr>
                <w:rFonts w:ascii="Arial Narrow" w:hAnsi="Arial Narrow"/>
                <w:sz w:val="20"/>
                <w:szCs w:val="20"/>
              </w:rPr>
            </w:pPr>
          </w:p>
        </w:tc>
      </w:tr>
      <w:tr w:rsidR="00A93A3B" w:rsidRPr="001428E9" w14:paraId="29B2C1E6" w14:textId="77777777" w:rsidTr="00264EE0">
        <w:tblPrEx>
          <w:tblCellMar>
            <w:top w:w="15" w:type="dxa"/>
            <w:bottom w:w="15" w:type="dxa"/>
          </w:tblCellMar>
          <w:tblLook w:val="04A0" w:firstRow="1" w:lastRow="0" w:firstColumn="1" w:lastColumn="0" w:noHBand="0" w:noVBand="1"/>
        </w:tblPrEx>
        <w:trPr>
          <w:trHeight w:val="20"/>
        </w:trPr>
        <w:tc>
          <w:tcPr>
            <w:tcW w:w="8966" w:type="dxa"/>
            <w:gridSpan w:val="8"/>
            <w:tcBorders>
              <w:top w:val="single" w:sz="4" w:space="0" w:color="auto"/>
              <w:left w:val="single" w:sz="4" w:space="0" w:color="auto"/>
              <w:right w:val="single" w:sz="4" w:space="0" w:color="auto"/>
            </w:tcBorders>
            <w:vAlign w:val="center"/>
          </w:tcPr>
          <w:p w14:paraId="5F35B021" w14:textId="77777777" w:rsidR="00A93A3B" w:rsidRPr="001428E9" w:rsidRDefault="00A93A3B" w:rsidP="00264EE0">
            <w:pPr>
              <w:keepLines/>
              <w:rPr>
                <w:rFonts w:ascii="Arial Narrow" w:hAnsi="Arial Narrow"/>
                <w:b/>
                <w:sz w:val="20"/>
                <w:szCs w:val="20"/>
              </w:rPr>
            </w:pPr>
            <w:r w:rsidRPr="001428E9">
              <w:rPr>
                <w:rFonts w:ascii="Arial Narrow" w:hAnsi="Arial Narrow"/>
                <w:b/>
                <w:sz w:val="20"/>
                <w:szCs w:val="20"/>
              </w:rPr>
              <w:t xml:space="preserve">Restriction </w:t>
            </w:r>
            <w:r w:rsidRPr="007C5F7B">
              <w:rPr>
                <w:rFonts w:ascii="Arial Narrow" w:hAnsi="Arial Narrow"/>
                <w:b/>
                <w:sz w:val="20"/>
                <w:szCs w:val="20"/>
              </w:rPr>
              <w:t xml:space="preserve">Summary </w:t>
            </w:r>
            <w:r w:rsidRPr="00F731E8">
              <w:rPr>
                <w:rFonts w:ascii="Arial Narrow" w:hAnsi="Arial Narrow"/>
                <w:b/>
                <w:sz w:val="20"/>
                <w:szCs w:val="20"/>
              </w:rPr>
              <w:t xml:space="preserve">9772 </w:t>
            </w:r>
            <w:r w:rsidRPr="007C5F7B">
              <w:rPr>
                <w:rFonts w:ascii="Arial Narrow" w:hAnsi="Arial Narrow"/>
                <w:b/>
                <w:sz w:val="20"/>
                <w:szCs w:val="20"/>
              </w:rPr>
              <w:t xml:space="preserve">/ Treatment of Concept: </w:t>
            </w:r>
            <w:r w:rsidRPr="00F731E8">
              <w:rPr>
                <w:rFonts w:ascii="Arial Narrow" w:hAnsi="Arial Narrow"/>
                <w:b/>
                <w:sz w:val="20"/>
                <w:szCs w:val="20"/>
              </w:rPr>
              <w:t>9710</w:t>
            </w:r>
          </w:p>
        </w:tc>
      </w:tr>
      <w:tr w:rsidR="00A93A3B" w:rsidRPr="001428E9" w14:paraId="1449E72B" w14:textId="77777777" w:rsidTr="00264EE0">
        <w:tblPrEx>
          <w:tblCellMar>
            <w:top w:w="15" w:type="dxa"/>
            <w:bottom w:w="15" w:type="dxa"/>
          </w:tblCellMar>
          <w:tblLook w:val="04A0" w:firstRow="1" w:lastRow="0" w:firstColumn="1" w:lastColumn="0" w:noHBand="0" w:noVBand="1"/>
        </w:tblPrEx>
        <w:trPr>
          <w:trHeight w:val="20"/>
        </w:trPr>
        <w:tc>
          <w:tcPr>
            <w:tcW w:w="1266" w:type="dxa"/>
            <w:gridSpan w:val="2"/>
            <w:vMerge w:val="restart"/>
            <w:tcBorders>
              <w:top w:val="single" w:sz="4" w:space="0" w:color="auto"/>
              <w:left w:val="single" w:sz="4" w:space="0" w:color="auto"/>
              <w:right w:val="single" w:sz="4" w:space="0" w:color="auto"/>
            </w:tcBorders>
          </w:tcPr>
          <w:p w14:paraId="49C55B36" w14:textId="77777777" w:rsidR="00A93A3B" w:rsidRPr="001428E9" w:rsidRDefault="00A93A3B" w:rsidP="00264EE0">
            <w:pPr>
              <w:jc w:val="center"/>
              <w:rPr>
                <w:rFonts w:ascii="Arial Narrow" w:hAnsi="Arial Narrow"/>
                <w:b/>
                <w:sz w:val="20"/>
                <w:szCs w:val="20"/>
              </w:rPr>
            </w:pPr>
            <w:r w:rsidRPr="001428E9">
              <w:rPr>
                <w:rFonts w:ascii="Arial Narrow" w:hAnsi="Arial Narrow"/>
                <w:b/>
                <w:sz w:val="20"/>
                <w:szCs w:val="20"/>
              </w:rPr>
              <w:t>Concept ID</w:t>
            </w:r>
            <w:r>
              <w:rPr>
                <w:rFonts w:ascii="Arial Narrow" w:hAnsi="Arial Narrow"/>
                <w:b/>
                <w:sz w:val="20"/>
                <w:szCs w:val="20"/>
              </w:rPr>
              <w:t xml:space="preserve"> </w:t>
            </w:r>
            <w:r w:rsidRPr="001428E9">
              <w:rPr>
                <w:rFonts w:ascii="Arial Narrow" w:hAnsi="Arial Narrow"/>
                <w:sz w:val="20"/>
                <w:szCs w:val="20"/>
              </w:rPr>
              <w:t>(for internal Dept. use)</w:t>
            </w:r>
          </w:p>
        </w:tc>
        <w:tc>
          <w:tcPr>
            <w:tcW w:w="7700" w:type="dxa"/>
            <w:gridSpan w:val="6"/>
            <w:tcBorders>
              <w:top w:val="single" w:sz="4" w:space="0" w:color="auto"/>
              <w:left w:val="single" w:sz="4" w:space="0" w:color="auto"/>
              <w:bottom w:val="single" w:sz="4" w:space="0" w:color="auto"/>
              <w:right w:val="single" w:sz="4" w:space="0" w:color="auto"/>
            </w:tcBorders>
            <w:vAlign w:val="center"/>
          </w:tcPr>
          <w:p w14:paraId="33490B79" w14:textId="77777777" w:rsidR="00A93A3B" w:rsidRPr="001428E9" w:rsidRDefault="00A93A3B" w:rsidP="00264EE0">
            <w:pPr>
              <w:keepLines/>
              <w:rPr>
                <w:rFonts w:ascii="Arial Narrow" w:hAnsi="Arial Narrow"/>
                <w:sz w:val="20"/>
                <w:szCs w:val="20"/>
              </w:rPr>
            </w:pPr>
            <w:r w:rsidRPr="001428E9">
              <w:rPr>
                <w:rFonts w:ascii="Arial Narrow" w:hAnsi="Arial Narrow"/>
                <w:b/>
                <w:sz w:val="20"/>
                <w:szCs w:val="20"/>
              </w:rPr>
              <w:t xml:space="preserve">Category / Program: </w:t>
            </w:r>
            <w:r w:rsidRPr="001428E9">
              <w:rPr>
                <w:rFonts w:ascii="Arial Narrow" w:hAnsi="Arial Narrow"/>
                <w:sz w:val="20"/>
                <w:szCs w:val="20"/>
              </w:rPr>
              <w:t>Section 100 – Hi</w:t>
            </w:r>
            <w:r>
              <w:rPr>
                <w:rFonts w:ascii="Arial Narrow" w:hAnsi="Arial Narrow"/>
                <w:sz w:val="20"/>
                <w:szCs w:val="20"/>
              </w:rPr>
              <w:t>ghly Specialised Drugs Program</w:t>
            </w:r>
          </w:p>
        </w:tc>
      </w:tr>
      <w:tr w:rsidR="00A93A3B" w:rsidRPr="001428E9" w14:paraId="6D986C88" w14:textId="77777777" w:rsidTr="00264EE0">
        <w:tblPrEx>
          <w:tblCellMar>
            <w:top w:w="15" w:type="dxa"/>
            <w:bottom w:w="15" w:type="dxa"/>
          </w:tblCellMar>
          <w:tblLook w:val="04A0" w:firstRow="1" w:lastRow="0" w:firstColumn="1" w:lastColumn="0" w:noHBand="0" w:noVBand="1"/>
        </w:tblPrEx>
        <w:trPr>
          <w:trHeight w:val="20"/>
        </w:trPr>
        <w:tc>
          <w:tcPr>
            <w:tcW w:w="1266" w:type="dxa"/>
            <w:gridSpan w:val="2"/>
            <w:vMerge/>
            <w:tcBorders>
              <w:left w:val="single" w:sz="4" w:space="0" w:color="auto"/>
              <w:right w:val="single" w:sz="4" w:space="0" w:color="auto"/>
            </w:tcBorders>
          </w:tcPr>
          <w:p w14:paraId="723617A9" w14:textId="77777777" w:rsidR="00A93A3B" w:rsidRPr="001428E9" w:rsidRDefault="00A93A3B" w:rsidP="00264EE0">
            <w:pPr>
              <w:rPr>
                <w:rFonts w:ascii="Arial Narrow" w:hAnsi="Arial Narrow"/>
                <w:sz w:val="20"/>
                <w:szCs w:val="20"/>
              </w:rPr>
            </w:pPr>
          </w:p>
        </w:tc>
        <w:tc>
          <w:tcPr>
            <w:tcW w:w="7700" w:type="dxa"/>
            <w:gridSpan w:val="6"/>
            <w:tcBorders>
              <w:top w:val="single" w:sz="4" w:space="0" w:color="auto"/>
              <w:left w:val="single" w:sz="4" w:space="0" w:color="auto"/>
              <w:bottom w:val="single" w:sz="4" w:space="0" w:color="auto"/>
              <w:right w:val="single" w:sz="4" w:space="0" w:color="auto"/>
            </w:tcBorders>
            <w:vAlign w:val="center"/>
          </w:tcPr>
          <w:p w14:paraId="2036B3B2" w14:textId="77777777" w:rsidR="00A93A3B" w:rsidRPr="001428E9" w:rsidRDefault="00A93A3B" w:rsidP="00264EE0">
            <w:pPr>
              <w:keepLines/>
              <w:rPr>
                <w:rFonts w:ascii="Arial Narrow" w:hAnsi="Arial Narrow"/>
                <w:b/>
                <w:sz w:val="20"/>
                <w:szCs w:val="20"/>
              </w:rPr>
            </w:pPr>
            <w:r w:rsidRPr="001428E9">
              <w:rPr>
                <w:rFonts w:ascii="Arial Narrow" w:hAnsi="Arial Narrow"/>
                <w:b/>
                <w:sz w:val="20"/>
                <w:szCs w:val="20"/>
              </w:rPr>
              <w:t xml:space="preserve">Prescriber type: </w:t>
            </w:r>
            <w:r w:rsidRPr="001428E9">
              <w:rPr>
                <w:rFonts w:ascii="Arial Narrow" w:hAnsi="Arial Narrow"/>
                <w:sz w:val="20"/>
                <w:szCs w:val="20"/>
              </w:rPr>
              <w:t xml:space="preserve"> </w:t>
            </w:r>
            <w:r>
              <w:rPr>
                <w:rFonts w:ascii="Arial Narrow" w:hAnsi="Arial Narrow"/>
                <w:sz w:val="20"/>
                <w:szCs w:val="20"/>
              </w:rPr>
              <w:fldChar w:fldCharType="begin" w:fldLock="1">
                <w:ffData>
                  <w:name w:val=""/>
                  <w:enabled/>
                  <w:calcOnExit w:val="0"/>
                  <w:checkBox>
                    <w:sizeAuto/>
                    <w:default w:val="1"/>
                  </w:checkBox>
                </w:ffData>
              </w:fldChar>
            </w:r>
            <w:r>
              <w:rPr>
                <w:rFonts w:ascii="Arial Narrow" w:hAnsi="Arial Narrow"/>
                <w:sz w:val="20"/>
                <w:szCs w:val="20"/>
              </w:rPr>
              <w:instrText xml:space="preserve"> FORMCHECKBOX </w:instrText>
            </w:r>
            <w:r w:rsidR="00DE4045">
              <w:rPr>
                <w:rFonts w:ascii="Arial Narrow" w:hAnsi="Arial Narrow"/>
                <w:sz w:val="20"/>
                <w:szCs w:val="20"/>
              </w:rPr>
            </w:r>
            <w:r w:rsidR="00DE4045">
              <w:rPr>
                <w:rFonts w:ascii="Arial Narrow" w:hAnsi="Arial Narrow"/>
                <w:sz w:val="20"/>
                <w:szCs w:val="20"/>
              </w:rPr>
              <w:fldChar w:fldCharType="separate"/>
            </w:r>
            <w:r>
              <w:rPr>
                <w:rFonts w:ascii="Arial Narrow" w:hAnsi="Arial Narrow"/>
                <w:sz w:val="20"/>
                <w:szCs w:val="20"/>
              </w:rPr>
              <w:fldChar w:fldCharType="end"/>
            </w:r>
            <w:r w:rsidRPr="001428E9">
              <w:rPr>
                <w:rFonts w:ascii="Arial Narrow" w:hAnsi="Arial Narrow"/>
                <w:sz w:val="20"/>
                <w:szCs w:val="20"/>
              </w:rPr>
              <w:t xml:space="preserve">Medical Practitioners </w:t>
            </w:r>
          </w:p>
        </w:tc>
      </w:tr>
      <w:tr w:rsidR="00A93A3B" w:rsidRPr="001428E9" w14:paraId="2AE3ADA5" w14:textId="77777777" w:rsidTr="00264EE0">
        <w:tblPrEx>
          <w:tblCellMar>
            <w:top w:w="15" w:type="dxa"/>
            <w:bottom w:w="15" w:type="dxa"/>
          </w:tblCellMar>
          <w:tblLook w:val="04A0" w:firstRow="1" w:lastRow="0" w:firstColumn="1" w:lastColumn="0" w:noHBand="0" w:noVBand="1"/>
        </w:tblPrEx>
        <w:trPr>
          <w:trHeight w:val="20"/>
        </w:trPr>
        <w:tc>
          <w:tcPr>
            <w:tcW w:w="1266" w:type="dxa"/>
            <w:gridSpan w:val="2"/>
            <w:vMerge/>
            <w:tcBorders>
              <w:left w:val="single" w:sz="4" w:space="0" w:color="auto"/>
              <w:bottom w:val="single" w:sz="4" w:space="0" w:color="auto"/>
              <w:right w:val="single" w:sz="4" w:space="0" w:color="auto"/>
            </w:tcBorders>
          </w:tcPr>
          <w:p w14:paraId="0B889871" w14:textId="77777777" w:rsidR="00A93A3B" w:rsidRPr="001428E9" w:rsidRDefault="00A93A3B" w:rsidP="00264EE0">
            <w:pPr>
              <w:rPr>
                <w:rFonts w:ascii="Arial Narrow" w:hAnsi="Arial Narrow"/>
                <w:sz w:val="20"/>
                <w:szCs w:val="20"/>
              </w:rPr>
            </w:pPr>
          </w:p>
        </w:tc>
        <w:tc>
          <w:tcPr>
            <w:tcW w:w="7700" w:type="dxa"/>
            <w:gridSpan w:val="6"/>
            <w:tcBorders>
              <w:top w:val="single" w:sz="4" w:space="0" w:color="auto"/>
              <w:left w:val="single" w:sz="4" w:space="0" w:color="auto"/>
              <w:bottom w:val="single" w:sz="4" w:space="0" w:color="auto"/>
              <w:right w:val="single" w:sz="4" w:space="0" w:color="auto"/>
            </w:tcBorders>
            <w:vAlign w:val="center"/>
          </w:tcPr>
          <w:p w14:paraId="124CE46C" w14:textId="77777777" w:rsidR="00A93A3B" w:rsidRPr="00D56F94" w:rsidRDefault="00A93A3B" w:rsidP="00264EE0">
            <w:pPr>
              <w:keepLines/>
              <w:jc w:val="left"/>
              <w:rPr>
                <w:rFonts w:ascii="Arial Narrow" w:eastAsia="Calibri" w:hAnsi="Arial Narrow"/>
                <w:color w:val="FF0000"/>
                <w:sz w:val="20"/>
                <w:szCs w:val="20"/>
              </w:rPr>
            </w:pPr>
            <w:r w:rsidRPr="001428E9">
              <w:rPr>
                <w:rFonts w:ascii="Arial Narrow" w:hAnsi="Arial Narrow"/>
                <w:b/>
                <w:sz w:val="20"/>
                <w:szCs w:val="20"/>
              </w:rPr>
              <w:t xml:space="preserve">Restriction type: </w:t>
            </w:r>
            <w:r>
              <w:rPr>
                <w:rFonts w:ascii="Arial Narrow" w:eastAsia="Calibri" w:hAnsi="Arial Narrow"/>
                <w:sz w:val="20"/>
                <w:szCs w:val="20"/>
              </w:rPr>
              <w:fldChar w:fldCharType="begin" w:fldLock="1">
                <w:ffData>
                  <w:name w:val=""/>
                  <w:enabled/>
                  <w:calcOnExit w:val="0"/>
                  <w:checkBox>
                    <w:sizeAuto/>
                    <w:default w:val="1"/>
                  </w:checkBox>
                </w:ffData>
              </w:fldChar>
            </w:r>
            <w:r>
              <w:rPr>
                <w:rFonts w:ascii="Arial Narrow" w:eastAsia="Calibri" w:hAnsi="Arial Narrow"/>
                <w:sz w:val="20"/>
                <w:szCs w:val="20"/>
              </w:rPr>
              <w:instrText xml:space="preserve"> FORMCHECKBOX </w:instrText>
            </w:r>
            <w:r w:rsidR="00DE4045">
              <w:rPr>
                <w:rFonts w:ascii="Arial Narrow" w:eastAsia="Calibri" w:hAnsi="Arial Narrow"/>
                <w:sz w:val="20"/>
                <w:szCs w:val="20"/>
              </w:rPr>
            </w:r>
            <w:r w:rsidR="00DE4045">
              <w:rPr>
                <w:rFonts w:ascii="Arial Narrow" w:eastAsia="Calibri" w:hAnsi="Arial Narrow"/>
                <w:sz w:val="20"/>
                <w:szCs w:val="20"/>
              </w:rPr>
              <w:fldChar w:fldCharType="separate"/>
            </w:r>
            <w:r>
              <w:rPr>
                <w:rFonts w:ascii="Arial Narrow" w:eastAsia="Calibri" w:hAnsi="Arial Narrow"/>
                <w:sz w:val="20"/>
                <w:szCs w:val="20"/>
              </w:rPr>
              <w:fldChar w:fldCharType="end"/>
            </w:r>
            <w:r w:rsidRPr="001428E9">
              <w:rPr>
                <w:rFonts w:ascii="Arial Narrow" w:eastAsia="Calibri" w:hAnsi="Arial Narrow"/>
                <w:sz w:val="20"/>
                <w:szCs w:val="20"/>
              </w:rPr>
              <w:t xml:space="preserve">Authority Required </w:t>
            </w:r>
            <w:r>
              <w:rPr>
                <w:rFonts w:ascii="Arial Narrow" w:eastAsia="Calibri" w:hAnsi="Arial Narrow"/>
                <w:sz w:val="20"/>
                <w:szCs w:val="20"/>
              </w:rPr>
              <w:t xml:space="preserve">– Writing </w:t>
            </w:r>
          </w:p>
        </w:tc>
      </w:tr>
      <w:tr w:rsidR="00A93A3B" w:rsidRPr="001428E9" w14:paraId="2842ED55" w14:textId="77777777" w:rsidTr="00264EE0">
        <w:tblPrEx>
          <w:tblCellMar>
            <w:top w:w="15" w:type="dxa"/>
            <w:bottom w:w="15" w:type="dxa"/>
          </w:tblCellMar>
          <w:tblLook w:val="04A0" w:firstRow="1" w:lastRow="0" w:firstColumn="1" w:lastColumn="0" w:noHBand="0" w:noVBand="1"/>
        </w:tblPrEx>
        <w:trPr>
          <w:cantSplit/>
          <w:trHeight w:val="513"/>
        </w:trPr>
        <w:tc>
          <w:tcPr>
            <w:tcW w:w="422" w:type="dxa"/>
            <w:tcBorders>
              <w:left w:val="single" w:sz="4" w:space="0" w:color="auto"/>
              <w:bottom w:val="single" w:sz="4" w:space="0" w:color="auto"/>
              <w:right w:val="single" w:sz="4" w:space="0" w:color="auto"/>
            </w:tcBorders>
            <w:textDirection w:val="btLr"/>
            <w:vAlign w:val="bottom"/>
          </w:tcPr>
          <w:p w14:paraId="7B89656F" w14:textId="5E0173C1" w:rsidR="00A93A3B" w:rsidRPr="001428E9" w:rsidRDefault="00A93A3B" w:rsidP="00264EE0">
            <w:pPr>
              <w:ind w:left="113" w:right="113"/>
              <w:jc w:val="center"/>
              <w:rPr>
                <w:rFonts w:ascii="Arial Narrow" w:hAnsi="Arial Narrow"/>
                <w:sz w:val="20"/>
                <w:szCs w:val="20"/>
              </w:rPr>
            </w:pPr>
          </w:p>
        </w:tc>
        <w:tc>
          <w:tcPr>
            <w:tcW w:w="844" w:type="dxa"/>
            <w:tcBorders>
              <w:left w:val="single" w:sz="4" w:space="0" w:color="auto"/>
              <w:bottom w:val="single" w:sz="4" w:space="0" w:color="auto"/>
              <w:right w:val="single" w:sz="4" w:space="0" w:color="auto"/>
            </w:tcBorders>
            <w:vAlign w:val="center"/>
          </w:tcPr>
          <w:p w14:paraId="61055300" w14:textId="78C2A2C1" w:rsidR="00A93A3B" w:rsidRPr="001428E9" w:rsidRDefault="00A93A3B" w:rsidP="00264EE0">
            <w:pPr>
              <w:jc w:val="center"/>
              <w:rPr>
                <w:rFonts w:ascii="Arial Narrow" w:hAnsi="Arial Narrow"/>
                <w:sz w:val="20"/>
                <w:szCs w:val="20"/>
              </w:rPr>
            </w:pPr>
          </w:p>
        </w:tc>
        <w:tc>
          <w:tcPr>
            <w:tcW w:w="7700" w:type="dxa"/>
            <w:gridSpan w:val="6"/>
            <w:tcBorders>
              <w:top w:val="single" w:sz="4" w:space="0" w:color="auto"/>
              <w:left w:val="single" w:sz="4" w:space="0" w:color="auto"/>
              <w:bottom w:val="single" w:sz="4" w:space="0" w:color="auto"/>
              <w:right w:val="single" w:sz="4" w:space="0" w:color="auto"/>
            </w:tcBorders>
            <w:vAlign w:val="center"/>
          </w:tcPr>
          <w:p w14:paraId="244E149F" w14:textId="77777777" w:rsidR="00A93A3B" w:rsidRDefault="00A93A3B" w:rsidP="00264EE0">
            <w:pPr>
              <w:keepLines/>
              <w:rPr>
                <w:rFonts w:ascii="Arial Narrow" w:eastAsia="Times New Roman" w:hAnsi="Arial Narrow"/>
                <w:b/>
                <w:bCs/>
                <w:sz w:val="20"/>
                <w:szCs w:val="20"/>
              </w:rPr>
            </w:pPr>
            <w:r>
              <w:rPr>
                <w:rFonts w:ascii="Arial Narrow" w:eastAsia="Times New Roman" w:hAnsi="Arial Narrow"/>
                <w:b/>
                <w:bCs/>
                <w:sz w:val="20"/>
                <w:szCs w:val="20"/>
              </w:rPr>
              <w:t xml:space="preserve">Administrative Advice: </w:t>
            </w:r>
          </w:p>
          <w:p w14:paraId="6279E7A2" w14:textId="77777777" w:rsidR="00A93A3B" w:rsidRPr="00B16D18" w:rsidRDefault="00A93A3B" w:rsidP="00264EE0">
            <w:pPr>
              <w:keepLines/>
              <w:rPr>
                <w:rFonts w:ascii="Arial Narrow" w:hAnsi="Arial Narrow"/>
                <w:sz w:val="20"/>
                <w:szCs w:val="20"/>
              </w:rPr>
            </w:pPr>
            <w:r w:rsidRPr="00B16D18">
              <w:rPr>
                <w:rFonts w:ascii="Arial Narrow" w:hAnsi="Arial Narrow"/>
                <w:sz w:val="20"/>
                <w:szCs w:val="20"/>
              </w:rPr>
              <w:t xml:space="preserve">TREATMENT OF ADULT PATIENTS WITH SEVERE CROHN DISEASE, </w:t>
            </w:r>
          </w:p>
          <w:p w14:paraId="79B823D0" w14:textId="77777777" w:rsidR="00A93A3B" w:rsidRPr="001428E9" w:rsidRDefault="00A93A3B" w:rsidP="00264EE0">
            <w:pPr>
              <w:keepLines/>
              <w:rPr>
                <w:rFonts w:ascii="Arial Narrow" w:hAnsi="Arial Narrow"/>
                <w:b/>
                <w:sz w:val="20"/>
                <w:szCs w:val="20"/>
              </w:rPr>
            </w:pPr>
            <w:r w:rsidRPr="00B16D18">
              <w:rPr>
                <w:rFonts w:ascii="Arial Narrow" w:hAnsi="Arial Narrow"/>
                <w:sz w:val="20"/>
                <w:szCs w:val="20"/>
              </w:rPr>
              <w:t>The following information applies to the prescribing under the Pharmaceutical Benefits Scheme (PBS) of the biological medicines for adult patients with severe Crohn disease. Where the term 'biological medicine' appears in the following notes and restrictions, it refers to the tumour necrosis factor (TNF) alfa-antagonists (adalimumab and infliximab), the alpha-4 beta-7 integrin inhibitor (vedolizumab) and the human IgG1kappa monoclonal antibody (ustekinumab</w:t>
            </w:r>
            <w:r>
              <w:rPr>
                <w:rFonts w:ascii="Arial Narrow" w:hAnsi="Arial Narrow"/>
                <w:i/>
                <w:iCs/>
                <w:sz w:val="20"/>
                <w:szCs w:val="20"/>
              </w:rPr>
              <w:t xml:space="preserve"> and risankizumab</w:t>
            </w:r>
            <w:r w:rsidRPr="00B16D18">
              <w:rPr>
                <w:rFonts w:ascii="Arial Narrow" w:hAnsi="Arial Narrow"/>
                <w:sz w:val="20"/>
                <w:szCs w:val="20"/>
              </w:rPr>
              <w:t>)., Patients are eligible for PBS-subsidised treatment with only 1 of the above PBS-subsidised biological medicines at any one time., From 1 September 2017, under the PBS, all patients will be able to commence a treatment cycle where they may trial PBS-subsidised a biological medicine without having to experience a disease flare when swapping to the alternate agent. Under these arrangements, within a single treatment cycle, a patient may continue to receive long-term treatment with a biological medicine while they continue to show a response to therapy., A patient who received PBS-subsidised treatment with a biological medicine prior to 1 September 2017 is considered to have started their treatment cycle as of 1 September 2017., Within the same treatment cycle, a patient cannot trial and fail, or cease to respond to, the same PBS-subsidised biological medicine more than once., Once a patient has either failed or ceased to respond to treatment for this condition 3 times, they are deemed to have completed a treatment cycle and they must have, at a minimum, a 5-year break in PBS-subsidised biological medicine therapy for this condition before they are eligible to commence the next cycle. The 5-year break is measured from the date of the last approval for PBS-subsidised biological medicine treatment in the most recent cycle to the date of the first application for initial treatment with a biological medicine under the new treatment</w:t>
            </w:r>
            <w:r>
              <w:rPr>
                <w:rFonts w:ascii="Arial Narrow" w:hAnsi="Arial Narrow"/>
                <w:sz w:val="20"/>
                <w:szCs w:val="20"/>
              </w:rPr>
              <w:t xml:space="preserve"> </w:t>
            </w:r>
            <w:r w:rsidRPr="0049699A">
              <w:rPr>
                <w:rFonts w:ascii="Arial Narrow" w:hAnsi="Arial Narrow"/>
                <w:sz w:val="20"/>
                <w:szCs w:val="20"/>
              </w:rPr>
              <w:t>cycle., A patient who has failed fewer than 3 trials of biological medicine therapy in a treatment cycle and who has a break in therapy of less than 5 years, may commence a further course of treatment within the same treatment cycle., A patient who has failed fewer than 3 trials of biological medicine therapy in a treatment cycle and who has a break in therapy of more than 5 years, may commence a new treatment cycle., There is no limit to the number of treatment cycles a patient may undertake in their lifetime., (1) How to prescribe PBS-subsidised adalimumab, infliximab, vedolizumab</w:t>
            </w:r>
            <w:r>
              <w:rPr>
                <w:rFonts w:ascii="Arial Narrow" w:hAnsi="Arial Narrow"/>
                <w:i/>
                <w:iCs/>
                <w:sz w:val="20"/>
                <w:szCs w:val="20"/>
              </w:rPr>
              <w:t>, risankizumab</w:t>
            </w:r>
            <w:r w:rsidRPr="0049699A">
              <w:rPr>
                <w:rFonts w:ascii="Arial Narrow" w:hAnsi="Arial Narrow"/>
                <w:sz w:val="20"/>
                <w:szCs w:val="20"/>
              </w:rPr>
              <w:t xml:space="preserve"> or ustekinumab therapy after 1 September 2017., (a) Initial treatment., Applications for initial treatment should be made where:, (i) a patient has received no prior PBS-subsidised biological medicine treatment in this treatment cycle and wishes to commence such therapy Initial 1 (new patient); or, (ii) a patient has received prior PBS-subsidised (initial or continuing) biological medicine and wishes to trial an alternate agent - Initial 2 (change or recommencement of treatment after a break in therapy of less than 5 years) [further details are under 'Swapping therapy' below]; or, (iii) a patient wishes to recommence treatment with a specific biological medicine following a break in PBS-subsidised therapy with that agent - Initial 2 (change or recommencement of treatment after a break in therapy of less than 5 years); or, (iv) a patient wishes to recommence treatment with a biological medicine following a break in PBS-subsidised therapy of more than 5 years - Initial 3 (recommencement of treatment after a break in biological medicine of more than 5 years)., From 1 September 2017, a patient must be assessed for response to any course of initial PBS-subsidised treatment following a minimum of 12 weeks of therapy and no later than 4 weeks from the date that course was ceased for adalimumab</w:t>
            </w:r>
            <w:r>
              <w:rPr>
                <w:rFonts w:ascii="Arial Narrow" w:hAnsi="Arial Narrow"/>
                <w:sz w:val="20"/>
                <w:szCs w:val="20"/>
              </w:rPr>
              <w:t xml:space="preserve">, </w:t>
            </w:r>
            <w:r>
              <w:rPr>
                <w:rFonts w:ascii="Arial Narrow" w:hAnsi="Arial Narrow"/>
                <w:i/>
                <w:iCs/>
                <w:sz w:val="20"/>
                <w:szCs w:val="20"/>
              </w:rPr>
              <w:t>risankizumab</w:t>
            </w:r>
            <w:r w:rsidRPr="0049699A">
              <w:rPr>
                <w:rFonts w:ascii="Arial Narrow" w:hAnsi="Arial Narrow"/>
                <w:sz w:val="20"/>
                <w:szCs w:val="20"/>
              </w:rPr>
              <w:t xml:space="preserve"> or infliximab subcutaneous form or ustekinumab or vedolizumab subcutaneous form, and up to 12 weeks after the first dose (6 weeks following the third dose) for infliximab intravenous form or vedolizumab intravenous form., Where a response assessment is not conducted within these timeframes, the patient will be deemed to have failed to respond to treatment with that biological medicine unless the patient has experienced a serious adverse reaction of a severity resulting in the necessity</w:t>
            </w:r>
            <w:r w:rsidRPr="0049699A">
              <w:rPr>
                <w:sz w:val="20"/>
                <w:szCs w:val="20"/>
              </w:rPr>
              <w:t xml:space="preserve"> </w:t>
            </w:r>
            <w:r w:rsidRPr="0049699A">
              <w:rPr>
                <w:rFonts w:ascii="Arial Narrow" w:hAnsi="Arial Narrow"/>
                <w:sz w:val="20"/>
                <w:szCs w:val="20"/>
              </w:rPr>
              <w:t>for permanent withdrawal of treatment., Infliximab</w:t>
            </w:r>
            <w:r>
              <w:rPr>
                <w:rFonts w:ascii="Arial Narrow" w:hAnsi="Arial Narrow"/>
                <w:sz w:val="20"/>
                <w:szCs w:val="20"/>
              </w:rPr>
              <w:t xml:space="preserve"> </w:t>
            </w:r>
            <w:r w:rsidRPr="0049699A">
              <w:rPr>
                <w:rFonts w:ascii="Arial Narrow" w:hAnsi="Arial Narrow"/>
                <w:sz w:val="20"/>
                <w:szCs w:val="20"/>
              </w:rPr>
              <w:t>subcutaneous form only:, Initial treatment to subcutaneous form of infliximab should be permitted after administration of at least 2 initial intravenous infusions of infliximab. A maximum quantity and number of repeats to provide for weeks 6, 8, 10, 12, 14 and 16</w:t>
            </w:r>
            <w:r>
              <w:rPr>
                <w:rFonts w:ascii="Arial Narrow" w:hAnsi="Arial Narrow"/>
                <w:sz w:val="20"/>
                <w:szCs w:val="20"/>
              </w:rPr>
              <w:t xml:space="preserve"> </w:t>
            </w:r>
            <w:r w:rsidRPr="0049699A">
              <w:rPr>
                <w:rFonts w:ascii="Arial Narrow" w:hAnsi="Arial Narrow"/>
                <w:sz w:val="20"/>
                <w:szCs w:val="20"/>
              </w:rPr>
              <w:t xml:space="preserve">will be authorised., Ustekinumab only: Two completed authority prescriptions should be submitted with every initial application for this drug. One prescription should be written under S100 (Highly Specialised Drugs) for a weight-based loading dose, containing a quantity of up to 4 vials of 130 mg and no repeats. The second prescription should be written under S85 (General) for the subsequent first dose, containing a quantity of 2 vials of 45 mg and no repeats., Vedolizumab subcutaneous form only: initial treatment to subcutaneous form of vedolizumab should be permitted after administration of at least 2 of the 3 initial intravenous infusions of vedolizumab. Where two initial doses of vedolizumab (at weeks 0 and 2) is administered via intravenous infusion, initial </w:t>
            </w:r>
            <w:r w:rsidRPr="0049699A">
              <w:rPr>
                <w:rFonts w:ascii="Arial Narrow" w:hAnsi="Arial Narrow"/>
                <w:sz w:val="20"/>
                <w:szCs w:val="20"/>
              </w:rPr>
              <w:lastRenderedPageBreak/>
              <w:t>treatment with subcutaneous form will commence at week 6. A maximum quantity and number of repeats to provide for weeks 6, 8, 10, 12, 14 and 16 will be authorised. Where three initial doses of vedolizumab (at weeks 0, 2 and 6) is administered via intravenous infusion, initial treatment with subcutaneous form will commence at week 14 (8 weeks after the third dose). A maximum quantity to provide for weeks 14 and 16 will be authorised., (b) Continuing treatment., Following the completion of an initial treatment course with a biological medicine, a patient may qualify to receive up to 24 weeks of continuing treatment with that drug providing they have demonstrated an adequate response to treatment. The patient remains eligible to receive continuing treatment with the same drug in courses of up to 24 weeks providing they continue to sustain the response., It is recommended that a patient be reviewed in the 4 weeks prior to completing their current course of treatment to ensure uninterrupted supply of treatment., A patient must be assessed for response to a course of continuing therapy, and the assessment must be conducted within 4 weeks of the last dose. Where a response assessment is not conducted within the required timeframe, the patient will be deemed to have failed to respond to treatment with that biological medicine, unless the patient has experienced a serious adverse reaction of a severity resulting in the necessity for permanent withdrawal of treatment., Infliximab patients:, A patient may swap between the intravenous and subcutaneous forms of infliximab at any time under the continuing treatment restrictions provided the patient has demonstrated adequate response to treatment with infliximab., Vedolizumab patients:, A patient may swap between intravenous and subcutaneous forms of vedolizumab at any time under the continuing treatment restrictions provided the patient has</w:t>
            </w:r>
            <w:r w:rsidRPr="00B16D18">
              <w:rPr>
                <w:rFonts w:ascii="Arial Narrow" w:hAnsi="Arial Narrow"/>
                <w:sz w:val="20"/>
                <w:szCs w:val="20"/>
              </w:rPr>
              <w:t xml:space="preserve"> demonstrated adequate response to treatment with vedolizumab., Adalimumab and infliximab intravenous form only:, Following the completion of an initial treatment course with a specific biological medicine, a patient remains eligible to receive up to 24 weeks per course of continuing treatment under the First continuing treatment and Subsequent continuing treatment restrictions with that drug providing they continue to sustain the response., It is recommended that a patient is reviewed for response following a minimum of 12 weeks of therapy and no later than 4 weeks from the completion of the most recent course of treatment., (2) Swapping therapy., Once initial treatment with the first PBS-subsidised biological medicine therapy is approved, a patient may swap if eligible to the alternate biological medicine within the same treatment cycle without having to requalify with respect to the indices of disease severity (i.e. Crohn Disease Activity Index (CDAI) Score, confirmation of Crohn disease), or the prior conventional therapies of corticosteroid therapy and immunosuppressive therapy., A patient may trial an alternate biological medicine at any time, regardless of whether they are receiving therapy (initial or continuing) with a biological medicine at the time of the application. However, they cannot swap to a particular biological medicine if they have failed to respond to prior treatment with that drug once within the same treatment cycle., To ensure a patient receives the maximum treatment opportunities allowed under these arrangements, it is important that they are assessed for response to every course of treatment, within the timeframes specified in the relevant restriction., A patient who is not able to complete an initial treatment course for a biological medicine will be deemed to have failed treatment with that, biological medicine unless the patient has experienced a serious adverse reaction of a severity resulting in the necessity for permanent withdrawal of treatment., (3) Baseline measurements to determine response., A response to treatment is to be determined by comparison of current disease activity measurements relative to the baseline measurements of the CDAI or evidence of intestinal inflammation submitted with the first authority application for a biological medicine., However, prescribers may provide new baseline measurements any time that an initial treatment authority application is submitted within a treatment cycle and the eligibility for continuing treatment must be assessed according to these revised baseline measurements., To ensure consistency in determining response, the same indices of disease severity used to establish baseline must be used to assess response to all subsequent treatments., (4) Recommencement of treatment after a 5-year break in PBS-subsidised therapy., A patient who wishes to recommence treatment following a break in PBS-subsidised biological medicine therapy of at least 5 years, must requalify for initial treatment with respect to the indices of disease severity under the Initial 3 restriction. A re-trial of systemic therapy is not required.</w:t>
            </w:r>
          </w:p>
        </w:tc>
      </w:tr>
      <w:tr w:rsidR="00A93A3B" w:rsidRPr="001428E9" w14:paraId="075AAE45" w14:textId="77777777" w:rsidTr="00264EE0">
        <w:tblPrEx>
          <w:tblCellMar>
            <w:top w:w="15" w:type="dxa"/>
            <w:bottom w:w="15" w:type="dxa"/>
          </w:tblCellMar>
          <w:tblLook w:val="04A0" w:firstRow="1" w:lastRow="0" w:firstColumn="1" w:lastColumn="0" w:noHBand="0" w:noVBand="1"/>
        </w:tblPrEx>
        <w:trPr>
          <w:cantSplit/>
          <w:trHeight w:val="483"/>
        </w:trPr>
        <w:tc>
          <w:tcPr>
            <w:tcW w:w="422" w:type="dxa"/>
            <w:tcBorders>
              <w:left w:val="single" w:sz="4" w:space="0" w:color="auto"/>
              <w:bottom w:val="single" w:sz="4" w:space="0" w:color="auto"/>
              <w:right w:val="single" w:sz="4" w:space="0" w:color="auto"/>
            </w:tcBorders>
            <w:textDirection w:val="btLr"/>
            <w:vAlign w:val="bottom"/>
          </w:tcPr>
          <w:p w14:paraId="2A9798A4" w14:textId="77777777" w:rsidR="00A93A3B" w:rsidRPr="001428E9" w:rsidRDefault="00A93A3B" w:rsidP="00264EE0">
            <w:pPr>
              <w:ind w:left="113" w:right="113"/>
              <w:jc w:val="center"/>
              <w:rPr>
                <w:rFonts w:ascii="Arial Narrow" w:eastAsia="Times New Roman" w:hAnsi="Arial Narrow"/>
                <w:color w:val="333333"/>
                <w:sz w:val="20"/>
                <w:szCs w:val="20"/>
              </w:rPr>
            </w:pPr>
          </w:p>
        </w:tc>
        <w:tc>
          <w:tcPr>
            <w:tcW w:w="844" w:type="dxa"/>
            <w:tcBorders>
              <w:left w:val="single" w:sz="4" w:space="0" w:color="auto"/>
              <w:bottom w:val="single" w:sz="4" w:space="0" w:color="auto"/>
              <w:right w:val="single" w:sz="4" w:space="0" w:color="auto"/>
            </w:tcBorders>
            <w:vAlign w:val="center"/>
          </w:tcPr>
          <w:p w14:paraId="14C79F5A" w14:textId="5DEAB8AD" w:rsidR="00A93A3B" w:rsidRPr="00AF6381" w:rsidRDefault="00A93A3B" w:rsidP="00264EE0">
            <w:pPr>
              <w:jc w:val="center"/>
              <w:rPr>
                <w:rFonts w:ascii="Arial Narrow" w:eastAsia="Times New Roman" w:hAnsi="Arial Narrow"/>
                <w:color w:val="333333"/>
                <w:sz w:val="20"/>
                <w:szCs w:val="20"/>
              </w:rPr>
            </w:pPr>
          </w:p>
        </w:tc>
        <w:tc>
          <w:tcPr>
            <w:tcW w:w="7700" w:type="dxa"/>
            <w:gridSpan w:val="6"/>
            <w:tcBorders>
              <w:top w:val="single" w:sz="4" w:space="0" w:color="auto"/>
              <w:left w:val="single" w:sz="4" w:space="0" w:color="auto"/>
              <w:bottom w:val="single" w:sz="4" w:space="0" w:color="auto"/>
              <w:right w:val="single" w:sz="4" w:space="0" w:color="auto"/>
            </w:tcBorders>
            <w:vAlign w:val="center"/>
          </w:tcPr>
          <w:p w14:paraId="4938F605" w14:textId="77777777" w:rsidR="00A93A3B" w:rsidRPr="00AF6381" w:rsidRDefault="00A93A3B" w:rsidP="00264EE0">
            <w:pPr>
              <w:rPr>
                <w:rFonts w:ascii="Arial Narrow" w:eastAsia="Times New Roman" w:hAnsi="Arial Narrow"/>
                <w:b/>
                <w:bCs/>
                <w:color w:val="333333"/>
                <w:sz w:val="20"/>
                <w:szCs w:val="20"/>
              </w:rPr>
            </w:pPr>
            <w:r w:rsidRPr="00AF6381">
              <w:rPr>
                <w:rFonts w:ascii="Arial Narrow" w:eastAsia="Times New Roman" w:hAnsi="Arial Narrow"/>
                <w:b/>
                <w:bCs/>
                <w:color w:val="333333"/>
                <w:sz w:val="20"/>
                <w:szCs w:val="20"/>
              </w:rPr>
              <w:t>Administrative Advice:</w:t>
            </w:r>
          </w:p>
          <w:p w14:paraId="2942EBBE" w14:textId="77777777" w:rsidR="00A93A3B" w:rsidRPr="00AF6381" w:rsidRDefault="00A93A3B" w:rsidP="00264EE0">
            <w:pPr>
              <w:keepLines/>
              <w:rPr>
                <w:rFonts w:ascii="Arial Narrow" w:eastAsia="Times New Roman" w:hAnsi="Arial Narrow"/>
                <w:b/>
                <w:bCs/>
                <w:sz w:val="20"/>
                <w:szCs w:val="20"/>
              </w:rPr>
            </w:pPr>
            <w:r w:rsidRPr="00AF6381">
              <w:rPr>
                <w:rFonts w:ascii="Arial Narrow" w:eastAsia="Times New Roman" w:hAnsi="Arial Narrow"/>
                <w:color w:val="333333"/>
                <w:sz w:val="20"/>
                <w:szCs w:val="20"/>
              </w:rPr>
              <w:t>No increase in the maximum quantity or number of units may be authorised.</w:t>
            </w:r>
          </w:p>
        </w:tc>
      </w:tr>
      <w:tr w:rsidR="00A93A3B" w:rsidRPr="001428E9" w14:paraId="34FA5F18" w14:textId="77777777" w:rsidTr="00264EE0">
        <w:tblPrEx>
          <w:tblCellMar>
            <w:top w:w="15" w:type="dxa"/>
            <w:bottom w:w="15" w:type="dxa"/>
          </w:tblCellMar>
          <w:tblLook w:val="04A0" w:firstRow="1" w:lastRow="0" w:firstColumn="1" w:lastColumn="0" w:noHBand="0" w:noVBand="1"/>
        </w:tblPrEx>
        <w:trPr>
          <w:cantSplit/>
          <w:trHeight w:val="483"/>
        </w:trPr>
        <w:tc>
          <w:tcPr>
            <w:tcW w:w="422" w:type="dxa"/>
            <w:tcBorders>
              <w:left w:val="single" w:sz="4" w:space="0" w:color="auto"/>
              <w:bottom w:val="single" w:sz="4" w:space="0" w:color="auto"/>
              <w:right w:val="single" w:sz="4" w:space="0" w:color="auto"/>
            </w:tcBorders>
            <w:textDirection w:val="btLr"/>
            <w:vAlign w:val="bottom"/>
          </w:tcPr>
          <w:p w14:paraId="3CDC432A" w14:textId="77777777" w:rsidR="00A93A3B" w:rsidRPr="001428E9" w:rsidRDefault="00A93A3B" w:rsidP="00264EE0">
            <w:pPr>
              <w:ind w:left="113" w:right="113"/>
              <w:jc w:val="center"/>
              <w:rPr>
                <w:rFonts w:ascii="Arial Narrow" w:eastAsia="Times New Roman" w:hAnsi="Arial Narrow"/>
                <w:color w:val="333333"/>
                <w:sz w:val="20"/>
                <w:szCs w:val="20"/>
              </w:rPr>
            </w:pPr>
          </w:p>
        </w:tc>
        <w:tc>
          <w:tcPr>
            <w:tcW w:w="844" w:type="dxa"/>
            <w:tcBorders>
              <w:left w:val="single" w:sz="4" w:space="0" w:color="auto"/>
              <w:bottom w:val="single" w:sz="4" w:space="0" w:color="auto"/>
              <w:right w:val="single" w:sz="4" w:space="0" w:color="auto"/>
            </w:tcBorders>
            <w:vAlign w:val="center"/>
          </w:tcPr>
          <w:p w14:paraId="690981A4" w14:textId="10BBBAB7" w:rsidR="00A93A3B" w:rsidRPr="00AF6381" w:rsidRDefault="00A93A3B" w:rsidP="00264EE0">
            <w:pPr>
              <w:jc w:val="center"/>
              <w:rPr>
                <w:rFonts w:ascii="Arial Narrow" w:eastAsia="Times New Roman" w:hAnsi="Arial Narrow"/>
                <w:color w:val="333333"/>
                <w:sz w:val="20"/>
                <w:szCs w:val="20"/>
              </w:rPr>
            </w:pPr>
          </w:p>
        </w:tc>
        <w:tc>
          <w:tcPr>
            <w:tcW w:w="7700" w:type="dxa"/>
            <w:gridSpan w:val="6"/>
            <w:tcBorders>
              <w:top w:val="single" w:sz="4" w:space="0" w:color="auto"/>
              <w:left w:val="single" w:sz="4" w:space="0" w:color="auto"/>
              <w:bottom w:val="single" w:sz="4" w:space="0" w:color="auto"/>
              <w:right w:val="single" w:sz="4" w:space="0" w:color="auto"/>
            </w:tcBorders>
            <w:vAlign w:val="center"/>
          </w:tcPr>
          <w:p w14:paraId="2CBF532F" w14:textId="77777777" w:rsidR="00A93A3B" w:rsidRPr="00AF6381" w:rsidRDefault="00A93A3B" w:rsidP="00264EE0">
            <w:pPr>
              <w:rPr>
                <w:rFonts w:ascii="Arial Narrow" w:eastAsia="Times New Roman" w:hAnsi="Arial Narrow"/>
                <w:b/>
                <w:bCs/>
                <w:color w:val="333333"/>
                <w:sz w:val="20"/>
                <w:szCs w:val="20"/>
              </w:rPr>
            </w:pPr>
            <w:r w:rsidRPr="00AF6381">
              <w:rPr>
                <w:rFonts w:ascii="Arial Narrow" w:eastAsia="Times New Roman" w:hAnsi="Arial Narrow"/>
                <w:b/>
                <w:bCs/>
                <w:color w:val="333333"/>
                <w:sz w:val="20"/>
                <w:szCs w:val="20"/>
              </w:rPr>
              <w:t>Administrative Advice:</w:t>
            </w:r>
          </w:p>
          <w:p w14:paraId="42E70D69" w14:textId="77777777" w:rsidR="00A93A3B" w:rsidRPr="00AF6381" w:rsidRDefault="00A93A3B" w:rsidP="00264EE0">
            <w:pPr>
              <w:rPr>
                <w:rFonts w:ascii="Arial Narrow" w:eastAsia="Times New Roman" w:hAnsi="Arial Narrow"/>
                <w:b/>
                <w:bCs/>
                <w:color w:val="333333"/>
                <w:sz w:val="20"/>
                <w:szCs w:val="20"/>
              </w:rPr>
            </w:pPr>
            <w:r w:rsidRPr="00AF6381">
              <w:rPr>
                <w:rFonts w:ascii="Arial Narrow" w:eastAsia="Times New Roman" w:hAnsi="Arial Narrow"/>
                <w:color w:val="333333"/>
                <w:sz w:val="20"/>
                <w:szCs w:val="20"/>
              </w:rPr>
              <w:t>No increase in the maximum number of repeats may be authorised.</w:t>
            </w:r>
          </w:p>
        </w:tc>
      </w:tr>
      <w:tr w:rsidR="00A93A3B" w:rsidRPr="001428E9" w14:paraId="34425530" w14:textId="77777777" w:rsidTr="00264EE0">
        <w:tblPrEx>
          <w:tblCellMar>
            <w:top w:w="15" w:type="dxa"/>
            <w:bottom w:w="15" w:type="dxa"/>
          </w:tblCellMar>
          <w:tblLook w:val="04A0" w:firstRow="1" w:lastRow="0" w:firstColumn="1" w:lastColumn="0" w:noHBand="0" w:noVBand="1"/>
        </w:tblPrEx>
        <w:trPr>
          <w:cantSplit/>
          <w:trHeight w:val="483"/>
        </w:trPr>
        <w:tc>
          <w:tcPr>
            <w:tcW w:w="422" w:type="dxa"/>
            <w:tcBorders>
              <w:left w:val="single" w:sz="4" w:space="0" w:color="auto"/>
              <w:bottom w:val="single" w:sz="4" w:space="0" w:color="auto"/>
              <w:right w:val="single" w:sz="4" w:space="0" w:color="auto"/>
            </w:tcBorders>
            <w:textDirection w:val="btLr"/>
            <w:vAlign w:val="bottom"/>
          </w:tcPr>
          <w:p w14:paraId="041EEF6B" w14:textId="77777777" w:rsidR="00A93A3B" w:rsidRPr="001428E9" w:rsidRDefault="00A93A3B" w:rsidP="00264EE0">
            <w:pPr>
              <w:ind w:left="113" w:right="113"/>
              <w:jc w:val="center"/>
              <w:rPr>
                <w:rFonts w:ascii="Arial Narrow" w:eastAsia="Times New Roman" w:hAnsi="Arial Narrow"/>
                <w:color w:val="333333"/>
                <w:sz w:val="20"/>
                <w:szCs w:val="20"/>
              </w:rPr>
            </w:pPr>
          </w:p>
        </w:tc>
        <w:tc>
          <w:tcPr>
            <w:tcW w:w="844" w:type="dxa"/>
            <w:tcBorders>
              <w:left w:val="single" w:sz="4" w:space="0" w:color="auto"/>
              <w:bottom w:val="single" w:sz="4" w:space="0" w:color="auto"/>
              <w:right w:val="single" w:sz="4" w:space="0" w:color="auto"/>
            </w:tcBorders>
            <w:vAlign w:val="center"/>
          </w:tcPr>
          <w:p w14:paraId="31D38B3A" w14:textId="0CF6A73F" w:rsidR="00A93A3B" w:rsidRPr="00AF6381" w:rsidRDefault="00A93A3B" w:rsidP="00264EE0">
            <w:pPr>
              <w:jc w:val="center"/>
              <w:rPr>
                <w:rFonts w:ascii="Arial Narrow" w:eastAsia="Times New Roman" w:hAnsi="Arial Narrow"/>
                <w:color w:val="333333"/>
                <w:sz w:val="20"/>
                <w:szCs w:val="20"/>
              </w:rPr>
            </w:pPr>
          </w:p>
        </w:tc>
        <w:tc>
          <w:tcPr>
            <w:tcW w:w="7700" w:type="dxa"/>
            <w:gridSpan w:val="6"/>
            <w:tcBorders>
              <w:top w:val="single" w:sz="4" w:space="0" w:color="auto"/>
              <w:left w:val="single" w:sz="4" w:space="0" w:color="auto"/>
              <w:bottom w:val="single" w:sz="4" w:space="0" w:color="auto"/>
              <w:right w:val="single" w:sz="4" w:space="0" w:color="auto"/>
            </w:tcBorders>
            <w:vAlign w:val="center"/>
          </w:tcPr>
          <w:p w14:paraId="1B91021F" w14:textId="77777777" w:rsidR="00A93A3B" w:rsidRPr="00AF6381" w:rsidRDefault="00A93A3B" w:rsidP="00264EE0">
            <w:pPr>
              <w:rPr>
                <w:rFonts w:ascii="Arial Narrow" w:eastAsia="Times New Roman" w:hAnsi="Arial Narrow"/>
                <w:b/>
                <w:bCs/>
                <w:color w:val="333333"/>
                <w:sz w:val="20"/>
                <w:szCs w:val="20"/>
              </w:rPr>
            </w:pPr>
            <w:r w:rsidRPr="00AF6381">
              <w:rPr>
                <w:rFonts w:ascii="Arial Narrow" w:eastAsia="Times New Roman" w:hAnsi="Arial Narrow"/>
                <w:b/>
                <w:bCs/>
                <w:color w:val="333333"/>
                <w:sz w:val="20"/>
                <w:szCs w:val="20"/>
              </w:rPr>
              <w:t>Administrative Advice:</w:t>
            </w:r>
          </w:p>
          <w:p w14:paraId="250B0EC5" w14:textId="77777777" w:rsidR="00A93A3B" w:rsidRPr="00AF6381" w:rsidRDefault="00A93A3B" w:rsidP="00264EE0">
            <w:pPr>
              <w:rPr>
                <w:rFonts w:ascii="Arial Narrow" w:eastAsia="Times New Roman" w:hAnsi="Arial Narrow"/>
                <w:b/>
                <w:bCs/>
                <w:color w:val="333333"/>
                <w:sz w:val="20"/>
                <w:szCs w:val="20"/>
              </w:rPr>
            </w:pPr>
            <w:r w:rsidRPr="00AF6381">
              <w:rPr>
                <w:rFonts w:ascii="Arial Narrow" w:eastAsia="Times New Roman" w:hAnsi="Arial Narrow"/>
                <w:color w:val="333333"/>
                <w:sz w:val="20"/>
                <w:szCs w:val="20"/>
              </w:rPr>
              <w:t>Special Pricing Arrangements apply.</w:t>
            </w:r>
          </w:p>
        </w:tc>
      </w:tr>
      <w:tr w:rsidR="00A93A3B" w:rsidRPr="001428E9" w14:paraId="61BC0F84" w14:textId="77777777" w:rsidTr="00092C71">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6FCAE010" w14:textId="6D7AC82B" w:rsidR="00A93A3B" w:rsidRPr="001428E9" w:rsidRDefault="00A93A3B" w:rsidP="00264EE0">
            <w:pPr>
              <w:keepLines/>
              <w:jc w:val="center"/>
              <w:rPr>
                <w:rFonts w:ascii="Arial Narrow" w:eastAsia="Times New Roman" w:hAnsi="Arial Narrow"/>
                <w:color w:val="333333"/>
                <w:sz w:val="20"/>
                <w:szCs w:val="20"/>
              </w:rPr>
            </w:pPr>
          </w:p>
        </w:tc>
        <w:tc>
          <w:tcPr>
            <w:tcW w:w="7700" w:type="dxa"/>
            <w:gridSpan w:val="6"/>
            <w:vAlign w:val="center"/>
            <w:hideMark/>
          </w:tcPr>
          <w:p w14:paraId="5502A68B" w14:textId="77777777" w:rsidR="00A93A3B" w:rsidRPr="00F731E8" w:rsidRDefault="00A93A3B" w:rsidP="00264EE0">
            <w:pPr>
              <w:keepLines/>
              <w:rPr>
                <w:rFonts w:ascii="Arial Narrow" w:eastAsia="Times New Roman" w:hAnsi="Arial Narrow"/>
                <w:sz w:val="20"/>
                <w:szCs w:val="20"/>
              </w:rPr>
            </w:pPr>
            <w:r w:rsidRPr="00F731E8">
              <w:rPr>
                <w:rFonts w:ascii="Arial Narrow" w:eastAsia="Times New Roman" w:hAnsi="Arial Narrow"/>
                <w:b/>
                <w:bCs/>
                <w:sz w:val="20"/>
                <w:szCs w:val="20"/>
              </w:rPr>
              <w:t>Indication:</w:t>
            </w:r>
            <w:r w:rsidRPr="00F731E8">
              <w:rPr>
                <w:rFonts w:ascii="Arial Narrow" w:eastAsia="Times New Roman" w:hAnsi="Arial Narrow"/>
                <w:sz w:val="20"/>
                <w:szCs w:val="20"/>
              </w:rPr>
              <w:t xml:space="preserve"> Severe Crohn disease</w:t>
            </w:r>
          </w:p>
        </w:tc>
      </w:tr>
      <w:tr w:rsidR="00A93A3B" w:rsidRPr="001428E9" w14:paraId="6B2E8D30" w14:textId="77777777" w:rsidTr="00092C71">
        <w:tblPrEx>
          <w:tblCellMar>
            <w:top w:w="15" w:type="dxa"/>
            <w:bottom w:w="15" w:type="dxa"/>
          </w:tblCellMar>
        </w:tblPrEx>
        <w:trPr>
          <w:cantSplit/>
          <w:trHeight w:val="62"/>
        </w:trPr>
        <w:tc>
          <w:tcPr>
            <w:tcW w:w="1266" w:type="dxa"/>
            <w:gridSpan w:val="2"/>
            <w:vAlign w:val="center"/>
          </w:tcPr>
          <w:p w14:paraId="06AC1FCF" w14:textId="77777777" w:rsidR="00A93A3B" w:rsidRPr="001428E9" w:rsidRDefault="00A93A3B" w:rsidP="00264EE0">
            <w:pPr>
              <w:jc w:val="center"/>
              <w:rPr>
                <w:rFonts w:ascii="Arial Narrow" w:eastAsia="Times New Roman" w:hAnsi="Arial Narrow"/>
                <w:color w:val="333333"/>
                <w:sz w:val="20"/>
                <w:szCs w:val="20"/>
              </w:rPr>
            </w:pPr>
          </w:p>
        </w:tc>
        <w:tc>
          <w:tcPr>
            <w:tcW w:w="7700" w:type="dxa"/>
            <w:gridSpan w:val="6"/>
            <w:vAlign w:val="center"/>
            <w:hideMark/>
          </w:tcPr>
          <w:p w14:paraId="144D0E69" w14:textId="77777777" w:rsidR="00A93A3B" w:rsidRPr="001428E9" w:rsidRDefault="00A93A3B" w:rsidP="00264EE0">
            <w:pPr>
              <w:rPr>
                <w:rFonts w:ascii="Arial Narrow" w:eastAsia="Times New Roman" w:hAnsi="Arial Narrow"/>
                <w:sz w:val="20"/>
                <w:szCs w:val="20"/>
              </w:rPr>
            </w:pPr>
            <w:r w:rsidRPr="001428E9">
              <w:rPr>
                <w:rFonts w:ascii="Arial Narrow" w:eastAsia="Times New Roman" w:hAnsi="Arial Narrow"/>
                <w:b/>
                <w:bCs/>
                <w:color w:val="333333"/>
                <w:sz w:val="20"/>
                <w:szCs w:val="20"/>
              </w:rPr>
              <w:t>Treatment Phase:</w:t>
            </w:r>
            <w:r w:rsidRPr="001428E9">
              <w:rPr>
                <w:rFonts w:ascii="Arial Narrow" w:eastAsia="Times New Roman" w:hAnsi="Arial Narrow"/>
                <w:color w:val="FF0000"/>
                <w:sz w:val="20"/>
                <w:szCs w:val="20"/>
              </w:rPr>
              <w:t xml:space="preserve"> </w:t>
            </w:r>
            <w:r w:rsidRPr="00F731E8">
              <w:rPr>
                <w:rFonts w:ascii="Arial Narrow" w:hAnsi="Arial Narrow"/>
                <w:sz w:val="20"/>
              </w:rPr>
              <w:t>Initial treatment - Initial 1 (new patient</w:t>
            </w:r>
            <w:r>
              <w:rPr>
                <w:rFonts w:ascii="Arial Narrow" w:hAnsi="Arial Narrow"/>
                <w:sz w:val="20"/>
              </w:rPr>
              <w:t xml:space="preserve">, </w:t>
            </w:r>
            <w:r w:rsidRPr="005A7DE0">
              <w:rPr>
                <w:rFonts w:ascii="Arial Narrow" w:hAnsi="Arial Narrow"/>
                <w:strike/>
                <w:sz w:val="20"/>
              </w:rPr>
              <w:t xml:space="preserve"> or re-commencement of treatment after a break in biological medicine of more than 5 years</w:t>
            </w:r>
            <w:r w:rsidRPr="00F731E8">
              <w:rPr>
                <w:rFonts w:ascii="Arial Narrow" w:hAnsi="Arial Narrow"/>
                <w:sz w:val="20"/>
              </w:rPr>
              <w:t>)</w:t>
            </w:r>
          </w:p>
        </w:tc>
      </w:tr>
      <w:tr w:rsidR="00A93A3B" w:rsidRPr="001428E9" w14:paraId="29A59422" w14:textId="77777777" w:rsidTr="00092C71">
        <w:tblPrEx>
          <w:tblCellMar>
            <w:top w:w="15" w:type="dxa"/>
            <w:bottom w:w="15" w:type="dxa"/>
          </w:tblCellMar>
        </w:tblPrEx>
        <w:trPr>
          <w:cantSplit/>
          <w:trHeight w:val="156"/>
        </w:trPr>
        <w:tc>
          <w:tcPr>
            <w:tcW w:w="1266" w:type="dxa"/>
            <w:gridSpan w:val="2"/>
            <w:vAlign w:val="center"/>
          </w:tcPr>
          <w:p w14:paraId="73EB495E" w14:textId="1A5E00E0" w:rsidR="00A93A3B" w:rsidRPr="001428E9" w:rsidRDefault="00A93A3B" w:rsidP="00264EE0">
            <w:pPr>
              <w:jc w:val="center"/>
              <w:rPr>
                <w:rFonts w:ascii="Arial Narrow" w:eastAsia="Times New Roman" w:hAnsi="Arial Narrow"/>
                <w:color w:val="333333"/>
                <w:sz w:val="20"/>
                <w:szCs w:val="20"/>
              </w:rPr>
            </w:pPr>
          </w:p>
        </w:tc>
        <w:tc>
          <w:tcPr>
            <w:tcW w:w="7700" w:type="dxa"/>
            <w:gridSpan w:val="6"/>
            <w:hideMark/>
          </w:tcPr>
          <w:p w14:paraId="246AA0BF" w14:textId="77777777" w:rsidR="00A93A3B" w:rsidRPr="00F731E8" w:rsidRDefault="00A93A3B" w:rsidP="00264EE0">
            <w:pPr>
              <w:rPr>
                <w:rFonts w:ascii="Arial Narrow" w:hAnsi="Arial Narrow"/>
                <w:sz w:val="20"/>
                <w:szCs w:val="20"/>
              </w:rPr>
            </w:pPr>
            <w:r w:rsidRPr="00F731E8">
              <w:rPr>
                <w:rFonts w:ascii="Arial Narrow" w:hAnsi="Arial Narrow"/>
                <w:b/>
                <w:sz w:val="20"/>
                <w:szCs w:val="20"/>
              </w:rPr>
              <w:t>Clinical criteria:</w:t>
            </w:r>
          </w:p>
        </w:tc>
      </w:tr>
      <w:tr w:rsidR="00A93A3B" w:rsidRPr="001428E9" w14:paraId="28A73BF2"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5030A089" w14:textId="2354508B" w:rsidR="00A93A3B" w:rsidRPr="004B41A4" w:rsidRDefault="00A93A3B" w:rsidP="00264EE0">
            <w:pPr>
              <w:jc w:val="center"/>
              <w:rPr>
                <w:rFonts w:ascii="Arial Narrow" w:hAnsi="Arial Narrow"/>
                <w:sz w:val="20"/>
                <w:szCs w:val="20"/>
              </w:rPr>
            </w:pPr>
          </w:p>
        </w:tc>
        <w:tc>
          <w:tcPr>
            <w:tcW w:w="7700" w:type="dxa"/>
            <w:gridSpan w:val="6"/>
          </w:tcPr>
          <w:p w14:paraId="748B8CD8" w14:textId="77777777" w:rsidR="00A93A3B" w:rsidRPr="00557CA4" w:rsidRDefault="00A93A3B" w:rsidP="00264EE0">
            <w:pPr>
              <w:rPr>
                <w:rFonts w:ascii="Arial Narrow" w:hAnsi="Arial Narrow"/>
                <w:b/>
                <w:sz w:val="20"/>
                <w:szCs w:val="20"/>
              </w:rPr>
            </w:pPr>
            <w:r w:rsidRPr="004B41A4">
              <w:rPr>
                <w:rFonts w:ascii="Arial Narrow" w:hAnsi="Arial Narrow"/>
                <w:sz w:val="20"/>
                <w:szCs w:val="20"/>
              </w:rPr>
              <w:t>Patient must have confirmed severe Crohn disease, defined by standard clinical, endoscopic and/or imaging features, including histological evidence, with the diagnosis confirmed by a gastroenterologist or a consultant physician</w:t>
            </w:r>
          </w:p>
        </w:tc>
      </w:tr>
      <w:tr w:rsidR="00A93A3B" w:rsidRPr="001428E9" w14:paraId="6B1D1467" w14:textId="77777777" w:rsidTr="00092C71">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32B387F5" w14:textId="77777777" w:rsidR="00A93A3B" w:rsidRPr="001428E9" w:rsidRDefault="00A93A3B" w:rsidP="00264EE0">
            <w:pPr>
              <w:jc w:val="center"/>
              <w:rPr>
                <w:rFonts w:ascii="Arial Narrow" w:eastAsia="Times New Roman" w:hAnsi="Arial Narrow"/>
                <w:color w:val="333333"/>
                <w:sz w:val="20"/>
                <w:szCs w:val="20"/>
              </w:rPr>
            </w:pPr>
          </w:p>
        </w:tc>
        <w:tc>
          <w:tcPr>
            <w:tcW w:w="7700" w:type="dxa"/>
            <w:gridSpan w:val="6"/>
            <w:vAlign w:val="center"/>
            <w:hideMark/>
          </w:tcPr>
          <w:p w14:paraId="2C73A210" w14:textId="77777777" w:rsidR="00A93A3B" w:rsidRPr="001428E9" w:rsidRDefault="00A93A3B" w:rsidP="00264EE0">
            <w:pPr>
              <w:rPr>
                <w:rFonts w:ascii="Arial Narrow" w:eastAsia="Times New Roman" w:hAnsi="Arial Narrow"/>
                <w:color w:val="333333"/>
                <w:sz w:val="20"/>
                <w:szCs w:val="20"/>
              </w:rPr>
            </w:pPr>
            <w:r w:rsidRPr="001428E9">
              <w:rPr>
                <w:rFonts w:ascii="Arial Narrow" w:eastAsia="Times New Roman" w:hAnsi="Arial Narrow"/>
                <w:b/>
                <w:bCs/>
                <w:color w:val="333333"/>
                <w:sz w:val="20"/>
                <w:szCs w:val="20"/>
              </w:rPr>
              <w:t>AND</w:t>
            </w:r>
          </w:p>
        </w:tc>
      </w:tr>
      <w:tr w:rsidR="00A93A3B" w:rsidRPr="001428E9" w14:paraId="3B9045AB"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55A4B664" w14:textId="74A29CB0" w:rsidR="00A93A3B" w:rsidRPr="001428E9" w:rsidRDefault="00A93A3B" w:rsidP="00264EE0">
            <w:pPr>
              <w:jc w:val="center"/>
              <w:rPr>
                <w:rFonts w:ascii="Arial Narrow" w:eastAsia="Times New Roman" w:hAnsi="Arial Narrow"/>
                <w:color w:val="333333"/>
                <w:sz w:val="20"/>
                <w:szCs w:val="20"/>
              </w:rPr>
            </w:pPr>
          </w:p>
        </w:tc>
        <w:tc>
          <w:tcPr>
            <w:tcW w:w="7700" w:type="dxa"/>
            <w:gridSpan w:val="6"/>
            <w:vAlign w:val="center"/>
            <w:hideMark/>
          </w:tcPr>
          <w:p w14:paraId="2AF607A6" w14:textId="77777777" w:rsidR="00A93A3B" w:rsidRPr="00F731E8" w:rsidRDefault="00A93A3B" w:rsidP="00264EE0">
            <w:pPr>
              <w:rPr>
                <w:rFonts w:ascii="Arial Narrow" w:hAnsi="Arial Narrow"/>
                <w:sz w:val="20"/>
                <w:szCs w:val="20"/>
              </w:rPr>
            </w:pPr>
            <w:r w:rsidRPr="001428E9">
              <w:rPr>
                <w:rFonts w:ascii="Arial Narrow" w:eastAsia="Times New Roman" w:hAnsi="Arial Narrow"/>
                <w:b/>
                <w:bCs/>
                <w:color w:val="333333"/>
                <w:sz w:val="20"/>
                <w:szCs w:val="20"/>
              </w:rPr>
              <w:t>Clinical criteria:</w:t>
            </w:r>
            <w:r w:rsidRPr="004B41A4">
              <w:rPr>
                <w:rFonts w:ascii="Arial Narrow" w:hAnsi="Arial Narrow"/>
                <w:sz w:val="20"/>
                <w:szCs w:val="20"/>
              </w:rPr>
              <w:t xml:space="preserve"> </w:t>
            </w:r>
          </w:p>
        </w:tc>
      </w:tr>
      <w:tr w:rsidR="00A93A3B" w:rsidRPr="001428E9" w14:paraId="0698AEBF"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28CD8D36" w14:textId="1D6214FC" w:rsidR="00A93A3B" w:rsidRDefault="00A93A3B" w:rsidP="00264EE0">
            <w:pPr>
              <w:jc w:val="center"/>
              <w:rPr>
                <w:rFonts w:ascii="Arial Narrow" w:eastAsia="Times New Roman" w:hAnsi="Arial Narrow"/>
                <w:color w:val="333333"/>
                <w:sz w:val="20"/>
                <w:szCs w:val="20"/>
              </w:rPr>
            </w:pPr>
          </w:p>
        </w:tc>
        <w:tc>
          <w:tcPr>
            <w:tcW w:w="7700" w:type="dxa"/>
            <w:gridSpan w:val="6"/>
            <w:vAlign w:val="center"/>
          </w:tcPr>
          <w:p w14:paraId="70AF0D28" w14:textId="77777777" w:rsidR="00A93A3B" w:rsidRPr="001428E9" w:rsidRDefault="00A93A3B" w:rsidP="00264EE0">
            <w:pPr>
              <w:rPr>
                <w:rFonts w:ascii="Arial Narrow" w:eastAsia="Times New Roman" w:hAnsi="Arial Narrow"/>
                <w:b/>
                <w:bCs/>
                <w:color w:val="333333"/>
                <w:sz w:val="20"/>
                <w:szCs w:val="20"/>
              </w:rPr>
            </w:pPr>
            <w:r w:rsidRPr="004B41A4">
              <w:rPr>
                <w:rFonts w:ascii="Arial Narrow" w:hAnsi="Arial Narrow"/>
                <w:sz w:val="20"/>
                <w:szCs w:val="20"/>
              </w:rPr>
              <w:t>Patient must have failed to achieve an adequate response to prior systemic therapy with a tapered course of steroids, starting at a dose of at least 40 mg prednisolone (or equivalent), over a 6 week period</w:t>
            </w:r>
          </w:p>
        </w:tc>
      </w:tr>
      <w:tr w:rsidR="00A93A3B" w:rsidRPr="001428E9" w14:paraId="692883D4"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2A748890" w14:textId="77777777" w:rsidR="00A93A3B" w:rsidRPr="001428E9" w:rsidRDefault="00A93A3B" w:rsidP="00264EE0">
            <w:pPr>
              <w:jc w:val="center"/>
              <w:rPr>
                <w:rFonts w:ascii="Arial Narrow" w:eastAsia="Times New Roman" w:hAnsi="Arial Narrow"/>
                <w:color w:val="333333"/>
                <w:sz w:val="20"/>
                <w:szCs w:val="20"/>
              </w:rPr>
            </w:pPr>
          </w:p>
        </w:tc>
        <w:tc>
          <w:tcPr>
            <w:tcW w:w="7700" w:type="dxa"/>
            <w:gridSpan w:val="6"/>
            <w:vAlign w:val="center"/>
            <w:hideMark/>
          </w:tcPr>
          <w:p w14:paraId="53A7D879" w14:textId="77777777" w:rsidR="00A93A3B" w:rsidRPr="001428E9" w:rsidRDefault="00A93A3B" w:rsidP="00264EE0">
            <w:pPr>
              <w:rPr>
                <w:rFonts w:ascii="Arial Narrow" w:eastAsia="Times New Roman" w:hAnsi="Arial Narrow"/>
                <w:color w:val="333333"/>
                <w:sz w:val="20"/>
                <w:szCs w:val="20"/>
              </w:rPr>
            </w:pPr>
            <w:r w:rsidRPr="001428E9">
              <w:rPr>
                <w:rFonts w:ascii="Arial Narrow" w:eastAsia="Times New Roman" w:hAnsi="Arial Narrow"/>
                <w:b/>
                <w:bCs/>
                <w:color w:val="333333"/>
                <w:sz w:val="20"/>
                <w:szCs w:val="20"/>
              </w:rPr>
              <w:t>AND</w:t>
            </w:r>
          </w:p>
        </w:tc>
      </w:tr>
      <w:tr w:rsidR="00A93A3B" w:rsidRPr="001428E9" w14:paraId="415DE9FA"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52564F1B" w14:textId="56CBC390" w:rsidR="00A93A3B" w:rsidRPr="001428E9" w:rsidRDefault="00A93A3B" w:rsidP="00264EE0">
            <w:pPr>
              <w:jc w:val="center"/>
              <w:rPr>
                <w:rFonts w:ascii="Arial Narrow" w:eastAsia="Times New Roman" w:hAnsi="Arial Narrow"/>
                <w:color w:val="333333"/>
                <w:sz w:val="20"/>
                <w:szCs w:val="20"/>
              </w:rPr>
            </w:pPr>
          </w:p>
        </w:tc>
        <w:tc>
          <w:tcPr>
            <w:tcW w:w="7700" w:type="dxa"/>
            <w:gridSpan w:val="6"/>
            <w:vAlign w:val="center"/>
            <w:hideMark/>
          </w:tcPr>
          <w:p w14:paraId="542598A6" w14:textId="77777777" w:rsidR="00A93A3B" w:rsidRPr="001428E9" w:rsidRDefault="00A93A3B" w:rsidP="00264EE0">
            <w:pPr>
              <w:rPr>
                <w:rFonts w:ascii="Arial Narrow" w:eastAsia="Times New Roman" w:hAnsi="Arial Narrow"/>
                <w:color w:val="333333"/>
                <w:sz w:val="20"/>
                <w:szCs w:val="20"/>
              </w:rPr>
            </w:pPr>
            <w:r w:rsidRPr="001428E9">
              <w:rPr>
                <w:rFonts w:ascii="Arial Narrow" w:eastAsia="Times New Roman" w:hAnsi="Arial Narrow"/>
                <w:b/>
                <w:bCs/>
                <w:color w:val="333333"/>
                <w:sz w:val="20"/>
                <w:szCs w:val="20"/>
              </w:rPr>
              <w:t>Clinical criteria:</w:t>
            </w:r>
          </w:p>
        </w:tc>
      </w:tr>
      <w:tr w:rsidR="00A93A3B" w:rsidRPr="001428E9" w14:paraId="6B30B838"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4AE5F536" w14:textId="621A581B" w:rsidR="00A93A3B" w:rsidRDefault="00A93A3B" w:rsidP="00264EE0">
            <w:pPr>
              <w:jc w:val="center"/>
              <w:rPr>
                <w:rFonts w:ascii="Arial Narrow" w:eastAsia="Times New Roman" w:hAnsi="Arial Narrow"/>
                <w:color w:val="333333"/>
                <w:sz w:val="20"/>
                <w:szCs w:val="20"/>
              </w:rPr>
            </w:pPr>
          </w:p>
        </w:tc>
        <w:tc>
          <w:tcPr>
            <w:tcW w:w="7700" w:type="dxa"/>
            <w:gridSpan w:val="6"/>
            <w:vAlign w:val="center"/>
          </w:tcPr>
          <w:p w14:paraId="72FCE6D7" w14:textId="77777777" w:rsidR="00A93A3B" w:rsidRPr="001428E9" w:rsidRDefault="00A93A3B" w:rsidP="00264EE0">
            <w:pPr>
              <w:rPr>
                <w:rFonts w:ascii="Arial Narrow" w:eastAsia="Times New Roman" w:hAnsi="Arial Narrow"/>
                <w:b/>
                <w:bCs/>
                <w:color w:val="333333"/>
                <w:sz w:val="20"/>
                <w:szCs w:val="20"/>
              </w:rPr>
            </w:pPr>
            <w:r w:rsidRPr="004B41A4">
              <w:rPr>
                <w:rFonts w:ascii="Arial Narrow" w:hAnsi="Arial Narrow"/>
                <w:sz w:val="20"/>
                <w:szCs w:val="20"/>
              </w:rPr>
              <w:t xml:space="preserve">Patient must have failed to achieve adequate response to prior systemic immunosuppressive therapy with azathioprine at a dose of at least 2 mg per kg daily for </w:t>
            </w:r>
            <w:r>
              <w:rPr>
                <w:rFonts w:ascii="Arial Narrow" w:hAnsi="Arial Narrow"/>
                <w:sz w:val="20"/>
                <w:szCs w:val="20"/>
              </w:rPr>
              <w:t>3 or more consecutive months; or</w:t>
            </w:r>
          </w:p>
        </w:tc>
      </w:tr>
      <w:tr w:rsidR="00A93A3B" w:rsidRPr="001428E9" w14:paraId="326A36C9"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47182EC2" w14:textId="27B2FA1F" w:rsidR="00A93A3B" w:rsidRDefault="00A93A3B" w:rsidP="00264EE0">
            <w:pPr>
              <w:jc w:val="center"/>
              <w:rPr>
                <w:rFonts w:ascii="Arial Narrow" w:eastAsia="Times New Roman" w:hAnsi="Arial Narrow"/>
                <w:color w:val="333333"/>
                <w:sz w:val="20"/>
                <w:szCs w:val="20"/>
              </w:rPr>
            </w:pPr>
          </w:p>
        </w:tc>
        <w:tc>
          <w:tcPr>
            <w:tcW w:w="7700" w:type="dxa"/>
            <w:gridSpan w:val="6"/>
            <w:vAlign w:val="center"/>
          </w:tcPr>
          <w:p w14:paraId="05C6B068" w14:textId="77777777" w:rsidR="00A93A3B" w:rsidRPr="004B41A4" w:rsidRDefault="00A93A3B" w:rsidP="00264EE0">
            <w:pPr>
              <w:rPr>
                <w:rFonts w:ascii="Arial Narrow" w:hAnsi="Arial Narrow"/>
                <w:sz w:val="20"/>
                <w:szCs w:val="20"/>
              </w:rPr>
            </w:pPr>
            <w:r w:rsidRPr="004B41A4">
              <w:rPr>
                <w:rFonts w:ascii="Arial Narrow" w:hAnsi="Arial Narrow"/>
                <w:sz w:val="20"/>
                <w:szCs w:val="20"/>
              </w:rPr>
              <w:t>Patient must have failed to achieve adequate response to prior systemic immunosuppressive therapy with 6-mercaptopurine at a dose of at least 1 mg per kg daily for 3 or more consecutive months;</w:t>
            </w:r>
            <w:r>
              <w:rPr>
                <w:rFonts w:ascii="Arial Narrow" w:hAnsi="Arial Narrow"/>
                <w:sz w:val="20"/>
                <w:szCs w:val="20"/>
              </w:rPr>
              <w:t xml:space="preserve"> or</w:t>
            </w:r>
          </w:p>
        </w:tc>
      </w:tr>
      <w:tr w:rsidR="00A93A3B" w:rsidRPr="001428E9" w14:paraId="2B8B9333"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2FC48EEB" w14:textId="183249D6" w:rsidR="00A93A3B" w:rsidRDefault="00A93A3B" w:rsidP="00264EE0">
            <w:pPr>
              <w:jc w:val="center"/>
              <w:rPr>
                <w:rFonts w:ascii="Arial Narrow" w:eastAsia="Times New Roman" w:hAnsi="Arial Narrow"/>
                <w:color w:val="333333"/>
                <w:sz w:val="20"/>
                <w:szCs w:val="20"/>
              </w:rPr>
            </w:pPr>
          </w:p>
        </w:tc>
        <w:tc>
          <w:tcPr>
            <w:tcW w:w="7700" w:type="dxa"/>
            <w:gridSpan w:val="6"/>
            <w:vAlign w:val="center"/>
          </w:tcPr>
          <w:p w14:paraId="22AB954E" w14:textId="77777777" w:rsidR="00A93A3B" w:rsidRPr="004B41A4" w:rsidRDefault="00A93A3B" w:rsidP="00264EE0">
            <w:pPr>
              <w:rPr>
                <w:rFonts w:ascii="Arial Narrow" w:hAnsi="Arial Narrow"/>
                <w:sz w:val="20"/>
                <w:szCs w:val="20"/>
              </w:rPr>
            </w:pPr>
            <w:r>
              <w:rPr>
                <w:rFonts w:ascii="Arial Narrow" w:hAnsi="Arial Narrow"/>
                <w:sz w:val="20"/>
                <w:szCs w:val="20"/>
              </w:rPr>
              <w:t>P</w:t>
            </w:r>
            <w:r w:rsidRPr="004B41A4">
              <w:rPr>
                <w:rFonts w:ascii="Arial Narrow" w:hAnsi="Arial Narrow"/>
                <w:sz w:val="20"/>
                <w:szCs w:val="20"/>
              </w:rPr>
              <w:t>atient must have failed to achieve adequate response to prior systemic immunosuppressive therapy with methotrexate at a dose of at least 15 mg weekly for 3 or more consecutive months</w:t>
            </w:r>
            <w:r>
              <w:rPr>
                <w:rFonts w:ascii="Arial Narrow" w:hAnsi="Arial Narrow"/>
                <w:sz w:val="20"/>
                <w:szCs w:val="20"/>
              </w:rPr>
              <w:t>.</w:t>
            </w:r>
          </w:p>
        </w:tc>
      </w:tr>
      <w:tr w:rsidR="00A93A3B" w:rsidRPr="001428E9" w14:paraId="60557A98"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249AD868" w14:textId="77777777" w:rsidR="00A93A3B" w:rsidRPr="001428E9" w:rsidRDefault="00A93A3B" w:rsidP="00264EE0">
            <w:pPr>
              <w:jc w:val="center"/>
              <w:rPr>
                <w:rFonts w:ascii="Arial Narrow" w:eastAsia="Times New Roman" w:hAnsi="Arial Narrow"/>
                <w:color w:val="333333"/>
                <w:sz w:val="20"/>
                <w:szCs w:val="20"/>
              </w:rPr>
            </w:pPr>
          </w:p>
        </w:tc>
        <w:tc>
          <w:tcPr>
            <w:tcW w:w="7700" w:type="dxa"/>
            <w:gridSpan w:val="6"/>
            <w:vAlign w:val="center"/>
            <w:hideMark/>
          </w:tcPr>
          <w:p w14:paraId="636CCF31" w14:textId="77777777" w:rsidR="00A93A3B" w:rsidRPr="00F731E8" w:rsidRDefault="00A93A3B" w:rsidP="00264EE0">
            <w:pPr>
              <w:rPr>
                <w:rFonts w:ascii="Arial Narrow" w:eastAsia="Times New Roman" w:hAnsi="Arial Narrow"/>
                <w:b/>
                <w:color w:val="333333"/>
                <w:sz w:val="20"/>
                <w:szCs w:val="20"/>
              </w:rPr>
            </w:pPr>
            <w:r w:rsidRPr="00F731E8">
              <w:rPr>
                <w:rFonts w:ascii="Arial Narrow" w:eastAsia="Times New Roman" w:hAnsi="Arial Narrow"/>
                <w:b/>
                <w:color w:val="333333"/>
                <w:sz w:val="20"/>
                <w:szCs w:val="20"/>
              </w:rPr>
              <w:t>AND</w:t>
            </w:r>
          </w:p>
        </w:tc>
      </w:tr>
      <w:tr w:rsidR="00A93A3B" w:rsidRPr="001428E9" w14:paraId="57FC1E36"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4A4CF35B" w14:textId="5C4750A9" w:rsidR="00A93A3B" w:rsidRPr="00CA4D9D" w:rsidDel="00557CA4" w:rsidRDefault="00A93A3B" w:rsidP="00264EE0">
            <w:pPr>
              <w:jc w:val="center"/>
              <w:rPr>
                <w:rFonts w:ascii="Arial Narrow" w:eastAsia="Times New Roman" w:hAnsi="Arial Narrow"/>
                <w:strike/>
                <w:color w:val="333333"/>
                <w:sz w:val="20"/>
                <w:szCs w:val="20"/>
              </w:rPr>
            </w:pPr>
          </w:p>
        </w:tc>
        <w:tc>
          <w:tcPr>
            <w:tcW w:w="7700" w:type="dxa"/>
            <w:gridSpan w:val="6"/>
            <w:vAlign w:val="center"/>
          </w:tcPr>
          <w:p w14:paraId="0520D79C" w14:textId="77777777" w:rsidR="00A93A3B" w:rsidRPr="00557CA4" w:rsidRDefault="00A93A3B" w:rsidP="00264EE0">
            <w:pPr>
              <w:rPr>
                <w:rFonts w:ascii="Arial Narrow" w:eastAsia="Times New Roman" w:hAnsi="Arial Narrow"/>
                <w:b/>
                <w:color w:val="333333"/>
                <w:sz w:val="20"/>
                <w:szCs w:val="20"/>
              </w:rPr>
            </w:pPr>
            <w:r>
              <w:rPr>
                <w:rFonts w:ascii="Arial Narrow" w:eastAsia="Times New Roman" w:hAnsi="Arial Narrow"/>
                <w:b/>
                <w:color w:val="333333"/>
                <w:sz w:val="20"/>
                <w:szCs w:val="20"/>
              </w:rPr>
              <w:t>Clinical criteria:</w:t>
            </w:r>
          </w:p>
        </w:tc>
      </w:tr>
      <w:tr w:rsidR="00A93A3B" w:rsidRPr="001428E9" w14:paraId="19F3D534"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7E1FF3B3" w14:textId="6F08BD70" w:rsidR="00A93A3B" w:rsidRPr="00F731E8" w:rsidDel="00557CA4" w:rsidRDefault="00A93A3B" w:rsidP="00264EE0">
            <w:pPr>
              <w:jc w:val="center"/>
              <w:rPr>
                <w:rFonts w:ascii="Arial Narrow" w:eastAsia="Times New Roman" w:hAnsi="Arial Narrow"/>
                <w:i/>
                <w:iCs/>
                <w:color w:val="333333"/>
                <w:sz w:val="20"/>
                <w:szCs w:val="20"/>
              </w:rPr>
            </w:pPr>
          </w:p>
        </w:tc>
        <w:tc>
          <w:tcPr>
            <w:tcW w:w="7700" w:type="dxa"/>
            <w:gridSpan w:val="6"/>
            <w:vAlign w:val="center"/>
          </w:tcPr>
          <w:p w14:paraId="2AD5246C" w14:textId="77777777" w:rsidR="00A93A3B" w:rsidRDefault="00A93A3B" w:rsidP="00264EE0">
            <w:pPr>
              <w:rPr>
                <w:rFonts w:ascii="Arial Narrow" w:hAnsi="Arial Narrow"/>
                <w:strike/>
                <w:sz w:val="20"/>
                <w:szCs w:val="20"/>
              </w:rPr>
            </w:pPr>
            <w:r w:rsidRPr="00F731E8">
              <w:rPr>
                <w:rFonts w:ascii="Arial Narrow" w:hAnsi="Arial Narrow"/>
                <w:strike/>
                <w:sz w:val="20"/>
                <w:szCs w:val="20"/>
              </w:rPr>
              <w:t>The treatment must not exceed a total of 2 doses to be administered at weeks 0 and 8 under this restriction.</w:t>
            </w:r>
          </w:p>
          <w:p w14:paraId="4DE30997" w14:textId="77777777" w:rsidR="00A93A3B" w:rsidRPr="00F731E8" w:rsidRDefault="00A93A3B" w:rsidP="00264EE0">
            <w:pPr>
              <w:rPr>
                <w:rFonts w:ascii="Arial Narrow" w:eastAsia="Times New Roman" w:hAnsi="Arial Narrow"/>
                <w:i/>
                <w:color w:val="333333"/>
                <w:sz w:val="20"/>
                <w:szCs w:val="20"/>
              </w:rPr>
            </w:pPr>
            <w:r>
              <w:rPr>
                <w:rFonts w:ascii="Arial Narrow" w:hAnsi="Arial Narrow"/>
                <w:i/>
                <w:sz w:val="20"/>
                <w:szCs w:val="20"/>
              </w:rPr>
              <w:t xml:space="preserve">The treatment must not exceed a total of 3 doses to be administered at weeks 0, 4 and 8 under this restriction. </w:t>
            </w:r>
          </w:p>
        </w:tc>
      </w:tr>
      <w:tr w:rsidR="00A93A3B" w:rsidRPr="001428E9" w14:paraId="4FF6F445"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3A46DC38" w14:textId="77777777" w:rsidR="00A93A3B" w:rsidRPr="001428E9" w:rsidDel="00557CA4" w:rsidRDefault="00A93A3B" w:rsidP="00264EE0">
            <w:pPr>
              <w:jc w:val="center"/>
              <w:rPr>
                <w:rFonts w:ascii="Arial Narrow" w:eastAsia="Times New Roman" w:hAnsi="Arial Narrow"/>
                <w:color w:val="333333"/>
                <w:sz w:val="20"/>
                <w:szCs w:val="20"/>
              </w:rPr>
            </w:pPr>
          </w:p>
        </w:tc>
        <w:tc>
          <w:tcPr>
            <w:tcW w:w="7700" w:type="dxa"/>
            <w:gridSpan w:val="6"/>
            <w:vAlign w:val="center"/>
          </w:tcPr>
          <w:p w14:paraId="4B7B3040" w14:textId="77777777" w:rsidR="00A93A3B" w:rsidRPr="00F731E8" w:rsidRDefault="00A93A3B" w:rsidP="00264EE0">
            <w:pPr>
              <w:rPr>
                <w:rFonts w:ascii="Arial Narrow" w:hAnsi="Arial Narrow"/>
                <w:b/>
                <w:sz w:val="20"/>
                <w:szCs w:val="20"/>
              </w:rPr>
            </w:pPr>
            <w:r w:rsidRPr="00F731E8">
              <w:rPr>
                <w:rFonts w:ascii="Arial Narrow" w:hAnsi="Arial Narrow"/>
                <w:b/>
                <w:sz w:val="20"/>
                <w:szCs w:val="20"/>
              </w:rPr>
              <w:t>AND</w:t>
            </w:r>
          </w:p>
        </w:tc>
      </w:tr>
      <w:tr w:rsidR="00A93A3B" w:rsidRPr="001428E9" w14:paraId="2C1ECCF6"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5005DFEB" w14:textId="3D586022" w:rsidR="00A93A3B" w:rsidRPr="001428E9" w:rsidDel="00557CA4" w:rsidRDefault="00A93A3B" w:rsidP="00264EE0">
            <w:pPr>
              <w:jc w:val="center"/>
              <w:rPr>
                <w:rFonts w:ascii="Arial Narrow" w:eastAsia="Times New Roman" w:hAnsi="Arial Narrow"/>
                <w:color w:val="333333"/>
                <w:sz w:val="20"/>
                <w:szCs w:val="20"/>
              </w:rPr>
            </w:pPr>
          </w:p>
        </w:tc>
        <w:tc>
          <w:tcPr>
            <w:tcW w:w="7700" w:type="dxa"/>
            <w:gridSpan w:val="6"/>
            <w:vAlign w:val="center"/>
          </w:tcPr>
          <w:p w14:paraId="0C6C26F2" w14:textId="77777777" w:rsidR="00A93A3B" w:rsidRPr="00557CA4" w:rsidRDefault="00A93A3B" w:rsidP="00264EE0">
            <w:pPr>
              <w:rPr>
                <w:rFonts w:ascii="Arial Narrow" w:hAnsi="Arial Narrow"/>
                <w:b/>
                <w:sz w:val="20"/>
                <w:szCs w:val="20"/>
              </w:rPr>
            </w:pPr>
            <w:r>
              <w:rPr>
                <w:rFonts w:ascii="Arial Narrow" w:hAnsi="Arial Narrow"/>
                <w:b/>
                <w:sz w:val="20"/>
                <w:szCs w:val="20"/>
              </w:rPr>
              <w:t>Clinical criteria:</w:t>
            </w:r>
          </w:p>
        </w:tc>
      </w:tr>
      <w:tr w:rsidR="00A93A3B" w:rsidRPr="001428E9" w14:paraId="6B84DB08"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34A9B1F0" w14:textId="026CC84E" w:rsidR="00A93A3B" w:rsidRPr="001428E9" w:rsidDel="00557CA4" w:rsidRDefault="00A93A3B" w:rsidP="00264EE0">
            <w:pPr>
              <w:jc w:val="center"/>
              <w:rPr>
                <w:rFonts w:ascii="Arial Narrow" w:eastAsia="Times New Roman" w:hAnsi="Arial Narrow"/>
                <w:color w:val="333333"/>
                <w:sz w:val="20"/>
                <w:szCs w:val="20"/>
              </w:rPr>
            </w:pPr>
          </w:p>
        </w:tc>
        <w:tc>
          <w:tcPr>
            <w:tcW w:w="7700" w:type="dxa"/>
            <w:gridSpan w:val="6"/>
            <w:vAlign w:val="center"/>
          </w:tcPr>
          <w:p w14:paraId="6D1C2358" w14:textId="77777777" w:rsidR="00A93A3B" w:rsidRPr="00557CA4" w:rsidRDefault="00A93A3B" w:rsidP="00264EE0">
            <w:pPr>
              <w:rPr>
                <w:rFonts w:ascii="Arial Narrow" w:hAnsi="Arial Narrow"/>
                <w:b/>
                <w:sz w:val="20"/>
                <w:szCs w:val="20"/>
              </w:rPr>
            </w:pPr>
            <w:r w:rsidRPr="004B41A4">
              <w:rPr>
                <w:rFonts w:ascii="Arial Narrow" w:hAnsi="Arial Narrow"/>
                <w:sz w:val="20"/>
                <w:szCs w:val="20"/>
              </w:rPr>
              <w:t>Patient must have a Crohn Disease Activity Index (CDAI) Score greater than or equal to 300 as evidence of failure to achieve an adequate response to prior systemic therapy; or</w:t>
            </w:r>
          </w:p>
        </w:tc>
      </w:tr>
      <w:tr w:rsidR="00A93A3B" w:rsidRPr="001428E9" w14:paraId="35A2A860"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62D3A9AE" w14:textId="224D048C" w:rsidR="00A93A3B" w:rsidRPr="001428E9" w:rsidDel="00557CA4" w:rsidRDefault="00A93A3B" w:rsidP="00264EE0">
            <w:pPr>
              <w:jc w:val="center"/>
              <w:rPr>
                <w:rFonts w:ascii="Arial Narrow" w:eastAsia="Times New Roman" w:hAnsi="Arial Narrow"/>
                <w:color w:val="333333"/>
                <w:sz w:val="20"/>
                <w:szCs w:val="20"/>
              </w:rPr>
            </w:pPr>
          </w:p>
        </w:tc>
        <w:tc>
          <w:tcPr>
            <w:tcW w:w="7700" w:type="dxa"/>
            <w:gridSpan w:val="6"/>
            <w:vAlign w:val="center"/>
          </w:tcPr>
          <w:p w14:paraId="6D216814" w14:textId="77777777" w:rsidR="00A93A3B" w:rsidRPr="00557CA4" w:rsidRDefault="00A93A3B" w:rsidP="00264EE0">
            <w:pPr>
              <w:rPr>
                <w:rFonts w:ascii="Arial Narrow" w:hAnsi="Arial Narrow"/>
                <w:b/>
                <w:sz w:val="20"/>
                <w:szCs w:val="20"/>
              </w:rPr>
            </w:pPr>
            <w:r w:rsidRPr="004B41A4">
              <w:rPr>
                <w:rFonts w:ascii="Arial Narrow" w:hAnsi="Arial Narrow"/>
                <w:sz w:val="20"/>
                <w:szCs w:val="20"/>
              </w:rPr>
              <w:t>Patient must have short gut syndrome with diagnostic imaging or surgical evidence, or have had an ileostomy or colostomy; and must have evidence of intestinal inflammation; and must have evidence of failure to achieve an adequate response to prior systemic therapy as specified below; or</w:t>
            </w:r>
          </w:p>
        </w:tc>
      </w:tr>
      <w:tr w:rsidR="00A93A3B" w:rsidRPr="001428E9" w14:paraId="3D62DCCC"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3C222DF0" w14:textId="7FB428C7" w:rsidR="00A93A3B" w:rsidRDefault="00A93A3B" w:rsidP="00264EE0">
            <w:pPr>
              <w:jc w:val="center"/>
              <w:rPr>
                <w:rFonts w:ascii="Arial Narrow" w:eastAsia="Times New Roman" w:hAnsi="Arial Narrow"/>
                <w:color w:val="333333"/>
                <w:sz w:val="20"/>
                <w:szCs w:val="20"/>
              </w:rPr>
            </w:pPr>
          </w:p>
        </w:tc>
        <w:tc>
          <w:tcPr>
            <w:tcW w:w="7700" w:type="dxa"/>
            <w:gridSpan w:val="6"/>
            <w:vAlign w:val="center"/>
          </w:tcPr>
          <w:p w14:paraId="06491979" w14:textId="77777777" w:rsidR="00A93A3B" w:rsidRPr="004B41A4" w:rsidRDefault="00A93A3B" w:rsidP="00264EE0">
            <w:pPr>
              <w:rPr>
                <w:rFonts w:ascii="Arial Narrow" w:hAnsi="Arial Narrow"/>
                <w:sz w:val="20"/>
                <w:szCs w:val="20"/>
              </w:rPr>
            </w:pPr>
            <w:r w:rsidRPr="004B41A4">
              <w:rPr>
                <w:rFonts w:ascii="Arial Narrow" w:hAnsi="Arial Narrow"/>
                <w:sz w:val="20"/>
                <w:szCs w:val="20"/>
              </w:rPr>
              <w:t>Patient must have extensive intestinal inflammation affecting more than 50 cm of the small intestine as evidenced by radiological imaging; and must have a Crohn Disease Activity Index (CDAI) Score greater than or equal to 220; and must have evidence of failure to achieve an adequate response to prior systemic therapy as specified below</w:t>
            </w:r>
            <w:r>
              <w:rPr>
                <w:rFonts w:ascii="Arial Narrow" w:hAnsi="Arial Narrow"/>
                <w:sz w:val="20"/>
                <w:szCs w:val="20"/>
              </w:rPr>
              <w:t>.</w:t>
            </w:r>
          </w:p>
        </w:tc>
      </w:tr>
      <w:tr w:rsidR="00A93A3B" w:rsidRPr="001428E9" w14:paraId="657E82DD"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14BD4D89" w14:textId="3D8D5ACC" w:rsidR="00A93A3B" w:rsidRPr="001428E9" w:rsidRDefault="00A93A3B" w:rsidP="00264EE0">
            <w:pPr>
              <w:keepNext/>
              <w:jc w:val="center"/>
              <w:rPr>
                <w:rFonts w:ascii="Arial Narrow" w:eastAsia="Times New Roman" w:hAnsi="Arial Narrow"/>
                <w:color w:val="333333"/>
                <w:sz w:val="20"/>
                <w:szCs w:val="20"/>
              </w:rPr>
            </w:pPr>
          </w:p>
        </w:tc>
        <w:tc>
          <w:tcPr>
            <w:tcW w:w="7700" w:type="dxa"/>
            <w:gridSpan w:val="6"/>
            <w:vAlign w:val="center"/>
            <w:hideMark/>
          </w:tcPr>
          <w:p w14:paraId="3D5448ED" w14:textId="77777777" w:rsidR="00A93A3B" w:rsidRPr="001428E9" w:rsidRDefault="00A93A3B" w:rsidP="00264EE0">
            <w:pPr>
              <w:keepNext/>
              <w:rPr>
                <w:rFonts w:ascii="Arial Narrow" w:eastAsia="Times New Roman" w:hAnsi="Arial Narrow"/>
                <w:color w:val="333333"/>
                <w:sz w:val="20"/>
                <w:szCs w:val="20"/>
              </w:rPr>
            </w:pPr>
            <w:r w:rsidRPr="001428E9">
              <w:rPr>
                <w:rFonts w:ascii="Arial Narrow" w:eastAsia="Times New Roman" w:hAnsi="Arial Narrow"/>
                <w:b/>
                <w:bCs/>
                <w:color w:val="333333"/>
                <w:sz w:val="20"/>
                <w:szCs w:val="20"/>
              </w:rPr>
              <w:t>Treatment criteria:</w:t>
            </w:r>
          </w:p>
        </w:tc>
      </w:tr>
      <w:tr w:rsidR="00A93A3B" w:rsidRPr="001428E9" w14:paraId="47E080F9"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416F3F29" w14:textId="72E10B5D" w:rsidR="00A93A3B" w:rsidRDefault="00A93A3B" w:rsidP="00264EE0">
            <w:pPr>
              <w:keepNext/>
              <w:jc w:val="center"/>
              <w:rPr>
                <w:rFonts w:ascii="Arial Narrow" w:eastAsia="Times New Roman" w:hAnsi="Arial Narrow"/>
                <w:color w:val="333333"/>
                <w:sz w:val="20"/>
                <w:szCs w:val="20"/>
              </w:rPr>
            </w:pPr>
          </w:p>
        </w:tc>
        <w:tc>
          <w:tcPr>
            <w:tcW w:w="7700" w:type="dxa"/>
            <w:gridSpan w:val="6"/>
            <w:vAlign w:val="center"/>
          </w:tcPr>
          <w:p w14:paraId="63D6F0CB" w14:textId="77777777" w:rsidR="00A93A3B" w:rsidRPr="001428E9" w:rsidRDefault="00A93A3B" w:rsidP="00264EE0">
            <w:pPr>
              <w:keepNext/>
              <w:rPr>
                <w:rFonts w:ascii="Arial Narrow" w:eastAsia="Times New Roman" w:hAnsi="Arial Narrow"/>
                <w:b/>
                <w:bCs/>
                <w:color w:val="333333"/>
                <w:sz w:val="20"/>
                <w:szCs w:val="20"/>
              </w:rPr>
            </w:pPr>
            <w:r w:rsidRPr="00A976CD">
              <w:rPr>
                <w:rFonts w:ascii="Arial Narrow" w:hAnsi="Arial Narrow"/>
                <w:sz w:val="20"/>
              </w:rPr>
              <w:t>Must be treated by a gastroenterologist (code 87); or</w:t>
            </w:r>
          </w:p>
        </w:tc>
      </w:tr>
      <w:tr w:rsidR="00A93A3B" w:rsidRPr="001428E9" w14:paraId="015E565B"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0AC0B983" w14:textId="3E7DE506" w:rsidR="00A93A3B" w:rsidRPr="001428E9" w:rsidRDefault="00A93A3B" w:rsidP="00264EE0">
            <w:pPr>
              <w:jc w:val="center"/>
              <w:rPr>
                <w:rFonts w:ascii="Arial Narrow" w:eastAsia="Times New Roman" w:hAnsi="Arial Narrow"/>
                <w:color w:val="333333"/>
                <w:sz w:val="20"/>
                <w:szCs w:val="20"/>
              </w:rPr>
            </w:pPr>
          </w:p>
        </w:tc>
        <w:tc>
          <w:tcPr>
            <w:tcW w:w="7700" w:type="dxa"/>
            <w:gridSpan w:val="6"/>
            <w:vAlign w:val="center"/>
          </w:tcPr>
          <w:p w14:paraId="1E997D08" w14:textId="77777777" w:rsidR="00A93A3B" w:rsidRPr="001428E9" w:rsidRDefault="00A93A3B" w:rsidP="00264EE0">
            <w:pPr>
              <w:rPr>
                <w:rFonts w:ascii="Arial Narrow" w:hAnsi="Arial Narrow" w:cs="Arial Narrow"/>
                <w:i/>
                <w:iCs/>
                <w:sz w:val="20"/>
                <w:szCs w:val="20"/>
              </w:rPr>
            </w:pPr>
            <w:r w:rsidRPr="00585D99">
              <w:rPr>
                <w:rFonts w:ascii="Arial Narrow" w:hAnsi="Arial Narrow"/>
                <w:sz w:val="20"/>
              </w:rPr>
              <w:t>Must be treated by a consultant physician [internal medicine specialising in gastroenterology (code 81)]; or</w:t>
            </w:r>
          </w:p>
        </w:tc>
      </w:tr>
      <w:tr w:rsidR="00A93A3B" w:rsidRPr="001428E9" w14:paraId="438886E0"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1B238840" w14:textId="7EC7E2EE" w:rsidR="00A93A3B" w:rsidRPr="001428E9" w:rsidRDefault="00A93A3B" w:rsidP="00264EE0">
            <w:pPr>
              <w:jc w:val="center"/>
              <w:rPr>
                <w:rFonts w:ascii="Arial Narrow" w:eastAsia="Times New Roman" w:hAnsi="Arial Narrow"/>
                <w:color w:val="333333"/>
                <w:sz w:val="20"/>
                <w:szCs w:val="20"/>
              </w:rPr>
            </w:pPr>
          </w:p>
        </w:tc>
        <w:tc>
          <w:tcPr>
            <w:tcW w:w="7700" w:type="dxa"/>
            <w:gridSpan w:val="6"/>
            <w:vAlign w:val="center"/>
          </w:tcPr>
          <w:p w14:paraId="3D2EB2A7" w14:textId="77777777" w:rsidR="00A93A3B" w:rsidRPr="001428E9" w:rsidRDefault="00A93A3B" w:rsidP="00264EE0">
            <w:pPr>
              <w:rPr>
                <w:rFonts w:ascii="Arial Narrow" w:eastAsia="Times New Roman" w:hAnsi="Arial Narrow"/>
                <w:b/>
                <w:bCs/>
                <w:color w:val="333333"/>
                <w:sz w:val="20"/>
                <w:szCs w:val="20"/>
              </w:rPr>
            </w:pPr>
            <w:r w:rsidRPr="001B7B29">
              <w:rPr>
                <w:rFonts w:ascii="Arial Narrow" w:hAnsi="Arial Narrow"/>
                <w:sz w:val="20"/>
              </w:rPr>
              <w:t>Must be treated by a consultant physician [general medicine specialising in gastroenterology (code 82)]</w:t>
            </w:r>
          </w:p>
        </w:tc>
      </w:tr>
      <w:tr w:rsidR="00A93A3B" w:rsidRPr="001428E9" w14:paraId="6C61833F"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67AB0535" w14:textId="5559B6CD" w:rsidR="00A93A3B" w:rsidRPr="001428E9" w:rsidRDefault="00A93A3B" w:rsidP="00264EE0">
            <w:pPr>
              <w:jc w:val="center"/>
              <w:rPr>
                <w:rFonts w:ascii="Arial Narrow" w:eastAsia="Times New Roman" w:hAnsi="Arial Narrow"/>
                <w:color w:val="333333"/>
                <w:sz w:val="20"/>
                <w:szCs w:val="20"/>
              </w:rPr>
            </w:pPr>
          </w:p>
        </w:tc>
        <w:tc>
          <w:tcPr>
            <w:tcW w:w="7700" w:type="dxa"/>
            <w:gridSpan w:val="6"/>
            <w:vAlign w:val="center"/>
            <w:hideMark/>
          </w:tcPr>
          <w:p w14:paraId="26F3A72F" w14:textId="77777777" w:rsidR="00A93A3B" w:rsidRPr="001428E9" w:rsidRDefault="00A93A3B" w:rsidP="00264EE0">
            <w:pPr>
              <w:rPr>
                <w:rFonts w:ascii="Arial Narrow" w:eastAsia="Times New Roman" w:hAnsi="Arial Narrow"/>
                <w:color w:val="333333"/>
                <w:sz w:val="20"/>
                <w:szCs w:val="20"/>
              </w:rPr>
            </w:pPr>
            <w:r w:rsidRPr="001428E9">
              <w:rPr>
                <w:rFonts w:ascii="Arial Narrow" w:eastAsia="Times New Roman" w:hAnsi="Arial Narrow"/>
                <w:b/>
                <w:bCs/>
                <w:color w:val="333333"/>
                <w:sz w:val="20"/>
                <w:szCs w:val="20"/>
              </w:rPr>
              <w:t>Population criteria:</w:t>
            </w:r>
          </w:p>
        </w:tc>
      </w:tr>
      <w:tr w:rsidR="00A93A3B" w:rsidRPr="001428E9" w14:paraId="1503C8DA" w14:textId="77777777" w:rsidTr="00264EE0">
        <w:tblPrEx>
          <w:tblCellMar>
            <w:top w:w="15" w:type="dxa"/>
            <w:bottom w:w="15" w:type="dxa"/>
          </w:tblCellMar>
        </w:tblPrEx>
        <w:trPr>
          <w:cantSplit/>
          <w:trHeight w:val="20"/>
        </w:trPr>
        <w:tc>
          <w:tcPr>
            <w:tcW w:w="1266" w:type="dxa"/>
            <w:gridSpan w:val="2"/>
            <w:vAlign w:val="center"/>
          </w:tcPr>
          <w:p w14:paraId="73F50B88" w14:textId="6DC6B781" w:rsidR="00A93A3B" w:rsidRPr="001428E9" w:rsidRDefault="00A93A3B" w:rsidP="00264EE0">
            <w:pPr>
              <w:jc w:val="center"/>
              <w:rPr>
                <w:rFonts w:ascii="Arial Narrow" w:eastAsia="Times New Roman" w:hAnsi="Arial Narrow"/>
                <w:color w:val="333333"/>
                <w:sz w:val="20"/>
                <w:szCs w:val="20"/>
              </w:rPr>
            </w:pPr>
          </w:p>
        </w:tc>
        <w:tc>
          <w:tcPr>
            <w:tcW w:w="7700" w:type="dxa"/>
            <w:gridSpan w:val="6"/>
            <w:vAlign w:val="center"/>
            <w:hideMark/>
          </w:tcPr>
          <w:p w14:paraId="1AC86628" w14:textId="77777777" w:rsidR="00A93A3B" w:rsidRPr="001428E9" w:rsidRDefault="00A93A3B" w:rsidP="00264EE0">
            <w:pPr>
              <w:rPr>
                <w:rFonts w:ascii="Arial Narrow" w:eastAsia="Times New Roman" w:hAnsi="Arial Narrow"/>
                <w:color w:val="333333"/>
                <w:sz w:val="20"/>
                <w:szCs w:val="20"/>
              </w:rPr>
            </w:pPr>
            <w:r w:rsidRPr="00F731E8">
              <w:rPr>
                <w:rFonts w:ascii="Arial Narrow" w:hAnsi="Arial Narrow"/>
                <w:sz w:val="20"/>
              </w:rPr>
              <w:t>Patient must be aged 18 years or older</w:t>
            </w:r>
          </w:p>
        </w:tc>
      </w:tr>
      <w:tr w:rsidR="00A93A3B" w:rsidRPr="001428E9" w14:paraId="59CCFAAA"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3A7A978B" w14:textId="2D17C157" w:rsidR="00A93A3B" w:rsidRPr="001428E9" w:rsidRDefault="00A93A3B" w:rsidP="00264EE0">
            <w:pPr>
              <w:jc w:val="center"/>
              <w:rPr>
                <w:rFonts w:ascii="Arial Narrow" w:eastAsia="Times New Roman" w:hAnsi="Arial Narrow"/>
                <w:color w:val="333333"/>
                <w:sz w:val="20"/>
                <w:szCs w:val="20"/>
              </w:rPr>
            </w:pPr>
          </w:p>
        </w:tc>
        <w:tc>
          <w:tcPr>
            <w:tcW w:w="7700" w:type="dxa"/>
            <w:gridSpan w:val="6"/>
            <w:vAlign w:val="center"/>
          </w:tcPr>
          <w:p w14:paraId="0C148392" w14:textId="77777777" w:rsidR="00A93A3B" w:rsidRDefault="00A93A3B" w:rsidP="00264EE0">
            <w:pPr>
              <w:rPr>
                <w:rFonts w:ascii="Arial Narrow" w:hAnsi="Arial Narrow"/>
                <w:sz w:val="20"/>
              </w:rPr>
            </w:pPr>
            <w:r w:rsidRPr="00F731E8">
              <w:rPr>
                <w:rFonts w:ascii="Arial Narrow" w:eastAsia="Times New Roman" w:hAnsi="Arial Narrow"/>
                <w:b/>
                <w:color w:val="333333"/>
                <w:sz w:val="20"/>
                <w:szCs w:val="20"/>
              </w:rPr>
              <w:t>Prescriber Instructions:</w:t>
            </w:r>
            <w:r>
              <w:t xml:space="preserve"> </w:t>
            </w:r>
            <w:r w:rsidRPr="00504369">
              <w:rPr>
                <w:rFonts w:ascii="Arial Narrow" w:hAnsi="Arial Narrow"/>
                <w:sz w:val="20"/>
              </w:rPr>
              <w:t>The authority application must be made in writing and must include:</w:t>
            </w:r>
          </w:p>
          <w:p w14:paraId="0A0823E0" w14:textId="77777777" w:rsidR="00A93A3B" w:rsidRPr="00504369" w:rsidRDefault="00A93A3B" w:rsidP="00264EE0">
            <w:pPr>
              <w:rPr>
                <w:rFonts w:ascii="Arial Narrow" w:hAnsi="Arial Narrow"/>
                <w:sz w:val="20"/>
              </w:rPr>
            </w:pPr>
            <w:r w:rsidRPr="00504369">
              <w:rPr>
                <w:rFonts w:ascii="Arial Narrow" w:hAnsi="Arial Narrow"/>
                <w:sz w:val="20"/>
              </w:rPr>
              <w:t>(1) two completed authority prescription forms; and</w:t>
            </w:r>
          </w:p>
          <w:p w14:paraId="755505D0" w14:textId="77777777" w:rsidR="00A93A3B" w:rsidRPr="00F731E8" w:rsidRDefault="00A93A3B" w:rsidP="00264EE0">
            <w:pPr>
              <w:rPr>
                <w:rFonts w:ascii="Arial Narrow" w:eastAsia="Times New Roman" w:hAnsi="Arial Narrow"/>
                <w:b/>
                <w:color w:val="333333"/>
                <w:sz w:val="20"/>
                <w:szCs w:val="20"/>
              </w:rPr>
            </w:pPr>
            <w:r w:rsidRPr="00504369">
              <w:rPr>
                <w:rFonts w:ascii="Arial Narrow" w:hAnsi="Arial Narrow"/>
                <w:sz w:val="20"/>
              </w:rPr>
              <w:t>(2) a completed authority application form relevant to the indication and treatment phase (the latest version is located on the website specified in the Administrative Advice).</w:t>
            </w:r>
          </w:p>
        </w:tc>
      </w:tr>
      <w:tr w:rsidR="00A93A3B" w:rsidRPr="001428E9" w14:paraId="0E964896"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27B94093" w14:textId="03610073" w:rsidR="00A93A3B" w:rsidRDefault="00A93A3B" w:rsidP="00264EE0">
            <w:pPr>
              <w:jc w:val="center"/>
              <w:rPr>
                <w:rFonts w:ascii="Arial Narrow" w:eastAsia="Times New Roman" w:hAnsi="Arial Narrow"/>
                <w:color w:val="333333"/>
                <w:sz w:val="20"/>
                <w:szCs w:val="20"/>
              </w:rPr>
            </w:pPr>
            <w:bookmarkStart w:id="56" w:name="_Hlk103347689"/>
          </w:p>
        </w:tc>
        <w:tc>
          <w:tcPr>
            <w:tcW w:w="7700" w:type="dxa"/>
            <w:gridSpan w:val="6"/>
            <w:vAlign w:val="center"/>
          </w:tcPr>
          <w:p w14:paraId="08EF01B3" w14:textId="77777777" w:rsidR="00A93A3B" w:rsidRDefault="00A93A3B" w:rsidP="00264EE0">
            <w:pPr>
              <w:rPr>
                <w:rFonts w:ascii="Arial Narrow" w:hAnsi="Arial Narrow"/>
                <w:sz w:val="20"/>
              </w:rPr>
            </w:pPr>
            <w:r w:rsidRPr="00F731E8">
              <w:rPr>
                <w:rFonts w:ascii="Arial Narrow" w:hAnsi="Arial Narrow"/>
                <w:b/>
                <w:sz w:val="20"/>
              </w:rPr>
              <w:t>Prescriber Instructions:</w:t>
            </w:r>
            <w:r>
              <w:rPr>
                <w:rFonts w:ascii="Arial Narrow" w:hAnsi="Arial Narrow"/>
                <w:sz w:val="20"/>
              </w:rPr>
              <w:t xml:space="preserve"> </w:t>
            </w:r>
            <w:r w:rsidRPr="00F731E8">
              <w:rPr>
                <w:rFonts w:ascii="Arial Narrow" w:hAnsi="Arial Narrow"/>
                <w:sz w:val="20"/>
              </w:rPr>
              <w:t xml:space="preserve">Evidence of failure to achieve an adequate response to prior therapy must include at least one of the following:, (a) patient must have evidence of intestinal inflammation;, (b) patient must be assessed clinically as being in a high faecal output state;, (c) patient must be assessed clinically as requiring surgery or total parenteral nutrition (TPN) as the next therapeutic option, in the absence of this drug, if affected by short gut syndrome, extensive small intestine disease or is an ostomy patient., </w:t>
            </w:r>
          </w:p>
          <w:p w14:paraId="5420EFA4" w14:textId="77777777" w:rsidR="00A93A3B" w:rsidRPr="00FA40E4" w:rsidRDefault="00A93A3B" w:rsidP="00264EE0">
            <w:pPr>
              <w:rPr>
                <w:rFonts w:ascii="Arial Narrow" w:eastAsia="Times New Roman" w:hAnsi="Arial Narrow"/>
                <w:b/>
                <w:color w:val="333333"/>
                <w:sz w:val="20"/>
                <w:szCs w:val="20"/>
              </w:rPr>
            </w:pPr>
            <w:r w:rsidRPr="00F731E8">
              <w:rPr>
                <w:rFonts w:ascii="Arial Narrow" w:hAnsi="Arial Narrow"/>
                <w:sz w:val="20"/>
              </w:rPr>
              <w:t>Evidence of intestinal inflammation includes: (i) blood: higher than normal platelet count, or, an elevated erythrocyte sedimentation rate (ESR) greater than 25 mm per hour, or, a C-reactive protein (CRP) level greater than 15 mg per L; or, (ii) faeces: higher than normal lactoferrin or calprotectin level; or, (iii) diagnostic imaging: demonstration of increased uptake of intravenous contrast with thickening of the bowel wall or mesenteric lymphadenopathy or fat streaking in the mesentery.</w:t>
            </w:r>
          </w:p>
        </w:tc>
      </w:tr>
      <w:bookmarkEnd w:id="56"/>
      <w:tr w:rsidR="00A93A3B" w:rsidRPr="001428E9" w14:paraId="1A45A647"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522C35F8" w14:textId="29601062" w:rsidR="00A93A3B" w:rsidRPr="00CA4D9D" w:rsidRDefault="00A93A3B" w:rsidP="00264EE0">
            <w:pPr>
              <w:jc w:val="center"/>
              <w:rPr>
                <w:rFonts w:ascii="Arial Narrow" w:eastAsia="Times New Roman" w:hAnsi="Arial Narrow"/>
                <w:color w:val="333333"/>
                <w:sz w:val="20"/>
                <w:szCs w:val="20"/>
              </w:rPr>
            </w:pPr>
          </w:p>
        </w:tc>
        <w:tc>
          <w:tcPr>
            <w:tcW w:w="7700" w:type="dxa"/>
            <w:gridSpan w:val="6"/>
            <w:vAlign w:val="center"/>
          </w:tcPr>
          <w:p w14:paraId="051F3BCC" w14:textId="77777777" w:rsidR="00A93A3B" w:rsidRPr="00B07A07" w:rsidRDefault="00A93A3B" w:rsidP="00264EE0">
            <w:pPr>
              <w:rPr>
                <w:rFonts w:ascii="Arial Narrow" w:hAnsi="Arial Narrow"/>
                <w:b/>
                <w:i/>
                <w:iCs/>
                <w:sz w:val="20"/>
              </w:rPr>
            </w:pPr>
            <w:r w:rsidRPr="00CE7D36">
              <w:rPr>
                <w:rFonts w:ascii="Arial Narrow" w:hAnsi="Arial Narrow"/>
                <w:i/>
                <w:iCs/>
                <w:sz w:val="20"/>
              </w:rPr>
              <w:t xml:space="preserve">Two completed authority prescriptions should be submitted with every initial application for this drug. One prescription should be written under S100 (Highly Specialised Drugs) for a quantity of </w:t>
            </w:r>
            <w:r>
              <w:rPr>
                <w:rFonts w:ascii="Arial Narrow" w:hAnsi="Arial Narrow"/>
                <w:i/>
                <w:iCs/>
                <w:sz w:val="20"/>
              </w:rPr>
              <w:t xml:space="preserve">3 </w:t>
            </w:r>
            <w:r w:rsidRPr="00CE7D36">
              <w:rPr>
                <w:rFonts w:ascii="Arial Narrow" w:hAnsi="Arial Narrow"/>
                <w:i/>
                <w:iCs/>
                <w:sz w:val="20"/>
              </w:rPr>
              <w:t xml:space="preserve">vials of </w:t>
            </w:r>
            <w:r>
              <w:rPr>
                <w:rFonts w:ascii="Arial Narrow" w:hAnsi="Arial Narrow"/>
                <w:i/>
                <w:iCs/>
                <w:sz w:val="20"/>
              </w:rPr>
              <w:t>600</w:t>
            </w:r>
            <w:r w:rsidRPr="00CE7D36">
              <w:rPr>
                <w:rFonts w:ascii="Arial Narrow" w:hAnsi="Arial Narrow"/>
                <w:i/>
                <w:iCs/>
                <w:sz w:val="20"/>
              </w:rPr>
              <w:t xml:space="preserve"> mg </w:t>
            </w:r>
            <w:r>
              <w:rPr>
                <w:rFonts w:ascii="Arial Narrow" w:hAnsi="Arial Narrow"/>
                <w:i/>
                <w:iCs/>
                <w:sz w:val="20"/>
              </w:rPr>
              <w:t>(1 Supply and two</w:t>
            </w:r>
            <w:r w:rsidRPr="00CE7D36">
              <w:rPr>
                <w:rFonts w:ascii="Arial Narrow" w:hAnsi="Arial Narrow"/>
                <w:i/>
                <w:iCs/>
                <w:sz w:val="20"/>
              </w:rPr>
              <w:t xml:space="preserve"> repeats</w:t>
            </w:r>
            <w:r>
              <w:rPr>
                <w:rFonts w:ascii="Arial Narrow" w:hAnsi="Arial Narrow"/>
                <w:i/>
                <w:iCs/>
                <w:sz w:val="20"/>
              </w:rPr>
              <w:t>)</w:t>
            </w:r>
            <w:r w:rsidRPr="00CE7D36">
              <w:rPr>
                <w:rFonts w:ascii="Arial Narrow" w:hAnsi="Arial Narrow"/>
                <w:i/>
                <w:iCs/>
                <w:sz w:val="20"/>
              </w:rPr>
              <w:t xml:space="preserve">. The second prescription should be written under S85 (General) for </w:t>
            </w:r>
            <w:r>
              <w:rPr>
                <w:rFonts w:ascii="Arial Narrow" w:hAnsi="Arial Narrow"/>
                <w:i/>
                <w:iCs/>
                <w:sz w:val="20"/>
              </w:rPr>
              <w:t xml:space="preserve">a quantity of 1 subcutaneous injection of 300 mg </w:t>
            </w:r>
            <w:r w:rsidRPr="00CE7D36">
              <w:rPr>
                <w:rFonts w:ascii="Arial Narrow" w:hAnsi="Arial Narrow"/>
                <w:i/>
                <w:iCs/>
                <w:sz w:val="20"/>
              </w:rPr>
              <w:t>and no repeats</w:t>
            </w:r>
            <w:r w:rsidRPr="00B07A07">
              <w:rPr>
                <w:rFonts w:ascii="Arial Narrow" w:hAnsi="Arial Narrow"/>
                <w:i/>
                <w:iCs/>
                <w:sz w:val="20"/>
              </w:rPr>
              <w:t>.</w:t>
            </w:r>
          </w:p>
        </w:tc>
      </w:tr>
      <w:tr w:rsidR="00A93A3B" w:rsidRPr="001428E9" w14:paraId="0CB73487"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50431388" w14:textId="79F9168A" w:rsidR="00A93A3B" w:rsidRPr="00F731E8" w:rsidRDefault="00A93A3B" w:rsidP="00264EE0">
            <w:pPr>
              <w:jc w:val="center"/>
              <w:rPr>
                <w:rFonts w:ascii="Arial Narrow" w:eastAsia="Times New Roman" w:hAnsi="Arial Narrow"/>
                <w:i/>
                <w:iCs/>
                <w:color w:val="333333"/>
                <w:sz w:val="20"/>
                <w:szCs w:val="20"/>
              </w:rPr>
            </w:pPr>
          </w:p>
        </w:tc>
        <w:tc>
          <w:tcPr>
            <w:tcW w:w="7700" w:type="dxa"/>
            <w:gridSpan w:val="6"/>
            <w:vAlign w:val="center"/>
          </w:tcPr>
          <w:p w14:paraId="38511BF4" w14:textId="77777777" w:rsidR="00A93A3B" w:rsidRDefault="00A93A3B" w:rsidP="00264EE0">
            <w:pPr>
              <w:rPr>
                <w:rFonts w:ascii="Arial Narrow" w:hAnsi="Arial Narrow"/>
                <w:strike/>
                <w:sz w:val="20"/>
              </w:rPr>
            </w:pPr>
            <w:r w:rsidRPr="00F731E8">
              <w:rPr>
                <w:rFonts w:ascii="Arial Narrow" w:hAnsi="Arial Narrow"/>
                <w:strike/>
                <w:sz w:val="20"/>
              </w:rPr>
              <w:t>A maximum quantity of a weight based loading dose is up to 4 vials with no repeats and the subsequent first dose of 90 mg (2 vials of 45 mg) with no repeats provide for an initial 16 week course of this drug will be authorised.</w:t>
            </w:r>
          </w:p>
          <w:p w14:paraId="1AAA276D" w14:textId="77777777" w:rsidR="00A93A3B" w:rsidRPr="00456495" w:rsidRDefault="00A93A3B" w:rsidP="00264EE0">
            <w:pPr>
              <w:rPr>
                <w:rFonts w:ascii="Arial Narrow" w:hAnsi="Arial Narrow"/>
                <w:sz w:val="20"/>
              </w:rPr>
            </w:pPr>
            <w:r w:rsidRPr="00456495">
              <w:rPr>
                <w:rFonts w:ascii="Arial Narrow" w:hAnsi="Arial Narrow"/>
                <w:sz w:val="20"/>
              </w:rPr>
              <w:t xml:space="preserve">A maximum quantity and number of repeats to provide for an initial </w:t>
            </w:r>
            <w:r w:rsidRPr="00456495">
              <w:rPr>
                <w:rFonts w:ascii="Arial Narrow" w:hAnsi="Arial Narrow"/>
                <w:i/>
                <w:iCs/>
                <w:sz w:val="20"/>
              </w:rPr>
              <w:t>8</w:t>
            </w:r>
            <w:r w:rsidRPr="00456495">
              <w:rPr>
                <w:rFonts w:ascii="Arial Narrow" w:hAnsi="Arial Narrow"/>
                <w:strike/>
                <w:sz w:val="20"/>
              </w:rPr>
              <w:t>12</w:t>
            </w:r>
            <w:r w:rsidRPr="00456495">
              <w:rPr>
                <w:rFonts w:ascii="Arial Narrow" w:hAnsi="Arial Narrow"/>
                <w:sz w:val="20"/>
              </w:rPr>
              <w:t xml:space="preserve"> week intravenous course of this drug will be authorised under this item code. A </w:t>
            </w:r>
            <w:r w:rsidRPr="00456495">
              <w:rPr>
                <w:rFonts w:ascii="Arial Narrow" w:hAnsi="Arial Narrow"/>
                <w:strike/>
                <w:sz w:val="20"/>
              </w:rPr>
              <w:t>further 8 week</w:t>
            </w:r>
            <w:r w:rsidRPr="00456495">
              <w:rPr>
                <w:rFonts w:ascii="Arial Narrow" w:hAnsi="Arial Narrow"/>
                <w:sz w:val="20"/>
              </w:rPr>
              <w:t xml:space="preserve"> </w:t>
            </w:r>
            <w:r>
              <w:rPr>
                <w:rFonts w:ascii="Arial Narrow" w:hAnsi="Arial Narrow"/>
                <w:i/>
                <w:iCs/>
                <w:sz w:val="20"/>
              </w:rPr>
              <w:t xml:space="preserve">subsequent </w:t>
            </w:r>
            <w:r w:rsidRPr="00456495">
              <w:rPr>
                <w:rFonts w:ascii="Arial Narrow" w:hAnsi="Arial Narrow"/>
                <w:sz w:val="20"/>
              </w:rPr>
              <w:t xml:space="preserve">subcutaneous </w:t>
            </w:r>
            <w:r>
              <w:rPr>
                <w:rFonts w:ascii="Arial Narrow" w:hAnsi="Arial Narrow"/>
                <w:i/>
                <w:iCs/>
                <w:sz w:val="20"/>
              </w:rPr>
              <w:t xml:space="preserve">dose </w:t>
            </w:r>
            <w:r w:rsidRPr="00456495">
              <w:rPr>
                <w:rFonts w:ascii="Arial Narrow" w:hAnsi="Arial Narrow"/>
                <w:strike/>
                <w:sz w:val="20"/>
              </w:rPr>
              <w:t>course</w:t>
            </w:r>
            <w:r w:rsidRPr="00456495">
              <w:rPr>
                <w:rFonts w:ascii="Arial Narrow" w:hAnsi="Arial Narrow"/>
                <w:sz w:val="20"/>
              </w:rPr>
              <w:t xml:space="preserve"> of treatment </w:t>
            </w:r>
            <w:r>
              <w:rPr>
                <w:rFonts w:ascii="Arial Narrow" w:hAnsi="Arial Narrow"/>
                <w:i/>
                <w:iCs/>
                <w:sz w:val="20"/>
              </w:rPr>
              <w:t xml:space="preserve">for injection at week 12 </w:t>
            </w:r>
            <w:r w:rsidRPr="00456495">
              <w:rPr>
                <w:rFonts w:ascii="Arial Narrow" w:hAnsi="Arial Narrow"/>
                <w:strike/>
                <w:sz w:val="20"/>
              </w:rPr>
              <w:t>can be accessed</w:t>
            </w:r>
            <w:r w:rsidRPr="00456495">
              <w:rPr>
                <w:rFonts w:ascii="Arial Narrow" w:hAnsi="Arial Narrow"/>
                <w:sz w:val="20"/>
              </w:rPr>
              <w:t xml:space="preserve"> </w:t>
            </w:r>
            <w:r>
              <w:rPr>
                <w:rFonts w:ascii="Arial Narrow" w:hAnsi="Arial Narrow"/>
                <w:i/>
                <w:iCs/>
                <w:sz w:val="20"/>
              </w:rPr>
              <w:t xml:space="preserve">will be authorised </w:t>
            </w:r>
            <w:r w:rsidRPr="00456495">
              <w:rPr>
                <w:rFonts w:ascii="Arial Narrow" w:hAnsi="Arial Narrow"/>
                <w:strike/>
                <w:sz w:val="20"/>
              </w:rPr>
              <w:t>under the balance of supply criteria</w:t>
            </w:r>
            <w:r w:rsidRPr="00456495">
              <w:rPr>
                <w:rFonts w:ascii="Arial Narrow" w:hAnsi="Arial Narrow"/>
                <w:sz w:val="20"/>
              </w:rPr>
              <w:t xml:space="preserve">. </w:t>
            </w:r>
          </w:p>
        </w:tc>
      </w:tr>
      <w:tr w:rsidR="00A93A3B" w:rsidRPr="001428E9" w14:paraId="19E2F944"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6B66CDCC" w14:textId="63E2B360" w:rsidR="00A93A3B" w:rsidRPr="00F731E8" w:rsidRDefault="00A93A3B" w:rsidP="00264EE0">
            <w:pPr>
              <w:jc w:val="center"/>
              <w:rPr>
                <w:rFonts w:ascii="Arial Narrow" w:eastAsia="Times New Roman" w:hAnsi="Arial Narrow"/>
                <w:strike/>
                <w:color w:val="333333"/>
                <w:sz w:val="20"/>
                <w:szCs w:val="20"/>
              </w:rPr>
            </w:pPr>
          </w:p>
        </w:tc>
        <w:tc>
          <w:tcPr>
            <w:tcW w:w="7700" w:type="dxa"/>
            <w:gridSpan w:val="6"/>
            <w:vAlign w:val="center"/>
          </w:tcPr>
          <w:p w14:paraId="61F1F222" w14:textId="77777777" w:rsidR="00A93A3B" w:rsidRPr="00F731E8" w:rsidRDefault="00A93A3B" w:rsidP="00264EE0">
            <w:pPr>
              <w:rPr>
                <w:rFonts w:ascii="Arial Narrow" w:hAnsi="Arial Narrow"/>
                <w:strike/>
                <w:sz w:val="20"/>
              </w:rPr>
            </w:pPr>
            <w:r w:rsidRPr="00F731E8">
              <w:rPr>
                <w:rFonts w:ascii="Arial Narrow" w:hAnsi="Arial Narrow"/>
                <w:strike/>
                <w:sz w:val="20"/>
              </w:rPr>
              <w:t>Where fewer than 6 vials in total are requested at the time of the application, authority approvals for a sufficient number of vials based on the patient's weight to complete dosing at weeks 0 and 8 may be requested by telephone through the balance of supply restriction.</w:t>
            </w:r>
          </w:p>
        </w:tc>
      </w:tr>
      <w:tr w:rsidR="00A93A3B" w:rsidRPr="001428E9" w14:paraId="5BAE5F3B"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3381634C" w14:textId="0B0864D6" w:rsidR="00A93A3B" w:rsidRDefault="00A93A3B" w:rsidP="00264EE0">
            <w:pPr>
              <w:jc w:val="center"/>
              <w:rPr>
                <w:rFonts w:ascii="Arial Narrow" w:eastAsia="Times New Roman" w:hAnsi="Arial Narrow"/>
                <w:color w:val="333333"/>
                <w:sz w:val="20"/>
                <w:szCs w:val="20"/>
              </w:rPr>
            </w:pPr>
          </w:p>
        </w:tc>
        <w:tc>
          <w:tcPr>
            <w:tcW w:w="7700" w:type="dxa"/>
            <w:gridSpan w:val="6"/>
            <w:vAlign w:val="center"/>
          </w:tcPr>
          <w:p w14:paraId="05CB19ED" w14:textId="77777777" w:rsidR="00A93A3B" w:rsidRPr="00F731E8" w:rsidRDefault="00A93A3B" w:rsidP="00264EE0">
            <w:pPr>
              <w:rPr>
                <w:rFonts w:ascii="Arial Narrow" w:hAnsi="Arial Narrow"/>
                <w:sz w:val="20"/>
              </w:rPr>
            </w:pPr>
            <w:r w:rsidRPr="00E8501F">
              <w:rPr>
                <w:rFonts w:ascii="Arial Narrow" w:hAnsi="Arial Narrow"/>
                <w:sz w:val="20"/>
              </w:rPr>
              <w:t>All assessments, pathology tests and diagnostic imaging studies must be made within 4 weeks of the date of application and should be performed preferably whilst still on conventional treatment, but no longer than 4 weeks following cessation of the most recent prior treatment.</w:t>
            </w:r>
          </w:p>
        </w:tc>
      </w:tr>
      <w:tr w:rsidR="00A93A3B" w:rsidRPr="001428E9" w14:paraId="02CA94F7"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4B8834DF" w14:textId="5C111BFD" w:rsidR="00A93A3B" w:rsidRDefault="00A93A3B" w:rsidP="00264EE0">
            <w:pPr>
              <w:jc w:val="center"/>
              <w:rPr>
                <w:rFonts w:ascii="Arial Narrow" w:eastAsia="Times New Roman" w:hAnsi="Arial Narrow"/>
                <w:color w:val="333333"/>
                <w:sz w:val="20"/>
                <w:szCs w:val="20"/>
              </w:rPr>
            </w:pPr>
          </w:p>
        </w:tc>
        <w:tc>
          <w:tcPr>
            <w:tcW w:w="7700" w:type="dxa"/>
            <w:gridSpan w:val="6"/>
            <w:vAlign w:val="center"/>
          </w:tcPr>
          <w:p w14:paraId="43613211" w14:textId="77777777" w:rsidR="00A93A3B" w:rsidRPr="00F731E8" w:rsidRDefault="00A93A3B" w:rsidP="00264EE0">
            <w:pPr>
              <w:rPr>
                <w:rFonts w:ascii="Arial Narrow" w:hAnsi="Arial Narrow"/>
                <w:sz w:val="20"/>
              </w:rPr>
            </w:pPr>
            <w:r w:rsidRPr="00F731E8">
              <w:rPr>
                <w:rFonts w:ascii="Arial Narrow" w:hAnsi="Arial Narrow"/>
                <w:sz w:val="20"/>
              </w:rPr>
              <w:t xml:space="preserve">If treatment with any of the specified prior conventional drugs is contraindicated according to the relevant TGA-approved Product Information, please provide details at the time of application. </w:t>
            </w:r>
          </w:p>
        </w:tc>
      </w:tr>
      <w:tr w:rsidR="00A93A3B" w:rsidRPr="001428E9" w14:paraId="619DF010"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30C17297" w14:textId="176BA63C" w:rsidR="00A93A3B" w:rsidRDefault="00A93A3B" w:rsidP="00264EE0">
            <w:pPr>
              <w:jc w:val="center"/>
              <w:rPr>
                <w:rFonts w:ascii="Arial Narrow" w:eastAsia="Times New Roman" w:hAnsi="Arial Narrow"/>
                <w:color w:val="333333"/>
                <w:sz w:val="20"/>
                <w:szCs w:val="20"/>
              </w:rPr>
            </w:pPr>
          </w:p>
        </w:tc>
        <w:tc>
          <w:tcPr>
            <w:tcW w:w="7700" w:type="dxa"/>
            <w:gridSpan w:val="6"/>
            <w:vAlign w:val="center"/>
          </w:tcPr>
          <w:p w14:paraId="0855E0CE" w14:textId="77777777" w:rsidR="00A93A3B" w:rsidRPr="00F731E8" w:rsidRDefault="00A93A3B" w:rsidP="00264EE0">
            <w:pPr>
              <w:rPr>
                <w:rFonts w:ascii="Arial Narrow" w:hAnsi="Arial Narrow"/>
                <w:sz w:val="20"/>
              </w:rPr>
            </w:pPr>
            <w:r w:rsidRPr="00F731E8">
              <w:rPr>
                <w:rFonts w:ascii="Arial Narrow" w:hAnsi="Arial Narrow"/>
                <w:sz w:val="20"/>
              </w:rPr>
              <w:t>If intolerance to treatment develops during the relevant period of use, which is of a severity necessitating permanent treatment withdrawal, details of this toxicity must be provided at the time of application.</w:t>
            </w:r>
          </w:p>
        </w:tc>
      </w:tr>
      <w:tr w:rsidR="00A93A3B" w:rsidRPr="001428E9" w14:paraId="38901115"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030F7C9E" w14:textId="17D4FFCD" w:rsidR="00A93A3B" w:rsidRDefault="00A93A3B" w:rsidP="00264EE0">
            <w:pPr>
              <w:jc w:val="center"/>
              <w:rPr>
                <w:rFonts w:ascii="Arial Narrow" w:eastAsia="Times New Roman" w:hAnsi="Arial Narrow"/>
                <w:color w:val="333333"/>
                <w:sz w:val="20"/>
                <w:szCs w:val="20"/>
              </w:rPr>
            </w:pPr>
          </w:p>
        </w:tc>
        <w:tc>
          <w:tcPr>
            <w:tcW w:w="7700" w:type="dxa"/>
            <w:gridSpan w:val="6"/>
            <w:vAlign w:val="center"/>
          </w:tcPr>
          <w:p w14:paraId="042C74F8" w14:textId="77777777" w:rsidR="00A93A3B" w:rsidRPr="00F731E8" w:rsidRDefault="00A93A3B" w:rsidP="00264EE0">
            <w:pPr>
              <w:rPr>
                <w:rFonts w:ascii="Arial Narrow" w:hAnsi="Arial Narrow"/>
                <w:sz w:val="20"/>
              </w:rPr>
            </w:pPr>
            <w:r w:rsidRPr="00CE2C20">
              <w:rPr>
                <w:rFonts w:ascii="Arial Narrow" w:hAnsi="Arial Narrow"/>
                <w:sz w:val="20"/>
              </w:rPr>
              <w:t>Details of the accepted toxicities including severity can be found on the Services Australia website.</w:t>
            </w:r>
          </w:p>
        </w:tc>
      </w:tr>
      <w:tr w:rsidR="00A93A3B" w:rsidRPr="001428E9" w14:paraId="70E948AB"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09EC2BF0" w14:textId="61661132" w:rsidR="00A93A3B" w:rsidRDefault="00A93A3B" w:rsidP="00264EE0">
            <w:pPr>
              <w:jc w:val="center"/>
              <w:rPr>
                <w:rFonts w:ascii="Arial Narrow" w:eastAsia="Times New Roman" w:hAnsi="Arial Narrow"/>
                <w:color w:val="333333"/>
                <w:sz w:val="20"/>
                <w:szCs w:val="20"/>
              </w:rPr>
            </w:pPr>
          </w:p>
        </w:tc>
        <w:tc>
          <w:tcPr>
            <w:tcW w:w="7700" w:type="dxa"/>
            <w:gridSpan w:val="6"/>
            <w:vAlign w:val="center"/>
          </w:tcPr>
          <w:p w14:paraId="445E4E29" w14:textId="77777777" w:rsidR="00A93A3B" w:rsidRPr="00F731E8" w:rsidRDefault="00A93A3B" w:rsidP="00264EE0">
            <w:pPr>
              <w:rPr>
                <w:rFonts w:ascii="Arial Narrow" w:hAnsi="Arial Narrow"/>
                <w:sz w:val="20"/>
              </w:rPr>
            </w:pPr>
            <w:r w:rsidRPr="00F731E8">
              <w:rPr>
                <w:rFonts w:ascii="Arial Narrow" w:hAnsi="Arial Narrow"/>
                <w:sz w:val="20"/>
              </w:rPr>
              <w:t>Any one of the baseline criteria may be used to determine response to an initial course of treatment and eligibility for continued therapy, according to the criteria included in the continuing treatment restriction. However, the same criterion must be used for any subsequent determination of response to treatment, for the purpose of eligibility for continuing PBS-subsidised therapy.</w:t>
            </w:r>
          </w:p>
        </w:tc>
      </w:tr>
      <w:tr w:rsidR="00A93A3B" w:rsidRPr="001428E9" w14:paraId="088917AB"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4095B6CA" w14:textId="23AE8E12" w:rsidR="00A93A3B" w:rsidRPr="00CB441F" w:rsidRDefault="00A93A3B" w:rsidP="00264EE0">
            <w:pPr>
              <w:jc w:val="center"/>
              <w:rPr>
                <w:rFonts w:ascii="Arial Narrow" w:eastAsia="Times New Roman" w:hAnsi="Arial Narrow"/>
                <w:color w:val="333333"/>
                <w:sz w:val="20"/>
                <w:szCs w:val="20"/>
              </w:rPr>
            </w:pPr>
          </w:p>
        </w:tc>
        <w:tc>
          <w:tcPr>
            <w:tcW w:w="7700" w:type="dxa"/>
            <w:gridSpan w:val="6"/>
            <w:vAlign w:val="center"/>
          </w:tcPr>
          <w:p w14:paraId="4A924829" w14:textId="77777777" w:rsidR="00A93A3B" w:rsidRDefault="00A93A3B" w:rsidP="00264EE0">
            <w:pPr>
              <w:rPr>
                <w:rFonts w:ascii="Arial Narrow" w:hAnsi="Arial Narrow"/>
                <w:strike/>
                <w:sz w:val="20"/>
              </w:rPr>
            </w:pPr>
            <w:bookmarkStart w:id="57" w:name="_Hlk103346885"/>
            <w:r w:rsidRPr="00CE2C20">
              <w:rPr>
                <w:rFonts w:ascii="Arial Narrow" w:hAnsi="Arial Narrow"/>
                <w:strike/>
                <w:sz w:val="20"/>
              </w:rPr>
              <w:t>An assessment of a patient</w:t>
            </w:r>
            <w:r>
              <w:rPr>
                <w:rFonts w:ascii="Arial Narrow" w:hAnsi="Arial Narrow"/>
                <w:strike/>
                <w:sz w:val="20"/>
              </w:rPr>
              <w:t>’</w:t>
            </w:r>
            <w:r w:rsidRPr="00CE2C20">
              <w:rPr>
                <w:rFonts w:ascii="Arial Narrow" w:hAnsi="Arial Narrow"/>
                <w:strike/>
                <w:sz w:val="20"/>
              </w:rPr>
              <w:t xml:space="preserve">s response to an initial course of treatment must be conducted following a minimum of between weeks 12 weeks </w:t>
            </w:r>
            <w:r w:rsidRPr="00CE2C20">
              <w:rPr>
                <w:rFonts w:ascii="Arial Narrow" w:hAnsi="Arial Narrow"/>
                <w:i/>
                <w:iCs/>
                <w:strike/>
                <w:sz w:val="20"/>
              </w:rPr>
              <w:t xml:space="preserve">and 20 </w:t>
            </w:r>
            <w:r w:rsidRPr="00CE2C20">
              <w:rPr>
                <w:rFonts w:ascii="Arial Narrow" w:hAnsi="Arial Narrow"/>
                <w:strike/>
                <w:sz w:val="20"/>
              </w:rPr>
              <w:t xml:space="preserve">of therapy. An application for the continuing treatment must be accompanied with the assessment of response and submitted to the Department of Human Services </w:t>
            </w:r>
            <w:r w:rsidRPr="00CE2C20">
              <w:rPr>
                <w:rFonts w:ascii="Arial Narrow" w:hAnsi="Arial Narrow"/>
                <w:i/>
                <w:iCs/>
                <w:strike/>
                <w:sz w:val="20"/>
              </w:rPr>
              <w:t xml:space="preserve">Australia </w:t>
            </w:r>
            <w:r w:rsidRPr="00CE2C20">
              <w:rPr>
                <w:rFonts w:ascii="Arial Narrow" w:hAnsi="Arial Narrow"/>
                <w:strike/>
                <w:sz w:val="20"/>
              </w:rPr>
              <w:t>no later than 4 weeks from the date of completion of the most recent course of treatment. This will enable ongoing treatment for those who meet the continuing restriction for PBS-subsidised treatment.</w:t>
            </w:r>
            <w:bookmarkEnd w:id="57"/>
            <w:r>
              <w:rPr>
                <w:rFonts w:ascii="Arial Narrow" w:hAnsi="Arial Narrow"/>
                <w:strike/>
                <w:sz w:val="20"/>
              </w:rPr>
              <w:t xml:space="preserve"> </w:t>
            </w:r>
          </w:p>
          <w:p w14:paraId="68E7327F" w14:textId="77777777" w:rsidR="00A93A3B" w:rsidRPr="00CE2C20" w:rsidRDefault="00A93A3B" w:rsidP="00264EE0">
            <w:pPr>
              <w:rPr>
                <w:rFonts w:ascii="Arial Narrow" w:hAnsi="Arial Narrow"/>
                <w:strike/>
                <w:sz w:val="20"/>
              </w:rPr>
            </w:pPr>
            <w:r w:rsidRPr="00CE2C20">
              <w:rPr>
                <w:rFonts w:ascii="Arial Narrow" w:hAnsi="Arial Narrow"/>
                <w:sz w:val="20"/>
              </w:rPr>
              <w:t>An assessment of a patient's response to an initial course of treatment must be conducted following a minimum of 12 weeks of therapy. An application for the continuing treatment must be accompanied with the assessment of response and submitted no later than 4 weeks from the date of completion of the most recent course of treatment. This will enable ongoing treatment for those who meet the continuing restriction for PBS-subsidised treatment.</w:t>
            </w:r>
          </w:p>
        </w:tc>
      </w:tr>
      <w:tr w:rsidR="00A93A3B" w:rsidRPr="001428E9" w14:paraId="2BC4A71E"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0E5DB352" w14:textId="7A8D1962" w:rsidR="00A93A3B" w:rsidRDefault="00A93A3B" w:rsidP="00264EE0">
            <w:pPr>
              <w:jc w:val="center"/>
              <w:rPr>
                <w:rFonts w:ascii="Arial Narrow" w:eastAsia="Times New Roman" w:hAnsi="Arial Narrow"/>
                <w:color w:val="333333"/>
                <w:sz w:val="20"/>
                <w:szCs w:val="20"/>
              </w:rPr>
            </w:pPr>
          </w:p>
        </w:tc>
        <w:tc>
          <w:tcPr>
            <w:tcW w:w="7700" w:type="dxa"/>
            <w:gridSpan w:val="6"/>
            <w:vAlign w:val="center"/>
          </w:tcPr>
          <w:p w14:paraId="3BB50D1B" w14:textId="77777777" w:rsidR="00A93A3B" w:rsidRPr="00F731E8" w:rsidRDefault="00A93A3B" w:rsidP="00264EE0">
            <w:pPr>
              <w:rPr>
                <w:rFonts w:ascii="Arial Narrow" w:hAnsi="Arial Narrow"/>
                <w:sz w:val="20"/>
              </w:rPr>
            </w:pPr>
            <w:r w:rsidRPr="00CE2C20">
              <w:rPr>
                <w:rFonts w:ascii="Arial Narrow" w:hAnsi="Arial Narrow"/>
                <w:sz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A93A3B" w:rsidRPr="001428E9" w14:paraId="4C776BC1"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324BE95D" w14:textId="1213C46F" w:rsidR="00A93A3B" w:rsidRDefault="00A93A3B" w:rsidP="00264EE0">
            <w:pPr>
              <w:jc w:val="center"/>
              <w:rPr>
                <w:rFonts w:ascii="Arial Narrow" w:eastAsia="Times New Roman" w:hAnsi="Arial Narrow"/>
                <w:color w:val="333333"/>
                <w:sz w:val="20"/>
                <w:szCs w:val="20"/>
              </w:rPr>
            </w:pPr>
          </w:p>
        </w:tc>
        <w:tc>
          <w:tcPr>
            <w:tcW w:w="7700" w:type="dxa"/>
            <w:gridSpan w:val="6"/>
            <w:vAlign w:val="center"/>
          </w:tcPr>
          <w:p w14:paraId="254468DB" w14:textId="77777777" w:rsidR="00A93A3B" w:rsidRPr="00F731E8" w:rsidRDefault="00A93A3B" w:rsidP="00264EE0">
            <w:pPr>
              <w:rPr>
                <w:rFonts w:ascii="Arial Narrow" w:hAnsi="Arial Narrow"/>
                <w:sz w:val="20"/>
              </w:rPr>
            </w:pPr>
            <w:r w:rsidRPr="00F731E8">
              <w:rPr>
                <w:rFonts w:ascii="Arial Narrow" w:hAnsi="Arial Narrow"/>
                <w:sz w:val="20"/>
              </w:rP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p>
        </w:tc>
      </w:tr>
      <w:tr w:rsidR="00A93A3B" w:rsidRPr="001428E9" w14:paraId="16F69397" w14:textId="77777777" w:rsidTr="00264EE0">
        <w:tblPrEx>
          <w:tblCellMar>
            <w:top w:w="15" w:type="dxa"/>
            <w:bottom w:w="15" w:type="dxa"/>
          </w:tblCellMar>
        </w:tblPrEx>
        <w:trPr>
          <w:cantSplit/>
          <w:trHeight w:val="20"/>
        </w:trPr>
        <w:tc>
          <w:tcPr>
            <w:tcW w:w="1266" w:type="dxa"/>
            <w:gridSpan w:val="2"/>
            <w:vAlign w:val="center"/>
          </w:tcPr>
          <w:p w14:paraId="36DC451D" w14:textId="53FDD6E7" w:rsidR="00A93A3B" w:rsidRPr="001428E9" w:rsidRDefault="00A93A3B" w:rsidP="00264EE0">
            <w:pPr>
              <w:jc w:val="center"/>
              <w:rPr>
                <w:rFonts w:ascii="Arial Narrow" w:eastAsia="Times New Roman" w:hAnsi="Arial Narrow"/>
                <w:color w:val="333333"/>
                <w:sz w:val="20"/>
                <w:szCs w:val="20"/>
              </w:rPr>
            </w:pPr>
          </w:p>
        </w:tc>
        <w:tc>
          <w:tcPr>
            <w:tcW w:w="7700" w:type="dxa"/>
            <w:gridSpan w:val="6"/>
            <w:vAlign w:val="center"/>
            <w:hideMark/>
          </w:tcPr>
          <w:p w14:paraId="3B5437E9" w14:textId="77777777" w:rsidR="00A93A3B" w:rsidRPr="00A00479" w:rsidRDefault="00A93A3B" w:rsidP="00264EE0">
            <w:pPr>
              <w:rPr>
                <w:rFonts w:ascii="Arial Narrow" w:hAnsi="Arial Narrow"/>
                <w:sz w:val="20"/>
              </w:rPr>
            </w:pPr>
            <w:r w:rsidRPr="001428E9">
              <w:rPr>
                <w:rFonts w:ascii="Arial Narrow" w:eastAsia="Times New Roman" w:hAnsi="Arial Narrow"/>
                <w:b/>
                <w:bCs/>
                <w:color w:val="333333"/>
                <w:sz w:val="20"/>
                <w:szCs w:val="20"/>
              </w:rPr>
              <w:t>Administrative Advice:</w:t>
            </w:r>
            <w:r w:rsidRPr="001868FF">
              <w:rPr>
                <w:rFonts w:ascii="Arial Narrow" w:hAnsi="Arial Narrow"/>
                <w:sz w:val="20"/>
              </w:rPr>
              <w:t xml:space="preserve"> </w:t>
            </w:r>
            <w:r w:rsidRPr="00A00479">
              <w:rPr>
                <w:rFonts w:ascii="Arial Narrow" w:hAnsi="Arial Narrow"/>
                <w:sz w:val="20"/>
              </w:rPr>
              <w:t>Any queries concerning the arrangements to prescribe may be directed to Services Australia on 1800 700 270 (hours of operation 8 a.m. to 5 p.m. Monday to Friday).</w:t>
            </w:r>
          </w:p>
          <w:p w14:paraId="28F1BF56" w14:textId="77777777" w:rsidR="00A93A3B" w:rsidRPr="00A00479" w:rsidRDefault="00A93A3B" w:rsidP="00264EE0">
            <w:pPr>
              <w:rPr>
                <w:rFonts w:ascii="Arial Narrow" w:hAnsi="Arial Narrow"/>
                <w:sz w:val="20"/>
              </w:rPr>
            </w:pPr>
          </w:p>
          <w:p w14:paraId="5D4609FA" w14:textId="77777777" w:rsidR="00A93A3B" w:rsidRPr="00A00479" w:rsidRDefault="00A93A3B" w:rsidP="00264EE0">
            <w:pPr>
              <w:rPr>
                <w:rFonts w:ascii="Arial Narrow" w:hAnsi="Arial Narrow"/>
                <w:sz w:val="20"/>
              </w:rPr>
            </w:pPr>
            <w:r w:rsidRPr="00A00479">
              <w:rPr>
                <w:rFonts w:ascii="Arial Narrow" w:hAnsi="Arial Narrow"/>
                <w:sz w:val="20"/>
              </w:rPr>
              <w:t>Prescribing information (including Authority Application forms and other relevant documentation as applicable) is available on the Services Australia website at www.servicesaustralia.gov.au</w:t>
            </w:r>
          </w:p>
          <w:p w14:paraId="62F99D73" w14:textId="77777777" w:rsidR="00A93A3B" w:rsidRPr="00A00479" w:rsidRDefault="00A93A3B" w:rsidP="00264EE0">
            <w:pPr>
              <w:rPr>
                <w:rFonts w:ascii="Arial Narrow" w:hAnsi="Arial Narrow"/>
                <w:sz w:val="20"/>
              </w:rPr>
            </w:pPr>
          </w:p>
          <w:p w14:paraId="1D1A389E" w14:textId="77777777" w:rsidR="00A93A3B" w:rsidRPr="00A00479" w:rsidRDefault="00A93A3B" w:rsidP="00264EE0">
            <w:pPr>
              <w:rPr>
                <w:rFonts w:ascii="Arial Narrow" w:hAnsi="Arial Narrow"/>
                <w:sz w:val="20"/>
              </w:rPr>
            </w:pPr>
            <w:r w:rsidRPr="00A00479">
              <w:rPr>
                <w:rFonts w:ascii="Arial Narrow" w:hAnsi="Arial Narrow"/>
                <w:sz w:val="20"/>
              </w:rPr>
              <w:t>Applications for authority to prescribe should be submitted online using the form upload facility in Health Professional Online Services (HPOS) at www.servicesaustralia.gov.au/hpos</w:t>
            </w:r>
          </w:p>
          <w:p w14:paraId="11FAD833" w14:textId="77777777" w:rsidR="00A93A3B" w:rsidRPr="00A00479" w:rsidRDefault="00A93A3B" w:rsidP="00264EE0">
            <w:pPr>
              <w:rPr>
                <w:rFonts w:ascii="Arial Narrow" w:hAnsi="Arial Narrow"/>
                <w:sz w:val="20"/>
              </w:rPr>
            </w:pPr>
          </w:p>
          <w:p w14:paraId="5F44C4FD" w14:textId="77777777" w:rsidR="00A93A3B" w:rsidRPr="00A00479" w:rsidRDefault="00A93A3B" w:rsidP="00264EE0">
            <w:pPr>
              <w:rPr>
                <w:rFonts w:ascii="Arial Narrow" w:hAnsi="Arial Narrow"/>
                <w:sz w:val="20"/>
              </w:rPr>
            </w:pPr>
            <w:r w:rsidRPr="00A00479">
              <w:rPr>
                <w:rFonts w:ascii="Arial Narrow" w:hAnsi="Arial Narrow"/>
                <w:sz w:val="20"/>
              </w:rPr>
              <w:t>Or mailed to:</w:t>
            </w:r>
          </w:p>
          <w:p w14:paraId="6C45FB0B" w14:textId="77777777" w:rsidR="00A93A3B" w:rsidRPr="00A00479" w:rsidRDefault="00A93A3B" w:rsidP="00264EE0">
            <w:pPr>
              <w:rPr>
                <w:rFonts w:ascii="Arial Narrow" w:hAnsi="Arial Narrow"/>
                <w:sz w:val="20"/>
              </w:rPr>
            </w:pPr>
          </w:p>
          <w:p w14:paraId="53BCCCBB" w14:textId="77777777" w:rsidR="00A93A3B" w:rsidRPr="00A00479" w:rsidRDefault="00A93A3B" w:rsidP="00264EE0">
            <w:pPr>
              <w:rPr>
                <w:rFonts w:ascii="Arial Narrow" w:hAnsi="Arial Narrow"/>
                <w:sz w:val="20"/>
              </w:rPr>
            </w:pPr>
            <w:r w:rsidRPr="00A00479">
              <w:rPr>
                <w:rFonts w:ascii="Arial Narrow" w:hAnsi="Arial Narrow"/>
                <w:sz w:val="20"/>
              </w:rPr>
              <w:t>Services Australia</w:t>
            </w:r>
          </w:p>
          <w:p w14:paraId="0D0705F7" w14:textId="77777777" w:rsidR="00A93A3B" w:rsidRPr="00A00479" w:rsidRDefault="00A93A3B" w:rsidP="00264EE0">
            <w:pPr>
              <w:rPr>
                <w:rFonts w:ascii="Arial Narrow" w:hAnsi="Arial Narrow"/>
                <w:sz w:val="20"/>
              </w:rPr>
            </w:pPr>
          </w:p>
          <w:p w14:paraId="617C9B03" w14:textId="77777777" w:rsidR="00A93A3B" w:rsidRPr="00A00479" w:rsidRDefault="00A93A3B" w:rsidP="00264EE0">
            <w:pPr>
              <w:rPr>
                <w:rFonts w:ascii="Arial Narrow" w:hAnsi="Arial Narrow"/>
                <w:sz w:val="20"/>
              </w:rPr>
            </w:pPr>
            <w:r w:rsidRPr="00A00479">
              <w:rPr>
                <w:rFonts w:ascii="Arial Narrow" w:hAnsi="Arial Narrow"/>
                <w:sz w:val="20"/>
              </w:rPr>
              <w:t>Complex Drugs</w:t>
            </w:r>
          </w:p>
          <w:p w14:paraId="0453AA78" w14:textId="77777777" w:rsidR="00A93A3B" w:rsidRPr="00A00479" w:rsidRDefault="00A93A3B" w:rsidP="00264EE0">
            <w:pPr>
              <w:rPr>
                <w:rFonts w:ascii="Arial Narrow" w:hAnsi="Arial Narrow"/>
                <w:sz w:val="20"/>
              </w:rPr>
            </w:pPr>
          </w:p>
          <w:p w14:paraId="18BF720C" w14:textId="77777777" w:rsidR="00A93A3B" w:rsidRPr="00A00479" w:rsidRDefault="00A93A3B" w:rsidP="00264EE0">
            <w:pPr>
              <w:rPr>
                <w:rFonts w:ascii="Arial Narrow" w:hAnsi="Arial Narrow"/>
                <w:sz w:val="20"/>
              </w:rPr>
            </w:pPr>
            <w:r w:rsidRPr="00A00479">
              <w:rPr>
                <w:rFonts w:ascii="Arial Narrow" w:hAnsi="Arial Narrow"/>
                <w:sz w:val="20"/>
              </w:rPr>
              <w:t>Reply Paid 9826</w:t>
            </w:r>
          </w:p>
          <w:p w14:paraId="0386EF89" w14:textId="77777777" w:rsidR="00A93A3B" w:rsidRPr="00A00479" w:rsidRDefault="00A93A3B" w:rsidP="00264EE0">
            <w:pPr>
              <w:rPr>
                <w:rFonts w:ascii="Arial Narrow" w:hAnsi="Arial Narrow"/>
                <w:sz w:val="20"/>
              </w:rPr>
            </w:pPr>
          </w:p>
          <w:p w14:paraId="6A9FFE95" w14:textId="77777777" w:rsidR="00A93A3B" w:rsidRPr="001428E9" w:rsidRDefault="00A93A3B" w:rsidP="00264EE0">
            <w:pPr>
              <w:rPr>
                <w:rFonts w:ascii="Arial Narrow" w:eastAsia="Times New Roman" w:hAnsi="Arial Narrow"/>
                <w:color w:val="333333"/>
                <w:sz w:val="20"/>
                <w:szCs w:val="20"/>
              </w:rPr>
            </w:pPr>
            <w:r w:rsidRPr="00A00479">
              <w:rPr>
                <w:rFonts w:ascii="Arial Narrow" w:hAnsi="Arial Narrow"/>
                <w:sz w:val="20"/>
              </w:rPr>
              <w:t>HOBART TAS 7001</w:t>
            </w:r>
          </w:p>
        </w:tc>
      </w:tr>
      <w:tr w:rsidR="00A93A3B" w:rsidRPr="001428E9" w14:paraId="770E4073" w14:textId="77777777" w:rsidTr="00264EE0">
        <w:tblPrEx>
          <w:tblCellMar>
            <w:top w:w="15" w:type="dxa"/>
            <w:bottom w:w="15" w:type="dxa"/>
          </w:tblCellMar>
          <w:tblLook w:val="04A0" w:firstRow="1" w:lastRow="0" w:firstColumn="1" w:lastColumn="0" w:noHBand="0" w:noVBand="1"/>
        </w:tblPrEx>
        <w:trPr>
          <w:cantSplit/>
          <w:trHeight w:val="20"/>
        </w:trPr>
        <w:tc>
          <w:tcPr>
            <w:tcW w:w="8966" w:type="dxa"/>
            <w:gridSpan w:val="8"/>
            <w:vAlign w:val="center"/>
          </w:tcPr>
          <w:p w14:paraId="0C88CC32" w14:textId="77777777" w:rsidR="00A93A3B" w:rsidRPr="001428E9" w:rsidRDefault="00A93A3B" w:rsidP="00264EE0">
            <w:pPr>
              <w:rPr>
                <w:rFonts w:ascii="Arial Narrow" w:eastAsia="Times New Roman" w:hAnsi="Arial Narrow"/>
                <w:bCs/>
                <w:color w:val="FF0000"/>
                <w:sz w:val="20"/>
                <w:szCs w:val="20"/>
              </w:rPr>
            </w:pPr>
          </w:p>
        </w:tc>
      </w:tr>
      <w:tr w:rsidR="00A93A3B" w:rsidRPr="001428E9" w14:paraId="3054CA09" w14:textId="77777777" w:rsidTr="00264EE0">
        <w:tblPrEx>
          <w:tblCellMar>
            <w:top w:w="15" w:type="dxa"/>
            <w:bottom w:w="15" w:type="dxa"/>
          </w:tblCellMar>
          <w:tblLook w:val="04A0" w:firstRow="1" w:lastRow="0" w:firstColumn="1" w:lastColumn="0" w:noHBand="0" w:noVBand="1"/>
        </w:tblPrEx>
        <w:trPr>
          <w:cantSplit/>
          <w:trHeight w:val="20"/>
        </w:trPr>
        <w:tc>
          <w:tcPr>
            <w:tcW w:w="8966" w:type="dxa"/>
            <w:gridSpan w:val="8"/>
            <w:vAlign w:val="center"/>
          </w:tcPr>
          <w:p w14:paraId="78CB7502" w14:textId="77777777" w:rsidR="00A93A3B" w:rsidRPr="00F731E8" w:rsidRDefault="00A93A3B" w:rsidP="00264EE0">
            <w:pPr>
              <w:keepNext/>
              <w:keepLines/>
              <w:rPr>
                <w:rFonts w:ascii="Arial Narrow" w:eastAsia="Times New Roman" w:hAnsi="Arial Narrow"/>
                <w:b/>
                <w:bCs/>
                <w:sz w:val="20"/>
                <w:szCs w:val="20"/>
              </w:rPr>
            </w:pPr>
            <w:r w:rsidRPr="00F731E8">
              <w:rPr>
                <w:rFonts w:ascii="Arial Narrow" w:eastAsia="Times New Roman" w:hAnsi="Arial Narrow"/>
                <w:b/>
                <w:bCs/>
                <w:sz w:val="20"/>
                <w:szCs w:val="20"/>
              </w:rPr>
              <w:t>Restriction Summary 9746 / Treatment of Concept: 9655</w:t>
            </w:r>
          </w:p>
        </w:tc>
      </w:tr>
      <w:tr w:rsidR="00A93A3B" w:rsidRPr="001428E9" w14:paraId="63CBC104"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Merge w:val="restart"/>
            <w:tcBorders>
              <w:top w:val="single" w:sz="4" w:space="0" w:color="auto"/>
              <w:left w:val="single" w:sz="4" w:space="0" w:color="auto"/>
              <w:right w:val="single" w:sz="4" w:space="0" w:color="auto"/>
            </w:tcBorders>
          </w:tcPr>
          <w:p w14:paraId="3FD77BEF" w14:textId="77777777" w:rsidR="00A93A3B" w:rsidRPr="001428E9" w:rsidRDefault="00A93A3B" w:rsidP="00264EE0">
            <w:pPr>
              <w:jc w:val="center"/>
              <w:rPr>
                <w:rFonts w:ascii="Arial Narrow" w:hAnsi="Arial Narrow"/>
                <w:b/>
                <w:sz w:val="20"/>
                <w:szCs w:val="20"/>
              </w:rPr>
            </w:pPr>
            <w:r w:rsidRPr="001428E9">
              <w:rPr>
                <w:rFonts w:ascii="Arial Narrow" w:hAnsi="Arial Narrow"/>
                <w:b/>
                <w:sz w:val="20"/>
                <w:szCs w:val="20"/>
              </w:rPr>
              <w:t>Concept ID</w:t>
            </w:r>
            <w:r>
              <w:rPr>
                <w:rFonts w:ascii="Arial Narrow" w:hAnsi="Arial Narrow"/>
                <w:b/>
                <w:sz w:val="20"/>
                <w:szCs w:val="20"/>
              </w:rPr>
              <w:br/>
            </w:r>
            <w:r w:rsidRPr="001428E9">
              <w:rPr>
                <w:rFonts w:ascii="Arial Narrow" w:hAnsi="Arial Narrow"/>
                <w:sz w:val="20"/>
                <w:szCs w:val="20"/>
              </w:rPr>
              <w:t>(for internal Dept. use)</w:t>
            </w:r>
          </w:p>
        </w:tc>
        <w:tc>
          <w:tcPr>
            <w:tcW w:w="7700" w:type="dxa"/>
            <w:gridSpan w:val="6"/>
            <w:tcBorders>
              <w:top w:val="single" w:sz="4" w:space="0" w:color="auto"/>
              <w:left w:val="single" w:sz="4" w:space="0" w:color="auto"/>
              <w:bottom w:val="single" w:sz="4" w:space="0" w:color="auto"/>
              <w:right w:val="single" w:sz="4" w:space="0" w:color="auto"/>
            </w:tcBorders>
            <w:vAlign w:val="center"/>
          </w:tcPr>
          <w:p w14:paraId="2EA75099" w14:textId="4C2A4664" w:rsidR="00A93A3B" w:rsidRPr="001428E9" w:rsidRDefault="00A93A3B" w:rsidP="00264EE0">
            <w:pPr>
              <w:keepNext/>
              <w:keepLines/>
              <w:rPr>
                <w:rFonts w:ascii="Arial Narrow" w:hAnsi="Arial Narrow"/>
                <w:sz w:val="20"/>
                <w:szCs w:val="20"/>
              </w:rPr>
            </w:pPr>
            <w:r w:rsidRPr="001428E9">
              <w:rPr>
                <w:rFonts w:ascii="Arial Narrow" w:hAnsi="Arial Narrow"/>
                <w:b/>
                <w:sz w:val="20"/>
                <w:szCs w:val="20"/>
              </w:rPr>
              <w:t xml:space="preserve">Category / Program: </w:t>
            </w:r>
            <w:r w:rsidRPr="00F731E8">
              <w:rPr>
                <w:rFonts w:ascii="Arial Narrow" w:hAnsi="Arial Narrow"/>
                <w:sz w:val="20"/>
                <w:szCs w:val="20"/>
              </w:rPr>
              <w:t xml:space="preserve">S100 – Section 100 (Highly Specialised Drugs) </w:t>
            </w:r>
          </w:p>
        </w:tc>
      </w:tr>
      <w:tr w:rsidR="00A93A3B" w:rsidRPr="001428E9" w14:paraId="4D572415"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Merge/>
            <w:tcBorders>
              <w:left w:val="single" w:sz="4" w:space="0" w:color="auto"/>
              <w:right w:val="single" w:sz="4" w:space="0" w:color="auto"/>
            </w:tcBorders>
          </w:tcPr>
          <w:p w14:paraId="1AB8A294" w14:textId="77777777" w:rsidR="00A93A3B" w:rsidRPr="001428E9" w:rsidRDefault="00A93A3B" w:rsidP="00264EE0">
            <w:pPr>
              <w:rPr>
                <w:rFonts w:ascii="Arial Narrow" w:hAnsi="Arial Narrow"/>
                <w:sz w:val="20"/>
                <w:szCs w:val="20"/>
              </w:rPr>
            </w:pPr>
          </w:p>
        </w:tc>
        <w:tc>
          <w:tcPr>
            <w:tcW w:w="7700" w:type="dxa"/>
            <w:gridSpan w:val="6"/>
            <w:tcBorders>
              <w:top w:val="single" w:sz="4" w:space="0" w:color="auto"/>
              <w:left w:val="single" w:sz="4" w:space="0" w:color="auto"/>
              <w:bottom w:val="single" w:sz="4" w:space="0" w:color="auto"/>
              <w:right w:val="single" w:sz="4" w:space="0" w:color="auto"/>
            </w:tcBorders>
            <w:vAlign w:val="center"/>
          </w:tcPr>
          <w:p w14:paraId="3841BF5D" w14:textId="77777777" w:rsidR="00A93A3B" w:rsidRPr="001428E9" w:rsidRDefault="00A93A3B" w:rsidP="00264EE0">
            <w:pPr>
              <w:keepNext/>
              <w:keepLines/>
              <w:rPr>
                <w:rFonts w:ascii="Arial Narrow" w:hAnsi="Arial Narrow"/>
                <w:b/>
                <w:sz w:val="20"/>
                <w:szCs w:val="20"/>
              </w:rPr>
            </w:pPr>
            <w:r w:rsidRPr="001428E9">
              <w:rPr>
                <w:rFonts w:ascii="Arial Narrow" w:hAnsi="Arial Narrow"/>
                <w:b/>
                <w:sz w:val="20"/>
                <w:szCs w:val="20"/>
              </w:rPr>
              <w:t xml:space="preserve">Prescriber type: </w:t>
            </w:r>
            <w:r w:rsidRPr="001428E9">
              <w:rPr>
                <w:rFonts w:ascii="Arial Narrow" w:hAnsi="Arial Narrow"/>
                <w:sz w:val="20"/>
                <w:szCs w:val="20"/>
              </w:rPr>
              <w:t xml:space="preserve"> </w:t>
            </w:r>
            <w:r>
              <w:rPr>
                <w:rFonts w:ascii="Arial Narrow" w:hAnsi="Arial Narrow"/>
                <w:sz w:val="20"/>
                <w:szCs w:val="20"/>
              </w:rPr>
              <w:fldChar w:fldCharType="begin" w:fldLock="1">
                <w:ffData>
                  <w:name w:val=""/>
                  <w:enabled/>
                  <w:calcOnExit w:val="0"/>
                  <w:checkBox>
                    <w:sizeAuto/>
                    <w:default w:val="1"/>
                  </w:checkBox>
                </w:ffData>
              </w:fldChar>
            </w:r>
            <w:r>
              <w:rPr>
                <w:rFonts w:ascii="Arial Narrow" w:hAnsi="Arial Narrow"/>
                <w:sz w:val="20"/>
                <w:szCs w:val="20"/>
              </w:rPr>
              <w:instrText xml:space="preserve"> FORMCHECKBOX </w:instrText>
            </w:r>
            <w:r w:rsidR="00DE4045">
              <w:rPr>
                <w:rFonts w:ascii="Arial Narrow" w:hAnsi="Arial Narrow"/>
                <w:sz w:val="20"/>
                <w:szCs w:val="20"/>
              </w:rPr>
            </w:r>
            <w:r w:rsidR="00DE4045">
              <w:rPr>
                <w:rFonts w:ascii="Arial Narrow" w:hAnsi="Arial Narrow"/>
                <w:sz w:val="20"/>
                <w:szCs w:val="20"/>
              </w:rPr>
              <w:fldChar w:fldCharType="separate"/>
            </w:r>
            <w:r>
              <w:rPr>
                <w:rFonts w:ascii="Arial Narrow" w:hAnsi="Arial Narrow"/>
                <w:sz w:val="20"/>
                <w:szCs w:val="20"/>
              </w:rPr>
              <w:fldChar w:fldCharType="end"/>
            </w:r>
            <w:r w:rsidRPr="001428E9">
              <w:rPr>
                <w:rFonts w:ascii="Arial Narrow" w:hAnsi="Arial Narrow"/>
                <w:sz w:val="20"/>
                <w:szCs w:val="20"/>
              </w:rPr>
              <w:t>Medical Practitioners</w:t>
            </w:r>
          </w:p>
        </w:tc>
      </w:tr>
      <w:tr w:rsidR="00A93A3B" w:rsidRPr="001428E9" w14:paraId="43A2639C"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Merge/>
            <w:tcBorders>
              <w:left w:val="single" w:sz="4" w:space="0" w:color="auto"/>
              <w:bottom w:val="single" w:sz="4" w:space="0" w:color="auto"/>
              <w:right w:val="single" w:sz="4" w:space="0" w:color="auto"/>
            </w:tcBorders>
          </w:tcPr>
          <w:p w14:paraId="2310168B" w14:textId="77777777" w:rsidR="00A93A3B" w:rsidRPr="001428E9" w:rsidRDefault="00A93A3B" w:rsidP="00264EE0">
            <w:pPr>
              <w:rPr>
                <w:rFonts w:ascii="Arial Narrow" w:hAnsi="Arial Narrow"/>
                <w:sz w:val="20"/>
                <w:szCs w:val="20"/>
              </w:rPr>
            </w:pPr>
          </w:p>
        </w:tc>
        <w:tc>
          <w:tcPr>
            <w:tcW w:w="7700" w:type="dxa"/>
            <w:gridSpan w:val="6"/>
            <w:tcBorders>
              <w:top w:val="single" w:sz="4" w:space="0" w:color="auto"/>
              <w:left w:val="single" w:sz="4" w:space="0" w:color="auto"/>
              <w:bottom w:val="single" w:sz="4" w:space="0" w:color="auto"/>
              <w:right w:val="single" w:sz="4" w:space="0" w:color="auto"/>
            </w:tcBorders>
            <w:vAlign w:val="center"/>
          </w:tcPr>
          <w:p w14:paraId="3B3D8EF7" w14:textId="77777777" w:rsidR="00A93A3B" w:rsidRPr="00C02D56" w:rsidRDefault="00A93A3B" w:rsidP="00264EE0">
            <w:pPr>
              <w:keepNext/>
              <w:keepLines/>
              <w:rPr>
                <w:rFonts w:ascii="Arial Narrow" w:eastAsia="Calibri" w:hAnsi="Arial Narrow"/>
                <w:sz w:val="20"/>
                <w:szCs w:val="20"/>
              </w:rPr>
            </w:pPr>
            <w:r w:rsidRPr="001428E9">
              <w:rPr>
                <w:rFonts w:ascii="Arial Narrow" w:hAnsi="Arial Narrow"/>
                <w:b/>
                <w:sz w:val="20"/>
                <w:szCs w:val="20"/>
              </w:rPr>
              <w:t xml:space="preserve">Restriction type: </w:t>
            </w:r>
            <w:r>
              <w:rPr>
                <w:rFonts w:ascii="Arial Narrow" w:eastAsia="Calibri" w:hAnsi="Arial Narrow"/>
                <w:sz w:val="20"/>
                <w:szCs w:val="20"/>
              </w:rPr>
              <w:fldChar w:fldCharType="begin" w:fldLock="1">
                <w:ffData>
                  <w:name w:val=""/>
                  <w:enabled/>
                  <w:calcOnExit w:val="0"/>
                  <w:checkBox>
                    <w:sizeAuto/>
                    <w:default w:val="1"/>
                  </w:checkBox>
                </w:ffData>
              </w:fldChar>
            </w:r>
            <w:r>
              <w:rPr>
                <w:rFonts w:ascii="Arial Narrow" w:eastAsia="Calibri" w:hAnsi="Arial Narrow"/>
                <w:sz w:val="20"/>
                <w:szCs w:val="20"/>
              </w:rPr>
              <w:instrText xml:space="preserve"> FORMCHECKBOX </w:instrText>
            </w:r>
            <w:r w:rsidR="00DE4045">
              <w:rPr>
                <w:rFonts w:ascii="Arial Narrow" w:eastAsia="Calibri" w:hAnsi="Arial Narrow"/>
                <w:sz w:val="20"/>
                <w:szCs w:val="20"/>
              </w:rPr>
            </w:r>
            <w:r w:rsidR="00DE4045">
              <w:rPr>
                <w:rFonts w:ascii="Arial Narrow" w:eastAsia="Calibri" w:hAnsi="Arial Narrow"/>
                <w:sz w:val="20"/>
                <w:szCs w:val="20"/>
              </w:rPr>
              <w:fldChar w:fldCharType="separate"/>
            </w:r>
            <w:r>
              <w:rPr>
                <w:rFonts w:ascii="Arial Narrow" w:eastAsia="Calibri" w:hAnsi="Arial Narrow"/>
                <w:sz w:val="20"/>
                <w:szCs w:val="20"/>
              </w:rPr>
              <w:fldChar w:fldCharType="end"/>
            </w:r>
            <w:r w:rsidRPr="001428E9">
              <w:rPr>
                <w:rFonts w:ascii="Arial Narrow" w:eastAsia="Calibri" w:hAnsi="Arial Narrow"/>
                <w:sz w:val="20"/>
                <w:szCs w:val="20"/>
              </w:rPr>
              <w:t>Authority Required –</w:t>
            </w:r>
            <w:r>
              <w:rPr>
                <w:rFonts w:ascii="Arial Narrow" w:eastAsia="Calibri" w:hAnsi="Arial Narrow"/>
                <w:sz w:val="20"/>
                <w:szCs w:val="20"/>
              </w:rPr>
              <w:t xml:space="preserve"> In Writing </w:t>
            </w:r>
          </w:p>
        </w:tc>
      </w:tr>
      <w:tr w:rsidR="00A93A3B" w:rsidRPr="001428E9" w14:paraId="6D7AD243" w14:textId="77777777" w:rsidTr="00092C71">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47D43542" w14:textId="0CDB4871" w:rsidR="00A93A3B" w:rsidRPr="001428E9" w:rsidRDefault="00A93A3B" w:rsidP="00264EE0">
            <w:pPr>
              <w:jc w:val="center"/>
              <w:rPr>
                <w:rFonts w:ascii="Arial Narrow" w:eastAsia="Times New Roman" w:hAnsi="Arial Narrow"/>
                <w:color w:val="333333"/>
                <w:sz w:val="20"/>
                <w:szCs w:val="20"/>
              </w:rPr>
            </w:pPr>
          </w:p>
        </w:tc>
        <w:tc>
          <w:tcPr>
            <w:tcW w:w="7700" w:type="dxa"/>
            <w:gridSpan w:val="6"/>
            <w:vAlign w:val="center"/>
            <w:hideMark/>
          </w:tcPr>
          <w:p w14:paraId="330BF9CC" w14:textId="77777777" w:rsidR="00A93A3B" w:rsidRPr="001428E9" w:rsidRDefault="00A93A3B" w:rsidP="00264EE0">
            <w:pPr>
              <w:rPr>
                <w:rFonts w:ascii="Arial Narrow" w:eastAsia="Times New Roman" w:hAnsi="Arial Narrow"/>
                <w:color w:val="333333"/>
                <w:sz w:val="20"/>
                <w:szCs w:val="20"/>
              </w:rPr>
            </w:pPr>
            <w:r w:rsidRPr="001428E9">
              <w:rPr>
                <w:rFonts w:ascii="Arial Narrow" w:eastAsia="Times New Roman" w:hAnsi="Arial Narrow"/>
                <w:b/>
                <w:bCs/>
                <w:color w:val="333333"/>
                <w:sz w:val="20"/>
                <w:szCs w:val="20"/>
              </w:rPr>
              <w:t>Indication:</w:t>
            </w:r>
            <w:r w:rsidRPr="001428E9">
              <w:rPr>
                <w:rFonts w:ascii="Arial Narrow" w:eastAsia="Times New Roman" w:hAnsi="Arial Narrow"/>
                <w:color w:val="333333"/>
                <w:sz w:val="20"/>
                <w:szCs w:val="20"/>
              </w:rPr>
              <w:t xml:space="preserve"> </w:t>
            </w:r>
            <w:r>
              <w:rPr>
                <w:rFonts w:ascii="Arial Narrow" w:eastAsia="Times New Roman" w:hAnsi="Arial Narrow"/>
                <w:color w:val="333333"/>
                <w:sz w:val="20"/>
                <w:szCs w:val="20"/>
              </w:rPr>
              <w:t>Severe Crohn disease</w:t>
            </w:r>
          </w:p>
        </w:tc>
      </w:tr>
      <w:tr w:rsidR="00A93A3B" w:rsidRPr="001428E9" w14:paraId="3F32D059" w14:textId="77777777" w:rsidTr="00092C71">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1BE1354D" w14:textId="77777777" w:rsidR="00A93A3B" w:rsidRPr="001428E9" w:rsidRDefault="00A93A3B" w:rsidP="00264EE0">
            <w:pPr>
              <w:jc w:val="center"/>
              <w:rPr>
                <w:rFonts w:ascii="Arial Narrow" w:eastAsia="Times New Roman" w:hAnsi="Arial Narrow"/>
                <w:color w:val="333333"/>
                <w:sz w:val="20"/>
                <w:szCs w:val="20"/>
              </w:rPr>
            </w:pPr>
          </w:p>
        </w:tc>
        <w:tc>
          <w:tcPr>
            <w:tcW w:w="7700" w:type="dxa"/>
            <w:gridSpan w:val="6"/>
            <w:vAlign w:val="center"/>
            <w:hideMark/>
          </w:tcPr>
          <w:p w14:paraId="29C68040" w14:textId="77777777" w:rsidR="00A93A3B" w:rsidRPr="00C02D56" w:rsidRDefault="00A93A3B" w:rsidP="00264EE0">
            <w:pPr>
              <w:rPr>
                <w:rFonts w:ascii="Arial Narrow" w:eastAsia="Times New Roman" w:hAnsi="Arial Narrow"/>
                <w:sz w:val="20"/>
                <w:szCs w:val="20"/>
              </w:rPr>
            </w:pPr>
            <w:r w:rsidRPr="001428E9">
              <w:rPr>
                <w:rFonts w:ascii="Arial Narrow" w:eastAsia="Times New Roman" w:hAnsi="Arial Narrow"/>
                <w:b/>
                <w:bCs/>
                <w:color w:val="333333"/>
                <w:sz w:val="20"/>
                <w:szCs w:val="20"/>
              </w:rPr>
              <w:t>Treatment Phase:</w:t>
            </w:r>
            <w:r w:rsidRPr="001428E9">
              <w:rPr>
                <w:rFonts w:ascii="Arial Narrow" w:eastAsia="Times New Roman" w:hAnsi="Arial Narrow"/>
                <w:color w:val="FF0000"/>
                <w:sz w:val="20"/>
                <w:szCs w:val="20"/>
              </w:rPr>
              <w:t xml:space="preserve"> </w:t>
            </w:r>
            <w:r w:rsidRPr="00F731E8">
              <w:rPr>
                <w:rFonts w:ascii="Arial Narrow" w:eastAsia="Times New Roman" w:hAnsi="Arial Narrow"/>
                <w:sz w:val="20"/>
                <w:szCs w:val="20"/>
              </w:rPr>
              <w:t>Initial treatment – Initial 2 (change or recommencement of treatment after a break in biological medicine of less than 5 years)</w:t>
            </w:r>
          </w:p>
        </w:tc>
      </w:tr>
      <w:tr w:rsidR="00A93A3B" w:rsidRPr="001428E9" w14:paraId="07360072"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1B6FA98C" w14:textId="5376CFEC" w:rsidR="00A93A3B" w:rsidRPr="001428E9" w:rsidRDefault="00A93A3B" w:rsidP="00264EE0">
            <w:pPr>
              <w:jc w:val="center"/>
              <w:rPr>
                <w:rFonts w:ascii="Arial Narrow" w:eastAsia="Times New Roman" w:hAnsi="Arial Narrow"/>
                <w:color w:val="333333"/>
                <w:sz w:val="20"/>
                <w:szCs w:val="20"/>
              </w:rPr>
            </w:pPr>
          </w:p>
        </w:tc>
        <w:tc>
          <w:tcPr>
            <w:tcW w:w="7700" w:type="dxa"/>
            <w:gridSpan w:val="6"/>
            <w:vAlign w:val="center"/>
          </w:tcPr>
          <w:p w14:paraId="25C810B7" w14:textId="77777777" w:rsidR="00A93A3B" w:rsidRPr="001428E9" w:rsidRDefault="00A93A3B" w:rsidP="00264EE0">
            <w:pPr>
              <w:rPr>
                <w:rFonts w:ascii="Arial Narrow" w:eastAsia="Times New Roman" w:hAnsi="Arial Narrow"/>
                <w:b/>
                <w:bCs/>
                <w:color w:val="333333"/>
                <w:sz w:val="20"/>
                <w:szCs w:val="20"/>
              </w:rPr>
            </w:pPr>
            <w:r>
              <w:rPr>
                <w:rFonts w:ascii="Arial Narrow" w:eastAsia="Times New Roman" w:hAnsi="Arial Narrow"/>
                <w:b/>
                <w:bCs/>
                <w:color w:val="333333"/>
                <w:sz w:val="20"/>
                <w:szCs w:val="20"/>
              </w:rPr>
              <w:t xml:space="preserve">Clinical criteria: </w:t>
            </w:r>
          </w:p>
        </w:tc>
      </w:tr>
      <w:tr w:rsidR="00A93A3B" w:rsidRPr="001428E9" w14:paraId="36363FFF" w14:textId="77777777" w:rsidTr="00264EE0">
        <w:tblPrEx>
          <w:tblCellMar>
            <w:top w:w="15" w:type="dxa"/>
            <w:bottom w:w="15" w:type="dxa"/>
          </w:tblCellMar>
          <w:tblLook w:val="04A0" w:firstRow="1" w:lastRow="0" w:firstColumn="1" w:lastColumn="0" w:noHBand="0" w:noVBand="1"/>
        </w:tblPrEx>
        <w:trPr>
          <w:cantSplit/>
          <w:trHeight w:val="396"/>
        </w:trPr>
        <w:tc>
          <w:tcPr>
            <w:tcW w:w="1266" w:type="dxa"/>
            <w:gridSpan w:val="2"/>
            <w:vAlign w:val="center"/>
          </w:tcPr>
          <w:p w14:paraId="3DBBBF39" w14:textId="10136568" w:rsidR="00A93A3B" w:rsidRPr="001428E9" w:rsidRDefault="00A93A3B" w:rsidP="00264EE0">
            <w:pPr>
              <w:jc w:val="center"/>
              <w:rPr>
                <w:rFonts w:ascii="Arial Narrow" w:eastAsia="Times New Roman" w:hAnsi="Arial Narrow"/>
                <w:color w:val="333333"/>
                <w:sz w:val="20"/>
                <w:szCs w:val="20"/>
              </w:rPr>
            </w:pPr>
          </w:p>
        </w:tc>
        <w:tc>
          <w:tcPr>
            <w:tcW w:w="7700" w:type="dxa"/>
            <w:gridSpan w:val="6"/>
            <w:vAlign w:val="center"/>
          </w:tcPr>
          <w:p w14:paraId="66A3D52E" w14:textId="77777777" w:rsidR="00A93A3B" w:rsidRPr="001428E9" w:rsidRDefault="00A93A3B" w:rsidP="00264EE0">
            <w:pPr>
              <w:rPr>
                <w:rFonts w:ascii="Arial Narrow" w:eastAsia="Times New Roman" w:hAnsi="Arial Narrow"/>
                <w:b/>
                <w:bCs/>
                <w:color w:val="333333"/>
                <w:sz w:val="20"/>
                <w:szCs w:val="20"/>
              </w:rPr>
            </w:pPr>
            <w:r w:rsidRPr="0086121F">
              <w:rPr>
                <w:rFonts w:ascii="Arial Narrow" w:hAnsi="Arial Narrow"/>
                <w:sz w:val="20"/>
              </w:rPr>
              <w:t>Patient must have received prior PBS-subsidised treatment with a biological medicine for this condition in this treatment cycle,</w:t>
            </w:r>
          </w:p>
        </w:tc>
      </w:tr>
      <w:tr w:rsidR="00A93A3B" w:rsidRPr="001428E9" w14:paraId="5F2CA926"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5A41DDE5" w14:textId="77777777" w:rsidR="00A93A3B" w:rsidRPr="001428E9" w:rsidRDefault="00A93A3B" w:rsidP="00264EE0">
            <w:pPr>
              <w:jc w:val="center"/>
              <w:rPr>
                <w:rFonts w:ascii="Arial Narrow" w:eastAsia="Times New Roman" w:hAnsi="Arial Narrow"/>
                <w:color w:val="333333"/>
                <w:sz w:val="20"/>
                <w:szCs w:val="20"/>
              </w:rPr>
            </w:pPr>
          </w:p>
        </w:tc>
        <w:tc>
          <w:tcPr>
            <w:tcW w:w="7700" w:type="dxa"/>
            <w:gridSpan w:val="6"/>
            <w:vAlign w:val="center"/>
          </w:tcPr>
          <w:p w14:paraId="2BEA863D" w14:textId="77777777" w:rsidR="00A93A3B" w:rsidRPr="001428E9" w:rsidRDefault="00A93A3B" w:rsidP="00264EE0">
            <w:pPr>
              <w:rPr>
                <w:rFonts w:ascii="Arial Narrow" w:eastAsia="Times New Roman" w:hAnsi="Arial Narrow"/>
                <w:b/>
                <w:bCs/>
                <w:color w:val="333333"/>
                <w:sz w:val="20"/>
                <w:szCs w:val="20"/>
              </w:rPr>
            </w:pPr>
            <w:r>
              <w:rPr>
                <w:rFonts w:ascii="Arial Narrow" w:eastAsia="Times New Roman" w:hAnsi="Arial Narrow"/>
                <w:b/>
                <w:bCs/>
                <w:color w:val="333333"/>
                <w:sz w:val="20"/>
                <w:szCs w:val="20"/>
              </w:rPr>
              <w:t>AND</w:t>
            </w:r>
          </w:p>
        </w:tc>
      </w:tr>
      <w:tr w:rsidR="00A93A3B" w:rsidRPr="001428E9" w14:paraId="5F18AFE5"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4F621296" w14:textId="532603FF" w:rsidR="00A93A3B" w:rsidRPr="001428E9" w:rsidRDefault="00A93A3B" w:rsidP="00264EE0">
            <w:pPr>
              <w:jc w:val="center"/>
              <w:rPr>
                <w:rFonts w:ascii="Arial Narrow" w:eastAsia="Times New Roman" w:hAnsi="Arial Narrow"/>
                <w:color w:val="333333"/>
                <w:sz w:val="20"/>
                <w:szCs w:val="20"/>
              </w:rPr>
            </w:pPr>
          </w:p>
        </w:tc>
        <w:tc>
          <w:tcPr>
            <w:tcW w:w="7700" w:type="dxa"/>
            <w:gridSpan w:val="6"/>
            <w:vAlign w:val="center"/>
          </w:tcPr>
          <w:p w14:paraId="006FE108" w14:textId="77777777" w:rsidR="00A93A3B" w:rsidRPr="001428E9" w:rsidRDefault="00A93A3B" w:rsidP="00264EE0">
            <w:pPr>
              <w:rPr>
                <w:rFonts w:ascii="Arial Narrow" w:eastAsia="Times New Roman" w:hAnsi="Arial Narrow"/>
                <w:b/>
                <w:bCs/>
                <w:color w:val="333333"/>
                <w:sz w:val="20"/>
                <w:szCs w:val="20"/>
              </w:rPr>
            </w:pPr>
            <w:r>
              <w:rPr>
                <w:rFonts w:ascii="Arial Narrow" w:eastAsia="Times New Roman" w:hAnsi="Arial Narrow"/>
                <w:b/>
                <w:bCs/>
                <w:color w:val="333333"/>
                <w:sz w:val="20"/>
                <w:szCs w:val="20"/>
              </w:rPr>
              <w:t>Clinical criteria:</w:t>
            </w:r>
          </w:p>
        </w:tc>
      </w:tr>
      <w:tr w:rsidR="00A93A3B" w:rsidRPr="001428E9" w14:paraId="5B931A97"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5120C2AD" w14:textId="747436D5" w:rsidR="00A93A3B" w:rsidRPr="001428E9" w:rsidRDefault="00A93A3B" w:rsidP="00264EE0">
            <w:pPr>
              <w:jc w:val="center"/>
              <w:rPr>
                <w:rFonts w:ascii="Arial Narrow" w:eastAsia="Times New Roman" w:hAnsi="Arial Narrow"/>
                <w:color w:val="333333"/>
                <w:sz w:val="20"/>
                <w:szCs w:val="20"/>
              </w:rPr>
            </w:pPr>
          </w:p>
        </w:tc>
        <w:tc>
          <w:tcPr>
            <w:tcW w:w="7700" w:type="dxa"/>
            <w:gridSpan w:val="6"/>
            <w:vAlign w:val="center"/>
          </w:tcPr>
          <w:p w14:paraId="70D94E05" w14:textId="77777777" w:rsidR="00A93A3B" w:rsidRPr="001428E9" w:rsidRDefault="00A93A3B" w:rsidP="00264EE0">
            <w:pPr>
              <w:rPr>
                <w:rFonts w:ascii="Arial Narrow" w:eastAsia="Times New Roman" w:hAnsi="Arial Narrow"/>
                <w:b/>
                <w:bCs/>
                <w:color w:val="333333"/>
                <w:sz w:val="20"/>
                <w:szCs w:val="20"/>
              </w:rPr>
            </w:pPr>
            <w:r w:rsidRPr="0086121F">
              <w:rPr>
                <w:rFonts w:ascii="Arial Narrow" w:hAnsi="Arial Narrow"/>
                <w:sz w:val="20"/>
              </w:rPr>
              <w:t>Patient must not have failed, or ceased to respond to, PBS-subsidised treatment with this drug for this condition during the current treatment cycle</w:t>
            </w:r>
          </w:p>
        </w:tc>
      </w:tr>
      <w:tr w:rsidR="00A93A3B" w:rsidRPr="001428E9" w14:paraId="348EAE11"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356FE79A" w14:textId="77777777" w:rsidR="00A93A3B" w:rsidRPr="001428E9" w:rsidRDefault="00A93A3B" w:rsidP="00264EE0">
            <w:pPr>
              <w:jc w:val="center"/>
              <w:rPr>
                <w:rFonts w:ascii="Arial Narrow" w:eastAsia="Times New Roman" w:hAnsi="Arial Narrow"/>
                <w:color w:val="333333"/>
                <w:sz w:val="20"/>
                <w:szCs w:val="20"/>
              </w:rPr>
            </w:pPr>
          </w:p>
        </w:tc>
        <w:tc>
          <w:tcPr>
            <w:tcW w:w="7700" w:type="dxa"/>
            <w:gridSpan w:val="6"/>
            <w:vAlign w:val="center"/>
          </w:tcPr>
          <w:p w14:paraId="2114C322" w14:textId="77777777" w:rsidR="00A93A3B" w:rsidRPr="001428E9" w:rsidRDefault="00A93A3B" w:rsidP="00264EE0">
            <w:pPr>
              <w:rPr>
                <w:rFonts w:ascii="Arial Narrow" w:eastAsia="Times New Roman" w:hAnsi="Arial Narrow"/>
                <w:b/>
                <w:bCs/>
                <w:color w:val="333333"/>
                <w:sz w:val="20"/>
                <w:szCs w:val="20"/>
              </w:rPr>
            </w:pPr>
            <w:r>
              <w:rPr>
                <w:rFonts w:ascii="Arial Narrow" w:eastAsia="Times New Roman" w:hAnsi="Arial Narrow"/>
                <w:b/>
                <w:bCs/>
                <w:color w:val="333333"/>
                <w:sz w:val="20"/>
                <w:szCs w:val="20"/>
              </w:rPr>
              <w:t>AND</w:t>
            </w:r>
          </w:p>
        </w:tc>
      </w:tr>
      <w:tr w:rsidR="00A93A3B" w:rsidRPr="001428E9" w14:paraId="5F9F0827"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60B89D49" w14:textId="77777777" w:rsidR="00A93A3B" w:rsidRPr="009B1042" w:rsidRDefault="00A93A3B" w:rsidP="00264EE0">
            <w:pPr>
              <w:jc w:val="center"/>
              <w:rPr>
                <w:rFonts w:ascii="Arial Narrow" w:eastAsia="Times New Roman" w:hAnsi="Arial Narrow"/>
                <w:color w:val="333333"/>
                <w:sz w:val="20"/>
                <w:szCs w:val="20"/>
              </w:rPr>
            </w:pPr>
          </w:p>
        </w:tc>
        <w:tc>
          <w:tcPr>
            <w:tcW w:w="7700" w:type="dxa"/>
            <w:gridSpan w:val="6"/>
            <w:vAlign w:val="center"/>
          </w:tcPr>
          <w:p w14:paraId="2576F4EE" w14:textId="77777777" w:rsidR="00A93A3B" w:rsidRPr="001428E9" w:rsidRDefault="00A93A3B" w:rsidP="00264EE0">
            <w:pPr>
              <w:rPr>
                <w:rFonts w:ascii="Arial Narrow" w:eastAsia="Times New Roman" w:hAnsi="Arial Narrow"/>
                <w:b/>
                <w:bCs/>
                <w:color w:val="333333"/>
                <w:sz w:val="20"/>
                <w:szCs w:val="20"/>
              </w:rPr>
            </w:pPr>
            <w:r>
              <w:rPr>
                <w:rFonts w:ascii="Arial Narrow" w:eastAsia="Times New Roman" w:hAnsi="Arial Narrow"/>
                <w:b/>
                <w:bCs/>
                <w:color w:val="333333"/>
                <w:sz w:val="20"/>
                <w:szCs w:val="20"/>
              </w:rPr>
              <w:t>Clinical criteria:</w:t>
            </w:r>
          </w:p>
        </w:tc>
      </w:tr>
      <w:tr w:rsidR="00A93A3B" w:rsidRPr="001428E9" w14:paraId="5859C61E"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7308BB1F" w14:textId="2A956953" w:rsidR="00A93A3B" w:rsidRPr="00F731E8" w:rsidRDefault="00A93A3B" w:rsidP="00264EE0">
            <w:pPr>
              <w:jc w:val="center"/>
              <w:rPr>
                <w:rFonts w:ascii="Arial Narrow" w:eastAsia="Times New Roman" w:hAnsi="Arial Narrow"/>
                <w:i/>
                <w:iCs/>
                <w:color w:val="333333"/>
                <w:sz w:val="20"/>
                <w:szCs w:val="20"/>
              </w:rPr>
            </w:pPr>
          </w:p>
        </w:tc>
        <w:tc>
          <w:tcPr>
            <w:tcW w:w="7700" w:type="dxa"/>
            <w:gridSpan w:val="6"/>
            <w:vAlign w:val="center"/>
          </w:tcPr>
          <w:p w14:paraId="30FF973D" w14:textId="77777777" w:rsidR="00A93A3B" w:rsidRPr="00F731E8" w:rsidRDefault="00A93A3B" w:rsidP="00264EE0">
            <w:pPr>
              <w:rPr>
                <w:rFonts w:ascii="Arial Narrow" w:eastAsia="Times New Roman" w:hAnsi="Arial Narrow"/>
                <w:b/>
                <w:bCs/>
                <w:i/>
                <w:color w:val="333333"/>
                <w:sz w:val="20"/>
                <w:szCs w:val="20"/>
              </w:rPr>
            </w:pPr>
            <w:r w:rsidRPr="0086121F">
              <w:rPr>
                <w:rFonts w:ascii="Arial Narrow" w:hAnsi="Arial Narrow"/>
                <w:i/>
                <w:sz w:val="20"/>
              </w:rPr>
              <w:t>The treatment must not exceed a total of 3 doses to be administered at weeks 0,4 and 8 under this restriction.</w:t>
            </w:r>
          </w:p>
        </w:tc>
      </w:tr>
      <w:tr w:rsidR="00A93A3B" w:rsidRPr="001428E9" w14:paraId="5D578580"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07124744" w14:textId="40F66A6C" w:rsidR="00A93A3B" w:rsidRPr="001428E9" w:rsidRDefault="00A93A3B" w:rsidP="00264EE0">
            <w:pPr>
              <w:jc w:val="center"/>
              <w:rPr>
                <w:rFonts w:ascii="Arial Narrow" w:eastAsia="Times New Roman" w:hAnsi="Arial Narrow"/>
                <w:color w:val="333333"/>
                <w:sz w:val="20"/>
                <w:szCs w:val="20"/>
              </w:rPr>
            </w:pPr>
          </w:p>
        </w:tc>
        <w:tc>
          <w:tcPr>
            <w:tcW w:w="7700" w:type="dxa"/>
            <w:gridSpan w:val="6"/>
            <w:vAlign w:val="center"/>
          </w:tcPr>
          <w:p w14:paraId="6344B16D" w14:textId="77777777" w:rsidR="00A93A3B" w:rsidRPr="001428E9" w:rsidRDefault="00A93A3B" w:rsidP="00264EE0">
            <w:pPr>
              <w:rPr>
                <w:rFonts w:ascii="Arial Narrow" w:eastAsia="Times New Roman" w:hAnsi="Arial Narrow"/>
                <w:b/>
                <w:bCs/>
                <w:color w:val="333333"/>
                <w:sz w:val="20"/>
                <w:szCs w:val="20"/>
              </w:rPr>
            </w:pPr>
            <w:r>
              <w:rPr>
                <w:rFonts w:ascii="Arial Narrow" w:eastAsia="Times New Roman" w:hAnsi="Arial Narrow"/>
                <w:b/>
                <w:bCs/>
                <w:color w:val="333333"/>
                <w:sz w:val="20"/>
                <w:szCs w:val="20"/>
              </w:rPr>
              <w:t xml:space="preserve">Treatment criteria: </w:t>
            </w:r>
          </w:p>
        </w:tc>
      </w:tr>
      <w:tr w:rsidR="00A93A3B" w:rsidRPr="001428E9" w14:paraId="617C1252"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01A976B7" w14:textId="485D7FD5" w:rsidR="00A93A3B" w:rsidRPr="001428E9" w:rsidRDefault="00A93A3B" w:rsidP="00264EE0">
            <w:pPr>
              <w:jc w:val="center"/>
              <w:rPr>
                <w:rFonts w:ascii="Arial Narrow" w:eastAsia="Times New Roman" w:hAnsi="Arial Narrow"/>
                <w:color w:val="333333"/>
                <w:sz w:val="20"/>
                <w:szCs w:val="20"/>
              </w:rPr>
            </w:pPr>
          </w:p>
        </w:tc>
        <w:tc>
          <w:tcPr>
            <w:tcW w:w="7700" w:type="dxa"/>
            <w:gridSpan w:val="6"/>
            <w:vAlign w:val="center"/>
          </w:tcPr>
          <w:p w14:paraId="5D3BFD95" w14:textId="77777777" w:rsidR="00A93A3B" w:rsidRPr="0086121F" w:rsidRDefault="00A93A3B" w:rsidP="00264EE0">
            <w:pPr>
              <w:rPr>
                <w:rFonts w:ascii="Arial Narrow" w:eastAsia="Times New Roman" w:hAnsi="Arial Narrow"/>
                <w:b/>
                <w:bCs/>
                <w:color w:val="333333"/>
                <w:sz w:val="20"/>
                <w:szCs w:val="20"/>
              </w:rPr>
            </w:pPr>
            <w:r w:rsidRPr="0086121F">
              <w:rPr>
                <w:rFonts w:ascii="Arial Narrow" w:hAnsi="Arial Narrow"/>
                <w:sz w:val="20"/>
              </w:rPr>
              <w:t>Must be treated by a gastroenterologist (code 87); or</w:t>
            </w:r>
          </w:p>
        </w:tc>
      </w:tr>
      <w:tr w:rsidR="00A93A3B" w:rsidRPr="001428E9" w14:paraId="598D4B25"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6FD7CD3F" w14:textId="45FDFCF9" w:rsidR="00A93A3B" w:rsidRPr="001428E9" w:rsidRDefault="00A93A3B" w:rsidP="00264EE0">
            <w:pPr>
              <w:jc w:val="center"/>
              <w:rPr>
                <w:rFonts w:ascii="Arial Narrow" w:eastAsia="Times New Roman" w:hAnsi="Arial Narrow"/>
                <w:color w:val="333333"/>
                <w:sz w:val="20"/>
                <w:szCs w:val="20"/>
              </w:rPr>
            </w:pPr>
          </w:p>
        </w:tc>
        <w:tc>
          <w:tcPr>
            <w:tcW w:w="7700" w:type="dxa"/>
            <w:gridSpan w:val="6"/>
            <w:vAlign w:val="center"/>
          </w:tcPr>
          <w:p w14:paraId="44E9D496" w14:textId="77777777" w:rsidR="00A93A3B" w:rsidRPr="0086121F" w:rsidRDefault="00A93A3B" w:rsidP="00264EE0">
            <w:pPr>
              <w:rPr>
                <w:rFonts w:ascii="Arial Narrow" w:eastAsia="Times New Roman" w:hAnsi="Arial Narrow"/>
                <w:b/>
                <w:bCs/>
                <w:color w:val="333333"/>
                <w:sz w:val="20"/>
                <w:szCs w:val="20"/>
              </w:rPr>
            </w:pPr>
            <w:r w:rsidRPr="0086121F">
              <w:rPr>
                <w:rFonts w:ascii="Arial Narrow" w:hAnsi="Arial Narrow"/>
                <w:sz w:val="20"/>
              </w:rPr>
              <w:t>Must be treated by a consultant physician [internal medicine specialising in gastroenterology (code 81)]; or</w:t>
            </w:r>
          </w:p>
        </w:tc>
      </w:tr>
      <w:tr w:rsidR="00A93A3B" w:rsidRPr="001428E9" w14:paraId="088A3994"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1C889D51" w14:textId="3BDEBA31" w:rsidR="00A93A3B" w:rsidRPr="001428E9" w:rsidRDefault="00A93A3B" w:rsidP="00264EE0">
            <w:pPr>
              <w:jc w:val="center"/>
              <w:rPr>
                <w:rFonts w:ascii="Arial Narrow" w:eastAsia="Times New Roman" w:hAnsi="Arial Narrow"/>
                <w:color w:val="333333"/>
                <w:sz w:val="20"/>
                <w:szCs w:val="20"/>
              </w:rPr>
            </w:pPr>
          </w:p>
        </w:tc>
        <w:tc>
          <w:tcPr>
            <w:tcW w:w="7700" w:type="dxa"/>
            <w:gridSpan w:val="6"/>
            <w:vAlign w:val="center"/>
          </w:tcPr>
          <w:p w14:paraId="4007DBDB" w14:textId="77777777" w:rsidR="00A93A3B" w:rsidRPr="0086121F" w:rsidRDefault="00A93A3B" w:rsidP="00264EE0">
            <w:pPr>
              <w:rPr>
                <w:rFonts w:ascii="Arial Narrow" w:eastAsia="Times New Roman" w:hAnsi="Arial Narrow"/>
                <w:b/>
                <w:bCs/>
                <w:color w:val="333333"/>
                <w:sz w:val="20"/>
                <w:szCs w:val="20"/>
              </w:rPr>
            </w:pPr>
            <w:r w:rsidRPr="0086121F">
              <w:rPr>
                <w:rFonts w:ascii="Arial Narrow" w:hAnsi="Arial Narrow"/>
                <w:sz w:val="20"/>
              </w:rPr>
              <w:t>Must be treated by a consultant physician [general medicine specialising in gastroenterology (code 82)]</w:t>
            </w:r>
          </w:p>
        </w:tc>
      </w:tr>
      <w:tr w:rsidR="00A93A3B" w:rsidRPr="001428E9" w14:paraId="444A9D5D"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39CF8E26" w14:textId="6A99CC8E" w:rsidR="00A93A3B" w:rsidRDefault="00A93A3B" w:rsidP="00264EE0">
            <w:pPr>
              <w:jc w:val="center"/>
              <w:rPr>
                <w:rFonts w:ascii="Arial Narrow" w:eastAsia="Times New Roman" w:hAnsi="Arial Narrow"/>
                <w:color w:val="333333"/>
                <w:sz w:val="20"/>
                <w:szCs w:val="20"/>
              </w:rPr>
            </w:pPr>
          </w:p>
        </w:tc>
        <w:tc>
          <w:tcPr>
            <w:tcW w:w="7700" w:type="dxa"/>
            <w:gridSpan w:val="6"/>
            <w:vAlign w:val="center"/>
          </w:tcPr>
          <w:p w14:paraId="6A8D2829" w14:textId="77777777" w:rsidR="00A93A3B" w:rsidRPr="00F731E8" w:rsidRDefault="00A93A3B" w:rsidP="00264EE0">
            <w:pPr>
              <w:rPr>
                <w:rFonts w:ascii="Arial Narrow" w:hAnsi="Arial Narrow"/>
                <w:b/>
                <w:sz w:val="20"/>
              </w:rPr>
            </w:pPr>
            <w:r w:rsidRPr="00F731E8">
              <w:rPr>
                <w:rFonts w:ascii="Arial Narrow" w:hAnsi="Arial Narrow"/>
                <w:b/>
                <w:sz w:val="20"/>
              </w:rPr>
              <w:t>Population criteria</w:t>
            </w:r>
          </w:p>
        </w:tc>
      </w:tr>
      <w:tr w:rsidR="00A93A3B" w:rsidRPr="001428E9" w14:paraId="25DF5A96"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7D83C4E9" w14:textId="29494CDD" w:rsidR="00A93A3B" w:rsidRDefault="00A93A3B" w:rsidP="00264EE0">
            <w:pPr>
              <w:jc w:val="center"/>
              <w:rPr>
                <w:rFonts w:ascii="Arial Narrow" w:eastAsia="Times New Roman" w:hAnsi="Arial Narrow"/>
                <w:color w:val="333333"/>
                <w:sz w:val="20"/>
                <w:szCs w:val="20"/>
              </w:rPr>
            </w:pPr>
          </w:p>
        </w:tc>
        <w:tc>
          <w:tcPr>
            <w:tcW w:w="7700" w:type="dxa"/>
            <w:gridSpan w:val="6"/>
            <w:vAlign w:val="center"/>
          </w:tcPr>
          <w:p w14:paraId="43260D77" w14:textId="77777777" w:rsidR="00A93A3B" w:rsidRPr="005E2ABC" w:rsidRDefault="00A93A3B" w:rsidP="00264EE0">
            <w:pPr>
              <w:rPr>
                <w:rFonts w:ascii="Arial Narrow" w:hAnsi="Arial Narrow"/>
                <w:sz w:val="20"/>
              </w:rPr>
            </w:pPr>
            <w:r w:rsidRPr="0086121F">
              <w:rPr>
                <w:rFonts w:ascii="Arial Narrow" w:hAnsi="Arial Narrow"/>
                <w:sz w:val="20"/>
              </w:rPr>
              <w:t>Patient must be aged 18 years or older</w:t>
            </w:r>
          </w:p>
        </w:tc>
      </w:tr>
      <w:tr w:rsidR="00A93A3B" w:rsidRPr="001428E9" w14:paraId="0A5BBA31"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77FE18AF" w14:textId="04AB75F0" w:rsidR="00A93A3B" w:rsidRDefault="00A93A3B" w:rsidP="00264EE0">
            <w:pPr>
              <w:jc w:val="center"/>
              <w:rPr>
                <w:rFonts w:ascii="Arial Narrow" w:eastAsia="Times New Roman" w:hAnsi="Arial Narrow"/>
                <w:color w:val="333333"/>
                <w:sz w:val="20"/>
                <w:szCs w:val="20"/>
              </w:rPr>
            </w:pPr>
          </w:p>
        </w:tc>
        <w:tc>
          <w:tcPr>
            <w:tcW w:w="7700" w:type="dxa"/>
            <w:gridSpan w:val="6"/>
            <w:vAlign w:val="center"/>
          </w:tcPr>
          <w:p w14:paraId="6A05EF74" w14:textId="77777777" w:rsidR="00A93A3B" w:rsidRDefault="00A93A3B" w:rsidP="00264EE0">
            <w:pPr>
              <w:rPr>
                <w:rFonts w:ascii="Arial Narrow" w:hAnsi="Arial Narrow"/>
                <w:sz w:val="20"/>
              </w:rPr>
            </w:pPr>
            <w:r w:rsidRPr="0086121F">
              <w:rPr>
                <w:rFonts w:ascii="Arial Narrow" w:hAnsi="Arial Narrow"/>
                <w:b/>
                <w:sz w:val="20"/>
              </w:rPr>
              <w:t xml:space="preserve">Prescriber Instructions: </w:t>
            </w:r>
          </w:p>
          <w:p w14:paraId="00C014FA" w14:textId="77777777" w:rsidR="00A93A3B" w:rsidRDefault="00A93A3B" w:rsidP="00264EE0">
            <w:pPr>
              <w:rPr>
                <w:rFonts w:ascii="Arial Narrow" w:hAnsi="Arial Narrow"/>
                <w:sz w:val="20"/>
              </w:rPr>
            </w:pPr>
            <w:r w:rsidRPr="00504369">
              <w:rPr>
                <w:rFonts w:ascii="Arial Narrow" w:hAnsi="Arial Narrow"/>
                <w:sz w:val="20"/>
              </w:rPr>
              <w:t>The authority application must be made in writing and must include:</w:t>
            </w:r>
          </w:p>
          <w:p w14:paraId="63F17A82" w14:textId="77777777" w:rsidR="00A93A3B" w:rsidRPr="00504369" w:rsidRDefault="00A93A3B" w:rsidP="00264EE0">
            <w:pPr>
              <w:rPr>
                <w:rFonts w:ascii="Arial Narrow" w:hAnsi="Arial Narrow"/>
                <w:sz w:val="20"/>
              </w:rPr>
            </w:pPr>
            <w:r w:rsidRPr="00504369">
              <w:rPr>
                <w:rFonts w:ascii="Arial Narrow" w:hAnsi="Arial Narrow"/>
                <w:sz w:val="20"/>
              </w:rPr>
              <w:t>(1) two completed authority prescription forms; and</w:t>
            </w:r>
          </w:p>
          <w:p w14:paraId="41F5B634" w14:textId="77777777" w:rsidR="00A93A3B" w:rsidRPr="00F731E8" w:rsidRDefault="00A93A3B" w:rsidP="00264EE0">
            <w:pPr>
              <w:rPr>
                <w:rFonts w:ascii="Arial Narrow" w:hAnsi="Arial Narrow"/>
                <w:b/>
                <w:sz w:val="20"/>
              </w:rPr>
            </w:pPr>
            <w:r w:rsidRPr="00504369">
              <w:rPr>
                <w:rFonts w:ascii="Arial Narrow" w:hAnsi="Arial Narrow"/>
                <w:sz w:val="20"/>
              </w:rPr>
              <w:t>(2) a completed authority application form relevant to the indication and treatment phase (the latest version is located on the website specified in the Administrative Advice).</w:t>
            </w:r>
          </w:p>
        </w:tc>
      </w:tr>
      <w:tr w:rsidR="00A93A3B" w:rsidRPr="001428E9" w14:paraId="063F6A37"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7C02A058" w14:textId="40D82093" w:rsidR="00A93A3B" w:rsidRDefault="00A93A3B" w:rsidP="00264EE0">
            <w:pPr>
              <w:jc w:val="center"/>
              <w:rPr>
                <w:rFonts w:ascii="Arial Narrow" w:eastAsia="Times New Roman" w:hAnsi="Arial Narrow"/>
                <w:color w:val="333333"/>
                <w:sz w:val="20"/>
                <w:szCs w:val="20"/>
              </w:rPr>
            </w:pPr>
          </w:p>
        </w:tc>
        <w:tc>
          <w:tcPr>
            <w:tcW w:w="7700" w:type="dxa"/>
            <w:gridSpan w:val="6"/>
            <w:vAlign w:val="center"/>
          </w:tcPr>
          <w:p w14:paraId="0BCE592A" w14:textId="77777777" w:rsidR="00A93A3B" w:rsidRPr="009B1042" w:rsidRDefault="00A93A3B" w:rsidP="00264EE0">
            <w:pPr>
              <w:rPr>
                <w:rFonts w:ascii="Arial Narrow" w:hAnsi="Arial Narrow"/>
                <w:b/>
                <w:sz w:val="20"/>
                <w:highlight w:val="yellow"/>
              </w:rPr>
            </w:pPr>
            <w:r w:rsidRPr="00CE7D36">
              <w:rPr>
                <w:rFonts w:ascii="Arial Narrow" w:hAnsi="Arial Narrow"/>
                <w:i/>
                <w:iCs/>
                <w:sz w:val="20"/>
              </w:rPr>
              <w:t xml:space="preserve">Two completed authority prescriptions should be submitted with every initial application for this drug. One prescription should be written under S100 (Highly Specialised Drugs) for a quantity of </w:t>
            </w:r>
            <w:r>
              <w:rPr>
                <w:rFonts w:ascii="Arial Narrow" w:hAnsi="Arial Narrow"/>
                <w:i/>
                <w:iCs/>
                <w:sz w:val="20"/>
              </w:rPr>
              <w:t xml:space="preserve">3 </w:t>
            </w:r>
            <w:r w:rsidRPr="00CE7D36">
              <w:rPr>
                <w:rFonts w:ascii="Arial Narrow" w:hAnsi="Arial Narrow"/>
                <w:i/>
                <w:iCs/>
                <w:sz w:val="20"/>
              </w:rPr>
              <w:t xml:space="preserve">vials of </w:t>
            </w:r>
            <w:r>
              <w:rPr>
                <w:rFonts w:ascii="Arial Narrow" w:hAnsi="Arial Narrow"/>
                <w:i/>
                <w:iCs/>
                <w:sz w:val="20"/>
              </w:rPr>
              <w:t>600</w:t>
            </w:r>
            <w:r w:rsidRPr="00CE7D36">
              <w:rPr>
                <w:rFonts w:ascii="Arial Narrow" w:hAnsi="Arial Narrow"/>
                <w:i/>
                <w:iCs/>
                <w:sz w:val="20"/>
              </w:rPr>
              <w:t xml:space="preserve"> mg</w:t>
            </w:r>
            <w:r>
              <w:rPr>
                <w:rFonts w:ascii="Arial Narrow" w:hAnsi="Arial Narrow"/>
                <w:i/>
                <w:iCs/>
                <w:sz w:val="20"/>
              </w:rPr>
              <w:t xml:space="preserve"> (1 supply</w:t>
            </w:r>
            <w:r w:rsidRPr="00CE7D36">
              <w:rPr>
                <w:rFonts w:ascii="Arial Narrow" w:hAnsi="Arial Narrow"/>
                <w:i/>
                <w:iCs/>
                <w:sz w:val="20"/>
              </w:rPr>
              <w:t xml:space="preserve"> and </w:t>
            </w:r>
            <w:r>
              <w:rPr>
                <w:rFonts w:ascii="Arial Narrow" w:hAnsi="Arial Narrow"/>
                <w:i/>
                <w:iCs/>
                <w:sz w:val="20"/>
              </w:rPr>
              <w:t>two</w:t>
            </w:r>
            <w:r w:rsidRPr="00CE7D36">
              <w:rPr>
                <w:rFonts w:ascii="Arial Narrow" w:hAnsi="Arial Narrow"/>
                <w:i/>
                <w:iCs/>
                <w:sz w:val="20"/>
              </w:rPr>
              <w:t xml:space="preserve"> repeats</w:t>
            </w:r>
            <w:r>
              <w:rPr>
                <w:rFonts w:ascii="Arial Narrow" w:hAnsi="Arial Narrow"/>
                <w:i/>
                <w:iCs/>
                <w:sz w:val="20"/>
              </w:rPr>
              <w:t xml:space="preserve">). </w:t>
            </w:r>
            <w:r w:rsidRPr="00CE7D36">
              <w:rPr>
                <w:rFonts w:ascii="Arial Narrow" w:hAnsi="Arial Narrow"/>
                <w:i/>
                <w:iCs/>
                <w:sz w:val="20"/>
              </w:rPr>
              <w:t>The second prescription should be written under S85 (General) for a</w:t>
            </w:r>
            <w:r>
              <w:rPr>
                <w:rFonts w:ascii="Arial Narrow" w:hAnsi="Arial Narrow"/>
                <w:i/>
                <w:iCs/>
                <w:sz w:val="20"/>
              </w:rPr>
              <w:t xml:space="preserve"> quantity of 1 subcutaneous injection of 300 mg </w:t>
            </w:r>
            <w:r w:rsidRPr="00CE7D36">
              <w:rPr>
                <w:rFonts w:ascii="Arial Narrow" w:hAnsi="Arial Narrow"/>
                <w:i/>
                <w:iCs/>
                <w:sz w:val="20"/>
              </w:rPr>
              <w:t>and no repeats</w:t>
            </w:r>
            <w:r w:rsidRPr="00B07A07">
              <w:rPr>
                <w:rFonts w:ascii="Arial Narrow" w:hAnsi="Arial Narrow"/>
                <w:i/>
                <w:iCs/>
                <w:sz w:val="20"/>
              </w:rPr>
              <w:t>.</w:t>
            </w:r>
          </w:p>
        </w:tc>
      </w:tr>
      <w:tr w:rsidR="00A93A3B" w:rsidRPr="001428E9" w14:paraId="2036BB1B"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49DA7E2C" w14:textId="3E667D92" w:rsidR="00A93A3B" w:rsidRPr="002732C6" w:rsidRDefault="00A93A3B" w:rsidP="00264EE0">
            <w:pPr>
              <w:jc w:val="center"/>
              <w:rPr>
                <w:rFonts w:ascii="Arial Narrow" w:eastAsia="Times New Roman" w:hAnsi="Arial Narrow"/>
                <w:i/>
                <w:iCs/>
                <w:color w:val="333333"/>
                <w:sz w:val="20"/>
                <w:szCs w:val="20"/>
              </w:rPr>
            </w:pPr>
          </w:p>
        </w:tc>
        <w:tc>
          <w:tcPr>
            <w:tcW w:w="7700" w:type="dxa"/>
            <w:gridSpan w:val="6"/>
            <w:vAlign w:val="center"/>
          </w:tcPr>
          <w:p w14:paraId="5E272EAE" w14:textId="77777777" w:rsidR="00A93A3B" w:rsidRPr="002732C6" w:rsidRDefault="00A93A3B" w:rsidP="00264EE0">
            <w:pPr>
              <w:rPr>
                <w:rFonts w:ascii="Arial Narrow" w:hAnsi="Arial Narrow"/>
                <w:i/>
                <w:iCs/>
                <w:sz w:val="20"/>
              </w:rPr>
            </w:pPr>
            <w:r w:rsidRPr="00F731E8">
              <w:rPr>
                <w:rFonts w:ascii="Arial Narrow" w:hAnsi="Arial Narrow"/>
                <w:i/>
                <w:iCs/>
                <w:sz w:val="20"/>
              </w:rPr>
              <w:t xml:space="preserve">If treatment with any of the specified prior conventional drugs is contraindicated according to the relevant TGA-approved Product Information, please provide details at the time of application. </w:t>
            </w:r>
          </w:p>
        </w:tc>
      </w:tr>
      <w:tr w:rsidR="00A93A3B" w:rsidRPr="001428E9" w14:paraId="49082417"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6EB4B1E1" w14:textId="7CEC1F87" w:rsidR="00A93A3B" w:rsidRDefault="00A93A3B" w:rsidP="00264EE0">
            <w:pPr>
              <w:jc w:val="center"/>
              <w:rPr>
                <w:rFonts w:ascii="Arial Narrow" w:eastAsia="Times New Roman" w:hAnsi="Arial Narrow"/>
                <w:i/>
                <w:iCs/>
                <w:color w:val="333333"/>
                <w:sz w:val="20"/>
                <w:szCs w:val="20"/>
              </w:rPr>
            </w:pPr>
          </w:p>
        </w:tc>
        <w:tc>
          <w:tcPr>
            <w:tcW w:w="7700" w:type="dxa"/>
            <w:gridSpan w:val="6"/>
            <w:vAlign w:val="center"/>
          </w:tcPr>
          <w:p w14:paraId="2518F1FC" w14:textId="77777777" w:rsidR="00A93A3B" w:rsidRPr="002732C6" w:rsidRDefault="00A93A3B" w:rsidP="00264EE0">
            <w:pPr>
              <w:rPr>
                <w:rFonts w:ascii="Arial Narrow" w:hAnsi="Arial Narrow"/>
                <w:i/>
                <w:iCs/>
                <w:sz w:val="20"/>
              </w:rPr>
            </w:pPr>
            <w:r w:rsidRPr="00F731E8">
              <w:rPr>
                <w:rFonts w:ascii="Arial Narrow" w:hAnsi="Arial Narrow"/>
                <w:i/>
                <w:iCs/>
                <w:sz w:val="20"/>
              </w:rPr>
              <w:t>If intolerance to treatment develops during the relevant period of use, which is of a severity necessitating permanent treatment withdrawal, details of this toxicity must be provided at the time of application.</w:t>
            </w:r>
            <w:r>
              <w:t xml:space="preserve"> </w:t>
            </w:r>
          </w:p>
        </w:tc>
      </w:tr>
      <w:tr w:rsidR="00A93A3B" w:rsidRPr="001428E9" w14:paraId="23021681"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585D7480" w14:textId="098287EA" w:rsidR="00A93A3B" w:rsidRDefault="00A93A3B" w:rsidP="00264EE0">
            <w:pPr>
              <w:jc w:val="center"/>
              <w:rPr>
                <w:rFonts w:ascii="Arial Narrow" w:eastAsia="Times New Roman" w:hAnsi="Arial Narrow"/>
                <w:i/>
                <w:iCs/>
                <w:color w:val="333333"/>
                <w:sz w:val="20"/>
                <w:szCs w:val="20"/>
              </w:rPr>
            </w:pPr>
          </w:p>
        </w:tc>
        <w:tc>
          <w:tcPr>
            <w:tcW w:w="7700" w:type="dxa"/>
            <w:gridSpan w:val="6"/>
            <w:vAlign w:val="center"/>
          </w:tcPr>
          <w:p w14:paraId="144B2CCB" w14:textId="77777777" w:rsidR="00A93A3B" w:rsidRPr="002732C6" w:rsidRDefault="00A93A3B" w:rsidP="00264EE0">
            <w:pPr>
              <w:rPr>
                <w:rFonts w:ascii="Arial Narrow" w:hAnsi="Arial Narrow"/>
                <w:i/>
                <w:iCs/>
                <w:sz w:val="20"/>
              </w:rPr>
            </w:pPr>
            <w:r w:rsidRPr="00F731E8">
              <w:rPr>
                <w:rFonts w:ascii="Arial Narrow" w:hAnsi="Arial Narrow"/>
                <w:i/>
                <w:iCs/>
                <w:sz w:val="20"/>
              </w:rPr>
              <w:t>Details of the accepted toxicities including severity can be found on the Services Australia website.</w:t>
            </w:r>
          </w:p>
        </w:tc>
      </w:tr>
      <w:tr w:rsidR="00A93A3B" w:rsidRPr="001428E9" w14:paraId="76AF8EF0"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22261387" w14:textId="6FA4D7DF" w:rsidR="00A93A3B" w:rsidRPr="009B1042" w:rsidRDefault="00A93A3B" w:rsidP="00264EE0">
            <w:pPr>
              <w:jc w:val="center"/>
              <w:rPr>
                <w:rFonts w:ascii="Arial Narrow" w:eastAsia="Times New Roman" w:hAnsi="Arial Narrow"/>
                <w:color w:val="333333"/>
                <w:sz w:val="20"/>
                <w:szCs w:val="20"/>
              </w:rPr>
            </w:pPr>
          </w:p>
        </w:tc>
        <w:tc>
          <w:tcPr>
            <w:tcW w:w="7700" w:type="dxa"/>
            <w:gridSpan w:val="6"/>
            <w:vAlign w:val="center"/>
          </w:tcPr>
          <w:p w14:paraId="29C7F285" w14:textId="77777777" w:rsidR="00A93A3B" w:rsidRPr="009B1042" w:rsidRDefault="00A93A3B" w:rsidP="00264EE0">
            <w:pPr>
              <w:rPr>
                <w:rFonts w:ascii="Arial Narrow" w:hAnsi="Arial Narrow"/>
                <w:sz w:val="20"/>
              </w:rPr>
            </w:pPr>
            <w:r w:rsidRPr="009B1042">
              <w:rPr>
                <w:rFonts w:ascii="Arial Narrow" w:hAnsi="Arial Narrow"/>
                <w:sz w:val="20"/>
              </w:rPr>
              <w:t>To demonstrate a response to treatment the application must be accompanied by the results of the most recent course of biological medicine therapy within the timeframes specified in the relevant restriction.</w:t>
            </w:r>
          </w:p>
        </w:tc>
      </w:tr>
      <w:tr w:rsidR="00A93A3B" w:rsidRPr="001428E9" w14:paraId="13A7B716"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480B76FC" w14:textId="23BC5524" w:rsidR="00A93A3B" w:rsidRPr="009B1042" w:rsidRDefault="00A93A3B" w:rsidP="00264EE0">
            <w:pPr>
              <w:jc w:val="center"/>
              <w:rPr>
                <w:rFonts w:ascii="Arial Narrow" w:eastAsia="Times New Roman" w:hAnsi="Arial Narrow"/>
                <w:color w:val="333333"/>
                <w:sz w:val="20"/>
                <w:szCs w:val="20"/>
              </w:rPr>
            </w:pPr>
          </w:p>
        </w:tc>
        <w:tc>
          <w:tcPr>
            <w:tcW w:w="7700" w:type="dxa"/>
            <w:gridSpan w:val="6"/>
            <w:vAlign w:val="center"/>
          </w:tcPr>
          <w:p w14:paraId="7AE08DAA" w14:textId="77777777" w:rsidR="00A93A3B" w:rsidRPr="009B1042" w:rsidRDefault="00A93A3B" w:rsidP="00264EE0">
            <w:pPr>
              <w:rPr>
                <w:rFonts w:ascii="Arial Narrow" w:hAnsi="Arial Narrow"/>
                <w:sz w:val="20"/>
              </w:rPr>
            </w:pPr>
            <w:r w:rsidRPr="009B1042">
              <w:rPr>
                <w:rFonts w:ascii="Arial Narrow" w:hAnsi="Arial Narrow"/>
                <w:sz w:val="20"/>
              </w:rPr>
              <w:t>Where the most recent course of PBS-subsidised biological medicine treatment was approved under either Initial 1, Initial 2, Initial 3 or continuing treatment restrictions, an assessment of a patient</w:t>
            </w:r>
            <w:r>
              <w:rPr>
                <w:rFonts w:ascii="Arial Narrow" w:hAnsi="Arial Narrow"/>
                <w:sz w:val="20"/>
              </w:rPr>
              <w:t>’</w:t>
            </w:r>
            <w:r w:rsidRPr="009B1042">
              <w:rPr>
                <w:rFonts w:ascii="Arial Narrow" w:hAnsi="Arial Narrow"/>
                <w:sz w:val="20"/>
              </w:rPr>
              <w:t>s response must have been conducted following a minimum of 12 weeks of therapy for adalimumab</w:t>
            </w:r>
            <w:r>
              <w:rPr>
                <w:rFonts w:ascii="Arial Narrow" w:hAnsi="Arial Narrow"/>
                <w:i/>
                <w:iCs/>
                <w:sz w:val="20"/>
              </w:rPr>
              <w:t>, risankizumab</w:t>
            </w:r>
            <w:r w:rsidRPr="009B1042">
              <w:rPr>
                <w:rFonts w:ascii="Arial Narrow" w:hAnsi="Arial Narrow"/>
                <w:sz w:val="20"/>
              </w:rPr>
              <w:t xml:space="preserve"> or ustekinumab and up to 12 weeks after the first dose (6 weeks following the third dose) for infliximab and vedolizumab and submitted to the Services </w:t>
            </w:r>
            <w:r w:rsidRPr="00472ED1">
              <w:rPr>
                <w:rFonts w:ascii="Arial Narrow" w:hAnsi="Arial Narrow"/>
                <w:i/>
                <w:iCs/>
                <w:sz w:val="20"/>
              </w:rPr>
              <w:t>Australia</w:t>
            </w:r>
            <w:r>
              <w:rPr>
                <w:rFonts w:ascii="Arial Narrow" w:hAnsi="Arial Narrow"/>
                <w:sz w:val="20"/>
                <w:u w:val="single"/>
              </w:rPr>
              <w:t xml:space="preserve"> </w:t>
            </w:r>
            <w:r w:rsidRPr="009B1042">
              <w:rPr>
                <w:rFonts w:ascii="Arial Narrow" w:hAnsi="Arial Narrow"/>
                <w:sz w:val="20"/>
              </w:rPr>
              <w:t>no later than 4 weeks from the date of completion of treatment.</w:t>
            </w:r>
          </w:p>
        </w:tc>
      </w:tr>
      <w:tr w:rsidR="00A93A3B" w:rsidRPr="001428E9" w14:paraId="56F7F956"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24277214" w14:textId="25C7A40B" w:rsidR="00A93A3B" w:rsidRPr="00F731E8" w:rsidRDefault="00A93A3B" w:rsidP="00264EE0">
            <w:pPr>
              <w:jc w:val="center"/>
              <w:rPr>
                <w:rFonts w:ascii="Arial Narrow" w:eastAsia="Times New Roman" w:hAnsi="Arial Narrow"/>
                <w:i/>
                <w:iCs/>
                <w:color w:val="333333"/>
                <w:sz w:val="20"/>
                <w:szCs w:val="20"/>
              </w:rPr>
            </w:pPr>
          </w:p>
        </w:tc>
        <w:tc>
          <w:tcPr>
            <w:tcW w:w="7700" w:type="dxa"/>
            <w:gridSpan w:val="6"/>
            <w:vAlign w:val="center"/>
          </w:tcPr>
          <w:p w14:paraId="18502DC1" w14:textId="77777777" w:rsidR="00A93A3B" w:rsidRPr="00F731E8" w:rsidRDefault="00A93A3B" w:rsidP="00264EE0">
            <w:pPr>
              <w:rPr>
                <w:rFonts w:ascii="Arial Narrow" w:hAnsi="Arial Narrow"/>
                <w:i/>
                <w:iCs/>
                <w:sz w:val="20"/>
              </w:rPr>
            </w:pPr>
            <w:r w:rsidRPr="00F731E8">
              <w:rPr>
                <w:rFonts w:ascii="Arial Narrow" w:hAnsi="Arial Narrow"/>
                <w:i/>
                <w:iCs/>
                <w:sz w:val="20"/>
              </w:rPr>
              <w:t xml:space="preserve">A maximum quantity and number of repeats to provide for an initial </w:t>
            </w:r>
            <w:r>
              <w:rPr>
                <w:rFonts w:ascii="Arial Narrow" w:hAnsi="Arial Narrow"/>
                <w:i/>
                <w:iCs/>
                <w:sz w:val="20"/>
              </w:rPr>
              <w:t>8</w:t>
            </w:r>
            <w:r w:rsidRPr="00F731E8">
              <w:rPr>
                <w:rFonts w:ascii="Arial Narrow" w:hAnsi="Arial Narrow"/>
                <w:i/>
                <w:iCs/>
                <w:sz w:val="20"/>
              </w:rPr>
              <w:t xml:space="preserve"> week intravenous course of this drug will be authorised under this item code. A </w:t>
            </w:r>
            <w:r>
              <w:rPr>
                <w:rFonts w:ascii="Arial Narrow" w:hAnsi="Arial Narrow"/>
                <w:i/>
                <w:iCs/>
                <w:sz w:val="20"/>
              </w:rPr>
              <w:t xml:space="preserve">subsequent </w:t>
            </w:r>
            <w:r w:rsidRPr="00F731E8">
              <w:rPr>
                <w:rFonts w:ascii="Arial Narrow" w:hAnsi="Arial Narrow"/>
                <w:i/>
                <w:iCs/>
                <w:sz w:val="20"/>
              </w:rPr>
              <w:t xml:space="preserve">subcutaneous </w:t>
            </w:r>
            <w:r>
              <w:rPr>
                <w:rFonts w:ascii="Arial Narrow" w:hAnsi="Arial Narrow"/>
                <w:i/>
                <w:iCs/>
                <w:sz w:val="20"/>
              </w:rPr>
              <w:t>dose</w:t>
            </w:r>
            <w:r w:rsidRPr="00F731E8">
              <w:rPr>
                <w:rFonts w:ascii="Arial Narrow" w:hAnsi="Arial Narrow"/>
                <w:i/>
                <w:iCs/>
                <w:sz w:val="20"/>
              </w:rPr>
              <w:t xml:space="preserve"> of treatment </w:t>
            </w:r>
            <w:r>
              <w:rPr>
                <w:rFonts w:ascii="Arial Narrow" w:hAnsi="Arial Narrow"/>
                <w:i/>
                <w:iCs/>
                <w:sz w:val="20"/>
              </w:rPr>
              <w:t>for injection will be authorised</w:t>
            </w:r>
            <w:r w:rsidRPr="00F731E8">
              <w:rPr>
                <w:rFonts w:ascii="Arial Narrow" w:hAnsi="Arial Narrow"/>
                <w:i/>
                <w:iCs/>
                <w:sz w:val="20"/>
              </w:rPr>
              <w:t xml:space="preserve">. </w:t>
            </w:r>
          </w:p>
        </w:tc>
      </w:tr>
      <w:tr w:rsidR="00A93A3B" w:rsidRPr="001428E9" w14:paraId="2091F208"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6B775956" w14:textId="7D41CB64" w:rsidR="00A93A3B" w:rsidRPr="00A00479" w:rsidRDefault="00A93A3B" w:rsidP="00264EE0">
            <w:pPr>
              <w:jc w:val="center"/>
              <w:rPr>
                <w:rFonts w:ascii="Arial Narrow" w:eastAsia="Times New Roman" w:hAnsi="Arial Narrow"/>
                <w:strike/>
                <w:color w:val="333333"/>
                <w:sz w:val="20"/>
                <w:szCs w:val="20"/>
              </w:rPr>
            </w:pPr>
          </w:p>
        </w:tc>
        <w:tc>
          <w:tcPr>
            <w:tcW w:w="7700" w:type="dxa"/>
            <w:gridSpan w:val="6"/>
            <w:vAlign w:val="center"/>
          </w:tcPr>
          <w:p w14:paraId="5CAB3094" w14:textId="77777777" w:rsidR="00A93A3B" w:rsidRDefault="00A93A3B" w:rsidP="00264EE0">
            <w:pPr>
              <w:rPr>
                <w:rFonts w:ascii="Arial Narrow" w:hAnsi="Arial Narrow"/>
                <w:strike/>
                <w:sz w:val="20"/>
              </w:rPr>
            </w:pPr>
            <w:r w:rsidRPr="00A00479">
              <w:rPr>
                <w:rFonts w:ascii="Arial Narrow" w:hAnsi="Arial Narrow"/>
                <w:strike/>
                <w:sz w:val="20"/>
              </w:rPr>
              <w:t xml:space="preserve">An assessment of a patient's response to an initial course of treatment must be conducted following a minimum of </w:t>
            </w:r>
            <w:r w:rsidRPr="00A00479">
              <w:rPr>
                <w:rFonts w:ascii="Arial Narrow" w:hAnsi="Arial Narrow"/>
                <w:i/>
                <w:iCs/>
                <w:strike/>
                <w:sz w:val="20"/>
              </w:rPr>
              <w:t xml:space="preserve">between weeks </w:t>
            </w:r>
            <w:r w:rsidRPr="00A00479">
              <w:rPr>
                <w:rFonts w:ascii="Arial Narrow" w:hAnsi="Arial Narrow"/>
                <w:strike/>
                <w:sz w:val="20"/>
              </w:rPr>
              <w:t xml:space="preserve">12 weeks </w:t>
            </w:r>
            <w:r w:rsidRPr="00A00479">
              <w:rPr>
                <w:rFonts w:ascii="Arial Narrow" w:hAnsi="Arial Narrow"/>
                <w:i/>
                <w:iCs/>
                <w:strike/>
                <w:sz w:val="20"/>
              </w:rPr>
              <w:t xml:space="preserve">and 20 </w:t>
            </w:r>
            <w:r w:rsidRPr="00A00479">
              <w:rPr>
                <w:rFonts w:ascii="Arial Narrow" w:hAnsi="Arial Narrow"/>
                <w:strike/>
                <w:sz w:val="20"/>
              </w:rPr>
              <w:t xml:space="preserve">of therapy. An application for the continuing treatment must be accompanied with the assessment of response and submitted to the Department of Human Services </w:t>
            </w:r>
            <w:r w:rsidRPr="00A00479">
              <w:rPr>
                <w:rFonts w:ascii="Arial Narrow" w:hAnsi="Arial Narrow"/>
                <w:i/>
                <w:iCs/>
                <w:strike/>
                <w:sz w:val="20"/>
              </w:rPr>
              <w:t xml:space="preserve">Australia </w:t>
            </w:r>
            <w:r w:rsidRPr="00A00479">
              <w:rPr>
                <w:rFonts w:ascii="Arial Narrow" w:hAnsi="Arial Narrow"/>
                <w:strike/>
                <w:sz w:val="20"/>
              </w:rPr>
              <w:t>no later than 4 weeks from the date of completion of the most recent course of treatment. This will enable ongoing treatment for those who meet the continuing restriction for PBS-subsidised treatment.</w:t>
            </w:r>
          </w:p>
          <w:p w14:paraId="2E7383BF" w14:textId="77777777" w:rsidR="00A93A3B" w:rsidRPr="00A00479" w:rsidRDefault="00A93A3B" w:rsidP="00264EE0">
            <w:pPr>
              <w:rPr>
                <w:rFonts w:ascii="Arial Narrow" w:hAnsi="Arial Narrow"/>
                <w:strike/>
                <w:sz w:val="20"/>
              </w:rPr>
            </w:pPr>
            <w:r w:rsidRPr="00CE2C20">
              <w:rPr>
                <w:rFonts w:ascii="Arial Narrow" w:hAnsi="Arial Narrow"/>
                <w:sz w:val="20"/>
              </w:rPr>
              <w:t>An assessment of a patient's response to an initial course of treatment must be conducted following a minimum of 12 weeks of therapy. An application for the continuing treatment must be accompanied with the assessment of response and submitted no later than 4 weeks from the date of completion of the most recent course of treatment. This will enable ongoing treatment for those who meet the continuing restriction for PBS-subsidised treatment.</w:t>
            </w:r>
          </w:p>
        </w:tc>
      </w:tr>
      <w:tr w:rsidR="00A93A3B" w:rsidRPr="001428E9" w14:paraId="7C609B04"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19FEE6DD" w14:textId="6024A3DA" w:rsidR="00A93A3B" w:rsidRDefault="00A93A3B" w:rsidP="00264EE0">
            <w:pPr>
              <w:jc w:val="center"/>
              <w:rPr>
                <w:rFonts w:ascii="Arial Narrow" w:eastAsia="Times New Roman" w:hAnsi="Arial Narrow"/>
                <w:color w:val="333333"/>
                <w:sz w:val="20"/>
                <w:szCs w:val="20"/>
              </w:rPr>
            </w:pPr>
          </w:p>
        </w:tc>
        <w:tc>
          <w:tcPr>
            <w:tcW w:w="7700" w:type="dxa"/>
            <w:gridSpan w:val="6"/>
            <w:vAlign w:val="center"/>
          </w:tcPr>
          <w:p w14:paraId="62EB6A79" w14:textId="77777777" w:rsidR="00A93A3B" w:rsidRPr="00F731E8" w:rsidRDefault="00A93A3B" w:rsidP="00264EE0">
            <w:pPr>
              <w:rPr>
                <w:rFonts w:ascii="Arial Narrow" w:hAnsi="Arial Narrow"/>
                <w:sz w:val="20"/>
              </w:rPr>
            </w:pPr>
            <w:r w:rsidRPr="00CE2C20">
              <w:rPr>
                <w:rFonts w:ascii="Arial Narrow" w:hAnsi="Arial Narrow"/>
                <w:sz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A93A3B" w:rsidRPr="001428E9" w14:paraId="6BBD3FA9"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2127DA59" w14:textId="78AECB04" w:rsidR="00A93A3B" w:rsidRDefault="00A93A3B" w:rsidP="00264EE0">
            <w:pPr>
              <w:jc w:val="center"/>
              <w:rPr>
                <w:rFonts w:ascii="Arial Narrow" w:eastAsia="Times New Roman" w:hAnsi="Arial Narrow"/>
                <w:color w:val="333333"/>
                <w:sz w:val="20"/>
                <w:szCs w:val="20"/>
              </w:rPr>
            </w:pPr>
          </w:p>
        </w:tc>
        <w:tc>
          <w:tcPr>
            <w:tcW w:w="7700" w:type="dxa"/>
            <w:gridSpan w:val="6"/>
            <w:vAlign w:val="center"/>
          </w:tcPr>
          <w:p w14:paraId="10F03F68" w14:textId="77777777" w:rsidR="00A93A3B" w:rsidRPr="00F731E8" w:rsidRDefault="00A93A3B" w:rsidP="00264EE0">
            <w:pPr>
              <w:rPr>
                <w:rFonts w:ascii="Arial Narrow" w:hAnsi="Arial Narrow"/>
                <w:sz w:val="20"/>
              </w:rPr>
            </w:pPr>
            <w:r w:rsidRPr="00F731E8">
              <w:rPr>
                <w:rFonts w:ascii="Arial Narrow" w:hAnsi="Arial Narrow"/>
                <w:sz w:val="20"/>
              </w:rP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p>
        </w:tc>
      </w:tr>
      <w:tr w:rsidR="00A93A3B" w:rsidRPr="001428E9" w14:paraId="5882B976"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77842873" w14:textId="36928F39" w:rsidR="00A93A3B" w:rsidRDefault="00A93A3B" w:rsidP="00264EE0">
            <w:pPr>
              <w:jc w:val="center"/>
              <w:rPr>
                <w:rFonts w:ascii="Arial Narrow" w:eastAsia="Times New Roman" w:hAnsi="Arial Narrow"/>
                <w:color w:val="333333"/>
                <w:sz w:val="20"/>
                <w:szCs w:val="20"/>
              </w:rPr>
            </w:pPr>
          </w:p>
        </w:tc>
        <w:tc>
          <w:tcPr>
            <w:tcW w:w="7700" w:type="dxa"/>
            <w:gridSpan w:val="6"/>
            <w:vAlign w:val="center"/>
          </w:tcPr>
          <w:p w14:paraId="2410AD47" w14:textId="77777777" w:rsidR="00A93A3B" w:rsidRPr="00A00479" w:rsidRDefault="00A93A3B" w:rsidP="00264EE0">
            <w:pPr>
              <w:rPr>
                <w:rFonts w:ascii="Arial Narrow" w:hAnsi="Arial Narrow"/>
                <w:sz w:val="20"/>
              </w:rPr>
            </w:pPr>
            <w:r w:rsidRPr="001428E9">
              <w:rPr>
                <w:rFonts w:ascii="Arial Narrow" w:eastAsia="Times New Roman" w:hAnsi="Arial Narrow"/>
                <w:b/>
                <w:bCs/>
                <w:color w:val="333333"/>
                <w:sz w:val="20"/>
                <w:szCs w:val="20"/>
              </w:rPr>
              <w:t>Administrative Advice:</w:t>
            </w:r>
            <w:r w:rsidRPr="001868FF">
              <w:rPr>
                <w:rFonts w:ascii="Arial Narrow" w:hAnsi="Arial Narrow"/>
                <w:sz w:val="20"/>
              </w:rPr>
              <w:t xml:space="preserve"> </w:t>
            </w:r>
            <w:r w:rsidRPr="00A00479">
              <w:rPr>
                <w:rFonts w:ascii="Arial Narrow" w:hAnsi="Arial Narrow"/>
                <w:sz w:val="20"/>
              </w:rPr>
              <w:t>Any queries concerning the arrangements to prescribe may be directed to Services Australia on 1800 700 270 (hours of operation 8 a.m. to 5 p.m. Monday to Friday).</w:t>
            </w:r>
          </w:p>
          <w:p w14:paraId="2ED44D0B" w14:textId="77777777" w:rsidR="00A93A3B" w:rsidRPr="00A00479" w:rsidRDefault="00A93A3B" w:rsidP="00264EE0">
            <w:pPr>
              <w:rPr>
                <w:rFonts w:ascii="Arial Narrow" w:hAnsi="Arial Narrow"/>
                <w:sz w:val="20"/>
              </w:rPr>
            </w:pPr>
          </w:p>
          <w:p w14:paraId="219C6714" w14:textId="77777777" w:rsidR="00A93A3B" w:rsidRPr="00A00479" w:rsidRDefault="00A93A3B" w:rsidP="00264EE0">
            <w:pPr>
              <w:rPr>
                <w:rFonts w:ascii="Arial Narrow" w:hAnsi="Arial Narrow"/>
                <w:sz w:val="20"/>
              </w:rPr>
            </w:pPr>
            <w:r w:rsidRPr="00A00479">
              <w:rPr>
                <w:rFonts w:ascii="Arial Narrow" w:hAnsi="Arial Narrow"/>
                <w:sz w:val="20"/>
              </w:rPr>
              <w:t>Prescribing information (including Authority Application forms and other relevant documentation as applicable) is available on the Services Australia website at www.servicesaustralia.gov.au</w:t>
            </w:r>
          </w:p>
          <w:p w14:paraId="082B3A11" w14:textId="77777777" w:rsidR="00A93A3B" w:rsidRPr="00A00479" w:rsidRDefault="00A93A3B" w:rsidP="00264EE0">
            <w:pPr>
              <w:rPr>
                <w:rFonts w:ascii="Arial Narrow" w:hAnsi="Arial Narrow"/>
                <w:sz w:val="20"/>
              </w:rPr>
            </w:pPr>
          </w:p>
          <w:p w14:paraId="7D5F62CF" w14:textId="77777777" w:rsidR="00A93A3B" w:rsidRPr="00A00479" w:rsidRDefault="00A93A3B" w:rsidP="00264EE0">
            <w:pPr>
              <w:rPr>
                <w:rFonts w:ascii="Arial Narrow" w:hAnsi="Arial Narrow"/>
                <w:sz w:val="20"/>
              </w:rPr>
            </w:pPr>
            <w:r w:rsidRPr="00A00479">
              <w:rPr>
                <w:rFonts w:ascii="Arial Narrow" w:hAnsi="Arial Narrow"/>
                <w:sz w:val="20"/>
              </w:rPr>
              <w:t>Applications for authority to prescribe should be submitted online using the form upload facility in Health Professional Online Services (HPOS) at www.servicesaustralia.gov.au/hpos</w:t>
            </w:r>
          </w:p>
          <w:p w14:paraId="4F5E87B9" w14:textId="77777777" w:rsidR="00A93A3B" w:rsidRPr="00A00479" w:rsidRDefault="00A93A3B" w:rsidP="00264EE0">
            <w:pPr>
              <w:rPr>
                <w:rFonts w:ascii="Arial Narrow" w:hAnsi="Arial Narrow"/>
                <w:sz w:val="20"/>
              </w:rPr>
            </w:pPr>
          </w:p>
          <w:p w14:paraId="7889AD07" w14:textId="77777777" w:rsidR="00A93A3B" w:rsidRPr="00A00479" w:rsidRDefault="00A93A3B" w:rsidP="00264EE0">
            <w:pPr>
              <w:rPr>
                <w:rFonts w:ascii="Arial Narrow" w:hAnsi="Arial Narrow"/>
                <w:sz w:val="20"/>
              </w:rPr>
            </w:pPr>
            <w:r w:rsidRPr="00A00479">
              <w:rPr>
                <w:rFonts w:ascii="Arial Narrow" w:hAnsi="Arial Narrow"/>
                <w:sz w:val="20"/>
              </w:rPr>
              <w:t>Or mailed to:</w:t>
            </w:r>
          </w:p>
          <w:p w14:paraId="54BFEA2A" w14:textId="77777777" w:rsidR="00A93A3B" w:rsidRPr="00A00479" w:rsidRDefault="00A93A3B" w:rsidP="00264EE0">
            <w:pPr>
              <w:rPr>
                <w:rFonts w:ascii="Arial Narrow" w:hAnsi="Arial Narrow"/>
                <w:sz w:val="20"/>
              </w:rPr>
            </w:pPr>
          </w:p>
          <w:p w14:paraId="61873A94" w14:textId="77777777" w:rsidR="00A93A3B" w:rsidRPr="00A00479" w:rsidRDefault="00A93A3B" w:rsidP="00264EE0">
            <w:pPr>
              <w:rPr>
                <w:rFonts w:ascii="Arial Narrow" w:hAnsi="Arial Narrow"/>
                <w:sz w:val="20"/>
              </w:rPr>
            </w:pPr>
            <w:r w:rsidRPr="00A00479">
              <w:rPr>
                <w:rFonts w:ascii="Arial Narrow" w:hAnsi="Arial Narrow"/>
                <w:sz w:val="20"/>
              </w:rPr>
              <w:t>Services Australia</w:t>
            </w:r>
          </w:p>
          <w:p w14:paraId="1BDF1A22" w14:textId="77777777" w:rsidR="00A93A3B" w:rsidRPr="00A00479" w:rsidRDefault="00A93A3B" w:rsidP="00264EE0">
            <w:pPr>
              <w:rPr>
                <w:rFonts w:ascii="Arial Narrow" w:hAnsi="Arial Narrow"/>
                <w:sz w:val="20"/>
              </w:rPr>
            </w:pPr>
          </w:p>
          <w:p w14:paraId="58FA4013" w14:textId="77777777" w:rsidR="00A93A3B" w:rsidRPr="00A00479" w:rsidRDefault="00A93A3B" w:rsidP="00264EE0">
            <w:pPr>
              <w:rPr>
                <w:rFonts w:ascii="Arial Narrow" w:hAnsi="Arial Narrow"/>
                <w:sz w:val="20"/>
              </w:rPr>
            </w:pPr>
            <w:r w:rsidRPr="00A00479">
              <w:rPr>
                <w:rFonts w:ascii="Arial Narrow" w:hAnsi="Arial Narrow"/>
                <w:sz w:val="20"/>
              </w:rPr>
              <w:t>Complex Drugs</w:t>
            </w:r>
          </w:p>
          <w:p w14:paraId="1378FBD0" w14:textId="77777777" w:rsidR="00A93A3B" w:rsidRPr="00A00479" w:rsidRDefault="00A93A3B" w:rsidP="00264EE0">
            <w:pPr>
              <w:rPr>
                <w:rFonts w:ascii="Arial Narrow" w:hAnsi="Arial Narrow"/>
                <w:sz w:val="20"/>
              </w:rPr>
            </w:pPr>
          </w:p>
          <w:p w14:paraId="2361050D" w14:textId="77777777" w:rsidR="00A93A3B" w:rsidRPr="00A00479" w:rsidRDefault="00A93A3B" w:rsidP="00264EE0">
            <w:pPr>
              <w:rPr>
                <w:rFonts w:ascii="Arial Narrow" w:hAnsi="Arial Narrow"/>
                <w:sz w:val="20"/>
              </w:rPr>
            </w:pPr>
            <w:r w:rsidRPr="00A00479">
              <w:rPr>
                <w:rFonts w:ascii="Arial Narrow" w:hAnsi="Arial Narrow"/>
                <w:sz w:val="20"/>
              </w:rPr>
              <w:t>Reply Paid 9826</w:t>
            </w:r>
          </w:p>
          <w:p w14:paraId="5C0B76D3" w14:textId="77777777" w:rsidR="00A93A3B" w:rsidRPr="00A00479" w:rsidRDefault="00A93A3B" w:rsidP="00264EE0">
            <w:pPr>
              <w:rPr>
                <w:rFonts w:ascii="Arial Narrow" w:hAnsi="Arial Narrow"/>
                <w:sz w:val="20"/>
              </w:rPr>
            </w:pPr>
          </w:p>
          <w:p w14:paraId="3EDA51D9" w14:textId="77777777" w:rsidR="00A93A3B" w:rsidRPr="00F731E8" w:rsidRDefault="00A93A3B" w:rsidP="00264EE0">
            <w:pPr>
              <w:rPr>
                <w:rFonts w:ascii="Arial Narrow" w:hAnsi="Arial Narrow"/>
                <w:sz w:val="20"/>
              </w:rPr>
            </w:pPr>
            <w:r w:rsidRPr="00A00479">
              <w:rPr>
                <w:rFonts w:ascii="Arial Narrow" w:hAnsi="Arial Narrow"/>
                <w:sz w:val="20"/>
              </w:rPr>
              <w:t>HOBART TAS 7001</w:t>
            </w:r>
          </w:p>
        </w:tc>
      </w:tr>
      <w:tr w:rsidR="00A93A3B" w:rsidRPr="001428E9" w14:paraId="0961EF7E" w14:textId="77777777" w:rsidTr="00264EE0">
        <w:tblPrEx>
          <w:tblCellMar>
            <w:top w:w="15" w:type="dxa"/>
            <w:bottom w:w="15" w:type="dxa"/>
          </w:tblCellMar>
          <w:tblLook w:val="04A0" w:firstRow="1" w:lastRow="0" w:firstColumn="1" w:lastColumn="0" w:noHBand="0" w:noVBand="1"/>
        </w:tblPrEx>
        <w:trPr>
          <w:cantSplit/>
          <w:trHeight w:val="20"/>
        </w:trPr>
        <w:tc>
          <w:tcPr>
            <w:tcW w:w="8966" w:type="dxa"/>
            <w:gridSpan w:val="8"/>
            <w:vAlign w:val="center"/>
          </w:tcPr>
          <w:p w14:paraId="2A11D696" w14:textId="77777777" w:rsidR="00A93A3B" w:rsidRPr="001428E9" w:rsidRDefault="00A93A3B" w:rsidP="00264EE0">
            <w:pPr>
              <w:rPr>
                <w:rFonts w:ascii="Arial Narrow" w:eastAsia="Times New Roman" w:hAnsi="Arial Narrow"/>
                <w:bCs/>
                <w:color w:val="FF0000"/>
                <w:sz w:val="20"/>
                <w:szCs w:val="20"/>
              </w:rPr>
            </w:pPr>
          </w:p>
        </w:tc>
      </w:tr>
      <w:tr w:rsidR="00A93A3B" w:rsidRPr="001428E9" w14:paraId="23E25B75" w14:textId="77777777" w:rsidTr="00264EE0">
        <w:tblPrEx>
          <w:tblCellMar>
            <w:top w:w="15" w:type="dxa"/>
            <w:bottom w:w="15" w:type="dxa"/>
          </w:tblCellMar>
          <w:tblLook w:val="04A0" w:firstRow="1" w:lastRow="0" w:firstColumn="1" w:lastColumn="0" w:noHBand="0" w:noVBand="1"/>
        </w:tblPrEx>
        <w:trPr>
          <w:cantSplit/>
          <w:trHeight w:val="20"/>
        </w:trPr>
        <w:tc>
          <w:tcPr>
            <w:tcW w:w="8966" w:type="dxa"/>
            <w:gridSpan w:val="8"/>
            <w:vAlign w:val="center"/>
          </w:tcPr>
          <w:p w14:paraId="0D2D74B1" w14:textId="77777777" w:rsidR="00A93A3B" w:rsidRPr="00F731E8" w:rsidRDefault="00A93A3B" w:rsidP="00264EE0">
            <w:pPr>
              <w:keepNext/>
              <w:keepLines/>
              <w:rPr>
                <w:rFonts w:ascii="Arial Narrow" w:eastAsia="Times New Roman" w:hAnsi="Arial Narrow"/>
                <w:b/>
                <w:bCs/>
                <w:sz w:val="20"/>
                <w:szCs w:val="20"/>
              </w:rPr>
            </w:pPr>
            <w:r w:rsidRPr="00F731E8">
              <w:rPr>
                <w:rFonts w:ascii="Arial Narrow" w:eastAsia="Times New Roman" w:hAnsi="Arial Narrow"/>
                <w:b/>
                <w:bCs/>
                <w:sz w:val="20"/>
                <w:szCs w:val="20"/>
              </w:rPr>
              <w:t xml:space="preserve">Restriction Summary 9709 / Treatment of Concept: 9656 </w:t>
            </w:r>
          </w:p>
        </w:tc>
      </w:tr>
      <w:tr w:rsidR="00A93A3B" w:rsidRPr="001428E9" w14:paraId="76C3DAB9"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Merge w:val="restart"/>
            <w:tcBorders>
              <w:top w:val="single" w:sz="4" w:space="0" w:color="auto"/>
              <w:left w:val="single" w:sz="4" w:space="0" w:color="auto"/>
              <w:right w:val="single" w:sz="4" w:space="0" w:color="auto"/>
            </w:tcBorders>
          </w:tcPr>
          <w:p w14:paraId="3DDB50F9" w14:textId="77777777" w:rsidR="00A93A3B" w:rsidRPr="001428E9" w:rsidRDefault="00A93A3B" w:rsidP="00264EE0">
            <w:pPr>
              <w:jc w:val="center"/>
              <w:rPr>
                <w:rFonts w:ascii="Arial Narrow" w:hAnsi="Arial Narrow"/>
                <w:b/>
                <w:sz w:val="20"/>
                <w:szCs w:val="20"/>
              </w:rPr>
            </w:pPr>
            <w:r w:rsidRPr="001428E9">
              <w:rPr>
                <w:rFonts w:ascii="Arial Narrow" w:hAnsi="Arial Narrow"/>
                <w:b/>
                <w:sz w:val="20"/>
                <w:szCs w:val="20"/>
              </w:rPr>
              <w:t>Concept ID</w:t>
            </w:r>
            <w:r>
              <w:rPr>
                <w:rFonts w:ascii="Arial Narrow" w:hAnsi="Arial Narrow"/>
                <w:b/>
                <w:sz w:val="20"/>
                <w:szCs w:val="20"/>
              </w:rPr>
              <w:br/>
            </w:r>
            <w:r w:rsidRPr="001428E9">
              <w:rPr>
                <w:rFonts w:ascii="Arial Narrow" w:hAnsi="Arial Narrow"/>
                <w:sz w:val="20"/>
                <w:szCs w:val="20"/>
              </w:rPr>
              <w:t>(for internal Dept. use)</w:t>
            </w:r>
          </w:p>
        </w:tc>
        <w:tc>
          <w:tcPr>
            <w:tcW w:w="7700" w:type="dxa"/>
            <w:gridSpan w:val="6"/>
            <w:tcBorders>
              <w:top w:val="single" w:sz="4" w:space="0" w:color="auto"/>
              <w:left w:val="single" w:sz="4" w:space="0" w:color="auto"/>
              <w:bottom w:val="single" w:sz="4" w:space="0" w:color="auto"/>
              <w:right w:val="single" w:sz="4" w:space="0" w:color="auto"/>
            </w:tcBorders>
            <w:vAlign w:val="center"/>
          </w:tcPr>
          <w:p w14:paraId="1BA3D234" w14:textId="2F8D5812" w:rsidR="00A93A3B" w:rsidRPr="001428E9" w:rsidRDefault="00A93A3B" w:rsidP="00264EE0">
            <w:pPr>
              <w:keepNext/>
              <w:keepLines/>
              <w:rPr>
                <w:rFonts w:ascii="Arial Narrow" w:hAnsi="Arial Narrow"/>
                <w:sz w:val="20"/>
                <w:szCs w:val="20"/>
              </w:rPr>
            </w:pPr>
            <w:r w:rsidRPr="001428E9">
              <w:rPr>
                <w:rFonts w:ascii="Arial Narrow" w:hAnsi="Arial Narrow"/>
                <w:b/>
                <w:sz w:val="20"/>
                <w:szCs w:val="20"/>
              </w:rPr>
              <w:t xml:space="preserve">Category / Program: </w:t>
            </w:r>
            <w:r w:rsidRPr="004B41A4">
              <w:rPr>
                <w:rFonts w:ascii="Arial Narrow" w:hAnsi="Arial Narrow"/>
                <w:sz w:val="20"/>
                <w:szCs w:val="20"/>
              </w:rPr>
              <w:t xml:space="preserve">S100 – Section 100 (Highly Specialised Drugs) </w:t>
            </w:r>
          </w:p>
        </w:tc>
      </w:tr>
      <w:tr w:rsidR="00A93A3B" w:rsidRPr="001428E9" w14:paraId="520F36FC"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Merge/>
            <w:tcBorders>
              <w:left w:val="single" w:sz="4" w:space="0" w:color="auto"/>
              <w:right w:val="single" w:sz="4" w:space="0" w:color="auto"/>
            </w:tcBorders>
          </w:tcPr>
          <w:p w14:paraId="52AAD022" w14:textId="77777777" w:rsidR="00A93A3B" w:rsidRPr="001428E9" w:rsidRDefault="00A93A3B" w:rsidP="00264EE0">
            <w:pPr>
              <w:rPr>
                <w:rFonts w:ascii="Arial Narrow" w:hAnsi="Arial Narrow"/>
                <w:sz w:val="20"/>
                <w:szCs w:val="20"/>
              </w:rPr>
            </w:pPr>
          </w:p>
        </w:tc>
        <w:tc>
          <w:tcPr>
            <w:tcW w:w="7700" w:type="dxa"/>
            <w:gridSpan w:val="6"/>
            <w:tcBorders>
              <w:top w:val="single" w:sz="4" w:space="0" w:color="auto"/>
              <w:left w:val="single" w:sz="4" w:space="0" w:color="auto"/>
              <w:bottom w:val="single" w:sz="4" w:space="0" w:color="auto"/>
              <w:right w:val="single" w:sz="4" w:space="0" w:color="auto"/>
            </w:tcBorders>
            <w:vAlign w:val="center"/>
          </w:tcPr>
          <w:p w14:paraId="7DFF9BF6" w14:textId="77777777" w:rsidR="00A93A3B" w:rsidRPr="001428E9" w:rsidRDefault="00A93A3B" w:rsidP="00264EE0">
            <w:pPr>
              <w:keepNext/>
              <w:keepLines/>
              <w:rPr>
                <w:rFonts w:ascii="Arial Narrow" w:hAnsi="Arial Narrow"/>
                <w:b/>
                <w:sz w:val="20"/>
                <w:szCs w:val="20"/>
              </w:rPr>
            </w:pPr>
            <w:r w:rsidRPr="001428E9">
              <w:rPr>
                <w:rFonts w:ascii="Arial Narrow" w:hAnsi="Arial Narrow"/>
                <w:b/>
                <w:sz w:val="20"/>
                <w:szCs w:val="20"/>
              </w:rPr>
              <w:t xml:space="preserve">Prescriber type: </w:t>
            </w:r>
            <w:r w:rsidRPr="001428E9">
              <w:rPr>
                <w:rFonts w:ascii="Arial Narrow" w:hAnsi="Arial Narrow"/>
                <w:sz w:val="20"/>
                <w:szCs w:val="20"/>
              </w:rPr>
              <w:t xml:space="preserve"> </w:t>
            </w:r>
            <w:r>
              <w:rPr>
                <w:rFonts w:ascii="Arial Narrow" w:hAnsi="Arial Narrow"/>
                <w:sz w:val="20"/>
                <w:szCs w:val="20"/>
              </w:rPr>
              <w:fldChar w:fldCharType="begin" w:fldLock="1">
                <w:ffData>
                  <w:name w:val=""/>
                  <w:enabled/>
                  <w:calcOnExit w:val="0"/>
                  <w:checkBox>
                    <w:sizeAuto/>
                    <w:default w:val="1"/>
                  </w:checkBox>
                </w:ffData>
              </w:fldChar>
            </w:r>
            <w:r>
              <w:rPr>
                <w:rFonts w:ascii="Arial Narrow" w:hAnsi="Arial Narrow"/>
                <w:sz w:val="20"/>
                <w:szCs w:val="20"/>
              </w:rPr>
              <w:instrText xml:space="preserve"> FORMCHECKBOX </w:instrText>
            </w:r>
            <w:r w:rsidR="00DE4045">
              <w:rPr>
                <w:rFonts w:ascii="Arial Narrow" w:hAnsi="Arial Narrow"/>
                <w:sz w:val="20"/>
                <w:szCs w:val="20"/>
              </w:rPr>
            </w:r>
            <w:r w:rsidR="00DE4045">
              <w:rPr>
                <w:rFonts w:ascii="Arial Narrow" w:hAnsi="Arial Narrow"/>
                <w:sz w:val="20"/>
                <w:szCs w:val="20"/>
              </w:rPr>
              <w:fldChar w:fldCharType="separate"/>
            </w:r>
            <w:r>
              <w:rPr>
                <w:rFonts w:ascii="Arial Narrow" w:hAnsi="Arial Narrow"/>
                <w:sz w:val="20"/>
                <w:szCs w:val="20"/>
              </w:rPr>
              <w:fldChar w:fldCharType="end"/>
            </w:r>
            <w:r w:rsidRPr="001428E9">
              <w:rPr>
                <w:rFonts w:ascii="Arial Narrow" w:hAnsi="Arial Narrow"/>
                <w:sz w:val="20"/>
                <w:szCs w:val="20"/>
              </w:rPr>
              <w:t>Medical Practitioners</w:t>
            </w:r>
          </w:p>
        </w:tc>
      </w:tr>
      <w:tr w:rsidR="00A93A3B" w:rsidRPr="00C02D56" w14:paraId="069D8A6C"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Merge/>
            <w:tcBorders>
              <w:left w:val="single" w:sz="4" w:space="0" w:color="auto"/>
              <w:bottom w:val="single" w:sz="4" w:space="0" w:color="auto"/>
              <w:right w:val="single" w:sz="4" w:space="0" w:color="auto"/>
            </w:tcBorders>
          </w:tcPr>
          <w:p w14:paraId="2CBD3CE3" w14:textId="77777777" w:rsidR="00A93A3B" w:rsidRPr="001428E9" w:rsidRDefault="00A93A3B" w:rsidP="00264EE0">
            <w:pPr>
              <w:rPr>
                <w:rFonts w:ascii="Arial Narrow" w:hAnsi="Arial Narrow"/>
                <w:sz w:val="20"/>
                <w:szCs w:val="20"/>
              </w:rPr>
            </w:pPr>
          </w:p>
        </w:tc>
        <w:tc>
          <w:tcPr>
            <w:tcW w:w="7700" w:type="dxa"/>
            <w:gridSpan w:val="6"/>
            <w:tcBorders>
              <w:top w:val="single" w:sz="4" w:space="0" w:color="auto"/>
              <w:left w:val="single" w:sz="4" w:space="0" w:color="auto"/>
              <w:bottom w:val="single" w:sz="4" w:space="0" w:color="auto"/>
              <w:right w:val="single" w:sz="4" w:space="0" w:color="auto"/>
            </w:tcBorders>
            <w:vAlign w:val="center"/>
          </w:tcPr>
          <w:p w14:paraId="72D5940C" w14:textId="77777777" w:rsidR="00A93A3B" w:rsidRPr="00C02D56" w:rsidRDefault="00A93A3B" w:rsidP="00264EE0">
            <w:pPr>
              <w:keepNext/>
              <w:keepLines/>
              <w:rPr>
                <w:rFonts w:ascii="Arial Narrow" w:eastAsia="Calibri" w:hAnsi="Arial Narrow"/>
                <w:sz w:val="20"/>
                <w:szCs w:val="20"/>
              </w:rPr>
            </w:pPr>
            <w:r w:rsidRPr="001428E9">
              <w:rPr>
                <w:rFonts w:ascii="Arial Narrow" w:hAnsi="Arial Narrow"/>
                <w:b/>
                <w:sz w:val="20"/>
                <w:szCs w:val="20"/>
              </w:rPr>
              <w:t xml:space="preserve">Restriction type: </w:t>
            </w:r>
            <w:r>
              <w:rPr>
                <w:rFonts w:ascii="Arial Narrow" w:eastAsia="Calibri" w:hAnsi="Arial Narrow"/>
                <w:sz w:val="20"/>
                <w:szCs w:val="20"/>
              </w:rPr>
              <w:fldChar w:fldCharType="begin" w:fldLock="1">
                <w:ffData>
                  <w:name w:val=""/>
                  <w:enabled/>
                  <w:calcOnExit w:val="0"/>
                  <w:checkBox>
                    <w:sizeAuto/>
                    <w:default w:val="1"/>
                  </w:checkBox>
                </w:ffData>
              </w:fldChar>
            </w:r>
            <w:r>
              <w:rPr>
                <w:rFonts w:ascii="Arial Narrow" w:eastAsia="Calibri" w:hAnsi="Arial Narrow"/>
                <w:sz w:val="20"/>
                <w:szCs w:val="20"/>
              </w:rPr>
              <w:instrText xml:space="preserve"> FORMCHECKBOX </w:instrText>
            </w:r>
            <w:r w:rsidR="00DE4045">
              <w:rPr>
                <w:rFonts w:ascii="Arial Narrow" w:eastAsia="Calibri" w:hAnsi="Arial Narrow"/>
                <w:sz w:val="20"/>
                <w:szCs w:val="20"/>
              </w:rPr>
            </w:r>
            <w:r w:rsidR="00DE4045">
              <w:rPr>
                <w:rFonts w:ascii="Arial Narrow" w:eastAsia="Calibri" w:hAnsi="Arial Narrow"/>
                <w:sz w:val="20"/>
                <w:szCs w:val="20"/>
              </w:rPr>
              <w:fldChar w:fldCharType="separate"/>
            </w:r>
            <w:r>
              <w:rPr>
                <w:rFonts w:ascii="Arial Narrow" w:eastAsia="Calibri" w:hAnsi="Arial Narrow"/>
                <w:sz w:val="20"/>
                <w:szCs w:val="20"/>
              </w:rPr>
              <w:fldChar w:fldCharType="end"/>
            </w:r>
            <w:r w:rsidRPr="001428E9">
              <w:rPr>
                <w:rFonts w:ascii="Arial Narrow" w:eastAsia="Calibri" w:hAnsi="Arial Narrow"/>
                <w:sz w:val="20"/>
                <w:szCs w:val="20"/>
              </w:rPr>
              <w:t xml:space="preserve">Authority Required – non-immediate assessment by Services Australia  </w:t>
            </w:r>
          </w:p>
        </w:tc>
      </w:tr>
      <w:tr w:rsidR="00A93A3B" w:rsidRPr="001428E9" w14:paraId="56B647AD" w14:textId="77777777" w:rsidTr="00092C71">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64D400A9" w14:textId="5C7886A0" w:rsidR="00A93A3B" w:rsidRPr="001428E9" w:rsidRDefault="00A93A3B" w:rsidP="00264EE0">
            <w:pPr>
              <w:jc w:val="center"/>
              <w:rPr>
                <w:rFonts w:ascii="Arial Narrow" w:eastAsia="Times New Roman" w:hAnsi="Arial Narrow"/>
                <w:color w:val="333333"/>
                <w:sz w:val="20"/>
                <w:szCs w:val="20"/>
              </w:rPr>
            </w:pPr>
          </w:p>
        </w:tc>
        <w:tc>
          <w:tcPr>
            <w:tcW w:w="7700" w:type="dxa"/>
            <w:gridSpan w:val="6"/>
            <w:vAlign w:val="center"/>
            <w:hideMark/>
          </w:tcPr>
          <w:p w14:paraId="342A52C6" w14:textId="77777777" w:rsidR="00A93A3B" w:rsidRPr="001428E9" w:rsidRDefault="00A93A3B" w:rsidP="00264EE0">
            <w:pPr>
              <w:rPr>
                <w:rFonts w:ascii="Arial Narrow" w:eastAsia="Times New Roman" w:hAnsi="Arial Narrow"/>
                <w:color w:val="333333"/>
                <w:sz w:val="20"/>
                <w:szCs w:val="20"/>
              </w:rPr>
            </w:pPr>
            <w:r w:rsidRPr="001428E9">
              <w:rPr>
                <w:rFonts w:ascii="Arial Narrow" w:eastAsia="Times New Roman" w:hAnsi="Arial Narrow"/>
                <w:b/>
                <w:bCs/>
                <w:color w:val="333333"/>
                <w:sz w:val="20"/>
                <w:szCs w:val="20"/>
              </w:rPr>
              <w:t>Indication:</w:t>
            </w:r>
            <w:r w:rsidRPr="001428E9">
              <w:rPr>
                <w:rFonts w:ascii="Arial Narrow" w:eastAsia="Times New Roman" w:hAnsi="Arial Narrow"/>
                <w:color w:val="333333"/>
                <w:sz w:val="20"/>
                <w:szCs w:val="20"/>
              </w:rPr>
              <w:t xml:space="preserve"> </w:t>
            </w:r>
            <w:r>
              <w:rPr>
                <w:rFonts w:ascii="Arial Narrow" w:eastAsia="Times New Roman" w:hAnsi="Arial Narrow"/>
                <w:color w:val="333333"/>
                <w:sz w:val="20"/>
                <w:szCs w:val="20"/>
              </w:rPr>
              <w:t>Severe Crohn disease</w:t>
            </w:r>
          </w:p>
        </w:tc>
      </w:tr>
      <w:tr w:rsidR="00A93A3B" w:rsidRPr="00C02D56" w14:paraId="0D3BDC8D" w14:textId="77777777" w:rsidTr="00092C71">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29E89835" w14:textId="77777777" w:rsidR="00A93A3B" w:rsidRPr="001428E9" w:rsidRDefault="00A93A3B" w:rsidP="00264EE0">
            <w:pPr>
              <w:jc w:val="center"/>
              <w:rPr>
                <w:rFonts w:ascii="Arial Narrow" w:eastAsia="Times New Roman" w:hAnsi="Arial Narrow"/>
                <w:color w:val="333333"/>
                <w:sz w:val="20"/>
                <w:szCs w:val="20"/>
              </w:rPr>
            </w:pPr>
          </w:p>
        </w:tc>
        <w:tc>
          <w:tcPr>
            <w:tcW w:w="7700" w:type="dxa"/>
            <w:gridSpan w:val="6"/>
            <w:vAlign w:val="center"/>
            <w:hideMark/>
          </w:tcPr>
          <w:p w14:paraId="5B23F35B" w14:textId="77777777" w:rsidR="00A93A3B" w:rsidRPr="00C02D56" w:rsidRDefault="00A93A3B" w:rsidP="00264EE0">
            <w:pPr>
              <w:rPr>
                <w:rFonts w:ascii="Arial Narrow" w:eastAsia="Times New Roman" w:hAnsi="Arial Narrow"/>
                <w:sz w:val="20"/>
                <w:szCs w:val="20"/>
              </w:rPr>
            </w:pPr>
            <w:r w:rsidRPr="001428E9">
              <w:rPr>
                <w:rFonts w:ascii="Arial Narrow" w:eastAsia="Times New Roman" w:hAnsi="Arial Narrow"/>
                <w:b/>
                <w:bCs/>
                <w:color w:val="333333"/>
                <w:sz w:val="20"/>
                <w:szCs w:val="20"/>
              </w:rPr>
              <w:t>Treatment Phase</w:t>
            </w:r>
            <w:r w:rsidRPr="00B82A1F">
              <w:rPr>
                <w:rFonts w:ascii="Arial Narrow" w:eastAsia="Times New Roman" w:hAnsi="Arial Narrow"/>
                <w:b/>
                <w:bCs/>
                <w:color w:val="333333"/>
                <w:sz w:val="20"/>
                <w:szCs w:val="20"/>
              </w:rPr>
              <w:t>:</w:t>
            </w:r>
            <w:r w:rsidRPr="00B82A1F">
              <w:rPr>
                <w:rFonts w:ascii="Arial Narrow" w:eastAsia="Times New Roman" w:hAnsi="Arial Narrow"/>
                <w:color w:val="FF0000"/>
                <w:sz w:val="20"/>
                <w:szCs w:val="20"/>
              </w:rPr>
              <w:t xml:space="preserve"> </w:t>
            </w:r>
            <w:r w:rsidRPr="00B82A1F">
              <w:rPr>
                <w:rFonts w:ascii="Arial Narrow" w:eastAsia="Times New Roman" w:hAnsi="Arial Narrow"/>
                <w:sz w:val="20"/>
                <w:szCs w:val="20"/>
              </w:rPr>
              <w:t xml:space="preserve">Initial treatment – Initial 3 – </w:t>
            </w:r>
            <w:r w:rsidRPr="00710320">
              <w:rPr>
                <w:rFonts w:ascii="Arial Narrow" w:eastAsia="Times New Roman" w:hAnsi="Arial Narrow"/>
                <w:strike/>
                <w:sz w:val="20"/>
                <w:szCs w:val="20"/>
              </w:rPr>
              <w:t>transitioning from non-PBS to PBS-subsidised supply – Grandfather arrangements</w:t>
            </w:r>
            <w:r w:rsidRPr="00B82A1F">
              <w:rPr>
                <w:rFonts w:ascii="Arial Narrow" w:eastAsia="Times New Roman" w:hAnsi="Arial Narrow"/>
                <w:strike/>
                <w:sz w:val="20"/>
                <w:szCs w:val="20"/>
              </w:rPr>
              <w:t xml:space="preserve"> </w:t>
            </w:r>
            <w:r w:rsidRPr="00B82A1F">
              <w:rPr>
                <w:rFonts w:ascii="Arial Narrow" w:eastAsia="Times New Roman" w:hAnsi="Arial Narrow"/>
                <w:i/>
                <w:iCs/>
                <w:sz w:val="20"/>
                <w:szCs w:val="20"/>
              </w:rPr>
              <w:t>(recommencement of treatment after a break in biological medicine of more than 5 years)</w:t>
            </w:r>
          </w:p>
        </w:tc>
      </w:tr>
      <w:tr w:rsidR="00A93A3B" w:rsidRPr="001428E9" w14:paraId="4508D1CD"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4C88D5AE" w14:textId="16D18B08" w:rsidR="00A93A3B" w:rsidRPr="001428E9" w:rsidRDefault="00A93A3B" w:rsidP="00264EE0">
            <w:pPr>
              <w:jc w:val="center"/>
              <w:rPr>
                <w:rFonts w:ascii="Arial Narrow" w:eastAsia="Times New Roman" w:hAnsi="Arial Narrow"/>
                <w:color w:val="333333"/>
                <w:sz w:val="20"/>
                <w:szCs w:val="20"/>
              </w:rPr>
            </w:pPr>
          </w:p>
        </w:tc>
        <w:tc>
          <w:tcPr>
            <w:tcW w:w="7700" w:type="dxa"/>
            <w:gridSpan w:val="6"/>
          </w:tcPr>
          <w:p w14:paraId="387A407D" w14:textId="77777777" w:rsidR="00A93A3B" w:rsidRPr="001428E9" w:rsidRDefault="00A93A3B" w:rsidP="00264EE0">
            <w:pPr>
              <w:rPr>
                <w:rFonts w:ascii="Arial Narrow" w:eastAsia="Times New Roman" w:hAnsi="Arial Narrow"/>
                <w:b/>
                <w:bCs/>
                <w:color w:val="333333"/>
                <w:sz w:val="20"/>
                <w:szCs w:val="20"/>
              </w:rPr>
            </w:pPr>
            <w:r w:rsidRPr="007E3DAB">
              <w:rPr>
                <w:rFonts w:ascii="Arial Narrow" w:hAnsi="Arial Narrow"/>
                <w:b/>
                <w:sz w:val="20"/>
                <w:szCs w:val="20"/>
              </w:rPr>
              <w:t>Clinical criteria:</w:t>
            </w:r>
          </w:p>
        </w:tc>
      </w:tr>
      <w:tr w:rsidR="00A93A3B" w:rsidRPr="001428E9" w14:paraId="41FCFC99"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7E658FDE" w14:textId="7FCF82C0" w:rsidR="00A93A3B" w:rsidRDefault="00A93A3B" w:rsidP="00264EE0">
            <w:pPr>
              <w:jc w:val="center"/>
              <w:rPr>
                <w:rFonts w:ascii="Arial Narrow" w:hAnsi="Arial Narrow"/>
                <w:sz w:val="20"/>
                <w:szCs w:val="20"/>
              </w:rPr>
            </w:pPr>
          </w:p>
        </w:tc>
        <w:tc>
          <w:tcPr>
            <w:tcW w:w="7700" w:type="dxa"/>
            <w:gridSpan w:val="6"/>
          </w:tcPr>
          <w:p w14:paraId="194D3528" w14:textId="77777777" w:rsidR="00A93A3B" w:rsidRPr="00710320" w:rsidRDefault="00A93A3B" w:rsidP="00264EE0">
            <w:pPr>
              <w:rPr>
                <w:rFonts w:ascii="Arial Narrow" w:hAnsi="Arial Narrow"/>
                <w:i/>
                <w:iCs/>
                <w:sz w:val="20"/>
                <w:szCs w:val="20"/>
              </w:rPr>
            </w:pPr>
            <w:r>
              <w:rPr>
                <w:rFonts w:ascii="Arial Narrow" w:hAnsi="Arial Narrow"/>
                <w:i/>
                <w:iCs/>
                <w:sz w:val="20"/>
                <w:szCs w:val="20"/>
              </w:rPr>
              <w:t>Patient must have received prior PBS-subsidised treatment with a biological medicine for this condition</w:t>
            </w:r>
          </w:p>
        </w:tc>
      </w:tr>
      <w:tr w:rsidR="00A93A3B" w:rsidRPr="001428E9" w14:paraId="46C5A498" w14:textId="77777777" w:rsidTr="00264EE0">
        <w:tblPrEx>
          <w:tblCellMar>
            <w:top w:w="15" w:type="dxa"/>
            <w:bottom w:w="15" w:type="dxa"/>
          </w:tblCellMar>
        </w:tblPrEx>
        <w:trPr>
          <w:cantSplit/>
          <w:trHeight w:val="20"/>
        </w:trPr>
        <w:tc>
          <w:tcPr>
            <w:tcW w:w="1266" w:type="dxa"/>
            <w:gridSpan w:val="2"/>
            <w:vAlign w:val="center"/>
          </w:tcPr>
          <w:p w14:paraId="217354D9" w14:textId="77777777" w:rsidR="00A93A3B" w:rsidRDefault="00A93A3B" w:rsidP="00264EE0">
            <w:pPr>
              <w:jc w:val="center"/>
              <w:rPr>
                <w:rFonts w:ascii="Arial Narrow" w:hAnsi="Arial Narrow"/>
                <w:sz w:val="20"/>
                <w:szCs w:val="20"/>
              </w:rPr>
            </w:pPr>
          </w:p>
        </w:tc>
        <w:tc>
          <w:tcPr>
            <w:tcW w:w="7700" w:type="dxa"/>
            <w:gridSpan w:val="6"/>
            <w:vAlign w:val="center"/>
          </w:tcPr>
          <w:p w14:paraId="608AC573" w14:textId="77777777" w:rsidR="00A93A3B" w:rsidRDefault="00A93A3B" w:rsidP="00264EE0">
            <w:pPr>
              <w:rPr>
                <w:rFonts w:ascii="Arial Narrow" w:hAnsi="Arial Narrow"/>
                <w:i/>
                <w:iCs/>
                <w:sz w:val="20"/>
                <w:szCs w:val="20"/>
              </w:rPr>
            </w:pPr>
            <w:r w:rsidRPr="001428E9">
              <w:rPr>
                <w:rFonts w:ascii="Arial Narrow" w:eastAsia="Times New Roman" w:hAnsi="Arial Narrow"/>
                <w:b/>
                <w:bCs/>
                <w:color w:val="333333"/>
                <w:sz w:val="20"/>
                <w:szCs w:val="20"/>
              </w:rPr>
              <w:t>AND</w:t>
            </w:r>
          </w:p>
        </w:tc>
      </w:tr>
      <w:tr w:rsidR="00A93A3B" w:rsidRPr="001428E9" w14:paraId="05627737" w14:textId="77777777" w:rsidTr="00264EE0">
        <w:tblPrEx>
          <w:tblCellMar>
            <w:top w:w="15" w:type="dxa"/>
            <w:bottom w:w="15" w:type="dxa"/>
          </w:tblCellMar>
        </w:tblPrEx>
        <w:trPr>
          <w:cantSplit/>
          <w:trHeight w:val="20"/>
        </w:trPr>
        <w:tc>
          <w:tcPr>
            <w:tcW w:w="1266" w:type="dxa"/>
            <w:gridSpan w:val="2"/>
            <w:vAlign w:val="center"/>
          </w:tcPr>
          <w:p w14:paraId="27483090" w14:textId="56D7FF94" w:rsidR="00A93A3B" w:rsidRDefault="00A93A3B" w:rsidP="00264EE0">
            <w:pPr>
              <w:jc w:val="center"/>
              <w:rPr>
                <w:rFonts w:ascii="Arial Narrow" w:hAnsi="Arial Narrow"/>
                <w:sz w:val="20"/>
                <w:szCs w:val="20"/>
              </w:rPr>
            </w:pPr>
          </w:p>
        </w:tc>
        <w:tc>
          <w:tcPr>
            <w:tcW w:w="7700" w:type="dxa"/>
            <w:gridSpan w:val="6"/>
            <w:vAlign w:val="center"/>
          </w:tcPr>
          <w:p w14:paraId="177BD9E2" w14:textId="77777777" w:rsidR="00A93A3B" w:rsidRDefault="00A93A3B" w:rsidP="00264EE0">
            <w:pPr>
              <w:rPr>
                <w:rFonts w:ascii="Arial Narrow" w:hAnsi="Arial Narrow"/>
                <w:i/>
                <w:iCs/>
                <w:sz w:val="20"/>
                <w:szCs w:val="20"/>
              </w:rPr>
            </w:pPr>
            <w:r w:rsidRPr="001428E9">
              <w:rPr>
                <w:rFonts w:ascii="Arial Narrow" w:eastAsia="Times New Roman" w:hAnsi="Arial Narrow"/>
                <w:b/>
                <w:bCs/>
                <w:color w:val="333333"/>
                <w:sz w:val="20"/>
                <w:szCs w:val="20"/>
              </w:rPr>
              <w:t>Clinical criteria:</w:t>
            </w:r>
            <w:r w:rsidRPr="004B41A4">
              <w:rPr>
                <w:rFonts w:ascii="Arial Narrow" w:hAnsi="Arial Narrow"/>
                <w:sz w:val="20"/>
                <w:szCs w:val="20"/>
              </w:rPr>
              <w:t xml:space="preserve"> </w:t>
            </w:r>
          </w:p>
        </w:tc>
      </w:tr>
      <w:tr w:rsidR="00A93A3B" w:rsidRPr="001428E9" w14:paraId="29666982"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2D8430BB" w14:textId="3774A61C" w:rsidR="00A93A3B" w:rsidRDefault="00A93A3B" w:rsidP="00264EE0">
            <w:pPr>
              <w:jc w:val="center"/>
              <w:rPr>
                <w:rFonts w:ascii="Arial Narrow" w:hAnsi="Arial Narrow"/>
                <w:sz w:val="20"/>
                <w:szCs w:val="20"/>
              </w:rPr>
            </w:pPr>
          </w:p>
        </w:tc>
        <w:tc>
          <w:tcPr>
            <w:tcW w:w="7700" w:type="dxa"/>
            <w:gridSpan w:val="6"/>
          </w:tcPr>
          <w:p w14:paraId="434E2ECE" w14:textId="77777777" w:rsidR="00A93A3B" w:rsidRDefault="00A93A3B" w:rsidP="00264EE0">
            <w:pPr>
              <w:rPr>
                <w:rFonts w:ascii="Arial Narrow" w:hAnsi="Arial Narrow"/>
                <w:i/>
                <w:iCs/>
                <w:sz w:val="20"/>
                <w:szCs w:val="20"/>
              </w:rPr>
            </w:pPr>
            <w:r>
              <w:rPr>
                <w:rFonts w:ascii="Arial Narrow" w:hAnsi="Arial Narrow"/>
                <w:i/>
                <w:iCs/>
                <w:sz w:val="20"/>
                <w:szCs w:val="20"/>
              </w:rPr>
              <w:t>Patient must have a break in treatment of 5 years or more from the most recently approved PBS-subsided biological medicine for this condition</w:t>
            </w:r>
          </w:p>
        </w:tc>
      </w:tr>
      <w:tr w:rsidR="00A93A3B" w:rsidRPr="001428E9" w14:paraId="1CA9EEFE" w14:textId="77777777" w:rsidTr="00264EE0">
        <w:tblPrEx>
          <w:tblCellMar>
            <w:top w:w="15" w:type="dxa"/>
            <w:bottom w:w="15" w:type="dxa"/>
          </w:tblCellMar>
        </w:tblPrEx>
        <w:trPr>
          <w:cantSplit/>
          <w:trHeight w:val="20"/>
        </w:trPr>
        <w:tc>
          <w:tcPr>
            <w:tcW w:w="1266" w:type="dxa"/>
            <w:gridSpan w:val="2"/>
            <w:vAlign w:val="center"/>
          </w:tcPr>
          <w:p w14:paraId="58EA5D71" w14:textId="77777777" w:rsidR="00A93A3B" w:rsidRDefault="00A93A3B" w:rsidP="00264EE0">
            <w:pPr>
              <w:jc w:val="center"/>
              <w:rPr>
                <w:rFonts w:ascii="Arial Narrow" w:hAnsi="Arial Narrow"/>
                <w:sz w:val="20"/>
                <w:szCs w:val="20"/>
              </w:rPr>
            </w:pPr>
          </w:p>
        </w:tc>
        <w:tc>
          <w:tcPr>
            <w:tcW w:w="7700" w:type="dxa"/>
            <w:gridSpan w:val="6"/>
            <w:vAlign w:val="center"/>
          </w:tcPr>
          <w:p w14:paraId="320FA140" w14:textId="77777777" w:rsidR="00A93A3B" w:rsidRPr="004B41A4" w:rsidRDefault="00A93A3B" w:rsidP="00264EE0">
            <w:pPr>
              <w:rPr>
                <w:rFonts w:ascii="Arial Narrow" w:hAnsi="Arial Narrow"/>
                <w:sz w:val="20"/>
                <w:szCs w:val="20"/>
              </w:rPr>
            </w:pPr>
            <w:r w:rsidRPr="001428E9">
              <w:rPr>
                <w:rFonts w:ascii="Arial Narrow" w:eastAsia="Times New Roman" w:hAnsi="Arial Narrow"/>
                <w:b/>
                <w:bCs/>
                <w:color w:val="333333"/>
                <w:sz w:val="20"/>
                <w:szCs w:val="20"/>
              </w:rPr>
              <w:t>AND</w:t>
            </w:r>
          </w:p>
        </w:tc>
      </w:tr>
      <w:tr w:rsidR="00A93A3B" w:rsidRPr="001428E9" w14:paraId="20099C7C" w14:textId="77777777" w:rsidTr="00264EE0">
        <w:tblPrEx>
          <w:tblCellMar>
            <w:top w:w="15" w:type="dxa"/>
            <w:bottom w:w="15" w:type="dxa"/>
          </w:tblCellMar>
        </w:tblPrEx>
        <w:trPr>
          <w:cantSplit/>
          <w:trHeight w:val="20"/>
        </w:trPr>
        <w:tc>
          <w:tcPr>
            <w:tcW w:w="1266" w:type="dxa"/>
            <w:gridSpan w:val="2"/>
            <w:vAlign w:val="center"/>
          </w:tcPr>
          <w:p w14:paraId="3E42387A" w14:textId="111555BE" w:rsidR="00A93A3B" w:rsidRDefault="00A93A3B" w:rsidP="00264EE0">
            <w:pPr>
              <w:jc w:val="center"/>
              <w:rPr>
                <w:rFonts w:ascii="Arial Narrow" w:hAnsi="Arial Narrow"/>
                <w:sz w:val="20"/>
                <w:szCs w:val="20"/>
              </w:rPr>
            </w:pPr>
          </w:p>
        </w:tc>
        <w:tc>
          <w:tcPr>
            <w:tcW w:w="7700" w:type="dxa"/>
            <w:gridSpan w:val="6"/>
            <w:vAlign w:val="center"/>
          </w:tcPr>
          <w:p w14:paraId="0D7D6EA0" w14:textId="77777777" w:rsidR="00A93A3B" w:rsidRPr="004B41A4" w:rsidRDefault="00A93A3B" w:rsidP="00264EE0">
            <w:pPr>
              <w:rPr>
                <w:rFonts w:ascii="Arial Narrow" w:hAnsi="Arial Narrow"/>
                <w:sz w:val="20"/>
                <w:szCs w:val="20"/>
              </w:rPr>
            </w:pPr>
            <w:r w:rsidRPr="001428E9">
              <w:rPr>
                <w:rFonts w:ascii="Arial Narrow" w:eastAsia="Times New Roman" w:hAnsi="Arial Narrow"/>
                <w:b/>
                <w:bCs/>
                <w:color w:val="333333"/>
                <w:sz w:val="20"/>
                <w:szCs w:val="20"/>
              </w:rPr>
              <w:t>Clinical criteria:</w:t>
            </w:r>
            <w:r w:rsidRPr="004B41A4">
              <w:rPr>
                <w:rFonts w:ascii="Arial Narrow" w:hAnsi="Arial Narrow"/>
                <w:sz w:val="20"/>
                <w:szCs w:val="20"/>
              </w:rPr>
              <w:t xml:space="preserve"> </w:t>
            </w:r>
          </w:p>
        </w:tc>
      </w:tr>
      <w:tr w:rsidR="00A93A3B" w:rsidRPr="001428E9" w14:paraId="54C9FA58"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2BC508E8" w14:textId="7A871E21" w:rsidR="00A93A3B" w:rsidRDefault="00A93A3B" w:rsidP="00264EE0">
            <w:pPr>
              <w:jc w:val="center"/>
              <w:rPr>
                <w:rFonts w:ascii="Arial Narrow" w:eastAsia="Times New Roman" w:hAnsi="Arial Narrow"/>
                <w:color w:val="333333"/>
                <w:sz w:val="20"/>
                <w:szCs w:val="20"/>
              </w:rPr>
            </w:pPr>
          </w:p>
        </w:tc>
        <w:tc>
          <w:tcPr>
            <w:tcW w:w="7700" w:type="dxa"/>
            <w:gridSpan w:val="6"/>
          </w:tcPr>
          <w:p w14:paraId="40F3672D" w14:textId="77777777" w:rsidR="00A93A3B" w:rsidRPr="00F731E8" w:rsidRDefault="00A93A3B" w:rsidP="00264EE0">
            <w:r w:rsidRPr="004B41A4">
              <w:rPr>
                <w:rFonts w:ascii="Arial Narrow" w:hAnsi="Arial Narrow"/>
                <w:sz w:val="20"/>
                <w:szCs w:val="20"/>
              </w:rPr>
              <w:t>Patient must have confirmed severe Crohn disease, defined by standard clinical, endoscopic and/or imaging features, including histological evidence, with the diagnosis confirmed by a gastroenterologist or a consultant physician</w:t>
            </w:r>
          </w:p>
        </w:tc>
      </w:tr>
      <w:tr w:rsidR="00A93A3B" w:rsidRPr="001428E9" w14:paraId="2BFFD39D"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6395E95E" w14:textId="77777777" w:rsidR="00A93A3B" w:rsidRDefault="00A93A3B" w:rsidP="00264EE0">
            <w:pPr>
              <w:jc w:val="center"/>
              <w:rPr>
                <w:rFonts w:ascii="Arial Narrow" w:eastAsia="Times New Roman" w:hAnsi="Arial Narrow"/>
                <w:color w:val="333333"/>
                <w:sz w:val="20"/>
                <w:szCs w:val="20"/>
              </w:rPr>
            </w:pPr>
          </w:p>
        </w:tc>
        <w:tc>
          <w:tcPr>
            <w:tcW w:w="7700" w:type="dxa"/>
            <w:gridSpan w:val="6"/>
            <w:vAlign w:val="center"/>
          </w:tcPr>
          <w:p w14:paraId="0926AE77" w14:textId="77777777" w:rsidR="00A93A3B" w:rsidRPr="00146519" w:rsidRDefault="00A93A3B" w:rsidP="00264EE0">
            <w:pPr>
              <w:rPr>
                <w:rFonts w:ascii="Arial Narrow" w:eastAsia="Times New Roman" w:hAnsi="Arial Narrow"/>
                <w:b/>
                <w:bCs/>
                <w:color w:val="333333"/>
                <w:sz w:val="20"/>
                <w:szCs w:val="20"/>
              </w:rPr>
            </w:pPr>
            <w:r w:rsidRPr="007E3DAB">
              <w:rPr>
                <w:rFonts w:ascii="Arial Narrow" w:eastAsia="Times New Roman" w:hAnsi="Arial Narrow"/>
                <w:b/>
                <w:color w:val="333333"/>
                <w:sz w:val="20"/>
                <w:szCs w:val="20"/>
              </w:rPr>
              <w:t>AND</w:t>
            </w:r>
          </w:p>
        </w:tc>
      </w:tr>
      <w:tr w:rsidR="00A93A3B" w:rsidRPr="001428E9" w14:paraId="4283C5B5"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1065F359" w14:textId="2C9BDC77" w:rsidR="00A93A3B" w:rsidRDefault="00A93A3B" w:rsidP="00264EE0">
            <w:pPr>
              <w:jc w:val="center"/>
              <w:rPr>
                <w:rFonts w:ascii="Arial Narrow" w:eastAsia="Times New Roman" w:hAnsi="Arial Narrow"/>
                <w:color w:val="333333"/>
                <w:sz w:val="20"/>
                <w:szCs w:val="20"/>
              </w:rPr>
            </w:pPr>
          </w:p>
        </w:tc>
        <w:tc>
          <w:tcPr>
            <w:tcW w:w="7700" w:type="dxa"/>
            <w:gridSpan w:val="6"/>
            <w:vAlign w:val="center"/>
          </w:tcPr>
          <w:p w14:paraId="3235517C" w14:textId="77777777" w:rsidR="00A93A3B" w:rsidRPr="00146519" w:rsidRDefault="00A93A3B" w:rsidP="00264EE0">
            <w:pPr>
              <w:rPr>
                <w:rFonts w:ascii="Arial Narrow" w:eastAsia="Times New Roman" w:hAnsi="Arial Narrow"/>
                <w:b/>
                <w:bCs/>
                <w:color w:val="333333"/>
                <w:sz w:val="20"/>
                <w:szCs w:val="20"/>
              </w:rPr>
            </w:pPr>
            <w:r>
              <w:rPr>
                <w:rFonts w:ascii="Arial Narrow" w:eastAsia="Times New Roman" w:hAnsi="Arial Narrow"/>
                <w:b/>
                <w:color w:val="333333"/>
                <w:sz w:val="20"/>
                <w:szCs w:val="20"/>
              </w:rPr>
              <w:t>Clinical criteria:</w:t>
            </w:r>
          </w:p>
        </w:tc>
      </w:tr>
      <w:tr w:rsidR="00A93A3B" w:rsidRPr="001428E9" w14:paraId="075A22CE"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54448B6B" w14:textId="3A0A0C1D" w:rsidR="00A93A3B" w:rsidRDefault="00A93A3B" w:rsidP="00264EE0">
            <w:pPr>
              <w:jc w:val="center"/>
              <w:rPr>
                <w:rFonts w:ascii="Arial Narrow" w:eastAsia="Times New Roman" w:hAnsi="Arial Narrow"/>
                <w:color w:val="333333"/>
                <w:sz w:val="20"/>
                <w:szCs w:val="20"/>
              </w:rPr>
            </w:pPr>
          </w:p>
        </w:tc>
        <w:tc>
          <w:tcPr>
            <w:tcW w:w="7700" w:type="dxa"/>
            <w:gridSpan w:val="6"/>
            <w:vAlign w:val="center"/>
          </w:tcPr>
          <w:p w14:paraId="64A55977" w14:textId="77777777" w:rsidR="00A93A3B" w:rsidRDefault="00A93A3B" w:rsidP="00264EE0">
            <w:pPr>
              <w:rPr>
                <w:rFonts w:ascii="Arial Narrow" w:hAnsi="Arial Narrow"/>
                <w:strike/>
                <w:sz w:val="20"/>
                <w:szCs w:val="20"/>
              </w:rPr>
            </w:pPr>
            <w:r w:rsidRPr="007E3DAB">
              <w:rPr>
                <w:rFonts w:ascii="Arial Narrow" w:hAnsi="Arial Narrow"/>
                <w:strike/>
                <w:sz w:val="20"/>
                <w:szCs w:val="20"/>
              </w:rPr>
              <w:t>The treatment must not exceed a total of 2 doses to be administered at weeks 0 and 8 under this restriction.</w:t>
            </w:r>
          </w:p>
          <w:p w14:paraId="36662304" w14:textId="77777777" w:rsidR="00A93A3B" w:rsidRPr="00146519" w:rsidRDefault="00A93A3B" w:rsidP="00264EE0">
            <w:pPr>
              <w:rPr>
                <w:rFonts w:ascii="Arial Narrow" w:eastAsia="Times New Roman" w:hAnsi="Arial Narrow"/>
                <w:b/>
                <w:bCs/>
                <w:color w:val="333333"/>
                <w:sz w:val="20"/>
                <w:szCs w:val="20"/>
              </w:rPr>
            </w:pPr>
            <w:r>
              <w:rPr>
                <w:rFonts w:ascii="Arial Narrow" w:hAnsi="Arial Narrow"/>
                <w:i/>
                <w:sz w:val="20"/>
                <w:szCs w:val="20"/>
              </w:rPr>
              <w:t xml:space="preserve">The treatment must not exceed a total of 3 doses to be administered at weeks 0, 4 and 8 under this restriction. </w:t>
            </w:r>
          </w:p>
        </w:tc>
      </w:tr>
      <w:tr w:rsidR="00A93A3B" w:rsidRPr="001428E9" w14:paraId="01FC52CB"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27F5DDDA" w14:textId="77777777" w:rsidR="00A93A3B" w:rsidRDefault="00A93A3B" w:rsidP="00264EE0">
            <w:pPr>
              <w:jc w:val="center"/>
              <w:rPr>
                <w:rFonts w:ascii="Arial Narrow" w:eastAsia="Times New Roman" w:hAnsi="Arial Narrow"/>
                <w:color w:val="333333"/>
                <w:sz w:val="20"/>
                <w:szCs w:val="20"/>
              </w:rPr>
            </w:pPr>
          </w:p>
        </w:tc>
        <w:tc>
          <w:tcPr>
            <w:tcW w:w="7700" w:type="dxa"/>
            <w:gridSpan w:val="6"/>
            <w:vAlign w:val="center"/>
          </w:tcPr>
          <w:p w14:paraId="1E4CC3B2" w14:textId="77777777" w:rsidR="00A93A3B" w:rsidRPr="00F731E8" w:rsidRDefault="00A93A3B" w:rsidP="00264EE0">
            <w:pPr>
              <w:rPr>
                <w:rFonts w:ascii="Arial Narrow" w:hAnsi="Arial Narrow"/>
                <w:b/>
              </w:rPr>
            </w:pPr>
            <w:r w:rsidRPr="007E3DAB">
              <w:rPr>
                <w:rFonts w:ascii="Arial Narrow" w:hAnsi="Arial Narrow"/>
                <w:b/>
                <w:sz w:val="20"/>
                <w:szCs w:val="20"/>
              </w:rPr>
              <w:t>AND</w:t>
            </w:r>
          </w:p>
        </w:tc>
      </w:tr>
      <w:tr w:rsidR="00A93A3B" w:rsidRPr="001428E9" w14:paraId="4EDA2120" w14:textId="77777777" w:rsidTr="00264EE0">
        <w:tblPrEx>
          <w:tblCellMar>
            <w:top w:w="15" w:type="dxa"/>
            <w:bottom w:w="15" w:type="dxa"/>
          </w:tblCellMar>
        </w:tblPrEx>
        <w:trPr>
          <w:cantSplit/>
          <w:trHeight w:val="20"/>
        </w:trPr>
        <w:tc>
          <w:tcPr>
            <w:tcW w:w="1266" w:type="dxa"/>
            <w:gridSpan w:val="2"/>
            <w:vAlign w:val="center"/>
          </w:tcPr>
          <w:p w14:paraId="4800E207" w14:textId="2E7F9844" w:rsidR="00A93A3B" w:rsidRDefault="00A93A3B" w:rsidP="00264EE0">
            <w:pPr>
              <w:jc w:val="center"/>
              <w:rPr>
                <w:rFonts w:ascii="Arial Narrow" w:eastAsia="Times New Roman" w:hAnsi="Arial Narrow"/>
                <w:color w:val="333333"/>
                <w:sz w:val="20"/>
                <w:szCs w:val="20"/>
              </w:rPr>
            </w:pPr>
          </w:p>
        </w:tc>
        <w:tc>
          <w:tcPr>
            <w:tcW w:w="7700" w:type="dxa"/>
            <w:gridSpan w:val="6"/>
            <w:vAlign w:val="center"/>
          </w:tcPr>
          <w:p w14:paraId="64EC0DCB" w14:textId="77777777" w:rsidR="00A93A3B" w:rsidRPr="00F731E8" w:rsidRDefault="00A93A3B" w:rsidP="00264EE0">
            <w:pPr>
              <w:rPr>
                <w:rFonts w:ascii="Arial Narrow" w:hAnsi="Arial Narrow"/>
                <w:b/>
                <w:sz w:val="20"/>
              </w:rPr>
            </w:pPr>
            <w:r>
              <w:rPr>
                <w:rFonts w:ascii="Arial Narrow" w:hAnsi="Arial Narrow"/>
                <w:b/>
                <w:sz w:val="20"/>
                <w:szCs w:val="20"/>
              </w:rPr>
              <w:t>Clinical criteria:</w:t>
            </w:r>
          </w:p>
        </w:tc>
      </w:tr>
      <w:tr w:rsidR="00A93A3B" w:rsidRPr="001428E9" w14:paraId="7D62D200" w14:textId="77777777" w:rsidTr="00264EE0">
        <w:tblPrEx>
          <w:tblCellMar>
            <w:top w:w="15" w:type="dxa"/>
            <w:bottom w:w="15" w:type="dxa"/>
          </w:tblCellMar>
        </w:tblPrEx>
        <w:trPr>
          <w:cantSplit/>
          <w:trHeight w:val="20"/>
        </w:trPr>
        <w:tc>
          <w:tcPr>
            <w:tcW w:w="1266" w:type="dxa"/>
            <w:gridSpan w:val="2"/>
            <w:vAlign w:val="center"/>
          </w:tcPr>
          <w:p w14:paraId="2135B68C" w14:textId="70013979" w:rsidR="00A93A3B" w:rsidRDefault="00A93A3B" w:rsidP="00264EE0">
            <w:pPr>
              <w:jc w:val="center"/>
              <w:rPr>
                <w:rFonts w:ascii="Arial Narrow" w:eastAsia="Times New Roman" w:hAnsi="Arial Narrow"/>
                <w:color w:val="333333"/>
                <w:sz w:val="20"/>
                <w:szCs w:val="20"/>
              </w:rPr>
            </w:pPr>
          </w:p>
        </w:tc>
        <w:tc>
          <w:tcPr>
            <w:tcW w:w="7700" w:type="dxa"/>
            <w:gridSpan w:val="6"/>
            <w:vAlign w:val="center"/>
          </w:tcPr>
          <w:p w14:paraId="24A8DE3F" w14:textId="77777777" w:rsidR="00A93A3B" w:rsidRPr="00F731E8" w:rsidRDefault="00A93A3B" w:rsidP="00264EE0">
            <w:pPr>
              <w:rPr>
                <w:rFonts w:ascii="Arial Narrow" w:hAnsi="Arial Narrow"/>
                <w:sz w:val="20"/>
              </w:rPr>
            </w:pPr>
            <w:r w:rsidRPr="00BB00C3">
              <w:rPr>
                <w:rFonts w:ascii="Arial Narrow" w:hAnsi="Arial Narrow"/>
                <w:sz w:val="20"/>
                <w:szCs w:val="20"/>
              </w:rPr>
              <w:t>Patient must have a Crohn Disease Activity Index (CDAI) Score of greater than or equal to 300 that is no more than 4 weeks old at the time of application;</w:t>
            </w:r>
            <w:r w:rsidRPr="004B41A4">
              <w:rPr>
                <w:rFonts w:ascii="Arial Narrow" w:hAnsi="Arial Narrow"/>
                <w:sz w:val="20"/>
                <w:szCs w:val="20"/>
              </w:rPr>
              <w:t xml:space="preserve"> or</w:t>
            </w:r>
          </w:p>
        </w:tc>
      </w:tr>
      <w:tr w:rsidR="00A93A3B" w:rsidRPr="001428E9" w14:paraId="6E42CC19" w14:textId="77777777" w:rsidTr="00264EE0">
        <w:tblPrEx>
          <w:tblCellMar>
            <w:top w:w="15" w:type="dxa"/>
            <w:bottom w:w="15" w:type="dxa"/>
          </w:tblCellMar>
        </w:tblPrEx>
        <w:trPr>
          <w:cantSplit/>
          <w:trHeight w:val="20"/>
        </w:trPr>
        <w:tc>
          <w:tcPr>
            <w:tcW w:w="1266" w:type="dxa"/>
            <w:gridSpan w:val="2"/>
            <w:vAlign w:val="center"/>
          </w:tcPr>
          <w:p w14:paraId="531F5644" w14:textId="7A06CFD0" w:rsidR="00A93A3B" w:rsidRDefault="00A93A3B" w:rsidP="00264EE0">
            <w:pPr>
              <w:jc w:val="center"/>
              <w:rPr>
                <w:rFonts w:ascii="Arial Narrow" w:eastAsia="Times New Roman" w:hAnsi="Arial Narrow"/>
                <w:color w:val="333333"/>
                <w:sz w:val="20"/>
                <w:szCs w:val="20"/>
              </w:rPr>
            </w:pPr>
          </w:p>
        </w:tc>
        <w:tc>
          <w:tcPr>
            <w:tcW w:w="7700" w:type="dxa"/>
            <w:gridSpan w:val="6"/>
            <w:vAlign w:val="center"/>
          </w:tcPr>
          <w:p w14:paraId="743D49BD" w14:textId="77777777" w:rsidR="00A93A3B" w:rsidRPr="00F731E8" w:rsidRDefault="00A93A3B" w:rsidP="00264EE0">
            <w:pPr>
              <w:rPr>
                <w:rFonts w:ascii="Arial Narrow" w:hAnsi="Arial Narrow"/>
                <w:sz w:val="20"/>
              </w:rPr>
            </w:pPr>
            <w:r w:rsidRPr="00BB00C3">
              <w:rPr>
                <w:rFonts w:ascii="Arial Narrow" w:hAnsi="Arial Narrow"/>
                <w:sz w:val="20"/>
                <w:szCs w:val="20"/>
              </w:rPr>
              <w:t>Patient must have a documented history of intestinal inflammation and have diagnostic imaging or surgical evidence of short gut syndrome if affected by the syndrome or has an ileostomy or colostomy</w:t>
            </w:r>
            <w:r>
              <w:rPr>
                <w:rFonts w:ascii="Arial Narrow" w:hAnsi="Arial Narrow"/>
                <w:sz w:val="20"/>
                <w:szCs w:val="20"/>
              </w:rPr>
              <w:t xml:space="preserve"> </w:t>
            </w:r>
            <w:r w:rsidRPr="004B41A4">
              <w:rPr>
                <w:rFonts w:ascii="Arial Narrow" w:hAnsi="Arial Narrow"/>
                <w:sz w:val="20"/>
                <w:szCs w:val="20"/>
              </w:rPr>
              <w:t>or</w:t>
            </w:r>
          </w:p>
        </w:tc>
      </w:tr>
      <w:tr w:rsidR="00A93A3B" w:rsidRPr="001428E9" w14:paraId="54099EBC" w14:textId="77777777" w:rsidTr="00264EE0">
        <w:tblPrEx>
          <w:tblCellMar>
            <w:top w:w="15" w:type="dxa"/>
            <w:bottom w:w="15" w:type="dxa"/>
          </w:tblCellMar>
        </w:tblPrEx>
        <w:trPr>
          <w:cantSplit/>
          <w:trHeight w:val="20"/>
        </w:trPr>
        <w:tc>
          <w:tcPr>
            <w:tcW w:w="1266" w:type="dxa"/>
            <w:gridSpan w:val="2"/>
            <w:vAlign w:val="center"/>
          </w:tcPr>
          <w:p w14:paraId="139CBF6A" w14:textId="725F5E50" w:rsidR="00A93A3B" w:rsidRDefault="00A93A3B" w:rsidP="00264EE0">
            <w:pPr>
              <w:jc w:val="center"/>
              <w:rPr>
                <w:rFonts w:ascii="Arial Narrow" w:eastAsia="Times New Roman" w:hAnsi="Arial Narrow"/>
                <w:color w:val="333333"/>
                <w:sz w:val="20"/>
                <w:szCs w:val="20"/>
              </w:rPr>
            </w:pPr>
          </w:p>
        </w:tc>
        <w:tc>
          <w:tcPr>
            <w:tcW w:w="7700" w:type="dxa"/>
            <w:gridSpan w:val="6"/>
            <w:vAlign w:val="center"/>
          </w:tcPr>
          <w:p w14:paraId="7F68015F" w14:textId="77777777" w:rsidR="00A93A3B" w:rsidRPr="00F731E8" w:rsidRDefault="00A93A3B" w:rsidP="00264EE0">
            <w:pPr>
              <w:rPr>
                <w:rFonts w:ascii="Arial Narrow" w:eastAsia="Times New Roman" w:hAnsi="Arial Narrow"/>
                <w:bCs/>
                <w:color w:val="333333"/>
                <w:sz w:val="20"/>
                <w:szCs w:val="20"/>
              </w:rPr>
            </w:pPr>
            <w:r w:rsidRPr="00BB00C3">
              <w:rPr>
                <w:rFonts w:ascii="Arial Narrow" w:hAnsi="Arial Narrow"/>
                <w:sz w:val="20"/>
                <w:szCs w:val="20"/>
              </w:rPr>
              <w:t>Patient must have a documented history and radiological evidence of intestinal inflammation if the patient has extensive small intestinal disease affecting more than 50 cm of the small intestine, together with a Crohn Disease Activity Index (CDAI) Score greater than or equal to 220 and that is no more than 4 weeks old at the time of application</w:t>
            </w:r>
          </w:p>
        </w:tc>
      </w:tr>
      <w:tr w:rsidR="00A93A3B" w:rsidRPr="001428E9" w14:paraId="79CF058A" w14:textId="77777777" w:rsidTr="00264EE0">
        <w:tblPrEx>
          <w:tblCellMar>
            <w:top w:w="15" w:type="dxa"/>
            <w:bottom w:w="15" w:type="dxa"/>
          </w:tblCellMar>
        </w:tblPrEx>
        <w:trPr>
          <w:cantSplit/>
          <w:trHeight w:val="20"/>
        </w:trPr>
        <w:tc>
          <w:tcPr>
            <w:tcW w:w="1266" w:type="dxa"/>
            <w:gridSpan w:val="2"/>
            <w:vAlign w:val="center"/>
          </w:tcPr>
          <w:p w14:paraId="101B6AA4" w14:textId="77777777" w:rsidR="00A93A3B" w:rsidDel="003F3268" w:rsidRDefault="00A93A3B" w:rsidP="00264EE0">
            <w:pPr>
              <w:jc w:val="center"/>
              <w:rPr>
                <w:rFonts w:ascii="Arial Narrow" w:eastAsia="Times New Roman" w:hAnsi="Arial Narrow"/>
                <w:color w:val="333333"/>
                <w:sz w:val="20"/>
                <w:szCs w:val="20"/>
              </w:rPr>
            </w:pPr>
          </w:p>
        </w:tc>
        <w:tc>
          <w:tcPr>
            <w:tcW w:w="7700" w:type="dxa"/>
            <w:gridSpan w:val="6"/>
            <w:vAlign w:val="center"/>
          </w:tcPr>
          <w:p w14:paraId="06D6CEFA" w14:textId="77777777" w:rsidR="00A93A3B" w:rsidRPr="004B41A4" w:rsidRDefault="00A93A3B" w:rsidP="00264EE0">
            <w:pPr>
              <w:rPr>
                <w:rFonts w:ascii="Arial Narrow" w:hAnsi="Arial Narrow"/>
                <w:sz w:val="20"/>
                <w:szCs w:val="20"/>
              </w:rPr>
            </w:pPr>
            <w:r w:rsidRPr="007E3DAB">
              <w:rPr>
                <w:rFonts w:ascii="Arial Narrow" w:hAnsi="Arial Narrow"/>
                <w:b/>
                <w:sz w:val="20"/>
                <w:szCs w:val="20"/>
              </w:rPr>
              <w:t>AND</w:t>
            </w:r>
          </w:p>
        </w:tc>
      </w:tr>
      <w:tr w:rsidR="00A93A3B" w:rsidRPr="001428E9" w14:paraId="24F58B48" w14:textId="77777777" w:rsidTr="00264EE0">
        <w:tblPrEx>
          <w:tblCellMar>
            <w:top w:w="15" w:type="dxa"/>
            <w:bottom w:w="15" w:type="dxa"/>
          </w:tblCellMar>
        </w:tblPrEx>
        <w:trPr>
          <w:cantSplit/>
          <w:trHeight w:val="20"/>
        </w:trPr>
        <w:tc>
          <w:tcPr>
            <w:tcW w:w="1266" w:type="dxa"/>
            <w:gridSpan w:val="2"/>
            <w:vAlign w:val="center"/>
          </w:tcPr>
          <w:p w14:paraId="16146C3B" w14:textId="4FB217BA" w:rsidR="00A93A3B" w:rsidDel="003F3268" w:rsidRDefault="00A93A3B" w:rsidP="00264EE0">
            <w:pPr>
              <w:jc w:val="center"/>
              <w:rPr>
                <w:rFonts w:ascii="Arial Narrow" w:eastAsia="Times New Roman" w:hAnsi="Arial Narrow"/>
                <w:color w:val="333333"/>
                <w:sz w:val="20"/>
                <w:szCs w:val="20"/>
              </w:rPr>
            </w:pPr>
          </w:p>
        </w:tc>
        <w:tc>
          <w:tcPr>
            <w:tcW w:w="7700" w:type="dxa"/>
            <w:gridSpan w:val="6"/>
            <w:vAlign w:val="center"/>
          </w:tcPr>
          <w:p w14:paraId="2888D8E5" w14:textId="77777777" w:rsidR="00A93A3B" w:rsidRPr="004B41A4" w:rsidRDefault="00A93A3B" w:rsidP="00264EE0">
            <w:pPr>
              <w:rPr>
                <w:rFonts w:ascii="Arial Narrow" w:hAnsi="Arial Narrow"/>
                <w:sz w:val="20"/>
                <w:szCs w:val="20"/>
              </w:rPr>
            </w:pPr>
            <w:r>
              <w:rPr>
                <w:rFonts w:ascii="Arial Narrow" w:hAnsi="Arial Narrow"/>
                <w:b/>
                <w:sz w:val="20"/>
                <w:szCs w:val="20"/>
              </w:rPr>
              <w:t>Clinical criteria:</w:t>
            </w:r>
          </w:p>
        </w:tc>
      </w:tr>
      <w:tr w:rsidR="00A93A3B" w:rsidRPr="001428E9" w14:paraId="20705A7B" w14:textId="77777777" w:rsidTr="00264EE0">
        <w:tblPrEx>
          <w:tblCellMar>
            <w:top w:w="15" w:type="dxa"/>
            <w:bottom w:w="15" w:type="dxa"/>
          </w:tblCellMar>
        </w:tblPrEx>
        <w:trPr>
          <w:cantSplit/>
          <w:trHeight w:val="20"/>
        </w:trPr>
        <w:tc>
          <w:tcPr>
            <w:tcW w:w="1266" w:type="dxa"/>
            <w:gridSpan w:val="2"/>
            <w:vAlign w:val="center"/>
          </w:tcPr>
          <w:p w14:paraId="7AED0492" w14:textId="7E450D5D" w:rsidR="00A93A3B" w:rsidDel="003F3268" w:rsidRDefault="00A93A3B" w:rsidP="00264EE0">
            <w:pPr>
              <w:jc w:val="center"/>
              <w:rPr>
                <w:rFonts w:ascii="Arial Narrow" w:eastAsia="Times New Roman" w:hAnsi="Arial Narrow"/>
                <w:color w:val="333333"/>
                <w:sz w:val="20"/>
                <w:szCs w:val="20"/>
              </w:rPr>
            </w:pPr>
          </w:p>
        </w:tc>
        <w:tc>
          <w:tcPr>
            <w:tcW w:w="7700" w:type="dxa"/>
            <w:gridSpan w:val="6"/>
            <w:vAlign w:val="center"/>
          </w:tcPr>
          <w:p w14:paraId="71D556D0" w14:textId="77777777" w:rsidR="00A93A3B" w:rsidRPr="009B6C9C" w:rsidRDefault="00A93A3B" w:rsidP="00264EE0">
            <w:pPr>
              <w:rPr>
                <w:rFonts w:ascii="Arial Narrow" w:hAnsi="Arial Narrow"/>
                <w:i/>
                <w:iCs/>
                <w:sz w:val="20"/>
                <w:szCs w:val="20"/>
              </w:rPr>
            </w:pPr>
            <w:r>
              <w:rPr>
                <w:rFonts w:ascii="Arial Narrow" w:hAnsi="Arial Narrow"/>
                <w:i/>
                <w:iCs/>
                <w:sz w:val="20"/>
                <w:szCs w:val="20"/>
              </w:rPr>
              <w:t>Patient must have evidence of intestinal inflammation; or</w:t>
            </w:r>
          </w:p>
        </w:tc>
      </w:tr>
      <w:tr w:rsidR="00A93A3B" w:rsidRPr="001428E9" w14:paraId="7502ECF4" w14:textId="77777777" w:rsidTr="00264EE0">
        <w:tblPrEx>
          <w:tblCellMar>
            <w:top w:w="15" w:type="dxa"/>
            <w:bottom w:w="15" w:type="dxa"/>
          </w:tblCellMar>
        </w:tblPrEx>
        <w:trPr>
          <w:cantSplit/>
          <w:trHeight w:val="20"/>
        </w:trPr>
        <w:tc>
          <w:tcPr>
            <w:tcW w:w="1266" w:type="dxa"/>
            <w:gridSpan w:val="2"/>
            <w:vAlign w:val="center"/>
          </w:tcPr>
          <w:p w14:paraId="114BF056" w14:textId="3A1E9DF9" w:rsidR="00A93A3B" w:rsidDel="003F3268" w:rsidRDefault="00A93A3B" w:rsidP="00264EE0">
            <w:pPr>
              <w:jc w:val="center"/>
              <w:rPr>
                <w:rFonts w:ascii="Arial Narrow" w:eastAsia="Times New Roman" w:hAnsi="Arial Narrow"/>
                <w:color w:val="333333"/>
                <w:sz w:val="20"/>
                <w:szCs w:val="20"/>
              </w:rPr>
            </w:pPr>
          </w:p>
        </w:tc>
        <w:tc>
          <w:tcPr>
            <w:tcW w:w="7700" w:type="dxa"/>
            <w:gridSpan w:val="6"/>
            <w:vAlign w:val="center"/>
          </w:tcPr>
          <w:p w14:paraId="294FC9F1" w14:textId="77777777" w:rsidR="00A93A3B" w:rsidRPr="009B6C9C" w:rsidRDefault="00A93A3B" w:rsidP="00264EE0">
            <w:pPr>
              <w:rPr>
                <w:rFonts w:ascii="Arial Narrow" w:hAnsi="Arial Narrow"/>
                <w:i/>
                <w:iCs/>
                <w:sz w:val="20"/>
                <w:szCs w:val="20"/>
              </w:rPr>
            </w:pPr>
            <w:r>
              <w:rPr>
                <w:rFonts w:ascii="Arial Narrow" w:hAnsi="Arial Narrow"/>
                <w:i/>
                <w:iCs/>
                <w:sz w:val="20"/>
                <w:szCs w:val="20"/>
              </w:rPr>
              <w:t>Patient must be assessed clinically as being in a high faecal output state; or</w:t>
            </w:r>
          </w:p>
        </w:tc>
      </w:tr>
      <w:tr w:rsidR="00A93A3B" w:rsidRPr="001428E9" w14:paraId="036DBFCA" w14:textId="77777777" w:rsidTr="00264EE0">
        <w:tblPrEx>
          <w:tblCellMar>
            <w:top w:w="15" w:type="dxa"/>
            <w:bottom w:w="15" w:type="dxa"/>
          </w:tblCellMar>
        </w:tblPrEx>
        <w:trPr>
          <w:cantSplit/>
          <w:trHeight w:val="20"/>
        </w:trPr>
        <w:tc>
          <w:tcPr>
            <w:tcW w:w="1266" w:type="dxa"/>
            <w:gridSpan w:val="2"/>
            <w:vAlign w:val="center"/>
          </w:tcPr>
          <w:p w14:paraId="0C4934A5" w14:textId="439F3698" w:rsidR="00A93A3B" w:rsidDel="003F3268" w:rsidRDefault="00A93A3B" w:rsidP="00264EE0">
            <w:pPr>
              <w:jc w:val="center"/>
              <w:rPr>
                <w:rFonts w:ascii="Arial Narrow" w:eastAsia="Times New Roman" w:hAnsi="Arial Narrow"/>
                <w:color w:val="333333"/>
                <w:sz w:val="20"/>
                <w:szCs w:val="20"/>
              </w:rPr>
            </w:pPr>
          </w:p>
        </w:tc>
        <w:tc>
          <w:tcPr>
            <w:tcW w:w="7700" w:type="dxa"/>
            <w:gridSpan w:val="6"/>
            <w:vAlign w:val="center"/>
          </w:tcPr>
          <w:p w14:paraId="6F7555E9" w14:textId="77777777" w:rsidR="00A93A3B" w:rsidRPr="009B6C9C" w:rsidRDefault="00A93A3B" w:rsidP="00264EE0">
            <w:pPr>
              <w:rPr>
                <w:rFonts w:ascii="Arial Narrow" w:hAnsi="Arial Narrow"/>
                <w:i/>
                <w:iCs/>
                <w:sz w:val="20"/>
                <w:szCs w:val="20"/>
              </w:rPr>
            </w:pPr>
            <w:r w:rsidRPr="009B6C9C">
              <w:rPr>
                <w:rFonts w:ascii="Arial Narrow" w:hAnsi="Arial Narrow"/>
                <w:i/>
                <w:iCs/>
                <w:sz w:val="20"/>
                <w:szCs w:val="20"/>
              </w:rPr>
              <w:t>Patient must be assessed clinically as requiring surgery or total parenteral nutrition (TPN) as the next therapeutic option, in the absence of this drug, if affected by short gut syndrome, extensive small intestine disease or is an ostomy patient</w:t>
            </w:r>
          </w:p>
        </w:tc>
      </w:tr>
      <w:tr w:rsidR="00A93A3B" w:rsidRPr="001428E9" w14:paraId="27FD21FA" w14:textId="77777777" w:rsidTr="00264EE0">
        <w:tblPrEx>
          <w:tblCellMar>
            <w:top w:w="15" w:type="dxa"/>
            <w:bottom w:w="15" w:type="dxa"/>
          </w:tblCellMar>
        </w:tblPrEx>
        <w:trPr>
          <w:cantSplit/>
          <w:trHeight w:val="20"/>
        </w:trPr>
        <w:tc>
          <w:tcPr>
            <w:tcW w:w="1266" w:type="dxa"/>
            <w:gridSpan w:val="2"/>
            <w:vAlign w:val="center"/>
          </w:tcPr>
          <w:p w14:paraId="24634A7A" w14:textId="77777777" w:rsidR="00A93A3B" w:rsidRDefault="00A93A3B" w:rsidP="00264EE0">
            <w:pPr>
              <w:jc w:val="center"/>
              <w:rPr>
                <w:rFonts w:ascii="Arial Narrow" w:eastAsia="Times New Roman" w:hAnsi="Arial Narrow"/>
                <w:color w:val="333333"/>
                <w:sz w:val="20"/>
                <w:szCs w:val="20"/>
              </w:rPr>
            </w:pPr>
          </w:p>
        </w:tc>
        <w:tc>
          <w:tcPr>
            <w:tcW w:w="7700" w:type="dxa"/>
            <w:gridSpan w:val="6"/>
            <w:vAlign w:val="center"/>
          </w:tcPr>
          <w:p w14:paraId="102CF69A" w14:textId="77777777" w:rsidR="00A93A3B" w:rsidRPr="004B41A4" w:rsidRDefault="00A93A3B" w:rsidP="00264EE0">
            <w:pPr>
              <w:rPr>
                <w:rFonts w:ascii="Arial Narrow" w:hAnsi="Arial Narrow"/>
                <w:sz w:val="20"/>
                <w:szCs w:val="20"/>
              </w:rPr>
            </w:pPr>
          </w:p>
        </w:tc>
      </w:tr>
      <w:tr w:rsidR="00A93A3B" w:rsidRPr="001428E9" w14:paraId="33A8ED62" w14:textId="77777777" w:rsidTr="00264EE0">
        <w:tblPrEx>
          <w:tblCellMar>
            <w:top w:w="15" w:type="dxa"/>
            <w:bottom w:w="15" w:type="dxa"/>
          </w:tblCellMar>
        </w:tblPrEx>
        <w:trPr>
          <w:cantSplit/>
          <w:trHeight w:val="20"/>
        </w:trPr>
        <w:tc>
          <w:tcPr>
            <w:tcW w:w="1266" w:type="dxa"/>
            <w:gridSpan w:val="2"/>
            <w:vAlign w:val="center"/>
          </w:tcPr>
          <w:p w14:paraId="350D37DB" w14:textId="4DFE3697" w:rsidR="00A93A3B" w:rsidRDefault="00A93A3B" w:rsidP="00264EE0">
            <w:pPr>
              <w:jc w:val="center"/>
              <w:rPr>
                <w:rFonts w:ascii="Arial Narrow" w:eastAsia="Times New Roman" w:hAnsi="Arial Narrow"/>
                <w:color w:val="333333"/>
                <w:sz w:val="20"/>
                <w:szCs w:val="20"/>
              </w:rPr>
            </w:pPr>
          </w:p>
        </w:tc>
        <w:tc>
          <w:tcPr>
            <w:tcW w:w="7700" w:type="dxa"/>
            <w:gridSpan w:val="6"/>
            <w:vAlign w:val="center"/>
          </w:tcPr>
          <w:p w14:paraId="5724A3B3" w14:textId="77777777" w:rsidR="00A93A3B" w:rsidRPr="00F731E8" w:rsidRDefault="00A93A3B" w:rsidP="00264EE0">
            <w:pPr>
              <w:rPr>
                <w:rFonts w:ascii="Arial Narrow" w:eastAsia="Times New Roman" w:hAnsi="Arial Narrow"/>
                <w:b/>
                <w:bCs/>
                <w:color w:val="333333"/>
                <w:sz w:val="20"/>
                <w:szCs w:val="20"/>
              </w:rPr>
            </w:pPr>
            <w:r w:rsidRPr="001428E9">
              <w:rPr>
                <w:rFonts w:ascii="Arial Narrow" w:eastAsia="Times New Roman" w:hAnsi="Arial Narrow"/>
                <w:b/>
                <w:bCs/>
                <w:color w:val="333333"/>
                <w:sz w:val="20"/>
                <w:szCs w:val="20"/>
              </w:rPr>
              <w:t>Treatment criteria:</w:t>
            </w:r>
          </w:p>
        </w:tc>
      </w:tr>
      <w:tr w:rsidR="00A93A3B" w:rsidRPr="001428E9" w14:paraId="2554E8B0"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72A79CE5" w14:textId="2C8122BD" w:rsidR="00A93A3B" w:rsidRDefault="00A93A3B" w:rsidP="00264EE0">
            <w:pPr>
              <w:jc w:val="center"/>
              <w:rPr>
                <w:rFonts w:ascii="Arial Narrow" w:eastAsia="Times New Roman" w:hAnsi="Arial Narrow"/>
                <w:color w:val="333333"/>
                <w:sz w:val="20"/>
                <w:szCs w:val="20"/>
              </w:rPr>
            </w:pPr>
          </w:p>
        </w:tc>
        <w:tc>
          <w:tcPr>
            <w:tcW w:w="7700" w:type="dxa"/>
            <w:gridSpan w:val="6"/>
            <w:vAlign w:val="center"/>
          </w:tcPr>
          <w:p w14:paraId="233AE44B" w14:textId="77777777" w:rsidR="00A93A3B" w:rsidRPr="00273A30" w:rsidRDefault="00A93A3B" w:rsidP="00264EE0">
            <w:pPr>
              <w:rPr>
                <w:rFonts w:ascii="Arial Narrow" w:eastAsia="Times New Roman" w:hAnsi="Arial Narrow"/>
                <w:b/>
                <w:bCs/>
                <w:color w:val="333333"/>
                <w:sz w:val="20"/>
                <w:szCs w:val="20"/>
              </w:rPr>
            </w:pPr>
            <w:r w:rsidRPr="00273A30">
              <w:rPr>
                <w:rFonts w:ascii="Arial Narrow" w:hAnsi="Arial Narrow"/>
                <w:sz w:val="20"/>
              </w:rPr>
              <w:t>Must be treated by a gastroenterologist (code 87); or</w:t>
            </w:r>
          </w:p>
        </w:tc>
      </w:tr>
      <w:tr w:rsidR="00A93A3B" w:rsidRPr="001428E9" w14:paraId="4A16FC8A"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456F80CD" w14:textId="711E6501" w:rsidR="00A93A3B" w:rsidRDefault="00A93A3B" w:rsidP="00264EE0">
            <w:pPr>
              <w:jc w:val="center"/>
              <w:rPr>
                <w:rFonts w:ascii="Arial Narrow" w:eastAsia="Times New Roman" w:hAnsi="Arial Narrow"/>
                <w:color w:val="333333"/>
                <w:sz w:val="20"/>
                <w:szCs w:val="20"/>
              </w:rPr>
            </w:pPr>
          </w:p>
        </w:tc>
        <w:tc>
          <w:tcPr>
            <w:tcW w:w="7700" w:type="dxa"/>
            <w:gridSpan w:val="6"/>
            <w:vAlign w:val="center"/>
          </w:tcPr>
          <w:p w14:paraId="61AD22A5" w14:textId="77777777" w:rsidR="00A93A3B" w:rsidRPr="00273A30" w:rsidRDefault="00A93A3B" w:rsidP="00264EE0">
            <w:pPr>
              <w:rPr>
                <w:rFonts w:ascii="Arial Narrow" w:hAnsi="Arial Narrow"/>
                <w:sz w:val="20"/>
              </w:rPr>
            </w:pPr>
            <w:r w:rsidRPr="00273A30">
              <w:rPr>
                <w:rFonts w:ascii="Arial Narrow" w:hAnsi="Arial Narrow"/>
                <w:sz w:val="20"/>
              </w:rPr>
              <w:t>Must be treated by a consultant physician [internal medicine specialising in gastroenterology (code 81)]; or</w:t>
            </w:r>
          </w:p>
        </w:tc>
      </w:tr>
      <w:tr w:rsidR="00A93A3B" w:rsidRPr="001428E9" w14:paraId="17F5D89B" w14:textId="77777777" w:rsidTr="00264EE0">
        <w:tblPrEx>
          <w:tblCellMar>
            <w:top w:w="15" w:type="dxa"/>
            <w:bottom w:w="15" w:type="dxa"/>
          </w:tblCellMar>
        </w:tblPrEx>
        <w:trPr>
          <w:cantSplit/>
          <w:trHeight w:val="20"/>
        </w:trPr>
        <w:tc>
          <w:tcPr>
            <w:tcW w:w="1266" w:type="dxa"/>
            <w:gridSpan w:val="2"/>
            <w:vAlign w:val="center"/>
          </w:tcPr>
          <w:p w14:paraId="6EE329D9" w14:textId="3615C7FB" w:rsidR="00A93A3B" w:rsidRDefault="00A93A3B" w:rsidP="00264EE0">
            <w:pPr>
              <w:jc w:val="center"/>
              <w:rPr>
                <w:rFonts w:ascii="Arial Narrow" w:eastAsia="Times New Roman" w:hAnsi="Arial Narrow"/>
                <w:color w:val="333333"/>
                <w:sz w:val="20"/>
                <w:szCs w:val="20"/>
              </w:rPr>
            </w:pPr>
          </w:p>
        </w:tc>
        <w:tc>
          <w:tcPr>
            <w:tcW w:w="7700" w:type="dxa"/>
            <w:gridSpan w:val="6"/>
            <w:vAlign w:val="center"/>
          </w:tcPr>
          <w:p w14:paraId="1BC9635E" w14:textId="77777777" w:rsidR="00A93A3B" w:rsidRPr="00273A30" w:rsidRDefault="00A93A3B" w:rsidP="00264EE0">
            <w:pPr>
              <w:rPr>
                <w:rFonts w:ascii="Arial Narrow" w:hAnsi="Arial Narrow"/>
                <w:b/>
                <w:sz w:val="20"/>
              </w:rPr>
            </w:pPr>
            <w:r w:rsidRPr="00273A30">
              <w:rPr>
                <w:rFonts w:ascii="Arial Narrow" w:hAnsi="Arial Narrow"/>
                <w:sz w:val="20"/>
              </w:rPr>
              <w:t>Must be treated by a consultant physician [general medicine specialising in gastroenterology (code 82)]</w:t>
            </w:r>
          </w:p>
        </w:tc>
      </w:tr>
      <w:tr w:rsidR="00A93A3B" w:rsidRPr="001428E9" w14:paraId="2FBB3F9D"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4D836269" w14:textId="7CA5C252" w:rsidR="00A93A3B" w:rsidRDefault="00A93A3B" w:rsidP="00264EE0">
            <w:pPr>
              <w:jc w:val="center"/>
              <w:rPr>
                <w:rFonts w:ascii="Arial Narrow" w:eastAsia="Times New Roman" w:hAnsi="Arial Narrow"/>
                <w:color w:val="333333"/>
                <w:sz w:val="20"/>
                <w:szCs w:val="20"/>
              </w:rPr>
            </w:pPr>
          </w:p>
        </w:tc>
        <w:tc>
          <w:tcPr>
            <w:tcW w:w="7700" w:type="dxa"/>
            <w:gridSpan w:val="6"/>
            <w:vAlign w:val="center"/>
          </w:tcPr>
          <w:p w14:paraId="44634783" w14:textId="77777777" w:rsidR="00A93A3B" w:rsidRPr="00F731E8" w:rsidRDefault="00A93A3B" w:rsidP="00264EE0">
            <w:pPr>
              <w:rPr>
                <w:rFonts w:ascii="Arial Narrow" w:eastAsia="Times New Roman" w:hAnsi="Arial Narrow"/>
                <w:bCs/>
                <w:color w:val="333333"/>
                <w:sz w:val="20"/>
                <w:szCs w:val="20"/>
              </w:rPr>
            </w:pPr>
            <w:r w:rsidRPr="001428E9">
              <w:rPr>
                <w:rFonts w:ascii="Arial Narrow" w:eastAsia="Times New Roman" w:hAnsi="Arial Narrow"/>
                <w:b/>
                <w:bCs/>
                <w:color w:val="333333"/>
                <w:sz w:val="20"/>
                <w:szCs w:val="20"/>
              </w:rPr>
              <w:t>Population criteria:</w:t>
            </w:r>
          </w:p>
        </w:tc>
      </w:tr>
      <w:tr w:rsidR="00A93A3B" w:rsidRPr="001428E9" w14:paraId="1C65094D"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3D842767" w14:textId="7E1CB155" w:rsidR="00A93A3B" w:rsidRDefault="00A93A3B" w:rsidP="00264EE0">
            <w:pPr>
              <w:jc w:val="center"/>
              <w:rPr>
                <w:rFonts w:ascii="Arial Narrow" w:eastAsia="Times New Roman" w:hAnsi="Arial Narrow"/>
                <w:color w:val="333333"/>
                <w:sz w:val="20"/>
                <w:szCs w:val="20"/>
              </w:rPr>
            </w:pPr>
          </w:p>
        </w:tc>
        <w:tc>
          <w:tcPr>
            <w:tcW w:w="7700" w:type="dxa"/>
            <w:gridSpan w:val="6"/>
            <w:vAlign w:val="center"/>
          </w:tcPr>
          <w:p w14:paraId="11E86B32" w14:textId="77777777" w:rsidR="00A93A3B" w:rsidRPr="00F731E8" w:rsidRDefault="00A93A3B" w:rsidP="00264EE0">
            <w:pPr>
              <w:rPr>
                <w:rFonts w:ascii="Arial Narrow" w:eastAsia="Times New Roman" w:hAnsi="Arial Narrow"/>
                <w:bCs/>
                <w:color w:val="333333"/>
                <w:sz w:val="20"/>
                <w:szCs w:val="20"/>
              </w:rPr>
            </w:pPr>
            <w:r w:rsidRPr="007E3DAB">
              <w:rPr>
                <w:rFonts w:ascii="Arial Narrow" w:hAnsi="Arial Narrow"/>
                <w:sz w:val="20"/>
              </w:rPr>
              <w:t>Patient must be aged 18 years or older</w:t>
            </w:r>
          </w:p>
        </w:tc>
      </w:tr>
      <w:tr w:rsidR="00A93A3B" w:rsidRPr="001428E9" w14:paraId="1B8A9F8C"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25DF285B" w14:textId="0527B659" w:rsidR="00A93A3B" w:rsidRDefault="00A93A3B" w:rsidP="00264EE0">
            <w:pPr>
              <w:jc w:val="center"/>
              <w:rPr>
                <w:rFonts w:ascii="Arial Narrow" w:eastAsia="Times New Roman" w:hAnsi="Arial Narrow"/>
                <w:color w:val="333333"/>
                <w:sz w:val="20"/>
                <w:szCs w:val="20"/>
              </w:rPr>
            </w:pPr>
          </w:p>
        </w:tc>
        <w:tc>
          <w:tcPr>
            <w:tcW w:w="7700" w:type="dxa"/>
            <w:gridSpan w:val="6"/>
            <w:vAlign w:val="center"/>
          </w:tcPr>
          <w:p w14:paraId="7D1BFB01" w14:textId="77777777" w:rsidR="00A93A3B" w:rsidRDefault="00A93A3B" w:rsidP="00264EE0">
            <w:pPr>
              <w:rPr>
                <w:rFonts w:ascii="Arial Narrow" w:hAnsi="Arial Narrow"/>
                <w:sz w:val="20"/>
              </w:rPr>
            </w:pPr>
            <w:r w:rsidRPr="0086121F">
              <w:rPr>
                <w:rFonts w:ascii="Arial Narrow" w:hAnsi="Arial Narrow"/>
                <w:b/>
                <w:sz w:val="20"/>
              </w:rPr>
              <w:t xml:space="preserve">Prescriber Instructions: </w:t>
            </w:r>
          </w:p>
          <w:p w14:paraId="35794E4C" w14:textId="77777777" w:rsidR="00A93A3B" w:rsidRDefault="00A93A3B" w:rsidP="00264EE0">
            <w:pPr>
              <w:rPr>
                <w:rFonts w:ascii="Arial Narrow" w:hAnsi="Arial Narrow"/>
                <w:sz w:val="20"/>
              </w:rPr>
            </w:pPr>
            <w:r w:rsidRPr="00504369">
              <w:rPr>
                <w:rFonts w:ascii="Arial Narrow" w:hAnsi="Arial Narrow"/>
                <w:sz w:val="20"/>
              </w:rPr>
              <w:t>The authority application must be made in writing and must include:</w:t>
            </w:r>
          </w:p>
          <w:p w14:paraId="09BD9A0C" w14:textId="77777777" w:rsidR="00A93A3B" w:rsidRPr="00504369" w:rsidRDefault="00A93A3B" w:rsidP="00264EE0">
            <w:pPr>
              <w:rPr>
                <w:rFonts w:ascii="Arial Narrow" w:hAnsi="Arial Narrow"/>
                <w:sz w:val="20"/>
              </w:rPr>
            </w:pPr>
            <w:r w:rsidRPr="00504369">
              <w:rPr>
                <w:rFonts w:ascii="Arial Narrow" w:hAnsi="Arial Narrow"/>
                <w:sz w:val="20"/>
              </w:rPr>
              <w:t>(1) two completed authority prescription forms; and</w:t>
            </w:r>
          </w:p>
          <w:p w14:paraId="49CB6911" w14:textId="77777777" w:rsidR="00A93A3B" w:rsidRPr="00F731E8" w:rsidRDefault="00A93A3B" w:rsidP="00264EE0">
            <w:pPr>
              <w:rPr>
                <w:rFonts w:ascii="Arial Narrow" w:eastAsia="Times New Roman" w:hAnsi="Arial Narrow"/>
                <w:bCs/>
                <w:color w:val="333333"/>
                <w:sz w:val="20"/>
                <w:szCs w:val="20"/>
              </w:rPr>
            </w:pPr>
            <w:r w:rsidRPr="00504369">
              <w:rPr>
                <w:rFonts w:ascii="Arial Narrow" w:hAnsi="Arial Narrow"/>
                <w:sz w:val="20"/>
              </w:rPr>
              <w:t>(2) a completed authority application form relevant to the indication and treatment phase (the latest version is located on the website specified in the Administrative Advice).</w:t>
            </w:r>
          </w:p>
        </w:tc>
      </w:tr>
      <w:tr w:rsidR="00A93A3B" w:rsidRPr="001428E9" w14:paraId="18E13413"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1196FD0F" w14:textId="79D9127A" w:rsidR="00A93A3B" w:rsidRPr="00CB441F" w:rsidRDefault="00A93A3B" w:rsidP="00264EE0">
            <w:pPr>
              <w:jc w:val="center"/>
              <w:rPr>
                <w:rFonts w:ascii="Arial Narrow" w:eastAsia="Times New Roman" w:hAnsi="Arial Narrow"/>
                <w:bCs/>
                <w:color w:val="333333"/>
                <w:sz w:val="20"/>
                <w:szCs w:val="20"/>
              </w:rPr>
            </w:pPr>
          </w:p>
        </w:tc>
        <w:tc>
          <w:tcPr>
            <w:tcW w:w="7700" w:type="dxa"/>
            <w:gridSpan w:val="6"/>
            <w:vAlign w:val="center"/>
          </w:tcPr>
          <w:p w14:paraId="6876EA3C" w14:textId="77777777" w:rsidR="00A93A3B" w:rsidRDefault="00A93A3B" w:rsidP="00264EE0">
            <w:pPr>
              <w:rPr>
                <w:rFonts w:ascii="Arial Narrow" w:hAnsi="Arial Narrow"/>
                <w:strike/>
                <w:sz w:val="20"/>
              </w:rPr>
            </w:pPr>
            <w:r w:rsidRPr="007E3DAB">
              <w:rPr>
                <w:rFonts w:ascii="Arial Narrow" w:hAnsi="Arial Narrow"/>
                <w:b/>
                <w:sz w:val="20"/>
              </w:rPr>
              <w:t>Prescriber Instructions:</w:t>
            </w:r>
            <w:r>
              <w:rPr>
                <w:rFonts w:ascii="Arial Narrow" w:hAnsi="Arial Narrow"/>
                <w:sz w:val="20"/>
              </w:rPr>
              <w:t xml:space="preserve"> </w:t>
            </w:r>
          </w:p>
          <w:p w14:paraId="3504EC12" w14:textId="77777777" w:rsidR="00A93A3B" w:rsidRPr="00F731E8" w:rsidRDefault="00A93A3B" w:rsidP="00264EE0">
            <w:pPr>
              <w:rPr>
                <w:rFonts w:ascii="Arial Narrow" w:eastAsia="Times New Roman" w:hAnsi="Arial Narrow"/>
                <w:b/>
                <w:bCs/>
                <w:color w:val="333333"/>
                <w:sz w:val="20"/>
                <w:szCs w:val="20"/>
              </w:rPr>
            </w:pPr>
            <w:r w:rsidRPr="007E3DAB">
              <w:rPr>
                <w:rFonts w:ascii="Arial Narrow" w:hAnsi="Arial Narrow"/>
                <w:sz w:val="20"/>
              </w:rPr>
              <w:t>Evidence of intestinal inflammation includes:, (i) blood: higher than normal platelet count, or, an elevated erythrocyte sedimentation rate (ESR) greater than 25 mm per hour, or, a C-reactive protein (CRP) level greater than 15 mg per L; or, (ii) faeces: higher than normal lactoferrin or calprotectin level; or, (iii) diagnostic imaging: demonstration of increased uptake of intravenous contrast with thickening of the bowel wall or mesenteric lymphadenopathy or fat streaking in the mesentery.</w:t>
            </w:r>
          </w:p>
        </w:tc>
      </w:tr>
      <w:tr w:rsidR="00A93A3B" w:rsidRPr="001428E9" w14:paraId="64BB6FE4"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59FAE5AA" w14:textId="771502C5" w:rsidR="00A93A3B" w:rsidRPr="001F5693" w:rsidRDefault="00A93A3B" w:rsidP="00264EE0">
            <w:pPr>
              <w:jc w:val="center"/>
              <w:rPr>
                <w:rFonts w:ascii="Arial Narrow" w:eastAsia="Times New Roman" w:hAnsi="Arial Narrow"/>
                <w:color w:val="333333"/>
                <w:sz w:val="20"/>
                <w:szCs w:val="20"/>
              </w:rPr>
            </w:pPr>
          </w:p>
        </w:tc>
        <w:tc>
          <w:tcPr>
            <w:tcW w:w="7700" w:type="dxa"/>
            <w:gridSpan w:val="6"/>
            <w:vAlign w:val="center"/>
          </w:tcPr>
          <w:p w14:paraId="0949868C" w14:textId="77777777" w:rsidR="00A93A3B" w:rsidRPr="00C36957" w:rsidRDefault="00A93A3B" w:rsidP="00264EE0">
            <w:pPr>
              <w:rPr>
                <w:rFonts w:ascii="Arial Narrow" w:eastAsia="Times New Roman" w:hAnsi="Arial Narrow"/>
                <w:bCs/>
                <w:color w:val="333333"/>
                <w:sz w:val="20"/>
                <w:szCs w:val="20"/>
              </w:rPr>
            </w:pPr>
            <w:r w:rsidRPr="00C36957">
              <w:rPr>
                <w:rFonts w:ascii="Arial Narrow" w:hAnsi="Arial Narrow"/>
                <w:sz w:val="20"/>
              </w:rPr>
              <w:t xml:space="preserve">Two completed authority prescriptions should be submitted with every initial application for this drug. One prescription should be written under S100 (Highly Specialised Drugs) for a quantity of up to </w:t>
            </w:r>
            <w:r>
              <w:rPr>
                <w:rFonts w:ascii="Arial Narrow" w:hAnsi="Arial Narrow"/>
                <w:sz w:val="20"/>
              </w:rPr>
              <w:t>3</w:t>
            </w:r>
            <w:r w:rsidRPr="009B6C9C">
              <w:rPr>
                <w:rFonts w:ascii="Arial Narrow" w:hAnsi="Arial Narrow"/>
                <w:sz w:val="20"/>
              </w:rPr>
              <w:t xml:space="preserve"> vials of </w:t>
            </w:r>
            <w:r>
              <w:rPr>
                <w:rFonts w:ascii="Arial Narrow" w:hAnsi="Arial Narrow"/>
                <w:sz w:val="20"/>
              </w:rPr>
              <w:t>600</w:t>
            </w:r>
            <w:r w:rsidRPr="009B6C9C">
              <w:rPr>
                <w:rFonts w:ascii="Arial Narrow" w:hAnsi="Arial Narrow"/>
                <w:sz w:val="20"/>
              </w:rPr>
              <w:t xml:space="preserve"> mg and </w:t>
            </w:r>
            <w:r>
              <w:rPr>
                <w:rFonts w:ascii="Arial Narrow" w:hAnsi="Arial Narrow"/>
                <w:sz w:val="20"/>
              </w:rPr>
              <w:t>two</w:t>
            </w:r>
            <w:r w:rsidRPr="009B6C9C">
              <w:rPr>
                <w:rFonts w:ascii="Arial Narrow" w:hAnsi="Arial Narrow"/>
                <w:sz w:val="20"/>
              </w:rPr>
              <w:t xml:space="preserve"> repeats. The second prescription should be written under S85 (General) for </w:t>
            </w:r>
            <w:r>
              <w:rPr>
                <w:rFonts w:ascii="Arial Narrow" w:hAnsi="Arial Narrow"/>
                <w:sz w:val="20"/>
              </w:rPr>
              <w:t xml:space="preserve">a quantity of 1 subcutaneous injection of 300 mg </w:t>
            </w:r>
            <w:r w:rsidRPr="009B6C9C">
              <w:rPr>
                <w:rFonts w:ascii="Arial Narrow" w:hAnsi="Arial Narrow"/>
                <w:sz w:val="20"/>
              </w:rPr>
              <w:t>and no repeats.</w:t>
            </w:r>
          </w:p>
        </w:tc>
      </w:tr>
      <w:tr w:rsidR="00A93A3B" w:rsidRPr="001428E9" w14:paraId="472CDE37"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400F7FDC" w14:textId="69F82DA8" w:rsidR="00A93A3B" w:rsidRDefault="00A93A3B" w:rsidP="00264EE0">
            <w:pPr>
              <w:jc w:val="center"/>
              <w:rPr>
                <w:rFonts w:ascii="Arial Narrow" w:eastAsia="Times New Roman" w:hAnsi="Arial Narrow"/>
                <w:color w:val="333333"/>
                <w:sz w:val="20"/>
                <w:szCs w:val="20"/>
              </w:rPr>
            </w:pPr>
          </w:p>
        </w:tc>
        <w:tc>
          <w:tcPr>
            <w:tcW w:w="7700" w:type="dxa"/>
            <w:gridSpan w:val="6"/>
            <w:vAlign w:val="center"/>
          </w:tcPr>
          <w:p w14:paraId="2DA8FE34" w14:textId="77777777" w:rsidR="00A93A3B" w:rsidRPr="00F731E8" w:rsidRDefault="00A93A3B" w:rsidP="00264EE0">
            <w:pPr>
              <w:rPr>
                <w:rFonts w:ascii="Arial Narrow" w:eastAsia="Times New Roman" w:hAnsi="Arial Narrow"/>
                <w:bCs/>
                <w:color w:val="333333"/>
                <w:sz w:val="20"/>
                <w:szCs w:val="20"/>
              </w:rPr>
            </w:pPr>
            <w:r w:rsidRPr="007E3DAB">
              <w:rPr>
                <w:rFonts w:ascii="Arial Narrow" w:hAnsi="Arial Narrow"/>
                <w:i/>
                <w:iCs/>
                <w:sz w:val="20"/>
              </w:rPr>
              <w:t xml:space="preserve">A maximum quantity and number of repeats to provide for an initial </w:t>
            </w:r>
            <w:r>
              <w:rPr>
                <w:rFonts w:ascii="Arial Narrow" w:hAnsi="Arial Narrow"/>
                <w:i/>
                <w:iCs/>
                <w:sz w:val="20"/>
              </w:rPr>
              <w:t>8</w:t>
            </w:r>
            <w:r w:rsidRPr="007E3DAB">
              <w:rPr>
                <w:rFonts w:ascii="Arial Narrow" w:hAnsi="Arial Narrow"/>
                <w:i/>
                <w:iCs/>
                <w:sz w:val="20"/>
              </w:rPr>
              <w:t xml:space="preserve"> week intravenous course of this drug will be authorised under this item code. A </w:t>
            </w:r>
            <w:r>
              <w:rPr>
                <w:rFonts w:ascii="Arial Narrow" w:hAnsi="Arial Narrow"/>
                <w:i/>
                <w:iCs/>
                <w:sz w:val="20"/>
              </w:rPr>
              <w:t xml:space="preserve">subsequent </w:t>
            </w:r>
            <w:r w:rsidRPr="007E3DAB">
              <w:rPr>
                <w:rFonts w:ascii="Arial Narrow" w:hAnsi="Arial Narrow"/>
                <w:i/>
                <w:iCs/>
                <w:sz w:val="20"/>
              </w:rPr>
              <w:t xml:space="preserve">subcutaneous </w:t>
            </w:r>
            <w:r>
              <w:rPr>
                <w:rFonts w:ascii="Arial Narrow" w:hAnsi="Arial Narrow"/>
                <w:i/>
                <w:iCs/>
                <w:sz w:val="20"/>
              </w:rPr>
              <w:t xml:space="preserve">dose </w:t>
            </w:r>
            <w:r w:rsidRPr="007E3DAB">
              <w:rPr>
                <w:rFonts w:ascii="Arial Narrow" w:hAnsi="Arial Narrow"/>
                <w:i/>
                <w:iCs/>
                <w:sz w:val="20"/>
              </w:rPr>
              <w:t xml:space="preserve">of treatment </w:t>
            </w:r>
            <w:r>
              <w:rPr>
                <w:rFonts w:ascii="Arial Narrow" w:hAnsi="Arial Narrow"/>
                <w:i/>
                <w:iCs/>
                <w:sz w:val="20"/>
              </w:rPr>
              <w:t>for injection at week 12 will be authorised</w:t>
            </w:r>
            <w:r w:rsidRPr="007E3DAB">
              <w:rPr>
                <w:rFonts w:ascii="Arial Narrow" w:hAnsi="Arial Narrow"/>
                <w:i/>
                <w:iCs/>
                <w:sz w:val="20"/>
              </w:rPr>
              <w:t xml:space="preserve">. </w:t>
            </w:r>
          </w:p>
        </w:tc>
      </w:tr>
      <w:tr w:rsidR="00A93A3B" w:rsidRPr="001428E9" w14:paraId="66C89763"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1F55CF35" w14:textId="70FC67E3" w:rsidR="00A93A3B" w:rsidRDefault="00A93A3B" w:rsidP="00264EE0">
            <w:pPr>
              <w:jc w:val="center"/>
              <w:rPr>
                <w:rFonts w:ascii="Arial Narrow" w:eastAsia="Times New Roman" w:hAnsi="Arial Narrow"/>
                <w:color w:val="333333"/>
                <w:sz w:val="20"/>
                <w:szCs w:val="20"/>
              </w:rPr>
            </w:pPr>
          </w:p>
        </w:tc>
        <w:tc>
          <w:tcPr>
            <w:tcW w:w="7700" w:type="dxa"/>
            <w:gridSpan w:val="6"/>
            <w:vAlign w:val="center"/>
          </w:tcPr>
          <w:p w14:paraId="39FAD4F5" w14:textId="77777777" w:rsidR="00A93A3B" w:rsidRPr="00F731E8" w:rsidRDefault="00A93A3B" w:rsidP="00264EE0">
            <w:pPr>
              <w:rPr>
                <w:rFonts w:ascii="Arial Narrow" w:eastAsia="Times New Roman" w:hAnsi="Arial Narrow"/>
                <w:bCs/>
                <w:color w:val="333333"/>
                <w:sz w:val="20"/>
                <w:szCs w:val="20"/>
              </w:rPr>
            </w:pPr>
            <w:r w:rsidRPr="00F731E8">
              <w:rPr>
                <w:rFonts w:ascii="Arial Narrow" w:hAnsi="Arial Narrow"/>
                <w:i/>
                <w:iCs/>
                <w:sz w:val="20"/>
              </w:rPr>
              <w:t>Details of the accepted toxicities including severity can be found on the Services Australia website.</w:t>
            </w:r>
          </w:p>
        </w:tc>
      </w:tr>
      <w:tr w:rsidR="00A93A3B" w:rsidRPr="001428E9" w14:paraId="4A8B8AB6"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3864AFBF" w14:textId="1E2A51D9" w:rsidR="00A93A3B" w:rsidRDefault="00A93A3B" w:rsidP="00264EE0">
            <w:pPr>
              <w:jc w:val="center"/>
              <w:rPr>
                <w:rFonts w:ascii="Arial Narrow" w:eastAsia="Times New Roman" w:hAnsi="Arial Narrow"/>
                <w:color w:val="333333"/>
                <w:sz w:val="20"/>
                <w:szCs w:val="20"/>
              </w:rPr>
            </w:pPr>
          </w:p>
        </w:tc>
        <w:tc>
          <w:tcPr>
            <w:tcW w:w="7700" w:type="dxa"/>
            <w:gridSpan w:val="6"/>
            <w:vAlign w:val="center"/>
          </w:tcPr>
          <w:p w14:paraId="09B6F2C1" w14:textId="77777777" w:rsidR="00A93A3B" w:rsidRPr="00F731E8" w:rsidRDefault="00A93A3B" w:rsidP="00264EE0">
            <w:pPr>
              <w:rPr>
                <w:rFonts w:ascii="Arial Narrow" w:eastAsia="Times New Roman" w:hAnsi="Arial Narrow"/>
                <w:bCs/>
                <w:color w:val="333333"/>
                <w:sz w:val="20"/>
                <w:szCs w:val="20"/>
              </w:rPr>
            </w:pPr>
            <w:r w:rsidRPr="007E3DAB">
              <w:rPr>
                <w:rFonts w:ascii="Arial Narrow" w:hAnsi="Arial Narrow"/>
                <w:sz w:val="20"/>
              </w:rPr>
              <w:t>Any one of the baseline criteria may be used to determine response to an initial course of treatment and eligibility for continued therapy, according to the criteria included in the continuing treatment restriction. However, the same criterion must be used for any subsequent determination of response to treatment, for the purpose of eligibility for continuing PBS-subsidised therapy.</w:t>
            </w:r>
          </w:p>
        </w:tc>
      </w:tr>
      <w:tr w:rsidR="00A93A3B" w:rsidRPr="001428E9" w14:paraId="73380556"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72C143CA" w14:textId="0FB6B887" w:rsidR="00A93A3B" w:rsidRPr="000E1E86" w:rsidRDefault="00A93A3B" w:rsidP="00264EE0">
            <w:pPr>
              <w:jc w:val="center"/>
              <w:rPr>
                <w:rFonts w:ascii="Arial Narrow" w:eastAsia="Times New Roman" w:hAnsi="Arial Narrow"/>
                <w:color w:val="333333"/>
                <w:sz w:val="20"/>
                <w:szCs w:val="20"/>
              </w:rPr>
            </w:pPr>
          </w:p>
        </w:tc>
        <w:tc>
          <w:tcPr>
            <w:tcW w:w="7700" w:type="dxa"/>
            <w:gridSpan w:val="6"/>
            <w:vAlign w:val="center"/>
          </w:tcPr>
          <w:p w14:paraId="7B529696" w14:textId="77777777" w:rsidR="00A93A3B" w:rsidRDefault="00A93A3B" w:rsidP="00264EE0">
            <w:pPr>
              <w:rPr>
                <w:rFonts w:ascii="Arial Narrow" w:hAnsi="Arial Narrow"/>
                <w:strike/>
                <w:sz w:val="20"/>
              </w:rPr>
            </w:pPr>
            <w:r w:rsidRPr="000E1E86">
              <w:rPr>
                <w:rFonts w:ascii="Arial Narrow" w:hAnsi="Arial Narrow"/>
                <w:strike/>
                <w:sz w:val="20"/>
              </w:rPr>
              <w:t xml:space="preserve">An assessment of a patient's response to an initial course of treatment must be conducted following a minimum of </w:t>
            </w:r>
            <w:r w:rsidRPr="000E1E86">
              <w:rPr>
                <w:rFonts w:ascii="Arial Narrow" w:hAnsi="Arial Narrow"/>
                <w:i/>
                <w:iCs/>
                <w:strike/>
                <w:sz w:val="20"/>
              </w:rPr>
              <w:t xml:space="preserve">between weeks </w:t>
            </w:r>
            <w:r w:rsidRPr="000E1E86">
              <w:rPr>
                <w:rFonts w:ascii="Arial Narrow" w:hAnsi="Arial Narrow"/>
                <w:strike/>
                <w:sz w:val="20"/>
              </w:rPr>
              <w:t xml:space="preserve">12 weeks </w:t>
            </w:r>
            <w:r w:rsidRPr="000E1E86">
              <w:rPr>
                <w:rFonts w:ascii="Arial Narrow" w:hAnsi="Arial Narrow"/>
                <w:i/>
                <w:iCs/>
                <w:strike/>
                <w:sz w:val="20"/>
              </w:rPr>
              <w:t xml:space="preserve">and 20 </w:t>
            </w:r>
            <w:r w:rsidRPr="000E1E86">
              <w:rPr>
                <w:rFonts w:ascii="Arial Narrow" w:hAnsi="Arial Narrow"/>
                <w:strike/>
                <w:sz w:val="20"/>
              </w:rPr>
              <w:t xml:space="preserve">of therapy. An application for the continuing treatment must be accompanied with the assessment of response and submitted to the Department of Human Services </w:t>
            </w:r>
            <w:r w:rsidRPr="000E1E86">
              <w:rPr>
                <w:rFonts w:ascii="Arial Narrow" w:hAnsi="Arial Narrow"/>
                <w:i/>
                <w:iCs/>
                <w:strike/>
                <w:sz w:val="20"/>
              </w:rPr>
              <w:t xml:space="preserve">Australia </w:t>
            </w:r>
            <w:r w:rsidRPr="000E1E86">
              <w:rPr>
                <w:rFonts w:ascii="Arial Narrow" w:hAnsi="Arial Narrow"/>
                <w:strike/>
                <w:sz w:val="20"/>
              </w:rPr>
              <w:t>no later than 4 weeks from the date of completion of the most recent course of treatment. This will enable ongoing treatment for those who meet the continuing restriction for PBS-subsidised treatment.</w:t>
            </w:r>
          </w:p>
          <w:p w14:paraId="2A680296" w14:textId="77777777" w:rsidR="00A93A3B" w:rsidRPr="000E1E86" w:rsidRDefault="00A93A3B" w:rsidP="00264EE0">
            <w:pPr>
              <w:rPr>
                <w:rFonts w:ascii="Arial Narrow" w:eastAsia="Times New Roman" w:hAnsi="Arial Narrow"/>
                <w:bCs/>
                <w:strike/>
                <w:color w:val="333333"/>
                <w:sz w:val="20"/>
                <w:szCs w:val="20"/>
              </w:rPr>
            </w:pPr>
            <w:r w:rsidRPr="00CE2C20">
              <w:rPr>
                <w:rFonts w:ascii="Arial Narrow" w:hAnsi="Arial Narrow"/>
                <w:sz w:val="20"/>
              </w:rPr>
              <w:t>An assessment of a patient's response to an initial course of treatment must be conducted following a minimum of 12 weeks of therapy. An application for the continuing treatment must be accompanied with the assessment of response and submitted no later than 4 weeks from the date of completion of the most recent course of treatment. This will enable ongoing treatment for those who meet the continuing restriction for PBS-subsidised treatment.</w:t>
            </w:r>
          </w:p>
        </w:tc>
      </w:tr>
      <w:tr w:rsidR="00A93A3B" w:rsidRPr="001428E9" w14:paraId="21C712AC"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4731B412" w14:textId="6FD1BB21" w:rsidR="00A93A3B" w:rsidRDefault="00A93A3B" w:rsidP="00264EE0">
            <w:pPr>
              <w:jc w:val="center"/>
              <w:rPr>
                <w:rFonts w:ascii="Arial Narrow" w:eastAsia="Times New Roman" w:hAnsi="Arial Narrow"/>
                <w:color w:val="333333"/>
                <w:sz w:val="20"/>
                <w:szCs w:val="20"/>
              </w:rPr>
            </w:pPr>
          </w:p>
        </w:tc>
        <w:tc>
          <w:tcPr>
            <w:tcW w:w="7700" w:type="dxa"/>
            <w:gridSpan w:val="6"/>
            <w:vAlign w:val="center"/>
          </w:tcPr>
          <w:p w14:paraId="58D5EBE2" w14:textId="77777777" w:rsidR="00A93A3B" w:rsidRPr="00F731E8" w:rsidRDefault="00A93A3B" w:rsidP="00264EE0">
            <w:pPr>
              <w:rPr>
                <w:rFonts w:ascii="Arial Narrow" w:eastAsia="Times New Roman" w:hAnsi="Arial Narrow"/>
                <w:bCs/>
                <w:color w:val="333333"/>
                <w:sz w:val="20"/>
                <w:szCs w:val="20"/>
              </w:rPr>
            </w:pPr>
            <w:r w:rsidRPr="00CE2C20">
              <w:rPr>
                <w:rFonts w:ascii="Arial Narrow" w:hAnsi="Arial Narrow"/>
                <w:sz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A93A3B" w:rsidRPr="001428E9" w14:paraId="01A21AC1"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6D241497" w14:textId="5C04C1A5" w:rsidR="00A93A3B" w:rsidRDefault="00A93A3B" w:rsidP="00264EE0">
            <w:pPr>
              <w:jc w:val="center"/>
              <w:rPr>
                <w:rFonts w:ascii="Arial Narrow" w:eastAsia="Times New Roman" w:hAnsi="Arial Narrow"/>
                <w:color w:val="333333"/>
                <w:sz w:val="20"/>
                <w:szCs w:val="20"/>
              </w:rPr>
            </w:pPr>
          </w:p>
        </w:tc>
        <w:tc>
          <w:tcPr>
            <w:tcW w:w="7700" w:type="dxa"/>
            <w:gridSpan w:val="6"/>
            <w:vAlign w:val="center"/>
          </w:tcPr>
          <w:p w14:paraId="1C36E955" w14:textId="77777777" w:rsidR="00A93A3B" w:rsidRPr="00F731E8" w:rsidRDefault="00A93A3B" w:rsidP="00264EE0">
            <w:pPr>
              <w:rPr>
                <w:rFonts w:ascii="Arial Narrow" w:eastAsia="Times New Roman" w:hAnsi="Arial Narrow"/>
                <w:bCs/>
                <w:color w:val="333333"/>
                <w:sz w:val="20"/>
                <w:szCs w:val="20"/>
              </w:rPr>
            </w:pPr>
            <w:r w:rsidRPr="007E3DAB">
              <w:rPr>
                <w:rFonts w:ascii="Arial Narrow" w:hAnsi="Arial Narrow"/>
                <w:sz w:val="20"/>
              </w:rP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p>
        </w:tc>
      </w:tr>
      <w:tr w:rsidR="00A93A3B" w:rsidRPr="001428E9" w14:paraId="4A7E5871"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42E90C6B" w14:textId="3D85BD12" w:rsidR="00A93A3B" w:rsidRDefault="00A93A3B" w:rsidP="00264EE0">
            <w:pPr>
              <w:jc w:val="center"/>
              <w:rPr>
                <w:rFonts w:ascii="Arial Narrow" w:eastAsia="Times New Roman" w:hAnsi="Arial Narrow"/>
                <w:color w:val="333333"/>
                <w:sz w:val="20"/>
                <w:szCs w:val="20"/>
              </w:rPr>
            </w:pPr>
          </w:p>
        </w:tc>
        <w:tc>
          <w:tcPr>
            <w:tcW w:w="7700" w:type="dxa"/>
            <w:gridSpan w:val="6"/>
            <w:vAlign w:val="center"/>
          </w:tcPr>
          <w:p w14:paraId="018E4875" w14:textId="77777777" w:rsidR="00A93A3B" w:rsidRPr="00EC127D" w:rsidRDefault="00A93A3B" w:rsidP="00264EE0">
            <w:pPr>
              <w:rPr>
                <w:rFonts w:ascii="Arial Narrow" w:hAnsi="Arial Narrow"/>
                <w:i/>
                <w:iCs/>
                <w:sz w:val="20"/>
              </w:rPr>
            </w:pPr>
            <w:r>
              <w:rPr>
                <w:rFonts w:ascii="Arial Narrow" w:hAnsi="Arial Narrow"/>
                <w:i/>
                <w:iCs/>
                <w:sz w:val="20"/>
              </w:rPr>
              <w:t>A patient may re-trial this drug after a minimum of 5 years have elapsed between the date the last prescription for a PBS-subsided biological medicine was approved in this cycle and the date of the first application under a new cycle under the Initial 3 treatment restriction.</w:t>
            </w:r>
          </w:p>
        </w:tc>
      </w:tr>
      <w:tr w:rsidR="00A93A3B" w:rsidRPr="001428E9" w14:paraId="647D4721" w14:textId="77777777" w:rsidTr="00264EE0">
        <w:tblPrEx>
          <w:tblCellMar>
            <w:top w:w="15" w:type="dxa"/>
            <w:bottom w:w="15" w:type="dxa"/>
          </w:tblCellMar>
          <w:tblLook w:val="04A0" w:firstRow="1" w:lastRow="0" w:firstColumn="1" w:lastColumn="0" w:noHBand="0" w:noVBand="1"/>
        </w:tblPrEx>
        <w:trPr>
          <w:cantSplit/>
          <w:trHeight w:val="20"/>
        </w:trPr>
        <w:tc>
          <w:tcPr>
            <w:tcW w:w="1266" w:type="dxa"/>
            <w:gridSpan w:val="2"/>
            <w:vAlign w:val="center"/>
          </w:tcPr>
          <w:p w14:paraId="4BCAB440" w14:textId="49A3D7F9" w:rsidR="00A93A3B" w:rsidRPr="00F731E8" w:rsidRDefault="00A93A3B" w:rsidP="00264EE0">
            <w:pPr>
              <w:rPr>
                <w:rFonts w:ascii="Arial Narrow" w:eastAsia="Times New Roman" w:hAnsi="Arial Narrow"/>
                <w:sz w:val="20"/>
                <w:szCs w:val="20"/>
              </w:rPr>
            </w:pPr>
          </w:p>
        </w:tc>
        <w:tc>
          <w:tcPr>
            <w:tcW w:w="7700" w:type="dxa"/>
            <w:gridSpan w:val="6"/>
            <w:vAlign w:val="center"/>
          </w:tcPr>
          <w:p w14:paraId="3A71D47E" w14:textId="77777777" w:rsidR="00A93A3B" w:rsidRPr="00A00479" w:rsidRDefault="00A93A3B" w:rsidP="00264EE0">
            <w:pPr>
              <w:rPr>
                <w:rFonts w:ascii="Arial Narrow" w:hAnsi="Arial Narrow"/>
                <w:sz w:val="20"/>
              </w:rPr>
            </w:pPr>
            <w:r w:rsidRPr="001428E9">
              <w:rPr>
                <w:rFonts w:ascii="Arial Narrow" w:eastAsia="Times New Roman" w:hAnsi="Arial Narrow"/>
                <w:b/>
                <w:bCs/>
                <w:color w:val="333333"/>
                <w:sz w:val="20"/>
                <w:szCs w:val="20"/>
              </w:rPr>
              <w:t>Administrative Advice:</w:t>
            </w:r>
            <w:r w:rsidRPr="001868FF">
              <w:rPr>
                <w:rFonts w:ascii="Arial Narrow" w:hAnsi="Arial Narrow"/>
                <w:sz w:val="20"/>
              </w:rPr>
              <w:t xml:space="preserve"> </w:t>
            </w:r>
            <w:r w:rsidRPr="00A00479">
              <w:rPr>
                <w:rFonts w:ascii="Arial Narrow" w:hAnsi="Arial Narrow"/>
                <w:sz w:val="20"/>
              </w:rPr>
              <w:t>Any queries concerning the arrangements to prescribe may be directed to Services Australia on 1800 700 270 (hours of operation 8 a.m. to 5 p.m. Monday to Friday).</w:t>
            </w:r>
          </w:p>
          <w:p w14:paraId="3BF1A610" w14:textId="77777777" w:rsidR="00A93A3B" w:rsidRPr="00A00479" w:rsidRDefault="00A93A3B" w:rsidP="00264EE0">
            <w:pPr>
              <w:rPr>
                <w:rFonts w:ascii="Arial Narrow" w:hAnsi="Arial Narrow"/>
                <w:sz w:val="20"/>
              </w:rPr>
            </w:pPr>
          </w:p>
          <w:p w14:paraId="407C87CF" w14:textId="77777777" w:rsidR="00A93A3B" w:rsidRPr="00A00479" w:rsidRDefault="00A93A3B" w:rsidP="00264EE0">
            <w:pPr>
              <w:rPr>
                <w:rFonts w:ascii="Arial Narrow" w:hAnsi="Arial Narrow"/>
                <w:sz w:val="20"/>
              </w:rPr>
            </w:pPr>
            <w:r w:rsidRPr="00A00479">
              <w:rPr>
                <w:rFonts w:ascii="Arial Narrow" w:hAnsi="Arial Narrow"/>
                <w:sz w:val="20"/>
              </w:rPr>
              <w:t>Prescribing information (including Authority Application forms and other relevant documentation as applicable) is available on the Services Australia website at www.servicesaustralia.gov.au</w:t>
            </w:r>
          </w:p>
          <w:p w14:paraId="0472DB6E" w14:textId="77777777" w:rsidR="00A93A3B" w:rsidRPr="00A00479" w:rsidRDefault="00A93A3B" w:rsidP="00264EE0">
            <w:pPr>
              <w:rPr>
                <w:rFonts w:ascii="Arial Narrow" w:hAnsi="Arial Narrow"/>
                <w:sz w:val="20"/>
              </w:rPr>
            </w:pPr>
          </w:p>
          <w:p w14:paraId="4558CC86" w14:textId="77777777" w:rsidR="00A93A3B" w:rsidRPr="00A00479" w:rsidRDefault="00A93A3B" w:rsidP="00264EE0">
            <w:pPr>
              <w:rPr>
                <w:rFonts w:ascii="Arial Narrow" w:hAnsi="Arial Narrow"/>
                <w:sz w:val="20"/>
              </w:rPr>
            </w:pPr>
            <w:r w:rsidRPr="00A00479">
              <w:rPr>
                <w:rFonts w:ascii="Arial Narrow" w:hAnsi="Arial Narrow"/>
                <w:sz w:val="20"/>
              </w:rPr>
              <w:t>Applications for authority to prescribe should be submitted online using the form upload facility in Health Professional Online Services (HPOS) at www.servicesaustralia.gov.au/hpos</w:t>
            </w:r>
          </w:p>
          <w:p w14:paraId="7AAB080B" w14:textId="77777777" w:rsidR="00A93A3B" w:rsidRPr="00A00479" w:rsidRDefault="00A93A3B" w:rsidP="00264EE0">
            <w:pPr>
              <w:rPr>
                <w:rFonts w:ascii="Arial Narrow" w:hAnsi="Arial Narrow"/>
                <w:sz w:val="20"/>
              </w:rPr>
            </w:pPr>
          </w:p>
          <w:p w14:paraId="0E608642" w14:textId="77777777" w:rsidR="00A93A3B" w:rsidRPr="00A00479" w:rsidRDefault="00A93A3B" w:rsidP="00264EE0">
            <w:pPr>
              <w:rPr>
                <w:rFonts w:ascii="Arial Narrow" w:hAnsi="Arial Narrow"/>
                <w:sz w:val="20"/>
              </w:rPr>
            </w:pPr>
            <w:r w:rsidRPr="00A00479">
              <w:rPr>
                <w:rFonts w:ascii="Arial Narrow" w:hAnsi="Arial Narrow"/>
                <w:sz w:val="20"/>
              </w:rPr>
              <w:t>Or mailed to:</w:t>
            </w:r>
          </w:p>
          <w:p w14:paraId="280B59FC" w14:textId="77777777" w:rsidR="00A93A3B" w:rsidRPr="00A00479" w:rsidRDefault="00A93A3B" w:rsidP="00264EE0">
            <w:pPr>
              <w:rPr>
                <w:rFonts w:ascii="Arial Narrow" w:hAnsi="Arial Narrow"/>
                <w:sz w:val="20"/>
              </w:rPr>
            </w:pPr>
          </w:p>
          <w:p w14:paraId="5687E160" w14:textId="77777777" w:rsidR="00A93A3B" w:rsidRPr="00A00479" w:rsidRDefault="00A93A3B" w:rsidP="00264EE0">
            <w:pPr>
              <w:rPr>
                <w:rFonts w:ascii="Arial Narrow" w:hAnsi="Arial Narrow"/>
                <w:sz w:val="20"/>
              </w:rPr>
            </w:pPr>
            <w:r w:rsidRPr="00A00479">
              <w:rPr>
                <w:rFonts w:ascii="Arial Narrow" w:hAnsi="Arial Narrow"/>
                <w:sz w:val="20"/>
              </w:rPr>
              <w:t>Services Australia</w:t>
            </w:r>
          </w:p>
          <w:p w14:paraId="35DE0EFF" w14:textId="77777777" w:rsidR="00A93A3B" w:rsidRPr="00A00479" w:rsidRDefault="00A93A3B" w:rsidP="00264EE0">
            <w:pPr>
              <w:rPr>
                <w:rFonts w:ascii="Arial Narrow" w:hAnsi="Arial Narrow"/>
                <w:sz w:val="20"/>
              </w:rPr>
            </w:pPr>
          </w:p>
          <w:p w14:paraId="22F20E6D" w14:textId="77777777" w:rsidR="00A93A3B" w:rsidRPr="00A00479" w:rsidRDefault="00A93A3B" w:rsidP="00264EE0">
            <w:pPr>
              <w:rPr>
                <w:rFonts w:ascii="Arial Narrow" w:hAnsi="Arial Narrow"/>
                <w:sz w:val="20"/>
              </w:rPr>
            </w:pPr>
            <w:r w:rsidRPr="00A00479">
              <w:rPr>
                <w:rFonts w:ascii="Arial Narrow" w:hAnsi="Arial Narrow"/>
                <w:sz w:val="20"/>
              </w:rPr>
              <w:t>Complex Drugs</w:t>
            </w:r>
          </w:p>
          <w:p w14:paraId="3B203182" w14:textId="77777777" w:rsidR="00A93A3B" w:rsidRPr="00A00479" w:rsidRDefault="00A93A3B" w:rsidP="00264EE0">
            <w:pPr>
              <w:rPr>
                <w:rFonts w:ascii="Arial Narrow" w:hAnsi="Arial Narrow"/>
                <w:sz w:val="20"/>
              </w:rPr>
            </w:pPr>
          </w:p>
          <w:p w14:paraId="5D180DC2" w14:textId="77777777" w:rsidR="00A93A3B" w:rsidRPr="00A00479" w:rsidRDefault="00A93A3B" w:rsidP="00264EE0">
            <w:pPr>
              <w:rPr>
                <w:rFonts w:ascii="Arial Narrow" w:hAnsi="Arial Narrow"/>
                <w:sz w:val="20"/>
              </w:rPr>
            </w:pPr>
            <w:r w:rsidRPr="00A00479">
              <w:rPr>
                <w:rFonts w:ascii="Arial Narrow" w:hAnsi="Arial Narrow"/>
                <w:sz w:val="20"/>
              </w:rPr>
              <w:t>Reply Paid 9826</w:t>
            </w:r>
          </w:p>
          <w:p w14:paraId="7ED4BAE4" w14:textId="77777777" w:rsidR="00A93A3B" w:rsidRPr="00A00479" w:rsidRDefault="00A93A3B" w:rsidP="00264EE0">
            <w:pPr>
              <w:rPr>
                <w:rFonts w:ascii="Arial Narrow" w:hAnsi="Arial Narrow"/>
                <w:sz w:val="20"/>
              </w:rPr>
            </w:pPr>
          </w:p>
          <w:p w14:paraId="4212C0DA" w14:textId="77777777" w:rsidR="00A93A3B" w:rsidRPr="00F731E8" w:rsidRDefault="00A93A3B" w:rsidP="00264EE0">
            <w:pPr>
              <w:rPr>
                <w:rFonts w:ascii="Arial Narrow" w:hAnsi="Arial Narrow"/>
                <w:sz w:val="20"/>
              </w:rPr>
            </w:pPr>
            <w:r w:rsidRPr="00A00479">
              <w:rPr>
                <w:rFonts w:ascii="Arial Narrow" w:hAnsi="Arial Narrow"/>
                <w:sz w:val="20"/>
              </w:rPr>
              <w:t>HOBART TAS 7001</w:t>
            </w:r>
          </w:p>
        </w:tc>
      </w:tr>
    </w:tbl>
    <w:p w14:paraId="351EB852" w14:textId="77777777" w:rsidR="00A93A3B" w:rsidRDefault="00A93A3B" w:rsidP="00A93A3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
        <w:gridCol w:w="489"/>
        <w:gridCol w:w="2963"/>
        <w:gridCol w:w="988"/>
        <w:gridCol w:w="846"/>
        <w:gridCol w:w="705"/>
        <w:gridCol w:w="706"/>
        <w:gridCol w:w="1831"/>
      </w:tblGrid>
      <w:tr w:rsidR="00A93A3B" w:rsidRPr="009A610D" w14:paraId="3284C292" w14:textId="77777777" w:rsidTr="00264EE0">
        <w:trPr>
          <w:cantSplit/>
          <w:trHeight w:val="471"/>
        </w:trPr>
        <w:tc>
          <w:tcPr>
            <w:tcW w:w="3940" w:type="dxa"/>
            <w:gridSpan w:val="3"/>
          </w:tcPr>
          <w:p w14:paraId="7691FAE0" w14:textId="77777777" w:rsidR="00A93A3B" w:rsidRPr="00AF6381" w:rsidRDefault="00A93A3B" w:rsidP="00264EE0">
            <w:pPr>
              <w:keepNext/>
              <w:rPr>
                <w:rFonts w:ascii="Arial Narrow" w:hAnsi="Arial Narrow"/>
                <w:b/>
                <w:bCs/>
                <w:sz w:val="20"/>
                <w:szCs w:val="20"/>
              </w:rPr>
            </w:pPr>
            <w:r w:rsidRPr="00AF6381">
              <w:rPr>
                <w:rFonts w:ascii="Arial Narrow" w:hAnsi="Arial Narrow"/>
                <w:b/>
                <w:bCs/>
                <w:sz w:val="20"/>
                <w:szCs w:val="20"/>
              </w:rPr>
              <w:t>MEDICINAL PRODUCT</w:t>
            </w:r>
          </w:p>
          <w:p w14:paraId="59526274" w14:textId="77777777" w:rsidR="00A93A3B" w:rsidRPr="00AF6381" w:rsidRDefault="00A93A3B" w:rsidP="00264EE0">
            <w:pPr>
              <w:keepNext/>
              <w:rPr>
                <w:rFonts w:ascii="Arial Narrow" w:hAnsi="Arial Narrow"/>
                <w:b/>
                <w:sz w:val="20"/>
                <w:szCs w:val="20"/>
              </w:rPr>
            </w:pPr>
            <w:r w:rsidRPr="00AF6381">
              <w:rPr>
                <w:rFonts w:ascii="Arial Narrow" w:hAnsi="Arial Narrow"/>
                <w:b/>
                <w:bCs/>
                <w:sz w:val="20"/>
                <w:szCs w:val="20"/>
              </w:rPr>
              <w:t>medicinal product pack</w:t>
            </w:r>
          </w:p>
        </w:tc>
        <w:tc>
          <w:tcPr>
            <w:tcW w:w="988" w:type="dxa"/>
          </w:tcPr>
          <w:p w14:paraId="4897D861" w14:textId="77777777" w:rsidR="00A93A3B" w:rsidRPr="00AF6381" w:rsidRDefault="00A93A3B" w:rsidP="00264EE0">
            <w:pPr>
              <w:keepNext/>
              <w:ind w:left="-108"/>
              <w:jc w:val="center"/>
              <w:rPr>
                <w:rFonts w:ascii="Arial Narrow" w:hAnsi="Arial Narrow"/>
                <w:b/>
                <w:sz w:val="20"/>
                <w:szCs w:val="20"/>
              </w:rPr>
            </w:pPr>
            <w:r w:rsidRPr="00AF6381">
              <w:rPr>
                <w:rFonts w:ascii="Arial Narrow" w:hAnsi="Arial Narrow"/>
                <w:b/>
                <w:sz w:val="20"/>
                <w:szCs w:val="20"/>
              </w:rPr>
              <w:t>PBS item code</w:t>
            </w:r>
          </w:p>
        </w:tc>
        <w:tc>
          <w:tcPr>
            <w:tcW w:w="846" w:type="dxa"/>
          </w:tcPr>
          <w:p w14:paraId="0454CBB9" w14:textId="77777777" w:rsidR="00A93A3B" w:rsidRPr="00AF6381" w:rsidRDefault="00A93A3B" w:rsidP="00264EE0">
            <w:pPr>
              <w:keepNext/>
              <w:ind w:left="-108"/>
              <w:jc w:val="center"/>
              <w:rPr>
                <w:rFonts w:ascii="Arial Narrow" w:hAnsi="Arial Narrow"/>
                <w:b/>
                <w:sz w:val="20"/>
                <w:szCs w:val="20"/>
              </w:rPr>
            </w:pPr>
            <w:r w:rsidRPr="00AF6381">
              <w:rPr>
                <w:rFonts w:ascii="Arial Narrow" w:hAnsi="Arial Narrow"/>
                <w:b/>
                <w:sz w:val="20"/>
                <w:szCs w:val="20"/>
              </w:rPr>
              <w:t>Max. qty packs</w:t>
            </w:r>
          </w:p>
        </w:tc>
        <w:tc>
          <w:tcPr>
            <w:tcW w:w="705" w:type="dxa"/>
          </w:tcPr>
          <w:p w14:paraId="44181A73" w14:textId="77777777" w:rsidR="00A93A3B" w:rsidRPr="00AF6381" w:rsidRDefault="00A93A3B" w:rsidP="00264EE0">
            <w:pPr>
              <w:keepNext/>
              <w:ind w:left="-108"/>
              <w:jc w:val="center"/>
              <w:rPr>
                <w:rFonts w:ascii="Arial Narrow" w:hAnsi="Arial Narrow"/>
                <w:b/>
                <w:sz w:val="20"/>
                <w:szCs w:val="20"/>
              </w:rPr>
            </w:pPr>
            <w:r w:rsidRPr="00AF6381">
              <w:rPr>
                <w:rFonts w:ascii="Arial Narrow" w:hAnsi="Arial Narrow"/>
                <w:b/>
                <w:sz w:val="20"/>
                <w:szCs w:val="20"/>
              </w:rPr>
              <w:t>Max. qty units</w:t>
            </w:r>
          </w:p>
        </w:tc>
        <w:tc>
          <w:tcPr>
            <w:tcW w:w="706" w:type="dxa"/>
          </w:tcPr>
          <w:p w14:paraId="6BBB87FD" w14:textId="77777777" w:rsidR="00A93A3B" w:rsidRPr="00AF6381" w:rsidRDefault="00A93A3B" w:rsidP="00264EE0">
            <w:pPr>
              <w:keepNext/>
              <w:ind w:left="-108"/>
              <w:jc w:val="center"/>
              <w:rPr>
                <w:rFonts w:ascii="Arial Narrow" w:hAnsi="Arial Narrow"/>
                <w:b/>
                <w:sz w:val="20"/>
                <w:szCs w:val="20"/>
              </w:rPr>
            </w:pPr>
            <w:r w:rsidRPr="00AF6381">
              <w:rPr>
                <w:rFonts w:ascii="Arial Narrow" w:hAnsi="Arial Narrow"/>
                <w:b/>
                <w:sz w:val="20"/>
                <w:szCs w:val="20"/>
              </w:rPr>
              <w:t>№.of</w:t>
            </w:r>
          </w:p>
          <w:p w14:paraId="145CE96D" w14:textId="77777777" w:rsidR="00A93A3B" w:rsidRPr="00AF6381" w:rsidRDefault="00A93A3B" w:rsidP="00264EE0">
            <w:pPr>
              <w:keepNext/>
              <w:ind w:left="-108"/>
              <w:jc w:val="center"/>
              <w:rPr>
                <w:rFonts w:ascii="Arial Narrow" w:hAnsi="Arial Narrow"/>
                <w:b/>
                <w:sz w:val="20"/>
                <w:szCs w:val="20"/>
              </w:rPr>
            </w:pPr>
            <w:r w:rsidRPr="00AF6381">
              <w:rPr>
                <w:rFonts w:ascii="Arial Narrow" w:hAnsi="Arial Narrow"/>
                <w:b/>
                <w:sz w:val="20"/>
                <w:szCs w:val="20"/>
              </w:rPr>
              <w:t>Rpts</w:t>
            </w:r>
          </w:p>
        </w:tc>
        <w:tc>
          <w:tcPr>
            <w:tcW w:w="1831" w:type="dxa"/>
          </w:tcPr>
          <w:p w14:paraId="4B73BF75" w14:textId="77777777" w:rsidR="00A93A3B" w:rsidRPr="00AF6381" w:rsidRDefault="00A93A3B" w:rsidP="00264EE0">
            <w:pPr>
              <w:keepNext/>
              <w:rPr>
                <w:rFonts w:ascii="Arial Narrow" w:hAnsi="Arial Narrow"/>
                <w:b/>
                <w:sz w:val="20"/>
                <w:szCs w:val="20"/>
                <w:lang w:val="fr-FR"/>
              </w:rPr>
            </w:pPr>
            <w:r w:rsidRPr="00AF6381">
              <w:rPr>
                <w:rFonts w:ascii="Arial Narrow" w:hAnsi="Arial Narrow"/>
                <w:b/>
                <w:sz w:val="20"/>
                <w:szCs w:val="20"/>
              </w:rPr>
              <w:t>Available brands</w:t>
            </w:r>
          </w:p>
        </w:tc>
      </w:tr>
      <w:tr w:rsidR="00A93A3B" w:rsidRPr="001A5667" w14:paraId="0A402904" w14:textId="77777777" w:rsidTr="00264EE0">
        <w:trPr>
          <w:cantSplit/>
          <w:trHeight w:val="224"/>
        </w:trPr>
        <w:tc>
          <w:tcPr>
            <w:tcW w:w="9016" w:type="dxa"/>
            <w:gridSpan w:val="8"/>
          </w:tcPr>
          <w:p w14:paraId="2A29376D" w14:textId="77777777" w:rsidR="00A93A3B" w:rsidRPr="00AF6381" w:rsidRDefault="00A93A3B" w:rsidP="00264EE0">
            <w:pPr>
              <w:keepNext/>
              <w:rPr>
                <w:rFonts w:ascii="Arial Narrow" w:hAnsi="Arial Narrow"/>
                <w:sz w:val="20"/>
                <w:szCs w:val="20"/>
              </w:rPr>
            </w:pPr>
            <w:r w:rsidRPr="00AF6381">
              <w:rPr>
                <w:rFonts w:ascii="Arial Narrow" w:hAnsi="Arial Narrow"/>
                <w:sz w:val="20"/>
                <w:szCs w:val="20"/>
              </w:rPr>
              <w:t>RISANKIZUMAB</w:t>
            </w:r>
          </w:p>
        </w:tc>
      </w:tr>
      <w:tr w:rsidR="00A93A3B" w:rsidRPr="009A610D" w14:paraId="0CDFBE13" w14:textId="77777777" w:rsidTr="00264EE0">
        <w:trPr>
          <w:cantSplit/>
          <w:trHeight w:val="553"/>
        </w:trPr>
        <w:tc>
          <w:tcPr>
            <w:tcW w:w="3940" w:type="dxa"/>
            <w:gridSpan w:val="3"/>
            <w:vAlign w:val="center"/>
          </w:tcPr>
          <w:p w14:paraId="5A723ED1" w14:textId="77777777" w:rsidR="00A93A3B" w:rsidRPr="00AF6381" w:rsidRDefault="00A93A3B" w:rsidP="00264EE0">
            <w:pPr>
              <w:keepLines/>
              <w:rPr>
                <w:rFonts w:ascii="Arial Narrow" w:hAnsi="Arial Narrow"/>
                <w:sz w:val="20"/>
                <w:szCs w:val="20"/>
              </w:rPr>
            </w:pPr>
            <w:r w:rsidRPr="00AF6381">
              <w:rPr>
                <w:rFonts w:ascii="Arial Narrow" w:hAnsi="Arial Narrow"/>
                <w:sz w:val="20"/>
                <w:szCs w:val="20"/>
              </w:rPr>
              <w:t xml:space="preserve">Risankizumab </w:t>
            </w:r>
          </w:p>
          <w:p w14:paraId="6BE0B2E3" w14:textId="77777777" w:rsidR="00A93A3B" w:rsidRPr="00AF6381" w:rsidRDefault="00A93A3B" w:rsidP="00264EE0">
            <w:pPr>
              <w:keepNext/>
              <w:rPr>
                <w:rFonts w:ascii="Arial Narrow" w:hAnsi="Arial Narrow"/>
                <w:sz w:val="20"/>
                <w:szCs w:val="20"/>
              </w:rPr>
            </w:pPr>
            <w:r w:rsidRPr="00AF6381">
              <w:rPr>
                <w:rFonts w:ascii="Arial Narrow" w:hAnsi="Arial Narrow"/>
                <w:sz w:val="20"/>
                <w:szCs w:val="20"/>
              </w:rPr>
              <w:t>360 mg/ 2.4 mL injection, 2.4 mL cartridge</w:t>
            </w:r>
          </w:p>
        </w:tc>
        <w:tc>
          <w:tcPr>
            <w:tcW w:w="988" w:type="dxa"/>
            <w:vAlign w:val="center"/>
          </w:tcPr>
          <w:p w14:paraId="263B9BF0" w14:textId="77777777" w:rsidR="00A93A3B" w:rsidRPr="00AF6381" w:rsidRDefault="00A93A3B" w:rsidP="00264EE0">
            <w:pPr>
              <w:keepNext/>
              <w:jc w:val="center"/>
              <w:rPr>
                <w:rFonts w:ascii="Arial Narrow" w:hAnsi="Arial Narrow"/>
                <w:sz w:val="20"/>
                <w:szCs w:val="20"/>
              </w:rPr>
            </w:pPr>
            <w:r w:rsidRPr="00AF6381">
              <w:rPr>
                <w:rFonts w:ascii="Arial Narrow" w:hAnsi="Arial Narrow"/>
                <w:sz w:val="20"/>
                <w:szCs w:val="20"/>
              </w:rPr>
              <w:t>NEW</w:t>
            </w:r>
          </w:p>
        </w:tc>
        <w:tc>
          <w:tcPr>
            <w:tcW w:w="846" w:type="dxa"/>
            <w:vAlign w:val="center"/>
          </w:tcPr>
          <w:p w14:paraId="57DA0833" w14:textId="77777777" w:rsidR="00A93A3B" w:rsidRPr="00AF6381" w:rsidRDefault="00A93A3B" w:rsidP="00264EE0">
            <w:pPr>
              <w:keepNext/>
              <w:jc w:val="center"/>
              <w:rPr>
                <w:rFonts w:ascii="Arial Narrow" w:hAnsi="Arial Narrow"/>
                <w:sz w:val="20"/>
                <w:szCs w:val="20"/>
              </w:rPr>
            </w:pPr>
            <w:r w:rsidRPr="00AF6381">
              <w:rPr>
                <w:rFonts w:ascii="Arial Narrow" w:hAnsi="Arial Narrow"/>
                <w:sz w:val="20"/>
                <w:szCs w:val="20"/>
              </w:rPr>
              <w:t>1</w:t>
            </w:r>
          </w:p>
        </w:tc>
        <w:tc>
          <w:tcPr>
            <w:tcW w:w="705" w:type="dxa"/>
            <w:vAlign w:val="center"/>
          </w:tcPr>
          <w:p w14:paraId="62796757" w14:textId="77777777" w:rsidR="00A93A3B" w:rsidRPr="00AF6381" w:rsidRDefault="00A93A3B" w:rsidP="00264EE0">
            <w:pPr>
              <w:keepNext/>
              <w:jc w:val="center"/>
              <w:rPr>
                <w:rFonts w:ascii="Arial Narrow" w:hAnsi="Arial Narrow"/>
                <w:sz w:val="20"/>
                <w:szCs w:val="20"/>
              </w:rPr>
            </w:pPr>
            <w:r w:rsidRPr="00AF6381">
              <w:rPr>
                <w:rFonts w:ascii="Arial Narrow" w:hAnsi="Arial Narrow"/>
                <w:sz w:val="20"/>
                <w:szCs w:val="20"/>
              </w:rPr>
              <w:t>1</w:t>
            </w:r>
          </w:p>
        </w:tc>
        <w:tc>
          <w:tcPr>
            <w:tcW w:w="706" w:type="dxa"/>
            <w:vAlign w:val="center"/>
          </w:tcPr>
          <w:p w14:paraId="667E5423" w14:textId="77777777" w:rsidR="00A93A3B" w:rsidRPr="00AF6381" w:rsidRDefault="00A93A3B" w:rsidP="00264EE0">
            <w:pPr>
              <w:keepNext/>
              <w:jc w:val="center"/>
              <w:rPr>
                <w:rFonts w:ascii="Arial Narrow" w:hAnsi="Arial Narrow"/>
                <w:sz w:val="20"/>
                <w:szCs w:val="20"/>
              </w:rPr>
            </w:pPr>
            <w:r w:rsidRPr="00AF6381">
              <w:rPr>
                <w:rFonts w:ascii="Arial Narrow" w:hAnsi="Arial Narrow"/>
                <w:sz w:val="20"/>
                <w:szCs w:val="20"/>
              </w:rPr>
              <w:t>0</w:t>
            </w:r>
          </w:p>
        </w:tc>
        <w:tc>
          <w:tcPr>
            <w:tcW w:w="1831" w:type="dxa"/>
            <w:vAlign w:val="center"/>
          </w:tcPr>
          <w:p w14:paraId="176EB343" w14:textId="77777777" w:rsidR="00A93A3B" w:rsidRPr="00AF6381" w:rsidRDefault="00A93A3B" w:rsidP="00264EE0">
            <w:pPr>
              <w:keepNext/>
              <w:rPr>
                <w:rFonts w:ascii="Arial Narrow" w:hAnsi="Arial Narrow"/>
                <w:sz w:val="20"/>
                <w:szCs w:val="20"/>
              </w:rPr>
            </w:pPr>
            <w:r>
              <w:rPr>
                <w:rFonts w:ascii="Arial Narrow" w:hAnsi="Arial Narrow"/>
                <w:sz w:val="20"/>
                <w:szCs w:val="20"/>
              </w:rPr>
              <w:t>S</w:t>
            </w:r>
            <w:r w:rsidRPr="00AF6381">
              <w:rPr>
                <w:rFonts w:ascii="Arial Narrow" w:hAnsi="Arial Narrow"/>
                <w:sz w:val="20"/>
                <w:szCs w:val="20"/>
              </w:rPr>
              <w:t>kyrizi</w:t>
            </w:r>
          </w:p>
        </w:tc>
      </w:tr>
      <w:tr w:rsidR="00A93A3B" w:rsidRPr="00320925" w14:paraId="4E0227D0" w14:textId="77777777" w:rsidTr="00264EE0">
        <w:tblPrEx>
          <w:tblCellMar>
            <w:top w:w="15" w:type="dxa"/>
            <w:left w:w="15" w:type="dxa"/>
            <w:bottom w:w="15" w:type="dxa"/>
            <w:right w:w="15" w:type="dxa"/>
          </w:tblCellMar>
          <w:tblLook w:val="04A0" w:firstRow="1" w:lastRow="0" w:firstColumn="1" w:lastColumn="0" w:noHBand="0" w:noVBand="1"/>
        </w:tblPrEx>
        <w:tc>
          <w:tcPr>
            <w:tcW w:w="9016" w:type="dxa"/>
            <w:gridSpan w:val="8"/>
            <w:tcBorders>
              <w:top w:val="single" w:sz="4" w:space="0" w:color="auto"/>
              <w:left w:val="single" w:sz="4" w:space="0" w:color="auto"/>
              <w:right w:val="single" w:sz="4" w:space="0" w:color="auto"/>
            </w:tcBorders>
          </w:tcPr>
          <w:p w14:paraId="7E8BA33C" w14:textId="77777777" w:rsidR="00A93A3B" w:rsidRPr="00320925" w:rsidRDefault="00A93A3B" w:rsidP="00264EE0">
            <w:pPr>
              <w:rPr>
                <w:rFonts w:ascii="Arial Narrow" w:hAnsi="Arial Narrow"/>
                <w:sz w:val="18"/>
                <w:szCs w:val="18"/>
              </w:rPr>
            </w:pPr>
          </w:p>
        </w:tc>
      </w:tr>
      <w:tr w:rsidR="00A93A3B" w:rsidRPr="0020649C" w14:paraId="714B3CFC" w14:textId="77777777" w:rsidTr="00264EE0">
        <w:tblPrEx>
          <w:tblCellMar>
            <w:top w:w="15" w:type="dxa"/>
            <w:left w:w="15" w:type="dxa"/>
            <w:bottom w:w="15" w:type="dxa"/>
            <w:right w:w="15" w:type="dxa"/>
          </w:tblCellMar>
          <w:tblLook w:val="04A0" w:firstRow="1" w:lastRow="0" w:firstColumn="1" w:lastColumn="0" w:noHBand="0" w:noVBand="1"/>
        </w:tblPrEx>
        <w:tc>
          <w:tcPr>
            <w:tcW w:w="9016" w:type="dxa"/>
            <w:gridSpan w:val="8"/>
            <w:tcBorders>
              <w:top w:val="single" w:sz="4" w:space="0" w:color="auto"/>
              <w:left w:val="single" w:sz="4" w:space="0" w:color="auto"/>
              <w:right w:val="single" w:sz="4" w:space="0" w:color="auto"/>
            </w:tcBorders>
            <w:vAlign w:val="center"/>
          </w:tcPr>
          <w:p w14:paraId="43BE2982" w14:textId="77777777" w:rsidR="00A93A3B" w:rsidRPr="0020649C" w:rsidRDefault="00A93A3B" w:rsidP="00264EE0">
            <w:pPr>
              <w:rPr>
                <w:rFonts w:ascii="Arial Narrow" w:hAnsi="Arial Narrow"/>
                <w:b/>
                <w:sz w:val="18"/>
                <w:szCs w:val="18"/>
              </w:rPr>
            </w:pPr>
            <w:r w:rsidRPr="001428E9">
              <w:rPr>
                <w:rFonts w:ascii="Arial Narrow" w:hAnsi="Arial Narrow"/>
                <w:b/>
                <w:sz w:val="20"/>
                <w:szCs w:val="20"/>
              </w:rPr>
              <w:t xml:space="preserve">Restriction Summary [new] </w:t>
            </w:r>
            <w:r>
              <w:rPr>
                <w:rFonts w:ascii="Arial Narrow" w:hAnsi="Arial Narrow"/>
                <w:b/>
                <w:sz w:val="20"/>
                <w:szCs w:val="20"/>
              </w:rPr>
              <w:t xml:space="preserve">9797 </w:t>
            </w:r>
            <w:r w:rsidRPr="001428E9">
              <w:rPr>
                <w:rFonts w:ascii="Arial Narrow" w:hAnsi="Arial Narrow"/>
                <w:b/>
                <w:sz w:val="20"/>
                <w:szCs w:val="20"/>
              </w:rPr>
              <w:t xml:space="preserve">/ Treatment of Concept: [new] </w:t>
            </w:r>
            <w:r>
              <w:rPr>
                <w:rFonts w:ascii="Arial Narrow" w:hAnsi="Arial Narrow"/>
                <w:b/>
                <w:sz w:val="20"/>
                <w:szCs w:val="20"/>
              </w:rPr>
              <w:t>9711</w:t>
            </w:r>
          </w:p>
        </w:tc>
      </w:tr>
      <w:tr w:rsidR="00A93A3B" w:rsidRPr="00120A12" w14:paraId="7AA8BDC8" w14:textId="77777777" w:rsidTr="00264EE0">
        <w:tblPrEx>
          <w:tblCellMar>
            <w:top w:w="15" w:type="dxa"/>
            <w:left w:w="15" w:type="dxa"/>
            <w:bottom w:w="15" w:type="dxa"/>
            <w:right w:w="15" w:type="dxa"/>
          </w:tblCellMar>
          <w:tblLook w:val="04A0" w:firstRow="1" w:lastRow="0" w:firstColumn="1" w:lastColumn="0" w:noHBand="0" w:noVBand="1"/>
        </w:tblPrEx>
        <w:tc>
          <w:tcPr>
            <w:tcW w:w="977" w:type="dxa"/>
            <w:gridSpan w:val="2"/>
            <w:vMerge w:val="restart"/>
            <w:tcBorders>
              <w:top w:val="single" w:sz="4" w:space="0" w:color="auto"/>
              <w:left w:val="single" w:sz="4" w:space="0" w:color="auto"/>
              <w:right w:val="single" w:sz="4" w:space="0" w:color="auto"/>
            </w:tcBorders>
          </w:tcPr>
          <w:p w14:paraId="6E6F8ACD" w14:textId="77777777" w:rsidR="00A93A3B" w:rsidRPr="00507253" w:rsidRDefault="00A93A3B" w:rsidP="00264EE0">
            <w:pPr>
              <w:rPr>
                <w:rFonts w:ascii="Arial Narrow" w:hAnsi="Arial Narrow"/>
                <w:b/>
                <w:sz w:val="18"/>
                <w:szCs w:val="18"/>
              </w:rPr>
            </w:pPr>
            <w:r w:rsidRPr="001428E9">
              <w:rPr>
                <w:rFonts w:ascii="Arial Narrow" w:hAnsi="Arial Narrow"/>
                <w:b/>
                <w:sz w:val="20"/>
                <w:szCs w:val="20"/>
              </w:rPr>
              <w:t xml:space="preserve">Concept ID </w:t>
            </w:r>
            <w:r w:rsidRPr="001428E9">
              <w:rPr>
                <w:rFonts w:ascii="Arial Narrow" w:hAnsi="Arial Narrow"/>
                <w:sz w:val="20"/>
                <w:szCs w:val="20"/>
              </w:rPr>
              <w:t>(for internal Dept. use)</w:t>
            </w:r>
          </w:p>
        </w:tc>
        <w:tc>
          <w:tcPr>
            <w:tcW w:w="8039" w:type="dxa"/>
            <w:gridSpan w:val="6"/>
            <w:tcBorders>
              <w:top w:val="single" w:sz="4" w:space="0" w:color="auto"/>
              <w:left w:val="single" w:sz="4" w:space="0" w:color="auto"/>
              <w:bottom w:val="single" w:sz="4" w:space="0" w:color="auto"/>
              <w:right w:val="single" w:sz="4" w:space="0" w:color="auto"/>
            </w:tcBorders>
          </w:tcPr>
          <w:p w14:paraId="482CD308" w14:textId="77777777" w:rsidR="00A93A3B" w:rsidRPr="00120A12" w:rsidRDefault="00A93A3B" w:rsidP="00264EE0">
            <w:pPr>
              <w:rPr>
                <w:rFonts w:ascii="Arial Narrow" w:hAnsi="Arial Narrow"/>
                <w:sz w:val="18"/>
                <w:szCs w:val="18"/>
              </w:rPr>
            </w:pPr>
            <w:r w:rsidRPr="001428E9">
              <w:rPr>
                <w:rFonts w:ascii="Arial Narrow" w:hAnsi="Arial Narrow"/>
                <w:b/>
                <w:sz w:val="20"/>
                <w:szCs w:val="20"/>
              </w:rPr>
              <w:t xml:space="preserve">Category / Program: </w:t>
            </w:r>
            <w:r w:rsidRPr="00D62485">
              <w:rPr>
                <w:rFonts w:ascii="Arial Narrow" w:hAnsi="Arial Narrow"/>
                <w:bCs/>
                <w:sz w:val="20"/>
                <w:szCs w:val="20"/>
              </w:rPr>
              <w:t>GENERAL – General Schedule (Code GE)</w:t>
            </w:r>
          </w:p>
        </w:tc>
      </w:tr>
      <w:tr w:rsidR="00A93A3B" w:rsidRPr="00772067" w14:paraId="5C44F180" w14:textId="77777777" w:rsidTr="00264EE0">
        <w:tblPrEx>
          <w:tblCellMar>
            <w:top w:w="15" w:type="dxa"/>
            <w:left w:w="15" w:type="dxa"/>
            <w:bottom w:w="15" w:type="dxa"/>
            <w:right w:w="15" w:type="dxa"/>
          </w:tblCellMar>
          <w:tblLook w:val="04A0" w:firstRow="1" w:lastRow="0" w:firstColumn="1" w:lastColumn="0" w:noHBand="0" w:noVBand="1"/>
        </w:tblPrEx>
        <w:trPr>
          <w:trHeight w:val="240"/>
        </w:trPr>
        <w:tc>
          <w:tcPr>
            <w:tcW w:w="977" w:type="dxa"/>
            <w:gridSpan w:val="2"/>
            <w:vMerge/>
            <w:tcBorders>
              <w:left w:val="single" w:sz="4" w:space="0" w:color="auto"/>
              <w:right w:val="single" w:sz="4" w:space="0" w:color="auto"/>
            </w:tcBorders>
          </w:tcPr>
          <w:p w14:paraId="3685A6BB" w14:textId="77777777" w:rsidR="00A93A3B" w:rsidRPr="0020649C" w:rsidRDefault="00A93A3B" w:rsidP="00264EE0">
            <w:pPr>
              <w:rPr>
                <w:rFonts w:ascii="Arial Narrow" w:hAnsi="Arial Narrow"/>
                <w:sz w:val="18"/>
                <w:szCs w:val="18"/>
              </w:rPr>
            </w:pPr>
          </w:p>
        </w:tc>
        <w:tc>
          <w:tcPr>
            <w:tcW w:w="8039" w:type="dxa"/>
            <w:gridSpan w:val="6"/>
            <w:tcBorders>
              <w:top w:val="single" w:sz="4" w:space="0" w:color="auto"/>
              <w:left w:val="single" w:sz="4" w:space="0" w:color="auto"/>
              <w:bottom w:val="single" w:sz="4" w:space="0" w:color="auto"/>
              <w:right w:val="single" w:sz="4" w:space="0" w:color="auto"/>
            </w:tcBorders>
          </w:tcPr>
          <w:p w14:paraId="405A1E30" w14:textId="77777777" w:rsidR="00A93A3B" w:rsidRPr="00772067" w:rsidRDefault="00A93A3B" w:rsidP="00264EE0">
            <w:pPr>
              <w:rPr>
                <w:rFonts w:ascii="Arial Narrow" w:hAnsi="Arial Narrow"/>
                <w:b/>
                <w:sz w:val="18"/>
                <w:szCs w:val="18"/>
              </w:rPr>
            </w:pPr>
            <w:r w:rsidRPr="001428E9">
              <w:rPr>
                <w:rFonts w:ascii="Arial Narrow" w:hAnsi="Arial Narrow"/>
                <w:b/>
                <w:sz w:val="20"/>
                <w:szCs w:val="20"/>
              </w:rPr>
              <w:t>Prescriber type:</w:t>
            </w:r>
            <w:r>
              <w:rPr>
                <w:rFonts w:ascii="Arial Narrow" w:hAnsi="Arial Narrow"/>
                <w:b/>
                <w:sz w:val="20"/>
                <w:szCs w:val="20"/>
              </w:rPr>
              <w:t xml:space="preserve"> </w:t>
            </w:r>
            <w:r>
              <w:rPr>
                <w:rFonts w:ascii="Arial Narrow" w:hAnsi="Arial Narrow"/>
                <w:sz w:val="20"/>
                <w:szCs w:val="20"/>
              </w:rPr>
              <w:fldChar w:fldCharType="begin" w:fldLock="1">
                <w:ffData>
                  <w:name w:val=""/>
                  <w:enabled/>
                  <w:calcOnExit w:val="0"/>
                  <w:checkBox>
                    <w:sizeAuto/>
                    <w:default w:val="1"/>
                  </w:checkBox>
                </w:ffData>
              </w:fldChar>
            </w:r>
            <w:r>
              <w:rPr>
                <w:rFonts w:ascii="Arial Narrow" w:hAnsi="Arial Narrow"/>
                <w:sz w:val="20"/>
                <w:szCs w:val="20"/>
              </w:rPr>
              <w:instrText xml:space="preserve"> FORMCHECKBOX </w:instrText>
            </w:r>
            <w:r w:rsidR="00DE4045">
              <w:rPr>
                <w:rFonts w:ascii="Arial Narrow" w:hAnsi="Arial Narrow"/>
                <w:sz w:val="20"/>
                <w:szCs w:val="20"/>
              </w:rPr>
            </w:r>
            <w:r w:rsidR="00DE4045">
              <w:rPr>
                <w:rFonts w:ascii="Arial Narrow" w:hAnsi="Arial Narrow"/>
                <w:sz w:val="20"/>
                <w:szCs w:val="20"/>
              </w:rPr>
              <w:fldChar w:fldCharType="separate"/>
            </w:r>
            <w:r>
              <w:rPr>
                <w:rFonts w:ascii="Arial Narrow" w:hAnsi="Arial Narrow"/>
                <w:sz w:val="20"/>
                <w:szCs w:val="20"/>
              </w:rPr>
              <w:fldChar w:fldCharType="end"/>
            </w:r>
            <w:r w:rsidRPr="001428E9">
              <w:rPr>
                <w:rFonts w:ascii="Arial Narrow" w:hAnsi="Arial Narrow"/>
                <w:sz w:val="20"/>
                <w:szCs w:val="20"/>
              </w:rPr>
              <w:t>Medical Practitioners</w:t>
            </w:r>
          </w:p>
        </w:tc>
      </w:tr>
      <w:tr w:rsidR="00A93A3B" w:rsidRPr="00677540" w14:paraId="3B6F5A99" w14:textId="77777777" w:rsidTr="00264EE0">
        <w:tblPrEx>
          <w:tblCellMar>
            <w:top w:w="15" w:type="dxa"/>
            <w:left w:w="15" w:type="dxa"/>
            <w:bottom w:w="15" w:type="dxa"/>
            <w:right w:w="15" w:type="dxa"/>
          </w:tblCellMar>
          <w:tblLook w:val="04A0" w:firstRow="1" w:lastRow="0" w:firstColumn="1" w:lastColumn="0" w:noHBand="0" w:noVBand="1"/>
        </w:tblPrEx>
        <w:tc>
          <w:tcPr>
            <w:tcW w:w="977" w:type="dxa"/>
            <w:gridSpan w:val="2"/>
            <w:vMerge/>
            <w:tcBorders>
              <w:left w:val="single" w:sz="4" w:space="0" w:color="auto"/>
              <w:bottom w:val="single" w:sz="4" w:space="0" w:color="auto"/>
              <w:right w:val="single" w:sz="4" w:space="0" w:color="auto"/>
            </w:tcBorders>
            <w:vAlign w:val="center"/>
          </w:tcPr>
          <w:p w14:paraId="5BF1A213" w14:textId="77777777" w:rsidR="00A93A3B" w:rsidRPr="0020649C" w:rsidRDefault="00A93A3B" w:rsidP="00264EE0">
            <w:pPr>
              <w:rPr>
                <w:rFonts w:ascii="Arial Narrow" w:hAnsi="Arial Narrow"/>
                <w:sz w:val="18"/>
                <w:szCs w:val="18"/>
              </w:rPr>
            </w:pPr>
          </w:p>
        </w:tc>
        <w:tc>
          <w:tcPr>
            <w:tcW w:w="8039" w:type="dxa"/>
            <w:gridSpan w:val="6"/>
            <w:tcBorders>
              <w:top w:val="single" w:sz="4" w:space="0" w:color="auto"/>
              <w:left w:val="single" w:sz="4" w:space="0" w:color="auto"/>
              <w:bottom w:val="single" w:sz="4" w:space="0" w:color="auto"/>
              <w:right w:val="single" w:sz="4" w:space="0" w:color="auto"/>
            </w:tcBorders>
          </w:tcPr>
          <w:p w14:paraId="5FE3A64A" w14:textId="77777777" w:rsidR="00A93A3B" w:rsidRPr="00677540" w:rsidRDefault="00A93A3B" w:rsidP="00264EE0">
            <w:pPr>
              <w:keepNext/>
              <w:widowControl w:val="0"/>
              <w:rPr>
                <w:rFonts w:ascii="Arial Narrow" w:eastAsia="Calibri" w:hAnsi="Arial Narrow"/>
                <w:color w:val="FF00FF"/>
                <w:sz w:val="18"/>
                <w:szCs w:val="18"/>
              </w:rPr>
            </w:pPr>
            <w:r w:rsidRPr="001428E9">
              <w:rPr>
                <w:rFonts w:ascii="Arial Narrow" w:hAnsi="Arial Narrow"/>
                <w:b/>
                <w:sz w:val="20"/>
                <w:szCs w:val="20"/>
              </w:rPr>
              <w:t xml:space="preserve">Restriction type: </w:t>
            </w:r>
            <w:r>
              <w:rPr>
                <w:rFonts w:ascii="Arial Narrow" w:eastAsia="Calibri" w:hAnsi="Arial Narrow"/>
                <w:sz w:val="20"/>
                <w:szCs w:val="20"/>
              </w:rPr>
              <w:fldChar w:fldCharType="begin" w:fldLock="1">
                <w:ffData>
                  <w:name w:val=""/>
                  <w:enabled/>
                  <w:calcOnExit w:val="0"/>
                  <w:checkBox>
                    <w:sizeAuto/>
                    <w:default w:val="1"/>
                  </w:checkBox>
                </w:ffData>
              </w:fldChar>
            </w:r>
            <w:r>
              <w:rPr>
                <w:rFonts w:ascii="Arial Narrow" w:eastAsia="Calibri" w:hAnsi="Arial Narrow"/>
                <w:sz w:val="20"/>
                <w:szCs w:val="20"/>
              </w:rPr>
              <w:instrText xml:space="preserve"> FORMCHECKBOX </w:instrText>
            </w:r>
            <w:r w:rsidR="00DE4045">
              <w:rPr>
                <w:rFonts w:ascii="Arial Narrow" w:eastAsia="Calibri" w:hAnsi="Arial Narrow"/>
                <w:sz w:val="20"/>
                <w:szCs w:val="20"/>
              </w:rPr>
            </w:r>
            <w:r w:rsidR="00DE4045">
              <w:rPr>
                <w:rFonts w:ascii="Arial Narrow" w:eastAsia="Calibri" w:hAnsi="Arial Narrow"/>
                <w:sz w:val="20"/>
                <w:szCs w:val="20"/>
              </w:rPr>
              <w:fldChar w:fldCharType="separate"/>
            </w:r>
            <w:r>
              <w:rPr>
                <w:rFonts w:ascii="Arial Narrow" w:eastAsia="Calibri" w:hAnsi="Arial Narrow"/>
                <w:sz w:val="20"/>
                <w:szCs w:val="20"/>
              </w:rPr>
              <w:fldChar w:fldCharType="end"/>
            </w:r>
            <w:r w:rsidRPr="00B351A5">
              <w:rPr>
                <w:rFonts w:ascii="Arial Narrow" w:eastAsia="Calibri" w:hAnsi="Arial Narrow"/>
                <w:i/>
                <w:iCs/>
                <w:sz w:val="20"/>
                <w:szCs w:val="20"/>
              </w:rPr>
              <w:t>Authority Required –</w:t>
            </w:r>
            <w:r>
              <w:rPr>
                <w:rFonts w:ascii="Arial Narrow" w:eastAsia="Calibri" w:hAnsi="Arial Narrow"/>
                <w:sz w:val="20"/>
                <w:szCs w:val="20"/>
              </w:rPr>
              <w:t xml:space="preserve"> </w:t>
            </w:r>
            <w:r>
              <w:rPr>
                <w:rFonts w:ascii="Arial Narrow" w:eastAsia="Calibri" w:hAnsi="Arial Narrow"/>
                <w:i/>
                <w:iCs/>
                <w:sz w:val="20"/>
                <w:szCs w:val="20"/>
              </w:rPr>
              <w:t xml:space="preserve">In writing </w:t>
            </w:r>
          </w:p>
        </w:tc>
      </w:tr>
      <w:tr w:rsidR="00A93A3B" w:rsidRPr="00677540" w14:paraId="15BBE801" w14:textId="77777777" w:rsidTr="00264EE0">
        <w:tblPrEx>
          <w:tblCellMar>
            <w:top w:w="15" w:type="dxa"/>
            <w:left w:w="15" w:type="dxa"/>
            <w:bottom w:w="15" w:type="dxa"/>
            <w:right w:w="15" w:type="dxa"/>
          </w:tblCellMar>
          <w:tblLook w:val="04A0" w:firstRow="1" w:lastRow="0" w:firstColumn="1" w:lastColumn="0" w:noHBand="0" w:noVBand="1"/>
        </w:tblPrEx>
        <w:tc>
          <w:tcPr>
            <w:tcW w:w="488" w:type="dxa"/>
            <w:vMerge w:val="restart"/>
            <w:tcBorders>
              <w:left w:val="single" w:sz="4" w:space="0" w:color="auto"/>
              <w:right w:val="single" w:sz="4" w:space="0" w:color="auto"/>
            </w:tcBorders>
            <w:vAlign w:val="center"/>
          </w:tcPr>
          <w:p w14:paraId="39F360C5" w14:textId="2DA150C3" w:rsidR="00A93A3B" w:rsidRPr="00AF6381" w:rsidRDefault="00A93A3B" w:rsidP="00264EE0">
            <w:pPr>
              <w:rPr>
                <w:rFonts w:ascii="Arial Narrow" w:hAnsi="Arial Narrow"/>
                <w:sz w:val="20"/>
                <w:szCs w:val="20"/>
              </w:rPr>
            </w:pPr>
          </w:p>
        </w:tc>
        <w:tc>
          <w:tcPr>
            <w:tcW w:w="489" w:type="dxa"/>
            <w:tcBorders>
              <w:left w:val="single" w:sz="4" w:space="0" w:color="auto"/>
              <w:bottom w:val="single" w:sz="4" w:space="0" w:color="auto"/>
              <w:right w:val="single" w:sz="4" w:space="0" w:color="auto"/>
            </w:tcBorders>
            <w:vAlign w:val="center"/>
          </w:tcPr>
          <w:p w14:paraId="48D44074" w14:textId="77777777" w:rsidR="00A93A3B" w:rsidRPr="00AF6381" w:rsidRDefault="00A93A3B" w:rsidP="00264EE0">
            <w:pPr>
              <w:rPr>
                <w:rFonts w:ascii="Arial Narrow" w:hAnsi="Arial Narrow"/>
                <w:sz w:val="20"/>
                <w:szCs w:val="20"/>
              </w:rPr>
            </w:pPr>
          </w:p>
        </w:tc>
        <w:tc>
          <w:tcPr>
            <w:tcW w:w="8039" w:type="dxa"/>
            <w:gridSpan w:val="6"/>
            <w:tcBorders>
              <w:top w:val="single" w:sz="4" w:space="0" w:color="auto"/>
              <w:left w:val="single" w:sz="4" w:space="0" w:color="auto"/>
              <w:bottom w:val="single" w:sz="4" w:space="0" w:color="auto"/>
              <w:right w:val="single" w:sz="4" w:space="0" w:color="auto"/>
            </w:tcBorders>
          </w:tcPr>
          <w:p w14:paraId="11B988A5" w14:textId="77777777" w:rsidR="00A93A3B" w:rsidRPr="00AF6381" w:rsidRDefault="00A93A3B" w:rsidP="00264EE0">
            <w:pPr>
              <w:keepNext/>
              <w:widowControl w:val="0"/>
              <w:rPr>
                <w:rFonts w:ascii="Arial Narrow" w:hAnsi="Arial Narrow"/>
                <w:bCs/>
                <w:sz w:val="20"/>
                <w:szCs w:val="20"/>
              </w:rPr>
            </w:pPr>
            <w:r w:rsidRPr="00AF6381">
              <w:rPr>
                <w:rFonts w:ascii="Arial Narrow" w:hAnsi="Arial Narrow"/>
                <w:bCs/>
                <w:sz w:val="20"/>
                <w:szCs w:val="20"/>
              </w:rPr>
              <w:t>Add and edit note</w:t>
            </w:r>
            <w:r w:rsidRPr="00AF6381">
              <w:rPr>
                <w:rFonts w:ascii="Arial Narrow" w:eastAsia="Times New Roman" w:hAnsi="Arial Narrow"/>
                <w:bCs/>
                <w:color w:val="333333"/>
                <w:sz w:val="20"/>
                <w:szCs w:val="20"/>
              </w:rPr>
              <w:t xml:space="preserve"> 27712 as above</w:t>
            </w:r>
          </w:p>
        </w:tc>
      </w:tr>
      <w:tr w:rsidR="00A93A3B" w:rsidRPr="00677540" w14:paraId="49C5EDDC" w14:textId="77777777" w:rsidTr="00264EE0">
        <w:tblPrEx>
          <w:tblCellMar>
            <w:top w:w="15" w:type="dxa"/>
            <w:left w:w="15" w:type="dxa"/>
            <w:bottom w:w="15" w:type="dxa"/>
            <w:right w:w="15" w:type="dxa"/>
          </w:tblCellMar>
          <w:tblLook w:val="04A0" w:firstRow="1" w:lastRow="0" w:firstColumn="1" w:lastColumn="0" w:noHBand="0" w:noVBand="1"/>
        </w:tblPrEx>
        <w:tc>
          <w:tcPr>
            <w:tcW w:w="488" w:type="dxa"/>
            <w:vMerge/>
            <w:tcBorders>
              <w:left w:val="single" w:sz="4" w:space="0" w:color="auto"/>
              <w:right w:val="single" w:sz="4" w:space="0" w:color="auto"/>
            </w:tcBorders>
            <w:vAlign w:val="center"/>
          </w:tcPr>
          <w:p w14:paraId="64C01B78" w14:textId="77777777" w:rsidR="00A93A3B" w:rsidRPr="00AF6381" w:rsidRDefault="00A93A3B" w:rsidP="00264EE0">
            <w:pPr>
              <w:rPr>
                <w:rFonts w:ascii="Arial Narrow" w:hAnsi="Arial Narrow"/>
                <w:sz w:val="20"/>
                <w:szCs w:val="20"/>
              </w:rPr>
            </w:pPr>
          </w:p>
        </w:tc>
        <w:tc>
          <w:tcPr>
            <w:tcW w:w="489" w:type="dxa"/>
            <w:tcBorders>
              <w:left w:val="single" w:sz="4" w:space="0" w:color="auto"/>
              <w:bottom w:val="single" w:sz="4" w:space="0" w:color="auto"/>
              <w:right w:val="single" w:sz="4" w:space="0" w:color="auto"/>
            </w:tcBorders>
            <w:vAlign w:val="center"/>
          </w:tcPr>
          <w:p w14:paraId="38EAB1C5" w14:textId="20A4127F" w:rsidR="00A93A3B" w:rsidRPr="00AF6381" w:rsidRDefault="00A93A3B" w:rsidP="00264EE0">
            <w:pPr>
              <w:rPr>
                <w:rFonts w:ascii="Arial Narrow" w:hAnsi="Arial Narrow"/>
                <w:sz w:val="20"/>
                <w:szCs w:val="20"/>
              </w:rPr>
            </w:pPr>
          </w:p>
        </w:tc>
        <w:tc>
          <w:tcPr>
            <w:tcW w:w="8039" w:type="dxa"/>
            <w:gridSpan w:val="6"/>
            <w:tcBorders>
              <w:top w:val="single" w:sz="4" w:space="0" w:color="auto"/>
              <w:left w:val="single" w:sz="4" w:space="0" w:color="auto"/>
              <w:bottom w:val="single" w:sz="4" w:space="0" w:color="auto"/>
              <w:right w:val="single" w:sz="4" w:space="0" w:color="auto"/>
            </w:tcBorders>
            <w:vAlign w:val="center"/>
          </w:tcPr>
          <w:p w14:paraId="1EB2B0FA" w14:textId="77777777" w:rsidR="00A93A3B" w:rsidRPr="00AF6381" w:rsidRDefault="00A93A3B" w:rsidP="00264EE0">
            <w:pPr>
              <w:rPr>
                <w:rFonts w:ascii="Arial Narrow" w:eastAsia="Times New Roman" w:hAnsi="Arial Narrow"/>
                <w:b/>
                <w:bCs/>
                <w:color w:val="333333"/>
                <w:sz w:val="20"/>
                <w:szCs w:val="20"/>
              </w:rPr>
            </w:pPr>
            <w:r w:rsidRPr="00AF6381">
              <w:rPr>
                <w:rFonts w:ascii="Arial Narrow" w:eastAsia="Times New Roman" w:hAnsi="Arial Narrow"/>
                <w:b/>
                <w:bCs/>
                <w:color w:val="333333"/>
                <w:sz w:val="20"/>
                <w:szCs w:val="20"/>
              </w:rPr>
              <w:t>Administrative Advice:</w:t>
            </w:r>
          </w:p>
          <w:p w14:paraId="483C3B90" w14:textId="77777777" w:rsidR="00A93A3B" w:rsidRPr="00AF6381" w:rsidRDefault="00A93A3B" w:rsidP="00264EE0">
            <w:pPr>
              <w:keepNext/>
              <w:widowControl w:val="0"/>
              <w:rPr>
                <w:rFonts w:ascii="Arial Narrow" w:hAnsi="Arial Narrow"/>
                <w:bCs/>
                <w:sz w:val="20"/>
                <w:szCs w:val="20"/>
              </w:rPr>
            </w:pPr>
            <w:r w:rsidRPr="00AF6381">
              <w:rPr>
                <w:rFonts w:ascii="Arial Narrow" w:eastAsia="Times New Roman" w:hAnsi="Arial Narrow"/>
                <w:color w:val="333333"/>
                <w:sz w:val="20"/>
                <w:szCs w:val="20"/>
              </w:rPr>
              <w:lastRenderedPageBreak/>
              <w:t>No increase in the maximum quantity or number of units may be authorised.</w:t>
            </w:r>
          </w:p>
        </w:tc>
      </w:tr>
      <w:tr w:rsidR="00A93A3B" w:rsidRPr="00677540" w14:paraId="40889E3F" w14:textId="77777777" w:rsidTr="00264EE0">
        <w:tblPrEx>
          <w:tblCellMar>
            <w:top w:w="15" w:type="dxa"/>
            <w:left w:w="15" w:type="dxa"/>
            <w:bottom w:w="15" w:type="dxa"/>
            <w:right w:w="15" w:type="dxa"/>
          </w:tblCellMar>
          <w:tblLook w:val="04A0" w:firstRow="1" w:lastRow="0" w:firstColumn="1" w:lastColumn="0" w:noHBand="0" w:noVBand="1"/>
        </w:tblPrEx>
        <w:tc>
          <w:tcPr>
            <w:tcW w:w="488" w:type="dxa"/>
            <w:vMerge/>
            <w:tcBorders>
              <w:left w:val="single" w:sz="4" w:space="0" w:color="auto"/>
              <w:right w:val="single" w:sz="4" w:space="0" w:color="auto"/>
            </w:tcBorders>
            <w:vAlign w:val="center"/>
          </w:tcPr>
          <w:p w14:paraId="4942F600" w14:textId="77777777" w:rsidR="00A93A3B" w:rsidRPr="00AF6381" w:rsidRDefault="00A93A3B" w:rsidP="00264EE0">
            <w:pPr>
              <w:rPr>
                <w:rFonts w:ascii="Arial Narrow" w:hAnsi="Arial Narrow"/>
                <w:sz w:val="20"/>
                <w:szCs w:val="20"/>
              </w:rPr>
            </w:pPr>
          </w:p>
        </w:tc>
        <w:tc>
          <w:tcPr>
            <w:tcW w:w="489" w:type="dxa"/>
            <w:tcBorders>
              <w:left w:val="single" w:sz="4" w:space="0" w:color="auto"/>
              <w:bottom w:val="single" w:sz="4" w:space="0" w:color="auto"/>
              <w:right w:val="single" w:sz="4" w:space="0" w:color="auto"/>
            </w:tcBorders>
            <w:vAlign w:val="center"/>
          </w:tcPr>
          <w:p w14:paraId="28E4391D" w14:textId="51665AD1" w:rsidR="00A93A3B" w:rsidRPr="00AF6381" w:rsidRDefault="00A93A3B" w:rsidP="00264EE0">
            <w:pPr>
              <w:rPr>
                <w:rFonts w:ascii="Arial Narrow" w:hAnsi="Arial Narrow"/>
                <w:sz w:val="20"/>
                <w:szCs w:val="20"/>
              </w:rPr>
            </w:pPr>
          </w:p>
        </w:tc>
        <w:tc>
          <w:tcPr>
            <w:tcW w:w="8039" w:type="dxa"/>
            <w:gridSpan w:val="6"/>
            <w:tcBorders>
              <w:top w:val="single" w:sz="4" w:space="0" w:color="auto"/>
              <w:left w:val="single" w:sz="4" w:space="0" w:color="auto"/>
              <w:bottom w:val="single" w:sz="4" w:space="0" w:color="auto"/>
              <w:right w:val="single" w:sz="4" w:space="0" w:color="auto"/>
            </w:tcBorders>
            <w:vAlign w:val="center"/>
          </w:tcPr>
          <w:p w14:paraId="566FE294" w14:textId="77777777" w:rsidR="00A93A3B" w:rsidRPr="00AF6381" w:rsidRDefault="00A93A3B" w:rsidP="00264EE0">
            <w:pPr>
              <w:rPr>
                <w:rFonts w:ascii="Arial Narrow" w:eastAsia="Times New Roman" w:hAnsi="Arial Narrow"/>
                <w:b/>
                <w:bCs/>
                <w:color w:val="333333"/>
                <w:sz w:val="20"/>
                <w:szCs w:val="20"/>
              </w:rPr>
            </w:pPr>
            <w:r w:rsidRPr="00AF6381">
              <w:rPr>
                <w:rFonts w:ascii="Arial Narrow" w:eastAsia="Times New Roman" w:hAnsi="Arial Narrow"/>
                <w:b/>
                <w:bCs/>
                <w:color w:val="333333"/>
                <w:sz w:val="20"/>
                <w:szCs w:val="20"/>
              </w:rPr>
              <w:t>Administrative Advice:</w:t>
            </w:r>
          </w:p>
          <w:p w14:paraId="1D5427D3" w14:textId="77777777" w:rsidR="00A93A3B" w:rsidRPr="00AF6381" w:rsidRDefault="00A93A3B" w:rsidP="00264EE0">
            <w:pPr>
              <w:keepNext/>
              <w:widowControl w:val="0"/>
              <w:rPr>
                <w:rFonts w:ascii="Arial Narrow" w:hAnsi="Arial Narrow"/>
                <w:bCs/>
                <w:sz w:val="20"/>
                <w:szCs w:val="20"/>
              </w:rPr>
            </w:pPr>
            <w:r w:rsidRPr="00AF6381">
              <w:rPr>
                <w:rFonts w:ascii="Arial Narrow" w:eastAsia="Times New Roman" w:hAnsi="Arial Narrow"/>
                <w:color w:val="333333"/>
                <w:sz w:val="20"/>
                <w:szCs w:val="20"/>
              </w:rPr>
              <w:t>No increase in the maximum number of repeats may be authorised.</w:t>
            </w:r>
          </w:p>
        </w:tc>
      </w:tr>
      <w:tr w:rsidR="00A93A3B" w:rsidRPr="00677540" w14:paraId="45998D34" w14:textId="77777777" w:rsidTr="00264EE0">
        <w:tblPrEx>
          <w:tblCellMar>
            <w:top w:w="15" w:type="dxa"/>
            <w:left w:w="15" w:type="dxa"/>
            <w:bottom w:w="15" w:type="dxa"/>
            <w:right w:w="15" w:type="dxa"/>
          </w:tblCellMar>
          <w:tblLook w:val="04A0" w:firstRow="1" w:lastRow="0" w:firstColumn="1" w:lastColumn="0" w:noHBand="0" w:noVBand="1"/>
        </w:tblPrEx>
        <w:tc>
          <w:tcPr>
            <w:tcW w:w="488" w:type="dxa"/>
            <w:vMerge/>
            <w:tcBorders>
              <w:left w:val="single" w:sz="4" w:space="0" w:color="auto"/>
              <w:bottom w:val="single" w:sz="4" w:space="0" w:color="auto"/>
              <w:right w:val="single" w:sz="4" w:space="0" w:color="auto"/>
            </w:tcBorders>
            <w:vAlign w:val="center"/>
          </w:tcPr>
          <w:p w14:paraId="542BB37F" w14:textId="77777777" w:rsidR="00A93A3B" w:rsidRPr="00AF6381" w:rsidRDefault="00A93A3B" w:rsidP="00264EE0">
            <w:pPr>
              <w:rPr>
                <w:rFonts w:ascii="Arial Narrow" w:hAnsi="Arial Narrow"/>
                <w:sz w:val="20"/>
                <w:szCs w:val="20"/>
              </w:rPr>
            </w:pPr>
          </w:p>
        </w:tc>
        <w:tc>
          <w:tcPr>
            <w:tcW w:w="489" w:type="dxa"/>
            <w:tcBorders>
              <w:left w:val="single" w:sz="4" w:space="0" w:color="auto"/>
              <w:bottom w:val="single" w:sz="4" w:space="0" w:color="auto"/>
              <w:right w:val="single" w:sz="4" w:space="0" w:color="auto"/>
            </w:tcBorders>
            <w:vAlign w:val="center"/>
          </w:tcPr>
          <w:p w14:paraId="2B91FC75" w14:textId="5EB6E51B" w:rsidR="00A93A3B" w:rsidRPr="00AF6381" w:rsidRDefault="00A93A3B" w:rsidP="00264EE0">
            <w:pPr>
              <w:rPr>
                <w:rFonts w:ascii="Arial Narrow" w:hAnsi="Arial Narrow"/>
                <w:sz w:val="20"/>
                <w:szCs w:val="20"/>
              </w:rPr>
            </w:pPr>
          </w:p>
        </w:tc>
        <w:tc>
          <w:tcPr>
            <w:tcW w:w="8039" w:type="dxa"/>
            <w:gridSpan w:val="6"/>
            <w:tcBorders>
              <w:top w:val="single" w:sz="4" w:space="0" w:color="auto"/>
              <w:left w:val="single" w:sz="4" w:space="0" w:color="auto"/>
              <w:bottom w:val="single" w:sz="4" w:space="0" w:color="auto"/>
              <w:right w:val="single" w:sz="4" w:space="0" w:color="auto"/>
            </w:tcBorders>
            <w:vAlign w:val="center"/>
          </w:tcPr>
          <w:p w14:paraId="1A8EEEDF" w14:textId="77777777" w:rsidR="00A93A3B" w:rsidRPr="00AF6381" w:rsidRDefault="00A93A3B" w:rsidP="00264EE0">
            <w:pPr>
              <w:rPr>
                <w:rFonts w:ascii="Arial Narrow" w:eastAsia="Times New Roman" w:hAnsi="Arial Narrow"/>
                <w:b/>
                <w:bCs/>
                <w:color w:val="333333"/>
                <w:sz w:val="20"/>
                <w:szCs w:val="20"/>
              </w:rPr>
            </w:pPr>
            <w:r w:rsidRPr="00AF6381">
              <w:rPr>
                <w:rFonts w:ascii="Arial Narrow" w:eastAsia="Times New Roman" w:hAnsi="Arial Narrow"/>
                <w:b/>
                <w:bCs/>
                <w:color w:val="333333"/>
                <w:sz w:val="20"/>
                <w:szCs w:val="20"/>
              </w:rPr>
              <w:t>Administrative Advice:</w:t>
            </w:r>
          </w:p>
          <w:p w14:paraId="786E96BB" w14:textId="77777777" w:rsidR="00A93A3B" w:rsidRPr="00AF6381" w:rsidRDefault="00A93A3B" w:rsidP="00264EE0">
            <w:pPr>
              <w:keepNext/>
              <w:widowControl w:val="0"/>
              <w:rPr>
                <w:rFonts w:ascii="Arial Narrow" w:hAnsi="Arial Narrow"/>
                <w:bCs/>
                <w:sz w:val="20"/>
                <w:szCs w:val="20"/>
              </w:rPr>
            </w:pPr>
            <w:r w:rsidRPr="00AF6381">
              <w:rPr>
                <w:rFonts w:ascii="Arial Narrow" w:eastAsia="Times New Roman" w:hAnsi="Arial Narrow"/>
                <w:color w:val="333333"/>
                <w:sz w:val="20"/>
                <w:szCs w:val="20"/>
              </w:rPr>
              <w:t>Special Pricing Arrangements apply.</w:t>
            </w:r>
          </w:p>
        </w:tc>
      </w:tr>
      <w:tr w:rsidR="00A93A3B" w:rsidRPr="00120A12" w14:paraId="3D5310D2" w14:textId="77777777" w:rsidTr="00092C71">
        <w:tblPrEx>
          <w:tblCellMar>
            <w:top w:w="15" w:type="dxa"/>
            <w:left w:w="15" w:type="dxa"/>
            <w:bottom w:w="15" w:type="dxa"/>
            <w:right w:w="15" w:type="dxa"/>
          </w:tblCellMar>
          <w:tblLook w:val="04A0" w:firstRow="1" w:lastRow="0" w:firstColumn="1" w:lastColumn="0" w:noHBand="0" w:noVBand="1"/>
        </w:tblPrEx>
        <w:tc>
          <w:tcPr>
            <w:tcW w:w="977" w:type="dxa"/>
            <w:gridSpan w:val="2"/>
            <w:vAlign w:val="center"/>
          </w:tcPr>
          <w:p w14:paraId="2ECAD4BD" w14:textId="29802D34" w:rsidR="00A93A3B" w:rsidRPr="00120A12" w:rsidRDefault="00A93A3B" w:rsidP="00264EE0">
            <w:pPr>
              <w:jc w:val="center"/>
              <w:rPr>
                <w:rFonts w:ascii="Arial Narrow" w:eastAsia="Times New Roman" w:hAnsi="Arial Narrow"/>
                <w:color w:val="333333"/>
                <w:sz w:val="18"/>
                <w:szCs w:val="18"/>
              </w:rPr>
            </w:pPr>
          </w:p>
        </w:tc>
        <w:tc>
          <w:tcPr>
            <w:tcW w:w="8039" w:type="dxa"/>
            <w:gridSpan w:val="6"/>
            <w:vAlign w:val="center"/>
            <w:hideMark/>
          </w:tcPr>
          <w:p w14:paraId="36503020" w14:textId="77777777" w:rsidR="00A93A3B" w:rsidRPr="00120A12" w:rsidRDefault="00A93A3B" w:rsidP="00264EE0">
            <w:pPr>
              <w:rPr>
                <w:rFonts w:ascii="Arial Narrow" w:eastAsia="Times New Roman" w:hAnsi="Arial Narrow"/>
                <w:color w:val="333333"/>
                <w:sz w:val="18"/>
                <w:szCs w:val="18"/>
              </w:rPr>
            </w:pPr>
            <w:r w:rsidRPr="001428E9">
              <w:rPr>
                <w:rFonts w:ascii="Arial Narrow" w:eastAsia="Times New Roman" w:hAnsi="Arial Narrow"/>
                <w:b/>
                <w:bCs/>
                <w:color w:val="333333"/>
                <w:sz w:val="20"/>
                <w:szCs w:val="20"/>
              </w:rPr>
              <w:t>Indication:</w:t>
            </w:r>
            <w:r w:rsidRPr="001428E9">
              <w:rPr>
                <w:rFonts w:ascii="Arial Narrow" w:eastAsia="Times New Roman" w:hAnsi="Arial Narrow"/>
                <w:color w:val="333333"/>
                <w:sz w:val="20"/>
                <w:szCs w:val="20"/>
              </w:rPr>
              <w:t xml:space="preserve"> </w:t>
            </w:r>
            <w:r w:rsidRPr="00B351A5">
              <w:rPr>
                <w:rFonts w:ascii="Arial Narrow" w:eastAsia="Times New Roman" w:hAnsi="Arial Narrow"/>
                <w:i/>
                <w:iCs/>
                <w:color w:val="333333"/>
                <w:sz w:val="20"/>
                <w:szCs w:val="20"/>
              </w:rPr>
              <w:t>Severe Crohn disease</w:t>
            </w:r>
          </w:p>
        </w:tc>
      </w:tr>
      <w:tr w:rsidR="00A93A3B" w:rsidRPr="005A7DE0" w14:paraId="6A2B325A" w14:textId="77777777" w:rsidTr="00092C71">
        <w:tblPrEx>
          <w:tblCellMar>
            <w:top w:w="15" w:type="dxa"/>
            <w:left w:w="15" w:type="dxa"/>
            <w:bottom w:w="15" w:type="dxa"/>
            <w:right w:w="15" w:type="dxa"/>
          </w:tblCellMar>
          <w:tblLook w:val="04A0" w:firstRow="1" w:lastRow="0" w:firstColumn="1" w:lastColumn="0" w:noHBand="0" w:noVBand="1"/>
        </w:tblPrEx>
        <w:tc>
          <w:tcPr>
            <w:tcW w:w="977" w:type="dxa"/>
            <w:gridSpan w:val="2"/>
            <w:vAlign w:val="center"/>
          </w:tcPr>
          <w:p w14:paraId="36B90FEC" w14:textId="77777777" w:rsidR="00A93A3B" w:rsidRPr="00120A12" w:rsidRDefault="00A93A3B" w:rsidP="00264EE0">
            <w:pPr>
              <w:jc w:val="center"/>
              <w:rPr>
                <w:rFonts w:ascii="Arial Narrow" w:eastAsia="Times New Roman" w:hAnsi="Arial Narrow"/>
                <w:color w:val="333333"/>
                <w:sz w:val="18"/>
                <w:szCs w:val="18"/>
              </w:rPr>
            </w:pPr>
          </w:p>
        </w:tc>
        <w:tc>
          <w:tcPr>
            <w:tcW w:w="8039" w:type="dxa"/>
            <w:gridSpan w:val="6"/>
            <w:vAlign w:val="center"/>
            <w:hideMark/>
          </w:tcPr>
          <w:p w14:paraId="74A49D15" w14:textId="77777777" w:rsidR="00A93A3B" w:rsidRPr="005A7DE0" w:rsidRDefault="00A93A3B" w:rsidP="00264EE0">
            <w:pPr>
              <w:rPr>
                <w:rFonts w:ascii="Arial Narrow" w:eastAsia="Times New Roman" w:hAnsi="Arial Narrow"/>
                <w:i/>
                <w:iCs/>
                <w:color w:val="FF00FF"/>
                <w:sz w:val="18"/>
                <w:szCs w:val="18"/>
              </w:rPr>
            </w:pPr>
            <w:r w:rsidRPr="001428E9">
              <w:rPr>
                <w:rFonts w:ascii="Arial Narrow" w:eastAsia="Times New Roman" w:hAnsi="Arial Narrow"/>
                <w:b/>
                <w:bCs/>
                <w:color w:val="333333"/>
                <w:sz w:val="20"/>
                <w:szCs w:val="20"/>
              </w:rPr>
              <w:t>Treatment Phase:</w:t>
            </w:r>
            <w:r w:rsidRPr="001428E9">
              <w:rPr>
                <w:rFonts w:ascii="Arial Narrow" w:eastAsia="Times New Roman" w:hAnsi="Arial Narrow"/>
                <w:color w:val="FF0000"/>
                <w:sz w:val="20"/>
                <w:szCs w:val="20"/>
              </w:rPr>
              <w:t xml:space="preserve"> </w:t>
            </w:r>
            <w:r>
              <w:rPr>
                <w:rFonts w:ascii="Arial Narrow" w:eastAsia="Times New Roman" w:hAnsi="Arial Narrow"/>
                <w:i/>
                <w:iCs/>
                <w:sz w:val="20"/>
                <w:szCs w:val="20"/>
              </w:rPr>
              <w:t>Initial treatment with subcutaneous form</w:t>
            </w:r>
          </w:p>
        </w:tc>
      </w:tr>
      <w:tr w:rsidR="00A93A3B" w:rsidRPr="007F2BB2" w14:paraId="32BA1B13" w14:textId="77777777" w:rsidTr="00092C71">
        <w:tblPrEx>
          <w:tblCellMar>
            <w:top w:w="15" w:type="dxa"/>
            <w:left w:w="15" w:type="dxa"/>
            <w:bottom w:w="15" w:type="dxa"/>
            <w:right w:w="15" w:type="dxa"/>
          </w:tblCellMar>
          <w:tblLook w:val="04A0" w:firstRow="1" w:lastRow="0" w:firstColumn="1" w:lastColumn="0" w:noHBand="0" w:noVBand="1"/>
        </w:tblPrEx>
        <w:tc>
          <w:tcPr>
            <w:tcW w:w="977" w:type="dxa"/>
            <w:gridSpan w:val="2"/>
            <w:vAlign w:val="center"/>
          </w:tcPr>
          <w:p w14:paraId="16378D20" w14:textId="77777777" w:rsidR="00A93A3B" w:rsidRPr="00120A12" w:rsidRDefault="00A93A3B" w:rsidP="00264EE0">
            <w:pPr>
              <w:jc w:val="center"/>
              <w:rPr>
                <w:rFonts w:ascii="Arial Narrow" w:eastAsia="Times New Roman" w:hAnsi="Arial Narrow"/>
                <w:color w:val="333333"/>
                <w:sz w:val="18"/>
                <w:szCs w:val="18"/>
              </w:rPr>
            </w:pPr>
          </w:p>
        </w:tc>
        <w:tc>
          <w:tcPr>
            <w:tcW w:w="8039" w:type="dxa"/>
            <w:gridSpan w:val="6"/>
            <w:vAlign w:val="center"/>
            <w:hideMark/>
          </w:tcPr>
          <w:p w14:paraId="6C2DC3B6" w14:textId="77777777" w:rsidR="00A93A3B" w:rsidRPr="007F2BB2" w:rsidRDefault="00A93A3B" w:rsidP="00264EE0">
            <w:pPr>
              <w:rPr>
                <w:rFonts w:ascii="Arial Narrow" w:eastAsia="Times New Roman" w:hAnsi="Arial Narrow"/>
                <w:color w:val="FF00FF"/>
                <w:sz w:val="18"/>
                <w:szCs w:val="18"/>
              </w:rPr>
            </w:pPr>
            <w:r>
              <w:rPr>
                <w:rFonts w:ascii="Arial Narrow" w:eastAsia="Times New Roman" w:hAnsi="Arial Narrow"/>
                <w:b/>
                <w:bCs/>
                <w:color w:val="333333"/>
                <w:sz w:val="20"/>
                <w:szCs w:val="20"/>
              </w:rPr>
              <w:t xml:space="preserve">Clinical criteria: </w:t>
            </w:r>
          </w:p>
        </w:tc>
      </w:tr>
      <w:tr w:rsidR="00A93A3B" w:rsidRPr="007F2BB2" w14:paraId="48A2E202" w14:textId="77777777" w:rsidTr="00264EE0">
        <w:tblPrEx>
          <w:tblCellMar>
            <w:top w:w="15" w:type="dxa"/>
            <w:left w:w="15" w:type="dxa"/>
            <w:bottom w:w="15" w:type="dxa"/>
            <w:right w:w="15" w:type="dxa"/>
          </w:tblCellMar>
          <w:tblLook w:val="04A0" w:firstRow="1" w:lastRow="0" w:firstColumn="1" w:lastColumn="0" w:noHBand="0" w:noVBand="1"/>
        </w:tblPrEx>
        <w:tc>
          <w:tcPr>
            <w:tcW w:w="977" w:type="dxa"/>
            <w:gridSpan w:val="2"/>
            <w:vAlign w:val="center"/>
          </w:tcPr>
          <w:p w14:paraId="28AD686B" w14:textId="77777777" w:rsidR="00A93A3B" w:rsidRDefault="00A93A3B" w:rsidP="00264EE0">
            <w:pPr>
              <w:jc w:val="center"/>
              <w:rPr>
                <w:rFonts w:ascii="Arial Narrow" w:eastAsia="Times New Roman" w:hAnsi="Arial Narrow"/>
                <w:color w:val="333333"/>
                <w:sz w:val="20"/>
                <w:szCs w:val="20"/>
              </w:rPr>
            </w:pPr>
          </w:p>
        </w:tc>
        <w:tc>
          <w:tcPr>
            <w:tcW w:w="8039" w:type="dxa"/>
            <w:gridSpan w:val="6"/>
            <w:vAlign w:val="center"/>
          </w:tcPr>
          <w:p w14:paraId="1F8B9369" w14:textId="77777777" w:rsidR="00A93A3B" w:rsidRPr="00730B30" w:rsidRDefault="00A93A3B" w:rsidP="00264EE0">
            <w:pPr>
              <w:rPr>
                <w:rFonts w:ascii="Arial Narrow" w:eastAsia="Times New Roman" w:hAnsi="Arial Narrow"/>
                <w:i/>
                <w:iCs/>
                <w:color w:val="333333"/>
                <w:sz w:val="20"/>
                <w:szCs w:val="20"/>
              </w:rPr>
            </w:pPr>
            <w:r>
              <w:rPr>
                <w:rFonts w:ascii="Arial Narrow" w:eastAsia="Times New Roman" w:hAnsi="Arial Narrow"/>
                <w:i/>
                <w:iCs/>
                <w:color w:val="333333"/>
                <w:sz w:val="20"/>
                <w:szCs w:val="20"/>
              </w:rPr>
              <w:t xml:space="preserve">Patient must have received 3 initial intravenous infusions with this drug for this condition at weeks 0, 4 and 8 under Initial 1 (new patient); or </w:t>
            </w:r>
          </w:p>
        </w:tc>
      </w:tr>
      <w:tr w:rsidR="00A93A3B" w:rsidRPr="007F2BB2" w14:paraId="47644387" w14:textId="77777777" w:rsidTr="00264EE0">
        <w:tblPrEx>
          <w:tblCellMar>
            <w:top w:w="15" w:type="dxa"/>
            <w:left w:w="15" w:type="dxa"/>
            <w:bottom w:w="15" w:type="dxa"/>
            <w:right w:w="15" w:type="dxa"/>
          </w:tblCellMar>
          <w:tblLook w:val="04A0" w:firstRow="1" w:lastRow="0" w:firstColumn="1" w:lastColumn="0" w:noHBand="0" w:noVBand="1"/>
        </w:tblPrEx>
        <w:tc>
          <w:tcPr>
            <w:tcW w:w="977" w:type="dxa"/>
            <w:gridSpan w:val="2"/>
            <w:vAlign w:val="center"/>
          </w:tcPr>
          <w:p w14:paraId="2BC54FC7" w14:textId="77777777" w:rsidR="00A93A3B" w:rsidRDefault="00A93A3B" w:rsidP="00264EE0">
            <w:pPr>
              <w:jc w:val="center"/>
              <w:rPr>
                <w:rFonts w:ascii="Arial Narrow" w:eastAsia="Times New Roman" w:hAnsi="Arial Narrow"/>
                <w:color w:val="333333"/>
                <w:sz w:val="20"/>
                <w:szCs w:val="20"/>
              </w:rPr>
            </w:pPr>
          </w:p>
        </w:tc>
        <w:tc>
          <w:tcPr>
            <w:tcW w:w="8039" w:type="dxa"/>
            <w:gridSpan w:val="6"/>
            <w:vAlign w:val="center"/>
          </w:tcPr>
          <w:p w14:paraId="4B925218" w14:textId="77777777" w:rsidR="00A93A3B" w:rsidRDefault="00A93A3B" w:rsidP="00264EE0">
            <w:pPr>
              <w:rPr>
                <w:rFonts w:ascii="Arial Narrow" w:eastAsia="Times New Roman" w:hAnsi="Arial Narrow"/>
                <w:i/>
                <w:iCs/>
                <w:color w:val="333333"/>
                <w:sz w:val="20"/>
                <w:szCs w:val="20"/>
              </w:rPr>
            </w:pPr>
            <w:r>
              <w:rPr>
                <w:rFonts w:ascii="Arial Narrow" w:eastAsia="Times New Roman" w:hAnsi="Arial Narrow"/>
                <w:i/>
                <w:iCs/>
                <w:color w:val="333333"/>
                <w:sz w:val="20"/>
                <w:szCs w:val="20"/>
              </w:rPr>
              <w:t>Patient must have received 3 initial intravenous infusions with this drug for this condition at weeks 0, 4 and 8 under Initial 2 (change or recommencement of treatment after a break in biological medicine of less than 5 years); OR</w:t>
            </w:r>
          </w:p>
        </w:tc>
      </w:tr>
      <w:tr w:rsidR="00A93A3B" w:rsidRPr="007F2BB2" w14:paraId="5B084566" w14:textId="77777777" w:rsidTr="00264EE0">
        <w:tblPrEx>
          <w:tblCellMar>
            <w:top w:w="15" w:type="dxa"/>
            <w:left w:w="15" w:type="dxa"/>
            <w:bottom w:w="15" w:type="dxa"/>
            <w:right w:w="15" w:type="dxa"/>
          </w:tblCellMar>
          <w:tblLook w:val="04A0" w:firstRow="1" w:lastRow="0" w:firstColumn="1" w:lastColumn="0" w:noHBand="0" w:noVBand="1"/>
        </w:tblPrEx>
        <w:tc>
          <w:tcPr>
            <w:tcW w:w="977" w:type="dxa"/>
            <w:gridSpan w:val="2"/>
            <w:vAlign w:val="center"/>
          </w:tcPr>
          <w:p w14:paraId="6C7F5F97" w14:textId="77777777" w:rsidR="00A93A3B" w:rsidRDefault="00A93A3B" w:rsidP="00264EE0">
            <w:pPr>
              <w:jc w:val="center"/>
              <w:rPr>
                <w:rFonts w:ascii="Arial Narrow" w:eastAsia="Times New Roman" w:hAnsi="Arial Narrow"/>
                <w:color w:val="333333"/>
                <w:sz w:val="20"/>
                <w:szCs w:val="20"/>
              </w:rPr>
            </w:pPr>
          </w:p>
        </w:tc>
        <w:tc>
          <w:tcPr>
            <w:tcW w:w="8039" w:type="dxa"/>
            <w:gridSpan w:val="6"/>
            <w:vAlign w:val="center"/>
          </w:tcPr>
          <w:p w14:paraId="6D8323FB" w14:textId="77777777" w:rsidR="00A93A3B" w:rsidRDefault="00A93A3B" w:rsidP="00264EE0">
            <w:pPr>
              <w:rPr>
                <w:rFonts w:ascii="Arial Narrow" w:eastAsia="Times New Roman" w:hAnsi="Arial Narrow"/>
                <w:i/>
                <w:iCs/>
                <w:color w:val="333333"/>
                <w:sz w:val="20"/>
                <w:szCs w:val="20"/>
              </w:rPr>
            </w:pPr>
            <w:r>
              <w:rPr>
                <w:rFonts w:ascii="Arial Narrow" w:eastAsia="Times New Roman" w:hAnsi="Arial Narrow"/>
                <w:i/>
                <w:iCs/>
                <w:color w:val="333333"/>
                <w:sz w:val="20"/>
                <w:szCs w:val="20"/>
              </w:rPr>
              <w:t>Patient must have received 3 initial intravenous infusions with this drug for this condition at weeks 0, 4 and 8 under Initial 3 (recommencement of treatment after a break in biological medicine of more than 5 years); OR</w:t>
            </w:r>
          </w:p>
        </w:tc>
      </w:tr>
      <w:tr w:rsidR="00A93A3B" w:rsidRPr="007F2BB2" w14:paraId="2B84FADF" w14:textId="77777777" w:rsidTr="00264EE0">
        <w:tblPrEx>
          <w:tblCellMar>
            <w:top w:w="15" w:type="dxa"/>
            <w:left w:w="15" w:type="dxa"/>
            <w:bottom w:w="15" w:type="dxa"/>
            <w:right w:w="15" w:type="dxa"/>
          </w:tblCellMar>
          <w:tblLook w:val="04A0" w:firstRow="1" w:lastRow="0" w:firstColumn="1" w:lastColumn="0" w:noHBand="0" w:noVBand="1"/>
        </w:tblPrEx>
        <w:tc>
          <w:tcPr>
            <w:tcW w:w="977" w:type="dxa"/>
            <w:gridSpan w:val="2"/>
            <w:vAlign w:val="center"/>
          </w:tcPr>
          <w:p w14:paraId="675B4593" w14:textId="77777777" w:rsidR="00A93A3B" w:rsidRDefault="00A93A3B" w:rsidP="00264EE0">
            <w:pPr>
              <w:jc w:val="center"/>
              <w:rPr>
                <w:rFonts w:ascii="Arial Narrow" w:eastAsia="Times New Roman" w:hAnsi="Arial Narrow"/>
                <w:color w:val="333333"/>
                <w:sz w:val="20"/>
                <w:szCs w:val="20"/>
              </w:rPr>
            </w:pPr>
          </w:p>
        </w:tc>
        <w:tc>
          <w:tcPr>
            <w:tcW w:w="8039" w:type="dxa"/>
            <w:gridSpan w:val="6"/>
            <w:vAlign w:val="center"/>
          </w:tcPr>
          <w:p w14:paraId="33890B58" w14:textId="77777777" w:rsidR="00A93A3B" w:rsidRDefault="00A93A3B" w:rsidP="00264EE0">
            <w:pPr>
              <w:rPr>
                <w:rFonts w:ascii="Arial Narrow" w:eastAsia="Times New Roman" w:hAnsi="Arial Narrow"/>
                <w:i/>
                <w:iCs/>
                <w:color w:val="333333"/>
                <w:sz w:val="20"/>
                <w:szCs w:val="20"/>
              </w:rPr>
            </w:pPr>
            <w:r>
              <w:rPr>
                <w:rFonts w:ascii="Arial Narrow" w:eastAsia="Times New Roman" w:hAnsi="Arial Narrow"/>
                <w:i/>
                <w:iCs/>
                <w:color w:val="333333"/>
                <w:sz w:val="20"/>
                <w:szCs w:val="20"/>
              </w:rPr>
              <w:t xml:space="preserve">Patient must have a concurrent authority application for the intravenous infusion for this condition under either Initial 1 (new patient), Initial 2 (change or recommencement of treatment after a break in biological medicine of less than 5 years) or Initial 3 (recommencement of treatment after a break in biological medicine of more than 5 years). </w:t>
            </w:r>
          </w:p>
        </w:tc>
      </w:tr>
      <w:tr w:rsidR="00A93A3B" w:rsidRPr="007F2BB2" w14:paraId="2FD2D9EE" w14:textId="77777777" w:rsidTr="00264EE0">
        <w:tblPrEx>
          <w:tblCellMar>
            <w:top w:w="15" w:type="dxa"/>
            <w:left w:w="15" w:type="dxa"/>
            <w:bottom w:w="15" w:type="dxa"/>
            <w:right w:w="15" w:type="dxa"/>
          </w:tblCellMar>
          <w:tblLook w:val="04A0" w:firstRow="1" w:lastRow="0" w:firstColumn="1" w:lastColumn="0" w:noHBand="0" w:noVBand="1"/>
        </w:tblPrEx>
        <w:tc>
          <w:tcPr>
            <w:tcW w:w="977" w:type="dxa"/>
            <w:gridSpan w:val="2"/>
            <w:vAlign w:val="center"/>
          </w:tcPr>
          <w:p w14:paraId="279916ED" w14:textId="77777777" w:rsidR="00A93A3B" w:rsidRDefault="00A93A3B" w:rsidP="00264EE0">
            <w:pPr>
              <w:jc w:val="center"/>
              <w:rPr>
                <w:rFonts w:ascii="Arial Narrow" w:eastAsia="Times New Roman" w:hAnsi="Arial Narrow"/>
                <w:color w:val="333333"/>
                <w:sz w:val="20"/>
                <w:szCs w:val="20"/>
              </w:rPr>
            </w:pPr>
          </w:p>
        </w:tc>
        <w:tc>
          <w:tcPr>
            <w:tcW w:w="8039" w:type="dxa"/>
            <w:gridSpan w:val="6"/>
            <w:vAlign w:val="center"/>
          </w:tcPr>
          <w:p w14:paraId="37115ABD" w14:textId="77777777" w:rsidR="00A93A3B" w:rsidRDefault="00A93A3B" w:rsidP="00264EE0">
            <w:pPr>
              <w:rPr>
                <w:rFonts w:ascii="Arial Narrow" w:eastAsia="Times New Roman" w:hAnsi="Arial Narrow"/>
                <w:i/>
                <w:iCs/>
                <w:color w:val="333333"/>
                <w:sz w:val="20"/>
                <w:szCs w:val="20"/>
              </w:rPr>
            </w:pPr>
            <w:r w:rsidRPr="000570D4">
              <w:rPr>
                <w:rFonts w:ascii="Arial Narrow" w:eastAsia="Times New Roman" w:hAnsi="Arial Narrow"/>
                <w:b/>
                <w:bCs/>
                <w:sz w:val="20"/>
                <w:szCs w:val="20"/>
              </w:rPr>
              <w:t>AND</w:t>
            </w:r>
          </w:p>
        </w:tc>
      </w:tr>
      <w:tr w:rsidR="00A93A3B" w:rsidRPr="007F2BB2" w14:paraId="1D7077BC" w14:textId="77777777" w:rsidTr="00264EE0">
        <w:tblPrEx>
          <w:tblCellMar>
            <w:top w:w="15" w:type="dxa"/>
            <w:left w:w="15" w:type="dxa"/>
            <w:bottom w:w="15" w:type="dxa"/>
            <w:right w:w="15" w:type="dxa"/>
          </w:tblCellMar>
          <w:tblLook w:val="04A0" w:firstRow="1" w:lastRow="0" w:firstColumn="1" w:lastColumn="0" w:noHBand="0" w:noVBand="1"/>
        </w:tblPrEx>
        <w:tc>
          <w:tcPr>
            <w:tcW w:w="977" w:type="dxa"/>
            <w:gridSpan w:val="2"/>
            <w:vAlign w:val="center"/>
          </w:tcPr>
          <w:p w14:paraId="46FF4E10" w14:textId="77777777" w:rsidR="00A93A3B" w:rsidRDefault="00A93A3B" w:rsidP="00264EE0">
            <w:pPr>
              <w:jc w:val="center"/>
              <w:rPr>
                <w:rFonts w:ascii="Arial Narrow" w:eastAsia="Times New Roman" w:hAnsi="Arial Narrow"/>
                <w:color w:val="333333"/>
                <w:sz w:val="20"/>
                <w:szCs w:val="20"/>
              </w:rPr>
            </w:pPr>
          </w:p>
        </w:tc>
        <w:tc>
          <w:tcPr>
            <w:tcW w:w="8039" w:type="dxa"/>
            <w:gridSpan w:val="6"/>
            <w:vAlign w:val="center"/>
          </w:tcPr>
          <w:p w14:paraId="4B62840B" w14:textId="77777777" w:rsidR="00A93A3B" w:rsidRDefault="00A93A3B" w:rsidP="00264EE0">
            <w:pPr>
              <w:rPr>
                <w:rFonts w:ascii="Arial Narrow" w:eastAsia="Times New Roman" w:hAnsi="Arial Narrow"/>
                <w:i/>
                <w:iCs/>
                <w:color w:val="333333"/>
                <w:sz w:val="20"/>
                <w:szCs w:val="20"/>
              </w:rPr>
            </w:pPr>
            <w:r w:rsidRPr="000570D4">
              <w:rPr>
                <w:rFonts w:ascii="Arial Narrow" w:eastAsia="Times New Roman" w:hAnsi="Arial Narrow"/>
                <w:b/>
                <w:bCs/>
                <w:color w:val="333333"/>
                <w:sz w:val="20"/>
                <w:szCs w:val="20"/>
              </w:rPr>
              <w:t>Clinical criteria:</w:t>
            </w:r>
          </w:p>
        </w:tc>
      </w:tr>
      <w:tr w:rsidR="00A93A3B" w:rsidRPr="007F2BB2" w14:paraId="70C0F965" w14:textId="77777777" w:rsidTr="00264EE0">
        <w:tblPrEx>
          <w:tblCellMar>
            <w:top w:w="15" w:type="dxa"/>
            <w:left w:w="15" w:type="dxa"/>
            <w:bottom w:w="15" w:type="dxa"/>
            <w:right w:w="15" w:type="dxa"/>
          </w:tblCellMar>
          <w:tblLook w:val="04A0" w:firstRow="1" w:lastRow="0" w:firstColumn="1" w:lastColumn="0" w:noHBand="0" w:noVBand="1"/>
        </w:tblPrEx>
        <w:tc>
          <w:tcPr>
            <w:tcW w:w="977" w:type="dxa"/>
            <w:gridSpan w:val="2"/>
            <w:vAlign w:val="center"/>
          </w:tcPr>
          <w:p w14:paraId="7EAE23B0" w14:textId="77777777" w:rsidR="00A93A3B" w:rsidRDefault="00A93A3B" w:rsidP="00264EE0">
            <w:pPr>
              <w:jc w:val="center"/>
              <w:rPr>
                <w:rFonts w:ascii="Arial Narrow" w:eastAsia="Times New Roman" w:hAnsi="Arial Narrow"/>
                <w:color w:val="333333"/>
                <w:sz w:val="20"/>
                <w:szCs w:val="20"/>
              </w:rPr>
            </w:pPr>
          </w:p>
        </w:tc>
        <w:tc>
          <w:tcPr>
            <w:tcW w:w="8039" w:type="dxa"/>
            <w:gridSpan w:val="6"/>
            <w:vAlign w:val="center"/>
          </w:tcPr>
          <w:p w14:paraId="799C0035" w14:textId="77777777" w:rsidR="00A93A3B" w:rsidRDefault="00A93A3B" w:rsidP="00264EE0">
            <w:pPr>
              <w:rPr>
                <w:rFonts w:ascii="Arial Narrow" w:eastAsia="Times New Roman" w:hAnsi="Arial Narrow"/>
                <w:i/>
                <w:iCs/>
                <w:color w:val="333333"/>
                <w:sz w:val="20"/>
                <w:szCs w:val="20"/>
              </w:rPr>
            </w:pPr>
            <w:r w:rsidRPr="000570D4">
              <w:rPr>
                <w:rFonts w:ascii="Arial Narrow" w:eastAsia="Times New Roman" w:hAnsi="Arial Narrow"/>
                <w:i/>
                <w:iCs/>
                <w:sz w:val="20"/>
                <w:szCs w:val="20"/>
              </w:rPr>
              <w:t>The treatment must not exceed a total of 1 dose to be administered at week 12.</w:t>
            </w:r>
          </w:p>
        </w:tc>
      </w:tr>
      <w:tr w:rsidR="00A93A3B" w14:paraId="11E6DA25" w14:textId="77777777" w:rsidTr="00264EE0">
        <w:tblPrEx>
          <w:tblCellMar>
            <w:top w:w="15" w:type="dxa"/>
            <w:left w:w="15" w:type="dxa"/>
            <w:bottom w:w="15" w:type="dxa"/>
            <w:right w:w="15" w:type="dxa"/>
          </w:tblCellMar>
          <w:tblLook w:val="04A0" w:firstRow="1" w:lastRow="0" w:firstColumn="1" w:lastColumn="0" w:noHBand="0" w:noVBand="1"/>
        </w:tblPrEx>
        <w:tc>
          <w:tcPr>
            <w:tcW w:w="977" w:type="dxa"/>
            <w:gridSpan w:val="2"/>
            <w:vAlign w:val="center"/>
          </w:tcPr>
          <w:p w14:paraId="362C998B" w14:textId="3552E90D" w:rsidR="00A93A3B" w:rsidRDefault="00A93A3B" w:rsidP="00264EE0">
            <w:pPr>
              <w:jc w:val="center"/>
              <w:rPr>
                <w:rFonts w:ascii="Arial Narrow" w:eastAsia="Times New Roman" w:hAnsi="Arial Narrow"/>
                <w:color w:val="333333"/>
                <w:sz w:val="18"/>
                <w:szCs w:val="18"/>
              </w:rPr>
            </w:pPr>
          </w:p>
        </w:tc>
        <w:tc>
          <w:tcPr>
            <w:tcW w:w="8039" w:type="dxa"/>
            <w:gridSpan w:val="6"/>
            <w:vAlign w:val="center"/>
          </w:tcPr>
          <w:p w14:paraId="680B3B17" w14:textId="77777777" w:rsidR="00A93A3B" w:rsidRDefault="00A93A3B" w:rsidP="00264EE0">
            <w:pPr>
              <w:rPr>
                <w:rFonts w:ascii="Arial Narrow" w:eastAsia="Times New Roman" w:hAnsi="Arial Narrow"/>
                <w:b/>
                <w:bCs/>
                <w:color w:val="333333"/>
                <w:sz w:val="18"/>
                <w:szCs w:val="18"/>
              </w:rPr>
            </w:pPr>
            <w:r w:rsidRPr="004D70A1">
              <w:rPr>
                <w:rFonts w:ascii="Arial Narrow" w:hAnsi="Arial Narrow"/>
                <w:b/>
                <w:sz w:val="20"/>
              </w:rPr>
              <w:t>Treatment criteria:</w:t>
            </w:r>
          </w:p>
        </w:tc>
      </w:tr>
      <w:tr w:rsidR="00A93A3B" w:rsidRPr="00120A12" w14:paraId="66415751" w14:textId="77777777" w:rsidTr="00264EE0">
        <w:tblPrEx>
          <w:tblCellMar>
            <w:top w:w="15" w:type="dxa"/>
            <w:left w:w="15" w:type="dxa"/>
            <w:bottom w:w="15" w:type="dxa"/>
            <w:right w:w="15" w:type="dxa"/>
          </w:tblCellMar>
          <w:tblLook w:val="04A0" w:firstRow="1" w:lastRow="0" w:firstColumn="1" w:lastColumn="0" w:noHBand="0" w:noVBand="1"/>
        </w:tblPrEx>
        <w:tc>
          <w:tcPr>
            <w:tcW w:w="977" w:type="dxa"/>
            <w:gridSpan w:val="2"/>
            <w:vAlign w:val="center"/>
          </w:tcPr>
          <w:p w14:paraId="604B696C" w14:textId="48C3644D" w:rsidR="00A93A3B" w:rsidRPr="00120A12" w:rsidRDefault="00A93A3B" w:rsidP="00264EE0">
            <w:pPr>
              <w:jc w:val="center"/>
              <w:rPr>
                <w:rFonts w:ascii="Arial Narrow" w:eastAsia="Times New Roman" w:hAnsi="Arial Narrow"/>
                <w:color w:val="333333"/>
                <w:sz w:val="18"/>
                <w:szCs w:val="18"/>
              </w:rPr>
            </w:pPr>
          </w:p>
        </w:tc>
        <w:tc>
          <w:tcPr>
            <w:tcW w:w="8039" w:type="dxa"/>
            <w:gridSpan w:val="6"/>
            <w:vAlign w:val="center"/>
            <w:hideMark/>
          </w:tcPr>
          <w:p w14:paraId="481845FA" w14:textId="77777777" w:rsidR="00A93A3B" w:rsidRPr="00120A12" w:rsidRDefault="00A93A3B" w:rsidP="00264EE0">
            <w:pPr>
              <w:rPr>
                <w:rFonts w:ascii="Arial Narrow" w:eastAsia="Times New Roman" w:hAnsi="Arial Narrow"/>
                <w:color w:val="333333"/>
                <w:sz w:val="18"/>
                <w:szCs w:val="18"/>
              </w:rPr>
            </w:pPr>
            <w:r w:rsidRPr="004D70A1">
              <w:rPr>
                <w:rFonts w:ascii="Arial Narrow" w:eastAsia="Times New Roman" w:hAnsi="Arial Narrow"/>
                <w:bCs/>
                <w:color w:val="333333"/>
                <w:sz w:val="20"/>
                <w:szCs w:val="20"/>
              </w:rPr>
              <w:t>Must be treated by a gastroenterologist (code 87); or</w:t>
            </w:r>
          </w:p>
        </w:tc>
      </w:tr>
      <w:tr w:rsidR="00A93A3B" w:rsidRPr="00120A12" w14:paraId="0CE7EFFF" w14:textId="77777777" w:rsidTr="00092C71">
        <w:tblPrEx>
          <w:tblCellMar>
            <w:top w:w="15" w:type="dxa"/>
            <w:left w:w="15" w:type="dxa"/>
            <w:bottom w:w="15" w:type="dxa"/>
            <w:right w:w="15" w:type="dxa"/>
          </w:tblCellMar>
          <w:tblLook w:val="04A0" w:firstRow="1" w:lastRow="0" w:firstColumn="1" w:lastColumn="0" w:noHBand="0" w:noVBand="1"/>
        </w:tblPrEx>
        <w:tc>
          <w:tcPr>
            <w:tcW w:w="977" w:type="dxa"/>
            <w:gridSpan w:val="2"/>
            <w:vAlign w:val="center"/>
          </w:tcPr>
          <w:p w14:paraId="73BFB3E9" w14:textId="0AEBA9E1" w:rsidR="00A93A3B" w:rsidRPr="00120A12" w:rsidRDefault="00A93A3B" w:rsidP="00264EE0">
            <w:pPr>
              <w:jc w:val="center"/>
              <w:rPr>
                <w:rFonts w:ascii="Arial Narrow" w:eastAsia="Times New Roman" w:hAnsi="Arial Narrow"/>
                <w:color w:val="333333"/>
                <w:sz w:val="18"/>
                <w:szCs w:val="18"/>
              </w:rPr>
            </w:pPr>
          </w:p>
        </w:tc>
        <w:tc>
          <w:tcPr>
            <w:tcW w:w="8039" w:type="dxa"/>
            <w:gridSpan w:val="6"/>
            <w:vAlign w:val="center"/>
            <w:hideMark/>
          </w:tcPr>
          <w:p w14:paraId="1C65EAA8" w14:textId="77777777" w:rsidR="00A93A3B" w:rsidRPr="00120A12" w:rsidRDefault="00A93A3B" w:rsidP="00264EE0">
            <w:pPr>
              <w:rPr>
                <w:rFonts w:ascii="Arial Narrow" w:eastAsia="Times New Roman" w:hAnsi="Arial Narrow"/>
                <w:color w:val="333333"/>
                <w:sz w:val="18"/>
                <w:szCs w:val="18"/>
              </w:rPr>
            </w:pPr>
            <w:r w:rsidRPr="004D70A1">
              <w:rPr>
                <w:rFonts w:ascii="Arial Narrow" w:eastAsia="Times New Roman" w:hAnsi="Arial Narrow"/>
                <w:bCs/>
                <w:color w:val="333333"/>
                <w:sz w:val="20"/>
                <w:szCs w:val="20"/>
              </w:rPr>
              <w:t>Must be treated by a consultant physician [internal medicine specialising in gastroenterology (code 81)]; or</w:t>
            </w:r>
          </w:p>
        </w:tc>
      </w:tr>
      <w:tr w:rsidR="00A93A3B" w14:paraId="601DF740" w14:textId="77777777" w:rsidTr="00264EE0">
        <w:tblPrEx>
          <w:tblCellMar>
            <w:top w:w="15" w:type="dxa"/>
            <w:left w:w="15" w:type="dxa"/>
            <w:bottom w:w="15" w:type="dxa"/>
            <w:right w:w="15" w:type="dxa"/>
          </w:tblCellMar>
          <w:tblLook w:val="04A0" w:firstRow="1" w:lastRow="0" w:firstColumn="1" w:lastColumn="0" w:noHBand="0" w:noVBand="1"/>
        </w:tblPrEx>
        <w:tc>
          <w:tcPr>
            <w:tcW w:w="977" w:type="dxa"/>
            <w:gridSpan w:val="2"/>
            <w:vAlign w:val="center"/>
          </w:tcPr>
          <w:p w14:paraId="38EECF9F" w14:textId="0DE0D04B" w:rsidR="00A93A3B" w:rsidRDefault="00A93A3B" w:rsidP="00264EE0">
            <w:pPr>
              <w:jc w:val="center"/>
              <w:rPr>
                <w:rFonts w:ascii="Arial Narrow" w:eastAsia="Times New Roman" w:hAnsi="Arial Narrow"/>
                <w:color w:val="333333"/>
                <w:sz w:val="18"/>
                <w:szCs w:val="18"/>
              </w:rPr>
            </w:pPr>
          </w:p>
        </w:tc>
        <w:tc>
          <w:tcPr>
            <w:tcW w:w="8039" w:type="dxa"/>
            <w:gridSpan w:val="6"/>
            <w:vAlign w:val="center"/>
          </w:tcPr>
          <w:p w14:paraId="3C9FD344" w14:textId="77777777" w:rsidR="00A93A3B" w:rsidRPr="004D70A1" w:rsidRDefault="00A93A3B" w:rsidP="00264EE0">
            <w:pPr>
              <w:rPr>
                <w:rFonts w:ascii="Arial Narrow" w:eastAsia="Times New Roman" w:hAnsi="Arial Narrow"/>
                <w:bCs/>
                <w:color w:val="333333"/>
                <w:sz w:val="20"/>
                <w:szCs w:val="20"/>
              </w:rPr>
            </w:pPr>
            <w:r w:rsidRPr="004D70A1">
              <w:rPr>
                <w:rFonts w:ascii="Arial Narrow" w:eastAsia="Times New Roman" w:hAnsi="Arial Narrow"/>
                <w:bCs/>
                <w:color w:val="333333"/>
                <w:sz w:val="20"/>
                <w:szCs w:val="20"/>
              </w:rPr>
              <w:t>Must be treated by a consultant physician [general medicine specialising in gastroenterology (code 82)]</w:t>
            </w:r>
          </w:p>
          <w:p w14:paraId="5A789CA3" w14:textId="77777777" w:rsidR="00A93A3B" w:rsidRDefault="00A93A3B" w:rsidP="00264EE0">
            <w:pPr>
              <w:rPr>
                <w:rFonts w:ascii="Arial Narrow" w:eastAsia="Times New Roman" w:hAnsi="Arial Narrow"/>
                <w:color w:val="333333"/>
                <w:sz w:val="18"/>
                <w:szCs w:val="18"/>
              </w:rPr>
            </w:pPr>
          </w:p>
        </w:tc>
      </w:tr>
      <w:tr w:rsidR="00A93A3B" w14:paraId="51E1764D" w14:textId="77777777" w:rsidTr="00264EE0">
        <w:tblPrEx>
          <w:tblCellMar>
            <w:top w:w="15" w:type="dxa"/>
            <w:left w:w="15" w:type="dxa"/>
            <w:bottom w:w="15" w:type="dxa"/>
            <w:right w:w="15" w:type="dxa"/>
          </w:tblCellMar>
          <w:tblLook w:val="04A0" w:firstRow="1" w:lastRow="0" w:firstColumn="1" w:lastColumn="0" w:noHBand="0" w:noVBand="1"/>
        </w:tblPrEx>
        <w:tc>
          <w:tcPr>
            <w:tcW w:w="977" w:type="dxa"/>
            <w:gridSpan w:val="2"/>
            <w:vAlign w:val="center"/>
          </w:tcPr>
          <w:p w14:paraId="78A32A83" w14:textId="04A37F87" w:rsidR="00A93A3B" w:rsidRDefault="00A93A3B" w:rsidP="00264EE0">
            <w:pPr>
              <w:jc w:val="center"/>
              <w:rPr>
                <w:rFonts w:ascii="Arial Narrow" w:eastAsia="Times New Roman" w:hAnsi="Arial Narrow"/>
                <w:color w:val="333333"/>
                <w:sz w:val="20"/>
                <w:szCs w:val="20"/>
              </w:rPr>
            </w:pPr>
          </w:p>
        </w:tc>
        <w:tc>
          <w:tcPr>
            <w:tcW w:w="8039" w:type="dxa"/>
            <w:gridSpan w:val="6"/>
            <w:vAlign w:val="center"/>
          </w:tcPr>
          <w:p w14:paraId="26A2E2BF" w14:textId="77777777" w:rsidR="00A93A3B" w:rsidRPr="004D70A1" w:rsidRDefault="00A93A3B" w:rsidP="00264EE0">
            <w:pPr>
              <w:rPr>
                <w:rFonts w:ascii="Arial Narrow" w:eastAsia="Times New Roman" w:hAnsi="Arial Narrow"/>
                <w:bCs/>
                <w:color w:val="333333"/>
                <w:sz w:val="20"/>
                <w:szCs w:val="20"/>
              </w:rPr>
            </w:pPr>
            <w:r w:rsidRPr="001428E9">
              <w:rPr>
                <w:rFonts w:ascii="Arial Narrow" w:eastAsia="Times New Roman" w:hAnsi="Arial Narrow"/>
                <w:b/>
                <w:bCs/>
                <w:color w:val="333333"/>
                <w:sz w:val="20"/>
                <w:szCs w:val="20"/>
              </w:rPr>
              <w:t>Population criteria:</w:t>
            </w:r>
          </w:p>
        </w:tc>
      </w:tr>
      <w:tr w:rsidR="00A93A3B" w14:paraId="42577D77" w14:textId="77777777" w:rsidTr="00264EE0">
        <w:tblPrEx>
          <w:tblCellMar>
            <w:top w:w="15" w:type="dxa"/>
            <w:left w:w="15" w:type="dxa"/>
            <w:bottom w:w="15" w:type="dxa"/>
            <w:right w:w="15" w:type="dxa"/>
          </w:tblCellMar>
          <w:tblLook w:val="04A0" w:firstRow="1" w:lastRow="0" w:firstColumn="1" w:lastColumn="0" w:noHBand="0" w:noVBand="1"/>
        </w:tblPrEx>
        <w:tc>
          <w:tcPr>
            <w:tcW w:w="977" w:type="dxa"/>
            <w:gridSpan w:val="2"/>
            <w:vAlign w:val="center"/>
          </w:tcPr>
          <w:p w14:paraId="51845BA9" w14:textId="0F600CF4" w:rsidR="00A93A3B" w:rsidRDefault="00A93A3B" w:rsidP="00264EE0">
            <w:pPr>
              <w:jc w:val="center"/>
              <w:rPr>
                <w:rFonts w:ascii="Arial Narrow" w:eastAsia="Times New Roman" w:hAnsi="Arial Narrow"/>
                <w:color w:val="333333"/>
                <w:sz w:val="20"/>
                <w:szCs w:val="20"/>
              </w:rPr>
            </w:pPr>
          </w:p>
        </w:tc>
        <w:tc>
          <w:tcPr>
            <w:tcW w:w="8039" w:type="dxa"/>
            <w:gridSpan w:val="6"/>
            <w:vAlign w:val="center"/>
          </w:tcPr>
          <w:p w14:paraId="5DBD4D9E" w14:textId="77777777" w:rsidR="00A93A3B" w:rsidRPr="004D70A1" w:rsidRDefault="00A93A3B" w:rsidP="00264EE0">
            <w:pPr>
              <w:rPr>
                <w:rFonts w:ascii="Arial Narrow" w:eastAsia="Times New Roman" w:hAnsi="Arial Narrow"/>
                <w:bCs/>
                <w:color w:val="333333"/>
                <w:sz w:val="20"/>
                <w:szCs w:val="20"/>
              </w:rPr>
            </w:pPr>
            <w:r w:rsidRPr="007E3DAB">
              <w:rPr>
                <w:rFonts w:ascii="Arial Narrow" w:hAnsi="Arial Narrow"/>
                <w:sz w:val="20"/>
              </w:rPr>
              <w:t>Patient must be aged 18 years or older</w:t>
            </w:r>
          </w:p>
        </w:tc>
      </w:tr>
      <w:tr w:rsidR="00A93A3B" w14:paraId="1251CD4B" w14:textId="77777777" w:rsidTr="00264EE0">
        <w:tblPrEx>
          <w:tblCellMar>
            <w:top w:w="15" w:type="dxa"/>
            <w:left w:w="15" w:type="dxa"/>
            <w:bottom w:w="15" w:type="dxa"/>
            <w:right w:w="15" w:type="dxa"/>
          </w:tblCellMar>
          <w:tblLook w:val="04A0" w:firstRow="1" w:lastRow="0" w:firstColumn="1" w:lastColumn="0" w:noHBand="0" w:noVBand="1"/>
        </w:tblPrEx>
        <w:tc>
          <w:tcPr>
            <w:tcW w:w="977" w:type="dxa"/>
            <w:gridSpan w:val="2"/>
            <w:vAlign w:val="center"/>
          </w:tcPr>
          <w:p w14:paraId="31751A9E" w14:textId="77777777" w:rsidR="00A93A3B" w:rsidRDefault="00A93A3B" w:rsidP="00264EE0">
            <w:pPr>
              <w:jc w:val="center"/>
              <w:rPr>
                <w:rFonts w:ascii="Arial Narrow" w:eastAsia="Times New Roman" w:hAnsi="Arial Narrow"/>
                <w:color w:val="333333"/>
                <w:sz w:val="18"/>
                <w:szCs w:val="18"/>
              </w:rPr>
            </w:pPr>
          </w:p>
        </w:tc>
        <w:tc>
          <w:tcPr>
            <w:tcW w:w="8039" w:type="dxa"/>
            <w:gridSpan w:val="6"/>
            <w:vAlign w:val="center"/>
          </w:tcPr>
          <w:p w14:paraId="748AF7D0" w14:textId="77777777" w:rsidR="00A93A3B" w:rsidRDefault="00A93A3B" w:rsidP="00264EE0">
            <w:pPr>
              <w:rPr>
                <w:rFonts w:ascii="Arial Narrow" w:eastAsia="Times New Roman" w:hAnsi="Arial Narrow"/>
                <w:color w:val="333333"/>
                <w:sz w:val="18"/>
                <w:szCs w:val="18"/>
              </w:rPr>
            </w:pPr>
            <w:r w:rsidRPr="007E3DAB">
              <w:rPr>
                <w:rFonts w:ascii="Arial Narrow" w:eastAsia="Times New Roman" w:hAnsi="Arial Narrow"/>
                <w:b/>
                <w:color w:val="333333"/>
                <w:sz w:val="20"/>
                <w:szCs w:val="20"/>
              </w:rPr>
              <w:t xml:space="preserve">Prescriber Instructions </w:t>
            </w:r>
          </w:p>
        </w:tc>
      </w:tr>
      <w:tr w:rsidR="00A93A3B" w14:paraId="1E87C261" w14:textId="77777777" w:rsidTr="00264EE0">
        <w:tblPrEx>
          <w:tblCellMar>
            <w:top w:w="15" w:type="dxa"/>
            <w:left w:w="15" w:type="dxa"/>
            <w:bottom w:w="15" w:type="dxa"/>
            <w:right w:w="15" w:type="dxa"/>
          </w:tblCellMar>
          <w:tblLook w:val="04A0" w:firstRow="1" w:lastRow="0" w:firstColumn="1" w:lastColumn="0" w:noHBand="0" w:noVBand="1"/>
        </w:tblPrEx>
        <w:tc>
          <w:tcPr>
            <w:tcW w:w="977" w:type="dxa"/>
            <w:gridSpan w:val="2"/>
            <w:vAlign w:val="center"/>
          </w:tcPr>
          <w:p w14:paraId="673D6AEB" w14:textId="72DD94E0" w:rsidR="00A93A3B" w:rsidRDefault="00A93A3B" w:rsidP="00264EE0">
            <w:pPr>
              <w:jc w:val="center"/>
              <w:rPr>
                <w:rFonts w:ascii="Arial Narrow" w:eastAsia="Times New Roman" w:hAnsi="Arial Narrow"/>
                <w:color w:val="333333"/>
                <w:sz w:val="18"/>
                <w:szCs w:val="18"/>
              </w:rPr>
            </w:pPr>
          </w:p>
        </w:tc>
        <w:tc>
          <w:tcPr>
            <w:tcW w:w="8039" w:type="dxa"/>
            <w:gridSpan w:val="6"/>
            <w:vAlign w:val="center"/>
          </w:tcPr>
          <w:p w14:paraId="3A3BADCF" w14:textId="77777777" w:rsidR="00A93A3B" w:rsidRDefault="00A93A3B" w:rsidP="00264EE0">
            <w:pPr>
              <w:rPr>
                <w:rFonts w:ascii="Arial Narrow" w:eastAsia="Times New Roman" w:hAnsi="Arial Narrow"/>
                <w:color w:val="333333"/>
                <w:sz w:val="18"/>
                <w:szCs w:val="18"/>
              </w:rPr>
            </w:pPr>
            <w:r>
              <w:rPr>
                <w:rFonts w:ascii="Arial Narrow" w:eastAsia="Times New Roman" w:hAnsi="Arial Narrow"/>
                <w:bCs/>
                <w:color w:val="333333"/>
                <w:sz w:val="20"/>
                <w:szCs w:val="20"/>
              </w:rPr>
              <w:t xml:space="preserve">The </w:t>
            </w:r>
            <w:r w:rsidRPr="007E3DAB">
              <w:rPr>
                <w:rFonts w:ascii="Arial Narrow" w:eastAsia="Times New Roman" w:hAnsi="Arial Narrow"/>
                <w:bCs/>
                <w:color w:val="333333"/>
                <w:sz w:val="20"/>
                <w:szCs w:val="20"/>
              </w:rPr>
              <w:t xml:space="preserve">maximum </w:t>
            </w:r>
            <w:r>
              <w:rPr>
                <w:rFonts w:ascii="Arial Narrow" w:eastAsia="Times New Roman" w:hAnsi="Arial Narrow"/>
                <w:bCs/>
                <w:color w:val="333333"/>
                <w:sz w:val="20"/>
                <w:szCs w:val="20"/>
              </w:rPr>
              <w:t xml:space="preserve">listed </w:t>
            </w:r>
            <w:r w:rsidRPr="007E3DAB">
              <w:rPr>
                <w:rFonts w:ascii="Arial Narrow" w:eastAsia="Times New Roman" w:hAnsi="Arial Narrow"/>
                <w:bCs/>
                <w:color w:val="333333"/>
                <w:sz w:val="20"/>
                <w:szCs w:val="20"/>
              </w:rPr>
              <w:t>quantity and number of repeats to provide for an 8 week subcutaneous course of treatment can be accessed under th</w:t>
            </w:r>
            <w:r>
              <w:rPr>
                <w:rFonts w:ascii="Arial Narrow" w:eastAsia="Times New Roman" w:hAnsi="Arial Narrow"/>
                <w:bCs/>
                <w:color w:val="333333"/>
                <w:sz w:val="20"/>
                <w:szCs w:val="20"/>
              </w:rPr>
              <w:t>is</w:t>
            </w:r>
            <w:r w:rsidRPr="007E3DAB">
              <w:rPr>
                <w:rFonts w:ascii="Arial Narrow" w:eastAsia="Times New Roman" w:hAnsi="Arial Narrow"/>
                <w:bCs/>
                <w:color w:val="333333"/>
                <w:sz w:val="20"/>
                <w:szCs w:val="20"/>
              </w:rPr>
              <w:t xml:space="preserve"> </w:t>
            </w:r>
            <w:r>
              <w:rPr>
                <w:rFonts w:ascii="Arial Narrow" w:eastAsia="Times New Roman" w:hAnsi="Arial Narrow"/>
                <w:bCs/>
                <w:color w:val="333333"/>
                <w:sz w:val="20"/>
                <w:szCs w:val="20"/>
              </w:rPr>
              <w:t>restriction to allow for injection at week 12</w:t>
            </w:r>
            <w:r w:rsidRPr="007E3DAB">
              <w:rPr>
                <w:rFonts w:ascii="Arial Narrow" w:eastAsia="Times New Roman" w:hAnsi="Arial Narrow"/>
                <w:bCs/>
                <w:color w:val="333333"/>
                <w:sz w:val="20"/>
                <w:szCs w:val="20"/>
              </w:rPr>
              <w:t>. This follows a</w:t>
            </w:r>
            <w:r>
              <w:rPr>
                <w:rFonts w:ascii="Arial Narrow" w:eastAsia="Times New Roman" w:hAnsi="Arial Narrow"/>
                <w:bCs/>
                <w:color w:val="333333"/>
                <w:sz w:val="20"/>
                <w:szCs w:val="20"/>
              </w:rPr>
              <w:t>n</w:t>
            </w:r>
            <w:r w:rsidRPr="007E3DAB">
              <w:rPr>
                <w:rFonts w:ascii="Arial Narrow" w:eastAsia="Times New Roman" w:hAnsi="Arial Narrow"/>
                <w:bCs/>
                <w:color w:val="333333"/>
                <w:sz w:val="20"/>
                <w:szCs w:val="20"/>
              </w:rPr>
              <w:t xml:space="preserve"> </w:t>
            </w:r>
            <w:r>
              <w:rPr>
                <w:rFonts w:ascii="Arial Narrow" w:eastAsia="Times New Roman" w:hAnsi="Arial Narrow"/>
                <w:bCs/>
                <w:color w:val="333333"/>
                <w:sz w:val="20"/>
                <w:szCs w:val="20"/>
              </w:rPr>
              <w:t>8</w:t>
            </w:r>
            <w:r w:rsidRPr="007E3DAB">
              <w:rPr>
                <w:rFonts w:ascii="Arial Narrow" w:eastAsia="Times New Roman" w:hAnsi="Arial Narrow"/>
                <w:bCs/>
                <w:color w:val="333333"/>
                <w:sz w:val="20"/>
                <w:szCs w:val="20"/>
              </w:rPr>
              <w:t xml:space="preserve"> week intravenous course of treatment accessed under the Initial 1, Initial 2, or Initial 3 criteria.</w:t>
            </w:r>
          </w:p>
        </w:tc>
      </w:tr>
      <w:tr w:rsidR="00A93A3B" w:rsidRPr="00E03D40" w14:paraId="3121ADEF" w14:textId="77777777" w:rsidTr="00092C71">
        <w:tblPrEx>
          <w:tblCellMar>
            <w:top w:w="15" w:type="dxa"/>
            <w:left w:w="15" w:type="dxa"/>
            <w:bottom w:w="15" w:type="dxa"/>
            <w:right w:w="15" w:type="dxa"/>
          </w:tblCellMar>
          <w:tblLook w:val="04A0" w:firstRow="1" w:lastRow="0" w:firstColumn="1" w:lastColumn="0" w:noHBand="0" w:noVBand="1"/>
        </w:tblPrEx>
        <w:tc>
          <w:tcPr>
            <w:tcW w:w="977" w:type="dxa"/>
            <w:gridSpan w:val="2"/>
            <w:vAlign w:val="center"/>
          </w:tcPr>
          <w:p w14:paraId="5938D775" w14:textId="39A543F8" w:rsidR="00A93A3B" w:rsidRPr="00120A12" w:rsidRDefault="00A93A3B" w:rsidP="00264EE0">
            <w:pPr>
              <w:jc w:val="center"/>
              <w:rPr>
                <w:rFonts w:ascii="Arial Narrow" w:eastAsia="Times New Roman" w:hAnsi="Arial Narrow"/>
                <w:color w:val="333333"/>
                <w:sz w:val="18"/>
                <w:szCs w:val="18"/>
              </w:rPr>
            </w:pPr>
            <w:bookmarkStart w:id="58" w:name="_Hlk103346462"/>
          </w:p>
        </w:tc>
        <w:tc>
          <w:tcPr>
            <w:tcW w:w="8039" w:type="dxa"/>
            <w:gridSpan w:val="6"/>
            <w:vAlign w:val="center"/>
            <w:hideMark/>
          </w:tcPr>
          <w:p w14:paraId="74AE83A2" w14:textId="77777777" w:rsidR="00A93A3B" w:rsidRPr="00486DE7" w:rsidRDefault="00A93A3B" w:rsidP="00264EE0">
            <w:pPr>
              <w:keepNext/>
              <w:rPr>
                <w:rFonts w:ascii="Arial Narrow" w:eastAsia="Times New Roman" w:hAnsi="Arial Narrow"/>
                <w:bCs/>
                <w:strike/>
                <w:color w:val="333333"/>
                <w:sz w:val="20"/>
                <w:szCs w:val="20"/>
              </w:rPr>
            </w:pPr>
            <w:r w:rsidRPr="00486DE7">
              <w:rPr>
                <w:rFonts w:ascii="Arial Narrow" w:eastAsia="Times New Roman" w:hAnsi="Arial Narrow"/>
                <w:bCs/>
                <w:strike/>
                <w:color w:val="333333"/>
                <w:sz w:val="20"/>
                <w:szCs w:val="20"/>
              </w:rPr>
              <w:t xml:space="preserve">The assessment of the patient's response to this initial course of treatment, including the </w:t>
            </w:r>
            <w:r w:rsidRPr="00486DE7">
              <w:rPr>
                <w:rFonts w:ascii="Arial Narrow" w:eastAsia="Times New Roman" w:hAnsi="Arial Narrow"/>
                <w:bCs/>
                <w:i/>
                <w:iCs/>
                <w:strike/>
                <w:color w:val="333333"/>
                <w:sz w:val="20"/>
                <w:szCs w:val="20"/>
              </w:rPr>
              <w:t xml:space="preserve">week 12 subcutaneous dose </w:t>
            </w:r>
            <w:r w:rsidRPr="00486DE7">
              <w:rPr>
                <w:rFonts w:ascii="Arial Narrow" w:eastAsia="Times New Roman" w:hAnsi="Arial Narrow"/>
                <w:bCs/>
                <w:strike/>
                <w:color w:val="333333"/>
                <w:sz w:val="20"/>
                <w:szCs w:val="20"/>
              </w:rPr>
              <w:t xml:space="preserve">must be made following a minimum of  </w:t>
            </w:r>
            <w:r w:rsidRPr="00486DE7">
              <w:rPr>
                <w:rFonts w:ascii="Arial Narrow" w:eastAsia="Times New Roman" w:hAnsi="Arial Narrow"/>
                <w:bCs/>
                <w:i/>
                <w:iCs/>
                <w:strike/>
                <w:color w:val="333333"/>
                <w:sz w:val="20"/>
                <w:szCs w:val="20"/>
              </w:rPr>
              <w:t xml:space="preserve">between </w:t>
            </w:r>
            <w:r w:rsidRPr="00486DE7">
              <w:rPr>
                <w:rFonts w:ascii="Arial Narrow" w:eastAsia="Times New Roman" w:hAnsi="Arial Narrow"/>
                <w:bCs/>
                <w:strike/>
                <w:color w:val="333333"/>
                <w:sz w:val="20"/>
                <w:szCs w:val="20"/>
              </w:rPr>
              <w:t>weeks 12 and 20 of therapy so that there is adequate time for a response to be demonstrated.</w:t>
            </w:r>
          </w:p>
          <w:p w14:paraId="65FCDFC6" w14:textId="77777777" w:rsidR="00A93A3B" w:rsidRPr="00E03D40" w:rsidRDefault="00A93A3B" w:rsidP="00264EE0">
            <w:pPr>
              <w:rPr>
                <w:rFonts w:ascii="Arial Narrow" w:eastAsia="Times New Roman" w:hAnsi="Arial Narrow"/>
                <w:color w:val="FF00FF"/>
                <w:sz w:val="18"/>
                <w:szCs w:val="18"/>
              </w:rPr>
            </w:pPr>
            <w:r w:rsidRPr="00CE2C20">
              <w:rPr>
                <w:rFonts w:ascii="Arial Narrow" w:hAnsi="Arial Narrow"/>
                <w:sz w:val="20"/>
              </w:rPr>
              <w:t>An assessment of a patient's response to an initial course of treatment must be conducted following a minimum of 12 weeks of therapy. An application for the continuing treatment must be accompanied with the assessment of response and submitted no later than 4 weeks from the date of completion of the most recent course of treatment. This will enable ongoing treatment for those who meet the continuing restriction for PBS-subsidised treatment.</w:t>
            </w:r>
          </w:p>
        </w:tc>
      </w:tr>
      <w:bookmarkEnd w:id="58"/>
      <w:tr w:rsidR="00A93A3B" w:rsidRPr="00120A12" w14:paraId="0580616D" w14:textId="77777777" w:rsidTr="00092C71">
        <w:tblPrEx>
          <w:tblCellMar>
            <w:top w:w="15" w:type="dxa"/>
            <w:left w:w="15" w:type="dxa"/>
            <w:bottom w:w="15" w:type="dxa"/>
            <w:right w:w="15" w:type="dxa"/>
          </w:tblCellMar>
          <w:tblLook w:val="04A0" w:firstRow="1" w:lastRow="0" w:firstColumn="1" w:lastColumn="0" w:noHBand="0" w:noVBand="1"/>
        </w:tblPrEx>
        <w:tc>
          <w:tcPr>
            <w:tcW w:w="977" w:type="dxa"/>
            <w:gridSpan w:val="2"/>
            <w:vAlign w:val="center"/>
          </w:tcPr>
          <w:p w14:paraId="741A7F17" w14:textId="77777777" w:rsidR="00A93A3B" w:rsidRPr="00486DE7" w:rsidRDefault="00A93A3B" w:rsidP="00264EE0">
            <w:pPr>
              <w:jc w:val="center"/>
              <w:rPr>
                <w:rFonts w:ascii="Arial Narrow" w:eastAsia="Times New Roman" w:hAnsi="Arial Narrow"/>
                <w:strike/>
                <w:color w:val="333333"/>
                <w:sz w:val="18"/>
                <w:szCs w:val="18"/>
                <w:highlight w:val="yellow"/>
              </w:rPr>
            </w:pPr>
          </w:p>
        </w:tc>
        <w:tc>
          <w:tcPr>
            <w:tcW w:w="8039" w:type="dxa"/>
            <w:gridSpan w:val="6"/>
            <w:vAlign w:val="center"/>
            <w:hideMark/>
          </w:tcPr>
          <w:p w14:paraId="378A8A52" w14:textId="77777777" w:rsidR="00A93A3B" w:rsidRPr="00486DE7" w:rsidRDefault="00A93A3B" w:rsidP="00264EE0">
            <w:pPr>
              <w:keepNext/>
              <w:rPr>
                <w:rFonts w:ascii="Arial Narrow" w:eastAsia="Times New Roman" w:hAnsi="Arial Narrow"/>
                <w:bCs/>
                <w:strike/>
                <w:color w:val="333333"/>
                <w:sz w:val="20"/>
                <w:szCs w:val="20"/>
              </w:rPr>
            </w:pPr>
            <w:r w:rsidRPr="00486DE7">
              <w:rPr>
                <w:rFonts w:ascii="Arial Narrow" w:eastAsia="Times New Roman" w:hAnsi="Arial Narrow"/>
                <w:bCs/>
                <w:strike/>
                <w:color w:val="333333"/>
                <w:sz w:val="20"/>
                <w:szCs w:val="20"/>
              </w:rPr>
              <w:t xml:space="preserve">It is recommended that an application for continuing treatment is </w:t>
            </w:r>
            <w:r w:rsidRPr="00486DE7">
              <w:rPr>
                <w:rFonts w:ascii="Arial Narrow" w:eastAsia="Times New Roman" w:hAnsi="Arial Narrow"/>
                <w:bCs/>
                <w:i/>
                <w:iCs/>
                <w:strike/>
                <w:color w:val="333333"/>
                <w:sz w:val="20"/>
                <w:szCs w:val="20"/>
              </w:rPr>
              <w:t xml:space="preserve">submitted </w:t>
            </w:r>
            <w:r w:rsidRPr="00486DE7">
              <w:rPr>
                <w:rFonts w:ascii="Arial Narrow" w:eastAsia="Times New Roman" w:hAnsi="Arial Narrow"/>
                <w:bCs/>
                <w:strike/>
                <w:color w:val="333333"/>
                <w:sz w:val="20"/>
                <w:szCs w:val="20"/>
              </w:rPr>
              <w:t>posted to the Services</w:t>
            </w:r>
            <w:r w:rsidRPr="00486DE7">
              <w:rPr>
                <w:rFonts w:ascii="Arial Narrow" w:eastAsia="Times New Roman" w:hAnsi="Arial Narrow"/>
                <w:bCs/>
                <w:i/>
                <w:iCs/>
                <w:strike/>
                <w:color w:val="333333"/>
                <w:sz w:val="20"/>
                <w:szCs w:val="20"/>
              </w:rPr>
              <w:t xml:space="preserve"> Australia</w:t>
            </w:r>
            <w:r w:rsidRPr="00486DE7">
              <w:rPr>
                <w:rFonts w:ascii="Arial Narrow" w:eastAsia="Times New Roman" w:hAnsi="Arial Narrow"/>
                <w:bCs/>
                <w:strike/>
                <w:color w:val="333333"/>
                <w:sz w:val="20"/>
                <w:szCs w:val="20"/>
              </w:rPr>
              <w:t xml:space="preserve"> at the time of the assessment, to ensure continuity of treatment for those patients who meet the continuation criterion for PBS-subsidised treatment with this drug.</w:t>
            </w:r>
          </w:p>
          <w:p w14:paraId="58E93418" w14:textId="77777777" w:rsidR="00A93A3B" w:rsidRPr="00486DE7" w:rsidRDefault="00A93A3B" w:rsidP="00264EE0">
            <w:pPr>
              <w:rPr>
                <w:rFonts w:ascii="Arial Narrow" w:eastAsia="Times New Roman" w:hAnsi="Arial Narrow"/>
                <w:strike/>
                <w:color w:val="333333"/>
                <w:sz w:val="18"/>
                <w:szCs w:val="18"/>
                <w:highlight w:val="yellow"/>
              </w:rPr>
            </w:pPr>
          </w:p>
        </w:tc>
      </w:tr>
      <w:tr w:rsidR="00A93A3B" w:rsidRPr="00120A12" w14:paraId="1F6511CC" w14:textId="77777777" w:rsidTr="00264EE0">
        <w:tblPrEx>
          <w:tblCellMar>
            <w:top w:w="15" w:type="dxa"/>
            <w:left w:w="15" w:type="dxa"/>
            <w:bottom w:w="15" w:type="dxa"/>
            <w:right w:w="15" w:type="dxa"/>
          </w:tblCellMar>
          <w:tblLook w:val="04A0" w:firstRow="1" w:lastRow="0" w:firstColumn="1" w:lastColumn="0" w:noHBand="0" w:noVBand="1"/>
        </w:tblPrEx>
        <w:tc>
          <w:tcPr>
            <w:tcW w:w="977" w:type="dxa"/>
            <w:gridSpan w:val="2"/>
            <w:vAlign w:val="center"/>
          </w:tcPr>
          <w:p w14:paraId="29264ADF" w14:textId="142D5ED5" w:rsidR="00A93A3B" w:rsidRDefault="00A93A3B" w:rsidP="00264EE0">
            <w:pPr>
              <w:jc w:val="center"/>
              <w:rPr>
                <w:rFonts w:ascii="Arial Narrow" w:eastAsia="Times New Roman" w:hAnsi="Arial Narrow"/>
                <w:color w:val="333333"/>
                <w:sz w:val="20"/>
                <w:szCs w:val="20"/>
              </w:rPr>
            </w:pPr>
          </w:p>
        </w:tc>
        <w:tc>
          <w:tcPr>
            <w:tcW w:w="8039" w:type="dxa"/>
            <w:gridSpan w:val="6"/>
            <w:vAlign w:val="center"/>
          </w:tcPr>
          <w:p w14:paraId="3D13104C" w14:textId="77777777" w:rsidR="00A93A3B" w:rsidRPr="00834B47" w:rsidRDefault="00A93A3B" w:rsidP="00264EE0">
            <w:pPr>
              <w:keepNext/>
              <w:rPr>
                <w:rFonts w:ascii="Arial Narrow" w:hAnsi="Arial Narrow"/>
                <w:i/>
                <w:iCs/>
                <w:sz w:val="20"/>
              </w:rPr>
            </w:pPr>
            <w:r w:rsidRPr="00CE2C20">
              <w:rPr>
                <w:rFonts w:ascii="Arial Narrow" w:hAnsi="Arial Narrow"/>
                <w:sz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A93A3B" w:rsidRPr="00120A12" w14:paraId="1EBB829C" w14:textId="77777777" w:rsidTr="00264EE0">
        <w:tblPrEx>
          <w:tblCellMar>
            <w:top w:w="15" w:type="dxa"/>
            <w:left w:w="15" w:type="dxa"/>
            <w:bottom w:w="15" w:type="dxa"/>
            <w:right w:w="15" w:type="dxa"/>
          </w:tblCellMar>
          <w:tblLook w:val="04A0" w:firstRow="1" w:lastRow="0" w:firstColumn="1" w:lastColumn="0" w:noHBand="0" w:noVBand="1"/>
        </w:tblPrEx>
        <w:tc>
          <w:tcPr>
            <w:tcW w:w="977" w:type="dxa"/>
            <w:gridSpan w:val="2"/>
            <w:vAlign w:val="center"/>
          </w:tcPr>
          <w:p w14:paraId="03687EF4" w14:textId="2B9BCDC6" w:rsidR="00A93A3B" w:rsidRPr="00120A12" w:rsidRDefault="00A93A3B" w:rsidP="00264EE0">
            <w:pPr>
              <w:jc w:val="center"/>
              <w:rPr>
                <w:rFonts w:ascii="Arial Narrow" w:eastAsia="Times New Roman" w:hAnsi="Arial Narrow"/>
                <w:color w:val="333333"/>
                <w:sz w:val="18"/>
                <w:szCs w:val="18"/>
              </w:rPr>
            </w:pPr>
          </w:p>
        </w:tc>
        <w:tc>
          <w:tcPr>
            <w:tcW w:w="8039" w:type="dxa"/>
            <w:gridSpan w:val="6"/>
            <w:vAlign w:val="center"/>
          </w:tcPr>
          <w:p w14:paraId="5ADB00D3" w14:textId="77777777" w:rsidR="00A93A3B" w:rsidRPr="00834B47" w:rsidRDefault="00A93A3B" w:rsidP="00264EE0">
            <w:pPr>
              <w:keepNext/>
              <w:rPr>
                <w:rFonts w:ascii="Arial Narrow" w:eastAsia="Times New Roman" w:hAnsi="Arial Narrow"/>
                <w:bCs/>
                <w:i/>
                <w:iCs/>
                <w:color w:val="333333"/>
                <w:sz w:val="20"/>
                <w:szCs w:val="20"/>
              </w:rPr>
            </w:pPr>
            <w:r w:rsidRPr="00834B47">
              <w:rPr>
                <w:rFonts w:ascii="Arial Narrow" w:hAnsi="Arial Narrow"/>
                <w:i/>
                <w:iCs/>
                <w:sz w:val="20"/>
              </w:rP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p>
        </w:tc>
      </w:tr>
      <w:tr w:rsidR="00A93A3B" w:rsidRPr="00633E98" w:rsidDel="00C36957" w14:paraId="2DDB69E8" w14:textId="77777777" w:rsidTr="00264EE0">
        <w:tblPrEx>
          <w:tblCellMar>
            <w:top w:w="15" w:type="dxa"/>
            <w:left w:w="15" w:type="dxa"/>
            <w:bottom w:w="15" w:type="dxa"/>
            <w:right w:w="15" w:type="dxa"/>
          </w:tblCellMar>
          <w:tblLook w:val="04A0" w:firstRow="1" w:lastRow="0" w:firstColumn="1" w:lastColumn="0" w:noHBand="0" w:noVBand="1"/>
        </w:tblPrEx>
        <w:tc>
          <w:tcPr>
            <w:tcW w:w="977" w:type="dxa"/>
            <w:gridSpan w:val="2"/>
            <w:vAlign w:val="center"/>
          </w:tcPr>
          <w:p w14:paraId="621F050B" w14:textId="7C9804CF" w:rsidR="00A93A3B" w:rsidRPr="00633E98" w:rsidRDefault="00A93A3B" w:rsidP="00264EE0">
            <w:pPr>
              <w:jc w:val="center"/>
              <w:rPr>
                <w:rFonts w:ascii="Arial Narrow" w:eastAsia="Times New Roman" w:hAnsi="Arial Narrow"/>
                <w:bCs/>
                <w:color w:val="333333"/>
                <w:sz w:val="20"/>
                <w:szCs w:val="20"/>
              </w:rPr>
            </w:pPr>
          </w:p>
        </w:tc>
        <w:tc>
          <w:tcPr>
            <w:tcW w:w="8039" w:type="dxa"/>
            <w:gridSpan w:val="6"/>
            <w:vAlign w:val="center"/>
          </w:tcPr>
          <w:p w14:paraId="5B11516F" w14:textId="77777777" w:rsidR="00A93A3B" w:rsidRPr="00A00479" w:rsidRDefault="00A93A3B" w:rsidP="00264EE0">
            <w:pPr>
              <w:rPr>
                <w:rFonts w:ascii="Arial Narrow" w:hAnsi="Arial Narrow"/>
                <w:sz w:val="20"/>
              </w:rPr>
            </w:pPr>
            <w:r w:rsidRPr="001428E9">
              <w:rPr>
                <w:rFonts w:ascii="Arial Narrow" w:eastAsia="Times New Roman" w:hAnsi="Arial Narrow"/>
                <w:b/>
                <w:bCs/>
                <w:color w:val="333333"/>
                <w:sz w:val="20"/>
                <w:szCs w:val="20"/>
              </w:rPr>
              <w:t>Administrative Advice:</w:t>
            </w:r>
            <w:r w:rsidRPr="001868FF">
              <w:rPr>
                <w:rFonts w:ascii="Arial Narrow" w:hAnsi="Arial Narrow"/>
                <w:sz w:val="20"/>
              </w:rPr>
              <w:t xml:space="preserve"> </w:t>
            </w:r>
            <w:r w:rsidRPr="00A00479">
              <w:rPr>
                <w:rFonts w:ascii="Arial Narrow" w:hAnsi="Arial Narrow"/>
                <w:sz w:val="20"/>
              </w:rPr>
              <w:t>Any queries concerning the arrangements to prescribe may be directed to Services Australia on 1800 700 270 (hours of operation 8 a.m. to 5 p.m. Monday to Friday).</w:t>
            </w:r>
          </w:p>
          <w:p w14:paraId="426DF261" w14:textId="77777777" w:rsidR="00A93A3B" w:rsidRPr="00A00479" w:rsidRDefault="00A93A3B" w:rsidP="00264EE0">
            <w:pPr>
              <w:rPr>
                <w:rFonts w:ascii="Arial Narrow" w:hAnsi="Arial Narrow"/>
                <w:sz w:val="20"/>
              </w:rPr>
            </w:pPr>
          </w:p>
          <w:p w14:paraId="0EF85207" w14:textId="77777777" w:rsidR="00A93A3B" w:rsidRPr="00A00479" w:rsidRDefault="00A93A3B" w:rsidP="00264EE0">
            <w:pPr>
              <w:rPr>
                <w:rFonts w:ascii="Arial Narrow" w:hAnsi="Arial Narrow"/>
                <w:sz w:val="20"/>
              </w:rPr>
            </w:pPr>
            <w:r w:rsidRPr="00A00479">
              <w:rPr>
                <w:rFonts w:ascii="Arial Narrow" w:hAnsi="Arial Narrow"/>
                <w:sz w:val="20"/>
              </w:rPr>
              <w:t>Prescribing information (including Authority Application forms and other relevant documentation as applicable) is available on the Services Australia website at www.servicesaustralia.gov.au</w:t>
            </w:r>
          </w:p>
          <w:p w14:paraId="676F8166" w14:textId="77777777" w:rsidR="00A93A3B" w:rsidRPr="00A00479" w:rsidRDefault="00A93A3B" w:rsidP="00264EE0">
            <w:pPr>
              <w:rPr>
                <w:rFonts w:ascii="Arial Narrow" w:hAnsi="Arial Narrow"/>
                <w:sz w:val="20"/>
              </w:rPr>
            </w:pPr>
          </w:p>
          <w:p w14:paraId="3BC4225C" w14:textId="77777777" w:rsidR="00A93A3B" w:rsidRPr="00A00479" w:rsidRDefault="00A93A3B" w:rsidP="00264EE0">
            <w:pPr>
              <w:rPr>
                <w:rFonts w:ascii="Arial Narrow" w:hAnsi="Arial Narrow"/>
                <w:sz w:val="20"/>
              </w:rPr>
            </w:pPr>
            <w:r w:rsidRPr="00A00479">
              <w:rPr>
                <w:rFonts w:ascii="Arial Narrow" w:hAnsi="Arial Narrow"/>
                <w:sz w:val="20"/>
              </w:rPr>
              <w:t>Applications for authority to prescribe should be submitted online using the form upload facility in Health Professional Online Services (HPOS) at www.servicesaustralia.gov.au/hpos</w:t>
            </w:r>
          </w:p>
          <w:p w14:paraId="6E670A5F" w14:textId="77777777" w:rsidR="00A93A3B" w:rsidRPr="00A00479" w:rsidRDefault="00A93A3B" w:rsidP="00264EE0">
            <w:pPr>
              <w:rPr>
                <w:rFonts w:ascii="Arial Narrow" w:hAnsi="Arial Narrow"/>
                <w:sz w:val="20"/>
              </w:rPr>
            </w:pPr>
          </w:p>
          <w:p w14:paraId="0205CE62" w14:textId="77777777" w:rsidR="00A93A3B" w:rsidRPr="00A00479" w:rsidRDefault="00A93A3B" w:rsidP="00264EE0">
            <w:pPr>
              <w:rPr>
                <w:rFonts w:ascii="Arial Narrow" w:hAnsi="Arial Narrow"/>
                <w:sz w:val="20"/>
              </w:rPr>
            </w:pPr>
            <w:r w:rsidRPr="00A00479">
              <w:rPr>
                <w:rFonts w:ascii="Arial Narrow" w:hAnsi="Arial Narrow"/>
                <w:sz w:val="20"/>
              </w:rPr>
              <w:t>Or mailed to:</w:t>
            </w:r>
          </w:p>
          <w:p w14:paraId="33CB406C" w14:textId="77777777" w:rsidR="00A93A3B" w:rsidRPr="00A00479" w:rsidRDefault="00A93A3B" w:rsidP="00264EE0">
            <w:pPr>
              <w:rPr>
                <w:rFonts w:ascii="Arial Narrow" w:hAnsi="Arial Narrow"/>
                <w:sz w:val="20"/>
              </w:rPr>
            </w:pPr>
          </w:p>
          <w:p w14:paraId="17733945" w14:textId="77777777" w:rsidR="00A93A3B" w:rsidRPr="00A00479" w:rsidRDefault="00A93A3B" w:rsidP="00264EE0">
            <w:pPr>
              <w:rPr>
                <w:rFonts w:ascii="Arial Narrow" w:hAnsi="Arial Narrow"/>
                <w:sz w:val="20"/>
              </w:rPr>
            </w:pPr>
            <w:r w:rsidRPr="00A00479">
              <w:rPr>
                <w:rFonts w:ascii="Arial Narrow" w:hAnsi="Arial Narrow"/>
                <w:sz w:val="20"/>
              </w:rPr>
              <w:t>Services Australia</w:t>
            </w:r>
          </w:p>
          <w:p w14:paraId="3A68C1DE" w14:textId="77777777" w:rsidR="00A93A3B" w:rsidRPr="00A00479" w:rsidRDefault="00A93A3B" w:rsidP="00264EE0">
            <w:pPr>
              <w:rPr>
                <w:rFonts w:ascii="Arial Narrow" w:hAnsi="Arial Narrow"/>
                <w:sz w:val="20"/>
              </w:rPr>
            </w:pPr>
          </w:p>
          <w:p w14:paraId="5FE22528" w14:textId="77777777" w:rsidR="00A93A3B" w:rsidRPr="00A00479" w:rsidRDefault="00A93A3B" w:rsidP="00264EE0">
            <w:pPr>
              <w:rPr>
                <w:rFonts w:ascii="Arial Narrow" w:hAnsi="Arial Narrow"/>
                <w:sz w:val="20"/>
              </w:rPr>
            </w:pPr>
            <w:r w:rsidRPr="00A00479">
              <w:rPr>
                <w:rFonts w:ascii="Arial Narrow" w:hAnsi="Arial Narrow"/>
                <w:sz w:val="20"/>
              </w:rPr>
              <w:t>Complex Drugs</w:t>
            </w:r>
          </w:p>
          <w:p w14:paraId="01B862A0" w14:textId="77777777" w:rsidR="00A93A3B" w:rsidRPr="00A00479" w:rsidRDefault="00A93A3B" w:rsidP="00264EE0">
            <w:pPr>
              <w:rPr>
                <w:rFonts w:ascii="Arial Narrow" w:hAnsi="Arial Narrow"/>
                <w:sz w:val="20"/>
              </w:rPr>
            </w:pPr>
          </w:p>
          <w:p w14:paraId="19AC479A" w14:textId="77777777" w:rsidR="00A93A3B" w:rsidRPr="00A00479" w:rsidRDefault="00A93A3B" w:rsidP="00264EE0">
            <w:pPr>
              <w:rPr>
                <w:rFonts w:ascii="Arial Narrow" w:hAnsi="Arial Narrow"/>
                <w:sz w:val="20"/>
              </w:rPr>
            </w:pPr>
            <w:r w:rsidRPr="00A00479">
              <w:rPr>
                <w:rFonts w:ascii="Arial Narrow" w:hAnsi="Arial Narrow"/>
                <w:sz w:val="20"/>
              </w:rPr>
              <w:t>Reply Paid 9826</w:t>
            </w:r>
          </w:p>
          <w:p w14:paraId="0143B0A0" w14:textId="77777777" w:rsidR="00A93A3B" w:rsidRPr="00A00479" w:rsidRDefault="00A93A3B" w:rsidP="00264EE0">
            <w:pPr>
              <w:rPr>
                <w:rFonts w:ascii="Arial Narrow" w:hAnsi="Arial Narrow"/>
                <w:sz w:val="20"/>
              </w:rPr>
            </w:pPr>
          </w:p>
          <w:p w14:paraId="1CDB8DCB" w14:textId="77777777" w:rsidR="00A93A3B" w:rsidRPr="00B26236" w:rsidDel="00C36957" w:rsidRDefault="00A93A3B" w:rsidP="00264EE0">
            <w:pPr>
              <w:rPr>
                <w:rFonts w:ascii="Arial Narrow" w:eastAsia="Times New Roman" w:hAnsi="Arial Narrow"/>
                <w:bCs/>
                <w:i/>
                <w:iCs/>
                <w:color w:val="333333"/>
                <w:sz w:val="20"/>
                <w:szCs w:val="20"/>
              </w:rPr>
            </w:pPr>
            <w:r w:rsidRPr="00A00479">
              <w:rPr>
                <w:rFonts w:ascii="Arial Narrow" w:hAnsi="Arial Narrow"/>
                <w:sz w:val="20"/>
              </w:rPr>
              <w:t>HOBART TAS 7001</w:t>
            </w:r>
          </w:p>
        </w:tc>
      </w:tr>
    </w:tbl>
    <w:p w14:paraId="557AC15C" w14:textId="77777777" w:rsidR="00A93A3B" w:rsidRDefault="00A93A3B" w:rsidP="00A93A3B"/>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
        <w:gridCol w:w="491"/>
        <w:gridCol w:w="2983"/>
        <w:gridCol w:w="993"/>
        <w:gridCol w:w="850"/>
        <w:gridCol w:w="709"/>
        <w:gridCol w:w="709"/>
        <w:gridCol w:w="1842"/>
      </w:tblGrid>
      <w:tr w:rsidR="00A93A3B" w:rsidRPr="009A610D" w14:paraId="4A59941A" w14:textId="77777777" w:rsidTr="00264EE0">
        <w:trPr>
          <w:cantSplit/>
          <w:trHeight w:val="471"/>
        </w:trPr>
        <w:tc>
          <w:tcPr>
            <w:tcW w:w="3964" w:type="dxa"/>
            <w:gridSpan w:val="3"/>
          </w:tcPr>
          <w:p w14:paraId="6158C0F9" w14:textId="77777777" w:rsidR="00A93A3B" w:rsidRPr="00677B2D" w:rsidRDefault="00A93A3B" w:rsidP="00264EE0">
            <w:pPr>
              <w:keepNext/>
              <w:rPr>
                <w:rFonts w:ascii="Arial Narrow" w:hAnsi="Arial Narrow"/>
                <w:b/>
                <w:bCs/>
                <w:sz w:val="20"/>
                <w:szCs w:val="20"/>
              </w:rPr>
            </w:pPr>
            <w:r w:rsidRPr="00677B2D">
              <w:rPr>
                <w:rFonts w:ascii="Arial Narrow" w:hAnsi="Arial Narrow"/>
                <w:b/>
                <w:bCs/>
                <w:sz w:val="20"/>
                <w:szCs w:val="20"/>
              </w:rPr>
              <w:t>MEDICINAL PRODUCT</w:t>
            </w:r>
          </w:p>
          <w:p w14:paraId="24EFEAD3" w14:textId="77777777" w:rsidR="00A93A3B" w:rsidRPr="00677B2D" w:rsidRDefault="00A93A3B" w:rsidP="00264EE0">
            <w:pPr>
              <w:keepNext/>
              <w:rPr>
                <w:rFonts w:ascii="Arial Narrow" w:hAnsi="Arial Narrow"/>
                <w:b/>
                <w:sz w:val="20"/>
                <w:szCs w:val="20"/>
              </w:rPr>
            </w:pPr>
            <w:r w:rsidRPr="00677B2D">
              <w:rPr>
                <w:rFonts w:ascii="Arial Narrow" w:hAnsi="Arial Narrow"/>
                <w:b/>
                <w:bCs/>
                <w:sz w:val="20"/>
                <w:szCs w:val="20"/>
              </w:rPr>
              <w:t>medicinal product pack</w:t>
            </w:r>
          </w:p>
        </w:tc>
        <w:tc>
          <w:tcPr>
            <w:tcW w:w="993" w:type="dxa"/>
          </w:tcPr>
          <w:p w14:paraId="23105661" w14:textId="77777777" w:rsidR="00A93A3B" w:rsidRPr="00677B2D" w:rsidRDefault="00A93A3B" w:rsidP="00264EE0">
            <w:pPr>
              <w:keepNext/>
              <w:ind w:left="-108"/>
              <w:jc w:val="center"/>
              <w:rPr>
                <w:rFonts w:ascii="Arial Narrow" w:hAnsi="Arial Narrow"/>
                <w:b/>
                <w:sz w:val="20"/>
                <w:szCs w:val="20"/>
              </w:rPr>
            </w:pPr>
            <w:r w:rsidRPr="00677B2D">
              <w:rPr>
                <w:rFonts w:ascii="Arial Narrow" w:hAnsi="Arial Narrow"/>
                <w:b/>
                <w:sz w:val="20"/>
                <w:szCs w:val="20"/>
              </w:rPr>
              <w:t>PBS item code</w:t>
            </w:r>
          </w:p>
        </w:tc>
        <w:tc>
          <w:tcPr>
            <w:tcW w:w="850" w:type="dxa"/>
          </w:tcPr>
          <w:p w14:paraId="44CE83C8" w14:textId="77777777" w:rsidR="00A93A3B" w:rsidRPr="00677B2D" w:rsidRDefault="00A93A3B" w:rsidP="00264EE0">
            <w:pPr>
              <w:keepNext/>
              <w:ind w:left="-108"/>
              <w:jc w:val="center"/>
              <w:rPr>
                <w:rFonts w:ascii="Arial Narrow" w:hAnsi="Arial Narrow"/>
                <w:b/>
                <w:sz w:val="20"/>
                <w:szCs w:val="20"/>
              </w:rPr>
            </w:pPr>
            <w:r w:rsidRPr="00677B2D">
              <w:rPr>
                <w:rFonts w:ascii="Arial Narrow" w:hAnsi="Arial Narrow"/>
                <w:b/>
                <w:sz w:val="20"/>
                <w:szCs w:val="20"/>
              </w:rPr>
              <w:t>Max. qty packs</w:t>
            </w:r>
          </w:p>
        </w:tc>
        <w:tc>
          <w:tcPr>
            <w:tcW w:w="709" w:type="dxa"/>
          </w:tcPr>
          <w:p w14:paraId="41A26081" w14:textId="77777777" w:rsidR="00A93A3B" w:rsidRPr="00677B2D" w:rsidRDefault="00A93A3B" w:rsidP="00264EE0">
            <w:pPr>
              <w:keepNext/>
              <w:ind w:left="-108"/>
              <w:jc w:val="center"/>
              <w:rPr>
                <w:rFonts w:ascii="Arial Narrow" w:hAnsi="Arial Narrow"/>
                <w:b/>
                <w:sz w:val="20"/>
                <w:szCs w:val="20"/>
              </w:rPr>
            </w:pPr>
            <w:r w:rsidRPr="00677B2D">
              <w:rPr>
                <w:rFonts w:ascii="Arial Narrow" w:hAnsi="Arial Narrow"/>
                <w:b/>
                <w:sz w:val="20"/>
                <w:szCs w:val="20"/>
              </w:rPr>
              <w:t>Max. qty units</w:t>
            </w:r>
          </w:p>
        </w:tc>
        <w:tc>
          <w:tcPr>
            <w:tcW w:w="709" w:type="dxa"/>
          </w:tcPr>
          <w:p w14:paraId="0D5D0E55" w14:textId="77777777" w:rsidR="00A93A3B" w:rsidRPr="00677B2D" w:rsidRDefault="00A93A3B" w:rsidP="00264EE0">
            <w:pPr>
              <w:keepNext/>
              <w:ind w:left="-108"/>
              <w:jc w:val="center"/>
              <w:rPr>
                <w:rFonts w:ascii="Arial Narrow" w:hAnsi="Arial Narrow"/>
                <w:b/>
                <w:sz w:val="20"/>
                <w:szCs w:val="20"/>
              </w:rPr>
            </w:pPr>
            <w:r w:rsidRPr="00677B2D">
              <w:rPr>
                <w:rFonts w:ascii="Arial Narrow" w:hAnsi="Arial Narrow"/>
                <w:b/>
                <w:sz w:val="20"/>
                <w:szCs w:val="20"/>
              </w:rPr>
              <w:t>№.of</w:t>
            </w:r>
          </w:p>
          <w:p w14:paraId="45FB81B6" w14:textId="77777777" w:rsidR="00A93A3B" w:rsidRPr="00677B2D" w:rsidRDefault="00A93A3B" w:rsidP="00264EE0">
            <w:pPr>
              <w:keepNext/>
              <w:ind w:left="-108"/>
              <w:jc w:val="center"/>
              <w:rPr>
                <w:rFonts w:ascii="Arial Narrow" w:hAnsi="Arial Narrow"/>
                <w:b/>
                <w:sz w:val="20"/>
                <w:szCs w:val="20"/>
              </w:rPr>
            </w:pPr>
            <w:r w:rsidRPr="00677B2D">
              <w:rPr>
                <w:rFonts w:ascii="Arial Narrow" w:hAnsi="Arial Narrow"/>
                <w:b/>
                <w:sz w:val="20"/>
                <w:szCs w:val="20"/>
              </w:rPr>
              <w:t>Rpts</w:t>
            </w:r>
          </w:p>
        </w:tc>
        <w:tc>
          <w:tcPr>
            <w:tcW w:w="1842" w:type="dxa"/>
          </w:tcPr>
          <w:p w14:paraId="5CABEABF" w14:textId="77777777" w:rsidR="00A93A3B" w:rsidRPr="00677B2D" w:rsidRDefault="00A93A3B" w:rsidP="00264EE0">
            <w:pPr>
              <w:keepNext/>
              <w:rPr>
                <w:rFonts w:ascii="Arial Narrow" w:hAnsi="Arial Narrow"/>
                <w:b/>
                <w:sz w:val="20"/>
                <w:szCs w:val="20"/>
                <w:lang w:val="fr-FR"/>
              </w:rPr>
            </w:pPr>
            <w:r w:rsidRPr="00677B2D">
              <w:rPr>
                <w:rFonts w:ascii="Arial Narrow" w:hAnsi="Arial Narrow"/>
                <w:b/>
                <w:sz w:val="20"/>
                <w:szCs w:val="20"/>
              </w:rPr>
              <w:t>Available brands</w:t>
            </w:r>
          </w:p>
        </w:tc>
      </w:tr>
      <w:tr w:rsidR="00A93A3B" w:rsidRPr="009A610D" w14:paraId="5BA7731D" w14:textId="77777777" w:rsidTr="00264EE0">
        <w:trPr>
          <w:cantSplit/>
          <w:trHeight w:val="224"/>
        </w:trPr>
        <w:tc>
          <w:tcPr>
            <w:tcW w:w="9067" w:type="dxa"/>
            <w:gridSpan w:val="8"/>
          </w:tcPr>
          <w:p w14:paraId="699386CE" w14:textId="77777777" w:rsidR="00A93A3B" w:rsidRPr="00677B2D" w:rsidRDefault="00A93A3B" w:rsidP="00264EE0">
            <w:pPr>
              <w:keepNext/>
              <w:rPr>
                <w:rFonts w:ascii="Arial Narrow" w:hAnsi="Arial Narrow"/>
                <w:sz w:val="20"/>
                <w:szCs w:val="20"/>
              </w:rPr>
            </w:pPr>
            <w:r w:rsidRPr="00677B2D">
              <w:rPr>
                <w:rFonts w:ascii="Arial Narrow" w:hAnsi="Arial Narrow"/>
                <w:sz w:val="20"/>
                <w:szCs w:val="20"/>
              </w:rPr>
              <w:t>RISANKIZUMAB</w:t>
            </w:r>
          </w:p>
        </w:tc>
      </w:tr>
      <w:tr w:rsidR="00A93A3B" w:rsidRPr="009A610D" w14:paraId="425651AA" w14:textId="77777777" w:rsidTr="00264EE0">
        <w:trPr>
          <w:cantSplit/>
          <w:trHeight w:val="553"/>
        </w:trPr>
        <w:tc>
          <w:tcPr>
            <w:tcW w:w="3964" w:type="dxa"/>
            <w:gridSpan w:val="3"/>
            <w:vAlign w:val="center"/>
          </w:tcPr>
          <w:p w14:paraId="41F7F70D" w14:textId="77777777" w:rsidR="00A93A3B" w:rsidRPr="00CB2844" w:rsidRDefault="00A93A3B" w:rsidP="00264EE0">
            <w:pPr>
              <w:keepLines/>
              <w:rPr>
                <w:rFonts w:ascii="Arial Narrow" w:hAnsi="Arial Narrow"/>
                <w:sz w:val="20"/>
                <w:szCs w:val="20"/>
              </w:rPr>
            </w:pPr>
            <w:r>
              <w:rPr>
                <w:rFonts w:ascii="Arial Narrow" w:hAnsi="Arial Narrow"/>
                <w:sz w:val="20"/>
                <w:szCs w:val="20"/>
              </w:rPr>
              <w:t>R</w:t>
            </w:r>
            <w:r w:rsidRPr="00CB2844">
              <w:rPr>
                <w:rFonts w:ascii="Arial Narrow" w:hAnsi="Arial Narrow"/>
                <w:sz w:val="20"/>
                <w:szCs w:val="20"/>
              </w:rPr>
              <w:t xml:space="preserve">isankizumab </w:t>
            </w:r>
          </w:p>
          <w:p w14:paraId="60CD8D8E" w14:textId="77777777" w:rsidR="00A93A3B" w:rsidRPr="003803A0" w:rsidRDefault="00A93A3B" w:rsidP="00264EE0">
            <w:pPr>
              <w:keepNext/>
              <w:rPr>
                <w:rFonts w:ascii="Arial Narrow" w:hAnsi="Arial Narrow"/>
                <w:sz w:val="18"/>
                <w:szCs w:val="18"/>
              </w:rPr>
            </w:pPr>
            <w:r w:rsidRPr="00CB2844">
              <w:rPr>
                <w:rFonts w:ascii="Arial Narrow" w:hAnsi="Arial Narrow"/>
                <w:sz w:val="20"/>
                <w:szCs w:val="20"/>
              </w:rPr>
              <w:t xml:space="preserve">360 mg/ 2.4 mL injection, 2.4 mL </w:t>
            </w:r>
            <w:r>
              <w:rPr>
                <w:rFonts w:ascii="Arial Narrow" w:hAnsi="Arial Narrow"/>
                <w:sz w:val="20"/>
                <w:szCs w:val="20"/>
              </w:rPr>
              <w:t>cartridge</w:t>
            </w:r>
          </w:p>
        </w:tc>
        <w:tc>
          <w:tcPr>
            <w:tcW w:w="993" w:type="dxa"/>
            <w:vAlign w:val="center"/>
          </w:tcPr>
          <w:p w14:paraId="48BC66A3" w14:textId="77777777" w:rsidR="00A93A3B" w:rsidRPr="009A610D" w:rsidRDefault="00A93A3B" w:rsidP="00264EE0">
            <w:pPr>
              <w:keepNext/>
              <w:jc w:val="center"/>
              <w:rPr>
                <w:rFonts w:ascii="Arial Narrow" w:hAnsi="Arial Narrow"/>
                <w:sz w:val="18"/>
                <w:szCs w:val="18"/>
              </w:rPr>
            </w:pPr>
            <w:r w:rsidRPr="00CB2844">
              <w:rPr>
                <w:rFonts w:ascii="Arial Narrow" w:hAnsi="Arial Narrow"/>
                <w:sz w:val="20"/>
                <w:szCs w:val="20"/>
              </w:rPr>
              <w:t>NEW</w:t>
            </w:r>
          </w:p>
        </w:tc>
        <w:tc>
          <w:tcPr>
            <w:tcW w:w="850" w:type="dxa"/>
            <w:vAlign w:val="center"/>
          </w:tcPr>
          <w:p w14:paraId="7EBA6430" w14:textId="77777777" w:rsidR="00A93A3B" w:rsidRPr="009A610D" w:rsidRDefault="00A93A3B" w:rsidP="00264EE0">
            <w:pPr>
              <w:keepNext/>
              <w:jc w:val="center"/>
              <w:rPr>
                <w:rFonts w:ascii="Arial Narrow" w:hAnsi="Arial Narrow"/>
                <w:sz w:val="18"/>
                <w:szCs w:val="18"/>
              </w:rPr>
            </w:pPr>
            <w:r w:rsidRPr="00CB2844">
              <w:rPr>
                <w:rFonts w:ascii="Arial Narrow" w:hAnsi="Arial Narrow"/>
                <w:sz w:val="20"/>
                <w:szCs w:val="20"/>
              </w:rPr>
              <w:t>1</w:t>
            </w:r>
          </w:p>
        </w:tc>
        <w:tc>
          <w:tcPr>
            <w:tcW w:w="709" w:type="dxa"/>
            <w:vAlign w:val="center"/>
          </w:tcPr>
          <w:p w14:paraId="4FA271A2" w14:textId="77777777" w:rsidR="00A93A3B" w:rsidRPr="009A610D" w:rsidRDefault="00A93A3B" w:rsidP="00264EE0">
            <w:pPr>
              <w:keepNext/>
              <w:jc w:val="center"/>
              <w:rPr>
                <w:rFonts w:ascii="Arial Narrow" w:hAnsi="Arial Narrow"/>
                <w:sz w:val="18"/>
                <w:szCs w:val="18"/>
              </w:rPr>
            </w:pPr>
            <w:r>
              <w:rPr>
                <w:rFonts w:ascii="Arial Narrow" w:hAnsi="Arial Narrow"/>
                <w:sz w:val="20"/>
                <w:szCs w:val="20"/>
              </w:rPr>
              <w:t>1</w:t>
            </w:r>
          </w:p>
        </w:tc>
        <w:tc>
          <w:tcPr>
            <w:tcW w:w="709" w:type="dxa"/>
            <w:vAlign w:val="center"/>
          </w:tcPr>
          <w:p w14:paraId="25EE38C8" w14:textId="77777777" w:rsidR="00A93A3B" w:rsidRPr="009A610D" w:rsidRDefault="00A93A3B" w:rsidP="00264EE0">
            <w:pPr>
              <w:keepNext/>
              <w:jc w:val="center"/>
              <w:rPr>
                <w:rFonts w:ascii="Arial Narrow" w:hAnsi="Arial Narrow"/>
                <w:sz w:val="18"/>
                <w:szCs w:val="18"/>
              </w:rPr>
            </w:pPr>
            <w:r>
              <w:rPr>
                <w:rFonts w:ascii="Arial Narrow" w:hAnsi="Arial Narrow"/>
                <w:sz w:val="20"/>
                <w:szCs w:val="20"/>
              </w:rPr>
              <w:t>2</w:t>
            </w:r>
          </w:p>
        </w:tc>
        <w:tc>
          <w:tcPr>
            <w:tcW w:w="1842" w:type="dxa"/>
            <w:vAlign w:val="center"/>
          </w:tcPr>
          <w:p w14:paraId="3F051DD5" w14:textId="77777777" w:rsidR="00A93A3B" w:rsidRPr="009A610D" w:rsidRDefault="00A93A3B" w:rsidP="00264EE0">
            <w:pPr>
              <w:keepNext/>
              <w:rPr>
                <w:rFonts w:ascii="Arial Narrow" w:hAnsi="Arial Narrow"/>
                <w:sz w:val="18"/>
                <w:szCs w:val="18"/>
              </w:rPr>
            </w:pPr>
            <w:r>
              <w:rPr>
                <w:rFonts w:ascii="Arial Narrow" w:hAnsi="Arial Narrow"/>
                <w:sz w:val="20"/>
                <w:szCs w:val="20"/>
              </w:rPr>
              <w:t>S</w:t>
            </w:r>
            <w:r w:rsidRPr="00CB2844">
              <w:rPr>
                <w:rFonts w:ascii="Arial Narrow" w:hAnsi="Arial Narrow"/>
                <w:sz w:val="20"/>
                <w:szCs w:val="20"/>
              </w:rPr>
              <w:t>kyrizi</w:t>
            </w:r>
          </w:p>
        </w:tc>
      </w:tr>
      <w:tr w:rsidR="00A93A3B" w:rsidRPr="00120A12" w14:paraId="67C655D0" w14:textId="77777777" w:rsidTr="00264EE0">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0487C612" w14:textId="77777777" w:rsidR="00A93A3B" w:rsidRPr="00AF6381" w:rsidRDefault="00A93A3B" w:rsidP="00264EE0">
            <w:pPr>
              <w:rPr>
                <w:rFonts w:ascii="Arial Narrow" w:hAnsi="Arial Narrow"/>
                <w:sz w:val="20"/>
                <w:szCs w:val="20"/>
              </w:rPr>
            </w:pPr>
          </w:p>
        </w:tc>
      </w:tr>
      <w:tr w:rsidR="00A93A3B" w:rsidRPr="00120A12" w14:paraId="56296564" w14:textId="77777777" w:rsidTr="00264EE0">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3ED6EC06" w14:textId="77777777" w:rsidR="00A93A3B" w:rsidRPr="00AF6381" w:rsidRDefault="00A93A3B" w:rsidP="00264EE0">
            <w:pPr>
              <w:rPr>
                <w:rFonts w:ascii="Arial Narrow" w:hAnsi="Arial Narrow"/>
                <w:b/>
                <w:sz w:val="20"/>
                <w:szCs w:val="20"/>
              </w:rPr>
            </w:pPr>
            <w:r w:rsidRPr="00AF6381">
              <w:rPr>
                <w:rFonts w:ascii="Arial Narrow" w:hAnsi="Arial Narrow"/>
                <w:b/>
                <w:sz w:val="20"/>
                <w:szCs w:val="20"/>
              </w:rPr>
              <w:t>Restriction Summary [new] 9747 / Treatment of Concept: [new] 9657</w:t>
            </w:r>
          </w:p>
        </w:tc>
      </w:tr>
      <w:tr w:rsidR="00A93A3B" w:rsidRPr="00120A12" w14:paraId="02C565F6" w14:textId="77777777" w:rsidTr="00264EE0">
        <w:tblPrEx>
          <w:tblCellMar>
            <w:top w:w="15" w:type="dxa"/>
            <w:left w:w="15" w:type="dxa"/>
            <w:bottom w:w="15" w:type="dxa"/>
            <w:right w:w="15" w:type="dxa"/>
          </w:tblCellMar>
          <w:tblLook w:val="04A0" w:firstRow="1" w:lastRow="0" w:firstColumn="1" w:lastColumn="0" w:noHBand="0" w:noVBand="1"/>
        </w:tblPrEx>
        <w:tc>
          <w:tcPr>
            <w:tcW w:w="981" w:type="dxa"/>
            <w:gridSpan w:val="2"/>
            <w:vMerge w:val="restart"/>
            <w:tcBorders>
              <w:top w:val="single" w:sz="4" w:space="0" w:color="auto"/>
              <w:left w:val="single" w:sz="4" w:space="0" w:color="auto"/>
              <w:right w:val="single" w:sz="4" w:space="0" w:color="auto"/>
            </w:tcBorders>
          </w:tcPr>
          <w:p w14:paraId="0D23848C" w14:textId="77777777" w:rsidR="00A93A3B" w:rsidRPr="00AF6381" w:rsidRDefault="00A93A3B" w:rsidP="00264EE0">
            <w:pPr>
              <w:jc w:val="center"/>
              <w:rPr>
                <w:rFonts w:ascii="Arial Narrow" w:hAnsi="Arial Narrow"/>
                <w:b/>
                <w:sz w:val="20"/>
                <w:szCs w:val="20"/>
              </w:rPr>
            </w:pPr>
            <w:r w:rsidRPr="00AF6381">
              <w:rPr>
                <w:rFonts w:ascii="Arial Narrow" w:hAnsi="Arial Narrow"/>
                <w:b/>
                <w:sz w:val="20"/>
                <w:szCs w:val="20"/>
              </w:rPr>
              <w:t>Concept ID</w:t>
            </w:r>
          </w:p>
          <w:p w14:paraId="26A0B2D2" w14:textId="77777777" w:rsidR="00A93A3B" w:rsidRPr="00AF6381" w:rsidRDefault="00A93A3B" w:rsidP="00264EE0">
            <w:pPr>
              <w:rPr>
                <w:rFonts w:ascii="Arial Narrow" w:hAnsi="Arial Narrow"/>
                <w:i/>
                <w:sz w:val="20"/>
                <w:szCs w:val="20"/>
              </w:rPr>
            </w:pPr>
          </w:p>
          <w:p w14:paraId="527A8058" w14:textId="6EFD7401" w:rsidR="00A93A3B" w:rsidRPr="00AF6381" w:rsidRDefault="00A93A3B" w:rsidP="00092C71">
            <w:pPr>
              <w:jc w:val="center"/>
              <w:rPr>
                <w:rFonts w:ascii="Arial Narrow" w:hAnsi="Arial Narrow"/>
                <w:b/>
                <w:sz w:val="20"/>
                <w:szCs w:val="20"/>
              </w:rPr>
            </w:pPr>
            <w:r w:rsidRPr="00AF6381">
              <w:rPr>
                <w:rFonts w:ascii="Arial Narrow" w:hAnsi="Arial Narrow"/>
                <w:sz w:val="20"/>
                <w:szCs w:val="20"/>
              </w:rPr>
              <w:t>(for internal Dept. use)</w:t>
            </w:r>
          </w:p>
        </w:tc>
        <w:tc>
          <w:tcPr>
            <w:tcW w:w="8086" w:type="dxa"/>
            <w:gridSpan w:val="6"/>
            <w:tcBorders>
              <w:top w:val="single" w:sz="4" w:space="0" w:color="auto"/>
              <w:left w:val="single" w:sz="4" w:space="0" w:color="auto"/>
              <w:bottom w:val="single" w:sz="4" w:space="0" w:color="auto"/>
              <w:right w:val="single" w:sz="4" w:space="0" w:color="auto"/>
            </w:tcBorders>
          </w:tcPr>
          <w:p w14:paraId="409A83F7" w14:textId="77777777" w:rsidR="00A93A3B" w:rsidRPr="00120A12" w:rsidRDefault="00A93A3B" w:rsidP="00264EE0">
            <w:pPr>
              <w:rPr>
                <w:rFonts w:ascii="Arial Narrow" w:hAnsi="Arial Narrow"/>
                <w:sz w:val="18"/>
                <w:szCs w:val="18"/>
              </w:rPr>
            </w:pPr>
            <w:r w:rsidRPr="001428E9">
              <w:rPr>
                <w:rFonts w:ascii="Arial Narrow" w:hAnsi="Arial Narrow"/>
                <w:b/>
                <w:sz w:val="20"/>
                <w:szCs w:val="20"/>
              </w:rPr>
              <w:t xml:space="preserve">Category / Program: </w:t>
            </w:r>
            <w:r w:rsidRPr="00D62485">
              <w:rPr>
                <w:rFonts w:ascii="Arial Narrow" w:hAnsi="Arial Narrow"/>
                <w:bCs/>
                <w:sz w:val="20"/>
                <w:szCs w:val="20"/>
              </w:rPr>
              <w:t>GENERAL – General Schedule (Code GE)</w:t>
            </w:r>
          </w:p>
        </w:tc>
      </w:tr>
      <w:tr w:rsidR="00A93A3B" w:rsidRPr="00120A12" w14:paraId="104F91EB" w14:textId="77777777" w:rsidTr="00264EE0">
        <w:tblPrEx>
          <w:tblCellMar>
            <w:top w:w="15" w:type="dxa"/>
            <w:left w:w="15" w:type="dxa"/>
            <w:bottom w:w="15" w:type="dxa"/>
            <w:right w:w="15" w:type="dxa"/>
          </w:tblCellMar>
          <w:tblLook w:val="04A0" w:firstRow="1" w:lastRow="0" w:firstColumn="1" w:lastColumn="0" w:noHBand="0" w:noVBand="1"/>
        </w:tblPrEx>
        <w:trPr>
          <w:trHeight w:val="240"/>
        </w:trPr>
        <w:tc>
          <w:tcPr>
            <w:tcW w:w="981" w:type="dxa"/>
            <w:gridSpan w:val="2"/>
            <w:vMerge/>
            <w:tcBorders>
              <w:left w:val="single" w:sz="4" w:space="0" w:color="auto"/>
              <w:right w:val="single" w:sz="4" w:space="0" w:color="auto"/>
            </w:tcBorders>
          </w:tcPr>
          <w:p w14:paraId="69E54FED" w14:textId="77777777" w:rsidR="00A93A3B" w:rsidRPr="00AF6381" w:rsidRDefault="00A93A3B" w:rsidP="00264EE0">
            <w:pP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1D3834D5" w14:textId="77777777" w:rsidR="00A93A3B" w:rsidRPr="00772067" w:rsidRDefault="00A93A3B" w:rsidP="00264EE0">
            <w:pPr>
              <w:rPr>
                <w:rFonts w:ascii="Arial Narrow" w:hAnsi="Arial Narrow"/>
                <w:b/>
                <w:sz w:val="18"/>
                <w:szCs w:val="18"/>
              </w:rPr>
            </w:pPr>
            <w:r w:rsidRPr="001428E9">
              <w:rPr>
                <w:rFonts w:ascii="Arial Narrow" w:hAnsi="Arial Narrow"/>
                <w:b/>
                <w:sz w:val="20"/>
                <w:szCs w:val="20"/>
              </w:rPr>
              <w:t>Prescriber type:</w:t>
            </w:r>
            <w:r>
              <w:rPr>
                <w:rFonts w:ascii="Arial Narrow" w:hAnsi="Arial Narrow"/>
                <w:b/>
                <w:sz w:val="20"/>
                <w:szCs w:val="20"/>
              </w:rPr>
              <w:t xml:space="preserve"> </w:t>
            </w:r>
            <w:r>
              <w:rPr>
                <w:rFonts w:ascii="Arial Narrow" w:hAnsi="Arial Narrow"/>
                <w:sz w:val="20"/>
                <w:szCs w:val="20"/>
              </w:rPr>
              <w:fldChar w:fldCharType="begin" w:fldLock="1">
                <w:ffData>
                  <w:name w:val=""/>
                  <w:enabled/>
                  <w:calcOnExit w:val="0"/>
                  <w:checkBox>
                    <w:sizeAuto/>
                    <w:default w:val="1"/>
                  </w:checkBox>
                </w:ffData>
              </w:fldChar>
            </w:r>
            <w:r>
              <w:rPr>
                <w:rFonts w:ascii="Arial Narrow" w:hAnsi="Arial Narrow"/>
                <w:sz w:val="20"/>
                <w:szCs w:val="20"/>
              </w:rPr>
              <w:instrText xml:space="preserve"> FORMCHECKBOX </w:instrText>
            </w:r>
            <w:r w:rsidR="00DE4045">
              <w:rPr>
                <w:rFonts w:ascii="Arial Narrow" w:hAnsi="Arial Narrow"/>
                <w:sz w:val="20"/>
                <w:szCs w:val="20"/>
              </w:rPr>
            </w:r>
            <w:r w:rsidR="00DE4045">
              <w:rPr>
                <w:rFonts w:ascii="Arial Narrow" w:hAnsi="Arial Narrow"/>
                <w:sz w:val="20"/>
                <w:szCs w:val="20"/>
              </w:rPr>
              <w:fldChar w:fldCharType="separate"/>
            </w:r>
            <w:r>
              <w:rPr>
                <w:rFonts w:ascii="Arial Narrow" w:hAnsi="Arial Narrow"/>
                <w:sz w:val="20"/>
                <w:szCs w:val="20"/>
              </w:rPr>
              <w:fldChar w:fldCharType="end"/>
            </w:r>
            <w:r w:rsidRPr="001428E9">
              <w:rPr>
                <w:rFonts w:ascii="Arial Narrow" w:hAnsi="Arial Narrow"/>
                <w:sz w:val="20"/>
                <w:szCs w:val="20"/>
              </w:rPr>
              <w:t>Medical Practitioners</w:t>
            </w:r>
          </w:p>
        </w:tc>
      </w:tr>
      <w:tr w:rsidR="00A93A3B" w:rsidRPr="00120A12" w14:paraId="7B61DAA1" w14:textId="77777777" w:rsidTr="00264EE0">
        <w:tblPrEx>
          <w:tblCellMar>
            <w:top w:w="15" w:type="dxa"/>
            <w:left w:w="15" w:type="dxa"/>
            <w:bottom w:w="15" w:type="dxa"/>
            <w:right w:w="15" w:type="dxa"/>
          </w:tblCellMar>
          <w:tblLook w:val="04A0" w:firstRow="1" w:lastRow="0" w:firstColumn="1" w:lastColumn="0" w:noHBand="0" w:noVBand="1"/>
        </w:tblPrEx>
        <w:trPr>
          <w:trHeight w:val="462"/>
        </w:trPr>
        <w:tc>
          <w:tcPr>
            <w:tcW w:w="981" w:type="dxa"/>
            <w:gridSpan w:val="2"/>
            <w:vMerge/>
            <w:tcBorders>
              <w:left w:val="single" w:sz="4" w:space="0" w:color="auto"/>
              <w:bottom w:val="single" w:sz="4" w:space="0" w:color="auto"/>
              <w:right w:val="single" w:sz="4" w:space="0" w:color="auto"/>
            </w:tcBorders>
          </w:tcPr>
          <w:p w14:paraId="579DA33C" w14:textId="77777777" w:rsidR="00A93A3B" w:rsidRPr="00AF6381" w:rsidRDefault="00A93A3B" w:rsidP="00264EE0">
            <w:pP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558C1DD8" w14:textId="77777777" w:rsidR="00A93A3B" w:rsidRPr="00677540" w:rsidRDefault="00A93A3B" w:rsidP="00264EE0">
            <w:pPr>
              <w:rPr>
                <w:rFonts w:ascii="Arial Narrow" w:eastAsia="Calibri" w:hAnsi="Arial Narrow"/>
                <w:color w:val="FF00FF"/>
                <w:sz w:val="18"/>
                <w:szCs w:val="18"/>
              </w:rPr>
            </w:pPr>
            <w:r w:rsidRPr="001428E9">
              <w:rPr>
                <w:rFonts w:ascii="Arial Narrow" w:hAnsi="Arial Narrow"/>
                <w:b/>
                <w:sz w:val="20"/>
                <w:szCs w:val="20"/>
              </w:rPr>
              <w:t xml:space="preserve">Restriction type: </w:t>
            </w:r>
            <w:r>
              <w:rPr>
                <w:rFonts w:ascii="Arial Narrow" w:eastAsia="Calibri" w:hAnsi="Arial Narrow"/>
                <w:sz w:val="20"/>
                <w:szCs w:val="20"/>
              </w:rPr>
              <w:fldChar w:fldCharType="begin" w:fldLock="1">
                <w:ffData>
                  <w:name w:val=""/>
                  <w:enabled/>
                  <w:calcOnExit w:val="0"/>
                  <w:checkBox>
                    <w:sizeAuto/>
                    <w:default w:val="1"/>
                  </w:checkBox>
                </w:ffData>
              </w:fldChar>
            </w:r>
            <w:r>
              <w:rPr>
                <w:rFonts w:ascii="Arial Narrow" w:eastAsia="Calibri" w:hAnsi="Arial Narrow"/>
                <w:sz w:val="20"/>
                <w:szCs w:val="20"/>
              </w:rPr>
              <w:instrText xml:space="preserve"> FORMCHECKBOX </w:instrText>
            </w:r>
            <w:r w:rsidR="00DE4045">
              <w:rPr>
                <w:rFonts w:ascii="Arial Narrow" w:eastAsia="Calibri" w:hAnsi="Arial Narrow"/>
                <w:sz w:val="20"/>
                <w:szCs w:val="20"/>
              </w:rPr>
            </w:r>
            <w:r w:rsidR="00DE4045">
              <w:rPr>
                <w:rFonts w:ascii="Arial Narrow" w:eastAsia="Calibri" w:hAnsi="Arial Narrow"/>
                <w:sz w:val="20"/>
                <w:szCs w:val="20"/>
              </w:rPr>
              <w:fldChar w:fldCharType="separate"/>
            </w:r>
            <w:r>
              <w:rPr>
                <w:rFonts w:ascii="Arial Narrow" w:eastAsia="Calibri" w:hAnsi="Arial Narrow"/>
                <w:sz w:val="20"/>
                <w:szCs w:val="20"/>
              </w:rPr>
              <w:fldChar w:fldCharType="end"/>
            </w:r>
            <w:r w:rsidRPr="00B351A5">
              <w:rPr>
                <w:rFonts w:ascii="Arial Narrow" w:eastAsia="Calibri" w:hAnsi="Arial Narrow"/>
                <w:i/>
                <w:iCs/>
                <w:sz w:val="20"/>
                <w:szCs w:val="20"/>
              </w:rPr>
              <w:t xml:space="preserve"> Authority Required –</w:t>
            </w:r>
            <w:r>
              <w:rPr>
                <w:rFonts w:ascii="Arial Narrow" w:eastAsia="Calibri" w:hAnsi="Arial Narrow"/>
                <w:sz w:val="20"/>
                <w:szCs w:val="20"/>
              </w:rPr>
              <w:t xml:space="preserve">  </w:t>
            </w:r>
            <w:r w:rsidRPr="00F153F0">
              <w:rPr>
                <w:rFonts w:ascii="Arial Narrow" w:eastAsia="Calibri" w:hAnsi="Arial Narrow"/>
                <w:strike/>
                <w:sz w:val="20"/>
                <w:szCs w:val="20"/>
              </w:rPr>
              <w:t>Telephone</w:t>
            </w:r>
            <w:r>
              <w:rPr>
                <w:rFonts w:ascii="Arial Narrow" w:eastAsia="Calibri" w:hAnsi="Arial Narrow"/>
                <w:sz w:val="20"/>
                <w:szCs w:val="20"/>
              </w:rPr>
              <w:t xml:space="preserve"> </w:t>
            </w:r>
            <w:r>
              <w:rPr>
                <w:rFonts w:ascii="Arial Narrow" w:eastAsia="Calibri" w:hAnsi="Arial Narrow"/>
                <w:i/>
                <w:iCs/>
                <w:sz w:val="20"/>
                <w:szCs w:val="20"/>
              </w:rPr>
              <w:t>In writing</w:t>
            </w:r>
          </w:p>
        </w:tc>
      </w:tr>
      <w:tr w:rsidR="00A93A3B" w:rsidRPr="00120A12" w14:paraId="29A923C9" w14:textId="77777777" w:rsidTr="00264EE0">
        <w:tblPrEx>
          <w:tblCellMar>
            <w:top w:w="15" w:type="dxa"/>
            <w:left w:w="15" w:type="dxa"/>
            <w:bottom w:w="15" w:type="dxa"/>
            <w:right w:w="15" w:type="dxa"/>
          </w:tblCellMar>
          <w:tblLook w:val="04A0" w:firstRow="1" w:lastRow="0" w:firstColumn="1" w:lastColumn="0" w:noHBand="0" w:noVBand="1"/>
        </w:tblPrEx>
        <w:tc>
          <w:tcPr>
            <w:tcW w:w="490" w:type="dxa"/>
            <w:vMerge w:val="restart"/>
            <w:tcBorders>
              <w:left w:val="single" w:sz="4" w:space="0" w:color="auto"/>
              <w:right w:val="single" w:sz="4" w:space="0" w:color="auto"/>
            </w:tcBorders>
            <w:vAlign w:val="center"/>
          </w:tcPr>
          <w:p w14:paraId="740D59A8" w14:textId="0C583F7B" w:rsidR="00A93A3B" w:rsidRPr="00AF6381" w:rsidRDefault="00A93A3B" w:rsidP="00264EE0">
            <w:pPr>
              <w:rPr>
                <w:rFonts w:ascii="Arial Narrow" w:hAnsi="Arial Narrow"/>
                <w:sz w:val="20"/>
                <w:szCs w:val="20"/>
              </w:rPr>
            </w:pPr>
          </w:p>
        </w:tc>
        <w:tc>
          <w:tcPr>
            <w:tcW w:w="491" w:type="dxa"/>
            <w:tcBorders>
              <w:left w:val="single" w:sz="4" w:space="0" w:color="auto"/>
              <w:bottom w:val="single" w:sz="4" w:space="0" w:color="auto"/>
              <w:right w:val="single" w:sz="4" w:space="0" w:color="auto"/>
            </w:tcBorders>
            <w:vAlign w:val="center"/>
          </w:tcPr>
          <w:p w14:paraId="3F3575F2" w14:textId="77777777" w:rsidR="00A93A3B" w:rsidRPr="00AF6381" w:rsidRDefault="00A93A3B" w:rsidP="00264EE0">
            <w:pP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00FA9EC2" w14:textId="77777777" w:rsidR="00A93A3B" w:rsidRPr="001428E9" w:rsidRDefault="00A93A3B" w:rsidP="00264EE0">
            <w:pPr>
              <w:rPr>
                <w:rFonts w:ascii="Arial Narrow" w:hAnsi="Arial Narrow"/>
                <w:b/>
                <w:sz w:val="20"/>
                <w:szCs w:val="20"/>
              </w:rPr>
            </w:pPr>
            <w:r w:rsidRPr="00544C3D">
              <w:rPr>
                <w:rFonts w:ascii="Arial Narrow" w:hAnsi="Arial Narrow"/>
                <w:bCs/>
                <w:sz w:val="20"/>
                <w:szCs w:val="20"/>
              </w:rPr>
              <w:t>Add and edit note</w:t>
            </w:r>
            <w:r w:rsidRPr="00544C3D">
              <w:rPr>
                <w:rFonts w:ascii="Arial Narrow" w:eastAsia="Times New Roman" w:hAnsi="Arial Narrow"/>
                <w:bCs/>
                <w:color w:val="333333"/>
                <w:sz w:val="20"/>
                <w:szCs w:val="20"/>
              </w:rPr>
              <w:t xml:space="preserve"> 27712 as above</w:t>
            </w:r>
          </w:p>
        </w:tc>
      </w:tr>
      <w:tr w:rsidR="00A93A3B" w:rsidRPr="00120A12" w14:paraId="2EAD3B46" w14:textId="77777777" w:rsidTr="00264EE0">
        <w:tblPrEx>
          <w:tblCellMar>
            <w:top w:w="15" w:type="dxa"/>
            <w:left w:w="15" w:type="dxa"/>
            <w:bottom w:w="15" w:type="dxa"/>
            <w:right w:w="15" w:type="dxa"/>
          </w:tblCellMar>
          <w:tblLook w:val="04A0" w:firstRow="1" w:lastRow="0" w:firstColumn="1" w:lastColumn="0" w:noHBand="0" w:noVBand="1"/>
        </w:tblPrEx>
        <w:tc>
          <w:tcPr>
            <w:tcW w:w="490" w:type="dxa"/>
            <w:vMerge/>
            <w:tcBorders>
              <w:left w:val="single" w:sz="4" w:space="0" w:color="auto"/>
              <w:right w:val="single" w:sz="4" w:space="0" w:color="auto"/>
            </w:tcBorders>
            <w:vAlign w:val="center"/>
          </w:tcPr>
          <w:p w14:paraId="58CEAF69" w14:textId="77777777" w:rsidR="00A93A3B" w:rsidRPr="00AF6381" w:rsidRDefault="00A93A3B" w:rsidP="00264EE0">
            <w:pPr>
              <w:rPr>
                <w:rFonts w:ascii="Arial Narrow" w:hAnsi="Arial Narrow"/>
                <w:sz w:val="20"/>
                <w:szCs w:val="20"/>
              </w:rPr>
            </w:pPr>
          </w:p>
        </w:tc>
        <w:tc>
          <w:tcPr>
            <w:tcW w:w="491" w:type="dxa"/>
            <w:tcBorders>
              <w:left w:val="single" w:sz="4" w:space="0" w:color="auto"/>
              <w:bottom w:val="single" w:sz="4" w:space="0" w:color="auto"/>
              <w:right w:val="single" w:sz="4" w:space="0" w:color="auto"/>
            </w:tcBorders>
            <w:vAlign w:val="center"/>
          </w:tcPr>
          <w:p w14:paraId="0C2C28E0" w14:textId="30880190" w:rsidR="00A93A3B" w:rsidRPr="00AF6381" w:rsidRDefault="00A93A3B" w:rsidP="00264EE0">
            <w:pP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vAlign w:val="center"/>
          </w:tcPr>
          <w:p w14:paraId="1528CD61" w14:textId="77777777" w:rsidR="00A93A3B" w:rsidRPr="00677B2D" w:rsidRDefault="00A93A3B" w:rsidP="00264EE0">
            <w:pPr>
              <w:rPr>
                <w:rFonts w:ascii="Arial Narrow" w:eastAsia="Times New Roman" w:hAnsi="Arial Narrow"/>
                <w:b/>
                <w:bCs/>
                <w:color w:val="333333"/>
                <w:sz w:val="20"/>
                <w:szCs w:val="20"/>
              </w:rPr>
            </w:pPr>
            <w:r w:rsidRPr="00677B2D">
              <w:rPr>
                <w:rFonts w:ascii="Arial Narrow" w:eastAsia="Times New Roman" w:hAnsi="Arial Narrow"/>
                <w:b/>
                <w:bCs/>
                <w:color w:val="333333"/>
                <w:sz w:val="20"/>
                <w:szCs w:val="20"/>
              </w:rPr>
              <w:t>Administrative Advice:</w:t>
            </w:r>
          </w:p>
          <w:p w14:paraId="595BB7F6" w14:textId="77777777" w:rsidR="00A93A3B" w:rsidRPr="00677B2D" w:rsidRDefault="00A93A3B" w:rsidP="00264EE0">
            <w:pPr>
              <w:rPr>
                <w:rFonts w:ascii="Arial Narrow" w:hAnsi="Arial Narrow"/>
                <w:b/>
                <w:sz w:val="20"/>
                <w:szCs w:val="20"/>
              </w:rPr>
            </w:pPr>
            <w:r w:rsidRPr="00677B2D">
              <w:rPr>
                <w:rFonts w:ascii="Arial Narrow" w:eastAsia="Times New Roman" w:hAnsi="Arial Narrow"/>
                <w:color w:val="333333"/>
                <w:sz w:val="20"/>
                <w:szCs w:val="20"/>
              </w:rPr>
              <w:t>No increase in the maximum quantity or number of units may be authorised.</w:t>
            </w:r>
          </w:p>
        </w:tc>
      </w:tr>
      <w:tr w:rsidR="00A93A3B" w:rsidRPr="00120A12" w14:paraId="11F0DBB3" w14:textId="77777777" w:rsidTr="00264EE0">
        <w:tblPrEx>
          <w:tblCellMar>
            <w:top w:w="15" w:type="dxa"/>
            <w:left w:w="15" w:type="dxa"/>
            <w:bottom w:w="15" w:type="dxa"/>
            <w:right w:w="15" w:type="dxa"/>
          </w:tblCellMar>
          <w:tblLook w:val="04A0" w:firstRow="1" w:lastRow="0" w:firstColumn="1" w:lastColumn="0" w:noHBand="0" w:noVBand="1"/>
        </w:tblPrEx>
        <w:tc>
          <w:tcPr>
            <w:tcW w:w="490" w:type="dxa"/>
            <w:vMerge/>
            <w:tcBorders>
              <w:left w:val="single" w:sz="4" w:space="0" w:color="auto"/>
              <w:right w:val="single" w:sz="4" w:space="0" w:color="auto"/>
            </w:tcBorders>
            <w:vAlign w:val="center"/>
          </w:tcPr>
          <w:p w14:paraId="46C7BD47" w14:textId="77777777" w:rsidR="00A93A3B" w:rsidRPr="00AF6381" w:rsidRDefault="00A93A3B" w:rsidP="00264EE0">
            <w:pPr>
              <w:rPr>
                <w:rFonts w:ascii="Arial Narrow" w:hAnsi="Arial Narrow"/>
                <w:sz w:val="20"/>
                <w:szCs w:val="20"/>
              </w:rPr>
            </w:pPr>
          </w:p>
        </w:tc>
        <w:tc>
          <w:tcPr>
            <w:tcW w:w="491" w:type="dxa"/>
            <w:tcBorders>
              <w:left w:val="single" w:sz="4" w:space="0" w:color="auto"/>
              <w:bottom w:val="single" w:sz="4" w:space="0" w:color="auto"/>
              <w:right w:val="single" w:sz="4" w:space="0" w:color="auto"/>
            </w:tcBorders>
            <w:vAlign w:val="center"/>
          </w:tcPr>
          <w:p w14:paraId="77B52641" w14:textId="6CB0CDC6" w:rsidR="00A93A3B" w:rsidRPr="00AF6381" w:rsidRDefault="00A93A3B" w:rsidP="00264EE0">
            <w:pP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vAlign w:val="center"/>
          </w:tcPr>
          <w:p w14:paraId="7B89872B" w14:textId="77777777" w:rsidR="00A93A3B" w:rsidRPr="00677B2D" w:rsidRDefault="00A93A3B" w:rsidP="00264EE0">
            <w:pPr>
              <w:rPr>
                <w:rFonts w:ascii="Arial Narrow" w:eastAsia="Times New Roman" w:hAnsi="Arial Narrow"/>
                <w:b/>
                <w:bCs/>
                <w:color w:val="333333"/>
                <w:sz w:val="20"/>
                <w:szCs w:val="20"/>
              </w:rPr>
            </w:pPr>
            <w:r w:rsidRPr="00677B2D">
              <w:rPr>
                <w:rFonts w:ascii="Arial Narrow" w:eastAsia="Times New Roman" w:hAnsi="Arial Narrow"/>
                <w:b/>
                <w:bCs/>
                <w:color w:val="333333"/>
                <w:sz w:val="20"/>
                <w:szCs w:val="20"/>
              </w:rPr>
              <w:t>Administrative Advice:</w:t>
            </w:r>
          </w:p>
          <w:p w14:paraId="66136AB0" w14:textId="77777777" w:rsidR="00A93A3B" w:rsidRPr="00677B2D" w:rsidRDefault="00A93A3B" w:rsidP="00264EE0">
            <w:pPr>
              <w:rPr>
                <w:rFonts w:ascii="Arial Narrow" w:hAnsi="Arial Narrow"/>
                <w:b/>
                <w:sz w:val="20"/>
                <w:szCs w:val="20"/>
              </w:rPr>
            </w:pPr>
            <w:r w:rsidRPr="00677B2D">
              <w:rPr>
                <w:rFonts w:ascii="Arial Narrow" w:eastAsia="Times New Roman" w:hAnsi="Arial Narrow"/>
                <w:color w:val="333333"/>
                <w:sz w:val="20"/>
                <w:szCs w:val="20"/>
              </w:rPr>
              <w:t>No increase in the maximum number of repeats may be authorised.</w:t>
            </w:r>
          </w:p>
        </w:tc>
      </w:tr>
      <w:tr w:rsidR="00A93A3B" w:rsidRPr="00120A12" w14:paraId="658D4660" w14:textId="77777777" w:rsidTr="00264EE0">
        <w:tblPrEx>
          <w:tblCellMar>
            <w:top w:w="15" w:type="dxa"/>
            <w:left w:w="15" w:type="dxa"/>
            <w:bottom w:w="15" w:type="dxa"/>
            <w:right w:w="15" w:type="dxa"/>
          </w:tblCellMar>
          <w:tblLook w:val="04A0" w:firstRow="1" w:lastRow="0" w:firstColumn="1" w:lastColumn="0" w:noHBand="0" w:noVBand="1"/>
        </w:tblPrEx>
        <w:tc>
          <w:tcPr>
            <w:tcW w:w="490" w:type="dxa"/>
            <w:vMerge/>
            <w:tcBorders>
              <w:left w:val="single" w:sz="4" w:space="0" w:color="auto"/>
              <w:bottom w:val="single" w:sz="4" w:space="0" w:color="auto"/>
              <w:right w:val="single" w:sz="4" w:space="0" w:color="auto"/>
            </w:tcBorders>
            <w:vAlign w:val="center"/>
          </w:tcPr>
          <w:p w14:paraId="60291BDF" w14:textId="77777777" w:rsidR="00A93A3B" w:rsidRPr="00AF6381" w:rsidRDefault="00A93A3B" w:rsidP="00264EE0">
            <w:pPr>
              <w:rPr>
                <w:rFonts w:ascii="Arial Narrow" w:hAnsi="Arial Narrow"/>
                <w:sz w:val="20"/>
                <w:szCs w:val="20"/>
              </w:rPr>
            </w:pPr>
          </w:p>
        </w:tc>
        <w:tc>
          <w:tcPr>
            <w:tcW w:w="491" w:type="dxa"/>
            <w:tcBorders>
              <w:left w:val="single" w:sz="4" w:space="0" w:color="auto"/>
              <w:bottom w:val="single" w:sz="4" w:space="0" w:color="auto"/>
              <w:right w:val="single" w:sz="4" w:space="0" w:color="auto"/>
            </w:tcBorders>
            <w:vAlign w:val="center"/>
          </w:tcPr>
          <w:p w14:paraId="241F1C8B" w14:textId="55D30450" w:rsidR="00A93A3B" w:rsidRPr="00AF6381" w:rsidRDefault="00A93A3B" w:rsidP="00264EE0">
            <w:pP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vAlign w:val="center"/>
          </w:tcPr>
          <w:p w14:paraId="5896D4DD" w14:textId="77777777" w:rsidR="00A93A3B" w:rsidRPr="00677B2D" w:rsidRDefault="00A93A3B" w:rsidP="00264EE0">
            <w:pPr>
              <w:rPr>
                <w:rFonts w:ascii="Arial Narrow" w:eastAsia="Times New Roman" w:hAnsi="Arial Narrow"/>
                <w:b/>
                <w:bCs/>
                <w:color w:val="333333"/>
                <w:sz w:val="20"/>
                <w:szCs w:val="20"/>
              </w:rPr>
            </w:pPr>
            <w:r w:rsidRPr="00677B2D">
              <w:rPr>
                <w:rFonts w:ascii="Arial Narrow" w:eastAsia="Times New Roman" w:hAnsi="Arial Narrow"/>
                <w:b/>
                <w:bCs/>
                <w:color w:val="333333"/>
                <w:sz w:val="20"/>
                <w:szCs w:val="20"/>
              </w:rPr>
              <w:t>Administrative Advice:</w:t>
            </w:r>
          </w:p>
          <w:p w14:paraId="2D71105B" w14:textId="77777777" w:rsidR="00A93A3B" w:rsidRPr="00677B2D" w:rsidRDefault="00A93A3B" w:rsidP="00264EE0">
            <w:pPr>
              <w:rPr>
                <w:rFonts w:ascii="Arial Narrow" w:hAnsi="Arial Narrow"/>
                <w:b/>
                <w:sz w:val="20"/>
                <w:szCs w:val="20"/>
              </w:rPr>
            </w:pPr>
            <w:r w:rsidRPr="00677B2D">
              <w:rPr>
                <w:rFonts w:ascii="Arial Narrow" w:eastAsia="Times New Roman" w:hAnsi="Arial Narrow"/>
                <w:color w:val="333333"/>
                <w:sz w:val="20"/>
                <w:szCs w:val="20"/>
              </w:rPr>
              <w:t>Special Pricing Arrangements apply.</w:t>
            </w:r>
          </w:p>
        </w:tc>
      </w:tr>
      <w:tr w:rsidR="00A93A3B" w:rsidRPr="00120A12" w14:paraId="40A62A9A" w14:textId="77777777" w:rsidTr="00092C71">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77D1D07A" w14:textId="1B5953BF" w:rsidR="00A93A3B" w:rsidRPr="00120A12" w:rsidRDefault="00A93A3B" w:rsidP="00264EE0">
            <w:pPr>
              <w:jc w:val="center"/>
              <w:rPr>
                <w:rFonts w:ascii="Arial Narrow" w:eastAsia="Times New Roman" w:hAnsi="Arial Narrow"/>
                <w:color w:val="333333"/>
                <w:sz w:val="18"/>
                <w:szCs w:val="18"/>
              </w:rPr>
            </w:pPr>
          </w:p>
        </w:tc>
        <w:tc>
          <w:tcPr>
            <w:tcW w:w="8086" w:type="dxa"/>
            <w:gridSpan w:val="6"/>
            <w:vAlign w:val="center"/>
            <w:hideMark/>
          </w:tcPr>
          <w:p w14:paraId="4737BEF9" w14:textId="77777777" w:rsidR="00A93A3B" w:rsidRPr="00120A12" w:rsidRDefault="00A93A3B" w:rsidP="00264EE0">
            <w:pPr>
              <w:rPr>
                <w:rFonts w:ascii="Arial Narrow" w:eastAsia="Times New Roman" w:hAnsi="Arial Narrow"/>
                <w:color w:val="333333"/>
                <w:sz w:val="18"/>
                <w:szCs w:val="18"/>
              </w:rPr>
            </w:pPr>
            <w:r w:rsidRPr="001428E9">
              <w:rPr>
                <w:rFonts w:ascii="Arial Narrow" w:eastAsia="Times New Roman" w:hAnsi="Arial Narrow"/>
                <w:b/>
                <w:bCs/>
                <w:color w:val="333333"/>
                <w:sz w:val="20"/>
                <w:szCs w:val="20"/>
              </w:rPr>
              <w:t>Indication:</w:t>
            </w:r>
            <w:r w:rsidRPr="001428E9">
              <w:rPr>
                <w:rFonts w:ascii="Arial Narrow" w:eastAsia="Times New Roman" w:hAnsi="Arial Narrow"/>
                <w:color w:val="333333"/>
                <w:sz w:val="20"/>
                <w:szCs w:val="20"/>
              </w:rPr>
              <w:t xml:space="preserve"> </w:t>
            </w:r>
            <w:r>
              <w:rPr>
                <w:rFonts w:ascii="Arial Narrow" w:eastAsia="Times New Roman" w:hAnsi="Arial Narrow"/>
                <w:color w:val="333333"/>
                <w:sz w:val="20"/>
                <w:szCs w:val="20"/>
              </w:rPr>
              <w:t>Severe Crohn disease</w:t>
            </w:r>
          </w:p>
        </w:tc>
      </w:tr>
      <w:tr w:rsidR="00A93A3B" w:rsidRPr="00B90897" w14:paraId="5323BDAC" w14:textId="77777777" w:rsidTr="00092C71">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41BD2F1C" w14:textId="77777777" w:rsidR="00A93A3B" w:rsidRPr="00120A12" w:rsidRDefault="00A93A3B" w:rsidP="00264EE0">
            <w:pPr>
              <w:jc w:val="center"/>
              <w:rPr>
                <w:rFonts w:ascii="Arial Narrow" w:eastAsia="Times New Roman" w:hAnsi="Arial Narrow"/>
                <w:color w:val="333333"/>
                <w:sz w:val="18"/>
                <w:szCs w:val="18"/>
              </w:rPr>
            </w:pPr>
          </w:p>
        </w:tc>
        <w:tc>
          <w:tcPr>
            <w:tcW w:w="8086" w:type="dxa"/>
            <w:gridSpan w:val="6"/>
            <w:vAlign w:val="center"/>
            <w:hideMark/>
          </w:tcPr>
          <w:p w14:paraId="11C524DC" w14:textId="77777777" w:rsidR="00A93A3B" w:rsidRPr="00B90897" w:rsidRDefault="00A93A3B" w:rsidP="00264EE0">
            <w:pPr>
              <w:rPr>
                <w:rFonts w:ascii="Arial Narrow" w:eastAsia="Times New Roman" w:hAnsi="Arial Narrow"/>
                <w:color w:val="FF00FF"/>
                <w:sz w:val="18"/>
                <w:szCs w:val="18"/>
              </w:rPr>
            </w:pPr>
            <w:r w:rsidRPr="001428E9">
              <w:rPr>
                <w:rFonts w:ascii="Arial Narrow" w:eastAsia="Times New Roman" w:hAnsi="Arial Narrow"/>
                <w:b/>
                <w:bCs/>
                <w:color w:val="333333"/>
                <w:sz w:val="20"/>
                <w:szCs w:val="20"/>
              </w:rPr>
              <w:t>Treatment Phase:</w:t>
            </w:r>
            <w:r w:rsidRPr="001428E9">
              <w:rPr>
                <w:rFonts w:ascii="Arial Narrow" w:eastAsia="Times New Roman" w:hAnsi="Arial Narrow"/>
                <w:color w:val="FF0000"/>
                <w:sz w:val="20"/>
                <w:szCs w:val="20"/>
              </w:rPr>
              <w:t xml:space="preserve"> </w:t>
            </w:r>
            <w:r w:rsidRPr="0087017B">
              <w:rPr>
                <w:rFonts w:ascii="Arial Narrow" w:eastAsia="Times New Roman" w:hAnsi="Arial Narrow"/>
                <w:sz w:val="20"/>
                <w:szCs w:val="20"/>
              </w:rPr>
              <w:t>Continuing treatment</w:t>
            </w:r>
          </w:p>
        </w:tc>
      </w:tr>
      <w:tr w:rsidR="00A93A3B" w:rsidRPr="007F2BB2" w14:paraId="209E73EE" w14:textId="77777777" w:rsidTr="00092C71">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1D3060B4" w14:textId="4CEE8254" w:rsidR="00A93A3B" w:rsidRPr="00120A12" w:rsidRDefault="00A93A3B" w:rsidP="00264EE0">
            <w:pPr>
              <w:jc w:val="center"/>
              <w:rPr>
                <w:rFonts w:ascii="Arial Narrow" w:eastAsia="Times New Roman" w:hAnsi="Arial Narrow"/>
                <w:color w:val="333333"/>
                <w:sz w:val="18"/>
                <w:szCs w:val="18"/>
              </w:rPr>
            </w:pPr>
          </w:p>
        </w:tc>
        <w:tc>
          <w:tcPr>
            <w:tcW w:w="8086" w:type="dxa"/>
            <w:gridSpan w:val="6"/>
            <w:vAlign w:val="center"/>
            <w:hideMark/>
          </w:tcPr>
          <w:p w14:paraId="63FA9E79" w14:textId="77777777" w:rsidR="00A93A3B" w:rsidRPr="007F2BB2" w:rsidRDefault="00A93A3B" w:rsidP="00264EE0">
            <w:pPr>
              <w:rPr>
                <w:rFonts w:ascii="Arial Narrow" w:eastAsia="Times New Roman" w:hAnsi="Arial Narrow"/>
                <w:color w:val="FF00FF"/>
                <w:sz w:val="18"/>
                <w:szCs w:val="18"/>
              </w:rPr>
            </w:pPr>
            <w:r>
              <w:rPr>
                <w:rFonts w:ascii="Arial Narrow" w:eastAsia="Times New Roman" w:hAnsi="Arial Narrow"/>
                <w:b/>
                <w:bCs/>
                <w:color w:val="333333"/>
                <w:sz w:val="20"/>
                <w:szCs w:val="20"/>
              </w:rPr>
              <w:t xml:space="preserve">Clinical criteria: </w:t>
            </w:r>
          </w:p>
        </w:tc>
      </w:tr>
      <w:tr w:rsidR="00A93A3B" w:rsidRPr="00720161" w14:paraId="7EF455BA" w14:textId="77777777" w:rsidTr="00092C71">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79D2417B" w14:textId="750AB657" w:rsidR="00A93A3B" w:rsidRPr="00120A12" w:rsidRDefault="00A93A3B" w:rsidP="00264EE0">
            <w:pPr>
              <w:jc w:val="center"/>
              <w:rPr>
                <w:rFonts w:ascii="Arial Narrow" w:eastAsia="Times New Roman" w:hAnsi="Arial Narrow"/>
                <w:color w:val="333333"/>
                <w:sz w:val="18"/>
                <w:szCs w:val="18"/>
              </w:rPr>
            </w:pPr>
          </w:p>
        </w:tc>
        <w:tc>
          <w:tcPr>
            <w:tcW w:w="8086" w:type="dxa"/>
            <w:gridSpan w:val="6"/>
            <w:vAlign w:val="center"/>
            <w:hideMark/>
          </w:tcPr>
          <w:p w14:paraId="12270B97" w14:textId="77777777" w:rsidR="00A93A3B" w:rsidRPr="00720161" w:rsidRDefault="00A93A3B" w:rsidP="00264EE0">
            <w:pPr>
              <w:rPr>
                <w:rFonts w:ascii="Arial Narrow" w:eastAsia="Times New Roman" w:hAnsi="Arial Narrow"/>
                <w:color w:val="333333"/>
                <w:sz w:val="18"/>
                <w:szCs w:val="18"/>
              </w:rPr>
            </w:pPr>
            <w:r>
              <w:rPr>
                <w:rFonts w:ascii="Arial Narrow" w:eastAsia="Times New Roman" w:hAnsi="Arial Narrow"/>
                <w:color w:val="333333"/>
                <w:sz w:val="20"/>
                <w:szCs w:val="20"/>
              </w:rPr>
              <w:t>Patient must have received this drug as their most recent course of PBS-subsidised biological medicine treatment for this condition</w:t>
            </w:r>
          </w:p>
        </w:tc>
      </w:tr>
      <w:tr w:rsidR="00A93A3B" w:rsidRPr="00120A12" w14:paraId="46AC0A91" w14:textId="77777777" w:rsidTr="00092C71">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7E89B169" w14:textId="77777777" w:rsidR="00A93A3B" w:rsidRPr="00120A12" w:rsidRDefault="00A93A3B" w:rsidP="00264EE0">
            <w:pPr>
              <w:jc w:val="center"/>
              <w:rPr>
                <w:rFonts w:ascii="Arial Narrow" w:eastAsia="Times New Roman" w:hAnsi="Arial Narrow"/>
                <w:color w:val="333333"/>
                <w:sz w:val="18"/>
                <w:szCs w:val="18"/>
              </w:rPr>
            </w:pPr>
          </w:p>
        </w:tc>
        <w:tc>
          <w:tcPr>
            <w:tcW w:w="8086" w:type="dxa"/>
            <w:gridSpan w:val="6"/>
            <w:vAlign w:val="center"/>
            <w:hideMark/>
          </w:tcPr>
          <w:p w14:paraId="0367F844" w14:textId="77777777" w:rsidR="00A93A3B" w:rsidRPr="00120A12" w:rsidRDefault="00A93A3B" w:rsidP="00264EE0">
            <w:pPr>
              <w:rPr>
                <w:rFonts w:ascii="Arial Narrow" w:eastAsia="Times New Roman" w:hAnsi="Arial Narrow"/>
                <w:color w:val="333333"/>
                <w:sz w:val="18"/>
                <w:szCs w:val="18"/>
              </w:rPr>
            </w:pPr>
            <w:r w:rsidRPr="007E3DAB">
              <w:rPr>
                <w:rFonts w:ascii="Arial Narrow" w:eastAsia="Times New Roman" w:hAnsi="Arial Narrow"/>
                <w:b/>
                <w:bCs/>
                <w:color w:val="333333"/>
                <w:sz w:val="20"/>
                <w:szCs w:val="20"/>
              </w:rPr>
              <w:t>AND</w:t>
            </w:r>
          </w:p>
        </w:tc>
      </w:tr>
      <w:tr w:rsidR="00A93A3B" w:rsidRPr="00120A12" w14:paraId="0FB33F6F" w14:textId="77777777" w:rsidTr="00264EE0">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511E298D" w14:textId="3702220A" w:rsidR="00A93A3B" w:rsidRPr="00120A12" w:rsidRDefault="00A93A3B" w:rsidP="00264EE0">
            <w:pPr>
              <w:jc w:val="center"/>
              <w:rPr>
                <w:rFonts w:ascii="Arial Narrow" w:eastAsia="Times New Roman" w:hAnsi="Arial Narrow"/>
                <w:color w:val="333333"/>
                <w:sz w:val="18"/>
                <w:szCs w:val="18"/>
              </w:rPr>
            </w:pPr>
          </w:p>
        </w:tc>
        <w:tc>
          <w:tcPr>
            <w:tcW w:w="8086" w:type="dxa"/>
            <w:gridSpan w:val="6"/>
            <w:vAlign w:val="center"/>
            <w:hideMark/>
          </w:tcPr>
          <w:p w14:paraId="0D2CEE00" w14:textId="77777777" w:rsidR="00A93A3B" w:rsidRPr="00120A12" w:rsidRDefault="00A93A3B" w:rsidP="00264EE0">
            <w:pPr>
              <w:rPr>
                <w:rFonts w:ascii="Arial Narrow" w:eastAsia="Times New Roman" w:hAnsi="Arial Narrow"/>
                <w:color w:val="333333"/>
                <w:sz w:val="18"/>
                <w:szCs w:val="18"/>
              </w:rPr>
            </w:pPr>
            <w:r>
              <w:rPr>
                <w:rFonts w:ascii="Arial Narrow" w:eastAsia="Times New Roman" w:hAnsi="Arial Narrow"/>
                <w:b/>
                <w:bCs/>
                <w:color w:val="333333"/>
                <w:sz w:val="20"/>
                <w:szCs w:val="20"/>
              </w:rPr>
              <w:t>Clinical Criteria</w:t>
            </w:r>
          </w:p>
        </w:tc>
      </w:tr>
      <w:tr w:rsidR="00A93A3B" w:rsidRPr="00720161" w14:paraId="4AFA2665" w14:textId="77777777" w:rsidTr="00264EE0">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6A953919" w14:textId="67E0ABFA" w:rsidR="00A93A3B" w:rsidRPr="00120A12" w:rsidRDefault="00A93A3B" w:rsidP="00264EE0">
            <w:pPr>
              <w:jc w:val="center"/>
              <w:rPr>
                <w:rFonts w:ascii="Arial Narrow" w:eastAsia="Times New Roman" w:hAnsi="Arial Narrow"/>
                <w:color w:val="333333"/>
                <w:sz w:val="18"/>
                <w:szCs w:val="18"/>
              </w:rPr>
            </w:pPr>
          </w:p>
        </w:tc>
        <w:tc>
          <w:tcPr>
            <w:tcW w:w="8086" w:type="dxa"/>
            <w:gridSpan w:val="6"/>
            <w:vAlign w:val="center"/>
            <w:hideMark/>
          </w:tcPr>
          <w:p w14:paraId="79BC61A0" w14:textId="77777777" w:rsidR="00A93A3B" w:rsidRPr="00720161" w:rsidRDefault="00A93A3B" w:rsidP="00264EE0">
            <w:pPr>
              <w:rPr>
                <w:rFonts w:ascii="Arial Narrow" w:eastAsia="Times New Roman" w:hAnsi="Arial Narrow"/>
                <w:color w:val="FF0000"/>
                <w:sz w:val="18"/>
                <w:szCs w:val="18"/>
              </w:rPr>
            </w:pPr>
            <w:r>
              <w:rPr>
                <w:rFonts w:ascii="Arial Narrow" w:eastAsia="Times New Roman" w:hAnsi="Arial Narrow"/>
                <w:color w:val="333333"/>
                <w:sz w:val="20"/>
                <w:szCs w:val="20"/>
              </w:rPr>
              <w:t xml:space="preserve">Patient must have an adequate response to this drug define as a reduction in Crohn Disease Activity Index (CDAI) Score to a level no greater than 150 if assessed by CDAI or if affected by extensive small intestine disease; or </w:t>
            </w:r>
          </w:p>
        </w:tc>
      </w:tr>
      <w:tr w:rsidR="00A93A3B" w:rsidRPr="00120A12" w14:paraId="576D8C4E" w14:textId="77777777" w:rsidTr="00264EE0">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799FC07D" w14:textId="31328790" w:rsidR="00A93A3B" w:rsidRPr="00120A12" w:rsidRDefault="00A93A3B" w:rsidP="00264EE0">
            <w:pPr>
              <w:jc w:val="center"/>
              <w:rPr>
                <w:rFonts w:ascii="Arial Narrow" w:eastAsia="Times New Roman" w:hAnsi="Arial Narrow"/>
                <w:color w:val="333333"/>
                <w:sz w:val="18"/>
                <w:szCs w:val="18"/>
              </w:rPr>
            </w:pPr>
          </w:p>
        </w:tc>
        <w:tc>
          <w:tcPr>
            <w:tcW w:w="8086" w:type="dxa"/>
            <w:gridSpan w:val="6"/>
            <w:vAlign w:val="center"/>
            <w:hideMark/>
          </w:tcPr>
          <w:p w14:paraId="00A86669" w14:textId="77777777" w:rsidR="00A93A3B" w:rsidRPr="00120A12" w:rsidRDefault="00A93A3B" w:rsidP="00264EE0">
            <w:pPr>
              <w:rPr>
                <w:rFonts w:ascii="Arial Narrow" w:eastAsia="Times New Roman" w:hAnsi="Arial Narrow"/>
                <w:color w:val="333333"/>
                <w:sz w:val="18"/>
                <w:szCs w:val="18"/>
              </w:rPr>
            </w:pPr>
            <w:r w:rsidRPr="0087017B">
              <w:rPr>
                <w:rFonts w:ascii="Arial Narrow" w:eastAsia="Times New Roman" w:hAnsi="Arial Narrow"/>
                <w:color w:val="333333"/>
                <w:sz w:val="20"/>
                <w:szCs w:val="20"/>
              </w:rPr>
              <w:t xml:space="preserve">Patient must have an adequate response to this drug defined as (a) an improvement of intestinal inflammation as demonstrated by: (i) blood: normalisation of the platelet count, or an erythrocyte sedimentation rate (ESR) level no greater than 25 mm per hour, or a C-reactive protein (CRP) level no greater than 15 mg per L; or (ii) </w:t>
            </w:r>
            <w:r w:rsidRPr="0087017B">
              <w:rPr>
                <w:rFonts w:ascii="Arial Narrow" w:eastAsia="Times New Roman" w:hAnsi="Arial Narrow"/>
                <w:color w:val="333333"/>
                <w:sz w:val="20"/>
                <w:szCs w:val="20"/>
              </w:rPr>
              <w:lastRenderedPageBreak/>
              <w:t>faeces: normalisation of lactoferrin or calprotectin level; or (iii) evidence of mucosal healing, as demonstrated by diagnostic imaging findings, compared to the baseline assessment; or (b) reversal of high faecal output state; or (c) avoidance of the need for surgery or total parenteral nutrition (TPN), if affected by short gut syndrome, extensive small intestine or is an ostomy patient</w:t>
            </w:r>
          </w:p>
        </w:tc>
      </w:tr>
      <w:tr w:rsidR="00A93A3B" w:rsidRPr="00120A12" w14:paraId="1BA71BAA" w14:textId="77777777" w:rsidTr="00264EE0">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20AC7517" w14:textId="77777777" w:rsidR="00A93A3B" w:rsidRPr="00120A12" w:rsidRDefault="00A93A3B" w:rsidP="00264EE0">
            <w:pPr>
              <w:jc w:val="center"/>
              <w:rPr>
                <w:rFonts w:ascii="Arial Narrow" w:eastAsia="Times New Roman" w:hAnsi="Arial Narrow"/>
                <w:color w:val="333333"/>
                <w:sz w:val="18"/>
                <w:szCs w:val="18"/>
              </w:rPr>
            </w:pPr>
          </w:p>
        </w:tc>
        <w:tc>
          <w:tcPr>
            <w:tcW w:w="8086" w:type="dxa"/>
            <w:gridSpan w:val="6"/>
            <w:vAlign w:val="center"/>
            <w:hideMark/>
          </w:tcPr>
          <w:p w14:paraId="1314AFC0" w14:textId="77777777" w:rsidR="00A93A3B" w:rsidRPr="00120A12" w:rsidRDefault="00A93A3B" w:rsidP="00264EE0">
            <w:pPr>
              <w:rPr>
                <w:rFonts w:ascii="Arial Narrow" w:eastAsia="Times New Roman" w:hAnsi="Arial Narrow"/>
                <w:color w:val="333333"/>
                <w:sz w:val="18"/>
                <w:szCs w:val="18"/>
              </w:rPr>
            </w:pPr>
            <w:r w:rsidRPr="0087017B">
              <w:rPr>
                <w:rFonts w:ascii="Arial Narrow" w:eastAsia="Times New Roman" w:hAnsi="Arial Narrow"/>
                <w:b/>
                <w:bCs/>
                <w:sz w:val="20"/>
                <w:szCs w:val="20"/>
              </w:rPr>
              <w:t>AND</w:t>
            </w:r>
          </w:p>
        </w:tc>
      </w:tr>
      <w:tr w:rsidR="00A93A3B" w:rsidRPr="00120A12" w14:paraId="55345294" w14:textId="77777777" w:rsidTr="00264EE0">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74DD0419" w14:textId="7A876ECF" w:rsidR="00A93A3B" w:rsidRPr="00120A12" w:rsidRDefault="00A93A3B" w:rsidP="00264EE0">
            <w:pPr>
              <w:jc w:val="center"/>
              <w:rPr>
                <w:rFonts w:ascii="Arial Narrow" w:eastAsia="Times New Roman" w:hAnsi="Arial Narrow"/>
                <w:color w:val="333333"/>
                <w:sz w:val="18"/>
                <w:szCs w:val="18"/>
              </w:rPr>
            </w:pPr>
          </w:p>
        </w:tc>
        <w:tc>
          <w:tcPr>
            <w:tcW w:w="8086" w:type="dxa"/>
            <w:gridSpan w:val="6"/>
            <w:vAlign w:val="center"/>
            <w:hideMark/>
          </w:tcPr>
          <w:p w14:paraId="5DF32DE3" w14:textId="77777777" w:rsidR="00A93A3B" w:rsidRPr="00120A12" w:rsidRDefault="00A93A3B" w:rsidP="00264EE0">
            <w:pPr>
              <w:rPr>
                <w:rFonts w:ascii="Arial Narrow" w:eastAsia="Times New Roman" w:hAnsi="Arial Narrow"/>
                <w:color w:val="333333"/>
                <w:sz w:val="18"/>
                <w:szCs w:val="18"/>
              </w:rPr>
            </w:pPr>
            <w:r w:rsidRPr="007E3DAB">
              <w:rPr>
                <w:rFonts w:ascii="Arial Narrow" w:eastAsia="Times New Roman" w:hAnsi="Arial Narrow"/>
                <w:b/>
                <w:bCs/>
                <w:sz w:val="20"/>
                <w:szCs w:val="20"/>
              </w:rPr>
              <w:t>Clinical criteria:</w:t>
            </w:r>
          </w:p>
        </w:tc>
      </w:tr>
      <w:tr w:rsidR="00A93A3B" w:rsidRPr="00120A12" w14:paraId="393349EE" w14:textId="77777777" w:rsidTr="00264EE0">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5350CDEF" w14:textId="38B2F0B0" w:rsidR="00A93A3B" w:rsidRPr="00120A12" w:rsidRDefault="00A93A3B" w:rsidP="00264EE0">
            <w:pPr>
              <w:jc w:val="center"/>
              <w:rPr>
                <w:rFonts w:ascii="Arial Narrow" w:eastAsia="Times New Roman" w:hAnsi="Arial Narrow"/>
                <w:color w:val="333333"/>
                <w:sz w:val="18"/>
                <w:szCs w:val="18"/>
              </w:rPr>
            </w:pPr>
          </w:p>
        </w:tc>
        <w:tc>
          <w:tcPr>
            <w:tcW w:w="8086" w:type="dxa"/>
            <w:gridSpan w:val="6"/>
            <w:vAlign w:val="center"/>
            <w:hideMark/>
          </w:tcPr>
          <w:p w14:paraId="5DF91F51" w14:textId="77777777" w:rsidR="00A93A3B" w:rsidRPr="00120A12" w:rsidRDefault="00A93A3B" w:rsidP="00264EE0">
            <w:pPr>
              <w:rPr>
                <w:rFonts w:ascii="Arial Narrow" w:eastAsia="Times New Roman" w:hAnsi="Arial Narrow"/>
                <w:color w:val="333333"/>
                <w:sz w:val="18"/>
                <w:szCs w:val="18"/>
              </w:rPr>
            </w:pPr>
            <w:r w:rsidRPr="0087017B">
              <w:rPr>
                <w:rFonts w:ascii="Arial Narrow" w:eastAsia="Times New Roman" w:hAnsi="Arial Narrow"/>
                <w:color w:val="333333"/>
                <w:sz w:val="20"/>
                <w:szCs w:val="20"/>
              </w:rPr>
              <w:t>Patient must not receive more than 24 weeks of treatment under this restrictio</w:t>
            </w:r>
            <w:r>
              <w:rPr>
                <w:rFonts w:ascii="Arial Narrow" w:eastAsia="Times New Roman" w:hAnsi="Arial Narrow"/>
                <w:color w:val="333333"/>
                <w:sz w:val="20"/>
                <w:szCs w:val="20"/>
              </w:rPr>
              <w:t>n</w:t>
            </w:r>
          </w:p>
        </w:tc>
      </w:tr>
      <w:tr w:rsidR="00A93A3B" w:rsidRPr="00120A12" w14:paraId="4FE3073C" w14:textId="77777777" w:rsidTr="00264EE0">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7FA811B0" w14:textId="43C86295" w:rsidR="00A93A3B" w:rsidRPr="00120A12" w:rsidRDefault="00A93A3B" w:rsidP="00264EE0">
            <w:pPr>
              <w:jc w:val="center"/>
              <w:rPr>
                <w:rFonts w:ascii="Arial Narrow" w:eastAsia="Times New Roman" w:hAnsi="Arial Narrow"/>
                <w:color w:val="333333"/>
                <w:sz w:val="18"/>
                <w:szCs w:val="18"/>
              </w:rPr>
            </w:pPr>
          </w:p>
        </w:tc>
        <w:tc>
          <w:tcPr>
            <w:tcW w:w="8086" w:type="dxa"/>
            <w:gridSpan w:val="6"/>
            <w:vAlign w:val="center"/>
            <w:hideMark/>
          </w:tcPr>
          <w:p w14:paraId="6DBB9228" w14:textId="77777777" w:rsidR="00A93A3B" w:rsidRPr="00120A12" w:rsidRDefault="00A93A3B" w:rsidP="00264EE0">
            <w:pPr>
              <w:autoSpaceDE w:val="0"/>
              <w:autoSpaceDN w:val="0"/>
              <w:adjustRightInd w:val="0"/>
              <w:rPr>
                <w:rFonts w:ascii="Arial Narrow" w:hAnsi="Arial Narrow" w:cs="Arial Narrow"/>
                <w:i/>
                <w:iCs/>
                <w:sz w:val="20"/>
                <w:szCs w:val="20"/>
              </w:rPr>
            </w:pPr>
            <w:r>
              <w:rPr>
                <w:rFonts w:ascii="Arial Narrow" w:hAnsi="Arial Narrow"/>
                <w:b/>
                <w:sz w:val="20"/>
              </w:rPr>
              <w:t>Population criteria</w:t>
            </w:r>
          </w:p>
        </w:tc>
      </w:tr>
      <w:tr w:rsidR="00A93A3B" w:rsidRPr="003D201F" w14:paraId="73B36D1B" w14:textId="77777777" w:rsidTr="00264EE0">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539968A1" w14:textId="797AD560" w:rsidR="00A93A3B" w:rsidRDefault="00A93A3B" w:rsidP="00264EE0">
            <w:pPr>
              <w:jc w:val="center"/>
              <w:rPr>
                <w:rFonts w:ascii="Arial Narrow" w:eastAsia="Times New Roman" w:hAnsi="Arial Narrow"/>
                <w:color w:val="333333"/>
                <w:sz w:val="18"/>
                <w:szCs w:val="18"/>
              </w:rPr>
            </w:pPr>
          </w:p>
        </w:tc>
        <w:tc>
          <w:tcPr>
            <w:tcW w:w="8086" w:type="dxa"/>
            <w:gridSpan w:val="6"/>
            <w:vAlign w:val="center"/>
          </w:tcPr>
          <w:p w14:paraId="3F4FCE8A" w14:textId="77777777" w:rsidR="00A93A3B" w:rsidRPr="003D201F" w:rsidRDefault="00A93A3B" w:rsidP="00264EE0">
            <w:pPr>
              <w:autoSpaceDE w:val="0"/>
              <w:autoSpaceDN w:val="0"/>
              <w:adjustRightInd w:val="0"/>
              <w:rPr>
                <w:rFonts w:ascii="Arial Narrow" w:hAnsi="Arial Narrow" w:cs="Arial Narrow"/>
                <w:i/>
                <w:iCs/>
                <w:sz w:val="18"/>
                <w:szCs w:val="18"/>
              </w:rPr>
            </w:pPr>
            <w:r w:rsidRPr="0087017B">
              <w:rPr>
                <w:rFonts w:ascii="Arial Narrow" w:hAnsi="Arial Narrow"/>
                <w:sz w:val="20"/>
              </w:rPr>
              <w:t>Patient must be aged 18 years or older</w:t>
            </w:r>
          </w:p>
        </w:tc>
      </w:tr>
      <w:tr w:rsidR="00A93A3B" w14:paraId="748AE26B" w14:textId="77777777" w:rsidTr="00264EE0">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456D9101" w14:textId="7858CF9D" w:rsidR="00A93A3B" w:rsidRDefault="00A93A3B" w:rsidP="00264EE0">
            <w:pPr>
              <w:jc w:val="center"/>
              <w:rPr>
                <w:rFonts w:ascii="Arial Narrow" w:eastAsia="Times New Roman" w:hAnsi="Arial Narrow"/>
                <w:color w:val="333333"/>
                <w:sz w:val="18"/>
                <w:szCs w:val="18"/>
              </w:rPr>
            </w:pPr>
          </w:p>
        </w:tc>
        <w:tc>
          <w:tcPr>
            <w:tcW w:w="8086" w:type="dxa"/>
            <w:gridSpan w:val="6"/>
            <w:vAlign w:val="center"/>
          </w:tcPr>
          <w:p w14:paraId="1760B84B" w14:textId="77777777" w:rsidR="00A93A3B" w:rsidRDefault="00A93A3B" w:rsidP="00264EE0">
            <w:pPr>
              <w:rPr>
                <w:rFonts w:ascii="Arial Narrow" w:eastAsia="Times New Roman" w:hAnsi="Arial Narrow"/>
                <w:b/>
                <w:bCs/>
                <w:color w:val="333333"/>
                <w:sz w:val="18"/>
                <w:szCs w:val="18"/>
              </w:rPr>
            </w:pPr>
            <w:r w:rsidRPr="004D70A1">
              <w:rPr>
                <w:rFonts w:ascii="Arial Narrow" w:hAnsi="Arial Narrow"/>
                <w:b/>
                <w:sz w:val="20"/>
              </w:rPr>
              <w:t>Treatment criteria:</w:t>
            </w:r>
          </w:p>
        </w:tc>
      </w:tr>
      <w:tr w:rsidR="00A93A3B" w14:paraId="117104A3" w14:textId="77777777" w:rsidTr="00264EE0">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0F1D2686" w14:textId="0221B11A" w:rsidR="00A93A3B" w:rsidRDefault="00A93A3B" w:rsidP="00264EE0">
            <w:pPr>
              <w:jc w:val="center"/>
              <w:rPr>
                <w:rFonts w:ascii="Arial Narrow" w:eastAsia="Times New Roman" w:hAnsi="Arial Narrow"/>
                <w:color w:val="333333"/>
                <w:sz w:val="18"/>
                <w:szCs w:val="18"/>
              </w:rPr>
            </w:pPr>
          </w:p>
        </w:tc>
        <w:tc>
          <w:tcPr>
            <w:tcW w:w="8086" w:type="dxa"/>
            <w:gridSpan w:val="6"/>
            <w:vAlign w:val="center"/>
          </w:tcPr>
          <w:p w14:paraId="6C5B9BB3" w14:textId="77777777" w:rsidR="00A93A3B" w:rsidRDefault="00A93A3B" w:rsidP="00264EE0">
            <w:pPr>
              <w:rPr>
                <w:rFonts w:ascii="Arial Narrow" w:eastAsia="Times New Roman" w:hAnsi="Arial Narrow"/>
                <w:b/>
                <w:bCs/>
                <w:color w:val="333333"/>
                <w:sz w:val="18"/>
                <w:szCs w:val="18"/>
              </w:rPr>
            </w:pPr>
            <w:r w:rsidRPr="004D70A1">
              <w:rPr>
                <w:rFonts w:ascii="Arial Narrow" w:eastAsia="Times New Roman" w:hAnsi="Arial Narrow"/>
                <w:bCs/>
                <w:color w:val="333333"/>
                <w:sz w:val="20"/>
                <w:szCs w:val="20"/>
              </w:rPr>
              <w:t>Must be treated by a gastroenterologist (code 87); or</w:t>
            </w:r>
          </w:p>
        </w:tc>
      </w:tr>
      <w:tr w:rsidR="00A93A3B" w:rsidRPr="00120A12" w14:paraId="74023EA8" w14:textId="77777777" w:rsidTr="00264EE0">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37CB9631" w14:textId="6193D7AF" w:rsidR="00A93A3B" w:rsidRPr="00120A12" w:rsidRDefault="00A93A3B" w:rsidP="00264EE0">
            <w:pPr>
              <w:jc w:val="center"/>
              <w:rPr>
                <w:rFonts w:ascii="Arial Narrow" w:eastAsia="Times New Roman" w:hAnsi="Arial Narrow"/>
                <w:color w:val="333333"/>
                <w:sz w:val="18"/>
                <w:szCs w:val="18"/>
              </w:rPr>
            </w:pPr>
          </w:p>
        </w:tc>
        <w:tc>
          <w:tcPr>
            <w:tcW w:w="8086" w:type="dxa"/>
            <w:gridSpan w:val="6"/>
            <w:vAlign w:val="center"/>
            <w:hideMark/>
          </w:tcPr>
          <w:p w14:paraId="184D9964" w14:textId="77777777" w:rsidR="00A93A3B" w:rsidRPr="00120A12" w:rsidRDefault="00A93A3B" w:rsidP="00264EE0">
            <w:pPr>
              <w:rPr>
                <w:rFonts w:ascii="Arial Narrow" w:eastAsia="Times New Roman" w:hAnsi="Arial Narrow"/>
                <w:color w:val="333333"/>
                <w:sz w:val="18"/>
                <w:szCs w:val="18"/>
              </w:rPr>
            </w:pPr>
            <w:r w:rsidRPr="004D70A1">
              <w:rPr>
                <w:rFonts w:ascii="Arial Narrow" w:eastAsia="Times New Roman" w:hAnsi="Arial Narrow"/>
                <w:bCs/>
                <w:color w:val="333333"/>
                <w:sz w:val="20"/>
                <w:szCs w:val="20"/>
              </w:rPr>
              <w:t>Must be treated by a consultant physician [internal medicine specialising in gastroenterology (code 81)]; or</w:t>
            </w:r>
          </w:p>
        </w:tc>
      </w:tr>
      <w:tr w:rsidR="00A93A3B" w:rsidRPr="00120A12" w14:paraId="7118609E" w14:textId="77777777" w:rsidTr="00092C71">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152AAF1E" w14:textId="7FC638FA" w:rsidR="00A93A3B" w:rsidRPr="00120A12" w:rsidRDefault="00A93A3B" w:rsidP="00264EE0">
            <w:pPr>
              <w:jc w:val="center"/>
              <w:rPr>
                <w:rFonts w:ascii="Arial Narrow" w:eastAsia="Times New Roman" w:hAnsi="Arial Narrow"/>
                <w:color w:val="333333"/>
                <w:sz w:val="18"/>
                <w:szCs w:val="18"/>
              </w:rPr>
            </w:pPr>
          </w:p>
        </w:tc>
        <w:tc>
          <w:tcPr>
            <w:tcW w:w="8086" w:type="dxa"/>
            <w:gridSpan w:val="6"/>
            <w:vAlign w:val="center"/>
            <w:hideMark/>
          </w:tcPr>
          <w:p w14:paraId="218CBD95" w14:textId="77777777" w:rsidR="00A93A3B" w:rsidRPr="004D70A1" w:rsidRDefault="00A93A3B" w:rsidP="00264EE0">
            <w:pPr>
              <w:rPr>
                <w:rFonts w:ascii="Arial Narrow" w:eastAsia="Times New Roman" w:hAnsi="Arial Narrow"/>
                <w:bCs/>
                <w:color w:val="333333"/>
                <w:sz w:val="20"/>
                <w:szCs w:val="20"/>
              </w:rPr>
            </w:pPr>
            <w:r w:rsidRPr="004D70A1">
              <w:rPr>
                <w:rFonts w:ascii="Arial Narrow" w:eastAsia="Times New Roman" w:hAnsi="Arial Narrow"/>
                <w:bCs/>
                <w:color w:val="333333"/>
                <w:sz w:val="20"/>
                <w:szCs w:val="20"/>
              </w:rPr>
              <w:t>Must be treated by a consultant physician [general medicine specialising in gastroenterology (code 82)]</w:t>
            </w:r>
          </w:p>
          <w:p w14:paraId="2F51D300" w14:textId="77777777" w:rsidR="00A93A3B" w:rsidRPr="00120A12" w:rsidRDefault="00A93A3B" w:rsidP="00264EE0">
            <w:pPr>
              <w:rPr>
                <w:rFonts w:ascii="Arial Narrow" w:eastAsia="Times New Roman" w:hAnsi="Arial Narrow"/>
                <w:color w:val="333333"/>
                <w:sz w:val="18"/>
                <w:szCs w:val="18"/>
              </w:rPr>
            </w:pPr>
          </w:p>
        </w:tc>
      </w:tr>
      <w:tr w:rsidR="00A93A3B" w14:paraId="6B56009C" w14:textId="77777777" w:rsidTr="00264EE0">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4F3F8163" w14:textId="77777777" w:rsidR="00A93A3B" w:rsidRDefault="00A93A3B" w:rsidP="00264EE0">
            <w:pPr>
              <w:jc w:val="center"/>
              <w:rPr>
                <w:rFonts w:ascii="Arial Narrow" w:eastAsia="Times New Roman" w:hAnsi="Arial Narrow"/>
                <w:color w:val="333333"/>
                <w:sz w:val="18"/>
                <w:szCs w:val="18"/>
              </w:rPr>
            </w:pPr>
          </w:p>
        </w:tc>
        <w:tc>
          <w:tcPr>
            <w:tcW w:w="8086" w:type="dxa"/>
            <w:gridSpan w:val="6"/>
            <w:vAlign w:val="center"/>
          </w:tcPr>
          <w:p w14:paraId="525393B2" w14:textId="77777777" w:rsidR="00A93A3B" w:rsidRDefault="00A93A3B" w:rsidP="00264EE0">
            <w:pPr>
              <w:rPr>
                <w:rFonts w:ascii="Arial Narrow" w:eastAsia="Times New Roman" w:hAnsi="Arial Narrow"/>
                <w:color w:val="333333"/>
                <w:sz w:val="18"/>
                <w:szCs w:val="18"/>
              </w:rPr>
            </w:pPr>
            <w:r w:rsidRPr="007E3DAB">
              <w:rPr>
                <w:rFonts w:ascii="Arial Narrow" w:eastAsia="Times New Roman" w:hAnsi="Arial Narrow"/>
                <w:b/>
                <w:color w:val="333333"/>
                <w:sz w:val="20"/>
                <w:szCs w:val="20"/>
              </w:rPr>
              <w:t xml:space="preserve">Prescriber Instructions </w:t>
            </w:r>
          </w:p>
        </w:tc>
      </w:tr>
      <w:tr w:rsidR="00A93A3B" w14:paraId="26C16AB3" w14:textId="77777777" w:rsidTr="00264EE0">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5D623E8E" w14:textId="7284CEF2" w:rsidR="00A93A3B" w:rsidRDefault="00A93A3B" w:rsidP="00264EE0">
            <w:pPr>
              <w:jc w:val="center"/>
              <w:rPr>
                <w:rFonts w:ascii="Arial Narrow" w:eastAsia="Times New Roman" w:hAnsi="Arial Narrow"/>
                <w:color w:val="333333"/>
                <w:sz w:val="18"/>
                <w:szCs w:val="18"/>
              </w:rPr>
            </w:pPr>
            <w:bookmarkStart w:id="59" w:name="_Hlk103346600"/>
          </w:p>
        </w:tc>
        <w:tc>
          <w:tcPr>
            <w:tcW w:w="8086" w:type="dxa"/>
            <w:gridSpan w:val="6"/>
            <w:vAlign w:val="center"/>
          </w:tcPr>
          <w:p w14:paraId="1D06BE5B" w14:textId="77777777" w:rsidR="00A93A3B" w:rsidRDefault="00A93A3B" w:rsidP="00264EE0">
            <w:pPr>
              <w:rPr>
                <w:rFonts w:ascii="Arial Narrow" w:eastAsia="Times New Roman" w:hAnsi="Arial Narrow"/>
                <w:color w:val="333333"/>
                <w:sz w:val="18"/>
                <w:szCs w:val="18"/>
              </w:rPr>
            </w:pPr>
            <w:r w:rsidRPr="0087017B">
              <w:rPr>
                <w:rFonts w:ascii="Arial Narrow" w:eastAsia="Times New Roman" w:hAnsi="Arial Narrow"/>
                <w:bCs/>
                <w:color w:val="333333"/>
                <w:sz w:val="20"/>
                <w:szCs w:val="20"/>
              </w:rPr>
              <w:t>Applications for authorisation must be made in writing and must include:, (a) a completed authority prescription form; and, (b) a completed Crohn Disease PBS Authority Application - Supporting Information Form which includes the following:, (i) the completed Crohn Disease Activity Index (CDAI) Score calculation sheet including the date of the assessment of the patient's condition, if relevant; or, (ii) the reports and dates of the pathology test or diagnostic imaging test(s) used to assess response to therapy for patients with short gut syndrome, extensive small intestine disease or an ostomy, if relevant; and, (iii) the date of clinical assessment.</w:t>
            </w:r>
          </w:p>
        </w:tc>
      </w:tr>
      <w:bookmarkEnd w:id="59"/>
      <w:tr w:rsidR="00A93A3B" w14:paraId="48814899" w14:textId="77777777" w:rsidTr="00264EE0">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65270CFF" w14:textId="6C040B21" w:rsidR="00A93A3B" w:rsidRDefault="00A93A3B" w:rsidP="00264EE0">
            <w:pPr>
              <w:jc w:val="center"/>
              <w:rPr>
                <w:rFonts w:ascii="Arial Narrow" w:eastAsia="Times New Roman" w:hAnsi="Arial Narrow"/>
                <w:color w:val="333333"/>
                <w:sz w:val="18"/>
                <w:szCs w:val="18"/>
              </w:rPr>
            </w:pPr>
          </w:p>
        </w:tc>
        <w:tc>
          <w:tcPr>
            <w:tcW w:w="8086" w:type="dxa"/>
            <w:gridSpan w:val="6"/>
            <w:vAlign w:val="center"/>
          </w:tcPr>
          <w:p w14:paraId="262A86C7" w14:textId="77777777" w:rsidR="00A93A3B" w:rsidRDefault="00A93A3B" w:rsidP="00264EE0">
            <w:pPr>
              <w:rPr>
                <w:rFonts w:ascii="Arial Narrow" w:eastAsia="Times New Roman" w:hAnsi="Arial Narrow"/>
                <w:color w:val="333333"/>
                <w:sz w:val="18"/>
                <w:szCs w:val="18"/>
              </w:rPr>
            </w:pPr>
            <w:r w:rsidRPr="0087017B">
              <w:rPr>
                <w:rFonts w:ascii="Arial Narrow" w:eastAsia="Times New Roman" w:hAnsi="Arial Narrow"/>
                <w:bCs/>
                <w:color w:val="333333"/>
                <w:sz w:val="20"/>
                <w:szCs w:val="20"/>
              </w:rPr>
              <w:t>All assessments, pathology tests, and diagnostic imaging studies must be made within 1 month of the date of application.</w:t>
            </w:r>
          </w:p>
        </w:tc>
      </w:tr>
      <w:tr w:rsidR="00A93A3B" w:rsidRPr="00E03D40" w14:paraId="2D633ED1" w14:textId="77777777" w:rsidTr="00092C71">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22CAFA4A" w14:textId="722BDC82" w:rsidR="00A93A3B" w:rsidRPr="00120A12" w:rsidRDefault="00A93A3B" w:rsidP="00264EE0">
            <w:pPr>
              <w:jc w:val="center"/>
              <w:rPr>
                <w:rFonts w:ascii="Arial Narrow" w:eastAsia="Times New Roman" w:hAnsi="Arial Narrow"/>
                <w:color w:val="333333"/>
                <w:sz w:val="18"/>
                <w:szCs w:val="18"/>
              </w:rPr>
            </w:pPr>
          </w:p>
        </w:tc>
        <w:tc>
          <w:tcPr>
            <w:tcW w:w="8086" w:type="dxa"/>
            <w:gridSpan w:val="6"/>
            <w:vAlign w:val="center"/>
            <w:hideMark/>
          </w:tcPr>
          <w:p w14:paraId="5FF0A127" w14:textId="77777777" w:rsidR="00A93A3B" w:rsidRPr="00E03D40" w:rsidRDefault="00A93A3B" w:rsidP="00264EE0">
            <w:pPr>
              <w:rPr>
                <w:rFonts w:ascii="Arial Narrow" w:eastAsia="Times New Roman" w:hAnsi="Arial Narrow"/>
                <w:color w:val="FF00FF"/>
                <w:sz w:val="18"/>
                <w:szCs w:val="18"/>
              </w:rPr>
            </w:pPr>
            <w:r w:rsidRPr="0087017B">
              <w:rPr>
                <w:rFonts w:ascii="Arial Narrow" w:eastAsia="Times New Roman" w:hAnsi="Arial Narrow"/>
                <w:bCs/>
                <w:color w:val="333333"/>
                <w:sz w:val="20"/>
                <w:szCs w:val="20"/>
              </w:rPr>
              <w:t>An application for continuing treatment with this drug must include a measurement of response to the most recent course of PBS-subsidised therapy. This assessment must be conducted no later than 4 weeks from the cessation of that treatment course. If the application is the first application for continuing treatment with this drug, it must be accompanied by an assessment of response to a minimum of 12 weeks of treatment with the initial treatment course.</w:t>
            </w:r>
          </w:p>
        </w:tc>
      </w:tr>
      <w:tr w:rsidR="00A93A3B" w:rsidRPr="00120A12" w14:paraId="4462D16C" w14:textId="77777777" w:rsidTr="00092C71">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536DB61C" w14:textId="17B75A3F" w:rsidR="00A93A3B" w:rsidRPr="00120A12" w:rsidRDefault="00A93A3B" w:rsidP="00264EE0">
            <w:pPr>
              <w:jc w:val="center"/>
              <w:rPr>
                <w:rFonts w:ascii="Arial Narrow" w:eastAsia="Times New Roman" w:hAnsi="Arial Narrow"/>
                <w:color w:val="333333"/>
                <w:sz w:val="18"/>
                <w:szCs w:val="18"/>
              </w:rPr>
            </w:pPr>
          </w:p>
        </w:tc>
        <w:tc>
          <w:tcPr>
            <w:tcW w:w="8086" w:type="dxa"/>
            <w:gridSpan w:val="6"/>
            <w:vAlign w:val="center"/>
            <w:hideMark/>
          </w:tcPr>
          <w:p w14:paraId="32F03660" w14:textId="77777777" w:rsidR="00A93A3B" w:rsidRPr="00120A12" w:rsidRDefault="00A93A3B" w:rsidP="00264EE0">
            <w:pPr>
              <w:rPr>
                <w:rFonts w:ascii="Arial Narrow" w:eastAsia="Times New Roman" w:hAnsi="Arial Narrow"/>
                <w:color w:val="333333"/>
                <w:sz w:val="18"/>
                <w:szCs w:val="18"/>
              </w:rPr>
            </w:pPr>
            <w:r w:rsidRPr="0087017B">
              <w:rPr>
                <w:rFonts w:ascii="Arial Narrow" w:eastAsia="Times New Roman" w:hAnsi="Arial Narrow"/>
                <w:bCs/>
                <w:color w:val="333333"/>
                <w:sz w:val="20"/>
                <w:szCs w:val="20"/>
              </w:rPr>
              <w:t xml:space="preserve">The assessment of the patient's response to a continuing course of therapy must be made within the 4 weeks prior to completion of that course and posted to the </w:t>
            </w:r>
            <w:r w:rsidRPr="00710320">
              <w:rPr>
                <w:rFonts w:ascii="Arial Narrow" w:eastAsia="Times New Roman" w:hAnsi="Arial Narrow"/>
                <w:bCs/>
                <w:strike/>
                <w:color w:val="333333"/>
                <w:sz w:val="20"/>
                <w:szCs w:val="20"/>
              </w:rPr>
              <w:t>Department of Human</w:t>
            </w:r>
            <w:r w:rsidRPr="0087017B">
              <w:rPr>
                <w:rFonts w:ascii="Arial Narrow" w:eastAsia="Times New Roman" w:hAnsi="Arial Narrow"/>
                <w:bCs/>
                <w:color w:val="333333"/>
                <w:sz w:val="20"/>
                <w:szCs w:val="20"/>
              </w:rPr>
              <w:t xml:space="preserve"> Services </w:t>
            </w:r>
            <w:r>
              <w:rPr>
                <w:rFonts w:ascii="Arial Narrow" w:eastAsia="Times New Roman" w:hAnsi="Arial Narrow"/>
                <w:bCs/>
                <w:i/>
                <w:iCs/>
                <w:color w:val="333333"/>
                <w:sz w:val="20"/>
                <w:szCs w:val="20"/>
              </w:rPr>
              <w:t xml:space="preserve">Australia </w:t>
            </w:r>
            <w:r w:rsidRPr="0087017B">
              <w:rPr>
                <w:rFonts w:ascii="Arial Narrow" w:eastAsia="Times New Roman" w:hAnsi="Arial Narrow"/>
                <w:bCs/>
                <w:color w:val="333333"/>
                <w:sz w:val="20"/>
                <w:szCs w:val="20"/>
              </w:rPr>
              <w:t>no less than 2 weeks prior to the date the next dose is scheduled, in order to ensure continuity of treatment for those patients who meet the continuation criterion.</w:t>
            </w:r>
          </w:p>
        </w:tc>
      </w:tr>
      <w:tr w:rsidR="00A93A3B" w:rsidRPr="00120A12" w14:paraId="26D8A008" w14:textId="77777777" w:rsidTr="00092C71">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1E090031" w14:textId="700DCF77" w:rsidR="00A93A3B" w:rsidRPr="00120A12" w:rsidRDefault="00A93A3B" w:rsidP="00264EE0">
            <w:pPr>
              <w:jc w:val="center"/>
              <w:rPr>
                <w:rFonts w:ascii="Arial Narrow" w:eastAsia="Times New Roman" w:hAnsi="Arial Narrow"/>
                <w:color w:val="333333"/>
                <w:sz w:val="18"/>
                <w:szCs w:val="18"/>
              </w:rPr>
            </w:pPr>
          </w:p>
        </w:tc>
        <w:tc>
          <w:tcPr>
            <w:tcW w:w="8086" w:type="dxa"/>
            <w:gridSpan w:val="6"/>
            <w:vAlign w:val="center"/>
            <w:hideMark/>
          </w:tcPr>
          <w:p w14:paraId="5A59171D" w14:textId="77777777" w:rsidR="00A93A3B" w:rsidRPr="00120A12" w:rsidRDefault="00A93A3B" w:rsidP="00264EE0">
            <w:pPr>
              <w:rPr>
                <w:rFonts w:ascii="Arial Narrow" w:eastAsia="Times New Roman" w:hAnsi="Arial Narrow"/>
                <w:color w:val="333333"/>
                <w:sz w:val="18"/>
                <w:szCs w:val="18"/>
              </w:rPr>
            </w:pPr>
            <w:r w:rsidRPr="00F153F0">
              <w:rPr>
                <w:rFonts w:ascii="Arial Narrow" w:eastAsia="Times New Roman" w:hAnsi="Arial Narrow"/>
                <w:bCs/>
                <w:color w:val="333333"/>
                <w:sz w:val="20"/>
                <w:szCs w:val="20"/>
              </w:rPr>
              <w:t>Where an assessment is not submitted within these timeframes, patients will be deemed to have failed to respond, or to have failed to sustain a response, to treatment with this drug.</w:t>
            </w:r>
          </w:p>
        </w:tc>
      </w:tr>
      <w:tr w:rsidR="00A93A3B" w:rsidRPr="0085783D" w14:paraId="023500F8" w14:textId="77777777" w:rsidTr="00264EE0">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5F802D58" w14:textId="5CDD0B5B" w:rsidR="00A93A3B" w:rsidRDefault="00A93A3B" w:rsidP="00264EE0">
            <w:pPr>
              <w:jc w:val="center"/>
              <w:rPr>
                <w:rFonts w:ascii="Arial Narrow" w:eastAsia="Times New Roman" w:hAnsi="Arial Narrow"/>
                <w:color w:val="333333"/>
                <w:sz w:val="18"/>
                <w:szCs w:val="18"/>
              </w:rPr>
            </w:pPr>
          </w:p>
        </w:tc>
        <w:tc>
          <w:tcPr>
            <w:tcW w:w="8086" w:type="dxa"/>
            <w:gridSpan w:val="6"/>
            <w:vAlign w:val="center"/>
          </w:tcPr>
          <w:p w14:paraId="53586C06" w14:textId="77777777" w:rsidR="00A93A3B" w:rsidRPr="0085783D" w:rsidRDefault="00A93A3B" w:rsidP="00264EE0">
            <w:pPr>
              <w:rPr>
                <w:rFonts w:ascii="Arial Narrow" w:eastAsia="Times New Roman" w:hAnsi="Arial Narrow"/>
                <w:bCs/>
                <w:color w:val="333333"/>
                <w:sz w:val="18"/>
                <w:szCs w:val="18"/>
              </w:rPr>
            </w:pPr>
            <w:r w:rsidRPr="0087017B">
              <w:rPr>
                <w:rFonts w:ascii="Arial Narrow" w:eastAsia="Times New Roman" w:hAnsi="Arial Narrow"/>
                <w:bCs/>
                <w:color w:val="333333"/>
                <w:sz w:val="20"/>
                <w:szCs w:val="20"/>
              </w:rP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r>
              <w:rPr>
                <w:rFonts w:ascii="Arial Narrow" w:eastAsia="Times New Roman" w:hAnsi="Arial Narrow"/>
                <w:bCs/>
                <w:color w:val="333333"/>
                <w:sz w:val="20"/>
                <w:szCs w:val="20"/>
              </w:rPr>
              <w:t>.</w:t>
            </w:r>
          </w:p>
        </w:tc>
      </w:tr>
      <w:tr w:rsidR="00A93A3B" w:rsidRPr="0085783D" w14:paraId="13E5D416" w14:textId="77777777" w:rsidTr="00264EE0">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4672D4F4" w14:textId="2709771B" w:rsidR="00A93A3B" w:rsidRDefault="00A93A3B" w:rsidP="00264EE0">
            <w:pPr>
              <w:jc w:val="center"/>
              <w:rPr>
                <w:rFonts w:ascii="Arial Narrow" w:eastAsia="Times New Roman" w:hAnsi="Arial Narrow"/>
                <w:color w:val="333333"/>
                <w:sz w:val="18"/>
                <w:szCs w:val="18"/>
              </w:rPr>
            </w:pPr>
          </w:p>
        </w:tc>
        <w:tc>
          <w:tcPr>
            <w:tcW w:w="8086" w:type="dxa"/>
            <w:gridSpan w:val="6"/>
            <w:vAlign w:val="center"/>
          </w:tcPr>
          <w:p w14:paraId="3E606A96" w14:textId="77777777" w:rsidR="00A93A3B" w:rsidRPr="0085783D" w:rsidRDefault="00A93A3B" w:rsidP="00264EE0">
            <w:pPr>
              <w:rPr>
                <w:rFonts w:ascii="Arial Narrow" w:eastAsia="Times New Roman" w:hAnsi="Arial Narrow"/>
                <w:bCs/>
                <w:color w:val="333333"/>
                <w:sz w:val="18"/>
                <w:szCs w:val="18"/>
              </w:rPr>
            </w:pPr>
            <w:r w:rsidRPr="0087017B">
              <w:rPr>
                <w:rFonts w:ascii="Arial Narrow" w:eastAsia="Times New Roman" w:hAnsi="Arial Narrow"/>
                <w:bCs/>
                <w:color w:val="333333"/>
                <w:sz w:val="20"/>
                <w:szCs w:val="20"/>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r>
      <w:tr w:rsidR="00A93A3B" w:rsidRPr="00120A12" w14:paraId="0A3A6D41" w14:textId="77777777" w:rsidTr="00264EE0">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7306106D" w14:textId="312B0081" w:rsidR="00A93A3B" w:rsidRDefault="00A93A3B" w:rsidP="00264EE0">
            <w:pPr>
              <w:jc w:val="center"/>
              <w:rPr>
                <w:rFonts w:ascii="Arial Narrow" w:eastAsia="Times New Roman" w:hAnsi="Arial Narrow"/>
                <w:color w:val="333333"/>
                <w:sz w:val="18"/>
                <w:szCs w:val="18"/>
              </w:rPr>
            </w:pPr>
          </w:p>
        </w:tc>
        <w:tc>
          <w:tcPr>
            <w:tcW w:w="8086" w:type="dxa"/>
            <w:gridSpan w:val="6"/>
            <w:vAlign w:val="center"/>
          </w:tcPr>
          <w:p w14:paraId="4AB12DE4" w14:textId="77777777" w:rsidR="00A93A3B" w:rsidRPr="00120A12" w:rsidRDefault="00A93A3B" w:rsidP="00264EE0">
            <w:pPr>
              <w:rPr>
                <w:rFonts w:ascii="Arial Narrow" w:eastAsia="Times New Roman" w:hAnsi="Arial Narrow"/>
                <w:b/>
                <w:bCs/>
                <w:color w:val="333333"/>
                <w:sz w:val="18"/>
                <w:szCs w:val="18"/>
              </w:rPr>
            </w:pPr>
            <w:r w:rsidRPr="0087017B">
              <w:rPr>
                <w:rFonts w:ascii="Arial Narrow" w:eastAsia="Times New Roman" w:hAnsi="Arial Narrow"/>
                <w:bCs/>
                <w:color w:val="333333"/>
                <w:sz w:val="20"/>
                <w:szCs w:val="20"/>
              </w:rPr>
              <w:t>Patients are eligible to receive continuing treatment with this drug in courses of up to 24 weeks providing they continue to sustain a response.</w:t>
            </w:r>
          </w:p>
        </w:tc>
      </w:tr>
      <w:tr w:rsidR="00A93A3B" w:rsidRPr="00120A12" w14:paraId="0870D232" w14:textId="77777777" w:rsidTr="00264EE0">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7E7E1FE4" w14:textId="77777777" w:rsidR="00A93A3B" w:rsidRPr="0087017B" w:rsidRDefault="00A93A3B" w:rsidP="00264EE0">
            <w:pPr>
              <w:jc w:val="center"/>
              <w:rPr>
                <w:rFonts w:ascii="Arial Narrow" w:eastAsia="Times New Roman" w:hAnsi="Arial Narrow"/>
                <w:strike/>
                <w:color w:val="333333"/>
                <w:sz w:val="20"/>
                <w:szCs w:val="20"/>
              </w:rPr>
            </w:pPr>
          </w:p>
        </w:tc>
        <w:tc>
          <w:tcPr>
            <w:tcW w:w="8086" w:type="dxa"/>
            <w:gridSpan w:val="6"/>
            <w:vAlign w:val="center"/>
          </w:tcPr>
          <w:p w14:paraId="479A6065" w14:textId="77777777" w:rsidR="00A93A3B" w:rsidRPr="0087017B" w:rsidRDefault="00A93A3B" w:rsidP="00264EE0">
            <w:pPr>
              <w:rPr>
                <w:rFonts w:ascii="Arial Narrow" w:eastAsia="Times New Roman" w:hAnsi="Arial Narrow"/>
                <w:bCs/>
                <w:strike/>
                <w:color w:val="333333"/>
                <w:sz w:val="20"/>
                <w:szCs w:val="20"/>
              </w:rPr>
            </w:pPr>
            <w:r w:rsidRPr="00D62485">
              <w:rPr>
                <w:rFonts w:ascii="Arial Narrow" w:eastAsia="Times New Roman" w:hAnsi="Arial Narrow"/>
                <w:b/>
                <w:bCs/>
                <w:color w:val="333333"/>
                <w:sz w:val="20"/>
                <w:szCs w:val="20"/>
              </w:rPr>
              <w:t>Administrative Advice</w:t>
            </w:r>
          </w:p>
        </w:tc>
      </w:tr>
      <w:tr w:rsidR="00A93A3B" w:rsidRPr="00120A12" w14:paraId="1829925A" w14:textId="77777777" w:rsidTr="00264EE0">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08C506BF" w14:textId="15A64A1E" w:rsidR="00A93A3B" w:rsidRPr="0087017B" w:rsidRDefault="00A93A3B" w:rsidP="00264EE0">
            <w:pPr>
              <w:jc w:val="center"/>
              <w:rPr>
                <w:rFonts w:ascii="Arial Narrow" w:eastAsia="Times New Roman" w:hAnsi="Arial Narrow"/>
                <w:strike/>
                <w:color w:val="333333"/>
                <w:sz w:val="20"/>
                <w:szCs w:val="20"/>
              </w:rPr>
            </w:pPr>
          </w:p>
        </w:tc>
        <w:tc>
          <w:tcPr>
            <w:tcW w:w="8086" w:type="dxa"/>
            <w:gridSpan w:val="6"/>
            <w:vAlign w:val="center"/>
          </w:tcPr>
          <w:p w14:paraId="09A08E5A" w14:textId="77777777" w:rsidR="00A93A3B" w:rsidRPr="00A00479" w:rsidRDefault="00A93A3B" w:rsidP="00264EE0">
            <w:pPr>
              <w:rPr>
                <w:rFonts w:ascii="Arial Narrow" w:hAnsi="Arial Narrow"/>
                <w:sz w:val="20"/>
              </w:rPr>
            </w:pPr>
            <w:r w:rsidRPr="001428E9">
              <w:rPr>
                <w:rFonts w:ascii="Arial Narrow" w:eastAsia="Times New Roman" w:hAnsi="Arial Narrow"/>
                <w:b/>
                <w:bCs/>
                <w:color w:val="333333"/>
                <w:sz w:val="20"/>
                <w:szCs w:val="20"/>
              </w:rPr>
              <w:t>Administrative Advice:</w:t>
            </w:r>
            <w:r w:rsidRPr="001868FF">
              <w:rPr>
                <w:rFonts w:ascii="Arial Narrow" w:hAnsi="Arial Narrow"/>
                <w:sz w:val="20"/>
              </w:rPr>
              <w:t xml:space="preserve"> </w:t>
            </w:r>
            <w:r w:rsidRPr="00A00479">
              <w:rPr>
                <w:rFonts w:ascii="Arial Narrow" w:hAnsi="Arial Narrow"/>
                <w:sz w:val="20"/>
              </w:rPr>
              <w:t>Any queries concerning the arrangements to prescribe may be directed to Services Australia on 1800 700 270 (hours of operation 8 a.m. to 5 p.m. Monday to Friday).</w:t>
            </w:r>
          </w:p>
          <w:p w14:paraId="6F81D8AD" w14:textId="77777777" w:rsidR="00A93A3B" w:rsidRPr="00A00479" w:rsidRDefault="00A93A3B" w:rsidP="00264EE0">
            <w:pPr>
              <w:rPr>
                <w:rFonts w:ascii="Arial Narrow" w:hAnsi="Arial Narrow"/>
                <w:sz w:val="20"/>
              </w:rPr>
            </w:pPr>
          </w:p>
          <w:p w14:paraId="636257B6" w14:textId="77777777" w:rsidR="00A93A3B" w:rsidRPr="00A00479" w:rsidRDefault="00A93A3B" w:rsidP="00264EE0">
            <w:pPr>
              <w:rPr>
                <w:rFonts w:ascii="Arial Narrow" w:hAnsi="Arial Narrow"/>
                <w:sz w:val="20"/>
              </w:rPr>
            </w:pPr>
            <w:r w:rsidRPr="00A00479">
              <w:rPr>
                <w:rFonts w:ascii="Arial Narrow" w:hAnsi="Arial Narrow"/>
                <w:sz w:val="20"/>
              </w:rPr>
              <w:t>Prescribing information (including Authority Application forms and other relevant documentation as applicable) is available on the Services Australia website at www.servicesaustralia.gov.au</w:t>
            </w:r>
          </w:p>
          <w:p w14:paraId="4ECBCC7D" w14:textId="77777777" w:rsidR="00A93A3B" w:rsidRPr="00A00479" w:rsidRDefault="00A93A3B" w:rsidP="00264EE0">
            <w:pPr>
              <w:rPr>
                <w:rFonts w:ascii="Arial Narrow" w:hAnsi="Arial Narrow"/>
                <w:sz w:val="20"/>
              </w:rPr>
            </w:pPr>
          </w:p>
          <w:p w14:paraId="7B70BC69" w14:textId="77777777" w:rsidR="00A93A3B" w:rsidRPr="00A00479" w:rsidRDefault="00A93A3B" w:rsidP="00264EE0">
            <w:pPr>
              <w:rPr>
                <w:rFonts w:ascii="Arial Narrow" w:hAnsi="Arial Narrow"/>
                <w:sz w:val="20"/>
              </w:rPr>
            </w:pPr>
            <w:r w:rsidRPr="00A00479">
              <w:rPr>
                <w:rFonts w:ascii="Arial Narrow" w:hAnsi="Arial Narrow"/>
                <w:sz w:val="20"/>
              </w:rPr>
              <w:t>Applications for authority to prescribe should be submitted online using the form upload facility in Health Professional Online Services (HPOS) at www.servicesaustralia.gov.au/hpos</w:t>
            </w:r>
          </w:p>
          <w:p w14:paraId="2EF902A7" w14:textId="77777777" w:rsidR="00A93A3B" w:rsidRPr="00A00479" w:rsidRDefault="00A93A3B" w:rsidP="00264EE0">
            <w:pPr>
              <w:rPr>
                <w:rFonts w:ascii="Arial Narrow" w:hAnsi="Arial Narrow"/>
                <w:sz w:val="20"/>
              </w:rPr>
            </w:pPr>
          </w:p>
          <w:p w14:paraId="21E799E9" w14:textId="77777777" w:rsidR="00A93A3B" w:rsidRPr="00A00479" w:rsidRDefault="00A93A3B" w:rsidP="00264EE0">
            <w:pPr>
              <w:rPr>
                <w:rFonts w:ascii="Arial Narrow" w:hAnsi="Arial Narrow"/>
                <w:sz w:val="20"/>
              </w:rPr>
            </w:pPr>
            <w:r w:rsidRPr="00A00479">
              <w:rPr>
                <w:rFonts w:ascii="Arial Narrow" w:hAnsi="Arial Narrow"/>
                <w:sz w:val="20"/>
              </w:rPr>
              <w:lastRenderedPageBreak/>
              <w:t>Or mailed to:</w:t>
            </w:r>
          </w:p>
          <w:p w14:paraId="4D083FEF" w14:textId="77777777" w:rsidR="00A93A3B" w:rsidRPr="00A00479" w:rsidRDefault="00A93A3B" w:rsidP="00264EE0">
            <w:pPr>
              <w:rPr>
                <w:rFonts w:ascii="Arial Narrow" w:hAnsi="Arial Narrow"/>
                <w:sz w:val="20"/>
              </w:rPr>
            </w:pPr>
          </w:p>
          <w:p w14:paraId="508987D1" w14:textId="77777777" w:rsidR="00A93A3B" w:rsidRPr="00A00479" w:rsidRDefault="00A93A3B" w:rsidP="00264EE0">
            <w:pPr>
              <w:rPr>
                <w:rFonts w:ascii="Arial Narrow" w:hAnsi="Arial Narrow"/>
                <w:sz w:val="20"/>
              </w:rPr>
            </w:pPr>
            <w:r w:rsidRPr="00A00479">
              <w:rPr>
                <w:rFonts w:ascii="Arial Narrow" w:hAnsi="Arial Narrow"/>
                <w:sz w:val="20"/>
              </w:rPr>
              <w:t>Services Australia</w:t>
            </w:r>
          </w:p>
          <w:p w14:paraId="472C4E84" w14:textId="77777777" w:rsidR="00A93A3B" w:rsidRPr="00A00479" w:rsidRDefault="00A93A3B" w:rsidP="00264EE0">
            <w:pPr>
              <w:rPr>
                <w:rFonts w:ascii="Arial Narrow" w:hAnsi="Arial Narrow"/>
                <w:sz w:val="20"/>
              </w:rPr>
            </w:pPr>
          </w:p>
          <w:p w14:paraId="09CD05E2" w14:textId="77777777" w:rsidR="00A93A3B" w:rsidRPr="00A00479" w:rsidRDefault="00A93A3B" w:rsidP="00264EE0">
            <w:pPr>
              <w:rPr>
                <w:rFonts w:ascii="Arial Narrow" w:hAnsi="Arial Narrow"/>
                <w:sz w:val="20"/>
              </w:rPr>
            </w:pPr>
            <w:r w:rsidRPr="00A00479">
              <w:rPr>
                <w:rFonts w:ascii="Arial Narrow" w:hAnsi="Arial Narrow"/>
                <w:sz w:val="20"/>
              </w:rPr>
              <w:t>Complex Drugs</w:t>
            </w:r>
          </w:p>
          <w:p w14:paraId="1967601B" w14:textId="77777777" w:rsidR="00A93A3B" w:rsidRPr="00A00479" w:rsidRDefault="00A93A3B" w:rsidP="00264EE0">
            <w:pPr>
              <w:rPr>
                <w:rFonts w:ascii="Arial Narrow" w:hAnsi="Arial Narrow"/>
                <w:sz w:val="20"/>
              </w:rPr>
            </w:pPr>
          </w:p>
          <w:p w14:paraId="2DDEBDB5" w14:textId="77777777" w:rsidR="00A93A3B" w:rsidRPr="00A00479" w:rsidRDefault="00A93A3B" w:rsidP="00264EE0">
            <w:pPr>
              <w:rPr>
                <w:rFonts w:ascii="Arial Narrow" w:hAnsi="Arial Narrow"/>
                <w:sz w:val="20"/>
              </w:rPr>
            </w:pPr>
            <w:r w:rsidRPr="00A00479">
              <w:rPr>
                <w:rFonts w:ascii="Arial Narrow" w:hAnsi="Arial Narrow"/>
                <w:sz w:val="20"/>
              </w:rPr>
              <w:t>Reply Paid 9826</w:t>
            </w:r>
          </w:p>
          <w:p w14:paraId="552090AF" w14:textId="77777777" w:rsidR="00A93A3B" w:rsidRPr="00A00479" w:rsidRDefault="00A93A3B" w:rsidP="00264EE0">
            <w:pPr>
              <w:rPr>
                <w:rFonts w:ascii="Arial Narrow" w:hAnsi="Arial Narrow"/>
                <w:sz w:val="20"/>
              </w:rPr>
            </w:pPr>
          </w:p>
          <w:p w14:paraId="5D5B71CC" w14:textId="77777777" w:rsidR="00A93A3B" w:rsidRPr="0087017B" w:rsidRDefault="00A93A3B" w:rsidP="00264EE0">
            <w:pPr>
              <w:rPr>
                <w:rFonts w:ascii="Arial Narrow" w:eastAsia="Times New Roman" w:hAnsi="Arial Narrow"/>
                <w:bCs/>
                <w:strike/>
                <w:color w:val="333333"/>
                <w:sz w:val="20"/>
                <w:szCs w:val="20"/>
              </w:rPr>
            </w:pPr>
            <w:r w:rsidRPr="00A00479">
              <w:rPr>
                <w:rFonts w:ascii="Arial Narrow" w:hAnsi="Arial Narrow"/>
                <w:sz w:val="20"/>
              </w:rPr>
              <w:t>HOBART TAS 7001</w:t>
            </w:r>
          </w:p>
        </w:tc>
      </w:tr>
    </w:tbl>
    <w:p w14:paraId="27D1A516" w14:textId="77777777" w:rsidR="00A93A3B" w:rsidRDefault="00A93A3B" w:rsidP="00A93A3B">
      <w:pPr>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9"/>
        <w:gridCol w:w="570"/>
        <w:gridCol w:w="2779"/>
        <w:gridCol w:w="860"/>
        <w:gridCol w:w="718"/>
        <w:gridCol w:w="579"/>
        <w:gridCol w:w="1390"/>
        <w:gridCol w:w="1702"/>
      </w:tblGrid>
      <w:tr w:rsidR="00A93A3B" w:rsidRPr="009A610D" w14:paraId="75E87D6C" w14:textId="77777777" w:rsidTr="00264EE0">
        <w:trPr>
          <w:cantSplit/>
          <w:trHeight w:val="471"/>
        </w:trPr>
        <w:tc>
          <w:tcPr>
            <w:tcW w:w="2089" w:type="pct"/>
            <w:gridSpan w:val="3"/>
          </w:tcPr>
          <w:p w14:paraId="30B70440" w14:textId="77777777" w:rsidR="00A93A3B" w:rsidRPr="000570D4" w:rsidRDefault="00A93A3B" w:rsidP="00264EE0">
            <w:pPr>
              <w:keepNext/>
              <w:ind w:left="-57"/>
              <w:rPr>
                <w:rFonts w:ascii="Arial Narrow" w:hAnsi="Arial Narrow"/>
                <w:b/>
                <w:bCs/>
                <w:sz w:val="20"/>
                <w:szCs w:val="20"/>
              </w:rPr>
            </w:pPr>
            <w:r w:rsidRPr="000570D4">
              <w:rPr>
                <w:rFonts w:ascii="Arial Narrow" w:hAnsi="Arial Narrow"/>
                <w:b/>
                <w:bCs/>
                <w:sz w:val="20"/>
                <w:szCs w:val="20"/>
              </w:rPr>
              <w:t>MEDICINAL PRODUCT</w:t>
            </w:r>
          </w:p>
          <w:p w14:paraId="782ADB1F" w14:textId="77777777" w:rsidR="00A93A3B" w:rsidRPr="000570D4" w:rsidRDefault="00A93A3B" w:rsidP="00264EE0">
            <w:pPr>
              <w:keepNext/>
              <w:ind w:left="-57"/>
              <w:rPr>
                <w:rFonts w:ascii="Arial Narrow" w:hAnsi="Arial Narrow"/>
                <w:b/>
                <w:sz w:val="20"/>
                <w:szCs w:val="20"/>
              </w:rPr>
            </w:pPr>
            <w:r w:rsidRPr="000570D4">
              <w:rPr>
                <w:rFonts w:ascii="Arial Narrow" w:hAnsi="Arial Narrow"/>
                <w:b/>
                <w:bCs/>
                <w:sz w:val="20"/>
                <w:szCs w:val="20"/>
              </w:rPr>
              <w:t>medicinal product pack</w:t>
            </w:r>
          </w:p>
        </w:tc>
        <w:tc>
          <w:tcPr>
            <w:tcW w:w="477" w:type="pct"/>
          </w:tcPr>
          <w:p w14:paraId="1F25263B" w14:textId="77777777" w:rsidR="00A93A3B" w:rsidRPr="000570D4" w:rsidRDefault="00A93A3B" w:rsidP="00264EE0">
            <w:pPr>
              <w:keepNext/>
              <w:ind w:left="-108"/>
              <w:jc w:val="center"/>
              <w:rPr>
                <w:rFonts w:ascii="Arial Narrow" w:hAnsi="Arial Narrow"/>
                <w:b/>
                <w:sz w:val="20"/>
                <w:szCs w:val="20"/>
              </w:rPr>
            </w:pPr>
            <w:r w:rsidRPr="000570D4">
              <w:rPr>
                <w:rFonts w:ascii="Arial Narrow" w:hAnsi="Arial Narrow"/>
                <w:b/>
                <w:sz w:val="20"/>
                <w:szCs w:val="20"/>
              </w:rPr>
              <w:t>PBS item code</w:t>
            </w:r>
          </w:p>
        </w:tc>
        <w:tc>
          <w:tcPr>
            <w:tcW w:w="398" w:type="pct"/>
          </w:tcPr>
          <w:p w14:paraId="6F38638C" w14:textId="77777777" w:rsidR="00A93A3B" w:rsidRPr="000570D4" w:rsidRDefault="00A93A3B" w:rsidP="00264EE0">
            <w:pPr>
              <w:keepNext/>
              <w:ind w:left="-108"/>
              <w:jc w:val="center"/>
              <w:rPr>
                <w:rFonts w:ascii="Arial Narrow" w:hAnsi="Arial Narrow"/>
                <w:b/>
                <w:sz w:val="20"/>
                <w:szCs w:val="20"/>
              </w:rPr>
            </w:pPr>
            <w:r w:rsidRPr="000570D4">
              <w:rPr>
                <w:rFonts w:ascii="Arial Narrow" w:hAnsi="Arial Narrow"/>
                <w:b/>
                <w:sz w:val="20"/>
                <w:szCs w:val="20"/>
              </w:rPr>
              <w:t>Max. qty packs</w:t>
            </w:r>
          </w:p>
        </w:tc>
        <w:tc>
          <w:tcPr>
            <w:tcW w:w="321" w:type="pct"/>
          </w:tcPr>
          <w:p w14:paraId="614FE1F3" w14:textId="77777777" w:rsidR="00A93A3B" w:rsidRPr="000570D4" w:rsidRDefault="00A93A3B" w:rsidP="00264EE0">
            <w:pPr>
              <w:keepNext/>
              <w:ind w:left="-108"/>
              <w:jc w:val="center"/>
              <w:rPr>
                <w:rFonts w:ascii="Arial Narrow" w:hAnsi="Arial Narrow"/>
                <w:b/>
                <w:sz w:val="20"/>
                <w:szCs w:val="20"/>
              </w:rPr>
            </w:pPr>
            <w:r w:rsidRPr="000570D4">
              <w:rPr>
                <w:rFonts w:ascii="Arial Narrow" w:hAnsi="Arial Narrow"/>
                <w:b/>
                <w:sz w:val="20"/>
                <w:szCs w:val="20"/>
              </w:rPr>
              <w:t>Max. qty units</w:t>
            </w:r>
          </w:p>
        </w:tc>
        <w:tc>
          <w:tcPr>
            <w:tcW w:w="771" w:type="pct"/>
          </w:tcPr>
          <w:p w14:paraId="509C1D4A" w14:textId="77777777" w:rsidR="00A93A3B" w:rsidRPr="000570D4" w:rsidRDefault="00A93A3B" w:rsidP="00264EE0">
            <w:pPr>
              <w:keepNext/>
              <w:ind w:left="-108"/>
              <w:jc w:val="center"/>
              <w:rPr>
                <w:rFonts w:ascii="Arial Narrow" w:hAnsi="Arial Narrow"/>
                <w:b/>
                <w:sz w:val="20"/>
                <w:szCs w:val="20"/>
              </w:rPr>
            </w:pPr>
            <w:r w:rsidRPr="000570D4">
              <w:rPr>
                <w:rFonts w:ascii="Arial Narrow" w:hAnsi="Arial Narrow"/>
                <w:b/>
                <w:sz w:val="20"/>
                <w:szCs w:val="20"/>
              </w:rPr>
              <w:t>№.of</w:t>
            </w:r>
          </w:p>
          <w:p w14:paraId="101C7CF2" w14:textId="77777777" w:rsidR="00A93A3B" w:rsidRPr="000570D4" w:rsidRDefault="00A93A3B" w:rsidP="00264EE0">
            <w:pPr>
              <w:keepNext/>
              <w:ind w:left="-108"/>
              <w:jc w:val="center"/>
              <w:rPr>
                <w:rFonts w:ascii="Arial Narrow" w:hAnsi="Arial Narrow"/>
                <w:b/>
                <w:sz w:val="20"/>
                <w:szCs w:val="20"/>
              </w:rPr>
            </w:pPr>
            <w:r w:rsidRPr="000570D4">
              <w:rPr>
                <w:rFonts w:ascii="Arial Narrow" w:hAnsi="Arial Narrow"/>
                <w:b/>
                <w:sz w:val="20"/>
                <w:szCs w:val="20"/>
              </w:rPr>
              <w:t>Rpts</w:t>
            </w:r>
          </w:p>
        </w:tc>
        <w:tc>
          <w:tcPr>
            <w:tcW w:w="944" w:type="pct"/>
          </w:tcPr>
          <w:p w14:paraId="2FF21A52" w14:textId="77777777" w:rsidR="00A93A3B" w:rsidRPr="000570D4" w:rsidRDefault="00A93A3B" w:rsidP="00264EE0">
            <w:pPr>
              <w:keepNext/>
              <w:rPr>
                <w:rFonts w:ascii="Arial Narrow" w:hAnsi="Arial Narrow"/>
                <w:b/>
                <w:sz w:val="20"/>
                <w:szCs w:val="20"/>
                <w:lang w:val="fr-FR"/>
              </w:rPr>
            </w:pPr>
            <w:r w:rsidRPr="000570D4">
              <w:rPr>
                <w:rFonts w:ascii="Arial Narrow" w:hAnsi="Arial Narrow"/>
                <w:b/>
                <w:sz w:val="20"/>
                <w:szCs w:val="20"/>
              </w:rPr>
              <w:t>Available brands</w:t>
            </w:r>
          </w:p>
        </w:tc>
      </w:tr>
      <w:tr w:rsidR="00A93A3B" w:rsidRPr="001A5667" w14:paraId="62C0F7D6" w14:textId="77777777" w:rsidTr="00264EE0">
        <w:trPr>
          <w:cantSplit/>
          <w:trHeight w:val="224"/>
        </w:trPr>
        <w:tc>
          <w:tcPr>
            <w:tcW w:w="5000" w:type="pct"/>
            <w:gridSpan w:val="8"/>
          </w:tcPr>
          <w:p w14:paraId="5DCED4A7" w14:textId="77777777" w:rsidR="00A93A3B" w:rsidRPr="000570D4" w:rsidRDefault="00A93A3B" w:rsidP="00264EE0">
            <w:pPr>
              <w:keepNext/>
              <w:ind w:left="-57"/>
              <w:rPr>
                <w:rFonts w:ascii="Arial Narrow" w:hAnsi="Arial Narrow"/>
                <w:sz w:val="20"/>
                <w:szCs w:val="20"/>
              </w:rPr>
            </w:pPr>
            <w:r w:rsidRPr="000570D4">
              <w:rPr>
                <w:rFonts w:ascii="Arial Narrow" w:hAnsi="Arial Narrow"/>
                <w:sz w:val="20"/>
                <w:szCs w:val="20"/>
              </w:rPr>
              <w:t>RISANKIZUMAB</w:t>
            </w:r>
          </w:p>
        </w:tc>
      </w:tr>
      <w:tr w:rsidR="00A93A3B" w:rsidRPr="009A610D" w14:paraId="4761B09F" w14:textId="77777777" w:rsidTr="00264EE0">
        <w:trPr>
          <w:cantSplit/>
          <w:trHeight w:val="553"/>
        </w:trPr>
        <w:tc>
          <w:tcPr>
            <w:tcW w:w="2089" w:type="pct"/>
            <w:gridSpan w:val="3"/>
          </w:tcPr>
          <w:p w14:paraId="1FF0BF89" w14:textId="77777777" w:rsidR="00A93A3B" w:rsidRPr="000570D4" w:rsidRDefault="00A93A3B" w:rsidP="00264EE0">
            <w:pPr>
              <w:keepNext/>
              <w:ind w:left="-57"/>
              <w:rPr>
                <w:rFonts w:ascii="Arial Narrow" w:hAnsi="Arial Narrow"/>
                <w:sz w:val="20"/>
                <w:szCs w:val="20"/>
              </w:rPr>
            </w:pPr>
            <w:r>
              <w:rPr>
                <w:rFonts w:ascii="Arial Narrow" w:hAnsi="Arial Narrow"/>
                <w:sz w:val="20"/>
                <w:szCs w:val="20"/>
              </w:rPr>
              <w:t>R</w:t>
            </w:r>
            <w:r w:rsidRPr="000570D4">
              <w:rPr>
                <w:rFonts w:ascii="Arial Narrow" w:hAnsi="Arial Narrow"/>
                <w:sz w:val="20"/>
                <w:szCs w:val="20"/>
              </w:rPr>
              <w:t>isankizumab</w:t>
            </w:r>
          </w:p>
          <w:p w14:paraId="71F0A8BC" w14:textId="77777777" w:rsidR="00A93A3B" w:rsidRPr="000570D4" w:rsidRDefault="00A93A3B" w:rsidP="00264EE0">
            <w:pPr>
              <w:keepNext/>
              <w:ind w:left="-57"/>
              <w:rPr>
                <w:rFonts w:ascii="Arial Narrow" w:hAnsi="Arial Narrow"/>
                <w:sz w:val="20"/>
                <w:szCs w:val="20"/>
              </w:rPr>
            </w:pPr>
            <w:r w:rsidRPr="000570D4">
              <w:rPr>
                <w:rFonts w:ascii="Arial Narrow" w:hAnsi="Arial Narrow"/>
                <w:sz w:val="20"/>
                <w:szCs w:val="20"/>
              </w:rPr>
              <w:t xml:space="preserve">360 mg/2.4 mL injection, 2.4 mL </w:t>
            </w:r>
            <w:r>
              <w:rPr>
                <w:rFonts w:ascii="Arial Narrow" w:hAnsi="Arial Narrow"/>
                <w:sz w:val="20"/>
                <w:szCs w:val="20"/>
              </w:rPr>
              <w:t>cartridge</w:t>
            </w:r>
          </w:p>
          <w:p w14:paraId="38861674" w14:textId="77777777" w:rsidR="00A93A3B" w:rsidRPr="000570D4" w:rsidRDefault="00A93A3B" w:rsidP="00264EE0">
            <w:pPr>
              <w:keepNext/>
              <w:ind w:left="-57"/>
              <w:rPr>
                <w:rFonts w:ascii="Arial Narrow" w:hAnsi="Arial Narrow"/>
                <w:sz w:val="20"/>
                <w:szCs w:val="20"/>
              </w:rPr>
            </w:pPr>
          </w:p>
        </w:tc>
        <w:tc>
          <w:tcPr>
            <w:tcW w:w="477" w:type="pct"/>
            <w:vAlign w:val="center"/>
          </w:tcPr>
          <w:p w14:paraId="0B18382F" w14:textId="77777777" w:rsidR="00A93A3B" w:rsidRPr="000570D4" w:rsidRDefault="00A93A3B" w:rsidP="00264EE0">
            <w:pPr>
              <w:keepNext/>
              <w:jc w:val="center"/>
              <w:rPr>
                <w:rFonts w:ascii="Arial Narrow" w:hAnsi="Arial Narrow"/>
                <w:sz w:val="20"/>
                <w:szCs w:val="20"/>
              </w:rPr>
            </w:pPr>
            <w:r w:rsidRPr="000570D4">
              <w:rPr>
                <w:rFonts w:ascii="Arial Narrow" w:hAnsi="Arial Narrow"/>
                <w:sz w:val="20"/>
                <w:szCs w:val="20"/>
              </w:rPr>
              <w:t>NEW</w:t>
            </w:r>
          </w:p>
        </w:tc>
        <w:tc>
          <w:tcPr>
            <w:tcW w:w="398" w:type="pct"/>
            <w:vAlign w:val="center"/>
          </w:tcPr>
          <w:p w14:paraId="3B3026F6" w14:textId="77777777" w:rsidR="00A93A3B" w:rsidRPr="000570D4" w:rsidRDefault="00A93A3B" w:rsidP="00264EE0">
            <w:pPr>
              <w:keepNext/>
              <w:jc w:val="center"/>
              <w:rPr>
                <w:rFonts w:ascii="Arial Narrow" w:hAnsi="Arial Narrow"/>
                <w:sz w:val="20"/>
                <w:szCs w:val="20"/>
              </w:rPr>
            </w:pPr>
            <w:r w:rsidRPr="000570D4">
              <w:rPr>
                <w:rFonts w:ascii="Arial Narrow" w:hAnsi="Arial Narrow"/>
                <w:sz w:val="20"/>
                <w:szCs w:val="20"/>
              </w:rPr>
              <w:t>1</w:t>
            </w:r>
          </w:p>
        </w:tc>
        <w:tc>
          <w:tcPr>
            <w:tcW w:w="321" w:type="pct"/>
            <w:vAlign w:val="center"/>
          </w:tcPr>
          <w:p w14:paraId="41537493" w14:textId="77777777" w:rsidR="00A93A3B" w:rsidRPr="000570D4" w:rsidRDefault="00A93A3B" w:rsidP="00264EE0">
            <w:pPr>
              <w:keepNext/>
              <w:jc w:val="center"/>
              <w:rPr>
                <w:rFonts w:ascii="Arial Narrow" w:hAnsi="Arial Narrow"/>
                <w:sz w:val="20"/>
                <w:szCs w:val="20"/>
              </w:rPr>
            </w:pPr>
            <w:r>
              <w:rPr>
                <w:rFonts w:ascii="Arial Narrow" w:hAnsi="Arial Narrow"/>
                <w:sz w:val="20"/>
                <w:szCs w:val="20"/>
              </w:rPr>
              <w:t>1</w:t>
            </w:r>
          </w:p>
        </w:tc>
        <w:tc>
          <w:tcPr>
            <w:tcW w:w="771" w:type="pct"/>
            <w:vAlign w:val="center"/>
          </w:tcPr>
          <w:p w14:paraId="39ABF0A3" w14:textId="77777777" w:rsidR="00A93A3B" w:rsidRPr="000570D4" w:rsidRDefault="00A93A3B" w:rsidP="00264EE0">
            <w:pPr>
              <w:keepNext/>
              <w:jc w:val="center"/>
              <w:rPr>
                <w:rFonts w:ascii="Arial Narrow" w:hAnsi="Arial Narrow"/>
                <w:sz w:val="20"/>
                <w:szCs w:val="20"/>
              </w:rPr>
            </w:pPr>
            <w:r>
              <w:rPr>
                <w:rFonts w:ascii="Arial Narrow" w:hAnsi="Arial Narrow"/>
                <w:sz w:val="20"/>
                <w:szCs w:val="20"/>
              </w:rPr>
              <w:t>2</w:t>
            </w:r>
          </w:p>
        </w:tc>
        <w:tc>
          <w:tcPr>
            <w:tcW w:w="944" w:type="pct"/>
            <w:vAlign w:val="center"/>
          </w:tcPr>
          <w:p w14:paraId="143B70C3" w14:textId="77777777" w:rsidR="00A93A3B" w:rsidRPr="000570D4" w:rsidRDefault="00A93A3B" w:rsidP="00264EE0">
            <w:pPr>
              <w:keepNext/>
              <w:jc w:val="center"/>
              <w:rPr>
                <w:rFonts w:ascii="Arial Narrow" w:hAnsi="Arial Narrow"/>
                <w:sz w:val="20"/>
                <w:szCs w:val="20"/>
              </w:rPr>
            </w:pPr>
            <w:r>
              <w:rPr>
                <w:rFonts w:ascii="Arial Narrow" w:hAnsi="Arial Narrow"/>
                <w:sz w:val="20"/>
                <w:szCs w:val="20"/>
              </w:rPr>
              <w:t>S</w:t>
            </w:r>
            <w:r w:rsidRPr="000570D4">
              <w:rPr>
                <w:rFonts w:ascii="Arial Narrow" w:hAnsi="Arial Narrow"/>
                <w:sz w:val="20"/>
                <w:szCs w:val="20"/>
              </w:rPr>
              <w:t>kyrizi</w:t>
            </w:r>
          </w:p>
        </w:tc>
      </w:tr>
      <w:tr w:rsidR="00A93A3B" w:rsidRPr="00320925" w14:paraId="63D92DD7" w14:textId="77777777" w:rsidTr="00264EE0">
        <w:tblPrEx>
          <w:tblCellMar>
            <w:top w:w="15" w:type="dxa"/>
            <w:left w:w="15" w:type="dxa"/>
            <w:bottom w:w="15" w:type="dxa"/>
            <w:right w:w="15" w:type="dxa"/>
          </w:tblCellMar>
          <w:tblLook w:val="04A0" w:firstRow="1" w:lastRow="0" w:firstColumn="1" w:lastColumn="0" w:noHBand="0" w:noVBand="1"/>
        </w:tblPrEx>
        <w:tc>
          <w:tcPr>
            <w:tcW w:w="5000" w:type="pct"/>
            <w:gridSpan w:val="8"/>
            <w:tcBorders>
              <w:top w:val="single" w:sz="4" w:space="0" w:color="auto"/>
              <w:left w:val="single" w:sz="4" w:space="0" w:color="auto"/>
              <w:right w:val="single" w:sz="4" w:space="0" w:color="auto"/>
            </w:tcBorders>
          </w:tcPr>
          <w:p w14:paraId="09C19E0E" w14:textId="77777777" w:rsidR="00A93A3B" w:rsidRPr="000570D4" w:rsidRDefault="00A93A3B" w:rsidP="00264EE0">
            <w:pPr>
              <w:rPr>
                <w:rFonts w:ascii="Arial Narrow" w:hAnsi="Arial Narrow"/>
                <w:sz w:val="20"/>
                <w:szCs w:val="20"/>
              </w:rPr>
            </w:pPr>
          </w:p>
        </w:tc>
      </w:tr>
      <w:tr w:rsidR="00A93A3B" w:rsidRPr="0020649C" w14:paraId="7BCD80D2" w14:textId="77777777" w:rsidTr="00264EE0">
        <w:tblPrEx>
          <w:tblCellMar>
            <w:top w:w="15" w:type="dxa"/>
            <w:left w:w="15" w:type="dxa"/>
            <w:bottom w:w="15" w:type="dxa"/>
            <w:right w:w="15" w:type="dxa"/>
          </w:tblCellMar>
          <w:tblLook w:val="04A0" w:firstRow="1" w:lastRow="0" w:firstColumn="1" w:lastColumn="0" w:noHBand="0" w:noVBand="1"/>
        </w:tblPrEx>
        <w:tc>
          <w:tcPr>
            <w:tcW w:w="5000" w:type="pct"/>
            <w:gridSpan w:val="8"/>
            <w:tcBorders>
              <w:top w:val="single" w:sz="4" w:space="0" w:color="auto"/>
              <w:left w:val="single" w:sz="4" w:space="0" w:color="auto"/>
              <w:right w:val="single" w:sz="4" w:space="0" w:color="auto"/>
            </w:tcBorders>
          </w:tcPr>
          <w:p w14:paraId="1DC07822" w14:textId="77777777" w:rsidR="00A93A3B" w:rsidRPr="000570D4" w:rsidRDefault="00A93A3B" w:rsidP="00264EE0">
            <w:pPr>
              <w:rPr>
                <w:rFonts w:ascii="Arial Narrow" w:hAnsi="Arial Narrow"/>
                <w:b/>
                <w:sz w:val="20"/>
                <w:szCs w:val="20"/>
              </w:rPr>
            </w:pPr>
            <w:r w:rsidRPr="000570D4">
              <w:rPr>
                <w:rFonts w:ascii="Arial Narrow" w:hAnsi="Arial Narrow"/>
                <w:b/>
                <w:sz w:val="20"/>
                <w:szCs w:val="20"/>
              </w:rPr>
              <w:t>Restriction Summary [new] 12251 / Treatment of Concept: [new] 12077</w:t>
            </w:r>
          </w:p>
        </w:tc>
      </w:tr>
      <w:tr w:rsidR="00A93A3B" w:rsidRPr="00120A12" w14:paraId="73CC93B9" w14:textId="77777777" w:rsidTr="00264EE0">
        <w:tblPrEx>
          <w:tblCellMar>
            <w:top w:w="15" w:type="dxa"/>
            <w:left w:w="15" w:type="dxa"/>
            <w:bottom w:w="15" w:type="dxa"/>
            <w:right w:w="15" w:type="dxa"/>
          </w:tblCellMar>
          <w:tblLook w:val="04A0" w:firstRow="1" w:lastRow="0" w:firstColumn="1" w:lastColumn="0" w:noHBand="0" w:noVBand="1"/>
        </w:tblPrEx>
        <w:tc>
          <w:tcPr>
            <w:tcW w:w="548" w:type="pct"/>
            <w:gridSpan w:val="2"/>
            <w:vMerge w:val="restart"/>
            <w:tcBorders>
              <w:top w:val="single" w:sz="4" w:space="0" w:color="auto"/>
              <w:left w:val="single" w:sz="4" w:space="0" w:color="auto"/>
              <w:right w:val="single" w:sz="4" w:space="0" w:color="auto"/>
            </w:tcBorders>
          </w:tcPr>
          <w:p w14:paraId="15D3FBA4" w14:textId="77777777" w:rsidR="00A93A3B" w:rsidRPr="000570D4" w:rsidRDefault="00A93A3B" w:rsidP="00264EE0">
            <w:pPr>
              <w:jc w:val="center"/>
              <w:rPr>
                <w:rFonts w:ascii="Arial Narrow" w:hAnsi="Arial Narrow"/>
                <w:b/>
                <w:sz w:val="20"/>
                <w:szCs w:val="20"/>
              </w:rPr>
            </w:pPr>
            <w:r w:rsidRPr="000570D4">
              <w:rPr>
                <w:rFonts w:ascii="Arial Narrow" w:hAnsi="Arial Narrow"/>
                <w:b/>
                <w:sz w:val="20"/>
                <w:szCs w:val="20"/>
              </w:rPr>
              <w:t>Concept ID</w:t>
            </w:r>
          </w:p>
          <w:p w14:paraId="00698618" w14:textId="77777777" w:rsidR="00A93A3B" w:rsidRPr="000570D4" w:rsidRDefault="00A93A3B" w:rsidP="00264EE0">
            <w:pPr>
              <w:rPr>
                <w:rFonts w:ascii="Arial Narrow" w:hAnsi="Arial Narrow"/>
                <w:i/>
                <w:sz w:val="20"/>
                <w:szCs w:val="20"/>
              </w:rPr>
            </w:pPr>
          </w:p>
          <w:p w14:paraId="6B49ED14" w14:textId="77777777" w:rsidR="00A93A3B" w:rsidRPr="000570D4" w:rsidRDefault="00A93A3B" w:rsidP="00264EE0">
            <w:pPr>
              <w:jc w:val="center"/>
              <w:rPr>
                <w:rFonts w:ascii="Arial Narrow" w:hAnsi="Arial Narrow"/>
                <w:b/>
                <w:sz w:val="20"/>
                <w:szCs w:val="20"/>
              </w:rPr>
            </w:pPr>
            <w:r w:rsidRPr="000570D4">
              <w:rPr>
                <w:rFonts w:ascii="Arial Narrow" w:hAnsi="Arial Narrow"/>
                <w:sz w:val="20"/>
                <w:szCs w:val="20"/>
              </w:rPr>
              <w:t>(for internal Dept. use)</w:t>
            </w:r>
          </w:p>
        </w:tc>
        <w:tc>
          <w:tcPr>
            <w:tcW w:w="4452" w:type="pct"/>
            <w:gridSpan w:val="6"/>
            <w:tcBorders>
              <w:top w:val="single" w:sz="4" w:space="0" w:color="auto"/>
              <w:left w:val="single" w:sz="4" w:space="0" w:color="auto"/>
              <w:bottom w:val="single" w:sz="4" w:space="0" w:color="auto"/>
              <w:right w:val="single" w:sz="4" w:space="0" w:color="auto"/>
            </w:tcBorders>
          </w:tcPr>
          <w:p w14:paraId="0E191879" w14:textId="77777777" w:rsidR="00A93A3B" w:rsidRPr="000570D4" w:rsidRDefault="00A93A3B" w:rsidP="00264EE0">
            <w:pPr>
              <w:rPr>
                <w:rFonts w:ascii="Arial Narrow" w:hAnsi="Arial Narrow"/>
                <w:sz w:val="20"/>
                <w:szCs w:val="20"/>
              </w:rPr>
            </w:pPr>
            <w:r w:rsidRPr="000570D4">
              <w:rPr>
                <w:rFonts w:ascii="Arial Narrow" w:hAnsi="Arial Narrow"/>
                <w:b/>
                <w:sz w:val="20"/>
                <w:szCs w:val="20"/>
              </w:rPr>
              <w:t xml:space="preserve">Category / Program:   </w:t>
            </w:r>
            <w:r w:rsidRPr="000570D4">
              <w:rPr>
                <w:rFonts w:ascii="Arial Narrow" w:hAnsi="Arial Narrow"/>
                <w:sz w:val="20"/>
                <w:szCs w:val="20"/>
              </w:rPr>
              <w:t>GENERAL – General Schedule (Code GE)</w:t>
            </w:r>
            <w:r w:rsidRPr="000570D4">
              <w:rPr>
                <w:rFonts w:ascii="Arial Narrow" w:hAnsi="Arial Narrow"/>
                <w:color w:val="FF0000"/>
                <w:sz w:val="20"/>
                <w:szCs w:val="20"/>
              </w:rPr>
              <w:t xml:space="preserve"> </w:t>
            </w:r>
          </w:p>
        </w:tc>
      </w:tr>
      <w:tr w:rsidR="00A93A3B" w:rsidRPr="00772067" w14:paraId="4337C78B" w14:textId="77777777" w:rsidTr="00264EE0">
        <w:tblPrEx>
          <w:tblCellMar>
            <w:top w:w="15" w:type="dxa"/>
            <w:left w:w="15" w:type="dxa"/>
            <w:bottom w:w="15" w:type="dxa"/>
            <w:right w:w="15" w:type="dxa"/>
          </w:tblCellMar>
          <w:tblLook w:val="04A0" w:firstRow="1" w:lastRow="0" w:firstColumn="1" w:lastColumn="0" w:noHBand="0" w:noVBand="1"/>
        </w:tblPrEx>
        <w:trPr>
          <w:trHeight w:val="240"/>
        </w:trPr>
        <w:tc>
          <w:tcPr>
            <w:tcW w:w="548" w:type="pct"/>
            <w:gridSpan w:val="2"/>
            <w:vMerge/>
            <w:tcBorders>
              <w:left w:val="single" w:sz="4" w:space="0" w:color="auto"/>
              <w:right w:val="single" w:sz="4" w:space="0" w:color="auto"/>
            </w:tcBorders>
          </w:tcPr>
          <w:p w14:paraId="0A4C2223" w14:textId="77777777" w:rsidR="00A93A3B" w:rsidRPr="000570D4" w:rsidRDefault="00A93A3B" w:rsidP="00264EE0">
            <w:pPr>
              <w:rPr>
                <w:rFonts w:ascii="Arial Narrow" w:hAnsi="Arial Narrow"/>
                <w:sz w:val="20"/>
                <w:szCs w:val="20"/>
              </w:rPr>
            </w:pPr>
          </w:p>
        </w:tc>
        <w:tc>
          <w:tcPr>
            <w:tcW w:w="4452" w:type="pct"/>
            <w:gridSpan w:val="6"/>
            <w:tcBorders>
              <w:top w:val="single" w:sz="4" w:space="0" w:color="auto"/>
              <w:left w:val="single" w:sz="4" w:space="0" w:color="auto"/>
              <w:bottom w:val="single" w:sz="4" w:space="0" w:color="auto"/>
              <w:right w:val="single" w:sz="4" w:space="0" w:color="auto"/>
            </w:tcBorders>
          </w:tcPr>
          <w:p w14:paraId="25C64AFE" w14:textId="77777777" w:rsidR="00A93A3B" w:rsidRPr="000570D4" w:rsidRDefault="00A93A3B" w:rsidP="00264EE0">
            <w:pPr>
              <w:rPr>
                <w:rFonts w:ascii="Arial Narrow" w:hAnsi="Arial Narrow"/>
                <w:b/>
                <w:sz w:val="20"/>
                <w:szCs w:val="20"/>
              </w:rPr>
            </w:pPr>
            <w:r w:rsidRPr="000570D4">
              <w:rPr>
                <w:rFonts w:ascii="Arial Narrow" w:hAnsi="Arial Narrow"/>
                <w:b/>
                <w:sz w:val="20"/>
                <w:szCs w:val="20"/>
              </w:rPr>
              <w:t xml:space="preserve">Prescriber type:   </w:t>
            </w:r>
            <w:r w:rsidRPr="000570D4">
              <w:rPr>
                <w:rFonts w:ascii="Arial Narrow" w:hAnsi="Arial Narrow"/>
                <w:sz w:val="20"/>
                <w:szCs w:val="20"/>
              </w:rPr>
              <w:fldChar w:fldCharType="begin" w:fldLock="1">
                <w:ffData>
                  <w:name w:val=""/>
                  <w:enabled/>
                  <w:calcOnExit w:val="0"/>
                  <w:checkBox>
                    <w:sizeAuto/>
                    <w:default w:val="1"/>
                  </w:checkBox>
                </w:ffData>
              </w:fldChar>
            </w:r>
            <w:r w:rsidRPr="000570D4">
              <w:rPr>
                <w:rFonts w:ascii="Arial Narrow" w:hAnsi="Arial Narrow"/>
                <w:sz w:val="20"/>
                <w:szCs w:val="20"/>
              </w:rPr>
              <w:instrText xml:space="preserve"> FORMCHECKBOX </w:instrText>
            </w:r>
            <w:r w:rsidR="00DE4045">
              <w:rPr>
                <w:rFonts w:ascii="Arial Narrow" w:hAnsi="Arial Narrow"/>
                <w:sz w:val="20"/>
                <w:szCs w:val="20"/>
              </w:rPr>
            </w:r>
            <w:r w:rsidR="00DE4045">
              <w:rPr>
                <w:rFonts w:ascii="Arial Narrow" w:hAnsi="Arial Narrow"/>
                <w:sz w:val="20"/>
                <w:szCs w:val="20"/>
              </w:rPr>
              <w:fldChar w:fldCharType="separate"/>
            </w:r>
            <w:r w:rsidRPr="000570D4">
              <w:rPr>
                <w:rFonts w:ascii="Arial Narrow" w:hAnsi="Arial Narrow"/>
                <w:sz w:val="20"/>
                <w:szCs w:val="20"/>
              </w:rPr>
              <w:fldChar w:fldCharType="end"/>
            </w:r>
            <w:r w:rsidRPr="000570D4">
              <w:rPr>
                <w:rFonts w:ascii="Arial Narrow" w:hAnsi="Arial Narrow"/>
                <w:sz w:val="20"/>
                <w:szCs w:val="20"/>
              </w:rPr>
              <w:t>Medical Practitioners</w:t>
            </w:r>
          </w:p>
        </w:tc>
      </w:tr>
      <w:tr w:rsidR="00A93A3B" w:rsidRPr="00677540" w14:paraId="0C72C3CD" w14:textId="77777777" w:rsidTr="00092C71">
        <w:tblPrEx>
          <w:tblCellMar>
            <w:top w:w="15" w:type="dxa"/>
            <w:left w:w="15" w:type="dxa"/>
            <w:bottom w:w="15" w:type="dxa"/>
            <w:right w:w="15" w:type="dxa"/>
          </w:tblCellMar>
        </w:tblPrEx>
        <w:trPr>
          <w:trHeight w:val="415"/>
        </w:trPr>
        <w:tc>
          <w:tcPr>
            <w:tcW w:w="548" w:type="pct"/>
            <w:gridSpan w:val="2"/>
            <w:vMerge/>
            <w:tcBorders>
              <w:left w:val="single" w:sz="4" w:space="0" w:color="auto"/>
              <w:bottom w:val="single" w:sz="4" w:space="0" w:color="auto"/>
              <w:right w:val="single" w:sz="4" w:space="0" w:color="auto"/>
            </w:tcBorders>
          </w:tcPr>
          <w:p w14:paraId="4DEEEE18" w14:textId="77777777" w:rsidR="00A93A3B" w:rsidRPr="000570D4" w:rsidRDefault="00A93A3B" w:rsidP="00264EE0">
            <w:pPr>
              <w:rPr>
                <w:rFonts w:ascii="Arial Narrow" w:hAnsi="Arial Narrow"/>
                <w:sz w:val="20"/>
                <w:szCs w:val="20"/>
              </w:rPr>
            </w:pPr>
          </w:p>
        </w:tc>
        <w:tc>
          <w:tcPr>
            <w:tcW w:w="4452" w:type="pct"/>
            <w:gridSpan w:val="6"/>
            <w:tcBorders>
              <w:top w:val="single" w:sz="4" w:space="0" w:color="auto"/>
              <w:left w:val="single" w:sz="4" w:space="0" w:color="auto"/>
              <w:bottom w:val="single" w:sz="4" w:space="0" w:color="auto"/>
              <w:right w:val="single" w:sz="4" w:space="0" w:color="auto"/>
            </w:tcBorders>
          </w:tcPr>
          <w:p w14:paraId="6230FD50" w14:textId="77777777" w:rsidR="00A93A3B" w:rsidRPr="000570D4" w:rsidRDefault="00A93A3B" w:rsidP="00264EE0">
            <w:pPr>
              <w:rPr>
                <w:rFonts w:ascii="Arial Narrow" w:eastAsia="Calibri" w:hAnsi="Arial Narrow"/>
                <w:color w:val="FF00FF"/>
                <w:sz w:val="20"/>
                <w:szCs w:val="20"/>
              </w:rPr>
            </w:pPr>
            <w:r w:rsidRPr="000570D4">
              <w:rPr>
                <w:rFonts w:ascii="Arial Narrow" w:hAnsi="Arial Narrow"/>
                <w:b/>
                <w:sz w:val="20"/>
                <w:szCs w:val="20"/>
              </w:rPr>
              <w:t xml:space="preserve">Restriction type: </w:t>
            </w:r>
            <w:r>
              <w:rPr>
                <w:rFonts w:ascii="Arial Narrow" w:eastAsia="Calibri" w:hAnsi="Arial Narrow"/>
                <w:sz w:val="20"/>
                <w:szCs w:val="20"/>
              </w:rPr>
              <w:fldChar w:fldCharType="begin" w:fldLock="1">
                <w:ffData>
                  <w:name w:val=""/>
                  <w:enabled/>
                  <w:calcOnExit w:val="0"/>
                  <w:checkBox>
                    <w:sizeAuto/>
                    <w:default w:val="1"/>
                  </w:checkBox>
                </w:ffData>
              </w:fldChar>
            </w:r>
            <w:r>
              <w:rPr>
                <w:rFonts w:ascii="Arial Narrow" w:eastAsia="Calibri" w:hAnsi="Arial Narrow"/>
                <w:sz w:val="20"/>
                <w:szCs w:val="20"/>
              </w:rPr>
              <w:instrText xml:space="preserve"> FORMCHECKBOX </w:instrText>
            </w:r>
            <w:r w:rsidR="00DE4045">
              <w:rPr>
                <w:rFonts w:ascii="Arial Narrow" w:eastAsia="Calibri" w:hAnsi="Arial Narrow"/>
                <w:sz w:val="20"/>
                <w:szCs w:val="20"/>
              </w:rPr>
            </w:r>
            <w:r w:rsidR="00DE4045">
              <w:rPr>
                <w:rFonts w:ascii="Arial Narrow" w:eastAsia="Calibri" w:hAnsi="Arial Narrow"/>
                <w:sz w:val="20"/>
                <w:szCs w:val="20"/>
              </w:rPr>
              <w:fldChar w:fldCharType="separate"/>
            </w:r>
            <w:r>
              <w:rPr>
                <w:rFonts w:ascii="Arial Narrow" w:eastAsia="Calibri" w:hAnsi="Arial Narrow"/>
                <w:sz w:val="20"/>
                <w:szCs w:val="20"/>
              </w:rPr>
              <w:fldChar w:fldCharType="end"/>
            </w:r>
            <w:r w:rsidRPr="000570D4">
              <w:rPr>
                <w:rFonts w:ascii="Arial Narrow" w:eastAsia="Calibri" w:hAnsi="Arial Narrow"/>
                <w:sz w:val="20"/>
                <w:szCs w:val="20"/>
              </w:rPr>
              <w:t>Authority Required (in writing only via post/HPOS upload)</w:t>
            </w:r>
          </w:p>
        </w:tc>
      </w:tr>
      <w:tr w:rsidR="00A93A3B" w:rsidRPr="00120A12" w14:paraId="6644AA79" w14:textId="77777777" w:rsidTr="00264EE0">
        <w:tblPrEx>
          <w:tblCellMar>
            <w:top w:w="15" w:type="dxa"/>
            <w:left w:w="15" w:type="dxa"/>
            <w:bottom w:w="15" w:type="dxa"/>
            <w:right w:w="15" w:type="dxa"/>
          </w:tblCellMar>
          <w:tblLook w:val="04A0" w:firstRow="1" w:lastRow="0" w:firstColumn="1" w:lastColumn="0" w:noHBand="0" w:noVBand="1"/>
        </w:tblPrEx>
        <w:tc>
          <w:tcPr>
            <w:tcW w:w="232" w:type="pct"/>
            <w:vMerge w:val="restart"/>
            <w:vAlign w:val="center"/>
          </w:tcPr>
          <w:p w14:paraId="29CE4BDE" w14:textId="7AE3D6EB" w:rsidR="00A93A3B" w:rsidRPr="00677B2D" w:rsidRDefault="00A93A3B" w:rsidP="00264EE0">
            <w:pPr>
              <w:jc w:val="center"/>
              <w:rPr>
                <w:rFonts w:ascii="Arial Narrow" w:eastAsia="Times New Roman" w:hAnsi="Arial Narrow"/>
                <w:color w:val="333333"/>
                <w:sz w:val="20"/>
                <w:szCs w:val="20"/>
              </w:rPr>
            </w:pPr>
          </w:p>
        </w:tc>
        <w:tc>
          <w:tcPr>
            <w:tcW w:w="316" w:type="pct"/>
            <w:vAlign w:val="center"/>
          </w:tcPr>
          <w:p w14:paraId="6A41468F" w14:textId="77777777" w:rsidR="00A93A3B" w:rsidRPr="00677B2D" w:rsidRDefault="00A93A3B" w:rsidP="00264EE0">
            <w:pPr>
              <w:jc w:val="center"/>
              <w:rPr>
                <w:rFonts w:ascii="Arial Narrow" w:eastAsia="Times New Roman" w:hAnsi="Arial Narrow"/>
                <w:color w:val="333333"/>
                <w:sz w:val="20"/>
                <w:szCs w:val="20"/>
              </w:rPr>
            </w:pPr>
          </w:p>
        </w:tc>
        <w:tc>
          <w:tcPr>
            <w:tcW w:w="4452" w:type="pct"/>
            <w:gridSpan w:val="6"/>
          </w:tcPr>
          <w:p w14:paraId="653CBDA7" w14:textId="77777777" w:rsidR="00A93A3B" w:rsidRPr="00677B2D" w:rsidRDefault="00A93A3B" w:rsidP="00264EE0">
            <w:pPr>
              <w:rPr>
                <w:rFonts w:ascii="Arial Narrow" w:eastAsia="Times New Roman" w:hAnsi="Arial Narrow"/>
                <w:b/>
                <w:bCs/>
                <w:color w:val="333333"/>
                <w:sz w:val="20"/>
                <w:szCs w:val="20"/>
              </w:rPr>
            </w:pPr>
            <w:r w:rsidRPr="00677B2D">
              <w:rPr>
                <w:rFonts w:ascii="Arial Narrow" w:hAnsi="Arial Narrow"/>
                <w:bCs/>
                <w:sz w:val="20"/>
                <w:szCs w:val="20"/>
              </w:rPr>
              <w:t>Add and edit note</w:t>
            </w:r>
            <w:r w:rsidRPr="00677B2D">
              <w:rPr>
                <w:rFonts w:ascii="Arial Narrow" w:eastAsia="Times New Roman" w:hAnsi="Arial Narrow"/>
                <w:bCs/>
                <w:color w:val="333333"/>
                <w:sz w:val="20"/>
                <w:szCs w:val="20"/>
              </w:rPr>
              <w:t xml:space="preserve"> 27712 as above</w:t>
            </w:r>
          </w:p>
        </w:tc>
      </w:tr>
      <w:tr w:rsidR="00A93A3B" w:rsidRPr="00120A12" w14:paraId="36302315" w14:textId="77777777" w:rsidTr="00264EE0">
        <w:tblPrEx>
          <w:tblCellMar>
            <w:top w:w="15" w:type="dxa"/>
            <w:left w:w="15" w:type="dxa"/>
            <w:bottom w:w="15" w:type="dxa"/>
            <w:right w:w="15" w:type="dxa"/>
          </w:tblCellMar>
          <w:tblLook w:val="04A0" w:firstRow="1" w:lastRow="0" w:firstColumn="1" w:lastColumn="0" w:noHBand="0" w:noVBand="1"/>
        </w:tblPrEx>
        <w:tc>
          <w:tcPr>
            <w:tcW w:w="232" w:type="pct"/>
            <w:vMerge/>
            <w:vAlign w:val="center"/>
          </w:tcPr>
          <w:p w14:paraId="734CD8FE" w14:textId="77777777" w:rsidR="00A93A3B" w:rsidRPr="00677B2D" w:rsidRDefault="00A93A3B" w:rsidP="00264EE0">
            <w:pPr>
              <w:jc w:val="center"/>
              <w:rPr>
                <w:rFonts w:ascii="Arial Narrow" w:eastAsia="Times New Roman" w:hAnsi="Arial Narrow"/>
                <w:color w:val="333333"/>
                <w:sz w:val="20"/>
                <w:szCs w:val="20"/>
              </w:rPr>
            </w:pPr>
          </w:p>
        </w:tc>
        <w:tc>
          <w:tcPr>
            <w:tcW w:w="316" w:type="pct"/>
            <w:vAlign w:val="center"/>
          </w:tcPr>
          <w:p w14:paraId="662D7DD5" w14:textId="11B8F7D3" w:rsidR="00A93A3B" w:rsidRPr="00677B2D" w:rsidRDefault="00A93A3B" w:rsidP="00264EE0">
            <w:pPr>
              <w:jc w:val="center"/>
              <w:rPr>
                <w:rFonts w:ascii="Arial Narrow" w:eastAsia="Times New Roman" w:hAnsi="Arial Narrow"/>
                <w:color w:val="333333"/>
                <w:sz w:val="20"/>
                <w:szCs w:val="20"/>
              </w:rPr>
            </w:pPr>
          </w:p>
        </w:tc>
        <w:tc>
          <w:tcPr>
            <w:tcW w:w="4452" w:type="pct"/>
            <w:gridSpan w:val="6"/>
            <w:vAlign w:val="center"/>
          </w:tcPr>
          <w:p w14:paraId="7A41546E" w14:textId="77777777" w:rsidR="00A93A3B" w:rsidRPr="00677B2D" w:rsidRDefault="00A93A3B" w:rsidP="00264EE0">
            <w:pPr>
              <w:rPr>
                <w:rFonts w:ascii="Arial Narrow" w:eastAsia="Times New Roman" w:hAnsi="Arial Narrow"/>
                <w:b/>
                <w:bCs/>
                <w:color w:val="333333"/>
                <w:sz w:val="20"/>
                <w:szCs w:val="20"/>
              </w:rPr>
            </w:pPr>
            <w:r w:rsidRPr="00677B2D">
              <w:rPr>
                <w:rFonts w:ascii="Arial Narrow" w:eastAsia="Times New Roman" w:hAnsi="Arial Narrow"/>
                <w:b/>
                <w:bCs/>
                <w:color w:val="333333"/>
                <w:sz w:val="20"/>
                <w:szCs w:val="20"/>
              </w:rPr>
              <w:t>Administrative Advice:</w:t>
            </w:r>
          </w:p>
          <w:p w14:paraId="3750EA0F" w14:textId="77777777" w:rsidR="00A93A3B" w:rsidRPr="00677B2D" w:rsidRDefault="00A93A3B" w:rsidP="00264EE0">
            <w:pPr>
              <w:rPr>
                <w:rFonts w:ascii="Arial Narrow" w:eastAsia="Times New Roman" w:hAnsi="Arial Narrow"/>
                <w:b/>
                <w:bCs/>
                <w:color w:val="333333"/>
                <w:sz w:val="20"/>
                <w:szCs w:val="20"/>
              </w:rPr>
            </w:pPr>
            <w:r w:rsidRPr="00677B2D">
              <w:rPr>
                <w:rFonts w:ascii="Arial Narrow" w:eastAsia="Times New Roman" w:hAnsi="Arial Narrow"/>
                <w:color w:val="333333"/>
                <w:sz w:val="20"/>
                <w:szCs w:val="20"/>
              </w:rPr>
              <w:t>No increase in the maximum quantity or number of units may be authorised.</w:t>
            </w:r>
          </w:p>
        </w:tc>
      </w:tr>
      <w:tr w:rsidR="00A93A3B" w:rsidRPr="00120A12" w14:paraId="0A0D3424" w14:textId="77777777" w:rsidTr="00264EE0">
        <w:tblPrEx>
          <w:tblCellMar>
            <w:top w:w="15" w:type="dxa"/>
            <w:left w:w="15" w:type="dxa"/>
            <w:bottom w:w="15" w:type="dxa"/>
            <w:right w:w="15" w:type="dxa"/>
          </w:tblCellMar>
          <w:tblLook w:val="04A0" w:firstRow="1" w:lastRow="0" w:firstColumn="1" w:lastColumn="0" w:noHBand="0" w:noVBand="1"/>
        </w:tblPrEx>
        <w:tc>
          <w:tcPr>
            <w:tcW w:w="232" w:type="pct"/>
            <w:vMerge/>
            <w:vAlign w:val="center"/>
          </w:tcPr>
          <w:p w14:paraId="6FBEAA1A" w14:textId="77777777" w:rsidR="00A93A3B" w:rsidRPr="00677B2D" w:rsidRDefault="00A93A3B" w:rsidP="00264EE0">
            <w:pPr>
              <w:jc w:val="center"/>
              <w:rPr>
                <w:rFonts w:ascii="Arial Narrow" w:eastAsia="Times New Roman" w:hAnsi="Arial Narrow"/>
                <w:color w:val="333333"/>
                <w:sz w:val="20"/>
                <w:szCs w:val="20"/>
              </w:rPr>
            </w:pPr>
          </w:p>
        </w:tc>
        <w:tc>
          <w:tcPr>
            <w:tcW w:w="316" w:type="pct"/>
            <w:vAlign w:val="center"/>
          </w:tcPr>
          <w:p w14:paraId="0090A09C" w14:textId="00081646" w:rsidR="00A93A3B" w:rsidRPr="00677B2D" w:rsidRDefault="00A93A3B" w:rsidP="00264EE0">
            <w:pPr>
              <w:jc w:val="center"/>
              <w:rPr>
                <w:rFonts w:ascii="Arial Narrow" w:eastAsia="Times New Roman" w:hAnsi="Arial Narrow"/>
                <w:color w:val="333333"/>
                <w:sz w:val="20"/>
                <w:szCs w:val="20"/>
              </w:rPr>
            </w:pPr>
          </w:p>
        </w:tc>
        <w:tc>
          <w:tcPr>
            <w:tcW w:w="4452" w:type="pct"/>
            <w:gridSpan w:val="6"/>
            <w:vAlign w:val="center"/>
          </w:tcPr>
          <w:p w14:paraId="476E2935" w14:textId="77777777" w:rsidR="00A93A3B" w:rsidRPr="00677B2D" w:rsidRDefault="00A93A3B" w:rsidP="00264EE0">
            <w:pPr>
              <w:rPr>
                <w:rFonts w:ascii="Arial Narrow" w:eastAsia="Times New Roman" w:hAnsi="Arial Narrow"/>
                <w:b/>
                <w:bCs/>
                <w:color w:val="333333"/>
                <w:sz w:val="20"/>
                <w:szCs w:val="20"/>
              </w:rPr>
            </w:pPr>
            <w:r w:rsidRPr="00677B2D">
              <w:rPr>
                <w:rFonts w:ascii="Arial Narrow" w:eastAsia="Times New Roman" w:hAnsi="Arial Narrow"/>
                <w:b/>
                <w:bCs/>
                <w:color w:val="333333"/>
                <w:sz w:val="20"/>
                <w:szCs w:val="20"/>
              </w:rPr>
              <w:t>Administrative Advice:</w:t>
            </w:r>
          </w:p>
          <w:p w14:paraId="682FBA5B" w14:textId="77777777" w:rsidR="00A93A3B" w:rsidRPr="00677B2D" w:rsidRDefault="00A93A3B" w:rsidP="00264EE0">
            <w:pPr>
              <w:rPr>
                <w:rFonts w:ascii="Arial Narrow" w:eastAsia="Times New Roman" w:hAnsi="Arial Narrow"/>
                <w:b/>
                <w:bCs/>
                <w:color w:val="333333"/>
                <w:sz w:val="20"/>
                <w:szCs w:val="20"/>
              </w:rPr>
            </w:pPr>
            <w:r w:rsidRPr="00677B2D">
              <w:rPr>
                <w:rFonts w:ascii="Arial Narrow" w:eastAsia="Times New Roman" w:hAnsi="Arial Narrow"/>
                <w:color w:val="333333"/>
                <w:sz w:val="20"/>
                <w:szCs w:val="20"/>
              </w:rPr>
              <w:t>No increase in the maximum number of repeats may be authorised.</w:t>
            </w:r>
          </w:p>
        </w:tc>
      </w:tr>
      <w:tr w:rsidR="00A93A3B" w:rsidRPr="00120A12" w14:paraId="573F8C6F" w14:textId="77777777" w:rsidTr="00264EE0">
        <w:tblPrEx>
          <w:tblCellMar>
            <w:top w:w="15" w:type="dxa"/>
            <w:left w:w="15" w:type="dxa"/>
            <w:bottom w:w="15" w:type="dxa"/>
            <w:right w:w="15" w:type="dxa"/>
          </w:tblCellMar>
          <w:tblLook w:val="04A0" w:firstRow="1" w:lastRow="0" w:firstColumn="1" w:lastColumn="0" w:noHBand="0" w:noVBand="1"/>
        </w:tblPrEx>
        <w:tc>
          <w:tcPr>
            <w:tcW w:w="232" w:type="pct"/>
            <w:vMerge/>
            <w:vAlign w:val="center"/>
          </w:tcPr>
          <w:p w14:paraId="3795FEF4" w14:textId="77777777" w:rsidR="00A93A3B" w:rsidRPr="00677B2D" w:rsidRDefault="00A93A3B" w:rsidP="00264EE0">
            <w:pPr>
              <w:jc w:val="center"/>
              <w:rPr>
                <w:rFonts w:ascii="Arial Narrow" w:eastAsia="Times New Roman" w:hAnsi="Arial Narrow"/>
                <w:color w:val="333333"/>
                <w:sz w:val="20"/>
                <w:szCs w:val="20"/>
              </w:rPr>
            </w:pPr>
          </w:p>
        </w:tc>
        <w:tc>
          <w:tcPr>
            <w:tcW w:w="316" w:type="pct"/>
            <w:vAlign w:val="center"/>
          </w:tcPr>
          <w:p w14:paraId="1062A11F" w14:textId="514B2CE2" w:rsidR="00A93A3B" w:rsidRPr="00677B2D" w:rsidRDefault="00A93A3B" w:rsidP="00264EE0">
            <w:pPr>
              <w:jc w:val="center"/>
              <w:rPr>
                <w:rFonts w:ascii="Arial Narrow" w:eastAsia="Times New Roman" w:hAnsi="Arial Narrow"/>
                <w:color w:val="333333"/>
                <w:sz w:val="20"/>
                <w:szCs w:val="20"/>
              </w:rPr>
            </w:pPr>
          </w:p>
        </w:tc>
        <w:tc>
          <w:tcPr>
            <w:tcW w:w="4452" w:type="pct"/>
            <w:gridSpan w:val="6"/>
            <w:vAlign w:val="center"/>
          </w:tcPr>
          <w:p w14:paraId="32CBEADE" w14:textId="77777777" w:rsidR="00A93A3B" w:rsidRPr="00677B2D" w:rsidRDefault="00A93A3B" w:rsidP="00264EE0">
            <w:pPr>
              <w:rPr>
                <w:rFonts w:ascii="Arial Narrow" w:eastAsia="Times New Roman" w:hAnsi="Arial Narrow"/>
                <w:b/>
                <w:bCs/>
                <w:color w:val="333333"/>
                <w:sz w:val="20"/>
                <w:szCs w:val="20"/>
              </w:rPr>
            </w:pPr>
            <w:r w:rsidRPr="00677B2D">
              <w:rPr>
                <w:rFonts w:ascii="Arial Narrow" w:eastAsia="Times New Roman" w:hAnsi="Arial Narrow"/>
                <w:b/>
                <w:bCs/>
                <w:color w:val="333333"/>
                <w:sz w:val="20"/>
                <w:szCs w:val="20"/>
              </w:rPr>
              <w:t>Administrative Advice:</w:t>
            </w:r>
          </w:p>
          <w:p w14:paraId="53FE20DC" w14:textId="77777777" w:rsidR="00A93A3B" w:rsidRPr="00677B2D" w:rsidRDefault="00A93A3B" w:rsidP="00264EE0">
            <w:pPr>
              <w:rPr>
                <w:rFonts w:ascii="Arial Narrow" w:eastAsia="Times New Roman" w:hAnsi="Arial Narrow"/>
                <w:b/>
                <w:bCs/>
                <w:color w:val="333333"/>
                <w:sz w:val="20"/>
                <w:szCs w:val="20"/>
              </w:rPr>
            </w:pPr>
            <w:r w:rsidRPr="00677B2D">
              <w:rPr>
                <w:rFonts w:ascii="Arial Narrow" w:eastAsia="Times New Roman" w:hAnsi="Arial Narrow"/>
                <w:color w:val="333333"/>
                <w:sz w:val="20"/>
                <w:szCs w:val="20"/>
              </w:rPr>
              <w:t>Special Pricing Arrangements apply.</w:t>
            </w:r>
          </w:p>
        </w:tc>
      </w:tr>
      <w:tr w:rsidR="00A93A3B" w:rsidRPr="00120A12" w14:paraId="19235499" w14:textId="77777777" w:rsidTr="00092C71">
        <w:tblPrEx>
          <w:tblCellMar>
            <w:top w:w="15" w:type="dxa"/>
            <w:left w:w="15" w:type="dxa"/>
            <w:bottom w:w="15" w:type="dxa"/>
            <w:right w:w="15" w:type="dxa"/>
          </w:tblCellMar>
          <w:tblLook w:val="04A0" w:firstRow="1" w:lastRow="0" w:firstColumn="1" w:lastColumn="0" w:noHBand="0" w:noVBand="1"/>
        </w:tblPrEx>
        <w:tc>
          <w:tcPr>
            <w:tcW w:w="548" w:type="pct"/>
            <w:gridSpan w:val="2"/>
            <w:vAlign w:val="center"/>
          </w:tcPr>
          <w:p w14:paraId="3BFB6979" w14:textId="4C05AF72" w:rsidR="00A93A3B" w:rsidRPr="000570D4" w:rsidRDefault="00A93A3B" w:rsidP="00264EE0">
            <w:pPr>
              <w:jc w:val="center"/>
              <w:rPr>
                <w:rFonts w:ascii="Arial Narrow" w:eastAsia="Times New Roman" w:hAnsi="Arial Narrow"/>
                <w:color w:val="333333"/>
                <w:sz w:val="20"/>
                <w:szCs w:val="20"/>
              </w:rPr>
            </w:pPr>
          </w:p>
        </w:tc>
        <w:tc>
          <w:tcPr>
            <w:tcW w:w="4452" w:type="pct"/>
            <w:gridSpan w:val="6"/>
            <w:vAlign w:val="center"/>
            <w:hideMark/>
          </w:tcPr>
          <w:p w14:paraId="370A170E" w14:textId="77777777" w:rsidR="00A93A3B" w:rsidRPr="000570D4" w:rsidRDefault="00A93A3B" w:rsidP="00264EE0">
            <w:pPr>
              <w:rPr>
                <w:rFonts w:ascii="Arial Narrow" w:eastAsia="Times New Roman" w:hAnsi="Arial Narrow"/>
                <w:color w:val="333333"/>
                <w:sz w:val="20"/>
                <w:szCs w:val="20"/>
              </w:rPr>
            </w:pPr>
            <w:r w:rsidRPr="000570D4">
              <w:rPr>
                <w:rFonts w:ascii="Arial Narrow" w:eastAsia="Times New Roman" w:hAnsi="Arial Narrow"/>
                <w:b/>
                <w:bCs/>
                <w:color w:val="333333"/>
                <w:sz w:val="20"/>
                <w:szCs w:val="20"/>
              </w:rPr>
              <w:t>Indication:</w:t>
            </w:r>
            <w:r w:rsidRPr="000570D4">
              <w:rPr>
                <w:rFonts w:ascii="Arial Narrow" w:eastAsia="Times New Roman" w:hAnsi="Arial Narrow"/>
                <w:color w:val="333333"/>
                <w:sz w:val="20"/>
                <w:szCs w:val="20"/>
              </w:rPr>
              <w:t xml:space="preserve"> Severe Crohn disease</w:t>
            </w:r>
          </w:p>
        </w:tc>
      </w:tr>
      <w:tr w:rsidR="00A93A3B" w:rsidRPr="00B90897" w14:paraId="649DCB6C" w14:textId="77777777" w:rsidTr="00092C71">
        <w:tblPrEx>
          <w:tblCellMar>
            <w:top w:w="15" w:type="dxa"/>
            <w:left w:w="15" w:type="dxa"/>
            <w:bottom w:w="15" w:type="dxa"/>
            <w:right w:w="15" w:type="dxa"/>
          </w:tblCellMar>
          <w:tblLook w:val="04A0" w:firstRow="1" w:lastRow="0" w:firstColumn="1" w:lastColumn="0" w:noHBand="0" w:noVBand="1"/>
        </w:tblPrEx>
        <w:tc>
          <w:tcPr>
            <w:tcW w:w="548" w:type="pct"/>
            <w:gridSpan w:val="2"/>
            <w:vAlign w:val="center"/>
          </w:tcPr>
          <w:p w14:paraId="7B712342" w14:textId="77777777" w:rsidR="00A93A3B" w:rsidRPr="000570D4" w:rsidRDefault="00A93A3B" w:rsidP="00264EE0">
            <w:pPr>
              <w:jc w:val="center"/>
              <w:rPr>
                <w:rFonts w:ascii="Arial Narrow" w:eastAsia="Times New Roman" w:hAnsi="Arial Narrow"/>
                <w:color w:val="333333"/>
                <w:sz w:val="20"/>
                <w:szCs w:val="20"/>
              </w:rPr>
            </w:pPr>
          </w:p>
        </w:tc>
        <w:tc>
          <w:tcPr>
            <w:tcW w:w="4452" w:type="pct"/>
            <w:gridSpan w:val="6"/>
            <w:vAlign w:val="center"/>
            <w:hideMark/>
          </w:tcPr>
          <w:p w14:paraId="3E62853A" w14:textId="77777777" w:rsidR="00A93A3B" w:rsidRPr="000570D4" w:rsidRDefault="00A93A3B" w:rsidP="00264EE0">
            <w:pPr>
              <w:rPr>
                <w:rFonts w:ascii="Arial Narrow" w:eastAsia="Times New Roman" w:hAnsi="Arial Narrow"/>
                <w:color w:val="FF00FF"/>
                <w:sz w:val="20"/>
                <w:szCs w:val="20"/>
              </w:rPr>
            </w:pPr>
            <w:r w:rsidRPr="000570D4">
              <w:rPr>
                <w:rFonts w:ascii="Arial Narrow" w:eastAsia="Times New Roman" w:hAnsi="Arial Narrow"/>
                <w:b/>
                <w:bCs/>
                <w:color w:val="333333"/>
                <w:sz w:val="20"/>
                <w:szCs w:val="20"/>
              </w:rPr>
              <w:t>Treatment Phase:</w:t>
            </w:r>
            <w:r w:rsidRPr="000570D4">
              <w:rPr>
                <w:rFonts w:ascii="Arial Narrow" w:eastAsia="Times New Roman" w:hAnsi="Arial Narrow"/>
                <w:color w:val="FF0000"/>
                <w:sz w:val="20"/>
                <w:szCs w:val="20"/>
              </w:rPr>
              <w:t xml:space="preserve"> </w:t>
            </w:r>
            <w:r w:rsidRPr="000570D4">
              <w:rPr>
                <w:rFonts w:ascii="Arial Narrow" w:eastAsia="Times New Roman" w:hAnsi="Arial Narrow"/>
                <w:sz w:val="20"/>
                <w:szCs w:val="20"/>
              </w:rPr>
              <w:t xml:space="preserve"> </w:t>
            </w:r>
            <w:r w:rsidRPr="00377098">
              <w:rPr>
                <w:rFonts w:ascii="Arial Narrow" w:eastAsia="Times New Roman" w:hAnsi="Arial Narrow"/>
                <w:strike/>
                <w:sz w:val="20"/>
                <w:szCs w:val="20"/>
              </w:rPr>
              <w:t>Initial treatment</w:t>
            </w:r>
            <w:r w:rsidRPr="000570D4">
              <w:rPr>
                <w:rFonts w:ascii="Arial Narrow" w:eastAsia="Times New Roman" w:hAnsi="Arial Narrow"/>
                <w:sz w:val="20"/>
                <w:szCs w:val="20"/>
              </w:rPr>
              <w:t xml:space="preserve"> – Grandfather treatment</w:t>
            </w:r>
          </w:p>
        </w:tc>
      </w:tr>
      <w:tr w:rsidR="00A93A3B" w:rsidRPr="007F2BB2" w14:paraId="601681BD" w14:textId="77777777" w:rsidTr="00092C71">
        <w:tblPrEx>
          <w:tblCellMar>
            <w:top w:w="15" w:type="dxa"/>
            <w:left w:w="15" w:type="dxa"/>
            <w:bottom w:w="15" w:type="dxa"/>
            <w:right w:w="15" w:type="dxa"/>
          </w:tblCellMar>
          <w:tblLook w:val="04A0" w:firstRow="1" w:lastRow="0" w:firstColumn="1" w:lastColumn="0" w:noHBand="0" w:noVBand="1"/>
        </w:tblPrEx>
        <w:tc>
          <w:tcPr>
            <w:tcW w:w="548" w:type="pct"/>
            <w:gridSpan w:val="2"/>
            <w:vAlign w:val="center"/>
          </w:tcPr>
          <w:p w14:paraId="3C753BDF" w14:textId="77777777" w:rsidR="00A93A3B" w:rsidRPr="000570D4" w:rsidRDefault="00A93A3B" w:rsidP="00264EE0">
            <w:pPr>
              <w:jc w:val="center"/>
              <w:rPr>
                <w:rFonts w:ascii="Arial Narrow" w:eastAsia="Times New Roman" w:hAnsi="Arial Narrow"/>
                <w:color w:val="333333"/>
                <w:sz w:val="20"/>
                <w:szCs w:val="20"/>
              </w:rPr>
            </w:pPr>
          </w:p>
        </w:tc>
        <w:tc>
          <w:tcPr>
            <w:tcW w:w="4452" w:type="pct"/>
            <w:gridSpan w:val="6"/>
            <w:vAlign w:val="center"/>
            <w:hideMark/>
          </w:tcPr>
          <w:p w14:paraId="7886A28A" w14:textId="77777777" w:rsidR="00A93A3B" w:rsidRPr="000570D4" w:rsidRDefault="00A93A3B" w:rsidP="00264EE0">
            <w:pPr>
              <w:rPr>
                <w:rFonts w:ascii="Arial Narrow" w:eastAsia="Times New Roman" w:hAnsi="Arial Narrow"/>
                <w:color w:val="FF00FF"/>
                <w:sz w:val="20"/>
                <w:szCs w:val="20"/>
              </w:rPr>
            </w:pPr>
            <w:r w:rsidRPr="000570D4">
              <w:rPr>
                <w:rFonts w:ascii="Arial Narrow" w:eastAsia="Times New Roman" w:hAnsi="Arial Narrow"/>
                <w:b/>
                <w:bCs/>
                <w:color w:val="333333"/>
                <w:sz w:val="20"/>
                <w:szCs w:val="20"/>
              </w:rPr>
              <w:t xml:space="preserve">Clinical criteria: </w:t>
            </w:r>
          </w:p>
        </w:tc>
      </w:tr>
      <w:tr w:rsidR="00A93A3B" w:rsidRPr="007F2BB2" w14:paraId="040DED55" w14:textId="77777777" w:rsidTr="00264EE0">
        <w:tblPrEx>
          <w:tblCellMar>
            <w:top w:w="15" w:type="dxa"/>
            <w:left w:w="15" w:type="dxa"/>
            <w:bottom w:w="15" w:type="dxa"/>
            <w:right w:w="15" w:type="dxa"/>
          </w:tblCellMar>
          <w:tblLook w:val="04A0" w:firstRow="1" w:lastRow="0" w:firstColumn="1" w:lastColumn="0" w:noHBand="0" w:noVBand="1"/>
        </w:tblPrEx>
        <w:tc>
          <w:tcPr>
            <w:tcW w:w="548" w:type="pct"/>
            <w:gridSpan w:val="2"/>
            <w:vAlign w:val="center"/>
          </w:tcPr>
          <w:p w14:paraId="5A7C285E" w14:textId="5B81191E" w:rsidR="00A93A3B" w:rsidRPr="000570D4" w:rsidRDefault="00A93A3B" w:rsidP="00264EE0">
            <w:pPr>
              <w:jc w:val="center"/>
              <w:rPr>
                <w:rFonts w:ascii="Arial Narrow" w:eastAsia="Times New Roman" w:hAnsi="Arial Narrow"/>
                <w:color w:val="333333"/>
                <w:sz w:val="20"/>
                <w:szCs w:val="20"/>
              </w:rPr>
            </w:pPr>
          </w:p>
        </w:tc>
        <w:tc>
          <w:tcPr>
            <w:tcW w:w="4452" w:type="pct"/>
            <w:gridSpan w:val="6"/>
            <w:vAlign w:val="center"/>
          </w:tcPr>
          <w:p w14:paraId="68258FE3" w14:textId="77777777" w:rsidR="00A93A3B" w:rsidRPr="000570D4" w:rsidRDefault="00A93A3B" w:rsidP="00264EE0">
            <w:pPr>
              <w:rPr>
                <w:rFonts w:ascii="Arial Narrow" w:eastAsia="Times New Roman" w:hAnsi="Arial Narrow"/>
                <w:color w:val="333333"/>
                <w:sz w:val="20"/>
                <w:szCs w:val="20"/>
              </w:rPr>
            </w:pPr>
            <w:r w:rsidRPr="000570D4">
              <w:rPr>
                <w:rFonts w:ascii="Arial Narrow" w:eastAsia="Times New Roman" w:hAnsi="Arial Narrow"/>
                <w:sz w:val="20"/>
                <w:szCs w:val="20"/>
              </w:rPr>
              <w:t>Patient must have a documented history of severe Crohn disease</w:t>
            </w:r>
          </w:p>
        </w:tc>
      </w:tr>
      <w:tr w:rsidR="00A93A3B" w:rsidRPr="007F2BB2" w14:paraId="32BE6DF6" w14:textId="77777777" w:rsidTr="00264EE0">
        <w:tblPrEx>
          <w:tblCellMar>
            <w:top w:w="15" w:type="dxa"/>
            <w:left w:w="15" w:type="dxa"/>
            <w:bottom w:w="15" w:type="dxa"/>
            <w:right w:w="15" w:type="dxa"/>
          </w:tblCellMar>
        </w:tblPrEx>
        <w:trPr>
          <w:trHeight w:val="330"/>
        </w:trPr>
        <w:tc>
          <w:tcPr>
            <w:tcW w:w="548" w:type="pct"/>
            <w:gridSpan w:val="2"/>
            <w:vAlign w:val="center"/>
          </w:tcPr>
          <w:p w14:paraId="25567EA4" w14:textId="77777777" w:rsidR="00A93A3B" w:rsidRPr="000570D4" w:rsidRDefault="00A93A3B" w:rsidP="00264EE0">
            <w:pPr>
              <w:rPr>
                <w:rFonts w:ascii="Arial Narrow" w:eastAsia="Times New Roman" w:hAnsi="Arial Narrow"/>
                <w:b/>
                <w:bCs/>
                <w:color w:val="333333"/>
                <w:sz w:val="20"/>
                <w:szCs w:val="20"/>
              </w:rPr>
            </w:pPr>
          </w:p>
        </w:tc>
        <w:tc>
          <w:tcPr>
            <w:tcW w:w="4452" w:type="pct"/>
            <w:gridSpan w:val="6"/>
            <w:vAlign w:val="center"/>
          </w:tcPr>
          <w:p w14:paraId="02452C3A" w14:textId="77777777" w:rsidR="00A93A3B" w:rsidRPr="000570D4" w:rsidRDefault="00A93A3B" w:rsidP="00264EE0">
            <w:pPr>
              <w:rPr>
                <w:rFonts w:ascii="Arial Narrow" w:eastAsia="Times New Roman" w:hAnsi="Arial Narrow"/>
                <w:b/>
                <w:bCs/>
                <w:color w:val="333333"/>
                <w:sz w:val="20"/>
                <w:szCs w:val="20"/>
              </w:rPr>
            </w:pPr>
            <w:r w:rsidRPr="000570D4">
              <w:rPr>
                <w:rFonts w:ascii="Arial Narrow" w:eastAsia="Times New Roman" w:hAnsi="Arial Narrow"/>
                <w:b/>
                <w:bCs/>
                <w:color w:val="333333"/>
                <w:sz w:val="20"/>
                <w:szCs w:val="20"/>
              </w:rPr>
              <w:t>AND</w:t>
            </w:r>
          </w:p>
        </w:tc>
      </w:tr>
      <w:tr w:rsidR="00A93A3B" w:rsidRPr="007F2BB2" w14:paraId="04850AEE" w14:textId="77777777" w:rsidTr="00264EE0">
        <w:tblPrEx>
          <w:tblCellMar>
            <w:top w:w="15" w:type="dxa"/>
            <w:left w:w="15" w:type="dxa"/>
            <w:bottom w:w="15" w:type="dxa"/>
            <w:right w:w="15" w:type="dxa"/>
          </w:tblCellMar>
          <w:tblLook w:val="04A0" w:firstRow="1" w:lastRow="0" w:firstColumn="1" w:lastColumn="0" w:noHBand="0" w:noVBand="1"/>
        </w:tblPrEx>
        <w:tc>
          <w:tcPr>
            <w:tcW w:w="548" w:type="pct"/>
            <w:gridSpan w:val="2"/>
            <w:vAlign w:val="center"/>
          </w:tcPr>
          <w:p w14:paraId="4E8D3562" w14:textId="02AD833F" w:rsidR="00A93A3B" w:rsidRPr="000570D4" w:rsidRDefault="00A93A3B" w:rsidP="00264EE0">
            <w:pPr>
              <w:jc w:val="center"/>
              <w:rPr>
                <w:rFonts w:ascii="Arial Narrow" w:eastAsia="Times New Roman" w:hAnsi="Arial Narrow"/>
                <w:color w:val="333333"/>
                <w:sz w:val="20"/>
                <w:szCs w:val="20"/>
              </w:rPr>
            </w:pPr>
          </w:p>
        </w:tc>
        <w:tc>
          <w:tcPr>
            <w:tcW w:w="4452" w:type="pct"/>
            <w:gridSpan w:val="6"/>
            <w:vAlign w:val="center"/>
          </w:tcPr>
          <w:p w14:paraId="1A45D83B" w14:textId="77777777" w:rsidR="00A93A3B" w:rsidRPr="000570D4" w:rsidRDefault="00A93A3B" w:rsidP="00264EE0">
            <w:pPr>
              <w:rPr>
                <w:rFonts w:ascii="Arial Narrow" w:eastAsia="Times New Roman" w:hAnsi="Arial Narrow"/>
                <w:b/>
                <w:bCs/>
                <w:color w:val="333333"/>
                <w:sz w:val="20"/>
                <w:szCs w:val="20"/>
              </w:rPr>
            </w:pPr>
            <w:r w:rsidRPr="000570D4">
              <w:rPr>
                <w:rFonts w:ascii="Arial Narrow" w:eastAsia="Times New Roman" w:hAnsi="Arial Narrow"/>
                <w:b/>
                <w:bCs/>
                <w:color w:val="333333"/>
                <w:sz w:val="20"/>
                <w:szCs w:val="20"/>
              </w:rPr>
              <w:t>Clinical criteria:</w:t>
            </w:r>
          </w:p>
        </w:tc>
      </w:tr>
      <w:tr w:rsidR="00A93A3B" w:rsidRPr="007F2BB2" w14:paraId="09FCD7DA" w14:textId="77777777" w:rsidTr="00264EE0">
        <w:tblPrEx>
          <w:tblCellMar>
            <w:top w:w="15" w:type="dxa"/>
            <w:left w:w="15" w:type="dxa"/>
            <w:bottom w:w="15" w:type="dxa"/>
            <w:right w:w="15" w:type="dxa"/>
          </w:tblCellMar>
          <w:tblLook w:val="04A0" w:firstRow="1" w:lastRow="0" w:firstColumn="1" w:lastColumn="0" w:noHBand="0" w:noVBand="1"/>
        </w:tblPrEx>
        <w:tc>
          <w:tcPr>
            <w:tcW w:w="548" w:type="pct"/>
            <w:gridSpan w:val="2"/>
            <w:vAlign w:val="center"/>
          </w:tcPr>
          <w:p w14:paraId="7F01087A" w14:textId="5590B837" w:rsidR="00A93A3B" w:rsidRPr="000570D4" w:rsidRDefault="00A93A3B" w:rsidP="00264EE0">
            <w:pPr>
              <w:jc w:val="center"/>
              <w:rPr>
                <w:rFonts w:ascii="Arial Narrow" w:eastAsia="Times New Roman" w:hAnsi="Arial Narrow"/>
                <w:color w:val="333333"/>
                <w:sz w:val="20"/>
                <w:szCs w:val="20"/>
              </w:rPr>
            </w:pPr>
          </w:p>
        </w:tc>
        <w:tc>
          <w:tcPr>
            <w:tcW w:w="4452" w:type="pct"/>
            <w:gridSpan w:val="6"/>
            <w:vAlign w:val="center"/>
          </w:tcPr>
          <w:p w14:paraId="65AF1D1D" w14:textId="77777777" w:rsidR="00A93A3B" w:rsidRPr="000570D4" w:rsidRDefault="00A93A3B" w:rsidP="00264EE0">
            <w:pPr>
              <w:rPr>
                <w:rFonts w:ascii="Arial Narrow" w:eastAsia="Times New Roman" w:hAnsi="Arial Narrow"/>
                <w:b/>
                <w:bCs/>
                <w:color w:val="333333"/>
                <w:sz w:val="20"/>
                <w:szCs w:val="20"/>
              </w:rPr>
            </w:pPr>
            <w:r w:rsidRPr="000570D4">
              <w:rPr>
                <w:rFonts w:ascii="Arial Narrow" w:eastAsia="Times New Roman" w:hAnsi="Arial Narrow"/>
                <w:sz w:val="20"/>
                <w:szCs w:val="20"/>
              </w:rPr>
              <w:t>Patient must have previously received non-PBS-subsidised treatment with this drug for this condition prior to [LISTING DATE]</w:t>
            </w:r>
          </w:p>
        </w:tc>
      </w:tr>
      <w:tr w:rsidR="00A93A3B" w:rsidRPr="007F2BB2" w14:paraId="4FE6F187" w14:textId="77777777" w:rsidTr="00264EE0">
        <w:tblPrEx>
          <w:tblCellMar>
            <w:top w:w="15" w:type="dxa"/>
            <w:left w:w="15" w:type="dxa"/>
            <w:bottom w:w="15" w:type="dxa"/>
            <w:right w:w="15" w:type="dxa"/>
          </w:tblCellMar>
          <w:tblLook w:val="04A0" w:firstRow="1" w:lastRow="0" w:firstColumn="1" w:lastColumn="0" w:noHBand="0" w:noVBand="1"/>
        </w:tblPrEx>
        <w:tc>
          <w:tcPr>
            <w:tcW w:w="548" w:type="pct"/>
            <w:gridSpan w:val="2"/>
            <w:vAlign w:val="center"/>
          </w:tcPr>
          <w:p w14:paraId="43F17267" w14:textId="77777777" w:rsidR="00A93A3B" w:rsidRPr="000570D4" w:rsidRDefault="00A93A3B" w:rsidP="00264EE0">
            <w:pPr>
              <w:jc w:val="center"/>
              <w:rPr>
                <w:rFonts w:ascii="Arial Narrow" w:eastAsia="Times New Roman" w:hAnsi="Arial Narrow"/>
                <w:strike/>
                <w:color w:val="333333"/>
                <w:sz w:val="20"/>
                <w:szCs w:val="20"/>
              </w:rPr>
            </w:pPr>
          </w:p>
        </w:tc>
        <w:tc>
          <w:tcPr>
            <w:tcW w:w="4452" w:type="pct"/>
            <w:gridSpan w:val="6"/>
            <w:vAlign w:val="center"/>
          </w:tcPr>
          <w:p w14:paraId="20BEB9B4" w14:textId="77777777" w:rsidR="00A93A3B" w:rsidRPr="000570D4" w:rsidRDefault="00A93A3B" w:rsidP="00264EE0">
            <w:pPr>
              <w:rPr>
                <w:rFonts w:ascii="Arial Narrow" w:eastAsia="Times New Roman" w:hAnsi="Arial Narrow"/>
                <w:b/>
                <w:bCs/>
                <w:strike/>
                <w:color w:val="333333"/>
                <w:sz w:val="20"/>
                <w:szCs w:val="20"/>
              </w:rPr>
            </w:pPr>
            <w:r w:rsidRPr="000570D4">
              <w:rPr>
                <w:rFonts w:ascii="Arial Narrow" w:eastAsia="Times New Roman" w:hAnsi="Arial Narrow"/>
                <w:b/>
                <w:bCs/>
                <w:strike/>
                <w:color w:val="333333"/>
                <w:sz w:val="20"/>
                <w:szCs w:val="20"/>
              </w:rPr>
              <w:t>AND</w:t>
            </w:r>
          </w:p>
        </w:tc>
      </w:tr>
      <w:tr w:rsidR="00A93A3B" w:rsidRPr="007F2BB2" w14:paraId="096C8F51" w14:textId="77777777" w:rsidTr="00264EE0">
        <w:tblPrEx>
          <w:tblCellMar>
            <w:top w:w="15" w:type="dxa"/>
            <w:left w:w="15" w:type="dxa"/>
            <w:bottom w:w="15" w:type="dxa"/>
            <w:right w:w="15" w:type="dxa"/>
          </w:tblCellMar>
          <w:tblLook w:val="04A0" w:firstRow="1" w:lastRow="0" w:firstColumn="1" w:lastColumn="0" w:noHBand="0" w:noVBand="1"/>
        </w:tblPrEx>
        <w:tc>
          <w:tcPr>
            <w:tcW w:w="548" w:type="pct"/>
            <w:gridSpan w:val="2"/>
            <w:vAlign w:val="center"/>
          </w:tcPr>
          <w:p w14:paraId="69CC984A" w14:textId="2BF7F5E4" w:rsidR="00A93A3B" w:rsidRPr="00710320" w:rsidRDefault="00A93A3B" w:rsidP="00264EE0">
            <w:pPr>
              <w:jc w:val="center"/>
              <w:rPr>
                <w:rFonts w:ascii="Arial Narrow" w:eastAsia="Times New Roman" w:hAnsi="Arial Narrow"/>
                <w:color w:val="333333"/>
                <w:sz w:val="20"/>
                <w:szCs w:val="20"/>
              </w:rPr>
            </w:pPr>
          </w:p>
        </w:tc>
        <w:tc>
          <w:tcPr>
            <w:tcW w:w="4452" w:type="pct"/>
            <w:gridSpan w:val="6"/>
            <w:vAlign w:val="center"/>
          </w:tcPr>
          <w:p w14:paraId="68FB3D53" w14:textId="77777777" w:rsidR="00A93A3B" w:rsidRPr="00710320" w:rsidRDefault="00A93A3B" w:rsidP="00264EE0">
            <w:pPr>
              <w:rPr>
                <w:rFonts w:ascii="Arial Narrow" w:eastAsia="Times New Roman" w:hAnsi="Arial Narrow"/>
                <w:b/>
                <w:bCs/>
                <w:color w:val="333333"/>
                <w:sz w:val="20"/>
                <w:szCs w:val="20"/>
              </w:rPr>
            </w:pPr>
            <w:r w:rsidRPr="00710320">
              <w:rPr>
                <w:rFonts w:ascii="Arial Narrow" w:eastAsia="Times New Roman" w:hAnsi="Arial Narrow"/>
                <w:b/>
                <w:bCs/>
                <w:color w:val="333333"/>
                <w:sz w:val="20"/>
                <w:szCs w:val="20"/>
              </w:rPr>
              <w:t>Clinical criteria:</w:t>
            </w:r>
          </w:p>
        </w:tc>
      </w:tr>
      <w:tr w:rsidR="00A93A3B" w:rsidRPr="007F2BB2" w14:paraId="4D2A5735" w14:textId="77777777" w:rsidTr="00264EE0">
        <w:tblPrEx>
          <w:tblCellMar>
            <w:top w:w="15" w:type="dxa"/>
            <w:left w:w="15" w:type="dxa"/>
            <w:bottom w:w="15" w:type="dxa"/>
            <w:right w:w="15" w:type="dxa"/>
          </w:tblCellMar>
          <w:tblLook w:val="04A0" w:firstRow="1" w:lastRow="0" w:firstColumn="1" w:lastColumn="0" w:noHBand="0" w:noVBand="1"/>
        </w:tblPrEx>
        <w:tc>
          <w:tcPr>
            <w:tcW w:w="548" w:type="pct"/>
            <w:gridSpan w:val="2"/>
            <w:vAlign w:val="center"/>
          </w:tcPr>
          <w:p w14:paraId="24C2DB10" w14:textId="62A1097D" w:rsidR="00A93A3B" w:rsidRPr="00710320" w:rsidRDefault="00A93A3B" w:rsidP="00264EE0">
            <w:pPr>
              <w:jc w:val="center"/>
              <w:rPr>
                <w:rFonts w:ascii="Arial Narrow" w:eastAsia="Times New Roman" w:hAnsi="Arial Narrow"/>
                <w:color w:val="333333"/>
                <w:sz w:val="20"/>
                <w:szCs w:val="20"/>
              </w:rPr>
            </w:pPr>
          </w:p>
        </w:tc>
        <w:tc>
          <w:tcPr>
            <w:tcW w:w="4452" w:type="pct"/>
            <w:gridSpan w:val="6"/>
            <w:vAlign w:val="center"/>
          </w:tcPr>
          <w:p w14:paraId="625AB6F9" w14:textId="77777777" w:rsidR="00A93A3B" w:rsidRPr="00710320" w:rsidRDefault="00A93A3B" w:rsidP="00264EE0">
            <w:pPr>
              <w:rPr>
                <w:rFonts w:ascii="Arial Narrow" w:eastAsia="Times New Roman" w:hAnsi="Arial Narrow"/>
                <w:b/>
                <w:bCs/>
                <w:color w:val="333333"/>
                <w:sz w:val="20"/>
                <w:szCs w:val="20"/>
              </w:rPr>
            </w:pPr>
            <w:r w:rsidRPr="00B82A1F">
              <w:rPr>
                <w:rFonts w:ascii="Arial Narrow" w:eastAsia="Times New Roman" w:hAnsi="Arial Narrow"/>
                <w:sz w:val="20"/>
                <w:szCs w:val="20"/>
              </w:rPr>
              <w:t xml:space="preserve">Patient must have previously received induction treatment consisting of at least </w:t>
            </w:r>
            <w:r w:rsidRPr="000570D4">
              <w:rPr>
                <w:rFonts w:ascii="Arial Narrow" w:eastAsia="Times New Roman" w:hAnsi="Arial Narrow"/>
                <w:sz w:val="20"/>
                <w:szCs w:val="20"/>
              </w:rPr>
              <w:t>3</w:t>
            </w:r>
            <w:r w:rsidRPr="00B82A1F">
              <w:rPr>
                <w:rFonts w:ascii="Arial Narrow" w:eastAsia="Times New Roman" w:hAnsi="Arial Narrow"/>
                <w:sz w:val="20"/>
                <w:szCs w:val="20"/>
              </w:rPr>
              <w:t xml:space="preserve"> doses with this drug for this condition in the intravenous form</w:t>
            </w:r>
          </w:p>
        </w:tc>
      </w:tr>
      <w:tr w:rsidR="00A93A3B" w:rsidRPr="007F2BB2" w14:paraId="17725D70" w14:textId="77777777" w:rsidTr="00264EE0">
        <w:tblPrEx>
          <w:tblCellMar>
            <w:top w:w="15" w:type="dxa"/>
            <w:left w:w="15" w:type="dxa"/>
            <w:bottom w:w="15" w:type="dxa"/>
            <w:right w:w="15" w:type="dxa"/>
          </w:tblCellMar>
          <w:tblLook w:val="04A0" w:firstRow="1" w:lastRow="0" w:firstColumn="1" w:lastColumn="0" w:noHBand="0" w:noVBand="1"/>
        </w:tblPrEx>
        <w:tc>
          <w:tcPr>
            <w:tcW w:w="548" w:type="pct"/>
            <w:gridSpan w:val="2"/>
            <w:vAlign w:val="center"/>
          </w:tcPr>
          <w:p w14:paraId="6C60638B" w14:textId="77777777" w:rsidR="00A93A3B" w:rsidRPr="000570D4" w:rsidRDefault="00A93A3B" w:rsidP="00264EE0">
            <w:pPr>
              <w:jc w:val="center"/>
              <w:rPr>
                <w:rFonts w:ascii="Arial Narrow" w:eastAsia="Times New Roman" w:hAnsi="Arial Narrow"/>
                <w:color w:val="333333"/>
                <w:sz w:val="20"/>
                <w:szCs w:val="20"/>
              </w:rPr>
            </w:pPr>
          </w:p>
        </w:tc>
        <w:tc>
          <w:tcPr>
            <w:tcW w:w="4452" w:type="pct"/>
            <w:gridSpan w:val="6"/>
            <w:vAlign w:val="center"/>
          </w:tcPr>
          <w:p w14:paraId="48D7BCCA" w14:textId="77777777" w:rsidR="00A93A3B" w:rsidRPr="000570D4" w:rsidRDefault="00A93A3B" w:rsidP="00264EE0">
            <w:pPr>
              <w:rPr>
                <w:rFonts w:ascii="Arial Narrow" w:eastAsia="Times New Roman" w:hAnsi="Arial Narrow"/>
                <w:b/>
                <w:bCs/>
                <w:color w:val="333333"/>
                <w:sz w:val="20"/>
                <w:szCs w:val="20"/>
              </w:rPr>
            </w:pPr>
            <w:r w:rsidRPr="000570D4">
              <w:rPr>
                <w:rFonts w:ascii="Arial Narrow" w:eastAsia="Times New Roman" w:hAnsi="Arial Narrow"/>
                <w:b/>
                <w:bCs/>
                <w:color w:val="333333"/>
                <w:sz w:val="20"/>
                <w:szCs w:val="20"/>
              </w:rPr>
              <w:t>AND</w:t>
            </w:r>
          </w:p>
        </w:tc>
      </w:tr>
      <w:tr w:rsidR="00A93A3B" w:rsidRPr="007F2BB2" w14:paraId="5C4F3667" w14:textId="77777777" w:rsidTr="00264EE0">
        <w:tblPrEx>
          <w:tblCellMar>
            <w:top w:w="15" w:type="dxa"/>
            <w:left w:w="15" w:type="dxa"/>
            <w:bottom w:w="15" w:type="dxa"/>
            <w:right w:w="15" w:type="dxa"/>
          </w:tblCellMar>
          <w:tblLook w:val="04A0" w:firstRow="1" w:lastRow="0" w:firstColumn="1" w:lastColumn="0" w:noHBand="0" w:noVBand="1"/>
        </w:tblPrEx>
        <w:tc>
          <w:tcPr>
            <w:tcW w:w="548" w:type="pct"/>
            <w:gridSpan w:val="2"/>
            <w:vAlign w:val="center"/>
          </w:tcPr>
          <w:p w14:paraId="1977532D" w14:textId="56F5DC32" w:rsidR="00A93A3B" w:rsidRPr="000570D4" w:rsidRDefault="00A93A3B" w:rsidP="00264EE0">
            <w:pPr>
              <w:jc w:val="center"/>
              <w:rPr>
                <w:rFonts w:ascii="Arial Narrow" w:eastAsia="Times New Roman" w:hAnsi="Arial Narrow"/>
                <w:color w:val="333333"/>
                <w:sz w:val="20"/>
                <w:szCs w:val="20"/>
              </w:rPr>
            </w:pPr>
          </w:p>
        </w:tc>
        <w:tc>
          <w:tcPr>
            <w:tcW w:w="4452" w:type="pct"/>
            <w:gridSpan w:val="6"/>
            <w:vAlign w:val="center"/>
          </w:tcPr>
          <w:p w14:paraId="11BEB5C0" w14:textId="77777777" w:rsidR="00A93A3B" w:rsidRPr="000570D4" w:rsidRDefault="00A93A3B" w:rsidP="00264EE0">
            <w:pPr>
              <w:rPr>
                <w:rFonts w:ascii="Arial Narrow" w:eastAsia="Times New Roman" w:hAnsi="Arial Narrow"/>
                <w:b/>
                <w:bCs/>
                <w:color w:val="333333"/>
                <w:sz w:val="20"/>
                <w:szCs w:val="20"/>
              </w:rPr>
            </w:pPr>
            <w:r w:rsidRPr="000570D4">
              <w:rPr>
                <w:rFonts w:ascii="Arial Narrow" w:eastAsia="Times New Roman" w:hAnsi="Arial Narrow"/>
                <w:b/>
                <w:bCs/>
                <w:color w:val="333333"/>
                <w:sz w:val="20"/>
                <w:szCs w:val="20"/>
              </w:rPr>
              <w:t>Clinical criteria:</w:t>
            </w:r>
          </w:p>
        </w:tc>
      </w:tr>
      <w:tr w:rsidR="00A93A3B" w:rsidRPr="007F2BB2" w14:paraId="16D0B465" w14:textId="77777777" w:rsidTr="00264EE0">
        <w:tblPrEx>
          <w:tblCellMar>
            <w:top w:w="15" w:type="dxa"/>
            <w:left w:w="15" w:type="dxa"/>
            <w:bottom w:w="15" w:type="dxa"/>
            <w:right w:w="15" w:type="dxa"/>
          </w:tblCellMar>
          <w:tblLook w:val="04A0" w:firstRow="1" w:lastRow="0" w:firstColumn="1" w:lastColumn="0" w:noHBand="0" w:noVBand="1"/>
        </w:tblPrEx>
        <w:tc>
          <w:tcPr>
            <w:tcW w:w="548" w:type="pct"/>
            <w:gridSpan w:val="2"/>
            <w:vAlign w:val="center"/>
          </w:tcPr>
          <w:p w14:paraId="65E6FB56" w14:textId="310D5790" w:rsidR="00A93A3B" w:rsidRPr="000570D4" w:rsidRDefault="00A93A3B" w:rsidP="00264EE0">
            <w:pPr>
              <w:jc w:val="center"/>
              <w:rPr>
                <w:rFonts w:ascii="Arial Narrow" w:eastAsia="Times New Roman" w:hAnsi="Arial Narrow"/>
                <w:color w:val="333333"/>
                <w:sz w:val="20"/>
                <w:szCs w:val="20"/>
              </w:rPr>
            </w:pPr>
          </w:p>
        </w:tc>
        <w:tc>
          <w:tcPr>
            <w:tcW w:w="4452" w:type="pct"/>
            <w:gridSpan w:val="6"/>
            <w:vAlign w:val="center"/>
          </w:tcPr>
          <w:p w14:paraId="6944FDFD" w14:textId="77777777" w:rsidR="00A93A3B" w:rsidRPr="000570D4" w:rsidRDefault="00A93A3B" w:rsidP="00264EE0">
            <w:pPr>
              <w:rPr>
                <w:rFonts w:ascii="Arial Narrow" w:eastAsia="Times New Roman" w:hAnsi="Arial Narrow"/>
                <w:b/>
                <w:bCs/>
                <w:color w:val="333333"/>
                <w:sz w:val="20"/>
                <w:szCs w:val="20"/>
              </w:rPr>
            </w:pPr>
            <w:r w:rsidRPr="000570D4">
              <w:rPr>
                <w:rFonts w:ascii="Arial Narrow" w:eastAsia="Times New Roman" w:hAnsi="Arial Narrow"/>
                <w:sz w:val="20"/>
                <w:szCs w:val="20"/>
              </w:rPr>
              <w:t>Patient must be receiving treatment with this drug for this condition at the time of application</w:t>
            </w:r>
          </w:p>
        </w:tc>
      </w:tr>
      <w:tr w:rsidR="00A93A3B" w:rsidRPr="007F2BB2" w14:paraId="01DE9009" w14:textId="77777777" w:rsidTr="00264EE0">
        <w:tblPrEx>
          <w:tblCellMar>
            <w:top w:w="15" w:type="dxa"/>
            <w:left w:w="15" w:type="dxa"/>
            <w:bottom w:w="15" w:type="dxa"/>
            <w:right w:w="15" w:type="dxa"/>
          </w:tblCellMar>
          <w:tblLook w:val="04A0" w:firstRow="1" w:lastRow="0" w:firstColumn="1" w:lastColumn="0" w:noHBand="0" w:noVBand="1"/>
        </w:tblPrEx>
        <w:tc>
          <w:tcPr>
            <w:tcW w:w="548" w:type="pct"/>
            <w:gridSpan w:val="2"/>
            <w:vAlign w:val="center"/>
          </w:tcPr>
          <w:p w14:paraId="5FA5463B" w14:textId="77777777" w:rsidR="00A93A3B" w:rsidRPr="000570D4" w:rsidRDefault="00A93A3B" w:rsidP="00264EE0">
            <w:pPr>
              <w:jc w:val="center"/>
              <w:rPr>
                <w:rFonts w:ascii="Arial Narrow" w:eastAsia="Times New Roman" w:hAnsi="Arial Narrow"/>
                <w:color w:val="333333"/>
                <w:sz w:val="20"/>
                <w:szCs w:val="20"/>
              </w:rPr>
            </w:pPr>
          </w:p>
        </w:tc>
        <w:tc>
          <w:tcPr>
            <w:tcW w:w="4452" w:type="pct"/>
            <w:gridSpan w:val="6"/>
            <w:vAlign w:val="center"/>
          </w:tcPr>
          <w:p w14:paraId="62842078" w14:textId="77777777" w:rsidR="00A93A3B" w:rsidRPr="000570D4" w:rsidRDefault="00A93A3B" w:rsidP="00264EE0">
            <w:pPr>
              <w:rPr>
                <w:rFonts w:ascii="Arial Narrow" w:eastAsia="Times New Roman" w:hAnsi="Arial Narrow"/>
                <w:b/>
                <w:bCs/>
                <w:sz w:val="20"/>
                <w:szCs w:val="20"/>
              </w:rPr>
            </w:pPr>
            <w:r w:rsidRPr="000570D4">
              <w:rPr>
                <w:rFonts w:ascii="Arial Narrow" w:eastAsia="Times New Roman" w:hAnsi="Arial Narrow"/>
                <w:b/>
                <w:bCs/>
                <w:sz w:val="20"/>
                <w:szCs w:val="20"/>
              </w:rPr>
              <w:t>AND</w:t>
            </w:r>
          </w:p>
        </w:tc>
      </w:tr>
      <w:tr w:rsidR="00A93A3B" w:rsidRPr="007F2BB2" w14:paraId="3C948DC1" w14:textId="77777777" w:rsidTr="00264EE0">
        <w:tblPrEx>
          <w:tblCellMar>
            <w:top w:w="15" w:type="dxa"/>
            <w:left w:w="15" w:type="dxa"/>
            <w:bottom w:w="15" w:type="dxa"/>
            <w:right w:w="15" w:type="dxa"/>
          </w:tblCellMar>
          <w:tblLook w:val="04A0" w:firstRow="1" w:lastRow="0" w:firstColumn="1" w:lastColumn="0" w:noHBand="0" w:noVBand="1"/>
        </w:tblPrEx>
        <w:tc>
          <w:tcPr>
            <w:tcW w:w="548" w:type="pct"/>
            <w:gridSpan w:val="2"/>
            <w:vAlign w:val="center"/>
          </w:tcPr>
          <w:p w14:paraId="52486716" w14:textId="67E4EA47" w:rsidR="00A93A3B" w:rsidRPr="000570D4" w:rsidRDefault="00A93A3B" w:rsidP="00264EE0">
            <w:pPr>
              <w:jc w:val="center"/>
              <w:rPr>
                <w:rFonts w:ascii="Arial Narrow" w:eastAsia="Times New Roman" w:hAnsi="Arial Narrow"/>
                <w:color w:val="333333"/>
                <w:sz w:val="20"/>
                <w:szCs w:val="20"/>
              </w:rPr>
            </w:pPr>
          </w:p>
        </w:tc>
        <w:tc>
          <w:tcPr>
            <w:tcW w:w="4452" w:type="pct"/>
            <w:gridSpan w:val="6"/>
            <w:vAlign w:val="center"/>
          </w:tcPr>
          <w:p w14:paraId="3EA78B37" w14:textId="77777777" w:rsidR="00A93A3B" w:rsidRPr="000570D4" w:rsidRDefault="00A93A3B" w:rsidP="00264EE0">
            <w:pPr>
              <w:rPr>
                <w:rFonts w:ascii="Arial Narrow" w:eastAsia="Times New Roman" w:hAnsi="Arial Narrow"/>
                <w:b/>
                <w:bCs/>
                <w:sz w:val="20"/>
                <w:szCs w:val="20"/>
              </w:rPr>
            </w:pPr>
            <w:r w:rsidRPr="000570D4">
              <w:rPr>
                <w:rFonts w:ascii="Arial Narrow" w:eastAsia="Times New Roman" w:hAnsi="Arial Narrow"/>
                <w:b/>
                <w:bCs/>
                <w:sz w:val="20"/>
                <w:szCs w:val="20"/>
              </w:rPr>
              <w:t>Clinical criteria:</w:t>
            </w:r>
          </w:p>
        </w:tc>
      </w:tr>
      <w:tr w:rsidR="00A93A3B" w:rsidRPr="007F2BB2" w14:paraId="2F8C227F" w14:textId="77777777" w:rsidTr="00264EE0">
        <w:tblPrEx>
          <w:tblCellMar>
            <w:top w:w="15" w:type="dxa"/>
            <w:left w:w="15" w:type="dxa"/>
            <w:bottom w:w="15" w:type="dxa"/>
            <w:right w:w="15" w:type="dxa"/>
          </w:tblCellMar>
          <w:tblLook w:val="04A0" w:firstRow="1" w:lastRow="0" w:firstColumn="1" w:lastColumn="0" w:noHBand="0" w:noVBand="1"/>
        </w:tblPrEx>
        <w:tc>
          <w:tcPr>
            <w:tcW w:w="548" w:type="pct"/>
            <w:gridSpan w:val="2"/>
            <w:vAlign w:val="center"/>
          </w:tcPr>
          <w:p w14:paraId="2A0EF79C" w14:textId="77777777" w:rsidR="00A93A3B" w:rsidRPr="000570D4" w:rsidRDefault="00A93A3B" w:rsidP="00264EE0">
            <w:pPr>
              <w:jc w:val="center"/>
              <w:rPr>
                <w:rFonts w:ascii="Arial Narrow" w:eastAsia="Times New Roman" w:hAnsi="Arial Narrow"/>
                <w:color w:val="333333"/>
                <w:sz w:val="20"/>
                <w:szCs w:val="20"/>
              </w:rPr>
            </w:pPr>
          </w:p>
        </w:tc>
        <w:tc>
          <w:tcPr>
            <w:tcW w:w="4452" w:type="pct"/>
            <w:gridSpan w:val="6"/>
            <w:vAlign w:val="center"/>
          </w:tcPr>
          <w:p w14:paraId="1B3DF4FD" w14:textId="77777777" w:rsidR="00A93A3B" w:rsidRPr="000570D4" w:rsidRDefault="00A93A3B" w:rsidP="00264EE0">
            <w:pPr>
              <w:rPr>
                <w:rFonts w:ascii="Arial Narrow" w:eastAsia="Times New Roman" w:hAnsi="Arial Narrow"/>
                <w:sz w:val="20"/>
                <w:szCs w:val="20"/>
              </w:rPr>
            </w:pPr>
            <w:r w:rsidRPr="000570D4">
              <w:rPr>
                <w:rFonts w:ascii="Arial Narrow" w:eastAsia="Times New Roman" w:hAnsi="Arial Narrow"/>
                <w:sz w:val="20"/>
                <w:szCs w:val="20"/>
              </w:rPr>
              <w:t xml:space="preserve">Patient must have had a Crohn Disease Activity Index (CDAI) Score of greater than or equal to 300 prior to commencing treatment with this drug; </w:t>
            </w:r>
            <w:r>
              <w:rPr>
                <w:rFonts w:ascii="Arial Narrow" w:eastAsia="Times New Roman" w:hAnsi="Arial Narrow"/>
                <w:sz w:val="20"/>
                <w:szCs w:val="20"/>
              </w:rPr>
              <w:t>or</w:t>
            </w:r>
          </w:p>
          <w:p w14:paraId="32EC552B" w14:textId="77777777" w:rsidR="00A93A3B" w:rsidRPr="003664FD" w:rsidRDefault="00A93A3B" w:rsidP="00264EE0">
            <w:pPr>
              <w:rPr>
                <w:rFonts w:ascii="Arial Narrow" w:eastAsia="Times New Roman" w:hAnsi="Arial Narrow"/>
                <w:strike/>
                <w:sz w:val="20"/>
                <w:szCs w:val="20"/>
              </w:rPr>
            </w:pPr>
            <w:r w:rsidRPr="003664FD">
              <w:rPr>
                <w:rFonts w:ascii="Arial Narrow" w:eastAsia="Times New Roman" w:hAnsi="Arial Narrow"/>
                <w:strike/>
                <w:sz w:val="20"/>
                <w:szCs w:val="20"/>
              </w:rPr>
              <w:lastRenderedPageBreak/>
              <w:t>or CDAI score of greater than or equal to 220 with extensive small intesntine disease; AND Evidence of intestinal inflammation; OR in high faecal output state; OR require surgery or total parenteral nutrition as the next therapeutic option</w:t>
            </w:r>
          </w:p>
        </w:tc>
      </w:tr>
      <w:tr w:rsidR="00A93A3B" w:rsidRPr="007F2BB2" w14:paraId="3D429EF0" w14:textId="77777777" w:rsidTr="00264EE0">
        <w:tblPrEx>
          <w:tblCellMar>
            <w:top w:w="15" w:type="dxa"/>
            <w:left w:w="15" w:type="dxa"/>
            <w:bottom w:w="15" w:type="dxa"/>
            <w:right w:w="15" w:type="dxa"/>
          </w:tblCellMar>
          <w:tblLook w:val="04A0" w:firstRow="1" w:lastRow="0" w:firstColumn="1" w:lastColumn="0" w:noHBand="0" w:noVBand="1"/>
        </w:tblPrEx>
        <w:tc>
          <w:tcPr>
            <w:tcW w:w="548" w:type="pct"/>
            <w:gridSpan w:val="2"/>
            <w:vAlign w:val="center"/>
          </w:tcPr>
          <w:p w14:paraId="2E142DBE" w14:textId="77777777" w:rsidR="00A93A3B" w:rsidRPr="000570D4" w:rsidRDefault="00A93A3B" w:rsidP="00264EE0">
            <w:pPr>
              <w:jc w:val="center"/>
              <w:rPr>
                <w:rFonts w:ascii="Arial Narrow" w:eastAsia="Times New Roman" w:hAnsi="Arial Narrow"/>
                <w:color w:val="333333"/>
                <w:sz w:val="20"/>
                <w:szCs w:val="20"/>
              </w:rPr>
            </w:pPr>
          </w:p>
        </w:tc>
        <w:tc>
          <w:tcPr>
            <w:tcW w:w="4452" w:type="pct"/>
            <w:gridSpan w:val="6"/>
            <w:vAlign w:val="center"/>
          </w:tcPr>
          <w:p w14:paraId="572B9010" w14:textId="77777777" w:rsidR="00A93A3B" w:rsidRPr="003664FD" w:rsidRDefault="00A93A3B" w:rsidP="00264EE0">
            <w:pPr>
              <w:rPr>
                <w:rFonts w:ascii="Arial Narrow" w:eastAsia="Times New Roman" w:hAnsi="Arial Narrow"/>
                <w:i/>
                <w:iCs/>
                <w:sz w:val="20"/>
                <w:szCs w:val="20"/>
              </w:rPr>
            </w:pPr>
            <w:r w:rsidRPr="003664FD">
              <w:rPr>
                <w:rFonts w:ascii="Arial Narrow" w:hAnsi="Arial Narrow"/>
                <w:i/>
                <w:iCs/>
                <w:sz w:val="20"/>
                <w:szCs w:val="20"/>
              </w:rPr>
              <w:t>Patient must have had short gut syndrome with diagnostic imaging or surgical evidence, or have had an ileostomy or colostomy; and must have had evidence of intestinal inflammation; and must have had evidence of failure to achieve an adequate response to prior systemic therapy as specified below prior to commencing treatment with this drug; or</w:t>
            </w:r>
          </w:p>
        </w:tc>
      </w:tr>
      <w:tr w:rsidR="00A93A3B" w:rsidRPr="007F2BB2" w14:paraId="64296B39" w14:textId="77777777" w:rsidTr="00264EE0">
        <w:tblPrEx>
          <w:tblCellMar>
            <w:top w:w="15" w:type="dxa"/>
            <w:left w:w="15" w:type="dxa"/>
            <w:bottom w:w="15" w:type="dxa"/>
            <w:right w:w="15" w:type="dxa"/>
          </w:tblCellMar>
          <w:tblLook w:val="04A0" w:firstRow="1" w:lastRow="0" w:firstColumn="1" w:lastColumn="0" w:noHBand="0" w:noVBand="1"/>
        </w:tblPrEx>
        <w:tc>
          <w:tcPr>
            <w:tcW w:w="548" w:type="pct"/>
            <w:gridSpan w:val="2"/>
            <w:vAlign w:val="center"/>
          </w:tcPr>
          <w:p w14:paraId="3FD830F5" w14:textId="77777777" w:rsidR="00A93A3B" w:rsidRPr="003664FD" w:rsidRDefault="00A93A3B" w:rsidP="00264EE0">
            <w:pPr>
              <w:jc w:val="center"/>
              <w:rPr>
                <w:rFonts w:ascii="Arial Narrow" w:eastAsia="Times New Roman" w:hAnsi="Arial Narrow"/>
                <w:i/>
                <w:iCs/>
                <w:color w:val="333333"/>
                <w:sz w:val="20"/>
                <w:szCs w:val="20"/>
              </w:rPr>
            </w:pPr>
          </w:p>
        </w:tc>
        <w:tc>
          <w:tcPr>
            <w:tcW w:w="4452" w:type="pct"/>
            <w:gridSpan w:val="6"/>
            <w:vAlign w:val="center"/>
          </w:tcPr>
          <w:p w14:paraId="63DB03B0" w14:textId="77777777" w:rsidR="00A93A3B" w:rsidRPr="003664FD" w:rsidRDefault="00A93A3B" w:rsidP="00264EE0">
            <w:pPr>
              <w:rPr>
                <w:rFonts w:ascii="Arial Narrow" w:eastAsia="Times New Roman" w:hAnsi="Arial Narrow"/>
                <w:i/>
                <w:iCs/>
                <w:sz w:val="20"/>
                <w:szCs w:val="20"/>
              </w:rPr>
            </w:pPr>
            <w:r w:rsidRPr="003664FD">
              <w:rPr>
                <w:rFonts w:ascii="Arial Narrow" w:hAnsi="Arial Narrow"/>
                <w:i/>
                <w:iCs/>
                <w:sz w:val="20"/>
                <w:szCs w:val="20"/>
              </w:rPr>
              <w:t>Patient must have had extensive intestinal inflammation affecting more than 50 cm of the small intestine as evidenced by radiological imaging; and must have had a Crohn Disease Activity Index (CDAI) Score greater than or equal to 220; and must have had evidence of failure to achieve an adequate response to prior systemic therapy as specified below prior to commencing treatment with this drug.</w:t>
            </w:r>
          </w:p>
        </w:tc>
      </w:tr>
      <w:tr w:rsidR="00A93A3B" w:rsidRPr="007F2BB2" w14:paraId="0656DF11" w14:textId="77777777" w:rsidTr="00264EE0">
        <w:tblPrEx>
          <w:tblCellMar>
            <w:top w:w="15" w:type="dxa"/>
            <w:left w:w="15" w:type="dxa"/>
            <w:bottom w:w="15" w:type="dxa"/>
            <w:right w:w="15" w:type="dxa"/>
          </w:tblCellMar>
          <w:tblLook w:val="04A0" w:firstRow="1" w:lastRow="0" w:firstColumn="1" w:lastColumn="0" w:noHBand="0" w:noVBand="1"/>
        </w:tblPrEx>
        <w:tc>
          <w:tcPr>
            <w:tcW w:w="548" w:type="pct"/>
            <w:gridSpan w:val="2"/>
            <w:vAlign w:val="center"/>
          </w:tcPr>
          <w:p w14:paraId="24036651" w14:textId="53FCA41F" w:rsidR="00A93A3B" w:rsidRPr="000570D4" w:rsidRDefault="00A93A3B" w:rsidP="00264EE0">
            <w:pPr>
              <w:jc w:val="center"/>
              <w:rPr>
                <w:rFonts w:ascii="Arial Narrow" w:eastAsia="Times New Roman" w:hAnsi="Arial Narrow"/>
                <w:color w:val="333333"/>
                <w:sz w:val="20"/>
                <w:szCs w:val="20"/>
              </w:rPr>
            </w:pPr>
          </w:p>
        </w:tc>
        <w:tc>
          <w:tcPr>
            <w:tcW w:w="4452" w:type="pct"/>
            <w:gridSpan w:val="6"/>
            <w:vAlign w:val="center"/>
          </w:tcPr>
          <w:p w14:paraId="3178E786" w14:textId="77777777" w:rsidR="00A93A3B" w:rsidRPr="000570D4" w:rsidRDefault="00A93A3B" w:rsidP="00264EE0">
            <w:pPr>
              <w:rPr>
                <w:rFonts w:ascii="Arial Narrow" w:eastAsia="Times New Roman" w:hAnsi="Arial Narrow"/>
                <w:b/>
                <w:bCs/>
                <w:sz w:val="20"/>
                <w:szCs w:val="20"/>
              </w:rPr>
            </w:pPr>
            <w:r w:rsidRPr="000570D4">
              <w:rPr>
                <w:rFonts w:ascii="Arial Narrow" w:eastAsia="Times New Roman" w:hAnsi="Arial Narrow"/>
                <w:b/>
                <w:bCs/>
                <w:sz w:val="20"/>
                <w:szCs w:val="20"/>
              </w:rPr>
              <w:t xml:space="preserve">Treatment criteria: </w:t>
            </w:r>
          </w:p>
        </w:tc>
      </w:tr>
      <w:tr w:rsidR="00A93A3B" w:rsidRPr="007F2BB2" w14:paraId="487D9234" w14:textId="77777777" w:rsidTr="00264EE0">
        <w:tblPrEx>
          <w:tblCellMar>
            <w:top w:w="15" w:type="dxa"/>
            <w:left w:w="15" w:type="dxa"/>
            <w:bottom w:w="15" w:type="dxa"/>
            <w:right w:w="15" w:type="dxa"/>
          </w:tblCellMar>
          <w:tblLook w:val="04A0" w:firstRow="1" w:lastRow="0" w:firstColumn="1" w:lastColumn="0" w:noHBand="0" w:noVBand="1"/>
        </w:tblPrEx>
        <w:tc>
          <w:tcPr>
            <w:tcW w:w="548" w:type="pct"/>
            <w:gridSpan w:val="2"/>
            <w:vAlign w:val="center"/>
          </w:tcPr>
          <w:p w14:paraId="4DB84B6B" w14:textId="1E311C8B" w:rsidR="00A93A3B" w:rsidRPr="000570D4" w:rsidRDefault="00A93A3B" w:rsidP="00264EE0">
            <w:pPr>
              <w:jc w:val="center"/>
              <w:rPr>
                <w:rFonts w:ascii="Arial Narrow" w:eastAsia="Times New Roman" w:hAnsi="Arial Narrow"/>
                <w:color w:val="333333"/>
                <w:sz w:val="20"/>
                <w:szCs w:val="20"/>
              </w:rPr>
            </w:pPr>
          </w:p>
        </w:tc>
        <w:tc>
          <w:tcPr>
            <w:tcW w:w="4452" w:type="pct"/>
            <w:gridSpan w:val="6"/>
            <w:vAlign w:val="center"/>
          </w:tcPr>
          <w:p w14:paraId="32322336" w14:textId="77777777" w:rsidR="00A93A3B" w:rsidRPr="000570D4" w:rsidRDefault="00A93A3B" w:rsidP="00264EE0">
            <w:pPr>
              <w:rPr>
                <w:rFonts w:ascii="Arial Narrow" w:eastAsia="Times New Roman" w:hAnsi="Arial Narrow"/>
                <w:sz w:val="20"/>
                <w:szCs w:val="20"/>
              </w:rPr>
            </w:pPr>
            <w:r w:rsidRPr="000570D4">
              <w:rPr>
                <w:rFonts w:ascii="Arial Narrow" w:eastAsia="Times New Roman" w:hAnsi="Arial Narrow"/>
                <w:sz w:val="20"/>
                <w:szCs w:val="20"/>
              </w:rPr>
              <w:t>Must be treated by a gastroenterologist (code 87); or</w:t>
            </w:r>
          </w:p>
        </w:tc>
      </w:tr>
      <w:tr w:rsidR="00A93A3B" w:rsidRPr="007F2BB2" w14:paraId="6D22E1A9" w14:textId="77777777" w:rsidTr="00264EE0">
        <w:tblPrEx>
          <w:tblCellMar>
            <w:top w:w="15" w:type="dxa"/>
            <w:left w:w="15" w:type="dxa"/>
            <w:bottom w:w="15" w:type="dxa"/>
            <w:right w:w="15" w:type="dxa"/>
          </w:tblCellMar>
          <w:tblLook w:val="04A0" w:firstRow="1" w:lastRow="0" w:firstColumn="1" w:lastColumn="0" w:noHBand="0" w:noVBand="1"/>
        </w:tblPrEx>
        <w:tc>
          <w:tcPr>
            <w:tcW w:w="548" w:type="pct"/>
            <w:gridSpan w:val="2"/>
            <w:vAlign w:val="center"/>
          </w:tcPr>
          <w:p w14:paraId="145EA897" w14:textId="5D20CDD2" w:rsidR="00A93A3B" w:rsidRPr="000570D4" w:rsidRDefault="00A93A3B" w:rsidP="00264EE0">
            <w:pPr>
              <w:jc w:val="center"/>
              <w:rPr>
                <w:rFonts w:ascii="Arial Narrow" w:eastAsia="Times New Roman" w:hAnsi="Arial Narrow"/>
                <w:color w:val="333333"/>
                <w:sz w:val="20"/>
                <w:szCs w:val="20"/>
              </w:rPr>
            </w:pPr>
          </w:p>
        </w:tc>
        <w:tc>
          <w:tcPr>
            <w:tcW w:w="4452" w:type="pct"/>
            <w:gridSpan w:val="6"/>
            <w:vAlign w:val="center"/>
          </w:tcPr>
          <w:p w14:paraId="0E765837" w14:textId="77777777" w:rsidR="00A93A3B" w:rsidRPr="000570D4" w:rsidRDefault="00A93A3B" w:rsidP="00264EE0">
            <w:pPr>
              <w:rPr>
                <w:rFonts w:ascii="Arial Narrow" w:eastAsia="Times New Roman" w:hAnsi="Arial Narrow"/>
                <w:sz w:val="20"/>
                <w:szCs w:val="20"/>
              </w:rPr>
            </w:pPr>
            <w:r w:rsidRPr="000570D4">
              <w:rPr>
                <w:rFonts w:ascii="Arial Narrow" w:eastAsia="Times New Roman" w:hAnsi="Arial Narrow"/>
                <w:sz w:val="20"/>
                <w:szCs w:val="20"/>
              </w:rPr>
              <w:t>Must be treated by a consultant physician [internal medicine specialising in gastroenterology (code 81)]; or</w:t>
            </w:r>
          </w:p>
        </w:tc>
      </w:tr>
      <w:tr w:rsidR="00A93A3B" w:rsidRPr="007F2BB2" w14:paraId="4EB35D9D" w14:textId="77777777" w:rsidTr="00264EE0">
        <w:tblPrEx>
          <w:tblCellMar>
            <w:top w:w="15" w:type="dxa"/>
            <w:left w:w="15" w:type="dxa"/>
            <w:bottom w:w="15" w:type="dxa"/>
            <w:right w:w="15" w:type="dxa"/>
          </w:tblCellMar>
          <w:tblLook w:val="04A0" w:firstRow="1" w:lastRow="0" w:firstColumn="1" w:lastColumn="0" w:noHBand="0" w:noVBand="1"/>
        </w:tblPrEx>
        <w:tc>
          <w:tcPr>
            <w:tcW w:w="548" w:type="pct"/>
            <w:gridSpan w:val="2"/>
            <w:vAlign w:val="center"/>
          </w:tcPr>
          <w:p w14:paraId="6E380CA0" w14:textId="4E84DC83" w:rsidR="00A93A3B" w:rsidRPr="000570D4" w:rsidRDefault="00A93A3B" w:rsidP="00264EE0">
            <w:pPr>
              <w:jc w:val="center"/>
              <w:rPr>
                <w:rFonts w:ascii="Arial Narrow" w:eastAsia="Times New Roman" w:hAnsi="Arial Narrow"/>
                <w:color w:val="333333"/>
                <w:sz w:val="20"/>
                <w:szCs w:val="20"/>
              </w:rPr>
            </w:pPr>
          </w:p>
        </w:tc>
        <w:tc>
          <w:tcPr>
            <w:tcW w:w="4452" w:type="pct"/>
            <w:gridSpan w:val="6"/>
            <w:vAlign w:val="center"/>
          </w:tcPr>
          <w:p w14:paraId="77493641" w14:textId="77777777" w:rsidR="00A93A3B" w:rsidRPr="000570D4" w:rsidRDefault="00A93A3B" w:rsidP="00264EE0">
            <w:pPr>
              <w:rPr>
                <w:rFonts w:ascii="Arial Narrow" w:eastAsia="Times New Roman" w:hAnsi="Arial Narrow"/>
                <w:sz w:val="20"/>
                <w:szCs w:val="20"/>
              </w:rPr>
            </w:pPr>
            <w:r w:rsidRPr="000570D4">
              <w:rPr>
                <w:rFonts w:ascii="Arial Narrow" w:eastAsia="Times New Roman" w:hAnsi="Arial Narrow"/>
                <w:sz w:val="20"/>
                <w:szCs w:val="20"/>
              </w:rPr>
              <w:t>Must be treated by a consultant physician [general medicine specialising in gastroenterology (code 82)]</w:t>
            </w:r>
          </w:p>
        </w:tc>
      </w:tr>
      <w:tr w:rsidR="00A93A3B" w:rsidRPr="007F2BB2" w14:paraId="361A3D71" w14:textId="77777777" w:rsidTr="00264EE0">
        <w:tblPrEx>
          <w:tblCellMar>
            <w:top w:w="15" w:type="dxa"/>
            <w:left w:w="15" w:type="dxa"/>
            <w:bottom w:w="15" w:type="dxa"/>
            <w:right w:w="15" w:type="dxa"/>
          </w:tblCellMar>
          <w:tblLook w:val="04A0" w:firstRow="1" w:lastRow="0" w:firstColumn="1" w:lastColumn="0" w:noHBand="0" w:noVBand="1"/>
        </w:tblPrEx>
        <w:tc>
          <w:tcPr>
            <w:tcW w:w="548" w:type="pct"/>
            <w:gridSpan w:val="2"/>
            <w:vAlign w:val="center"/>
          </w:tcPr>
          <w:p w14:paraId="521B2F91" w14:textId="77777777" w:rsidR="00A93A3B" w:rsidRPr="000570D4" w:rsidRDefault="00A93A3B" w:rsidP="00264EE0">
            <w:pPr>
              <w:jc w:val="center"/>
              <w:rPr>
                <w:rFonts w:ascii="Arial Narrow" w:eastAsia="Times New Roman" w:hAnsi="Arial Narrow"/>
                <w:color w:val="333333"/>
                <w:sz w:val="20"/>
                <w:szCs w:val="20"/>
              </w:rPr>
            </w:pPr>
          </w:p>
        </w:tc>
        <w:tc>
          <w:tcPr>
            <w:tcW w:w="4452" w:type="pct"/>
            <w:gridSpan w:val="6"/>
            <w:vAlign w:val="center"/>
          </w:tcPr>
          <w:p w14:paraId="77FCBE37" w14:textId="77777777" w:rsidR="00A93A3B" w:rsidRPr="000570D4" w:rsidRDefault="00A93A3B" w:rsidP="00264EE0">
            <w:pPr>
              <w:rPr>
                <w:rFonts w:ascii="Arial Narrow" w:eastAsia="Times New Roman" w:hAnsi="Arial Narrow"/>
                <w:b/>
                <w:bCs/>
                <w:sz w:val="20"/>
                <w:szCs w:val="20"/>
              </w:rPr>
            </w:pPr>
            <w:r w:rsidRPr="000570D4">
              <w:rPr>
                <w:rFonts w:ascii="Arial Narrow" w:eastAsia="Times New Roman" w:hAnsi="Arial Narrow"/>
                <w:b/>
                <w:bCs/>
                <w:sz w:val="20"/>
                <w:szCs w:val="20"/>
              </w:rPr>
              <w:t xml:space="preserve">Population criteria: </w:t>
            </w:r>
          </w:p>
        </w:tc>
      </w:tr>
      <w:tr w:rsidR="00A93A3B" w:rsidRPr="007F2BB2" w14:paraId="1624802A" w14:textId="77777777" w:rsidTr="00264EE0">
        <w:tblPrEx>
          <w:tblCellMar>
            <w:top w:w="15" w:type="dxa"/>
            <w:left w:w="15" w:type="dxa"/>
            <w:bottom w:w="15" w:type="dxa"/>
            <w:right w:w="15" w:type="dxa"/>
          </w:tblCellMar>
          <w:tblLook w:val="04A0" w:firstRow="1" w:lastRow="0" w:firstColumn="1" w:lastColumn="0" w:noHBand="0" w:noVBand="1"/>
        </w:tblPrEx>
        <w:tc>
          <w:tcPr>
            <w:tcW w:w="548" w:type="pct"/>
            <w:gridSpan w:val="2"/>
            <w:vAlign w:val="center"/>
          </w:tcPr>
          <w:p w14:paraId="27B3DC76" w14:textId="77777777" w:rsidR="00A93A3B" w:rsidRPr="000570D4" w:rsidRDefault="00A93A3B" w:rsidP="00264EE0">
            <w:pPr>
              <w:jc w:val="center"/>
              <w:rPr>
                <w:rFonts w:ascii="Arial Narrow" w:eastAsia="Times New Roman" w:hAnsi="Arial Narrow"/>
                <w:color w:val="333333"/>
                <w:sz w:val="20"/>
                <w:szCs w:val="20"/>
              </w:rPr>
            </w:pPr>
          </w:p>
        </w:tc>
        <w:tc>
          <w:tcPr>
            <w:tcW w:w="4452" w:type="pct"/>
            <w:gridSpan w:val="6"/>
            <w:vAlign w:val="center"/>
          </w:tcPr>
          <w:p w14:paraId="3A1D6E7D" w14:textId="77777777" w:rsidR="00A93A3B" w:rsidRPr="000570D4" w:rsidRDefault="00A93A3B" w:rsidP="00264EE0">
            <w:pPr>
              <w:rPr>
                <w:rFonts w:ascii="Arial Narrow" w:eastAsia="Times New Roman" w:hAnsi="Arial Narrow"/>
                <w:sz w:val="20"/>
                <w:szCs w:val="20"/>
              </w:rPr>
            </w:pPr>
            <w:r w:rsidRPr="000570D4">
              <w:rPr>
                <w:rFonts w:ascii="Arial Narrow" w:eastAsia="Times New Roman" w:hAnsi="Arial Narrow"/>
                <w:sz w:val="20"/>
                <w:szCs w:val="20"/>
              </w:rPr>
              <w:t xml:space="preserve">Patient must be aged 18 years or older </w:t>
            </w:r>
          </w:p>
        </w:tc>
      </w:tr>
      <w:tr w:rsidR="00A93A3B" w:rsidRPr="007F2BB2" w14:paraId="2F4F95D8" w14:textId="77777777" w:rsidTr="00264EE0">
        <w:tblPrEx>
          <w:tblCellMar>
            <w:top w:w="15" w:type="dxa"/>
            <w:left w:w="15" w:type="dxa"/>
            <w:bottom w:w="15" w:type="dxa"/>
            <w:right w:w="15" w:type="dxa"/>
          </w:tblCellMar>
          <w:tblLook w:val="04A0" w:firstRow="1" w:lastRow="0" w:firstColumn="1" w:lastColumn="0" w:noHBand="0" w:noVBand="1"/>
        </w:tblPrEx>
        <w:tc>
          <w:tcPr>
            <w:tcW w:w="548" w:type="pct"/>
            <w:gridSpan w:val="2"/>
            <w:vAlign w:val="center"/>
          </w:tcPr>
          <w:p w14:paraId="11557B11" w14:textId="77777777" w:rsidR="00A93A3B" w:rsidRPr="000570D4" w:rsidRDefault="00A93A3B" w:rsidP="00264EE0">
            <w:pPr>
              <w:jc w:val="center"/>
              <w:rPr>
                <w:rFonts w:ascii="Arial Narrow" w:eastAsia="Times New Roman" w:hAnsi="Arial Narrow"/>
                <w:color w:val="333333"/>
                <w:sz w:val="20"/>
                <w:szCs w:val="20"/>
              </w:rPr>
            </w:pPr>
          </w:p>
        </w:tc>
        <w:tc>
          <w:tcPr>
            <w:tcW w:w="4452" w:type="pct"/>
            <w:gridSpan w:val="6"/>
            <w:vAlign w:val="center"/>
          </w:tcPr>
          <w:p w14:paraId="175EEA4F" w14:textId="77777777" w:rsidR="00A93A3B" w:rsidRPr="000570D4" w:rsidRDefault="00A93A3B" w:rsidP="00264EE0">
            <w:pPr>
              <w:rPr>
                <w:rFonts w:ascii="Arial Narrow" w:eastAsia="Times New Roman" w:hAnsi="Arial Narrow"/>
                <w:b/>
                <w:bCs/>
                <w:sz w:val="20"/>
                <w:szCs w:val="20"/>
              </w:rPr>
            </w:pPr>
            <w:r w:rsidRPr="000570D4">
              <w:rPr>
                <w:rFonts w:ascii="Arial Narrow" w:eastAsia="Times New Roman" w:hAnsi="Arial Narrow"/>
                <w:b/>
                <w:bCs/>
                <w:sz w:val="20"/>
                <w:szCs w:val="20"/>
              </w:rPr>
              <w:t>Prescriber Instructions:</w:t>
            </w:r>
          </w:p>
        </w:tc>
      </w:tr>
      <w:tr w:rsidR="00A93A3B" w:rsidRPr="007F2BB2" w14:paraId="36C98AA3" w14:textId="77777777" w:rsidTr="00264EE0">
        <w:tblPrEx>
          <w:tblCellMar>
            <w:top w:w="15" w:type="dxa"/>
            <w:left w:w="15" w:type="dxa"/>
            <w:bottom w:w="15" w:type="dxa"/>
            <w:right w:w="15" w:type="dxa"/>
          </w:tblCellMar>
          <w:tblLook w:val="04A0" w:firstRow="1" w:lastRow="0" w:firstColumn="1" w:lastColumn="0" w:noHBand="0" w:noVBand="1"/>
        </w:tblPrEx>
        <w:tc>
          <w:tcPr>
            <w:tcW w:w="548" w:type="pct"/>
            <w:gridSpan w:val="2"/>
            <w:vAlign w:val="center"/>
          </w:tcPr>
          <w:p w14:paraId="1B343B57" w14:textId="5A0C64A8" w:rsidR="00A93A3B" w:rsidRPr="000570D4" w:rsidRDefault="00A93A3B" w:rsidP="00264EE0">
            <w:pPr>
              <w:jc w:val="center"/>
              <w:rPr>
                <w:rFonts w:ascii="Arial Narrow" w:eastAsia="Times New Roman" w:hAnsi="Arial Narrow"/>
                <w:color w:val="333333"/>
                <w:sz w:val="20"/>
                <w:szCs w:val="20"/>
              </w:rPr>
            </w:pPr>
          </w:p>
        </w:tc>
        <w:tc>
          <w:tcPr>
            <w:tcW w:w="4452" w:type="pct"/>
            <w:gridSpan w:val="6"/>
            <w:vAlign w:val="center"/>
          </w:tcPr>
          <w:p w14:paraId="3DD5311A" w14:textId="77777777" w:rsidR="00A93A3B" w:rsidRPr="000570D4" w:rsidRDefault="00A93A3B" w:rsidP="00264EE0">
            <w:pPr>
              <w:rPr>
                <w:rFonts w:ascii="Arial Narrow" w:eastAsia="Times New Roman" w:hAnsi="Arial Narrow"/>
                <w:sz w:val="20"/>
                <w:szCs w:val="20"/>
              </w:rPr>
            </w:pPr>
            <w:r w:rsidRPr="000570D4">
              <w:rPr>
                <w:rFonts w:ascii="Arial Narrow" w:eastAsia="Times New Roman" w:hAnsi="Arial Narrow"/>
                <w:sz w:val="20"/>
                <w:szCs w:val="20"/>
              </w:rPr>
              <w:t>The authority application must be made in writing and must include:, (a) a completed authority prescription form(s); and, (b) a completed authority application form relevant to the indication and treatment phase (the latest version is located on the website specified in the Administrative Advice).</w:t>
            </w:r>
          </w:p>
        </w:tc>
      </w:tr>
      <w:tr w:rsidR="00A93A3B" w:rsidRPr="007F2BB2" w14:paraId="21521CA4" w14:textId="77777777" w:rsidTr="00264EE0">
        <w:tblPrEx>
          <w:tblCellMar>
            <w:top w:w="15" w:type="dxa"/>
            <w:left w:w="15" w:type="dxa"/>
            <w:bottom w:w="15" w:type="dxa"/>
            <w:right w:w="15" w:type="dxa"/>
          </w:tblCellMar>
          <w:tblLook w:val="04A0" w:firstRow="1" w:lastRow="0" w:firstColumn="1" w:lastColumn="0" w:noHBand="0" w:noVBand="1"/>
        </w:tblPrEx>
        <w:tc>
          <w:tcPr>
            <w:tcW w:w="548" w:type="pct"/>
            <w:gridSpan w:val="2"/>
            <w:vAlign w:val="center"/>
          </w:tcPr>
          <w:p w14:paraId="6CD86109" w14:textId="287E5D6B" w:rsidR="00A93A3B" w:rsidRPr="000570D4" w:rsidRDefault="00A93A3B" w:rsidP="00264EE0">
            <w:pPr>
              <w:jc w:val="center"/>
              <w:rPr>
                <w:rFonts w:ascii="Arial Narrow" w:eastAsia="Times New Roman" w:hAnsi="Arial Narrow"/>
                <w:color w:val="333333"/>
                <w:sz w:val="20"/>
                <w:szCs w:val="20"/>
              </w:rPr>
            </w:pPr>
          </w:p>
        </w:tc>
        <w:tc>
          <w:tcPr>
            <w:tcW w:w="4452" w:type="pct"/>
            <w:gridSpan w:val="6"/>
            <w:vAlign w:val="center"/>
          </w:tcPr>
          <w:p w14:paraId="440F7D99" w14:textId="77777777" w:rsidR="00A93A3B" w:rsidRPr="000570D4" w:rsidRDefault="00A93A3B" w:rsidP="00264EE0">
            <w:pPr>
              <w:rPr>
                <w:rFonts w:ascii="Arial Narrow" w:eastAsia="Times New Roman" w:hAnsi="Arial Narrow"/>
                <w:sz w:val="20"/>
                <w:szCs w:val="20"/>
              </w:rPr>
            </w:pPr>
            <w:r w:rsidRPr="000570D4">
              <w:rPr>
                <w:rFonts w:ascii="Arial Narrow" w:eastAsia="Times New Roman" w:hAnsi="Arial Narrow"/>
                <w:sz w:val="20"/>
                <w:szCs w:val="20"/>
              </w:rPr>
              <w:t>The authority application must include the following:, (i) the completed Crohn Disease Activity Index (CDAI) Score calculation sheet including the date of the assessment of the patient's condition, if relevant; or, (ii) the reports and dates of the pathology test or diagnostic imaging test(s) used to assess response to therapy for patients with short gut syndrome, extensive small intestine disease or an ostomy, if relevant; and, (iii) the date of most recent clinical assessment.</w:t>
            </w:r>
          </w:p>
        </w:tc>
      </w:tr>
      <w:tr w:rsidR="00A93A3B" w:rsidRPr="007F2BB2" w14:paraId="3DF519B0" w14:textId="77777777" w:rsidTr="00264EE0">
        <w:tblPrEx>
          <w:tblCellMar>
            <w:top w:w="15" w:type="dxa"/>
            <w:left w:w="15" w:type="dxa"/>
            <w:bottom w:w="15" w:type="dxa"/>
            <w:right w:w="15" w:type="dxa"/>
          </w:tblCellMar>
          <w:tblLook w:val="04A0" w:firstRow="1" w:lastRow="0" w:firstColumn="1" w:lastColumn="0" w:noHBand="0" w:noVBand="1"/>
        </w:tblPrEx>
        <w:tc>
          <w:tcPr>
            <w:tcW w:w="548" w:type="pct"/>
            <w:gridSpan w:val="2"/>
            <w:vAlign w:val="center"/>
          </w:tcPr>
          <w:p w14:paraId="31131A89" w14:textId="36DB993F" w:rsidR="00A93A3B" w:rsidRPr="009753E8" w:rsidRDefault="00A93A3B" w:rsidP="00264EE0">
            <w:pPr>
              <w:jc w:val="center"/>
              <w:rPr>
                <w:rFonts w:ascii="Arial Narrow" w:eastAsia="Times New Roman" w:hAnsi="Arial Narrow"/>
                <w:color w:val="333333"/>
                <w:sz w:val="20"/>
                <w:szCs w:val="20"/>
              </w:rPr>
            </w:pPr>
          </w:p>
        </w:tc>
        <w:tc>
          <w:tcPr>
            <w:tcW w:w="4452" w:type="pct"/>
            <w:gridSpan w:val="6"/>
            <w:vAlign w:val="center"/>
          </w:tcPr>
          <w:p w14:paraId="44EDD82E" w14:textId="77777777" w:rsidR="00A93A3B" w:rsidRDefault="00A93A3B" w:rsidP="00264EE0">
            <w:pPr>
              <w:rPr>
                <w:rFonts w:ascii="Arial Narrow" w:eastAsia="Times New Roman" w:hAnsi="Arial Narrow"/>
                <w:i/>
                <w:iCs/>
                <w:strike/>
                <w:sz w:val="20"/>
                <w:szCs w:val="20"/>
              </w:rPr>
            </w:pPr>
            <w:bookmarkStart w:id="60" w:name="_Hlk103347848"/>
            <w:r w:rsidRPr="009753E8">
              <w:rPr>
                <w:rFonts w:ascii="Arial Narrow" w:eastAsia="Times New Roman" w:hAnsi="Arial Narrow"/>
                <w:i/>
                <w:iCs/>
                <w:strike/>
                <w:sz w:val="20"/>
                <w:szCs w:val="20"/>
              </w:rPr>
              <w:t>An application for the continuing treatment must be accompanied with the assessment of response  between weeks 12 and 20 of therapy with this drug and submitted no later than 4 weeks from the date of completion of treatment. This will enable ongoing treatment for those who meet the continuing restriction for PBS-subsidised treatment.</w:t>
            </w:r>
            <w:bookmarkEnd w:id="60"/>
          </w:p>
          <w:p w14:paraId="738B3174" w14:textId="77777777" w:rsidR="00A93A3B" w:rsidRPr="009753E8" w:rsidRDefault="00A93A3B" w:rsidP="00264EE0">
            <w:pPr>
              <w:rPr>
                <w:rFonts w:ascii="Arial Narrow" w:eastAsia="Times New Roman" w:hAnsi="Arial Narrow"/>
                <w:i/>
                <w:iCs/>
                <w:strike/>
                <w:sz w:val="20"/>
                <w:szCs w:val="20"/>
              </w:rPr>
            </w:pPr>
            <w:r w:rsidRPr="00CE2C20">
              <w:rPr>
                <w:rFonts w:ascii="Arial Narrow" w:hAnsi="Arial Narrow"/>
                <w:sz w:val="20"/>
              </w:rPr>
              <w:t>An assessment of a patient's response to an initial course of treatment must be conducted following a minimum of 12 weeks of therapy. An application for the continuing treatment must be accompanied with the assessment of response and submitted no later than 4 weeks from the date of completion of the most recent course of treatment. This will enable ongoing treatment for those who meet the continuing restriction for PBS-subsidised treatment.</w:t>
            </w:r>
          </w:p>
        </w:tc>
      </w:tr>
      <w:tr w:rsidR="00A93A3B" w:rsidRPr="007F2BB2" w14:paraId="61E231A6" w14:textId="77777777" w:rsidTr="00264EE0">
        <w:tblPrEx>
          <w:tblCellMar>
            <w:top w:w="15" w:type="dxa"/>
            <w:left w:w="15" w:type="dxa"/>
            <w:bottom w:w="15" w:type="dxa"/>
            <w:right w:w="15" w:type="dxa"/>
          </w:tblCellMar>
          <w:tblLook w:val="04A0" w:firstRow="1" w:lastRow="0" w:firstColumn="1" w:lastColumn="0" w:noHBand="0" w:noVBand="1"/>
        </w:tblPrEx>
        <w:tc>
          <w:tcPr>
            <w:tcW w:w="548" w:type="pct"/>
            <w:gridSpan w:val="2"/>
            <w:vAlign w:val="center"/>
          </w:tcPr>
          <w:p w14:paraId="7EE75A29" w14:textId="2192E0DA" w:rsidR="00A93A3B" w:rsidRPr="000570D4" w:rsidRDefault="00A93A3B" w:rsidP="00264EE0">
            <w:pPr>
              <w:jc w:val="center"/>
              <w:rPr>
                <w:rFonts w:ascii="Arial Narrow" w:eastAsia="Times New Roman" w:hAnsi="Arial Narrow"/>
                <w:color w:val="333333"/>
                <w:sz w:val="20"/>
                <w:szCs w:val="20"/>
              </w:rPr>
            </w:pPr>
          </w:p>
        </w:tc>
        <w:tc>
          <w:tcPr>
            <w:tcW w:w="4452" w:type="pct"/>
            <w:gridSpan w:val="6"/>
            <w:vAlign w:val="center"/>
          </w:tcPr>
          <w:p w14:paraId="0C7AE650" w14:textId="77777777" w:rsidR="00A93A3B" w:rsidRPr="00710320" w:rsidRDefault="00A93A3B" w:rsidP="00264EE0">
            <w:pPr>
              <w:rPr>
                <w:rFonts w:ascii="Arial Narrow" w:eastAsia="Times New Roman" w:hAnsi="Arial Narrow"/>
                <w:i/>
                <w:iCs/>
                <w:sz w:val="20"/>
                <w:szCs w:val="20"/>
              </w:rPr>
            </w:pPr>
            <w:r w:rsidRPr="00710320">
              <w:rPr>
                <w:rFonts w:ascii="Arial Narrow" w:eastAsia="Times New Roman" w:hAnsi="Arial Narrow"/>
                <w:i/>
                <w:iCs/>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A93A3B" w:rsidRPr="007F2BB2" w14:paraId="4CEC616B" w14:textId="77777777" w:rsidTr="00264EE0">
        <w:tblPrEx>
          <w:tblCellMar>
            <w:top w:w="15" w:type="dxa"/>
            <w:left w:w="15" w:type="dxa"/>
            <w:bottom w:w="15" w:type="dxa"/>
            <w:right w:w="15" w:type="dxa"/>
          </w:tblCellMar>
          <w:tblLook w:val="04A0" w:firstRow="1" w:lastRow="0" w:firstColumn="1" w:lastColumn="0" w:noHBand="0" w:noVBand="1"/>
        </w:tblPrEx>
        <w:tc>
          <w:tcPr>
            <w:tcW w:w="548" w:type="pct"/>
            <w:gridSpan w:val="2"/>
            <w:vAlign w:val="center"/>
          </w:tcPr>
          <w:p w14:paraId="3D979C0D" w14:textId="1AC8D24E" w:rsidR="00A93A3B" w:rsidRPr="000570D4" w:rsidRDefault="00A93A3B" w:rsidP="00264EE0">
            <w:pPr>
              <w:jc w:val="center"/>
              <w:rPr>
                <w:rFonts w:ascii="Arial Narrow" w:eastAsia="Times New Roman" w:hAnsi="Arial Narrow"/>
                <w:color w:val="333333"/>
                <w:sz w:val="20"/>
                <w:szCs w:val="20"/>
              </w:rPr>
            </w:pPr>
          </w:p>
        </w:tc>
        <w:tc>
          <w:tcPr>
            <w:tcW w:w="4452" w:type="pct"/>
            <w:gridSpan w:val="6"/>
            <w:vAlign w:val="center"/>
          </w:tcPr>
          <w:p w14:paraId="7C4A6407" w14:textId="77777777" w:rsidR="00A93A3B" w:rsidRPr="00710320" w:rsidRDefault="00A93A3B" w:rsidP="00264EE0">
            <w:pPr>
              <w:rPr>
                <w:rFonts w:ascii="Arial Narrow" w:eastAsia="Times New Roman" w:hAnsi="Arial Narrow"/>
                <w:i/>
                <w:iCs/>
                <w:sz w:val="20"/>
                <w:szCs w:val="20"/>
              </w:rPr>
            </w:pPr>
            <w:r w:rsidRPr="00710320">
              <w:rPr>
                <w:rFonts w:ascii="Arial Narrow" w:eastAsia="Times New Roman" w:hAnsi="Arial Narrow"/>
                <w:i/>
                <w:iCs/>
                <w:sz w:val="20"/>
                <w:szCs w:val="20"/>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A93A3B" w:rsidRPr="007F2BB2" w14:paraId="517C2928" w14:textId="77777777" w:rsidTr="00264EE0">
        <w:tblPrEx>
          <w:tblCellMar>
            <w:top w:w="15" w:type="dxa"/>
            <w:left w:w="15" w:type="dxa"/>
            <w:bottom w:w="15" w:type="dxa"/>
            <w:right w:w="15" w:type="dxa"/>
          </w:tblCellMar>
          <w:tblLook w:val="04A0" w:firstRow="1" w:lastRow="0" w:firstColumn="1" w:lastColumn="0" w:noHBand="0" w:noVBand="1"/>
        </w:tblPrEx>
        <w:tc>
          <w:tcPr>
            <w:tcW w:w="548" w:type="pct"/>
            <w:gridSpan w:val="2"/>
            <w:vAlign w:val="center"/>
          </w:tcPr>
          <w:p w14:paraId="23622FE6" w14:textId="2538BC46" w:rsidR="00A93A3B" w:rsidRPr="000570D4" w:rsidRDefault="00A93A3B" w:rsidP="00264EE0">
            <w:pPr>
              <w:jc w:val="center"/>
              <w:rPr>
                <w:rFonts w:ascii="Arial Narrow" w:eastAsia="Times New Roman" w:hAnsi="Arial Narrow"/>
                <w:color w:val="333333"/>
                <w:sz w:val="20"/>
                <w:szCs w:val="20"/>
              </w:rPr>
            </w:pPr>
          </w:p>
        </w:tc>
        <w:tc>
          <w:tcPr>
            <w:tcW w:w="4452" w:type="pct"/>
            <w:gridSpan w:val="6"/>
            <w:vAlign w:val="center"/>
          </w:tcPr>
          <w:p w14:paraId="08D43EDC" w14:textId="77777777" w:rsidR="00A93A3B" w:rsidRPr="00710320" w:rsidRDefault="00A93A3B" w:rsidP="00264EE0">
            <w:pPr>
              <w:rPr>
                <w:rFonts w:ascii="Arial Narrow" w:eastAsia="Times New Roman" w:hAnsi="Arial Narrow"/>
                <w:i/>
                <w:iCs/>
                <w:sz w:val="20"/>
                <w:szCs w:val="20"/>
              </w:rPr>
            </w:pPr>
            <w:r w:rsidRPr="00710320">
              <w:rPr>
                <w:rFonts w:ascii="Arial Narrow" w:eastAsia="Times New Roman" w:hAnsi="Arial Narrow"/>
                <w:i/>
                <w:iCs/>
                <w:sz w:val="20"/>
                <w:szCs w:val="20"/>
              </w:rPr>
              <w:t>Patients are eligible to receive continuing treatment with this drug in courses of up to 24 weeks providing they continue to sustain a response.</w:t>
            </w:r>
          </w:p>
        </w:tc>
      </w:tr>
      <w:tr w:rsidR="00A93A3B" w:rsidRPr="007F2BB2" w14:paraId="08796C4B" w14:textId="77777777" w:rsidTr="00264EE0">
        <w:tblPrEx>
          <w:tblCellMar>
            <w:top w:w="15" w:type="dxa"/>
            <w:left w:w="15" w:type="dxa"/>
            <w:bottom w:w="15" w:type="dxa"/>
            <w:right w:w="15" w:type="dxa"/>
          </w:tblCellMar>
          <w:tblLook w:val="04A0" w:firstRow="1" w:lastRow="0" w:firstColumn="1" w:lastColumn="0" w:noHBand="0" w:noVBand="1"/>
        </w:tblPrEx>
        <w:tc>
          <w:tcPr>
            <w:tcW w:w="548" w:type="pct"/>
            <w:gridSpan w:val="2"/>
            <w:vAlign w:val="center"/>
          </w:tcPr>
          <w:p w14:paraId="2343B5F4" w14:textId="0C9B9D47" w:rsidR="00A93A3B" w:rsidRPr="000570D4" w:rsidRDefault="00A93A3B" w:rsidP="00264EE0">
            <w:pPr>
              <w:jc w:val="center"/>
              <w:rPr>
                <w:rFonts w:ascii="Arial Narrow" w:eastAsia="Times New Roman" w:hAnsi="Arial Narrow"/>
                <w:color w:val="333333"/>
                <w:sz w:val="20"/>
                <w:szCs w:val="20"/>
              </w:rPr>
            </w:pPr>
          </w:p>
        </w:tc>
        <w:tc>
          <w:tcPr>
            <w:tcW w:w="4452" w:type="pct"/>
            <w:gridSpan w:val="6"/>
            <w:vAlign w:val="center"/>
          </w:tcPr>
          <w:p w14:paraId="77A823FC" w14:textId="77777777" w:rsidR="00A93A3B" w:rsidRPr="00710320" w:rsidRDefault="00A93A3B" w:rsidP="00264EE0">
            <w:pPr>
              <w:rPr>
                <w:rFonts w:ascii="Arial Narrow" w:eastAsia="Times New Roman" w:hAnsi="Arial Narrow"/>
                <w:i/>
                <w:iCs/>
                <w:sz w:val="20"/>
                <w:szCs w:val="20"/>
              </w:rPr>
            </w:pPr>
            <w:r w:rsidRPr="00710320">
              <w:rPr>
                <w:rFonts w:ascii="Arial Narrow" w:eastAsia="Times New Roman" w:hAnsi="Arial Narrow"/>
                <w:i/>
                <w:iCs/>
                <w:sz w:val="20"/>
                <w:szCs w:val="20"/>
              </w:rPr>
              <w:t>A Grandfathered patient may qualify for PBS-subsidised treatment under this restriction once only. For continuing PBS-subsidised treatment, a Grandfathered patient must qualify under the continuing treatment criteria.</w:t>
            </w:r>
          </w:p>
        </w:tc>
      </w:tr>
      <w:tr w:rsidR="00A93A3B" w:rsidRPr="007F2BB2" w14:paraId="4A55F4E1" w14:textId="77777777" w:rsidTr="00092C71">
        <w:tblPrEx>
          <w:tblCellMar>
            <w:top w:w="15" w:type="dxa"/>
            <w:left w:w="15" w:type="dxa"/>
            <w:bottom w:w="15" w:type="dxa"/>
            <w:right w:w="15" w:type="dxa"/>
          </w:tblCellMar>
          <w:tblLook w:val="04A0" w:firstRow="1" w:lastRow="0" w:firstColumn="1" w:lastColumn="0" w:noHBand="0" w:noVBand="1"/>
        </w:tblPrEx>
        <w:trPr>
          <w:trHeight w:val="2649"/>
        </w:trPr>
        <w:tc>
          <w:tcPr>
            <w:tcW w:w="548" w:type="pct"/>
            <w:gridSpan w:val="2"/>
            <w:vAlign w:val="center"/>
          </w:tcPr>
          <w:p w14:paraId="5F059877" w14:textId="570B97CC" w:rsidR="00A93A3B" w:rsidRPr="000570D4" w:rsidRDefault="00A93A3B" w:rsidP="00264EE0">
            <w:pPr>
              <w:jc w:val="center"/>
              <w:rPr>
                <w:rFonts w:ascii="Arial Narrow" w:eastAsia="Times New Roman" w:hAnsi="Arial Narrow"/>
                <w:strike/>
                <w:color w:val="333333"/>
                <w:sz w:val="20"/>
                <w:szCs w:val="20"/>
              </w:rPr>
            </w:pPr>
          </w:p>
        </w:tc>
        <w:tc>
          <w:tcPr>
            <w:tcW w:w="4452" w:type="pct"/>
            <w:gridSpan w:val="6"/>
            <w:vAlign w:val="center"/>
          </w:tcPr>
          <w:p w14:paraId="74B6FDFF" w14:textId="77777777" w:rsidR="00A93A3B" w:rsidRPr="000570D4" w:rsidRDefault="00A93A3B" w:rsidP="00264EE0">
            <w:pPr>
              <w:rPr>
                <w:rFonts w:ascii="Arial Narrow" w:eastAsia="Times New Roman" w:hAnsi="Arial Narrow"/>
                <w:sz w:val="20"/>
                <w:szCs w:val="20"/>
              </w:rPr>
            </w:pPr>
            <w:r w:rsidRPr="000570D4">
              <w:rPr>
                <w:rFonts w:ascii="Arial Narrow" w:eastAsia="Times New Roman" w:hAnsi="Arial Narrow"/>
                <w:sz w:val="20"/>
                <w:szCs w:val="20"/>
              </w:rPr>
              <w:t>Evidence of failure to achieve an adequate response to prior therapy must include at least one of the following:</w:t>
            </w:r>
          </w:p>
          <w:p w14:paraId="2B3B07A4" w14:textId="77777777" w:rsidR="00A93A3B" w:rsidRPr="000570D4" w:rsidRDefault="00A93A3B" w:rsidP="00264EE0">
            <w:pPr>
              <w:rPr>
                <w:rFonts w:ascii="Arial Narrow" w:eastAsia="Times New Roman" w:hAnsi="Arial Narrow"/>
                <w:sz w:val="20"/>
                <w:szCs w:val="20"/>
              </w:rPr>
            </w:pPr>
            <w:r w:rsidRPr="000570D4">
              <w:rPr>
                <w:rFonts w:ascii="Arial Narrow" w:eastAsia="Times New Roman" w:hAnsi="Arial Narrow"/>
                <w:sz w:val="20"/>
                <w:szCs w:val="20"/>
              </w:rPr>
              <w:t>(a) patient must have evidence of intestinal inflammation;</w:t>
            </w:r>
          </w:p>
          <w:p w14:paraId="12A0D68D" w14:textId="77777777" w:rsidR="00A93A3B" w:rsidRPr="000570D4" w:rsidRDefault="00A93A3B" w:rsidP="00264EE0">
            <w:pPr>
              <w:rPr>
                <w:rFonts w:ascii="Arial Narrow" w:eastAsia="Times New Roman" w:hAnsi="Arial Narrow"/>
                <w:sz w:val="20"/>
                <w:szCs w:val="20"/>
              </w:rPr>
            </w:pPr>
            <w:r w:rsidRPr="000570D4">
              <w:rPr>
                <w:rFonts w:ascii="Arial Narrow" w:eastAsia="Times New Roman" w:hAnsi="Arial Narrow"/>
                <w:sz w:val="20"/>
                <w:szCs w:val="20"/>
              </w:rPr>
              <w:t>(b) patient must be assessed clinically as being in a high faecal output state;</w:t>
            </w:r>
          </w:p>
          <w:p w14:paraId="3F53AD00" w14:textId="77777777" w:rsidR="00A93A3B" w:rsidRPr="000570D4" w:rsidRDefault="00A93A3B" w:rsidP="00264EE0">
            <w:pPr>
              <w:rPr>
                <w:rFonts w:ascii="Arial Narrow" w:eastAsia="Times New Roman" w:hAnsi="Arial Narrow"/>
                <w:sz w:val="20"/>
                <w:szCs w:val="20"/>
              </w:rPr>
            </w:pPr>
            <w:r w:rsidRPr="000570D4">
              <w:rPr>
                <w:rFonts w:ascii="Arial Narrow" w:eastAsia="Times New Roman" w:hAnsi="Arial Narrow"/>
                <w:sz w:val="20"/>
                <w:szCs w:val="20"/>
              </w:rPr>
              <w:t>(c) patient must be assessed clinically as requiring surgery or total parenteral nutrition (TPN) as the next therapeutic option, in the absence of this drug, if affected by short gut syndrome, extensive small intestine disease or is an ostomy patient.</w:t>
            </w:r>
          </w:p>
          <w:p w14:paraId="0820A14F" w14:textId="77777777" w:rsidR="00A93A3B" w:rsidRPr="000570D4" w:rsidRDefault="00A93A3B" w:rsidP="00264EE0">
            <w:pPr>
              <w:rPr>
                <w:rFonts w:ascii="Arial Narrow" w:eastAsia="Times New Roman" w:hAnsi="Arial Narrow"/>
                <w:sz w:val="20"/>
                <w:szCs w:val="20"/>
              </w:rPr>
            </w:pPr>
            <w:r w:rsidRPr="000570D4">
              <w:rPr>
                <w:rFonts w:ascii="Arial Narrow" w:eastAsia="Times New Roman" w:hAnsi="Arial Narrow"/>
                <w:sz w:val="20"/>
                <w:szCs w:val="20"/>
              </w:rPr>
              <w:t>Evidence of intestinal inflammation includes:</w:t>
            </w:r>
          </w:p>
          <w:p w14:paraId="66D9120A" w14:textId="77777777" w:rsidR="00A93A3B" w:rsidRPr="000570D4" w:rsidRDefault="00A93A3B" w:rsidP="00264EE0">
            <w:pPr>
              <w:rPr>
                <w:rFonts w:ascii="Arial Narrow" w:eastAsia="Times New Roman" w:hAnsi="Arial Narrow"/>
                <w:sz w:val="20"/>
                <w:szCs w:val="20"/>
              </w:rPr>
            </w:pPr>
            <w:r w:rsidRPr="000570D4">
              <w:rPr>
                <w:rFonts w:ascii="Arial Narrow" w:eastAsia="Times New Roman" w:hAnsi="Arial Narrow"/>
                <w:sz w:val="20"/>
                <w:szCs w:val="20"/>
              </w:rPr>
              <w:t>(i) blood: higher than normal platelet count, or, an elevated erythrocyte sedimentation rate (ESR) greater than 25 mm per hour, or, a C-reactive protein (CRP) level greater than 15 mg per L; or</w:t>
            </w:r>
          </w:p>
          <w:p w14:paraId="3095E845" w14:textId="77777777" w:rsidR="00A93A3B" w:rsidRPr="000570D4" w:rsidRDefault="00A93A3B" w:rsidP="00264EE0">
            <w:pPr>
              <w:rPr>
                <w:rFonts w:ascii="Arial Narrow" w:eastAsia="Times New Roman" w:hAnsi="Arial Narrow"/>
                <w:sz w:val="20"/>
                <w:szCs w:val="20"/>
              </w:rPr>
            </w:pPr>
            <w:r w:rsidRPr="000570D4">
              <w:rPr>
                <w:rFonts w:ascii="Arial Narrow" w:eastAsia="Times New Roman" w:hAnsi="Arial Narrow"/>
                <w:sz w:val="20"/>
                <w:szCs w:val="20"/>
              </w:rPr>
              <w:t>(ii) faeces: higher than normal lactoferrin or calprotectin level; or</w:t>
            </w:r>
          </w:p>
          <w:p w14:paraId="01FC625B" w14:textId="77777777" w:rsidR="00A93A3B" w:rsidRPr="000570D4" w:rsidRDefault="00A93A3B" w:rsidP="00092C71">
            <w:pPr>
              <w:spacing w:line="259" w:lineRule="auto"/>
              <w:jc w:val="left"/>
              <w:rPr>
                <w:rFonts w:ascii="Arial Narrow" w:eastAsia="Times New Roman" w:hAnsi="Arial Narrow"/>
                <w:sz w:val="20"/>
                <w:szCs w:val="20"/>
              </w:rPr>
            </w:pPr>
            <w:r w:rsidRPr="000570D4">
              <w:rPr>
                <w:rFonts w:ascii="Arial Narrow" w:eastAsia="Times New Roman" w:hAnsi="Arial Narrow"/>
                <w:sz w:val="20"/>
                <w:szCs w:val="20"/>
              </w:rPr>
              <w:t>(iii) diagnostic imaging: demonstration of increased uptake of intravenous contrast with thickening of the bowel wall or mesenteric lymphadenopathy or fat streaking in the mesentery.</w:t>
            </w:r>
          </w:p>
        </w:tc>
      </w:tr>
      <w:tr w:rsidR="00A93A3B" w:rsidRPr="007F2BB2" w14:paraId="5D6D9A55" w14:textId="77777777" w:rsidTr="00264EE0">
        <w:tblPrEx>
          <w:tblCellMar>
            <w:top w:w="15" w:type="dxa"/>
            <w:left w:w="15" w:type="dxa"/>
            <w:bottom w:w="15" w:type="dxa"/>
            <w:right w:w="15" w:type="dxa"/>
          </w:tblCellMar>
          <w:tblLook w:val="04A0" w:firstRow="1" w:lastRow="0" w:firstColumn="1" w:lastColumn="0" w:noHBand="0" w:noVBand="1"/>
        </w:tblPrEx>
        <w:tc>
          <w:tcPr>
            <w:tcW w:w="548" w:type="pct"/>
            <w:gridSpan w:val="2"/>
            <w:vAlign w:val="center"/>
          </w:tcPr>
          <w:p w14:paraId="5EA041F1" w14:textId="72CB43B9" w:rsidR="00A93A3B" w:rsidRPr="000570D4" w:rsidRDefault="00A93A3B" w:rsidP="00264EE0">
            <w:pPr>
              <w:jc w:val="center"/>
              <w:rPr>
                <w:rFonts w:ascii="Arial Narrow" w:eastAsia="Times New Roman" w:hAnsi="Arial Narrow"/>
                <w:strike/>
                <w:color w:val="333333"/>
                <w:sz w:val="20"/>
                <w:szCs w:val="20"/>
              </w:rPr>
            </w:pPr>
          </w:p>
        </w:tc>
        <w:tc>
          <w:tcPr>
            <w:tcW w:w="4452" w:type="pct"/>
            <w:gridSpan w:val="6"/>
            <w:vAlign w:val="center"/>
          </w:tcPr>
          <w:p w14:paraId="450EA21A" w14:textId="77777777" w:rsidR="00A93A3B" w:rsidRPr="000570D4" w:rsidRDefault="00A93A3B" w:rsidP="00264EE0">
            <w:pPr>
              <w:rPr>
                <w:rFonts w:ascii="Arial Narrow" w:eastAsia="Times New Roman" w:hAnsi="Arial Narrow"/>
                <w:sz w:val="20"/>
                <w:szCs w:val="20"/>
              </w:rPr>
            </w:pPr>
            <w:r w:rsidRPr="00E8501F">
              <w:rPr>
                <w:rFonts w:ascii="Arial Narrow" w:hAnsi="Arial Narrow"/>
                <w:sz w:val="20"/>
              </w:rPr>
              <w:t>All assessments, pathology tests and diagnostic imaging studies must be made within 4 weeks of the date of application and should be performed preferably whilst still on conventional treatment, but no longer than 4 weeks following cessation of the most recent prior treatment.</w:t>
            </w:r>
          </w:p>
        </w:tc>
      </w:tr>
      <w:tr w:rsidR="00A93A3B" w:rsidRPr="007F2BB2" w14:paraId="3A69A4DE" w14:textId="77777777" w:rsidTr="00264EE0">
        <w:tblPrEx>
          <w:tblCellMar>
            <w:top w:w="15" w:type="dxa"/>
            <w:left w:w="15" w:type="dxa"/>
            <w:bottom w:w="15" w:type="dxa"/>
            <w:right w:w="15" w:type="dxa"/>
          </w:tblCellMar>
          <w:tblLook w:val="04A0" w:firstRow="1" w:lastRow="0" w:firstColumn="1" w:lastColumn="0" w:noHBand="0" w:noVBand="1"/>
        </w:tblPrEx>
        <w:tc>
          <w:tcPr>
            <w:tcW w:w="548" w:type="pct"/>
            <w:gridSpan w:val="2"/>
            <w:vAlign w:val="center"/>
          </w:tcPr>
          <w:p w14:paraId="50C69561" w14:textId="7AF20F82" w:rsidR="00A93A3B" w:rsidRPr="009753E8" w:rsidRDefault="00A93A3B" w:rsidP="00264EE0">
            <w:pPr>
              <w:jc w:val="center"/>
              <w:rPr>
                <w:rFonts w:ascii="Arial Narrow" w:eastAsia="Times New Roman" w:hAnsi="Arial Narrow"/>
                <w:color w:val="333333"/>
                <w:sz w:val="20"/>
                <w:szCs w:val="20"/>
              </w:rPr>
            </w:pPr>
          </w:p>
        </w:tc>
        <w:tc>
          <w:tcPr>
            <w:tcW w:w="4452" w:type="pct"/>
            <w:gridSpan w:val="6"/>
            <w:vAlign w:val="center"/>
          </w:tcPr>
          <w:p w14:paraId="6D5D96A8" w14:textId="77777777" w:rsidR="00A93A3B" w:rsidRPr="000570D4" w:rsidRDefault="00A93A3B" w:rsidP="00264EE0">
            <w:pPr>
              <w:rPr>
                <w:rFonts w:ascii="Arial Narrow" w:eastAsia="Times New Roman" w:hAnsi="Arial Narrow"/>
                <w:sz w:val="20"/>
                <w:szCs w:val="20"/>
              </w:rPr>
            </w:pPr>
            <w:r w:rsidRPr="000570D4">
              <w:rPr>
                <w:rFonts w:ascii="Arial Narrow" w:eastAsia="Times New Roman" w:hAnsi="Arial Narrow"/>
                <w:sz w:val="20"/>
                <w:szCs w:val="20"/>
              </w:rPr>
              <w:t>If treatment with any of the specified prior conventional drugs is contraindicated according to the relevant TGA-approved Product Information, please provide details at the time of application.</w:t>
            </w:r>
          </w:p>
        </w:tc>
      </w:tr>
      <w:tr w:rsidR="00A93A3B" w:rsidRPr="007F2BB2" w14:paraId="3EAEA652" w14:textId="77777777" w:rsidTr="00264EE0">
        <w:tblPrEx>
          <w:tblCellMar>
            <w:top w:w="15" w:type="dxa"/>
            <w:left w:w="15" w:type="dxa"/>
            <w:bottom w:w="15" w:type="dxa"/>
            <w:right w:w="15" w:type="dxa"/>
          </w:tblCellMar>
          <w:tblLook w:val="04A0" w:firstRow="1" w:lastRow="0" w:firstColumn="1" w:lastColumn="0" w:noHBand="0" w:noVBand="1"/>
        </w:tblPrEx>
        <w:tc>
          <w:tcPr>
            <w:tcW w:w="548" w:type="pct"/>
            <w:gridSpan w:val="2"/>
            <w:vAlign w:val="center"/>
          </w:tcPr>
          <w:p w14:paraId="01E6999E" w14:textId="3349DF72" w:rsidR="00A93A3B" w:rsidRPr="009753E8" w:rsidRDefault="00A93A3B" w:rsidP="00264EE0">
            <w:pPr>
              <w:jc w:val="center"/>
              <w:rPr>
                <w:rFonts w:ascii="Arial Narrow" w:eastAsia="Times New Roman" w:hAnsi="Arial Narrow"/>
                <w:color w:val="333333"/>
                <w:sz w:val="20"/>
                <w:szCs w:val="20"/>
              </w:rPr>
            </w:pPr>
          </w:p>
        </w:tc>
        <w:tc>
          <w:tcPr>
            <w:tcW w:w="4452" w:type="pct"/>
            <w:gridSpan w:val="6"/>
            <w:vAlign w:val="center"/>
          </w:tcPr>
          <w:p w14:paraId="069FE206" w14:textId="77777777" w:rsidR="00A93A3B" w:rsidRPr="000570D4" w:rsidRDefault="00A93A3B" w:rsidP="00264EE0">
            <w:pPr>
              <w:rPr>
                <w:rFonts w:ascii="Arial Narrow" w:eastAsia="Times New Roman" w:hAnsi="Arial Narrow"/>
                <w:sz w:val="20"/>
                <w:szCs w:val="20"/>
              </w:rPr>
            </w:pPr>
            <w:r w:rsidRPr="000570D4">
              <w:rPr>
                <w:rFonts w:ascii="Arial Narrow" w:eastAsia="Times New Roman" w:hAnsi="Arial Narrow"/>
                <w:sz w:val="20"/>
                <w:szCs w:val="20"/>
              </w:rPr>
              <w:t>If intolerance to treatment develops during the relevant period of use, which is of a severity necessitating permanent treatment withdrawal, details of this toxicity must be provided at the time of application.</w:t>
            </w:r>
          </w:p>
        </w:tc>
      </w:tr>
      <w:tr w:rsidR="00A93A3B" w:rsidRPr="007F2BB2" w14:paraId="65015508" w14:textId="77777777" w:rsidTr="00264EE0">
        <w:tblPrEx>
          <w:tblCellMar>
            <w:top w:w="15" w:type="dxa"/>
            <w:left w:w="15" w:type="dxa"/>
            <w:bottom w:w="15" w:type="dxa"/>
            <w:right w:w="15" w:type="dxa"/>
          </w:tblCellMar>
          <w:tblLook w:val="04A0" w:firstRow="1" w:lastRow="0" w:firstColumn="1" w:lastColumn="0" w:noHBand="0" w:noVBand="1"/>
        </w:tblPrEx>
        <w:tc>
          <w:tcPr>
            <w:tcW w:w="548" w:type="pct"/>
            <w:gridSpan w:val="2"/>
            <w:vAlign w:val="center"/>
          </w:tcPr>
          <w:p w14:paraId="4D2F73B7" w14:textId="340DDD93" w:rsidR="00A93A3B" w:rsidRPr="000570D4" w:rsidRDefault="00A93A3B" w:rsidP="00264EE0">
            <w:pPr>
              <w:jc w:val="center"/>
              <w:rPr>
                <w:rFonts w:ascii="Arial Narrow" w:eastAsia="Times New Roman" w:hAnsi="Arial Narrow"/>
                <w:strike/>
                <w:color w:val="333333"/>
                <w:sz w:val="20"/>
                <w:szCs w:val="20"/>
              </w:rPr>
            </w:pPr>
          </w:p>
        </w:tc>
        <w:tc>
          <w:tcPr>
            <w:tcW w:w="4452" w:type="pct"/>
            <w:gridSpan w:val="6"/>
            <w:vAlign w:val="center"/>
          </w:tcPr>
          <w:p w14:paraId="30771F87" w14:textId="77777777" w:rsidR="00A93A3B" w:rsidRPr="000570D4" w:rsidRDefault="00A93A3B" w:rsidP="00264EE0">
            <w:pPr>
              <w:rPr>
                <w:rFonts w:ascii="Arial Narrow" w:eastAsia="Times New Roman" w:hAnsi="Arial Narrow"/>
                <w:sz w:val="20"/>
                <w:szCs w:val="20"/>
              </w:rPr>
            </w:pPr>
            <w:r w:rsidRPr="00CE2C20">
              <w:rPr>
                <w:rFonts w:ascii="Arial Narrow" w:hAnsi="Arial Narrow"/>
                <w:sz w:val="20"/>
              </w:rPr>
              <w:t>Details of the accepted toxicities including severity can be found on the Services Australia website.</w:t>
            </w:r>
          </w:p>
        </w:tc>
      </w:tr>
      <w:tr w:rsidR="00A93A3B" w:rsidRPr="007F2BB2" w14:paraId="65CE9B62" w14:textId="77777777" w:rsidTr="00264EE0">
        <w:tblPrEx>
          <w:tblCellMar>
            <w:top w:w="15" w:type="dxa"/>
            <w:left w:w="15" w:type="dxa"/>
            <w:bottom w:w="15" w:type="dxa"/>
            <w:right w:w="15" w:type="dxa"/>
          </w:tblCellMar>
          <w:tblLook w:val="04A0" w:firstRow="1" w:lastRow="0" w:firstColumn="1" w:lastColumn="0" w:noHBand="0" w:noVBand="1"/>
        </w:tblPrEx>
        <w:tc>
          <w:tcPr>
            <w:tcW w:w="548" w:type="pct"/>
            <w:gridSpan w:val="2"/>
            <w:vAlign w:val="center"/>
          </w:tcPr>
          <w:p w14:paraId="7F280FAF" w14:textId="12FA1CFB" w:rsidR="00A93A3B" w:rsidRPr="000570D4" w:rsidRDefault="00A93A3B" w:rsidP="00264EE0">
            <w:pPr>
              <w:jc w:val="center"/>
              <w:rPr>
                <w:rFonts w:ascii="Arial Narrow" w:eastAsia="Times New Roman" w:hAnsi="Arial Narrow"/>
                <w:strike/>
                <w:color w:val="333333"/>
                <w:sz w:val="20"/>
                <w:szCs w:val="20"/>
              </w:rPr>
            </w:pPr>
          </w:p>
        </w:tc>
        <w:tc>
          <w:tcPr>
            <w:tcW w:w="4452" w:type="pct"/>
            <w:gridSpan w:val="6"/>
            <w:vAlign w:val="center"/>
          </w:tcPr>
          <w:p w14:paraId="3EEEAF79" w14:textId="77777777" w:rsidR="00A93A3B" w:rsidRPr="000570D4" w:rsidRDefault="00A93A3B" w:rsidP="00264EE0">
            <w:pPr>
              <w:rPr>
                <w:rFonts w:ascii="Arial Narrow" w:eastAsia="Times New Roman" w:hAnsi="Arial Narrow"/>
                <w:sz w:val="20"/>
                <w:szCs w:val="20"/>
              </w:rPr>
            </w:pPr>
            <w:r w:rsidRPr="00F731E8">
              <w:rPr>
                <w:rFonts w:ascii="Arial Narrow" w:hAnsi="Arial Narrow"/>
                <w:sz w:val="20"/>
              </w:rPr>
              <w:t>Any one of the baseline criteria may be used to determine response to an initial course of treatment and eligibility for continued therapy, according to the criteria included in the continuing treatment restriction. However, the same criterion must be used for any subsequent determination of response to treatment, for the purpose of eligibility for continuing PBS-subsidised therapy.</w:t>
            </w:r>
          </w:p>
        </w:tc>
      </w:tr>
      <w:tr w:rsidR="00A93A3B" w:rsidRPr="007F2BB2" w14:paraId="1EFE07A7" w14:textId="77777777" w:rsidTr="00264EE0">
        <w:tblPrEx>
          <w:tblCellMar>
            <w:top w:w="15" w:type="dxa"/>
            <w:left w:w="15" w:type="dxa"/>
            <w:bottom w:w="15" w:type="dxa"/>
            <w:right w:w="15" w:type="dxa"/>
          </w:tblCellMar>
          <w:tblLook w:val="04A0" w:firstRow="1" w:lastRow="0" w:firstColumn="1" w:lastColumn="0" w:noHBand="0" w:noVBand="1"/>
        </w:tblPrEx>
        <w:tc>
          <w:tcPr>
            <w:tcW w:w="548" w:type="pct"/>
            <w:gridSpan w:val="2"/>
            <w:vAlign w:val="center"/>
          </w:tcPr>
          <w:p w14:paraId="422BE40E" w14:textId="20369517" w:rsidR="00A93A3B" w:rsidRPr="000570D4" w:rsidRDefault="00A93A3B" w:rsidP="00264EE0">
            <w:pPr>
              <w:jc w:val="center"/>
              <w:rPr>
                <w:rFonts w:ascii="Arial Narrow" w:eastAsia="Times New Roman" w:hAnsi="Arial Narrow"/>
                <w:strike/>
                <w:color w:val="333333"/>
                <w:sz w:val="20"/>
                <w:szCs w:val="20"/>
              </w:rPr>
            </w:pPr>
          </w:p>
        </w:tc>
        <w:tc>
          <w:tcPr>
            <w:tcW w:w="4452" w:type="pct"/>
            <w:gridSpan w:val="6"/>
            <w:vAlign w:val="center"/>
          </w:tcPr>
          <w:p w14:paraId="28D8C4AE" w14:textId="77777777" w:rsidR="00A93A3B" w:rsidRPr="000570D4" w:rsidRDefault="00A93A3B" w:rsidP="00264EE0">
            <w:pPr>
              <w:rPr>
                <w:rFonts w:ascii="Arial Narrow" w:eastAsia="Times New Roman" w:hAnsi="Arial Narrow"/>
                <w:sz w:val="20"/>
                <w:szCs w:val="20"/>
              </w:rPr>
            </w:pPr>
            <w:r w:rsidRPr="00CE2C20">
              <w:rPr>
                <w:rFonts w:ascii="Arial Narrow" w:hAnsi="Arial Narrow"/>
                <w:sz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A93A3B" w:rsidRPr="007F2BB2" w14:paraId="769ED41D" w14:textId="77777777" w:rsidTr="00264EE0">
        <w:tblPrEx>
          <w:tblCellMar>
            <w:top w:w="15" w:type="dxa"/>
            <w:left w:w="15" w:type="dxa"/>
            <w:bottom w:w="15" w:type="dxa"/>
            <w:right w:w="15" w:type="dxa"/>
          </w:tblCellMar>
          <w:tblLook w:val="04A0" w:firstRow="1" w:lastRow="0" w:firstColumn="1" w:lastColumn="0" w:noHBand="0" w:noVBand="1"/>
        </w:tblPrEx>
        <w:tc>
          <w:tcPr>
            <w:tcW w:w="548" w:type="pct"/>
            <w:gridSpan w:val="2"/>
            <w:vAlign w:val="center"/>
          </w:tcPr>
          <w:p w14:paraId="12784D3D" w14:textId="690246E7" w:rsidR="00A93A3B" w:rsidRPr="000570D4" w:rsidRDefault="00A93A3B" w:rsidP="00264EE0">
            <w:pPr>
              <w:jc w:val="center"/>
              <w:rPr>
                <w:rFonts w:ascii="Arial Narrow" w:eastAsia="Times New Roman" w:hAnsi="Arial Narrow"/>
                <w:strike/>
                <w:color w:val="333333"/>
                <w:sz w:val="20"/>
                <w:szCs w:val="20"/>
              </w:rPr>
            </w:pPr>
          </w:p>
        </w:tc>
        <w:tc>
          <w:tcPr>
            <w:tcW w:w="4452" w:type="pct"/>
            <w:gridSpan w:val="6"/>
            <w:vAlign w:val="center"/>
          </w:tcPr>
          <w:p w14:paraId="2C37E026" w14:textId="77777777" w:rsidR="00A93A3B" w:rsidRPr="000570D4" w:rsidRDefault="00A93A3B" w:rsidP="00264EE0">
            <w:pPr>
              <w:rPr>
                <w:rFonts w:ascii="Arial Narrow" w:eastAsia="Times New Roman" w:hAnsi="Arial Narrow"/>
                <w:sz w:val="20"/>
                <w:szCs w:val="20"/>
              </w:rPr>
            </w:pPr>
            <w:r w:rsidRPr="00F731E8">
              <w:rPr>
                <w:rFonts w:ascii="Arial Narrow" w:hAnsi="Arial Narrow"/>
                <w:sz w:val="20"/>
              </w:rP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p>
        </w:tc>
      </w:tr>
      <w:tr w:rsidR="00A93A3B" w:rsidRPr="007F2BB2" w14:paraId="38C55E28" w14:textId="77777777" w:rsidTr="00264EE0">
        <w:tblPrEx>
          <w:tblCellMar>
            <w:top w:w="15" w:type="dxa"/>
            <w:left w:w="15" w:type="dxa"/>
            <w:bottom w:w="15" w:type="dxa"/>
            <w:right w:w="15" w:type="dxa"/>
          </w:tblCellMar>
          <w:tblLook w:val="04A0" w:firstRow="1" w:lastRow="0" w:firstColumn="1" w:lastColumn="0" w:noHBand="0" w:noVBand="1"/>
        </w:tblPrEx>
        <w:tc>
          <w:tcPr>
            <w:tcW w:w="548" w:type="pct"/>
            <w:gridSpan w:val="2"/>
            <w:vAlign w:val="center"/>
          </w:tcPr>
          <w:p w14:paraId="463C5339" w14:textId="77777777" w:rsidR="00A93A3B" w:rsidRPr="000570D4" w:rsidRDefault="00A93A3B" w:rsidP="00264EE0">
            <w:pPr>
              <w:jc w:val="center"/>
              <w:rPr>
                <w:rFonts w:ascii="Arial Narrow" w:eastAsia="Times New Roman" w:hAnsi="Arial Narrow"/>
                <w:color w:val="333333"/>
                <w:sz w:val="20"/>
                <w:szCs w:val="20"/>
              </w:rPr>
            </w:pPr>
          </w:p>
        </w:tc>
        <w:tc>
          <w:tcPr>
            <w:tcW w:w="4452" w:type="pct"/>
            <w:gridSpan w:val="6"/>
            <w:vAlign w:val="center"/>
          </w:tcPr>
          <w:p w14:paraId="135180C2" w14:textId="77777777" w:rsidR="00A93A3B" w:rsidRPr="000570D4" w:rsidRDefault="00A93A3B" w:rsidP="00264EE0">
            <w:pPr>
              <w:rPr>
                <w:rFonts w:ascii="Arial Narrow" w:eastAsia="Times New Roman" w:hAnsi="Arial Narrow"/>
                <w:b/>
                <w:bCs/>
                <w:sz w:val="20"/>
                <w:szCs w:val="20"/>
              </w:rPr>
            </w:pPr>
            <w:r w:rsidRPr="000570D4">
              <w:rPr>
                <w:rFonts w:ascii="Arial Narrow" w:eastAsia="Times New Roman" w:hAnsi="Arial Narrow"/>
                <w:b/>
                <w:bCs/>
                <w:sz w:val="20"/>
                <w:szCs w:val="20"/>
              </w:rPr>
              <w:t xml:space="preserve">Administrative Advice: </w:t>
            </w:r>
          </w:p>
        </w:tc>
      </w:tr>
      <w:tr w:rsidR="00A93A3B" w:rsidRPr="007F2BB2" w14:paraId="52136ADC" w14:textId="77777777" w:rsidTr="00264EE0">
        <w:tblPrEx>
          <w:tblCellMar>
            <w:top w:w="15" w:type="dxa"/>
            <w:left w:w="15" w:type="dxa"/>
            <w:bottom w:w="15" w:type="dxa"/>
            <w:right w:w="15" w:type="dxa"/>
          </w:tblCellMar>
          <w:tblLook w:val="04A0" w:firstRow="1" w:lastRow="0" w:firstColumn="1" w:lastColumn="0" w:noHBand="0" w:noVBand="1"/>
        </w:tblPrEx>
        <w:tc>
          <w:tcPr>
            <w:tcW w:w="548" w:type="pct"/>
            <w:gridSpan w:val="2"/>
            <w:vAlign w:val="center"/>
          </w:tcPr>
          <w:p w14:paraId="06B9E98B" w14:textId="17670AED" w:rsidR="00A93A3B" w:rsidRPr="000570D4" w:rsidRDefault="00A93A3B" w:rsidP="00264EE0">
            <w:pPr>
              <w:jc w:val="center"/>
              <w:rPr>
                <w:rFonts w:ascii="Arial Narrow" w:eastAsia="Times New Roman" w:hAnsi="Arial Narrow"/>
                <w:sz w:val="20"/>
                <w:szCs w:val="20"/>
              </w:rPr>
            </w:pPr>
          </w:p>
        </w:tc>
        <w:tc>
          <w:tcPr>
            <w:tcW w:w="4452" w:type="pct"/>
            <w:gridSpan w:val="6"/>
            <w:vAlign w:val="center"/>
          </w:tcPr>
          <w:p w14:paraId="25413823" w14:textId="77777777" w:rsidR="00A93A3B" w:rsidRPr="000570D4" w:rsidRDefault="00A93A3B" w:rsidP="00264EE0">
            <w:pPr>
              <w:rPr>
                <w:rFonts w:ascii="Arial Narrow" w:eastAsia="Times New Roman" w:hAnsi="Arial Narrow"/>
                <w:sz w:val="20"/>
                <w:szCs w:val="20"/>
              </w:rPr>
            </w:pPr>
            <w:r w:rsidRPr="000570D4">
              <w:rPr>
                <w:rFonts w:ascii="Arial Narrow" w:eastAsia="Times New Roman" w:hAnsi="Arial Narrow"/>
                <w:sz w:val="20"/>
                <w:szCs w:val="20"/>
              </w:rPr>
              <w:t>This grandfather restriction will cease to operate from 12 months after the date specified in the clinical criteria</w:t>
            </w:r>
          </w:p>
        </w:tc>
      </w:tr>
      <w:tr w:rsidR="00A93A3B" w:rsidRPr="007F2BB2" w14:paraId="01D21C3E" w14:textId="77777777" w:rsidTr="00264EE0">
        <w:tblPrEx>
          <w:tblCellMar>
            <w:top w:w="15" w:type="dxa"/>
            <w:left w:w="15" w:type="dxa"/>
            <w:bottom w:w="15" w:type="dxa"/>
            <w:right w:w="15" w:type="dxa"/>
          </w:tblCellMar>
          <w:tblLook w:val="04A0" w:firstRow="1" w:lastRow="0" w:firstColumn="1" w:lastColumn="0" w:noHBand="0" w:noVBand="1"/>
        </w:tblPrEx>
        <w:tc>
          <w:tcPr>
            <w:tcW w:w="548" w:type="pct"/>
            <w:gridSpan w:val="2"/>
            <w:vAlign w:val="center"/>
          </w:tcPr>
          <w:p w14:paraId="243B52AD" w14:textId="0B6A55F7" w:rsidR="00A93A3B" w:rsidRPr="000570D4" w:rsidRDefault="00A93A3B" w:rsidP="00264EE0">
            <w:pPr>
              <w:jc w:val="center"/>
              <w:rPr>
                <w:rFonts w:ascii="Arial Narrow" w:eastAsia="Times New Roman" w:hAnsi="Arial Narrow"/>
                <w:sz w:val="20"/>
                <w:szCs w:val="20"/>
              </w:rPr>
            </w:pPr>
          </w:p>
        </w:tc>
        <w:tc>
          <w:tcPr>
            <w:tcW w:w="4452" w:type="pct"/>
            <w:gridSpan w:val="6"/>
            <w:vAlign w:val="center"/>
          </w:tcPr>
          <w:p w14:paraId="12DF8EF7" w14:textId="77777777" w:rsidR="00A93A3B" w:rsidRPr="00A00479" w:rsidRDefault="00A93A3B" w:rsidP="00264EE0">
            <w:pPr>
              <w:rPr>
                <w:rFonts w:ascii="Arial Narrow" w:hAnsi="Arial Narrow"/>
                <w:sz w:val="20"/>
              </w:rPr>
            </w:pPr>
            <w:r w:rsidRPr="001428E9">
              <w:rPr>
                <w:rFonts w:ascii="Arial Narrow" w:eastAsia="Times New Roman" w:hAnsi="Arial Narrow"/>
                <w:b/>
                <w:bCs/>
                <w:color w:val="333333"/>
                <w:sz w:val="20"/>
                <w:szCs w:val="20"/>
              </w:rPr>
              <w:t>Administrative Advice:</w:t>
            </w:r>
            <w:r w:rsidRPr="001868FF">
              <w:rPr>
                <w:rFonts w:ascii="Arial Narrow" w:hAnsi="Arial Narrow"/>
                <w:sz w:val="20"/>
              </w:rPr>
              <w:t xml:space="preserve"> </w:t>
            </w:r>
            <w:r w:rsidRPr="00A00479">
              <w:rPr>
                <w:rFonts w:ascii="Arial Narrow" w:hAnsi="Arial Narrow"/>
                <w:sz w:val="20"/>
              </w:rPr>
              <w:t>Any queries concerning the arrangements to prescribe may be directed to Services Australia on 1800 700 270 (hours of operation 8 a.m. to 5 p.m. Monday to Friday).</w:t>
            </w:r>
          </w:p>
          <w:p w14:paraId="257C6496" w14:textId="77777777" w:rsidR="00A93A3B" w:rsidRPr="00A00479" w:rsidRDefault="00A93A3B" w:rsidP="00264EE0">
            <w:pPr>
              <w:rPr>
                <w:rFonts w:ascii="Arial Narrow" w:hAnsi="Arial Narrow"/>
                <w:sz w:val="20"/>
              </w:rPr>
            </w:pPr>
          </w:p>
          <w:p w14:paraId="302B9394" w14:textId="77777777" w:rsidR="00A93A3B" w:rsidRPr="00A00479" w:rsidRDefault="00A93A3B" w:rsidP="00264EE0">
            <w:pPr>
              <w:rPr>
                <w:rFonts w:ascii="Arial Narrow" w:hAnsi="Arial Narrow"/>
                <w:sz w:val="20"/>
              </w:rPr>
            </w:pPr>
            <w:r w:rsidRPr="00A00479">
              <w:rPr>
                <w:rFonts w:ascii="Arial Narrow" w:hAnsi="Arial Narrow"/>
                <w:sz w:val="20"/>
              </w:rPr>
              <w:t>Prescribing information (including Authority Application forms and other relevant documentation as applicable) is available on the Services Australia website at www.servicesaustralia.gov.au</w:t>
            </w:r>
          </w:p>
          <w:p w14:paraId="12C95A61" w14:textId="77777777" w:rsidR="00A93A3B" w:rsidRPr="00A00479" w:rsidRDefault="00A93A3B" w:rsidP="00264EE0">
            <w:pPr>
              <w:rPr>
                <w:rFonts w:ascii="Arial Narrow" w:hAnsi="Arial Narrow"/>
                <w:sz w:val="20"/>
              </w:rPr>
            </w:pPr>
          </w:p>
          <w:p w14:paraId="519CE4E6" w14:textId="77777777" w:rsidR="00A93A3B" w:rsidRPr="00A00479" w:rsidRDefault="00A93A3B" w:rsidP="00264EE0">
            <w:pPr>
              <w:rPr>
                <w:rFonts w:ascii="Arial Narrow" w:hAnsi="Arial Narrow"/>
                <w:sz w:val="20"/>
              </w:rPr>
            </w:pPr>
            <w:r w:rsidRPr="00A00479">
              <w:rPr>
                <w:rFonts w:ascii="Arial Narrow" w:hAnsi="Arial Narrow"/>
                <w:sz w:val="20"/>
              </w:rPr>
              <w:t>Applications for authority to prescribe should be submitted online using the form upload facility in Health Professional Online Services (HPOS) at www.servicesaustralia.gov.au/hpos</w:t>
            </w:r>
          </w:p>
          <w:p w14:paraId="0B062519" w14:textId="77777777" w:rsidR="00A93A3B" w:rsidRPr="00A00479" w:rsidRDefault="00A93A3B" w:rsidP="00264EE0">
            <w:pPr>
              <w:rPr>
                <w:rFonts w:ascii="Arial Narrow" w:hAnsi="Arial Narrow"/>
                <w:sz w:val="20"/>
              </w:rPr>
            </w:pPr>
          </w:p>
          <w:p w14:paraId="05C9E5E2" w14:textId="77777777" w:rsidR="00A93A3B" w:rsidRPr="00A00479" w:rsidRDefault="00A93A3B" w:rsidP="00264EE0">
            <w:pPr>
              <w:rPr>
                <w:rFonts w:ascii="Arial Narrow" w:hAnsi="Arial Narrow"/>
                <w:sz w:val="20"/>
              </w:rPr>
            </w:pPr>
            <w:r w:rsidRPr="00A00479">
              <w:rPr>
                <w:rFonts w:ascii="Arial Narrow" w:hAnsi="Arial Narrow"/>
                <w:sz w:val="20"/>
              </w:rPr>
              <w:t>Or mailed to:</w:t>
            </w:r>
          </w:p>
          <w:p w14:paraId="2D84D29D" w14:textId="77777777" w:rsidR="00A93A3B" w:rsidRPr="00A00479" w:rsidRDefault="00A93A3B" w:rsidP="00264EE0">
            <w:pPr>
              <w:rPr>
                <w:rFonts w:ascii="Arial Narrow" w:hAnsi="Arial Narrow"/>
                <w:sz w:val="20"/>
              </w:rPr>
            </w:pPr>
          </w:p>
          <w:p w14:paraId="5B909DC3" w14:textId="77777777" w:rsidR="00A93A3B" w:rsidRPr="00A00479" w:rsidRDefault="00A93A3B" w:rsidP="00264EE0">
            <w:pPr>
              <w:rPr>
                <w:rFonts w:ascii="Arial Narrow" w:hAnsi="Arial Narrow"/>
                <w:sz w:val="20"/>
              </w:rPr>
            </w:pPr>
            <w:r w:rsidRPr="00A00479">
              <w:rPr>
                <w:rFonts w:ascii="Arial Narrow" w:hAnsi="Arial Narrow"/>
                <w:sz w:val="20"/>
              </w:rPr>
              <w:t>Services Australia</w:t>
            </w:r>
          </w:p>
          <w:p w14:paraId="56011BAE" w14:textId="77777777" w:rsidR="00A93A3B" w:rsidRPr="00A00479" w:rsidRDefault="00A93A3B" w:rsidP="00264EE0">
            <w:pPr>
              <w:rPr>
                <w:rFonts w:ascii="Arial Narrow" w:hAnsi="Arial Narrow"/>
                <w:sz w:val="20"/>
              </w:rPr>
            </w:pPr>
          </w:p>
          <w:p w14:paraId="038FB3E3" w14:textId="77777777" w:rsidR="00A93A3B" w:rsidRPr="00A00479" w:rsidRDefault="00A93A3B" w:rsidP="00264EE0">
            <w:pPr>
              <w:rPr>
                <w:rFonts w:ascii="Arial Narrow" w:hAnsi="Arial Narrow"/>
                <w:sz w:val="20"/>
              </w:rPr>
            </w:pPr>
            <w:r w:rsidRPr="00A00479">
              <w:rPr>
                <w:rFonts w:ascii="Arial Narrow" w:hAnsi="Arial Narrow"/>
                <w:sz w:val="20"/>
              </w:rPr>
              <w:t>Complex Drugs</w:t>
            </w:r>
          </w:p>
          <w:p w14:paraId="3AF4BE7E" w14:textId="77777777" w:rsidR="00A93A3B" w:rsidRPr="00A00479" w:rsidRDefault="00A93A3B" w:rsidP="00264EE0">
            <w:pPr>
              <w:rPr>
                <w:rFonts w:ascii="Arial Narrow" w:hAnsi="Arial Narrow"/>
                <w:sz w:val="20"/>
              </w:rPr>
            </w:pPr>
          </w:p>
          <w:p w14:paraId="5A3CB5FF" w14:textId="77777777" w:rsidR="00A93A3B" w:rsidRPr="00A00479" w:rsidRDefault="00A93A3B" w:rsidP="00264EE0">
            <w:pPr>
              <w:rPr>
                <w:rFonts w:ascii="Arial Narrow" w:hAnsi="Arial Narrow"/>
                <w:sz w:val="20"/>
              </w:rPr>
            </w:pPr>
            <w:r w:rsidRPr="00A00479">
              <w:rPr>
                <w:rFonts w:ascii="Arial Narrow" w:hAnsi="Arial Narrow"/>
                <w:sz w:val="20"/>
              </w:rPr>
              <w:t>Reply Paid 9826</w:t>
            </w:r>
          </w:p>
          <w:p w14:paraId="661EE9C0" w14:textId="77777777" w:rsidR="00A93A3B" w:rsidRPr="00A00479" w:rsidRDefault="00A93A3B" w:rsidP="00264EE0">
            <w:pPr>
              <w:rPr>
                <w:rFonts w:ascii="Arial Narrow" w:hAnsi="Arial Narrow"/>
                <w:sz w:val="20"/>
              </w:rPr>
            </w:pPr>
          </w:p>
          <w:p w14:paraId="4AFA5D17" w14:textId="77777777" w:rsidR="00A93A3B" w:rsidRPr="000570D4" w:rsidRDefault="00A93A3B" w:rsidP="00264EE0">
            <w:pPr>
              <w:rPr>
                <w:rFonts w:ascii="Arial Narrow" w:eastAsia="Times New Roman" w:hAnsi="Arial Narrow"/>
                <w:sz w:val="20"/>
                <w:szCs w:val="20"/>
              </w:rPr>
            </w:pPr>
            <w:r w:rsidRPr="00A00479">
              <w:rPr>
                <w:rFonts w:ascii="Arial Narrow" w:hAnsi="Arial Narrow"/>
                <w:sz w:val="20"/>
              </w:rPr>
              <w:t>HOBART TAS 7001</w:t>
            </w:r>
          </w:p>
        </w:tc>
      </w:tr>
    </w:tbl>
    <w:p w14:paraId="2595FCDC" w14:textId="77777777" w:rsidR="00A93A3B" w:rsidRDefault="00A93A3B" w:rsidP="00A93A3B">
      <w:pPr>
        <w:ind w:left="720" w:hanging="720"/>
        <w:rPr>
          <w:color w:val="3366FF"/>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81"/>
        <w:gridCol w:w="8086"/>
      </w:tblGrid>
      <w:tr w:rsidR="00A93A3B" w:rsidRPr="00AF6381" w14:paraId="4263D9EF" w14:textId="77777777" w:rsidTr="00264EE0">
        <w:tc>
          <w:tcPr>
            <w:tcW w:w="981" w:type="dxa"/>
            <w:vAlign w:val="center"/>
          </w:tcPr>
          <w:p w14:paraId="06123FA5" w14:textId="0970ACF7" w:rsidR="00A93A3B" w:rsidRPr="00AF6381" w:rsidRDefault="00A93A3B" w:rsidP="00264EE0">
            <w:pPr>
              <w:jc w:val="center"/>
              <w:rPr>
                <w:rFonts w:ascii="Arial Narrow" w:eastAsia="Times New Roman" w:hAnsi="Arial Narrow"/>
                <w:color w:val="333333"/>
                <w:sz w:val="20"/>
                <w:szCs w:val="20"/>
              </w:rPr>
            </w:pPr>
          </w:p>
        </w:tc>
        <w:tc>
          <w:tcPr>
            <w:tcW w:w="8086" w:type="dxa"/>
            <w:vAlign w:val="center"/>
          </w:tcPr>
          <w:p w14:paraId="05204781" w14:textId="77777777" w:rsidR="00A93A3B" w:rsidRPr="00AF6381" w:rsidRDefault="00A93A3B" w:rsidP="00264EE0">
            <w:pPr>
              <w:rPr>
                <w:rFonts w:ascii="Arial Narrow" w:eastAsia="Times New Roman" w:hAnsi="Arial Narrow"/>
                <w:sz w:val="20"/>
                <w:szCs w:val="20"/>
              </w:rPr>
            </w:pPr>
            <w:r w:rsidRPr="00AF6381">
              <w:rPr>
                <w:rFonts w:ascii="Arial Narrow" w:eastAsia="Times New Roman" w:hAnsi="Arial Narrow"/>
                <w:b/>
                <w:bCs/>
                <w:color w:val="333333"/>
                <w:sz w:val="20"/>
                <w:szCs w:val="20"/>
              </w:rPr>
              <w:t>Indication:</w:t>
            </w:r>
            <w:r w:rsidRPr="00AF6381">
              <w:rPr>
                <w:rFonts w:ascii="Arial Narrow" w:eastAsia="Times New Roman" w:hAnsi="Arial Narrow"/>
                <w:color w:val="333333"/>
                <w:sz w:val="20"/>
                <w:szCs w:val="20"/>
              </w:rPr>
              <w:t xml:space="preserve"> Severe Crohn disease</w:t>
            </w:r>
          </w:p>
        </w:tc>
      </w:tr>
      <w:tr w:rsidR="00A93A3B" w:rsidRPr="00AF6381" w14:paraId="062CE626" w14:textId="77777777" w:rsidTr="00264EE0">
        <w:tc>
          <w:tcPr>
            <w:tcW w:w="981" w:type="dxa"/>
            <w:vAlign w:val="center"/>
          </w:tcPr>
          <w:p w14:paraId="0BAC76E6" w14:textId="77777777" w:rsidR="00A93A3B" w:rsidRPr="00AF6381" w:rsidRDefault="00A93A3B" w:rsidP="00264EE0">
            <w:pPr>
              <w:jc w:val="center"/>
              <w:rPr>
                <w:rFonts w:ascii="Arial Narrow" w:eastAsia="Times New Roman" w:hAnsi="Arial Narrow"/>
                <w:color w:val="333333"/>
                <w:sz w:val="20"/>
                <w:szCs w:val="20"/>
              </w:rPr>
            </w:pPr>
          </w:p>
        </w:tc>
        <w:tc>
          <w:tcPr>
            <w:tcW w:w="8086" w:type="dxa"/>
            <w:vAlign w:val="center"/>
          </w:tcPr>
          <w:p w14:paraId="725A1D8F" w14:textId="77777777" w:rsidR="00A93A3B" w:rsidRPr="00AF6381" w:rsidRDefault="00A93A3B" w:rsidP="00264EE0">
            <w:pPr>
              <w:rPr>
                <w:rFonts w:ascii="Arial Narrow" w:eastAsia="Times New Roman" w:hAnsi="Arial Narrow"/>
                <w:sz w:val="20"/>
                <w:szCs w:val="20"/>
              </w:rPr>
            </w:pPr>
            <w:r w:rsidRPr="00AF6381">
              <w:rPr>
                <w:rFonts w:ascii="Arial Narrow" w:eastAsia="Times New Roman" w:hAnsi="Arial Narrow"/>
                <w:b/>
                <w:bCs/>
                <w:color w:val="333333"/>
                <w:sz w:val="20"/>
                <w:szCs w:val="20"/>
              </w:rPr>
              <w:t xml:space="preserve">Treatment Phase: </w:t>
            </w:r>
            <w:r>
              <w:rPr>
                <w:rFonts w:ascii="Arial Narrow" w:eastAsia="Times New Roman" w:hAnsi="Arial Narrow"/>
                <w:color w:val="333333"/>
                <w:sz w:val="20"/>
                <w:szCs w:val="20"/>
              </w:rPr>
              <w:t>B</w:t>
            </w:r>
            <w:r w:rsidRPr="00AF6381">
              <w:rPr>
                <w:rFonts w:ascii="Arial Narrow" w:eastAsia="Times New Roman" w:hAnsi="Arial Narrow"/>
                <w:color w:val="333333"/>
                <w:sz w:val="20"/>
                <w:szCs w:val="20"/>
              </w:rPr>
              <w:t xml:space="preserve">alance of </w:t>
            </w:r>
            <w:r>
              <w:rPr>
                <w:rFonts w:ascii="Arial Narrow" w:eastAsia="Times New Roman" w:hAnsi="Arial Narrow"/>
                <w:color w:val="333333"/>
                <w:sz w:val="20"/>
                <w:szCs w:val="20"/>
              </w:rPr>
              <w:t>S</w:t>
            </w:r>
            <w:r w:rsidRPr="00AF6381">
              <w:rPr>
                <w:rFonts w:ascii="Arial Narrow" w:eastAsia="Times New Roman" w:hAnsi="Arial Narrow"/>
                <w:color w:val="333333"/>
                <w:sz w:val="20"/>
                <w:szCs w:val="20"/>
              </w:rPr>
              <w:t>upply</w:t>
            </w:r>
          </w:p>
        </w:tc>
      </w:tr>
      <w:tr w:rsidR="00A93A3B" w:rsidRPr="00AF6381" w14:paraId="329E6956" w14:textId="77777777" w:rsidTr="00264EE0">
        <w:tc>
          <w:tcPr>
            <w:tcW w:w="981" w:type="dxa"/>
            <w:vAlign w:val="center"/>
          </w:tcPr>
          <w:p w14:paraId="0385E233" w14:textId="42A8371A" w:rsidR="00A93A3B" w:rsidRPr="00AF6381" w:rsidRDefault="00A93A3B" w:rsidP="00264EE0">
            <w:pPr>
              <w:jc w:val="center"/>
              <w:rPr>
                <w:rFonts w:ascii="Arial Narrow" w:eastAsia="Times New Roman" w:hAnsi="Arial Narrow"/>
                <w:color w:val="333333"/>
                <w:sz w:val="20"/>
                <w:szCs w:val="20"/>
              </w:rPr>
            </w:pPr>
          </w:p>
        </w:tc>
        <w:tc>
          <w:tcPr>
            <w:tcW w:w="8086" w:type="dxa"/>
            <w:vAlign w:val="center"/>
          </w:tcPr>
          <w:p w14:paraId="42438051" w14:textId="77777777" w:rsidR="00A93A3B" w:rsidRPr="00AF6381" w:rsidRDefault="00A93A3B" w:rsidP="00264EE0">
            <w:pPr>
              <w:rPr>
                <w:rFonts w:ascii="Arial Narrow" w:eastAsia="Times New Roman" w:hAnsi="Arial Narrow"/>
                <w:sz w:val="20"/>
                <w:szCs w:val="20"/>
              </w:rPr>
            </w:pPr>
            <w:r w:rsidRPr="00AF6381">
              <w:rPr>
                <w:rFonts w:ascii="Arial Narrow" w:eastAsia="Times New Roman" w:hAnsi="Arial Narrow"/>
                <w:b/>
                <w:bCs/>
                <w:color w:val="333333"/>
                <w:sz w:val="20"/>
                <w:szCs w:val="20"/>
              </w:rPr>
              <w:t xml:space="preserve">Treatment criteria: </w:t>
            </w:r>
          </w:p>
        </w:tc>
      </w:tr>
      <w:tr w:rsidR="00A93A3B" w:rsidRPr="00AF6381" w14:paraId="698D5A84" w14:textId="77777777" w:rsidTr="00264EE0">
        <w:tc>
          <w:tcPr>
            <w:tcW w:w="981" w:type="dxa"/>
            <w:vAlign w:val="center"/>
          </w:tcPr>
          <w:p w14:paraId="4F7CD024" w14:textId="67A6EE2D" w:rsidR="00A93A3B" w:rsidRPr="00AF6381" w:rsidRDefault="00A93A3B" w:rsidP="00264EE0">
            <w:pPr>
              <w:jc w:val="center"/>
              <w:rPr>
                <w:rFonts w:ascii="Arial Narrow" w:eastAsia="Times New Roman" w:hAnsi="Arial Narrow"/>
                <w:color w:val="333333"/>
                <w:sz w:val="20"/>
                <w:szCs w:val="20"/>
              </w:rPr>
            </w:pPr>
          </w:p>
        </w:tc>
        <w:tc>
          <w:tcPr>
            <w:tcW w:w="8086" w:type="dxa"/>
            <w:vAlign w:val="center"/>
          </w:tcPr>
          <w:p w14:paraId="0249D750" w14:textId="77777777" w:rsidR="00A93A3B" w:rsidRPr="00AF6381" w:rsidRDefault="00A93A3B" w:rsidP="00264EE0">
            <w:pPr>
              <w:rPr>
                <w:rFonts w:ascii="Arial Narrow" w:eastAsia="Times New Roman" w:hAnsi="Arial Narrow"/>
                <w:sz w:val="20"/>
                <w:szCs w:val="20"/>
              </w:rPr>
            </w:pPr>
            <w:r w:rsidRPr="00AF6381">
              <w:rPr>
                <w:rFonts w:ascii="Arial Narrow" w:eastAsia="Times New Roman" w:hAnsi="Arial Narrow"/>
                <w:sz w:val="20"/>
                <w:szCs w:val="20"/>
              </w:rPr>
              <w:t>Must be treated by a gastroenterologist (code 87); OR</w:t>
            </w:r>
          </w:p>
          <w:p w14:paraId="65D5D08E" w14:textId="77777777" w:rsidR="00A93A3B" w:rsidRPr="00AF6381" w:rsidRDefault="00A93A3B" w:rsidP="00264EE0">
            <w:pPr>
              <w:rPr>
                <w:rFonts w:ascii="Arial Narrow" w:eastAsia="Times New Roman" w:hAnsi="Arial Narrow"/>
                <w:sz w:val="20"/>
                <w:szCs w:val="20"/>
              </w:rPr>
            </w:pPr>
          </w:p>
          <w:p w14:paraId="56AED624" w14:textId="77777777" w:rsidR="00A93A3B" w:rsidRPr="00AF6381" w:rsidRDefault="00A93A3B" w:rsidP="00264EE0">
            <w:pPr>
              <w:rPr>
                <w:rFonts w:ascii="Arial Narrow" w:eastAsia="Times New Roman" w:hAnsi="Arial Narrow"/>
                <w:sz w:val="20"/>
                <w:szCs w:val="20"/>
              </w:rPr>
            </w:pPr>
            <w:r w:rsidRPr="00AF6381">
              <w:rPr>
                <w:rFonts w:ascii="Arial Narrow" w:eastAsia="Times New Roman" w:hAnsi="Arial Narrow"/>
                <w:sz w:val="20"/>
                <w:szCs w:val="20"/>
              </w:rPr>
              <w:t>Must be treated by a consultant physician [internal medicine specialising in gastroenterology (code 81)]; OR</w:t>
            </w:r>
          </w:p>
          <w:p w14:paraId="0C5A0BE8" w14:textId="77777777" w:rsidR="00A93A3B" w:rsidRPr="00AF6381" w:rsidRDefault="00A93A3B" w:rsidP="00264EE0">
            <w:pPr>
              <w:rPr>
                <w:rFonts w:ascii="Arial Narrow" w:eastAsia="Times New Roman" w:hAnsi="Arial Narrow"/>
                <w:sz w:val="20"/>
                <w:szCs w:val="20"/>
              </w:rPr>
            </w:pPr>
          </w:p>
          <w:p w14:paraId="75877B2D" w14:textId="77777777" w:rsidR="00A93A3B" w:rsidRPr="00AF6381" w:rsidRDefault="00A93A3B" w:rsidP="00264EE0">
            <w:pPr>
              <w:rPr>
                <w:rFonts w:ascii="Arial Narrow" w:eastAsia="Times New Roman" w:hAnsi="Arial Narrow"/>
                <w:sz w:val="20"/>
                <w:szCs w:val="20"/>
              </w:rPr>
            </w:pPr>
            <w:r w:rsidRPr="00AF6381">
              <w:rPr>
                <w:rFonts w:ascii="Arial Narrow" w:eastAsia="Times New Roman" w:hAnsi="Arial Narrow"/>
                <w:sz w:val="20"/>
                <w:szCs w:val="20"/>
              </w:rPr>
              <w:t>Must be treated by a consultant physician [general medicine specialising in gastroenterology (code 82)].</w:t>
            </w:r>
          </w:p>
        </w:tc>
      </w:tr>
      <w:tr w:rsidR="00A93A3B" w:rsidRPr="00AF6381" w14:paraId="734C5DBD" w14:textId="77777777" w:rsidTr="00264EE0">
        <w:tc>
          <w:tcPr>
            <w:tcW w:w="981" w:type="dxa"/>
            <w:vAlign w:val="center"/>
          </w:tcPr>
          <w:p w14:paraId="6ED66CD1" w14:textId="77777777" w:rsidR="00A93A3B" w:rsidRPr="00AF6381" w:rsidRDefault="00A93A3B" w:rsidP="00264EE0">
            <w:pPr>
              <w:jc w:val="center"/>
              <w:rPr>
                <w:rFonts w:ascii="Arial Narrow" w:eastAsia="Times New Roman" w:hAnsi="Arial Narrow"/>
                <w:color w:val="333333"/>
                <w:sz w:val="20"/>
                <w:szCs w:val="20"/>
              </w:rPr>
            </w:pPr>
          </w:p>
        </w:tc>
        <w:tc>
          <w:tcPr>
            <w:tcW w:w="8086" w:type="dxa"/>
            <w:vAlign w:val="center"/>
          </w:tcPr>
          <w:p w14:paraId="33197939" w14:textId="77777777" w:rsidR="00A93A3B" w:rsidRPr="00AF6381" w:rsidRDefault="00A93A3B" w:rsidP="00264EE0">
            <w:pPr>
              <w:rPr>
                <w:rFonts w:ascii="Arial Narrow" w:eastAsia="Times New Roman" w:hAnsi="Arial Narrow"/>
                <w:sz w:val="20"/>
                <w:szCs w:val="20"/>
              </w:rPr>
            </w:pPr>
            <w:r w:rsidRPr="00AF6381">
              <w:rPr>
                <w:rFonts w:ascii="Arial Narrow" w:eastAsia="Times New Roman" w:hAnsi="Arial Narrow"/>
                <w:b/>
                <w:bCs/>
                <w:sz w:val="20"/>
                <w:szCs w:val="20"/>
              </w:rPr>
              <w:t>AND</w:t>
            </w:r>
          </w:p>
        </w:tc>
      </w:tr>
      <w:tr w:rsidR="00A93A3B" w:rsidRPr="00AF6381" w14:paraId="53BBA66E" w14:textId="77777777" w:rsidTr="00264EE0">
        <w:tc>
          <w:tcPr>
            <w:tcW w:w="981" w:type="dxa"/>
            <w:vAlign w:val="center"/>
          </w:tcPr>
          <w:p w14:paraId="53B51A4A" w14:textId="0A0C2F29" w:rsidR="00A93A3B" w:rsidRPr="00AF6381" w:rsidRDefault="00A93A3B" w:rsidP="00264EE0">
            <w:pPr>
              <w:jc w:val="center"/>
              <w:rPr>
                <w:rFonts w:ascii="Arial Narrow" w:eastAsia="Times New Roman" w:hAnsi="Arial Narrow"/>
                <w:color w:val="333333"/>
                <w:sz w:val="20"/>
                <w:szCs w:val="20"/>
              </w:rPr>
            </w:pPr>
          </w:p>
        </w:tc>
        <w:tc>
          <w:tcPr>
            <w:tcW w:w="8086" w:type="dxa"/>
            <w:vAlign w:val="center"/>
          </w:tcPr>
          <w:p w14:paraId="65BE61D2" w14:textId="77777777" w:rsidR="00A93A3B" w:rsidRPr="00AF6381" w:rsidRDefault="00A93A3B" w:rsidP="00264EE0">
            <w:pPr>
              <w:rPr>
                <w:rFonts w:ascii="Arial Narrow" w:eastAsia="Times New Roman" w:hAnsi="Arial Narrow"/>
                <w:sz w:val="20"/>
                <w:szCs w:val="20"/>
              </w:rPr>
            </w:pPr>
            <w:r w:rsidRPr="00AF6381">
              <w:rPr>
                <w:rFonts w:ascii="Arial Narrow" w:eastAsia="Times New Roman" w:hAnsi="Arial Narrow"/>
                <w:b/>
                <w:bCs/>
                <w:sz w:val="20"/>
                <w:szCs w:val="20"/>
              </w:rPr>
              <w:t>Clinical criteria:</w:t>
            </w:r>
          </w:p>
        </w:tc>
      </w:tr>
      <w:tr w:rsidR="00A93A3B" w:rsidRPr="000E4572" w14:paraId="06913E4F" w14:textId="77777777" w:rsidTr="00264EE0">
        <w:tc>
          <w:tcPr>
            <w:tcW w:w="981" w:type="dxa"/>
            <w:vAlign w:val="center"/>
          </w:tcPr>
          <w:p w14:paraId="60ECAE70" w14:textId="1079E036" w:rsidR="00A93A3B" w:rsidRPr="00AF6381" w:rsidRDefault="00A93A3B" w:rsidP="00264EE0">
            <w:pPr>
              <w:jc w:val="center"/>
              <w:rPr>
                <w:rFonts w:ascii="Arial Narrow" w:eastAsia="Times New Roman" w:hAnsi="Arial Narrow"/>
                <w:color w:val="333333"/>
                <w:sz w:val="20"/>
                <w:szCs w:val="20"/>
              </w:rPr>
            </w:pPr>
          </w:p>
        </w:tc>
        <w:tc>
          <w:tcPr>
            <w:tcW w:w="8086" w:type="dxa"/>
            <w:vAlign w:val="center"/>
          </w:tcPr>
          <w:p w14:paraId="72ECEEC7" w14:textId="77777777" w:rsidR="00A93A3B" w:rsidRPr="000E4572" w:rsidRDefault="00A93A3B" w:rsidP="00264EE0">
            <w:pPr>
              <w:rPr>
                <w:rFonts w:ascii="Arial Narrow" w:eastAsia="Times New Roman" w:hAnsi="Arial Narrow"/>
                <w:sz w:val="20"/>
                <w:szCs w:val="20"/>
              </w:rPr>
            </w:pPr>
            <w:r w:rsidRPr="000E4572">
              <w:rPr>
                <w:rFonts w:ascii="Arial Narrow" w:eastAsia="Times New Roman" w:hAnsi="Arial Narrow"/>
                <w:sz w:val="20"/>
                <w:szCs w:val="20"/>
              </w:rPr>
              <w:t xml:space="preserve">Patient must have received insufficient therapy with this drug for this condition under the Initial 1 (new patient) restriction to complete the 3 doses (the initial infusion regimen at 0, </w:t>
            </w:r>
            <w:r>
              <w:rPr>
                <w:rFonts w:ascii="Arial Narrow" w:eastAsia="Times New Roman" w:hAnsi="Arial Narrow"/>
                <w:sz w:val="20"/>
                <w:szCs w:val="20"/>
              </w:rPr>
              <w:t>4</w:t>
            </w:r>
            <w:r w:rsidRPr="000E4572">
              <w:rPr>
                <w:rFonts w:ascii="Arial Narrow" w:eastAsia="Times New Roman" w:hAnsi="Arial Narrow"/>
                <w:sz w:val="20"/>
                <w:szCs w:val="20"/>
              </w:rPr>
              <w:t xml:space="preserve"> and </w:t>
            </w:r>
            <w:r>
              <w:rPr>
                <w:rFonts w:ascii="Arial Narrow" w:eastAsia="Times New Roman" w:hAnsi="Arial Narrow"/>
                <w:sz w:val="20"/>
                <w:szCs w:val="20"/>
              </w:rPr>
              <w:t>8</w:t>
            </w:r>
            <w:r w:rsidRPr="000E4572">
              <w:rPr>
                <w:rFonts w:ascii="Arial Narrow" w:eastAsia="Times New Roman" w:hAnsi="Arial Narrow"/>
                <w:sz w:val="20"/>
                <w:szCs w:val="20"/>
              </w:rPr>
              <w:t xml:space="preserve"> weeks); or</w:t>
            </w:r>
          </w:p>
        </w:tc>
      </w:tr>
      <w:tr w:rsidR="00A93A3B" w:rsidRPr="00394F3C" w14:paraId="5A0FAC65" w14:textId="77777777" w:rsidTr="00264EE0">
        <w:tc>
          <w:tcPr>
            <w:tcW w:w="981" w:type="dxa"/>
            <w:vAlign w:val="center"/>
          </w:tcPr>
          <w:p w14:paraId="0D10137A" w14:textId="2E9B2074" w:rsidR="00A93A3B" w:rsidRPr="00AF6381" w:rsidRDefault="00A93A3B" w:rsidP="00264EE0">
            <w:pPr>
              <w:jc w:val="center"/>
              <w:rPr>
                <w:rFonts w:ascii="Arial Narrow" w:eastAsia="Times New Roman" w:hAnsi="Arial Narrow"/>
                <w:color w:val="333333"/>
                <w:sz w:val="20"/>
                <w:szCs w:val="20"/>
              </w:rPr>
            </w:pPr>
          </w:p>
        </w:tc>
        <w:tc>
          <w:tcPr>
            <w:tcW w:w="8086" w:type="dxa"/>
            <w:vAlign w:val="center"/>
          </w:tcPr>
          <w:p w14:paraId="3CC7DA54" w14:textId="77777777" w:rsidR="00A93A3B" w:rsidRPr="00394F3C" w:rsidRDefault="00A93A3B" w:rsidP="00264EE0">
            <w:pPr>
              <w:rPr>
                <w:rFonts w:ascii="Arial Narrow" w:eastAsia="Times New Roman" w:hAnsi="Arial Narrow"/>
                <w:sz w:val="20"/>
                <w:szCs w:val="20"/>
              </w:rPr>
            </w:pPr>
            <w:r w:rsidRPr="00394F3C">
              <w:rPr>
                <w:rFonts w:ascii="Arial Narrow" w:eastAsia="Times New Roman" w:hAnsi="Arial Narrow"/>
                <w:sz w:val="20"/>
                <w:szCs w:val="20"/>
              </w:rPr>
              <w:t xml:space="preserve">Patient must have received insufficient therapy with this drug for this condition under the Initial 2 (change or recommencement of treatment after a break in biological medicine of less than 5 years) restriction to complete the 3 doses (the initial infusion regimen at 0, </w:t>
            </w:r>
            <w:r>
              <w:rPr>
                <w:rFonts w:ascii="Arial Narrow" w:eastAsia="Times New Roman" w:hAnsi="Arial Narrow"/>
                <w:sz w:val="20"/>
                <w:szCs w:val="20"/>
              </w:rPr>
              <w:t>4</w:t>
            </w:r>
            <w:r w:rsidRPr="00394F3C">
              <w:rPr>
                <w:rFonts w:ascii="Arial Narrow" w:eastAsia="Times New Roman" w:hAnsi="Arial Narrow"/>
                <w:sz w:val="20"/>
                <w:szCs w:val="20"/>
              </w:rPr>
              <w:t xml:space="preserve"> and </w:t>
            </w:r>
            <w:r>
              <w:rPr>
                <w:rFonts w:ascii="Arial Narrow" w:eastAsia="Times New Roman" w:hAnsi="Arial Narrow"/>
                <w:sz w:val="20"/>
                <w:szCs w:val="20"/>
              </w:rPr>
              <w:t>8</w:t>
            </w:r>
            <w:r w:rsidRPr="00394F3C">
              <w:rPr>
                <w:rFonts w:ascii="Arial Narrow" w:eastAsia="Times New Roman" w:hAnsi="Arial Narrow"/>
                <w:sz w:val="20"/>
                <w:szCs w:val="20"/>
              </w:rPr>
              <w:t xml:space="preserve"> weeks); or</w:t>
            </w:r>
          </w:p>
        </w:tc>
      </w:tr>
      <w:tr w:rsidR="00A93A3B" w:rsidRPr="00394F3C" w14:paraId="1E457A8D" w14:textId="77777777" w:rsidTr="00264EE0">
        <w:tc>
          <w:tcPr>
            <w:tcW w:w="981" w:type="dxa"/>
            <w:vAlign w:val="center"/>
          </w:tcPr>
          <w:p w14:paraId="26557D67" w14:textId="1038DBC2" w:rsidR="00A93A3B" w:rsidRPr="00AF6381" w:rsidRDefault="00A93A3B" w:rsidP="00264EE0">
            <w:pPr>
              <w:jc w:val="center"/>
              <w:rPr>
                <w:rFonts w:ascii="Arial Narrow" w:eastAsia="Times New Roman" w:hAnsi="Arial Narrow"/>
                <w:color w:val="333333"/>
                <w:sz w:val="20"/>
                <w:szCs w:val="20"/>
              </w:rPr>
            </w:pPr>
          </w:p>
        </w:tc>
        <w:tc>
          <w:tcPr>
            <w:tcW w:w="8086" w:type="dxa"/>
            <w:vAlign w:val="center"/>
          </w:tcPr>
          <w:p w14:paraId="38B8A2AC" w14:textId="77777777" w:rsidR="00A93A3B" w:rsidRPr="00394F3C" w:rsidRDefault="00A93A3B" w:rsidP="00264EE0">
            <w:pPr>
              <w:rPr>
                <w:rFonts w:ascii="Arial Narrow" w:eastAsia="Times New Roman" w:hAnsi="Arial Narrow"/>
                <w:sz w:val="20"/>
                <w:szCs w:val="20"/>
              </w:rPr>
            </w:pPr>
            <w:r w:rsidRPr="00394F3C">
              <w:rPr>
                <w:rFonts w:ascii="Arial Narrow" w:eastAsia="Times New Roman" w:hAnsi="Arial Narrow"/>
                <w:sz w:val="20"/>
                <w:szCs w:val="20"/>
              </w:rPr>
              <w:t xml:space="preserve">Patient must have received insufficient therapy with this drug for this condition under the Initial 3 (recommencement of treatment after a break in biological medicine of more than 5 years) restriction to complete the 3 doses (the initial infusion regimen at 0, </w:t>
            </w:r>
            <w:r>
              <w:rPr>
                <w:rFonts w:ascii="Arial Narrow" w:eastAsia="Times New Roman" w:hAnsi="Arial Narrow"/>
                <w:sz w:val="20"/>
                <w:szCs w:val="20"/>
              </w:rPr>
              <w:t>4</w:t>
            </w:r>
            <w:r w:rsidRPr="00394F3C">
              <w:rPr>
                <w:rFonts w:ascii="Arial Narrow" w:eastAsia="Times New Roman" w:hAnsi="Arial Narrow"/>
                <w:sz w:val="20"/>
                <w:szCs w:val="20"/>
              </w:rPr>
              <w:t xml:space="preserve"> and </w:t>
            </w:r>
            <w:r>
              <w:rPr>
                <w:rFonts w:ascii="Arial Narrow" w:eastAsia="Times New Roman" w:hAnsi="Arial Narrow"/>
                <w:sz w:val="20"/>
                <w:szCs w:val="20"/>
              </w:rPr>
              <w:t>8</w:t>
            </w:r>
            <w:r w:rsidRPr="00394F3C">
              <w:rPr>
                <w:rFonts w:ascii="Arial Narrow" w:eastAsia="Times New Roman" w:hAnsi="Arial Narrow"/>
                <w:sz w:val="20"/>
                <w:szCs w:val="20"/>
              </w:rPr>
              <w:t xml:space="preserve"> weeks); or</w:t>
            </w:r>
          </w:p>
        </w:tc>
      </w:tr>
      <w:tr w:rsidR="00A93A3B" w:rsidRPr="00AF6381" w14:paraId="756767D4" w14:textId="77777777" w:rsidTr="00264EE0">
        <w:trPr>
          <w:trHeight w:val="783"/>
        </w:trPr>
        <w:tc>
          <w:tcPr>
            <w:tcW w:w="981" w:type="dxa"/>
            <w:vAlign w:val="center"/>
          </w:tcPr>
          <w:p w14:paraId="6A7B336F" w14:textId="70535E3E" w:rsidR="00A93A3B" w:rsidRPr="00AF6381" w:rsidRDefault="00A93A3B" w:rsidP="00264EE0">
            <w:pPr>
              <w:jc w:val="center"/>
              <w:rPr>
                <w:rFonts w:ascii="Arial Narrow" w:eastAsia="Times New Roman" w:hAnsi="Arial Narrow"/>
                <w:color w:val="333333"/>
                <w:sz w:val="20"/>
                <w:szCs w:val="20"/>
              </w:rPr>
            </w:pPr>
          </w:p>
        </w:tc>
        <w:tc>
          <w:tcPr>
            <w:tcW w:w="8086" w:type="dxa"/>
            <w:vAlign w:val="center"/>
          </w:tcPr>
          <w:p w14:paraId="13711CB8" w14:textId="77777777" w:rsidR="00A93A3B" w:rsidRPr="00AF6381" w:rsidRDefault="00A93A3B" w:rsidP="00264EE0">
            <w:pPr>
              <w:rPr>
                <w:rFonts w:ascii="Arial Narrow" w:eastAsia="Times New Roman" w:hAnsi="Arial Narrow"/>
                <w:sz w:val="20"/>
                <w:szCs w:val="20"/>
              </w:rPr>
            </w:pPr>
            <w:r w:rsidRPr="00AF6381">
              <w:rPr>
                <w:rFonts w:ascii="Arial Narrow" w:eastAsia="Times New Roman" w:hAnsi="Arial Narrow"/>
                <w:sz w:val="20"/>
                <w:szCs w:val="20"/>
              </w:rPr>
              <w:t xml:space="preserve">Patient must have received insufficient therapy with this drug under the </w:t>
            </w:r>
            <w:r>
              <w:rPr>
                <w:rFonts w:ascii="Arial Narrow" w:eastAsia="Times New Roman" w:hAnsi="Arial Narrow"/>
                <w:sz w:val="20"/>
                <w:szCs w:val="20"/>
              </w:rPr>
              <w:t>C</w:t>
            </w:r>
            <w:r w:rsidRPr="00AF6381">
              <w:rPr>
                <w:rFonts w:ascii="Arial Narrow" w:eastAsia="Times New Roman" w:hAnsi="Arial Narrow"/>
                <w:sz w:val="20"/>
                <w:szCs w:val="20"/>
              </w:rPr>
              <w:t>ontinuing treatment restriction to complete 24 weeks of treatment</w:t>
            </w:r>
          </w:p>
        </w:tc>
      </w:tr>
      <w:tr w:rsidR="00A93A3B" w:rsidRPr="00AF6381" w14:paraId="36626A8F" w14:textId="77777777" w:rsidTr="00264EE0">
        <w:tc>
          <w:tcPr>
            <w:tcW w:w="981" w:type="dxa"/>
            <w:vAlign w:val="center"/>
          </w:tcPr>
          <w:p w14:paraId="1B071792" w14:textId="77777777" w:rsidR="00A93A3B" w:rsidRPr="00AF6381" w:rsidRDefault="00A93A3B" w:rsidP="00264EE0">
            <w:pPr>
              <w:jc w:val="center"/>
              <w:rPr>
                <w:rFonts w:ascii="Arial Narrow" w:eastAsia="Times New Roman" w:hAnsi="Arial Narrow"/>
                <w:color w:val="333333"/>
                <w:sz w:val="20"/>
                <w:szCs w:val="20"/>
              </w:rPr>
            </w:pPr>
          </w:p>
        </w:tc>
        <w:tc>
          <w:tcPr>
            <w:tcW w:w="8086" w:type="dxa"/>
            <w:vAlign w:val="center"/>
          </w:tcPr>
          <w:p w14:paraId="7A1FF0B6" w14:textId="77777777" w:rsidR="00A93A3B" w:rsidRPr="00AF6381" w:rsidRDefault="00A93A3B" w:rsidP="00264EE0">
            <w:pPr>
              <w:rPr>
                <w:rFonts w:ascii="Arial Narrow" w:eastAsia="Times New Roman" w:hAnsi="Arial Narrow"/>
                <w:b/>
                <w:bCs/>
                <w:sz w:val="20"/>
                <w:szCs w:val="20"/>
              </w:rPr>
            </w:pPr>
            <w:r w:rsidRPr="00AF6381">
              <w:rPr>
                <w:rFonts w:ascii="Arial Narrow" w:eastAsia="Times New Roman" w:hAnsi="Arial Narrow"/>
                <w:b/>
                <w:bCs/>
                <w:sz w:val="20"/>
                <w:szCs w:val="20"/>
              </w:rPr>
              <w:t>AND</w:t>
            </w:r>
          </w:p>
        </w:tc>
      </w:tr>
      <w:tr w:rsidR="00A93A3B" w:rsidRPr="00AF6381" w14:paraId="06DF3F4D" w14:textId="77777777" w:rsidTr="00264EE0">
        <w:tc>
          <w:tcPr>
            <w:tcW w:w="981" w:type="dxa"/>
            <w:vAlign w:val="center"/>
          </w:tcPr>
          <w:p w14:paraId="789EADE9" w14:textId="49535647" w:rsidR="00A93A3B" w:rsidRPr="00AF6381" w:rsidRDefault="00A93A3B" w:rsidP="00264EE0">
            <w:pPr>
              <w:jc w:val="center"/>
              <w:rPr>
                <w:rFonts w:ascii="Arial Narrow" w:eastAsia="Times New Roman" w:hAnsi="Arial Narrow"/>
                <w:color w:val="333333"/>
                <w:sz w:val="20"/>
                <w:szCs w:val="20"/>
              </w:rPr>
            </w:pPr>
          </w:p>
        </w:tc>
        <w:tc>
          <w:tcPr>
            <w:tcW w:w="8086" w:type="dxa"/>
            <w:vAlign w:val="center"/>
          </w:tcPr>
          <w:p w14:paraId="7A82CC29" w14:textId="77777777" w:rsidR="00A93A3B" w:rsidRPr="00AF6381" w:rsidRDefault="00A93A3B" w:rsidP="00264EE0">
            <w:pPr>
              <w:rPr>
                <w:rFonts w:ascii="Arial Narrow" w:eastAsia="Times New Roman" w:hAnsi="Arial Narrow"/>
                <w:b/>
                <w:bCs/>
                <w:sz w:val="20"/>
                <w:szCs w:val="20"/>
              </w:rPr>
            </w:pPr>
            <w:r w:rsidRPr="00AF6381">
              <w:rPr>
                <w:rFonts w:ascii="Arial Narrow" w:eastAsia="Times New Roman" w:hAnsi="Arial Narrow"/>
                <w:b/>
                <w:bCs/>
                <w:sz w:val="20"/>
                <w:szCs w:val="20"/>
              </w:rPr>
              <w:t>Clinical criteria</w:t>
            </w:r>
          </w:p>
        </w:tc>
      </w:tr>
      <w:tr w:rsidR="00A93A3B" w:rsidRPr="00394F3C" w14:paraId="561EEE1D" w14:textId="77777777" w:rsidTr="00264EE0">
        <w:tc>
          <w:tcPr>
            <w:tcW w:w="981" w:type="dxa"/>
            <w:vAlign w:val="center"/>
          </w:tcPr>
          <w:p w14:paraId="3D8C30EF" w14:textId="30451D40" w:rsidR="00A93A3B" w:rsidRPr="00AF6381" w:rsidRDefault="00A93A3B" w:rsidP="00264EE0">
            <w:pPr>
              <w:jc w:val="center"/>
              <w:rPr>
                <w:rFonts w:ascii="Arial Narrow" w:eastAsia="Times New Roman" w:hAnsi="Arial Narrow"/>
                <w:color w:val="333333"/>
                <w:sz w:val="20"/>
                <w:szCs w:val="20"/>
              </w:rPr>
            </w:pPr>
          </w:p>
        </w:tc>
        <w:tc>
          <w:tcPr>
            <w:tcW w:w="8086" w:type="dxa"/>
            <w:vAlign w:val="center"/>
          </w:tcPr>
          <w:p w14:paraId="463E10FF" w14:textId="77777777" w:rsidR="00A93A3B" w:rsidRPr="00394F3C" w:rsidRDefault="00A93A3B" w:rsidP="00264EE0">
            <w:pPr>
              <w:rPr>
                <w:rFonts w:ascii="Arial Narrow" w:eastAsia="Times New Roman" w:hAnsi="Arial Narrow"/>
                <w:sz w:val="20"/>
                <w:szCs w:val="20"/>
              </w:rPr>
            </w:pPr>
            <w:r w:rsidRPr="00394F3C">
              <w:rPr>
                <w:rFonts w:ascii="Arial Narrow" w:eastAsia="Times New Roman" w:hAnsi="Arial Narrow"/>
                <w:sz w:val="20"/>
                <w:szCs w:val="20"/>
              </w:rPr>
              <w:t xml:space="preserve">The treatment must provide no more than the balance of up to </w:t>
            </w:r>
            <w:r>
              <w:rPr>
                <w:rFonts w:ascii="Arial Narrow" w:eastAsia="Times New Roman" w:hAnsi="Arial Narrow"/>
                <w:sz w:val="20"/>
                <w:szCs w:val="20"/>
              </w:rPr>
              <w:t xml:space="preserve">12 </w:t>
            </w:r>
            <w:r w:rsidRPr="00394F3C">
              <w:rPr>
                <w:rFonts w:ascii="Arial Narrow" w:eastAsia="Times New Roman" w:hAnsi="Arial Narrow"/>
                <w:sz w:val="20"/>
                <w:szCs w:val="20"/>
              </w:rPr>
              <w:t>weeks therapy available under Initial 1, 2 or 3</w:t>
            </w:r>
            <w:r>
              <w:rPr>
                <w:rFonts w:ascii="Arial Narrow" w:eastAsia="Times New Roman" w:hAnsi="Arial Narrow"/>
                <w:sz w:val="20"/>
                <w:szCs w:val="20"/>
              </w:rPr>
              <w:t xml:space="preserve"> </w:t>
            </w:r>
            <w:r w:rsidRPr="00394F3C">
              <w:rPr>
                <w:rFonts w:ascii="Arial Narrow" w:eastAsia="Times New Roman" w:hAnsi="Arial Narrow"/>
                <w:sz w:val="20"/>
                <w:szCs w:val="20"/>
              </w:rPr>
              <w:t>treatment</w:t>
            </w:r>
          </w:p>
        </w:tc>
      </w:tr>
      <w:tr w:rsidR="00A93A3B" w:rsidRPr="00394F3C" w14:paraId="38F5F2F6" w14:textId="77777777" w:rsidTr="00264EE0">
        <w:tc>
          <w:tcPr>
            <w:tcW w:w="981" w:type="dxa"/>
            <w:vAlign w:val="center"/>
          </w:tcPr>
          <w:p w14:paraId="7BA1A274" w14:textId="667FFB70" w:rsidR="00A93A3B" w:rsidRPr="00AF6381" w:rsidRDefault="00A93A3B" w:rsidP="00264EE0">
            <w:pPr>
              <w:jc w:val="center"/>
              <w:rPr>
                <w:rFonts w:ascii="Arial Narrow" w:eastAsia="Times New Roman" w:hAnsi="Arial Narrow"/>
                <w:i/>
                <w:iCs/>
                <w:color w:val="333333"/>
                <w:sz w:val="20"/>
                <w:szCs w:val="20"/>
              </w:rPr>
            </w:pPr>
          </w:p>
        </w:tc>
        <w:tc>
          <w:tcPr>
            <w:tcW w:w="8086" w:type="dxa"/>
            <w:vAlign w:val="center"/>
          </w:tcPr>
          <w:p w14:paraId="02E226C5" w14:textId="77777777" w:rsidR="00A93A3B" w:rsidRPr="00394F3C" w:rsidRDefault="00A93A3B" w:rsidP="00264EE0">
            <w:pPr>
              <w:rPr>
                <w:rFonts w:ascii="Arial Narrow" w:eastAsia="Times New Roman" w:hAnsi="Arial Narrow"/>
                <w:sz w:val="20"/>
                <w:szCs w:val="20"/>
              </w:rPr>
            </w:pPr>
            <w:r w:rsidRPr="00394F3C">
              <w:rPr>
                <w:rFonts w:ascii="Arial Narrow" w:eastAsia="Times New Roman" w:hAnsi="Arial Narrow"/>
                <w:sz w:val="20"/>
                <w:szCs w:val="20"/>
              </w:rPr>
              <w:t>The treatment must provide no more than the balance of up to 24 weeks treatment available under Continuing treatment</w:t>
            </w:r>
          </w:p>
        </w:tc>
      </w:tr>
      <w:tr w:rsidR="00A93A3B" w:rsidRPr="00AF6381" w14:paraId="0A1B78C6" w14:textId="77777777" w:rsidTr="00264EE0">
        <w:tc>
          <w:tcPr>
            <w:tcW w:w="981" w:type="dxa"/>
            <w:vAlign w:val="center"/>
          </w:tcPr>
          <w:p w14:paraId="4E76A554" w14:textId="77777777" w:rsidR="00A93A3B" w:rsidRPr="00AF6381" w:rsidRDefault="00A93A3B" w:rsidP="00264EE0">
            <w:pPr>
              <w:jc w:val="center"/>
              <w:rPr>
                <w:rFonts w:ascii="Arial Narrow" w:eastAsia="Times New Roman" w:hAnsi="Arial Narrow"/>
                <w:color w:val="333333"/>
                <w:sz w:val="20"/>
                <w:szCs w:val="20"/>
              </w:rPr>
            </w:pPr>
          </w:p>
        </w:tc>
        <w:tc>
          <w:tcPr>
            <w:tcW w:w="8086" w:type="dxa"/>
            <w:vAlign w:val="center"/>
          </w:tcPr>
          <w:p w14:paraId="38B16FD1" w14:textId="77777777" w:rsidR="00A93A3B" w:rsidRPr="00AF6381" w:rsidRDefault="00A93A3B" w:rsidP="00264EE0">
            <w:pPr>
              <w:rPr>
                <w:rFonts w:ascii="Arial Narrow" w:eastAsia="Times New Roman" w:hAnsi="Arial Narrow"/>
                <w:strike/>
                <w:sz w:val="20"/>
                <w:szCs w:val="20"/>
              </w:rPr>
            </w:pPr>
          </w:p>
        </w:tc>
      </w:tr>
      <w:tr w:rsidR="00A93A3B" w:rsidRPr="00AF6381" w14:paraId="79045B31" w14:textId="77777777" w:rsidTr="00264EE0">
        <w:tc>
          <w:tcPr>
            <w:tcW w:w="981" w:type="dxa"/>
            <w:vAlign w:val="center"/>
          </w:tcPr>
          <w:p w14:paraId="5AF50138" w14:textId="56DDD3B3" w:rsidR="00A93A3B" w:rsidRPr="00AF6381" w:rsidRDefault="00A93A3B" w:rsidP="00264EE0">
            <w:pPr>
              <w:jc w:val="center"/>
              <w:rPr>
                <w:rFonts w:ascii="Arial Narrow" w:eastAsia="Times New Roman" w:hAnsi="Arial Narrow"/>
                <w:color w:val="333333"/>
                <w:sz w:val="20"/>
                <w:szCs w:val="20"/>
              </w:rPr>
            </w:pPr>
          </w:p>
        </w:tc>
        <w:tc>
          <w:tcPr>
            <w:tcW w:w="8086" w:type="dxa"/>
            <w:vAlign w:val="center"/>
          </w:tcPr>
          <w:p w14:paraId="043CB184" w14:textId="77777777" w:rsidR="00A93A3B" w:rsidRPr="00AF6381" w:rsidRDefault="00A93A3B" w:rsidP="00264EE0">
            <w:pPr>
              <w:rPr>
                <w:rFonts w:ascii="Arial Narrow" w:eastAsia="Times New Roman" w:hAnsi="Arial Narrow"/>
                <w:b/>
                <w:bCs/>
                <w:color w:val="333333"/>
                <w:sz w:val="20"/>
                <w:szCs w:val="20"/>
              </w:rPr>
            </w:pPr>
            <w:r w:rsidRPr="00AF6381">
              <w:rPr>
                <w:rFonts w:ascii="Arial Narrow" w:eastAsia="Times New Roman" w:hAnsi="Arial Narrow"/>
                <w:b/>
                <w:bCs/>
                <w:color w:val="333333"/>
                <w:sz w:val="20"/>
                <w:szCs w:val="20"/>
              </w:rPr>
              <w:t>Administrative advice:</w:t>
            </w:r>
          </w:p>
          <w:p w14:paraId="2772C535" w14:textId="77777777" w:rsidR="00A93A3B" w:rsidRPr="00AF6381" w:rsidRDefault="00A93A3B" w:rsidP="00264EE0">
            <w:pPr>
              <w:rPr>
                <w:rFonts w:ascii="Arial Narrow" w:eastAsia="Times New Roman" w:hAnsi="Arial Narrow"/>
                <w:b/>
                <w:bCs/>
                <w:color w:val="333333"/>
                <w:sz w:val="20"/>
                <w:szCs w:val="20"/>
              </w:rPr>
            </w:pPr>
            <w:r w:rsidRPr="00AF6381">
              <w:rPr>
                <w:rFonts w:ascii="Arial Narrow" w:eastAsia="Times New Roman" w:hAnsi="Arial Narrow"/>
                <w:color w:val="333333"/>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bl>
    <w:p w14:paraId="14D99D2F" w14:textId="77777777" w:rsidR="00A93A3B" w:rsidRDefault="00A93A3B" w:rsidP="00A93A3B">
      <w:pPr>
        <w:ind w:left="720" w:hanging="720"/>
        <w:rPr>
          <w:color w:val="3366FF"/>
        </w:rPr>
      </w:pPr>
    </w:p>
    <w:p w14:paraId="7B6FC560" w14:textId="77777777" w:rsidR="00A93A3B" w:rsidRDefault="00A93A3B" w:rsidP="00A93A3B">
      <w:pPr>
        <w:rPr>
          <w:rFonts w:asciiTheme="minorHAnsi" w:hAnsiTheme="minorHAnsi"/>
          <w:szCs w:val="22"/>
        </w:rPr>
      </w:pPr>
      <w:r w:rsidRPr="00BB6D30">
        <w:rPr>
          <w:rFonts w:asciiTheme="minorHAnsi" w:hAnsiTheme="minorHAnsi"/>
          <w:b/>
          <w:bCs/>
          <w:i/>
          <w:szCs w:val="22"/>
        </w:rPr>
        <w:t>This restriction may be subject to further review. Should there be any changes made to the restriction the sponsor will be informed</w:t>
      </w:r>
      <w:r w:rsidRPr="007F262A">
        <w:rPr>
          <w:rFonts w:asciiTheme="minorHAnsi" w:hAnsiTheme="minorHAnsi"/>
          <w:szCs w:val="22"/>
        </w:rPr>
        <w:t>.</w:t>
      </w:r>
    </w:p>
    <w:p w14:paraId="09F3E1A6" w14:textId="77777777" w:rsidR="00A93A3B" w:rsidRDefault="00A93A3B" w:rsidP="00A93A3B">
      <w:pPr>
        <w:ind w:left="720" w:hanging="720"/>
        <w:rPr>
          <w:color w:val="3366FF"/>
        </w:rPr>
      </w:pPr>
    </w:p>
    <w:p w14:paraId="62133210" w14:textId="370DDA0A" w:rsidR="00092C71" w:rsidRDefault="00092C71" w:rsidP="00092C71">
      <w:pPr>
        <w:pStyle w:val="2-SectionHeading"/>
        <w:rPr>
          <w:bCs/>
          <w:lang w:val="en-GB"/>
        </w:rPr>
      </w:pPr>
      <w:r w:rsidRPr="00092C71">
        <w:rPr>
          <w:bCs/>
          <w:lang w:val="en-GB"/>
        </w:rPr>
        <w:t>Context for Decision</w:t>
      </w:r>
    </w:p>
    <w:p w14:paraId="157488E6" w14:textId="77777777" w:rsidR="00092C71" w:rsidRPr="007129F2" w:rsidRDefault="00092C71" w:rsidP="00092C71">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2B4A769" w14:textId="03F905B3" w:rsidR="00092C71" w:rsidRPr="00092C71" w:rsidRDefault="00092C71" w:rsidP="00092C71">
      <w:pPr>
        <w:pStyle w:val="2-SectionHeading"/>
        <w:rPr>
          <w:bCs/>
          <w:lang w:val="en-GB"/>
        </w:rPr>
      </w:pPr>
      <w:r w:rsidRPr="00092C71">
        <w:rPr>
          <w:bCs/>
          <w:lang w:val="en-GB"/>
        </w:rPr>
        <w:lastRenderedPageBreak/>
        <w:t>Sponsor’s Comment</w:t>
      </w:r>
    </w:p>
    <w:p w14:paraId="7BF1686A" w14:textId="77777777" w:rsidR="00092C71" w:rsidRPr="001179AC" w:rsidRDefault="00092C71" w:rsidP="00092C71">
      <w:pPr>
        <w:spacing w:after="120"/>
        <w:ind w:left="426" w:firstLine="294"/>
        <w:rPr>
          <w:rFonts w:asciiTheme="minorHAnsi" w:hAnsiTheme="minorHAnsi"/>
          <w:bCs/>
        </w:rPr>
      </w:pPr>
      <w:r w:rsidRPr="00C07617">
        <w:rPr>
          <w:rFonts w:asciiTheme="minorHAnsi" w:hAnsiTheme="minorHAnsi"/>
          <w:bCs/>
        </w:rPr>
        <w:t>The sponsor had no comment.</w:t>
      </w:r>
    </w:p>
    <w:sectPr w:rsidR="00092C71" w:rsidRPr="001179AC" w:rsidSect="008B0A4D">
      <w:headerReference w:type="default" r:id="rId10"/>
      <w:footerReference w:type="default" r:id="rId11"/>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1D861" w14:textId="77777777" w:rsidR="00435BD9" w:rsidRDefault="00435BD9" w:rsidP="00124A51">
      <w:r>
        <w:separator/>
      </w:r>
    </w:p>
    <w:p w14:paraId="3FB6C26D" w14:textId="77777777" w:rsidR="00435BD9" w:rsidRDefault="00435BD9"/>
  </w:endnote>
  <w:endnote w:type="continuationSeparator" w:id="0">
    <w:p w14:paraId="7B923D8C" w14:textId="77777777" w:rsidR="00435BD9" w:rsidRDefault="00435BD9" w:rsidP="00124A51">
      <w:r>
        <w:continuationSeparator/>
      </w:r>
    </w:p>
    <w:p w14:paraId="34501048" w14:textId="77777777" w:rsidR="00435BD9" w:rsidRDefault="00435BD9"/>
  </w:endnote>
  <w:endnote w:type="continuationNotice" w:id="1">
    <w:p w14:paraId="12B65A2D" w14:textId="77777777" w:rsidR="00435BD9" w:rsidRDefault="00435B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64C22" w14:textId="77777777" w:rsidR="00435BD9" w:rsidRDefault="00435BD9">
    <w:pPr>
      <w:pStyle w:val="Footer"/>
      <w:jc w:val="center"/>
    </w:pPr>
  </w:p>
  <w:sdt>
    <w:sdtPr>
      <w:id w:val="365408217"/>
      <w:docPartObj>
        <w:docPartGallery w:val="Page Numbers (Bottom of Page)"/>
        <w:docPartUnique/>
      </w:docPartObj>
    </w:sdtPr>
    <w:sdtEndPr>
      <w:rPr>
        <w:b/>
        <w:bCs/>
        <w:noProof/>
      </w:rPr>
    </w:sdtEndPr>
    <w:sdtContent>
      <w:p w14:paraId="2D0A108B" w14:textId="137A872E" w:rsidR="00435BD9" w:rsidRPr="00981AF2" w:rsidRDefault="00435BD9" w:rsidP="00981AF2">
        <w:pPr>
          <w:pStyle w:val="Footer"/>
          <w:jc w:val="center"/>
          <w:rPr>
            <w:b/>
            <w:bCs/>
          </w:rPr>
        </w:pPr>
        <w:r w:rsidRPr="007B26B3">
          <w:rPr>
            <w:b/>
            <w:bCs/>
          </w:rPr>
          <w:fldChar w:fldCharType="begin"/>
        </w:r>
        <w:r w:rsidRPr="007B26B3">
          <w:rPr>
            <w:b/>
            <w:bCs/>
          </w:rPr>
          <w:instrText xml:space="preserve"> PAGE   \* MERGEFORMAT </w:instrText>
        </w:r>
        <w:r w:rsidRPr="007B26B3">
          <w:rPr>
            <w:b/>
            <w:bCs/>
          </w:rPr>
          <w:fldChar w:fldCharType="separate"/>
        </w:r>
        <w:r w:rsidRPr="007B26B3">
          <w:rPr>
            <w:b/>
            <w:bCs/>
            <w:noProof/>
          </w:rPr>
          <w:t>2</w:t>
        </w:r>
        <w:r w:rsidRPr="007B26B3">
          <w:rPr>
            <w:b/>
            <w:bC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F79FC" w14:textId="77777777" w:rsidR="00435BD9" w:rsidRDefault="00435BD9" w:rsidP="00124A51">
      <w:r>
        <w:separator/>
      </w:r>
    </w:p>
    <w:p w14:paraId="4577A724" w14:textId="77777777" w:rsidR="00435BD9" w:rsidRDefault="00435BD9"/>
  </w:footnote>
  <w:footnote w:type="continuationSeparator" w:id="0">
    <w:p w14:paraId="20D72752" w14:textId="77777777" w:rsidR="00435BD9" w:rsidRDefault="00435BD9" w:rsidP="00124A51">
      <w:r>
        <w:continuationSeparator/>
      </w:r>
    </w:p>
    <w:p w14:paraId="790C37B2" w14:textId="77777777" w:rsidR="00435BD9" w:rsidRDefault="00435BD9"/>
  </w:footnote>
  <w:footnote w:type="continuationNotice" w:id="1">
    <w:p w14:paraId="757F93BD" w14:textId="77777777" w:rsidR="00435BD9" w:rsidRDefault="00435B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FFF03" w14:textId="1F067C15" w:rsidR="00034586" w:rsidRPr="00E3136B" w:rsidRDefault="00034586" w:rsidP="00034586">
    <w:pPr>
      <w:pStyle w:val="Header"/>
      <w:ind w:left="360"/>
      <w:rPr>
        <w:rFonts w:asciiTheme="minorHAnsi" w:hAnsiTheme="minorHAnsi"/>
        <w:i/>
        <w:color w:val="808080"/>
      </w:rPr>
    </w:pPr>
    <w:bookmarkStart w:id="61" w:name="_Hlk76375146"/>
    <w:r w:rsidRPr="00E3136B">
      <w:rPr>
        <w:rFonts w:asciiTheme="minorHAnsi" w:hAnsiTheme="minorHAnsi"/>
        <w:i/>
        <w:color w:val="808080"/>
      </w:rPr>
      <w:t>Public Summary Document – July 2022 PBAC Meeting</w:t>
    </w:r>
    <w:r w:rsidR="00A93A3B">
      <w:rPr>
        <w:rFonts w:asciiTheme="minorHAnsi" w:hAnsiTheme="minorHAnsi"/>
        <w:i/>
        <w:color w:val="808080"/>
      </w:rPr>
      <w:t xml:space="preserve"> with Addendum November 2022</w:t>
    </w:r>
  </w:p>
  <w:bookmarkEnd w:id="61"/>
  <w:p w14:paraId="5E83BD6D" w14:textId="77777777" w:rsidR="00435BD9" w:rsidRDefault="00435BD9"/>
</w:hdr>
</file>

<file path=word/intelligence.xml><?xml version="1.0" encoding="utf-8"?>
<int:Intelligence xmlns:int="http://schemas.microsoft.com/office/intelligence/2019/intelligence">
  <int:IntelligenceSettings/>
  <int:Manifest>
    <int:WordHash hashCode="AZqU4mctDfCf2Q" id="kN5FfiZd"/>
  </int:Manifest>
  <int:Observations>
    <int:Content id="kN5FfiZd">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hybridMultilevel"/>
    <w:tmpl w:val="1E4E1CA6"/>
    <w:styleLink w:val="CurrentList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FFFFFF89"/>
    <w:multiLevelType w:val="singleLevel"/>
    <w:tmpl w:val="14DA4618"/>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11743C87"/>
    <w:multiLevelType w:val="multilevel"/>
    <w:tmpl w:val="45FC285E"/>
    <w:styleLink w:val="CurrentList15"/>
    <w:lvl w:ilvl="0">
      <w:start w:val="1"/>
      <w:numFmt w:val="decimal"/>
      <w:lvlText w:val="%1"/>
      <w:lvlJc w:val="left"/>
      <w:pPr>
        <w:ind w:left="720" w:hanging="720"/>
      </w:pPr>
      <w:rPr>
        <w:b/>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webHidden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185123E7"/>
    <w:multiLevelType w:val="hybridMultilevel"/>
    <w:tmpl w:val="A1968B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3F0E36C2"/>
    <w:multiLevelType w:val="hybridMultilevel"/>
    <w:tmpl w:val="CA8E5E0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E5344C"/>
    <w:multiLevelType w:val="hybridMultilevel"/>
    <w:tmpl w:val="0F30EF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4A0445F4"/>
    <w:multiLevelType w:val="multilevel"/>
    <w:tmpl w:val="2EB0A30E"/>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9" w15:restartNumberingAfterBreak="0">
    <w:nsid w:val="62471B3A"/>
    <w:multiLevelType w:val="hybridMultilevel"/>
    <w:tmpl w:val="1194CAA2"/>
    <w:lvl w:ilvl="0" w:tplc="1EEA5782">
      <w:start w:val="27"/>
      <w:numFmt w:val="bullet"/>
      <w:lvlText w:val="-"/>
      <w:lvlJc w:val="left"/>
      <w:pPr>
        <w:ind w:left="460" w:hanging="360"/>
      </w:pPr>
      <w:rPr>
        <w:rFonts w:ascii="Arial Narrow" w:eastAsiaTheme="majorEastAsia" w:hAnsi="Arial Narrow" w:cstheme="majorBidi"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0" w15:restartNumberingAfterBreak="0">
    <w:nsid w:val="699D7F07"/>
    <w:multiLevelType w:val="hybridMultilevel"/>
    <w:tmpl w:val="6F6CFB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46931F0"/>
    <w:multiLevelType w:val="hybridMultilevel"/>
    <w:tmpl w:val="066A58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784D033C"/>
    <w:multiLevelType w:val="multilevel"/>
    <w:tmpl w:val="76588F3A"/>
    <w:lvl w:ilvl="0">
      <w:start w:val="1"/>
      <w:numFmt w:val="decimal"/>
      <w:pStyle w:val="2-SectionHeading"/>
      <w:lvlText w:val="%1"/>
      <w:lvlJc w:val="left"/>
      <w:pPr>
        <w:ind w:left="720" w:hanging="720"/>
      </w:pPr>
      <w:rPr>
        <w:b/>
      </w:rPr>
    </w:lvl>
    <w:lvl w:ilvl="1">
      <w:start w:val="1"/>
      <w:numFmt w:val="decimal"/>
      <w:pStyle w:val="3-BodyText"/>
      <w:lvlText w:val="%1.%2"/>
      <w:lvlJc w:val="left"/>
      <w:pPr>
        <w:ind w:left="6674" w:hanging="720"/>
      </w:pPr>
      <w:rPr>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5"/>
  </w:num>
  <w:num w:numId="2">
    <w:abstractNumId w:val="6"/>
  </w:num>
  <w:num w:numId="3">
    <w:abstractNumId w:val="1"/>
  </w:num>
  <w:num w:numId="4">
    <w:abstractNumId w:val="3"/>
  </w:num>
  <w:num w:numId="5">
    <w:abstractNumId w:val="4"/>
  </w:num>
  <w:num w:numId="6">
    <w:abstractNumId w:val="11"/>
  </w:num>
  <w:num w:numId="7">
    <w:abstractNumId w:val="10"/>
  </w:num>
  <w:num w:numId="8">
    <w:abstractNumId w:val="7"/>
  </w:num>
  <w:num w:numId="9">
    <w:abstractNumId w:val="12"/>
  </w:num>
  <w:num w:numId="10">
    <w:abstractNumId w:val="9"/>
  </w:num>
  <w:num w:numId="11">
    <w:abstractNumId w:val="0"/>
  </w:num>
  <w:num w:numId="12">
    <w:abstractNumId w:val="2"/>
  </w:num>
  <w:num w:numId="13">
    <w:abstractNumId w:val="12"/>
  </w:num>
  <w:num w:numId="14">
    <w:abstractNumId w:val="8"/>
  </w:num>
  <w:num w:numId="15">
    <w:abstractNumId w:val="12"/>
  </w:num>
  <w:num w:numId="16">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14131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NTE0NDM2NzI2MjBV0lEKTi0uzszPAykwMakFAHvttrktAAAA"/>
  </w:docVars>
  <w:rsids>
    <w:rsidRoot w:val="00E65E79"/>
    <w:rsid w:val="00000790"/>
    <w:rsid w:val="00000FEC"/>
    <w:rsid w:val="0000110B"/>
    <w:rsid w:val="000019DF"/>
    <w:rsid w:val="00002B16"/>
    <w:rsid w:val="00003499"/>
    <w:rsid w:val="000039B7"/>
    <w:rsid w:val="00004E5E"/>
    <w:rsid w:val="0000639A"/>
    <w:rsid w:val="000063DA"/>
    <w:rsid w:val="00007C73"/>
    <w:rsid w:val="000119F6"/>
    <w:rsid w:val="00011C57"/>
    <w:rsid w:val="00011E47"/>
    <w:rsid w:val="000131E2"/>
    <w:rsid w:val="00013247"/>
    <w:rsid w:val="00013F98"/>
    <w:rsid w:val="0001420C"/>
    <w:rsid w:val="00014501"/>
    <w:rsid w:val="00015886"/>
    <w:rsid w:val="000159BA"/>
    <w:rsid w:val="000162EF"/>
    <w:rsid w:val="00016AE5"/>
    <w:rsid w:val="00016D51"/>
    <w:rsid w:val="00016F6B"/>
    <w:rsid w:val="0001794C"/>
    <w:rsid w:val="000207C9"/>
    <w:rsid w:val="000211F4"/>
    <w:rsid w:val="0002225F"/>
    <w:rsid w:val="00022974"/>
    <w:rsid w:val="00023763"/>
    <w:rsid w:val="00025213"/>
    <w:rsid w:val="00025F3D"/>
    <w:rsid w:val="000260D1"/>
    <w:rsid w:val="00027003"/>
    <w:rsid w:val="00027044"/>
    <w:rsid w:val="000274B8"/>
    <w:rsid w:val="00030C2D"/>
    <w:rsid w:val="000325FD"/>
    <w:rsid w:val="000329F1"/>
    <w:rsid w:val="00033193"/>
    <w:rsid w:val="00033863"/>
    <w:rsid w:val="00033FF0"/>
    <w:rsid w:val="00034586"/>
    <w:rsid w:val="000345E2"/>
    <w:rsid w:val="00034D03"/>
    <w:rsid w:val="00035DC0"/>
    <w:rsid w:val="0003617D"/>
    <w:rsid w:val="00036829"/>
    <w:rsid w:val="000376EA"/>
    <w:rsid w:val="00040100"/>
    <w:rsid w:val="00040895"/>
    <w:rsid w:val="00042B60"/>
    <w:rsid w:val="000435EE"/>
    <w:rsid w:val="00043955"/>
    <w:rsid w:val="00043C37"/>
    <w:rsid w:val="00045017"/>
    <w:rsid w:val="0004555F"/>
    <w:rsid w:val="00045A2B"/>
    <w:rsid w:val="0004609B"/>
    <w:rsid w:val="0004698F"/>
    <w:rsid w:val="00047A8A"/>
    <w:rsid w:val="00047C3D"/>
    <w:rsid w:val="000505ED"/>
    <w:rsid w:val="00051AC9"/>
    <w:rsid w:val="00051FF1"/>
    <w:rsid w:val="000528A1"/>
    <w:rsid w:val="00052C00"/>
    <w:rsid w:val="00052DB2"/>
    <w:rsid w:val="000531DA"/>
    <w:rsid w:val="000539D0"/>
    <w:rsid w:val="00054621"/>
    <w:rsid w:val="000546D7"/>
    <w:rsid w:val="00054824"/>
    <w:rsid w:val="00055085"/>
    <w:rsid w:val="00055557"/>
    <w:rsid w:val="00055CE2"/>
    <w:rsid w:val="00056ECF"/>
    <w:rsid w:val="000577D0"/>
    <w:rsid w:val="000577D9"/>
    <w:rsid w:val="0005DCE7"/>
    <w:rsid w:val="000603B1"/>
    <w:rsid w:val="000604DF"/>
    <w:rsid w:val="00060906"/>
    <w:rsid w:val="00060DB6"/>
    <w:rsid w:val="000614F1"/>
    <w:rsid w:val="0006386E"/>
    <w:rsid w:val="000639A1"/>
    <w:rsid w:val="00063CF8"/>
    <w:rsid w:val="000653B5"/>
    <w:rsid w:val="000658F4"/>
    <w:rsid w:val="00065E4C"/>
    <w:rsid w:val="0006624F"/>
    <w:rsid w:val="00066360"/>
    <w:rsid w:val="00066AF8"/>
    <w:rsid w:val="00067C3C"/>
    <w:rsid w:val="00071248"/>
    <w:rsid w:val="000713AA"/>
    <w:rsid w:val="000713BA"/>
    <w:rsid w:val="00071C06"/>
    <w:rsid w:val="000720B9"/>
    <w:rsid w:val="00072E7D"/>
    <w:rsid w:val="00073014"/>
    <w:rsid w:val="0007315D"/>
    <w:rsid w:val="00073735"/>
    <w:rsid w:val="000737F7"/>
    <w:rsid w:val="00075A4E"/>
    <w:rsid w:val="00075D42"/>
    <w:rsid w:val="00075E64"/>
    <w:rsid w:val="000763CC"/>
    <w:rsid w:val="0007672F"/>
    <w:rsid w:val="00076B54"/>
    <w:rsid w:val="00076FC6"/>
    <w:rsid w:val="000774F0"/>
    <w:rsid w:val="00077512"/>
    <w:rsid w:val="00080825"/>
    <w:rsid w:val="00080909"/>
    <w:rsid w:val="00080F74"/>
    <w:rsid w:val="00080FE7"/>
    <w:rsid w:val="000812CA"/>
    <w:rsid w:val="00081E63"/>
    <w:rsid w:val="0008258D"/>
    <w:rsid w:val="00083D43"/>
    <w:rsid w:val="00083E99"/>
    <w:rsid w:val="000845BD"/>
    <w:rsid w:val="000848F9"/>
    <w:rsid w:val="00084B3E"/>
    <w:rsid w:val="00084FA8"/>
    <w:rsid w:val="000856C5"/>
    <w:rsid w:val="00085C31"/>
    <w:rsid w:val="000864C4"/>
    <w:rsid w:val="000868CC"/>
    <w:rsid w:val="00086C3E"/>
    <w:rsid w:val="0008741E"/>
    <w:rsid w:val="00087F11"/>
    <w:rsid w:val="000902D9"/>
    <w:rsid w:val="00090C7E"/>
    <w:rsid w:val="000916BC"/>
    <w:rsid w:val="00092600"/>
    <w:rsid w:val="0009262B"/>
    <w:rsid w:val="00092C71"/>
    <w:rsid w:val="00093310"/>
    <w:rsid w:val="00093F4C"/>
    <w:rsid w:val="000942AA"/>
    <w:rsid w:val="0009445C"/>
    <w:rsid w:val="00094E45"/>
    <w:rsid w:val="00094EA0"/>
    <w:rsid w:val="00095200"/>
    <w:rsid w:val="00095FE5"/>
    <w:rsid w:val="00096284"/>
    <w:rsid w:val="000963F8"/>
    <w:rsid w:val="00096B43"/>
    <w:rsid w:val="00096D5A"/>
    <w:rsid w:val="00096D7F"/>
    <w:rsid w:val="000977FE"/>
    <w:rsid w:val="000A0355"/>
    <w:rsid w:val="000A1BC0"/>
    <w:rsid w:val="000A2A3D"/>
    <w:rsid w:val="000A2E93"/>
    <w:rsid w:val="000A5950"/>
    <w:rsid w:val="000A6039"/>
    <w:rsid w:val="000A7238"/>
    <w:rsid w:val="000A7453"/>
    <w:rsid w:val="000A7B54"/>
    <w:rsid w:val="000A7D08"/>
    <w:rsid w:val="000A7E5A"/>
    <w:rsid w:val="000B0121"/>
    <w:rsid w:val="000B0670"/>
    <w:rsid w:val="000B06C7"/>
    <w:rsid w:val="000B0E75"/>
    <w:rsid w:val="000B2839"/>
    <w:rsid w:val="000B2B7E"/>
    <w:rsid w:val="000B2DCB"/>
    <w:rsid w:val="000B5CE0"/>
    <w:rsid w:val="000B649A"/>
    <w:rsid w:val="000B6CAC"/>
    <w:rsid w:val="000B7458"/>
    <w:rsid w:val="000B75CB"/>
    <w:rsid w:val="000B7612"/>
    <w:rsid w:val="000B78AE"/>
    <w:rsid w:val="000C04B6"/>
    <w:rsid w:val="000C153A"/>
    <w:rsid w:val="000C19E3"/>
    <w:rsid w:val="000C1BEB"/>
    <w:rsid w:val="000C24B5"/>
    <w:rsid w:val="000C2857"/>
    <w:rsid w:val="000C2AD8"/>
    <w:rsid w:val="000C2BE0"/>
    <w:rsid w:val="000C3DD4"/>
    <w:rsid w:val="000C3DF9"/>
    <w:rsid w:val="000C4663"/>
    <w:rsid w:val="000C4F27"/>
    <w:rsid w:val="000C6713"/>
    <w:rsid w:val="000C6B90"/>
    <w:rsid w:val="000D0034"/>
    <w:rsid w:val="000D0998"/>
    <w:rsid w:val="000D1451"/>
    <w:rsid w:val="000D1BFC"/>
    <w:rsid w:val="000D1D5D"/>
    <w:rsid w:val="000D281A"/>
    <w:rsid w:val="000D2848"/>
    <w:rsid w:val="000D29EA"/>
    <w:rsid w:val="000D2BD7"/>
    <w:rsid w:val="000D2E07"/>
    <w:rsid w:val="000D2F86"/>
    <w:rsid w:val="000D326A"/>
    <w:rsid w:val="000D35B1"/>
    <w:rsid w:val="000D35EF"/>
    <w:rsid w:val="000D45D4"/>
    <w:rsid w:val="000D4767"/>
    <w:rsid w:val="000D4C4A"/>
    <w:rsid w:val="000D51FB"/>
    <w:rsid w:val="000D6051"/>
    <w:rsid w:val="000D750D"/>
    <w:rsid w:val="000E007C"/>
    <w:rsid w:val="000E0377"/>
    <w:rsid w:val="000E0640"/>
    <w:rsid w:val="000E135D"/>
    <w:rsid w:val="000E14CC"/>
    <w:rsid w:val="000E31C3"/>
    <w:rsid w:val="000E326A"/>
    <w:rsid w:val="000E3849"/>
    <w:rsid w:val="000E4186"/>
    <w:rsid w:val="000E44A0"/>
    <w:rsid w:val="000E60CF"/>
    <w:rsid w:val="000E6A98"/>
    <w:rsid w:val="000E6B2E"/>
    <w:rsid w:val="000E74DD"/>
    <w:rsid w:val="000E7766"/>
    <w:rsid w:val="000E7A8C"/>
    <w:rsid w:val="000F00BA"/>
    <w:rsid w:val="000F1D70"/>
    <w:rsid w:val="000F2817"/>
    <w:rsid w:val="000F2DFB"/>
    <w:rsid w:val="000F2E84"/>
    <w:rsid w:val="000F316A"/>
    <w:rsid w:val="000F3957"/>
    <w:rsid w:val="000F3C74"/>
    <w:rsid w:val="000F3E34"/>
    <w:rsid w:val="000F4062"/>
    <w:rsid w:val="000F4BB8"/>
    <w:rsid w:val="000F4D0F"/>
    <w:rsid w:val="000F4FA9"/>
    <w:rsid w:val="000F53FB"/>
    <w:rsid w:val="000F6CFE"/>
    <w:rsid w:val="000F6E9C"/>
    <w:rsid w:val="000F7010"/>
    <w:rsid w:val="000F7127"/>
    <w:rsid w:val="000F75BE"/>
    <w:rsid w:val="000F7B54"/>
    <w:rsid w:val="000F7E61"/>
    <w:rsid w:val="00100A37"/>
    <w:rsid w:val="00100F8A"/>
    <w:rsid w:val="0010142D"/>
    <w:rsid w:val="0010198E"/>
    <w:rsid w:val="001024C2"/>
    <w:rsid w:val="00102F7D"/>
    <w:rsid w:val="001038DC"/>
    <w:rsid w:val="00103B51"/>
    <w:rsid w:val="001040A5"/>
    <w:rsid w:val="0010452E"/>
    <w:rsid w:val="00104C85"/>
    <w:rsid w:val="00105AE2"/>
    <w:rsid w:val="001060C6"/>
    <w:rsid w:val="00106B80"/>
    <w:rsid w:val="00106D8A"/>
    <w:rsid w:val="00107D7D"/>
    <w:rsid w:val="0011032E"/>
    <w:rsid w:val="001124B6"/>
    <w:rsid w:val="00112885"/>
    <w:rsid w:val="0011348B"/>
    <w:rsid w:val="0011400C"/>
    <w:rsid w:val="00114585"/>
    <w:rsid w:val="001145B0"/>
    <w:rsid w:val="00115982"/>
    <w:rsid w:val="00115998"/>
    <w:rsid w:val="0011652F"/>
    <w:rsid w:val="00116C53"/>
    <w:rsid w:val="001178BA"/>
    <w:rsid w:val="00121799"/>
    <w:rsid w:val="00121D1D"/>
    <w:rsid w:val="001222FC"/>
    <w:rsid w:val="00122812"/>
    <w:rsid w:val="001233DA"/>
    <w:rsid w:val="00123902"/>
    <w:rsid w:val="00124A51"/>
    <w:rsid w:val="001250EE"/>
    <w:rsid w:val="0012516C"/>
    <w:rsid w:val="00126621"/>
    <w:rsid w:val="001267BA"/>
    <w:rsid w:val="00126801"/>
    <w:rsid w:val="00126B1D"/>
    <w:rsid w:val="0012717F"/>
    <w:rsid w:val="00127FB3"/>
    <w:rsid w:val="001301E9"/>
    <w:rsid w:val="00131541"/>
    <w:rsid w:val="0013180A"/>
    <w:rsid w:val="00131D82"/>
    <w:rsid w:val="00132529"/>
    <w:rsid w:val="00132B22"/>
    <w:rsid w:val="00133A5F"/>
    <w:rsid w:val="00133D36"/>
    <w:rsid w:val="0013436A"/>
    <w:rsid w:val="00134DB2"/>
    <w:rsid w:val="00135185"/>
    <w:rsid w:val="0013534B"/>
    <w:rsid w:val="0013656B"/>
    <w:rsid w:val="00137645"/>
    <w:rsid w:val="0014015A"/>
    <w:rsid w:val="00140E99"/>
    <w:rsid w:val="00140FD1"/>
    <w:rsid w:val="00141952"/>
    <w:rsid w:val="00141C18"/>
    <w:rsid w:val="00142684"/>
    <w:rsid w:val="00142A3D"/>
    <w:rsid w:val="00142E0F"/>
    <w:rsid w:val="00143C97"/>
    <w:rsid w:val="00143F67"/>
    <w:rsid w:val="00143FC2"/>
    <w:rsid w:val="00144B85"/>
    <w:rsid w:val="001454C0"/>
    <w:rsid w:val="00145540"/>
    <w:rsid w:val="001456B0"/>
    <w:rsid w:val="00145F23"/>
    <w:rsid w:val="00146080"/>
    <w:rsid w:val="00150358"/>
    <w:rsid w:val="00150735"/>
    <w:rsid w:val="00151B81"/>
    <w:rsid w:val="00152F03"/>
    <w:rsid w:val="00154BDD"/>
    <w:rsid w:val="0015535D"/>
    <w:rsid w:val="001555C7"/>
    <w:rsid w:val="00156F8F"/>
    <w:rsid w:val="00157130"/>
    <w:rsid w:val="0015740A"/>
    <w:rsid w:val="001576B1"/>
    <w:rsid w:val="0015789D"/>
    <w:rsid w:val="00157DA6"/>
    <w:rsid w:val="0016047B"/>
    <w:rsid w:val="001606F0"/>
    <w:rsid w:val="00160A4C"/>
    <w:rsid w:val="00160DE4"/>
    <w:rsid w:val="00161A18"/>
    <w:rsid w:val="00161A2E"/>
    <w:rsid w:val="00162051"/>
    <w:rsid w:val="00162536"/>
    <w:rsid w:val="00162913"/>
    <w:rsid w:val="001632F8"/>
    <w:rsid w:val="001634EA"/>
    <w:rsid w:val="00163578"/>
    <w:rsid w:val="00163EFF"/>
    <w:rsid w:val="00163F66"/>
    <w:rsid w:val="00165675"/>
    <w:rsid w:val="0016579D"/>
    <w:rsid w:val="001661FB"/>
    <w:rsid w:val="00166A90"/>
    <w:rsid w:val="00166DEB"/>
    <w:rsid w:val="001671A0"/>
    <w:rsid w:val="00167658"/>
    <w:rsid w:val="0016767F"/>
    <w:rsid w:val="00167CA6"/>
    <w:rsid w:val="00167EA3"/>
    <w:rsid w:val="00170434"/>
    <w:rsid w:val="00171412"/>
    <w:rsid w:val="001716B3"/>
    <w:rsid w:val="00171C3F"/>
    <w:rsid w:val="00171D2E"/>
    <w:rsid w:val="00173565"/>
    <w:rsid w:val="00173B07"/>
    <w:rsid w:val="00173EAD"/>
    <w:rsid w:val="001751FA"/>
    <w:rsid w:val="001763AD"/>
    <w:rsid w:val="00176717"/>
    <w:rsid w:val="0017739C"/>
    <w:rsid w:val="001775F4"/>
    <w:rsid w:val="00177A0A"/>
    <w:rsid w:val="0018022D"/>
    <w:rsid w:val="00180E90"/>
    <w:rsid w:val="00181D9C"/>
    <w:rsid w:val="00183863"/>
    <w:rsid w:val="00184182"/>
    <w:rsid w:val="001848BF"/>
    <w:rsid w:val="0018496C"/>
    <w:rsid w:val="00184B0E"/>
    <w:rsid w:val="00184C7C"/>
    <w:rsid w:val="00184E09"/>
    <w:rsid w:val="001863B4"/>
    <w:rsid w:val="00186E67"/>
    <w:rsid w:val="0018752F"/>
    <w:rsid w:val="00187B93"/>
    <w:rsid w:val="00187D26"/>
    <w:rsid w:val="00190181"/>
    <w:rsid w:val="00190D9C"/>
    <w:rsid w:val="00191454"/>
    <w:rsid w:val="00191AC2"/>
    <w:rsid w:val="00192AC1"/>
    <w:rsid w:val="0019325D"/>
    <w:rsid w:val="00193838"/>
    <w:rsid w:val="001938F0"/>
    <w:rsid w:val="00193A78"/>
    <w:rsid w:val="00193B97"/>
    <w:rsid w:val="00193FD4"/>
    <w:rsid w:val="00194852"/>
    <w:rsid w:val="00194AD8"/>
    <w:rsid w:val="00195222"/>
    <w:rsid w:val="00196D9D"/>
    <w:rsid w:val="001975D8"/>
    <w:rsid w:val="001A0A9D"/>
    <w:rsid w:val="001A12F5"/>
    <w:rsid w:val="001A178E"/>
    <w:rsid w:val="001A185B"/>
    <w:rsid w:val="001A1A70"/>
    <w:rsid w:val="001A3127"/>
    <w:rsid w:val="001A3854"/>
    <w:rsid w:val="001A38CA"/>
    <w:rsid w:val="001A43FA"/>
    <w:rsid w:val="001A47C5"/>
    <w:rsid w:val="001A59FB"/>
    <w:rsid w:val="001A5E9E"/>
    <w:rsid w:val="001A602E"/>
    <w:rsid w:val="001A62E0"/>
    <w:rsid w:val="001A6354"/>
    <w:rsid w:val="001A6366"/>
    <w:rsid w:val="001A6602"/>
    <w:rsid w:val="001A69E1"/>
    <w:rsid w:val="001A7AE8"/>
    <w:rsid w:val="001B204E"/>
    <w:rsid w:val="001B2372"/>
    <w:rsid w:val="001B23B6"/>
    <w:rsid w:val="001B29A7"/>
    <w:rsid w:val="001B30E2"/>
    <w:rsid w:val="001B3443"/>
    <w:rsid w:val="001B37C3"/>
    <w:rsid w:val="001B474C"/>
    <w:rsid w:val="001B4B73"/>
    <w:rsid w:val="001B4D20"/>
    <w:rsid w:val="001B4FDE"/>
    <w:rsid w:val="001B5ABD"/>
    <w:rsid w:val="001B6E22"/>
    <w:rsid w:val="001B72E7"/>
    <w:rsid w:val="001B7EB6"/>
    <w:rsid w:val="001B7FC0"/>
    <w:rsid w:val="001C01D2"/>
    <w:rsid w:val="001C23CC"/>
    <w:rsid w:val="001C2A9B"/>
    <w:rsid w:val="001C2E01"/>
    <w:rsid w:val="001C3A18"/>
    <w:rsid w:val="001C4299"/>
    <w:rsid w:val="001C4329"/>
    <w:rsid w:val="001C4874"/>
    <w:rsid w:val="001C5270"/>
    <w:rsid w:val="001C5D9C"/>
    <w:rsid w:val="001C5F94"/>
    <w:rsid w:val="001C69F8"/>
    <w:rsid w:val="001C6E66"/>
    <w:rsid w:val="001C6FDA"/>
    <w:rsid w:val="001C70A6"/>
    <w:rsid w:val="001C7344"/>
    <w:rsid w:val="001D0473"/>
    <w:rsid w:val="001D051B"/>
    <w:rsid w:val="001D0B79"/>
    <w:rsid w:val="001D1100"/>
    <w:rsid w:val="001D1391"/>
    <w:rsid w:val="001D15C3"/>
    <w:rsid w:val="001D25D7"/>
    <w:rsid w:val="001D50B2"/>
    <w:rsid w:val="001D59F9"/>
    <w:rsid w:val="001D5B48"/>
    <w:rsid w:val="001D6A97"/>
    <w:rsid w:val="001D7101"/>
    <w:rsid w:val="001D7645"/>
    <w:rsid w:val="001D77A8"/>
    <w:rsid w:val="001D78CC"/>
    <w:rsid w:val="001D7FA7"/>
    <w:rsid w:val="001D7FB7"/>
    <w:rsid w:val="001E03EB"/>
    <w:rsid w:val="001E08C8"/>
    <w:rsid w:val="001E13C2"/>
    <w:rsid w:val="001E1E86"/>
    <w:rsid w:val="001E238E"/>
    <w:rsid w:val="001E246C"/>
    <w:rsid w:val="001E2483"/>
    <w:rsid w:val="001E2AFE"/>
    <w:rsid w:val="001E2B1E"/>
    <w:rsid w:val="001E2CFF"/>
    <w:rsid w:val="001E2F24"/>
    <w:rsid w:val="001E30D4"/>
    <w:rsid w:val="001E34DF"/>
    <w:rsid w:val="001E3904"/>
    <w:rsid w:val="001E4FD8"/>
    <w:rsid w:val="001E52EB"/>
    <w:rsid w:val="001E53EB"/>
    <w:rsid w:val="001E5542"/>
    <w:rsid w:val="001E61D2"/>
    <w:rsid w:val="001E68DE"/>
    <w:rsid w:val="001E6B8F"/>
    <w:rsid w:val="001E740C"/>
    <w:rsid w:val="001E7905"/>
    <w:rsid w:val="001F1235"/>
    <w:rsid w:val="001F154D"/>
    <w:rsid w:val="001F1A0A"/>
    <w:rsid w:val="001F1CB3"/>
    <w:rsid w:val="001F1D47"/>
    <w:rsid w:val="001F22D0"/>
    <w:rsid w:val="001F29F7"/>
    <w:rsid w:val="001F2C9D"/>
    <w:rsid w:val="001F3125"/>
    <w:rsid w:val="001F34CA"/>
    <w:rsid w:val="001F38B5"/>
    <w:rsid w:val="001F394A"/>
    <w:rsid w:val="001F4081"/>
    <w:rsid w:val="001F4CBC"/>
    <w:rsid w:val="001F7361"/>
    <w:rsid w:val="001F74C4"/>
    <w:rsid w:val="001F7BEC"/>
    <w:rsid w:val="0020037E"/>
    <w:rsid w:val="002011B0"/>
    <w:rsid w:val="00201913"/>
    <w:rsid w:val="00203181"/>
    <w:rsid w:val="00203783"/>
    <w:rsid w:val="0020385F"/>
    <w:rsid w:val="00203F79"/>
    <w:rsid w:val="00204003"/>
    <w:rsid w:val="002046F6"/>
    <w:rsid w:val="00205484"/>
    <w:rsid w:val="00205F1F"/>
    <w:rsid w:val="002064E8"/>
    <w:rsid w:val="002068A0"/>
    <w:rsid w:val="00206EAA"/>
    <w:rsid w:val="00207021"/>
    <w:rsid w:val="00207099"/>
    <w:rsid w:val="0020732F"/>
    <w:rsid w:val="00207534"/>
    <w:rsid w:val="002076F6"/>
    <w:rsid w:val="0020776E"/>
    <w:rsid w:val="00207D00"/>
    <w:rsid w:val="002105C1"/>
    <w:rsid w:val="00211501"/>
    <w:rsid w:val="00212E10"/>
    <w:rsid w:val="00212F9C"/>
    <w:rsid w:val="0021396D"/>
    <w:rsid w:val="00213D09"/>
    <w:rsid w:val="00213EF5"/>
    <w:rsid w:val="00214A9B"/>
    <w:rsid w:val="00215057"/>
    <w:rsid w:val="00215CDE"/>
    <w:rsid w:val="00215D6B"/>
    <w:rsid w:val="00215F47"/>
    <w:rsid w:val="00216690"/>
    <w:rsid w:val="00216BF5"/>
    <w:rsid w:val="00217178"/>
    <w:rsid w:val="002174DF"/>
    <w:rsid w:val="0021772F"/>
    <w:rsid w:val="002178B6"/>
    <w:rsid w:val="00217BF6"/>
    <w:rsid w:val="00220289"/>
    <w:rsid w:val="0022083A"/>
    <w:rsid w:val="00220897"/>
    <w:rsid w:val="002218B6"/>
    <w:rsid w:val="002225C6"/>
    <w:rsid w:val="00222CCD"/>
    <w:rsid w:val="00222F23"/>
    <w:rsid w:val="00223B49"/>
    <w:rsid w:val="00223B60"/>
    <w:rsid w:val="00223D5A"/>
    <w:rsid w:val="00224DD4"/>
    <w:rsid w:val="00226044"/>
    <w:rsid w:val="00226412"/>
    <w:rsid w:val="0022681A"/>
    <w:rsid w:val="002278A0"/>
    <w:rsid w:val="002309CC"/>
    <w:rsid w:val="00230F0D"/>
    <w:rsid w:val="0023209F"/>
    <w:rsid w:val="002329A6"/>
    <w:rsid w:val="00233C01"/>
    <w:rsid w:val="00233D63"/>
    <w:rsid w:val="0023413C"/>
    <w:rsid w:val="002346F0"/>
    <w:rsid w:val="00235A10"/>
    <w:rsid w:val="00236245"/>
    <w:rsid w:val="0023629D"/>
    <w:rsid w:val="00237255"/>
    <w:rsid w:val="002374D6"/>
    <w:rsid w:val="00240235"/>
    <w:rsid w:val="00241176"/>
    <w:rsid w:val="002424AF"/>
    <w:rsid w:val="00242B11"/>
    <w:rsid w:val="00243147"/>
    <w:rsid w:val="0024319E"/>
    <w:rsid w:val="002439DC"/>
    <w:rsid w:val="002441D2"/>
    <w:rsid w:val="00244A28"/>
    <w:rsid w:val="00244DC8"/>
    <w:rsid w:val="00244F7B"/>
    <w:rsid w:val="00245499"/>
    <w:rsid w:val="002458BA"/>
    <w:rsid w:val="00245CE9"/>
    <w:rsid w:val="0024627D"/>
    <w:rsid w:val="0024636C"/>
    <w:rsid w:val="00246D03"/>
    <w:rsid w:val="00247925"/>
    <w:rsid w:val="00247C59"/>
    <w:rsid w:val="00247FC8"/>
    <w:rsid w:val="0025016F"/>
    <w:rsid w:val="002505FA"/>
    <w:rsid w:val="002509C6"/>
    <w:rsid w:val="00251006"/>
    <w:rsid w:val="00251E1F"/>
    <w:rsid w:val="002524D5"/>
    <w:rsid w:val="00253794"/>
    <w:rsid w:val="00253A16"/>
    <w:rsid w:val="00253B1D"/>
    <w:rsid w:val="00254DCF"/>
    <w:rsid w:val="002551D1"/>
    <w:rsid w:val="0025534B"/>
    <w:rsid w:val="00255BB7"/>
    <w:rsid w:val="00255EB7"/>
    <w:rsid w:val="00257541"/>
    <w:rsid w:val="0025799F"/>
    <w:rsid w:val="00257A39"/>
    <w:rsid w:val="00257AC4"/>
    <w:rsid w:val="00257F75"/>
    <w:rsid w:val="00257FA5"/>
    <w:rsid w:val="002610AA"/>
    <w:rsid w:val="00261EEF"/>
    <w:rsid w:val="00261F6B"/>
    <w:rsid w:val="002626DA"/>
    <w:rsid w:val="00262A1A"/>
    <w:rsid w:val="00262A87"/>
    <w:rsid w:val="00263C7A"/>
    <w:rsid w:val="00263E80"/>
    <w:rsid w:val="00264D26"/>
    <w:rsid w:val="002654B5"/>
    <w:rsid w:val="002659CD"/>
    <w:rsid w:val="00266668"/>
    <w:rsid w:val="00266CF1"/>
    <w:rsid w:val="00267642"/>
    <w:rsid w:val="00267AEA"/>
    <w:rsid w:val="002700E6"/>
    <w:rsid w:val="0027268E"/>
    <w:rsid w:val="0027294B"/>
    <w:rsid w:val="0027376B"/>
    <w:rsid w:val="00273EB4"/>
    <w:rsid w:val="00274682"/>
    <w:rsid w:val="002755ED"/>
    <w:rsid w:val="00275C5A"/>
    <w:rsid w:val="00276F13"/>
    <w:rsid w:val="00277F04"/>
    <w:rsid w:val="00280876"/>
    <w:rsid w:val="00280C09"/>
    <w:rsid w:val="00281014"/>
    <w:rsid w:val="00281ECC"/>
    <w:rsid w:val="002831A8"/>
    <w:rsid w:val="002833C5"/>
    <w:rsid w:val="002839C5"/>
    <w:rsid w:val="0028424A"/>
    <w:rsid w:val="002847B9"/>
    <w:rsid w:val="00284D4F"/>
    <w:rsid w:val="002857A6"/>
    <w:rsid w:val="00285B12"/>
    <w:rsid w:val="00285BAA"/>
    <w:rsid w:val="0028665D"/>
    <w:rsid w:val="0028712B"/>
    <w:rsid w:val="0028775A"/>
    <w:rsid w:val="00287BBA"/>
    <w:rsid w:val="00287D1A"/>
    <w:rsid w:val="0029015F"/>
    <w:rsid w:val="0029077E"/>
    <w:rsid w:val="00293A0E"/>
    <w:rsid w:val="00295897"/>
    <w:rsid w:val="00295D47"/>
    <w:rsid w:val="00295FEA"/>
    <w:rsid w:val="002962E9"/>
    <w:rsid w:val="002A1271"/>
    <w:rsid w:val="002A1337"/>
    <w:rsid w:val="002A14AB"/>
    <w:rsid w:val="002A17CF"/>
    <w:rsid w:val="002A2ADE"/>
    <w:rsid w:val="002A2F50"/>
    <w:rsid w:val="002A3AC6"/>
    <w:rsid w:val="002A429F"/>
    <w:rsid w:val="002A4646"/>
    <w:rsid w:val="002A4879"/>
    <w:rsid w:val="002A6527"/>
    <w:rsid w:val="002A68B1"/>
    <w:rsid w:val="002A6C6B"/>
    <w:rsid w:val="002A71B7"/>
    <w:rsid w:val="002B05A1"/>
    <w:rsid w:val="002B06F6"/>
    <w:rsid w:val="002B09A4"/>
    <w:rsid w:val="002B0DF0"/>
    <w:rsid w:val="002B1C1F"/>
    <w:rsid w:val="002B25D5"/>
    <w:rsid w:val="002B2DB7"/>
    <w:rsid w:val="002B2DD7"/>
    <w:rsid w:val="002B2F18"/>
    <w:rsid w:val="002B2FCD"/>
    <w:rsid w:val="002B432F"/>
    <w:rsid w:val="002B47FB"/>
    <w:rsid w:val="002B4BDC"/>
    <w:rsid w:val="002B59B0"/>
    <w:rsid w:val="002B6094"/>
    <w:rsid w:val="002B6098"/>
    <w:rsid w:val="002B6269"/>
    <w:rsid w:val="002B62B3"/>
    <w:rsid w:val="002B6754"/>
    <w:rsid w:val="002B6BA0"/>
    <w:rsid w:val="002B6CCE"/>
    <w:rsid w:val="002B724C"/>
    <w:rsid w:val="002B76A4"/>
    <w:rsid w:val="002B7C25"/>
    <w:rsid w:val="002C0742"/>
    <w:rsid w:val="002C0DFF"/>
    <w:rsid w:val="002C1178"/>
    <w:rsid w:val="002C138C"/>
    <w:rsid w:val="002C1BA1"/>
    <w:rsid w:val="002C2231"/>
    <w:rsid w:val="002C2510"/>
    <w:rsid w:val="002C2775"/>
    <w:rsid w:val="002C27C1"/>
    <w:rsid w:val="002C34C3"/>
    <w:rsid w:val="002C5099"/>
    <w:rsid w:val="002C5889"/>
    <w:rsid w:val="002C59F8"/>
    <w:rsid w:val="002C5B87"/>
    <w:rsid w:val="002C62B8"/>
    <w:rsid w:val="002C62BB"/>
    <w:rsid w:val="002C71CE"/>
    <w:rsid w:val="002D018A"/>
    <w:rsid w:val="002D0494"/>
    <w:rsid w:val="002D08F8"/>
    <w:rsid w:val="002D0992"/>
    <w:rsid w:val="002D0BBC"/>
    <w:rsid w:val="002D0F52"/>
    <w:rsid w:val="002D1266"/>
    <w:rsid w:val="002D2432"/>
    <w:rsid w:val="002D35EA"/>
    <w:rsid w:val="002D35F7"/>
    <w:rsid w:val="002D3A1B"/>
    <w:rsid w:val="002D3CF2"/>
    <w:rsid w:val="002D405F"/>
    <w:rsid w:val="002D4CBF"/>
    <w:rsid w:val="002D577C"/>
    <w:rsid w:val="002D5F0A"/>
    <w:rsid w:val="002D5F64"/>
    <w:rsid w:val="002D68BC"/>
    <w:rsid w:val="002D7058"/>
    <w:rsid w:val="002D7744"/>
    <w:rsid w:val="002E1071"/>
    <w:rsid w:val="002E13F7"/>
    <w:rsid w:val="002E15B9"/>
    <w:rsid w:val="002E2158"/>
    <w:rsid w:val="002E375C"/>
    <w:rsid w:val="002E4C4F"/>
    <w:rsid w:val="002E4F02"/>
    <w:rsid w:val="002E54A8"/>
    <w:rsid w:val="002E5BE6"/>
    <w:rsid w:val="002E5CF3"/>
    <w:rsid w:val="002E67F9"/>
    <w:rsid w:val="002E7722"/>
    <w:rsid w:val="002E7EFD"/>
    <w:rsid w:val="002E7FA3"/>
    <w:rsid w:val="002F0454"/>
    <w:rsid w:val="002F07BA"/>
    <w:rsid w:val="002F07D2"/>
    <w:rsid w:val="002F0A12"/>
    <w:rsid w:val="002F0DA9"/>
    <w:rsid w:val="002F1014"/>
    <w:rsid w:val="002F21FB"/>
    <w:rsid w:val="002F3599"/>
    <w:rsid w:val="002F3C9D"/>
    <w:rsid w:val="002F4108"/>
    <w:rsid w:val="002F48A3"/>
    <w:rsid w:val="002F50BE"/>
    <w:rsid w:val="002F643C"/>
    <w:rsid w:val="002F665B"/>
    <w:rsid w:val="002F6F74"/>
    <w:rsid w:val="002F71C0"/>
    <w:rsid w:val="002F74F1"/>
    <w:rsid w:val="00301017"/>
    <w:rsid w:val="0030155F"/>
    <w:rsid w:val="00301BBC"/>
    <w:rsid w:val="00301D17"/>
    <w:rsid w:val="00302694"/>
    <w:rsid w:val="00303BF2"/>
    <w:rsid w:val="0030587B"/>
    <w:rsid w:val="00306D98"/>
    <w:rsid w:val="003071C5"/>
    <w:rsid w:val="0030771C"/>
    <w:rsid w:val="0030786C"/>
    <w:rsid w:val="00307A3C"/>
    <w:rsid w:val="0031031A"/>
    <w:rsid w:val="003103CD"/>
    <w:rsid w:val="00310981"/>
    <w:rsid w:val="00311AE0"/>
    <w:rsid w:val="00311BCC"/>
    <w:rsid w:val="00312277"/>
    <w:rsid w:val="003124D9"/>
    <w:rsid w:val="00312594"/>
    <w:rsid w:val="003145A7"/>
    <w:rsid w:val="00315498"/>
    <w:rsid w:val="003159F7"/>
    <w:rsid w:val="00316474"/>
    <w:rsid w:val="00316697"/>
    <w:rsid w:val="0031747F"/>
    <w:rsid w:val="003175FF"/>
    <w:rsid w:val="003201D9"/>
    <w:rsid w:val="00322107"/>
    <w:rsid w:val="00322355"/>
    <w:rsid w:val="00322846"/>
    <w:rsid w:val="00322C55"/>
    <w:rsid w:val="00322E17"/>
    <w:rsid w:val="00323B98"/>
    <w:rsid w:val="00323CDF"/>
    <w:rsid w:val="00323F4F"/>
    <w:rsid w:val="00325965"/>
    <w:rsid w:val="00326DA7"/>
    <w:rsid w:val="003270E4"/>
    <w:rsid w:val="00330DAA"/>
    <w:rsid w:val="00330F5C"/>
    <w:rsid w:val="00331040"/>
    <w:rsid w:val="00331756"/>
    <w:rsid w:val="00331C9F"/>
    <w:rsid w:val="003323A6"/>
    <w:rsid w:val="00334564"/>
    <w:rsid w:val="00334F4B"/>
    <w:rsid w:val="00335306"/>
    <w:rsid w:val="00336494"/>
    <w:rsid w:val="003366C9"/>
    <w:rsid w:val="00336D7B"/>
    <w:rsid w:val="003371B0"/>
    <w:rsid w:val="00337E28"/>
    <w:rsid w:val="00340DF1"/>
    <w:rsid w:val="00341B85"/>
    <w:rsid w:val="003423D8"/>
    <w:rsid w:val="0034411C"/>
    <w:rsid w:val="00344E1D"/>
    <w:rsid w:val="003450A3"/>
    <w:rsid w:val="0034622D"/>
    <w:rsid w:val="00347CD9"/>
    <w:rsid w:val="0035015B"/>
    <w:rsid w:val="003512DC"/>
    <w:rsid w:val="003515B4"/>
    <w:rsid w:val="003517F9"/>
    <w:rsid w:val="00351B3F"/>
    <w:rsid w:val="00351B52"/>
    <w:rsid w:val="00351BA9"/>
    <w:rsid w:val="003521A8"/>
    <w:rsid w:val="00352A94"/>
    <w:rsid w:val="003540B3"/>
    <w:rsid w:val="00354210"/>
    <w:rsid w:val="00354E31"/>
    <w:rsid w:val="00354F64"/>
    <w:rsid w:val="00355844"/>
    <w:rsid w:val="0035620E"/>
    <w:rsid w:val="00356406"/>
    <w:rsid w:val="0035762D"/>
    <w:rsid w:val="00360345"/>
    <w:rsid w:val="00361561"/>
    <w:rsid w:val="00361A05"/>
    <w:rsid w:val="003624C4"/>
    <w:rsid w:val="003635BD"/>
    <w:rsid w:val="00363708"/>
    <w:rsid w:val="00363B00"/>
    <w:rsid w:val="00364CF9"/>
    <w:rsid w:val="003654AC"/>
    <w:rsid w:val="00365B8A"/>
    <w:rsid w:val="00365CA9"/>
    <w:rsid w:val="00365FB4"/>
    <w:rsid w:val="00367444"/>
    <w:rsid w:val="0036750C"/>
    <w:rsid w:val="00367E14"/>
    <w:rsid w:val="00370C0D"/>
    <w:rsid w:val="00370D98"/>
    <w:rsid w:val="0037107F"/>
    <w:rsid w:val="003710CF"/>
    <w:rsid w:val="003713AC"/>
    <w:rsid w:val="003713E3"/>
    <w:rsid w:val="003715B3"/>
    <w:rsid w:val="003725BD"/>
    <w:rsid w:val="003725CF"/>
    <w:rsid w:val="0037358A"/>
    <w:rsid w:val="003740D1"/>
    <w:rsid w:val="0037426B"/>
    <w:rsid w:val="003750F6"/>
    <w:rsid w:val="003760FC"/>
    <w:rsid w:val="00376646"/>
    <w:rsid w:val="00377DA8"/>
    <w:rsid w:val="0038122C"/>
    <w:rsid w:val="00381E69"/>
    <w:rsid w:val="0038365C"/>
    <w:rsid w:val="0038369B"/>
    <w:rsid w:val="00383727"/>
    <w:rsid w:val="00383B0D"/>
    <w:rsid w:val="00383B78"/>
    <w:rsid w:val="00383FA3"/>
    <w:rsid w:val="00385A9D"/>
    <w:rsid w:val="0038629A"/>
    <w:rsid w:val="00386864"/>
    <w:rsid w:val="00386B9C"/>
    <w:rsid w:val="003875BD"/>
    <w:rsid w:val="003902B1"/>
    <w:rsid w:val="00390644"/>
    <w:rsid w:val="0039179C"/>
    <w:rsid w:val="00392D5D"/>
    <w:rsid w:val="00392F75"/>
    <w:rsid w:val="0039401B"/>
    <w:rsid w:val="003949F8"/>
    <w:rsid w:val="0039542C"/>
    <w:rsid w:val="00395479"/>
    <w:rsid w:val="00396896"/>
    <w:rsid w:val="00396FD0"/>
    <w:rsid w:val="00397046"/>
    <w:rsid w:val="00397967"/>
    <w:rsid w:val="003A0A9F"/>
    <w:rsid w:val="003A0EF4"/>
    <w:rsid w:val="003A0F12"/>
    <w:rsid w:val="003A18A1"/>
    <w:rsid w:val="003A1A7A"/>
    <w:rsid w:val="003A2360"/>
    <w:rsid w:val="003A2392"/>
    <w:rsid w:val="003A2831"/>
    <w:rsid w:val="003A3CB6"/>
    <w:rsid w:val="003A3ED1"/>
    <w:rsid w:val="003A44DB"/>
    <w:rsid w:val="003A7646"/>
    <w:rsid w:val="003B0127"/>
    <w:rsid w:val="003B0383"/>
    <w:rsid w:val="003B1128"/>
    <w:rsid w:val="003B1803"/>
    <w:rsid w:val="003B1978"/>
    <w:rsid w:val="003B3971"/>
    <w:rsid w:val="003B3D58"/>
    <w:rsid w:val="003B49CD"/>
    <w:rsid w:val="003B4A32"/>
    <w:rsid w:val="003B53BE"/>
    <w:rsid w:val="003B55D1"/>
    <w:rsid w:val="003B5B61"/>
    <w:rsid w:val="003B6160"/>
    <w:rsid w:val="003B661F"/>
    <w:rsid w:val="003B6C70"/>
    <w:rsid w:val="003B7DF1"/>
    <w:rsid w:val="003C04AB"/>
    <w:rsid w:val="003C163E"/>
    <w:rsid w:val="003C1654"/>
    <w:rsid w:val="003C18CD"/>
    <w:rsid w:val="003C3C1A"/>
    <w:rsid w:val="003C4661"/>
    <w:rsid w:val="003C4C1A"/>
    <w:rsid w:val="003C527C"/>
    <w:rsid w:val="003C5542"/>
    <w:rsid w:val="003C6DC0"/>
    <w:rsid w:val="003C7663"/>
    <w:rsid w:val="003C7D19"/>
    <w:rsid w:val="003C7D2F"/>
    <w:rsid w:val="003D01E9"/>
    <w:rsid w:val="003D0BE3"/>
    <w:rsid w:val="003D1828"/>
    <w:rsid w:val="003D1DE4"/>
    <w:rsid w:val="003D1E9A"/>
    <w:rsid w:val="003D2422"/>
    <w:rsid w:val="003D30A9"/>
    <w:rsid w:val="003D33D8"/>
    <w:rsid w:val="003D381B"/>
    <w:rsid w:val="003D39A1"/>
    <w:rsid w:val="003D3FBF"/>
    <w:rsid w:val="003D4072"/>
    <w:rsid w:val="003D44BB"/>
    <w:rsid w:val="003D4A30"/>
    <w:rsid w:val="003D55E5"/>
    <w:rsid w:val="003D5F9D"/>
    <w:rsid w:val="003D6845"/>
    <w:rsid w:val="003D7452"/>
    <w:rsid w:val="003D76A2"/>
    <w:rsid w:val="003D79BB"/>
    <w:rsid w:val="003D7C98"/>
    <w:rsid w:val="003D7D9D"/>
    <w:rsid w:val="003D7E4E"/>
    <w:rsid w:val="003E0543"/>
    <w:rsid w:val="003E0A06"/>
    <w:rsid w:val="003E13DB"/>
    <w:rsid w:val="003E192B"/>
    <w:rsid w:val="003E1CFD"/>
    <w:rsid w:val="003E23CD"/>
    <w:rsid w:val="003E2588"/>
    <w:rsid w:val="003E2F4E"/>
    <w:rsid w:val="003E4109"/>
    <w:rsid w:val="003E4283"/>
    <w:rsid w:val="003E4768"/>
    <w:rsid w:val="003E5508"/>
    <w:rsid w:val="003E5617"/>
    <w:rsid w:val="003E5E8B"/>
    <w:rsid w:val="003E63CB"/>
    <w:rsid w:val="003E6420"/>
    <w:rsid w:val="003E6BA3"/>
    <w:rsid w:val="003E6BF3"/>
    <w:rsid w:val="003E749E"/>
    <w:rsid w:val="003E75EE"/>
    <w:rsid w:val="003E7A96"/>
    <w:rsid w:val="003E7D02"/>
    <w:rsid w:val="003E7FF4"/>
    <w:rsid w:val="003E7FF7"/>
    <w:rsid w:val="003F00B3"/>
    <w:rsid w:val="003F1398"/>
    <w:rsid w:val="003F17E8"/>
    <w:rsid w:val="003F1A29"/>
    <w:rsid w:val="003F1E07"/>
    <w:rsid w:val="003F4156"/>
    <w:rsid w:val="003F4160"/>
    <w:rsid w:val="003F480E"/>
    <w:rsid w:val="003F57C1"/>
    <w:rsid w:val="003F5ADF"/>
    <w:rsid w:val="003F66AB"/>
    <w:rsid w:val="003F67CB"/>
    <w:rsid w:val="003F73C8"/>
    <w:rsid w:val="003F7639"/>
    <w:rsid w:val="003F7D85"/>
    <w:rsid w:val="0040079B"/>
    <w:rsid w:val="00400B29"/>
    <w:rsid w:val="00401754"/>
    <w:rsid w:val="00401C96"/>
    <w:rsid w:val="00402869"/>
    <w:rsid w:val="0040474B"/>
    <w:rsid w:val="0040504B"/>
    <w:rsid w:val="004059F4"/>
    <w:rsid w:val="00405D35"/>
    <w:rsid w:val="00407687"/>
    <w:rsid w:val="00407FE5"/>
    <w:rsid w:val="004101B0"/>
    <w:rsid w:val="00410326"/>
    <w:rsid w:val="0041048C"/>
    <w:rsid w:val="00410708"/>
    <w:rsid w:val="00410EC7"/>
    <w:rsid w:val="00411128"/>
    <w:rsid w:val="00411B39"/>
    <w:rsid w:val="004122CC"/>
    <w:rsid w:val="0041264A"/>
    <w:rsid w:val="004127A7"/>
    <w:rsid w:val="004139CB"/>
    <w:rsid w:val="00413A1E"/>
    <w:rsid w:val="00413CB0"/>
    <w:rsid w:val="00413EA1"/>
    <w:rsid w:val="00414476"/>
    <w:rsid w:val="00414817"/>
    <w:rsid w:val="00414C2E"/>
    <w:rsid w:val="004151CF"/>
    <w:rsid w:val="00415D43"/>
    <w:rsid w:val="00416364"/>
    <w:rsid w:val="0041682C"/>
    <w:rsid w:val="00417118"/>
    <w:rsid w:val="00417E49"/>
    <w:rsid w:val="00417FE4"/>
    <w:rsid w:val="0042007E"/>
    <w:rsid w:val="0042047F"/>
    <w:rsid w:val="0042076C"/>
    <w:rsid w:val="00420AA6"/>
    <w:rsid w:val="00420B9F"/>
    <w:rsid w:val="004212C5"/>
    <w:rsid w:val="004218F9"/>
    <w:rsid w:val="0042192C"/>
    <w:rsid w:val="00421EF4"/>
    <w:rsid w:val="00422260"/>
    <w:rsid w:val="0042244A"/>
    <w:rsid w:val="0042295B"/>
    <w:rsid w:val="004229B7"/>
    <w:rsid w:val="0042413F"/>
    <w:rsid w:val="00424E1A"/>
    <w:rsid w:val="00425551"/>
    <w:rsid w:val="00425AC6"/>
    <w:rsid w:val="0042687E"/>
    <w:rsid w:val="00430E3A"/>
    <w:rsid w:val="00431342"/>
    <w:rsid w:val="004319F8"/>
    <w:rsid w:val="00431AA2"/>
    <w:rsid w:val="00431E55"/>
    <w:rsid w:val="0043214A"/>
    <w:rsid w:val="004321F6"/>
    <w:rsid w:val="00433044"/>
    <w:rsid w:val="00434088"/>
    <w:rsid w:val="0043472F"/>
    <w:rsid w:val="00434754"/>
    <w:rsid w:val="00434D81"/>
    <w:rsid w:val="0043568E"/>
    <w:rsid w:val="00435BD9"/>
    <w:rsid w:val="00435E60"/>
    <w:rsid w:val="00435FC1"/>
    <w:rsid w:val="004366AB"/>
    <w:rsid w:val="0043711E"/>
    <w:rsid w:val="00437430"/>
    <w:rsid w:val="004375B9"/>
    <w:rsid w:val="00441E10"/>
    <w:rsid w:val="004428D0"/>
    <w:rsid w:val="00442A27"/>
    <w:rsid w:val="00442F2D"/>
    <w:rsid w:val="00442FDC"/>
    <w:rsid w:val="00443847"/>
    <w:rsid w:val="00443D6E"/>
    <w:rsid w:val="00444185"/>
    <w:rsid w:val="004443A7"/>
    <w:rsid w:val="0044442C"/>
    <w:rsid w:val="00444A41"/>
    <w:rsid w:val="00445941"/>
    <w:rsid w:val="00445D79"/>
    <w:rsid w:val="004464EB"/>
    <w:rsid w:val="00447D26"/>
    <w:rsid w:val="00447DFC"/>
    <w:rsid w:val="004502E5"/>
    <w:rsid w:val="004518F4"/>
    <w:rsid w:val="00451D32"/>
    <w:rsid w:val="004520A5"/>
    <w:rsid w:val="0045300D"/>
    <w:rsid w:val="004530E8"/>
    <w:rsid w:val="004534FE"/>
    <w:rsid w:val="00453780"/>
    <w:rsid w:val="00453CEF"/>
    <w:rsid w:val="004549F3"/>
    <w:rsid w:val="00454EF8"/>
    <w:rsid w:val="004550D1"/>
    <w:rsid w:val="00455609"/>
    <w:rsid w:val="00455D45"/>
    <w:rsid w:val="00456217"/>
    <w:rsid w:val="004567B4"/>
    <w:rsid w:val="004572D2"/>
    <w:rsid w:val="00457573"/>
    <w:rsid w:val="00461171"/>
    <w:rsid w:val="004628BC"/>
    <w:rsid w:val="00462BC8"/>
    <w:rsid w:val="00462E99"/>
    <w:rsid w:val="00463BD8"/>
    <w:rsid w:val="00463E45"/>
    <w:rsid w:val="00464595"/>
    <w:rsid w:val="00464827"/>
    <w:rsid w:val="00464B59"/>
    <w:rsid w:val="00465462"/>
    <w:rsid w:val="004658B5"/>
    <w:rsid w:val="00465970"/>
    <w:rsid w:val="00465A13"/>
    <w:rsid w:val="00466AD3"/>
    <w:rsid w:val="0046760E"/>
    <w:rsid w:val="00467EC9"/>
    <w:rsid w:val="00467F42"/>
    <w:rsid w:val="00471EA5"/>
    <w:rsid w:val="00472518"/>
    <w:rsid w:val="004727F4"/>
    <w:rsid w:val="00472A79"/>
    <w:rsid w:val="00473F19"/>
    <w:rsid w:val="00475E22"/>
    <w:rsid w:val="00476DCC"/>
    <w:rsid w:val="004777CD"/>
    <w:rsid w:val="00477CC7"/>
    <w:rsid w:val="0048088E"/>
    <w:rsid w:val="00480F2B"/>
    <w:rsid w:val="004814BB"/>
    <w:rsid w:val="00482720"/>
    <w:rsid w:val="00482C95"/>
    <w:rsid w:val="00483088"/>
    <w:rsid w:val="004835E7"/>
    <w:rsid w:val="00483ACC"/>
    <w:rsid w:val="0048509E"/>
    <w:rsid w:val="004859A2"/>
    <w:rsid w:val="0048613F"/>
    <w:rsid w:val="004867E2"/>
    <w:rsid w:val="004873DC"/>
    <w:rsid w:val="00487D02"/>
    <w:rsid w:val="00487E28"/>
    <w:rsid w:val="00490274"/>
    <w:rsid w:val="00490B17"/>
    <w:rsid w:val="00490C76"/>
    <w:rsid w:val="00491B3A"/>
    <w:rsid w:val="00492CD5"/>
    <w:rsid w:val="00492CFD"/>
    <w:rsid w:val="00494207"/>
    <w:rsid w:val="00494B51"/>
    <w:rsid w:val="00494BA7"/>
    <w:rsid w:val="00494DD5"/>
    <w:rsid w:val="00495D4B"/>
    <w:rsid w:val="0049602E"/>
    <w:rsid w:val="004962D2"/>
    <w:rsid w:val="0049760A"/>
    <w:rsid w:val="004A0C94"/>
    <w:rsid w:val="004A0CD5"/>
    <w:rsid w:val="004A0D45"/>
    <w:rsid w:val="004A0DA1"/>
    <w:rsid w:val="004A13D6"/>
    <w:rsid w:val="004A146F"/>
    <w:rsid w:val="004A1F63"/>
    <w:rsid w:val="004A2121"/>
    <w:rsid w:val="004A3AAE"/>
    <w:rsid w:val="004A4574"/>
    <w:rsid w:val="004A52E9"/>
    <w:rsid w:val="004A552D"/>
    <w:rsid w:val="004A5828"/>
    <w:rsid w:val="004A6001"/>
    <w:rsid w:val="004A6040"/>
    <w:rsid w:val="004A6597"/>
    <w:rsid w:val="004A6604"/>
    <w:rsid w:val="004A6EAE"/>
    <w:rsid w:val="004A7848"/>
    <w:rsid w:val="004A7E82"/>
    <w:rsid w:val="004B077B"/>
    <w:rsid w:val="004B1CB4"/>
    <w:rsid w:val="004B201F"/>
    <w:rsid w:val="004B2F18"/>
    <w:rsid w:val="004B30FF"/>
    <w:rsid w:val="004B3DDB"/>
    <w:rsid w:val="004B44FD"/>
    <w:rsid w:val="004B5ACB"/>
    <w:rsid w:val="004B5CFC"/>
    <w:rsid w:val="004B6F79"/>
    <w:rsid w:val="004B7127"/>
    <w:rsid w:val="004B73C6"/>
    <w:rsid w:val="004B7525"/>
    <w:rsid w:val="004B774D"/>
    <w:rsid w:val="004B7E26"/>
    <w:rsid w:val="004C17F7"/>
    <w:rsid w:val="004C182F"/>
    <w:rsid w:val="004C1A0F"/>
    <w:rsid w:val="004C25A3"/>
    <w:rsid w:val="004C36A2"/>
    <w:rsid w:val="004C3A1C"/>
    <w:rsid w:val="004C3EF7"/>
    <w:rsid w:val="004C4AED"/>
    <w:rsid w:val="004D06F4"/>
    <w:rsid w:val="004D16CA"/>
    <w:rsid w:val="004D17CB"/>
    <w:rsid w:val="004D28F9"/>
    <w:rsid w:val="004D299B"/>
    <w:rsid w:val="004D2BDD"/>
    <w:rsid w:val="004D2C2D"/>
    <w:rsid w:val="004D3A8A"/>
    <w:rsid w:val="004D3AE8"/>
    <w:rsid w:val="004D3C72"/>
    <w:rsid w:val="004D4134"/>
    <w:rsid w:val="004D43C3"/>
    <w:rsid w:val="004D46B0"/>
    <w:rsid w:val="004D4E5E"/>
    <w:rsid w:val="004D5486"/>
    <w:rsid w:val="004D5F79"/>
    <w:rsid w:val="004D69B5"/>
    <w:rsid w:val="004D6A10"/>
    <w:rsid w:val="004D6B91"/>
    <w:rsid w:val="004D6E6A"/>
    <w:rsid w:val="004D7227"/>
    <w:rsid w:val="004D7AE6"/>
    <w:rsid w:val="004E02B5"/>
    <w:rsid w:val="004E05EE"/>
    <w:rsid w:val="004E0E7F"/>
    <w:rsid w:val="004E0EB8"/>
    <w:rsid w:val="004E18E9"/>
    <w:rsid w:val="004E201D"/>
    <w:rsid w:val="004E21DA"/>
    <w:rsid w:val="004E2ADC"/>
    <w:rsid w:val="004E2E34"/>
    <w:rsid w:val="004E34B2"/>
    <w:rsid w:val="004E43B2"/>
    <w:rsid w:val="004E617C"/>
    <w:rsid w:val="004E6522"/>
    <w:rsid w:val="004E7416"/>
    <w:rsid w:val="004E74BC"/>
    <w:rsid w:val="004E78E8"/>
    <w:rsid w:val="004E7DFB"/>
    <w:rsid w:val="004F04B3"/>
    <w:rsid w:val="004F0669"/>
    <w:rsid w:val="004F0FC7"/>
    <w:rsid w:val="004F10B2"/>
    <w:rsid w:val="004F1D02"/>
    <w:rsid w:val="004F2679"/>
    <w:rsid w:val="004F2BDA"/>
    <w:rsid w:val="004F2C4D"/>
    <w:rsid w:val="004F2EBD"/>
    <w:rsid w:val="004F2F21"/>
    <w:rsid w:val="004F3DE5"/>
    <w:rsid w:val="004F3F61"/>
    <w:rsid w:val="004F5AD7"/>
    <w:rsid w:val="004F6913"/>
    <w:rsid w:val="004F70E7"/>
    <w:rsid w:val="004F7865"/>
    <w:rsid w:val="004F7EF7"/>
    <w:rsid w:val="0050056A"/>
    <w:rsid w:val="00500694"/>
    <w:rsid w:val="00501090"/>
    <w:rsid w:val="00501341"/>
    <w:rsid w:val="0050174E"/>
    <w:rsid w:val="00501854"/>
    <w:rsid w:val="0050219B"/>
    <w:rsid w:val="00502430"/>
    <w:rsid w:val="00503F17"/>
    <w:rsid w:val="0050493C"/>
    <w:rsid w:val="0050498C"/>
    <w:rsid w:val="005062B9"/>
    <w:rsid w:val="00506928"/>
    <w:rsid w:val="00507165"/>
    <w:rsid w:val="00507463"/>
    <w:rsid w:val="005077EF"/>
    <w:rsid w:val="00510686"/>
    <w:rsid w:val="00510D73"/>
    <w:rsid w:val="00511AD5"/>
    <w:rsid w:val="00511D7C"/>
    <w:rsid w:val="00511DC7"/>
    <w:rsid w:val="005142C5"/>
    <w:rsid w:val="0051501B"/>
    <w:rsid w:val="005152B5"/>
    <w:rsid w:val="005152DE"/>
    <w:rsid w:val="00515772"/>
    <w:rsid w:val="0051677D"/>
    <w:rsid w:val="0052003E"/>
    <w:rsid w:val="00520142"/>
    <w:rsid w:val="005206C8"/>
    <w:rsid w:val="00520BA6"/>
    <w:rsid w:val="0052123C"/>
    <w:rsid w:val="005212F7"/>
    <w:rsid w:val="00521319"/>
    <w:rsid w:val="00522534"/>
    <w:rsid w:val="00522BC8"/>
    <w:rsid w:val="005230F9"/>
    <w:rsid w:val="0052337E"/>
    <w:rsid w:val="00523C28"/>
    <w:rsid w:val="00525C2C"/>
    <w:rsid w:val="00526A51"/>
    <w:rsid w:val="00526C0F"/>
    <w:rsid w:val="0052716C"/>
    <w:rsid w:val="00527521"/>
    <w:rsid w:val="005303D6"/>
    <w:rsid w:val="00530865"/>
    <w:rsid w:val="00530DE3"/>
    <w:rsid w:val="00530E5B"/>
    <w:rsid w:val="00531500"/>
    <w:rsid w:val="0053176B"/>
    <w:rsid w:val="00531D58"/>
    <w:rsid w:val="005324E8"/>
    <w:rsid w:val="00532F0D"/>
    <w:rsid w:val="00533BDE"/>
    <w:rsid w:val="00533FD6"/>
    <w:rsid w:val="00535303"/>
    <w:rsid w:val="005353E8"/>
    <w:rsid w:val="00535C86"/>
    <w:rsid w:val="00536B40"/>
    <w:rsid w:val="00536D8F"/>
    <w:rsid w:val="00536F1A"/>
    <w:rsid w:val="00536F42"/>
    <w:rsid w:val="00537182"/>
    <w:rsid w:val="005372AA"/>
    <w:rsid w:val="005379E3"/>
    <w:rsid w:val="00537AA5"/>
    <w:rsid w:val="0054068D"/>
    <w:rsid w:val="005408B2"/>
    <w:rsid w:val="00540ADA"/>
    <w:rsid w:val="0054154E"/>
    <w:rsid w:val="00541EDD"/>
    <w:rsid w:val="00542743"/>
    <w:rsid w:val="00542C2D"/>
    <w:rsid w:val="00542D5B"/>
    <w:rsid w:val="00543B2F"/>
    <w:rsid w:val="00543EBE"/>
    <w:rsid w:val="00544D4F"/>
    <w:rsid w:val="00545309"/>
    <w:rsid w:val="00546A6B"/>
    <w:rsid w:val="0054704B"/>
    <w:rsid w:val="005478BD"/>
    <w:rsid w:val="005479E3"/>
    <w:rsid w:val="00547B20"/>
    <w:rsid w:val="00547DB8"/>
    <w:rsid w:val="005500C3"/>
    <w:rsid w:val="005506EB"/>
    <w:rsid w:val="005513BE"/>
    <w:rsid w:val="00551985"/>
    <w:rsid w:val="00552626"/>
    <w:rsid w:val="00552BD3"/>
    <w:rsid w:val="005532A0"/>
    <w:rsid w:val="00554486"/>
    <w:rsid w:val="00554507"/>
    <w:rsid w:val="00554EFD"/>
    <w:rsid w:val="00555109"/>
    <w:rsid w:val="0055531F"/>
    <w:rsid w:val="00555418"/>
    <w:rsid w:val="00555650"/>
    <w:rsid w:val="00556555"/>
    <w:rsid w:val="0055660A"/>
    <w:rsid w:val="005566BA"/>
    <w:rsid w:val="00556724"/>
    <w:rsid w:val="005569DA"/>
    <w:rsid w:val="00556B35"/>
    <w:rsid w:val="005572BF"/>
    <w:rsid w:val="0055741A"/>
    <w:rsid w:val="00557878"/>
    <w:rsid w:val="005579C4"/>
    <w:rsid w:val="005600B9"/>
    <w:rsid w:val="005607B8"/>
    <w:rsid w:val="0056096B"/>
    <w:rsid w:val="005611B7"/>
    <w:rsid w:val="005618D4"/>
    <w:rsid w:val="005622F1"/>
    <w:rsid w:val="005624CD"/>
    <w:rsid w:val="0056282B"/>
    <w:rsid w:val="00562C39"/>
    <w:rsid w:val="005636FE"/>
    <w:rsid w:val="00565172"/>
    <w:rsid w:val="005656BC"/>
    <w:rsid w:val="0056578E"/>
    <w:rsid w:val="00565DF0"/>
    <w:rsid w:val="0056696F"/>
    <w:rsid w:val="00566D0D"/>
    <w:rsid w:val="00570644"/>
    <w:rsid w:val="0057131C"/>
    <w:rsid w:val="00572269"/>
    <w:rsid w:val="0057244A"/>
    <w:rsid w:val="00572F26"/>
    <w:rsid w:val="005733FC"/>
    <w:rsid w:val="00573E4A"/>
    <w:rsid w:val="00574321"/>
    <w:rsid w:val="00574C2D"/>
    <w:rsid w:val="005750C5"/>
    <w:rsid w:val="00575184"/>
    <w:rsid w:val="005752DE"/>
    <w:rsid w:val="005754DF"/>
    <w:rsid w:val="00575561"/>
    <w:rsid w:val="00575D8D"/>
    <w:rsid w:val="00576109"/>
    <w:rsid w:val="00576972"/>
    <w:rsid w:val="005770AA"/>
    <w:rsid w:val="00577B33"/>
    <w:rsid w:val="00580467"/>
    <w:rsid w:val="00582F1D"/>
    <w:rsid w:val="00583699"/>
    <w:rsid w:val="00583A3F"/>
    <w:rsid w:val="00584AED"/>
    <w:rsid w:val="00585CDD"/>
    <w:rsid w:val="00586B4D"/>
    <w:rsid w:val="00587058"/>
    <w:rsid w:val="00587DA2"/>
    <w:rsid w:val="0059038D"/>
    <w:rsid w:val="005904A3"/>
    <w:rsid w:val="00591957"/>
    <w:rsid w:val="005935D6"/>
    <w:rsid w:val="0059533A"/>
    <w:rsid w:val="00595BCA"/>
    <w:rsid w:val="00596327"/>
    <w:rsid w:val="00596565"/>
    <w:rsid w:val="00596FA7"/>
    <w:rsid w:val="00597BF9"/>
    <w:rsid w:val="005A0207"/>
    <w:rsid w:val="005A0A2E"/>
    <w:rsid w:val="005A1707"/>
    <w:rsid w:val="005A251C"/>
    <w:rsid w:val="005A309A"/>
    <w:rsid w:val="005A373D"/>
    <w:rsid w:val="005A408F"/>
    <w:rsid w:val="005A48F6"/>
    <w:rsid w:val="005A543C"/>
    <w:rsid w:val="005A6324"/>
    <w:rsid w:val="005A7CA9"/>
    <w:rsid w:val="005B052C"/>
    <w:rsid w:val="005B06F6"/>
    <w:rsid w:val="005B0A26"/>
    <w:rsid w:val="005B0B58"/>
    <w:rsid w:val="005B0F27"/>
    <w:rsid w:val="005B0F71"/>
    <w:rsid w:val="005B3494"/>
    <w:rsid w:val="005B3EC1"/>
    <w:rsid w:val="005B4E53"/>
    <w:rsid w:val="005B5495"/>
    <w:rsid w:val="005B5857"/>
    <w:rsid w:val="005B5DE8"/>
    <w:rsid w:val="005B5F3B"/>
    <w:rsid w:val="005B5F9D"/>
    <w:rsid w:val="005B7CEC"/>
    <w:rsid w:val="005C0589"/>
    <w:rsid w:val="005C0DA5"/>
    <w:rsid w:val="005C1B83"/>
    <w:rsid w:val="005C25FF"/>
    <w:rsid w:val="005C2D55"/>
    <w:rsid w:val="005C346B"/>
    <w:rsid w:val="005C40BD"/>
    <w:rsid w:val="005C5122"/>
    <w:rsid w:val="005C678E"/>
    <w:rsid w:val="005C6E96"/>
    <w:rsid w:val="005C717E"/>
    <w:rsid w:val="005C7379"/>
    <w:rsid w:val="005C76F7"/>
    <w:rsid w:val="005D044D"/>
    <w:rsid w:val="005D098B"/>
    <w:rsid w:val="005D0ABD"/>
    <w:rsid w:val="005D187D"/>
    <w:rsid w:val="005D18AD"/>
    <w:rsid w:val="005D1F5C"/>
    <w:rsid w:val="005D2135"/>
    <w:rsid w:val="005D26B4"/>
    <w:rsid w:val="005D27FB"/>
    <w:rsid w:val="005D334E"/>
    <w:rsid w:val="005D3B9D"/>
    <w:rsid w:val="005D5218"/>
    <w:rsid w:val="005D5226"/>
    <w:rsid w:val="005D5331"/>
    <w:rsid w:val="005D5678"/>
    <w:rsid w:val="005D6290"/>
    <w:rsid w:val="005D62CC"/>
    <w:rsid w:val="005D7821"/>
    <w:rsid w:val="005E057D"/>
    <w:rsid w:val="005E2571"/>
    <w:rsid w:val="005E33BF"/>
    <w:rsid w:val="005E5067"/>
    <w:rsid w:val="005E5701"/>
    <w:rsid w:val="005E6CBC"/>
    <w:rsid w:val="005E6CDE"/>
    <w:rsid w:val="005E7228"/>
    <w:rsid w:val="005E72FF"/>
    <w:rsid w:val="005E73C0"/>
    <w:rsid w:val="005E7BC2"/>
    <w:rsid w:val="005F160C"/>
    <w:rsid w:val="005F1E2C"/>
    <w:rsid w:val="005F20DE"/>
    <w:rsid w:val="005F2706"/>
    <w:rsid w:val="005F2EEC"/>
    <w:rsid w:val="005F3543"/>
    <w:rsid w:val="005F3D16"/>
    <w:rsid w:val="005F63DC"/>
    <w:rsid w:val="005F6A8F"/>
    <w:rsid w:val="005F6BB7"/>
    <w:rsid w:val="005F708A"/>
    <w:rsid w:val="005F7588"/>
    <w:rsid w:val="005F75D4"/>
    <w:rsid w:val="0060038D"/>
    <w:rsid w:val="006006E6"/>
    <w:rsid w:val="00600BAA"/>
    <w:rsid w:val="006011B4"/>
    <w:rsid w:val="00603679"/>
    <w:rsid w:val="00603BCD"/>
    <w:rsid w:val="00603DB9"/>
    <w:rsid w:val="006048FE"/>
    <w:rsid w:val="006049E5"/>
    <w:rsid w:val="006051D9"/>
    <w:rsid w:val="006055FD"/>
    <w:rsid w:val="00605DBD"/>
    <w:rsid w:val="006066DA"/>
    <w:rsid w:val="00606FBA"/>
    <w:rsid w:val="00607669"/>
    <w:rsid w:val="006076F4"/>
    <w:rsid w:val="00607AFD"/>
    <w:rsid w:val="00607C49"/>
    <w:rsid w:val="00607C68"/>
    <w:rsid w:val="00607C6A"/>
    <w:rsid w:val="00607D95"/>
    <w:rsid w:val="006102FD"/>
    <w:rsid w:val="00610499"/>
    <w:rsid w:val="00611CFE"/>
    <w:rsid w:val="00612AE9"/>
    <w:rsid w:val="00612B78"/>
    <w:rsid w:val="00612BFF"/>
    <w:rsid w:val="00612F97"/>
    <w:rsid w:val="0061345D"/>
    <w:rsid w:val="006135AE"/>
    <w:rsid w:val="00614D1B"/>
    <w:rsid w:val="0061534D"/>
    <w:rsid w:val="0061549B"/>
    <w:rsid w:val="00615C2F"/>
    <w:rsid w:val="00616684"/>
    <w:rsid w:val="00616802"/>
    <w:rsid w:val="00616E34"/>
    <w:rsid w:val="006170AE"/>
    <w:rsid w:val="006174BA"/>
    <w:rsid w:val="00617E12"/>
    <w:rsid w:val="00620C25"/>
    <w:rsid w:val="00621477"/>
    <w:rsid w:val="00621ADA"/>
    <w:rsid w:val="00622588"/>
    <w:rsid w:val="00623B07"/>
    <w:rsid w:val="00623F7B"/>
    <w:rsid w:val="006240F9"/>
    <w:rsid w:val="0062423F"/>
    <w:rsid w:val="006261E4"/>
    <w:rsid w:val="006267C2"/>
    <w:rsid w:val="0063158F"/>
    <w:rsid w:val="00631D6B"/>
    <w:rsid w:val="00631F28"/>
    <w:rsid w:val="00632109"/>
    <w:rsid w:val="00632183"/>
    <w:rsid w:val="006325D1"/>
    <w:rsid w:val="006330A1"/>
    <w:rsid w:val="006345E0"/>
    <w:rsid w:val="0063479F"/>
    <w:rsid w:val="006353F0"/>
    <w:rsid w:val="006357B5"/>
    <w:rsid w:val="00635841"/>
    <w:rsid w:val="006364A1"/>
    <w:rsid w:val="0063678E"/>
    <w:rsid w:val="00637155"/>
    <w:rsid w:val="00637BFD"/>
    <w:rsid w:val="00640313"/>
    <w:rsid w:val="00640346"/>
    <w:rsid w:val="00640871"/>
    <w:rsid w:val="006413F0"/>
    <w:rsid w:val="00641C4E"/>
    <w:rsid w:val="00641E83"/>
    <w:rsid w:val="00641FB3"/>
    <w:rsid w:val="00643906"/>
    <w:rsid w:val="00643BA3"/>
    <w:rsid w:val="0064434C"/>
    <w:rsid w:val="006443F5"/>
    <w:rsid w:val="006455EE"/>
    <w:rsid w:val="00645DFC"/>
    <w:rsid w:val="0064611A"/>
    <w:rsid w:val="00646518"/>
    <w:rsid w:val="0064705E"/>
    <w:rsid w:val="006471CC"/>
    <w:rsid w:val="00647A29"/>
    <w:rsid w:val="00647D2D"/>
    <w:rsid w:val="0065079F"/>
    <w:rsid w:val="00652A28"/>
    <w:rsid w:val="0065379F"/>
    <w:rsid w:val="006537BA"/>
    <w:rsid w:val="006556F5"/>
    <w:rsid w:val="00656188"/>
    <w:rsid w:val="0065715A"/>
    <w:rsid w:val="006610F1"/>
    <w:rsid w:val="00661B38"/>
    <w:rsid w:val="00661C6B"/>
    <w:rsid w:val="00662692"/>
    <w:rsid w:val="00662751"/>
    <w:rsid w:val="006630E3"/>
    <w:rsid w:val="00663D67"/>
    <w:rsid w:val="00664070"/>
    <w:rsid w:val="0066471A"/>
    <w:rsid w:val="006648BD"/>
    <w:rsid w:val="00665FD3"/>
    <w:rsid w:val="006666D2"/>
    <w:rsid w:val="00667442"/>
    <w:rsid w:val="0067079C"/>
    <w:rsid w:val="0067099C"/>
    <w:rsid w:val="00671004"/>
    <w:rsid w:val="00672235"/>
    <w:rsid w:val="00672646"/>
    <w:rsid w:val="00672B24"/>
    <w:rsid w:val="00672EFB"/>
    <w:rsid w:val="00674348"/>
    <w:rsid w:val="00674405"/>
    <w:rsid w:val="00674E42"/>
    <w:rsid w:val="00675CA6"/>
    <w:rsid w:val="0067651F"/>
    <w:rsid w:val="006766A2"/>
    <w:rsid w:val="00677E5D"/>
    <w:rsid w:val="00681089"/>
    <w:rsid w:val="006813F8"/>
    <w:rsid w:val="00682112"/>
    <w:rsid w:val="00682BA6"/>
    <w:rsid w:val="0068606D"/>
    <w:rsid w:val="00686957"/>
    <w:rsid w:val="006872BA"/>
    <w:rsid w:val="00690795"/>
    <w:rsid w:val="006912CC"/>
    <w:rsid w:val="006913CE"/>
    <w:rsid w:val="00691648"/>
    <w:rsid w:val="006917D7"/>
    <w:rsid w:val="00692CBB"/>
    <w:rsid w:val="0069434C"/>
    <w:rsid w:val="00694718"/>
    <w:rsid w:val="00694F44"/>
    <w:rsid w:val="00695611"/>
    <w:rsid w:val="006961BD"/>
    <w:rsid w:val="00696F51"/>
    <w:rsid w:val="006979A5"/>
    <w:rsid w:val="006A2132"/>
    <w:rsid w:val="006A23B7"/>
    <w:rsid w:val="006A2C16"/>
    <w:rsid w:val="006A5A36"/>
    <w:rsid w:val="006A68B9"/>
    <w:rsid w:val="006A6B69"/>
    <w:rsid w:val="006A6B99"/>
    <w:rsid w:val="006A76E5"/>
    <w:rsid w:val="006A7E5F"/>
    <w:rsid w:val="006B1686"/>
    <w:rsid w:val="006B1BCB"/>
    <w:rsid w:val="006B261B"/>
    <w:rsid w:val="006B2C90"/>
    <w:rsid w:val="006B35E6"/>
    <w:rsid w:val="006B3942"/>
    <w:rsid w:val="006B4095"/>
    <w:rsid w:val="006B45C4"/>
    <w:rsid w:val="006B465A"/>
    <w:rsid w:val="006B4FC9"/>
    <w:rsid w:val="006B6142"/>
    <w:rsid w:val="006B6DD0"/>
    <w:rsid w:val="006C0399"/>
    <w:rsid w:val="006C12DC"/>
    <w:rsid w:val="006C1C56"/>
    <w:rsid w:val="006C1EE8"/>
    <w:rsid w:val="006C2A8E"/>
    <w:rsid w:val="006C3255"/>
    <w:rsid w:val="006C3F26"/>
    <w:rsid w:val="006C66AA"/>
    <w:rsid w:val="006C6F17"/>
    <w:rsid w:val="006C7A48"/>
    <w:rsid w:val="006D024C"/>
    <w:rsid w:val="006D0C8A"/>
    <w:rsid w:val="006D0D17"/>
    <w:rsid w:val="006D1582"/>
    <w:rsid w:val="006D16A4"/>
    <w:rsid w:val="006D34F1"/>
    <w:rsid w:val="006D38D6"/>
    <w:rsid w:val="006D3C7D"/>
    <w:rsid w:val="006D4659"/>
    <w:rsid w:val="006D5936"/>
    <w:rsid w:val="006D5D5F"/>
    <w:rsid w:val="006D6328"/>
    <w:rsid w:val="006D68FB"/>
    <w:rsid w:val="006D7410"/>
    <w:rsid w:val="006E03C0"/>
    <w:rsid w:val="006E13B0"/>
    <w:rsid w:val="006E1C94"/>
    <w:rsid w:val="006E2868"/>
    <w:rsid w:val="006E2FC2"/>
    <w:rsid w:val="006E3A02"/>
    <w:rsid w:val="006E4A98"/>
    <w:rsid w:val="006E55BE"/>
    <w:rsid w:val="006E5C90"/>
    <w:rsid w:val="006E607B"/>
    <w:rsid w:val="006E622C"/>
    <w:rsid w:val="006E7A34"/>
    <w:rsid w:val="006E7ABA"/>
    <w:rsid w:val="006E7B5F"/>
    <w:rsid w:val="006F2A1E"/>
    <w:rsid w:val="006F306C"/>
    <w:rsid w:val="006F33F3"/>
    <w:rsid w:val="006F3948"/>
    <w:rsid w:val="006F3DB8"/>
    <w:rsid w:val="006F4051"/>
    <w:rsid w:val="006F4C19"/>
    <w:rsid w:val="006F63A5"/>
    <w:rsid w:val="006F6402"/>
    <w:rsid w:val="00700098"/>
    <w:rsid w:val="00700E66"/>
    <w:rsid w:val="0070142B"/>
    <w:rsid w:val="00701899"/>
    <w:rsid w:val="00701DF4"/>
    <w:rsid w:val="0070235F"/>
    <w:rsid w:val="0070276E"/>
    <w:rsid w:val="00702F8F"/>
    <w:rsid w:val="007035DA"/>
    <w:rsid w:val="007051C8"/>
    <w:rsid w:val="0070661A"/>
    <w:rsid w:val="007079FC"/>
    <w:rsid w:val="007104F5"/>
    <w:rsid w:val="00711A36"/>
    <w:rsid w:val="00711AC1"/>
    <w:rsid w:val="00712618"/>
    <w:rsid w:val="00714C26"/>
    <w:rsid w:val="0071529C"/>
    <w:rsid w:val="00715B67"/>
    <w:rsid w:val="00715CC3"/>
    <w:rsid w:val="007170DA"/>
    <w:rsid w:val="007172AD"/>
    <w:rsid w:val="00717581"/>
    <w:rsid w:val="00717702"/>
    <w:rsid w:val="00720370"/>
    <w:rsid w:val="00720801"/>
    <w:rsid w:val="00721017"/>
    <w:rsid w:val="007228AC"/>
    <w:rsid w:val="00722B1B"/>
    <w:rsid w:val="00723287"/>
    <w:rsid w:val="007233E0"/>
    <w:rsid w:val="00723DD7"/>
    <w:rsid w:val="00724114"/>
    <w:rsid w:val="0072416F"/>
    <w:rsid w:val="00724C4A"/>
    <w:rsid w:val="00727C94"/>
    <w:rsid w:val="00730F4A"/>
    <w:rsid w:val="0073152E"/>
    <w:rsid w:val="0073178E"/>
    <w:rsid w:val="00731B0A"/>
    <w:rsid w:val="00731EAE"/>
    <w:rsid w:val="0073292B"/>
    <w:rsid w:val="00732D3C"/>
    <w:rsid w:val="00733073"/>
    <w:rsid w:val="00733347"/>
    <w:rsid w:val="00734560"/>
    <w:rsid w:val="00735033"/>
    <w:rsid w:val="00735328"/>
    <w:rsid w:val="00735ADE"/>
    <w:rsid w:val="00735C6A"/>
    <w:rsid w:val="007363B2"/>
    <w:rsid w:val="0073685B"/>
    <w:rsid w:val="00740475"/>
    <w:rsid w:val="00740A5F"/>
    <w:rsid w:val="00740BFC"/>
    <w:rsid w:val="00740E47"/>
    <w:rsid w:val="00741467"/>
    <w:rsid w:val="00741512"/>
    <w:rsid w:val="007417A8"/>
    <w:rsid w:val="00741843"/>
    <w:rsid w:val="0074236E"/>
    <w:rsid w:val="00744548"/>
    <w:rsid w:val="00744902"/>
    <w:rsid w:val="007449BF"/>
    <w:rsid w:val="00746BC0"/>
    <w:rsid w:val="007476A2"/>
    <w:rsid w:val="00747943"/>
    <w:rsid w:val="00747D70"/>
    <w:rsid w:val="007510B4"/>
    <w:rsid w:val="007520B9"/>
    <w:rsid w:val="00752142"/>
    <w:rsid w:val="007523F9"/>
    <w:rsid w:val="00752E97"/>
    <w:rsid w:val="0075357E"/>
    <w:rsid w:val="00754D6E"/>
    <w:rsid w:val="0075657E"/>
    <w:rsid w:val="00756BA1"/>
    <w:rsid w:val="007573E8"/>
    <w:rsid w:val="00760C4E"/>
    <w:rsid w:val="00760F9E"/>
    <w:rsid w:val="00761531"/>
    <w:rsid w:val="007617F3"/>
    <w:rsid w:val="007619E7"/>
    <w:rsid w:val="007627BE"/>
    <w:rsid w:val="00764277"/>
    <w:rsid w:val="007647D6"/>
    <w:rsid w:val="00764EDC"/>
    <w:rsid w:val="00764F03"/>
    <w:rsid w:val="00765B1A"/>
    <w:rsid w:val="00765C83"/>
    <w:rsid w:val="00765DD2"/>
    <w:rsid w:val="007662FB"/>
    <w:rsid w:val="0076679C"/>
    <w:rsid w:val="00766EB9"/>
    <w:rsid w:val="00767779"/>
    <w:rsid w:val="00772C5D"/>
    <w:rsid w:val="00773587"/>
    <w:rsid w:val="007766C7"/>
    <w:rsid w:val="007768BC"/>
    <w:rsid w:val="0077713E"/>
    <w:rsid w:val="00777335"/>
    <w:rsid w:val="00777886"/>
    <w:rsid w:val="00777BFA"/>
    <w:rsid w:val="00780C06"/>
    <w:rsid w:val="0078128C"/>
    <w:rsid w:val="00781538"/>
    <w:rsid w:val="0078200A"/>
    <w:rsid w:val="007825A0"/>
    <w:rsid w:val="007827B7"/>
    <w:rsid w:val="00782AB2"/>
    <w:rsid w:val="00783C38"/>
    <w:rsid w:val="007843F2"/>
    <w:rsid w:val="00785335"/>
    <w:rsid w:val="0078539D"/>
    <w:rsid w:val="00785A9F"/>
    <w:rsid w:val="00785BB2"/>
    <w:rsid w:val="00785DBB"/>
    <w:rsid w:val="00786FE3"/>
    <w:rsid w:val="00790E0F"/>
    <w:rsid w:val="007925A6"/>
    <w:rsid w:val="007925DF"/>
    <w:rsid w:val="00793671"/>
    <w:rsid w:val="007945C2"/>
    <w:rsid w:val="00794A33"/>
    <w:rsid w:val="0079558F"/>
    <w:rsid w:val="00796196"/>
    <w:rsid w:val="00796E4D"/>
    <w:rsid w:val="007A0540"/>
    <w:rsid w:val="007A0551"/>
    <w:rsid w:val="007A056E"/>
    <w:rsid w:val="007A0835"/>
    <w:rsid w:val="007A08AA"/>
    <w:rsid w:val="007A0A12"/>
    <w:rsid w:val="007A0D7B"/>
    <w:rsid w:val="007A132D"/>
    <w:rsid w:val="007A1345"/>
    <w:rsid w:val="007A2D3C"/>
    <w:rsid w:val="007A2DDB"/>
    <w:rsid w:val="007A47C1"/>
    <w:rsid w:val="007A5037"/>
    <w:rsid w:val="007A51D2"/>
    <w:rsid w:val="007A6004"/>
    <w:rsid w:val="007A6536"/>
    <w:rsid w:val="007A6816"/>
    <w:rsid w:val="007A70BA"/>
    <w:rsid w:val="007B001F"/>
    <w:rsid w:val="007B0D68"/>
    <w:rsid w:val="007B1566"/>
    <w:rsid w:val="007B184A"/>
    <w:rsid w:val="007B1CE5"/>
    <w:rsid w:val="007B201B"/>
    <w:rsid w:val="007B251D"/>
    <w:rsid w:val="007B26B3"/>
    <w:rsid w:val="007B315B"/>
    <w:rsid w:val="007B4C0B"/>
    <w:rsid w:val="007B4F58"/>
    <w:rsid w:val="007B50AE"/>
    <w:rsid w:val="007B528D"/>
    <w:rsid w:val="007B5DDE"/>
    <w:rsid w:val="007B63CA"/>
    <w:rsid w:val="007B647F"/>
    <w:rsid w:val="007B6BD6"/>
    <w:rsid w:val="007B7037"/>
    <w:rsid w:val="007B77D1"/>
    <w:rsid w:val="007B7F81"/>
    <w:rsid w:val="007C01FB"/>
    <w:rsid w:val="007C0356"/>
    <w:rsid w:val="007C07C7"/>
    <w:rsid w:val="007C1659"/>
    <w:rsid w:val="007C1825"/>
    <w:rsid w:val="007C1CD9"/>
    <w:rsid w:val="007C22BC"/>
    <w:rsid w:val="007C24AB"/>
    <w:rsid w:val="007C32EF"/>
    <w:rsid w:val="007C33A2"/>
    <w:rsid w:val="007C34AF"/>
    <w:rsid w:val="007C361D"/>
    <w:rsid w:val="007C40F9"/>
    <w:rsid w:val="007C45F1"/>
    <w:rsid w:val="007C4B84"/>
    <w:rsid w:val="007C68AC"/>
    <w:rsid w:val="007C70FF"/>
    <w:rsid w:val="007C79CF"/>
    <w:rsid w:val="007C7C25"/>
    <w:rsid w:val="007D004F"/>
    <w:rsid w:val="007D0947"/>
    <w:rsid w:val="007D0B38"/>
    <w:rsid w:val="007D2727"/>
    <w:rsid w:val="007D3E50"/>
    <w:rsid w:val="007D4393"/>
    <w:rsid w:val="007D4531"/>
    <w:rsid w:val="007D490A"/>
    <w:rsid w:val="007D4A4B"/>
    <w:rsid w:val="007D510B"/>
    <w:rsid w:val="007D5276"/>
    <w:rsid w:val="007D5440"/>
    <w:rsid w:val="007D5725"/>
    <w:rsid w:val="007D5E9C"/>
    <w:rsid w:val="007D6831"/>
    <w:rsid w:val="007D69EB"/>
    <w:rsid w:val="007D6F60"/>
    <w:rsid w:val="007D731C"/>
    <w:rsid w:val="007D7BA3"/>
    <w:rsid w:val="007E023C"/>
    <w:rsid w:val="007E07D6"/>
    <w:rsid w:val="007E128F"/>
    <w:rsid w:val="007E12AC"/>
    <w:rsid w:val="007E1883"/>
    <w:rsid w:val="007E1D24"/>
    <w:rsid w:val="007E2E14"/>
    <w:rsid w:val="007E3F6F"/>
    <w:rsid w:val="007E741A"/>
    <w:rsid w:val="007E7540"/>
    <w:rsid w:val="007E7BC4"/>
    <w:rsid w:val="007F075A"/>
    <w:rsid w:val="007F1017"/>
    <w:rsid w:val="007F2997"/>
    <w:rsid w:val="007F2C17"/>
    <w:rsid w:val="007F34E1"/>
    <w:rsid w:val="007F3A86"/>
    <w:rsid w:val="007F4786"/>
    <w:rsid w:val="007F4A3F"/>
    <w:rsid w:val="007F4A61"/>
    <w:rsid w:val="007F5255"/>
    <w:rsid w:val="007F55AE"/>
    <w:rsid w:val="007F55F0"/>
    <w:rsid w:val="007F56CC"/>
    <w:rsid w:val="007F5FCE"/>
    <w:rsid w:val="007F61C2"/>
    <w:rsid w:val="007F623C"/>
    <w:rsid w:val="007F7354"/>
    <w:rsid w:val="00801562"/>
    <w:rsid w:val="00801C2F"/>
    <w:rsid w:val="00801CFA"/>
    <w:rsid w:val="008021FE"/>
    <w:rsid w:val="00802C3A"/>
    <w:rsid w:val="00803077"/>
    <w:rsid w:val="00803440"/>
    <w:rsid w:val="0080385F"/>
    <w:rsid w:val="00803E30"/>
    <w:rsid w:val="00803E55"/>
    <w:rsid w:val="00804156"/>
    <w:rsid w:val="00805142"/>
    <w:rsid w:val="00805C55"/>
    <w:rsid w:val="00805FCE"/>
    <w:rsid w:val="00806674"/>
    <w:rsid w:val="00807A8B"/>
    <w:rsid w:val="00810952"/>
    <w:rsid w:val="00811383"/>
    <w:rsid w:val="008115B1"/>
    <w:rsid w:val="00812149"/>
    <w:rsid w:val="00812212"/>
    <w:rsid w:val="00812262"/>
    <w:rsid w:val="008129E0"/>
    <w:rsid w:val="00812CAC"/>
    <w:rsid w:val="008132C6"/>
    <w:rsid w:val="0081345D"/>
    <w:rsid w:val="00813D9E"/>
    <w:rsid w:val="00813DAF"/>
    <w:rsid w:val="00813E58"/>
    <w:rsid w:val="00815F30"/>
    <w:rsid w:val="00816361"/>
    <w:rsid w:val="0081648B"/>
    <w:rsid w:val="008166EF"/>
    <w:rsid w:val="00816FEF"/>
    <w:rsid w:val="008170DE"/>
    <w:rsid w:val="00817D90"/>
    <w:rsid w:val="008202F4"/>
    <w:rsid w:val="00820A8C"/>
    <w:rsid w:val="00820E2E"/>
    <w:rsid w:val="008215FB"/>
    <w:rsid w:val="00822F02"/>
    <w:rsid w:val="00823174"/>
    <w:rsid w:val="008246F0"/>
    <w:rsid w:val="0082543F"/>
    <w:rsid w:val="00825579"/>
    <w:rsid w:val="00825751"/>
    <w:rsid w:val="008264EB"/>
    <w:rsid w:val="00827057"/>
    <w:rsid w:val="0082762F"/>
    <w:rsid w:val="00830826"/>
    <w:rsid w:val="00831AA1"/>
    <w:rsid w:val="00833B05"/>
    <w:rsid w:val="008342CC"/>
    <w:rsid w:val="00835267"/>
    <w:rsid w:val="0083609C"/>
    <w:rsid w:val="00836248"/>
    <w:rsid w:val="008362B4"/>
    <w:rsid w:val="00836409"/>
    <w:rsid w:val="00837D5F"/>
    <w:rsid w:val="0084058F"/>
    <w:rsid w:val="008405B1"/>
    <w:rsid w:val="00840CA2"/>
    <w:rsid w:val="00843416"/>
    <w:rsid w:val="0084374F"/>
    <w:rsid w:val="008440FB"/>
    <w:rsid w:val="00844664"/>
    <w:rsid w:val="00844A22"/>
    <w:rsid w:val="0084674C"/>
    <w:rsid w:val="00847568"/>
    <w:rsid w:val="00847703"/>
    <w:rsid w:val="00847DF5"/>
    <w:rsid w:val="0085013B"/>
    <w:rsid w:val="00850546"/>
    <w:rsid w:val="008523E3"/>
    <w:rsid w:val="0085309D"/>
    <w:rsid w:val="008533FD"/>
    <w:rsid w:val="00854329"/>
    <w:rsid w:val="00856897"/>
    <w:rsid w:val="00856E9A"/>
    <w:rsid w:val="0085754B"/>
    <w:rsid w:val="00857C61"/>
    <w:rsid w:val="00857FE9"/>
    <w:rsid w:val="0086075D"/>
    <w:rsid w:val="00860F49"/>
    <w:rsid w:val="00861DC1"/>
    <w:rsid w:val="00862502"/>
    <w:rsid w:val="0086273E"/>
    <w:rsid w:val="00862CC1"/>
    <w:rsid w:val="00864D72"/>
    <w:rsid w:val="008657E4"/>
    <w:rsid w:val="008660D4"/>
    <w:rsid w:val="008668EC"/>
    <w:rsid w:val="00866A3D"/>
    <w:rsid w:val="00867591"/>
    <w:rsid w:val="008702B5"/>
    <w:rsid w:val="008704B4"/>
    <w:rsid w:val="00871FA9"/>
    <w:rsid w:val="008728E9"/>
    <w:rsid w:val="00872A1B"/>
    <w:rsid w:val="00872E07"/>
    <w:rsid w:val="00872EE9"/>
    <w:rsid w:val="00872F23"/>
    <w:rsid w:val="00872F98"/>
    <w:rsid w:val="00873FBD"/>
    <w:rsid w:val="008746BD"/>
    <w:rsid w:val="008758DE"/>
    <w:rsid w:val="0087715B"/>
    <w:rsid w:val="00881C90"/>
    <w:rsid w:val="00882874"/>
    <w:rsid w:val="00882E3C"/>
    <w:rsid w:val="00883787"/>
    <w:rsid w:val="008855E4"/>
    <w:rsid w:val="008866A6"/>
    <w:rsid w:val="00886733"/>
    <w:rsid w:val="0088681C"/>
    <w:rsid w:val="00886CD2"/>
    <w:rsid w:val="00886DBB"/>
    <w:rsid w:val="00887223"/>
    <w:rsid w:val="00887530"/>
    <w:rsid w:val="0089084F"/>
    <w:rsid w:val="00890D0F"/>
    <w:rsid w:val="00891596"/>
    <w:rsid w:val="00891E6F"/>
    <w:rsid w:val="0089275D"/>
    <w:rsid w:val="00892A36"/>
    <w:rsid w:val="00893239"/>
    <w:rsid w:val="00893803"/>
    <w:rsid w:val="00893BBF"/>
    <w:rsid w:val="00893E7B"/>
    <w:rsid w:val="00894489"/>
    <w:rsid w:val="00894BEB"/>
    <w:rsid w:val="00896137"/>
    <w:rsid w:val="008963A5"/>
    <w:rsid w:val="00896D5D"/>
    <w:rsid w:val="008A1636"/>
    <w:rsid w:val="008A1D5F"/>
    <w:rsid w:val="008A2008"/>
    <w:rsid w:val="008A3363"/>
    <w:rsid w:val="008A3371"/>
    <w:rsid w:val="008A3C3E"/>
    <w:rsid w:val="008A3EC9"/>
    <w:rsid w:val="008A419C"/>
    <w:rsid w:val="008A4B69"/>
    <w:rsid w:val="008A4F68"/>
    <w:rsid w:val="008A5620"/>
    <w:rsid w:val="008A65CE"/>
    <w:rsid w:val="008A749D"/>
    <w:rsid w:val="008A79DE"/>
    <w:rsid w:val="008B0A4D"/>
    <w:rsid w:val="008B0F85"/>
    <w:rsid w:val="008B1273"/>
    <w:rsid w:val="008B13EE"/>
    <w:rsid w:val="008B1757"/>
    <w:rsid w:val="008B2461"/>
    <w:rsid w:val="008B44B1"/>
    <w:rsid w:val="008B45EE"/>
    <w:rsid w:val="008B47B9"/>
    <w:rsid w:val="008B51D1"/>
    <w:rsid w:val="008B7992"/>
    <w:rsid w:val="008B7D7E"/>
    <w:rsid w:val="008C148D"/>
    <w:rsid w:val="008C1B4E"/>
    <w:rsid w:val="008C1CD1"/>
    <w:rsid w:val="008C2348"/>
    <w:rsid w:val="008C2568"/>
    <w:rsid w:val="008C298A"/>
    <w:rsid w:val="008C333B"/>
    <w:rsid w:val="008C5610"/>
    <w:rsid w:val="008C5739"/>
    <w:rsid w:val="008C5EA2"/>
    <w:rsid w:val="008C700F"/>
    <w:rsid w:val="008C7BDE"/>
    <w:rsid w:val="008C7ECB"/>
    <w:rsid w:val="008D0171"/>
    <w:rsid w:val="008D02DC"/>
    <w:rsid w:val="008D06A0"/>
    <w:rsid w:val="008D0F59"/>
    <w:rsid w:val="008D19BA"/>
    <w:rsid w:val="008D248E"/>
    <w:rsid w:val="008D3550"/>
    <w:rsid w:val="008D3B86"/>
    <w:rsid w:val="008D4755"/>
    <w:rsid w:val="008D4B89"/>
    <w:rsid w:val="008D4C3D"/>
    <w:rsid w:val="008D55C3"/>
    <w:rsid w:val="008D66A1"/>
    <w:rsid w:val="008D677C"/>
    <w:rsid w:val="008D69D1"/>
    <w:rsid w:val="008D743C"/>
    <w:rsid w:val="008E0D3C"/>
    <w:rsid w:val="008E1B9E"/>
    <w:rsid w:val="008E2CBF"/>
    <w:rsid w:val="008E3F00"/>
    <w:rsid w:val="008E4982"/>
    <w:rsid w:val="008E55AB"/>
    <w:rsid w:val="008E670E"/>
    <w:rsid w:val="008E6B8A"/>
    <w:rsid w:val="008E7443"/>
    <w:rsid w:val="008F0762"/>
    <w:rsid w:val="008F120A"/>
    <w:rsid w:val="008F14BF"/>
    <w:rsid w:val="008F25D7"/>
    <w:rsid w:val="008F27E0"/>
    <w:rsid w:val="008F2ACB"/>
    <w:rsid w:val="008F3634"/>
    <w:rsid w:val="008F3F54"/>
    <w:rsid w:val="008F48AE"/>
    <w:rsid w:val="008F48EB"/>
    <w:rsid w:val="008F49AC"/>
    <w:rsid w:val="008F4F0B"/>
    <w:rsid w:val="008F5E80"/>
    <w:rsid w:val="008F6129"/>
    <w:rsid w:val="008F6671"/>
    <w:rsid w:val="008F7BBA"/>
    <w:rsid w:val="00900522"/>
    <w:rsid w:val="009013CC"/>
    <w:rsid w:val="00902391"/>
    <w:rsid w:val="00903061"/>
    <w:rsid w:val="009038D7"/>
    <w:rsid w:val="00903FC3"/>
    <w:rsid w:val="00904034"/>
    <w:rsid w:val="009046C4"/>
    <w:rsid w:val="00904A9E"/>
    <w:rsid w:val="00905214"/>
    <w:rsid w:val="0090557A"/>
    <w:rsid w:val="009062A5"/>
    <w:rsid w:val="0090665B"/>
    <w:rsid w:val="00910659"/>
    <w:rsid w:val="009109C7"/>
    <w:rsid w:val="00910FA7"/>
    <w:rsid w:val="00911272"/>
    <w:rsid w:val="00911B2F"/>
    <w:rsid w:val="009125A8"/>
    <w:rsid w:val="009135D6"/>
    <w:rsid w:val="009143AB"/>
    <w:rsid w:val="00914682"/>
    <w:rsid w:val="00914C77"/>
    <w:rsid w:val="00914E86"/>
    <w:rsid w:val="00915798"/>
    <w:rsid w:val="00915A7C"/>
    <w:rsid w:val="00920C85"/>
    <w:rsid w:val="0092111A"/>
    <w:rsid w:val="00921ACB"/>
    <w:rsid w:val="0092369B"/>
    <w:rsid w:val="00924832"/>
    <w:rsid w:val="00925FCA"/>
    <w:rsid w:val="00926A5B"/>
    <w:rsid w:val="009272DC"/>
    <w:rsid w:val="0093060F"/>
    <w:rsid w:val="00933AD4"/>
    <w:rsid w:val="009343C0"/>
    <w:rsid w:val="009344D3"/>
    <w:rsid w:val="00934591"/>
    <w:rsid w:val="00934988"/>
    <w:rsid w:val="00936A8E"/>
    <w:rsid w:val="00937089"/>
    <w:rsid w:val="009373D3"/>
    <w:rsid w:val="00937A7F"/>
    <w:rsid w:val="009423BF"/>
    <w:rsid w:val="0094252F"/>
    <w:rsid w:val="00942D8E"/>
    <w:rsid w:val="00943A7C"/>
    <w:rsid w:val="00943B12"/>
    <w:rsid w:val="00943DD1"/>
    <w:rsid w:val="00944E19"/>
    <w:rsid w:val="00944E79"/>
    <w:rsid w:val="00944F8A"/>
    <w:rsid w:val="0094541A"/>
    <w:rsid w:val="0094586E"/>
    <w:rsid w:val="00946A79"/>
    <w:rsid w:val="009510A2"/>
    <w:rsid w:val="009515B3"/>
    <w:rsid w:val="00951EBE"/>
    <w:rsid w:val="00952BD7"/>
    <w:rsid w:val="00952D4C"/>
    <w:rsid w:val="00953257"/>
    <w:rsid w:val="00954088"/>
    <w:rsid w:val="0095474C"/>
    <w:rsid w:val="00954824"/>
    <w:rsid w:val="0095597C"/>
    <w:rsid w:val="00956EA3"/>
    <w:rsid w:val="00957002"/>
    <w:rsid w:val="00957807"/>
    <w:rsid w:val="00960ECB"/>
    <w:rsid w:val="009611C9"/>
    <w:rsid w:val="00961315"/>
    <w:rsid w:val="009617FB"/>
    <w:rsid w:val="00961A6C"/>
    <w:rsid w:val="00962CB9"/>
    <w:rsid w:val="009637C7"/>
    <w:rsid w:val="009642DD"/>
    <w:rsid w:val="00964312"/>
    <w:rsid w:val="0096448C"/>
    <w:rsid w:val="00965B8A"/>
    <w:rsid w:val="00965DE1"/>
    <w:rsid w:val="00966666"/>
    <w:rsid w:val="00966ABC"/>
    <w:rsid w:val="0096729B"/>
    <w:rsid w:val="00967322"/>
    <w:rsid w:val="00967725"/>
    <w:rsid w:val="009703F1"/>
    <w:rsid w:val="0097071F"/>
    <w:rsid w:val="0097141A"/>
    <w:rsid w:val="009717AC"/>
    <w:rsid w:val="00972299"/>
    <w:rsid w:val="00972EF5"/>
    <w:rsid w:val="009751C1"/>
    <w:rsid w:val="009752D3"/>
    <w:rsid w:val="009758B9"/>
    <w:rsid w:val="00976362"/>
    <w:rsid w:val="0097654E"/>
    <w:rsid w:val="00977074"/>
    <w:rsid w:val="00977471"/>
    <w:rsid w:val="00977948"/>
    <w:rsid w:val="00980A7E"/>
    <w:rsid w:val="009811F1"/>
    <w:rsid w:val="00981AF2"/>
    <w:rsid w:val="00982456"/>
    <w:rsid w:val="009827F7"/>
    <w:rsid w:val="009831BA"/>
    <w:rsid w:val="00983275"/>
    <w:rsid w:val="00983398"/>
    <w:rsid w:val="00983E57"/>
    <w:rsid w:val="00983EC8"/>
    <w:rsid w:val="009842DB"/>
    <w:rsid w:val="009847DD"/>
    <w:rsid w:val="00984A9A"/>
    <w:rsid w:val="00984E68"/>
    <w:rsid w:val="00985DE2"/>
    <w:rsid w:val="00985F7B"/>
    <w:rsid w:val="00986312"/>
    <w:rsid w:val="00986448"/>
    <w:rsid w:val="0098675D"/>
    <w:rsid w:val="00986A5B"/>
    <w:rsid w:val="009904ED"/>
    <w:rsid w:val="009926E0"/>
    <w:rsid w:val="009939BB"/>
    <w:rsid w:val="0099451E"/>
    <w:rsid w:val="0099587A"/>
    <w:rsid w:val="00995CAA"/>
    <w:rsid w:val="00995CE9"/>
    <w:rsid w:val="009962D6"/>
    <w:rsid w:val="00996611"/>
    <w:rsid w:val="009966E3"/>
    <w:rsid w:val="00996B1A"/>
    <w:rsid w:val="009A15B8"/>
    <w:rsid w:val="009A1C29"/>
    <w:rsid w:val="009A1D47"/>
    <w:rsid w:val="009A230F"/>
    <w:rsid w:val="009A2DCC"/>
    <w:rsid w:val="009A4340"/>
    <w:rsid w:val="009A5000"/>
    <w:rsid w:val="009A59D7"/>
    <w:rsid w:val="009A5ABC"/>
    <w:rsid w:val="009A6816"/>
    <w:rsid w:val="009A6DE1"/>
    <w:rsid w:val="009A7246"/>
    <w:rsid w:val="009A73A3"/>
    <w:rsid w:val="009A7F10"/>
    <w:rsid w:val="009B0267"/>
    <w:rsid w:val="009B1242"/>
    <w:rsid w:val="009B1FDF"/>
    <w:rsid w:val="009B3532"/>
    <w:rsid w:val="009B35DA"/>
    <w:rsid w:val="009B3E26"/>
    <w:rsid w:val="009B40C3"/>
    <w:rsid w:val="009B4925"/>
    <w:rsid w:val="009B4B0B"/>
    <w:rsid w:val="009B717E"/>
    <w:rsid w:val="009C00B5"/>
    <w:rsid w:val="009C1407"/>
    <w:rsid w:val="009C1444"/>
    <w:rsid w:val="009C15B5"/>
    <w:rsid w:val="009C2023"/>
    <w:rsid w:val="009C263B"/>
    <w:rsid w:val="009C288D"/>
    <w:rsid w:val="009C3706"/>
    <w:rsid w:val="009C3A3A"/>
    <w:rsid w:val="009C4B0A"/>
    <w:rsid w:val="009C5277"/>
    <w:rsid w:val="009C5289"/>
    <w:rsid w:val="009C6CE4"/>
    <w:rsid w:val="009C6CEA"/>
    <w:rsid w:val="009C7B85"/>
    <w:rsid w:val="009C7FEC"/>
    <w:rsid w:val="009D0254"/>
    <w:rsid w:val="009D085E"/>
    <w:rsid w:val="009D089D"/>
    <w:rsid w:val="009D0B4E"/>
    <w:rsid w:val="009D103E"/>
    <w:rsid w:val="009D1053"/>
    <w:rsid w:val="009D1A64"/>
    <w:rsid w:val="009D5B91"/>
    <w:rsid w:val="009D6DAD"/>
    <w:rsid w:val="009D792E"/>
    <w:rsid w:val="009D7DCA"/>
    <w:rsid w:val="009E0203"/>
    <w:rsid w:val="009E0894"/>
    <w:rsid w:val="009E0DFE"/>
    <w:rsid w:val="009E0E30"/>
    <w:rsid w:val="009E187E"/>
    <w:rsid w:val="009E31F6"/>
    <w:rsid w:val="009E3C64"/>
    <w:rsid w:val="009E4C07"/>
    <w:rsid w:val="009E5854"/>
    <w:rsid w:val="009E5910"/>
    <w:rsid w:val="009E798F"/>
    <w:rsid w:val="009F0B36"/>
    <w:rsid w:val="009F2349"/>
    <w:rsid w:val="009F368D"/>
    <w:rsid w:val="009F3E1E"/>
    <w:rsid w:val="009F46AD"/>
    <w:rsid w:val="009F47A0"/>
    <w:rsid w:val="009F49EB"/>
    <w:rsid w:val="009F6DE6"/>
    <w:rsid w:val="009F6FD6"/>
    <w:rsid w:val="009F7001"/>
    <w:rsid w:val="009F740A"/>
    <w:rsid w:val="009F7E1E"/>
    <w:rsid w:val="009FE144"/>
    <w:rsid w:val="00A002BD"/>
    <w:rsid w:val="00A01184"/>
    <w:rsid w:val="00A01BE2"/>
    <w:rsid w:val="00A022F1"/>
    <w:rsid w:val="00A037C2"/>
    <w:rsid w:val="00A03A6B"/>
    <w:rsid w:val="00A03D43"/>
    <w:rsid w:val="00A03FB7"/>
    <w:rsid w:val="00A04380"/>
    <w:rsid w:val="00A04CF1"/>
    <w:rsid w:val="00A05472"/>
    <w:rsid w:val="00A05C32"/>
    <w:rsid w:val="00A0653F"/>
    <w:rsid w:val="00A0676F"/>
    <w:rsid w:val="00A067B1"/>
    <w:rsid w:val="00A07773"/>
    <w:rsid w:val="00A07B04"/>
    <w:rsid w:val="00A113E5"/>
    <w:rsid w:val="00A115B2"/>
    <w:rsid w:val="00A1162D"/>
    <w:rsid w:val="00A11CD0"/>
    <w:rsid w:val="00A128E3"/>
    <w:rsid w:val="00A13948"/>
    <w:rsid w:val="00A139B7"/>
    <w:rsid w:val="00A14A0F"/>
    <w:rsid w:val="00A1555B"/>
    <w:rsid w:val="00A155C5"/>
    <w:rsid w:val="00A15B04"/>
    <w:rsid w:val="00A166FD"/>
    <w:rsid w:val="00A16AD8"/>
    <w:rsid w:val="00A16C79"/>
    <w:rsid w:val="00A16DAF"/>
    <w:rsid w:val="00A16E43"/>
    <w:rsid w:val="00A17406"/>
    <w:rsid w:val="00A203BC"/>
    <w:rsid w:val="00A206C2"/>
    <w:rsid w:val="00A20E7E"/>
    <w:rsid w:val="00A21C95"/>
    <w:rsid w:val="00A21CF3"/>
    <w:rsid w:val="00A225BB"/>
    <w:rsid w:val="00A23C8A"/>
    <w:rsid w:val="00A24813"/>
    <w:rsid w:val="00A25070"/>
    <w:rsid w:val="00A25801"/>
    <w:rsid w:val="00A259CE"/>
    <w:rsid w:val="00A25E33"/>
    <w:rsid w:val="00A25F64"/>
    <w:rsid w:val="00A26D08"/>
    <w:rsid w:val="00A2733D"/>
    <w:rsid w:val="00A27AEC"/>
    <w:rsid w:val="00A3013C"/>
    <w:rsid w:val="00A312CA"/>
    <w:rsid w:val="00A320DB"/>
    <w:rsid w:val="00A33B43"/>
    <w:rsid w:val="00A35D16"/>
    <w:rsid w:val="00A37BCD"/>
    <w:rsid w:val="00A41689"/>
    <w:rsid w:val="00A41C24"/>
    <w:rsid w:val="00A41FAD"/>
    <w:rsid w:val="00A42592"/>
    <w:rsid w:val="00A43C59"/>
    <w:rsid w:val="00A44C41"/>
    <w:rsid w:val="00A45332"/>
    <w:rsid w:val="00A459D3"/>
    <w:rsid w:val="00A4654F"/>
    <w:rsid w:val="00A4687D"/>
    <w:rsid w:val="00A4764B"/>
    <w:rsid w:val="00A47722"/>
    <w:rsid w:val="00A47A81"/>
    <w:rsid w:val="00A500B9"/>
    <w:rsid w:val="00A5092C"/>
    <w:rsid w:val="00A50C2C"/>
    <w:rsid w:val="00A50ECD"/>
    <w:rsid w:val="00A516B6"/>
    <w:rsid w:val="00A518F3"/>
    <w:rsid w:val="00A52729"/>
    <w:rsid w:val="00A52B84"/>
    <w:rsid w:val="00A53594"/>
    <w:rsid w:val="00A53675"/>
    <w:rsid w:val="00A54FA4"/>
    <w:rsid w:val="00A56023"/>
    <w:rsid w:val="00A564D7"/>
    <w:rsid w:val="00A56B6A"/>
    <w:rsid w:val="00A5766E"/>
    <w:rsid w:val="00A578DC"/>
    <w:rsid w:val="00A61F14"/>
    <w:rsid w:val="00A627BF"/>
    <w:rsid w:val="00A62CCD"/>
    <w:rsid w:val="00A63506"/>
    <w:rsid w:val="00A640E2"/>
    <w:rsid w:val="00A64D65"/>
    <w:rsid w:val="00A64F34"/>
    <w:rsid w:val="00A668E0"/>
    <w:rsid w:val="00A6725B"/>
    <w:rsid w:val="00A67766"/>
    <w:rsid w:val="00A67830"/>
    <w:rsid w:val="00A70605"/>
    <w:rsid w:val="00A715D6"/>
    <w:rsid w:val="00A71B84"/>
    <w:rsid w:val="00A72BEB"/>
    <w:rsid w:val="00A73134"/>
    <w:rsid w:val="00A731F6"/>
    <w:rsid w:val="00A732A2"/>
    <w:rsid w:val="00A73935"/>
    <w:rsid w:val="00A73B15"/>
    <w:rsid w:val="00A74704"/>
    <w:rsid w:val="00A74944"/>
    <w:rsid w:val="00A758CB"/>
    <w:rsid w:val="00A75F56"/>
    <w:rsid w:val="00A76001"/>
    <w:rsid w:val="00A7765B"/>
    <w:rsid w:val="00A777B2"/>
    <w:rsid w:val="00A77A6B"/>
    <w:rsid w:val="00A77FBE"/>
    <w:rsid w:val="00A80279"/>
    <w:rsid w:val="00A81141"/>
    <w:rsid w:val="00A813F1"/>
    <w:rsid w:val="00A8184E"/>
    <w:rsid w:val="00A825D4"/>
    <w:rsid w:val="00A827E1"/>
    <w:rsid w:val="00A828F6"/>
    <w:rsid w:val="00A82B1E"/>
    <w:rsid w:val="00A82B73"/>
    <w:rsid w:val="00A82BF5"/>
    <w:rsid w:val="00A833E9"/>
    <w:rsid w:val="00A83EC4"/>
    <w:rsid w:val="00A84314"/>
    <w:rsid w:val="00A85481"/>
    <w:rsid w:val="00A85A95"/>
    <w:rsid w:val="00A86DBD"/>
    <w:rsid w:val="00A86E3C"/>
    <w:rsid w:val="00A86E8B"/>
    <w:rsid w:val="00A87164"/>
    <w:rsid w:val="00A8790E"/>
    <w:rsid w:val="00A90CC5"/>
    <w:rsid w:val="00A9158E"/>
    <w:rsid w:val="00A918E8"/>
    <w:rsid w:val="00A93072"/>
    <w:rsid w:val="00A937DF"/>
    <w:rsid w:val="00A938BD"/>
    <w:rsid w:val="00A93953"/>
    <w:rsid w:val="00A93A3B"/>
    <w:rsid w:val="00A93FE6"/>
    <w:rsid w:val="00A944B8"/>
    <w:rsid w:val="00A94731"/>
    <w:rsid w:val="00A94EA4"/>
    <w:rsid w:val="00A95570"/>
    <w:rsid w:val="00A959D8"/>
    <w:rsid w:val="00A96FB8"/>
    <w:rsid w:val="00A970DD"/>
    <w:rsid w:val="00A973AB"/>
    <w:rsid w:val="00A97E2A"/>
    <w:rsid w:val="00AA0613"/>
    <w:rsid w:val="00AA0E3F"/>
    <w:rsid w:val="00AA113D"/>
    <w:rsid w:val="00AA1A20"/>
    <w:rsid w:val="00AA3190"/>
    <w:rsid w:val="00AA3412"/>
    <w:rsid w:val="00AA3DE5"/>
    <w:rsid w:val="00AA595B"/>
    <w:rsid w:val="00AA5E4F"/>
    <w:rsid w:val="00AA65D4"/>
    <w:rsid w:val="00AA6BD5"/>
    <w:rsid w:val="00AA6BD8"/>
    <w:rsid w:val="00AA6C7D"/>
    <w:rsid w:val="00AA7FD6"/>
    <w:rsid w:val="00AB042A"/>
    <w:rsid w:val="00AB19EF"/>
    <w:rsid w:val="00AB2D34"/>
    <w:rsid w:val="00AB2D5A"/>
    <w:rsid w:val="00AB2D5B"/>
    <w:rsid w:val="00AB2F2F"/>
    <w:rsid w:val="00AB2F37"/>
    <w:rsid w:val="00AB3430"/>
    <w:rsid w:val="00AB3727"/>
    <w:rsid w:val="00AB37B9"/>
    <w:rsid w:val="00AB4032"/>
    <w:rsid w:val="00AB405E"/>
    <w:rsid w:val="00AB4AD1"/>
    <w:rsid w:val="00AB5396"/>
    <w:rsid w:val="00AB5E07"/>
    <w:rsid w:val="00AB6BD2"/>
    <w:rsid w:val="00AB7CFA"/>
    <w:rsid w:val="00AC112B"/>
    <w:rsid w:val="00AC1866"/>
    <w:rsid w:val="00AC1E31"/>
    <w:rsid w:val="00AC1EC5"/>
    <w:rsid w:val="00AC2800"/>
    <w:rsid w:val="00AC40DD"/>
    <w:rsid w:val="00AC5B48"/>
    <w:rsid w:val="00AC5B69"/>
    <w:rsid w:val="00AC5DB3"/>
    <w:rsid w:val="00AC5DFE"/>
    <w:rsid w:val="00AC613F"/>
    <w:rsid w:val="00AC6386"/>
    <w:rsid w:val="00AC6A5E"/>
    <w:rsid w:val="00AC75B3"/>
    <w:rsid w:val="00AD108F"/>
    <w:rsid w:val="00AD1450"/>
    <w:rsid w:val="00AD1D40"/>
    <w:rsid w:val="00AD2F6C"/>
    <w:rsid w:val="00AD34E5"/>
    <w:rsid w:val="00AD36E3"/>
    <w:rsid w:val="00AD3ACC"/>
    <w:rsid w:val="00AD52FF"/>
    <w:rsid w:val="00AD5E77"/>
    <w:rsid w:val="00AD6502"/>
    <w:rsid w:val="00AD6A97"/>
    <w:rsid w:val="00AD7EC3"/>
    <w:rsid w:val="00AE0695"/>
    <w:rsid w:val="00AE0FD1"/>
    <w:rsid w:val="00AE26CE"/>
    <w:rsid w:val="00AE2951"/>
    <w:rsid w:val="00AE3C2C"/>
    <w:rsid w:val="00AE3E7E"/>
    <w:rsid w:val="00AE4048"/>
    <w:rsid w:val="00AE45EF"/>
    <w:rsid w:val="00AE4702"/>
    <w:rsid w:val="00AE5E56"/>
    <w:rsid w:val="00AE70A3"/>
    <w:rsid w:val="00AF1315"/>
    <w:rsid w:val="00AF19BF"/>
    <w:rsid w:val="00AF2677"/>
    <w:rsid w:val="00AF2DC3"/>
    <w:rsid w:val="00AF2F9B"/>
    <w:rsid w:val="00AF4273"/>
    <w:rsid w:val="00AF4749"/>
    <w:rsid w:val="00AF59BE"/>
    <w:rsid w:val="00AF5C6E"/>
    <w:rsid w:val="00AF5F1A"/>
    <w:rsid w:val="00AF6478"/>
    <w:rsid w:val="00AF6F97"/>
    <w:rsid w:val="00B00165"/>
    <w:rsid w:val="00B01546"/>
    <w:rsid w:val="00B01E4B"/>
    <w:rsid w:val="00B01F18"/>
    <w:rsid w:val="00B027D1"/>
    <w:rsid w:val="00B02B24"/>
    <w:rsid w:val="00B02CF6"/>
    <w:rsid w:val="00B032A8"/>
    <w:rsid w:val="00B033E5"/>
    <w:rsid w:val="00B03852"/>
    <w:rsid w:val="00B03A63"/>
    <w:rsid w:val="00B03C42"/>
    <w:rsid w:val="00B05E01"/>
    <w:rsid w:val="00B0701B"/>
    <w:rsid w:val="00B07793"/>
    <w:rsid w:val="00B10547"/>
    <w:rsid w:val="00B12E4E"/>
    <w:rsid w:val="00B12FE7"/>
    <w:rsid w:val="00B13705"/>
    <w:rsid w:val="00B13A38"/>
    <w:rsid w:val="00B14436"/>
    <w:rsid w:val="00B14F8C"/>
    <w:rsid w:val="00B1590C"/>
    <w:rsid w:val="00B1603F"/>
    <w:rsid w:val="00B16492"/>
    <w:rsid w:val="00B17240"/>
    <w:rsid w:val="00B17B61"/>
    <w:rsid w:val="00B17E29"/>
    <w:rsid w:val="00B201A4"/>
    <w:rsid w:val="00B201D1"/>
    <w:rsid w:val="00B20F3D"/>
    <w:rsid w:val="00B213A6"/>
    <w:rsid w:val="00B221EC"/>
    <w:rsid w:val="00B235B0"/>
    <w:rsid w:val="00B23C02"/>
    <w:rsid w:val="00B241DF"/>
    <w:rsid w:val="00B2470C"/>
    <w:rsid w:val="00B24DF6"/>
    <w:rsid w:val="00B254DB"/>
    <w:rsid w:val="00B26BB1"/>
    <w:rsid w:val="00B30868"/>
    <w:rsid w:val="00B3090D"/>
    <w:rsid w:val="00B30D3B"/>
    <w:rsid w:val="00B30D8E"/>
    <w:rsid w:val="00B32C52"/>
    <w:rsid w:val="00B32E6B"/>
    <w:rsid w:val="00B349B8"/>
    <w:rsid w:val="00B34F98"/>
    <w:rsid w:val="00B34FE2"/>
    <w:rsid w:val="00B35044"/>
    <w:rsid w:val="00B35166"/>
    <w:rsid w:val="00B357D8"/>
    <w:rsid w:val="00B35E26"/>
    <w:rsid w:val="00B360F4"/>
    <w:rsid w:val="00B36206"/>
    <w:rsid w:val="00B36A00"/>
    <w:rsid w:val="00B37BFC"/>
    <w:rsid w:val="00B40358"/>
    <w:rsid w:val="00B41614"/>
    <w:rsid w:val="00B41637"/>
    <w:rsid w:val="00B42535"/>
    <w:rsid w:val="00B42851"/>
    <w:rsid w:val="00B42F80"/>
    <w:rsid w:val="00B435CB"/>
    <w:rsid w:val="00B437B8"/>
    <w:rsid w:val="00B44DCE"/>
    <w:rsid w:val="00B45C15"/>
    <w:rsid w:val="00B4639E"/>
    <w:rsid w:val="00B47C55"/>
    <w:rsid w:val="00B5001C"/>
    <w:rsid w:val="00B505C8"/>
    <w:rsid w:val="00B50DB8"/>
    <w:rsid w:val="00B529C5"/>
    <w:rsid w:val="00B52B08"/>
    <w:rsid w:val="00B52ED2"/>
    <w:rsid w:val="00B52FB5"/>
    <w:rsid w:val="00B53654"/>
    <w:rsid w:val="00B53905"/>
    <w:rsid w:val="00B54B5B"/>
    <w:rsid w:val="00B5510E"/>
    <w:rsid w:val="00B5562E"/>
    <w:rsid w:val="00B55D65"/>
    <w:rsid w:val="00B563F5"/>
    <w:rsid w:val="00B56902"/>
    <w:rsid w:val="00B57000"/>
    <w:rsid w:val="00B601C8"/>
    <w:rsid w:val="00B60939"/>
    <w:rsid w:val="00B60AFD"/>
    <w:rsid w:val="00B62715"/>
    <w:rsid w:val="00B63ECF"/>
    <w:rsid w:val="00B640B5"/>
    <w:rsid w:val="00B65082"/>
    <w:rsid w:val="00B65611"/>
    <w:rsid w:val="00B66919"/>
    <w:rsid w:val="00B670EC"/>
    <w:rsid w:val="00B6794A"/>
    <w:rsid w:val="00B67D34"/>
    <w:rsid w:val="00B70E8E"/>
    <w:rsid w:val="00B71E05"/>
    <w:rsid w:val="00B7213A"/>
    <w:rsid w:val="00B72895"/>
    <w:rsid w:val="00B72FC6"/>
    <w:rsid w:val="00B737C5"/>
    <w:rsid w:val="00B740B0"/>
    <w:rsid w:val="00B75B57"/>
    <w:rsid w:val="00B7688C"/>
    <w:rsid w:val="00B76C92"/>
    <w:rsid w:val="00B80B1B"/>
    <w:rsid w:val="00B8174C"/>
    <w:rsid w:val="00B818A4"/>
    <w:rsid w:val="00B82315"/>
    <w:rsid w:val="00B84117"/>
    <w:rsid w:val="00B858F0"/>
    <w:rsid w:val="00B85AA2"/>
    <w:rsid w:val="00B8649C"/>
    <w:rsid w:val="00B8695D"/>
    <w:rsid w:val="00B87B55"/>
    <w:rsid w:val="00B87F0A"/>
    <w:rsid w:val="00B91AA6"/>
    <w:rsid w:val="00B92D0B"/>
    <w:rsid w:val="00B93173"/>
    <w:rsid w:val="00B93C84"/>
    <w:rsid w:val="00B9457B"/>
    <w:rsid w:val="00B94945"/>
    <w:rsid w:val="00B94C78"/>
    <w:rsid w:val="00B94DD6"/>
    <w:rsid w:val="00B95A9C"/>
    <w:rsid w:val="00B95D53"/>
    <w:rsid w:val="00B970E3"/>
    <w:rsid w:val="00B97234"/>
    <w:rsid w:val="00B974C3"/>
    <w:rsid w:val="00B97A08"/>
    <w:rsid w:val="00B97AD5"/>
    <w:rsid w:val="00BA0753"/>
    <w:rsid w:val="00BA0D00"/>
    <w:rsid w:val="00BA322D"/>
    <w:rsid w:val="00BA51BF"/>
    <w:rsid w:val="00BA52C0"/>
    <w:rsid w:val="00BA63FA"/>
    <w:rsid w:val="00BA665B"/>
    <w:rsid w:val="00BA68A4"/>
    <w:rsid w:val="00BA7230"/>
    <w:rsid w:val="00BB00B3"/>
    <w:rsid w:val="00BB0BDD"/>
    <w:rsid w:val="00BB0FDD"/>
    <w:rsid w:val="00BB121D"/>
    <w:rsid w:val="00BB176C"/>
    <w:rsid w:val="00BB2A73"/>
    <w:rsid w:val="00BB3A45"/>
    <w:rsid w:val="00BB3B69"/>
    <w:rsid w:val="00BB3BD9"/>
    <w:rsid w:val="00BB4317"/>
    <w:rsid w:val="00BB4ACC"/>
    <w:rsid w:val="00BB558E"/>
    <w:rsid w:val="00BB5701"/>
    <w:rsid w:val="00BB5DBC"/>
    <w:rsid w:val="00BB703E"/>
    <w:rsid w:val="00BB7167"/>
    <w:rsid w:val="00BB732D"/>
    <w:rsid w:val="00BB7405"/>
    <w:rsid w:val="00BB7A9C"/>
    <w:rsid w:val="00BC0E73"/>
    <w:rsid w:val="00BC2497"/>
    <w:rsid w:val="00BC34D2"/>
    <w:rsid w:val="00BC3631"/>
    <w:rsid w:val="00BC4680"/>
    <w:rsid w:val="00BC4F46"/>
    <w:rsid w:val="00BC591F"/>
    <w:rsid w:val="00BC641A"/>
    <w:rsid w:val="00BC6457"/>
    <w:rsid w:val="00BC6CDB"/>
    <w:rsid w:val="00BC764A"/>
    <w:rsid w:val="00BC77FE"/>
    <w:rsid w:val="00BC7D6D"/>
    <w:rsid w:val="00BD1BB8"/>
    <w:rsid w:val="00BD1DE5"/>
    <w:rsid w:val="00BD1E9F"/>
    <w:rsid w:val="00BD2108"/>
    <w:rsid w:val="00BD43FC"/>
    <w:rsid w:val="00BD4959"/>
    <w:rsid w:val="00BD51DA"/>
    <w:rsid w:val="00BD68A3"/>
    <w:rsid w:val="00BD6938"/>
    <w:rsid w:val="00BD6CF3"/>
    <w:rsid w:val="00BD7E08"/>
    <w:rsid w:val="00BD7E3E"/>
    <w:rsid w:val="00BE046E"/>
    <w:rsid w:val="00BE061C"/>
    <w:rsid w:val="00BE0786"/>
    <w:rsid w:val="00BE0CCF"/>
    <w:rsid w:val="00BE0ECA"/>
    <w:rsid w:val="00BE1084"/>
    <w:rsid w:val="00BE1705"/>
    <w:rsid w:val="00BE1CF4"/>
    <w:rsid w:val="00BE2180"/>
    <w:rsid w:val="00BE21F2"/>
    <w:rsid w:val="00BE346B"/>
    <w:rsid w:val="00BE3E56"/>
    <w:rsid w:val="00BE4275"/>
    <w:rsid w:val="00BE6817"/>
    <w:rsid w:val="00BE6E8D"/>
    <w:rsid w:val="00BE6E98"/>
    <w:rsid w:val="00BF06AE"/>
    <w:rsid w:val="00BF0F95"/>
    <w:rsid w:val="00BF1809"/>
    <w:rsid w:val="00BF2433"/>
    <w:rsid w:val="00BF3CE5"/>
    <w:rsid w:val="00BF3F38"/>
    <w:rsid w:val="00BF4D14"/>
    <w:rsid w:val="00BF5209"/>
    <w:rsid w:val="00BF61C9"/>
    <w:rsid w:val="00BF6C94"/>
    <w:rsid w:val="00BF7494"/>
    <w:rsid w:val="00BF79BE"/>
    <w:rsid w:val="00C00424"/>
    <w:rsid w:val="00C0069B"/>
    <w:rsid w:val="00C00AC6"/>
    <w:rsid w:val="00C00B43"/>
    <w:rsid w:val="00C0146B"/>
    <w:rsid w:val="00C01545"/>
    <w:rsid w:val="00C024CB"/>
    <w:rsid w:val="00C029DD"/>
    <w:rsid w:val="00C03738"/>
    <w:rsid w:val="00C03B80"/>
    <w:rsid w:val="00C040FB"/>
    <w:rsid w:val="00C04485"/>
    <w:rsid w:val="00C05120"/>
    <w:rsid w:val="00C05551"/>
    <w:rsid w:val="00C0566A"/>
    <w:rsid w:val="00C05CF8"/>
    <w:rsid w:val="00C05D4F"/>
    <w:rsid w:val="00C06E91"/>
    <w:rsid w:val="00C07062"/>
    <w:rsid w:val="00C07616"/>
    <w:rsid w:val="00C07B49"/>
    <w:rsid w:val="00C1179F"/>
    <w:rsid w:val="00C117AE"/>
    <w:rsid w:val="00C1201B"/>
    <w:rsid w:val="00C12C14"/>
    <w:rsid w:val="00C12D92"/>
    <w:rsid w:val="00C146F3"/>
    <w:rsid w:val="00C14A5F"/>
    <w:rsid w:val="00C151D4"/>
    <w:rsid w:val="00C155C4"/>
    <w:rsid w:val="00C1582A"/>
    <w:rsid w:val="00C159D2"/>
    <w:rsid w:val="00C15B16"/>
    <w:rsid w:val="00C15F04"/>
    <w:rsid w:val="00C16101"/>
    <w:rsid w:val="00C17518"/>
    <w:rsid w:val="00C17668"/>
    <w:rsid w:val="00C179B3"/>
    <w:rsid w:val="00C17E3F"/>
    <w:rsid w:val="00C2008B"/>
    <w:rsid w:val="00C200AA"/>
    <w:rsid w:val="00C22CB2"/>
    <w:rsid w:val="00C237ED"/>
    <w:rsid w:val="00C2381A"/>
    <w:rsid w:val="00C24632"/>
    <w:rsid w:val="00C24E7A"/>
    <w:rsid w:val="00C2502F"/>
    <w:rsid w:val="00C25418"/>
    <w:rsid w:val="00C2569A"/>
    <w:rsid w:val="00C25D9C"/>
    <w:rsid w:val="00C25EB5"/>
    <w:rsid w:val="00C2778B"/>
    <w:rsid w:val="00C27BB0"/>
    <w:rsid w:val="00C27BC7"/>
    <w:rsid w:val="00C30156"/>
    <w:rsid w:val="00C31649"/>
    <w:rsid w:val="00C31994"/>
    <w:rsid w:val="00C32728"/>
    <w:rsid w:val="00C32BA2"/>
    <w:rsid w:val="00C33615"/>
    <w:rsid w:val="00C339E8"/>
    <w:rsid w:val="00C33CD5"/>
    <w:rsid w:val="00C3434C"/>
    <w:rsid w:val="00C343ED"/>
    <w:rsid w:val="00C347D9"/>
    <w:rsid w:val="00C34F1D"/>
    <w:rsid w:val="00C36726"/>
    <w:rsid w:val="00C36B89"/>
    <w:rsid w:val="00C40385"/>
    <w:rsid w:val="00C41390"/>
    <w:rsid w:val="00C413FB"/>
    <w:rsid w:val="00C41768"/>
    <w:rsid w:val="00C4181F"/>
    <w:rsid w:val="00C419F0"/>
    <w:rsid w:val="00C4260F"/>
    <w:rsid w:val="00C4281A"/>
    <w:rsid w:val="00C42EC5"/>
    <w:rsid w:val="00C4339E"/>
    <w:rsid w:val="00C4535A"/>
    <w:rsid w:val="00C462F6"/>
    <w:rsid w:val="00C46A74"/>
    <w:rsid w:val="00C475AA"/>
    <w:rsid w:val="00C50F9F"/>
    <w:rsid w:val="00C511D6"/>
    <w:rsid w:val="00C52BA6"/>
    <w:rsid w:val="00C53C98"/>
    <w:rsid w:val="00C541CD"/>
    <w:rsid w:val="00C54999"/>
    <w:rsid w:val="00C557A5"/>
    <w:rsid w:val="00C55AEF"/>
    <w:rsid w:val="00C55FBA"/>
    <w:rsid w:val="00C56FCF"/>
    <w:rsid w:val="00C57B6C"/>
    <w:rsid w:val="00C602FE"/>
    <w:rsid w:val="00C60381"/>
    <w:rsid w:val="00C60CF5"/>
    <w:rsid w:val="00C6166D"/>
    <w:rsid w:val="00C618CE"/>
    <w:rsid w:val="00C625A4"/>
    <w:rsid w:val="00C628A6"/>
    <w:rsid w:val="00C63187"/>
    <w:rsid w:val="00C63D43"/>
    <w:rsid w:val="00C63E6C"/>
    <w:rsid w:val="00C64344"/>
    <w:rsid w:val="00C643DC"/>
    <w:rsid w:val="00C64613"/>
    <w:rsid w:val="00C65108"/>
    <w:rsid w:val="00C65576"/>
    <w:rsid w:val="00C65ADE"/>
    <w:rsid w:val="00C6608B"/>
    <w:rsid w:val="00C66165"/>
    <w:rsid w:val="00C665B0"/>
    <w:rsid w:val="00C666C4"/>
    <w:rsid w:val="00C667D3"/>
    <w:rsid w:val="00C6786D"/>
    <w:rsid w:val="00C67B42"/>
    <w:rsid w:val="00C7060A"/>
    <w:rsid w:val="00C7151A"/>
    <w:rsid w:val="00C71614"/>
    <w:rsid w:val="00C7174E"/>
    <w:rsid w:val="00C717E3"/>
    <w:rsid w:val="00C71F60"/>
    <w:rsid w:val="00C72241"/>
    <w:rsid w:val="00C722DC"/>
    <w:rsid w:val="00C73CB1"/>
    <w:rsid w:val="00C73FB1"/>
    <w:rsid w:val="00C73FC0"/>
    <w:rsid w:val="00C74277"/>
    <w:rsid w:val="00C74F5C"/>
    <w:rsid w:val="00C74FCD"/>
    <w:rsid w:val="00C74FF7"/>
    <w:rsid w:val="00C750C8"/>
    <w:rsid w:val="00C7560F"/>
    <w:rsid w:val="00C7611C"/>
    <w:rsid w:val="00C802A9"/>
    <w:rsid w:val="00C8092F"/>
    <w:rsid w:val="00C80A0E"/>
    <w:rsid w:val="00C81506"/>
    <w:rsid w:val="00C81521"/>
    <w:rsid w:val="00C815AC"/>
    <w:rsid w:val="00C81628"/>
    <w:rsid w:val="00C817DC"/>
    <w:rsid w:val="00C81C72"/>
    <w:rsid w:val="00C8204C"/>
    <w:rsid w:val="00C8213F"/>
    <w:rsid w:val="00C821B9"/>
    <w:rsid w:val="00C82790"/>
    <w:rsid w:val="00C82E8E"/>
    <w:rsid w:val="00C831F1"/>
    <w:rsid w:val="00C83690"/>
    <w:rsid w:val="00C8485B"/>
    <w:rsid w:val="00C85154"/>
    <w:rsid w:val="00C869CE"/>
    <w:rsid w:val="00C86A09"/>
    <w:rsid w:val="00C86CF5"/>
    <w:rsid w:val="00C86EF7"/>
    <w:rsid w:val="00C87778"/>
    <w:rsid w:val="00C8797A"/>
    <w:rsid w:val="00C879DD"/>
    <w:rsid w:val="00C87B11"/>
    <w:rsid w:val="00C87D15"/>
    <w:rsid w:val="00C900B8"/>
    <w:rsid w:val="00C90202"/>
    <w:rsid w:val="00C90C71"/>
    <w:rsid w:val="00C91402"/>
    <w:rsid w:val="00C91FD1"/>
    <w:rsid w:val="00C9272F"/>
    <w:rsid w:val="00C931CF"/>
    <w:rsid w:val="00C938B4"/>
    <w:rsid w:val="00C938CF"/>
    <w:rsid w:val="00C93B7F"/>
    <w:rsid w:val="00C94053"/>
    <w:rsid w:val="00C956AB"/>
    <w:rsid w:val="00C9624D"/>
    <w:rsid w:val="00C969DA"/>
    <w:rsid w:val="00C96D4B"/>
    <w:rsid w:val="00C96F5E"/>
    <w:rsid w:val="00C97042"/>
    <w:rsid w:val="00C97802"/>
    <w:rsid w:val="00CA0314"/>
    <w:rsid w:val="00CA03A7"/>
    <w:rsid w:val="00CA0E59"/>
    <w:rsid w:val="00CA10E5"/>
    <w:rsid w:val="00CA17A8"/>
    <w:rsid w:val="00CA23AC"/>
    <w:rsid w:val="00CA2C77"/>
    <w:rsid w:val="00CA3076"/>
    <w:rsid w:val="00CA3AFD"/>
    <w:rsid w:val="00CA3B12"/>
    <w:rsid w:val="00CA4032"/>
    <w:rsid w:val="00CA444F"/>
    <w:rsid w:val="00CA5245"/>
    <w:rsid w:val="00CA5863"/>
    <w:rsid w:val="00CA5923"/>
    <w:rsid w:val="00CA5F6C"/>
    <w:rsid w:val="00CA6224"/>
    <w:rsid w:val="00CA6D98"/>
    <w:rsid w:val="00CA700F"/>
    <w:rsid w:val="00CA7188"/>
    <w:rsid w:val="00CA71F4"/>
    <w:rsid w:val="00CA7B09"/>
    <w:rsid w:val="00CA7E68"/>
    <w:rsid w:val="00CB051F"/>
    <w:rsid w:val="00CB0B1F"/>
    <w:rsid w:val="00CB12A5"/>
    <w:rsid w:val="00CB1CAC"/>
    <w:rsid w:val="00CB1D9D"/>
    <w:rsid w:val="00CB2256"/>
    <w:rsid w:val="00CB2DAE"/>
    <w:rsid w:val="00CB2F2A"/>
    <w:rsid w:val="00CB34E9"/>
    <w:rsid w:val="00CB4769"/>
    <w:rsid w:val="00CB56D5"/>
    <w:rsid w:val="00CB5B1A"/>
    <w:rsid w:val="00CB68BB"/>
    <w:rsid w:val="00CB698D"/>
    <w:rsid w:val="00CB6B22"/>
    <w:rsid w:val="00CB7844"/>
    <w:rsid w:val="00CB7BAC"/>
    <w:rsid w:val="00CB7F5F"/>
    <w:rsid w:val="00CC122B"/>
    <w:rsid w:val="00CC15AD"/>
    <w:rsid w:val="00CC1B39"/>
    <w:rsid w:val="00CC1E36"/>
    <w:rsid w:val="00CC33F8"/>
    <w:rsid w:val="00CC35EA"/>
    <w:rsid w:val="00CC3848"/>
    <w:rsid w:val="00CC38A8"/>
    <w:rsid w:val="00CC3C00"/>
    <w:rsid w:val="00CC4150"/>
    <w:rsid w:val="00CC4413"/>
    <w:rsid w:val="00CC567B"/>
    <w:rsid w:val="00CC65C6"/>
    <w:rsid w:val="00CC7512"/>
    <w:rsid w:val="00CC7CCB"/>
    <w:rsid w:val="00CD193A"/>
    <w:rsid w:val="00CD3F77"/>
    <w:rsid w:val="00CD4A64"/>
    <w:rsid w:val="00CD5952"/>
    <w:rsid w:val="00CD5E35"/>
    <w:rsid w:val="00CD68DC"/>
    <w:rsid w:val="00CD6ADC"/>
    <w:rsid w:val="00CD6B24"/>
    <w:rsid w:val="00CD708C"/>
    <w:rsid w:val="00CD7193"/>
    <w:rsid w:val="00CD78B4"/>
    <w:rsid w:val="00CD7968"/>
    <w:rsid w:val="00CE01D7"/>
    <w:rsid w:val="00CE0F8D"/>
    <w:rsid w:val="00CE1EAE"/>
    <w:rsid w:val="00CE20A7"/>
    <w:rsid w:val="00CE2AE4"/>
    <w:rsid w:val="00CE32F5"/>
    <w:rsid w:val="00CE38C8"/>
    <w:rsid w:val="00CE42D5"/>
    <w:rsid w:val="00CE432D"/>
    <w:rsid w:val="00CE4921"/>
    <w:rsid w:val="00CE5014"/>
    <w:rsid w:val="00CE5475"/>
    <w:rsid w:val="00CE5A0D"/>
    <w:rsid w:val="00CE6274"/>
    <w:rsid w:val="00CE62A7"/>
    <w:rsid w:val="00CE6C9F"/>
    <w:rsid w:val="00CE77B6"/>
    <w:rsid w:val="00CE7FCB"/>
    <w:rsid w:val="00CF2A53"/>
    <w:rsid w:val="00CF2B8D"/>
    <w:rsid w:val="00CF3CEA"/>
    <w:rsid w:val="00CF3F40"/>
    <w:rsid w:val="00CF4033"/>
    <w:rsid w:val="00CF448A"/>
    <w:rsid w:val="00CF456B"/>
    <w:rsid w:val="00CF504C"/>
    <w:rsid w:val="00CF5688"/>
    <w:rsid w:val="00CF5913"/>
    <w:rsid w:val="00CF59EE"/>
    <w:rsid w:val="00CF5A22"/>
    <w:rsid w:val="00CF5AEF"/>
    <w:rsid w:val="00CF7444"/>
    <w:rsid w:val="00CF74BC"/>
    <w:rsid w:val="00D0185E"/>
    <w:rsid w:val="00D01F9B"/>
    <w:rsid w:val="00D020BF"/>
    <w:rsid w:val="00D0262E"/>
    <w:rsid w:val="00D0432E"/>
    <w:rsid w:val="00D050D7"/>
    <w:rsid w:val="00D05E3D"/>
    <w:rsid w:val="00D06139"/>
    <w:rsid w:val="00D07E50"/>
    <w:rsid w:val="00D07FDA"/>
    <w:rsid w:val="00D10444"/>
    <w:rsid w:val="00D110BD"/>
    <w:rsid w:val="00D11B3E"/>
    <w:rsid w:val="00D12154"/>
    <w:rsid w:val="00D121E7"/>
    <w:rsid w:val="00D12743"/>
    <w:rsid w:val="00D13675"/>
    <w:rsid w:val="00D141E1"/>
    <w:rsid w:val="00D15314"/>
    <w:rsid w:val="00D15743"/>
    <w:rsid w:val="00D16031"/>
    <w:rsid w:val="00D17322"/>
    <w:rsid w:val="00D17D6C"/>
    <w:rsid w:val="00D204D6"/>
    <w:rsid w:val="00D20BD4"/>
    <w:rsid w:val="00D20E7E"/>
    <w:rsid w:val="00D2155B"/>
    <w:rsid w:val="00D21BA7"/>
    <w:rsid w:val="00D224DB"/>
    <w:rsid w:val="00D22B66"/>
    <w:rsid w:val="00D23D11"/>
    <w:rsid w:val="00D23F08"/>
    <w:rsid w:val="00D244B6"/>
    <w:rsid w:val="00D24F19"/>
    <w:rsid w:val="00D2508B"/>
    <w:rsid w:val="00D2508D"/>
    <w:rsid w:val="00D25E8C"/>
    <w:rsid w:val="00D26DA5"/>
    <w:rsid w:val="00D2754D"/>
    <w:rsid w:val="00D27B27"/>
    <w:rsid w:val="00D3045B"/>
    <w:rsid w:val="00D3289E"/>
    <w:rsid w:val="00D32D83"/>
    <w:rsid w:val="00D3391A"/>
    <w:rsid w:val="00D33B3F"/>
    <w:rsid w:val="00D33BE9"/>
    <w:rsid w:val="00D33F93"/>
    <w:rsid w:val="00D345F0"/>
    <w:rsid w:val="00D357FF"/>
    <w:rsid w:val="00D360AD"/>
    <w:rsid w:val="00D3672E"/>
    <w:rsid w:val="00D3695A"/>
    <w:rsid w:val="00D373E9"/>
    <w:rsid w:val="00D37EC5"/>
    <w:rsid w:val="00D41307"/>
    <w:rsid w:val="00D4135B"/>
    <w:rsid w:val="00D41A81"/>
    <w:rsid w:val="00D420D0"/>
    <w:rsid w:val="00D424C7"/>
    <w:rsid w:val="00D426DF"/>
    <w:rsid w:val="00D431A7"/>
    <w:rsid w:val="00D432C5"/>
    <w:rsid w:val="00D438FD"/>
    <w:rsid w:val="00D43B2A"/>
    <w:rsid w:val="00D43D83"/>
    <w:rsid w:val="00D45D9A"/>
    <w:rsid w:val="00D46056"/>
    <w:rsid w:val="00D473DC"/>
    <w:rsid w:val="00D47575"/>
    <w:rsid w:val="00D500CA"/>
    <w:rsid w:val="00D507C6"/>
    <w:rsid w:val="00D50F2D"/>
    <w:rsid w:val="00D510C2"/>
    <w:rsid w:val="00D5243B"/>
    <w:rsid w:val="00D533EC"/>
    <w:rsid w:val="00D53D0D"/>
    <w:rsid w:val="00D568EE"/>
    <w:rsid w:val="00D56A95"/>
    <w:rsid w:val="00D61B5D"/>
    <w:rsid w:val="00D61FE6"/>
    <w:rsid w:val="00D62DDA"/>
    <w:rsid w:val="00D63D8B"/>
    <w:rsid w:val="00D64452"/>
    <w:rsid w:val="00D64698"/>
    <w:rsid w:val="00D64F14"/>
    <w:rsid w:val="00D658D8"/>
    <w:rsid w:val="00D7054C"/>
    <w:rsid w:val="00D707B5"/>
    <w:rsid w:val="00D70CA4"/>
    <w:rsid w:val="00D70F16"/>
    <w:rsid w:val="00D7249C"/>
    <w:rsid w:val="00D72F57"/>
    <w:rsid w:val="00D7397C"/>
    <w:rsid w:val="00D73D2A"/>
    <w:rsid w:val="00D73FF8"/>
    <w:rsid w:val="00D7404F"/>
    <w:rsid w:val="00D74993"/>
    <w:rsid w:val="00D75677"/>
    <w:rsid w:val="00D76007"/>
    <w:rsid w:val="00D7679A"/>
    <w:rsid w:val="00D76A44"/>
    <w:rsid w:val="00D76B00"/>
    <w:rsid w:val="00D76B3E"/>
    <w:rsid w:val="00D80415"/>
    <w:rsid w:val="00D80431"/>
    <w:rsid w:val="00D815EF"/>
    <w:rsid w:val="00D81787"/>
    <w:rsid w:val="00D81F26"/>
    <w:rsid w:val="00D8313E"/>
    <w:rsid w:val="00D84617"/>
    <w:rsid w:val="00D84738"/>
    <w:rsid w:val="00D86231"/>
    <w:rsid w:val="00D86363"/>
    <w:rsid w:val="00D87471"/>
    <w:rsid w:val="00D91475"/>
    <w:rsid w:val="00D91923"/>
    <w:rsid w:val="00D91DA1"/>
    <w:rsid w:val="00D91E01"/>
    <w:rsid w:val="00D91FFB"/>
    <w:rsid w:val="00D93298"/>
    <w:rsid w:val="00D932B4"/>
    <w:rsid w:val="00D93753"/>
    <w:rsid w:val="00D95982"/>
    <w:rsid w:val="00D966AC"/>
    <w:rsid w:val="00DA0BC7"/>
    <w:rsid w:val="00DA0F09"/>
    <w:rsid w:val="00DA11FB"/>
    <w:rsid w:val="00DA133D"/>
    <w:rsid w:val="00DA210B"/>
    <w:rsid w:val="00DA2BB7"/>
    <w:rsid w:val="00DA2DB1"/>
    <w:rsid w:val="00DA3167"/>
    <w:rsid w:val="00DA33AD"/>
    <w:rsid w:val="00DA34C1"/>
    <w:rsid w:val="00DA3856"/>
    <w:rsid w:val="00DA3BED"/>
    <w:rsid w:val="00DA3F01"/>
    <w:rsid w:val="00DA41C8"/>
    <w:rsid w:val="00DA4A13"/>
    <w:rsid w:val="00DA4DC3"/>
    <w:rsid w:val="00DA77A5"/>
    <w:rsid w:val="00DA7DBC"/>
    <w:rsid w:val="00DB15A9"/>
    <w:rsid w:val="00DB290D"/>
    <w:rsid w:val="00DB2989"/>
    <w:rsid w:val="00DB2F2E"/>
    <w:rsid w:val="00DB32A4"/>
    <w:rsid w:val="00DB3B8C"/>
    <w:rsid w:val="00DB3CFF"/>
    <w:rsid w:val="00DB3DBF"/>
    <w:rsid w:val="00DB4387"/>
    <w:rsid w:val="00DB484F"/>
    <w:rsid w:val="00DB4D60"/>
    <w:rsid w:val="00DB606B"/>
    <w:rsid w:val="00DB614D"/>
    <w:rsid w:val="00DB6AA2"/>
    <w:rsid w:val="00DB73AB"/>
    <w:rsid w:val="00DB7C2F"/>
    <w:rsid w:val="00DB7C77"/>
    <w:rsid w:val="00DC02C8"/>
    <w:rsid w:val="00DC04F6"/>
    <w:rsid w:val="00DC0690"/>
    <w:rsid w:val="00DC14BC"/>
    <w:rsid w:val="00DC19B4"/>
    <w:rsid w:val="00DC1D65"/>
    <w:rsid w:val="00DC27F0"/>
    <w:rsid w:val="00DC3495"/>
    <w:rsid w:val="00DC378A"/>
    <w:rsid w:val="00DC3C57"/>
    <w:rsid w:val="00DC41A9"/>
    <w:rsid w:val="00DC4FBD"/>
    <w:rsid w:val="00DC5501"/>
    <w:rsid w:val="00DC619B"/>
    <w:rsid w:val="00DC63C1"/>
    <w:rsid w:val="00DC6C36"/>
    <w:rsid w:val="00DC6C95"/>
    <w:rsid w:val="00DC6E90"/>
    <w:rsid w:val="00DC7154"/>
    <w:rsid w:val="00DC7E8A"/>
    <w:rsid w:val="00DD07E9"/>
    <w:rsid w:val="00DD0859"/>
    <w:rsid w:val="00DD0F78"/>
    <w:rsid w:val="00DD1E0D"/>
    <w:rsid w:val="00DD1E7A"/>
    <w:rsid w:val="00DD24E4"/>
    <w:rsid w:val="00DD273C"/>
    <w:rsid w:val="00DD32E3"/>
    <w:rsid w:val="00DD3DC2"/>
    <w:rsid w:val="00DD3F28"/>
    <w:rsid w:val="00DD3F61"/>
    <w:rsid w:val="00DD3F95"/>
    <w:rsid w:val="00DD4354"/>
    <w:rsid w:val="00DD4537"/>
    <w:rsid w:val="00DD46A8"/>
    <w:rsid w:val="00DD4D08"/>
    <w:rsid w:val="00DD4E15"/>
    <w:rsid w:val="00DD57DE"/>
    <w:rsid w:val="00DD593A"/>
    <w:rsid w:val="00DD59D8"/>
    <w:rsid w:val="00DD5BDD"/>
    <w:rsid w:val="00DD62DA"/>
    <w:rsid w:val="00DD7716"/>
    <w:rsid w:val="00DE034F"/>
    <w:rsid w:val="00DE2273"/>
    <w:rsid w:val="00DE2304"/>
    <w:rsid w:val="00DE3138"/>
    <w:rsid w:val="00DE32F1"/>
    <w:rsid w:val="00DE37F8"/>
    <w:rsid w:val="00DE4045"/>
    <w:rsid w:val="00DE47CA"/>
    <w:rsid w:val="00DE4FCB"/>
    <w:rsid w:val="00DE516B"/>
    <w:rsid w:val="00DE517C"/>
    <w:rsid w:val="00DE5D07"/>
    <w:rsid w:val="00DE72A7"/>
    <w:rsid w:val="00DE7832"/>
    <w:rsid w:val="00DE7D51"/>
    <w:rsid w:val="00DF18FC"/>
    <w:rsid w:val="00DF230F"/>
    <w:rsid w:val="00DF4825"/>
    <w:rsid w:val="00DF52F4"/>
    <w:rsid w:val="00DF562F"/>
    <w:rsid w:val="00DF5D2B"/>
    <w:rsid w:val="00DF6427"/>
    <w:rsid w:val="00DF6B34"/>
    <w:rsid w:val="00DF79D6"/>
    <w:rsid w:val="00DF7BCE"/>
    <w:rsid w:val="00DF7C00"/>
    <w:rsid w:val="00E00AFF"/>
    <w:rsid w:val="00E00E8E"/>
    <w:rsid w:val="00E023FE"/>
    <w:rsid w:val="00E024F9"/>
    <w:rsid w:val="00E02CE6"/>
    <w:rsid w:val="00E0548E"/>
    <w:rsid w:val="00E05630"/>
    <w:rsid w:val="00E056A7"/>
    <w:rsid w:val="00E06851"/>
    <w:rsid w:val="00E06D4F"/>
    <w:rsid w:val="00E06DBB"/>
    <w:rsid w:val="00E06FD9"/>
    <w:rsid w:val="00E071B7"/>
    <w:rsid w:val="00E07CDD"/>
    <w:rsid w:val="00E10149"/>
    <w:rsid w:val="00E1052A"/>
    <w:rsid w:val="00E10E5F"/>
    <w:rsid w:val="00E11340"/>
    <w:rsid w:val="00E122A1"/>
    <w:rsid w:val="00E1241F"/>
    <w:rsid w:val="00E12CF1"/>
    <w:rsid w:val="00E142D2"/>
    <w:rsid w:val="00E143BD"/>
    <w:rsid w:val="00E14F90"/>
    <w:rsid w:val="00E14FE4"/>
    <w:rsid w:val="00E15509"/>
    <w:rsid w:val="00E158A1"/>
    <w:rsid w:val="00E1591E"/>
    <w:rsid w:val="00E16372"/>
    <w:rsid w:val="00E16EE3"/>
    <w:rsid w:val="00E17AAF"/>
    <w:rsid w:val="00E17D74"/>
    <w:rsid w:val="00E17E7B"/>
    <w:rsid w:val="00E209C5"/>
    <w:rsid w:val="00E20E4D"/>
    <w:rsid w:val="00E20ED6"/>
    <w:rsid w:val="00E21358"/>
    <w:rsid w:val="00E2249B"/>
    <w:rsid w:val="00E22807"/>
    <w:rsid w:val="00E22A0D"/>
    <w:rsid w:val="00E22E76"/>
    <w:rsid w:val="00E244F6"/>
    <w:rsid w:val="00E26D03"/>
    <w:rsid w:val="00E27549"/>
    <w:rsid w:val="00E2771E"/>
    <w:rsid w:val="00E27B6E"/>
    <w:rsid w:val="00E27D13"/>
    <w:rsid w:val="00E311EF"/>
    <w:rsid w:val="00E32180"/>
    <w:rsid w:val="00E339BA"/>
    <w:rsid w:val="00E34948"/>
    <w:rsid w:val="00E35566"/>
    <w:rsid w:val="00E37569"/>
    <w:rsid w:val="00E401B2"/>
    <w:rsid w:val="00E41926"/>
    <w:rsid w:val="00E41A12"/>
    <w:rsid w:val="00E41E30"/>
    <w:rsid w:val="00E42781"/>
    <w:rsid w:val="00E42F73"/>
    <w:rsid w:val="00E43567"/>
    <w:rsid w:val="00E43D70"/>
    <w:rsid w:val="00E44FF7"/>
    <w:rsid w:val="00E460F6"/>
    <w:rsid w:val="00E466F3"/>
    <w:rsid w:val="00E46954"/>
    <w:rsid w:val="00E46CB3"/>
    <w:rsid w:val="00E4724E"/>
    <w:rsid w:val="00E47876"/>
    <w:rsid w:val="00E479BA"/>
    <w:rsid w:val="00E47B2C"/>
    <w:rsid w:val="00E508A2"/>
    <w:rsid w:val="00E50F10"/>
    <w:rsid w:val="00E51560"/>
    <w:rsid w:val="00E529F1"/>
    <w:rsid w:val="00E530D6"/>
    <w:rsid w:val="00E53B7E"/>
    <w:rsid w:val="00E53FC8"/>
    <w:rsid w:val="00E541BB"/>
    <w:rsid w:val="00E54347"/>
    <w:rsid w:val="00E55424"/>
    <w:rsid w:val="00E55915"/>
    <w:rsid w:val="00E55BB5"/>
    <w:rsid w:val="00E5672C"/>
    <w:rsid w:val="00E572B8"/>
    <w:rsid w:val="00E5781F"/>
    <w:rsid w:val="00E6155B"/>
    <w:rsid w:val="00E62808"/>
    <w:rsid w:val="00E6336D"/>
    <w:rsid w:val="00E64859"/>
    <w:rsid w:val="00E653A3"/>
    <w:rsid w:val="00E655B5"/>
    <w:rsid w:val="00E65965"/>
    <w:rsid w:val="00E65E79"/>
    <w:rsid w:val="00E66BA2"/>
    <w:rsid w:val="00E67416"/>
    <w:rsid w:val="00E70166"/>
    <w:rsid w:val="00E707F4"/>
    <w:rsid w:val="00E709DD"/>
    <w:rsid w:val="00E718B6"/>
    <w:rsid w:val="00E7199F"/>
    <w:rsid w:val="00E71CE9"/>
    <w:rsid w:val="00E723BA"/>
    <w:rsid w:val="00E73581"/>
    <w:rsid w:val="00E761EC"/>
    <w:rsid w:val="00E768ED"/>
    <w:rsid w:val="00E80978"/>
    <w:rsid w:val="00E80F5F"/>
    <w:rsid w:val="00E81544"/>
    <w:rsid w:val="00E83097"/>
    <w:rsid w:val="00E833F7"/>
    <w:rsid w:val="00E8390D"/>
    <w:rsid w:val="00E8396A"/>
    <w:rsid w:val="00E83BDF"/>
    <w:rsid w:val="00E84272"/>
    <w:rsid w:val="00E8497C"/>
    <w:rsid w:val="00E86C8B"/>
    <w:rsid w:val="00E86E20"/>
    <w:rsid w:val="00E87A1D"/>
    <w:rsid w:val="00E87AB8"/>
    <w:rsid w:val="00E87F66"/>
    <w:rsid w:val="00E905F1"/>
    <w:rsid w:val="00E9094A"/>
    <w:rsid w:val="00E90F62"/>
    <w:rsid w:val="00E91D35"/>
    <w:rsid w:val="00E9248C"/>
    <w:rsid w:val="00E924F8"/>
    <w:rsid w:val="00E926A5"/>
    <w:rsid w:val="00E935CF"/>
    <w:rsid w:val="00E941EE"/>
    <w:rsid w:val="00EA0C5B"/>
    <w:rsid w:val="00EA17C3"/>
    <w:rsid w:val="00EA2CAA"/>
    <w:rsid w:val="00EA3864"/>
    <w:rsid w:val="00EA40AB"/>
    <w:rsid w:val="00EA4892"/>
    <w:rsid w:val="00EA6034"/>
    <w:rsid w:val="00EA78ED"/>
    <w:rsid w:val="00EA7F1C"/>
    <w:rsid w:val="00EB0258"/>
    <w:rsid w:val="00EB0DCB"/>
    <w:rsid w:val="00EB0EFF"/>
    <w:rsid w:val="00EB10FE"/>
    <w:rsid w:val="00EB15B6"/>
    <w:rsid w:val="00EB174E"/>
    <w:rsid w:val="00EB28F5"/>
    <w:rsid w:val="00EB2A7A"/>
    <w:rsid w:val="00EB35C4"/>
    <w:rsid w:val="00EB375F"/>
    <w:rsid w:val="00EB3908"/>
    <w:rsid w:val="00EB3D06"/>
    <w:rsid w:val="00EB4700"/>
    <w:rsid w:val="00EB4916"/>
    <w:rsid w:val="00EB59E1"/>
    <w:rsid w:val="00EB5D5E"/>
    <w:rsid w:val="00EB6E03"/>
    <w:rsid w:val="00EB70E8"/>
    <w:rsid w:val="00EC00C9"/>
    <w:rsid w:val="00EC0DD9"/>
    <w:rsid w:val="00EC1106"/>
    <w:rsid w:val="00EC11F4"/>
    <w:rsid w:val="00EC1669"/>
    <w:rsid w:val="00EC2109"/>
    <w:rsid w:val="00EC2649"/>
    <w:rsid w:val="00EC31ED"/>
    <w:rsid w:val="00EC3759"/>
    <w:rsid w:val="00EC3E16"/>
    <w:rsid w:val="00EC5836"/>
    <w:rsid w:val="00EC5B62"/>
    <w:rsid w:val="00EC5E8D"/>
    <w:rsid w:val="00EC660B"/>
    <w:rsid w:val="00EC688C"/>
    <w:rsid w:val="00EC72C7"/>
    <w:rsid w:val="00EC776D"/>
    <w:rsid w:val="00ED0343"/>
    <w:rsid w:val="00ED1419"/>
    <w:rsid w:val="00ED3491"/>
    <w:rsid w:val="00ED39CB"/>
    <w:rsid w:val="00ED3A03"/>
    <w:rsid w:val="00ED53D5"/>
    <w:rsid w:val="00ED57EA"/>
    <w:rsid w:val="00ED5BD4"/>
    <w:rsid w:val="00ED6644"/>
    <w:rsid w:val="00ED66B4"/>
    <w:rsid w:val="00ED6A35"/>
    <w:rsid w:val="00ED6FCE"/>
    <w:rsid w:val="00EE00F3"/>
    <w:rsid w:val="00EE07D3"/>
    <w:rsid w:val="00EE0C80"/>
    <w:rsid w:val="00EE1296"/>
    <w:rsid w:val="00EE133D"/>
    <w:rsid w:val="00EE1996"/>
    <w:rsid w:val="00EE1C01"/>
    <w:rsid w:val="00EE2275"/>
    <w:rsid w:val="00EE22AF"/>
    <w:rsid w:val="00EE2704"/>
    <w:rsid w:val="00EE286C"/>
    <w:rsid w:val="00EE346C"/>
    <w:rsid w:val="00EE4097"/>
    <w:rsid w:val="00EE4249"/>
    <w:rsid w:val="00EE4EB9"/>
    <w:rsid w:val="00EE519F"/>
    <w:rsid w:val="00EE7F6A"/>
    <w:rsid w:val="00EF0171"/>
    <w:rsid w:val="00EF0614"/>
    <w:rsid w:val="00EF1B25"/>
    <w:rsid w:val="00EF1DA0"/>
    <w:rsid w:val="00EF1E80"/>
    <w:rsid w:val="00EF249D"/>
    <w:rsid w:val="00EF25DA"/>
    <w:rsid w:val="00EF2B02"/>
    <w:rsid w:val="00EF2EF2"/>
    <w:rsid w:val="00EF3437"/>
    <w:rsid w:val="00EF3EEC"/>
    <w:rsid w:val="00EF4747"/>
    <w:rsid w:val="00EF4BF8"/>
    <w:rsid w:val="00EF7908"/>
    <w:rsid w:val="00EF7CC7"/>
    <w:rsid w:val="00EF7F93"/>
    <w:rsid w:val="00F00EBC"/>
    <w:rsid w:val="00F02253"/>
    <w:rsid w:val="00F03C2E"/>
    <w:rsid w:val="00F04A37"/>
    <w:rsid w:val="00F04A66"/>
    <w:rsid w:val="00F04B4B"/>
    <w:rsid w:val="00F0516C"/>
    <w:rsid w:val="00F05604"/>
    <w:rsid w:val="00F05DB5"/>
    <w:rsid w:val="00F067A2"/>
    <w:rsid w:val="00F07B9E"/>
    <w:rsid w:val="00F1116F"/>
    <w:rsid w:val="00F11C30"/>
    <w:rsid w:val="00F1215F"/>
    <w:rsid w:val="00F1263A"/>
    <w:rsid w:val="00F132BD"/>
    <w:rsid w:val="00F14EE7"/>
    <w:rsid w:val="00F15B77"/>
    <w:rsid w:val="00F175A9"/>
    <w:rsid w:val="00F178A5"/>
    <w:rsid w:val="00F17E08"/>
    <w:rsid w:val="00F20948"/>
    <w:rsid w:val="00F218E8"/>
    <w:rsid w:val="00F22C42"/>
    <w:rsid w:val="00F22D8E"/>
    <w:rsid w:val="00F23182"/>
    <w:rsid w:val="00F24837"/>
    <w:rsid w:val="00F24C9B"/>
    <w:rsid w:val="00F24DBE"/>
    <w:rsid w:val="00F2575F"/>
    <w:rsid w:val="00F26482"/>
    <w:rsid w:val="00F26F11"/>
    <w:rsid w:val="00F27565"/>
    <w:rsid w:val="00F27590"/>
    <w:rsid w:val="00F310D4"/>
    <w:rsid w:val="00F31CCE"/>
    <w:rsid w:val="00F31D5A"/>
    <w:rsid w:val="00F3246B"/>
    <w:rsid w:val="00F324F5"/>
    <w:rsid w:val="00F336B0"/>
    <w:rsid w:val="00F33975"/>
    <w:rsid w:val="00F33DE9"/>
    <w:rsid w:val="00F341CF"/>
    <w:rsid w:val="00F34308"/>
    <w:rsid w:val="00F34436"/>
    <w:rsid w:val="00F34926"/>
    <w:rsid w:val="00F35908"/>
    <w:rsid w:val="00F35C51"/>
    <w:rsid w:val="00F35E6D"/>
    <w:rsid w:val="00F3602F"/>
    <w:rsid w:val="00F3619A"/>
    <w:rsid w:val="00F36BBD"/>
    <w:rsid w:val="00F372E2"/>
    <w:rsid w:val="00F40A19"/>
    <w:rsid w:val="00F40AAA"/>
    <w:rsid w:val="00F40BA7"/>
    <w:rsid w:val="00F40F9D"/>
    <w:rsid w:val="00F4188F"/>
    <w:rsid w:val="00F41ACD"/>
    <w:rsid w:val="00F42AD4"/>
    <w:rsid w:val="00F42FA4"/>
    <w:rsid w:val="00F43EE2"/>
    <w:rsid w:val="00F44094"/>
    <w:rsid w:val="00F44F92"/>
    <w:rsid w:val="00F458C6"/>
    <w:rsid w:val="00F45A01"/>
    <w:rsid w:val="00F46335"/>
    <w:rsid w:val="00F46B5B"/>
    <w:rsid w:val="00F46CB6"/>
    <w:rsid w:val="00F4756D"/>
    <w:rsid w:val="00F47DE8"/>
    <w:rsid w:val="00F5079C"/>
    <w:rsid w:val="00F50F41"/>
    <w:rsid w:val="00F51645"/>
    <w:rsid w:val="00F51C5E"/>
    <w:rsid w:val="00F530B0"/>
    <w:rsid w:val="00F53D69"/>
    <w:rsid w:val="00F53F01"/>
    <w:rsid w:val="00F542C1"/>
    <w:rsid w:val="00F544C6"/>
    <w:rsid w:val="00F54560"/>
    <w:rsid w:val="00F5542D"/>
    <w:rsid w:val="00F559DC"/>
    <w:rsid w:val="00F55E73"/>
    <w:rsid w:val="00F55EDA"/>
    <w:rsid w:val="00F563D7"/>
    <w:rsid w:val="00F56469"/>
    <w:rsid w:val="00F56675"/>
    <w:rsid w:val="00F56C80"/>
    <w:rsid w:val="00F56D39"/>
    <w:rsid w:val="00F57DAE"/>
    <w:rsid w:val="00F60092"/>
    <w:rsid w:val="00F614D8"/>
    <w:rsid w:val="00F6190C"/>
    <w:rsid w:val="00F61A85"/>
    <w:rsid w:val="00F61C18"/>
    <w:rsid w:val="00F63A78"/>
    <w:rsid w:val="00F6401D"/>
    <w:rsid w:val="00F65F4B"/>
    <w:rsid w:val="00F66997"/>
    <w:rsid w:val="00F67A69"/>
    <w:rsid w:val="00F70BFF"/>
    <w:rsid w:val="00F70C17"/>
    <w:rsid w:val="00F70C9D"/>
    <w:rsid w:val="00F7160C"/>
    <w:rsid w:val="00F71DFA"/>
    <w:rsid w:val="00F72719"/>
    <w:rsid w:val="00F738E7"/>
    <w:rsid w:val="00F73B4A"/>
    <w:rsid w:val="00F74486"/>
    <w:rsid w:val="00F746E2"/>
    <w:rsid w:val="00F74763"/>
    <w:rsid w:val="00F74CD9"/>
    <w:rsid w:val="00F74FB9"/>
    <w:rsid w:val="00F76833"/>
    <w:rsid w:val="00F77246"/>
    <w:rsid w:val="00F80756"/>
    <w:rsid w:val="00F80A7B"/>
    <w:rsid w:val="00F80E5D"/>
    <w:rsid w:val="00F80F34"/>
    <w:rsid w:val="00F81672"/>
    <w:rsid w:val="00F81E78"/>
    <w:rsid w:val="00F81E8F"/>
    <w:rsid w:val="00F833E9"/>
    <w:rsid w:val="00F83E42"/>
    <w:rsid w:val="00F84BB7"/>
    <w:rsid w:val="00F851CE"/>
    <w:rsid w:val="00F85EA8"/>
    <w:rsid w:val="00F85F71"/>
    <w:rsid w:val="00F869B4"/>
    <w:rsid w:val="00F8717C"/>
    <w:rsid w:val="00F8737B"/>
    <w:rsid w:val="00F87BDB"/>
    <w:rsid w:val="00F9105F"/>
    <w:rsid w:val="00F91077"/>
    <w:rsid w:val="00F91219"/>
    <w:rsid w:val="00F91F28"/>
    <w:rsid w:val="00F92444"/>
    <w:rsid w:val="00F93772"/>
    <w:rsid w:val="00F9393E"/>
    <w:rsid w:val="00F94127"/>
    <w:rsid w:val="00F946D8"/>
    <w:rsid w:val="00F94E91"/>
    <w:rsid w:val="00F95484"/>
    <w:rsid w:val="00F960C2"/>
    <w:rsid w:val="00F962C7"/>
    <w:rsid w:val="00F96FD0"/>
    <w:rsid w:val="00F97A78"/>
    <w:rsid w:val="00FA0A2E"/>
    <w:rsid w:val="00FA0B20"/>
    <w:rsid w:val="00FA20AB"/>
    <w:rsid w:val="00FA23B8"/>
    <w:rsid w:val="00FA24E7"/>
    <w:rsid w:val="00FA3450"/>
    <w:rsid w:val="00FA3ABC"/>
    <w:rsid w:val="00FA4AEE"/>
    <w:rsid w:val="00FA4E4E"/>
    <w:rsid w:val="00FA5C19"/>
    <w:rsid w:val="00FA5EE6"/>
    <w:rsid w:val="00FA6889"/>
    <w:rsid w:val="00FA7308"/>
    <w:rsid w:val="00FA7956"/>
    <w:rsid w:val="00FA7AF9"/>
    <w:rsid w:val="00FA7DB3"/>
    <w:rsid w:val="00FB1DF6"/>
    <w:rsid w:val="00FB2FCB"/>
    <w:rsid w:val="00FB394C"/>
    <w:rsid w:val="00FB3C7C"/>
    <w:rsid w:val="00FB3D28"/>
    <w:rsid w:val="00FB4C49"/>
    <w:rsid w:val="00FB6148"/>
    <w:rsid w:val="00FB6817"/>
    <w:rsid w:val="00FB6905"/>
    <w:rsid w:val="00FB7456"/>
    <w:rsid w:val="00FB78F4"/>
    <w:rsid w:val="00FB7C55"/>
    <w:rsid w:val="00FC062E"/>
    <w:rsid w:val="00FC0660"/>
    <w:rsid w:val="00FC1074"/>
    <w:rsid w:val="00FC12C4"/>
    <w:rsid w:val="00FC136D"/>
    <w:rsid w:val="00FC164B"/>
    <w:rsid w:val="00FC1884"/>
    <w:rsid w:val="00FC23A0"/>
    <w:rsid w:val="00FC2880"/>
    <w:rsid w:val="00FC371D"/>
    <w:rsid w:val="00FC3C01"/>
    <w:rsid w:val="00FC489B"/>
    <w:rsid w:val="00FC5982"/>
    <w:rsid w:val="00FC5C91"/>
    <w:rsid w:val="00FC5F0B"/>
    <w:rsid w:val="00FC6644"/>
    <w:rsid w:val="00FD0779"/>
    <w:rsid w:val="00FD2100"/>
    <w:rsid w:val="00FD301E"/>
    <w:rsid w:val="00FD3276"/>
    <w:rsid w:val="00FD436C"/>
    <w:rsid w:val="00FD446D"/>
    <w:rsid w:val="00FD4F2C"/>
    <w:rsid w:val="00FD5BC5"/>
    <w:rsid w:val="00FD6394"/>
    <w:rsid w:val="00FD6AFF"/>
    <w:rsid w:val="00FD6C30"/>
    <w:rsid w:val="00FD6C51"/>
    <w:rsid w:val="00FD6E88"/>
    <w:rsid w:val="00FD7046"/>
    <w:rsid w:val="00FE0E6C"/>
    <w:rsid w:val="00FE16BF"/>
    <w:rsid w:val="00FE1CDC"/>
    <w:rsid w:val="00FE2253"/>
    <w:rsid w:val="00FE33E3"/>
    <w:rsid w:val="00FE35E1"/>
    <w:rsid w:val="00FE4EA8"/>
    <w:rsid w:val="00FE70C3"/>
    <w:rsid w:val="00FF1078"/>
    <w:rsid w:val="00FF2AD9"/>
    <w:rsid w:val="00FF359F"/>
    <w:rsid w:val="00FF39DE"/>
    <w:rsid w:val="00FF3DCF"/>
    <w:rsid w:val="00FF492C"/>
    <w:rsid w:val="00FF4A21"/>
    <w:rsid w:val="00FF5AA3"/>
    <w:rsid w:val="00FF5AD8"/>
    <w:rsid w:val="00FF6DFA"/>
    <w:rsid w:val="00FF7662"/>
    <w:rsid w:val="016A9731"/>
    <w:rsid w:val="018804BF"/>
    <w:rsid w:val="01BB76BA"/>
    <w:rsid w:val="022B401C"/>
    <w:rsid w:val="0284874A"/>
    <w:rsid w:val="0291E36B"/>
    <w:rsid w:val="02E1C0E0"/>
    <w:rsid w:val="04273A3B"/>
    <w:rsid w:val="04AED8F2"/>
    <w:rsid w:val="0616FF1F"/>
    <w:rsid w:val="06676F69"/>
    <w:rsid w:val="06D6D0F0"/>
    <w:rsid w:val="06D96E72"/>
    <w:rsid w:val="06F7BDEB"/>
    <w:rsid w:val="0913C187"/>
    <w:rsid w:val="0A1CBA65"/>
    <w:rsid w:val="0A8909A4"/>
    <w:rsid w:val="0B45CD07"/>
    <w:rsid w:val="0B54DCCF"/>
    <w:rsid w:val="0C0BC82F"/>
    <w:rsid w:val="0C2FDD07"/>
    <w:rsid w:val="0CB69824"/>
    <w:rsid w:val="0D5A1D9E"/>
    <w:rsid w:val="0E21798C"/>
    <w:rsid w:val="0E3BF582"/>
    <w:rsid w:val="0EA79603"/>
    <w:rsid w:val="0EA9775C"/>
    <w:rsid w:val="0EAE5336"/>
    <w:rsid w:val="0EC6235E"/>
    <w:rsid w:val="0EF4C972"/>
    <w:rsid w:val="0EFDDA8A"/>
    <w:rsid w:val="0F47844E"/>
    <w:rsid w:val="10114BE4"/>
    <w:rsid w:val="104F32F7"/>
    <w:rsid w:val="10E5B256"/>
    <w:rsid w:val="11077177"/>
    <w:rsid w:val="1126BFF7"/>
    <w:rsid w:val="1144ADB1"/>
    <w:rsid w:val="11A99530"/>
    <w:rsid w:val="11C0927E"/>
    <w:rsid w:val="11EB0358"/>
    <w:rsid w:val="12042BB5"/>
    <w:rsid w:val="12370F26"/>
    <w:rsid w:val="12E73BAD"/>
    <w:rsid w:val="12ED62CB"/>
    <w:rsid w:val="14730027"/>
    <w:rsid w:val="14AD9F3F"/>
    <w:rsid w:val="14B2D5B9"/>
    <w:rsid w:val="14D0C306"/>
    <w:rsid w:val="15060980"/>
    <w:rsid w:val="15630474"/>
    <w:rsid w:val="165B9CB7"/>
    <w:rsid w:val="168658AF"/>
    <w:rsid w:val="169DAC6D"/>
    <w:rsid w:val="16BE747B"/>
    <w:rsid w:val="170A8049"/>
    <w:rsid w:val="17111ABC"/>
    <w:rsid w:val="17DCFFBA"/>
    <w:rsid w:val="17EA767B"/>
    <w:rsid w:val="1863B758"/>
    <w:rsid w:val="189AD807"/>
    <w:rsid w:val="18DF358D"/>
    <w:rsid w:val="1984453A"/>
    <w:rsid w:val="19A6609B"/>
    <w:rsid w:val="19FF38C8"/>
    <w:rsid w:val="1A1E7C2A"/>
    <w:rsid w:val="1A39DD3C"/>
    <w:rsid w:val="1A85514F"/>
    <w:rsid w:val="1B2DF730"/>
    <w:rsid w:val="1B91E59E"/>
    <w:rsid w:val="1C6A477F"/>
    <w:rsid w:val="1CB1B5DE"/>
    <w:rsid w:val="1D0E7FB8"/>
    <w:rsid w:val="1E43C4DA"/>
    <w:rsid w:val="1E989B95"/>
    <w:rsid w:val="204646FC"/>
    <w:rsid w:val="20569FE9"/>
    <w:rsid w:val="20661D01"/>
    <w:rsid w:val="2108CDDD"/>
    <w:rsid w:val="2150270C"/>
    <w:rsid w:val="2166ED29"/>
    <w:rsid w:val="21C3DC47"/>
    <w:rsid w:val="22158619"/>
    <w:rsid w:val="224E619D"/>
    <w:rsid w:val="22776962"/>
    <w:rsid w:val="229FA28E"/>
    <w:rsid w:val="23CD77AF"/>
    <w:rsid w:val="24874413"/>
    <w:rsid w:val="248FAFB6"/>
    <w:rsid w:val="24BCAD38"/>
    <w:rsid w:val="251BC07A"/>
    <w:rsid w:val="256C755B"/>
    <w:rsid w:val="25AC6026"/>
    <w:rsid w:val="25B9F04D"/>
    <w:rsid w:val="25BE0C6C"/>
    <w:rsid w:val="262DF3AD"/>
    <w:rsid w:val="265F6E48"/>
    <w:rsid w:val="2700BDD8"/>
    <w:rsid w:val="272F4EF1"/>
    <w:rsid w:val="275ADC8D"/>
    <w:rsid w:val="27655C51"/>
    <w:rsid w:val="280887CB"/>
    <w:rsid w:val="2881D340"/>
    <w:rsid w:val="28C32714"/>
    <w:rsid w:val="28EF6600"/>
    <w:rsid w:val="29421094"/>
    <w:rsid w:val="29A817C8"/>
    <w:rsid w:val="2A051771"/>
    <w:rsid w:val="2A60325B"/>
    <w:rsid w:val="2AF4A712"/>
    <w:rsid w:val="2B1CE896"/>
    <w:rsid w:val="2B268C52"/>
    <w:rsid w:val="2B40288D"/>
    <w:rsid w:val="2BA5D0B3"/>
    <w:rsid w:val="2BCE3AAE"/>
    <w:rsid w:val="2BDD7D47"/>
    <w:rsid w:val="2BEBD167"/>
    <w:rsid w:val="2BF9D76A"/>
    <w:rsid w:val="2C1FCC3A"/>
    <w:rsid w:val="2C82C82E"/>
    <w:rsid w:val="2CEF6A62"/>
    <w:rsid w:val="2EB4F3BE"/>
    <w:rsid w:val="2F6A43A8"/>
    <w:rsid w:val="2F776B3A"/>
    <w:rsid w:val="2F81F30E"/>
    <w:rsid w:val="2FAAC9DF"/>
    <w:rsid w:val="300747C3"/>
    <w:rsid w:val="3022D7C2"/>
    <w:rsid w:val="30702560"/>
    <w:rsid w:val="31019B22"/>
    <w:rsid w:val="3114C4E6"/>
    <w:rsid w:val="319641B4"/>
    <w:rsid w:val="31B88682"/>
    <w:rsid w:val="31E6B2F4"/>
    <w:rsid w:val="31F48206"/>
    <w:rsid w:val="31FA4382"/>
    <w:rsid w:val="32427460"/>
    <w:rsid w:val="32F1E582"/>
    <w:rsid w:val="330CAD5C"/>
    <w:rsid w:val="332C1EBE"/>
    <w:rsid w:val="3382504D"/>
    <w:rsid w:val="3416FE84"/>
    <w:rsid w:val="35797DAA"/>
    <w:rsid w:val="3589EF33"/>
    <w:rsid w:val="358CC3DC"/>
    <w:rsid w:val="368A4AAF"/>
    <w:rsid w:val="373FEEA8"/>
    <w:rsid w:val="37EDBD92"/>
    <w:rsid w:val="380B13D4"/>
    <w:rsid w:val="387E7524"/>
    <w:rsid w:val="3915FB53"/>
    <w:rsid w:val="39C2AA46"/>
    <w:rsid w:val="39CD7E2B"/>
    <w:rsid w:val="3A066447"/>
    <w:rsid w:val="3A122CBD"/>
    <w:rsid w:val="3A13E078"/>
    <w:rsid w:val="3A34F560"/>
    <w:rsid w:val="3A4C2C8C"/>
    <w:rsid w:val="3AF9185A"/>
    <w:rsid w:val="3B4C12B6"/>
    <w:rsid w:val="3C1BE3CE"/>
    <w:rsid w:val="3C52A955"/>
    <w:rsid w:val="3CADAB7F"/>
    <w:rsid w:val="3D0C422A"/>
    <w:rsid w:val="3D507CA2"/>
    <w:rsid w:val="3D709231"/>
    <w:rsid w:val="3D8D86DA"/>
    <w:rsid w:val="3DCA5901"/>
    <w:rsid w:val="3EE3885D"/>
    <w:rsid w:val="3F65BB86"/>
    <w:rsid w:val="3FD7187F"/>
    <w:rsid w:val="40430923"/>
    <w:rsid w:val="40C6C12B"/>
    <w:rsid w:val="40DF490A"/>
    <w:rsid w:val="40E50A86"/>
    <w:rsid w:val="40E69E1D"/>
    <w:rsid w:val="41C0323F"/>
    <w:rsid w:val="420AA5D0"/>
    <w:rsid w:val="4211A4DE"/>
    <w:rsid w:val="42B872A1"/>
    <w:rsid w:val="42C95DAB"/>
    <w:rsid w:val="4380638C"/>
    <w:rsid w:val="43F0DCB6"/>
    <w:rsid w:val="44ACD1F6"/>
    <w:rsid w:val="44D8239C"/>
    <w:rsid w:val="45679C20"/>
    <w:rsid w:val="45A0C02B"/>
    <w:rsid w:val="46651206"/>
    <w:rsid w:val="47CAFB40"/>
    <w:rsid w:val="480EC33F"/>
    <w:rsid w:val="486C1842"/>
    <w:rsid w:val="4A3979AC"/>
    <w:rsid w:val="4A5B41A8"/>
    <w:rsid w:val="4A6B0DC3"/>
    <w:rsid w:val="4B30FB45"/>
    <w:rsid w:val="4B66B43E"/>
    <w:rsid w:val="4B6FD5AE"/>
    <w:rsid w:val="4BA35A7A"/>
    <w:rsid w:val="4C4B6C63"/>
    <w:rsid w:val="4D04B5A3"/>
    <w:rsid w:val="4D384C16"/>
    <w:rsid w:val="4D6C2240"/>
    <w:rsid w:val="4DA1A963"/>
    <w:rsid w:val="4DA470E4"/>
    <w:rsid w:val="4DC7304D"/>
    <w:rsid w:val="4DFCD361"/>
    <w:rsid w:val="4E27F30D"/>
    <w:rsid w:val="4E5E8372"/>
    <w:rsid w:val="4E69CF9A"/>
    <w:rsid w:val="4FA3491D"/>
    <w:rsid w:val="4FF65A4A"/>
    <w:rsid w:val="50D94A25"/>
    <w:rsid w:val="50E23CCD"/>
    <w:rsid w:val="50E93DEB"/>
    <w:rsid w:val="51E9F915"/>
    <w:rsid w:val="521166F1"/>
    <w:rsid w:val="5251704A"/>
    <w:rsid w:val="52D40915"/>
    <w:rsid w:val="52FADF79"/>
    <w:rsid w:val="533FD668"/>
    <w:rsid w:val="5372C837"/>
    <w:rsid w:val="540ED953"/>
    <w:rsid w:val="542E17AB"/>
    <w:rsid w:val="5453B129"/>
    <w:rsid w:val="546953BD"/>
    <w:rsid w:val="54FC88E0"/>
    <w:rsid w:val="55A7FAE5"/>
    <w:rsid w:val="562D880D"/>
    <w:rsid w:val="563304F2"/>
    <w:rsid w:val="56334989"/>
    <w:rsid w:val="5664DA92"/>
    <w:rsid w:val="56A3FDA6"/>
    <w:rsid w:val="56E2FFE6"/>
    <w:rsid w:val="57937147"/>
    <w:rsid w:val="57DC8455"/>
    <w:rsid w:val="5801426B"/>
    <w:rsid w:val="5821F0BB"/>
    <w:rsid w:val="5947337A"/>
    <w:rsid w:val="597854B6"/>
    <w:rsid w:val="59918ED9"/>
    <w:rsid w:val="59C9450F"/>
    <w:rsid w:val="59D9484F"/>
    <w:rsid w:val="5A891F13"/>
    <w:rsid w:val="5ABA6EAA"/>
    <w:rsid w:val="5AF8F45F"/>
    <w:rsid w:val="5B667137"/>
    <w:rsid w:val="5BF6F611"/>
    <w:rsid w:val="5C24EF74"/>
    <w:rsid w:val="5C681BF2"/>
    <w:rsid w:val="5D07CDD9"/>
    <w:rsid w:val="5D795C65"/>
    <w:rsid w:val="5E188129"/>
    <w:rsid w:val="5E24EE7A"/>
    <w:rsid w:val="5E3E16D7"/>
    <w:rsid w:val="5EA39E3A"/>
    <w:rsid w:val="5ECAD0F2"/>
    <w:rsid w:val="5F4367D9"/>
    <w:rsid w:val="5FA316F6"/>
    <w:rsid w:val="6126EF97"/>
    <w:rsid w:val="615E9B36"/>
    <w:rsid w:val="61CB0DA7"/>
    <w:rsid w:val="61E0CEA2"/>
    <w:rsid w:val="6237FC44"/>
    <w:rsid w:val="62EADDE7"/>
    <w:rsid w:val="637C9F03"/>
    <w:rsid w:val="63E07064"/>
    <w:rsid w:val="63EE7B09"/>
    <w:rsid w:val="6412F9EF"/>
    <w:rsid w:val="64942FFE"/>
    <w:rsid w:val="653035BD"/>
    <w:rsid w:val="668D6823"/>
    <w:rsid w:val="66C7DABB"/>
    <w:rsid w:val="66DFFADB"/>
    <w:rsid w:val="6719AAD6"/>
    <w:rsid w:val="67299BB5"/>
    <w:rsid w:val="676D87C7"/>
    <w:rsid w:val="676FAAC6"/>
    <w:rsid w:val="686BD28E"/>
    <w:rsid w:val="6A5B6414"/>
    <w:rsid w:val="6A6E136D"/>
    <w:rsid w:val="6AE108A0"/>
    <w:rsid w:val="6B265F93"/>
    <w:rsid w:val="6B60D946"/>
    <w:rsid w:val="6CD010CC"/>
    <w:rsid w:val="6D0DB2A8"/>
    <w:rsid w:val="6DA0B3D8"/>
    <w:rsid w:val="6E105292"/>
    <w:rsid w:val="6F4FCA0F"/>
    <w:rsid w:val="6F620200"/>
    <w:rsid w:val="6FBACE14"/>
    <w:rsid w:val="702B1460"/>
    <w:rsid w:val="702B2EEE"/>
    <w:rsid w:val="7076DF39"/>
    <w:rsid w:val="709EB6F6"/>
    <w:rsid w:val="714CCAC9"/>
    <w:rsid w:val="7159DA7E"/>
    <w:rsid w:val="71AECCF4"/>
    <w:rsid w:val="7210611A"/>
    <w:rsid w:val="7329521C"/>
    <w:rsid w:val="73714800"/>
    <w:rsid w:val="74CEAE32"/>
    <w:rsid w:val="75E179BD"/>
    <w:rsid w:val="764CF580"/>
    <w:rsid w:val="7679F302"/>
    <w:rsid w:val="7694E0CC"/>
    <w:rsid w:val="76BAEDE2"/>
    <w:rsid w:val="7747961E"/>
    <w:rsid w:val="776E73BA"/>
    <w:rsid w:val="77DBE128"/>
    <w:rsid w:val="783D313F"/>
    <w:rsid w:val="78BE03A2"/>
    <w:rsid w:val="79117EFA"/>
    <w:rsid w:val="79B8525A"/>
    <w:rsid w:val="7B428208"/>
    <w:rsid w:val="7B535872"/>
    <w:rsid w:val="7B704D1B"/>
    <w:rsid w:val="7B981313"/>
    <w:rsid w:val="7BABE818"/>
    <w:rsid w:val="7BD388C5"/>
    <w:rsid w:val="7C1C48F2"/>
    <w:rsid w:val="7C1DA9B8"/>
    <w:rsid w:val="7C3736BC"/>
    <w:rsid w:val="7C522F1E"/>
    <w:rsid w:val="7D6FC865"/>
    <w:rsid w:val="7DE41AB6"/>
    <w:rsid w:val="7E143FA9"/>
    <w:rsid w:val="7E48380F"/>
    <w:rsid w:val="7F32828A"/>
    <w:rsid w:val="7FCE49E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1313"/>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7"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aliases w:val="Subsection Headings"/>
    <w:basedOn w:val="Normal"/>
    <w:next w:val="Normal"/>
    <w:link w:val="Heading2Char"/>
    <w:uiPriority w:val="1"/>
    <w:qFormat/>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rPr>
  </w:style>
  <w:style w:type="paragraph" w:styleId="Heading7">
    <w:name w:val="heading 7"/>
    <w:basedOn w:val="Normal"/>
    <w:next w:val="Normal"/>
    <w:link w:val="Heading7Char"/>
    <w:uiPriority w:val="99"/>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uiPriority w:val="9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section Headings Char"/>
    <w:link w:val="Heading2"/>
    <w:uiPriority w:val="1"/>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uiPriority w:val="99"/>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uiPriority w:val="9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qFormat/>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uiPriority w:val="99"/>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rsid w:val="00124A51"/>
    <w:rPr>
      <w:rFonts w:ascii="Cambria" w:hAnsi="Cambria"/>
      <w:b/>
      <w:bCs/>
      <w:snapToGrid w:val="0"/>
      <w:kern w:val="28"/>
      <w:sz w:val="32"/>
      <w:szCs w:val="32"/>
      <w:lang w:eastAsia="en-US"/>
    </w:rPr>
  </w:style>
  <w:style w:type="paragraph" w:styleId="BodyText">
    <w:name w:val="Body Text"/>
    <w:basedOn w:val="Normal"/>
    <w:link w:val="BodyTextChar"/>
    <w:uiPriority w:val="99"/>
    <w:rsid w:val="004B3DDB"/>
    <w:pPr>
      <w:jc w:val="left"/>
    </w:pPr>
  </w:style>
  <w:style w:type="character" w:customStyle="1" w:styleId="BodyTextChar">
    <w:name w:val="Body Text Char"/>
    <w:basedOn w:val="DefaultParagraphFont"/>
    <w:link w:val="BodyText"/>
    <w:uiPriority w:val="99"/>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Table Legend,Bullet1,Bullet 1,Bullet List,Section 5,ES Paragraph,PBAC ES Paragraph,PBAC normal points"/>
    <w:next w:val="ListBullet"/>
    <w:link w:val="ListParagraphChar"/>
    <w:uiPriority w:val="34"/>
    <w:qFormat/>
    <w:rsid w:val="00BB00B3"/>
    <w:pPr>
      <w:numPr>
        <w:numId w:val="2"/>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Table Legend Char,Bullet1 Char,Bullet 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HTAtableplain"/>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uiPriority w:val="99"/>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99"/>
    <w:rsid w:val="00D0262E"/>
    <w:pPr>
      <w:ind w:left="660"/>
      <w:jc w:val="left"/>
    </w:pPr>
    <w:rPr>
      <w:rFonts w:asciiTheme="minorHAnsi" w:hAnsiTheme="minorHAnsi"/>
      <w:sz w:val="20"/>
    </w:rPr>
  </w:style>
  <w:style w:type="paragraph" w:styleId="TOC5">
    <w:name w:val="toc 5"/>
    <w:basedOn w:val="Normal"/>
    <w:next w:val="Normal"/>
    <w:autoRedefine/>
    <w:uiPriority w:val="99"/>
    <w:rsid w:val="00D0262E"/>
    <w:pPr>
      <w:ind w:left="880"/>
      <w:jc w:val="left"/>
    </w:pPr>
    <w:rPr>
      <w:rFonts w:asciiTheme="minorHAnsi" w:hAnsiTheme="minorHAnsi"/>
      <w:sz w:val="20"/>
    </w:rPr>
  </w:style>
  <w:style w:type="paragraph" w:styleId="TOC6">
    <w:name w:val="toc 6"/>
    <w:basedOn w:val="Normal"/>
    <w:next w:val="Normal"/>
    <w:autoRedefine/>
    <w:uiPriority w:val="99"/>
    <w:rsid w:val="00D0262E"/>
    <w:pPr>
      <w:ind w:left="1100"/>
      <w:jc w:val="left"/>
    </w:pPr>
    <w:rPr>
      <w:rFonts w:asciiTheme="minorHAnsi" w:hAnsiTheme="minorHAnsi"/>
      <w:sz w:val="20"/>
    </w:rPr>
  </w:style>
  <w:style w:type="paragraph" w:styleId="TOC7">
    <w:name w:val="toc 7"/>
    <w:basedOn w:val="Normal"/>
    <w:next w:val="Normal"/>
    <w:autoRedefine/>
    <w:uiPriority w:val="99"/>
    <w:rsid w:val="00D0262E"/>
    <w:pPr>
      <w:ind w:left="1320"/>
      <w:jc w:val="left"/>
    </w:pPr>
    <w:rPr>
      <w:rFonts w:asciiTheme="minorHAnsi" w:hAnsiTheme="minorHAnsi"/>
      <w:sz w:val="20"/>
    </w:rPr>
  </w:style>
  <w:style w:type="paragraph" w:styleId="TOC8">
    <w:name w:val="toc 8"/>
    <w:basedOn w:val="Normal"/>
    <w:next w:val="Normal"/>
    <w:autoRedefine/>
    <w:uiPriority w:val="99"/>
    <w:rsid w:val="00D0262E"/>
    <w:pPr>
      <w:ind w:left="1540"/>
      <w:jc w:val="left"/>
    </w:pPr>
    <w:rPr>
      <w:rFonts w:asciiTheme="minorHAnsi" w:hAnsiTheme="minorHAnsi"/>
      <w:sz w:val="20"/>
    </w:rPr>
  </w:style>
  <w:style w:type="paragraph" w:styleId="TOC9">
    <w:name w:val="toc 9"/>
    <w:basedOn w:val="Normal"/>
    <w:next w:val="Normal"/>
    <w:autoRedefine/>
    <w:uiPriority w:val="99"/>
    <w:rsid w:val="00D0262E"/>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1"/>
      </w:numPr>
      <w:contextualSpacing/>
    </w:pPr>
  </w:style>
  <w:style w:type="paragraph" w:customStyle="1" w:styleId="TableName">
    <w:name w:val="TableName"/>
    <w:basedOn w:val="Normal"/>
    <w:uiPriority w:val="99"/>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uiPriority w:val="99"/>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uiPriority w:val="99"/>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9"/>
    <w:rsid w:val="00E41E30"/>
    <w:pPr>
      <w:spacing w:after="120"/>
      <w:ind w:left="283"/>
    </w:pPr>
  </w:style>
  <w:style w:type="character" w:customStyle="1" w:styleId="BodyTextIndentChar">
    <w:name w:val="Body Text Indent Char"/>
    <w:basedOn w:val="DefaultParagraphFont"/>
    <w:link w:val="BodyTextIndent"/>
    <w:uiPriority w:val="99"/>
    <w:rsid w:val="00E41E30"/>
    <w:rPr>
      <w:rFonts w:ascii="Arial" w:hAnsi="Arial" w:cs="Arial"/>
      <w:snapToGrid w:val="0"/>
      <w:sz w:val="22"/>
      <w:lang w:eastAsia="en-US"/>
    </w:rPr>
  </w:style>
  <w:style w:type="paragraph" w:customStyle="1" w:styleId="Char1CharCharChar">
    <w:name w:val="Char1 Char Char Char"/>
    <w:basedOn w:val="Normal"/>
    <w:uiPriority w:val="99"/>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uiPriority w:val="99"/>
    <w:rsid w:val="00B50DB8"/>
    <w:rPr>
      <w:lang w:eastAsia="en-US"/>
    </w:rPr>
  </w:style>
  <w:style w:type="paragraph" w:styleId="Subtitle">
    <w:name w:val="Subtitle"/>
    <w:basedOn w:val="Normal"/>
    <w:link w:val="SubtitleChar"/>
    <w:uiPriority w:val="99"/>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uiPriority w:val="99"/>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uiPriority w:val="99"/>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9"/>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9"/>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iPriority w:val="99"/>
    <w:unhideWhenUsed/>
    <w:rsid w:val="00EE1996"/>
    <w:pPr>
      <w:numPr>
        <w:numId w:val="3"/>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character" w:customStyle="1" w:styleId="PBACTableTextChar">
    <w:name w:val="PBAC Table Text Char"/>
    <w:basedOn w:val="DefaultParagraphFont"/>
    <w:link w:val="PBACTableText"/>
    <w:locked/>
    <w:rsid w:val="00BE6E98"/>
    <w:rPr>
      <w:rFonts w:ascii="Arial Narrow" w:hAnsi="Arial Narrow"/>
    </w:rPr>
  </w:style>
  <w:style w:type="paragraph" w:customStyle="1" w:styleId="PBACTableText">
    <w:name w:val="PBAC Table Text"/>
    <w:basedOn w:val="Normal"/>
    <w:link w:val="PBACTableTextChar"/>
    <w:qFormat/>
    <w:rsid w:val="00BE6E98"/>
    <w:pPr>
      <w:spacing w:before="40" w:after="40"/>
      <w:jc w:val="left"/>
    </w:pPr>
    <w:rPr>
      <w:rFonts w:ascii="Arial Narrow" w:hAnsi="Arial Narrow" w:cs="Times New Roman"/>
      <w:sz w:val="20"/>
      <w:szCs w:val="20"/>
    </w:rPr>
  </w:style>
  <w:style w:type="paragraph" w:customStyle="1" w:styleId="TableText1">
    <w:name w:val="TableText"/>
    <w:basedOn w:val="Normal"/>
    <w:link w:val="TableTextChar1"/>
    <w:uiPriority w:val="3"/>
    <w:qFormat/>
    <w:rsid w:val="00570644"/>
    <w:pPr>
      <w:keepNext/>
      <w:spacing w:before="40" w:after="40"/>
      <w:jc w:val="left"/>
    </w:pPr>
    <w:rPr>
      <w:rFonts w:ascii="Arial Narrow" w:hAnsi="Arial Narrow" w:cs="Arial Narrow"/>
      <w:sz w:val="20"/>
      <w:szCs w:val="20"/>
      <w:lang w:eastAsia="en-US"/>
    </w:rPr>
  </w:style>
  <w:style w:type="character" w:customStyle="1" w:styleId="TableTextChar1">
    <w:name w:val="TableText Char"/>
    <w:basedOn w:val="DefaultParagraphFont"/>
    <w:link w:val="TableText1"/>
    <w:uiPriority w:val="3"/>
    <w:rsid w:val="00570644"/>
    <w:rPr>
      <w:rFonts w:ascii="Arial Narrow" w:hAnsi="Arial Narrow" w:cs="Arial Narrow"/>
      <w:lang w:eastAsia="en-US"/>
    </w:rPr>
  </w:style>
  <w:style w:type="paragraph" w:styleId="TableofFigures">
    <w:name w:val="table of figures"/>
    <w:basedOn w:val="Normal"/>
    <w:next w:val="Normal"/>
    <w:semiHidden/>
    <w:unhideWhenUsed/>
    <w:rsid w:val="00672235"/>
  </w:style>
  <w:style w:type="paragraph" w:customStyle="1" w:styleId="Default">
    <w:name w:val="Default"/>
    <w:rsid w:val="004122CC"/>
    <w:pPr>
      <w:autoSpaceDE w:val="0"/>
      <w:autoSpaceDN w:val="0"/>
      <w:adjustRightInd w:val="0"/>
    </w:pPr>
    <w:rPr>
      <w:color w:val="000000"/>
      <w:sz w:val="24"/>
      <w:szCs w:val="24"/>
      <w:lang w:val="en-US" w:eastAsia="en-US"/>
    </w:rPr>
  </w:style>
  <w:style w:type="paragraph" w:customStyle="1" w:styleId="PbacTableHeading">
    <w:name w:val="Pbac Table Heading"/>
    <w:basedOn w:val="PBACTableText"/>
    <w:uiPriority w:val="99"/>
    <w:qFormat/>
    <w:rsid w:val="004122CC"/>
    <w:pPr>
      <w:spacing w:before="0" w:after="80"/>
    </w:pPr>
    <w:rPr>
      <w:rFonts w:cs="Arial"/>
      <w:b/>
      <w:sz w:val="22"/>
      <w:lang w:eastAsia="en-US"/>
    </w:rPr>
  </w:style>
  <w:style w:type="character" w:styleId="Mention">
    <w:name w:val="Mention"/>
    <w:basedOn w:val="DefaultParagraphFont"/>
    <w:uiPriority w:val="99"/>
    <w:unhideWhenUsed/>
    <w:rsid w:val="004122CC"/>
    <w:rPr>
      <w:color w:val="2B579A"/>
      <w:shd w:val="clear" w:color="auto" w:fill="E6E6E6"/>
    </w:rPr>
  </w:style>
  <w:style w:type="character" w:styleId="UnresolvedMention">
    <w:name w:val="Unresolved Mention"/>
    <w:basedOn w:val="DefaultParagraphFont"/>
    <w:uiPriority w:val="99"/>
    <w:unhideWhenUsed/>
    <w:rsid w:val="005607B8"/>
    <w:rPr>
      <w:color w:val="605E5C"/>
      <w:shd w:val="clear" w:color="auto" w:fill="E1DFDD"/>
    </w:rPr>
  </w:style>
  <w:style w:type="character" w:customStyle="1" w:styleId="Heading1Char">
    <w:name w:val="Heading 1 Char"/>
    <w:basedOn w:val="DefaultParagraphFont"/>
    <w:link w:val="Heading1"/>
    <w:uiPriority w:val="1"/>
    <w:rsid w:val="009D103E"/>
    <w:rPr>
      <w:rFonts w:ascii="Calibri" w:hAnsi="Calibri" w:cs="Arial"/>
      <w:b/>
      <w:caps/>
      <w:sz w:val="32"/>
      <w:szCs w:val="24"/>
    </w:rPr>
  </w:style>
  <w:style w:type="character" w:customStyle="1" w:styleId="Heading3Char">
    <w:name w:val="Heading 3 Char"/>
    <w:basedOn w:val="DefaultParagraphFont"/>
    <w:link w:val="Heading3"/>
    <w:rsid w:val="009D103E"/>
    <w:rPr>
      <w:rFonts w:ascii="Calibri" w:hAnsi="Calibri" w:cs="Arial"/>
      <w:sz w:val="24"/>
      <w:szCs w:val="24"/>
      <w:u w:val="single"/>
    </w:rPr>
  </w:style>
  <w:style w:type="character" w:customStyle="1" w:styleId="Heading4Char">
    <w:name w:val="Heading 4 Char"/>
    <w:basedOn w:val="DefaultParagraphFont"/>
    <w:link w:val="Heading4"/>
    <w:rsid w:val="009D103E"/>
    <w:rPr>
      <w:rFonts w:ascii="Calibri" w:hAnsi="Calibri" w:cs="Arial"/>
      <w:b/>
      <w:bCs/>
      <w:i/>
      <w:sz w:val="26"/>
      <w:szCs w:val="28"/>
    </w:rPr>
  </w:style>
  <w:style w:type="character" w:customStyle="1" w:styleId="Heading5Char">
    <w:name w:val="Heading 5 Char"/>
    <w:basedOn w:val="DefaultParagraphFont"/>
    <w:link w:val="Heading5"/>
    <w:rsid w:val="009D103E"/>
    <w:rPr>
      <w:rFonts w:ascii="Calibri" w:hAnsi="Calibri" w:cs="Arial"/>
      <w:b/>
      <w:bCs/>
      <w:iCs/>
      <w:sz w:val="26"/>
      <w:szCs w:val="26"/>
    </w:rPr>
  </w:style>
  <w:style w:type="character" w:customStyle="1" w:styleId="Heading6Char">
    <w:name w:val="Heading 6 Char"/>
    <w:basedOn w:val="DefaultParagraphFont"/>
    <w:link w:val="Heading6"/>
    <w:rsid w:val="009D103E"/>
    <w:rPr>
      <w:rFonts w:ascii="Calibri" w:hAnsi="Calibri" w:cs="Arial"/>
      <w:b/>
      <w:bCs/>
      <w:i/>
      <w:sz w:val="24"/>
      <w:szCs w:val="24"/>
    </w:rPr>
  </w:style>
  <w:style w:type="paragraph" w:customStyle="1" w:styleId="msonormal0">
    <w:name w:val="msonormal"/>
    <w:basedOn w:val="Normal"/>
    <w:uiPriority w:val="99"/>
    <w:rsid w:val="009D103E"/>
    <w:pPr>
      <w:snapToGrid w:val="0"/>
      <w:spacing w:before="100" w:after="100"/>
      <w:jc w:val="left"/>
    </w:pPr>
    <w:rPr>
      <w:rFonts w:ascii="Times New Roman" w:eastAsia="Times New Roman" w:hAnsi="Times New Roman" w:cs="Times New Roman"/>
      <w:lang w:val="en-GB"/>
    </w:rPr>
  </w:style>
  <w:style w:type="paragraph" w:styleId="FootnoteText">
    <w:name w:val="footnote text"/>
    <w:basedOn w:val="Normal"/>
    <w:link w:val="FootnoteTextChar"/>
    <w:uiPriority w:val="99"/>
    <w:semiHidden/>
    <w:unhideWhenUsed/>
    <w:rsid w:val="009D103E"/>
    <w:rPr>
      <w:rFonts w:eastAsia="Times New Roman"/>
      <w:sz w:val="20"/>
      <w:szCs w:val="20"/>
    </w:rPr>
  </w:style>
  <w:style w:type="character" w:customStyle="1" w:styleId="FootnoteTextChar">
    <w:name w:val="Footnote Text Char"/>
    <w:basedOn w:val="DefaultParagraphFont"/>
    <w:link w:val="FootnoteText"/>
    <w:uiPriority w:val="99"/>
    <w:semiHidden/>
    <w:rsid w:val="009D103E"/>
    <w:rPr>
      <w:rFonts w:ascii="Calibri" w:eastAsia="Times New Roman" w:hAnsi="Calibri" w:cs="Arial"/>
    </w:rPr>
  </w:style>
  <w:style w:type="character" w:customStyle="1" w:styleId="CommentTextChar1">
    <w:name w:val="Comment Text Char1"/>
    <w:aliases w:val="Comment Text Char Char Char Char1,Comment Text Char Char Char2"/>
    <w:basedOn w:val="DefaultParagraphFont"/>
    <w:uiPriority w:val="99"/>
    <w:semiHidden/>
    <w:rsid w:val="009D103E"/>
    <w:rPr>
      <w:rFonts w:ascii="Calibri" w:eastAsia="Times New Roman" w:hAnsi="Calibri" w:cs="Arial"/>
    </w:rPr>
  </w:style>
  <w:style w:type="character" w:customStyle="1" w:styleId="HeaderChar1">
    <w:name w:val="Header Char1"/>
    <w:aliases w:val="Page Header Char1,Header title Char1,he=header Char1,cntr/bld Char1"/>
    <w:basedOn w:val="DefaultParagraphFont"/>
    <w:semiHidden/>
    <w:rsid w:val="009D103E"/>
    <w:rPr>
      <w:rFonts w:ascii="Calibri" w:eastAsia="Times New Roman" w:hAnsi="Calibri" w:cs="Arial"/>
      <w:sz w:val="24"/>
      <w:szCs w:val="24"/>
    </w:rPr>
  </w:style>
  <w:style w:type="paragraph" w:styleId="Date">
    <w:name w:val="Date"/>
    <w:basedOn w:val="Normal"/>
    <w:next w:val="Normal"/>
    <w:link w:val="DateChar"/>
    <w:uiPriority w:val="99"/>
    <w:unhideWhenUsed/>
    <w:rsid w:val="009D103E"/>
  </w:style>
  <w:style w:type="character" w:customStyle="1" w:styleId="DateChar">
    <w:name w:val="Date Char"/>
    <w:basedOn w:val="DefaultParagraphFont"/>
    <w:link w:val="Date"/>
    <w:uiPriority w:val="99"/>
    <w:rsid w:val="009D103E"/>
    <w:rPr>
      <w:rFonts w:ascii="Calibri" w:hAnsi="Calibri" w:cs="Arial"/>
      <w:sz w:val="24"/>
      <w:szCs w:val="24"/>
    </w:rPr>
  </w:style>
  <w:style w:type="character" w:customStyle="1" w:styleId="BodyChar">
    <w:name w:val="Body Char"/>
    <w:link w:val="Body"/>
    <w:locked/>
    <w:rsid w:val="009D103E"/>
    <w:rPr>
      <w:rFonts w:ascii="Calibri" w:eastAsia="Calibri" w:hAnsi="Calibri" w:cs="Calibri"/>
      <w:sz w:val="24"/>
      <w:lang w:eastAsia="en-US"/>
    </w:rPr>
  </w:style>
  <w:style w:type="paragraph" w:customStyle="1" w:styleId="Body">
    <w:name w:val="Body"/>
    <w:basedOn w:val="Normal"/>
    <w:link w:val="BodyChar"/>
    <w:qFormat/>
    <w:rsid w:val="009D103E"/>
    <w:pPr>
      <w:spacing w:before="120" w:after="200" w:line="276" w:lineRule="auto"/>
    </w:pPr>
    <w:rPr>
      <w:rFonts w:eastAsia="Calibri" w:cs="Calibri"/>
      <w:szCs w:val="20"/>
      <w:lang w:eastAsia="en-US"/>
    </w:rPr>
  </w:style>
  <w:style w:type="character" w:customStyle="1" w:styleId="BodyTextChar0">
    <w:name w:val="BodyText Char"/>
    <w:basedOn w:val="DefaultParagraphFont"/>
    <w:link w:val="BodyText0"/>
    <w:locked/>
    <w:rsid w:val="009D103E"/>
    <w:rPr>
      <w:rFonts w:ascii="Calibri" w:hAnsi="Calibri" w:cs="Tahoma"/>
      <w:sz w:val="22"/>
      <w:szCs w:val="22"/>
    </w:rPr>
  </w:style>
  <w:style w:type="paragraph" w:customStyle="1" w:styleId="BodyText0">
    <w:name w:val="BodyText"/>
    <w:basedOn w:val="Normal"/>
    <w:link w:val="BodyTextChar0"/>
    <w:qFormat/>
    <w:rsid w:val="009D103E"/>
    <w:pPr>
      <w:spacing w:before="120" w:after="240" w:line="288" w:lineRule="auto"/>
    </w:pPr>
    <w:rPr>
      <w:rFonts w:cs="Tahoma"/>
      <w:sz w:val="22"/>
      <w:szCs w:val="22"/>
    </w:rPr>
  </w:style>
  <w:style w:type="character" w:customStyle="1" w:styleId="TableNotesChar">
    <w:name w:val="Table Notes Char"/>
    <w:basedOn w:val="DefaultParagraphFont"/>
    <w:link w:val="TableNotes"/>
    <w:locked/>
    <w:rsid w:val="009D103E"/>
    <w:rPr>
      <w:rFonts w:ascii="Arial" w:hAnsi="Arial" w:cs="Arial"/>
      <w:sz w:val="16"/>
      <w:szCs w:val="16"/>
    </w:rPr>
  </w:style>
  <w:style w:type="paragraph" w:customStyle="1" w:styleId="TableNotes">
    <w:name w:val="Table Notes"/>
    <w:basedOn w:val="Normal"/>
    <w:next w:val="Normal"/>
    <w:link w:val="TableNotesChar"/>
    <w:qFormat/>
    <w:rsid w:val="009D103E"/>
    <w:pPr>
      <w:keepNext/>
      <w:keepLines/>
      <w:spacing w:before="60" w:after="240"/>
      <w:contextualSpacing/>
      <w:jc w:val="left"/>
    </w:pPr>
    <w:rPr>
      <w:rFonts w:ascii="Arial" w:hAnsi="Arial"/>
      <w:sz w:val="16"/>
      <w:szCs w:val="16"/>
    </w:rPr>
  </w:style>
  <w:style w:type="paragraph" w:customStyle="1" w:styleId="Table">
    <w:name w:val="Table"/>
    <w:basedOn w:val="Normal"/>
    <w:uiPriority w:val="99"/>
    <w:qFormat/>
    <w:rsid w:val="009D103E"/>
    <w:pPr>
      <w:jc w:val="left"/>
    </w:pPr>
    <w:rPr>
      <w:rFonts w:eastAsiaTheme="majorEastAsia" w:cstheme="majorBidi"/>
      <w:sz w:val="20"/>
      <w:szCs w:val="22"/>
      <w:lang w:eastAsia="en-US" w:bidi="en-US"/>
    </w:rPr>
  </w:style>
  <w:style w:type="paragraph" w:customStyle="1" w:styleId="TableFootnote">
    <w:name w:val="Table Footnote"/>
    <w:basedOn w:val="Normal"/>
    <w:uiPriority w:val="99"/>
    <w:qFormat/>
    <w:rsid w:val="009D103E"/>
    <w:pPr>
      <w:spacing w:after="240"/>
      <w:contextualSpacing/>
    </w:pPr>
    <w:rPr>
      <w:rFonts w:eastAsia="Calibri"/>
      <w:i/>
      <w:sz w:val="16"/>
      <w:lang w:eastAsia="en-US"/>
    </w:rPr>
  </w:style>
  <w:style w:type="character" w:styleId="FootnoteReference">
    <w:name w:val="footnote reference"/>
    <w:basedOn w:val="DefaultParagraphFont"/>
    <w:uiPriority w:val="99"/>
    <w:semiHidden/>
    <w:unhideWhenUsed/>
    <w:rsid w:val="009D103E"/>
    <w:rPr>
      <w:vertAlign w:val="superscript"/>
    </w:rPr>
  </w:style>
  <w:style w:type="character" w:customStyle="1" w:styleId="eop">
    <w:name w:val="eop"/>
    <w:basedOn w:val="DefaultParagraphFont"/>
    <w:rsid w:val="009D103E"/>
  </w:style>
  <w:style w:type="character" w:customStyle="1" w:styleId="normaltextrun">
    <w:name w:val="normaltextrun"/>
    <w:basedOn w:val="DefaultParagraphFont"/>
    <w:rsid w:val="009D103E"/>
  </w:style>
  <w:style w:type="character" w:customStyle="1" w:styleId="apple-converted-space">
    <w:name w:val="apple-converted-space"/>
    <w:basedOn w:val="DefaultParagraphFont"/>
    <w:rsid w:val="009D103E"/>
  </w:style>
  <w:style w:type="table" w:styleId="PlainTable2">
    <w:name w:val="Plain Table 2"/>
    <w:basedOn w:val="TableNormal"/>
    <w:uiPriority w:val="42"/>
    <w:rsid w:val="009D103E"/>
    <w:rPr>
      <w:rFonts w:ascii="Calibri" w:eastAsia="Calibri" w:hAnsi="Calibri" w:cs="Arial"/>
      <w:lang w:val="en-US" w:eastAsia="en-US" w:bidi="he-IL"/>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beth1">
    <w:name w:val="Table Gridbeth1"/>
    <w:basedOn w:val="TableNormal"/>
    <w:uiPriority w:val="59"/>
    <w:rsid w:val="009D103E"/>
    <w:rPr>
      <w:rFonts w:asciiTheme="minorHAnsi" w:eastAsiaTheme="minorEastAsia" w:hAnsiTheme="minorHAnsi" w:cstheme="minorBid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4">
    <w:name w:val="Current List4"/>
    <w:uiPriority w:val="99"/>
    <w:rsid w:val="009D103E"/>
    <w:pPr>
      <w:numPr>
        <w:numId w:val="11"/>
      </w:numPr>
    </w:pPr>
  </w:style>
  <w:style w:type="numbering" w:customStyle="1" w:styleId="CurrentList15">
    <w:name w:val="Current List15"/>
    <w:uiPriority w:val="99"/>
    <w:rsid w:val="009D103E"/>
    <w:pPr>
      <w:numPr>
        <w:numId w:val="12"/>
      </w:numPr>
    </w:p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03B80"/>
    <w:pPr>
      <w:spacing w:after="160" w:line="240" w:lineRule="exact"/>
      <w:jc w:val="left"/>
    </w:pPr>
    <w:rPr>
      <w:rFonts w:ascii="Verdana" w:eastAsia="MS Mincho" w:hAnsi="Verdana" w:cs="Verdana"/>
      <w:sz w:val="20"/>
      <w:szCs w:val="20"/>
      <w:lang w:val="en-US" w:eastAsia="en-US"/>
    </w:rPr>
  </w:style>
  <w:style w:type="character" w:customStyle="1" w:styleId="text-widget">
    <w:name w:val="text-widget"/>
    <w:basedOn w:val="DefaultParagraphFont"/>
    <w:rsid w:val="00C03B80"/>
  </w:style>
  <w:style w:type="table" w:customStyle="1" w:styleId="TableGrid1">
    <w:name w:val="Table Grid1"/>
    <w:basedOn w:val="TableNormal"/>
    <w:next w:val="TableGrid"/>
    <w:uiPriority w:val="39"/>
    <w:rsid w:val="00C03B80"/>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03B80"/>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SubsectionHeading">
    <w:name w:val="3-Subsection Heading"/>
    <w:basedOn w:val="Heading2"/>
    <w:next w:val="Normal"/>
    <w:link w:val="3-SubsectionHeadingChar"/>
    <w:qFormat/>
    <w:rsid w:val="0036750C"/>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36750C"/>
    <w:rPr>
      <w:rFonts w:asciiTheme="minorHAnsi" w:eastAsiaTheme="majorEastAsia" w:hAnsiTheme="minorHAnsi" w:cstheme="majorBidi"/>
      <w:b/>
      <w:i/>
      <w:snapToGrid/>
      <w:spacing w:val="5"/>
      <w:kern w:val="28"/>
      <w:sz w:val="28"/>
      <w:szCs w:val="36"/>
      <w:lang w:eastAsia="en-US"/>
    </w:rPr>
  </w:style>
  <w:style w:type="paragraph" w:customStyle="1" w:styleId="3Bodytext">
    <w:name w:val="3. Body text"/>
    <w:basedOn w:val="ListParagraph"/>
    <w:qFormat/>
    <w:rsid w:val="00E339BA"/>
    <w:pPr>
      <w:numPr>
        <w:numId w:val="0"/>
      </w:numPr>
      <w:ind w:left="720" w:hanging="720"/>
    </w:pPr>
    <w:rPr>
      <w:rFonts w:eastAsiaTheme="minorHAnsi" w:cstheme="minorBidi"/>
      <w:snapToGrid/>
      <w:szCs w:val="22"/>
    </w:rPr>
  </w:style>
  <w:style w:type="paragraph" w:customStyle="1" w:styleId="ExecSumBodyText">
    <w:name w:val="Exec Sum Body Text"/>
    <w:basedOn w:val="Normal"/>
    <w:qFormat/>
    <w:rsid w:val="00DD07E9"/>
    <w:pPr>
      <w:spacing w:after="120"/>
      <w:ind w:left="720" w:hanging="720"/>
    </w:pPr>
    <w:rPr>
      <w:rFonts w:asciiTheme="minorHAnsi" w:eastAsia="Times New Roman" w:hAnsiTheme="minorHAnsi"/>
      <w:snapToGrid w:val="0"/>
    </w:rPr>
  </w:style>
  <w:style w:type="numbering" w:customStyle="1" w:styleId="Lists">
    <w:name w:val="Lists"/>
    <w:uiPriority w:val="99"/>
    <w:rsid w:val="00A93A3B"/>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03044132">
      <w:bodyDiv w:val="1"/>
      <w:marLeft w:val="0"/>
      <w:marRight w:val="0"/>
      <w:marTop w:val="0"/>
      <w:marBottom w:val="0"/>
      <w:divBdr>
        <w:top w:val="none" w:sz="0" w:space="0" w:color="auto"/>
        <w:left w:val="none" w:sz="0" w:space="0" w:color="auto"/>
        <w:bottom w:val="none" w:sz="0" w:space="0" w:color="auto"/>
        <w:right w:val="none" w:sz="0" w:space="0" w:color="auto"/>
      </w:divBdr>
      <w:divsChild>
        <w:div w:id="750275122">
          <w:marLeft w:val="1080"/>
          <w:marRight w:val="0"/>
          <w:marTop w:val="100"/>
          <w:marBottom w:val="0"/>
          <w:divBdr>
            <w:top w:val="none" w:sz="0" w:space="0" w:color="auto"/>
            <w:left w:val="none" w:sz="0" w:space="0" w:color="auto"/>
            <w:bottom w:val="none" w:sz="0" w:space="0" w:color="auto"/>
            <w:right w:val="none" w:sz="0" w:space="0" w:color="auto"/>
          </w:divBdr>
        </w:div>
      </w:divsChild>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47938089">
      <w:bodyDiv w:val="1"/>
      <w:marLeft w:val="0"/>
      <w:marRight w:val="0"/>
      <w:marTop w:val="0"/>
      <w:marBottom w:val="0"/>
      <w:divBdr>
        <w:top w:val="none" w:sz="0" w:space="0" w:color="auto"/>
        <w:left w:val="none" w:sz="0" w:space="0" w:color="auto"/>
        <w:bottom w:val="none" w:sz="0" w:space="0" w:color="auto"/>
        <w:right w:val="none" w:sz="0" w:space="0" w:color="auto"/>
      </w:divBdr>
    </w:div>
    <w:div w:id="196898194">
      <w:bodyDiv w:val="1"/>
      <w:marLeft w:val="0"/>
      <w:marRight w:val="0"/>
      <w:marTop w:val="0"/>
      <w:marBottom w:val="0"/>
      <w:divBdr>
        <w:top w:val="none" w:sz="0" w:space="0" w:color="auto"/>
        <w:left w:val="none" w:sz="0" w:space="0" w:color="auto"/>
        <w:bottom w:val="none" w:sz="0" w:space="0" w:color="auto"/>
        <w:right w:val="none" w:sz="0" w:space="0" w:color="auto"/>
      </w:divBdr>
      <w:divsChild>
        <w:div w:id="1691105091">
          <w:marLeft w:val="1080"/>
          <w:marRight w:val="0"/>
          <w:marTop w:val="100"/>
          <w:marBottom w:val="0"/>
          <w:divBdr>
            <w:top w:val="none" w:sz="0" w:space="0" w:color="auto"/>
            <w:left w:val="none" w:sz="0" w:space="0" w:color="auto"/>
            <w:bottom w:val="none" w:sz="0" w:space="0" w:color="auto"/>
            <w:right w:val="none" w:sz="0" w:space="0" w:color="auto"/>
          </w:divBdr>
        </w:div>
      </w:divsChild>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51761871">
      <w:bodyDiv w:val="1"/>
      <w:marLeft w:val="0"/>
      <w:marRight w:val="0"/>
      <w:marTop w:val="0"/>
      <w:marBottom w:val="0"/>
      <w:divBdr>
        <w:top w:val="none" w:sz="0" w:space="0" w:color="auto"/>
        <w:left w:val="none" w:sz="0" w:space="0" w:color="auto"/>
        <w:bottom w:val="none" w:sz="0" w:space="0" w:color="auto"/>
        <w:right w:val="none" w:sz="0" w:space="0" w:color="auto"/>
      </w:divBdr>
    </w:div>
    <w:div w:id="377126832">
      <w:bodyDiv w:val="1"/>
      <w:marLeft w:val="0"/>
      <w:marRight w:val="0"/>
      <w:marTop w:val="0"/>
      <w:marBottom w:val="0"/>
      <w:divBdr>
        <w:top w:val="none" w:sz="0" w:space="0" w:color="auto"/>
        <w:left w:val="none" w:sz="0" w:space="0" w:color="auto"/>
        <w:bottom w:val="none" w:sz="0" w:space="0" w:color="auto"/>
        <w:right w:val="none" w:sz="0" w:space="0" w:color="auto"/>
      </w:divBdr>
    </w:div>
    <w:div w:id="513424428">
      <w:bodyDiv w:val="1"/>
      <w:marLeft w:val="0"/>
      <w:marRight w:val="0"/>
      <w:marTop w:val="0"/>
      <w:marBottom w:val="0"/>
      <w:divBdr>
        <w:top w:val="none" w:sz="0" w:space="0" w:color="auto"/>
        <w:left w:val="none" w:sz="0" w:space="0" w:color="auto"/>
        <w:bottom w:val="none" w:sz="0" w:space="0" w:color="auto"/>
        <w:right w:val="none" w:sz="0" w:space="0" w:color="auto"/>
      </w:divBdr>
      <w:divsChild>
        <w:div w:id="1804032505">
          <w:marLeft w:val="360"/>
          <w:marRight w:val="0"/>
          <w:marTop w:val="200"/>
          <w:marBottom w:val="0"/>
          <w:divBdr>
            <w:top w:val="none" w:sz="0" w:space="0" w:color="auto"/>
            <w:left w:val="none" w:sz="0" w:space="0" w:color="auto"/>
            <w:bottom w:val="none" w:sz="0" w:space="0" w:color="auto"/>
            <w:right w:val="none" w:sz="0" w:space="0" w:color="auto"/>
          </w:divBdr>
        </w:div>
        <w:div w:id="161628941">
          <w:marLeft w:val="1080"/>
          <w:marRight w:val="0"/>
          <w:marTop w:val="100"/>
          <w:marBottom w:val="0"/>
          <w:divBdr>
            <w:top w:val="none" w:sz="0" w:space="0" w:color="auto"/>
            <w:left w:val="none" w:sz="0" w:space="0" w:color="auto"/>
            <w:bottom w:val="none" w:sz="0" w:space="0" w:color="auto"/>
            <w:right w:val="none" w:sz="0" w:space="0" w:color="auto"/>
          </w:divBdr>
        </w:div>
        <w:div w:id="2118982705">
          <w:marLeft w:val="1080"/>
          <w:marRight w:val="0"/>
          <w:marTop w:val="100"/>
          <w:marBottom w:val="0"/>
          <w:divBdr>
            <w:top w:val="none" w:sz="0" w:space="0" w:color="auto"/>
            <w:left w:val="none" w:sz="0" w:space="0" w:color="auto"/>
            <w:bottom w:val="none" w:sz="0" w:space="0" w:color="auto"/>
            <w:right w:val="none" w:sz="0" w:space="0" w:color="auto"/>
          </w:divBdr>
        </w:div>
      </w:divsChild>
    </w:div>
    <w:div w:id="522280818">
      <w:bodyDiv w:val="1"/>
      <w:marLeft w:val="0"/>
      <w:marRight w:val="0"/>
      <w:marTop w:val="0"/>
      <w:marBottom w:val="0"/>
      <w:divBdr>
        <w:top w:val="none" w:sz="0" w:space="0" w:color="auto"/>
        <w:left w:val="none" w:sz="0" w:space="0" w:color="auto"/>
        <w:bottom w:val="none" w:sz="0" w:space="0" w:color="auto"/>
        <w:right w:val="none" w:sz="0" w:space="0" w:color="auto"/>
      </w:divBdr>
      <w:divsChild>
        <w:div w:id="1920171049">
          <w:marLeft w:val="360"/>
          <w:marRight w:val="0"/>
          <w:marTop w:val="200"/>
          <w:marBottom w:val="0"/>
          <w:divBdr>
            <w:top w:val="none" w:sz="0" w:space="0" w:color="auto"/>
            <w:left w:val="none" w:sz="0" w:space="0" w:color="auto"/>
            <w:bottom w:val="none" w:sz="0" w:space="0" w:color="auto"/>
            <w:right w:val="none" w:sz="0" w:space="0" w:color="auto"/>
          </w:divBdr>
        </w:div>
        <w:div w:id="340356232">
          <w:marLeft w:val="1080"/>
          <w:marRight w:val="0"/>
          <w:marTop w:val="100"/>
          <w:marBottom w:val="0"/>
          <w:divBdr>
            <w:top w:val="none" w:sz="0" w:space="0" w:color="auto"/>
            <w:left w:val="none" w:sz="0" w:space="0" w:color="auto"/>
            <w:bottom w:val="none" w:sz="0" w:space="0" w:color="auto"/>
            <w:right w:val="none" w:sz="0" w:space="0" w:color="auto"/>
          </w:divBdr>
        </w:div>
        <w:div w:id="327681959">
          <w:marLeft w:val="1080"/>
          <w:marRight w:val="0"/>
          <w:marTop w:val="100"/>
          <w:marBottom w:val="0"/>
          <w:divBdr>
            <w:top w:val="none" w:sz="0" w:space="0" w:color="auto"/>
            <w:left w:val="none" w:sz="0" w:space="0" w:color="auto"/>
            <w:bottom w:val="none" w:sz="0" w:space="0" w:color="auto"/>
            <w:right w:val="none" w:sz="0" w:space="0" w:color="auto"/>
          </w:divBdr>
        </w:div>
      </w:divsChild>
    </w:div>
    <w:div w:id="575864953">
      <w:bodyDiv w:val="1"/>
      <w:marLeft w:val="0"/>
      <w:marRight w:val="0"/>
      <w:marTop w:val="0"/>
      <w:marBottom w:val="0"/>
      <w:divBdr>
        <w:top w:val="none" w:sz="0" w:space="0" w:color="auto"/>
        <w:left w:val="none" w:sz="0" w:space="0" w:color="auto"/>
        <w:bottom w:val="none" w:sz="0" w:space="0" w:color="auto"/>
        <w:right w:val="none" w:sz="0" w:space="0" w:color="auto"/>
      </w:divBdr>
    </w:div>
    <w:div w:id="64867537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04216">
      <w:bodyDiv w:val="1"/>
      <w:marLeft w:val="0"/>
      <w:marRight w:val="0"/>
      <w:marTop w:val="0"/>
      <w:marBottom w:val="0"/>
      <w:divBdr>
        <w:top w:val="none" w:sz="0" w:space="0" w:color="auto"/>
        <w:left w:val="none" w:sz="0" w:space="0" w:color="auto"/>
        <w:bottom w:val="none" w:sz="0" w:space="0" w:color="auto"/>
        <w:right w:val="none" w:sz="0" w:space="0" w:color="auto"/>
      </w:divBdr>
      <w:divsChild>
        <w:div w:id="1270360516">
          <w:marLeft w:val="1080"/>
          <w:marRight w:val="0"/>
          <w:marTop w:val="100"/>
          <w:marBottom w:val="0"/>
          <w:divBdr>
            <w:top w:val="none" w:sz="0" w:space="0" w:color="auto"/>
            <w:left w:val="none" w:sz="0" w:space="0" w:color="auto"/>
            <w:bottom w:val="none" w:sz="0" w:space="0" w:color="auto"/>
            <w:right w:val="none" w:sz="0" w:space="0" w:color="auto"/>
          </w:divBdr>
        </w:div>
      </w:divsChild>
    </w:div>
    <w:div w:id="1399670785">
      <w:bodyDiv w:val="1"/>
      <w:marLeft w:val="0"/>
      <w:marRight w:val="0"/>
      <w:marTop w:val="0"/>
      <w:marBottom w:val="0"/>
      <w:divBdr>
        <w:top w:val="none" w:sz="0" w:space="0" w:color="auto"/>
        <w:left w:val="none" w:sz="0" w:space="0" w:color="auto"/>
        <w:bottom w:val="none" w:sz="0" w:space="0" w:color="auto"/>
        <w:right w:val="none" w:sz="0" w:space="0" w:color="auto"/>
      </w:divBdr>
    </w:div>
    <w:div w:id="1439980433">
      <w:bodyDiv w:val="1"/>
      <w:marLeft w:val="0"/>
      <w:marRight w:val="0"/>
      <w:marTop w:val="0"/>
      <w:marBottom w:val="0"/>
      <w:divBdr>
        <w:top w:val="none" w:sz="0" w:space="0" w:color="auto"/>
        <w:left w:val="none" w:sz="0" w:space="0" w:color="auto"/>
        <w:bottom w:val="none" w:sz="0" w:space="0" w:color="auto"/>
        <w:right w:val="none" w:sz="0" w:space="0" w:color="auto"/>
      </w:divBdr>
      <w:divsChild>
        <w:div w:id="1469320041">
          <w:marLeft w:val="1080"/>
          <w:marRight w:val="0"/>
          <w:marTop w:val="100"/>
          <w:marBottom w:val="0"/>
          <w:divBdr>
            <w:top w:val="none" w:sz="0" w:space="0" w:color="auto"/>
            <w:left w:val="none" w:sz="0" w:space="0" w:color="auto"/>
            <w:bottom w:val="none" w:sz="0" w:space="0" w:color="auto"/>
            <w:right w:val="none" w:sz="0" w:space="0" w:color="auto"/>
          </w:divBdr>
        </w:div>
      </w:divsChild>
    </w:div>
    <w:div w:id="1535460397">
      <w:bodyDiv w:val="1"/>
      <w:marLeft w:val="0"/>
      <w:marRight w:val="0"/>
      <w:marTop w:val="0"/>
      <w:marBottom w:val="0"/>
      <w:divBdr>
        <w:top w:val="none" w:sz="0" w:space="0" w:color="auto"/>
        <w:left w:val="none" w:sz="0" w:space="0" w:color="auto"/>
        <w:bottom w:val="none" w:sz="0" w:space="0" w:color="auto"/>
        <w:right w:val="none" w:sz="0" w:space="0" w:color="auto"/>
      </w:divBdr>
    </w:div>
    <w:div w:id="1544900667">
      <w:bodyDiv w:val="1"/>
      <w:marLeft w:val="0"/>
      <w:marRight w:val="0"/>
      <w:marTop w:val="0"/>
      <w:marBottom w:val="0"/>
      <w:divBdr>
        <w:top w:val="none" w:sz="0" w:space="0" w:color="auto"/>
        <w:left w:val="none" w:sz="0" w:space="0" w:color="auto"/>
        <w:bottom w:val="none" w:sz="0" w:space="0" w:color="auto"/>
        <w:right w:val="none" w:sz="0" w:space="0" w:color="auto"/>
      </w:divBdr>
    </w:div>
    <w:div w:id="1588805574">
      <w:bodyDiv w:val="1"/>
      <w:marLeft w:val="0"/>
      <w:marRight w:val="0"/>
      <w:marTop w:val="0"/>
      <w:marBottom w:val="0"/>
      <w:divBdr>
        <w:top w:val="none" w:sz="0" w:space="0" w:color="auto"/>
        <w:left w:val="none" w:sz="0" w:space="0" w:color="auto"/>
        <w:bottom w:val="none" w:sz="0" w:space="0" w:color="auto"/>
        <w:right w:val="none" w:sz="0" w:space="0" w:color="auto"/>
      </w:divBdr>
    </w:div>
    <w:div w:id="1619950381">
      <w:bodyDiv w:val="1"/>
      <w:marLeft w:val="0"/>
      <w:marRight w:val="0"/>
      <w:marTop w:val="0"/>
      <w:marBottom w:val="0"/>
      <w:divBdr>
        <w:top w:val="none" w:sz="0" w:space="0" w:color="auto"/>
        <w:left w:val="none" w:sz="0" w:space="0" w:color="auto"/>
        <w:bottom w:val="none" w:sz="0" w:space="0" w:color="auto"/>
        <w:right w:val="none" w:sz="0" w:space="0" w:color="auto"/>
      </w:divBdr>
      <w:divsChild>
        <w:div w:id="588536934">
          <w:marLeft w:val="1080"/>
          <w:marRight w:val="0"/>
          <w:marTop w:val="100"/>
          <w:marBottom w:val="0"/>
          <w:divBdr>
            <w:top w:val="none" w:sz="0" w:space="0" w:color="auto"/>
            <w:left w:val="none" w:sz="0" w:space="0" w:color="auto"/>
            <w:bottom w:val="none" w:sz="0" w:space="0" w:color="auto"/>
            <w:right w:val="none" w:sz="0" w:space="0" w:color="auto"/>
          </w:divBdr>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14719223">
      <w:bodyDiv w:val="1"/>
      <w:marLeft w:val="0"/>
      <w:marRight w:val="0"/>
      <w:marTop w:val="0"/>
      <w:marBottom w:val="0"/>
      <w:divBdr>
        <w:top w:val="none" w:sz="0" w:space="0" w:color="auto"/>
        <w:left w:val="none" w:sz="0" w:space="0" w:color="auto"/>
        <w:bottom w:val="none" w:sz="0" w:space="0" w:color="auto"/>
        <w:right w:val="none" w:sz="0" w:space="0" w:color="auto"/>
      </w:divBdr>
    </w:div>
    <w:div w:id="2062243499">
      <w:bodyDiv w:val="1"/>
      <w:marLeft w:val="0"/>
      <w:marRight w:val="0"/>
      <w:marTop w:val="0"/>
      <w:marBottom w:val="0"/>
      <w:divBdr>
        <w:top w:val="none" w:sz="0" w:space="0" w:color="auto"/>
        <w:left w:val="none" w:sz="0" w:space="0" w:color="auto"/>
        <w:bottom w:val="none" w:sz="0" w:space="0" w:color="auto"/>
        <w:right w:val="none" w:sz="0" w:space="0" w:color="auto"/>
      </w:divBdr>
    </w:div>
    <w:div w:id="208282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e15f670ff4a34f47" Type="http://schemas.microsoft.com/office/2019/09/relationships/intelligence" Target="intelligenc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DD0BF-6E53-4F73-A782-C7377EE38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22621</Words>
  <Characters>126073</Characters>
  <Application>Microsoft Office Word</Application>
  <DocSecurity>0</DocSecurity>
  <Lines>1050</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148398</CharactersWithSpaces>
  <SharedDoc>false</SharedDoc>
  <HLinks>
    <vt:vector size="402" baseType="variant">
      <vt:variant>
        <vt:i4>5177430</vt:i4>
      </vt:variant>
      <vt:variant>
        <vt:i4>482</vt:i4>
      </vt:variant>
      <vt:variant>
        <vt:i4>0</vt:i4>
      </vt:variant>
      <vt:variant>
        <vt:i4>5</vt:i4>
      </vt:variant>
      <vt:variant>
        <vt:lpwstr>https://www.ebs.tga.gov.au/ebs/picmi/picmirepository.nsf/pdf?OpenAgent&amp;id=CP-2020-PI-02581-1&amp;d=20220329172310101</vt:lpwstr>
      </vt:variant>
      <vt:variant>
        <vt:lpwstr/>
      </vt:variant>
      <vt:variant>
        <vt:i4>1900593</vt:i4>
      </vt:variant>
      <vt:variant>
        <vt:i4>362</vt:i4>
      </vt:variant>
      <vt:variant>
        <vt:i4>0</vt:i4>
      </vt:variant>
      <vt:variant>
        <vt:i4>5</vt:i4>
      </vt:variant>
      <vt:variant>
        <vt:lpwstr/>
      </vt:variant>
      <vt:variant>
        <vt:lpwstr>_Toc102664480</vt:lpwstr>
      </vt:variant>
      <vt:variant>
        <vt:i4>1179697</vt:i4>
      </vt:variant>
      <vt:variant>
        <vt:i4>356</vt:i4>
      </vt:variant>
      <vt:variant>
        <vt:i4>0</vt:i4>
      </vt:variant>
      <vt:variant>
        <vt:i4>5</vt:i4>
      </vt:variant>
      <vt:variant>
        <vt:lpwstr/>
      </vt:variant>
      <vt:variant>
        <vt:lpwstr>_Toc102664479</vt:lpwstr>
      </vt:variant>
      <vt:variant>
        <vt:i4>1179697</vt:i4>
      </vt:variant>
      <vt:variant>
        <vt:i4>350</vt:i4>
      </vt:variant>
      <vt:variant>
        <vt:i4>0</vt:i4>
      </vt:variant>
      <vt:variant>
        <vt:i4>5</vt:i4>
      </vt:variant>
      <vt:variant>
        <vt:lpwstr/>
      </vt:variant>
      <vt:variant>
        <vt:lpwstr>_Toc102664478</vt:lpwstr>
      </vt:variant>
      <vt:variant>
        <vt:i4>1179697</vt:i4>
      </vt:variant>
      <vt:variant>
        <vt:i4>344</vt:i4>
      </vt:variant>
      <vt:variant>
        <vt:i4>0</vt:i4>
      </vt:variant>
      <vt:variant>
        <vt:i4>5</vt:i4>
      </vt:variant>
      <vt:variant>
        <vt:lpwstr/>
      </vt:variant>
      <vt:variant>
        <vt:lpwstr>_Toc102664477</vt:lpwstr>
      </vt:variant>
      <vt:variant>
        <vt:i4>1179697</vt:i4>
      </vt:variant>
      <vt:variant>
        <vt:i4>338</vt:i4>
      </vt:variant>
      <vt:variant>
        <vt:i4>0</vt:i4>
      </vt:variant>
      <vt:variant>
        <vt:i4>5</vt:i4>
      </vt:variant>
      <vt:variant>
        <vt:lpwstr/>
      </vt:variant>
      <vt:variant>
        <vt:lpwstr>_Toc102664476</vt:lpwstr>
      </vt:variant>
      <vt:variant>
        <vt:i4>1179697</vt:i4>
      </vt:variant>
      <vt:variant>
        <vt:i4>332</vt:i4>
      </vt:variant>
      <vt:variant>
        <vt:i4>0</vt:i4>
      </vt:variant>
      <vt:variant>
        <vt:i4>5</vt:i4>
      </vt:variant>
      <vt:variant>
        <vt:lpwstr/>
      </vt:variant>
      <vt:variant>
        <vt:lpwstr>_Toc102664475</vt:lpwstr>
      </vt:variant>
      <vt:variant>
        <vt:i4>1179697</vt:i4>
      </vt:variant>
      <vt:variant>
        <vt:i4>326</vt:i4>
      </vt:variant>
      <vt:variant>
        <vt:i4>0</vt:i4>
      </vt:variant>
      <vt:variant>
        <vt:i4>5</vt:i4>
      </vt:variant>
      <vt:variant>
        <vt:lpwstr/>
      </vt:variant>
      <vt:variant>
        <vt:lpwstr>_Toc102664474</vt:lpwstr>
      </vt:variant>
      <vt:variant>
        <vt:i4>1179697</vt:i4>
      </vt:variant>
      <vt:variant>
        <vt:i4>320</vt:i4>
      </vt:variant>
      <vt:variant>
        <vt:i4>0</vt:i4>
      </vt:variant>
      <vt:variant>
        <vt:i4>5</vt:i4>
      </vt:variant>
      <vt:variant>
        <vt:lpwstr/>
      </vt:variant>
      <vt:variant>
        <vt:lpwstr>_Toc102664473</vt:lpwstr>
      </vt:variant>
      <vt:variant>
        <vt:i4>1179697</vt:i4>
      </vt:variant>
      <vt:variant>
        <vt:i4>314</vt:i4>
      </vt:variant>
      <vt:variant>
        <vt:i4>0</vt:i4>
      </vt:variant>
      <vt:variant>
        <vt:i4>5</vt:i4>
      </vt:variant>
      <vt:variant>
        <vt:lpwstr/>
      </vt:variant>
      <vt:variant>
        <vt:lpwstr>_Toc102664472</vt:lpwstr>
      </vt:variant>
      <vt:variant>
        <vt:i4>1179697</vt:i4>
      </vt:variant>
      <vt:variant>
        <vt:i4>308</vt:i4>
      </vt:variant>
      <vt:variant>
        <vt:i4>0</vt:i4>
      </vt:variant>
      <vt:variant>
        <vt:i4>5</vt:i4>
      </vt:variant>
      <vt:variant>
        <vt:lpwstr/>
      </vt:variant>
      <vt:variant>
        <vt:lpwstr>_Toc102664471</vt:lpwstr>
      </vt:variant>
      <vt:variant>
        <vt:i4>1179697</vt:i4>
      </vt:variant>
      <vt:variant>
        <vt:i4>302</vt:i4>
      </vt:variant>
      <vt:variant>
        <vt:i4>0</vt:i4>
      </vt:variant>
      <vt:variant>
        <vt:i4>5</vt:i4>
      </vt:variant>
      <vt:variant>
        <vt:lpwstr/>
      </vt:variant>
      <vt:variant>
        <vt:lpwstr>_Toc102664470</vt:lpwstr>
      </vt:variant>
      <vt:variant>
        <vt:i4>1245233</vt:i4>
      </vt:variant>
      <vt:variant>
        <vt:i4>296</vt:i4>
      </vt:variant>
      <vt:variant>
        <vt:i4>0</vt:i4>
      </vt:variant>
      <vt:variant>
        <vt:i4>5</vt:i4>
      </vt:variant>
      <vt:variant>
        <vt:lpwstr/>
      </vt:variant>
      <vt:variant>
        <vt:lpwstr>_Toc102664469</vt:lpwstr>
      </vt:variant>
      <vt:variant>
        <vt:i4>1245233</vt:i4>
      </vt:variant>
      <vt:variant>
        <vt:i4>290</vt:i4>
      </vt:variant>
      <vt:variant>
        <vt:i4>0</vt:i4>
      </vt:variant>
      <vt:variant>
        <vt:i4>5</vt:i4>
      </vt:variant>
      <vt:variant>
        <vt:lpwstr/>
      </vt:variant>
      <vt:variant>
        <vt:lpwstr>_Toc102664468</vt:lpwstr>
      </vt:variant>
      <vt:variant>
        <vt:i4>1245233</vt:i4>
      </vt:variant>
      <vt:variant>
        <vt:i4>284</vt:i4>
      </vt:variant>
      <vt:variant>
        <vt:i4>0</vt:i4>
      </vt:variant>
      <vt:variant>
        <vt:i4>5</vt:i4>
      </vt:variant>
      <vt:variant>
        <vt:lpwstr/>
      </vt:variant>
      <vt:variant>
        <vt:lpwstr>_Toc102664467</vt:lpwstr>
      </vt:variant>
      <vt:variant>
        <vt:i4>1245233</vt:i4>
      </vt:variant>
      <vt:variant>
        <vt:i4>278</vt:i4>
      </vt:variant>
      <vt:variant>
        <vt:i4>0</vt:i4>
      </vt:variant>
      <vt:variant>
        <vt:i4>5</vt:i4>
      </vt:variant>
      <vt:variant>
        <vt:lpwstr/>
      </vt:variant>
      <vt:variant>
        <vt:lpwstr>_Toc102664466</vt:lpwstr>
      </vt:variant>
      <vt:variant>
        <vt:i4>1245233</vt:i4>
      </vt:variant>
      <vt:variant>
        <vt:i4>272</vt:i4>
      </vt:variant>
      <vt:variant>
        <vt:i4>0</vt:i4>
      </vt:variant>
      <vt:variant>
        <vt:i4>5</vt:i4>
      </vt:variant>
      <vt:variant>
        <vt:lpwstr/>
      </vt:variant>
      <vt:variant>
        <vt:lpwstr>_Toc102664465</vt:lpwstr>
      </vt:variant>
      <vt:variant>
        <vt:i4>1245233</vt:i4>
      </vt:variant>
      <vt:variant>
        <vt:i4>266</vt:i4>
      </vt:variant>
      <vt:variant>
        <vt:i4>0</vt:i4>
      </vt:variant>
      <vt:variant>
        <vt:i4>5</vt:i4>
      </vt:variant>
      <vt:variant>
        <vt:lpwstr/>
      </vt:variant>
      <vt:variant>
        <vt:lpwstr>_Toc102664464</vt:lpwstr>
      </vt:variant>
      <vt:variant>
        <vt:i4>1245233</vt:i4>
      </vt:variant>
      <vt:variant>
        <vt:i4>260</vt:i4>
      </vt:variant>
      <vt:variant>
        <vt:i4>0</vt:i4>
      </vt:variant>
      <vt:variant>
        <vt:i4>5</vt:i4>
      </vt:variant>
      <vt:variant>
        <vt:lpwstr/>
      </vt:variant>
      <vt:variant>
        <vt:lpwstr>_Toc102664463</vt:lpwstr>
      </vt:variant>
      <vt:variant>
        <vt:i4>1245233</vt:i4>
      </vt:variant>
      <vt:variant>
        <vt:i4>254</vt:i4>
      </vt:variant>
      <vt:variant>
        <vt:i4>0</vt:i4>
      </vt:variant>
      <vt:variant>
        <vt:i4>5</vt:i4>
      </vt:variant>
      <vt:variant>
        <vt:lpwstr/>
      </vt:variant>
      <vt:variant>
        <vt:lpwstr>_Toc102664462</vt:lpwstr>
      </vt:variant>
      <vt:variant>
        <vt:i4>1245233</vt:i4>
      </vt:variant>
      <vt:variant>
        <vt:i4>248</vt:i4>
      </vt:variant>
      <vt:variant>
        <vt:i4>0</vt:i4>
      </vt:variant>
      <vt:variant>
        <vt:i4>5</vt:i4>
      </vt:variant>
      <vt:variant>
        <vt:lpwstr/>
      </vt:variant>
      <vt:variant>
        <vt:lpwstr>_Toc102664461</vt:lpwstr>
      </vt:variant>
      <vt:variant>
        <vt:i4>1245233</vt:i4>
      </vt:variant>
      <vt:variant>
        <vt:i4>242</vt:i4>
      </vt:variant>
      <vt:variant>
        <vt:i4>0</vt:i4>
      </vt:variant>
      <vt:variant>
        <vt:i4>5</vt:i4>
      </vt:variant>
      <vt:variant>
        <vt:lpwstr/>
      </vt:variant>
      <vt:variant>
        <vt:lpwstr>_Toc102664460</vt:lpwstr>
      </vt:variant>
      <vt:variant>
        <vt:i4>1048625</vt:i4>
      </vt:variant>
      <vt:variant>
        <vt:i4>236</vt:i4>
      </vt:variant>
      <vt:variant>
        <vt:i4>0</vt:i4>
      </vt:variant>
      <vt:variant>
        <vt:i4>5</vt:i4>
      </vt:variant>
      <vt:variant>
        <vt:lpwstr/>
      </vt:variant>
      <vt:variant>
        <vt:lpwstr>_Toc102664459</vt:lpwstr>
      </vt:variant>
      <vt:variant>
        <vt:i4>1048625</vt:i4>
      </vt:variant>
      <vt:variant>
        <vt:i4>230</vt:i4>
      </vt:variant>
      <vt:variant>
        <vt:i4>0</vt:i4>
      </vt:variant>
      <vt:variant>
        <vt:i4>5</vt:i4>
      </vt:variant>
      <vt:variant>
        <vt:lpwstr/>
      </vt:variant>
      <vt:variant>
        <vt:lpwstr>_Toc102664458</vt:lpwstr>
      </vt:variant>
      <vt:variant>
        <vt:i4>1048625</vt:i4>
      </vt:variant>
      <vt:variant>
        <vt:i4>224</vt:i4>
      </vt:variant>
      <vt:variant>
        <vt:i4>0</vt:i4>
      </vt:variant>
      <vt:variant>
        <vt:i4>5</vt:i4>
      </vt:variant>
      <vt:variant>
        <vt:lpwstr/>
      </vt:variant>
      <vt:variant>
        <vt:lpwstr>_Toc102664457</vt:lpwstr>
      </vt:variant>
      <vt:variant>
        <vt:i4>1048625</vt:i4>
      </vt:variant>
      <vt:variant>
        <vt:i4>218</vt:i4>
      </vt:variant>
      <vt:variant>
        <vt:i4>0</vt:i4>
      </vt:variant>
      <vt:variant>
        <vt:i4>5</vt:i4>
      </vt:variant>
      <vt:variant>
        <vt:lpwstr/>
      </vt:variant>
      <vt:variant>
        <vt:lpwstr>_Toc102664456</vt:lpwstr>
      </vt:variant>
      <vt:variant>
        <vt:i4>1048625</vt:i4>
      </vt:variant>
      <vt:variant>
        <vt:i4>212</vt:i4>
      </vt:variant>
      <vt:variant>
        <vt:i4>0</vt:i4>
      </vt:variant>
      <vt:variant>
        <vt:i4>5</vt:i4>
      </vt:variant>
      <vt:variant>
        <vt:lpwstr/>
      </vt:variant>
      <vt:variant>
        <vt:lpwstr>_Toc102664455</vt:lpwstr>
      </vt:variant>
      <vt:variant>
        <vt:i4>1048625</vt:i4>
      </vt:variant>
      <vt:variant>
        <vt:i4>206</vt:i4>
      </vt:variant>
      <vt:variant>
        <vt:i4>0</vt:i4>
      </vt:variant>
      <vt:variant>
        <vt:i4>5</vt:i4>
      </vt:variant>
      <vt:variant>
        <vt:lpwstr/>
      </vt:variant>
      <vt:variant>
        <vt:lpwstr>_Toc102664454</vt:lpwstr>
      </vt:variant>
      <vt:variant>
        <vt:i4>1048625</vt:i4>
      </vt:variant>
      <vt:variant>
        <vt:i4>200</vt:i4>
      </vt:variant>
      <vt:variant>
        <vt:i4>0</vt:i4>
      </vt:variant>
      <vt:variant>
        <vt:i4>5</vt:i4>
      </vt:variant>
      <vt:variant>
        <vt:lpwstr/>
      </vt:variant>
      <vt:variant>
        <vt:lpwstr>_Toc102664453</vt:lpwstr>
      </vt:variant>
      <vt:variant>
        <vt:i4>1048625</vt:i4>
      </vt:variant>
      <vt:variant>
        <vt:i4>194</vt:i4>
      </vt:variant>
      <vt:variant>
        <vt:i4>0</vt:i4>
      </vt:variant>
      <vt:variant>
        <vt:i4>5</vt:i4>
      </vt:variant>
      <vt:variant>
        <vt:lpwstr/>
      </vt:variant>
      <vt:variant>
        <vt:lpwstr>_Toc102664452</vt:lpwstr>
      </vt:variant>
      <vt:variant>
        <vt:i4>1048625</vt:i4>
      </vt:variant>
      <vt:variant>
        <vt:i4>188</vt:i4>
      </vt:variant>
      <vt:variant>
        <vt:i4>0</vt:i4>
      </vt:variant>
      <vt:variant>
        <vt:i4>5</vt:i4>
      </vt:variant>
      <vt:variant>
        <vt:lpwstr/>
      </vt:variant>
      <vt:variant>
        <vt:lpwstr>_Toc102664451</vt:lpwstr>
      </vt:variant>
      <vt:variant>
        <vt:i4>1048625</vt:i4>
      </vt:variant>
      <vt:variant>
        <vt:i4>182</vt:i4>
      </vt:variant>
      <vt:variant>
        <vt:i4>0</vt:i4>
      </vt:variant>
      <vt:variant>
        <vt:i4>5</vt:i4>
      </vt:variant>
      <vt:variant>
        <vt:lpwstr/>
      </vt:variant>
      <vt:variant>
        <vt:lpwstr>_Toc102664450</vt:lpwstr>
      </vt:variant>
      <vt:variant>
        <vt:i4>1114161</vt:i4>
      </vt:variant>
      <vt:variant>
        <vt:i4>176</vt:i4>
      </vt:variant>
      <vt:variant>
        <vt:i4>0</vt:i4>
      </vt:variant>
      <vt:variant>
        <vt:i4>5</vt:i4>
      </vt:variant>
      <vt:variant>
        <vt:lpwstr/>
      </vt:variant>
      <vt:variant>
        <vt:lpwstr>_Toc102664449</vt:lpwstr>
      </vt:variant>
      <vt:variant>
        <vt:i4>1114161</vt:i4>
      </vt:variant>
      <vt:variant>
        <vt:i4>170</vt:i4>
      </vt:variant>
      <vt:variant>
        <vt:i4>0</vt:i4>
      </vt:variant>
      <vt:variant>
        <vt:i4>5</vt:i4>
      </vt:variant>
      <vt:variant>
        <vt:lpwstr/>
      </vt:variant>
      <vt:variant>
        <vt:lpwstr>_Toc102664448</vt:lpwstr>
      </vt:variant>
      <vt:variant>
        <vt:i4>1114161</vt:i4>
      </vt:variant>
      <vt:variant>
        <vt:i4>164</vt:i4>
      </vt:variant>
      <vt:variant>
        <vt:i4>0</vt:i4>
      </vt:variant>
      <vt:variant>
        <vt:i4>5</vt:i4>
      </vt:variant>
      <vt:variant>
        <vt:lpwstr/>
      </vt:variant>
      <vt:variant>
        <vt:lpwstr>_Toc102664447</vt:lpwstr>
      </vt:variant>
      <vt:variant>
        <vt:i4>1114161</vt:i4>
      </vt:variant>
      <vt:variant>
        <vt:i4>158</vt:i4>
      </vt:variant>
      <vt:variant>
        <vt:i4>0</vt:i4>
      </vt:variant>
      <vt:variant>
        <vt:i4>5</vt:i4>
      </vt:variant>
      <vt:variant>
        <vt:lpwstr/>
      </vt:variant>
      <vt:variant>
        <vt:lpwstr>_Toc102664446</vt:lpwstr>
      </vt:variant>
      <vt:variant>
        <vt:i4>1114161</vt:i4>
      </vt:variant>
      <vt:variant>
        <vt:i4>152</vt:i4>
      </vt:variant>
      <vt:variant>
        <vt:i4>0</vt:i4>
      </vt:variant>
      <vt:variant>
        <vt:i4>5</vt:i4>
      </vt:variant>
      <vt:variant>
        <vt:lpwstr/>
      </vt:variant>
      <vt:variant>
        <vt:lpwstr>_Toc102664445</vt:lpwstr>
      </vt:variant>
      <vt:variant>
        <vt:i4>1114161</vt:i4>
      </vt:variant>
      <vt:variant>
        <vt:i4>146</vt:i4>
      </vt:variant>
      <vt:variant>
        <vt:i4>0</vt:i4>
      </vt:variant>
      <vt:variant>
        <vt:i4>5</vt:i4>
      </vt:variant>
      <vt:variant>
        <vt:lpwstr/>
      </vt:variant>
      <vt:variant>
        <vt:lpwstr>_Toc102664444</vt:lpwstr>
      </vt:variant>
      <vt:variant>
        <vt:i4>1114161</vt:i4>
      </vt:variant>
      <vt:variant>
        <vt:i4>140</vt:i4>
      </vt:variant>
      <vt:variant>
        <vt:i4>0</vt:i4>
      </vt:variant>
      <vt:variant>
        <vt:i4>5</vt:i4>
      </vt:variant>
      <vt:variant>
        <vt:lpwstr/>
      </vt:variant>
      <vt:variant>
        <vt:lpwstr>_Toc102664443</vt:lpwstr>
      </vt:variant>
      <vt:variant>
        <vt:i4>1114161</vt:i4>
      </vt:variant>
      <vt:variant>
        <vt:i4>134</vt:i4>
      </vt:variant>
      <vt:variant>
        <vt:i4>0</vt:i4>
      </vt:variant>
      <vt:variant>
        <vt:i4>5</vt:i4>
      </vt:variant>
      <vt:variant>
        <vt:lpwstr/>
      </vt:variant>
      <vt:variant>
        <vt:lpwstr>_Toc102664442</vt:lpwstr>
      </vt:variant>
      <vt:variant>
        <vt:i4>1114161</vt:i4>
      </vt:variant>
      <vt:variant>
        <vt:i4>128</vt:i4>
      </vt:variant>
      <vt:variant>
        <vt:i4>0</vt:i4>
      </vt:variant>
      <vt:variant>
        <vt:i4>5</vt:i4>
      </vt:variant>
      <vt:variant>
        <vt:lpwstr/>
      </vt:variant>
      <vt:variant>
        <vt:lpwstr>_Toc102664441</vt:lpwstr>
      </vt:variant>
      <vt:variant>
        <vt:i4>1114161</vt:i4>
      </vt:variant>
      <vt:variant>
        <vt:i4>122</vt:i4>
      </vt:variant>
      <vt:variant>
        <vt:i4>0</vt:i4>
      </vt:variant>
      <vt:variant>
        <vt:i4>5</vt:i4>
      </vt:variant>
      <vt:variant>
        <vt:lpwstr/>
      </vt:variant>
      <vt:variant>
        <vt:lpwstr>_Toc102664440</vt:lpwstr>
      </vt:variant>
      <vt:variant>
        <vt:i4>1441841</vt:i4>
      </vt:variant>
      <vt:variant>
        <vt:i4>116</vt:i4>
      </vt:variant>
      <vt:variant>
        <vt:i4>0</vt:i4>
      </vt:variant>
      <vt:variant>
        <vt:i4>5</vt:i4>
      </vt:variant>
      <vt:variant>
        <vt:lpwstr/>
      </vt:variant>
      <vt:variant>
        <vt:lpwstr>_Toc102664439</vt:lpwstr>
      </vt:variant>
      <vt:variant>
        <vt:i4>1441841</vt:i4>
      </vt:variant>
      <vt:variant>
        <vt:i4>110</vt:i4>
      </vt:variant>
      <vt:variant>
        <vt:i4>0</vt:i4>
      </vt:variant>
      <vt:variant>
        <vt:i4>5</vt:i4>
      </vt:variant>
      <vt:variant>
        <vt:lpwstr/>
      </vt:variant>
      <vt:variant>
        <vt:lpwstr>_Toc102664438</vt:lpwstr>
      </vt:variant>
      <vt:variant>
        <vt:i4>1441841</vt:i4>
      </vt:variant>
      <vt:variant>
        <vt:i4>104</vt:i4>
      </vt:variant>
      <vt:variant>
        <vt:i4>0</vt:i4>
      </vt:variant>
      <vt:variant>
        <vt:i4>5</vt:i4>
      </vt:variant>
      <vt:variant>
        <vt:lpwstr/>
      </vt:variant>
      <vt:variant>
        <vt:lpwstr>_Toc102664437</vt:lpwstr>
      </vt:variant>
      <vt:variant>
        <vt:i4>1441841</vt:i4>
      </vt:variant>
      <vt:variant>
        <vt:i4>98</vt:i4>
      </vt:variant>
      <vt:variant>
        <vt:i4>0</vt:i4>
      </vt:variant>
      <vt:variant>
        <vt:i4>5</vt:i4>
      </vt:variant>
      <vt:variant>
        <vt:lpwstr/>
      </vt:variant>
      <vt:variant>
        <vt:lpwstr>_Toc102664436</vt:lpwstr>
      </vt:variant>
      <vt:variant>
        <vt:i4>1441841</vt:i4>
      </vt:variant>
      <vt:variant>
        <vt:i4>92</vt:i4>
      </vt:variant>
      <vt:variant>
        <vt:i4>0</vt:i4>
      </vt:variant>
      <vt:variant>
        <vt:i4>5</vt:i4>
      </vt:variant>
      <vt:variant>
        <vt:lpwstr/>
      </vt:variant>
      <vt:variant>
        <vt:lpwstr>_Toc102664435</vt:lpwstr>
      </vt:variant>
      <vt:variant>
        <vt:i4>1441841</vt:i4>
      </vt:variant>
      <vt:variant>
        <vt:i4>86</vt:i4>
      </vt:variant>
      <vt:variant>
        <vt:i4>0</vt:i4>
      </vt:variant>
      <vt:variant>
        <vt:i4>5</vt:i4>
      </vt:variant>
      <vt:variant>
        <vt:lpwstr/>
      </vt:variant>
      <vt:variant>
        <vt:lpwstr>_Toc102664434</vt:lpwstr>
      </vt:variant>
      <vt:variant>
        <vt:i4>1441841</vt:i4>
      </vt:variant>
      <vt:variant>
        <vt:i4>80</vt:i4>
      </vt:variant>
      <vt:variant>
        <vt:i4>0</vt:i4>
      </vt:variant>
      <vt:variant>
        <vt:i4>5</vt:i4>
      </vt:variant>
      <vt:variant>
        <vt:lpwstr/>
      </vt:variant>
      <vt:variant>
        <vt:lpwstr>_Toc102664433</vt:lpwstr>
      </vt:variant>
      <vt:variant>
        <vt:i4>1441841</vt:i4>
      </vt:variant>
      <vt:variant>
        <vt:i4>74</vt:i4>
      </vt:variant>
      <vt:variant>
        <vt:i4>0</vt:i4>
      </vt:variant>
      <vt:variant>
        <vt:i4>5</vt:i4>
      </vt:variant>
      <vt:variant>
        <vt:lpwstr/>
      </vt:variant>
      <vt:variant>
        <vt:lpwstr>_Toc102664432</vt:lpwstr>
      </vt:variant>
      <vt:variant>
        <vt:i4>1441841</vt:i4>
      </vt:variant>
      <vt:variant>
        <vt:i4>68</vt:i4>
      </vt:variant>
      <vt:variant>
        <vt:i4>0</vt:i4>
      </vt:variant>
      <vt:variant>
        <vt:i4>5</vt:i4>
      </vt:variant>
      <vt:variant>
        <vt:lpwstr/>
      </vt:variant>
      <vt:variant>
        <vt:lpwstr>_Toc102664431</vt:lpwstr>
      </vt:variant>
      <vt:variant>
        <vt:i4>1441841</vt:i4>
      </vt:variant>
      <vt:variant>
        <vt:i4>62</vt:i4>
      </vt:variant>
      <vt:variant>
        <vt:i4>0</vt:i4>
      </vt:variant>
      <vt:variant>
        <vt:i4>5</vt:i4>
      </vt:variant>
      <vt:variant>
        <vt:lpwstr/>
      </vt:variant>
      <vt:variant>
        <vt:lpwstr>_Toc102664430</vt:lpwstr>
      </vt:variant>
      <vt:variant>
        <vt:i4>1507377</vt:i4>
      </vt:variant>
      <vt:variant>
        <vt:i4>56</vt:i4>
      </vt:variant>
      <vt:variant>
        <vt:i4>0</vt:i4>
      </vt:variant>
      <vt:variant>
        <vt:i4>5</vt:i4>
      </vt:variant>
      <vt:variant>
        <vt:lpwstr/>
      </vt:variant>
      <vt:variant>
        <vt:lpwstr>_Toc102664429</vt:lpwstr>
      </vt:variant>
      <vt:variant>
        <vt:i4>1507377</vt:i4>
      </vt:variant>
      <vt:variant>
        <vt:i4>50</vt:i4>
      </vt:variant>
      <vt:variant>
        <vt:i4>0</vt:i4>
      </vt:variant>
      <vt:variant>
        <vt:i4>5</vt:i4>
      </vt:variant>
      <vt:variant>
        <vt:lpwstr/>
      </vt:variant>
      <vt:variant>
        <vt:lpwstr>_Toc102664428</vt:lpwstr>
      </vt:variant>
      <vt:variant>
        <vt:i4>1507377</vt:i4>
      </vt:variant>
      <vt:variant>
        <vt:i4>44</vt:i4>
      </vt:variant>
      <vt:variant>
        <vt:i4>0</vt:i4>
      </vt:variant>
      <vt:variant>
        <vt:i4>5</vt:i4>
      </vt:variant>
      <vt:variant>
        <vt:lpwstr/>
      </vt:variant>
      <vt:variant>
        <vt:lpwstr>_Toc102664427</vt:lpwstr>
      </vt:variant>
      <vt:variant>
        <vt:i4>1507377</vt:i4>
      </vt:variant>
      <vt:variant>
        <vt:i4>38</vt:i4>
      </vt:variant>
      <vt:variant>
        <vt:i4>0</vt:i4>
      </vt:variant>
      <vt:variant>
        <vt:i4>5</vt:i4>
      </vt:variant>
      <vt:variant>
        <vt:lpwstr/>
      </vt:variant>
      <vt:variant>
        <vt:lpwstr>_Toc102664426</vt:lpwstr>
      </vt:variant>
      <vt:variant>
        <vt:i4>1507377</vt:i4>
      </vt:variant>
      <vt:variant>
        <vt:i4>32</vt:i4>
      </vt:variant>
      <vt:variant>
        <vt:i4>0</vt:i4>
      </vt:variant>
      <vt:variant>
        <vt:i4>5</vt:i4>
      </vt:variant>
      <vt:variant>
        <vt:lpwstr/>
      </vt:variant>
      <vt:variant>
        <vt:lpwstr>_Toc102664425</vt:lpwstr>
      </vt:variant>
      <vt:variant>
        <vt:i4>1507377</vt:i4>
      </vt:variant>
      <vt:variant>
        <vt:i4>26</vt:i4>
      </vt:variant>
      <vt:variant>
        <vt:i4>0</vt:i4>
      </vt:variant>
      <vt:variant>
        <vt:i4>5</vt:i4>
      </vt:variant>
      <vt:variant>
        <vt:lpwstr/>
      </vt:variant>
      <vt:variant>
        <vt:lpwstr>_Toc102664424</vt:lpwstr>
      </vt:variant>
      <vt:variant>
        <vt:i4>1507377</vt:i4>
      </vt:variant>
      <vt:variant>
        <vt:i4>20</vt:i4>
      </vt:variant>
      <vt:variant>
        <vt:i4>0</vt:i4>
      </vt:variant>
      <vt:variant>
        <vt:i4>5</vt:i4>
      </vt:variant>
      <vt:variant>
        <vt:lpwstr/>
      </vt:variant>
      <vt:variant>
        <vt:lpwstr>_Toc102664423</vt:lpwstr>
      </vt:variant>
      <vt:variant>
        <vt:i4>1507377</vt:i4>
      </vt:variant>
      <vt:variant>
        <vt:i4>14</vt:i4>
      </vt:variant>
      <vt:variant>
        <vt:i4>0</vt:i4>
      </vt:variant>
      <vt:variant>
        <vt:i4>5</vt:i4>
      </vt:variant>
      <vt:variant>
        <vt:lpwstr/>
      </vt:variant>
      <vt:variant>
        <vt:lpwstr>_Toc102664422</vt:lpwstr>
      </vt:variant>
      <vt:variant>
        <vt:i4>1507377</vt:i4>
      </vt:variant>
      <vt:variant>
        <vt:i4>8</vt:i4>
      </vt:variant>
      <vt:variant>
        <vt:i4>0</vt:i4>
      </vt:variant>
      <vt:variant>
        <vt:i4>5</vt:i4>
      </vt:variant>
      <vt:variant>
        <vt:lpwstr/>
      </vt:variant>
      <vt:variant>
        <vt:lpwstr>_Toc102664421</vt:lpwstr>
      </vt:variant>
      <vt:variant>
        <vt:i4>1507377</vt:i4>
      </vt:variant>
      <vt:variant>
        <vt:i4>2</vt:i4>
      </vt:variant>
      <vt:variant>
        <vt:i4>0</vt:i4>
      </vt:variant>
      <vt:variant>
        <vt:i4>5</vt:i4>
      </vt:variant>
      <vt:variant>
        <vt:lpwstr/>
      </vt:variant>
      <vt:variant>
        <vt:lpwstr>_Toc102664420</vt:lpwstr>
      </vt:variant>
      <vt:variant>
        <vt:i4>262220</vt:i4>
      </vt:variant>
      <vt:variant>
        <vt:i4>0</vt:i4>
      </vt:variant>
      <vt:variant>
        <vt:i4>0</vt:i4>
      </vt:variant>
      <vt:variant>
        <vt:i4>5</vt:i4>
      </vt:variant>
      <vt:variant>
        <vt:lpwstr>https://www.pbs.gov.au/pbs/industry/listing/participants/public-release-docs/2017-06/crohn-disease-infliximab-adalimumab-vedolizumab-prd-2017-06</vt:lpwstr>
      </vt:variant>
      <vt:variant>
        <vt:lpwstr/>
      </vt:variant>
      <vt:variant>
        <vt:i4>917574</vt:i4>
      </vt:variant>
      <vt:variant>
        <vt:i4>9</vt:i4>
      </vt:variant>
      <vt:variant>
        <vt:i4>0</vt:i4>
      </vt:variant>
      <vt:variant>
        <vt:i4>5</vt:i4>
      </vt:variant>
      <vt:variant>
        <vt:lpwstr>https://protect-au.mimecast.com/s/9L3ACvl0E5u7g79w4fXhXCI?domain=ncbi.nlm.nih.gov</vt:lpwstr>
      </vt:variant>
      <vt:variant>
        <vt:lpwstr/>
      </vt:variant>
      <vt:variant>
        <vt:i4>8323194</vt:i4>
      </vt:variant>
      <vt:variant>
        <vt:i4>6</vt:i4>
      </vt:variant>
      <vt:variant>
        <vt:i4>0</vt:i4>
      </vt:variant>
      <vt:variant>
        <vt:i4>5</vt:i4>
      </vt:variant>
      <vt:variant>
        <vt:lpwstr>https://protect-au.mimecast.com/s/zv5oCr8Dz5s8j8qQ6i7UyY1?domain=pbs.gov.au</vt:lpwstr>
      </vt:variant>
      <vt:variant>
        <vt:lpwstr/>
      </vt:variant>
      <vt:variant>
        <vt:i4>196712</vt:i4>
      </vt:variant>
      <vt:variant>
        <vt:i4>3</vt:i4>
      </vt:variant>
      <vt:variant>
        <vt:i4>0</vt:i4>
      </vt:variant>
      <vt:variant>
        <vt:i4>5</vt:i4>
      </vt:variant>
      <vt:variant>
        <vt:lpwstr>mailto:esc@health.gov.au</vt:lpwstr>
      </vt:variant>
      <vt:variant>
        <vt:lpwstr/>
      </vt:variant>
      <vt:variant>
        <vt:i4>2359374</vt:i4>
      </vt:variant>
      <vt:variant>
        <vt:i4>0</vt:i4>
      </vt:variant>
      <vt:variant>
        <vt:i4>0</vt:i4>
      </vt:variant>
      <vt:variant>
        <vt:i4>5</vt:i4>
      </vt:variant>
      <vt:variant>
        <vt:lpwstr>mailto:dusc@health.gov.au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2023-02-27T04:21:00Z</dcterms:created>
  <dcterms:modified xsi:type="dcterms:W3CDTF">2023-02-27T04:23:00Z</dcterms:modified>
</cp:coreProperties>
</file>