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503A3" w14:textId="141C5241" w:rsidR="005B6890" w:rsidRPr="008312ED" w:rsidRDefault="00774AF7" w:rsidP="008253B5">
      <w:pPr>
        <w:pStyle w:val="1-MainHeading"/>
        <w:spacing w:before="0" w:after="0"/>
        <w:outlineLvl w:val="9"/>
      </w:pPr>
      <w:bookmarkStart w:id="0" w:name="_Toc103769984"/>
      <w:r w:rsidRPr="008312ED">
        <w:t>5.09</w:t>
      </w:r>
      <w:r w:rsidRPr="008312ED">
        <w:tab/>
        <w:t>PEGVALIASE,</w:t>
      </w:r>
      <w:r w:rsidRPr="008312ED">
        <w:br/>
      </w:r>
      <w:r w:rsidR="005B6890" w:rsidRPr="008312ED">
        <w:t>Solution for injection 2.5 mg in 0.5 mL</w:t>
      </w:r>
      <w:bookmarkEnd w:id="0"/>
      <w:r w:rsidR="003C68ED">
        <w:t>,</w:t>
      </w:r>
      <w:r w:rsidR="005B6890" w:rsidRPr="008312ED">
        <w:t xml:space="preserve"> </w:t>
      </w:r>
    </w:p>
    <w:p w14:paraId="14CECD57" w14:textId="1D8C3A31" w:rsidR="005B6890" w:rsidRPr="008312ED" w:rsidRDefault="005B6890" w:rsidP="008253B5">
      <w:pPr>
        <w:pStyle w:val="1-MainHeading"/>
        <w:spacing w:before="0" w:after="0"/>
        <w:ind w:hanging="11"/>
        <w:outlineLvl w:val="9"/>
      </w:pPr>
      <w:bookmarkStart w:id="1" w:name="_Toc103769985"/>
      <w:r w:rsidRPr="008312ED">
        <w:t>Solution for injection 10 mg in 0.5 mL</w:t>
      </w:r>
      <w:bookmarkEnd w:id="1"/>
      <w:r w:rsidR="003C68ED">
        <w:t>,</w:t>
      </w:r>
      <w:r w:rsidRPr="008312ED">
        <w:t xml:space="preserve"> </w:t>
      </w:r>
    </w:p>
    <w:p w14:paraId="607E72EE" w14:textId="27A13495" w:rsidR="005B6890" w:rsidRPr="008312ED" w:rsidRDefault="005B6890" w:rsidP="008253B5">
      <w:pPr>
        <w:pStyle w:val="1-MainHeading"/>
        <w:spacing w:before="0" w:after="0"/>
        <w:ind w:hanging="11"/>
        <w:outlineLvl w:val="9"/>
      </w:pPr>
      <w:bookmarkStart w:id="2" w:name="_Toc103769986"/>
      <w:r w:rsidRPr="008312ED">
        <w:t>Solution for injection 20 mg in 1 mL</w:t>
      </w:r>
      <w:bookmarkEnd w:id="2"/>
      <w:r w:rsidR="003C68ED">
        <w:t>,</w:t>
      </w:r>
    </w:p>
    <w:p w14:paraId="33640CAF" w14:textId="2E71A49D" w:rsidR="00AE2F09" w:rsidRPr="008312ED" w:rsidRDefault="00774AF7" w:rsidP="001F7FEC">
      <w:pPr>
        <w:pStyle w:val="1-MainHeading"/>
        <w:spacing w:before="0" w:after="0"/>
        <w:ind w:hanging="11"/>
        <w:outlineLvl w:val="9"/>
      </w:pPr>
      <w:bookmarkStart w:id="3" w:name="_Toc103769987"/>
      <w:r w:rsidRPr="008312ED">
        <w:t>Palynziq</w:t>
      </w:r>
      <w:r w:rsidRPr="008312ED">
        <w:rPr>
          <w:vertAlign w:val="superscript"/>
        </w:rPr>
        <w:t>®</w:t>
      </w:r>
      <w:r w:rsidRPr="008312ED">
        <w:t>,</w:t>
      </w:r>
      <w:r w:rsidRPr="008312ED">
        <w:br/>
        <w:t>BioMarin Pharmaceutical Australia Pty Ltd.</w:t>
      </w:r>
      <w:bookmarkEnd w:id="3"/>
    </w:p>
    <w:p w14:paraId="332EA43C" w14:textId="77777777" w:rsidR="00774AF7" w:rsidRPr="00AE2F09" w:rsidRDefault="00774AF7" w:rsidP="00774AF7">
      <w:pPr>
        <w:pStyle w:val="2-SectionHeading"/>
        <w:rPr>
          <w:iCs/>
        </w:rPr>
      </w:pPr>
      <w:bookmarkStart w:id="4" w:name="_Toc103769989"/>
      <w:r w:rsidRPr="00AE2F09">
        <w:rPr>
          <w:iCs/>
        </w:rPr>
        <w:t>Purpose of submission</w:t>
      </w:r>
      <w:bookmarkEnd w:id="4"/>
    </w:p>
    <w:p w14:paraId="6B211678" w14:textId="77777777" w:rsidR="004E673A" w:rsidRPr="004E673A" w:rsidRDefault="00774AF7" w:rsidP="00B75228">
      <w:pPr>
        <w:pStyle w:val="3-BodyText"/>
      </w:pPr>
      <w:r w:rsidRPr="004E673A">
        <w:rPr>
          <w:iCs/>
        </w:rPr>
        <w:t xml:space="preserve">The </w:t>
      </w:r>
      <w:r w:rsidR="00FA61CE" w:rsidRPr="004E673A">
        <w:rPr>
          <w:iCs/>
        </w:rPr>
        <w:t xml:space="preserve">Category 1 </w:t>
      </w:r>
      <w:r w:rsidRPr="004E673A">
        <w:rPr>
          <w:iCs/>
        </w:rPr>
        <w:t>submission requested</w:t>
      </w:r>
      <w:r w:rsidR="002F3F00" w:rsidRPr="004E673A">
        <w:rPr>
          <w:iCs/>
        </w:rPr>
        <w:t xml:space="preserve"> a</w:t>
      </w:r>
      <w:r w:rsidRPr="004E673A">
        <w:rPr>
          <w:iCs/>
        </w:rPr>
        <w:t xml:space="preserve"> </w:t>
      </w:r>
      <w:r w:rsidR="00562637" w:rsidRPr="004E673A">
        <w:rPr>
          <w:iCs/>
        </w:rPr>
        <w:t>General Schedule Authority Required listing for the treatment of hyperphenylalaninemia (HPA) due to phenylketonuria (PKU) in patients aged 16 years and over who are not responsive to sapropterin</w:t>
      </w:r>
      <w:r w:rsidRPr="004E673A">
        <w:rPr>
          <w:iCs/>
        </w:rPr>
        <w:t xml:space="preserve">. </w:t>
      </w:r>
      <w:bookmarkStart w:id="5" w:name="_Hlk103142666"/>
      <w:bookmarkStart w:id="6" w:name="_Ref103617501"/>
    </w:p>
    <w:p w14:paraId="28F391EF" w14:textId="26CCE82F" w:rsidR="00774AF7" w:rsidRPr="008312ED" w:rsidRDefault="00774AF7" w:rsidP="00B75228">
      <w:pPr>
        <w:pStyle w:val="3-BodyText"/>
      </w:pPr>
      <w:r w:rsidRPr="004E673A">
        <w:rPr>
          <w:iCs/>
        </w:rPr>
        <w:t>The</w:t>
      </w:r>
      <w:r w:rsidR="000D2B39" w:rsidRPr="004E673A">
        <w:rPr>
          <w:iCs/>
        </w:rPr>
        <w:t xml:space="preserve"> sponsor also requested </w:t>
      </w:r>
      <w:bookmarkEnd w:id="5"/>
      <w:r w:rsidR="00032B60" w:rsidRPr="004E673A">
        <w:rPr>
          <w:iCs/>
        </w:rPr>
        <w:t xml:space="preserve">an extension to the existing sapropterin </w:t>
      </w:r>
      <w:r w:rsidR="000D2B39" w:rsidRPr="004E673A">
        <w:rPr>
          <w:iCs/>
        </w:rPr>
        <w:t xml:space="preserve">listing </w:t>
      </w:r>
      <w:r w:rsidR="00032B60" w:rsidRPr="004E673A">
        <w:rPr>
          <w:iCs/>
        </w:rPr>
        <w:t>to allow adults with HPA due to PKU to access sapropterin responsiveness testing and</w:t>
      </w:r>
      <w:r w:rsidR="00412681" w:rsidRPr="004E673A">
        <w:rPr>
          <w:iCs/>
        </w:rPr>
        <w:t>,</w:t>
      </w:r>
      <w:r w:rsidR="00032B60" w:rsidRPr="004E673A">
        <w:rPr>
          <w:iCs/>
        </w:rPr>
        <w:t xml:space="preserve"> </w:t>
      </w:r>
      <w:r w:rsidR="00412681" w:rsidRPr="008312ED">
        <w:t xml:space="preserve">for those </w:t>
      </w:r>
      <w:r w:rsidR="00412681">
        <w:t xml:space="preserve">patients </w:t>
      </w:r>
      <w:r w:rsidR="00412681" w:rsidRPr="008312ED">
        <w:t>who are sapropterin</w:t>
      </w:r>
      <w:r w:rsidR="00412681">
        <w:t>-</w:t>
      </w:r>
      <w:r w:rsidR="00412681" w:rsidRPr="008312ED">
        <w:t>responsive</w:t>
      </w:r>
      <w:r w:rsidR="00412681">
        <w:t>, to access</w:t>
      </w:r>
      <w:r w:rsidR="00412681" w:rsidRPr="004E673A">
        <w:rPr>
          <w:iCs/>
        </w:rPr>
        <w:t xml:space="preserve"> </w:t>
      </w:r>
      <w:r w:rsidR="00032B60" w:rsidRPr="004E673A">
        <w:rPr>
          <w:iCs/>
        </w:rPr>
        <w:t>continuing treatment</w:t>
      </w:r>
      <w:r w:rsidR="00032B60" w:rsidRPr="008312ED">
        <w:t xml:space="preserve">. </w:t>
      </w:r>
      <w:bookmarkStart w:id="7" w:name="_Hlk103142915"/>
      <w:r w:rsidR="00032B60" w:rsidRPr="008312ED">
        <w:t>Th</w:t>
      </w:r>
      <w:r w:rsidR="00C01FD2" w:rsidRPr="008312ED">
        <w:t>e sponsor presented the two requests in the same document, while the evaluation</w:t>
      </w:r>
      <w:r w:rsidR="00FE52CD">
        <w:t xml:space="preserve">, </w:t>
      </w:r>
      <w:r w:rsidR="005916CF">
        <w:t xml:space="preserve">ESC Advice </w:t>
      </w:r>
      <w:r w:rsidR="00FE52CD">
        <w:t xml:space="preserve">and PBAC </w:t>
      </w:r>
      <w:r w:rsidR="009316B6">
        <w:t xml:space="preserve">Public Summary Documents (PSD) </w:t>
      </w:r>
      <w:r w:rsidR="00FE52CD">
        <w:t>for each of the drugs are</w:t>
      </w:r>
      <w:r w:rsidR="003C45BB" w:rsidRPr="008312ED">
        <w:t xml:space="preserve"> </w:t>
      </w:r>
      <w:r w:rsidR="00C01FD2" w:rsidRPr="008312ED">
        <w:t xml:space="preserve">presented </w:t>
      </w:r>
      <w:r w:rsidR="003C45BB" w:rsidRPr="008312ED">
        <w:t xml:space="preserve">as </w:t>
      </w:r>
      <w:r w:rsidR="00032B60" w:rsidRPr="008312ED">
        <w:t xml:space="preserve">separate </w:t>
      </w:r>
      <w:r w:rsidR="005916CF">
        <w:t>documents</w:t>
      </w:r>
      <w:r w:rsidR="005916CF" w:rsidRPr="008312ED">
        <w:t xml:space="preserve"> </w:t>
      </w:r>
      <w:r w:rsidR="000D2B39" w:rsidRPr="008312ED">
        <w:t>(</w:t>
      </w:r>
      <w:r w:rsidR="002F3F00">
        <w:t xml:space="preserve">also </w:t>
      </w:r>
      <w:r w:rsidR="00C01FD2" w:rsidRPr="008312ED">
        <w:t xml:space="preserve">refer to </w:t>
      </w:r>
      <w:r w:rsidR="00032B60" w:rsidRPr="008312ED">
        <w:t>Item</w:t>
      </w:r>
      <w:r w:rsidR="000D2B39" w:rsidRPr="008312ED">
        <w:t xml:space="preserve"> 6.09</w:t>
      </w:r>
      <w:r w:rsidR="00032B60" w:rsidRPr="008312ED">
        <w:t>, sapropterin</w:t>
      </w:r>
      <w:r w:rsidR="000D2B39" w:rsidRPr="008312ED">
        <w:t>).</w:t>
      </w:r>
      <w:bookmarkEnd w:id="6"/>
      <w:bookmarkEnd w:id="7"/>
      <w:r w:rsidR="000D2B39" w:rsidRPr="008312ED">
        <w:t xml:space="preserve"> </w:t>
      </w:r>
    </w:p>
    <w:p w14:paraId="233249CE" w14:textId="7A18FAFD" w:rsidR="00774AF7" w:rsidRPr="008312ED" w:rsidRDefault="00774AF7" w:rsidP="00774AF7">
      <w:pPr>
        <w:pStyle w:val="3-BodyText"/>
      </w:pPr>
      <w:r w:rsidRPr="008312ED">
        <w:t>Listing was requested on the basis of a cost-utility analysis versus a phenylalanine (Phe)-restricted diet</w:t>
      </w:r>
      <w:r w:rsidR="00FA45AA">
        <w:t xml:space="preserve"> alone</w:t>
      </w:r>
      <w:r w:rsidRPr="008312ED">
        <w:t xml:space="preserve">. </w:t>
      </w:r>
    </w:p>
    <w:p w14:paraId="5B461E5B" w14:textId="565E70E5" w:rsidR="00774AF7" w:rsidRPr="008312ED" w:rsidRDefault="00774AF7" w:rsidP="00774AF7">
      <w:pPr>
        <w:pStyle w:val="3-BodyText"/>
      </w:pPr>
      <w:r w:rsidRPr="008312ED">
        <w:t xml:space="preserve">Key components of the clinical issue addressed by the submission are presented in </w:t>
      </w:r>
      <w:r w:rsidRPr="008312ED">
        <w:fldChar w:fldCharType="begin"/>
      </w:r>
      <w:r w:rsidRPr="008312ED">
        <w:instrText xml:space="preserve"> REF _Ref103041153 \h  \* MERGEFORMAT </w:instrText>
      </w:r>
      <w:r w:rsidRPr="008312ED">
        <w:fldChar w:fldCharType="separate"/>
      </w:r>
      <w:r w:rsidR="001162C8" w:rsidRPr="001162C8">
        <w:t>Table 1</w:t>
      </w:r>
      <w:r w:rsidRPr="008312ED">
        <w:fldChar w:fldCharType="end"/>
      </w:r>
      <w:r w:rsidRPr="008312ED">
        <w:t>.</w:t>
      </w:r>
    </w:p>
    <w:p w14:paraId="2C075D94" w14:textId="24C7A29E" w:rsidR="00774AF7" w:rsidRPr="008312ED" w:rsidRDefault="00774AF7" w:rsidP="00774AF7">
      <w:pPr>
        <w:pStyle w:val="Caption"/>
        <w:keepNext/>
        <w:keepLines/>
        <w:spacing w:after="0"/>
        <w:rPr>
          <w:rStyle w:val="CommentReference"/>
          <w:b/>
          <w:color w:val="auto"/>
          <w:szCs w:val="24"/>
        </w:rPr>
      </w:pPr>
      <w:bookmarkStart w:id="8" w:name="_Ref103041153"/>
      <w:r w:rsidRPr="008312ED">
        <w:rPr>
          <w:rStyle w:val="CommentReference"/>
          <w:b/>
          <w:color w:val="auto"/>
          <w:szCs w:val="24"/>
        </w:rPr>
        <w:lastRenderedPageBreak/>
        <w:t xml:space="preserve">Table </w:t>
      </w:r>
      <w:r w:rsidRPr="008312ED">
        <w:rPr>
          <w:rStyle w:val="CommentReference"/>
          <w:b/>
          <w:color w:val="auto"/>
          <w:szCs w:val="24"/>
        </w:rPr>
        <w:fldChar w:fldCharType="begin"/>
      </w:r>
      <w:r w:rsidRPr="008312ED">
        <w:rPr>
          <w:rStyle w:val="CommentReference"/>
          <w:b/>
          <w:color w:val="auto"/>
          <w:szCs w:val="24"/>
        </w:rPr>
        <w:instrText xml:space="preserve"> SEQ Table \* ARABIC </w:instrText>
      </w:r>
      <w:r w:rsidRPr="008312ED">
        <w:rPr>
          <w:rStyle w:val="CommentReference"/>
          <w:b/>
          <w:color w:val="auto"/>
          <w:szCs w:val="24"/>
        </w:rPr>
        <w:fldChar w:fldCharType="separate"/>
      </w:r>
      <w:r w:rsidR="001162C8">
        <w:rPr>
          <w:rStyle w:val="CommentReference"/>
          <w:b/>
          <w:noProof/>
          <w:color w:val="auto"/>
          <w:szCs w:val="24"/>
        </w:rPr>
        <w:t>1</w:t>
      </w:r>
      <w:r w:rsidRPr="008312ED">
        <w:rPr>
          <w:rStyle w:val="CommentReference"/>
          <w:b/>
          <w:color w:val="auto"/>
          <w:szCs w:val="24"/>
        </w:rPr>
        <w:fldChar w:fldCharType="end"/>
      </w:r>
      <w:bookmarkEnd w:id="8"/>
      <w:r w:rsidRPr="008312ED">
        <w:rPr>
          <w:rStyle w:val="CommentReference"/>
          <w:b/>
          <w:color w:val="auto"/>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774AF7" w:rsidRPr="008312ED" w14:paraId="58FD9BB2" w14:textId="77777777" w:rsidTr="00FD7CD0">
        <w:trPr>
          <w:cantSplit/>
          <w:tblHeader/>
        </w:trPr>
        <w:tc>
          <w:tcPr>
            <w:tcW w:w="924" w:type="pct"/>
            <w:shd w:val="clear" w:color="auto" w:fill="auto"/>
            <w:vAlign w:val="center"/>
          </w:tcPr>
          <w:p w14:paraId="319DCC69" w14:textId="77777777" w:rsidR="00774AF7" w:rsidRPr="008312ED" w:rsidRDefault="00774AF7" w:rsidP="00FD7CD0">
            <w:pPr>
              <w:pStyle w:val="In-tableHeading"/>
              <w:keepLines/>
              <w:rPr>
                <w:szCs w:val="20"/>
                <w:lang w:val="en-AU"/>
              </w:rPr>
            </w:pPr>
            <w:r w:rsidRPr="008312ED">
              <w:rPr>
                <w:lang w:val="en-AU"/>
              </w:rPr>
              <w:t>Component</w:t>
            </w:r>
          </w:p>
        </w:tc>
        <w:tc>
          <w:tcPr>
            <w:tcW w:w="4076" w:type="pct"/>
            <w:shd w:val="clear" w:color="auto" w:fill="auto"/>
          </w:tcPr>
          <w:p w14:paraId="0DB7A33A" w14:textId="77777777" w:rsidR="00774AF7" w:rsidRPr="008312ED" w:rsidRDefault="00774AF7" w:rsidP="00FD7CD0">
            <w:pPr>
              <w:pStyle w:val="In-tableHeading"/>
              <w:keepLines/>
              <w:rPr>
                <w:lang w:val="en-AU"/>
              </w:rPr>
            </w:pPr>
            <w:r w:rsidRPr="008312ED">
              <w:rPr>
                <w:lang w:val="en-AU"/>
              </w:rPr>
              <w:t>Description</w:t>
            </w:r>
          </w:p>
        </w:tc>
      </w:tr>
      <w:tr w:rsidR="00774AF7" w:rsidRPr="008312ED" w14:paraId="7FA345BD" w14:textId="77777777" w:rsidTr="00FD7CD0">
        <w:trPr>
          <w:cantSplit/>
        </w:trPr>
        <w:tc>
          <w:tcPr>
            <w:tcW w:w="924" w:type="pct"/>
            <w:shd w:val="clear" w:color="auto" w:fill="auto"/>
            <w:vAlign w:val="center"/>
          </w:tcPr>
          <w:p w14:paraId="144ADB47" w14:textId="77777777" w:rsidR="00774AF7" w:rsidRPr="008312ED" w:rsidRDefault="00774AF7" w:rsidP="00FD7CD0">
            <w:pPr>
              <w:pStyle w:val="TableText0"/>
              <w:keepLines/>
            </w:pPr>
            <w:r w:rsidRPr="008312ED">
              <w:t>Population</w:t>
            </w:r>
          </w:p>
        </w:tc>
        <w:tc>
          <w:tcPr>
            <w:tcW w:w="4076" w:type="pct"/>
            <w:shd w:val="clear" w:color="auto" w:fill="auto"/>
          </w:tcPr>
          <w:p w14:paraId="16CADD94" w14:textId="77777777" w:rsidR="00774AF7" w:rsidRPr="008312ED" w:rsidRDefault="00774AF7" w:rsidP="00FD7CD0">
            <w:pPr>
              <w:pStyle w:val="TableText0"/>
              <w:keepLines/>
              <w:rPr>
                <w:szCs w:val="20"/>
              </w:rPr>
            </w:pPr>
            <w:r w:rsidRPr="008312ED">
              <w:t xml:space="preserve">Patients with HPA due to PKU who are ≥16 years old, have blood Phe levels </w:t>
            </w:r>
            <w:r w:rsidRPr="008312ED">
              <w:rPr>
                <w:rFonts w:cs="Calibri"/>
              </w:rPr>
              <w:t>≥</w:t>
            </w:r>
            <w:r w:rsidRPr="008312ED">
              <w:t xml:space="preserve"> 600 </w:t>
            </w:r>
            <w:r w:rsidRPr="008312ED">
              <w:rPr>
                <w:rFonts w:cs="Calibri"/>
              </w:rPr>
              <w:t>µ</w:t>
            </w:r>
            <w:r w:rsidRPr="008312ED">
              <w:t>mol/L, and who are not responsive to sapropterin initial treatment (failed to achieve a ≥30% reduction in blood-Phe from baseline).</w:t>
            </w:r>
          </w:p>
        </w:tc>
      </w:tr>
      <w:tr w:rsidR="00774AF7" w:rsidRPr="008312ED" w14:paraId="40E15919" w14:textId="77777777" w:rsidTr="00FD7CD0">
        <w:trPr>
          <w:cantSplit/>
        </w:trPr>
        <w:tc>
          <w:tcPr>
            <w:tcW w:w="924" w:type="pct"/>
            <w:shd w:val="clear" w:color="auto" w:fill="auto"/>
            <w:vAlign w:val="center"/>
          </w:tcPr>
          <w:p w14:paraId="35B74EBC" w14:textId="77777777" w:rsidR="00774AF7" w:rsidRPr="008312ED" w:rsidRDefault="00774AF7" w:rsidP="00FD7CD0">
            <w:pPr>
              <w:pStyle w:val="TableText0"/>
              <w:keepLines/>
            </w:pPr>
            <w:r w:rsidRPr="008312ED">
              <w:t>Intervention</w:t>
            </w:r>
          </w:p>
        </w:tc>
        <w:tc>
          <w:tcPr>
            <w:tcW w:w="4076" w:type="pct"/>
            <w:shd w:val="clear" w:color="auto" w:fill="auto"/>
          </w:tcPr>
          <w:p w14:paraId="54544B80" w14:textId="77777777" w:rsidR="00774AF7" w:rsidRPr="008312ED" w:rsidRDefault="00774AF7" w:rsidP="00FD7CD0">
            <w:pPr>
              <w:pStyle w:val="TableText0"/>
              <w:keepLines/>
            </w:pPr>
            <w:r w:rsidRPr="008312ED">
              <w:t>Pegvaliase administered as a SC injection at a maintenance dose of 20-60 mg daily after induction and titration per the pegvaliase product information</w:t>
            </w:r>
          </w:p>
        </w:tc>
      </w:tr>
      <w:tr w:rsidR="00774AF7" w:rsidRPr="008312ED" w14:paraId="08AAD85C" w14:textId="77777777" w:rsidTr="00FD7CD0">
        <w:trPr>
          <w:cantSplit/>
        </w:trPr>
        <w:tc>
          <w:tcPr>
            <w:tcW w:w="924" w:type="pct"/>
            <w:shd w:val="clear" w:color="auto" w:fill="auto"/>
            <w:vAlign w:val="center"/>
          </w:tcPr>
          <w:p w14:paraId="2023E7A1" w14:textId="77777777" w:rsidR="00774AF7" w:rsidRPr="008312ED" w:rsidRDefault="00774AF7" w:rsidP="00FD7CD0">
            <w:pPr>
              <w:pStyle w:val="TableText0"/>
              <w:keepLines/>
            </w:pPr>
            <w:r w:rsidRPr="008312ED">
              <w:t>Comparator</w:t>
            </w:r>
          </w:p>
        </w:tc>
        <w:tc>
          <w:tcPr>
            <w:tcW w:w="4076" w:type="pct"/>
            <w:shd w:val="clear" w:color="auto" w:fill="auto"/>
          </w:tcPr>
          <w:p w14:paraId="1C79D346" w14:textId="77777777" w:rsidR="00774AF7" w:rsidRPr="008312ED" w:rsidRDefault="00774AF7" w:rsidP="00FD7CD0">
            <w:pPr>
              <w:pStyle w:val="TableText0"/>
              <w:keepLines/>
            </w:pPr>
            <w:r w:rsidRPr="008312ED">
              <w:t>Phe-restricted diet alone</w:t>
            </w:r>
          </w:p>
        </w:tc>
      </w:tr>
      <w:tr w:rsidR="00774AF7" w:rsidRPr="008312ED" w14:paraId="342F87F8" w14:textId="77777777" w:rsidTr="00FD7CD0">
        <w:trPr>
          <w:cantSplit/>
        </w:trPr>
        <w:tc>
          <w:tcPr>
            <w:tcW w:w="924" w:type="pct"/>
            <w:shd w:val="clear" w:color="auto" w:fill="auto"/>
            <w:vAlign w:val="center"/>
          </w:tcPr>
          <w:p w14:paraId="1D3AF02E" w14:textId="77777777" w:rsidR="00774AF7" w:rsidRPr="008312ED" w:rsidRDefault="00774AF7" w:rsidP="00FD7CD0">
            <w:pPr>
              <w:pStyle w:val="TableText0"/>
              <w:keepLines/>
            </w:pPr>
            <w:r w:rsidRPr="008312ED">
              <w:t>Outcomes</w:t>
            </w:r>
          </w:p>
        </w:tc>
        <w:tc>
          <w:tcPr>
            <w:tcW w:w="4076" w:type="pct"/>
            <w:shd w:val="clear" w:color="auto" w:fill="auto"/>
          </w:tcPr>
          <w:p w14:paraId="791CD55F" w14:textId="77777777" w:rsidR="00774AF7" w:rsidRPr="008312ED" w:rsidRDefault="00774AF7" w:rsidP="00975BF7">
            <w:pPr>
              <w:pStyle w:val="TableText0"/>
              <w:keepLines/>
              <w:numPr>
                <w:ilvl w:val="0"/>
                <w:numId w:val="6"/>
              </w:numPr>
              <w:ind w:left="360"/>
            </w:pPr>
            <w:r w:rsidRPr="008312ED">
              <w:t xml:space="preserve">Reduction in blood Phe levels to &lt; 360 </w:t>
            </w:r>
            <w:r w:rsidRPr="008312ED">
              <w:rPr>
                <w:rFonts w:cs="Calibri"/>
              </w:rPr>
              <w:t>µ</w:t>
            </w:r>
            <w:r w:rsidRPr="008312ED">
              <w:t>mol/L</w:t>
            </w:r>
          </w:p>
          <w:p w14:paraId="62329459" w14:textId="77777777" w:rsidR="00774AF7" w:rsidRPr="008312ED" w:rsidRDefault="00774AF7" w:rsidP="00975BF7">
            <w:pPr>
              <w:pStyle w:val="TableText0"/>
              <w:keepLines/>
              <w:numPr>
                <w:ilvl w:val="0"/>
                <w:numId w:val="6"/>
              </w:numPr>
              <w:ind w:left="360"/>
            </w:pPr>
            <w:r w:rsidRPr="008312ED">
              <w:t>Reduction in ADHD-RS inattention subscale score of ≥5 from pegvaliase-naïve baseline</w:t>
            </w:r>
          </w:p>
          <w:p w14:paraId="4971F778" w14:textId="77777777" w:rsidR="00774AF7" w:rsidRPr="008312ED" w:rsidRDefault="00774AF7" w:rsidP="00975BF7">
            <w:pPr>
              <w:pStyle w:val="TableText0"/>
              <w:keepLines/>
              <w:numPr>
                <w:ilvl w:val="0"/>
                <w:numId w:val="6"/>
              </w:numPr>
              <w:ind w:left="360"/>
            </w:pPr>
            <w:r w:rsidRPr="008312ED">
              <w:t>A composite outcome of achieving at least one of the above two outcomes</w:t>
            </w:r>
          </w:p>
        </w:tc>
      </w:tr>
      <w:tr w:rsidR="00774AF7" w:rsidRPr="008312ED" w14:paraId="4EBF5EDB" w14:textId="77777777" w:rsidTr="00FD7CD0">
        <w:trPr>
          <w:cantSplit/>
        </w:trPr>
        <w:tc>
          <w:tcPr>
            <w:tcW w:w="924" w:type="pct"/>
            <w:shd w:val="clear" w:color="auto" w:fill="auto"/>
            <w:vAlign w:val="center"/>
          </w:tcPr>
          <w:p w14:paraId="1E7FF29D" w14:textId="77777777" w:rsidR="00774AF7" w:rsidRPr="008312ED" w:rsidRDefault="00774AF7" w:rsidP="00FD7CD0">
            <w:pPr>
              <w:pStyle w:val="TableText0"/>
              <w:keepLines/>
            </w:pPr>
            <w:r w:rsidRPr="008312ED">
              <w:t>Clinical claim</w:t>
            </w:r>
          </w:p>
        </w:tc>
        <w:tc>
          <w:tcPr>
            <w:tcW w:w="4076" w:type="pct"/>
            <w:shd w:val="clear" w:color="auto" w:fill="auto"/>
          </w:tcPr>
          <w:p w14:paraId="2D8B2962" w14:textId="446A970C" w:rsidR="00774AF7" w:rsidRPr="008312ED" w:rsidRDefault="00774AF7" w:rsidP="00FD7CD0">
            <w:pPr>
              <w:pStyle w:val="TableText0"/>
              <w:keepLines/>
            </w:pPr>
            <w:r w:rsidRPr="008312ED">
              <w:t>In ≥16-year-old patients with HPA due to PKU who are not responsive to sapropterin, pegvaliase is superior in terms of effectiveness than a Phe-diet alone in reducing blood Phe levels to &lt;</w:t>
            </w:r>
            <w:r w:rsidR="00390141" w:rsidRPr="008312ED">
              <w:t>360</w:t>
            </w:r>
            <w:r w:rsidR="00390141">
              <w:t> </w:t>
            </w:r>
            <w:r w:rsidRPr="008312ED">
              <w:t>µmol/L (and in improving ADHD-RS inattention subscale scores from baseline by ≤5</w:t>
            </w:r>
            <w:r w:rsidR="004D08D1" w:rsidRPr="008312ED">
              <w:t>) and</w:t>
            </w:r>
            <w:r w:rsidRPr="008312ED">
              <w:t xml:space="preserve"> is inferior in terms of safety.</w:t>
            </w:r>
          </w:p>
        </w:tc>
      </w:tr>
    </w:tbl>
    <w:p w14:paraId="1EA6D1A0" w14:textId="45713AE1" w:rsidR="00774AF7" w:rsidRPr="008312ED" w:rsidRDefault="00774AF7" w:rsidP="00774AF7">
      <w:pPr>
        <w:pStyle w:val="TableFigureFooter"/>
        <w:keepNext/>
        <w:keepLines/>
      </w:pPr>
      <w:r w:rsidRPr="008312ED">
        <w:t>Source: Table 1.1-1</w:t>
      </w:r>
      <w:r w:rsidR="00CC16BC">
        <w:t xml:space="preserve"> (</w:t>
      </w:r>
      <w:r w:rsidRPr="008312ED">
        <w:t>p5</w:t>
      </w:r>
      <w:r w:rsidR="00CC16BC">
        <w:t>)</w:t>
      </w:r>
      <w:r w:rsidRPr="008312ED">
        <w:t xml:space="preserve"> of the submission</w:t>
      </w:r>
    </w:p>
    <w:p w14:paraId="00C4A758" w14:textId="77777777" w:rsidR="00774AF7" w:rsidRPr="008312ED" w:rsidRDefault="00774AF7" w:rsidP="00774AF7">
      <w:pPr>
        <w:pStyle w:val="TableFigureFooter"/>
        <w:keepNext/>
        <w:keepLines/>
        <w:rPr>
          <w:sz w:val="20"/>
        </w:rPr>
      </w:pPr>
      <w:r w:rsidRPr="008312ED">
        <w:t>ADHD-RS = attention-deficit hyperactivity disorder rating scale; HPA = hyperphenylalaninemia; Phe = phenylalanine; PKU = phenylketonuria; SC = subcutaneous</w:t>
      </w:r>
    </w:p>
    <w:p w14:paraId="135481A3" w14:textId="77777777" w:rsidR="00774AF7" w:rsidRPr="008312ED" w:rsidRDefault="00774AF7" w:rsidP="00774AF7">
      <w:pPr>
        <w:pStyle w:val="2-SectionHeading"/>
      </w:pPr>
      <w:bookmarkStart w:id="9" w:name="_Toc103769990"/>
      <w:r w:rsidRPr="008312ED">
        <w:t>Background</w:t>
      </w:r>
      <w:bookmarkEnd w:id="9"/>
    </w:p>
    <w:p w14:paraId="2BFDF334" w14:textId="77777777" w:rsidR="00774AF7" w:rsidRPr="008312ED" w:rsidRDefault="00774AF7" w:rsidP="00774AF7">
      <w:pPr>
        <w:pStyle w:val="4-SubsectionHeading"/>
      </w:pPr>
      <w:bookmarkStart w:id="10" w:name="_Toc22897638"/>
      <w:bookmarkStart w:id="11" w:name="_Toc103769991"/>
      <w:r w:rsidRPr="008312ED">
        <w:t>Registration status</w:t>
      </w:r>
      <w:bookmarkEnd w:id="10"/>
      <w:bookmarkEnd w:id="11"/>
    </w:p>
    <w:p w14:paraId="4867DE94" w14:textId="31B7BFED" w:rsidR="00774AF7" w:rsidRPr="00AE2F09" w:rsidRDefault="00774AF7" w:rsidP="00774AF7">
      <w:pPr>
        <w:pStyle w:val="3-BodyText"/>
      </w:pPr>
      <w:r w:rsidRPr="008312ED">
        <w:t>Pegvaliase was TGA registered on 6</w:t>
      </w:r>
      <w:r w:rsidRPr="008312ED">
        <w:rPr>
          <w:vertAlign w:val="superscript"/>
        </w:rPr>
        <w:t>th</w:t>
      </w:r>
      <w:r w:rsidRPr="008312ED">
        <w:t xml:space="preserve"> July 2021 for the treatment of patients </w:t>
      </w:r>
      <w:r w:rsidR="00FA45AA">
        <w:t xml:space="preserve">with </w:t>
      </w:r>
      <w:r w:rsidRPr="008312ED">
        <w:t xml:space="preserve">PKU aged 16 years and older who have inadequate blood </w:t>
      </w:r>
      <w:r w:rsidRPr="00AE2F09">
        <w:t xml:space="preserve">phenylalanine control </w:t>
      </w:r>
      <w:bookmarkStart w:id="12" w:name="_Hlk103475753"/>
      <w:r w:rsidRPr="00AE2F09">
        <w:t>despite prior management with available treatment options</w:t>
      </w:r>
      <w:bookmarkEnd w:id="12"/>
      <w:r w:rsidRPr="00AE2F09">
        <w:t>.</w:t>
      </w:r>
    </w:p>
    <w:p w14:paraId="235A9948" w14:textId="564DE1A8" w:rsidR="007D0639" w:rsidRPr="00AE2F09" w:rsidRDefault="00412681" w:rsidP="00774AF7">
      <w:pPr>
        <w:pStyle w:val="3-BodyText"/>
      </w:pPr>
      <w:bookmarkStart w:id="13" w:name="_Ref103475140"/>
      <w:r>
        <w:t>There was n</w:t>
      </w:r>
      <w:r w:rsidR="009C294A" w:rsidRPr="00AE2F09">
        <w:t xml:space="preserve">o </w:t>
      </w:r>
      <w:r w:rsidR="00BE7047" w:rsidRPr="00AE2F09">
        <w:t xml:space="preserve">explicit </w:t>
      </w:r>
      <w:r w:rsidR="009C294A" w:rsidRPr="00AE2F09">
        <w:t xml:space="preserve">definition </w:t>
      </w:r>
      <w:r>
        <w:t>of</w:t>
      </w:r>
      <w:r w:rsidR="00C03B4B" w:rsidRPr="00AE2F09">
        <w:t xml:space="preserve"> the term</w:t>
      </w:r>
      <w:r w:rsidR="009C294A" w:rsidRPr="00AE2F09">
        <w:t xml:space="preserve"> ‘prior management with available treatment options’</w:t>
      </w:r>
      <w:r w:rsidR="00BE7047" w:rsidRPr="00AE2F09">
        <w:t xml:space="preserve"> in the indication</w:t>
      </w:r>
      <w:r w:rsidR="00401511" w:rsidRPr="00AE2F09">
        <w:t xml:space="preserve">. </w:t>
      </w:r>
      <w:r w:rsidR="0022550A" w:rsidRPr="00AE2F09">
        <w:t>However</w:t>
      </w:r>
      <w:r w:rsidR="00C6609D" w:rsidRPr="00AE2F09">
        <w:t>,</w:t>
      </w:r>
      <w:r w:rsidR="0022550A" w:rsidRPr="00AE2F09">
        <w:t xml:space="preserve"> the </w:t>
      </w:r>
      <w:r w:rsidR="00E97C7E" w:rsidRPr="00AE2F09">
        <w:t>Advisory Committee on Medicines (</w:t>
      </w:r>
      <w:r w:rsidR="0022550A" w:rsidRPr="00AE2F09">
        <w:t>ACM</w:t>
      </w:r>
      <w:r w:rsidR="00E97C7E" w:rsidRPr="00AE2F09">
        <w:t>)</w:t>
      </w:r>
      <w:r w:rsidR="0022550A" w:rsidRPr="00AE2F09">
        <w:t xml:space="preserve"> advised that pegvaliase should be a third line treatment for those who have failed standard treatment, including sapropterin, if relevant, but also advised that the indication should not be restricted to those adhering to nutritional advice or who are unresponsive to, or unable to tolerate, sapropterin (p32, AusPAR pegvaliase November 2021)</w:t>
      </w:r>
      <w:bookmarkEnd w:id="13"/>
      <w:r w:rsidR="00C03B4B" w:rsidRPr="00AE2F09">
        <w:t>.</w:t>
      </w:r>
    </w:p>
    <w:p w14:paraId="53D2BD4D" w14:textId="77777777" w:rsidR="00774AF7" w:rsidRPr="008312ED" w:rsidRDefault="00774AF7" w:rsidP="00774AF7">
      <w:pPr>
        <w:pStyle w:val="4-SubsectionHeading"/>
      </w:pPr>
      <w:bookmarkStart w:id="14" w:name="_Toc22897639"/>
      <w:bookmarkStart w:id="15" w:name="_Toc103769992"/>
      <w:r w:rsidRPr="008312ED">
        <w:t>Previous PBAC consideration</w:t>
      </w:r>
      <w:bookmarkEnd w:id="14"/>
      <w:bookmarkEnd w:id="15"/>
    </w:p>
    <w:p w14:paraId="56B519EC" w14:textId="0399F224" w:rsidR="00774AF7" w:rsidRDefault="00774AF7" w:rsidP="00774AF7">
      <w:pPr>
        <w:pStyle w:val="3-BodyText"/>
      </w:pPr>
      <w:r w:rsidRPr="008312ED">
        <w:t>This is the first submission for pegvaliase considered by the PBAC.</w:t>
      </w:r>
    </w:p>
    <w:p w14:paraId="2BADDDA9" w14:textId="77777777" w:rsidR="000764C2" w:rsidRPr="00C33D30" w:rsidRDefault="000764C2" w:rsidP="000764C2">
      <w:pPr>
        <w:ind w:firstLine="709"/>
        <w:rPr>
          <w:rFonts w:asciiTheme="minorHAnsi" w:hAnsiTheme="minorHAnsi"/>
          <w:i/>
        </w:rPr>
      </w:pPr>
      <w:bookmarkStart w:id="16" w:name="_Hlk76375324"/>
      <w:r w:rsidRPr="00C33D30">
        <w:rPr>
          <w:rFonts w:asciiTheme="minorHAnsi" w:hAnsiTheme="minorHAnsi"/>
          <w:i/>
        </w:rPr>
        <w:t>For more detail on PBAC’s view, see section 7 PBAC outcome.</w:t>
      </w:r>
    </w:p>
    <w:bookmarkEnd w:id="16"/>
    <w:p w14:paraId="43EB0F11" w14:textId="77777777" w:rsidR="000764C2" w:rsidRPr="008312ED" w:rsidRDefault="000764C2" w:rsidP="000764C2">
      <w:pPr>
        <w:pStyle w:val="3-BodyText"/>
        <w:numPr>
          <w:ilvl w:val="0"/>
          <w:numId w:val="0"/>
        </w:numPr>
        <w:ind w:left="720"/>
      </w:pPr>
    </w:p>
    <w:p w14:paraId="15C38F0E" w14:textId="551AFE4C" w:rsidR="00774AF7" w:rsidRDefault="00774AF7" w:rsidP="00774AF7">
      <w:pPr>
        <w:pStyle w:val="2-SectionHeading"/>
      </w:pPr>
      <w:bookmarkStart w:id="17" w:name="_Toc103769993"/>
      <w:r w:rsidRPr="008312ED">
        <w:t>Requested listing</w:t>
      </w:r>
      <w:bookmarkEnd w:id="17"/>
    </w:p>
    <w:p w14:paraId="36DE8CF2" w14:textId="2831B963" w:rsidR="00FA45AA" w:rsidRPr="0010549C" w:rsidRDefault="00FA45AA" w:rsidP="00191139">
      <w:pPr>
        <w:pStyle w:val="3-BodyText"/>
      </w:pPr>
      <w:r w:rsidRPr="00120A12">
        <w:t>S</w:t>
      </w:r>
      <w:r w:rsidR="00045FBF">
        <w:t>ecretariat s</w:t>
      </w:r>
      <w:r w:rsidRPr="00120A12">
        <w:t xml:space="preserve">uggested additions are in </w:t>
      </w:r>
      <w:r w:rsidRPr="00003617">
        <w:rPr>
          <w:iCs/>
        </w:rPr>
        <w:t>italics</w:t>
      </w:r>
      <w:r w:rsidRPr="00120A12">
        <w:t xml:space="preserve"> and deletions are in </w:t>
      </w:r>
      <w:r w:rsidRPr="003E1CDF">
        <w:t>strikethrough</w:t>
      </w:r>
      <w:r w:rsidRPr="00120A12">
        <w:t>.</w:t>
      </w:r>
      <w:r w:rsidR="00191139" w:rsidRPr="00191139">
        <w:rPr>
          <w:rFonts w:cstheme="minorHAnsi"/>
          <w:i/>
        </w:rPr>
        <w:t xml:space="preserve"> </w:t>
      </w:r>
    </w:p>
    <w:tbl>
      <w:tblPr>
        <w:tblW w:w="4994" w:type="pct"/>
        <w:tblInd w:w="5" w:type="dxa"/>
        <w:tblCellMar>
          <w:left w:w="28" w:type="dxa"/>
          <w:right w:w="28" w:type="dxa"/>
        </w:tblCellMar>
        <w:tblLook w:val="0000" w:firstRow="0" w:lastRow="0" w:firstColumn="0" w:lastColumn="0" w:noHBand="0" w:noVBand="0"/>
      </w:tblPr>
      <w:tblGrid>
        <w:gridCol w:w="2804"/>
        <w:gridCol w:w="997"/>
        <w:gridCol w:w="701"/>
        <w:gridCol w:w="2243"/>
        <w:gridCol w:w="868"/>
        <w:gridCol w:w="1403"/>
      </w:tblGrid>
      <w:tr w:rsidR="0010549C" w:rsidRPr="0032741D" w14:paraId="5DA0260C" w14:textId="77777777" w:rsidTr="00045FBF">
        <w:trPr>
          <w:cantSplit/>
          <w:trHeight w:val="463"/>
        </w:trPr>
        <w:tc>
          <w:tcPr>
            <w:tcW w:w="1555" w:type="pct"/>
            <w:tcBorders>
              <w:top w:val="single" w:sz="4" w:space="0" w:color="auto"/>
              <w:bottom w:val="single" w:sz="4" w:space="0" w:color="auto"/>
            </w:tcBorders>
            <w:vAlign w:val="center"/>
          </w:tcPr>
          <w:p w14:paraId="75126099" w14:textId="77777777" w:rsidR="0010549C" w:rsidRPr="0032741D" w:rsidRDefault="0010549C" w:rsidP="008B5DC0">
            <w:pPr>
              <w:keepNext/>
              <w:jc w:val="left"/>
              <w:rPr>
                <w:rFonts w:ascii="Arial Narrow" w:hAnsi="Arial Narrow"/>
                <w:b/>
                <w:sz w:val="20"/>
              </w:rPr>
            </w:pPr>
            <w:r w:rsidRPr="0032741D">
              <w:rPr>
                <w:rFonts w:ascii="Arial Narrow" w:hAnsi="Arial Narrow"/>
                <w:b/>
                <w:sz w:val="20"/>
              </w:rPr>
              <w:lastRenderedPageBreak/>
              <w:t>Name, Restriction,</w:t>
            </w:r>
          </w:p>
          <w:p w14:paraId="5D10C7F0" w14:textId="77777777" w:rsidR="0010549C" w:rsidRPr="0032741D" w:rsidRDefault="0010549C" w:rsidP="008B5DC0">
            <w:pPr>
              <w:keepNext/>
              <w:jc w:val="left"/>
              <w:rPr>
                <w:rFonts w:ascii="Arial Narrow" w:hAnsi="Arial Narrow"/>
                <w:b/>
                <w:sz w:val="20"/>
              </w:rPr>
            </w:pPr>
            <w:r w:rsidRPr="0032741D">
              <w:rPr>
                <w:rFonts w:ascii="Arial Narrow" w:hAnsi="Arial Narrow"/>
                <w:b/>
                <w:sz w:val="20"/>
              </w:rPr>
              <w:t>Manner of administration and form</w:t>
            </w:r>
          </w:p>
        </w:tc>
        <w:tc>
          <w:tcPr>
            <w:tcW w:w="553" w:type="pct"/>
            <w:tcBorders>
              <w:top w:val="single" w:sz="4" w:space="0" w:color="auto"/>
              <w:bottom w:val="single" w:sz="4" w:space="0" w:color="auto"/>
            </w:tcBorders>
            <w:vAlign w:val="center"/>
          </w:tcPr>
          <w:p w14:paraId="67D333DA" w14:textId="77777777" w:rsidR="0010549C" w:rsidRPr="0032741D" w:rsidRDefault="0010549C" w:rsidP="008B5DC0">
            <w:pPr>
              <w:keepNext/>
              <w:jc w:val="center"/>
              <w:rPr>
                <w:rFonts w:ascii="Arial Narrow" w:hAnsi="Arial Narrow"/>
                <w:b/>
                <w:sz w:val="20"/>
              </w:rPr>
            </w:pPr>
            <w:r w:rsidRPr="0032741D">
              <w:rPr>
                <w:rFonts w:ascii="Arial Narrow" w:hAnsi="Arial Narrow"/>
                <w:b/>
                <w:sz w:val="20"/>
              </w:rPr>
              <w:t>Max.</w:t>
            </w:r>
          </w:p>
          <w:p w14:paraId="2C792117" w14:textId="46AE843C" w:rsidR="0010549C" w:rsidRPr="0032741D" w:rsidRDefault="0010549C" w:rsidP="008B5DC0">
            <w:pPr>
              <w:keepNext/>
              <w:jc w:val="center"/>
              <w:rPr>
                <w:rFonts w:ascii="Arial Narrow" w:hAnsi="Arial Narrow"/>
                <w:b/>
                <w:sz w:val="20"/>
              </w:rPr>
            </w:pPr>
            <w:r w:rsidRPr="0032741D">
              <w:rPr>
                <w:rFonts w:ascii="Arial Narrow" w:hAnsi="Arial Narrow"/>
                <w:b/>
                <w:sz w:val="20"/>
              </w:rPr>
              <w:t>Qty</w:t>
            </w:r>
            <w:r w:rsidR="00045FBF" w:rsidRPr="0032741D">
              <w:rPr>
                <w:rFonts w:ascii="Arial Narrow" w:hAnsi="Arial Narrow"/>
                <w:b/>
                <w:sz w:val="20"/>
              </w:rPr>
              <w:t xml:space="preserve"> (units)</w:t>
            </w:r>
          </w:p>
        </w:tc>
        <w:tc>
          <w:tcPr>
            <w:tcW w:w="389" w:type="pct"/>
            <w:tcBorders>
              <w:top w:val="single" w:sz="4" w:space="0" w:color="auto"/>
              <w:bottom w:val="single" w:sz="4" w:space="0" w:color="auto"/>
            </w:tcBorders>
            <w:vAlign w:val="center"/>
          </w:tcPr>
          <w:p w14:paraId="3DF7429A" w14:textId="77777777" w:rsidR="0010549C" w:rsidRPr="0032741D" w:rsidRDefault="0010549C" w:rsidP="008B5DC0">
            <w:pPr>
              <w:keepNext/>
              <w:jc w:val="center"/>
              <w:rPr>
                <w:rFonts w:ascii="Arial Narrow" w:hAnsi="Arial Narrow"/>
                <w:b/>
                <w:sz w:val="20"/>
              </w:rPr>
            </w:pPr>
            <w:r w:rsidRPr="0032741D">
              <w:rPr>
                <w:rFonts w:ascii="Arial Narrow" w:hAnsi="Arial Narrow" w:cs="Times New Roman"/>
                <w:b/>
                <w:sz w:val="20"/>
              </w:rPr>
              <w:t>№</w:t>
            </w:r>
            <w:r w:rsidRPr="0032741D">
              <w:rPr>
                <w:rFonts w:ascii="Arial Narrow" w:hAnsi="Arial Narrow"/>
                <w:b/>
                <w:sz w:val="20"/>
              </w:rPr>
              <w:t>.of</w:t>
            </w:r>
          </w:p>
          <w:p w14:paraId="51C2E037" w14:textId="77777777" w:rsidR="0010549C" w:rsidRPr="0032741D" w:rsidRDefault="0010549C" w:rsidP="008B5DC0">
            <w:pPr>
              <w:keepNext/>
              <w:jc w:val="center"/>
              <w:rPr>
                <w:rFonts w:ascii="Arial Narrow" w:hAnsi="Arial Narrow"/>
                <w:b/>
                <w:sz w:val="20"/>
              </w:rPr>
            </w:pPr>
            <w:r w:rsidRPr="0032741D">
              <w:rPr>
                <w:rFonts w:ascii="Arial Narrow" w:hAnsi="Arial Narrow"/>
                <w:b/>
                <w:sz w:val="20"/>
              </w:rPr>
              <w:t>Rpts</w:t>
            </w:r>
          </w:p>
        </w:tc>
        <w:tc>
          <w:tcPr>
            <w:tcW w:w="1244" w:type="pct"/>
            <w:tcBorders>
              <w:top w:val="single" w:sz="4" w:space="0" w:color="auto"/>
              <w:bottom w:val="single" w:sz="4" w:space="0" w:color="auto"/>
            </w:tcBorders>
            <w:vAlign w:val="center"/>
          </w:tcPr>
          <w:p w14:paraId="3C2088C1" w14:textId="77777777" w:rsidR="0010549C" w:rsidRPr="0032741D" w:rsidRDefault="0010549C" w:rsidP="008B5DC0">
            <w:pPr>
              <w:keepNext/>
              <w:jc w:val="center"/>
              <w:rPr>
                <w:rFonts w:ascii="Arial Narrow" w:hAnsi="Arial Narrow"/>
                <w:b/>
                <w:sz w:val="20"/>
              </w:rPr>
            </w:pPr>
            <w:r w:rsidRPr="0032741D">
              <w:rPr>
                <w:rFonts w:ascii="Arial Narrow" w:hAnsi="Arial Narrow"/>
                <w:b/>
                <w:sz w:val="20"/>
              </w:rPr>
              <w:t>Dispensed Price for Max. Qty</w:t>
            </w:r>
          </w:p>
        </w:tc>
        <w:tc>
          <w:tcPr>
            <w:tcW w:w="1241" w:type="pct"/>
            <w:gridSpan w:val="2"/>
            <w:tcBorders>
              <w:top w:val="single" w:sz="4" w:space="0" w:color="auto"/>
              <w:bottom w:val="single" w:sz="4" w:space="0" w:color="auto"/>
            </w:tcBorders>
            <w:vAlign w:val="center"/>
          </w:tcPr>
          <w:p w14:paraId="472B27BC" w14:textId="77777777" w:rsidR="0010549C" w:rsidRPr="0032741D" w:rsidRDefault="0010549C" w:rsidP="008B5DC0">
            <w:pPr>
              <w:keepNext/>
              <w:jc w:val="center"/>
              <w:rPr>
                <w:rFonts w:ascii="Arial Narrow" w:hAnsi="Arial Narrow"/>
                <w:b/>
                <w:sz w:val="20"/>
              </w:rPr>
            </w:pPr>
            <w:r w:rsidRPr="0032741D">
              <w:rPr>
                <w:rFonts w:ascii="Arial Narrow" w:hAnsi="Arial Narrow"/>
                <w:b/>
                <w:sz w:val="20"/>
              </w:rPr>
              <w:t>Proprietary Name and Manufacturer</w:t>
            </w:r>
          </w:p>
        </w:tc>
      </w:tr>
      <w:tr w:rsidR="0010549C" w:rsidRPr="0032741D" w14:paraId="21BECDDC" w14:textId="77777777" w:rsidTr="00045FBF">
        <w:trPr>
          <w:cantSplit/>
          <w:trHeight w:val="20"/>
        </w:trPr>
        <w:tc>
          <w:tcPr>
            <w:tcW w:w="1555" w:type="pct"/>
            <w:tcBorders>
              <w:bottom w:val="single" w:sz="4" w:space="0" w:color="auto"/>
            </w:tcBorders>
            <w:vAlign w:val="center"/>
          </w:tcPr>
          <w:p w14:paraId="3EAE09A8" w14:textId="77777777" w:rsidR="0010549C" w:rsidRPr="0032741D" w:rsidRDefault="0010549C" w:rsidP="008B5DC0">
            <w:pPr>
              <w:keepNext/>
              <w:jc w:val="left"/>
              <w:rPr>
                <w:rFonts w:ascii="Arial Narrow" w:hAnsi="Arial Narrow"/>
                <w:sz w:val="20"/>
              </w:rPr>
            </w:pPr>
            <w:r w:rsidRPr="0032741D">
              <w:rPr>
                <w:rFonts w:ascii="Arial Narrow" w:hAnsi="Arial Narrow"/>
                <w:smallCaps/>
                <w:sz w:val="20"/>
              </w:rPr>
              <w:t>PEGVALIASE</w:t>
            </w:r>
          </w:p>
          <w:p w14:paraId="35B5595C" w14:textId="74C4C1F5" w:rsidR="0010549C" w:rsidRPr="0032741D" w:rsidRDefault="0010549C" w:rsidP="008B5DC0">
            <w:pPr>
              <w:keepNext/>
              <w:jc w:val="left"/>
              <w:rPr>
                <w:rFonts w:ascii="Arial Narrow" w:hAnsi="Arial Narrow"/>
                <w:sz w:val="20"/>
              </w:rPr>
            </w:pPr>
            <w:r w:rsidRPr="0032741D">
              <w:rPr>
                <w:rFonts w:ascii="Arial Narrow" w:hAnsi="Arial Narrow"/>
                <w:sz w:val="20"/>
              </w:rPr>
              <w:t>1 x 2.5</w:t>
            </w:r>
            <w:r w:rsidR="00D74D24">
              <w:rPr>
                <w:rFonts w:ascii="Arial Narrow" w:hAnsi="Arial Narrow"/>
                <w:sz w:val="20"/>
              </w:rPr>
              <w:t xml:space="preserve"> </w:t>
            </w:r>
            <w:r w:rsidRPr="0032741D">
              <w:rPr>
                <w:rFonts w:ascii="Arial Narrow" w:hAnsi="Arial Narrow"/>
                <w:sz w:val="20"/>
              </w:rPr>
              <w:t>mg pre-filled, sc injection</w:t>
            </w:r>
          </w:p>
        </w:tc>
        <w:tc>
          <w:tcPr>
            <w:tcW w:w="553" w:type="pct"/>
            <w:tcBorders>
              <w:bottom w:val="single" w:sz="4" w:space="0" w:color="auto"/>
            </w:tcBorders>
            <w:vAlign w:val="center"/>
          </w:tcPr>
          <w:p w14:paraId="0931E469" w14:textId="09E33E6C" w:rsidR="0010549C" w:rsidRPr="0032741D" w:rsidRDefault="00045FBF" w:rsidP="008B5DC0">
            <w:pPr>
              <w:keepNext/>
              <w:jc w:val="center"/>
              <w:rPr>
                <w:rFonts w:ascii="Arial Narrow" w:hAnsi="Arial Narrow"/>
                <w:i/>
                <w:iCs/>
                <w:sz w:val="20"/>
                <w:vertAlign w:val="superscript"/>
              </w:rPr>
            </w:pPr>
            <w:r w:rsidRPr="0032741D">
              <w:rPr>
                <w:rFonts w:ascii="Arial Narrow" w:hAnsi="Arial Narrow"/>
                <w:i/>
                <w:iCs/>
                <w:sz w:val="20"/>
              </w:rPr>
              <w:t>6</w:t>
            </w:r>
          </w:p>
        </w:tc>
        <w:tc>
          <w:tcPr>
            <w:tcW w:w="389" w:type="pct"/>
            <w:tcBorders>
              <w:bottom w:val="single" w:sz="4" w:space="0" w:color="auto"/>
            </w:tcBorders>
            <w:vAlign w:val="center"/>
          </w:tcPr>
          <w:p w14:paraId="5A143648" w14:textId="67A9E073" w:rsidR="0010549C" w:rsidRPr="0032741D" w:rsidRDefault="00045FBF" w:rsidP="008B5DC0">
            <w:pPr>
              <w:keepNext/>
              <w:jc w:val="center"/>
              <w:rPr>
                <w:rFonts w:ascii="Arial Narrow" w:hAnsi="Arial Narrow"/>
                <w:i/>
                <w:iCs/>
                <w:sz w:val="20"/>
              </w:rPr>
            </w:pPr>
            <w:r w:rsidRPr="0032741D">
              <w:rPr>
                <w:rFonts w:ascii="Arial Narrow" w:hAnsi="Arial Narrow"/>
                <w:i/>
                <w:iCs/>
                <w:sz w:val="20"/>
              </w:rPr>
              <w:t>0</w:t>
            </w:r>
          </w:p>
        </w:tc>
        <w:tc>
          <w:tcPr>
            <w:tcW w:w="1244" w:type="pct"/>
            <w:tcBorders>
              <w:bottom w:val="single" w:sz="4" w:space="0" w:color="auto"/>
            </w:tcBorders>
            <w:vAlign w:val="center"/>
          </w:tcPr>
          <w:p w14:paraId="54735374" w14:textId="508BBE72" w:rsidR="0010549C" w:rsidRPr="0032741D" w:rsidRDefault="0010549C" w:rsidP="008B5DC0">
            <w:pPr>
              <w:keepNext/>
              <w:jc w:val="center"/>
              <w:rPr>
                <w:rFonts w:ascii="Arial Narrow" w:hAnsi="Arial Narrow"/>
                <w:sz w:val="20"/>
              </w:rPr>
            </w:pPr>
            <w:r w:rsidRPr="0032741D">
              <w:rPr>
                <w:rFonts w:ascii="Arial Narrow" w:hAnsi="Arial Narrow"/>
                <w:sz w:val="20"/>
              </w:rPr>
              <w:t>$497.05 published</w:t>
            </w:r>
          </w:p>
          <w:p w14:paraId="6755672C" w14:textId="0F65BC7C" w:rsidR="0010549C" w:rsidRPr="0032741D" w:rsidRDefault="0010549C" w:rsidP="008B5DC0">
            <w:pPr>
              <w:keepNext/>
              <w:jc w:val="center"/>
              <w:rPr>
                <w:rFonts w:ascii="Arial Narrow" w:hAnsi="Arial Narrow"/>
                <w:sz w:val="20"/>
              </w:rPr>
            </w:pPr>
            <w:r w:rsidRPr="0032741D">
              <w:rPr>
                <w:rFonts w:ascii="Arial Narrow" w:hAnsi="Arial Narrow"/>
                <w:sz w:val="20"/>
              </w:rPr>
              <w:t>$</w:t>
            </w:r>
            <w:r w:rsidR="00EC6944" w:rsidRPr="00EC6944">
              <w:rPr>
                <w:rFonts w:ascii="Arial Narrow" w:hAnsi="Arial Narrow"/>
                <w:color w:val="000000"/>
                <w:sz w:val="20"/>
                <w:shd w:val="solid" w:color="000000" w:fill="000000"/>
                <w14:textFill>
                  <w14:solidFill>
                    <w14:srgbClr w14:val="000000">
                      <w14:alpha w14:val="100000"/>
                    </w14:srgbClr>
                  </w14:solidFill>
                </w14:textFill>
              </w:rPr>
              <w:t>|</w:t>
            </w:r>
            <w:r w:rsidRPr="0032741D">
              <w:rPr>
                <w:rFonts w:ascii="Arial Narrow" w:hAnsi="Arial Narrow"/>
                <w:sz w:val="20"/>
              </w:rPr>
              <w:t xml:space="preserve"> effective</w:t>
            </w:r>
          </w:p>
        </w:tc>
        <w:tc>
          <w:tcPr>
            <w:tcW w:w="481" w:type="pct"/>
            <w:tcBorders>
              <w:bottom w:val="single" w:sz="4" w:space="0" w:color="auto"/>
            </w:tcBorders>
            <w:vAlign w:val="center"/>
          </w:tcPr>
          <w:p w14:paraId="5264019D" w14:textId="77777777" w:rsidR="0010549C" w:rsidRPr="0032741D" w:rsidRDefault="0010549C" w:rsidP="008B5DC0">
            <w:pPr>
              <w:keepNext/>
              <w:jc w:val="center"/>
              <w:rPr>
                <w:rFonts w:ascii="Arial Narrow" w:hAnsi="Arial Narrow"/>
                <w:sz w:val="20"/>
              </w:rPr>
            </w:pPr>
            <w:r w:rsidRPr="0032741D">
              <w:rPr>
                <w:rFonts w:ascii="Arial Narrow" w:hAnsi="Arial Narrow"/>
                <w:sz w:val="20"/>
              </w:rPr>
              <w:t>PALYNZIQ</w:t>
            </w:r>
          </w:p>
        </w:tc>
        <w:tc>
          <w:tcPr>
            <w:tcW w:w="760" w:type="pct"/>
            <w:tcBorders>
              <w:bottom w:val="single" w:sz="4" w:space="0" w:color="auto"/>
            </w:tcBorders>
            <w:vAlign w:val="center"/>
          </w:tcPr>
          <w:p w14:paraId="619EBCD3" w14:textId="77777777" w:rsidR="0010549C" w:rsidRPr="0032741D" w:rsidRDefault="0010549C" w:rsidP="008B5DC0">
            <w:pPr>
              <w:keepNext/>
              <w:jc w:val="center"/>
              <w:rPr>
                <w:rFonts w:ascii="Arial Narrow" w:hAnsi="Arial Narrow"/>
                <w:sz w:val="20"/>
              </w:rPr>
            </w:pPr>
            <w:r w:rsidRPr="0032741D">
              <w:rPr>
                <w:rFonts w:ascii="Arial Narrow" w:hAnsi="Arial Narrow"/>
                <w:sz w:val="20"/>
              </w:rPr>
              <w:t>BioMarin</w:t>
            </w:r>
          </w:p>
        </w:tc>
      </w:tr>
      <w:tr w:rsidR="0010549C" w:rsidRPr="0032741D" w14:paraId="45C7DCA6" w14:textId="77777777" w:rsidTr="00045FBF">
        <w:trPr>
          <w:cantSplit/>
          <w:trHeight w:val="20"/>
        </w:trPr>
        <w:tc>
          <w:tcPr>
            <w:tcW w:w="1555" w:type="pct"/>
            <w:tcBorders>
              <w:top w:val="single" w:sz="4" w:space="0" w:color="auto"/>
              <w:bottom w:val="single" w:sz="4" w:space="0" w:color="auto"/>
            </w:tcBorders>
            <w:vAlign w:val="center"/>
          </w:tcPr>
          <w:p w14:paraId="2FEC3748" w14:textId="77777777" w:rsidR="0010549C" w:rsidRPr="0032741D" w:rsidRDefault="0010549C" w:rsidP="008B5DC0">
            <w:pPr>
              <w:keepNext/>
              <w:jc w:val="left"/>
              <w:rPr>
                <w:rFonts w:ascii="Arial Narrow" w:hAnsi="Arial Narrow"/>
                <w:sz w:val="20"/>
              </w:rPr>
            </w:pPr>
            <w:r w:rsidRPr="0032741D">
              <w:rPr>
                <w:rFonts w:ascii="Arial Narrow" w:hAnsi="Arial Narrow"/>
                <w:smallCaps/>
                <w:sz w:val="20"/>
              </w:rPr>
              <w:t>PEGVALIASE</w:t>
            </w:r>
          </w:p>
          <w:p w14:paraId="14118E24" w14:textId="3B51D050" w:rsidR="0010549C" w:rsidRPr="0032741D" w:rsidRDefault="0010549C" w:rsidP="008B5DC0">
            <w:pPr>
              <w:keepNext/>
              <w:jc w:val="left"/>
              <w:rPr>
                <w:rFonts w:ascii="Arial Narrow" w:hAnsi="Arial Narrow"/>
                <w:smallCaps/>
                <w:sz w:val="20"/>
              </w:rPr>
            </w:pPr>
            <w:r w:rsidRPr="0032741D">
              <w:rPr>
                <w:rFonts w:ascii="Arial Narrow" w:hAnsi="Arial Narrow"/>
                <w:sz w:val="20"/>
              </w:rPr>
              <w:t>1 x 10</w:t>
            </w:r>
            <w:r w:rsidR="00D74D24">
              <w:rPr>
                <w:rFonts w:ascii="Arial Narrow" w:hAnsi="Arial Narrow"/>
                <w:sz w:val="20"/>
              </w:rPr>
              <w:t xml:space="preserve"> </w:t>
            </w:r>
            <w:r w:rsidRPr="0032741D">
              <w:rPr>
                <w:rFonts w:ascii="Arial Narrow" w:hAnsi="Arial Narrow"/>
                <w:sz w:val="20"/>
              </w:rPr>
              <w:t>mg pre-filled, sc injection</w:t>
            </w:r>
          </w:p>
        </w:tc>
        <w:tc>
          <w:tcPr>
            <w:tcW w:w="553" w:type="pct"/>
            <w:tcBorders>
              <w:top w:val="single" w:sz="4" w:space="0" w:color="auto"/>
              <w:bottom w:val="single" w:sz="4" w:space="0" w:color="auto"/>
            </w:tcBorders>
            <w:vAlign w:val="center"/>
          </w:tcPr>
          <w:p w14:paraId="0086AB69" w14:textId="33A6C97C" w:rsidR="0010549C" w:rsidRPr="0032741D" w:rsidRDefault="00045FBF" w:rsidP="008B5DC0">
            <w:pPr>
              <w:keepNext/>
              <w:jc w:val="center"/>
              <w:rPr>
                <w:rFonts w:ascii="Arial Narrow" w:hAnsi="Arial Narrow"/>
                <w:i/>
                <w:iCs/>
                <w:sz w:val="20"/>
                <w:vertAlign w:val="superscript"/>
              </w:rPr>
            </w:pPr>
            <w:r w:rsidRPr="0032741D">
              <w:rPr>
                <w:rFonts w:ascii="Arial Narrow" w:hAnsi="Arial Narrow"/>
                <w:i/>
                <w:iCs/>
                <w:sz w:val="20"/>
              </w:rPr>
              <w:t>14</w:t>
            </w:r>
          </w:p>
        </w:tc>
        <w:tc>
          <w:tcPr>
            <w:tcW w:w="389" w:type="pct"/>
            <w:tcBorders>
              <w:top w:val="single" w:sz="4" w:space="0" w:color="auto"/>
              <w:bottom w:val="single" w:sz="4" w:space="0" w:color="auto"/>
            </w:tcBorders>
            <w:vAlign w:val="center"/>
          </w:tcPr>
          <w:p w14:paraId="496A94B0" w14:textId="7B1490F6" w:rsidR="0010549C" w:rsidRPr="0032741D" w:rsidRDefault="00045FBF" w:rsidP="008B5DC0">
            <w:pPr>
              <w:keepNext/>
              <w:jc w:val="center"/>
              <w:rPr>
                <w:rFonts w:ascii="Arial Narrow" w:hAnsi="Arial Narrow"/>
                <w:i/>
                <w:iCs/>
                <w:sz w:val="20"/>
              </w:rPr>
            </w:pPr>
            <w:r w:rsidRPr="0032741D">
              <w:rPr>
                <w:rFonts w:ascii="Arial Narrow" w:hAnsi="Arial Narrow"/>
                <w:i/>
                <w:iCs/>
                <w:sz w:val="20"/>
              </w:rPr>
              <w:t>0</w:t>
            </w:r>
          </w:p>
        </w:tc>
        <w:tc>
          <w:tcPr>
            <w:tcW w:w="1244" w:type="pct"/>
            <w:tcBorders>
              <w:top w:val="single" w:sz="4" w:space="0" w:color="auto"/>
              <w:bottom w:val="single" w:sz="4" w:space="0" w:color="auto"/>
            </w:tcBorders>
            <w:vAlign w:val="center"/>
          </w:tcPr>
          <w:p w14:paraId="18D710F6" w14:textId="32994C53" w:rsidR="0010549C" w:rsidRPr="0032741D" w:rsidRDefault="0010549C" w:rsidP="008B5DC0">
            <w:pPr>
              <w:keepNext/>
              <w:jc w:val="center"/>
              <w:rPr>
                <w:rFonts w:ascii="Arial Narrow" w:hAnsi="Arial Narrow"/>
                <w:sz w:val="20"/>
              </w:rPr>
            </w:pPr>
            <w:r w:rsidRPr="0032741D">
              <w:rPr>
                <w:rFonts w:ascii="Arial Narrow" w:hAnsi="Arial Narrow"/>
                <w:sz w:val="20"/>
              </w:rPr>
              <w:t>$497.05 published</w:t>
            </w:r>
          </w:p>
          <w:p w14:paraId="0DB27753" w14:textId="54F5C2F5" w:rsidR="0010549C" w:rsidRPr="0032741D" w:rsidRDefault="0010549C" w:rsidP="008B5DC0">
            <w:pPr>
              <w:keepNext/>
              <w:jc w:val="center"/>
              <w:rPr>
                <w:rFonts w:ascii="Arial Narrow" w:hAnsi="Arial Narrow"/>
                <w:sz w:val="20"/>
              </w:rPr>
            </w:pPr>
            <w:r w:rsidRPr="0032741D">
              <w:rPr>
                <w:rFonts w:ascii="Arial Narrow" w:hAnsi="Arial Narrow"/>
                <w:sz w:val="20"/>
              </w:rPr>
              <w:t>$</w:t>
            </w:r>
            <w:r w:rsidR="00EC6944" w:rsidRPr="00EC6944">
              <w:rPr>
                <w:rFonts w:ascii="Arial Narrow" w:hAnsi="Arial Narrow"/>
                <w:color w:val="000000"/>
                <w:sz w:val="20"/>
                <w:shd w:val="solid" w:color="000000" w:fill="000000"/>
                <w14:textFill>
                  <w14:solidFill>
                    <w14:srgbClr w14:val="000000">
                      <w14:alpha w14:val="100000"/>
                    </w14:srgbClr>
                  </w14:solidFill>
                </w14:textFill>
              </w:rPr>
              <w:t>|</w:t>
            </w:r>
            <w:r w:rsidRPr="0032741D">
              <w:rPr>
                <w:rFonts w:ascii="Arial Narrow" w:hAnsi="Arial Narrow"/>
                <w:sz w:val="20"/>
              </w:rPr>
              <w:t xml:space="preserve"> effective</w:t>
            </w:r>
          </w:p>
        </w:tc>
        <w:tc>
          <w:tcPr>
            <w:tcW w:w="481" w:type="pct"/>
            <w:tcBorders>
              <w:top w:val="single" w:sz="4" w:space="0" w:color="auto"/>
              <w:bottom w:val="single" w:sz="4" w:space="0" w:color="auto"/>
            </w:tcBorders>
            <w:vAlign w:val="center"/>
          </w:tcPr>
          <w:p w14:paraId="12986959" w14:textId="77777777" w:rsidR="0010549C" w:rsidRPr="0032741D" w:rsidRDefault="0010549C" w:rsidP="008B5DC0">
            <w:pPr>
              <w:keepNext/>
              <w:jc w:val="center"/>
              <w:rPr>
                <w:rFonts w:ascii="Arial Narrow" w:hAnsi="Arial Narrow"/>
                <w:sz w:val="20"/>
              </w:rPr>
            </w:pPr>
            <w:r w:rsidRPr="0032741D">
              <w:rPr>
                <w:rFonts w:ascii="Arial Narrow" w:hAnsi="Arial Narrow"/>
                <w:sz w:val="20"/>
              </w:rPr>
              <w:t>PALYNZIQ</w:t>
            </w:r>
          </w:p>
        </w:tc>
        <w:tc>
          <w:tcPr>
            <w:tcW w:w="760" w:type="pct"/>
            <w:tcBorders>
              <w:top w:val="single" w:sz="4" w:space="0" w:color="auto"/>
              <w:bottom w:val="single" w:sz="4" w:space="0" w:color="auto"/>
            </w:tcBorders>
            <w:vAlign w:val="center"/>
          </w:tcPr>
          <w:p w14:paraId="7C0E25AA" w14:textId="77777777" w:rsidR="0010549C" w:rsidRPr="0032741D" w:rsidRDefault="0010549C" w:rsidP="008B5DC0">
            <w:pPr>
              <w:keepNext/>
              <w:jc w:val="center"/>
              <w:rPr>
                <w:rFonts w:ascii="Arial Narrow" w:hAnsi="Arial Narrow"/>
                <w:sz w:val="20"/>
              </w:rPr>
            </w:pPr>
            <w:r w:rsidRPr="0032741D">
              <w:rPr>
                <w:rFonts w:ascii="Arial Narrow" w:hAnsi="Arial Narrow"/>
                <w:sz w:val="20"/>
              </w:rPr>
              <w:t>BioMarin</w:t>
            </w:r>
          </w:p>
        </w:tc>
      </w:tr>
      <w:tr w:rsidR="0010549C" w:rsidRPr="0032741D" w14:paraId="3BE54A15" w14:textId="77777777" w:rsidTr="00045FBF">
        <w:trPr>
          <w:cantSplit/>
          <w:trHeight w:val="20"/>
        </w:trPr>
        <w:tc>
          <w:tcPr>
            <w:tcW w:w="1555" w:type="pct"/>
            <w:tcBorders>
              <w:top w:val="single" w:sz="4" w:space="0" w:color="auto"/>
              <w:bottom w:val="single" w:sz="4" w:space="0" w:color="auto"/>
            </w:tcBorders>
            <w:vAlign w:val="center"/>
          </w:tcPr>
          <w:p w14:paraId="1F68A9BE" w14:textId="77777777" w:rsidR="0010549C" w:rsidRPr="0032741D" w:rsidRDefault="0010549C" w:rsidP="008B5DC0">
            <w:pPr>
              <w:keepNext/>
              <w:jc w:val="left"/>
              <w:rPr>
                <w:rFonts w:ascii="Arial Narrow" w:hAnsi="Arial Narrow"/>
                <w:sz w:val="20"/>
              </w:rPr>
            </w:pPr>
            <w:r w:rsidRPr="0032741D">
              <w:rPr>
                <w:rFonts w:ascii="Arial Narrow" w:hAnsi="Arial Narrow"/>
                <w:smallCaps/>
                <w:sz w:val="20"/>
              </w:rPr>
              <w:t>PEGVALIASE</w:t>
            </w:r>
          </w:p>
          <w:p w14:paraId="0D44A4E9" w14:textId="4CB14DBA" w:rsidR="0010549C" w:rsidRPr="0032741D" w:rsidRDefault="0010549C" w:rsidP="008B5DC0">
            <w:pPr>
              <w:keepNext/>
              <w:jc w:val="left"/>
              <w:rPr>
                <w:rFonts w:ascii="Arial Narrow" w:hAnsi="Arial Narrow"/>
                <w:smallCaps/>
                <w:sz w:val="20"/>
              </w:rPr>
            </w:pPr>
            <w:r w:rsidRPr="0032741D">
              <w:rPr>
                <w:rFonts w:ascii="Arial Narrow" w:hAnsi="Arial Narrow"/>
                <w:sz w:val="20"/>
              </w:rPr>
              <w:t>1 x 20</w:t>
            </w:r>
            <w:r w:rsidR="00D74D24">
              <w:rPr>
                <w:rFonts w:ascii="Arial Narrow" w:hAnsi="Arial Narrow"/>
                <w:sz w:val="20"/>
              </w:rPr>
              <w:t xml:space="preserve"> </w:t>
            </w:r>
            <w:r w:rsidRPr="0032741D">
              <w:rPr>
                <w:rFonts w:ascii="Arial Narrow" w:hAnsi="Arial Narrow"/>
                <w:sz w:val="20"/>
              </w:rPr>
              <w:t>mg pre-filled, sc injection</w:t>
            </w:r>
          </w:p>
        </w:tc>
        <w:tc>
          <w:tcPr>
            <w:tcW w:w="553" w:type="pct"/>
            <w:tcBorders>
              <w:top w:val="single" w:sz="4" w:space="0" w:color="auto"/>
              <w:bottom w:val="single" w:sz="4" w:space="0" w:color="auto"/>
            </w:tcBorders>
            <w:vAlign w:val="center"/>
          </w:tcPr>
          <w:p w14:paraId="1D772BAE" w14:textId="730E3986" w:rsidR="0010549C" w:rsidRPr="0032741D" w:rsidRDefault="00045FBF" w:rsidP="008B5DC0">
            <w:pPr>
              <w:keepNext/>
              <w:jc w:val="center"/>
              <w:rPr>
                <w:rFonts w:ascii="Arial Narrow" w:hAnsi="Arial Narrow"/>
                <w:i/>
                <w:iCs/>
                <w:sz w:val="20"/>
              </w:rPr>
            </w:pPr>
            <w:r w:rsidRPr="0032741D">
              <w:rPr>
                <w:rFonts w:ascii="Arial Narrow" w:hAnsi="Arial Narrow"/>
                <w:i/>
                <w:iCs/>
                <w:sz w:val="20"/>
              </w:rPr>
              <w:t>90</w:t>
            </w:r>
          </w:p>
        </w:tc>
        <w:tc>
          <w:tcPr>
            <w:tcW w:w="389" w:type="pct"/>
            <w:tcBorders>
              <w:top w:val="single" w:sz="4" w:space="0" w:color="auto"/>
            </w:tcBorders>
            <w:vAlign w:val="center"/>
          </w:tcPr>
          <w:p w14:paraId="7FD36C0D" w14:textId="21247F63" w:rsidR="0010549C" w:rsidRPr="0032741D" w:rsidRDefault="00045FBF" w:rsidP="008B5DC0">
            <w:pPr>
              <w:keepNext/>
              <w:jc w:val="center"/>
              <w:rPr>
                <w:rFonts w:ascii="Arial Narrow" w:hAnsi="Arial Narrow"/>
                <w:i/>
                <w:iCs/>
                <w:sz w:val="20"/>
              </w:rPr>
            </w:pPr>
            <w:r w:rsidRPr="0032741D">
              <w:rPr>
                <w:rFonts w:ascii="Arial Narrow" w:hAnsi="Arial Narrow"/>
                <w:i/>
                <w:iCs/>
                <w:sz w:val="20"/>
              </w:rPr>
              <w:t>5</w:t>
            </w:r>
          </w:p>
        </w:tc>
        <w:tc>
          <w:tcPr>
            <w:tcW w:w="1244" w:type="pct"/>
            <w:tcBorders>
              <w:top w:val="single" w:sz="4" w:space="0" w:color="auto"/>
            </w:tcBorders>
            <w:vAlign w:val="center"/>
          </w:tcPr>
          <w:p w14:paraId="6CE5379D" w14:textId="46C8670E" w:rsidR="0010549C" w:rsidRPr="0032741D" w:rsidRDefault="0010549C" w:rsidP="008B5DC0">
            <w:pPr>
              <w:keepNext/>
              <w:jc w:val="center"/>
              <w:rPr>
                <w:rFonts w:ascii="Arial Narrow" w:hAnsi="Arial Narrow"/>
                <w:sz w:val="20"/>
              </w:rPr>
            </w:pPr>
            <w:r w:rsidRPr="0032741D">
              <w:rPr>
                <w:rFonts w:ascii="Arial Narrow" w:hAnsi="Arial Narrow"/>
                <w:sz w:val="20"/>
              </w:rPr>
              <w:t>$497.05 published</w:t>
            </w:r>
          </w:p>
          <w:p w14:paraId="30937CD8" w14:textId="035D9417" w:rsidR="0010549C" w:rsidRPr="0032741D" w:rsidRDefault="0010549C" w:rsidP="008B5DC0">
            <w:pPr>
              <w:keepNext/>
              <w:jc w:val="center"/>
              <w:rPr>
                <w:rFonts w:ascii="Arial Narrow" w:hAnsi="Arial Narrow"/>
                <w:sz w:val="20"/>
              </w:rPr>
            </w:pPr>
            <w:r w:rsidRPr="0032741D">
              <w:rPr>
                <w:rFonts w:ascii="Arial Narrow" w:hAnsi="Arial Narrow"/>
                <w:sz w:val="20"/>
              </w:rPr>
              <w:t>$</w:t>
            </w:r>
            <w:r w:rsidR="00EC6944" w:rsidRPr="00EC6944">
              <w:rPr>
                <w:rFonts w:ascii="Arial Narrow" w:hAnsi="Arial Narrow"/>
                <w:color w:val="000000"/>
                <w:sz w:val="20"/>
                <w:shd w:val="solid" w:color="000000" w:fill="000000"/>
                <w14:textFill>
                  <w14:solidFill>
                    <w14:srgbClr w14:val="000000">
                      <w14:alpha w14:val="100000"/>
                    </w14:srgbClr>
                  </w14:solidFill>
                </w14:textFill>
              </w:rPr>
              <w:t>|</w:t>
            </w:r>
            <w:r w:rsidRPr="0032741D">
              <w:rPr>
                <w:rFonts w:ascii="Arial Narrow" w:hAnsi="Arial Narrow"/>
                <w:sz w:val="20"/>
              </w:rPr>
              <w:t xml:space="preserve"> effective</w:t>
            </w:r>
          </w:p>
        </w:tc>
        <w:tc>
          <w:tcPr>
            <w:tcW w:w="481" w:type="pct"/>
            <w:tcBorders>
              <w:top w:val="single" w:sz="4" w:space="0" w:color="auto"/>
            </w:tcBorders>
            <w:vAlign w:val="center"/>
          </w:tcPr>
          <w:p w14:paraId="25293938" w14:textId="77777777" w:rsidR="0010549C" w:rsidRPr="0032741D" w:rsidRDefault="0010549C" w:rsidP="008B5DC0">
            <w:pPr>
              <w:keepNext/>
              <w:jc w:val="center"/>
              <w:rPr>
                <w:rFonts w:ascii="Arial Narrow" w:hAnsi="Arial Narrow"/>
                <w:sz w:val="20"/>
              </w:rPr>
            </w:pPr>
            <w:r w:rsidRPr="0032741D">
              <w:rPr>
                <w:rFonts w:ascii="Arial Narrow" w:hAnsi="Arial Narrow"/>
                <w:sz w:val="20"/>
              </w:rPr>
              <w:t>PALYNZIQ</w:t>
            </w:r>
          </w:p>
        </w:tc>
        <w:tc>
          <w:tcPr>
            <w:tcW w:w="760" w:type="pct"/>
            <w:tcBorders>
              <w:top w:val="single" w:sz="4" w:space="0" w:color="auto"/>
            </w:tcBorders>
            <w:vAlign w:val="center"/>
          </w:tcPr>
          <w:p w14:paraId="3984EF83" w14:textId="77777777" w:rsidR="0010549C" w:rsidRPr="0032741D" w:rsidRDefault="0010549C" w:rsidP="008B5DC0">
            <w:pPr>
              <w:keepNext/>
              <w:jc w:val="center"/>
              <w:rPr>
                <w:rFonts w:ascii="Arial Narrow" w:hAnsi="Arial Narrow"/>
                <w:sz w:val="20"/>
              </w:rPr>
            </w:pPr>
            <w:r w:rsidRPr="0032741D">
              <w:rPr>
                <w:rFonts w:ascii="Arial Narrow" w:hAnsi="Arial Narrow"/>
                <w:sz w:val="20"/>
              </w:rPr>
              <w:t>BioMarin</w:t>
            </w:r>
          </w:p>
        </w:tc>
      </w:tr>
      <w:tr w:rsidR="0010549C" w:rsidRPr="0032741D" w14:paraId="23149CD1" w14:textId="77777777" w:rsidTr="00045FBF">
        <w:trPr>
          <w:cantSplit/>
          <w:trHeight w:val="20"/>
        </w:trPr>
        <w:tc>
          <w:tcPr>
            <w:tcW w:w="1555" w:type="pct"/>
            <w:tcBorders>
              <w:top w:val="single" w:sz="4" w:space="0" w:color="auto"/>
              <w:bottom w:val="single" w:sz="4" w:space="0" w:color="auto"/>
            </w:tcBorders>
            <w:vAlign w:val="center"/>
          </w:tcPr>
          <w:p w14:paraId="6657EB22" w14:textId="77777777" w:rsidR="0010549C" w:rsidRPr="0032741D" w:rsidRDefault="0010549C" w:rsidP="008B5DC0">
            <w:pPr>
              <w:keepNext/>
              <w:jc w:val="left"/>
              <w:rPr>
                <w:rFonts w:ascii="Arial Narrow" w:hAnsi="Arial Narrow"/>
                <w:sz w:val="20"/>
              </w:rPr>
            </w:pPr>
            <w:r w:rsidRPr="0032741D">
              <w:rPr>
                <w:rFonts w:ascii="Arial Narrow" w:hAnsi="Arial Narrow"/>
                <w:smallCaps/>
                <w:sz w:val="20"/>
              </w:rPr>
              <w:t>PEGVALIASE</w:t>
            </w:r>
          </w:p>
          <w:p w14:paraId="55E45995" w14:textId="48FFA90B" w:rsidR="0010549C" w:rsidRPr="0032741D" w:rsidRDefault="0010549C" w:rsidP="008B5DC0">
            <w:pPr>
              <w:keepNext/>
              <w:jc w:val="left"/>
              <w:rPr>
                <w:rFonts w:ascii="Arial Narrow" w:hAnsi="Arial Narrow"/>
                <w:smallCaps/>
                <w:sz w:val="20"/>
              </w:rPr>
            </w:pPr>
            <w:r w:rsidRPr="0032741D">
              <w:rPr>
                <w:rFonts w:ascii="Arial Narrow" w:hAnsi="Arial Narrow"/>
                <w:sz w:val="20"/>
              </w:rPr>
              <w:t>10 x 20</w:t>
            </w:r>
            <w:r w:rsidR="00D74D24">
              <w:rPr>
                <w:rFonts w:ascii="Arial Narrow" w:hAnsi="Arial Narrow"/>
                <w:sz w:val="20"/>
              </w:rPr>
              <w:t xml:space="preserve"> </w:t>
            </w:r>
            <w:r w:rsidRPr="0032741D">
              <w:rPr>
                <w:rFonts w:ascii="Arial Narrow" w:hAnsi="Arial Narrow"/>
                <w:sz w:val="20"/>
              </w:rPr>
              <w:t>mg pre-filled, sc injection</w:t>
            </w:r>
          </w:p>
        </w:tc>
        <w:tc>
          <w:tcPr>
            <w:tcW w:w="553" w:type="pct"/>
            <w:tcBorders>
              <w:top w:val="single" w:sz="4" w:space="0" w:color="auto"/>
              <w:bottom w:val="single" w:sz="4" w:space="0" w:color="auto"/>
            </w:tcBorders>
            <w:vAlign w:val="center"/>
          </w:tcPr>
          <w:p w14:paraId="344D87FD" w14:textId="782A2641" w:rsidR="0010549C" w:rsidRPr="0032741D" w:rsidRDefault="00045FBF" w:rsidP="008B5DC0">
            <w:pPr>
              <w:keepNext/>
              <w:jc w:val="center"/>
              <w:rPr>
                <w:rFonts w:ascii="Arial Narrow" w:hAnsi="Arial Narrow"/>
                <w:i/>
                <w:iCs/>
                <w:sz w:val="20"/>
              </w:rPr>
            </w:pPr>
            <w:r w:rsidRPr="0032741D">
              <w:rPr>
                <w:rFonts w:ascii="Arial Narrow" w:hAnsi="Arial Narrow"/>
                <w:i/>
                <w:iCs/>
                <w:sz w:val="20"/>
              </w:rPr>
              <w:t>90</w:t>
            </w:r>
          </w:p>
        </w:tc>
        <w:tc>
          <w:tcPr>
            <w:tcW w:w="389" w:type="pct"/>
            <w:tcBorders>
              <w:top w:val="single" w:sz="4" w:space="0" w:color="auto"/>
            </w:tcBorders>
            <w:vAlign w:val="center"/>
          </w:tcPr>
          <w:p w14:paraId="1D66CD1A" w14:textId="42F91B8F" w:rsidR="0010549C" w:rsidRPr="0032741D" w:rsidRDefault="00045FBF" w:rsidP="008B5DC0">
            <w:pPr>
              <w:keepNext/>
              <w:jc w:val="center"/>
              <w:rPr>
                <w:rFonts w:ascii="Arial Narrow" w:hAnsi="Arial Narrow"/>
                <w:i/>
                <w:iCs/>
                <w:sz w:val="20"/>
              </w:rPr>
            </w:pPr>
            <w:r w:rsidRPr="0032741D">
              <w:rPr>
                <w:rFonts w:ascii="Arial Narrow" w:hAnsi="Arial Narrow"/>
                <w:i/>
                <w:iCs/>
                <w:sz w:val="20"/>
              </w:rPr>
              <w:t>5</w:t>
            </w:r>
          </w:p>
        </w:tc>
        <w:tc>
          <w:tcPr>
            <w:tcW w:w="1244" w:type="pct"/>
            <w:tcBorders>
              <w:top w:val="single" w:sz="4" w:space="0" w:color="auto"/>
            </w:tcBorders>
            <w:vAlign w:val="center"/>
          </w:tcPr>
          <w:p w14:paraId="0BD73045" w14:textId="784BDE76" w:rsidR="0010549C" w:rsidRPr="0032741D" w:rsidRDefault="0010549C" w:rsidP="008B5DC0">
            <w:pPr>
              <w:keepNext/>
              <w:jc w:val="center"/>
              <w:rPr>
                <w:rFonts w:ascii="Arial Narrow" w:hAnsi="Arial Narrow"/>
                <w:sz w:val="20"/>
              </w:rPr>
            </w:pPr>
            <w:r w:rsidRPr="0032741D">
              <w:rPr>
                <w:rFonts w:ascii="Arial Narrow" w:hAnsi="Arial Narrow"/>
                <w:sz w:val="20"/>
              </w:rPr>
              <w:t>$4,501.220 published</w:t>
            </w:r>
          </w:p>
          <w:p w14:paraId="59638807" w14:textId="51B15CDF" w:rsidR="0010549C" w:rsidRPr="0032741D" w:rsidRDefault="0010549C" w:rsidP="008B5DC0">
            <w:pPr>
              <w:keepNext/>
              <w:jc w:val="center"/>
              <w:rPr>
                <w:rFonts w:ascii="Arial Narrow" w:hAnsi="Arial Narrow"/>
                <w:sz w:val="20"/>
              </w:rPr>
            </w:pPr>
            <w:r w:rsidRPr="0032741D">
              <w:rPr>
                <w:rFonts w:ascii="Arial Narrow" w:hAnsi="Arial Narrow"/>
                <w:sz w:val="20"/>
              </w:rPr>
              <w:t>$</w:t>
            </w:r>
            <w:r w:rsidR="00EC6944" w:rsidRPr="00EC6944">
              <w:rPr>
                <w:rFonts w:ascii="Arial Narrow" w:hAnsi="Arial Narrow"/>
                <w:color w:val="000000"/>
                <w:sz w:val="20"/>
                <w:shd w:val="solid" w:color="000000" w:fill="000000"/>
                <w14:textFill>
                  <w14:solidFill>
                    <w14:srgbClr w14:val="000000">
                      <w14:alpha w14:val="100000"/>
                    </w14:srgbClr>
                  </w14:solidFill>
                </w14:textFill>
              </w:rPr>
              <w:t>|</w:t>
            </w:r>
            <w:r w:rsidRPr="0032741D">
              <w:rPr>
                <w:rFonts w:ascii="Arial Narrow" w:hAnsi="Arial Narrow"/>
                <w:sz w:val="20"/>
              </w:rPr>
              <w:t xml:space="preserve"> effective</w:t>
            </w:r>
          </w:p>
        </w:tc>
        <w:tc>
          <w:tcPr>
            <w:tcW w:w="481" w:type="pct"/>
            <w:tcBorders>
              <w:top w:val="single" w:sz="4" w:space="0" w:color="auto"/>
            </w:tcBorders>
            <w:vAlign w:val="center"/>
          </w:tcPr>
          <w:p w14:paraId="5A6660E3" w14:textId="77777777" w:rsidR="0010549C" w:rsidRPr="0032741D" w:rsidRDefault="0010549C" w:rsidP="008B5DC0">
            <w:pPr>
              <w:keepNext/>
              <w:jc w:val="center"/>
              <w:rPr>
                <w:rFonts w:ascii="Arial Narrow" w:hAnsi="Arial Narrow"/>
                <w:sz w:val="20"/>
              </w:rPr>
            </w:pPr>
            <w:r w:rsidRPr="0032741D">
              <w:rPr>
                <w:rFonts w:ascii="Arial Narrow" w:hAnsi="Arial Narrow"/>
                <w:sz w:val="20"/>
              </w:rPr>
              <w:t>PALYNZIQ</w:t>
            </w:r>
          </w:p>
        </w:tc>
        <w:tc>
          <w:tcPr>
            <w:tcW w:w="760" w:type="pct"/>
            <w:tcBorders>
              <w:top w:val="single" w:sz="4" w:space="0" w:color="auto"/>
            </w:tcBorders>
            <w:vAlign w:val="center"/>
          </w:tcPr>
          <w:p w14:paraId="249FD755" w14:textId="77777777" w:rsidR="0010549C" w:rsidRPr="0032741D" w:rsidRDefault="0010549C" w:rsidP="008B5DC0">
            <w:pPr>
              <w:keepNext/>
              <w:jc w:val="center"/>
              <w:rPr>
                <w:rFonts w:ascii="Arial Narrow" w:hAnsi="Arial Narrow"/>
                <w:sz w:val="20"/>
              </w:rPr>
            </w:pPr>
            <w:r w:rsidRPr="0032741D">
              <w:rPr>
                <w:rFonts w:ascii="Arial Narrow" w:hAnsi="Arial Narrow"/>
                <w:sz w:val="20"/>
              </w:rPr>
              <w:t>BioMarin</w:t>
            </w:r>
          </w:p>
        </w:tc>
      </w:tr>
      <w:tr w:rsidR="00191139" w:rsidRPr="0032741D" w14:paraId="4DC31C91"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78EC15CA" w14:textId="77777777" w:rsidR="00191139" w:rsidRPr="0032741D" w:rsidRDefault="00191139" w:rsidP="00FA45AA">
            <w:pPr>
              <w:rPr>
                <w:rFonts w:ascii="Arial Narrow" w:eastAsia="Calibri" w:hAnsi="Arial Narrow"/>
                <w:sz w:val="20"/>
                <w:szCs w:val="20"/>
              </w:rPr>
            </w:pPr>
            <w:r w:rsidRPr="0032741D">
              <w:rPr>
                <w:rFonts w:ascii="Arial Narrow" w:eastAsia="Calibri" w:hAnsi="Arial Narrow"/>
                <w:b/>
                <w:sz w:val="20"/>
                <w:szCs w:val="20"/>
              </w:rPr>
              <w:t xml:space="preserve">Category / Program: </w:t>
            </w:r>
          </w:p>
          <w:p w14:paraId="140CE53D" w14:textId="77777777" w:rsidR="00191139" w:rsidRPr="0032741D" w:rsidRDefault="00191139" w:rsidP="00FA45AA">
            <w:pPr>
              <w:rPr>
                <w:rFonts w:ascii="Arial Narrow" w:eastAsia="Calibri" w:hAnsi="Arial Narrow"/>
                <w:sz w:val="20"/>
                <w:szCs w:val="20"/>
              </w:rPr>
            </w:pPr>
            <w:r w:rsidRPr="0032741D">
              <w:rPr>
                <w:rFonts w:ascii="Arial Narrow" w:eastAsia="Calibri" w:hAnsi="Arial Narrow"/>
                <w:sz w:val="20"/>
                <w:szCs w:val="20"/>
              </w:rPr>
              <w:t xml:space="preserve">GENERAL – General Schedule (Code GE) </w:t>
            </w:r>
          </w:p>
        </w:tc>
      </w:tr>
      <w:tr w:rsidR="00191139" w:rsidRPr="0032741D" w14:paraId="696014B8"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trHeight w:val="240"/>
        </w:trPr>
        <w:tc>
          <w:tcPr>
            <w:tcW w:w="5000" w:type="pct"/>
            <w:gridSpan w:val="6"/>
            <w:tcBorders>
              <w:top w:val="single" w:sz="4" w:space="0" w:color="auto"/>
              <w:left w:val="single" w:sz="4" w:space="0" w:color="auto"/>
              <w:bottom w:val="single" w:sz="4" w:space="0" w:color="auto"/>
              <w:right w:val="single" w:sz="4" w:space="0" w:color="auto"/>
            </w:tcBorders>
          </w:tcPr>
          <w:p w14:paraId="171DB2C6" w14:textId="71D7B7A7" w:rsidR="00191139" w:rsidRPr="0032741D" w:rsidRDefault="00191139" w:rsidP="00FA45AA">
            <w:pPr>
              <w:rPr>
                <w:rFonts w:ascii="Arial Narrow" w:eastAsia="Calibri" w:hAnsi="Arial Narrow"/>
                <w:b/>
                <w:sz w:val="20"/>
                <w:szCs w:val="20"/>
              </w:rPr>
            </w:pPr>
            <w:r w:rsidRPr="0032741D">
              <w:rPr>
                <w:rFonts w:ascii="Arial Narrow" w:eastAsia="Calibri" w:hAnsi="Arial Narrow"/>
                <w:b/>
                <w:sz w:val="20"/>
                <w:szCs w:val="20"/>
              </w:rPr>
              <w:t xml:space="preserve">Prescriber type: </w:t>
            </w:r>
            <w:r w:rsidRPr="0032741D">
              <w:rPr>
                <w:rFonts w:ascii="Arial Narrow" w:eastAsia="Calibri" w:hAnsi="Arial Narrow"/>
                <w:sz w:val="20"/>
                <w:szCs w:val="20"/>
              </w:rPr>
              <w:fldChar w:fldCharType="begin">
                <w:ffData>
                  <w:name w:val=""/>
                  <w:enabled/>
                  <w:calcOnExit w:val="0"/>
                  <w:checkBox>
                    <w:sizeAuto/>
                    <w:default w:val="1"/>
                  </w:checkBox>
                </w:ffData>
              </w:fldChar>
            </w:r>
            <w:r w:rsidRPr="0032741D">
              <w:rPr>
                <w:rFonts w:ascii="Arial Narrow" w:eastAsia="Calibri" w:hAnsi="Arial Narrow"/>
                <w:sz w:val="20"/>
                <w:szCs w:val="20"/>
              </w:rPr>
              <w:instrText xml:space="preserve"> FORMCHECKBOX </w:instrText>
            </w:r>
            <w:r w:rsidR="00DA5CFB">
              <w:rPr>
                <w:rFonts w:ascii="Arial Narrow" w:eastAsia="Calibri" w:hAnsi="Arial Narrow"/>
                <w:sz w:val="20"/>
                <w:szCs w:val="20"/>
              </w:rPr>
            </w:r>
            <w:r w:rsidR="00DA5CFB">
              <w:rPr>
                <w:rFonts w:ascii="Arial Narrow" w:eastAsia="Calibri" w:hAnsi="Arial Narrow"/>
                <w:sz w:val="20"/>
                <w:szCs w:val="20"/>
              </w:rPr>
              <w:fldChar w:fldCharType="separate"/>
            </w:r>
            <w:r w:rsidRPr="0032741D">
              <w:rPr>
                <w:rFonts w:ascii="Arial Narrow" w:eastAsia="Calibri" w:hAnsi="Arial Narrow"/>
                <w:sz w:val="20"/>
                <w:szCs w:val="20"/>
              </w:rPr>
              <w:fldChar w:fldCharType="end"/>
            </w:r>
            <w:r w:rsidRPr="0032741D">
              <w:rPr>
                <w:rFonts w:ascii="Arial Narrow" w:eastAsia="Calibri" w:hAnsi="Arial Narrow"/>
                <w:sz w:val="20"/>
                <w:szCs w:val="20"/>
              </w:rPr>
              <w:t>Medical Practitioners</w:t>
            </w:r>
          </w:p>
        </w:tc>
      </w:tr>
      <w:tr w:rsidR="00191139" w:rsidRPr="0032741D" w14:paraId="7DF25A72"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4" w:space="0" w:color="auto"/>
              <w:left w:val="single" w:sz="4" w:space="0" w:color="auto"/>
              <w:bottom w:val="single" w:sz="4" w:space="0" w:color="auto"/>
              <w:right w:val="single" w:sz="4" w:space="0" w:color="auto"/>
            </w:tcBorders>
          </w:tcPr>
          <w:p w14:paraId="114E2D06" w14:textId="77777777" w:rsidR="00191139" w:rsidRPr="0032741D" w:rsidRDefault="00191139" w:rsidP="00FA45AA">
            <w:pPr>
              <w:rPr>
                <w:rFonts w:ascii="Arial Narrow" w:eastAsia="Calibri" w:hAnsi="Arial Narrow"/>
                <w:b/>
                <w:sz w:val="20"/>
                <w:szCs w:val="20"/>
              </w:rPr>
            </w:pPr>
            <w:r w:rsidRPr="0032741D">
              <w:rPr>
                <w:rFonts w:ascii="Arial Narrow" w:eastAsia="Calibri" w:hAnsi="Arial Narrow"/>
                <w:b/>
                <w:sz w:val="20"/>
                <w:szCs w:val="20"/>
              </w:rPr>
              <w:t>Restriction Type – assessment time by Services Australia – Method of obtaining authority approval (if Authority Required)</w:t>
            </w:r>
          </w:p>
          <w:p w14:paraId="2083DE42" w14:textId="15E961E2" w:rsidR="00191139" w:rsidRPr="0032741D" w:rsidRDefault="00191139" w:rsidP="00FA45AA">
            <w:pPr>
              <w:rPr>
                <w:rFonts w:ascii="Arial Narrow" w:eastAsia="Calibri" w:hAnsi="Arial Narrow"/>
                <w:sz w:val="20"/>
                <w:szCs w:val="20"/>
              </w:rPr>
            </w:pPr>
            <w:r w:rsidRPr="0032741D">
              <w:rPr>
                <w:rFonts w:ascii="Arial Narrow" w:eastAsia="Calibri" w:hAnsi="Arial Narrow"/>
                <w:sz w:val="20"/>
                <w:szCs w:val="20"/>
              </w:rPr>
              <w:fldChar w:fldCharType="begin">
                <w:ffData>
                  <w:name w:val="Check3"/>
                  <w:enabled/>
                  <w:calcOnExit w:val="0"/>
                  <w:checkBox>
                    <w:size w:val="20"/>
                    <w:default w:val="1"/>
                  </w:checkBox>
                </w:ffData>
              </w:fldChar>
            </w:r>
            <w:r w:rsidRPr="0032741D">
              <w:rPr>
                <w:rFonts w:ascii="Arial Narrow" w:eastAsia="Calibri" w:hAnsi="Arial Narrow"/>
                <w:sz w:val="20"/>
                <w:szCs w:val="20"/>
              </w:rPr>
              <w:instrText xml:space="preserve"> FORMCHECKBOX </w:instrText>
            </w:r>
            <w:r w:rsidR="00DA5CFB">
              <w:rPr>
                <w:rFonts w:ascii="Arial Narrow" w:eastAsia="Calibri" w:hAnsi="Arial Narrow"/>
                <w:sz w:val="20"/>
                <w:szCs w:val="20"/>
              </w:rPr>
            </w:r>
            <w:r w:rsidR="00DA5CFB">
              <w:rPr>
                <w:rFonts w:ascii="Arial Narrow" w:eastAsia="Calibri" w:hAnsi="Arial Narrow"/>
                <w:sz w:val="20"/>
                <w:szCs w:val="20"/>
              </w:rPr>
              <w:fldChar w:fldCharType="separate"/>
            </w:r>
            <w:r w:rsidRPr="0032741D">
              <w:rPr>
                <w:rFonts w:ascii="Arial Narrow" w:eastAsia="Calibri" w:hAnsi="Arial Narrow"/>
                <w:sz w:val="20"/>
                <w:szCs w:val="20"/>
              </w:rPr>
              <w:fldChar w:fldCharType="end"/>
            </w:r>
            <w:r w:rsidRPr="0032741D">
              <w:rPr>
                <w:rFonts w:ascii="Arial Narrow" w:eastAsia="Calibri" w:hAnsi="Arial Narrow"/>
                <w:sz w:val="20"/>
                <w:szCs w:val="20"/>
              </w:rPr>
              <w:t>Authority Required – immediate/real time assessment by Services Australia (telephone/online application avenues)</w:t>
            </w:r>
          </w:p>
        </w:tc>
      </w:tr>
      <w:tr w:rsidR="00191139" w:rsidRPr="0032741D" w14:paraId="25BE2418"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1EE72D36" w14:textId="3FC0E62E" w:rsidR="00191139" w:rsidRPr="0032741D" w:rsidRDefault="00191139" w:rsidP="00FA45AA">
            <w:pPr>
              <w:rPr>
                <w:rFonts w:ascii="Arial Narrow" w:hAnsi="Arial Narrow"/>
                <w:b/>
                <w:bCs/>
                <w:sz w:val="20"/>
                <w:szCs w:val="20"/>
              </w:rPr>
            </w:pPr>
            <w:r w:rsidRPr="0032741D">
              <w:rPr>
                <w:rFonts w:ascii="Arial Narrow" w:hAnsi="Arial Narrow"/>
                <w:b/>
                <w:bCs/>
                <w:sz w:val="20"/>
                <w:szCs w:val="20"/>
              </w:rPr>
              <w:t xml:space="preserve">Condition: </w:t>
            </w:r>
            <w:r w:rsidR="001F0912" w:rsidRPr="0032741D">
              <w:rPr>
                <w:rFonts w:ascii="Arial Narrow" w:hAnsi="Arial Narrow"/>
                <w:bCs/>
                <w:sz w:val="20"/>
                <w:szCs w:val="20"/>
              </w:rPr>
              <w:t>Hyperphenylalaninemia</w:t>
            </w:r>
            <w:r w:rsidRPr="0032741D">
              <w:rPr>
                <w:rFonts w:ascii="Arial Narrow" w:hAnsi="Arial Narrow"/>
                <w:bCs/>
                <w:sz w:val="20"/>
                <w:szCs w:val="20"/>
              </w:rPr>
              <w:t xml:space="preserve"> (HPA) </w:t>
            </w:r>
          </w:p>
        </w:tc>
      </w:tr>
      <w:tr w:rsidR="00191139" w:rsidRPr="0032741D" w14:paraId="40156E4B"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EDEB011" w14:textId="5602A25B" w:rsidR="00191139" w:rsidRPr="0032741D" w:rsidRDefault="00191139" w:rsidP="00FA45AA">
            <w:pPr>
              <w:rPr>
                <w:rFonts w:ascii="Arial Narrow" w:hAnsi="Arial Narrow"/>
                <w:sz w:val="20"/>
                <w:szCs w:val="20"/>
              </w:rPr>
            </w:pPr>
            <w:r w:rsidRPr="0032741D">
              <w:rPr>
                <w:rFonts w:ascii="Arial Narrow" w:hAnsi="Arial Narrow"/>
                <w:b/>
                <w:bCs/>
                <w:sz w:val="20"/>
                <w:szCs w:val="20"/>
              </w:rPr>
              <w:t>Indication:</w:t>
            </w:r>
            <w:r w:rsidRPr="0032741D">
              <w:rPr>
                <w:rFonts w:ascii="Arial Narrow" w:hAnsi="Arial Narrow"/>
                <w:sz w:val="20"/>
                <w:szCs w:val="20"/>
              </w:rPr>
              <w:t xml:space="preserve"> </w:t>
            </w:r>
            <w:r w:rsidR="001F0912" w:rsidRPr="0032741D">
              <w:rPr>
                <w:rFonts w:ascii="Arial Narrow" w:hAnsi="Arial Narrow"/>
                <w:bCs/>
                <w:sz w:val="20"/>
                <w:szCs w:val="20"/>
              </w:rPr>
              <w:t>Hyperphenylalaninemia</w:t>
            </w:r>
            <w:r w:rsidRPr="0032741D">
              <w:rPr>
                <w:rFonts w:ascii="Arial Narrow" w:hAnsi="Arial Narrow"/>
                <w:bCs/>
                <w:sz w:val="20"/>
                <w:szCs w:val="20"/>
              </w:rPr>
              <w:t xml:space="preserve"> (HPA) due to phenylketonuria (PKU)</w:t>
            </w:r>
          </w:p>
        </w:tc>
      </w:tr>
      <w:tr w:rsidR="00191139" w:rsidRPr="0032741D" w14:paraId="71F2F543"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932EE76" w14:textId="77777777" w:rsidR="00191139" w:rsidRPr="0032741D" w:rsidRDefault="00191139" w:rsidP="00FA45AA">
            <w:pPr>
              <w:rPr>
                <w:rFonts w:ascii="Arial Narrow" w:hAnsi="Arial Narrow"/>
                <w:i/>
                <w:sz w:val="20"/>
                <w:szCs w:val="20"/>
              </w:rPr>
            </w:pPr>
            <w:r w:rsidRPr="0032741D">
              <w:rPr>
                <w:rFonts w:ascii="Arial Narrow" w:hAnsi="Arial Narrow"/>
                <w:b/>
                <w:bCs/>
                <w:sz w:val="20"/>
                <w:szCs w:val="20"/>
              </w:rPr>
              <w:t>Treatment Phase:</w:t>
            </w:r>
            <w:r w:rsidRPr="0032741D">
              <w:rPr>
                <w:rFonts w:ascii="Arial Narrow" w:hAnsi="Arial Narrow"/>
                <w:sz w:val="20"/>
                <w:szCs w:val="20"/>
              </w:rPr>
              <w:t xml:space="preserve"> Initial treatment (induction, titration, and maintenance) </w:t>
            </w:r>
            <w:r w:rsidRPr="0032741D">
              <w:rPr>
                <w:rFonts w:ascii="Arial Narrow" w:hAnsi="Arial Narrow"/>
                <w:i/>
                <w:sz w:val="20"/>
                <w:szCs w:val="20"/>
              </w:rPr>
              <w:t>within first 24 months</w:t>
            </w:r>
          </w:p>
        </w:tc>
      </w:tr>
      <w:tr w:rsidR="00191139" w:rsidRPr="0032741D" w14:paraId="5227131F"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2892396" w14:textId="77777777" w:rsidR="00191139" w:rsidRPr="0032741D" w:rsidRDefault="00191139" w:rsidP="00FA45AA">
            <w:pPr>
              <w:rPr>
                <w:rFonts w:ascii="Arial Narrow" w:hAnsi="Arial Narrow"/>
                <w:sz w:val="20"/>
                <w:szCs w:val="20"/>
              </w:rPr>
            </w:pPr>
            <w:r w:rsidRPr="0032741D">
              <w:rPr>
                <w:rFonts w:ascii="Arial Narrow" w:hAnsi="Arial Narrow"/>
                <w:b/>
                <w:bCs/>
                <w:sz w:val="20"/>
                <w:szCs w:val="20"/>
              </w:rPr>
              <w:t>Clinical criteria:</w:t>
            </w:r>
          </w:p>
        </w:tc>
      </w:tr>
      <w:tr w:rsidR="00191139" w:rsidRPr="0032741D" w14:paraId="1BDA715A"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3E0383E"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Patient must not have previously received PBS-subsidised treatment with this drug for this condition</w:t>
            </w:r>
          </w:p>
        </w:tc>
      </w:tr>
      <w:tr w:rsidR="00191139" w:rsidRPr="0032741D" w14:paraId="0A6F439D"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A250CF7"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AND</w:t>
            </w:r>
          </w:p>
        </w:tc>
      </w:tr>
      <w:tr w:rsidR="00191139" w:rsidRPr="0032741D" w14:paraId="6B4EE1F7"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D2FBC12"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Patient must have a baseline blood phenylalanine level above 600 micromole per L </w:t>
            </w:r>
          </w:p>
        </w:tc>
      </w:tr>
      <w:tr w:rsidR="00191139" w:rsidRPr="0032741D" w14:paraId="11E41731"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5100030"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AND</w:t>
            </w:r>
          </w:p>
        </w:tc>
      </w:tr>
      <w:tr w:rsidR="00191139" w:rsidRPr="0032741D" w14:paraId="16082ABE"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E8817DD" w14:textId="77777777" w:rsidR="00191139" w:rsidRPr="0032741D" w:rsidRDefault="00191139" w:rsidP="00FA45AA">
            <w:pPr>
              <w:rPr>
                <w:rFonts w:ascii="Arial Narrow" w:eastAsia="Calibri" w:hAnsi="Arial Narrow"/>
                <w:i/>
                <w:iCs/>
                <w:sz w:val="20"/>
                <w:szCs w:val="20"/>
              </w:rPr>
            </w:pPr>
            <w:r w:rsidRPr="0032741D">
              <w:rPr>
                <w:rFonts w:ascii="Arial Narrow" w:eastAsia="Calibri" w:hAnsi="Arial Narrow"/>
                <w:sz w:val="20"/>
                <w:szCs w:val="20"/>
              </w:rPr>
              <w:t xml:space="preserve">Patient must have failed to achieve an adequate response to a trial of </w:t>
            </w:r>
            <w:r w:rsidRPr="0032741D">
              <w:rPr>
                <w:rFonts w:ascii="Arial Narrow" w:eastAsia="Calibri" w:hAnsi="Arial Narrow"/>
                <w:strike/>
                <w:sz w:val="20"/>
                <w:szCs w:val="20"/>
              </w:rPr>
              <w:t>7 days with</w:t>
            </w:r>
            <w:r w:rsidRPr="0032741D">
              <w:rPr>
                <w:rFonts w:ascii="Arial Narrow" w:eastAsia="Calibri" w:hAnsi="Arial Narrow"/>
                <w:sz w:val="20"/>
                <w:szCs w:val="20"/>
              </w:rPr>
              <w:t xml:space="preserve"> sapropterin </w:t>
            </w:r>
            <w:r w:rsidRPr="0032741D">
              <w:rPr>
                <w:rFonts w:ascii="Arial Narrow" w:eastAsia="Calibri" w:hAnsi="Arial Narrow"/>
                <w:strike/>
                <w:sz w:val="20"/>
                <w:szCs w:val="20"/>
              </w:rPr>
              <w:t>at a dose of 20 mg/kg, defined as a reduction in blood phenylalanine of at least 30%</w:t>
            </w:r>
            <w:r w:rsidRPr="0032741D">
              <w:rPr>
                <w:rFonts w:ascii="Arial Narrow" w:eastAsia="Calibri" w:hAnsi="Arial Narrow"/>
                <w:sz w:val="20"/>
                <w:szCs w:val="20"/>
              </w:rPr>
              <w:t xml:space="preserve"> </w:t>
            </w:r>
            <w:r w:rsidRPr="0032741D">
              <w:rPr>
                <w:rFonts w:ascii="Arial Narrow" w:eastAsia="Calibri" w:hAnsi="Arial Narrow"/>
                <w:i/>
                <w:iCs/>
                <w:sz w:val="20"/>
                <w:szCs w:val="20"/>
              </w:rPr>
              <w:t>in accordance with the PBS restriction for sapropterin (‘Initial treatment - responsiveness testing’ and ‘First continuing treatment’)</w:t>
            </w:r>
          </w:p>
        </w:tc>
      </w:tr>
      <w:tr w:rsidR="00191139" w:rsidRPr="0032741D" w14:paraId="56FAFDEF"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E5B7DEF" w14:textId="77777777" w:rsidR="00191139" w:rsidRPr="0032741D" w:rsidRDefault="00191139" w:rsidP="00FA45AA">
            <w:pPr>
              <w:rPr>
                <w:rFonts w:ascii="Arial Narrow" w:eastAsia="Calibri" w:hAnsi="Arial Narrow"/>
                <w:sz w:val="20"/>
                <w:szCs w:val="20"/>
              </w:rPr>
            </w:pPr>
            <w:r w:rsidRPr="0032741D">
              <w:rPr>
                <w:rFonts w:ascii="Arial Narrow" w:hAnsi="Arial Narrow"/>
                <w:sz w:val="20"/>
                <w:szCs w:val="20"/>
              </w:rPr>
              <w:t>AND</w:t>
            </w:r>
          </w:p>
        </w:tc>
      </w:tr>
      <w:tr w:rsidR="00191139" w:rsidRPr="0032741D" w14:paraId="6F6EB741"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838A069" w14:textId="77777777" w:rsidR="00191139" w:rsidRPr="0032741D" w:rsidRDefault="00191139" w:rsidP="00FA45AA">
            <w:pPr>
              <w:rPr>
                <w:rFonts w:ascii="Arial Narrow" w:eastAsia="Calibri" w:hAnsi="Arial Narrow"/>
                <w:sz w:val="20"/>
                <w:szCs w:val="20"/>
              </w:rPr>
            </w:pPr>
            <w:r w:rsidRPr="0032741D">
              <w:rPr>
                <w:rFonts w:ascii="Arial Narrow" w:eastAsia="Calibri" w:hAnsi="Arial Narrow"/>
                <w:sz w:val="20"/>
                <w:szCs w:val="20"/>
              </w:rPr>
              <w:t>Treatment must not be in combination with sapropterin</w:t>
            </w:r>
          </w:p>
        </w:tc>
      </w:tr>
      <w:tr w:rsidR="00191139" w:rsidRPr="0032741D" w14:paraId="084BDCD8"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5CD83F4" w14:textId="77777777" w:rsidR="00191139" w:rsidRPr="0032741D" w:rsidRDefault="00191139" w:rsidP="00FA45AA">
            <w:pPr>
              <w:rPr>
                <w:rFonts w:ascii="Arial Narrow" w:hAnsi="Arial Narrow"/>
                <w:sz w:val="20"/>
                <w:szCs w:val="20"/>
              </w:rPr>
            </w:pPr>
            <w:r w:rsidRPr="0032741D">
              <w:rPr>
                <w:rFonts w:ascii="Arial Narrow" w:hAnsi="Arial Narrow"/>
                <w:b/>
                <w:bCs/>
                <w:sz w:val="20"/>
                <w:szCs w:val="20"/>
              </w:rPr>
              <w:t>Treatment criteria:</w:t>
            </w:r>
          </w:p>
        </w:tc>
      </w:tr>
      <w:tr w:rsidR="00191139" w:rsidRPr="0032741D" w14:paraId="106D27DA"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3DE40EA" w14:textId="77777777" w:rsidR="00191139" w:rsidRPr="0032741D" w:rsidRDefault="00191139" w:rsidP="00FA45AA">
            <w:pPr>
              <w:autoSpaceDE w:val="0"/>
              <w:autoSpaceDN w:val="0"/>
              <w:adjustRightInd w:val="0"/>
              <w:rPr>
                <w:rFonts w:ascii="Arial Narrow" w:eastAsia="Calibri" w:hAnsi="Arial Narrow" w:cs="Arial Narrow"/>
                <w:iCs/>
                <w:sz w:val="20"/>
                <w:szCs w:val="20"/>
              </w:rPr>
            </w:pPr>
            <w:r w:rsidRPr="0032741D">
              <w:rPr>
                <w:rFonts w:ascii="Arial Narrow" w:eastAsia="Calibri" w:hAnsi="Arial Narrow" w:cs="Arial Narrow"/>
                <w:iCs/>
                <w:sz w:val="20"/>
                <w:szCs w:val="20"/>
              </w:rPr>
              <w:t>Must be treated by a metabolic physician</w:t>
            </w:r>
          </w:p>
        </w:tc>
      </w:tr>
      <w:tr w:rsidR="00191139" w:rsidRPr="0032741D" w14:paraId="6AB711BA"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E13DAA0" w14:textId="759A9813" w:rsidR="00191139" w:rsidRPr="0032741D" w:rsidRDefault="00191139" w:rsidP="00FA45AA">
            <w:pPr>
              <w:autoSpaceDE w:val="0"/>
              <w:autoSpaceDN w:val="0"/>
              <w:adjustRightInd w:val="0"/>
              <w:rPr>
                <w:rFonts w:ascii="Arial Narrow" w:eastAsia="Calibri" w:hAnsi="Arial Narrow" w:cs="Arial Narrow"/>
                <w:iCs/>
                <w:sz w:val="20"/>
                <w:szCs w:val="20"/>
              </w:rPr>
            </w:pPr>
            <w:r w:rsidRPr="0032741D">
              <w:rPr>
                <w:rFonts w:ascii="Arial Narrow" w:hAnsi="Arial Narrow"/>
                <w:sz w:val="20"/>
                <w:szCs w:val="20"/>
              </w:rPr>
              <w:t>AND</w:t>
            </w:r>
          </w:p>
        </w:tc>
      </w:tr>
      <w:tr w:rsidR="00191139" w:rsidRPr="0032741D" w14:paraId="6CCB8142"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66787A5" w14:textId="77777777" w:rsidR="00191139" w:rsidRPr="0032741D" w:rsidRDefault="00191139" w:rsidP="00FA45AA">
            <w:pPr>
              <w:autoSpaceDE w:val="0"/>
              <w:autoSpaceDN w:val="0"/>
              <w:adjustRightInd w:val="0"/>
              <w:rPr>
                <w:rFonts w:ascii="Arial Narrow" w:eastAsia="Calibri" w:hAnsi="Arial Narrow" w:cs="Arial Narrow"/>
                <w:i/>
                <w:iCs/>
                <w:sz w:val="20"/>
                <w:szCs w:val="20"/>
              </w:rPr>
            </w:pPr>
            <w:r w:rsidRPr="0032741D">
              <w:rPr>
                <w:rFonts w:ascii="Arial Narrow" w:hAnsi="Arial Narrow"/>
                <w:i/>
                <w:sz w:val="20"/>
                <w:szCs w:val="20"/>
              </w:rPr>
              <w:t>Patient must be undergoing treatment with this drug within the first 24 months of treatment (i.e. the time from the date of the first authority application to the date of this authority application must not exceed 18 months)</w:t>
            </w:r>
          </w:p>
        </w:tc>
      </w:tr>
      <w:tr w:rsidR="00191139" w:rsidRPr="0032741D" w14:paraId="3598259E"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3CC6E6FC" w14:textId="77777777" w:rsidR="00191139" w:rsidRPr="0032741D" w:rsidRDefault="00191139" w:rsidP="00FA45AA">
            <w:pPr>
              <w:rPr>
                <w:rFonts w:ascii="Arial Narrow" w:hAnsi="Arial Narrow"/>
                <w:sz w:val="20"/>
                <w:szCs w:val="20"/>
              </w:rPr>
            </w:pPr>
            <w:r w:rsidRPr="0032741D">
              <w:rPr>
                <w:rFonts w:ascii="Arial Narrow" w:hAnsi="Arial Narrow"/>
                <w:b/>
                <w:bCs/>
                <w:sz w:val="20"/>
                <w:szCs w:val="20"/>
              </w:rPr>
              <w:t>Population criteria:</w:t>
            </w:r>
          </w:p>
        </w:tc>
      </w:tr>
      <w:tr w:rsidR="00191139" w:rsidRPr="0032741D" w14:paraId="0283C81D"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2CB04CEC"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Patient must be at least 16 years of age </w:t>
            </w:r>
          </w:p>
        </w:tc>
      </w:tr>
      <w:tr w:rsidR="00191139" w:rsidRPr="0032741D" w14:paraId="1B098796"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D985D74" w14:textId="77777777" w:rsidR="00191139" w:rsidRPr="0032741D" w:rsidRDefault="00191139" w:rsidP="00FA45AA">
            <w:pPr>
              <w:rPr>
                <w:rFonts w:ascii="Arial Narrow" w:hAnsi="Arial Narrow"/>
                <w:sz w:val="20"/>
                <w:szCs w:val="20"/>
              </w:rPr>
            </w:pPr>
            <w:r w:rsidRPr="0032741D">
              <w:rPr>
                <w:rFonts w:ascii="Arial Narrow" w:hAnsi="Arial Narrow"/>
                <w:b/>
                <w:bCs/>
                <w:sz w:val="20"/>
                <w:szCs w:val="20"/>
              </w:rPr>
              <w:t>Prescribing Instructions:</w:t>
            </w:r>
            <w:r w:rsidRPr="0032741D">
              <w:rPr>
                <w:rFonts w:ascii="Arial Narrow" w:hAnsi="Arial Narrow"/>
                <w:sz w:val="20"/>
                <w:szCs w:val="20"/>
              </w:rPr>
              <w:t xml:space="preserve"> </w:t>
            </w:r>
          </w:p>
          <w:p w14:paraId="4945EFB3"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Dietary phenylalanine intake must be maintained at a constant level during the treatment period. </w:t>
            </w:r>
          </w:p>
        </w:tc>
      </w:tr>
      <w:tr w:rsidR="00191139" w:rsidRPr="0032741D" w14:paraId="471748E4"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AFEABF2" w14:textId="77777777" w:rsidR="00191139" w:rsidRPr="0032741D" w:rsidRDefault="00191139" w:rsidP="00FA45AA">
            <w:pPr>
              <w:rPr>
                <w:rFonts w:ascii="Arial Narrow" w:hAnsi="Arial Narrow"/>
                <w:sz w:val="20"/>
                <w:szCs w:val="20"/>
              </w:rPr>
            </w:pPr>
            <w:r w:rsidRPr="0032741D">
              <w:rPr>
                <w:rFonts w:ascii="Arial Narrow" w:hAnsi="Arial Narrow"/>
                <w:strike/>
                <w:sz w:val="20"/>
                <w:szCs w:val="20"/>
              </w:rPr>
              <w:t>Patient may qualify for PBS-subsidised treatment under this restriction once only</w:t>
            </w:r>
            <w:r w:rsidRPr="0032741D">
              <w:rPr>
                <w:rFonts w:ascii="Arial Narrow" w:hAnsi="Arial Narrow"/>
                <w:sz w:val="20"/>
                <w:szCs w:val="20"/>
              </w:rPr>
              <w:t>Patient must not receive more than 24 months of treatment under this restriction.</w:t>
            </w:r>
          </w:p>
        </w:tc>
      </w:tr>
      <w:tr w:rsidR="00191139" w:rsidRPr="0032741D" w14:paraId="62021DE4"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4973293E"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At the time of the authority application, medical practitioners should request the appropriate quantity of prefilled syringes or prefilled pens </w:t>
            </w:r>
            <w:r w:rsidRPr="0032741D">
              <w:rPr>
                <w:rFonts w:ascii="Arial Narrow" w:hAnsi="Arial Narrow"/>
                <w:i/>
                <w:iCs/>
                <w:sz w:val="20"/>
                <w:szCs w:val="20"/>
              </w:rPr>
              <w:t>and the</w:t>
            </w:r>
            <w:r w:rsidRPr="0032741D">
              <w:rPr>
                <w:rFonts w:ascii="Arial Narrow" w:hAnsi="Arial Narrow"/>
                <w:sz w:val="20"/>
                <w:szCs w:val="20"/>
              </w:rPr>
              <w:t xml:space="preserve"> </w:t>
            </w:r>
            <w:r w:rsidRPr="0032741D">
              <w:rPr>
                <w:rFonts w:ascii="Arial Narrow" w:hAnsi="Arial Narrow"/>
                <w:i/>
                <w:iCs/>
                <w:sz w:val="20"/>
                <w:szCs w:val="20"/>
              </w:rPr>
              <w:t>appropriate number of repeats</w:t>
            </w:r>
            <w:r w:rsidRPr="0032741D">
              <w:rPr>
                <w:rFonts w:ascii="Arial Narrow" w:hAnsi="Arial Narrow"/>
                <w:sz w:val="20"/>
                <w:szCs w:val="20"/>
              </w:rPr>
              <w:t>, based on the dose required and in accordance with the recommended dosing described in the pegvaliase Product Information</w:t>
            </w:r>
          </w:p>
        </w:tc>
      </w:tr>
      <w:tr w:rsidR="00191139" w:rsidRPr="0032741D" w14:paraId="644864B8"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008E1BB"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A response to initial treatment must be assessed following a minimum of 21 weeks and up to 24 months of treatment so there is adequate time for patients to titrate up to the maximum dosage of 60 mg per day or maximum tolerated dose.</w:t>
            </w:r>
          </w:p>
          <w:p w14:paraId="0FC8888C"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 </w:t>
            </w:r>
          </w:p>
          <w:p w14:paraId="1B2B0C86"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A response to treatment with this drug is defined as at least one of:</w:t>
            </w:r>
          </w:p>
          <w:p w14:paraId="5D8C23DB"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blood phenylalanine level below 360 micromole per L / clinically meaningful reduction in the inattention subscale of the ADHD-RS score, defined as a 5-point reduction in the inattention subscale (Spencer et al., 2010)</w:t>
            </w:r>
          </w:p>
        </w:tc>
      </w:tr>
      <w:tr w:rsidR="00191139" w:rsidRPr="0032741D" w14:paraId="68580F88"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20C68DE1" w14:textId="77777777" w:rsidR="00191139" w:rsidRPr="0032741D" w:rsidRDefault="00191139" w:rsidP="00FA45AA">
            <w:pPr>
              <w:rPr>
                <w:rFonts w:ascii="Arial Narrow" w:hAnsi="Arial Narrow"/>
                <w:b/>
                <w:bCs/>
                <w:sz w:val="20"/>
                <w:szCs w:val="20"/>
              </w:rPr>
            </w:pPr>
            <w:r w:rsidRPr="0032741D">
              <w:rPr>
                <w:rFonts w:ascii="Arial Narrow" w:hAnsi="Arial Narrow"/>
                <w:b/>
                <w:bCs/>
                <w:sz w:val="20"/>
                <w:szCs w:val="20"/>
              </w:rPr>
              <w:t xml:space="preserve">Administrative Advice: </w:t>
            </w:r>
          </w:p>
          <w:p w14:paraId="7C3DC268" w14:textId="77777777" w:rsidR="00191139" w:rsidRPr="0032741D" w:rsidRDefault="00191139" w:rsidP="00FA45AA">
            <w:pPr>
              <w:rPr>
                <w:rFonts w:ascii="Arial Narrow" w:hAnsi="Arial Narrow"/>
                <w:sz w:val="20"/>
                <w:szCs w:val="20"/>
              </w:rPr>
            </w:pPr>
            <w:r w:rsidRPr="0032741D">
              <w:rPr>
                <w:rFonts w:ascii="Arial Narrow" w:hAnsi="Arial Narrow"/>
                <w:sz w:val="20"/>
                <w:szCs w:val="20"/>
              </w:rPr>
              <w:t xml:space="preserve">Special pricing arrangements apply. </w:t>
            </w:r>
          </w:p>
        </w:tc>
      </w:tr>
      <w:tr w:rsidR="00191139" w:rsidRPr="0032741D" w14:paraId="5023173B" w14:textId="77777777" w:rsidTr="001054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7AF036C" w14:textId="77777777" w:rsidR="00191139" w:rsidRPr="0032741D" w:rsidRDefault="00191139" w:rsidP="00FA45AA">
            <w:pPr>
              <w:rPr>
                <w:rFonts w:ascii="Arial Narrow" w:hAnsi="Arial Narrow"/>
                <w:b/>
                <w:bCs/>
                <w:sz w:val="20"/>
                <w:szCs w:val="20"/>
              </w:rPr>
            </w:pPr>
            <w:r w:rsidRPr="0032741D">
              <w:rPr>
                <w:rFonts w:ascii="Arial Narrow" w:hAnsi="Arial Narrow"/>
                <w:sz w:val="20"/>
                <w:szCs w:val="20"/>
              </w:rPr>
              <w:lastRenderedPageBreak/>
              <w:t>Applications for authorisation under this restriction may be made in real time using the Online PBS Authorities system (see www.servicesaustralia.gov.au/HPOS) or by telephone by contacting Services Australia on 1800 888 333.</w:t>
            </w:r>
          </w:p>
        </w:tc>
      </w:tr>
      <w:tr w:rsidR="00191139" w:rsidRPr="0032741D" w14:paraId="74A8BD89"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bottom w:val="single" w:sz="12" w:space="0" w:color="auto"/>
            </w:tcBorders>
            <w:vAlign w:val="center"/>
            <w:hideMark/>
          </w:tcPr>
          <w:p w14:paraId="2667BC1F" w14:textId="77777777" w:rsidR="00191139" w:rsidRPr="0032741D" w:rsidRDefault="00191139" w:rsidP="00FA45AA">
            <w:pPr>
              <w:rPr>
                <w:rFonts w:ascii="Arial Narrow" w:hAnsi="Arial Narrow"/>
                <w:b/>
                <w:bCs/>
                <w:sz w:val="20"/>
                <w:szCs w:val="20"/>
              </w:rPr>
            </w:pPr>
            <w:r w:rsidRPr="0032741D">
              <w:rPr>
                <w:rFonts w:ascii="Arial Narrow" w:hAnsi="Arial Narrow"/>
                <w:b/>
                <w:bCs/>
                <w:sz w:val="20"/>
                <w:szCs w:val="20"/>
              </w:rPr>
              <w:t xml:space="preserve">Caution: </w:t>
            </w:r>
            <w:r w:rsidRPr="0032741D">
              <w:rPr>
                <w:rFonts w:ascii="Arial Narrow" w:hAnsi="Arial Narrow"/>
                <w:sz w:val="20"/>
                <w:szCs w:val="20"/>
              </w:rPr>
              <w:t>Treatment with pegvaliase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tc>
      </w:tr>
      <w:tr w:rsidR="00045FBF" w:rsidRPr="0032741D" w14:paraId="4895996F"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12" w:space="0" w:color="auto"/>
            </w:tcBorders>
            <w:vAlign w:val="center"/>
          </w:tcPr>
          <w:p w14:paraId="7AB338C3" w14:textId="77777777" w:rsidR="00045FBF" w:rsidRPr="0032741D" w:rsidRDefault="00045FBF" w:rsidP="00FA45AA">
            <w:pPr>
              <w:rPr>
                <w:rFonts w:ascii="Arial Narrow" w:hAnsi="Arial Narrow"/>
                <w:b/>
                <w:bCs/>
                <w:sz w:val="20"/>
                <w:szCs w:val="20"/>
              </w:rPr>
            </w:pPr>
          </w:p>
        </w:tc>
      </w:tr>
      <w:tr w:rsidR="0010549C" w:rsidRPr="0032741D" w14:paraId="5ABA9516"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tcBorders>
              <w:top w:val="single" w:sz="12" w:space="0" w:color="auto"/>
            </w:tcBorders>
            <w:vAlign w:val="center"/>
            <w:hideMark/>
          </w:tcPr>
          <w:p w14:paraId="3F87E074" w14:textId="77777777" w:rsidR="0010549C" w:rsidRPr="0032741D" w:rsidRDefault="0010549C" w:rsidP="00FA45AA">
            <w:pPr>
              <w:rPr>
                <w:rFonts w:ascii="Arial Narrow" w:hAnsi="Arial Narrow"/>
                <w:i/>
                <w:sz w:val="20"/>
                <w:szCs w:val="20"/>
              </w:rPr>
            </w:pPr>
            <w:r w:rsidRPr="0032741D">
              <w:rPr>
                <w:rFonts w:ascii="Arial Narrow" w:hAnsi="Arial Narrow"/>
                <w:b/>
                <w:bCs/>
                <w:sz w:val="20"/>
                <w:szCs w:val="20"/>
              </w:rPr>
              <w:t>Treatment Phase:</w:t>
            </w:r>
            <w:r w:rsidRPr="0032741D">
              <w:rPr>
                <w:rFonts w:ascii="Arial Narrow" w:hAnsi="Arial Narrow"/>
                <w:sz w:val="20"/>
                <w:szCs w:val="20"/>
              </w:rPr>
              <w:t xml:space="preserve"> </w:t>
            </w:r>
            <w:r w:rsidRPr="0032741D">
              <w:rPr>
                <w:rFonts w:ascii="Arial Narrow" w:hAnsi="Arial Narrow"/>
                <w:strike/>
                <w:sz w:val="20"/>
                <w:szCs w:val="20"/>
              </w:rPr>
              <w:t xml:space="preserve">Continuing treatment (maintenance) </w:t>
            </w:r>
            <w:r w:rsidRPr="0032741D">
              <w:rPr>
                <w:rFonts w:ascii="Arial Narrow" w:hAnsi="Arial Narrow"/>
                <w:i/>
                <w:sz w:val="20"/>
                <w:szCs w:val="20"/>
              </w:rPr>
              <w:t>Maintenance treatment</w:t>
            </w:r>
          </w:p>
        </w:tc>
      </w:tr>
      <w:tr w:rsidR="0010549C" w:rsidRPr="0032741D" w14:paraId="6A823DAA"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0A228CDA"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Clinical criteria:</w:t>
            </w:r>
          </w:p>
        </w:tc>
      </w:tr>
      <w:tr w:rsidR="0010549C" w:rsidRPr="0032741D" w14:paraId="183F4913"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8BA258B" w14:textId="77777777" w:rsidR="0010549C" w:rsidRPr="0032741D" w:rsidRDefault="0010549C" w:rsidP="00FA45AA">
            <w:pPr>
              <w:rPr>
                <w:rFonts w:ascii="Arial Narrow" w:hAnsi="Arial Narrow"/>
                <w:sz w:val="20"/>
                <w:szCs w:val="20"/>
              </w:rPr>
            </w:pPr>
            <w:r w:rsidRPr="0032741D">
              <w:rPr>
                <w:rFonts w:ascii="Arial Narrow" w:hAnsi="Arial Narrow"/>
                <w:sz w:val="20"/>
                <w:szCs w:val="20"/>
              </w:rPr>
              <w:t xml:space="preserve">Patient must have previously received PBS-subsidised treatment </w:t>
            </w:r>
            <w:r w:rsidRPr="0032741D">
              <w:rPr>
                <w:rFonts w:ascii="Arial Narrow" w:hAnsi="Arial Narrow"/>
                <w:i/>
                <w:sz w:val="20"/>
                <w:szCs w:val="20"/>
              </w:rPr>
              <w:t>under the Initial treatment (induction, titration, and maintenance) restriction with this drug for this condition,</w:t>
            </w:r>
          </w:p>
        </w:tc>
      </w:tr>
      <w:tr w:rsidR="0010549C" w:rsidRPr="0032741D" w14:paraId="28D08939"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7E50A7E"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AND</w:t>
            </w:r>
          </w:p>
        </w:tc>
      </w:tr>
      <w:tr w:rsidR="0010549C" w:rsidRPr="0032741D" w14:paraId="220004D3"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C5FD961" w14:textId="77777777" w:rsidR="0010549C" w:rsidRPr="0032741D" w:rsidRDefault="0010549C" w:rsidP="00FA45AA">
            <w:pPr>
              <w:rPr>
                <w:rFonts w:ascii="Arial Narrow" w:hAnsi="Arial Narrow"/>
                <w:sz w:val="20"/>
                <w:szCs w:val="20"/>
              </w:rPr>
            </w:pPr>
            <w:r w:rsidRPr="0032741D">
              <w:rPr>
                <w:rFonts w:ascii="Arial Narrow" w:hAnsi="Arial Narrow"/>
                <w:sz w:val="20"/>
                <w:szCs w:val="20"/>
              </w:rPr>
              <w:t xml:space="preserve">Patient must have demonstrated a response to initial treatment with this drug, </w:t>
            </w:r>
            <w:r w:rsidRPr="0032741D">
              <w:rPr>
                <w:rFonts w:ascii="Arial Narrow" w:hAnsi="Arial Narrow"/>
                <w:i/>
                <w:iCs/>
                <w:sz w:val="20"/>
                <w:szCs w:val="20"/>
              </w:rPr>
              <w:t>assessed at a minimum of a minimum of 21 weeks and up to 24 months from commencing treatment with this drug</w:t>
            </w:r>
            <w:r w:rsidRPr="0032741D">
              <w:rPr>
                <w:rFonts w:ascii="Arial Narrow" w:hAnsi="Arial Narrow"/>
                <w:sz w:val="20"/>
                <w:szCs w:val="20"/>
              </w:rPr>
              <w:t>, defined as at least one of either:</w:t>
            </w:r>
          </w:p>
          <w:p w14:paraId="14232FB0" w14:textId="77777777" w:rsidR="0010549C" w:rsidRPr="0032741D" w:rsidRDefault="0010549C" w:rsidP="00FA45AA">
            <w:pPr>
              <w:rPr>
                <w:rFonts w:ascii="Arial Narrow" w:hAnsi="Arial Narrow"/>
                <w:sz w:val="20"/>
                <w:szCs w:val="20"/>
              </w:rPr>
            </w:pPr>
            <w:r w:rsidRPr="0032741D">
              <w:rPr>
                <w:rFonts w:ascii="Arial Narrow" w:hAnsi="Arial Narrow"/>
                <w:sz w:val="20"/>
                <w:szCs w:val="20"/>
              </w:rPr>
              <w:t xml:space="preserve">blood phenylalanine level below 360 micromole per L or </w:t>
            </w:r>
          </w:p>
          <w:p w14:paraId="24E9376D" w14:textId="77777777" w:rsidR="0010549C" w:rsidRPr="0032741D" w:rsidRDefault="0010549C" w:rsidP="00FA45AA">
            <w:pPr>
              <w:rPr>
                <w:rFonts w:ascii="Arial Narrow" w:hAnsi="Arial Narrow"/>
                <w:sz w:val="20"/>
                <w:szCs w:val="20"/>
              </w:rPr>
            </w:pPr>
            <w:r w:rsidRPr="0032741D">
              <w:rPr>
                <w:rFonts w:ascii="Arial Narrow" w:hAnsi="Arial Narrow"/>
                <w:sz w:val="20"/>
                <w:szCs w:val="20"/>
              </w:rPr>
              <w:t>clinically meaningful reduction in the inattention subscale of the ADHD-RS score</w:t>
            </w:r>
          </w:p>
        </w:tc>
      </w:tr>
      <w:tr w:rsidR="0010549C" w:rsidRPr="0032741D" w14:paraId="64004A12"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2C6E9B3"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AND</w:t>
            </w:r>
          </w:p>
        </w:tc>
      </w:tr>
      <w:tr w:rsidR="0010549C" w:rsidRPr="0032741D" w14:paraId="2593A711"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5660326" w14:textId="77777777" w:rsidR="0010549C" w:rsidRPr="0032741D" w:rsidRDefault="0010549C" w:rsidP="00FA45AA">
            <w:pPr>
              <w:rPr>
                <w:rFonts w:ascii="Arial Narrow" w:eastAsia="Calibri" w:hAnsi="Arial Narrow"/>
                <w:sz w:val="20"/>
                <w:szCs w:val="20"/>
              </w:rPr>
            </w:pPr>
            <w:r w:rsidRPr="0032741D">
              <w:rPr>
                <w:rFonts w:ascii="Arial Narrow" w:eastAsia="Calibri" w:hAnsi="Arial Narrow"/>
                <w:sz w:val="20"/>
                <w:szCs w:val="20"/>
              </w:rPr>
              <w:t>Treatment must not be in combination with sapropterin</w:t>
            </w:r>
          </w:p>
        </w:tc>
      </w:tr>
      <w:tr w:rsidR="0010549C" w:rsidRPr="0032741D" w14:paraId="655A445E"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9DD2ED3" w14:textId="42280F45" w:rsidR="0010549C" w:rsidRPr="0032741D" w:rsidRDefault="0010549C" w:rsidP="00FA45AA">
            <w:pPr>
              <w:rPr>
                <w:rFonts w:ascii="Arial Narrow" w:eastAsia="Calibri" w:hAnsi="Arial Narrow"/>
                <w:sz w:val="20"/>
                <w:szCs w:val="20"/>
              </w:rPr>
            </w:pPr>
            <w:r w:rsidRPr="0032741D">
              <w:rPr>
                <w:rFonts w:ascii="Arial Narrow" w:eastAsia="Calibri" w:hAnsi="Arial Narrow"/>
                <w:sz w:val="20"/>
                <w:szCs w:val="20"/>
              </w:rPr>
              <w:t>AND</w:t>
            </w:r>
          </w:p>
        </w:tc>
      </w:tr>
      <w:tr w:rsidR="0010549C" w:rsidRPr="0032741D" w14:paraId="24EB0337"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3321F64" w14:textId="77777777" w:rsidR="0010549C" w:rsidRPr="0032741D" w:rsidRDefault="0010549C" w:rsidP="00FA45AA">
            <w:pPr>
              <w:rPr>
                <w:rFonts w:ascii="Arial Narrow" w:eastAsia="Calibri" w:hAnsi="Arial Narrow"/>
                <w:i/>
                <w:iCs/>
                <w:sz w:val="20"/>
                <w:szCs w:val="20"/>
              </w:rPr>
            </w:pPr>
            <w:r w:rsidRPr="0032741D">
              <w:rPr>
                <w:rFonts w:ascii="Arial Narrow" w:eastAsia="Calibri" w:hAnsi="Arial Narrow"/>
                <w:i/>
                <w:iCs/>
                <w:sz w:val="20"/>
                <w:szCs w:val="20"/>
              </w:rPr>
              <w:t>Patient must be undergoing regular phenylalanine testing and assessment of adherence to dietary modifications</w:t>
            </w:r>
          </w:p>
        </w:tc>
      </w:tr>
      <w:tr w:rsidR="0010549C" w:rsidRPr="0032741D" w14:paraId="36878608"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4B7DDCAC"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Treatment criteria:</w:t>
            </w:r>
          </w:p>
        </w:tc>
      </w:tr>
      <w:tr w:rsidR="0010549C" w:rsidRPr="0032741D" w14:paraId="7D8C9876"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5AAD423A" w14:textId="77777777" w:rsidR="0010549C" w:rsidRPr="0032741D" w:rsidRDefault="0010549C" w:rsidP="00FA45AA">
            <w:pPr>
              <w:autoSpaceDE w:val="0"/>
              <w:autoSpaceDN w:val="0"/>
              <w:adjustRightInd w:val="0"/>
              <w:rPr>
                <w:rFonts w:ascii="Arial Narrow" w:eastAsia="Calibri" w:hAnsi="Arial Narrow" w:cs="Arial Narrow"/>
                <w:iCs/>
                <w:sz w:val="20"/>
                <w:szCs w:val="20"/>
              </w:rPr>
            </w:pPr>
            <w:r w:rsidRPr="0032741D">
              <w:rPr>
                <w:rFonts w:ascii="Arial Narrow" w:eastAsia="Calibri" w:hAnsi="Arial Narrow" w:cs="Arial Narrow"/>
                <w:iCs/>
                <w:sz w:val="20"/>
                <w:szCs w:val="20"/>
              </w:rPr>
              <w:t>Must be treated by a metabolic physician; OR</w:t>
            </w:r>
          </w:p>
          <w:p w14:paraId="43D28030" w14:textId="77777777" w:rsidR="0010549C" w:rsidRPr="0032741D" w:rsidRDefault="0010549C" w:rsidP="00FA45AA">
            <w:pPr>
              <w:autoSpaceDE w:val="0"/>
              <w:autoSpaceDN w:val="0"/>
              <w:adjustRightInd w:val="0"/>
              <w:rPr>
                <w:rFonts w:ascii="Arial Narrow" w:eastAsia="Calibri" w:hAnsi="Arial Narrow" w:cs="Arial Narrow"/>
                <w:iCs/>
                <w:sz w:val="20"/>
                <w:szCs w:val="20"/>
              </w:rPr>
            </w:pPr>
            <w:r w:rsidRPr="0032741D">
              <w:rPr>
                <w:rFonts w:ascii="Arial Narrow" w:eastAsia="Calibri" w:hAnsi="Arial Narrow" w:cs="Arial Narrow"/>
                <w:iCs/>
                <w:sz w:val="20"/>
                <w:szCs w:val="20"/>
              </w:rPr>
              <w:t>Must be treated by a nurse practitioner experienced in the treatment of phenylketonuria in consultation with a metabolic physician</w:t>
            </w:r>
          </w:p>
        </w:tc>
      </w:tr>
      <w:tr w:rsidR="0010549C" w:rsidRPr="0032741D" w14:paraId="4CE9A9C0"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ABD4F69"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Prescribing Instructions:</w:t>
            </w:r>
            <w:r w:rsidRPr="0032741D">
              <w:rPr>
                <w:rFonts w:ascii="Arial Narrow" w:hAnsi="Arial Narrow"/>
                <w:sz w:val="20"/>
                <w:szCs w:val="20"/>
              </w:rPr>
              <w:t xml:space="preserve"> </w:t>
            </w:r>
          </w:p>
          <w:p w14:paraId="4B9C7963" w14:textId="77777777" w:rsidR="0010549C" w:rsidRPr="0032741D" w:rsidRDefault="0010549C" w:rsidP="00FA45AA">
            <w:pPr>
              <w:rPr>
                <w:rFonts w:ascii="Arial Narrow" w:hAnsi="Arial Narrow"/>
                <w:sz w:val="20"/>
                <w:szCs w:val="20"/>
              </w:rPr>
            </w:pPr>
            <w:r w:rsidRPr="0032741D">
              <w:rPr>
                <w:rFonts w:ascii="Arial Narrow" w:hAnsi="Arial Narrow"/>
                <w:sz w:val="20"/>
                <w:szCs w:val="20"/>
              </w:rPr>
              <w:t xml:space="preserve">At the time of the authority application, </w:t>
            </w:r>
            <w:r w:rsidRPr="0032741D">
              <w:rPr>
                <w:rFonts w:ascii="Arial Narrow" w:hAnsi="Arial Narrow"/>
                <w:strike/>
                <w:sz w:val="20"/>
                <w:szCs w:val="20"/>
              </w:rPr>
              <w:t>medical practitioners</w:t>
            </w:r>
            <w:r w:rsidRPr="0032741D">
              <w:rPr>
                <w:rFonts w:ascii="Arial Narrow" w:hAnsi="Arial Narrow"/>
                <w:sz w:val="20"/>
                <w:szCs w:val="20"/>
              </w:rPr>
              <w:t xml:space="preserve"> </w:t>
            </w:r>
            <w:r w:rsidRPr="0032741D">
              <w:rPr>
                <w:rFonts w:ascii="Arial Narrow" w:hAnsi="Arial Narrow"/>
                <w:i/>
                <w:iCs/>
                <w:sz w:val="20"/>
                <w:szCs w:val="20"/>
              </w:rPr>
              <w:t xml:space="preserve">prescribers </w:t>
            </w:r>
            <w:r w:rsidRPr="0032741D">
              <w:rPr>
                <w:rFonts w:ascii="Arial Narrow" w:hAnsi="Arial Narrow"/>
                <w:sz w:val="20"/>
                <w:szCs w:val="20"/>
              </w:rPr>
              <w:t xml:space="preserve">should request the appropriate quantity of prefilled syringes or prefilled pens, required to provide </w:t>
            </w:r>
            <w:r w:rsidRPr="0032741D">
              <w:rPr>
                <w:rFonts w:ascii="Arial Narrow" w:hAnsi="Arial Narrow"/>
                <w:strike/>
                <w:sz w:val="20"/>
                <w:szCs w:val="20"/>
              </w:rPr>
              <w:t>26 weeks</w:t>
            </w:r>
            <w:r w:rsidRPr="0032741D">
              <w:rPr>
                <w:rFonts w:ascii="Arial Narrow" w:hAnsi="Arial Narrow"/>
                <w:sz w:val="20"/>
                <w:szCs w:val="20"/>
              </w:rPr>
              <w:t xml:space="preserve"> </w:t>
            </w:r>
            <w:r w:rsidRPr="0032741D">
              <w:rPr>
                <w:rFonts w:ascii="Arial Narrow" w:hAnsi="Arial Narrow"/>
                <w:i/>
                <w:iCs/>
                <w:sz w:val="20"/>
                <w:szCs w:val="20"/>
              </w:rPr>
              <w:t xml:space="preserve">6 months </w:t>
            </w:r>
            <w:r w:rsidRPr="0032741D">
              <w:rPr>
                <w:rFonts w:ascii="Arial Narrow" w:hAnsi="Arial Narrow"/>
                <w:sz w:val="20"/>
                <w:szCs w:val="20"/>
              </w:rPr>
              <w:t xml:space="preserve">of treatment at a dose of 60 mg per day or the patient’s maximum tolerated dose. </w:t>
            </w:r>
          </w:p>
        </w:tc>
      </w:tr>
      <w:tr w:rsidR="0010549C" w:rsidRPr="0032741D" w14:paraId="0200D93C"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729A433A" w14:textId="77777777" w:rsidR="0010549C" w:rsidRPr="0032741D" w:rsidRDefault="0010549C" w:rsidP="00FA45AA">
            <w:pPr>
              <w:rPr>
                <w:rFonts w:ascii="Arial Narrow" w:hAnsi="Arial Narrow"/>
                <w:strike/>
                <w:sz w:val="20"/>
                <w:szCs w:val="20"/>
              </w:rPr>
            </w:pPr>
            <w:r w:rsidRPr="0032741D">
              <w:rPr>
                <w:rFonts w:ascii="Arial Narrow" w:hAnsi="Arial Narrow"/>
                <w:strike/>
                <w:sz w:val="20"/>
                <w:szCs w:val="20"/>
              </w:rPr>
              <w:t>A response to initial treatment, assessed at a minimum of a minimum of 21 weeks and up to 24 months from commencing treatment with this drug, is defined at least one of either:</w:t>
            </w:r>
          </w:p>
          <w:p w14:paraId="23120F8B" w14:textId="77777777" w:rsidR="0010549C" w:rsidRPr="0032741D" w:rsidRDefault="0010549C" w:rsidP="00FA45AA">
            <w:pPr>
              <w:rPr>
                <w:rFonts w:ascii="Arial Narrow" w:hAnsi="Arial Narrow"/>
                <w:strike/>
                <w:sz w:val="20"/>
                <w:szCs w:val="20"/>
              </w:rPr>
            </w:pPr>
            <w:r w:rsidRPr="0032741D">
              <w:rPr>
                <w:rFonts w:ascii="Arial Narrow" w:hAnsi="Arial Narrow"/>
                <w:strike/>
                <w:sz w:val="20"/>
                <w:szCs w:val="20"/>
              </w:rPr>
              <w:t xml:space="preserve">blood phenylalanine level below 360 micromole per L / </w:t>
            </w:r>
          </w:p>
          <w:p w14:paraId="06EB0A90" w14:textId="77777777" w:rsidR="0010549C" w:rsidRPr="0032741D" w:rsidRDefault="0010549C" w:rsidP="00FA45AA">
            <w:pPr>
              <w:rPr>
                <w:rFonts w:ascii="Arial Narrow" w:hAnsi="Arial Narrow"/>
                <w:sz w:val="20"/>
                <w:szCs w:val="20"/>
              </w:rPr>
            </w:pPr>
            <w:r w:rsidRPr="0032741D">
              <w:rPr>
                <w:rFonts w:ascii="Arial Narrow" w:hAnsi="Arial Narrow"/>
                <w:strike/>
                <w:sz w:val="20"/>
                <w:szCs w:val="20"/>
              </w:rPr>
              <w:t>clinically meaningful reduction in the inattention subscale of the ADHD-RS score, defined as a 5-point reduction in the inattention subscale (Spencer et al., 2010)</w:t>
            </w:r>
          </w:p>
        </w:tc>
      </w:tr>
      <w:tr w:rsidR="0010549C" w:rsidRPr="0032741D" w14:paraId="41A06103"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677476CF" w14:textId="77777777" w:rsidR="0010549C" w:rsidRPr="0032741D" w:rsidRDefault="0010549C" w:rsidP="00FA45AA">
            <w:pPr>
              <w:rPr>
                <w:rFonts w:ascii="Arial Narrow" w:hAnsi="Arial Narrow"/>
                <w:i/>
                <w:iCs/>
                <w:sz w:val="20"/>
                <w:szCs w:val="20"/>
              </w:rPr>
            </w:pPr>
            <w:r w:rsidRPr="0032741D">
              <w:rPr>
                <w:rFonts w:ascii="Arial Narrow" w:hAnsi="Arial Narrow"/>
                <w:i/>
                <w:iCs/>
                <w:sz w:val="20"/>
                <w:szCs w:val="20"/>
              </w:rPr>
              <w:t>Blood phenylalanine levels must be based on measurements taken during stable periods of the condition.</w:t>
            </w:r>
          </w:p>
          <w:p w14:paraId="79FEDE3A" w14:textId="77777777" w:rsidR="0010549C" w:rsidRPr="0032741D" w:rsidRDefault="0010549C" w:rsidP="00FA45AA">
            <w:pPr>
              <w:rPr>
                <w:rFonts w:ascii="Arial Narrow" w:hAnsi="Arial Narrow"/>
                <w:b/>
                <w:bCs/>
                <w:strike/>
                <w:sz w:val="20"/>
                <w:szCs w:val="20"/>
              </w:rPr>
            </w:pPr>
            <w:r w:rsidRPr="0032741D">
              <w:rPr>
                <w:rFonts w:ascii="Arial Narrow" w:hAnsi="Arial Narrow"/>
                <w:i/>
                <w:iCs/>
                <w:sz w:val="20"/>
                <w:szCs w:val="20"/>
              </w:rPr>
              <w:t>Dietary phenylalanine intake must be maintained at a constant level.</w:t>
            </w:r>
          </w:p>
        </w:tc>
      </w:tr>
      <w:tr w:rsidR="0010549C" w:rsidRPr="0032741D" w14:paraId="4106FA04"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436C438" w14:textId="77777777" w:rsidR="0010549C" w:rsidRPr="0032741D" w:rsidRDefault="0010549C" w:rsidP="00FA45AA">
            <w:pPr>
              <w:rPr>
                <w:rFonts w:ascii="Arial Narrow" w:hAnsi="Arial Narrow"/>
                <w:b/>
                <w:bCs/>
                <w:sz w:val="20"/>
                <w:szCs w:val="20"/>
              </w:rPr>
            </w:pPr>
            <w:r w:rsidRPr="0032741D">
              <w:rPr>
                <w:rFonts w:ascii="Arial Narrow" w:hAnsi="Arial Narrow"/>
                <w:b/>
                <w:bCs/>
                <w:sz w:val="20"/>
                <w:szCs w:val="20"/>
              </w:rPr>
              <w:t xml:space="preserve">Administrative Advice: </w:t>
            </w:r>
          </w:p>
          <w:p w14:paraId="34126705" w14:textId="77777777" w:rsidR="0010549C" w:rsidRPr="0032741D" w:rsidRDefault="0010549C" w:rsidP="00FA45AA">
            <w:pPr>
              <w:rPr>
                <w:rFonts w:ascii="Arial Narrow" w:hAnsi="Arial Narrow"/>
                <w:b/>
                <w:bCs/>
                <w:sz w:val="20"/>
                <w:szCs w:val="20"/>
              </w:rPr>
            </w:pPr>
            <w:r w:rsidRPr="0032741D">
              <w:rPr>
                <w:rFonts w:ascii="Arial Narrow" w:hAnsi="Arial Narrow"/>
                <w:sz w:val="20"/>
                <w:szCs w:val="20"/>
              </w:rPr>
              <w:t xml:space="preserve">Special pricing arrangements apply. </w:t>
            </w:r>
          </w:p>
        </w:tc>
      </w:tr>
      <w:tr w:rsidR="0010549C" w:rsidRPr="0032741D" w14:paraId="05B73D76"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79171616" w14:textId="78C06EA1" w:rsidR="0010549C" w:rsidRPr="0032741D" w:rsidRDefault="0010549C" w:rsidP="00FA45AA">
            <w:pPr>
              <w:rPr>
                <w:rFonts w:ascii="Arial Narrow" w:hAnsi="Arial Narrow"/>
                <w:sz w:val="20"/>
                <w:szCs w:val="20"/>
              </w:rPr>
            </w:pPr>
            <w:r w:rsidRPr="0032741D">
              <w:rPr>
                <w:rFonts w:ascii="Arial Narrow" w:hAnsi="Arial Narrow"/>
                <w:sz w:val="20"/>
                <w:szCs w:val="20"/>
              </w:rPr>
              <w:t>Applications for authorisation under this restriction may be made in real time using the Online PBS Authorities system (see www.servicesaustralia.gov.au/HPOS) or by telephone by contacting Services Australia on 1800 888 333.</w:t>
            </w:r>
          </w:p>
        </w:tc>
      </w:tr>
      <w:tr w:rsidR="0010549C" w:rsidRPr="0032741D" w14:paraId="6187E5FF"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3F134697" w14:textId="09611306" w:rsidR="0010549C" w:rsidRPr="0032741D" w:rsidRDefault="0010549C" w:rsidP="00FA45AA">
            <w:pPr>
              <w:rPr>
                <w:rFonts w:ascii="Arial Narrow" w:hAnsi="Arial Narrow"/>
                <w:b/>
                <w:bCs/>
                <w:i/>
                <w:iCs/>
                <w:sz w:val="20"/>
                <w:szCs w:val="20"/>
              </w:rPr>
            </w:pPr>
            <w:r w:rsidRPr="0032741D">
              <w:rPr>
                <w:rFonts w:ascii="Arial Narrow" w:hAnsi="Arial Narrow"/>
                <w:i/>
                <w:iCs/>
                <w:sz w:val="20"/>
                <w:szCs w:val="20"/>
              </w:rPr>
              <w:t>No increase in the maximum quantity or number of units may be authorised.</w:t>
            </w:r>
          </w:p>
        </w:tc>
      </w:tr>
      <w:tr w:rsidR="0010549C" w:rsidRPr="0032741D" w14:paraId="1F8A9CBD"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hideMark/>
          </w:tcPr>
          <w:p w14:paraId="179A8FC8" w14:textId="77777777" w:rsidR="0010549C" w:rsidRPr="0032741D" w:rsidRDefault="0010549C" w:rsidP="00FA45AA">
            <w:pPr>
              <w:rPr>
                <w:rFonts w:ascii="Arial Narrow" w:hAnsi="Arial Narrow"/>
                <w:sz w:val="20"/>
                <w:szCs w:val="20"/>
              </w:rPr>
            </w:pPr>
            <w:r w:rsidRPr="0032741D">
              <w:rPr>
                <w:rFonts w:ascii="Arial Narrow" w:hAnsi="Arial Narrow"/>
                <w:b/>
                <w:bCs/>
                <w:sz w:val="20"/>
                <w:szCs w:val="20"/>
              </w:rPr>
              <w:t>Caution:</w:t>
            </w:r>
            <w:r w:rsidRPr="0032741D">
              <w:rPr>
                <w:rFonts w:ascii="Arial Narrow" w:hAnsi="Arial Narrow"/>
                <w:sz w:val="20"/>
                <w:szCs w:val="20"/>
              </w:rPr>
              <w:t xml:space="preserve"> Treatment with pegvaliase is associated with acute systemic hypersensitivity reactions. Patients should be instructed to recognise the signs and symptoms of acute systemic hypersensitivity reactions, in the proper emergency use of the adrenaline injection device, and the requirement to seek immediate medical care.</w:t>
            </w:r>
          </w:p>
        </w:tc>
      </w:tr>
      <w:tr w:rsidR="0010549C" w:rsidRPr="0032741D" w14:paraId="77ABFBA5" w14:textId="77777777" w:rsidTr="00045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5000" w:type="pct"/>
            <w:gridSpan w:val="6"/>
            <w:vAlign w:val="center"/>
          </w:tcPr>
          <w:p w14:paraId="0CB85C12" w14:textId="77777777" w:rsidR="0010549C" w:rsidRPr="0032741D" w:rsidRDefault="0010549C" w:rsidP="00FA45AA">
            <w:pPr>
              <w:rPr>
                <w:rFonts w:ascii="Arial Narrow" w:hAnsi="Arial Narrow"/>
                <w:i/>
                <w:iCs/>
                <w:sz w:val="20"/>
                <w:szCs w:val="20"/>
              </w:rPr>
            </w:pPr>
            <w:r w:rsidRPr="0032741D">
              <w:rPr>
                <w:rFonts w:ascii="Arial Narrow" w:hAnsi="Arial Narrow"/>
                <w:b/>
                <w:bCs/>
                <w:i/>
                <w:iCs/>
                <w:sz w:val="20"/>
                <w:szCs w:val="20"/>
              </w:rPr>
              <w:t>Note:</w:t>
            </w:r>
            <w:r w:rsidRPr="0032741D">
              <w:rPr>
                <w:rFonts w:ascii="Arial Narrow" w:hAnsi="Arial Narrow"/>
                <w:i/>
                <w:iCs/>
                <w:sz w:val="20"/>
                <w:szCs w:val="20"/>
              </w:rPr>
              <w:t xml:space="preserve"> The ADHD-RS inattention subscale, with adult prompts, can be calculated here</w:t>
            </w:r>
            <w:r w:rsidRPr="0032741D">
              <w:rPr>
                <w:i/>
                <w:iCs/>
              </w:rPr>
              <w:t xml:space="preserve"> </w:t>
            </w:r>
            <w:r w:rsidRPr="0032741D">
              <w:rPr>
                <w:rFonts w:ascii="Arial Narrow" w:hAnsi="Arial Narrow"/>
                <w:i/>
                <w:iCs/>
                <w:sz w:val="20"/>
                <w:szCs w:val="20"/>
              </w:rPr>
              <w:t xml:space="preserve">https://www.qandadhd.com/Content/pdf/ADHD-RS-IV_Tear-Pad-with-Adult-Prompts.pdf </w:t>
            </w:r>
          </w:p>
          <w:p w14:paraId="17B0E0C7" w14:textId="77777777" w:rsidR="0010549C" w:rsidRPr="0032741D" w:rsidRDefault="0010549C" w:rsidP="00FA45AA">
            <w:pPr>
              <w:rPr>
                <w:rFonts w:ascii="Arial Narrow" w:hAnsi="Arial Narrow"/>
                <w:b/>
                <w:bCs/>
                <w:i/>
                <w:iCs/>
                <w:sz w:val="20"/>
                <w:szCs w:val="20"/>
              </w:rPr>
            </w:pPr>
            <w:r w:rsidRPr="0032741D">
              <w:rPr>
                <w:rFonts w:ascii="Arial Narrow" w:hAnsi="Arial Narrow"/>
                <w:i/>
                <w:iCs/>
                <w:sz w:val="20"/>
                <w:szCs w:val="20"/>
              </w:rPr>
              <w:t xml:space="preserve">It comprises the following nine items: carelessness; difficulty sustaining attention in activities; listening; follow through; organisation; avoids/dislikes tasks requiring sustained mental effort; loses important items; easily distractable; and forgetful in daily activities. The severity of symptoms is rated on a four-point scale: 0 = none, 1 = mild, 2 = moderate, 3 = severe. </w:t>
            </w:r>
          </w:p>
        </w:tc>
      </w:tr>
    </w:tbl>
    <w:p w14:paraId="30CA59A9" w14:textId="77777777" w:rsidR="00774AF7" w:rsidRPr="008312ED" w:rsidRDefault="00774AF7" w:rsidP="00774AF7"/>
    <w:p w14:paraId="5DDE87ED" w14:textId="36ED0F32" w:rsidR="00774AF7" w:rsidRPr="008312ED" w:rsidRDefault="00774AF7" w:rsidP="00774AF7">
      <w:pPr>
        <w:pStyle w:val="3-BodyText"/>
      </w:pPr>
      <w:r w:rsidRPr="008312ED">
        <w:t xml:space="preserve">The submission proposed a special pricing arrangement with a proposed </w:t>
      </w:r>
      <w:r w:rsidR="00AC2C98" w:rsidRPr="008312ED">
        <w:t xml:space="preserve">effective </w:t>
      </w:r>
      <w:r w:rsidRPr="008312ED">
        <w:t>AEMP of $</w:t>
      </w:r>
      <w:r w:rsidR="00EC6944" w:rsidRPr="00DA5CFB">
        <w:rPr>
          <w:color w:val="000000"/>
          <w:w w:val="15"/>
          <w:shd w:val="solid" w:color="000000" w:fill="000000"/>
          <w:fitText w:val="-20" w:id="-1436265472"/>
          <w14:textFill>
            <w14:solidFill>
              <w14:srgbClr w14:val="000000">
                <w14:alpha w14:val="100000"/>
              </w14:srgbClr>
            </w14:solidFill>
          </w14:textFill>
        </w:rPr>
        <w:t xml:space="preserve">|  </w:t>
      </w:r>
      <w:r w:rsidR="00EC6944" w:rsidRPr="00DA5CFB">
        <w:rPr>
          <w:color w:val="000000"/>
          <w:spacing w:val="-69"/>
          <w:w w:val="15"/>
          <w:shd w:val="solid" w:color="000000" w:fill="000000"/>
          <w:fitText w:val="-20" w:id="-1436265472"/>
          <w14:textFill>
            <w14:solidFill>
              <w14:srgbClr w14:val="000000">
                <w14:alpha w14:val="100000"/>
              </w14:srgbClr>
            </w14:solidFill>
          </w14:textFill>
        </w:rPr>
        <w:t>|</w:t>
      </w:r>
      <w:r w:rsidR="002A77BD" w:rsidRPr="002A77BD">
        <w:t xml:space="preserve"> </w:t>
      </w:r>
      <w:r w:rsidR="002A77BD" w:rsidRPr="008312ED">
        <w:t>per syringe</w:t>
      </w:r>
      <w:r w:rsidRPr="008312ED">
        <w:t xml:space="preserve">, regardless of the dosage. </w:t>
      </w:r>
    </w:p>
    <w:p w14:paraId="424B0476" w14:textId="1EBA0805" w:rsidR="00BD3CA7" w:rsidRPr="00B4310E" w:rsidRDefault="00BD3CA7" w:rsidP="00B4310E">
      <w:pPr>
        <w:pStyle w:val="3-BodyText"/>
        <w:numPr>
          <w:ilvl w:val="0"/>
          <w:numId w:val="0"/>
        </w:numPr>
        <w:outlineLvl w:val="2"/>
        <w:rPr>
          <w:b/>
          <w:bCs/>
          <w:i/>
          <w:iCs/>
        </w:rPr>
      </w:pPr>
      <w:r w:rsidRPr="00B4310E">
        <w:rPr>
          <w:b/>
          <w:bCs/>
          <w:i/>
          <w:iCs/>
        </w:rPr>
        <w:lastRenderedPageBreak/>
        <w:t>Response assessment</w:t>
      </w:r>
    </w:p>
    <w:p w14:paraId="2360762F" w14:textId="2FE692B1" w:rsidR="00774AF7" w:rsidRPr="00AE2F09" w:rsidRDefault="00BD3CA7" w:rsidP="00774AF7">
      <w:pPr>
        <w:pStyle w:val="3-BodyText"/>
      </w:pPr>
      <w:r w:rsidRPr="00AE2F09">
        <w:t xml:space="preserve">Under the proposed restriction, </w:t>
      </w:r>
      <w:r w:rsidR="00774AF7" w:rsidRPr="00AE2F09">
        <w:t xml:space="preserve">patients must register a response to initiation treatment </w:t>
      </w:r>
      <w:r w:rsidR="0097067A" w:rsidRPr="00AE2F09">
        <w:t>within</w:t>
      </w:r>
      <w:r w:rsidR="00774AF7" w:rsidRPr="00AE2F09">
        <w:t xml:space="preserve"> 21 </w:t>
      </w:r>
      <w:r w:rsidR="0097067A" w:rsidRPr="00AE2F09">
        <w:t xml:space="preserve">to 104 </w:t>
      </w:r>
      <w:r w:rsidR="00774AF7" w:rsidRPr="00AE2F09">
        <w:t xml:space="preserve">weeks </w:t>
      </w:r>
      <w:r w:rsidR="0097067A" w:rsidRPr="00AE2F09">
        <w:t>(</w:t>
      </w:r>
      <w:r w:rsidRPr="00AE2F09">
        <w:t>i.e.</w:t>
      </w:r>
      <w:r w:rsidR="00D837C4">
        <w:t>,</w:t>
      </w:r>
      <w:r w:rsidRPr="00AE2F09">
        <w:t xml:space="preserve"> </w:t>
      </w:r>
      <w:r w:rsidR="005A29C4">
        <w:t xml:space="preserve">up to </w:t>
      </w:r>
      <w:r w:rsidR="00412681">
        <w:t>two years</w:t>
      </w:r>
      <w:r w:rsidR="00774AF7" w:rsidRPr="00AE2F09">
        <w:t>) of commencing pegvaliase to be eligible for continuing treatment. However, based on the recommended titration</w:t>
      </w:r>
      <w:r w:rsidR="002A77BD" w:rsidRPr="00AE2F09">
        <w:t xml:space="preserve"> regimen</w:t>
      </w:r>
      <w:r w:rsidR="00774AF7" w:rsidRPr="00AE2F09">
        <w:t>, it w</w:t>
      </w:r>
      <w:r w:rsidR="002A77BD" w:rsidRPr="00AE2F09">
        <w:t>ould</w:t>
      </w:r>
      <w:r w:rsidR="00774AF7" w:rsidRPr="00AE2F09">
        <w:t xml:space="preserve"> only take 37</w:t>
      </w:r>
      <w:r w:rsidR="002A77BD" w:rsidRPr="00AE2F09">
        <w:t xml:space="preserve"> to </w:t>
      </w:r>
      <w:r w:rsidR="00774AF7" w:rsidRPr="00AE2F09">
        <w:t xml:space="preserve">49 weeks </w:t>
      </w:r>
      <w:r w:rsidR="002A77BD" w:rsidRPr="00AE2F09">
        <w:t>to reach the</w:t>
      </w:r>
      <w:r w:rsidR="00774AF7" w:rsidRPr="00AE2F09">
        <w:t xml:space="preserve"> maximum maintenance dose of 60</w:t>
      </w:r>
      <w:r w:rsidR="00045FBF">
        <w:t xml:space="preserve"> </w:t>
      </w:r>
      <w:r w:rsidR="00774AF7" w:rsidRPr="00AE2F09">
        <w:t>mg/day</w:t>
      </w:r>
      <w:r w:rsidR="002A77BD" w:rsidRPr="00AE2F09">
        <w:t>. T</w:t>
      </w:r>
      <w:r w:rsidR="00774AF7" w:rsidRPr="00AE2F09">
        <w:t>he product information (PI) state</w:t>
      </w:r>
      <w:r w:rsidR="002A77BD" w:rsidRPr="00AE2F09">
        <w:t>s</w:t>
      </w:r>
      <w:r w:rsidR="00774AF7" w:rsidRPr="00AE2F09">
        <w:t xml:space="preserve"> that pegvaliase treatment should be reconsidered if a patient “does not reach a clinically relevant blood phenylalanine reduction after 18 months of treatment” (Pegvaliase PI, p6). A patient who does not achieve </w:t>
      </w:r>
      <w:r w:rsidR="0097067A" w:rsidRPr="00AE2F09">
        <w:t xml:space="preserve">a </w:t>
      </w:r>
      <w:r w:rsidR="00774AF7" w:rsidRPr="00AE2F09">
        <w:t xml:space="preserve">clinical response to pegvaliase may potentially receive two years of treatment which may not be consistent with quality use of medicines and comes with a significant cost </w:t>
      </w:r>
      <w:r w:rsidR="002A77BD" w:rsidRPr="00AE2F09">
        <w:t>(</w:t>
      </w:r>
      <w:r w:rsidR="0097067A" w:rsidRPr="00AE2F09">
        <w:t>e.g.</w:t>
      </w:r>
      <w:r w:rsidR="00D837C4">
        <w:t>,</w:t>
      </w:r>
      <w:r w:rsidR="0097067A" w:rsidRPr="00AE2F09">
        <w:t xml:space="preserve"> t</w:t>
      </w:r>
      <w:r w:rsidR="00774AF7" w:rsidRPr="00AE2F09">
        <w:t>he</w:t>
      </w:r>
      <w:r w:rsidR="002A77BD" w:rsidRPr="00AE2F09">
        <w:t xml:space="preserve"> cost of pegvaliase for a patient who uses a </w:t>
      </w:r>
      <w:r w:rsidR="00774AF7" w:rsidRPr="00AE2F09">
        <w:t>60</w:t>
      </w:r>
      <w:r w:rsidR="002A77BD" w:rsidRPr="00AE2F09">
        <w:t> </w:t>
      </w:r>
      <w:r w:rsidR="00774AF7" w:rsidRPr="00AE2F09">
        <w:t xml:space="preserve">mg/day maintenance dose over two years, </w:t>
      </w:r>
      <w:r w:rsidR="002A77BD" w:rsidRPr="00AE2F09">
        <w:t>would be</w:t>
      </w:r>
      <w:r w:rsidR="00774AF7" w:rsidRPr="00AE2F09">
        <w:t xml:space="preserve"> </w:t>
      </w:r>
      <w:r w:rsidR="00774AF7" w:rsidRPr="00227C61">
        <w:t>$</w:t>
      </w:r>
      <w:r w:rsidR="00EC6944" w:rsidRPr="00DA5CFB">
        <w:rPr>
          <w:color w:val="000000"/>
          <w:w w:val="15"/>
          <w:shd w:val="solid" w:color="000000" w:fill="000000"/>
          <w:fitText w:val="-20" w:id="-1436265471"/>
          <w14:textFill>
            <w14:solidFill>
              <w14:srgbClr w14:val="000000">
                <w14:alpha w14:val="100000"/>
              </w14:srgbClr>
            </w14:solidFill>
          </w14:textFill>
        </w:rPr>
        <w:t xml:space="preserve">|  </w:t>
      </w:r>
      <w:r w:rsidR="00EC6944" w:rsidRPr="00DA5CFB">
        <w:rPr>
          <w:color w:val="000000"/>
          <w:spacing w:val="-69"/>
          <w:w w:val="15"/>
          <w:shd w:val="solid" w:color="000000" w:fill="000000"/>
          <w:fitText w:val="-20" w:id="-1436265471"/>
          <w14:textFill>
            <w14:solidFill>
              <w14:srgbClr w14:val="000000">
                <w14:alpha w14:val="100000"/>
              </w14:srgbClr>
            </w14:solidFill>
          </w14:textFill>
        </w:rPr>
        <w:t>|</w:t>
      </w:r>
      <w:r w:rsidR="002A77BD" w:rsidRPr="00AE2F09">
        <w:t>)</w:t>
      </w:r>
      <w:r w:rsidR="00D23897">
        <w:t>.</w:t>
      </w:r>
      <w:r w:rsidR="00774AF7" w:rsidRPr="00AE2F09">
        <w:t xml:space="preserve"> </w:t>
      </w:r>
      <w:r w:rsidR="005A29C4" w:rsidRPr="000764C2">
        <w:t xml:space="preserve">The </w:t>
      </w:r>
      <w:r w:rsidR="00A3488B" w:rsidRPr="000764C2">
        <w:t xml:space="preserve">ESC </w:t>
      </w:r>
      <w:r w:rsidR="005A29C4" w:rsidRPr="000764C2">
        <w:t>considered that</w:t>
      </w:r>
      <w:r w:rsidR="00F15F85" w:rsidRPr="000764C2">
        <w:t xml:space="preserve"> two years was an inappropriately long period of time for patients to be on treatment without assessing whether the benefits were outweighing the risks. The ESC considered that</w:t>
      </w:r>
      <w:r w:rsidR="005A29C4" w:rsidRPr="000764C2">
        <w:t xml:space="preserve"> a</w:t>
      </w:r>
      <w:r w:rsidR="00774AF7" w:rsidRPr="000764C2">
        <w:t xml:space="preserve"> shorter period for </w:t>
      </w:r>
      <w:r w:rsidR="0097067A" w:rsidRPr="000764C2">
        <w:t>assessing response</w:t>
      </w:r>
      <w:r w:rsidR="00774AF7" w:rsidRPr="000764C2">
        <w:t xml:space="preserve"> </w:t>
      </w:r>
      <w:r w:rsidR="00F15F85" w:rsidRPr="000764C2">
        <w:t xml:space="preserve">would </w:t>
      </w:r>
      <w:r w:rsidR="00774AF7" w:rsidRPr="000764C2">
        <w:t xml:space="preserve">be </w:t>
      </w:r>
      <w:r w:rsidR="00F15F85" w:rsidRPr="000764C2">
        <w:t xml:space="preserve">more </w:t>
      </w:r>
      <w:r w:rsidR="00774AF7" w:rsidRPr="000764C2">
        <w:t>appropriate.</w:t>
      </w:r>
    </w:p>
    <w:p w14:paraId="634CF19A" w14:textId="47ECC636" w:rsidR="00BD3CA7" w:rsidRPr="00AE2F09" w:rsidRDefault="00212A2F" w:rsidP="00BD3CA7">
      <w:pPr>
        <w:pStyle w:val="3-BodyText"/>
      </w:pPr>
      <w:r w:rsidRPr="00AE2F09">
        <w:t>T</w:t>
      </w:r>
      <w:r w:rsidR="00BD3CA7" w:rsidRPr="00AE2F09">
        <w:t>he proposed restriction</w:t>
      </w:r>
      <w:r w:rsidRPr="00AE2F09">
        <w:t xml:space="preserve"> defines a</w:t>
      </w:r>
      <w:r w:rsidR="00BD3CA7" w:rsidRPr="00AE2F09">
        <w:rPr>
          <w:rFonts w:cstheme="minorHAnsi"/>
        </w:rPr>
        <w:t xml:space="preserve"> response to pegvaliase as either: (a) blood</w:t>
      </w:r>
      <w:r w:rsidR="0032741D">
        <w:rPr>
          <w:rFonts w:cstheme="minorHAnsi"/>
        </w:rPr>
        <w:t>-</w:t>
      </w:r>
      <w:r w:rsidR="00BD3CA7" w:rsidRPr="00AE2F09">
        <w:rPr>
          <w:rFonts w:cstheme="minorHAnsi"/>
        </w:rPr>
        <w:t>Phe &lt;</w:t>
      </w:r>
      <w:r w:rsidRPr="00AE2F09">
        <w:rPr>
          <w:rFonts w:cstheme="minorHAnsi"/>
        </w:rPr>
        <w:t> </w:t>
      </w:r>
      <w:r w:rsidR="00BD3CA7" w:rsidRPr="00AE2F09">
        <w:rPr>
          <w:rFonts w:cstheme="minorHAnsi"/>
        </w:rPr>
        <w:t>360 µmol/L; or (b) the achievement of a clinically meaningful reduction from pegvaliase-naïve baseline in the ADHD</w:t>
      </w:r>
      <w:r w:rsidR="00BD3CA7" w:rsidRPr="00AE2F09">
        <w:rPr>
          <w:rFonts w:cstheme="minorHAnsi"/>
        </w:rPr>
        <w:noBreakHyphen/>
        <w:t>RS.</w:t>
      </w:r>
    </w:p>
    <w:p w14:paraId="2B2B23C6" w14:textId="0D89DA8A" w:rsidR="00BD3CA7" w:rsidRPr="00AE2F09" w:rsidRDefault="00BD3CA7" w:rsidP="00BD3CA7">
      <w:pPr>
        <w:pStyle w:val="3-BodyText"/>
      </w:pPr>
      <w:r w:rsidRPr="00AE2F09">
        <w:t xml:space="preserve">The </w:t>
      </w:r>
      <w:r w:rsidR="00412681">
        <w:t xml:space="preserve">evaluation considered that the </w:t>
      </w:r>
      <w:r w:rsidRPr="00AE2F09">
        <w:t>definition of response based on blood-Phe level &lt;</w:t>
      </w:r>
      <w:r w:rsidR="00CA438C">
        <w:t> </w:t>
      </w:r>
      <w:r w:rsidRPr="00AE2F09">
        <w:t>360</w:t>
      </w:r>
      <w:r w:rsidR="00CA438C">
        <w:t> </w:t>
      </w:r>
      <w:r w:rsidRPr="00AE2F09">
        <w:rPr>
          <w:rFonts w:cstheme="minorHAnsi"/>
        </w:rPr>
        <w:t>µ</w:t>
      </w:r>
      <w:r w:rsidRPr="00AE2F09">
        <w:t xml:space="preserve">mol/L may be reasonable as there is a consensus in the international treatment guidelines for PKU that levels </w:t>
      </w:r>
      <w:r w:rsidRPr="00AE2F09">
        <w:rPr>
          <w:rFonts w:cs="Calibri"/>
        </w:rPr>
        <w:t>≥</w:t>
      </w:r>
      <w:r w:rsidR="00CA438C">
        <w:rPr>
          <w:rFonts w:cs="Calibri"/>
        </w:rPr>
        <w:t> </w:t>
      </w:r>
      <w:r w:rsidRPr="00AE2F09">
        <w:t>360</w:t>
      </w:r>
      <w:r w:rsidR="00CA438C">
        <w:t> </w:t>
      </w:r>
      <w:r w:rsidRPr="00AE2F09">
        <w:rPr>
          <w:rFonts w:cs="Calibri"/>
        </w:rPr>
        <w:t>µ</w:t>
      </w:r>
      <w:r w:rsidRPr="00AE2F09">
        <w:t xml:space="preserve">mol/L require treatment (however it is noted this treatment could be dietary or pharmacological). </w:t>
      </w:r>
    </w:p>
    <w:p w14:paraId="085F4926" w14:textId="297B2E41" w:rsidR="00B4310E" w:rsidRPr="00CD0420" w:rsidRDefault="00BD3CA7" w:rsidP="008B5DC0">
      <w:pPr>
        <w:pStyle w:val="3-BodyText"/>
        <w:rPr>
          <w:iCs/>
        </w:rPr>
      </w:pPr>
      <w:bookmarkStart w:id="18" w:name="_Hlk106350805"/>
      <w:r w:rsidRPr="00AE2F09">
        <w:t xml:space="preserve">The Attention Deficit Hyperactivity Disorder Rating Scale (ADHD-RS) inattention subscale score </w:t>
      </w:r>
      <w:bookmarkEnd w:id="18"/>
      <w:r w:rsidRPr="00AE2F09">
        <w:t>is one component of the ADHD-RS and is a 9-item investigator rated assessment focusing only on inattention symptoms, with a total possible score ranging from 0 to 27, with a higher score indicating the presence of inattention symptoms. The submission proposed a minimally clinically important difference (MCID) of ≥</w:t>
      </w:r>
      <w:r w:rsidR="00CA438C">
        <w:t> </w:t>
      </w:r>
      <w:r w:rsidRPr="00AE2F09">
        <w:t>5 point decrease/improvement from baseline.</w:t>
      </w:r>
      <w:r w:rsidR="00252A17">
        <w:t xml:space="preserve"> </w:t>
      </w:r>
      <w:r w:rsidRPr="00AE2F09">
        <w:t xml:space="preserve">The restriction allows patients who achieve a </w:t>
      </w:r>
      <w:r w:rsidRPr="00CD0420">
        <w:rPr>
          <w:rFonts w:cstheme="minorHAnsi"/>
        </w:rPr>
        <w:t>≥</w:t>
      </w:r>
      <w:r w:rsidR="00CA438C">
        <w:rPr>
          <w:rFonts w:cstheme="minorHAnsi"/>
        </w:rPr>
        <w:t> </w:t>
      </w:r>
      <w:r w:rsidRPr="00AE2F09">
        <w:t>5 point reduction from baseline in the ADHD-RS inattention subscale score to continue treatment. Th</w:t>
      </w:r>
      <w:r w:rsidR="005A29C4">
        <w:t xml:space="preserve">e evaluation </w:t>
      </w:r>
      <w:r w:rsidR="00B4310E" w:rsidRPr="00252A17">
        <w:t>and ESC</w:t>
      </w:r>
      <w:r w:rsidR="00B4310E">
        <w:t xml:space="preserve"> </w:t>
      </w:r>
      <w:r w:rsidR="005A29C4">
        <w:t>considered th</w:t>
      </w:r>
      <w:r w:rsidRPr="00AE2F09">
        <w:t>is may be inappropriate as the ADHD-RS inattention subscale score and the nominated MCID have not been validated for use in PKU patients, and the submission did not provide any comparative clinical data to support a claim of superiority in ADHD-RS inattention subscale score.</w:t>
      </w:r>
      <w:r w:rsidRPr="00CD0420">
        <w:rPr>
          <w:iCs/>
        </w:rPr>
        <w:t xml:space="preserve"> </w:t>
      </w:r>
      <w:r w:rsidR="00B4310E" w:rsidRPr="00CD0420">
        <w:rPr>
          <w:iCs/>
        </w:rPr>
        <w:t xml:space="preserve">Further, the ESC noted that </w:t>
      </w:r>
      <w:r w:rsidR="00B36068" w:rsidRPr="00CD0420">
        <w:rPr>
          <w:iCs/>
        </w:rPr>
        <w:t xml:space="preserve">the ADHD-RS inattention subscale is not referred to in many of the clinical guidance documents and </w:t>
      </w:r>
      <w:r w:rsidR="00B4310E" w:rsidRPr="00CD0420">
        <w:rPr>
          <w:iCs/>
        </w:rPr>
        <w:t>prescribers may not be familiar</w:t>
      </w:r>
      <w:r w:rsidR="007F7E4C" w:rsidRPr="00CD0420">
        <w:rPr>
          <w:iCs/>
        </w:rPr>
        <w:t xml:space="preserve"> with</w:t>
      </w:r>
      <w:r w:rsidR="00B4310E" w:rsidRPr="00CD0420">
        <w:rPr>
          <w:iCs/>
        </w:rPr>
        <w:t xml:space="preserve"> </w:t>
      </w:r>
      <w:r w:rsidR="00B36068" w:rsidRPr="00CD0420">
        <w:rPr>
          <w:iCs/>
        </w:rPr>
        <w:t>its use</w:t>
      </w:r>
      <w:r w:rsidR="00B4310E" w:rsidRPr="00CD0420">
        <w:rPr>
          <w:iCs/>
        </w:rPr>
        <w:t xml:space="preserve">. </w:t>
      </w:r>
      <w:r w:rsidR="00F15F85" w:rsidRPr="00CD0420">
        <w:rPr>
          <w:iCs/>
        </w:rPr>
        <w:t>Overall, the ESC considered that it would be inappropriate for the restriction to define response based on the ADHD-RS inattention subscale, independent of blood</w:t>
      </w:r>
      <w:r w:rsidR="0032741D">
        <w:rPr>
          <w:iCs/>
        </w:rPr>
        <w:t>-</w:t>
      </w:r>
      <w:r w:rsidR="00F15F85" w:rsidRPr="00CD0420">
        <w:rPr>
          <w:iCs/>
        </w:rPr>
        <w:t>Phe levels.</w:t>
      </w:r>
      <w:r w:rsidR="00252A17" w:rsidRPr="00CD0420">
        <w:rPr>
          <w:iCs/>
        </w:rPr>
        <w:t xml:space="preserve"> The pre-PBAC response </w:t>
      </w:r>
      <w:r w:rsidR="00CD0420" w:rsidRPr="00CD0420">
        <w:rPr>
          <w:iCs/>
        </w:rPr>
        <w:t>argued that the results from the PRISM trials showed that there was a temporal association between reductions in blood</w:t>
      </w:r>
      <w:r w:rsidR="0032741D">
        <w:rPr>
          <w:iCs/>
        </w:rPr>
        <w:t>-</w:t>
      </w:r>
      <w:r w:rsidR="00CD0420" w:rsidRPr="00CD0420">
        <w:rPr>
          <w:iCs/>
        </w:rPr>
        <w:t xml:space="preserve">Phe levels and reductions in the ADHD RS-IV IA subscale scores </w:t>
      </w:r>
      <w:r w:rsidR="00CD0420">
        <w:rPr>
          <w:iCs/>
        </w:rPr>
        <w:t xml:space="preserve">and therefore </w:t>
      </w:r>
      <w:r w:rsidR="00CD0420" w:rsidRPr="00CD0420">
        <w:rPr>
          <w:iCs/>
        </w:rPr>
        <w:t xml:space="preserve">it is reasonable to use </w:t>
      </w:r>
      <w:r w:rsidR="00CD0420">
        <w:rPr>
          <w:iCs/>
        </w:rPr>
        <w:t>it</w:t>
      </w:r>
      <w:r w:rsidR="00CD0420" w:rsidRPr="00CD0420">
        <w:rPr>
          <w:iCs/>
        </w:rPr>
        <w:t xml:space="preserve"> as a measure of benefit in patients who have not yet achieved a blood</w:t>
      </w:r>
      <w:r w:rsidR="0032741D">
        <w:rPr>
          <w:iCs/>
        </w:rPr>
        <w:t>-</w:t>
      </w:r>
      <w:r w:rsidR="00CD0420" w:rsidRPr="00CD0420">
        <w:rPr>
          <w:iCs/>
        </w:rPr>
        <w:t xml:space="preserve">Phe </w:t>
      </w:r>
      <w:r w:rsidR="00CA438C" w:rsidRPr="00CD0420">
        <w:rPr>
          <w:iCs/>
        </w:rPr>
        <w:t>≤</w:t>
      </w:r>
      <w:r w:rsidR="00CA438C">
        <w:rPr>
          <w:iCs/>
        </w:rPr>
        <w:t> </w:t>
      </w:r>
      <w:r w:rsidR="00CA438C" w:rsidRPr="00CD0420">
        <w:rPr>
          <w:iCs/>
        </w:rPr>
        <w:t>360</w:t>
      </w:r>
      <w:r w:rsidR="00CA438C">
        <w:rPr>
          <w:iCs/>
        </w:rPr>
        <w:t> </w:t>
      </w:r>
      <w:r w:rsidR="00CD0420" w:rsidRPr="00CD0420">
        <w:rPr>
          <w:iCs/>
        </w:rPr>
        <w:t>μmol/L.</w:t>
      </w:r>
      <w:r w:rsidR="00CD0420">
        <w:rPr>
          <w:iCs/>
        </w:rPr>
        <w:t xml:space="preserve"> The pre</w:t>
      </w:r>
      <w:r w:rsidR="0061593C">
        <w:rPr>
          <w:iCs/>
        </w:rPr>
        <w:noBreakHyphen/>
      </w:r>
      <w:r w:rsidR="00CD0420">
        <w:rPr>
          <w:iCs/>
        </w:rPr>
        <w:t xml:space="preserve">PBAC response also noted that in the sponsor hearing the </w:t>
      </w:r>
      <w:r w:rsidR="00CD0420">
        <w:rPr>
          <w:iCs/>
        </w:rPr>
        <w:lastRenderedPageBreak/>
        <w:t>clinician noted that the ADHD-RS IA subscale is routinel</w:t>
      </w:r>
      <w:r w:rsidR="0032741D">
        <w:rPr>
          <w:iCs/>
        </w:rPr>
        <w:t>y</w:t>
      </w:r>
      <w:r w:rsidR="00CD0420">
        <w:rPr>
          <w:iCs/>
        </w:rPr>
        <w:t xml:space="preserve"> used to assess and monitor attention deficit in psychiatric patients in Australian clinical practice.</w:t>
      </w:r>
    </w:p>
    <w:p w14:paraId="1637CF51" w14:textId="380AC82C" w:rsidR="00BD3CA7" w:rsidRDefault="00BD3CA7" w:rsidP="00BD3CA7">
      <w:pPr>
        <w:pStyle w:val="3-BodyText"/>
      </w:pPr>
      <w:r w:rsidRPr="00AE2F09">
        <w:t xml:space="preserve">Additionally, </w:t>
      </w:r>
      <w:r w:rsidR="00412681">
        <w:t xml:space="preserve">the evaluation considered that </w:t>
      </w:r>
      <w:r w:rsidRPr="00AE2F09">
        <w:t>it may not be appropriate to require patients to demonstrate blood-Phe &lt;</w:t>
      </w:r>
      <w:r w:rsidR="00CA438C">
        <w:t> </w:t>
      </w:r>
      <w:r w:rsidRPr="00AE2F09">
        <w:t xml:space="preserve">360 </w:t>
      </w:r>
      <w:r w:rsidRPr="00AE2F09">
        <w:rPr>
          <w:rFonts w:cstheme="minorHAnsi"/>
        </w:rPr>
        <w:t>µ</w:t>
      </w:r>
      <w:r w:rsidRPr="00AE2F09">
        <w:t xml:space="preserve">mol/L or </w:t>
      </w:r>
      <w:r w:rsidRPr="00AE2F09">
        <w:rPr>
          <w:rFonts w:cstheme="minorHAnsi"/>
        </w:rPr>
        <w:t>≥</w:t>
      </w:r>
      <w:r w:rsidR="00CA438C">
        <w:rPr>
          <w:rFonts w:cstheme="minorHAnsi"/>
        </w:rPr>
        <w:t> </w:t>
      </w:r>
      <w:r w:rsidRPr="00AE2F09">
        <w:t>5 reduction in ADHD-RS inattention subscale score only once to meet the definition of initial response as PKU patients often undergo fluctuations in dietary restrictions which may temporally impact these outcome measurements.</w:t>
      </w:r>
    </w:p>
    <w:p w14:paraId="484026F8" w14:textId="7C301E7B" w:rsidR="009456BD" w:rsidRDefault="009456BD" w:rsidP="00E628EE">
      <w:pPr>
        <w:pStyle w:val="3-BodyText"/>
      </w:pPr>
      <w:r w:rsidRPr="00D878C2">
        <w:rPr>
          <w:iCs/>
        </w:rPr>
        <w:t>In its consideration of sapropterin</w:t>
      </w:r>
      <w:r w:rsidR="00CE457B">
        <w:rPr>
          <w:iCs/>
        </w:rPr>
        <w:t xml:space="preserve"> at the same meeting</w:t>
      </w:r>
      <w:r w:rsidRPr="00D878C2">
        <w:rPr>
          <w:iCs/>
        </w:rPr>
        <w:t xml:space="preserve">, the PBAC </w:t>
      </w:r>
      <w:bookmarkStart w:id="19" w:name="_Hlk110587324"/>
      <w:r w:rsidRPr="00D878C2">
        <w:rPr>
          <w:iCs/>
        </w:rPr>
        <w:t>noted that consumers and clinicians had outlined that factors other than Phe levels may also be important markers of a meaningful improvement for patients, such as protein tolerance/dietary Phe intake, quality of life and an assessment as to how well a patient is managing with their current regimen.</w:t>
      </w:r>
      <w:bookmarkEnd w:id="19"/>
      <w:r w:rsidRPr="00D878C2">
        <w:rPr>
          <w:iCs/>
        </w:rPr>
        <w:t xml:space="preserve"> The PBAC had considered that a change to the definition of response for the sapropterin restrictions may be appropriate and noted that expert clinical consultation would be required in order to determine the most appropriate (if any) change to the response criterion (paragraph 3.5, sapropterin PBAC </w:t>
      </w:r>
      <w:r w:rsidR="00CA438C">
        <w:rPr>
          <w:iCs/>
        </w:rPr>
        <w:t>PSD</w:t>
      </w:r>
      <w:r w:rsidRPr="00D878C2">
        <w:rPr>
          <w:iCs/>
        </w:rPr>
        <w:t>, July 2022)</w:t>
      </w:r>
      <w:r w:rsidR="00D878C2">
        <w:rPr>
          <w:iCs/>
        </w:rPr>
        <w:t>.</w:t>
      </w:r>
    </w:p>
    <w:p w14:paraId="01BB0DC4" w14:textId="04CF6EA0" w:rsidR="00BD3CA7" w:rsidRPr="00B4310E" w:rsidRDefault="00BD3CA7" w:rsidP="00B4310E">
      <w:pPr>
        <w:pStyle w:val="3-BodyText"/>
        <w:numPr>
          <w:ilvl w:val="0"/>
          <w:numId w:val="0"/>
        </w:numPr>
        <w:outlineLvl w:val="2"/>
        <w:rPr>
          <w:b/>
          <w:bCs/>
          <w:i/>
          <w:iCs/>
        </w:rPr>
      </w:pPr>
      <w:bookmarkStart w:id="20" w:name="_Ref103045755"/>
      <w:bookmarkStart w:id="21" w:name="_Ref103475066"/>
      <w:r w:rsidRPr="00B4310E">
        <w:rPr>
          <w:b/>
          <w:bCs/>
          <w:i/>
          <w:iCs/>
        </w:rPr>
        <w:t>Limiting use to sapropterin non-responders</w:t>
      </w:r>
    </w:p>
    <w:p w14:paraId="35184D04" w14:textId="239C83C1" w:rsidR="00BD3CA7" w:rsidRPr="00AE2F09" w:rsidRDefault="00BD3CA7" w:rsidP="00BD3CA7">
      <w:pPr>
        <w:pStyle w:val="3-BodyText"/>
      </w:pPr>
      <w:r w:rsidRPr="00AE2F09">
        <w:t xml:space="preserve">The requested restriction requires that the patient must have “failed to achieve an adequate response to a trial of 7 days with sapropterin at a dose of </w:t>
      </w:r>
      <w:r w:rsidR="00196004" w:rsidRPr="00AE2F09">
        <w:t>20</w:t>
      </w:r>
      <w:r w:rsidR="00196004">
        <w:t> </w:t>
      </w:r>
      <w:r w:rsidRPr="00AE2F09">
        <w:t>mg/kg, defined as a reduction in blood phenylalanine of at least 30%”, which limits use of pegvaliase to a third-line population i.e.</w:t>
      </w:r>
      <w:r w:rsidR="00D837C4">
        <w:t>,</w:t>
      </w:r>
      <w:r w:rsidRPr="00AE2F09">
        <w:t xml:space="preserve"> the subgroup of patients who are sapropterin non-responders. </w:t>
      </w:r>
    </w:p>
    <w:p w14:paraId="70B06630" w14:textId="1B737870" w:rsidR="00774AF7" w:rsidRPr="00AE2F09" w:rsidRDefault="00774AF7" w:rsidP="006E6EBA">
      <w:pPr>
        <w:pStyle w:val="3-BodyText"/>
      </w:pPr>
      <w:bookmarkStart w:id="22" w:name="_Ref105424445"/>
      <w:r w:rsidRPr="00AE2F09">
        <w:t>The</w:t>
      </w:r>
      <w:r w:rsidR="00975309">
        <w:t xml:space="preserve"> evaluation</w:t>
      </w:r>
      <w:r w:rsidR="00600AD9">
        <w:t xml:space="preserve"> </w:t>
      </w:r>
      <w:r w:rsidR="00600AD9" w:rsidRPr="000764C2">
        <w:t>and the ESC</w:t>
      </w:r>
      <w:r w:rsidR="00975309">
        <w:t xml:space="preserve"> considered that the</w:t>
      </w:r>
      <w:r w:rsidRPr="00AE2F09">
        <w:t xml:space="preserve"> targeting of only sapropterin non-responders may be inequitable and </w:t>
      </w:r>
      <w:r w:rsidR="00600AD9">
        <w:t xml:space="preserve">was </w:t>
      </w:r>
      <w:r w:rsidRPr="00AE2F09">
        <w:t xml:space="preserve">not </w:t>
      </w:r>
      <w:r w:rsidR="00600AD9">
        <w:t xml:space="preserve">adequately </w:t>
      </w:r>
      <w:r w:rsidRPr="00AE2F09">
        <w:t>justified</w:t>
      </w:r>
      <w:r w:rsidR="00196004">
        <w:t xml:space="preserve"> in the submission</w:t>
      </w:r>
      <w:r w:rsidRPr="00AE2F09">
        <w:t xml:space="preserve">, as </w:t>
      </w:r>
      <w:r w:rsidR="00E601E9" w:rsidRPr="00AE2F09">
        <w:t xml:space="preserve">it </w:t>
      </w:r>
      <w:r w:rsidR="00975309">
        <w:t>was</w:t>
      </w:r>
      <w:r w:rsidR="00975309" w:rsidRPr="00AE2F09">
        <w:t xml:space="preserve"> </w:t>
      </w:r>
      <w:r w:rsidRPr="00AE2F09">
        <w:t>not aligned with the enrolment criteria of the pivotal PRISM trial</w:t>
      </w:r>
      <w:r w:rsidR="00E601E9" w:rsidRPr="00AE2F09">
        <w:t>. Further</w:t>
      </w:r>
      <w:r w:rsidRPr="00AE2F09">
        <w:t>, exploratory subgroup analyses between patients who were ‘sapropterin responders’ and ‘sapropterin non</w:t>
      </w:r>
      <w:r w:rsidR="00196004">
        <w:noBreakHyphen/>
      </w:r>
      <w:r w:rsidRPr="00AE2F09">
        <w:t>responders’ (based on investigator determination) in PRISM 1/ PRISM 2 appear to suggest that there was no difference in efficacy between the two subgroups</w:t>
      </w:r>
      <w:r w:rsidR="007C0B8D" w:rsidRPr="00AE2F09">
        <w:t>. However, results</w:t>
      </w:r>
      <w:r w:rsidRPr="00AE2F09">
        <w:t xml:space="preserve"> from this subgroup analysis had applicability issues to the proposed population given difference</w:t>
      </w:r>
      <w:r w:rsidR="00E601E9" w:rsidRPr="00AE2F09">
        <w:t>s</w:t>
      </w:r>
      <w:r w:rsidRPr="00AE2F09">
        <w:t xml:space="preserve"> in </w:t>
      </w:r>
      <w:r w:rsidR="00E601E9" w:rsidRPr="00AE2F09">
        <w:t xml:space="preserve">the </w:t>
      </w:r>
      <w:r w:rsidRPr="00AE2F09">
        <w:t>definition of sapropterin response.</w:t>
      </w:r>
      <w:bookmarkEnd w:id="20"/>
      <w:bookmarkEnd w:id="21"/>
      <w:r w:rsidRPr="00AE2F09">
        <w:t xml:space="preserve"> </w:t>
      </w:r>
      <w:r w:rsidR="00975309" w:rsidRPr="000764C2">
        <w:t xml:space="preserve">The </w:t>
      </w:r>
      <w:r w:rsidR="009316B6">
        <w:t>Pre-Sub Committee Response (</w:t>
      </w:r>
      <w:r w:rsidR="00975309" w:rsidRPr="000764C2">
        <w:t>PSCR</w:t>
      </w:r>
      <w:r w:rsidR="009316B6">
        <w:t>)</w:t>
      </w:r>
      <w:r w:rsidR="00975309" w:rsidRPr="000764C2">
        <w:t xml:space="preserve"> stated that </w:t>
      </w:r>
      <w:r w:rsidR="00412681" w:rsidRPr="000764C2">
        <w:t xml:space="preserve">the submission </w:t>
      </w:r>
      <w:r w:rsidR="00975309" w:rsidRPr="000764C2">
        <w:t>request</w:t>
      </w:r>
      <w:r w:rsidR="005A29C4" w:rsidRPr="000764C2">
        <w:t>ed</w:t>
      </w:r>
      <w:r w:rsidR="00975309" w:rsidRPr="000764C2">
        <w:t xml:space="preserve"> listing only in sapropterin non-responders </w:t>
      </w:r>
      <w:r w:rsidR="005A29C4" w:rsidRPr="000764C2">
        <w:t xml:space="preserve">as this group has </w:t>
      </w:r>
      <w:r w:rsidR="00975309" w:rsidRPr="000764C2">
        <w:t>the highest clinical need</w:t>
      </w:r>
      <w:r w:rsidR="00795E24">
        <w:t>. Further, the pre-PBAC response stated that</w:t>
      </w:r>
      <w:r w:rsidR="0091659B">
        <w:t>, compared with sapropterin,</w:t>
      </w:r>
      <w:r w:rsidR="00795E24">
        <w:t xml:space="preserve"> pegvaliase has a less </w:t>
      </w:r>
      <w:r w:rsidR="00795E24" w:rsidRPr="00795E24">
        <w:t>convenient route of administration (</w:t>
      </w:r>
      <w:r w:rsidR="00795E24">
        <w:t>d</w:t>
      </w:r>
      <w:r w:rsidR="00795E24" w:rsidRPr="00795E24">
        <w:t>aily subcutaneous injections</w:t>
      </w:r>
      <w:r w:rsidR="00795E24">
        <w:t xml:space="preserve"> while sapropterin is an oral treatment</w:t>
      </w:r>
      <w:r w:rsidR="00795E24" w:rsidRPr="00795E24">
        <w:t>), a much longer time before efficacy is observed with a titration period of up to 24 months, and a less favourable safety profile including a risk of hypersensitivity reactions</w:t>
      </w:r>
      <w:r w:rsidR="00975309" w:rsidRPr="000764C2">
        <w:t>.</w:t>
      </w:r>
      <w:bookmarkEnd w:id="22"/>
      <w:r w:rsidR="00975309" w:rsidRPr="00975309">
        <w:rPr>
          <w:i/>
          <w:iCs/>
        </w:rPr>
        <w:t xml:space="preserve"> </w:t>
      </w:r>
    </w:p>
    <w:p w14:paraId="09BA35DC" w14:textId="208EC307" w:rsidR="00E601E9" w:rsidRPr="00AE2F09" w:rsidRDefault="00E601E9" w:rsidP="006E6EBA">
      <w:pPr>
        <w:pStyle w:val="3-BodyText"/>
      </w:pPr>
      <w:r w:rsidRPr="00AE2F09">
        <w:t xml:space="preserve">Further, the proposed restriction excludes patients who are currently </w:t>
      </w:r>
      <w:r w:rsidR="00F3306C" w:rsidRPr="00AE2F09">
        <w:t>receiving</w:t>
      </w:r>
      <w:r w:rsidRPr="00AE2F09">
        <w:t xml:space="preserve"> sapropterin but who are responding sub-optimally (e.g.</w:t>
      </w:r>
      <w:r w:rsidR="00D837C4">
        <w:t>,</w:t>
      </w:r>
      <w:r w:rsidRPr="00AE2F09">
        <w:t xml:space="preserve"> a patient may have had a </w:t>
      </w:r>
      <w:r w:rsidRPr="00AE2F09">
        <w:rPr>
          <w:rFonts w:cstheme="minorHAnsi"/>
        </w:rPr>
        <w:t>≥ </w:t>
      </w:r>
      <w:r w:rsidRPr="00AE2F09">
        <w:t xml:space="preserve">30% reduction in Phe levels early in </w:t>
      </w:r>
      <w:r w:rsidR="003E2AC1" w:rsidRPr="00AE2F09">
        <w:t>treatment but</w:t>
      </w:r>
      <w:r w:rsidRPr="00AE2F09">
        <w:t xml:space="preserve"> may not currently have Phe levels within the target range</w:t>
      </w:r>
      <w:r w:rsidR="00F86DC0" w:rsidRPr="00F86DC0">
        <w:rPr>
          <w:i/>
          <w:iCs/>
        </w:rPr>
        <w:t xml:space="preserve">, </w:t>
      </w:r>
      <w:r w:rsidR="00F86DC0" w:rsidRPr="000764C2">
        <w:t>particularly those patients with high baseline Phe levels</w:t>
      </w:r>
      <w:r w:rsidRPr="000764C2">
        <w:t>).</w:t>
      </w:r>
      <w:r w:rsidRPr="00AE2F09">
        <w:t xml:space="preserve"> </w:t>
      </w:r>
      <w:r w:rsidR="00600AD9">
        <w:t xml:space="preserve">The </w:t>
      </w:r>
      <w:r w:rsidR="00600AD9">
        <w:lastRenderedPageBreak/>
        <w:t xml:space="preserve">evaluation </w:t>
      </w:r>
      <w:r w:rsidR="00FD55E5" w:rsidRPr="000764C2">
        <w:t xml:space="preserve">and </w:t>
      </w:r>
      <w:r w:rsidR="000764C2">
        <w:t xml:space="preserve">the </w:t>
      </w:r>
      <w:r w:rsidR="00FD55E5" w:rsidRPr="000764C2">
        <w:t>ESC</w:t>
      </w:r>
      <w:r w:rsidR="00FD55E5" w:rsidRPr="00FD55E5">
        <w:rPr>
          <w:i/>
          <w:iCs/>
        </w:rPr>
        <w:t xml:space="preserve"> </w:t>
      </w:r>
      <w:r w:rsidR="00600AD9">
        <w:t>considered that i</w:t>
      </w:r>
      <w:r w:rsidRPr="00AE2F09">
        <w:t xml:space="preserve">t </w:t>
      </w:r>
      <w:r w:rsidR="00600AD9">
        <w:t>wa</w:t>
      </w:r>
      <w:r w:rsidRPr="00AE2F09">
        <w:t xml:space="preserve">s unclear </w:t>
      </w:r>
      <w:r w:rsidR="00600AD9">
        <w:t xml:space="preserve">if </w:t>
      </w:r>
      <w:r w:rsidRPr="00AE2F09">
        <w:t>this is clinically appropriate</w:t>
      </w:r>
      <w:r w:rsidR="00FD55E5">
        <w:t xml:space="preserve">. </w:t>
      </w:r>
      <w:r w:rsidR="00FD55E5" w:rsidRPr="000764C2">
        <w:t xml:space="preserve">Further, </w:t>
      </w:r>
      <w:r w:rsidR="00600AD9" w:rsidRPr="000764C2">
        <w:t>the ESC further considered this may be inequitable</w:t>
      </w:r>
      <w:r w:rsidRPr="000764C2">
        <w:t>.</w:t>
      </w:r>
      <w:r w:rsidR="00600AD9" w:rsidRPr="00600AD9">
        <w:rPr>
          <w:rFonts w:cstheme="minorHAnsi"/>
        </w:rPr>
        <w:t xml:space="preserve"> </w:t>
      </w:r>
    </w:p>
    <w:p w14:paraId="0DE1CABF" w14:textId="57FCFC10" w:rsidR="00F3306C" w:rsidRPr="00AE2F09" w:rsidRDefault="00F3306C" w:rsidP="006E6EBA">
      <w:pPr>
        <w:pStyle w:val="3-BodyText"/>
      </w:pPr>
      <w:bookmarkStart w:id="23" w:name="_Ref110577736"/>
      <w:r w:rsidRPr="00AE2F09">
        <w:t>Sapropterin (including access to sapropterin responsiveness testing) is currently only PBS-listed for initiation in patients aged &lt;</w:t>
      </w:r>
      <w:r w:rsidR="00CA438C">
        <w:t> </w:t>
      </w:r>
      <w:r w:rsidRPr="00AE2F09">
        <w:t xml:space="preserve">18 years, but patients can continue </w:t>
      </w:r>
      <w:r w:rsidR="00C20DDC" w:rsidRPr="00AE2F09">
        <w:t xml:space="preserve">use </w:t>
      </w:r>
      <w:r w:rsidRPr="00AE2F09">
        <w:t>in adulthood if they commence</w:t>
      </w:r>
      <w:r w:rsidR="00232747">
        <w:t>d</w:t>
      </w:r>
      <w:r w:rsidRPr="00AE2F09">
        <w:t xml:space="preserve"> prior to 18 years of age. As outlined in </w:t>
      </w:r>
      <w:r w:rsidR="00196004">
        <w:t>p</w:t>
      </w:r>
      <w:r w:rsidRPr="00AE2F09">
        <w:t xml:space="preserve">aragraph </w:t>
      </w:r>
      <w:r w:rsidRPr="00AE2F09">
        <w:fldChar w:fldCharType="begin"/>
      </w:r>
      <w:r w:rsidRPr="00AE2F09">
        <w:instrText xml:space="preserve"> REF _Ref103617501 \r \h </w:instrText>
      </w:r>
      <w:r w:rsidR="00AE2F09">
        <w:instrText xml:space="preserve"> \* MERGEFORMAT </w:instrText>
      </w:r>
      <w:r w:rsidRPr="00AE2F09">
        <w:fldChar w:fldCharType="separate"/>
      </w:r>
      <w:r w:rsidR="001162C8">
        <w:t>1.2</w:t>
      </w:r>
      <w:r w:rsidRPr="00AE2F09">
        <w:fldChar w:fldCharType="end"/>
      </w:r>
      <w:r w:rsidRPr="00AE2F09">
        <w:t xml:space="preserve">, the sponsor also requested an extension to the existing sapropterin listing to allow patients </w:t>
      </w:r>
      <w:r w:rsidRPr="00AE2F09">
        <w:rPr>
          <w:rFonts w:cstheme="minorHAnsi"/>
        </w:rPr>
        <w:t>≥ </w:t>
      </w:r>
      <w:r w:rsidRPr="00AE2F09">
        <w:t xml:space="preserve">18 years to access sapropterin. Without this corresponding extension to the sapropterin listing, the prevalent pool of adult patients </w:t>
      </w:r>
      <w:r w:rsidR="00F65FC5" w:rsidRPr="00AE2F09">
        <w:t>(i.e.</w:t>
      </w:r>
      <w:r w:rsidR="00D837C4">
        <w:t>,</w:t>
      </w:r>
      <w:r w:rsidR="00F65FC5" w:rsidRPr="00AE2F09">
        <w:t xml:space="preserve"> those patients who were aged </w:t>
      </w:r>
      <w:r w:rsidR="00F65FC5" w:rsidRPr="00AE2F09">
        <w:rPr>
          <w:rFonts w:cstheme="minorHAnsi"/>
        </w:rPr>
        <w:t>≥ </w:t>
      </w:r>
      <w:r w:rsidR="00F65FC5" w:rsidRPr="00AE2F09">
        <w:t xml:space="preserve">18 years when sapropterin was PBS-listed) would have </w:t>
      </w:r>
      <w:r w:rsidR="004900AC" w:rsidRPr="00AE2F09">
        <w:t>to</w:t>
      </w:r>
      <w:r w:rsidR="00F65FC5" w:rsidRPr="00AE2F09">
        <w:t xml:space="preserve"> access</w:t>
      </w:r>
      <w:r w:rsidR="004900AC" w:rsidRPr="00AE2F09">
        <w:t xml:space="preserve"> sapropterin privately prior to being able to access</w:t>
      </w:r>
      <w:r w:rsidRPr="00AE2F09">
        <w:t xml:space="preserve"> pegvaliase</w:t>
      </w:r>
      <w:r w:rsidR="0091659B">
        <w:t xml:space="preserve"> (under the restriction proposed by the sponsor which would limit use to sapropterin non-responders)</w:t>
      </w:r>
      <w:r w:rsidR="00F86DC0" w:rsidRPr="00F86DC0">
        <w:rPr>
          <w:i/>
          <w:iCs/>
        </w:rPr>
        <w:t xml:space="preserve">, </w:t>
      </w:r>
      <w:r w:rsidR="00F86DC0" w:rsidRPr="000764C2">
        <w:t>which the ESC considered would lead to equity issues.</w:t>
      </w:r>
      <w:bookmarkEnd w:id="23"/>
    </w:p>
    <w:p w14:paraId="5B37325E" w14:textId="77777777" w:rsidR="00212A2F" w:rsidRPr="00B4310E" w:rsidRDefault="00212A2F" w:rsidP="00B4310E">
      <w:pPr>
        <w:pStyle w:val="3-BodyText"/>
        <w:numPr>
          <w:ilvl w:val="0"/>
          <w:numId w:val="0"/>
        </w:numPr>
        <w:outlineLvl w:val="2"/>
        <w:rPr>
          <w:b/>
          <w:bCs/>
          <w:i/>
          <w:iCs/>
        </w:rPr>
      </w:pPr>
      <w:r w:rsidRPr="00B4310E">
        <w:rPr>
          <w:b/>
          <w:bCs/>
          <w:i/>
          <w:iCs/>
        </w:rPr>
        <w:t>Other</w:t>
      </w:r>
    </w:p>
    <w:p w14:paraId="6F94174A" w14:textId="5D0E55EF" w:rsidR="00212A2F" w:rsidRPr="00AE2F09" w:rsidRDefault="00212A2F" w:rsidP="00212A2F">
      <w:pPr>
        <w:pStyle w:val="3-BodyText"/>
      </w:pPr>
      <w:r w:rsidRPr="00AE2F09">
        <w:t xml:space="preserve">Under continuing treatment, only </w:t>
      </w:r>
      <w:r w:rsidR="00CA438C" w:rsidRPr="00AE2F09">
        <w:t>20</w:t>
      </w:r>
      <w:r w:rsidR="00CA438C">
        <w:t> </w:t>
      </w:r>
      <w:r w:rsidRPr="00AE2F09">
        <w:t xml:space="preserve">mg syringes are available. As such, continuing patients who have a maintenance dose that is not exactly 20 mg/day, </w:t>
      </w:r>
      <w:r w:rsidR="00196004" w:rsidRPr="00AE2F09">
        <w:t>40</w:t>
      </w:r>
      <w:r w:rsidR="00196004">
        <w:t> </w:t>
      </w:r>
      <w:r w:rsidRPr="00AE2F09">
        <w:t>mg/day or 60 mg/day would be required to utilise the relevant proportion of an extra 20 mg dose (e.g.</w:t>
      </w:r>
      <w:r w:rsidR="00CC16BC">
        <w:t>,</w:t>
      </w:r>
      <w:r w:rsidRPr="00AE2F09">
        <w:t xml:space="preserve"> a 30 mg/day patient would require 2 x 20 mg syringes per day, with 10</w:t>
      </w:r>
      <w:r w:rsidR="00196004">
        <w:t xml:space="preserve"> </w:t>
      </w:r>
      <w:r w:rsidRPr="00AE2F09">
        <w:t>mg of the second syringe not being utilised). This was appropriately incorporated in the resource-use of the economic model.</w:t>
      </w:r>
    </w:p>
    <w:p w14:paraId="1F4E553D" w14:textId="77777777" w:rsidR="00212A2F" w:rsidRPr="00AE2F09" w:rsidRDefault="00212A2F" w:rsidP="00212A2F">
      <w:pPr>
        <w:pStyle w:val="3-BodyText"/>
      </w:pPr>
      <w:r w:rsidRPr="00AE2F09">
        <w:t>The requested restriction was narrower than the TGA approved indication, which did not:</w:t>
      </w:r>
    </w:p>
    <w:p w14:paraId="1B28D99B" w14:textId="1D992272" w:rsidR="00212A2F" w:rsidRPr="00AE2F09" w:rsidRDefault="00212A2F" w:rsidP="004C4E64">
      <w:pPr>
        <w:pStyle w:val="3-BodyText"/>
        <w:numPr>
          <w:ilvl w:val="0"/>
          <w:numId w:val="9"/>
        </w:numPr>
      </w:pPr>
      <w:r w:rsidRPr="00AE2F09">
        <w:t xml:space="preserve">define what treatment options must have been used previously (the requested restriction specifies patients must fail to achieve </w:t>
      </w:r>
      <w:r w:rsidRPr="00AE2F09">
        <w:rPr>
          <w:rFonts w:cstheme="minorHAnsi"/>
        </w:rPr>
        <w:t>≥</w:t>
      </w:r>
      <w:r w:rsidR="00CA438C">
        <w:rPr>
          <w:rFonts w:cstheme="minorHAnsi"/>
        </w:rPr>
        <w:t> </w:t>
      </w:r>
      <w:r w:rsidRPr="00AE2F09">
        <w:t xml:space="preserve">30% reduction from baseline in blood-Phe with a seven-day trial of sapropterin); </w:t>
      </w:r>
    </w:p>
    <w:p w14:paraId="0930DDFD" w14:textId="4ABF661B" w:rsidR="00212A2F" w:rsidRPr="00AE2F09" w:rsidRDefault="00212A2F" w:rsidP="004C4E64">
      <w:pPr>
        <w:pStyle w:val="3-BodyText"/>
        <w:numPr>
          <w:ilvl w:val="0"/>
          <w:numId w:val="9"/>
        </w:numPr>
      </w:pPr>
      <w:r w:rsidRPr="00AE2F09">
        <w:t xml:space="preserve">specify that a blood-Phe minimum of </w:t>
      </w:r>
      <w:r w:rsidR="00CA438C" w:rsidRPr="00AE2F09">
        <w:t>600</w:t>
      </w:r>
      <w:r w:rsidR="00CA438C">
        <w:t> </w:t>
      </w:r>
      <w:r w:rsidRPr="00AE2F09">
        <w:rPr>
          <w:rFonts w:cstheme="minorHAnsi"/>
        </w:rPr>
        <w:t>µmol/L is required for treatment, however this was aligned with the enrolment criteria for the pivotal PRISM 1/PRISM 2 trial; and</w:t>
      </w:r>
    </w:p>
    <w:p w14:paraId="32C0DBBF" w14:textId="5CE50540" w:rsidR="00212A2F" w:rsidRDefault="00212A2F" w:rsidP="004C4E64">
      <w:pPr>
        <w:pStyle w:val="3-BodyText"/>
        <w:numPr>
          <w:ilvl w:val="0"/>
          <w:numId w:val="9"/>
        </w:numPr>
      </w:pPr>
      <w:r w:rsidRPr="00AE2F09">
        <w:t>specify that pegvaliase cannot be used with sapropterin.</w:t>
      </w:r>
    </w:p>
    <w:p w14:paraId="68F717F7" w14:textId="77777777" w:rsidR="000764C2" w:rsidRPr="00C33D30" w:rsidRDefault="000764C2" w:rsidP="000764C2">
      <w:pPr>
        <w:ind w:firstLine="709"/>
        <w:rPr>
          <w:rFonts w:asciiTheme="minorHAnsi" w:hAnsiTheme="minorHAnsi"/>
          <w:i/>
        </w:rPr>
      </w:pPr>
      <w:r w:rsidRPr="00C33D30">
        <w:rPr>
          <w:rFonts w:asciiTheme="minorHAnsi" w:hAnsiTheme="minorHAnsi"/>
          <w:i/>
        </w:rPr>
        <w:t>For more detail on PBAC’s view, see section 7 PBAC outcome.</w:t>
      </w:r>
    </w:p>
    <w:p w14:paraId="59073FD7" w14:textId="77777777" w:rsidR="000764C2" w:rsidRPr="00AE2F09" w:rsidRDefault="000764C2" w:rsidP="000764C2">
      <w:pPr>
        <w:pStyle w:val="3-BodyText"/>
        <w:numPr>
          <w:ilvl w:val="0"/>
          <w:numId w:val="0"/>
        </w:numPr>
        <w:ind w:left="1440" w:hanging="720"/>
      </w:pPr>
    </w:p>
    <w:p w14:paraId="3A4D3560" w14:textId="77777777" w:rsidR="00774AF7" w:rsidRPr="00AE2F09" w:rsidRDefault="00774AF7" w:rsidP="00774AF7">
      <w:pPr>
        <w:pStyle w:val="2-SectionHeading"/>
      </w:pPr>
      <w:bookmarkStart w:id="24" w:name="_Toc103769994"/>
      <w:r w:rsidRPr="00AE2F09">
        <w:t>Population and disease</w:t>
      </w:r>
      <w:bookmarkEnd w:id="24"/>
    </w:p>
    <w:p w14:paraId="7EEEC85C" w14:textId="77777777" w:rsidR="00713B8A" w:rsidRDefault="00774AF7" w:rsidP="00774AF7">
      <w:pPr>
        <w:pStyle w:val="3-BodyText"/>
      </w:pPr>
      <w:r w:rsidRPr="00AE2F09">
        <w:t xml:space="preserve">PKU is a rare inborn disorder which leads to HPA whereby patients suffer from elevated levels of the essential amino acid Phe in the blood. In patients with PKU, the enzyme phenylalanine hydroxylase (PAH) does not effectively metabolise Phe into the essential amino acid tyrosine due to mutations in the PAH gene causing PAH deficiency. </w:t>
      </w:r>
    </w:p>
    <w:p w14:paraId="7C8675A8" w14:textId="46BA7D71" w:rsidR="00D57AD1" w:rsidRPr="00AE2F09" w:rsidRDefault="00774AF7" w:rsidP="00395D3A">
      <w:pPr>
        <w:pStyle w:val="3-BodyText"/>
      </w:pPr>
      <w:r w:rsidRPr="00AE2F09">
        <w:t xml:space="preserve">In adults, untreated high Phe-blood levels can cause neuropsychiatric symptoms including inattention, hyperactivity, anxiety, depression, seizures and tremors. </w:t>
      </w:r>
      <w:r w:rsidR="00713B8A">
        <w:t xml:space="preserve">This </w:t>
      </w:r>
      <w:r w:rsidR="00713B8A">
        <w:lastRenderedPageBreak/>
        <w:t xml:space="preserve">can </w:t>
      </w:r>
      <w:r w:rsidRPr="00AE2F09">
        <w:t>impact executive function</w:t>
      </w:r>
      <w:r w:rsidR="00713B8A">
        <w:t xml:space="preserve">, which </w:t>
      </w:r>
      <w:r w:rsidRPr="00AE2F09">
        <w:t>is a collection of cognitive skills that are required to self-regulate and organise mental efforts in order to achieve goals (Bilder et al., 2016). The ability to plan and organise are critical skills required in adulthood</w:t>
      </w:r>
      <w:r w:rsidR="00AB238B" w:rsidRPr="00AE2F09">
        <w:t>,</w:t>
      </w:r>
      <w:r w:rsidRPr="00AE2F09">
        <w:t xml:space="preserve"> and poor executive function as a result of elevated blood Phe can have negative impacts on a person’s employment and relationships, as well as their ability to appropriately manage their PKU. </w:t>
      </w:r>
    </w:p>
    <w:p w14:paraId="502AAD5C" w14:textId="3C6ED96E" w:rsidR="00774AF7" w:rsidRPr="00AE2F09" w:rsidRDefault="00774AF7" w:rsidP="006E6EBA">
      <w:pPr>
        <w:pStyle w:val="3-BodyText"/>
      </w:pPr>
      <w:r w:rsidRPr="00AE2F09">
        <w:t>The PBAC ha</w:t>
      </w:r>
      <w:r w:rsidR="00AB238B" w:rsidRPr="00AE2F09">
        <w:t>s</w:t>
      </w:r>
      <w:r w:rsidRPr="00AE2F09">
        <w:t xml:space="preserve"> previously considered that the benefits of sapropterin therapy in terms of improved neurological function were likely to be greatest during the development period for children and adolescents</w:t>
      </w:r>
      <w:r w:rsidR="007F6BD9" w:rsidRPr="00AE2F09">
        <w:t xml:space="preserve"> as </w:t>
      </w:r>
      <w:r w:rsidR="00E8169B" w:rsidRPr="00AE2F09">
        <w:t xml:space="preserve">untreated elevated blood-Phe levels </w:t>
      </w:r>
      <w:r w:rsidR="00620896" w:rsidRPr="00AE2F09">
        <w:t xml:space="preserve">during developmental stages can lead to </w:t>
      </w:r>
      <w:r w:rsidR="00FC610E">
        <w:t>cognitive impairment</w:t>
      </w:r>
      <w:r w:rsidR="00E9121F" w:rsidRPr="00AE2F09">
        <w:t>, neurocognitive deficits, behavioural abnormalities, seizures and other serious neurological complications</w:t>
      </w:r>
      <w:r w:rsidRPr="00AE2F09">
        <w:t xml:space="preserve"> (</w:t>
      </w:r>
      <w:r w:rsidR="007313D8">
        <w:t>p</w:t>
      </w:r>
      <w:r w:rsidR="009D0973" w:rsidRPr="00AE2F09">
        <w:t>aragraphs</w:t>
      </w:r>
      <w:r w:rsidRPr="00AE2F09">
        <w:t xml:space="preserve"> </w:t>
      </w:r>
      <w:r w:rsidR="00FB105F" w:rsidRPr="00AE2F09">
        <w:t xml:space="preserve">4.2, </w:t>
      </w:r>
      <w:r w:rsidRPr="00AE2F09">
        <w:t xml:space="preserve">7.1 and 7.3, sapropterin </w:t>
      </w:r>
      <w:r w:rsidR="007313D8">
        <w:t xml:space="preserve">PSD, </w:t>
      </w:r>
      <w:r w:rsidRPr="00AE2F09">
        <w:t>March 2018 P</w:t>
      </w:r>
      <w:r w:rsidR="007313D8">
        <w:t>BAC meeting</w:t>
      </w:r>
      <w:r w:rsidRPr="00AE2F09">
        <w:t>)</w:t>
      </w:r>
      <w:r w:rsidR="000863EA" w:rsidRPr="00AE2F09">
        <w:t>. In its consideration of pegvaliase, the ACM advised that in the real</w:t>
      </w:r>
      <w:r w:rsidR="00D837C4">
        <w:t>-</w:t>
      </w:r>
      <w:r w:rsidR="000863EA" w:rsidRPr="00AE2F09">
        <w:t>world setting, behavioural and psychological manifestations of PKU are substantially reversible in adulthood with improvements in serum Phe concentrations (</w:t>
      </w:r>
      <w:r w:rsidR="00E97C7E" w:rsidRPr="00AE2F09">
        <w:t>p30, AusPAR pegvaliase November 2021).</w:t>
      </w:r>
    </w:p>
    <w:p w14:paraId="671763B8" w14:textId="0CB8758E" w:rsidR="004F157C" w:rsidRPr="00AE2F09" w:rsidRDefault="004F157C" w:rsidP="00774AF7">
      <w:pPr>
        <w:pStyle w:val="3-BodyText"/>
      </w:pPr>
      <w:r w:rsidRPr="00AE2F09">
        <w:t xml:space="preserve">Patients </w:t>
      </w:r>
      <w:r w:rsidR="00582A9A" w:rsidRPr="00AE2F09">
        <w:t>often maintain</w:t>
      </w:r>
      <w:r w:rsidRPr="00AE2F09">
        <w:t xml:space="preserve"> their Phe-levels via a Phe-controlled diet, consisting of low-protein foods combined with PBS-subsidised Phe-free supplements</w:t>
      </w:r>
      <w:r w:rsidR="005C07D7" w:rsidRPr="00AE2F09">
        <w:t>. PKU patients</w:t>
      </w:r>
      <w:r w:rsidRPr="00AE2F09">
        <w:t xml:space="preserve"> </w:t>
      </w:r>
      <w:r w:rsidR="00AB238B" w:rsidRPr="00AE2F09">
        <w:t>experience</w:t>
      </w:r>
      <w:r w:rsidRPr="00AE2F09">
        <w:t xml:space="preserve"> </w:t>
      </w:r>
      <w:r w:rsidR="00BA1562" w:rsidRPr="00AE2F09">
        <w:t xml:space="preserve">negative </w:t>
      </w:r>
      <w:r w:rsidRPr="00AE2F09">
        <w:t>quality-of-life (QoL) impacts</w:t>
      </w:r>
      <w:r w:rsidR="00271706" w:rsidRPr="00AE2F09">
        <w:t xml:space="preserve"> </w:t>
      </w:r>
      <w:r w:rsidR="005C07D7" w:rsidRPr="00AE2F09">
        <w:t xml:space="preserve">through neuropsychiatric symptoms and executive functioning impacts, </w:t>
      </w:r>
      <w:r w:rsidR="00321CE2" w:rsidRPr="00AE2F09">
        <w:t xml:space="preserve">but also through </w:t>
      </w:r>
      <w:r w:rsidR="00C620EE" w:rsidRPr="00AE2F09">
        <w:t xml:space="preserve">the </w:t>
      </w:r>
      <w:r w:rsidR="00BA1562" w:rsidRPr="00AE2F09">
        <w:t xml:space="preserve">negative </w:t>
      </w:r>
      <w:r w:rsidR="00C620EE" w:rsidRPr="00AE2F09">
        <w:t>impacts of a Phe-restrictive diet.</w:t>
      </w:r>
      <w:r w:rsidR="00582A9A" w:rsidRPr="00AE2F09">
        <w:t xml:space="preserve"> </w:t>
      </w:r>
    </w:p>
    <w:p w14:paraId="104981CF" w14:textId="21495840" w:rsidR="00774AF7" w:rsidRPr="00AE2F09" w:rsidRDefault="00774AF7" w:rsidP="00774AF7">
      <w:pPr>
        <w:pStyle w:val="3-BodyText"/>
      </w:pPr>
      <w:r w:rsidRPr="00AE2F09">
        <w:t xml:space="preserve">Pegvaliase is a pegylated recombinant phenylalanine ammonia lyase enzyme derived from Anabaena variabilis bacteria. Pegvaliase is administered daily via a subcutaneous injection, with an </w:t>
      </w:r>
      <w:r w:rsidR="009D0973" w:rsidRPr="00AE2F09">
        <w:t>up-titration</w:t>
      </w:r>
      <w:r w:rsidRPr="00AE2F09">
        <w:t xml:space="preserve"> schedule culminating with maintenance doses of between 20</w:t>
      </w:r>
      <w:r w:rsidR="007313D8">
        <w:t xml:space="preserve"> </w:t>
      </w:r>
      <w:r w:rsidRPr="00AE2F09">
        <w:t>mg to 60</w:t>
      </w:r>
      <w:r w:rsidR="007313D8">
        <w:t xml:space="preserve"> </w:t>
      </w:r>
      <w:r w:rsidRPr="00AE2F09">
        <w:t>mg daily depending on tolerance and response. Pegvaliase substitutes for the deficient PAH enzyme and therefore can be effective across all phenotype severities, including severe patients with no residual PAH activity. Therefore, response to pegvaliase is dependent on a patient’s ability to tolerate immune responses to pegvaliase</w:t>
      </w:r>
      <w:r w:rsidR="00AA219E" w:rsidRPr="00AE2F09">
        <w:t>.</w:t>
      </w:r>
      <w:r w:rsidR="00CD367C" w:rsidRPr="00AE2F09">
        <w:t xml:space="preserve"> Compar</w:t>
      </w:r>
      <w:r w:rsidR="00A35AC2" w:rsidRPr="00AE2F09">
        <w:t>a</w:t>
      </w:r>
      <w:r w:rsidR="00CD367C" w:rsidRPr="00AE2F09">
        <w:t xml:space="preserve">tively, sapropterin </w:t>
      </w:r>
      <w:r w:rsidR="001750D9" w:rsidRPr="00AE2F09">
        <w:t xml:space="preserve">is a cofactor for PAH and is dependent on residual PAH efficiency, and </w:t>
      </w:r>
      <w:r w:rsidR="003A796E" w:rsidRPr="00AE2F09">
        <w:t xml:space="preserve">patients who are most likely to respond to sapropterin are those with lower baseline Phe levels and ‘milder’ disease. </w:t>
      </w:r>
      <w:r w:rsidR="00975309" w:rsidRPr="000764C2">
        <w:t xml:space="preserve">The PSCR stated that pegvaliase is effective irrespective of prior sapropterin response because </w:t>
      </w:r>
      <w:r w:rsidR="000312CE" w:rsidRPr="000764C2">
        <w:t>it</w:t>
      </w:r>
      <w:r w:rsidR="00975309" w:rsidRPr="000764C2">
        <w:t xml:space="preserve"> is an enzyme substitution therapy, which unlike sapropterin, is not reliant on the patient having any residual endogenous PAH activity.</w:t>
      </w:r>
    </w:p>
    <w:p w14:paraId="1454CB3B" w14:textId="5D4C7BA3" w:rsidR="00323799" w:rsidRDefault="00103B52" w:rsidP="00395D3A">
      <w:pPr>
        <w:pStyle w:val="3-BodyText"/>
      </w:pPr>
      <w:r w:rsidRPr="00AE2F09">
        <w:t xml:space="preserve">Pegvaliase is </w:t>
      </w:r>
      <w:r w:rsidR="00FC2BDF" w:rsidRPr="00AE2F09">
        <w:t>intended to be used in conjunct</w:t>
      </w:r>
      <w:r w:rsidR="00AB238B" w:rsidRPr="00AE2F09">
        <w:t>ion</w:t>
      </w:r>
      <w:r w:rsidR="00FC2BDF" w:rsidRPr="00AE2F09">
        <w:t xml:space="preserve"> with a Phe-restricted diet.</w:t>
      </w:r>
      <w:r w:rsidR="002F1952" w:rsidRPr="00AE2F09">
        <w:t xml:space="preserve"> </w:t>
      </w:r>
      <w:r w:rsidR="004B5915" w:rsidRPr="00AE2F09">
        <w:t xml:space="preserve">In </w:t>
      </w:r>
      <w:r w:rsidR="00AB238B" w:rsidRPr="00AE2F09">
        <w:t>clinical practice</w:t>
      </w:r>
      <w:r w:rsidR="004B5915" w:rsidRPr="00AE2F09">
        <w:t xml:space="preserve">, it is likely </w:t>
      </w:r>
      <w:r w:rsidR="00AB238B" w:rsidRPr="00AE2F09">
        <w:t>that</w:t>
      </w:r>
      <w:r w:rsidR="000863EA" w:rsidRPr="00AE2F09">
        <w:t xml:space="preserve"> </w:t>
      </w:r>
      <w:r w:rsidR="003C2962" w:rsidRPr="00AE2F09">
        <w:t>at least some of</w:t>
      </w:r>
      <w:r w:rsidR="00724796" w:rsidRPr="00AE2F09">
        <w:t xml:space="preserve"> </w:t>
      </w:r>
      <w:r w:rsidR="00C97804" w:rsidRPr="00AE2F09">
        <w:t xml:space="preserve">the benefits of pegvaliase </w:t>
      </w:r>
      <w:r w:rsidR="003C6636" w:rsidRPr="00AE2F09">
        <w:t xml:space="preserve">will be due to </w:t>
      </w:r>
      <w:r w:rsidR="0037783F" w:rsidRPr="00AE2F09">
        <w:t xml:space="preserve">a relaxation of </w:t>
      </w:r>
      <w:r w:rsidR="00C97804" w:rsidRPr="00AE2F09">
        <w:t>dietary Phe-restrictions</w:t>
      </w:r>
      <w:r w:rsidR="0037783F" w:rsidRPr="00AE2F09">
        <w:t>.</w:t>
      </w:r>
      <w:r w:rsidR="004B5915" w:rsidRPr="00AE2F09">
        <w:t xml:space="preserve"> </w:t>
      </w:r>
      <w:r w:rsidR="00FD55E5" w:rsidRPr="000764C2">
        <w:t>For example, t</w:t>
      </w:r>
      <w:r w:rsidR="00323799" w:rsidRPr="000764C2">
        <w:t xml:space="preserve">he ESC noted that Longo et al stated “The goal of pegvaliase treatment, therefore, is to provide life-long maintenance of blood Phe concentration as low as possible (concentrations of 31–120 μmol/L should not be regarded as too low) while normalizing diet (defined as not </w:t>
      </w:r>
      <w:r w:rsidR="00323799" w:rsidRPr="000764C2">
        <w:lastRenderedPageBreak/>
        <w:t>requiring PKU medical food and containing at least the Dietary Reference Intake [DRI] for protein [0.8 g/kg/day]”</w:t>
      </w:r>
      <w:r w:rsidR="00323799" w:rsidRPr="000764C2">
        <w:rPr>
          <w:rStyle w:val="FootnoteReference"/>
        </w:rPr>
        <w:footnoteReference w:id="2"/>
      </w:r>
      <w:r w:rsidR="003C419A" w:rsidRPr="000764C2">
        <w:t>.</w:t>
      </w:r>
    </w:p>
    <w:p w14:paraId="00BC7DB2" w14:textId="77777777" w:rsidR="000764C2" w:rsidRPr="00C33D30" w:rsidRDefault="000764C2" w:rsidP="000764C2">
      <w:pPr>
        <w:ind w:firstLine="709"/>
        <w:rPr>
          <w:rFonts w:asciiTheme="minorHAnsi" w:hAnsiTheme="minorHAnsi"/>
          <w:i/>
        </w:rPr>
      </w:pPr>
      <w:r w:rsidRPr="00C33D30">
        <w:rPr>
          <w:rFonts w:asciiTheme="minorHAnsi" w:hAnsiTheme="minorHAnsi"/>
          <w:i/>
        </w:rPr>
        <w:t>For more detail on PBAC’s view, see section 7 PBAC outcome.</w:t>
      </w:r>
    </w:p>
    <w:p w14:paraId="6F059E70" w14:textId="77777777" w:rsidR="00774AF7" w:rsidRPr="00AE2F09" w:rsidRDefault="00774AF7" w:rsidP="00774AF7">
      <w:pPr>
        <w:pStyle w:val="2-SectionHeading"/>
      </w:pPr>
      <w:bookmarkStart w:id="25" w:name="_Toc103769995"/>
      <w:r w:rsidRPr="00AE2F09">
        <w:t>Comparator</w:t>
      </w:r>
      <w:bookmarkEnd w:id="25"/>
    </w:p>
    <w:p w14:paraId="459C3063" w14:textId="54B762F7" w:rsidR="00774AF7" w:rsidRPr="00AE2F09" w:rsidRDefault="00774AF7" w:rsidP="00774AF7">
      <w:pPr>
        <w:pStyle w:val="3-BodyText"/>
        <w:rPr>
          <w:snapToGrid/>
        </w:rPr>
      </w:pPr>
      <w:r w:rsidRPr="00AE2F09">
        <w:t>The submission appropriately nominated a Phe-restricted diet alone as the main comparator, consisting of a Phe-</w:t>
      </w:r>
      <w:r w:rsidR="00B41FFB">
        <w:t>restricted</w:t>
      </w:r>
      <w:r w:rsidR="00B41FFB" w:rsidRPr="00AE2F09">
        <w:t xml:space="preserve"> </w:t>
      </w:r>
      <w:r w:rsidRPr="00AE2F09">
        <w:t xml:space="preserve">dietary intake and PBS-listed Phe-free amino acid supplements. The main argument provided in support of this nomination was that the target population are sapropterin non-responders and there are no other pharmacological treatments for PKU. </w:t>
      </w:r>
    </w:p>
    <w:p w14:paraId="13F92FFE" w14:textId="71CD509C" w:rsidR="00774AF7" w:rsidRPr="00AE2F09" w:rsidRDefault="00774AF7" w:rsidP="00774AF7">
      <w:pPr>
        <w:pStyle w:val="3-BodyText"/>
        <w:rPr>
          <w:snapToGrid/>
        </w:rPr>
      </w:pPr>
      <w:r w:rsidRPr="00AE2F09">
        <w:rPr>
          <w:color w:val="000000" w:themeColor="text1"/>
        </w:rPr>
        <w:t xml:space="preserve">Phe-restricted diet was also the nominated comparator in the most recent November 2020 resubmission for sapropterin in patients aged </w:t>
      </w:r>
      <w:r w:rsidRPr="00AE2F09">
        <w:rPr>
          <w:rFonts w:cstheme="minorHAnsi"/>
          <w:color w:val="000000" w:themeColor="text1"/>
        </w:rPr>
        <w:t>≥</w:t>
      </w:r>
      <w:r w:rsidRPr="00AE2F09">
        <w:rPr>
          <w:color w:val="000000" w:themeColor="text1"/>
        </w:rPr>
        <w:t xml:space="preserve">18 years with maternal </w:t>
      </w:r>
      <w:r w:rsidR="003E2AC1" w:rsidRPr="00AE2F09">
        <w:rPr>
          <w:color w:val="000000" w:themeColor="text1"/>
        </w:rPr>
        <w:t>PKU and</w:t>
      </w:r>
      <w:r w:rsidRPr="00AE2F09">
        <w:rPr>
          <w:color w:val="000000" w:themeColor="text1"/>
        </w:rPr>
        <w:t xml:space="preserve"> was considered by the PBAC as appropriate and consistent with previous submissions for PKU (paragraph 5.1, sapropterin </w:t>
      </w:r>
      <w:r w:rsidR="007313D8">
        <w:rPr>
          <w:color w:val="000000" w:themeColor="text1"/>
        </w:rPr>
        <w:t xml:space="preserve">PSD, </w:t>
      </w:r>
      <w:r w:rsidRPr="00AE2F09">
        <w:rPr>
          <w:color w:val="000000" w:themeColor="text1"/>
        </w:rPr>
        <w:t xml:space="preserve">November 2020 </w:t>
      </w:r>
      <w:r w:rsidR="007313D8">
        <w:rPr>
          <w:color w:val="000000" w:themeColor="text1"/>
        </w:rPr>
        <w:t>PBAC meeting</w:t>
      </w:r>
      <w:r w:rsidRPr="00AE2F09">
        <w:rPr>
          <w:color w:val="000000" w:themeColor="text1"/>
        </w:rPr>
        <w:t xml:space="preserve">). </w:t>
      </w:r>
    </w:p>
    <w:p w14:paraId="406CE9E4" w14:textId="40AC7F70" w:rsidR="009714F7" w:rsidRPr="00AE2F09" w:rsidRDefault="009714F7" w:rsidP="009714F7">
      <w:pPr>
        <w:pStyle w:val="3-BodyText"/>
      </w:pPr>
      <w:r w:rsidRPr="00AE2F09">
        <w:t xml:space="preserve">The submission noted that, for consistency with previous PBAC submissions for sapropterin for the treatment of PKU, </w:t>
      </w:r>
      <w:r w:rsidR="00713B8A">
        <w:t xml:space="preserve">a </w:t>
      </w:r>
      <w:r w:rsidRPr="00AE2F09">
        <w:t>Phe-restricted diet compris</w:t>
      </w:r>
      <w:r w:rsidR="00713B8A">
        <w:t>es</w:t>
      </w:r>
      <w:r w:rsidRPr="00AE2F09">
        <w:t xml:space="preserve"> the following:</w:t>
      </w:r>
    </w:p>
    <w:p w14:paraId="2D55A77F" w14:textId="77777777" w:rsidR="009714F7" w:rsidRPr="00AE2F09" w:rsidRDefault="009714F7" w:rsidP="004C4E64">
      <w:pPr>
        <w:pStyle w:val="3-BodyText"/>
        <w:numPr>
          <w:ilvl w:val="0"/>
          <w:numId w:val="11"/>
        </w:numPr>
        <w:ind w:left="1134"/>
      </w:pPr>
      <w:r w:rsidRPr="00AE2F09">
        <w:t>Natural protein restriction according to individual Phe tolerance;</w:t>
      </w:r>
    </w:p>
    <w:p w14:paraId="4A07918C" w14:textId="77777777" w:rsidR="009714F7" w:rsidRPr="00AE2F09" w:rsidRDefault="009714F7" w:rsidP="004C4E64">
      <w:pPr>
        <w:pStyle w:val="3-BodyText"/>
        <w:numPr>
          <w:ilvl w:val="0"/>
          <w:numId w:val="11"/>
        </w:numPr>
        <w:ind w:left="1134"/>
      </w:pPr>
      <w:r w:rsidRPr="00AE2F09">
        <w:t>PBS-listed Phe-free amino acid supplements (with added vitamins and minerals) to meet protein and non-protein requirements; and</w:t>
      </w:r>
    </w:p>
    <w:p w14:paraId="1F677C9B" w14:textId="77777777" w:rsidR="009714F7" w:rsidRPr="00AE2F09" w:rsidRDefault="009714F7" w:rsidP="004C4E64">
      <w:pPr>
        <w:pStyle w:val="3-BodyText"/>
        <w:numPr>
          <w:ilvl w:val="0"/>
          <w:numId w:val="11"/>
        </w:numPr>
        <w:ind w:left="1134"/>
      </w:pPr>
      <w:r w:rsidRPr="00AE2F09">
        <w:t>Low-protein food to meet energy requirements.</w:t>
      </w:r>
    </w:p>
    <w:p w14:paraId="61B368DA" w14:textId="15579129" w:rsidR="009714F7" w:rsidRPr="00AE2F09" w:rsidRDefault="009714F7" w:rsidP="009714F7">
      <w:pPr>
        <w:pStyle w:val="3-BodyText"/>
      </w:pPr>
      <w:r w:rsidRPr="00AE2F09">
        <w:t xml:space="preserve">The submission considered that all patients should be on </w:t>
      </w:r>
      <w:r w:rsidR="00713B8A">
        <w:t>a</w:t>
      </w:r>
      <w:r w:rsidRPr="00AE2F09">
        <w:t xml:space="preserve"> Phe-restricted diet, and consequently pegvaliase would not be expected to replace </w:t>
      </w:r>
      <w:r w:rsidR="00713B8A">
        <w:t xml:space="preserve">a </w:t>
      </w:r>
      <w:r w:rsidRPr="00AE2F09">
        <w:t xml:space="preserve">Phe-restricted diet but would </w:t>
      </w:r>
      <w:r w:rsidR="000863EA" w:rsidRPr="00AE2F09">
        <w:t xml:space="preserve">instead </w:t>
      </w:r>
      <w:r w:rsidRPr="00AE2F09">
        <w:t xml:space="preserve">be used in combination with it. However, the submission also considered that adherence to the Phe-restricted diet tended to be low, consequently it was unclear whether pegvaliase would in practice, serve as a replacement. DUSC has previously </w:t>
      </w:r>
      <w:r w:rsidR="00AB238B" w:rsidRPr="00AE2F09">
        <w:t>considered</w:t>
      </w:r>
      <w:r w:rsidRPr="00AE2F09">
        <w:t xml:space="preserve"> that sapropterin use may allow inappropriate relaxation of the Phe-restricted diet (</w:t>
      </w:r>
      <w:r w:rsidR="00B426CF">
        <w:t>p</w:t>
      </w:r>
      <w:r w:rsidRPr="00AE2F09">
        <w:t>aragraph 6.70, sapropterin</w:t>
      </w:r>
      <w:r w:rsidR="007313D8">
        <w:t xml:space="preserve"> PSD,</w:t>
      </w:r>
      <w:r w:rsidRPr="00AE2F09">
        <w:t xml:space="preserve"> March 2018 P</w:t>
      </w:r>
      <w:r w:rsidR="007313D8">
        <w:t>BAC meeting</w:t>
      </w:r>
      <w:r w:rsidRPr="00AE2F09">
        <w:t xml:space="preserve">). </w:t>
      </w:r>
    </w:p>
    <w:p w14:paraId="59B2D792" w14:textId="65E74EC2" w:rsidR="00774AF7" w:rsidRDefault="004900AC" w:rsidP="00374B57">
      <w:pPr>
        <w:pStyle w:val="3-BodyText"/>
        <w:rPr>
          <w:color w:val="000000" w:themeColor="text1"/>
        </w:rPr>
      </w:pPr>
      <w:r w:rsidRPr="00AE2F09">
        <w:rPr>
          <w:color w:val="000000" w:themeColor="text1"/>
        </w:rPr>
        <w:t>As discussed in</w:t>
      </w:r>
      <w:r w:rsidR="000312CE">
        <w:rPr>
          <w:color w:val="000000" w:themeColor="text1"/>
        </w:rPr>
        <w:t xml:space="preserve"> paragraph </w:t>
      </w:r>
      <w:r w:rsidR="000312CE">
        <w:rPr>
          <w:color w:val="000000" w:themeColor="text1"/>
        </w:rPr>
        <w:fldChar w:fldCharType="begin"/>
      </w:r>
      <w:r w:rsidR="000312CE">
        <w:rPr>
          <w:color w:val="000000" w:themeColor="text1"/>
        </w:rPr>
        <w:instrText xml:space="preserve"> REF _Ref105424445 \r \h </w:instrText>
      </w:r>
      <w:r w:rsidR="000312CE">
        <w:rPr>
          <w:color w:val="000000" w:themeColor="text1"/>
        </w:rPr>
      </w:r>
      <w:r w:rsidR="000312CE">
        <w:rPr>
          <w:color w:val="000000" w:themeColor="text1"/>
        </w:rPr>
        <w:fldChar w:fldCharType="separate"/>
      </w:r>
      <w:r w:rsidR="001162C8">
        <w:rPr>
          <w:color w:val="000000" w:themeColor="text1"/>
        </w:rPr>
        <w:t>3.10</w:t>
      </w:r>
      <w:r w:rsidR="000312CE">
        <w:rPr>
          <w:color w:val="000000" w:themeColor="text1"/>
        </w:rPr>
        <w:fldChar w:fldCharType="end"/>
      </w:r>
      <w:r w:rsidRPr="00AE2F09">
        <w:rPr>
          <w:color w:val="000000" w:themeColor="text1"/>
        </w:rPr>
        <w:t xml:space="preserve">, the </w:t>
      </w:r>
      <w:r w:rsidR="003E0C81">
        <w:rPr>
          <w:color w:val="000000" w:themeColor="text1"/>
        </w:rPr>
        <w:t xml:space="preserve">evaluation and the ESC considered that the </w:t>
      </w:r>
      <w:r w:rsidRPr="00AE2F09">
        <w:rPr>
          <w:color w:val="000000" w:themeColor="text1"/>
        </w:rPr>
        <w:t>restriction of pegvaliase to sapropterin non-responders was poorly justified and may not be clinically appropriate. In practice it may be difficult to distinguish two separate lines of therapy e</w:t>
      </w:r>
      <w:r w:rsidR="000312CE">
        <w:rPr>
          <w:color w:val="000000" w:themeColor="text1"/>
        </w:rPr>
        <w:t>.</w:t>
      </w:r>
      <w:r w:rsidRPr="00AE2F09">
        <w:rPr>
          <w:color w:val="000000" w:themeColor="text1"/>
        </w:rPr>
        <w:t>g.</w:t>
      </w:r>
      <w:r w:rsidR="00D837C4">
        <w:rPr>
          <w:color w:val="000000" w:themeColor="text1"/>
        </w:rPr>
        <w:t>,</w:t>
      </w:r>
      <w:r w:rsidRPr="00AE2F09">
        <w:rPr>
          <w:color w:val="000000" w:themeColor="text1"/>
        </w:rPr>
        <w:t xml:space="preserve"> there may be use of pegvaliase in patients who perceive that there will be efficacy benefits with pegvaliase that would allow increases to dietary Phe consumption. Should </w:t>
      </w:r>
      <w:bookmarkStart w:id="26" w:name="_Hlk103754170"/>
      <w:r w:rsidRPr="00AE2F09">
        <w:rPr>
          <w:color w:val="000000" w:themeColor="text1"/>
        </w:rPr>
        <w:t>the clinical use of pegvaliase be broader than requested by the sponsor</w:t>
      </w:r>
      <w:bookmarkEnd w:id="26"/>
      <w:r w:rsidRPr="00AE2F09">
        <w:rPr>
          <w:color w:val="000000" w:themeColor="text1"/>
        </w:rPr>
        <w:t>, sapropterin would likely be a comparator to pegvaliase.</w:t>
      </w:r>
      <w:r w:rsidR="00FA645D" w:rsidRPr="00AE2F09">
        <w:rPr>
          <w:color w:val="000000" w:themeColor="text1"/>
        </w:rPr>
        <w:t xml:space="preserve"> </w:t>
      </w:r>
    </w:p>
    <w:p w14:paraId="71C6AC51" w14:textId="77777777" w:rsidR="000764C2" w:rsidRPr="00C33D30" w:rsidRDefault="000764C2" w:rsidP="000764C2">
      <w:pPr>
        <w:ind w:firstLine="709"/>
        <w:rPr>
          <w:rFonts w:asciiTheme="minorHAnsi" w:hAnsiTheme="minorHAnsi"/>
          <w:i/>
        </w:rPr>
      </w:pPr>
      <w:r w:rsidRPr="00C33D30">
        <w:rPr>
          <w:rFonts w:asciiTheme="minorHAnsi" w:hAnsiTheme="minorHAnsi"/>
          <w:i/>
        </w:rPr>
        <w:t>For more detail on PBAC’s view, see section 7 PBAC outcome.</w:t>
      </w:r>
    </w:p>
    <w:p w14:paraId="3D04F400" w14:textId="77777777" w:rsidR="00774AF7" w:rsidRPr="00AE2F09" w:rsidRDefault="00774AF7" w:rsidP="00774AF7">
      <w:pPr>
        <w:pStyle w:val="2-SectionHeading"/>
      </w:pPr>
      <w:bookmarkStart w:id="27" w:name="_Toc103769996"/>
      <w:bookmarkStart w:id="28" w:name="_Toc22897640"/>
      <w:r w:rsidRPr="00AE2F09">
        <w:lastRenderedPageBreak/>
        <w:t>Consideration of the evidence</w:t>
      </w:r>
      <w:bookmarkEnd w:id="27"/>
    </w:p>
    <w:p w14:paraId="05400E8F" w14:textId="77777777" w:rsidR="000764C2" w:rsidRPr="006E1229" w:rsidRDefault="000764C2" w:rsidP="009D7A99">
      <w:pPr>
        <w:pStyle w:val="3-SubsectionHeading"/>
        <w:outlineLvl w:val="1"/>
        <w:rPr>
          <w:lang w:eastAsia="en-AU"/>
        </w:rPr>
      </w:pPr>
      <w:bookmarkStart w:id="29" w:name="_Hlk76375935"/>
      <w:bookmarkStart w:id="30" w:name="_Toc103769997"/>
      <w:r w:rsidRPr="006E1229">
        <w:rPr>
          <w:lang w:eastAsia="en-AU"/>
        </w:rPr>
        <w:t>Sponsor hearing</w:t>
      </w:r>
    </w:p>
    <w:p w14:paraId="414FC431" w14:textId="77777777" w:rsidR="00993840" w:rsidRDefault="000764C2" w:rsidP="00993840">
      <w:pPr>
        <w:widowControl w:val="0"/>
        <w:numPr>
          <w:ilvl w:val="1"/>
          <w:numId w:val="1"/>
        </w:numPr>
        <w:spacing w:after="120"/>
        <w:rPr>
          <w:rFonts w:asciiTheme="minorHAnsi" w:hAnsiTheme="minorHAnsi"/>
          <w:bCs/>
          <w:snapToGrid w:val="0"/>
        </w:rPr>
      </w:pPr>
      <w:bookmarkStart w:id="31" w:name="_Hlk76382586"/>
      <w:r w:rsidRPr="00836F75">
        <w:rPr>
          <w:rFonts w:asciiTheme="minorHAnsi" w:hAnsiTheme="minorHAnsi"/>
          <w:bCs/>
          <w:snapToGrid w:val="0"/>
        </w:rPr>
        <w:t xml:space="preserve">The sponsor requested a hearing for this item. The </w:t>
      </w:r>
      <w:r w:rsidR="007B7005">
        <w:rPr>
          <w:rFonts w:asciiTheme="minorHAnsi" w:hAnsiTheme="minorHAnsi"/>
          <w:bCs/>
          <w:snapToGrid w:val="0"/>
        </w:rPr>
        <w:t xml:space="preserve">two </w:t>
      </w:r>
      <w:r w:rsidRPr="00836F75">
        <w:rPr>
          <w:rFonts w:asciiTheme="minorHAnsi" w:hAnsiTheme="minorHAnsi"/>
          <w:bCs/>
          <w:snapToGrid w:val="0"/>
        </w:rPr>
        <w:t>clinician</w:t>
      </w:r>
      <w:r w:rsidR="003D711D">
        <w:rPr>
          <w:rFonts w:asciiTheme="minorHAnsi" w:hAnsiTheme="minorHAnsi"/>
          <w:bCs/>
          <w:snapToGrid w:val="0"/>
        </w:rPr>
        <w:t>s described the real world, functional impact of high Phe levels on patients including high rates of depression, anxiety and panic attacks</w:t>
      </w:r>
      <w:r w:rsidR="007B7005">
        <w:rPr>
          <w:rFonts w:asciiTheme="minorHAnsi" w:hAnsiTheme="minorHAnsi"/>
          <w:bCs/>
          <w:snapToGrid w:val="0"/>
        </w:rPr>
        <w:t xml:space="preserve"> and </w:t>
      </w:r>
      <w:r w:rsidR="00993840">
        <w:rPr>
          <w:rFonts w:asciiTheme="minorHAnsi" w:hAnsiTheme="minorHAnsi"/>
          <w:bCs/>
          <w:snapToGrid w:val="0"/>
        </w:rPr>
        <w:t xml:space="preserve">also the </w:t>
      </w:r>
      <w:r w:rsidR="007B7005">
        <w:rPr>
          <w:rFonts w:asciiTheme="minorHAnsi" w:hAnsiTheme="minorHAnsi"/>
          <w:bCs/>
          <w:snapToGrid w:val="0"/>
        </w:rPr>
        <w:t xml:space="preserve">impacts on cognitive function in terms of reduced working memory, attention and mood. The clinicians stated that even small reductions in Phe levels can </w:t>
      </w:r>
      <w:r w:rsidR="00993840">
        <w:rPr>
          <w:rFonts w:asciiTheme="minorHAnsi" w:hAnsiTheme="minorHAnsi"/>
          <w:bCs/>
          <w:snapToGrid w:val="0"/>
        </w:rPr>
        <w:t>improve</w:t>
      </w:r>
      <w:r w:rsidR="007B7005">
        <w:rPr>
          <w:rFonts w:asciiTheme="minorHAnsi" w:hAnsiTheme="minorHAnsi"/>
          <w:bCs/>
          <w:snapToGrid w:val="0"/>
        </w:rPr>
        <w:t xml:space="preserve"> these outcomes and </w:t>
      </w:r>
      <w:r w:rsidR="00993840">
        <w:rPr>
          <w:rFonts w:asciiTheme="minorHAnsi" w:hAnsiTheme="minorHAnsi"/>
          <w:bCs/>
          <w:snapToGrid w:val="0"/>
        </w:rPr>
        <w:t>consequently improve patients’ ability to manage their diet, daily life, family and work. One clinician noted that these outcomes are clinically evident but are difficult to study and were not well-captured in the trials.</w:t>
      </w:r>
    </w:p>
    <w:p w14:paraId="27877383" w14:textId="1C6E2354" w:rsidR="007B7005" w:rsidRDefault="007B7005" w:rsidP="000764C2">
      <w:pPr>
        <w:widowControl w:val="0"/>
        <w:numPr>
          <w:ilvl w:val="1"/>
          <w:numId w:val="1"/>
        </w:numPr>
        <w:spacing w:after="120"/>
        <w:rPr>
          <w:rFonts w:asciiTheme="minorHAnsi" w:hAnsiTheme="minorHAnsi"/>
          <w:bCs/>
          <w:snapToGrid w:val="0"/>
        </w:rPr>
      </w:pPr>
      <w:r>
        <w:rPr>
          <w:rFonts w:asciiTheme="minorHAnsi" w:hAnsiTheme="minorHAnsi"/>
          <w:bCs/>
          <w:snapToGrid w:val="0"/>
        </w:rPr>
        <w:t xml:space="preserve">One </w:t>
      </w:r>
      <w:r w:rsidR="00993840">
        <w:rPr>
          <w:rFonts w:asciiTheme="minorHAnsi" w:hAnsiTheme="minorHAnsi"/>
          <w:bCs/>
          <w:snapToGrid w:val="0"/>
        </w:rPr>
        <w:t xml:space="preserve">of the </w:t>
      </w:r>
      <w:r>
        <w:rPr>
          <w:rFonts w:asciiTheme="minorHAnsi" w:hAnsiTheme="minorHAnsi"/>
          <w:bCs/>
          <w:snapToGrid w:val="0"/>
        </w:rPr>
        <w:t>clinician</w:t>
      </w:r>
      <w:r w:rsidR="00993840">
        <w:rPr>
          <w:rFonts w:asciiTheme="minorHAnsi" w:hAnsiTheme="minorHAnsi"/>
          <w:bCs/>
          <w:snapToGrid w:val="0"/>
        </w:rPr>
        <w:t xml:space="preserve">s outlined </w:t>
      </w:r>
      <w:r>
        <w:rPr>
          <w:rFonts w:asciiTheme="minorHAnsi" w:hAnsiTheme="minorHAnsi"/>
          <w:bCs/>
          <w:snapToGrid w:val="0"/>
        </w:rPr>
        <w:t xml:space="preserve">that the ADHD-RS tool is commonly used </w:t>
      </w:r>
      <w:r w:rsidR="00993840">
        <w:rPr>
          <w:rFonts w:asciiTheme="minorHAnsi" w:hAnsiTheme="minorHAnsi"/>
          <w:bCs/>
          <w:snapToGrid w:val="0"/>
        </w:rPr>
        <w:t xml:space="preserve">in </w:t>
      </w:r>
      <w:r>
        <w:rPr>
          <w:rFonts w:asciiTheme="minorHAnsi" w:hAnsiTheme="minorHAnsi"/>
          <w:bCs/>
          <w:snapToGrid w:val="0"/>
        </w:rPr>
        <w:t>clinical</w:t>
      </w:r>
      <w:r w:rsidR="00993840">
        <w:rPr>
          <w:rFonts w:asciiTheme="minorHAnsi" w:hAnsiTheme="minorHAnsi"/>
          <w:bCs/>
          <w:snapToGrid w:val="0"/>
        </w:rPr>
        <w:t xml:space="preserve"> practice</w:t>
      </w:r>
      <w:r w:rsidR="009511C2">
        <w:rPr>
          <w:rFonts w:asciiTheme="minorHAnsi" w:hAnsiTheme="minorHAnsi"/>
          <w:bCs/>
          <w:snapToGrid w:val="0"/>
        </w:rPr>
        <w:t>. The clinician</w:t>
      </w:r>
      <w:r>
        <w:rPr>
          <w:rFonts w:asciiTheme="minorHAnsi" w:hAnsiTheme="minorHAnsi"/>
          <w:bCs/>
          <w:snapToGrid w:val="0"/>
        </w:rPr>
        <w:t xml:space="preserve"> considered that it was suitable for </w:t>
      </w:r>
      <w:r w:rsidR="009511C2">
        <w:rPr>
          <w:rFonts w:asciiTheme="minorHAnsi" w:hAnsiTheme="minorHAnsi"/>
          <w:bCs/>
          <w:snapToGrid w:val="0"/>
        </w:rPr>
        <w:t>capturing patient-reported, real-life outcomes that are important for measuring functional impairment.</w:t>
      </w:r>
    </w:p>
    <w:p w14:paraId="4A9EECDF" w14:textId="501201C7" w:rsidR="009511C2" w:rsidRDefault="009511C2" w:rsidP="000764C2">
      <w:pPr>
        <w:widowControl w:val="0"/>
        <w:numPr>
          <w:ilvl w:val="1"/>
          <w:numId w:val="1"/>
        </w:numPr>
        <w:spacing w:after="120"/>
        <w:rPr>
          <w:rFonts w:asciiTheme="minorHAnsi" w:hAnsiTheme="minorHAnsi"/>
          <w:bCs/>
          <w:snapToGrid w:val="0"/>
        </w:rPr>
      </w:pPr>
      <w:r>
        <w:rPr>
          <w:rFonts w:asciiTheme="minorHAnsi" w:hAnsiTheme="minorHAnsi"/>
          <w:bCs/>
          <w:snapToGrid w:val="0"/>
        </w:rPr>
        <w:t>One clinician noted that for some patients a long dose titration is needed and there is variable time to achieve efficacy. The clinician noted that this was due to unpredictable variation in patients’ immune responses to pegvaliase. While slow titration is needed to minimise hypersensitivity reactions, some patients require high doses in order to overcome the antibodies that neutralise the drug.</w:t>
      </w:r>
    </w:p>
    <w:bookmarkEnd w:id="31"/>
    <w:p w14:paraId="7D389918" w14:textId="77777777" w:rsidR="000764C2" w:rsidRPr="006E1229" w:rsidRDefault="000764C2" w:rsidP="009D7A99">
      <w:pPr>
        <w:pStyle w:val="3-SubsectionHeading"/>
        <w:outlineLvl w:val="1"/>
        <w:rPr>
          <w:lang w:eastAsia="en-AU"/>
        </w:rPr>
      </w:pPr>
      <w:r w:rsidRPr="006E1229">
        <w:rPr>
          <w:lang w:eastAsia="en-AU"/>
        </w:rPr>
        <w:t>Consumer comments</w:t>
      </w:r>
    </w:p>
    <w:p w14:paraId="2BD175B6" w14:textId="77777777" w:rsidR="00993840" w:rsidRDefault="00993840" w:rsidP="00993840">
      <w:pPr>
        <w:pStyle w:val="3-BodyText"/>
      </w:pPr>
      <w:bookmarkStart w:id="32" w:name="_Hlk76382618"/>
      <w:r>
        <w:t>R</w:t>
      </w:r>
      <w:r w:rsidRPr="00146E1B">
        <w:t xml:space="preserve">epresentatives of the PBAC met with </w:t>
      </w:r>
      <w:r>
        <w:t xml:space="preserve">patient and health professional </w:t>
      </w:r>
      <w:r w:rsidRPr="00146E1B">
        <w:t>representative</w:t>
      </w:r>
      <w:r>
        <w:t>s</w:t>
      </w:r>
      <w:r w:rsidRPr="00146E1B">
        <w:t xml:space="preserve"> prior to the PBAC meeting. The following is a summary of the perspectives presented:</w:t>
      </w:r>
    </w:p>
    <w:p w14:paraId="1D9DA4B4" w14:textId="77777777" w:rsidR="00993840" w:rsidRDefault="00993840" w:rsidP="00993840">
      <w:pPr>
        <w:pStyle w:val="Bulletpoints"/>
        <w:ind w:left="1134"/>
      </w:pPr>
      <w:r>
        <w:t>Diet management alone is extremely difficult and has an enormous impact on patients. Many patients struggle to lower or maintain their Phe levels using diet alone.</w:t>
      </w:r>
    </w:p>
    <w:p w14:paraId="43C46236" w14:textId="77777777" w:rsidR="00993840" w:rsidRDefault="00993840" w:rsidP="00993840">
      <w:pPr>
        <w:pStyle w:val="Bulletpoints"/>
        <w:ind w:left="1134"/>
      </w:pPr>
      <w:r>
        <w:t>Dopamine depletion results in reduced executive function and serotonin depletion results in anxiety and depression, though cognitive function and psychiatric well-being impacts are experienced at variable levels.</w:t>
      </w:r>
    </w:p>
    <w:p w14:paraId="5FF87CC5" w14:textId="77777777" w:rsidR="00993840" w:rsidRDefault="00993840" w:rsidP="00993840">
      <w:pPr>
        <w:pStyle w:val="Bulletpoints"/>
        <w:ind w:left="1134"/>
      </w:pPr>
      <w:r>
        <w:t>Reductions in Phe levels in adults can lead to significant and meaningful improvements, with depression and anxiety scores improved and working memory and cognitive function substantially improved or returned over the longer term</w:t>
      </w:r>
      <w:r>
        <w:rPr>
          <w:rStyle w:val="FootnoteReference"/>
          <w:rFonts w:eastAsia="Calibri"/>
          <w:iCs/>
        </w:rPr>
        <w:footnoteReference w:id="3"/>
      </w:r>
      <w:r w:rsidRPr="00AA0272">
        <w:rPr>
          <w:rFonts w:eastAsia="Calibri"/>
          <w:iCs/>
        </w:rPr>
        <w:t>.</w:t>
      </w:r>
      <w:r>
        <w:rPr>
          <w:rFonts w:eastAsia="Calibri"/>
          <w:iCs/>
        </w:rPr>
        <w:t xml:space="preserve"> </w:t>
      </w:r>
      <w:r w:rsidRPr="00AA0272">
        <w:rPr>
          <w:snapToGrid/>
          <w:lang w:val="en-GB" w:eastAsia="en-US"/>
        </w:rPr>
        <w:t xml:space="preserve">Clinicians also highlighted that </w:t>
      </w:r>
      <w:r>
        <w:rPr>
          <w:snapToGrid/>
          <w:lang w:val="en-GB" w:eastAsia="en-US"/>
        </w:rPr>
        <w:t xml:space="preserve">there is evidence that </w:t>
      </w:r>
      <w:r w:rsidRPr="00AA0272">
        <w:rPr>
          <w:snapToGrid/>
          <w:lang w:val="en-GB" w:eastAsia="en-US"/>
        </w:rPr>
        <w:t xml:space="preserve">patients </w:t>
      </w:r>
      <w:r w:rsidRPr="00AA0272">
        <w:rPr>
          <w:snapToGrid/>
          <w:lang w:val="en-GB" w:eastAsia="en-US"/>
        </w:rPr>
        <w:lastRenderedPageBreak/>
        <w:t xml:space="preserve">experience </w:t>
      </w:r>
      <w:r>
        <w:rPr>
          <w:snapToGrid/>
          <w:lang w:val="en-GB" w:eastAsia="en-US"/>
        </w:rPr>
        <w:t xml:space="preserve">reversible </w:t>
      </w:r>
      <w:r w:rsidRPr="00AA0272">
        <w:rPr>
          <w:snapToGrid/>
          <w:lang w:val="en-GB" w:eastAsia="en-US"/>
        </w:rPr>
        <w:t xml:space="preserve">changes in white matter </w:t>
      </w:r>
      <w:r>
        <w:rPr>
          <w:snapToGrid/>
          <w:lang w:val="en-GB" w:eastAsia="en-US"/>
        </w:rPr>
        <w:t>indicative of neurodegenerative effects of raised blood Phe levels</w:t>
      </w:r>
      <w:r>
        <w:rPr>
          <w:rStyle w:val="FootnoteReference"/>
          <w:snapToGrid/>
          <w:lang w:val="en-GB" w:eastAsia="en-US"/>
        </w:rPr>
        <w:footnoteReference w:id="4"/>
      </w:r>
      <w:r>
        <w:rPr>
          <w:snapToGrid/>
          <w:lang w:val="en-GB" w:eastAsia="en-US"/>
        </w:rPr>
        <w:t>.</w:t>
      </w:r>
    </w:p>
    <w:p w14:paraId="5AD77286" w14:textId="1D537182" w:rsidR="00993840" w:rsidRDefault="00993840" w:rsidP="00993840">
      <w:pPr>
        <w:pStyle w:val="Bulletpoints"/>
        <w:ind w:left="1134"/>
      </w:pPr>
      <w:r>
        <w:t>The sponsor’s proposed management algorithm, which positioned pegvaliase as a second-line treatment for those patients who are not responsive to sapropterin, was not considered to be appropriate.</w:t>
      </w:r>
    </w:p>
    <w:p w14:paraId="16515A2C" w14:textId="77777777" w:rsidR="00993840" w:rsidRDefault="00993840" w:rsidP="00993840">
      <w:pPr>
        <w:pStyle w:val="Bulletpoints"/>
        <w:ind w:left="1134"/>
      </w:pPr>
      <w:r>
        <w:t xml:space="preserve">Treatment with sapropterin has been life-changing for some patients, while others have only experienced a minimal response in terms of meaningful changes to diet or effects on cognitive function, so there is a high clinical need for alternative treatment options.  </w:t>
      </w:r>
    </w:p>
    <w:p w14:paraId="49FCF525" w14:textId="77777777" w:rsidR="00993840" w:rsidRDefault="00993840" w:rsidP="00993840">
      <w:pPr>
        <w:pStyle w:val="Bulletpoints"/>
        <w:ind w:left="1134"/>
      </w:pPr>
      <w:r>
        <w:t>Blood Phe levels should not be the single measure of assessment for determining response to treatment or optimal therapy for overall patient benefit.</w:t>
      </w:r>
      <w:r w:rsidRPr="00C228B5">
        <w:rPr>
          <w:lang w:val="en-GB" w:eastAsia="en-US"/>
        </w:rPr>
        <w:t xml:space="preserve"> </w:t>
      </w:r>
      <w:r>
        <w:rPr>
          <w:lang w:val="en-GB" w:eastAsia="en-US"/>
        </w:rPr>
        <w:t xml:space="preserve">Meaningful improvement could also be defined in terms of </w:t>
      </w:r>
      <w:r w:rsidRPr="00C228B5">
        <w:rPr>
          <w:lang w:val="en-GB" w:eastAsia="en-US"/>
        </w:rPr>
        <w:t>protein tolerance/dietary Phe intake</w:t>
      </w:r>
      <w:r>
        <w:rPr>
          <w:lang w:val="en-GB" w:eastAsia="en-US"/>
        </w:rPr>
        <w:t>,</w:t>
      </w:r>
      <w:r w:rsidRPr="00C228B5">
        <w:rPr>
          <w:lang w:val="en-GB" w:eastAsia="en-US"/>
        </w:rPr>
        <w:t xml:space="preserve"> QoL</w:t>
      </w:r>
      <w:r>
        <w:rPr>
          <w:lang w:val="en-GB" w:eastAsia="en-US"/>
        </w:rPr>
        <w:t xml:space="preserve"> and how well a patient manages on their current regimen.</w:t>
      </w:r>
    </w:p>
    <w:p w14:paraId="58AA6668" w14:textId="779C2493" w:rsidR="009B1896" w:rsidRPr="009B1896" w:rsidRDefault="009B1896" w:rsidP="004F6995">
      <w:pPr>
        <w:pStyle w:val="3-BodyText"/>
      </w:pPr>
      <w:r>
        <w:t xml:space="preserve">Health professionals outlined that </w:t>
      </w:r>
      <w:r w:rsidR="009456BD" w:rsidRPr="009B1896">
        <w:rPr>
          <w:iCs/>
        </w:rPr>
        <w:t xml:space="preserve">access to pegvaliase </w:t>
      </w:r>
      <w:r w:rsidR="009456BD">
        <w:rPr>
          <w:iCs/>
        </w:rPr>
        <w:t>may</w:t>
      </w:r>
      <w:r w:rsidR="009456BD" w:rsidRPr="009B1896">
        <w:rPr>
          <w:iCs/>
        </w:rPr>
        <w:t xml:space="preserve"> be constrained by the availability of metabolic clinics </w:t>
      </w:r>
      <w:r>
        <w:t xml:space="preserve">given the level of monitoring required during the initiation and titration phases due to the potential for life-threatening adverse </w:t>
      </w:r>
      <w:r w:rsidR="003E2AC1">
        <w:t>events and</w:t>
      </w:r>
      <w:r>
        <w:t xml:space="preserve"> noting that clinics are already at capacity or do not exist in some states and Territories. </w:t>
      </w:r>
    </w:p>
    <w:p w14:paraId="563323CE" w14:textId="5B18921E" w:rsidR="00A15D90" w:rsidRPr="004F6995" w:rsidRDefault="000764C2" w:rsidP="004F6995">
      <w:pPr>
        <w:pStyle w:val="3-BodyText"/>
      </w:pPr>
      <w:r w:rsidRPr="00A15D90">
        <w:rPr>
          <w:bCs/>
        </w:rPr>
        <w:t>The PBAC noted and welcomed the</w:t>
      </w:r>
      <w:r w:rsidR="00A15D90" w:rsidRPr="00A15D90">
        <w:rPr>
          <w:bCs/>
        </w:rPr>
        <w:t xml:space="preserve"> contributions from health professionals</w:t>
      </w:r>
      <w:r w:rsidR="007313D8">
        <w:rPr>
          <w:bCs/>
        </w:rPr>
        <w:t xml:space="preserve"> (5)</w:t>
      </w:r>
      <w:r w:rsidR="00A15D90" w:rsidRPr="00A15D90">
        <w:rPr>
          <w:bCs/>
        </w:rPr>
        <w:t xml:space="preserve">, individuals </w:t>
      </w:r>
      <w:r w:rsidR="00993840">
        <w:rPr>
          <w:bCs/>
        </w:rPr>
        <w:t>(145)</w:t>
      </w:r>
      <w:r w:rsidR="007313D8">
        <w:rPr>
          <w:bCs/>
        </w:rPr>
        <w:t xml:space="preserve"> </w:t>
      </w:r>
      <w:r w:rsidR="00A15D90" w:rsidRPr="00A15D90">
        <w:rPr>
          <w:bCs/>
        </w:rPr>
        <w:t>and organisations</w:t>
      </w:r>
      <w:r w:rsidR="00A15D90">
        <w:rPr>
          <w:bCs/>
        </w:rPr>
        <w:t xml:space="preserve"> </w:t>
      </w:r>
      <w:r w:rsidR="007313D8">
        <w:rPr>
          <w:bCs/>
        </w:rPr>
        <w:t>(3)</w:t>
      </w:r>
      <w:r w:rsidR="00A15D90" w:rsidRPr="004F6995">
        <w:t xml:space="preserve">. </w:t>
      </w:r>
    </w:p>
    <w:p w14:paraId="3EE50AE3" w14:textId="0C0F954F" w:rsidR="00A30F4F" w:rsidRDefault="00993840" w:rsidP="00E628EE">
      <w:pPr>
        <w:pStyle w:val="3-BodyText"/>
      </w:pPr>
      <w:bookmarkStart w:id="33" w:name="_Ref109046489"/>
      <w:r>
        <w:t xml:space="preserve">The Metabolic Dietary Disorders Association and PKU Association of NSW (MDDA &amp; PKUNSW) noted the importance of equitable access to treatments for all Australians with PKU. The MDDA &amp; PKUNSW noted that sapropterin and pegvaliase work differently and have different advantages and disadvantages. Decisions about which treatment a patient uses should be made by a clinician in consultation with the individual considering clinical need and personal circumstances. </w:t>
      </w:r>
      <w:bookmarkEnd w:id="33"/>
      <w:r w:rsidR="00447613">
        <w:t xml:space="preserve">MDDA &amp; PKUNSW were not supportive of the submission’s </w:t>
      </w:r>
      <w:r>
        <w:t xml:space="preserve">proposal to restrict </w:t>
      </w:r>
      <w:r w:rsidR="00447613">
        <w:t xml:space="preserve">pegvaliase </w:t>
      </w:r>
      <w:r>
        <w:t xml:space="preserve">to patients who do not respond to </w:t>
      </w:r>
      <w:r w:rsidR="003E2AC1">
        <w:t>sapropterin and</w:t>
      </w:r>
      <w:r>
        <w:t xml:space="preserve"> considered this</w:t>
      </w:r>
      <w:r w:rsidR="00703F7B">
        <w:t xml:space="preserve"> was not justified based on clinical outcomes</w:t>
      </w:r>
      <w:r w:rsidR="00447613">
        <w:t>.</w:t>
      </w:r>
    </w:p>
    <w:p w14:paraId="726FE2F3" w14:textId="77777777" w:rsidR="00A30F4F" w:rsidRDefault="00A30F4F" w:rsidP="00A30F4F">
      <w:pPr>
        <w:pStyle w:val="3-BodyText"/>
      </w:pPr>
      <w:r>
        <w:t xml:space="preserve">The MDDA &amp; PKUNSW also described the burden of the restrictive diet and complexity of managing PKU, the limitations and unsustainability of dietary management and the impact of PKU on every aspect of life. </w:t>
      </w:r>
    </w:p>
    <w:p w14:paraId="7CB92BEC" w14:textId="072938EA" w:rsidR="00447613" w:rsidRDefault="00447613" w:rsidP="00A30F4F">
      <w:pPr>
        <w:pStyle w:val="3-BodyText"/>
      </w:pPr>
      <w:r>
        <w:t xml:space="preserve">Rare Voices Australia (RVA) </w:t>
      </w:r>
      <w:r w:rsidR="00C91DFF">
        <w:t xml:space="preserve">stated that it is aware of </w:t>
      </w:r>
      <w:r>
        <w:t xml:space="preserve">the advantages of pegvaliase including its impact on: reducing blood Phe concentration; increasing natural protein tolerance; improving health outcomes and decreasing co-morbidities; improving quality of life and, importantly, improving neurocognitive functioning and mental wellbeing. RVA were also not supportive of restricting </w:t>
      </w:r>
      <w:r w:rsidR="00F31717">
        <w:t>pegvaliase</w:t>
      </w:r>
      <w:r>
        <w:t xml:space="preserve"> to patients who do </w:t>
      </w:r>
      <w:r>
        <w:lastRenderedPageBreak/>
        <w:t xml:space="preserve">not respond to sapropterin, noting that </w:t>
      </w:r>
      <w:r w:rsidR="00F31717">
        <w:t>there is variability in treatment response and some patients may miss out on treatments that have a greater benefit for them.</w:t>
      </w:r>
    </w:p>
    <w:p w14:paraId="5D3AF56B" w14:textId="77777777" w:rsidR="00305E79" w:rsidRPr="003979C8" w:rsidRDefault="008A00D1" w:rsidP="00305E79">
      <w:pPr>
        <w:pStyle w:val="3-BodyText"/>
      </w:pPr>
      <w:r>
        <w:t>All comments from health professionals, individuals with PKU and other interested individuals were supportive of PBS listing of pegvaliase.</w:t>
      </w:r>
      <w:r w:rsidR="00305E79">
        <w:t xml:space="preserve"> </w:t>
      </w:r>
      <w:r w:rsidR="00305E79" w:rsidRPr="00AF6379">
        <w:t xml:space="preserve">Many parents and individuals with PKU spoke of the inequity of restricting access to </w:t>
      </w:r>
      <w:r w:rsidR="00305E79">
        <w:t>p</w:t>
      </w:r>
      <w:r w:rsidR="00305E79" w:rsidRPr="00AF6379">
        <w:t>egvaliase to those who d</w:t>
      </w:r>
      <w:r w:rsidR="00305E79">
        <w:t>o</w:t>
      </w:r>
      <w:r w:rsidR="00305E79" w:rsidRPr="00AF6379">
        <w:t xml:space="preserve"> not respond to </w:t>
      </w:r>
      <w:r w:rsidR="00305E79">
        <w:t>sapropterin.</w:t>
      </w:r>
      <w:r w:rsidR="00305E79" w:rsidRPr="006055C9">
        <w:t xml:space="preserve"> </w:t>
      </w:r>
      <w:r w:rsidR="00305E79" w:rsidRPr="003979C8">
        <w:t xml:space="preserve">The desire for equality of access to </w:t>
      </w:r>
      <w:r w:rsidR="00305E79">
        <w:t>p</w:t>
      </w:r>
      <w:r w:rsidR="00305E79" w:rsidRPr="003979C8">
        <w:t xml:space="preserve">egvaliase regardless of age was </w:t>
      </w:r>
      <w:r w:rsidR="00305E79">
        <w:t xml:space="preserve">also </w:t>
      </w:r>
      <w:r w:rsidR="00305E79" w:rsidRPr="003979C8">
        <w:t>discussed by many</w:t>
      </w:r>
      <w:r w:rsidR="00305E79">
        <w:t xml:space="preserve"> contributors</w:t>
      </w:r>
      <w:r w:rsidR="00305E79" w:rsidRPr="003979C8">
        <w:t xml:space="preserve">. </w:t>
      </w:r>
    </w:p>
    <w:p w14:paraId="3034EDE4" w14:textId="75F0A4EF" w:rsidR="00552418" w:rsidRDefault="00A15D90" w:rsidP="001162C8">
      <w:pPr>
        <w:pStyle w:val="3-BodyText"/>
      </w:pPr>
      <w:r w:rsidRPr="00AF6379">
        <w:t>Individuals</w:t>
      </w:r>
      <w:r w:rsidR="00552418">
        <w:t xml:space="preserve"> who would like access to </w:t>
      </w:r>
      <w:r w:rsidR="00993840">
        <w:t>pegvaliase</w:t>
      </w:r>
      <w:r w:rsidR="00552418">
        <w:t xml:space="preserve"> to treat their PKU, and the carers and supporters of those with PKU, </w:t>
      </w:r>
      <w:r w:rsidRPr="00AF6379">
        <w:t xml:space="preserve">discussed the difficulties of maintaining low Phe levels with dietary management and/or </w:t>
      </w:r>
      <w:r w:rsidR="004C66F1">
        <w:t>s</w:t>
      </w:r>
      <w:r w:rsidRPr="00AF6379">
        <w:t>apropterin.</w:t>
      </w:r>
      <w:r>
        <w:t xml:space="preserve"> </w:t>
      </w:r>
      <w:r w:rsidR="00552418">
        <w:t xml:space="preserve">Even when the diet is strictly adhered to, this may be insufficient to maintain </w:t>
      </w:r>
      <w:r w:rsidR="000C16CE">
        <w:t>an acceptable Phe level</w:t>
      </w:r>
      <w:r w:rsidR="00552418">
        <w:t xml:space="preserve">. Monitoring the levels and making the necessary dietary adjustments in a timely fashion was also an issue for many. The comments also described issues with accessing food supplements and low protein foods in terms of cost and unreliable supply chains. </w:t>
      </w:r>
    </w:p>
    <w:p w14:paraId="1DF373BA" w14:textId="77777777" w:rsidR="00552418" w:rsidRDefault="00552418" w:rsidP="001162C8">
      <w:pPr>
        <w:pStyle w:val="3-BodyText"/>
        <w:snapToGrid w:val="0"/>
      </w:pPr>
      <w:r>
        <w:t>Some individuals with PKU reported that compliance to protein-restricted diets becomes more difficult as patients enter adulthood once they take responsibility for their own diet, as adherence is made more difficult due to the challenges of PKU (fatigue, brain fog, mood disturbance).</w:t>
      </w:r>
    </w:p>
    <w:p w14:paraId="5BE3123B" w14:textId="70755F27" w:rsidR="008A00D1" w:rsidRPr="00AF6379" w:rsidRDefault="008A00D1" w:rsidP="008A00D1">
      <w:pPr>
        <w:pStyle w:val="3-BodyText"/>
        <w:rPr>
          <w:rFonts w:ascii="Calibri" w:hAnsi="Calibri" w:cs="Calibri"/>
          <w:i/>
          <w:iCs/>
          <w:color w:val="000000"/>
          <w:sz w:val="22"/>
          <w:szCs w:val="22"/>
        </w:rPr>
      </w:pPr>
      <w:r w:rsidRPr="00AF6379">
        <w:t>Health professionals discussed th</w:t>
      </w:r>
      <w:r w:rsidR="00305E79">
        <w:t>e potential efficacy associated with</w:t>
      </w:r>
      <w:r w:rsidRPr="00AF6379">
        <w:t xml:space="preserve"> </w:t>
      </w:r>
      <w:r>
        <w:t>p</w:t>
      </w:r>
      <w:r w:rsidRPr="00AF6379">
        <w:t xml:space="preserve">egvaliase </w:t>
      </w:r>
      <w:r w:rsidR="00305E79">
        <w:t xml:space="preserve">in terms of </w:t>
      </w:r>
      <w:r w:rsidRPr="00AF6379">
        <w:t xml:space="preserve">reducing </w:t>
      </w:r>
      <w:r w:rsidR="00305E79">
        <w:t>blood-</w:t>
      </w:r>
      <w:r w:rsidRPr="00AF6379">
        <w:t xml:space="preserve">Phe </w:t>
      </w:r>
      <w:r w:rsidR="00305E79">
        <w:t xml:space="preserve">levels </w:t>
      </w:r>
      <w:r w:rsidRPr="00AF6379">
        <w:t xml:space="preserve">and </w:t>
      </w:r>
      <w:r w:rsidR="00305E79">
        <w:t xml:space="preserve">alleviating </w:t>
      </w:r>
      <w:r w:rsidRPr="00AF6379">
        <w:t>the effects of PKU.</w:t>
      </w:r>
      <w:r>
        <w:t xml:space="preserve"> Consumers expressed</w:t>
      </w:r>
      <w:r w:rsidRPr="00A15D90">
        <w:t xml:space="preserve"> high expectations of </w:t>
      </w:r>
      <w:r w:rsidR="00305E79">
        <w:t>the</w:t>
      </w:r>
      <w:r w:rsidRPr="00A15D90">
        <w:t xml:space="preserve"> effect</w:t>
      </w:r>
      <w:r w:rsidR="00305E79">
        <w:t>iveness of</w:t>
      </w:r>
      <w:r w:rsidRPr="00A15D90">
        <w:t xml:space="preserve"> </w:t>
      </w:r>
      <w:r>
        <w:t>p</w:t>
      </w:r>
      <w:r w:rsidRPr="00A15D90">
        <w:t xml:space="preserve">egvaliase </w:t>
      </w:r>
      <w:r w:rsidR="00305E79">
        <w:t>at</w:t>
      </w:r>
      <w:r w:rsidRPr="00A15D90">
        <w:t xml:space="preserve"> </w:t>
      </w:r>
      <w:r>
        <w:t>maintaining low</w:t>
      </w:r>
      <w:r w:rsidRPr="00A15D90">
        <w:t xml:space="preserve"> Phe levels, </w:t>
      </w:r>
      <w:r w:rsidR="00305E79">
        <w:t>which they hoped would enable</w:t>
      </w:r>
      <w:r w:rsidRPr="00A15D90">
        <w:t xml:space="preserve"> them to live fuller lives with fewer symptoms, better cognition, improved physical and psychological health, greater social and economic engagement and a significantly reduced treatment burden.</w:t>
      </w:r>
      <w:r w:rsidRPr="00AF6379">
        <w:rPr>
          <w:rFonts w:ascii="Calibri" w:hAnsi="Calibri" w:cs="Calibri"/>
          <w:i/>
          <w:iCs/>
          <w:color w:val="000000"/>
          <w:sz w:val="22"/>
          <w:szCs w:val="22"/>
        </w:rPr>
        <w:t xml:space="preserve"> </w:t>
      </w:r>
    </w:p>
    <w:p w14:paraId="09007B68" w14:textId="0D3F1261" w:rsidR="00552418" w:rsidRDefault="00552418" w:rsidP="00552418">
      <w:pPr>
        <w:pStyle w:val="3-BodyText"/>
      </w:pPr>
      <w:r>
        <w:t xml:space="preserve">The </w:t>
      </w:r>
      <w:r w:rsidR="004C4E64">
        <w:t xml:space="preserve">potential </w:t>
      </w:r>
      <w:r>
        <w:t xml:space="preserve">quality of life benefits </w:t>
      </w:r>
      <w:r w:rsidR="004C4E64">
        <w:t xml:space="preserve">for pegvaliase </w:t>
      </w:r>
      <w:r>
        <w:t xml:space="preserve">were strongly reinforced by patients </w:t>
      </w:r>
      <w:r w:rsidR="004C4E64">
        <w:t xml:space="preserve">and </w:t>
      </w:r>
      <w:r>
        <w:t>also their families and carers. This included improvements in psychosocial and cognitive function, energy levels, and managing self-care and tasks on a daily basis. The comments outlined that increased protein tolerance was an important outcome, as it enabled patients to eat a broader range of foods, alleviating the burden of living with a severely low protein diet.</w:t>
      </w:r>
    </w:p>
    <w:p w14:paraId="1C6C2F11" w14:textId="3DD84F7F" w:rsidR="00FA5352" w:rsidRPr="00124250" w:rsidRDefault="00FA5352" w:rsidP="00FA5352">
      <w:pPr>
        <w:pStyle w:val="3-BodyText"/>
      </w:pPr>
      <w:bookmarkStart w:id="34" w:name="_Ref110585567"/>
      <w:r w:rsidRPr="00AF6379">
        <w:t xml:space="preserve">Health professionals </w:t>
      </w:r>
      <w:r w:rsidR="00305E79">
        <w:t>outlined</w:t>
      </w:r>
      <w:r w:rsidRPr="00AF6379">
        <w:t xml:space="preserve"> concerns about the possible </w:t>
      </w:r>
      <w:r w:rsidR="00305E79">
        <w:t>adverse</w:t>
      </w:r>
      <w:r w:rsidRPr="00AF6379">
        <w:t xml:space="preserve"> effects of </w:t>
      </w:r>
      <w:r>
        <w:t>p</w:t>
      </w:r>
      <w:r w:rsidRPr="00AF6379">
        <w:t>egvaliase for some patients</w:t>
      </w:r>
      <w:r w:rsidR="00305E79">
        <w:t>, however t</w:t>
      </w:r>
      <w:r w:rsidRPr="00124250">
        <w:t xml:space="preserve">he majority </w:t>
      </w:r>
      <w:r w:rsidR="008A00D1">
        <w:t xml:space="preserve">of contributors </w:t>
      </w:r>
      <w:r w:rsidRPr="00124250">
        <w:t xml:space="preserve">felt these safety issues could be mitigated or were </w:t>
      </w:r>
      <w:r w:rsidR="00305E79">
        <w:t>outweighed by</w:t>
      </w:r>
      <w:r w:rsidRPr="00124250">
        <w:t xml:space="preserve"> the </w:t>
      </w:r>
      <w:r w:rsidR="00305E79">
        <w:t xml:space="preserve">potential </w:t>
      </w:r>
      <w:r w:rsidRPr="00124250">
        <w:t>advantages.</w:t>
      </w:r>
      <w:bookmarkEnd w:id="34"/>
      <w:r w:rsidRPr="00124250">
        <w:t xml:space="preserve"> </w:t>
      </w:r>
    </w:p>
    <w:bookmarkEnd w:id="29"/>
    <w:bookmarkEnd w:id="32"/>
    <w:p w14:paraId="0211766D" w14:textId="77777777" w:rsidR="00774AF7" w:rsidRPr="00694CC1" w:rsidRDefault="00774AF7" w:rsidP="00774AF7">
      <w:pPr>
        <w:pStyle w:val="4-SubsectionHeading"/>
        <w:rPr>
          <w:iCs/>
        </w:rPr>
      </w:pPr>
      <w:r w:rsidRPr="00694CC1">
        <w:rPr>
          <w:iCs/>
        </w:rPr>
        <w:t>Clinical trials and studies</w:t>
      </w:r>
      <w:bookmarkEnd w:id="28"/>
      <w:bookmarkEnd w:id="30"/>
    </w:p>
    <w:p w14:paraId="1D8D0065" w14:textId="61180840" w:rsidR="007147EE" w:rsidRPr="00AE2F09" w:rsidRDefault="00774AF7" w:rsidP="00774AF7">
      <w:pPr>
        <w:pStyle w:val="3-BodyText"/>
      </w:pPr>
      <w:r w:rsidRPr="00AE2F09">
        <w:t>The submission was based on a</w:t>
      </w:r>
      <w:r w:rsidR="005B3590">
        <w:t>n unanchored</w:t>
      </w:r>
      <w:r w:rsidRPr="00AE2F09">
        <w:t xml:space="preserve"> matched-adjusted historical cohort analysis (Zori 2019) and a naïve-indirect comparison using</w:t>
      </w:r>
      <w:r w:rsidR="007147EE" w:rsidRPr="00AE2F09">
        <w:t>:</w:t>
      </w:r>
    </w:p>
    <w:p w14:paraId="05146451" w14:textId="47CAD67F" w:rsidR="007147EE" w:rsidRPr="00AE2F09" w:rsidRDefault="00774AF7" w:rsidP="00BE0728">
      <w:pPr>
        <w:pStyle w:val="3-BodyText"/>
        <w:numPr>
          <w:ilvl w:val="0"/>
          <w:numId w:val="12"/>
        </w:numPr>
        <w:ind w:left="1276"/>
      </w:pPr>
      <w:r w:rsidRPr="00AE2F09">
        <w:t>pegvaliase patient data from</w:t>
      </w:r>
      <w:r w:rsidR="00793903" w:rsidRPr="00AE2F09">
        <w:t xml:space="preserve"> (a)</w:t>
      </w:r>
      <w:r w:rsidRPr="00AE2F09">
        <w:t xml:space="preserve"> one randomised trial which included </w:t>
      </w:r>
      <w:r w:rsidR="000312CE">
        <w:t>an</w:t>
      </w:r>
      <w:r w:rsidR="000312CE" w:rsidRPr="00AE2F09">
        <w:t xml:space="preserve"> </w:t>
      </w:r>
      <w:r w:rsidRPr="00AE2F09">
        <w:t>8-week component that compared pegvaliase to placebo (PRISM 2)</w:t>
      </w:r>
      <w:r w:rsidR="00793903" w:rsidRPr="00AE2F09">
        <w:t xml:space="preserve"> </w:t>
      </w:r>
      <w:r w:rsidR="007147EE" w:rsidRPr="00AE2F09">
        <w:t xml:space="preserve">and </w:t>
      </w:r>
      <w:r w:rsidR="00793903" w:rsidRPr="00AE2F09">
        <w:t>(b)</w:t>
      </w:r>
      <w:r w:rsidRPr="00AE2F09">
        <w:t xml:space="preserve"> one </w:t>
      </w:r>
      <w:r w:rsidRPr="00AE2F09">
        <w:lastRenderedPageBreak/>
        <w:t xml:space="preserve">randomised trial </w:t>
      </w:r>
      <w:r w:rsidR="000312CE">
        <w:t xml:space="preserve">that </w:t>
      </w:r>
      <w:r w:rsidRPr="00AE2F09">
        <w:t>compar</w:t>
      </w:r>
      <w:r w:rsidR="000312CE">
        <w:t>ed</w:t>
      </w:r>
      <w:r w:rsidRPr="00AE2F09">
        <w:t xml:space="preserve"> pegvaliase 20</w:t>
      </w:r>
      <w:r w:rsidR="00BE0728">
        <w:t xml:space="preserve"> </w:t>
      </w:r>
      <w:r w:rsidRPr="00AE2F09">
        <w:t xml:space="preserve">mg/day to </w:t>
      </w:r>
      <w:r w:rsidR="00D644C1" w:rsidRPr="00AE2F09">
        <w:t xml:space="preserve">pegvaliase </w:t>
      </w:r>
      <w:r w:rsidRPr="00AE2F09">
        <w:t>40</w:t>
      </w:r>
      <w:r w:rsidR="00BE0728">
        <w:t> </w:t>
      </w:r>
      <w:r w:rsidRPr="00AE2F09">
        <w:t>mg/day (PRISM 1)</w:t>
      </w:r>
      <w:r w:rsidR="00A33B1E" w:rsidRPr="00AE2F09">
        <w:t xml:space="preserve">; </w:t>
      </w:r>
      <w:r w:rsidR="007147EE" w:rsidRPr="00AE2F09">
        <w:t>and</w:t>
      </w:r>
    </w:p>
    <w:p w14:paraId="71C76043" w14:textId="527A4FE3" w:rsidR="00F81656" w:rsidRPr="00AE2F09" w:rsidRDefault="00045C68" w:rsidP="00BE0728">
      <w:pPr>
        <w:pStyle w:val="3-BodyText"/>
        <w:numPr>
          <w:ilvl w:val="0"/>
          <w:numId w:val="12"/>
        </w:numPr>
        <w:ind w:left="1276"/>
      </w:pPr>
      <w:r w:rsidRPr="00AE2F09">
        <w:t xml:space="preserve">Data from </w:t>
      </w:r>
      <w:r w:rsidR="00E567F5" w:rsidRPr="00AE2F09">
        <w:t xml:space="preserve">the Phenylketonuria (PKU) Demographics, Outcomes and Safety (PKUDOS) study </w:t>
      </w:r>
      <w:r w:rsidR="00DA41CC" w:rsidRPr="00AE2F09">
        <w:t xml:space="preserve">to inform </w:t>
      </w:r>
      <w:r w:rsidR="000312CE">
        <w:t xml:space="preserve">the Phe-restricted diet alone arm. </w:t>
      </w:r>
    </w:p>
    <w:p w14:paraId="38281775" w14:textId="71410230" w:rsidR="00774AF7" w:rsidRPr="00AE2F09" w:rsidRDefault="00774AF7" w:rsidP="00774AF7">
      <w:pPr>
        <w:pStyle w:val="3-BodyText"/>
        <w:rPr>
          <w:color w:val="000000" w:themeColor="text1"/>
        </w:rPr>
      </w:pPr>
      <w:r w:rsidRPr="00AE2F09">
        <w:rPr>
          <w:color w:val="000000" w:themeColor="text1"/>
        </w:rPr>
        <w:t>The submission</w:t>
      </w:r>
      <w:r w:rsidR="005B3590">
        <w:rPr>
          <w:color w:val="000000" w:themeColor="text1"/>
        </w:rPr>
        <w:t xml:space="preserve"> </w:t>
      </w:r>
      <w:r w:rsidRPr="00AE2F09">
        <w:rPr>
          <w:color w:val="000000" w:themeColor="text1"/>
        </w:rPr>
        <w:t>also presented</w:t>
      </w:r>
      <w:r w:rsidR="00AA211C" w:rsidRPr="00AE2F09">
        <w:rPr>
          <w:color w:val="000000" w:themeColor="text1"/>
        </w:rPr>
        <w:t xml:space="preserve"> </w:t>
      </w:r>
      <w:r w:rsidRPr="00AE2F09">
        <w:rPr>
          <w:color w:val="000000" w:themeColor="text1"/>
        </w:rPr>
        <w:t>a review o</w:t>
      </w:r>
      <w:r w:rsidR="00AA211C">
        <w:rPr>
          <w:color w:val="000000" w:themeColor="text1"/>
        </w:rPr>
        <w:t>f</w:t>
      </w:r>
      <w:r w:rsidRPr="00AE2F09">
        <w:rPr>
          <w:color w:val="000000" w:themeColor="text1"/>
        </w:rPr>
        <w:t xml:space="preserve"> translational studies discussing the relationship between blood-Phe and improvements in neuropsychiatric symptoms; and Phe tolerance (increase in dietary Phe intake) with quality of life in adult PKU patients.</w:t>
      </w:r>
    </w:p>
    <w:p w14:paraId="7518B194" w14:textId="0DB50BA7" w:rsidR="00774AF7" w:rsidRPr="00AE2F09" w:rsidRDefault="00774AF7" w:rsidP="00774AF7">
      <w:pPr>
        <w:pStyle w:val="3-BodyText"/>
      </w:pPr>
      <w:r w:rsidRPr="00AE2F09">
        <w:rPr>
          <w:snapToGrid/>
        </w:rPr>
        <w:t>Details of the trials and studies presented in the submission are provided in</w:t>
      </w:r>
      <w:r w:rsidR="005B3590">
        <w:rPr>
          <w:snapToGrid/>
        </w:rPr>
        <w:t xml:space="preserve"> </w:t>
      </w:r>
      <w:r w:rsidR="005B3590">
        <w:rPr>
          <w:snapToGrid/>
        </w:rPr>
        <w:fldChar w:fldCharType="begin"/>
      </w:r>
      <w:r w:rsidR="005B3590">
        <w:rPr>
          <w:snapToGrid/>
        </w:rPr>
        <w:instrText xml:space="preserve"> REF _Ref106007261 \h  \* MERGEFORMAT </w:instrText>
      </w:r>
      <w:r w:rsidR="005B3590">
        <w:rPr>
          <w:snapToGrid/>
        </w:rPr>
      </w:r>
      <w:r w:rsidR="005B3590">
        <w:rPr>
          <w:snapToGrid/>
        </w:rPr>
        <w:fldChar w:fldCharType="separate"/>
      </w:r>
      <w:r w:rsidR="001162C8" w:rsidRPr="001162C8">
        <w:rPr>
          <w:snapToGrid/>
        </w:rPr>
        <w:t>Table 2</w:t>
      </w:r>
      <w:r w:rsidR="005B3590">
        <w:rPr>
          <w:snapToGrid/>
        </w:rPr>
        <w:fldChar w:fldCharType="end"/>
      </w:r>
      <w:r w:rsidRPr="00AE2F09">
        <w:rPr>
          <w:snapToGrid/>
        </w:rPr>
        <w:t>.</w:t>
      </w:r>
    </w:p>
    <w:p w14:paraId="4F615EF2" w14:textId="4C0E999E" w:rsidR="00774AF7" w:rsidRPr="008312ED" w:rsidRDefault="00774AF7" w:rsidP="00774AF7">
      <w:pPr>
        <w:pStyle w:val="TableFigureHeading"/>
        <w:keepLines/>
        <w:rPr>
          <w:rStyle w:val="CommentReference"/>
          <w:b/>
          <w:bCs w:val="0"/>
          <w:szCs w:val="24"/>
        </w:rPr>
      </w:pPr>
      <w:bookmarkStart w:id="35" w:name="_Ref106007261"/>
      <w:r w:rsidRPr="008312ED">
        <w:rPr>
          <w:rStyle w:val="CommentReference"/>
          <w:b/>
          <w:bCs w:val="0"/>
          <w:szCs w:val="24"/>
        </w:rPr>
        <w:lastRenderedPageBreak/>
        <w:t xml:space="preserve">Table </w:t>
      </w:r>
      <w:r w:rsidRPr="008312ED">
        <w:rPr>
          <w:rStyle w:val="CommentReference"/>
          <w:b/>
          <w:bCs w:val="0"/>
          <w:szCs w:val="24"/>
        </w:rPr>
        <w:fldChar w:fldCharType="begin"/>
      </w:r>
      <w:r w:rsidRPr="008312ED">
        <w:rPr>
          <w:rStyle w:val="CommentReference"/>
          <w:b/>
          <w:bCs w:val="0"/>
          <w:szCs w:val="24"/>
        </w:rPr>
        <w:instrText xml:space="preserve"> SEQ Table \* ARABIC </w:instrText>
      </w:r>
      <w:r w:rsidRPr="008312ED">
        <w:rPr>
          <w:rStyle w:val="CommentReference"/>
          <w:b/>
          <w:bCs w:val="0"/>
          <w:szCs w:val="24"/>
        </w:rPr>
        <w:fldChar w:fldCharType="separate"/>
      </w:r>
      <w:r w:rsidR="001162C8">
        <w:rPr>
          <w:rStyle w:val="CommentReference"/>
          <w:b/>
          <w:bCs w:val="0"/>
          <w:noProof/>
          <w:szCs w:val="24"/>
        </w:rPr>
        <w:t>2</w:t>
      </w:r>
      <w:r w:rsidRPr="008312ED">
        <w:rPr>
          <w:rStyle w:val="CommentReference"/>
          <w:b/>
          <w:bCs w:val="0"/>
          <w:szCs w:val="24"/>
        </w:rPr>
        <w:fldChar w:fldCharType="end"/>
      </w:r>
      <w:bookmarkEnd w:id="35"/>
      <w:r w:rsidRPr="008312ED">
        <w:rPr>
          <w:rStyle w:val="CommentReference"/>
          <w:b/>
          <w:bCs w:val="0"/>
          <w:szCs w:val="24"/>
        </w:rPr>
        <w:t>: Trials, 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774AF7" w:rsidRPr="008312ED" w14:paraId="16B5275E" w14:textId="77777777" w:rsidTr="00FD7CD0">
        <w:trPr>
          <w:tblHeader/>
        </w:trPr>
        <w:tc>
          <w:tcPr>
            <w:tcW w:w="796" w:type="pct"/>
            <w:vAlign w:val="center"/>
          </w:tcPr>
          <w:p w14:paraId="65843E35" w14:textId="77777777" w:rsidR="00774AF7" w:rsidRPr="008312ED" w:rsidRDefault="00774AF7" w:rsidP="00FD7CD0">
            <w:pPr>
              <w:pStyle w:val="In-tableHeading"/>
              <w:keepLines/>
              <w:rPr>
                <w:lang w:val="en-AU"/>
              </w:rPr>
            </w:pPr>
            <w:r w:rsidRPr="008312ED">
              <w:rPr>
                <w:lang w:val="en-AU"/>
              </w:rPr>
              <w:t>Trial ID</w:t>
            </w:r>
          </w:p>
        </w:tc>
        <w:tc>
          <w:tcPr>
            <w:tcW w:w="3027" w:type="pct"/>
            <w:vAlign w:val="center"/>
          </w:tcPr>
          <w:p w14:paraId="1D535E5C" w14:textId="77777777" w:rsidR="00774AF7" w:rsidRPr="008312ED" w:rsidRDefault="00774AF7" w:rsidP="00FD7CD0">
            <w:pPr>
              <w:pStyle w:val="In-tableHeading"/>
              <w:keepLines/>
              <w:rPr>
                <w:lang w:val="en-AU"/>
              </w:rPr>
            </w:pPr>
            <w:r w:rsidRPr="008312ED">
              <w:rPr>
                <w:lang w:val="en-AU"/>
              </w:rPr>
              <w:t>Protocol title/ Publication title</w:t>
            </w:r>
          </w:p>
        </w:tc>
        <w:tc>
          <w:tcPr>
            <w:tcW w:w="1177" w:type="pct"/>
            <w:vAlign w:val="center"/>
          </w:tcPr>
          <w:p w14:paraId="2257A081" w14:textId="77777777" w:rsidR="00774AF7" w:rsidRPr="008312ED" w:rsidRDefault="00774AF7" w:rsidP="00FD7CD0">
            <w:pPr>
              <w:pStyle w:val="In-tableHeading"/>
              <w:keepLines/>
              <w:rPr>
                <w:lang w:val="en-AU"/>
              </w:rPr>
            </w:pPr>
            <w:r w:rsidRPr="008312ED">
              <w:rPr>
                <w:lang w:val="en-AU"/>
              </w:rPr>
              <w:t>Publication citation</w:t>
            </w:r>
          </w:p>
        </w:tc>
      </w:tr>
      <w:tr w:rsidR="000A60A7" w:rsidRPr="008312ED" w14:paraId="15AA4EEE" w14:textId="77777777" w:rsidTr="00AC7A17">
        <w:tc>
          <w:tcPr>
            <w:tcW w:w="796" w:type="pct"/>
            <w:vMerge w:val="restart"/>
            <w:vAlign w:val="center"/>
          </w:tcPr>
          <w:p w14:paraId="3EB404F5" w14:textId="408526A2" w:rsidR="000A60A7" w:rsidRPr="008312ED" w:rsidRDefault="000A60A7" w:rsidP="00FD7CD0">
            <w:pPr>
              <w:pStyle w:val="TableText0"/>
              <w:keepLines/>
            </w:pPr>
            <w:r w:rsidRPr="008312ED">
              <w:t>PRISM 1</w:t>
            </w:r>
          </w:p>
        </w:tc>
        <w:tc>
          <w:tcPr>
            <w:tcW w:w="3027" w:type="pct"/>
            <w:tcBorders>
              <w:bottom w:val="nil"/>
            </w:tcBorders>
            <w:vAlign w:val="center"/>
          </w:tcPr>
          <w:p w14:paraId="1B2F139B" w14:textId="77777777" w:rsidR="000A60A7" w:rsidRPr="008312ED" w:rsidRDefault="000A60A7" w:rsidP="00FD7CD0">
            <w:pPr>
              <w:pStyle w:val="TableText0"/>
              <w:keepLines/>
              <w:rPr>
                <w:szCs w:val="18"/>
              </w:rPr>
            </w:pPr>
            <w:r w:rsidRPr="008312ED">
              <w:t>A Phase 3, open-label, randomized, multi-center study to assess the safety and tolerability of an induction, titration, and maintenance dose regimen of BMN 165 self-administered by adults with phenylketonuria not previously treated with BMN 165</w:t>
            </w:r>
            <w:r w:rsidRPr="008312ED">
              <w:rPr>
                <w:szCs w:val="18"/>
              </w:rPr>
              <w:t xml:space="preserve"> </w:t>
            </w:r>
          </w:p>
        </w:tc>
        <w:tc>
          <w:tcPr>
            <w:tcW w:w="1177" w:type="pct"/>
            <w:tcBorders>
              <w:bottom w:val="nil"/>
            </w:tcBorders>
            <w:vAlign w:val="center"/>
          </w:tcPr>
          <w:p w14:paraId="780FEAA9" w14:textId="77777777" w:rsidR="000A60A7" w:rsidRPr="008312ED" w:rsidRDefault="000A60A7" w:rsidP="00FD7CD0">
            <w:pPr>
              <w:pStyle w:val="TableText0"/>
              <w:keepLines/>
            </w:pPr>
            <w:r w:rsidRPr="008312ED">
              <w:t>March 2018</w:t>
            </w:r>
          </w:p>
        </w:tc>
      </w:tr>
      <w:tr w:rsidR="000A60A7" w:rsidRPr="008312ED" w14:paraId="6922802C" w14:textId="77777777" w:rsidTr="00AC7A17">
        <w:tc>
          <w:tcPr>
            <w:tcW w:w="796" w:type="pct"/>
            <w:vMerge/>
            <w:vAlign w:val="center"/>
          </w:tcPr>
          <w:p w14:paraId="41A2CBEA" w14:textId="77777777" w:rsidR="000A60A7" w:rsidRPr="008312ED" w:rsidRDefault="000A60A7" w:rsidP="00FD7CD0">
            <w:pPr>
              <w:pStyle w:val="TableText0"/>
              <w:keepLines/>
            </w:pPr>
          </w:p>
        </w:tc>
        <w:tc>
          <w:tcPr>
            <w:tcW w:w="3027" w:type="pct"/>
            <w:tcBorders>
              <w:top w:val="nil"/>
              <w:bottom w:val="nil"/>
            </w:tcBorders>
            <w:vAlign w:val="center"/>
          </w:tcPr>
          <w:p w14:paraId="1D75A67A" w14:textId="77777777" w:rsidR="000A60A7" w:rsidRPr="008312ED" w:rsidRDefault="000A60A7" w:rsidP="00FD7CD0">
            <w:pPr>
              <w:pStyle w:val="TableText0"/>
              <w:keepLines/>
              <w:rPr>
                <w:szCs w:val="18"/>
              </w:rPr>
            </w:pPr>
            <w:r w:rsidRPr="008312ED">
              <w:t>A Phase 3, open-label, randomized, multi-center study to assess the safety and tolerability of an induction, titration, and maintenance dose regimen of BMN 165 self administered by adults with phenylketonuria not previously treated with BMN 165</w:t>
            </w:r>
          </w:p>
        </w:tc>
        <w:tc>
          <w:tcPr>
            <w:tcW w:w="1177" w:type="pct"/>
            <w:tcBorders>
              <w:top w:val="nil"/>
              <w:bottom w:val="nil"/>
            </w:tcBorders>
            <w:vAlign w:val="center"/>
          </w:tcPr>
          <w:p w14:paraId="45806153" w14:textId="77777777" w:rsidR="000A60A7" w:rsidRPr="008312ED" w:rsidRDefault="000A60A7" w:rsidP="00FD7CD0">
            <w:pPr>
              <w:pStyle w:val="TableText0"/>
              <w:keepLines/>
              <w:rPr>
                <w:szCs w:val="18"/>
              </w:rPr>
            </w:pPr>
            <w:r w:rsidRPr="008312ED">
              <w:rPr>
                <w:szCs w:val="18"/>
              </w:rPr>
              <w:t>August 2014</w:t>
            </w:r>
          </w:p>
        </w:tc>
      </w:tr>
      <w:tr w:rsidR="000A60A7" w:rsidRPr="008312ED" w14:paraId="2D6DE73B" w14:textId="77777777" w:rsidTr="00AC7A17">
        <w:tc>
          <w:tcPr>
            <w:tcW w:w="796" w:type="pct"/>
            <w:vMerge/>
            <w:vAlign w:val="center"/>
          </w:tcPr>
          <w:p w14:paraId="6B9BFBB6" w14:textId="1B950FA0" w:rsidR="000A60A7" w:rsidRPr="008312ED" w:rsidRDefault="000A60A7" w:rsidP="00FD7CD0">
            <w:pPr>
              <w:pStyle w:val="TableText0"/>
              <w:keepLines/>
            </w:pPr>
          </w:p>
        </w:tc>
        <w:tc>
          <w:tcPr>
            <w:tcW w:w="3027" w:type="pct"/>
            <w:tcBorders>
              <w:top w:val="nil"/>
              <w:bottom w:val="nil"/>
            </w:tcBorders>
            <w:vAlign w:val="center"/>
          </w:tcPr>
          <w:p w14:paraId="5A146C40" w14:textId="77777777" w:rsidR="000A60A7" w:rsidRPr="008312ED" w:rsidRDefault="000A60A7" w:rsidP="00FD7CD0">
            <w:pPr>
              <w:pStyle w:val="TableText0"/>
              <w:keepLines/>
              <w:rPr>
                <w:szCs w:val="18"/>
              </w:rPr>
            </w:pPr>
            <w:r w:rsidRPr="008312ED">
              <w:t>Thomas et al, J. Pegvaliase for the treatment of phenylketonuria: Results of a long-term phase 3 clinical trial program (PRISM).</w:t>
            </w:r>
          </w:p>
        </w:tc>
        <w:tc>
          <w:tcPr>
            <w:tcW w:w="1177" w:type="pct"/>
            <w:tcBorders>
              <w:top w:val="nil"/>
              <w:bottom w:val="nil"/>
            </w:tcBorders>
            <w:vAlign w:val="center"/>
          </w:tcPr>
          <w:p w14:paraId="5C89CC42" w14:textId="77777777" w:rsidR="000A60A7" w:rsidRPr="000764C2" w:rsidRDefault="000A60A7" w:rsidP="00FD7CD0">
            <w:pPr>
              <w:pStyle w:val="TableText0"/>
              <w:keepLines/>
              <w:rPr>
                <w:szCs w:val="18"/>
              </w:rPr>
            </w:pPr>
            <w:r w:rsidRPr="000764C2">
              <w:rPr>
                <w:szCs w:val="18"/>
              </w:rPr>
              <w:t xml:space="preserve"> </w:t>
            </w:r>
            <w:r w:rsidRPr="000764C2">
              <w:t xml:space="preserve">Mol Gen Metab, 2018; 124: 27-38  </w:t>
            </w:r>
          </w:p>
        </w:tc>
      </w:tr>
      <w:tr w:rsidR="000A60A7" w:rsidRPr="008312ED" w14:paraId="46BCD060" w14:textId="77777777" w:rsidTr="00AC7A17">
        <w:tc>
          <w:tcPr>
            <w:tcW w:w="796" w:type="pct"/>
            <w:vMerge/>
            <w:vAlign w:val="center"/>
          </w:tcPr>
          <w:p w14:paraId="6C4C8172" w14:textId="77777777" w:rsidR="000A60A7" w:rsidRPr="008312ED" w:rsidRDefault="000A60A7" w:rsidP="00FD7CD0">
            <w:pPr>
              <w:pStyle w:val="TableText0"/>
              <w:keepLines/>
            </w:pPr>
          </w:p>
        </w:tc>
        <w:tc>
          <w:tcPr>
            <w:tcW w:w="3027" w:type="pct"/>
            <w:tcBorders>
              <w:top w:val="nil"/>
              <w:bottom w:val="nil"/>
            </w:tcBorders>
            <w:vAlign w:val="center"/>
          </w:tcPr>
          <w:p w14:paraId="4E0EE966" w14:textId="77777777" w:rsidR="000A60A7" w:rsidRPr="008312ED" w:rsidRDefault="000A60A7" w:rsidP="00FD7CD0">
            <w:pPr>
              <w:pStyle w:val="TableText0"/>
              <w:keepLines/>
            </w:pPr>
            <w:r w:rsidRPr="008312ED">
              <w:t>Gupta, S. Association of immune response with efficacy and safety outcomes in adults with phenylketonuria administered pegvaliase in phase 3 clinical trials</w:t>
            </w:r>
          </w:p>
        </w:tc>
        <w:tc>
          <w:tcPr>
            <w:tcW w:w="1177" w:type="pct"/>
            <w:tcBorders>
              <w:top w:val="nil"/>
              <w:bottom w:val="nil"/>
            </w:tcBorders>
            <w:vAlign w:val="center"/>
          </w:tcPr>
          <w:p w14:paraId="2D1CD8FB" w14:textId="77777777" w:rsidR="000A60A7" w:rsidRPr="000764C2" w:rsidRDefault="000A60A7" w:rsidP="00FD7CD0">
            <w:pPr>
              <w:pStyle w:val="TableText0"/>
              <w:keepLines/>
              <w:rPr>
                <w:szCs w:val="18"/>
              </w:rPr>
            </w:pPr>
            <w:r w:rsidRPr="000764C2">
              <w:t>EBioMedicine 2018; 37: 366-373</w:t>
            </w:r>
          </w:p>
        </w:tc>
      </w:tr>
      <w:tr w:rsidR="000A60A7" w:rsidRPr="008312ED" w14:paraId="4186C6AD" w14:textId="77777777" w:rsidTr="00AC7A17">
        <w:tc>
          <w:tcPr>
            <w:tcW w:w="796" w:type="pct"/>
            <w:vMerge/>
            <w:vAlign w:val="center"/>
          </w:tcPr>
          <w:p w14:paraId="5492DFBF" w14:textId="77777777" w:rsidR="000A60A7" w:rsidRPr="008312ED" w:rsidRDefault="000A60A7" w:rsidP="00FD7CD0">
            <w:pPr>
              <w:pStyle w:val="TableText0"/>
              <w:keepLines/>
            </w:pPr>
          </w:p>
        </w:tc>
        <w:tc>
          <w:tcPr>
            <w:tcW w:w="3027" w:type="pct"/>
            <w:tcBorders>
              <w:top w:val="nil"/>
              <w:bottom w:val="nil"/>
            </w:tcBorders>
            <w:vAlign w:val="center"/>
          </w:tcPr>
          <w:p w14:paraId="219E794E" w14:textId="77777777" w:rsidR="000A60A7" w:rsidRPr="008312ED" w:rsidRDefault="000A60A7" w:rsidP="00FD7CD0">
            <w:pPr>
              <w:pStyle w:val="TableText0"/>
              <w:keepLines/>
            </w:pPr>
            <w:r w:rsidRPr="008312ED">
              <w:t>Bilder, D. Improved attention linked to sustained phenylalanine reduction in adults with early-treated phenylketonuria</w:t>
            </w:r>
          </w:p>
        </w:tc>
        <w:tc>
          <w:tcPr>
            <w:tcW w:w="1177" w:type="pct"/>
            <w:tcBorders>
              <w:top w:val="nil"/>
              <w:bottom w:val="nil"/>
            </w:tcBorders>
            <w:vAlign w:val="center"/>
          </w:tcPr>
          <w:p w14:paraId="57A073C9" w14:textId="77777777" w:rsidR="000A60A7" w:rsidRPr="000764C2" w:rsidRDefault="000A60A7" w:rsidP="00FD7CD0">
            <w:pPr>
              <w:pStyle w:val="TableText0"/>
              <w:keepLines/>
              <w:rPr>
                <w:szCs w:val="18"/>
              </w:rPr>
            </w:pPr>
            <w:r w:rsidRPr="000764C2">
              <w:t>Am J Med Genet 2021; 1–11</w:t>
            </w:r>
          </w:p>
        </w:tc>
      </w:tr>
      <w:tr w:rsidR="000A60A7" w:rsidRPr="008312ED" w14:paraId="3B3503E3" w14:textId="77777777" w:rsidTr="00AC7A17">
        <w:tc>
          <w:tcPr>
            <w:tcW w:w="796" w:type="pct"/>
            <w:vMerge/>
            <w:tcBorders>
              <w:bottom w:val="nil"/>
            </w:tcBorders>
            <w:vAlign w:val="center"/>
          </w:tcPr>
          <w:p w14:paraId="6A80C0D3" w14:textId="77777777" w:rsidR="000A60A7" w:rsidRPr="008312ED" w:rsidRDefault="000A60A7" w:rsidP="00FD7CD0">
            <w:pPr>
              <w:pStyle w:val="TableText0"/>
              <w:keepLines/>
            </w:pPr>
          </w:p>
        </w:tc>
        <w:tc>
          <w:tcPr>
            <w:tcW w:w="3027" w:type="pct"/>
            <w:tcBorders>
              <w:top w:val="nil"/>
              <w:bottom w:val="nil"/>
            </w:tcBorders>
            <w:vAlign w:val="center"/>
          </w:tcPr>
          <w:p w14:paraId="687240A8" w14:textId="77777777" w:rsidR="000A60A7" w:rsidRPr="008312ED" w:rsidRDefault="000A60A7" w:rsidP="00FD7CD0">
            <w:pPr>
              <w:pStyle w:val="TableText0"/>
              <w:keepLines/>
            </w:pPr>
            <w:r w:rsidRPr="008312ED">
              <w:t>Aryal et al. M. Achieving efficacy in subjects with sustained pegvaliase-neutralizing antibody responses.</w:t>
            </w:r>
          </w:p>
        </w:tc>
        <w:tc>
          <w:tcPr>
            <w:tcW w:w="1177" w:type="pct"/>
            <w:tcBorders>
              <w:top w:val="nil"/>
              <w:bottom w:val="nil"/>
            </w:tcBorders>
            <w:vAlign w:val="center"/>
          </w:tcPr>
          <w:p w14:paraId="02275D5A" w14:textId="77777777" w:rsidR="000A60A7" w:rsidRPr="000764C2" w:rsidRDefault="000A60A7" w:rsidP="00FD7CD0">
            <w:pPr>
              <w:pStyle w:val="TableText0"/>
              <w:keepLines/>
            </w:pPr>
            <w:r w:rsidRPr="000764C2">
              <w:t>Mol Gen Metab 2021: 235-242</w:t>
            </w:r>
          </w:p>
        </w:tc>
      </w:tr>
      <w:tr w:rsidR="000A60A7" w:rsidRPr="008312ED" w14:paraId="14A099B1" w14:textId="77777777" w:rsidTr="008E25D6">
        <w:tc>
          <w:tcPr>
            <w:tcW w:w="796" w:type="pct"/>
            <w:vMerge w:val="restart"/>
            <w:vAlign w:val="center"/>
          </w:tcPr>
          <w:p w14:paraId="7BE2EC29" w14:textId="3341980E" w:rsidR="000A60A7" w:rsidRPr="008312ED" w:rsidRDefault="000A60A7" w:rsidP="00FD7CD0">
            <w:pPr>
              <w:pStyle w:val="TableText0"/>
              <w:keepLines/>
            </w:pPr>
            <w:r w:rsidRPr="008312ED">
              <w:t>PRISM 2</w:t>
            </w:r>
          </w:p>
        </w:tc>
        <w:tc>
          <w:tcPr>
            <w:tcW w:w="3027" w:type="pct"/>
            <w:tcBorders>
              <w:bottom w:val="nil"/>
            </w:tcBorders>
            <w:vAlign w:val="center"/>
          </w:tcPr>
          <w:p w14:paraId="4B8AE9CA" w14:textId="77777777" w:rsidR="000A60A7" w:rsidRPr="008312ED" w:rsidRDefault="000A60A7" w:rsidP="00FD7CD0">
            <w:pPr>
              <w:pStyle w:val="TableText0"/>
              <w:keepLines/>
            </w:pPr>
            <w:r w:rsidRPr="008312ED">
              <w:t>A four-part, Phase 3, randomized, double-blind, placebo-controlled, four-arm, discontinuation study to evaluate the efficacy and safety of subcutaneous injections of BMN 165 self-administered by adults with phenylketonuria</w:t>
            </w:r>
          </w:p>
        </w:tc>
        <w:tc>
          <w:tcPr>
            <w:tcW w:w="1177" w:type="pct"/>
            <w:tcBorders>
              <w:bottom w:val="nil"/>
            </w:tcBorders>
            <w:vAlign w:val="center"/>
          </w:tcPr>
          <w:p w14:paraId="2B37BED4" w14:textId="77777777" w:rsidR="000A60A7" w:rsidRPr="000764C2" w:rsidRDefault="000A60A7" w:rsidP="00FD7CD0">
            <w:pPr>
              <w:pStyle w:val="TableText0"/>
              <w:keepLines/>
            </w:pPr>
            <w:r w:rsidRPr="000764C2">
              <w:t>October 2019</w:t>
            </w:r>
          </w:p>
        </w:tc>
      </w:tr>
      <w:tr w:rsidR="000A60A7" w:rsidRPr="008312ED" w14:paraId="4F11A883" w14:textId="77777777" w:rsidTr="008E25D6">
        <w:tc>
          <w:tcPr>
            <w:tcW w:w="796" w:type="pct"/>
            <w:vMerge/>
            <w:vAlign w:val="center"/>
          </w:tcPr>
          <w:p w14:paraId="7034EA7F" w14:textId="6E6EFF35" w:rsidR="000A60A7" w:rsidRPr="008312ED" w:rsidRDefault="000A60A7" w:rsidP="00FD7CD0">
            <w:pPr>
              <w:pStyle w:val="TableText0"/>
              <w:keepLines/>
            </w:pPr>
          </w:p>
        </w:tc>
        <w:tc>
          <w:tcPr>
            <w:tcW w:w="3027" w:type="pct"/>
            <w:tcBorders>
              <w:top w:val="nil"/>
              <w:bottom w:val="nil"/>
            </w:tcBorders>
            <w:vAlign w:val="center"/>
          </w:tcPr>
          <w:p w14:paraId="39150A1D" w14:textId="77777777" w:rsidR="000A60A7" w:rsidRPr="008312ED" w:rsidRDefault="000A60A7" w:rsidP="00FD7CD0">
            <w:pPr>
              <w:pStyle w:val="TableText0"/>
              <w:keepLines/>
              <w:rPr>
                <w:szCs w:val="18"/>
              </w:rPr>
            </w:pPr>
            <w:r w:rsidRPr="008312ED">
              <w:t>A four-part, Phase 3, randomized, double-blind, placebo-controlled, four-arm, discontinuation study to evaluate the efficacy and safety of subcutaneous injections of BMN 165 self-administered by adults with phenylketonuria</w:t>
            </w:r>
          </w:p>
        </w:tc>
        <w:tc>
          <w:tcPr>
            <w:tcW w:w="1177" w:type="pct"/>
            <w:tcBorders>
              <w:top w:val="nil"/>
              <w:bottom w:val="nil"/>
            </w:tcBorders>
            <w:vAlign w:val="center"/>
          </w:tcPr>
          <w:p w14:paraId="7731DDAA" w14:textId="77777777" w:rsidR="000A60A7" w:rsidRPr="000764C2" w:rsidRDefault="000A60A7" w:rsidP="00FD7CD0">
            <w:pPr>
              <w:pStyle w:val="TableText0"/>
              <w:keepLines/>
            </w:pPr>
            <w:r w:rsidRPr="000764C2">
              <w:t>March 2017</w:t>
            </w:r>
          </w:p>
        </w:tc>
      </w:tr>
      <w:tr w:rsidR="000A60A7" w:rsidRPr="008312ED" w14:paraId="1FDADA6D" w14:textId="77777777" w:rsidTr="008E25D6">
        <w:tc>
          <w:tcPr>
            <w:tcW w:w="796" w:type="pct"/>
            <w:vMerge/>
            <w:vAlign w:val="center"/>
          </w:tcPr>
          <w:p w14:paraId="737A76D7" w14:textId="61733B34" w:rsidR="000A60A7" w:rsidRPr="008312ED" w:rsidRDefault="000A60A7" w:rsidP="00FD7CD0">
            <w:pPr>
              <w:pStyle w:val="TableText0"/>
              <w:keepLines/>
            </w:pPr>
          </w:p>
        </w:tc>
        <w:tc>
          <w:tcPr>
            <w:tcW w:w="3027" w:type="pct"/>
            <w:tcBorders>
              <w:top w:val="nil"/>
              <w:bottom w:val="nil"/>
            </w:tcBorders>
            <w:vAlign w:val="center"/>
          </w:tcPr>
          <w:p w14:paraId="3C2DFA5C" w14:textId="77777777" w:rsidR="000A60A7" w:rsidRPr="008312ED" w:rsidRDefault="000A60A7" w:rsidP="00FD7CD0">
            <w:pPr>
              <w:pStyle w:val="TableText0"/>
              <w:keepLines/>
              <w:rPr>
                <w:szCs w:val="18"/>
              </w:rPr>
            </w:pPr>
            <w:r w:rsidRPr="008312ED">
              <w:rPr>
                <w:szCs w:val="18"/>
              </w:rPr>
              <w:t xml:space="preserve">Harding et al. C. </w:t>
            </w:r>
            <w:r w:rsidRPr="008312ED">
              <w:t>Pegvaliase for the treatment of phenylketonuria: A pivotal, double-blind randomized discontinuation Phase 3 clinical trial.</w:t>
            </w:r>
          </w:p>
        </w:tc>
        <w:tc>
          <w:tcPr>
            <w:tcW w:w="1177" w:type="pct"/>
            <w:tcBorders>
              <w:top w:val="nil"/>
              <w:bottom w:val="nil"/>
            </w:tcBorders>
            <w:vAlign w:val="center"/>
          </w:tcPr>
          <w:p w14:paraId="4AEA76C2" w14:textId="77777777" w:rsidR="000A60A7" w:rsidRPr="000764C2" w:rsidRDefault="000A60A7" w:rsidP="00FD7CD0">
            <w:pPr>
              <w:pStyle w:val="TableText0"/>
              <w:keepLines/>
            </w:pPr>
            <w:r w:rsidRPr="000764C2">
              <w:t>Mol Gen Metab; 124: 20-26</w:t>
            </w:r>
          </w:p>
        </w:tc>
      </w:tr>
      <w:tr w:rsidR="000A60A7" w:rsidRPr="008312ED" w14:paraId="450EF229" w14:textId="77777777" w:rsidTr="008E25D6">
        <w:tc>
          <w:tcPr>
            <w:tcW w:w="796" w:type="pct"/>
            <w:vMerge/>
            <w:vAlign w:val="center"/>
          </w:tcPr>
          <w:p w14:paraId="29FA5B4B" w14:textId="0C871790" w:rsidR="000A60A7" w:rsidRPr="008312ED" w:rsidRDefault="000A60A7" w:rsidP="00FD7CD0">
            <w:pPr>
              <w:pStyle w:val="TableText0"/>
              <w:keepLines/>
            </w:pPr>
          </w:p>
        </w:tc>
        <w:tc>
          <w:tcPr>
            <w:tcW w:w="3027" w:type="pct"/>
            <w:tcBorders>
              <w:top w:val="nil"/>
              <w:bottom w:val="nil"/>
            </w:tcBorders>
            <w:vAlign w:val="center"/>
          </w:tcPr>
          <w:p w14:paraId="048D21F8" w14:textId="77777777" w:rsidR="000A60A7" w:rsidRPr="008312ED" w:rsidRDefault="000A60A7" w:rsidP="00FD7CD0">
            <w:pPr>
              <w:pStyle w:val="TableText0"/>
              <w:keepLines/>
              <w:rPr>
                <w:szCs w:val="18"/>
              </w:rPr>
            </w:pPr>
            <w:r w:rsidRPr="008312ED">
              <w:t>Thomas et al, J. Pegvaliase for the treatment of phenylketonuria: Results of a long-term phase 3 clinical trial program (PRISM).</w:t>
            </w:r>
          </w:p>
        </w:tc>
        <w:tc>
          <w:tcPr>
            <w:tcW w:w="1177" w:type="pct"/>
            <w:tcBorders>
              <w:top w:val="nil"/>
              <w:bottom w:val="nil"/>
            </w:tcBorders>
            <w:vAlign w:val="center"/>
          </w:tcPr>
          <w:p w14:paraId="355CD2C7" w14:textId="0D27B12A" w:rsidR="000A60A7" w:rsidRPr="000764C2" w:rsidRDefault="000A60A7" w:rsidP="00FD7CD0">
            <w:pPr>
              <w:pStyle w:val="TableText0"/>
              <w:keepLines/>
              <w:rPr>
                <w:szCs w:val="18"/>
              </w:rPr>
            </w:pPr>
            <w:r w:rsidRPr="000764C2">
              <w:t xml:space="preserve">Mol Gen Metab, 2018; 124: 27-38  </w:t>
            </w:r>
          </w:p>
        </w:tc>
      </w:tr>
      <w:tr w:rsidR="000A60A7" w:rsidRPr="008312ED" w14:paraId="2C8657E6" w14:textId="77777777" w:rsidTr="008E25D6">
        <w:tc>
          <w:tcPr>
            <w:tcW w:w="796" w:type="pct"/>
            <w:vMerge/>
            <w:vAlign w:val="center"/>
          </w:tcPr>
          <w:p w14:paraId="696CEEE0" w14:textId="77777777" w:rsidR="000A60A7" w:rsidRPr="008312ED" w:rsidRDefault="000A60A7" w:rsidP="00FD7CD0">
            <w:pPr>
              <w:pStyle w:val="TableText0"/>
              <w:keepLines/>
            </w:pPr>
          </w:p>
        </w:tc>
        <w:tc>
          <w:tcPr>
            <w:tcW w:w="3027" w:type="pct"/>
            <w:tcBorders>
              <w:top w:val="nil"/>
              <w:bottom w:val="nil"/>
            </w:tcBorders>
            <w:vAlign w:val="center"/>
          </w:tcPr>
          <w:p w14:paraId="1314FB5E" w14:textId="77777777" w:rsidR="000A60A7" w:rsidRPr="008312ED" w:rsidRDefault="000A60A7" w:rsidP="00FD7CD0">
            <w:pPr>
              <w:pStyle w:val="TableText0"/>
              <w:keepLines/>
            </w:pPr>
            <w:r w:rsidRPr="008312ED">
              <w:t>Gupta, S. Association of immune response with efficacy and safety outcomes in adults with phenylketonuria administered pegvaliase in phase 3 clinical trials</w:t>
            </w:r>
          </w:p>
        </w:tc>
        <w:tc>
          <w:tcPr>
            <w:tcW w:w="1177" w:type="pct"/>
            <w:tcBorders>
              <w:top w:val="nil"/>
              <w:bottom w:val="nil"/>
            </w:tcBorders>
            <w:vAlign w:val="center"/>
          </w:tcPr>
          <w:p w14:paraId="26FBFF85" w14:textId="77777777" w:rsidR="000A60A7" w:rsidRPr="000764C2" w:rsidRDefault="000A60A7" w:rsidP="00FD7CD0">
            <w:pPr>
              <w:pStyle w:val="TableText0"/>
              <w:keepLines/>
              <w:rPr>
                <w:szCs w:val="18"/>
              </w:rPr>
            </w:pPr>
            <w:r w:rsidRPr="000764C2">
              <w:t>EBioMedicine 2018; 37: 366-373</w:t>
            </w:r>
          </w:p>
        </w:tc>
      </w:tr>
      <w:tr w:rsidR="000A60A7" w:rsidRPr="008312ED" w14:paraId="20B6AC86" w14:textId="77777777" w:rsidTr="008E25D6">
        <w:tc>
          <w:tcPr>
            <w:tcW w:w="796" w:type="pct"/>
            <w:vMerge/>
            <w:vAlign w:val="center"/>
          </w:tcPr>
          <w:p w14:paraId="38E6F071" w14:textId="77777777" w:rsidR="000A60A7" w:rsidRPr="008312ED" w:rsidRDefault="000A60A7" w:rsidP="00FD7CD0">
            <w:pPr>
              <w:pStyle w:val="TableText0"/>
              <w:keepLines/>
            </w:pPr>
          </w:p>
        </w:tc>
        <w:tc>
          <w:tcPr>
            <w:tcW w:w="3027" w:type="pct"/>
            <w:tcBorders>
              <w:top w:val="nil"/>
              <w:bottom w:val="nil"/>
            </w:tcBorders>
            <w:vAlign w:val="center"/>
          </w:tcPr>
          <w:p w14:paraId="0EA2E962" w14:textId="77777777" w:rsidR="000A60A7" w:rsidRPr="008312ED" w:rsidRDefault="000A60A7" w:rsidP="00FD7CD0">
            <w:pPr>
              <w:pStyle w:val="TableText0"/>
              <w:keepLines/>
            </w:pPr>
            <w:r w:rsidRPr="008312ED">
              <w:t>Bilder, D. Improved attention linked to sustained phenylalanine reduction in adults with early-treated phenylketonuria</w:t>
            </w:r>
          </w:p>
        </w:tc>
        <w:tc>
          <w:tcPr>
            <w:tcW w:w="1177" w:type="pct"/>
            <w:tcBorders>
              <w:top w:val="nil"/>
              <w:bottom w:val="nil"/>
            </w:tcBorders>
            <w:vAlign w:val="center"/>
          </w:tcPr>
          <w:p w14:paraId="1AE00F46" w14:textId="77777777" w:rsidR="000A60A7" w:rsidRPr="000764C2" w:rsidRDefault="000A60A7" w:rsidP="00FD7CD0">
            <w:pPr>
              <w:pStyle w:val="TableText0"/>
              <w:keepLines/>
              <w:rPr>
                <w:szCs w:val="18"/>
              </w:rPr>
            </w:pPr>
            <w:r w:rsidRPr="000764C2">
              <w:t>Am J Med Genet 2021; 1–11</w:t>
            </w:r>
          </w:p>
        </w:tc>
      </w:tr>
      <w:tr w:rsidR="000A60A7" w:rsidRPr="008312ED" w14:paraId="7CA33689" w14:textId="77777777" w:rsidTr="008E25D6">
        <w:tc>
          <w:tcPr>
            <w:tcW w:w="796" w:type="pct"/>
            <w:vMerge/>
            <w:tcBorders>
              <w:bottom w:val="single" w:sz="4" w:space="0" w:color="auto"/>
            </w:tcBorders>
            <w:vAlign w:val="center"/>
          </w:tcPr>
          <w:p w14:paraId="1B055E15" w14:textId="77777777" w:rsidR="000A60A7" w:rsidRPr="008312ED" w:rsidRDefault="000A60A7" w:rsidP="00FD7CD0">
            <w:pPr>
              <w:pStyle w:val="TableText0"/>
              <w:keepLines/>
            </w:pPr>
          </w:p>
        </w:tc>
        <w:tc>
          <w:tcPr>
            <w:tcW w:w="3027" w:type="pct"/>
            <w:tcBorders>
              <w:top w:val="nil"/>
              <w:bottom w:val="single" w:sz="4" w:space="0" w:color="auto"/>
            </w:tcBorders>
            <w:vAlign w:val="center"/>
          </w:tcPr>
          <w:p w14:paraId="37F71775" w14:textId="77777777" w:rsidR="000A60A7" w:rsidRPr="008312ED" w:rsidRDefault="000A60A7" w:rsidP="00FD7CD0">
            <w:pPr>
              <w:pStyle w:val="TableText0"/>
              <w:keepLines/>
            </w:pPr>
            <w:r w:rsidRPr="008312ED">
              <w:t>Aryal et al. M. Achieving efficacy in subjects with sustained pegvaliase-neutralizing antibody responses.</w:t>
            </w:r>
          </w:p>
        </w:tc>
        <w:tc>
          <w:tcPr>
            <w:tcW w:w="1177" w:type="pct"/>
            <w:tcBorders>
              <w:top w:val="nil"/>
              <w:bottom w:val="single" w:sz="4" w:space="0" w:color="auto"/>
            </w:tcBorders>
            <w:vAlign w:val="center"/>
          </w:tcPr>
          <w:p w14:paraId="1D4BB674" w14:textId="77777777" w:rsidR="000A60A7" w:rsidRPr="000764C2" w:rsidRDefault="000A60A7" w:rsidP="00FD7CD0">
            <w:pPr>
              <w:pStyle w:val="TableText0"/>
              <w:keepLines/>
              <w:rPr>
                <w:szCs w:val="18"/>
              </w:rPr>
            </w:pPr>
            <w:r w:rsidRPr="000764C2">
              <w:t>Mol Gen Metab 2021: 235-242</w:t>
            </w:r>
          </w:p>
        </w:tc>
      </w:tr>
      <w:tr w:rsidR="00774AF7" w:rsidRPr="008312ED" w14:paraId="14AFDBBE" w14:textId="77777777" w:rsidTr="00FD7CD0">
        <w:tc>
          <w:tcPr>
            <w:tcW w:w="5000" w:type="pct"/>
            <w:gridSpan w:val="3"/>
            <w:tcBorders>
              <w:top w:val="nil"/>
              <w:bottom w:val="single" w:sz="4" w:space="0" w:color="auto"/>
            </w:tcBorders>
            <w:vAlign w:val="center"/>
          </w:tcPr>
          <w:p w14:paraId="1C702107" w14:textId="77777777" w:rsidR="00774AF7" w:rsidRPr="008312ED" w:rsidRDefault="00774AF7" w:rsidP="00FD7CD0">
            <w:pPr>
              <w:pStyle w:val="TableText0"/>
              <w:keepLines/>
              <w:rPr>
                <w:b/>
                <w:bCs w:val="0"/>
                <w:iCs/>
                <w:szCs w:val="18"/>
              </w:rPr>
            </w:pPr>
            <w:r w:rsidRPr="008312ED">
              <w:rPr>
                <w:b/>
                <w:bCs w:val="0"/>
                <w:iCs/>
                <w:szCs w:val="18"/>
              </w:rPr>
              <w:t>Additional studies</w:t>
            </w:r>
          </w:p>
        </w:tc>
      </w:tr>
      <w:tr w:rsidR="00774AF7" w:rsidRPr="008312ED" w14:paraId="71939011" w14:textId="77777777" w:rsidTr="00FD7CD0">
        <w:tc>
          <w:tcPr>
            <w:tcW w:w="796" w:type="pct"/>
            <w:vMerge w:val="restart"/>
            <w:tcBorders>
              <w:top w:val="nil"/>
            </w:tcBorders>
            <w:vAlign w:val="center"/>
          </w:tcPr>
          <w:p w14:paraId="398DC577" w14:textId="77777777" w:rsidR="00774AF7" w:rsidRPr="008312ED" w:rsidRDefault="00774AF7" w:rsidP="00FD7CD0">
            <w:pPr>
              <w:pStyle w:val="TableText0"/>
              <w:keepLines/>
            </w:pPr>
            <w:r w:rsidRPr="008312ED">
              <w:t>PKUDOS Registry</w:t>
            </w:r>
          </w:p>
        </w:tc>
        <w:tc>
          <w:tcPr>
            <w:tcW w:w="3027" w:type="pct"/>
            <w:tcBorders>
              <w:top w:val="nil"/>
              <w:bottom w:val="nil"/>
            </w:tcBorders>
            <w:vAlign w:val="center"/>
          </w:tcPr>
          <w:p w14:paraId="0EDD3DFA" w14:textId="77777777" w:rsidR="00774AF7" w:rsidRPr="008312ED" w:rsidRDefault="00774AF7" w:rsidP="00FD7CD0">
            <w:pPr>
              <w:pStyle w:val="TableText0"/>
              <w:keepLines/>
              <w:rPr>
                <w:szCs w:val="18"/>
              </w:rPr>
            </w:pPr>
            <w:r w:rsidRPr="008312ED">
              <w:rPr>
                <w:szCs w:val="18"/>
              </w:rPr>
              <w:t xml:space="preserve">Longo, N. et al. </w:t>
            </w:r>
            <w:r w:rsidRPr="008312ED">
              <w:t>Long-term safety and efficacy of sapropterin: The PKUDOS registry experience.</w:t>
            </w:r>
          </w:p>
        </w:tc>
        <w:tc>
          <w:tcPr>
            <w:tcW w:w="1177" w:type="pct"/>
            <w:tcBorders>
              <w:top w:val="nil"/>
              <w:bottom w:val="nil"/>
            </w:tcBorders>
            <w:vAlign w:val="center"/>
          </w:tcPr>
          <w:p w14:paraId="589F47D5" w14:textId="77777777" w:rsidR="00774AF7" w:rsidRPr="000764C2" w:rsidRDefault="00774AF7" w:rsidP="00FD7CD0">
            <w:pPr>
              <w:pStyle w:val="TableText0"/>
              <w:keepLines/>
              <w:rPr>
                <w:szCs w:val="18"/>
              </w:rPr>
            </w:pPr>
            <w:r w:rsidRPr="000764C2">
              <w:t>Mol Gen Metab, 2015; 114: 557-563</w:t>
            </w:r>
          </w:p>
        </w:tc>
      </w:tr>
      <w:tr w:rsidR="00774AF7" w:rsidRPr="008312ED" w14:paraId="0E91E5AF" w14:textId="77777777" w:rsidTr="00FD7CD0">
        <w:tc>
          <w:tcPr>
            <w:tcW w:w="796" w:type="pct"/>
            <w:vMerge/>
            <w:tcBorders>
              <w:bottom w:val="single" w:sz="4" w:space="0" w:color="auto"/>
            </w:tcBorders>
            <w:vAlign w:val="center"/>
          </w:tcPr>
          <w:p w14:paraId="450AC646" w14:textId="77777777" w:rsidR="00774AF7" w:rsidRPr="008312ED" w:rsidRDefault="00774AF7" w:rsidP="00FD7CD0">
            <w:pPr>
              <w:pStyle w:val="TableText0"/>
              <w:keepLines/>
            </w:pPr>
          </w:p>
        </w:tc>
        <w:tc>
          <w:tcPr>
            <w:tcW w:w="3027" w:type="pct"/>
            <w:tcBorders>
              <w:top w:val="nil"/>
              <w:bottom w:val="single" w:sz="4" w:space="0" w:color="auto"/>
            </w:tcBorders>
            <w:vAlign w:val="center"/>
          </w:tcPr>
          <w:p w14:paraId="49654D10" w14:textId="77777777" w:rsidR="00774AF7" w:rsidRPr="008312ED" w:rsidRDefault="00774AF7" w:rsidP="00FD7CD0">
            <w:pPr>
              <w:pStyle w:val="TableText0"/>
              <w:keepLines/>
              <w:rPr>
                <w:szCs w:val="18"/>
              </w:rPr>
            </w:pPr>
            <w:r w:rsidRPr="008312ED">
              <w:t>Lilienstein, J. et al. Interim analysis of the Phenylketonuria (PKU) patients enrolled in the PKUDOS registry.</w:t>
            </w:r>
          </w:p>
        </w:tc>
        <w:tc>
          <w:tcPr>
            <w:tcW w:w="1177" w:type="pct"/>
            <w:tcBorders>
              <w:top w:val="nil"/>
              <w:bottom w:val="single" w:sz="4" w:space="0" w:color="auto"/>
            </w:tcBorders>
            <w:vAlign w:val="center"/>
          </w:tcPr>
          <w:p w14:paraId="4E4A2C4A" w14:textId="77777777" w:rsidR="00774AF7" w:rsidRPr="000764C2" w:rsidRDefault="00774AF7" w:rsidP="00FD7CD0">
            <w:pPr>
              <w:pStyle w:val="TableText0"/>
              <w:keepLines/>
              <w:rPr>
                <w:szCs w:val="18"/>
              </w:rPr>
            </w:pPr>
            <w:r w:rsidRPr="000764C2">
              <w:rPr>
                <w:szCs w:val="18"/>
              </w:rPr>
              <w:t>National PKU Alliance Conference: July 5-8, 2018, Atlanta, Georgia</w:t>
            </w:r>
          </w:p>
        </w:tc>
      </w:tr>
      <w:tr w:rsidR="00774AF7" w:rsidRPr="008312ED" w14:paraId="1845EC0D" w14:textId="77777777" w:rsidTr="00FD7CD0">
        <w:tc>
          <w:tcPr>
            <w:tcW w:w="796" w:type="pct"/>
            <w:tcBorders>
              <w:top w:val="single" w:sz="4" w:space="0" w:color="auto"/>
              <w:bottom w:val="single" w:sz="4" w:space="0" w:color="auto"/>
            </w:tcBorders>
            <w:vAlign w:val="center"/>
          </w:tcPr>
          <w:p w14:paraId="0E25130A" w14:textId="77777777" w:rsidR="00774AF7" w:rsidRPr="008312ED" w:rsidRDefault="00774AF7" w:rsidP="00FD7CD0">
            <w:pPr>
              <w:pStyle w:val="TableText0"/>
              <w:keepLines/>
            </w:pPr>
            <w:r w:rsidRPr="008312ED">
              <w:t>Matched-adjusted comparison</w:t>
            </w:r>
          </w:p>
        </w:tc>
        <w:tc>
          <w:tcPr>
            <w:tcW w:w="3027" w:type="pct"/>
            <w:tcBorders>
              <w:top w:val="single" w:sz="4" w:space="0" w:color="auto"/>
              <w:bottom w:val="single" w:sz="4" w:space="0" w:color="auto"/>
            </w:tcBorders>
            <w:vAlign w:val="center"/>
          </w:tcPr>
          <w:p w14:paraId="3F581D68" w14:textId="77777777" w:rsidR="00774AF7" w:rsidRPr="008312ED" w:rsidRDefault="00774AF7" w:rsidP="00FD7CD0">
            <w:pPr>
              <w:pStyle w:val="TableText0"/>
              <w:keepLines/>
              <w:rPr>
                <w:szCs w:val="18"/>
              </w:rPr>
            </w:pPr>
            <w:r w:rsidRPr="008312ED">
              <w:t>Zori, R. et al. Long-term comparative effectiveness of pegvaliase versus standard of care comparators in adults with phenylketonuria</w:t>
            </w:r>
          </w:p>
        </w:tc>
        <w:tc>
          <w:tcPr>
            <w:tcW w:w="1177" w:type="pct"/>
            <w:tcBorders>
              <w:top w:val="single" w:sz="4" w:space="0" w:color="auto"/>
              <w:bottom w:val="single" w:sz="4" w:space="0" w:color="auto"/>
            </w:tcBorders>
            <w:vAlign w:val="center"/>
          </w:tcPr>
          <w:p w14:paraId="326CF028" w14:textId="77777777" w:rsidR="00774AF7" w:rsidRPr="000764C2" w:rsidRDefault="00774AF7" w:rsidP="00FD7CD0">
            <w:pPr>
              <w:pStyle w:val="TableText0"/>
              <w:keepLines/>
              <w:rPr>
                <w:szCs w:val="18"/>
              </w:rPr>
            </w:pPr>
            <w:r w:rsidRPr="000764C2">
              <w:t>Mol Gen Metab 2019; 128: 92-101</w:t>
            </w:r>
          </w:p>
        </w:tc>
      </w:tr>
    </w:tbl>
    <w:p w14:paraId="4D7D6711" w14:textId="3385A3A1" w:rsidR="00774AF7" w:rsidRPr="008312ED" w:rsidRDefault="00774AF7" w:rsidP="00774AF7">
      <w:pPr>
        <w:pStyle w:val="TableFigureFooter"/>
        <w:keepNext/>
        <w:keepLines/>
        <w:rPr>
          <w:sz w:val="20"/>
        </w:rPr>
      </w:pPr>
      <w:r w:rsidRPr="008312ED">
        <w:t>Source: Table 2.2-1</w:t>
      </w:r>
      <w:r w:rsidR="003E2AC1">
        <w:t xml:space="preserve">, </w:t>
      </w:r>
      <w:r w:rsidRPr="008312ED">
        <w:t>p</w:t>
      </w:r>
      <w:r w:rsidR="003E2AC1">
        <w:t>p</w:t>
      </w:r>
      <w:r w:rsidRPr="008312ED">
        <w:t>53-4 of the submission &amp; Table 2.8-10</w:t>
      </w:r>
      <w:r w:rsidR="003E2AC1">
        <w:t xml:space="preserve">, </w:t>
      </w:r>
      <w:r w:rsidRPr="008312ED">
        <w:t>p</w:t>
      </w:r>
      <w:r w:rsidR="003E2AC1">
        <w:t>p</w:t>
      </w:r>
      <w:r w:rsidRPr="008312ED">
        <w:t>175-6 of the submission</w:t>
      </w:r>
    </w:p>
    <w:p w14:paraId="5EE7E7CB" w14:textId="77777777" w:rsidR="00774AF7" w:rsidRPr="008312ED" w:rsidRDefault="00774AF7" w:rsidP="00774AF7">
      <w:pPr>
        <w:pStyle w:val="TableFigureFooter"/>
        <w:rPr>
          <w:sz w:val="20"/>
        </w:rPr>
      </w:pPr>
    </w:p>
    <w:p w14:paraId="01B430D0" w14:textId="77777777" w:rsidR="00774AF7" w:rsidRPr="008312ED" w:rsidRDefault="00774AF7" w:rsidP="00774AF7">
      <w:pPr>
        <w:pStyle w:val="3-BodyText"/>
      </w:pPr>
      <w:r w:rsidRPr="008312ED">
        <w:t>The key features of the included evidence are presented below.</w:t>
      </w:r>
    </w:p>
    <w:p w14:paraId="78C15BC6" w14:textId="395E5F35" w:rsidR="00774AF7" w:rsidRPr="008312ED" w:rsidRDefault="00774AF7" w:rsidP="00774AF7">
      <w:pPr>
        <w:pStyle w:val="TableFigureHeading"/>
        <w:rPr>
          <w:rStyle w:val="CommentReference"/>
          <w:b/>
          <w:bCs w:val="0"/>
          <w:szCs w:val="24"/>
        </w:rPr>
      </w:pPr>
      <w:r w:rsidRPr="008312ED">
        <w:rPr>
          <w:rStyle w:val="CommentReference"/>
          <w:b/>
          <w:bCs w:val="0"/>
          <w:szCs w:val="24"/>
        </w:rPr>
        <w:lastRenderedPageBreak/>
        <w:t xml:space="preserve">Table </w:t>
      </w:r>
      <w:r w:rsidRPr="008312ED">
        <w:rPr>
          <w:rStyle w:val="CommentReference"/>
          <w:b/>
          <w:bCs w:val="0"/>
          <w:szCs w:val="24"/>
        </w:rPr>
        <w:fldChar w:fldCharType="begin"/>
      </w:r>
      <w:r w:rsidRPr="008312ED">
        <w:rPr>
          <w:rStyle w:val="CommentReference"/>
          <w:b/>
          <w:bCs w:val="0"/>
          <w:szCs w:val="24"/>
        </w:rPr>
        <w:instrText xml:space="preserve"> SEQ Table \* ARABIC </w:instrText>
      </w:r>
      <w:r w:rsidRPr="008312ED">
        <w:rPr>
          <w:rStyle w:val="CommentReference"/>
          <w:b/>
          <w:bCs w:val="0"/>
          <w:szCs w:val="24"/>
        </w:rPr>
        <w:fldChar w:fldCharType="separate"/>
      </w:r>
      <w:r w:rsidR="001162C8">
        <w:rPr>
          <w:rStyle w:val="CommentReference"/>
          <w:b/>
          <w:bCs w:val="0"/>
          <w:noProof/>
          <w:szCs w:val="24"/>
        </w:rPr>
        <w:t>3</w:t>
      </w:r>
      <w:r w:rsidRPr="008312ED">
        <w:rPr>
          <w:rStyle w:val="CommentReference"/>
          <w:b/>
          <w:bCs w:val="0"/>
          <w:szCs w:val="24"/>
        </w:rPr>
        <w:fldChar w:fldCharType="end"/>
      </w:r>
      <w:r w:rsidRPr="008312ED">
        <w:rPr>
          <w:rStyle w:val="CommentReference"/>
          <w:b/>
          <w:bCs w:val="0"/>
          <w:szCs w:val="24"/>
        </w:rPr>
        <w:t xml:space="preserve">: </w:t>
      </w:r>
      <w:bookmarkStart w:id="36" w:name="_Hlk103157210"/>
      <w:r w:rsidRPr="008312ED">
        <w:rPr>
          <w:rStyle w:val="CommentReference"/>
          <w:b/>
          <w:bCs w:val="0"/>
          <w:szCs w:val="24"/>
        </w:rPr>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23"/>
        <w:gridCol w:w="777"/>
        <w:gridCol w:w="1347"/>
        <w:gridCol w:w="1059"/>
        <w:gridCol w:w="1484"/>
        <w:gridCol w:w="1497"/>
        <w:gridCol w:w="1630"/>
      </w:tblGrid>
      <w:tr w:rsidR="00774AF7" w:rsidRPr="008312ED" w14:paraId="6D7292C9" w14:textId="77777777" w:rsidTr="00FD7CD0">
        <w:trPr>
          <w:cantSplit/>
          <w:tblHeader/>
        </w:trPr>
        <w:tc>
          <w:tcPr>
            <w:tcW w:w="678" w:type="pct"/>
            <w:shd w:val="clear" w:color="auto" w:fill="auto"/>
            <w:vAlign w:val="center"/>
          </w:tcPr>
          <w:bookmarkEnd w:id="36"/>
          <w:p w14:paraId="2CEAAE53" w14:textId="77777777" w:rsidR="00774AF7" w:rsidRPr="008312ED" w:rsidRDefault="00774AF7" w:rsidP="00FD7CD0">
            <w:pPr>
              <w:pStyle w:val="In-tableHeading"/>
              <w:rPr>
                <w:lang w:val="en-AU"/>
              </w:rPr>
            </w:pPr>
            <w:r w:rsidRPr="008312ED">
              <w:rPr>
                <w:lang w:val="en-AU"/>
              </w:rPr>
              <w:t>Trial</w:t>
            </w:r>
          </w:p>
        </w:tc>
        <w:tc>
          <w:tcPr>
            <w:tcW w:w="431" w:type="pct"/>
            <w:shd w:val="clear" w:color="auto" w:fill="auto"/>
            <w:vAlign w:val="center"/>
          </w:tcPr>
          <w:p w14:paraId="422E6637" w14:textId="77777777" w:rsidR="00774AF7" w:rsidRPr="008312ED" w:rsidRDefault="00774AF7" w:rsidP="00FD7CD0">
            <w:pPr>
              <w:pStyle w:val="In-tableHeading"/>
              <w:jc w:val="center"/>
              <w:rPr>
                <w:lang w:val="en-AU"/>
              </w:rPr>
            </w:pPr>
            <w:r w:rsidRPr="008312ED">
              <w:rPr>
                <w:lang w:val="en-AU"/>
              </w:rPr>
              <w:t>N</w:t>
            </w:r>
          </w:p>
        </w:tc>
        <w:tc>
          <w:tcPr>
            <w:tcW w:w="747" w:type="pct"/>
            <w:shd w:val="clear" w:color="auto" w:fill="auto"/>
            <w:vAlign w:val="center"/>
          </w:tcPr>
          <w:p w14:paraId="09143170" w14:textId="77777777" w:rsidR="00774AF7" w:rsidRPr="008312ED" w:rsidRDefault="00774AF7" w:rsidP="00FD7CD0">
            <w:pPr>
              <w:pStyle w:val="In-tableHeading"/>
              <w:jc w:val="center"/>
              <w:rPr>
                <w:lang w:val="en-AU"/>
              </w:rPr>
            </w:pPr>
            <w:r w:rsidRPr="008312ED">
              <w:rPr>
                <w:lang w:val="en-AU"/>
              </w:rPr>
              <w:t>Design/ duration</w:t>
            </w:r>
          </w:p>
        </w:tc>
        <w:tc>
          <w:tcPr>
            <w:tcW w:w="587" w:type="pct"/>
            <w:shd w:val="clear" w:color="auto" w:fill="auto"/>
            <w:vAlign w:val="center"/>
          </w:tcPr>
          <w:p w14:paraId="66B946EA" w14:textId="77777777" w:rsidR="00774AF7" w:rsidRPr="008312ED" w:rsidRDefault="00774AF7" w:rsidP="00FD7CD0">
            <w:pPr>
              <w:pStyle w:val="In-tableHeading"/>
              <w:jc w:val="center"/>
              <w:rPr>
                <w:lang w:val="en-AU"/>
              </w:rPr>
            </w:pPr>
            <w:r w:rsidRPr="008312ED">
              <w:rPr>
                <w:lang w:val="en-AU"/>
              </w:rPr>
              <w:t>Risk of bias</w:t>
            </w:r>
          </w:p>
        </w:tc>
        <w:tc>
          <w:tcPr>
            <w:tcW w:w="823" w:type="pct"/>
            <w:shd w:val="clear" w:color="auto" w:fill="auto"/>
            <w:vAlign w:val="center"/>
          </w:tcPr>
          <w:p w14:paraId="6CE265CF" w14:textId="77777777" w:rsidR="00774AF7" w:rsidRPr="008312ED" w:rsidRDefault="00774AF7" w:rsidP="00FD7CD0">
            <w:pPr>
              <w:pStyle w:val="In-tableHeading"/>
              <w:jc w:val="center"/>
              <w:rPr>
                <w:lang w:val="en-AU"/>
              </w:rPr>
            </w:pPr>
            <w:r w:rsidRPr="008312ED">
              <w:rPr>
                <w:lang w:val="en-AU"/>
              </w:rPr>
              <w:t>Patient population</w:t>
            </w:r>
          </w:p>
        </w:tc>
        <w:tc>
          <w:tcPr>
            <w:tcW w:w="830" w:type="pct"/>
            <w:shd w:val="clear" w:color="auto" w:fill="auto"/>
            <w:vAlign w:val="center"/>
          </w:tcPr>
          <w:p w14:paraId="44689821" w14:textId="77777777" w:rsidR="00774AF7" w:rsidRPr="008312ED" w:rsidRDefault="00774AF7" w:rsidP="00FD7CD0">
            <w:pPr>
              <w:pStyle w:val="In-tableHeading"/>
              <w:jc w:val="center"/>
              <w:rPr>
                <w:lang w:val="en-AU"/>
              </w:rPr>
            </w:pPr>
            <w:r w:rsidRPr="008312ED">
              <w:rPr>
                <w:lang w:val="en-AU"/>
              </w:rPr>
              <w:t>Outcome(s)</w:t>
            </w:r>
          </w:p>
        </w:tc>
        <w:tc>
          <w:tcPr>
            <w:tcW w:w="904" w:type="pct"/>
            <w:shd w:val="clear" w:color="auto" w:fill="auto"/>
            <w:vAlign w:val="center"/>
          </w:tcPr>
          <w:p w14:paraId="7BA11369" w14:textId="77777777" w:rsidR="00774AF7" w:rsidRPr="008312ED" w:rsidRDefault="00774AF7" w:rsidP="00FD7CD0">
            <w:pPr>
              <w:pStyle w:val="In-tableHeading"/>
              <w:jc w:val="center"/>
              <w:rPr>
                <w:lang w:val="en-AU"/>
              </w:rPr>
            </w:pPr>
            <w:r w:rsidRPr="008312ED">
              <w:rPr>
                <w:lang w:val="en-AU"/>
              </w:rPr>
              <w:t>Use in modelled evaluation</w:t>
            </w:r>
          </w:p>
        </w:tc>
      </w:tr>
      <w:tr w:rsidR="00774AF7" w:rsidRPr="008312ED" w14:paraId="5112D8BB" w14:textId="77777777" w:rsidTr="00FD7CD0">
        <w:trPr>
          <w:cantSplit/>
        </w:trPr>
        <w:tc>
          <w:tcPr>
            <w:tcW w:w="5000" w:type="pct"/>
            <w:gridSpan w:val="7"/>
            <w:shd w:val="clear" w:color="auto" w:fill="auto"/>
            <w:vAlign w:val="center"/>
          </w:tcPr>
          <w:p w14:paraId="5F761BBC" w14:textId="6A5B7772" w:rsidR="00774AF7" w:rsidRPr="008312ED" w:rsidRDefault="00774AF7" w:rsidP="00FD7CD0">
            <w:pPr>
              <w:pStyle w:val="In-tableHeading"/>
              <w:rPr>
                <w:lang w:val="en-AU"/>
              </w:rPr>
            </w:pPr>
            <w:r w:rsidRPr="008312ED">
              <w:rPr>
                <w:lang w:val="en-AU"/>
              </w:rPr>
              <w:t>Pegvaliase 20</w:t>
            </w:r>
            <w:r w:rsidR="003E2AC1">
              <w:rPr>
                <w:lang w:val="en-AU"/>
              </w:rPr>
              <w:t xml:space="preserve"> </w:t>
            </w:r>
            <w:r w:rsidRPr="008312ED">
              <w:rPr>
                <w:lang w:val="en-AU"/>
              </w:rPr>
              <w:t>mg/day vs Pegvaliase 40</w:t>
            </w:r>
            <w:r w:rsidR="003E2AC1">
              <w:rPr>
                <w:lang w:val="en-AU"/>
              </w:rPr>
              <w:t xml:space="preserve"> </w:t>
            </w:r>
            <w:r w:rsidRPr="008312ED">
              <w:rPr>
                <w:lang w:val="en-AU"/>
              </w:rPr>
              <w:t>mg/day</w:t>
            </w:r>
          </w:p>
        </w:tc>
      </w:tr>
      <w:tr w:rsidR="00774AF7" w:rsidRPr="00AE2F09" w14:paraId="69159F7C" w14:textId="77777777" w:rsidTr="00FD7CD0">
        <w:trPr>
          <w:cantSplit/>
        </w:trPr>
        <w:tc>
          <w:tcPr>
            <w:tcW w:w="678" w:type="pct"/>
            <w:shd w:val="clear" w:color="auto" w:fill="auto"/>
            <w:vAlign w:val="center"/>
          </w:tcPr>
          <w:p w14:paraId="5B116B2D" w14:textId="77777777" w:rsidR="00774AF7" w:rsidRPr="00AE2F09" w:rsidRDefault="00774AF7" w:rsidP="00FD7CD0">
            <w:pPr>
              <w:pStyle w:val="TableText0"/>
            </w:pPr>
            <w:r w:rsidRPr="00AE2F09">
              <w:t>PRISM 1</w:t>
            </w:r>
          </w:p>
        </w:tc>
        <w:tc>
          <w:tcPr>
            <w:tcW w:w="431" w:type="pct"/>
            <w:shd w:val="clear" w:color="auto" w:fill="auto"/>
            <w:vAlign w:val="center"/>
          </w:tcPr>
          <w:p w14:paraId="4649971B" w14:textId="77777777" w:rsidR="00774AF7" w:rsidRPr="00AE2F09" w:rsidRDefault="00774AF7" w:rsidP="00FD7CD0">
            <w:pPr>
              <w:pStyle w:val="TableText0"/>
              <w:jc w:val="center"/>
            </w:pPr>
            <w:r w:rsidRPr="00AE2F09">
              <w:t>261</w:t>
            </w:r>
          </w:p>
        </w:tc>
        <w:tc>
          <w:tcPr>
            <w:tcW w:w="747" w:type="pct"/>
            <w:shd w:val="clear" w:color="auto" w:fill="auto"/>
            <w:vAlign w:val="center"/>
          </w:tcPr>
          <w:p w14:paraId="1036C705" w14:textId="77777777" w:rsidR="00774AF7" w:rsidRPr="00AE2F09" w:rsidRDefault="00774AF7" w:rsidP="00FD7CD0">
            <w:pPr>
              <w:pStyle w:val="TableText0"/>
              <w:jc w:val="center"/>
            </w:pPr>
            <w:r w:rsidRPr="00AE2F09">
              <w:t>R, OL, MC</w:t>
            </w:r>
          </w:p>
          <w:p w14:paraId="207DC6FC" w14:textId="77777777" w:rsidR="00774AF7" w:rsidRPr="00AE2F09" w:rsidRDefault="00774AF7" w:rsidP="00FD7CD0">
            <w:pPr>
              <w:pStyle w:val="TableText0"/>
              <w:jc w:val="center"/>
            </w:pPr>
            <w:r w:rsidRPr="00AE2F09">
              <w:t>26-35 weeks</w:t>
            </w:r>
          </w:p>
        </w:tc>
        <w:tc>
          <w:tcPr>
            <w:tcW w:w="587" w:type="pct"/>
            <w:shd w:val="clear" w:color="auto" w:fill="auto"/>
            <w:vAlign w:val="center"/>
          </w:tcPr>
          <w:p w14:paraId="144785EB" w14:textId="14972CC4" w:rsidR="00774AF7" w:rsidRPr="00AE2F09" w:rsidRDefault="00774AF7" w:rsidP="00FD7CD0">
            <w:pPr>
              <w:pStyle w:val="TableText0"/>
              <w:jc w:val="center"/>
            </w:pPr>
            <w:r w:rsidRPr="00AE2F09">
              <w:t>High</w:t>
            </w:r>
          </w:p>
        </w:tc>
        <w:tc>
          <w:tcPr>
            <w:tcW w:w="823" w:type="pct"/>
            <w:vMerge w:val="restart"/>
            <w:shd w:val="clear" w:color="auto" w:fill="auto"/>
            <w:vAlign w:val="center"/>
          </w:tcPr>
          <w:p w14:paraId="16E95015" w14:textId="77777777" w:rsidR="00774AF7" w:rsidRPr="00AE2F09" w:rsidRDefault="00774AF7" w:rsidP="00FD7CD0">
            <w:pPr>
              <w:pStyle w:val="TableText0"/>
              <w:jc w:val="center"/>
            </w:pPr>
            <w:r w:rsidRPr="00AE2F09">
              <w:t>PKU, Phe &gt;600µmol/L, ≥18 years-old</w:t>
            </w:r>
          </w:p>
        </w:tc>
        <w:tc>
          <w:tcPr>
            <w:tcW w:w="830" w:type="pct"/>
            <w:vMerge w:val="restart"/>
            <w:shd w:val="clear" w:color="auto" w:fill="auto"/>
            <w:vAlign w:val="center"/>
          </w:tcPr>
          <w:p w14:paraId="0FB1E297" w14:textId="77777777" w:rsidR="00774AF7" w:rsidRPr="00AE2F09" w:rsidRDefault="00774AF7" w:rsidP="00FD7CD0">
            <w:pPr>
              <w:jc w:val="center"/>
              <w:rPr>
                <w:rFonts w:ascii="Arial Narrow" w:hAnsi="Arial Narrow"/>
                <w:sz w:val="20"/>
                <w:szCs w:val="20"/>
              </w:rPr>
            </w:pPr>
            <w:r w:rsidRPr="00AE2F09">
              <w:rPr>
                <w:rFonts w:ascii="Arial Narrow" w:hAnsi="Arial Narrow"/>
                <w:sz w:val="20"/>
                <w:szCs w:val="20"/>
              </w:rPr>
              <w:t>Blood-Phe;</w:t>
            </w:r>
          </w:p>
          <w:p w14:paraId="364E6DBC" w14:textId="77777777" w:rsidR="00774AF7" w:rsidRPr="00AE2F09" w:rsidRDefault="00774AF7" w:rsidP="00FD7CD0">
            <w:pPr>
              <w:jc w:val="center"/>
              <w:rPr>
                <w:rFonts w:ascii="Arial Narrow" w:hAnsi="Arial Narrow"/>
                <w:sz w:val="20"/>
                <w:szCs w:val="20"/>
              </w:rPr>
            </w:pPr>
            <w:r w:rsidRPr="00AE2F09">
              <w:rPr>
                <w:rFonts w:ascii="Arial Narrow" w:hAnsi="Arial Narrow"/>
                <w:sz w:val="20"/>
                <w:szCs w:val="20"/>
              </w:rPr>
              <w:t>Dietary Phe intake; Psychiatric assessment; Safety</w:t>
            </w:r>
          </w:p>
        </w:tc>
        <w:tc>
          <w:tcPr>
            <w:tcW w:w="904" w:type="pct"/>
            <w:vMerge w:val="restart"/>
            <w:shd w:val="clear" w:color="auto" w:fill="auto"/>
            <w:vAlign w:val="center"/>
          </w:tcPr>
          <w:p w14:paraId="79D48595" w14:textId="77777777" w:rsidR="00774AF7" w:rsidRPr="00AE2F09" w:rsidRDefault="00774AF7" w:rsidP="00FD7CD0">
            <w:pPr>
              <w:pStyle w:val="TableText0"/>
              <w:jc w:val="center"/>
            </w:pPr>
            <w:r w:rsidRPr="00AE2F09">
              <w:t>Yes (blood-Phe; response rate; safety)</w:t>
            </w:r>
          </w:p>
        </w:tc>
      </w:tr>
      <w:tr w:rsidR="00774AF7" w:rsidRPr="00AE2F09" w14:paraId="097D689A" w14:textId="77777777" w:rsidTr="00FD7CD0">
        <w:trPr>
          <w:cantSplit/>
        </w:trPr>
        <w:tc>
          <w:tcPr>
            <w:tcW w:w="678" w:type="pct"/>
            <w:shd w:val="clear" w:color="auto" w:fill="auto"/>
            <w:vAlign w:val="center"/>
          </w:tcPr>
          <w:p w14:paraId="7D9449B6" w14:textId="77777777" w:rsidR="00774AF7" w:rsidRPr="00AE2F09" w:rsidRDefault="00774AF7" w:rsidP="00FD7CD0">
            <w:pPr>
              <w:pStyle w:val="TableText0"/>
            </w:pPr>
            <w:r w:rsidRPr="00AE2F09">
              <w:t>PRISM 2 Part 1</w:t>
            </w:r>
          </w:p>
        </w:tc>
        <w:tc>
          <w:tcPr>
            <w:tcW w:w="431" w:type="pct"/>
            <w:shd w:val="clear" w:color="auto" w:fill="auto"/>
            <w:vAlign w:val="center"/>
          </w:tcPr>
          <w:p w14:paraId="3CDCBA03" w14:textId="77777777" w:rsidR="00774AF7" w:rsidRPr="00AE2F09" w:rsidRDefault="00774AF7" w:rsidP="00FD7CD0">
            <w:pPr>
              <w:pStyle w:val="TableText0"/>
              <w:jc w:val="center"/>
            </w:pPr>
            <w:r w:rsidRPr="00AE2F09">
              <w:t>164</w:t>
            </w:r>
          </w:p>
        </w:tc>
        <w:tc>
          <w:tcPr>
            <w:tcW w:w="747" w:type="pct"/>
            <w:shd w:val="clear" w:color="auto" w:fill="auto"/>
            <w:vAlign w:val="center"/>
          </w:tcPr>
          <w:p w14:paraId="7AD8D855" w14:textId="77777777" w:rsidR="00774AF7" w:rsidRPr="00AE2F09" w:rsidRDefault="00774AF7" w:rsidP="00FD7CD0">
            <w:pPr>
              <w:pStyle w:val="TableText0"/>
              <w:jc w:val="center"/>
            </w:pPr>
            <w:r w:rsidRPr="00AE2F09">
              <w:t>R, OL, MC</w:t>
            </w:r>
          </w:p>
          <w:p w14:paraId="6BF02D83" w14:textId="77777777" w:rsidR="00774AF7" w:rsidRPr="00AE2F09" w:rsidRDefault="00774AF7" w:rsidP="00FD7CD0">
            <w:pPr>
              <w:pStyle w:val="TableText0"/>
              <w:jc w:val="center"/>
            </w:pPr>
            <w:r w:rsidRPr="00AE2F09">
              <w:t>13 weeks</w:t>
            </w:r>
          </w:p>
        </w:tc>
        <w:tc>
          <w:tcPr>
            <w:tcW w:w="587" w:type="pct"/>
            <w:shd w:val="clear" w:color="auto" w:fill="auto"/>
            <w:vAlign w:val="center"/>
          </w:tcPr>
          <w:p w14:paraId="780EE582" w14:textId="069D143A" w:rsidR="00774AF7" w:rsidRPr="00AE2F09" w:rsidRDefault="00774AF7" w:rsidP="00FD7CD0">
            <w:pPr>
              <w:pStyle w:val="TableText0"/>
              <w:jc w:val="center"/>
            </w:pPr>
            <w:r w:rsidRPr="00AE2F09">
              <w:t>High</w:t>
            </w:r>
          </w:p>
        </w:tc>
        <w:tc>
          <w:tcPr>
            <w:tcW w:w="823" w:type="pct"/>
            <w:vMerge/>
            <w:shd w:val="clear" w:color="auto" w:fill="auto"/>
            <w:vAlign w:val="center"/>
          </w:tcPr>
          <w:p w14:paraId="6E87B438" w14:textId="77777777" w:rsidR="00774AF7" w:rsidRPr="00AE2F09" w:rsidRDefault="00774AF7" w:rsidP="00FD7CD0">
            <w:pPr>
              <w:pStyle w:val="TableText0"/>
              <w:jc w:val="center"/>
            </w:pPr>
          </w:p>
        </w:tc>
        <w:tc>
          <w:tcPr>
            <w:tcW w:w="830" w:type="pct"/>
            <w:vMerge/>
            <w:shd w:val="clear" w:color="auto" w:fill="auto"/>
            <w:vAlign w:val="center"/>
          </w:tcPr>
          <w:p w14:paraId="6719BC41" w14:textId="77777777" w:rsidR="00774AF7" w:rsidRPr="00AE2F09" w:rsidRDefault="00774AF7" w:rsidP="00FD7CD0">
            <w:pPr>
              <w:pStyle w:val="TableText0"/>
              <w:jc w:val="center"/>
            </w:pPr>
          </w:p>
        </w:tc>
        <w:tc>
          <w:tcPr>
            <w:tcW w:w="904" w:type="pct"/>
            <w:vMerge/>
            <w:shd w:val="clear" w:color="auto" w:fill="auto"/>
            <w:vAlign w:val="center"/>
          </w:tcPr>
          <w:p w14:paraId="615809D0" w14:textId="77777777" w:rsidR="00774AF7" w:rsidRPr="00AE2F09" w:rsidRDefault="00774AF7" w:rsidP="00FD7CD0">
            <w:pPr>
              <w:pStyle w:val="TableText0"/>
              <w:jc w:val="center"/>
            </w:pPr>
          </w:p>
        </w:tc>
      </w:tr>
      <w:tr w:rsidR="00774AF7" w:rsidRPr="00AE2F09" w14:paraId="1628B490" w14:textId="77777777" w:rsidTr="00FD7CD0">
        <w:trPr>
          <w:cantSplit/>
        </w:trPr>
        <w:tc>
          <w:tcPr>
            <w:tcW w:w="678" w:type="pct"/>
            <w:shd w:val="clear" w:color="auto" w:fill="auto"/>
            <w:vAlign w:val="center"/>
          </w:tcPr>
          <w:p w14:paraId="2B228EF9" w14:textId="77777777" w:rsidR="00774AF7" w:rsidRPr="00AE2F09" w:rsidRDefault="00774AF7" w:rsidP="00FD7CD0">
            <w:pPr>
              <w:pStyle w:val="TableText0"/>
            </w:pPr>
            <w:r w:rsidRPr="00AE2F09">
              <w:t>PRISM 2 Part 3</w:t>
            </w:r>
          </w:p>
        </w:tc>
        <w:tc>
          <w:tcPr>
            <w:tcW w:w="431" w:type="pct"/>
            <w:shd w:val="clear" w:color="auto" w:fill="auto"/>
            <w:vAlign w:val="center"/>
          </w:tcPr>
          <w:p w14:paraId="67D3B4AE" w14:textId="77777777" w:rsidR="00774AF7" w:rsidRPr="00AE2F09" w:rsidRDefault="00774AF7" w:rsidP="00FD7CD0">
            <w:pPr>
              <w:pStyle w:val="TableText0"/>
              <w:jc w:val="center"/>
            </w:pPr>
            <w:r w:rsidRPr="00AE2F09">
              <w:t>89</w:t>
            </w:r>
          </w:p>
        </w:tc>
        <w:tc>
          <w:tcPr>
            <w:tcW w:w="747" w:type="pct"/>
            <w:shd w:val="clear" w:color="auto" w:fill="auto"/>
            <w:vAlign w:val="center"/>
          </w:tcPr>
          <w:p w14:paraId="3FC76954" w14:textId="77777777" w:rsidR="00774AF7" w:rsidRPr="00AE2F09" w:rsidRDefault="00774AF7" w:rsidP="00FD7CD0">
            <w:pPr>
              <w:pStyle w:val="TableText0"/>
              <w:jc w:val="center"/>
            </w:pPr>
            <w:r w:rsidRPr="00AE2F09">
              <w:t>R, OL, MC</w:t>
            </w:r>
          </w:p>
          <w:p w14:paraId="6020877E" w14:textId="77777777" w:rsidR="00774AF7" w:rsidRPr="00AE2F09" w:rsidRDefault="00774AF7" w:rsidP="00FD7CD0">
            <w:pPr>
              <w:pStyle w:val="TableText0"/>
              <w:jc w:val="center"/>
            </w:pPr>
            <w:r w:rsidRPr="00AE2F09">
              <w:t>6 weeks</w:t>
            </w:r>
          </w:p>
        </w:tc>
        <w:tc>
          <w:tcPr>
            <w:tcW w:w="587" w:type="pct"/>
            <w:shd w:val="clear" w:color="auto" w:fill="auto"/>
            <w:vAlign w:val="center"/>
          </w:tcPr>
          <w:p w14:paraId="5AFACDA8" w14:textId="531DB150" w:rsidR="00774AF7" w:rsidRPr="00AE2F09" w:rsidRDefault="00774AF7" w:rsidP="00FD7CD0">
            <w:pPr>
              <w:pStyle w:val="TableText0"/>
              <w:jc w:val="center"/>
            </w:pPr>
            <w:r w:rsidRPr="00AE2F09">
              <w:t>High</w:t>
            </w:r>
          </w:p>
        </w:tc>
        <w:tc>
          <w:tcPr>
            <w:tcW w:w="823" w:type="pct"/>
            <w:shd w:val="clear" w:color="auto" w:fill="auto"/>
            <w:vAlign w:val="center"/>
          </w:tcPr>
          <w:p w14:paraId="62B07A8C" w14:textId="77777777" w:rsidR="00774AF7" w:rsidRPr="00AE2F09" w:rsidRDefault="00774AF7" w:rsidP="00FD7CD0">
            <w:pPr>
              <w:pStyle w:val="TableText0"/>
              <w:jc w:val="center"/>
            </w:pPr>
            <w:r w:rsidRPr="00AE2F09">
              <w:t>Patients who completed PRISM 2 Part 2</w:t>
            </w:r>
          </w:p>
        </w:tc>
        <w:tc>
          <w:tcPr>
            <w:tcW w:w="830" w:type="pct"/>
            <w:shd w:val="clear" w:color="auto" w:fill="auto"/>
            <w:vAlign w:val="center"/>
          </w:tcPr>
          <w:p w14:paraId="275A48DE" w14:textId="77777777" w:rsidR="00774AF7" w:rsidRPr="00AE2F09" w:rsidRDefault="00774AF7" w:rsidP="00FD7CD0">
            <w:pPr>
              <w:pStyle w:val="TableText0"/>
              <w:jc w:val="center"/>
            </w:pPr>
            <w:r w:rsidRPr="00AE2F09">
              <w:t>As above; Pharmacodynamics</w:t>
            </w:r>
          </w:p>
        </w:tc>
        <w:tc>
          <w:tcPr>
            <w:tcW w:w="904" w:type="pct"/>
            <w:vMerge/>
            <w:shd w:val="clear" w:color="auto" w:fill="auto"/>
            <w:vAlign w:val="center"/>
          </w:tcPr>
          <w:p w14:paraId="4DAA37BA" w14:textId="77777777" w:rsidR="00774AF7" w:rsidRPr="00AE2F09" w:rsidRDefault="00774AF7" w:rsidP="00FD7CD0">
            <w:pPr>
              <w:pStyle w:val="TableText0"/>
              <w:jc w:val="center"/>
            </w:pPr>
          </w:p>
        </w:tc>
      </w:tr>
      <w:tr w:rsidR="00774AF7" w:rsidRPr="00AE2F09" w14:paraId="4CDF8C19" w14:textId="77777777" w:rsidTr="00FD7CD0">
        <w:trPr>
          <w:cantSplit/>
        </w:trPr>
        <w:tc>
          <w:tcPr>
            <w:tcW w:w="5000" w:type="pct"/>
            <w:gridSpan w:val="7"/>
            <w:shd w:val="clear" w:color="auto" w:fill="auto"/>
            <w:vAlign w:val="center"/>
          </w:tcPr>
          <w:p w14:paraId="32A3B18F" w14:textId="77777777" w:rsidR="00774AF7" w:rsidRPr="00AE2F09" w:rsidRDefault="00774AF7" w:rsidP="00FD7CD0">
            <w:pPr>
              <w:pStyle w:val="TableText0"/>
              <w:rPr>
                <w:b/>
                <w:bCs w:val="0"/>
              </w:rPr>
            </w:pPr>
            <w:r w:rsidRPr="00AE2F09">
              <w:rPr>
                <w:b/>
                <w:bCs w:val="0"/>
              </w:rPr>
              <w:t>Pegvaliase vs placebo</w:t>
            </w:r>
          </w:p>
        </w:tc>
      </w:tr>
      <w:tr w:rsidR="00774AF7" w:rsidRPr="00AE2F09" w14:paraId="2E37442A" w14:textId="77777777" w:rsidTr="00FD7CD0">
        <w:trPr>
          <w:cantSplit/>
        </w:trPr>
        <w:tc>
          <w:tcPr>
            <w:tcW w:w="678" w:type="pct"/>
            <w:shd w:val="clear" w:color="auto" w:fill="auto"/>
            <w:vAlign w:val="center"/>
          </w:tcPr>
          <w:p w14:paraId="370E6A0F" w14:textId="77777777" w:rsidR="00774AF7" w:rsidRPr="00AE2F09" w:rsidRDefault="00774AF7" w:rsidP="00FD7CD0">
            <w:pPr>
              <w:pStyle w:val="TableText0"/>
            </w:pPr>
            <w:r w:rsidRPr="00AE2F09">
              <w:t>PRISM 2 Part 2</w:t>
            </w:r>
          </w:p>
        </w:tc>
        <w:tc>
          <w:tcPr>
            <w:tcW w:w="431" w:type="pct"/>
            <w:shd w:val="clear" w:color="auto" w:fill="auto"/>
            <w:vAlign w:val="center"/>
          </w:tcPr>
          <w:p w14:paraId="3F078629" w14:textId="77777777" w:rsidR="00774AF7" w:rsidRPr="00AE2F09" w:rsidRDefault="00774AF7" w:rsidP="00FD7CD0">
            <w:pPr>
              <w:pStyle w:val="TableText0"/>
              <w:jc w:val="center"/>
            </w:pPr>
            <w:r w:rsidRPr="00AE2F09">
              <w:t>95</w:t>
            </w:r>
          </w:p>
        </w:tc>
        <w:tc>
          <w:tcPr>
            <w:tcW w:w="747" w:type="pct"/>
            <w:shd w:val="clear" w:color="auto" w:fill="auto"/>
            <w:vAlign w:val="center"/>
          </w:tcPr>
          <w:p w14:paraId="1EB29C07" w14:textId="77777777" w:rsidR="00774AF7" w:rsidRPr="00AE2F09" w:rsidRDefault="00774AF7" w:rsidP="00FD7CD0">
            <w:pPr>
              <w:pStyle w:val="TableText0"/>
              <w:jc w:val="center"/>
            </w:pPr>
            <w:r w:rsidRPr="00AE2F09">
              <w:t>R, DB, MC</w:t>
            </w:r>
          </w:p>
          <w:p w14:paraId="451876CF" w14:textId="77777777" w:rsidR="00774AF7" w:rsidRPr="00AE2F09" w:rsidRDefault="00774AF7" w:rsidP="00FD7CD0">
            <w:pPr>
              <w:pStyle w:val="TableText0"/>
              <w:jc w:val="center"/>
            </w:pPr>
            <w:r w:rsidRPr="00AE2F09">
              <w:t>8 weeks</w:t>
            </w:r>
          </w:p>
        </w:tc>
        <w:tc>
          <w:tcPr>
            <w:tcW w:w="587" w:type="pct"/>
            <w:shd w:val="clear" w:color="auto" w:fill="auto"/>
            <w:vAlign w:val="center"/>
          </w:tcPr>
          <w:p w14:paraId="5692BADD" w14:textId="77777777" w:rsidR="00774AF7" w:rsidRPr="00AE2F09" w:rsidRDefault="00774AF7" w:rsidP="00FD7CD0">
            <w:pPr>
              <w:pStyle w:val="TableText0"/>
              <w:jc w:val="center"/>
            </w:pPr>
            <w:r w:rsidRPr="00AE2F09">
              <w:t>High ^</w:t>
            </w:r>
          </w:p>
        </w:tc>
        <w:tc>
          <w:tcPr>
            <w:tcW w:w="823" w:type="pct"/>
            <w:shd w:val="clear" w:color="auto" w:fill="auto"/>
            <w:vAlign w:val="center"/>
          </w:tcPr>
          <w:p w14:paraId="56179E0E" w14:textId="77777777" w:rsidR="00774AF7" w:rsidRPr="00AE2F09" w:rsidRDefault="00774AF7" w:rsidP="00FD7CD0">
            <w:pPr>
              <w:pStyle w:val="TableText0"/>
              <w:jc w:val="center"/>
            </w:pPr>
            <w:r w:rsidRPr="00AE2F09">
              <w:t xml:space="preserve">PRISM 2 Part 1 patients who achieved </w:t>
            </w:r>
            <w:r w:rsidRPr="00AE2F09">
              <w:rPr>
                <w:rFonts w:cs="Calibri"/>
              </w:rPr>
              <w:t>≥</w:t>
            </w:r>
            <w:r w:rsidRPr="00AE2F09">
              <w:t>20% reduction in blood-Phe from pegvaliase-naïve baseline</w:t>
            </w:r>
          </w:p>
        </w:tc>
        <w:tc>
          <w:tcPr>
            <w:tcW w:w="830" w:type="pct"/>
            <w:shd w:val="clear" w:color="auto" w:fill="auto"/>
            <w:vAlign w:val="center"/>
          </w:tcPr>
          <w:p w14:paraId="63175CE5" w14:textId="77777777" w:rsidR="00774AF7" w:rsidRPr="00AE2F09" w:rsidRDefault="00774AF7" w:rsidP="00FD7CD0">
            <w:pPr>
              <w:pStyle w:val="TableText0"/>
              <w:jc w:val="center"/>
            </w:pPr>
            <w:r w:rsidRPr="00AE2F09">
              <w:t>As in PRISM 1</w:t>
            </w:r>
          </w:p>
        </w:tc>
        <w:tc>
          <w:tcPr>
            <w:tcW w:w="904" w:type="pct"/>
            <w:shd w:val="clear" w:color="auto" w:fill="auto"/>
            <w:vAlign w:val="center"/>
          </w:tcPr>
          <w:p w14:paraId="1253A6EB" w14:textId="77777777" w:rsidR="00774AF7" w:rsidRPr="00AE2F09" w:rsidRDefault="00774AF7" w:rsidP="00FD7CD0">
            <w:pPr>
              <w:pStyle w:val="TableText0"/>
              <w:jc w:val="center"/>
            </w:pPr>
            <w:r w:rsidRPr="00AE2F09">
              <w:t>Yes (blood-Phe; response rate; safety)</w:t>
            </w:r>
          </w:p>
        </w:tc>
      </w:tr>
      <w:tr w:rsidR="00774AF7" w:rsidRPr="00AE2F09" w14:paraId="1697D9BF" w14:textId="77777777" w:rsidTr="00FD7CD0">
        <w:trPr>
          <w:cantSplit/>
        </w:trPr>
        <w:tc>
          <w:tcPr>
            <w:tcW w:w="5000" w:type="pct"/>
            <w:gridSpan w:val="7"/>
            <w:shd w:val="clear" w:color="auto" w:fill="auto"/>
            <w:vAlign w:val="center"/>
          </w:tcPr>
          <w:p w14:paraId="193EBAFA" w14:textId="77777777" w:rsidR="00774AF7" w:rsidRPr="00AE2F09" w:rsidRDefault="00774AF7" w:rsidP="00FD7CD0">
            <w:pPr>
              <w:pStyle w:val="TableText0"/>
              <w:rPr>
                <w:b/>
                <w:bCs w:val="0"/>
              </w:rPr>
            </w:pPr>
            <w:r w:rsidRPr="00AE2F09">
              <w:rPr>
                <w:b/>
                <w:bCs w:val="0"/>
              </w:rPr>
              <w:t>Pegvaliase single-arm extension study</w:t>
            </w:r>
          </w:p>
        </w:tc>
      </w:tr>
      <w:tr w:rsidR="00774AF7" w:rsidRPr="00AE2F09" w14:paraId="16B62C7F" w14:textId="77777777" w:rsidTr="00FD7CD0">
        <w:trPr>
          <w:cantSplit/>
        </w:trPr>
        <w:tc>
          <w:tcPr>
            <w:tcW w:w="678" w:type="pct"/>
            <w:shd w:val="clear" w:color="auto" w:fill="auto"/>
            <w:vAlign w:val="center"/>
          </w:tcPr>
          <w:p w14:paraId="5A892E74" w14:textId="77777777" w:rsidR="00774AF7" w:rsidRPr="00AE2F09" w:rsidRDefault="00774AF7" w:rsidP="00FD7CD0">
            <w:pPr>
              <w:pStyle w:val="TableText0"/>
            </w:pPr>
            <w:r w:rsidRPr="00AE2F09">
              <w:t>PRISM 2 Part 4</w:t>
            </w:r>
          </w:p>
        </w:tc>
        <w:tc>
          <w:tcPr>
            <w:tcW w:w="431" w:type="pct"/>
            <w:shd w:val="clear" w:color="auto" w:fill="auto"/>
            <w:vAlign w:val="center"/>
          </w:tcPr>
          <w:p w14:paraId="5BC80F93" w14:textId="77777777" w:rsidR="00774AF7" w:rsidRPr="00AE2F09" w:rsidRDefault="00774AF7" w:rsidP="00FD7CD0">
            <w:pPr>
              <w:pStyle w:val="TableText0"/>
              <w:jc w:val="center"/>
            </w:pPr>
            <w:r w:rsidRPr="00AE2F09">
              <w:t>202</w:t>
            </w:r>
          </w:p>
        </w:tc>
        <w:tc>
          <w:tcPr>
            <w:tcW w:w="747" w:type="pct"/>
            <w:shd w:val="clear" w:color="auto" w:fill="auto"/>
            <w:vAlign w:val="center"/>
          </w:tcPr>
          <w:p w14:paraId="250A68C6" w14:textId="77777777" w:rsidR="00774AF7" w:rsidRPr="00AE2F09" w:rsidRDefault="00774AF7" w:rsidP="00FD7CD0">
            <w:pPr>
              <w:pStyle w:val="TableText0"/>
              <w:jc w:val="center"/>
            </w:pPr>
            <w:r w:rsidRPr="00AE2F09">
              <w:t>MC, OL</w:t>
            </w:r>
          </w:p>
          <w:p w14:paraId="1B623CC3" w14:textId="435E52B1" w:rsidR="00774AF7" w:rsidRPr="00AE2F09" w:rsidRDefault="00774AF7" w:rsidP="00FD7CD0">
            <w:pPr>
              <w:pStyle w:val="TableText0"/>
              <w:jc w:val="center"/>
            </w:pPr>
            <w:r w:rsidRPr="00AE2F09">
              <w:t xml:space="preserve">274 </w:t>
            </w:r>
            <w:r w:rsidR="009D0973" w:rsidRPr="00AE2F09">
              <w:t>weeks</w:t>
            </w:r>
          </w:p>
        </w:tc>
        <w:tc>
          <w:tcPr>
            <w:tcW w:w="587" w:type="pct"/>
            <w:shd w:val="clear" w:color="auto" w:fill="auto"/>
            <w:vAlign w:val="center"/>
          </w:tcPr>
          <w:p w14:paraId="22C1CD99" w14:textId="35282567" w:rsidR="00774AF7" w:rsidRPr="00AE2F09" w:rsidRDefault="00774AF7" w:rsidP="00FD7CD0">
            <w:pPr>
              <w:pStyle w:val="TableText0"/>
              <w:jc w:val="center"/>
            </w:pPr>
            <w:r w:rsidRPr="00AE2F09">
              <w:t>High</w:t>
            </w:r>
          </w:p>
        </w:tc>
        <w:tc>
          <w:tcPr>
            <w:tcW w:w="823" w:type="pct"/>
            <w:shd w:val="clear" w:color="auto" w:fill="auto"/>
            <w:vAlign w:val="center"/>
          </w:tcPr>
          <w:p w14:paraId="7FF9285E" w14:textId="77777777" w:rsidR="00774AF7" w:rsidRPr="00AE2F09" w:rsidRDefault="00774AF7" w:rsidP="00FD7CD0">
            <w:pPr>
              <w:pStyle w:val="TableText0"/>
              <w:jc w:val="center"/>
            </w:pPr>
            <w:r w:rsidRPr="00AE2F09">
              <w:t>PRISM 1, PRISM 2 Parts 1-3 patients</w:t>
            </w:r>
          </w:p>
        </w:tc>
        <w:tc>
          <w:tcPr>
            <w:tcW w:w="830" w:type="pct"/>
            <w:shd w:val="clear" w:color="auto" w:fill="auto"/>
            <w:vAlign w:val="center"/>
          </w:tcPr>
          <w:p w14:paraId="148E8A6C" w14:textId="77777777" w:rsidR="00774AF7" w:rsidRPr="00AE2F09" w:rsidRDefault="00774AF7" w:rsidP="00FD7CD0">
            <w:pPr>
              <w:pStyle w:val="TableText0"/>
              <w:jc w:val="center"/>
            </w:pPr>
            <w:r w:rsidRPr="00AE2F09">
              <w:t>As in PRISM 1</w:t>
            </w:r>
          </w:p>
        </w:tc>
        <w:tc>
          <w:tcPr>
            <w:tcW w:w="904" w:type="pct"/>
            <w:shd w:val="clear" w:color="auto" w:fill="auto"/>
            <w:vAlign w:val="center"/>
          </w:tcPr>
          <w:p w14:paraId="3B6116D8" w14:textId="77777777" w:rsidR="00774AF7" w:rsidRPr="00AE2F09" w:rsidRDefault="00774AF7" w:rsidP="00FD7CD0">
            <w:pPr>
              <w:pStyle w:val="TableText0"/>
              <w:jc w:val="center"/>
            </w:pPr>
            <w:r w:rsidRPr="00AE2F09">
              <w:t>Yes (blood-Phe; response rate; safety)</w:t>
            </w:r>
          </w:p>
        </w:tc>
      </w:tr>
      <w:tr w:rsidR="00774AF7" w:rsidRPr="00AE2F09" w14:paraId="52E65439" w14:textId="77777777" w:rsidTr="00FD7CD0">
        <w:trPr>
          <w:cantSplit/>
        </w:trPr>
        <w:tc>
          <w:tcPr>
            <w:tcW w:w="5000" w:type="pct"/>
            <w:gridSpan w:val="7"/>
            <w:shd w:val="clear" w:color="auto" w:fill="auto"/>
            <w:vAlign w:val="center"/>
          </w:tcPr>
          <w:p w14:paraId="65D5B750" w14:textId="77777777" w:rsidR="00774AF7" w:rsidRPr="00AE2F09" w:rsidRDefault="00774AF7" w:rsidP="00FD7CD0">
            <w:pPr>
              <w:pStyle w:val="TableText0"/>
              <w:rPr>
                <w:b/>
                <w:bCs w:val="0"/>
              </w:rPr>
            </w:pPr>
            <w:r w:rsidRPr="00AE2F09">
              <w:rPr>
                <w:b/>
                <w:bCs w:val="0"/>
              </w:rPr>
              <w:t>Phe-diet registry</w:t>
            </w:r>
          </w:p>
        </w:tc>
      </w:tr>
      <w:tr w:rsidR="00774AF7" w:rsidRPr="00AE2F09" w14:paraId="6A66801C" w14:textId="77777777" w:rsidTr="00FD7CD0">
        <w:trPr>
          <w:cantSplit/>
        </w:trPr>
        <w:tc>
          <w:tcPr>
            <w:tcW w:w="678" w:type="pct"/>
            <w:shd w:val="clear" w:color="auto" w:fill="auto"/>
            <w:vAlign w:val="center"/>
          </w:tcPr>
          <w:p w14:paraId="6939F894" w14:textId="77777777" w:rsidR="00774AF7" w:rsidRPr="00AE2F09" w:rsidRDefault="00774AF7" w:rsidP="00FD7CD0">
            <w:pPr>
              <w:pStyle w:val="TableText0"/>
            </w:pPr>
            <w:r w:rsidRPr="00AE2F09">
              <w:t>PKUDOS</w:t>
            </w:r>
          </w:p>
        </w:tc>
        <w:tc>
          <w:tcPr>
            <w:tcW w:w="431" w:type="pct"/>
            <w:shd w:val="clear" w:color="auto" w:fill="auto"/>
            <w:vAlign w:val="center"/>
          </w:tcPr>
          <w:p w14:paraId="700238DA" w14:textId="77777777" w:rsidR="00774AF7" w:rsidRPr="00AE2F09" w:rsidRDefault="00774AF7" w:rsidP="00FD7CD0">
            <w:pPr>
              <w:pStyle w:val="TableText0"/>
              <w:jc w:val="center"/>
            </w:pPr>
            <w:r w:rsidRPr="00AE2F09">
              <w:t>715</w:t>
            </w:r>
          </w:p>
        </w:tc>
        <w:tc>
          <w:tcPr>
            <w:tcW w:w="747" w:type="pct"/>
            <w:shd w:val="clear" w:color="auto" w:fill="auto"/>
            <w:vAlign w:val="center"/>
          </w:tcPr>
          <w:p w14:paraId="204C0366" w14:textId="77777777" w:rsidR="00774AF7" w:rsidRPr="00AE2F09" w:rsidRDefault="00774AF7" w:rsidP="00FD7CD0">
            <w:pPr>
              <w:pStyle w:val="TableText0"/>
              <w:jc w:val="center"/>
            </w:pPr>
            <w:r w:rsidRPr="00AE2F09">
              <w:t>MC, Registry</w:t>
            </w:r>
          </w:p>
        </w:tc>
        <w:tc>
          <w:tcPr>
            <w:tcW w:w="587" w:type="pct"/>
            <w:shd w:val="clear" w:color="auto" w:fill="auto"/>
            <w:vAlign w:val="center"/>
          </w:tcPr>
          <w:p w14:paraId="1F2B31CE" w14:textId="6DB7EA0D" w:rsidR="00774AF7" w:rsidRPr="00AE2F09" w:rsidRDefault="00D124F8" w:rsidP="00FD7CD0">
            <w:pPr>
              <w:pStyle w:val="TableText0"/>
              <w:jc w:val="center"/>
            </w:pPr>
            <w:r w:rsidRPr="00AE2F09">
              <w:t>NA</w:t>
            </w:r>
          </w:p>
        </w:tc>
        <w:tc>
          <w:tcPr>
            <w:tcW w:w="823" w:type="pct"/>
            <w:shd w:val="clear" w:color="auto" w:fill="auto"/>
            <w:vAlign w:val="center"/>
          </w:tcPr>
          <w:p w14:paraId="572265D4" w14:textId="77777777" w:rsidR="00774AF7" w:rsidRPr="00AE2F09" w:rsidRDefault="00774AF7" w:rsidP="00FD7CD0">
            <w:pPr>
              <w:pStyle w:val="TableText0"/>
              <w:jc w:val="center"/>
            </w:pPr>
            <w:r w:rsidRPr="00AE2F09">
              <w:t>PKU; previously received, receiving or intend to receive sapropterin</w:t>
            </w:r>
          </w:p>
        </w:tc>
        <w:tc>
          <w:tcPr>
            <w:tcW w:w="830" w:type="pct"/>
            <w:shd w:val="clear" w:color="auto" w:fill="auto"/>
            <w:vAlign w:val="center"/>
          </w:tcPr>
          <w:p w14:paraId="5DA9667B" w14:textId="77777777" w:rsidR="00774AF7" w:rsidRPr="00AE2F09" w:rsidRDefault="00774AF7" w:rsidP="00FD7CD0">
            <w:pPr>
              <w:jc w:val="center"/>
              <w:rPr>
                <w:rFonts w:ascii="Arial Narrow" w:hAnsi="Arial Narrow"/>
                <w:sz w:val="20"/>
                <w:szCs w:val="20"/>
              </w:rPr>
            </w:pPr>
            <w:r w:rsidRPr="00AE2F09">
              <w:rPr>
                <w:rFonts w:ascii="Arial Narrow" w:hAnsi="Arial Narrow"/>
                <w:sz w:val="20"/>
                <w:szCs w:val="20"/>
              </w:rPr>
              <w:t>Blood-Phe;</w:t>
            </w:r>
          </w:p>
          <w:p w14:paraId="46CD6F2D" w14:textId="77777777" w:rsidR="00774AF7" w:rsidRPr="00AE2F09" w:rsidRDefault="00774AF7" w:rsidP="00FD7CD0">
            <w:pPr>
              <w:pStyle w:val="TableText0"/>
              <w:jc w:val="center"/>
            </w:pPr>
            <w:r w:rsidRPr="00AE2F09">
              <w:rPr>
                <w:szCs w:val="20"/>
              </w:rPr>
              <w:t>Dietary Phe intake; Psychiatric assessment; Safety</w:t>
            </w:r>
          </w:p>
        </w:tc>
        <w:tc>
          <w:tcPr>
            <w:tcW w:w="904" w:type="pct"/>
            <w:shd w:val="clear" w:color="auto" w:fill="auto"/>
            <w:vAlign w:val="center"/>
          </w:tcPr>
          <w:p w14:paraId="522ED9CD" w14:textId="77777777" w:rsidR="00774AF7" w:rsidRPr="00AE2F09" w:rsidRDefault="00774AF7" w:rsidP="00FD7CD0">
            <w:pPr>
              <w:pStyle w:val="TableText0"/>
              <w:jc w:val="center"/>
            </w:pPr>
            <w:r w:rsidRPr="00AE2F09">
              <w:t>Yes (blood-Phe)</w:t>
            </w:r>
          </w:p>
        </w:tc>
      </w:tr>
      <w:tr w:rsidR="00774AF7" w:rsidRPr="00AE2F09" w14:paraId="343CA47F" w14:textId="77777777" w:rsidTr="00FD7CD0">
        <w:trPr>
          <w:cantSplit/>
        </w:trPr>
        <w:tc>
          <w:tcPr>
            <w:tcW w:w="5000" w:type="pct"/>
            <w:gridSpan w:val="7"/>
            <w:shd w:val="clear" w:color="auto" w:fill="auto"/>
            <w:vAlign w:val="center"/>
          </w:tcPr>
          <w:p w14:paraId="794DAEED" w14:textId="77777777" w:rsidR="00774AF7" w:rsidRPr="00AE2F09" w:rsidRDefault="00774AF7" w:rsidP="00FD7CD0">
            <w:pPr>
              <w:pStyle w:val="TableText0"/>
              <w:rPr>
                <w:b/>
                <w:bCs w:val="0"/>
              </w:rPr>
            </w:pPr>
            <w:r w:rsidRPr="00AE2F09">
              <w:rPr>
                <w:b/>
                <w:bCs w:val="0"/>
              </w:rPr>
              <w:t xml:space="preserve">Pegvaliase vs Phe-restricted diet </w:t>
            </w:r>
          </w:p>
        </w:tc>
      </w:tr>
      <w:tr w:rsidR="00774AF7" w:rsidRPr="00AE2F09" w14:paraId="6B98AFAE" w14:textId="77777777" w:rsidTr="00FD7CD0">
        <w:trPr>
          <w:cantSplit/>
        </w:trPr>
        <w:tc>
          <w:tcPr>
            <w:tcW w:w="678" w:type="pct"/>
            <w:shd w:val="clear" w:color="auto" w:fill="auto"/>
            <w:vAlign w:val="center"/>
          </w:tcPr>
          <w:p w14:paraId="157F7348" w14:textId="365A043B" w:rsidR="00774AF7" w:rsidRPr="00AE2F09" w:rsidRDefault="00774AF7" w:rsidP="00FD7CD0">
            <w:pPr>
              <w:pStyle w:val="TableText0"/>
            </w:pPr>
            <w:r w:rsidRPr="00AE2F09">
              <w:t xml:space="preserve">Zori </w:t>
            </w:r>
            <w:r w:rsidR="0024319A" w:rsidRPr="00AE2F09">
              <w:t>2019</w:t>
            </w:r>
          </w:p>
        </w:tc>
        <w:tc>
          <w:tcPr>
            <w:tcW w:w="431" w:type="pct"/>
            <w:shd w:val="clear" w:color="auto" w:fill="auto"/>
            <w:vAlign w:val="center"/>
          </w:tcPr>
          <w:p w14:paraId="55764E26" w14:textId="77777777" w:rsidR="00774AF7" w:rsidRPr="00AE2F09" w:rsidRDefault="00774AF7" w:rsidP="00FD7CD0">
            <w:pPr>
              <w:pStyle w:val="TableText0"/>
              <w:jc w:val="center"/>
            </w:pPr>
            <w:r w:rsidRPr="00AE2F09">
              <w:t>250</w:t>
            </w:r>
          </w:p>
        </w:tc>
        <w:tc>
          <w:tcPr>
            <w:tcW w:w="747" w:type="pct"/>
            <w:shd w:val="clear" w:color="auto" w:fill="auto"/>
            <w:vAlign w:val="center"/>
          </w:tcPr>
          <w:p w14:paraId="36A0DC1A" w14:textId="77777777" w:rsidR="00774AF7" w:rsidRPr="00AE2F09" w:rsidRDefault="00774AF7" w:rsidP="00FD7CD0">
            <w:pPr>
              <w:pStyle w:val="TableText0"/>
              <w:jc w:val="center"/>
            </w:pPr>
            <w:r w:rsidRPr="00AE2F09">
              <w:t>Matched cohort analysis</w:t>
            </w:r>
          </w:p>
        </w:tc>
        <w:tc>
          <w:tcPr>
            <w:tcW w:w="587" w:type="pct"/>
            <w:shd w:val="clear" w:color="auto" w:fill="auto"/>
            <w:vAlign w:val="center"/>
          </w:tcPr>
          <w:p w14:paraId="5428922F" w14:textId="6272F33C" w:rsidR="00774AF7" w:rsidRPr="00AE2F09" w:rsidRDefault="00774AF7" w:rsidP="00FD7CD0">
            <w:pPr>
              <w:pStyle w:val="TableText0"/>
              <w:jc w:val="center"/>
            </w:pPr>
            <w:r w:rsidRPr="00AE2F09">
              <w:t>High</w:t>
            </w:r>
            <w:r w:rsidR="00FC05E7" w:rsidRPr="00AE2F09">
              <w:t xml:space="preserve"> </w:t>
            </w:r>
            <w:r w:rsidR="00035AD2" w:rsidRPr="00AE2F09">
              <w:rPr>
                <w:vertAlign w:val="superscript"/>
              </w:rPr>
              <w:t>#</w:t>
            </w:r>
          </w:p>
        </w:tc>
        <w:tc>
          <w:tcPr>
            <w:tcW w:w="823" w:type="pct"/>
            <w:shd w:val="clear" w:color="auto" w:fill="auto"/>
            <w:vAlign w:val="center"/>
          </w:tcPr>
          <w:p w14:paraId="337CEC84" w14:textId="66DCE241" w:rsidR="00774AF7" w:rsidRPr="00AE2F09" w:rsidRDefault="00774AF7" w:rsidP="00FD7CD0">
            <w:pPr>
              <w:pStyle w:val="TableText0"/>
              <w:jc w:val="center"/>
            </w:pPr>
            <w:r w:rsidRPr="00AE2F09">
              <w:t xml:space="preserve">PRISM patients; PKUDOS patients </w:t>
            </w:r>
            <w:r w:rsidR="0074399E">
              <w:t xml:space="preserve">who </w:t>
            </w:r>
            <w:r w:rsidRPr="00AE2F09">
              <w:t>discontinued sapropterin; baseline blood-Phe ≥600 µmol/L; ≥18 years old</w:t>
            </w:r>
          </w:p>
        </w:tc>
        <w:tc>
          <w:tcPr>
            <w:tcW w:w="830" w:type="pct"/>
            <w:shd w:val="clear" w:color="auto" w:fill="auto"/>
            <w:vAlign w:val="center"/>
          </w:tcPr>
          <w:p w14:paraId="5A8A5CD1" w14:textId="77777777" w:rsidR="00774AF7" w:rsidRPr="00AE2F09" w:rsidRDefault="00774AF7" w:rsidP="00FD7CD0">
            <w:pPr>
              <w:jc w:val="center"/>
            </w:pPr>
            <w:r w:rsidRPr="00AE2F09">
              <w:rPr>
                <w:rFonts w:ascii="Arial Narrow" w:hAnsi="Arial Narrow"/>
                <w:sz w:val="20"/>
                <w:szCs w:val="20"/>
              </w:rPr>
              <w:t>Blood-Phe; protein intake; Phe response rate; Safety</w:t>
            </w:r>
          </w:p>
        </w:tc>
        <w:tc>
          <w:tcPr>
            <w:tcW w:w="904" w:type="pct"/>
            <w:shd w:val="clear" w:color="auto" w:fill="auto"/>
            <w:vAlign w:val="center"/>
          </w:tcPr>
          <w:p w14:paraId="0917A81A" w14:textId="77777777" w:rsidR="00774AF7" w:rsidRPr="00AE2F09" w:rsidRDefault="00774AF7" w:rsidP="00FD7CD0">
            <w:pPr>
              <w:pStyle w:val="TableText0"/>
              <w:jc w:val="center"/>
            </w:pPr>
            <w:r w:rsidRPr="00AE2F09">
              <w:t>No</w:t>
            </w:r>
          </w:p>
        </w:tc>
      </w:tr>
      <w:tr w:rsidR="00774AF7" w:rsidRPr="00AE2F09" w14:paraId="216CAF2D" w14:textId="77777777" w:rsidTr="00FD7CD0">
        <w:trPr>
          <w:cantSplit/>
        </w:trPr>
        <w:tc>
          <w:tcPr>
            <w:tcW w:w="678" w:type="pct"/>
            <w:shd w:val="clear" w:color="auto" w:fill="auto"/>
            <w:vAlign w:val="center"/>
          </w:tcPr>
          <w:p w14:paraId="5B9895ED" w14:textId="77777777" w:rsidR="00774AF7" w:rsidRPr="00AE2F09" w:rsidRDefault="00774AF7" w:rsidP="00FD7CD0">
            <w:pPr>
              <w:pStyle w:val="TableText0"/>
            </w:pPr>
            <w:r w:rsidRPr="00AE2F09">
              <w:t>Indirect naïve comparison</w:t>
            </w:r>
          </w:p>
        </w:tc>
        <w:tc>
          <w:tcPr>
            <w:tcW w:w="431" w:type="pct"/>
            <w:shd w:val="clear" w:color="auto" w:fill="auto"/>
            <w:vAlign w:val="center"/>
          </w:tcPr>
          <w:p w14:paraId="07BC9EB6" w14:textId="77777777" w:rsidR="00774AF7" w:rsidRPr="00AE2F09" w:rsidRDefault="00774AF7" w:rsidP="00FD7CD0">
            <w:pPr>
              <w:pStyle w:val="TableText0"/>
              <w:jc w:val="center"/>
            </w:pPr>
            <w:r w:rsidRPr="00AE2F09">
              <w:t>311</w:t>
            </w:r>
          </w:p>
        </w:tc>
        <w:tc>
          <w:tcPr>
            <w:tcW w:w="747" w:type="pct"/>
            <w:shd w:val="clear" w:color="auto" w:fill="auto"/>
            <w:vAlign w:val="center"/>
          </w:tcPr>
          <w:p w14:paraId="6A215806" w14:textId="77777777" w:rsidR="00774AF7" w:rsidRPr="00AE2F09" w:rsidRDefault="00774AF7" w:rsidP="00FD7CD0">
            <w:pPr>
              <w:pStyle w:val="TableText0"/>
              <w:jc w:val="center"/>
            </w:pPr>
            <w:r w:rsidRPr="00AE2F09">
              <w:t>Indirect naïve comparison</w:t>
            </w:r>
          </w:p>
        </w:tc>
        <w:tc>
          <w:tcPr>
            <w:tcW w:w="587" w:type="pct"/>
            <w:shd w:val="clear" w:color="auto" w:fill="auto"/>
            <w:vAlign w:val="center"/>
          </w:tcPr>
          <w:p w14:paraId="1C3AC8F4" w14:textId="38C2F85C" w:rsidR="00774AF7" w:rsidRPr="00AE2F09" w:rsidRDefault="00774AF7" w:rsidP="00FD7CD0">
            <w:pPr>
              <w:pStyle w:val="TableText0"/>
              <w:jc w:val="center"/>
            </w:pPr>
            <w:r w:rsidRPr="00AE2F09">
              <w:t>High</w:t>
            </w:r>
            <w:r w:rsidR="00FC05E7" w:rsidRPr="00AE2F09">
              <w:t xml:space="preserve"> *</w:t>
            </w:r>
          </w:p>
        </w:tc>
        <w:tc>
          <w:tcPr>
            <w:tcW w:w="823" w:type="pct"/>
            <w:shd w:val="clear" w:color="auto" w:fill="auto"/>
            <w:vAlign w:val="center"/>
          </w:tcPr>
          <w:p w14:paraId="163C0C43" w14:textId="6DBB20D6" w:rsidR="00774AF7" w:rsidRPr="00AE2F09" w:rsidRDefault="00774AF7" w:rsidP="00FD7CD0">
            <w:pPr>
              <w:pStyle w:val="TableText0"/>
              <w:jc w:val="center"/>
            </w:pPr>
            <w:r w:rsidRPr="00AE2F09">
              <w:t xml:space="preserve">PRISM patients; </w:t>
            </w:r>
            <w:r w:rsidR="00D80616" w:rsidRPr="00AE2F09">
              <w:t xml:space="preserve">PKUDOS </w:t>
            </w:r>
            <w:r w:rsidRPr="00AE2F09">
              <w:t>patients aged≥18, previously treated with sapropterin, &gt;600µmol/L</w:t>
            </w:r>
          </w:p>
        </w:tc>
        <w:tc>
          <w:tcPr>
            <w:tcW w:w="830" w:type="pct"/>
            <w:shd w:val="clear" w:color="auto" w:fill="auto"/>
            <w:vAlign w:val="center"/>
          </w:tcPr>
          <w:p w14:paraId="18AF3518" w14:textId="77777777" w:rsidR="00774AF7" w:rsidRPr="00AE2F09" w:rsidRDefault="00774AF7" w:rsidP="00FD7CD0">
            <w:pPr>
              <w:pStyle w:val="TableText0"/>
              <w:jc w:val="center"/>
            </w:pPr>
            <w:r w:rsidRPr="00AE2F09">
              <w:rPr>
                <w:szCs w:val="20"/>
              </w:rPr>
              <w:t>Blood-Phe; Phe response rate</w:t>
            </w:r>
          </w:p>
        </w:tc>
        <w:tc>
          <w:tcPr>
            <w:tcW w:w="904" w:type="pct"/>
            <w:shd w:val="clear" w:color="auto" w:fill="auto"/>
            <w:vAlign w:val="center"/>
          </w:tcPr>
          <w:p w14:paraId="14948987" w14:textId="77777777" w:rsidR="00774AF7" w:rsidRPr="00AE2F09" w:rsidRDefault="00774AF7" w:rsidP="00FD7CD0">
            <w:pPr>
              <w:pStyle w:val="TableText0"/>
              <w:jc w:val="center"/>
            </w:pPr>
            <w:r w:rsidRPr="00AE2F09">
              <w:t>Yes (blood-Phe)</w:t>
            </w:r>
          </w:p>
        </w:tc>
      </w:tr>
    </w:tbl>
    <w:p w14:paraId="46346039" w14:textId="77777777" w:rsidR="00AE2F09" w:rsidRPr="00AE2F09" w:rsidRDefault="00AE2F09" w:rsidP="00AE2F09">
      <w:pPr>
        <w:pStyle w:val="TableFigureFooter"/>
      </w:pPr>
      <w:r w:rsidRPr="00AE2F09">
        <w:t>Source: Section 2 of the submission</w:t>
      </w:r>
    </w:p>
    <w:p w14:paraId="1AFAA043" w14:textId="77777777" w:rsidR="00AE2F09" w:rsidRPr="00AE2F09" w:rsidRDefault="00AE2F09" w:rsidP="00AE2F09">
      <w:pPr>
        <w:pStyle w:val="TableFigureFooter"/>
        <w:rPr>
          <w:sz w:val="20"/>
        </w:rPr>
      </w:pPr>
      <w:r w:rsidRPr="00AE2F09">
        <w:t>DB = double blind; MC = multi-centre; NA = not applicable; OL = open label; Phe = phenylalanine</w:t>
      </w:r>
      <w:r w:rsidRPr="00AE2F09">
        <w:rPr>
          <w:sz w:val="20"/>
        </w:rPr>
        <w:t xml:space="preserve">; </w:t>
      </w:r>
      <w:r w:rsidRPr="00AE2F09">
        <w:t xml:space="preserve">R = randomised. </w:t>
      </w:r>
    </w:p>
    <w:p w14:paraId="61890E7D" w14:textId="2ABEC30E" w:rsidR="00774AF7" w:rsidRPr="00AE2F09" w:rsidRDefault="00774AF7" w:rsidP="00774AF7">
      <w:pPr>
        <w:pStyle w:val="TableFigureFooter"/>
      </w:pPr>
      <w:r w:rsidRPr="00AE2F09">
        <w:t>^ High risk of selection bias as only patients who achieved a ≥20% reduction in blood-Phe from pegvaliase-naïve baseline were included</w:t>
      </w:r>
    </w:p>
    <w:p w14:paraId="2B5A8EB3" w14:textId="48BF5773" w:rsidR="00035AD2" w:rsidRPr="00AE2F09" w:rsidRDefault="00035AD2" w:rsidP="00774AF7">
      <w:pPr>
        <w:pStyle w:val="TableFigureFooter"/>
      </w:pPr>
      <w:r w:rsidRPr="00AE2F09">
        <w:t xml:space="preserve"># High risk of bias as </w:t>
      </w:r>
      <w:r w:rsidR="00751D8A" w:rsidRPr="00AE2F09">
        <w:t xml:space="preserve">lack of control in confounding </w:t>
      </w:r>
      <w:r w:rsidR="00100FF7" w:rsidRPr="00AE2F09">
        <w:t xml:space="preserve">from </w:t>
      </w:r>
      <w:r w:rsidR="00751D8A" w:rsidRPr="00AE2F09">
        <w:t>the open-label single arm design in the PRISM 1/PRISM 2 trials and the PKUDOS registry used to inform the comparison</w:t>
      </w:r>
    </w:p>
    <w:p w14:paraId="734DBD8F" w14:textId="6EEA3E07" w:rsidR="00FC05E7" w:rsidRPr="00AE2F09" w:rsidRDefault="00FC05E7" w:rsidP="00232747">
      <w:pPr>
        <w:pStyle w:val="TableFigureFooter"/>
        <w:spacing w:after="240"/>
      </w:pPr>
      <w:r w:rsidRPr="00AE2F09">
        <w:t xml:space="preserve">* High risk of bias as </w:t>
      </w:r>
      <w:r w:rsidR="00382818" w:rsidRPr="00AE2F09">
        <w:t xml:space="preserve">no common comparator and lower ability to adequately assess and control for confounding variables. </w:t>
      </w:r>
    </w:p>
    <w:p w14:paraId="50FC95E1" w14:textId="75C5629B" w:rsidR="00774AF7" w:rsidRPr="00AE2F09" w:rsidRDefault="00774AF7" w:rsidP="00774AF7">
      <w:pPr>
        <w:pStyle w:val="3-BodyText"/>
      </w:pPr>
      <w:r w:rsidRPr="00AE2F09">
        <w:t>PRISM 2 was a four-part clinical trial that varied in comparison groups and trial design, and enrolled patients from PRISM</w:t>
      </w:r>
      <w:r w:rsidR="00BE0728">
        <w:t xml:space="preserve"> </w:t>
      </w:r>
      <w:r w:rsidRPr="00AE2F09">
        <w:t>1. The flow of patients through PRISM 1 and PRISM</w:t>
      </w:r>
      <w:r w:rsidR="00FB7927">
        <w:t> </w:t>
      </w:r>
      <w:r w:rsidRPr="00AE2F09">
        <w:t xml:space="preserve">2 is summarised in </w:t>
      </w:r>
      <w:r w:rsidRPr="00AE2F09">
        <w:fldChar w:fldCharType="begin"/>
      </w:r>
      <w:r w:rsidRPr="00AE2F09">
        <w:instrText xml:space="preserve"> REF _Ref103048030 \h  \* MERGEFORMAT </w:instrText>
      </w:r>
      <w:r w:rsidRPr="00AE2F09">
        <w:fldChar w:fldCharType="separate"/>
      </w:r>
      <w:r w:rsidR="001162C8" w:rsidRPr="001162C8">
        <w:t>Figure 1</w:t>
      </w:r>
      <w:r w:rsidRPr="00AE2F09">
        <w:fldChar w:fldCharType="end"/>
      </w:r>
      <w:r w:rsidRPr="00AE2F09">
        <w:t xml:space="preserve">. Other than PRISM 2 Part 2, all parts of the PRISM 1 and PRISM 2 trials were single arm, open-label studies and therefore associated with a high risk of bias. </w:t>
      </w:r>
      <w:r w:rsidR="00680F67">
        <w:t xml:space="preserve">The evaluation </w:t>
      </w:r>
      <w:r w:rsidR="00680F67" w:rsidRPr="00BE0728">
        <w:t>and ESC</w:t>
      </w:r>
      <w:r w:rsidR="00680F67">
        <w:t xml:space="preserve"> considered that </w:t>
      </w:r>
      <w:r w:rsidRPr="00AE2F09">
        <w:t xml:space="preserve">PRISM 2 Part 2 was </w:t>
      </w:r>
      <w:r w:rsidRPr="00AE2F09">
        <w:lastRenderedPageBreak/>
        <w:t>associated with a high risk of</w:t>
      </w:r>
      <w:r w:rsidR="0014729B">
        <w:t xml:space="preserve"> selection</w:t>
      </w:r>
      <w:r w:rsidRPr="00AE2F09">
        <w:t xml:space="preserve"> bias as only patients who achieved a </w:t>
      </w:r>
      <w:r w:rsidRPr="00AE2F09">
        <w:rPr>
          <w:rFonts w:cs="Calibri"/>
        </w:rPr>
        <w:t>≥</w:t>
      </w:r>
      <w:r w:rsidR="00232747">
        <w:rPr>
          <w:rFonts w:cs="Calibri"/>
        </w:rPr>
        <w:t> </w:t>
      </w:r>
      <w:r w:rsidRPr="00AE2F09">
        <w:t>20% reduction in blood-Phe from pegvaliase-naïve baseline were included</w:t>
      </w:r>
      <w:r w:rsidR="00EB34A4" w:rsidRPr="00AE2F09">
        <w:t>, favouring pegvaliase</w:t>
      </w:r>
      <w:r w:rsidRPr="00AE2F09">
        <w:t>.</w:t>
      </w:r>
      <w:r w:rsidR="00680F67">
        <w:t xml:space="preserve"> </w:t>
      </w:r>
      <w:r w:rsidR="00680F67" w:rsidRPr="000764C2">
        <w:t xml:space="preserve">Further, the ESC noted that PRISM 2 </w:t>
      </w:r>
      <w:r w:rsidR="001E1B54" w:rsidRPr="000764C2">
        <w:t>P</w:t>
      </w:r>
      <w:r w:rsidR="00680F67" w:rsidRPr="000764C2">
        <w:t>art 2 only included patients who had not discontinued pegvaliase in earlier studies</w:t>
      </w:r>
      <w:r w:rsidR="00FD55E5" w:rsidRPr="000764C2">
        <w:t xml:space="preserve"> (i.e.</w:t>
      </w:r>
      <w:r w:rsidR="00D837C4">
        <w:t>,</w:t>
      </w:r>
      <w:r w:rsidR="00FD55E5" w:rsidRPr="000764C2">
        <w:t xml:space="preserve"> patients had already been taking pegvaliase for a considerable length of time)</w:t>
      </w:r>
      <w:r w:rsidR="00680F67" w:rsidRPr="000764C2">
        <w:t xml:space="preserve"> which was also likely to bias results in favour of pegvaliase.</w:t>
      </w:r>
      <w:r w:rsidRPr="00AE2F09">
        <w:t xml:space="preserve"> </w:t>
      </w:r>
    </w:p>
    <w:p w14:paraId="1EB21747" w14:textId="501AD283" w:rsidR="00774AF7" w:rsidRPr="00AE2F09" w:rsidRDefault="00774AF7" w:rsidP="00232747">
      <w:pPr>
        <w:pStyle w:val="TableFigureHeading"/>
        <w:keepLines/>
        <w:spacing w:before="240" w:after="120"/>
        <w:rPr>
          <w:rStyle w:val="CommentReference"/>
          <w:b/>
          <w:szCs w:val="24"/>
        </w:rPr>
      </w:pPr>
      <w:bookmarkStart w:id="37" w:name="_Ref103048030"/>
      <w:r w:rsidRPr="00AE2F09">
        <w:rPr>
          <w:rStyle w:val="CommentReference"/>
          <w:b/>
          <w:szCs w:val="24"/>
        </w:rPr>
        <w:t xml:space="preserve">Figure </w:t>
      </w:r>
      <w:r w:rsidRPr="00AE2F09">
        <w:rPr>
          <w:rStyle w:val="CommentReference"/>
          <w:b/>
          <w:szCs w:val="24"/>
        </w:rPr>
        <w:fldChar w:fldCharType="begin"/>
      </w:r>
      <w:r w:rsidRPr="00AE2F09">
        <w:rPr>
          <w:rStyle w:val="CommentReference"/>
          <w:b/>
          <w:szCs w:val="24"/>
        </w:rPr>
        <w:instrText xml:space="preserve"> SEQ Figure \* ARABIC </w:instrText>
      </w:r>
      <w:r w:rsidRPr="00AE2F09">
        <w:rPr>
          <w:rStyle w:val="CommentReference"/>
          <w:b/>
          <w:szCs w:val="24"/>
        </w:rPr>
        <w:fldChar w:fldCharType="separate"/>
      </w:r>
      <w:r w:rsidR="001162C8">
        <w:rPr>
          <w:rStyle w:val="CommentReference"/>
          <w:b/>
          <w:noProof/>
          <w:szCs w:val="24"/>
        </w:rPr>
        <w:t>1</w:t>
      </w:r>
      <w:r w:rsidRPr="00AE2F09">
        <w:rPr>
          <w:rStyle w:val="CommentReference"/>
          <w:b/>
          <w:szCs w:val="24"/>
        </w:rPr>
        <w:fldChar w:fldCharType="end"/>
      </w:r>
      <w:bookmarkEnd w:id="37"/>
      <w:r w:rsidRPr="00AE2F09">
        <w:rPr>
          <w:rStyle w:val="CommentReference"/>
          <w:b/>
          <w:szCs w:val="24"/>
        </w:rPr>
        <w:t>: PRISM 1 and PRISM 2 trial study designs</w:t>
      </w:r>
    </w:p>
    <w:p w14:paraId="3133C4C7" w14:textId="77777777" w:rsidR="00774AF7" w:rsidRPr="00AE2F09" w:rsidRDefault="00774AF7" w:rsidP="00774AF7">
      <w:r w:rsidRPr="00AE2F09">
        <w:rPr>
          <w:noProof/>
        </w:rPr>
        <w:drawing>
          <wp:inline distT="0" distB="0" distL="0" distR="0" wp14:anchorId="595F5DA1" wp14:editId="3023BD43">
            <wp:extent cx="5731510" cy="1943735"/>
            <wp:effectExtent l="0" t="0" r="2540" b="0"/>
            <wp:docPr id="8" name="Picture 8" descr="Figure 1: PRISM 1 and PRISM 2 trial study desig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 PRISM 1 and PRISM 2 trial study designs"/>
                    <pic:cNvPicPr/>
                  </pic:nvPicPr>
                  <pic:blipFill>
                    <a:blip r:embed="rId8"/>
                    <a:stretch>
                      <a:fillRect/>
                    </a:stretch>
                  </pic:blipFill>
                  <pic:spPr>
                    <a:xfrm>
                      <a:off x="0" y="0"/>
                      <a:ext cx="5731510" cy="1943735"/>
                    </a:xfrm>
                    <a:prstGeom prst="rect">
                      <a:avLst/>
                    </a:prstGeom>
                  </pic:spPr>
                </pic:pic>
              </a:graphicData>
            </a:graphic>
          </wp:inline>
        </w:drawing>
      </w:r>
    </w:p>
    <w:p w14:paraId="2A10D2CC" w14:textId="77777777" w:rsidR="00774AF7" w:rsidRPr="00AE2F09" w:rsidRDefault="00774AF7" w:rsidP="00774AF7">
      <w:pPr>
        <w:pStyle w:val="TableFigureFooter"/>
      </w:pPr>
      <w:r w:rsidRPr="00AE2F09">
        <w:t>Note: Patients from the Phase 2 trials Study 165-205 and PAL-003 are able to enter PRISM 2 at Part 1 or at Part 4.</w:t>
      </w:r>
    </w:p>
    <w:p w14:paraId="6273A10B" w14:textId="77777777" w:rsidR="00774AF7" w:rsidRPr="00AE2F09" w:rsidRDefault="00774AF7" w:rsidP="00232747">
      <w:pPr>
        <w:pStyle w:val="TableFigureFooter"/>
        <w:spacing w:after="240"/>
      </w:pPr>
      <w:r w:rsidRPr="00AE2F09">
        <w:t>Source: Figure 2.3-1 (p56) of the submission</w:t>
      </w:r>
    </w:p>
    <w:p w14:paraId="75FFA8BB" w14:textId="3706CC61" w:rsidR="009651AD" w:rsidRPr="00AE2F09" w:rsidRDefault="009651AD" w:rsidP="009651AD">
      <w:pPr>
        <w:pStyle w:val="3-BodyText"/>
      </w:pPr>
      <w:bookmarkStart w:id="38" w:name="_Ref105677380"/>
      <w:r w:rsidRPr="00AE2F09">
        <w:t>PKUDOS was a Phase 4 voluntary observational multi-centre registry study which included PKU patients who had previously received sapropterin therapy, were currently receiving sapropterin therapy or intended to receive sapropterin therapy. The submission relied on the subgroup of patients aged 18 years and above who had previously used but discontinued sapropterin</w:t>
      </w:r>
      <w:r w:rsidR="00722E02">
        <w:t>,</w:t>
      </w:r>
      <w:r w:rsidRPr="00AE2F09">
        <w:t xml:space="preserve"> as a proxy for patients aged 18 and above who failed to respond to a seven-day trial of sapropterin and </w:t>
      </w:r>
      <w:r>
        <w:t xml:space="preserve">were </w:t>
      </w:r>
      <w:r w:rsidRPr="00AE2F09">
        <w:t xml:space="preserve">treated with a Phe-restricted diet only. However, </w:t>
      </w:r>
      <w:r w:rsidR="0074399E">
        <w:t xml:space="preserve">this included patients who had discontinued sapropterin for any reason and </w:t>
      </w:r>
      <w:r w:rsidRPr="00AE2F09">
        <w:t xml:space="preserve">the reasons for </w:t>
      </w:r>
      <w:r w:rsidR="00680F67">
        <w:t>discontinu</w:t>
      </w:r>
      <w:r w:rsidR="0074399E">
        <w:t>ation</w:t>
      </w:r>
      <w:r>
        <w:t xml:space="preserve"> </w:t>
      </w:r>
      <w:r w:rsidRPr="00AE2F09">
        <w:t xml:space="preserve">were not </w:t>
      </w:r>
      <w:r>
        <w:t>reported in the submission</w:t>
      </w:r>
      <w:r w:rsidR="00251AB1">
        <w:t>. It</w:t>
      </w:r>
      <w:r w:rsidRPr="00AE2F09">
        <w:t xml:space="preserve"> was unknown if these patients were sapropterin responders (as defined in the requested restriction)</w:t>
      </w:r>
      <w:r w:rsidR="00251AB1">
        <w:t>, so the applicability of these data were unclear.</w:t>
      </w:r>
      <w:r w:rsidRPr="00AE2F09">
        <w:t xml:space="preserve"> </w:t>
      </w:r>
      <w:r w:rsidR="00AA211C" w:rsidRPr="000764C2">
        <w:t xml:space="preserve">Further, the ESC noted </w:t>
      </w:r>
      <w:r w:rsidR="004D1015" w:rsidRPr="000764C2">
        <w:t xml:space="preserve">that the submission had not provided detailed information about the flow of patients through PKUDOS, but there appeared to be </w:t>
      </w:r>
      <w:r w:rsidR="00AA211C" w:rsidRPr="000764C2">
        <w:t>a high proportion of patients who were lost to follow-up</w:t>
      </w:r>
      <w:r w:rsidR="00680F67" w:rsidRPr="000764C2">
        <w:t xml:space="preserve"> over time</w:t>
      </w:r>
      <w:r w:rsidR="00AA211C" w:rsidRPr="000764C2">
        <w:t>.</w:t>
      </w:r>
      <w:bookmarkEnd w:id="38"/>
    </w:p>
    <w:p w14:paraId="5C1D0F1B" w14:textId="77777777" w:rsidR="005B3590" w:rsidRPr="00AE2F09" w:rsidRDefault="005B3590" w:rsidP="005B3590">
      <w:pPr>
        <w:pStyle w:val="3-BodyText"/>
      </w:pPr>
      <w:r w:rsidRPr="00AE2F09">
        <w:t>Data from four separate PKUDOS data cuts were presented in the submission:</w:t>
      </w:r>
    </w:p>
    <w:p w14:paraId="61D96070" w14:textId="6CE91FED" w:rsidR="005B3590" w:rsidRPr="00AE2F09" w:rsidRDefault="005B3590" w:rsidP="004C4E64">
      <w:pPr>
        <w:pStyle w:val="ListParagraph"/>
        <w:numPr>
          <w:ilvl w:val="0"/>
          <w:numId w:val="10"/>
        </w:numPr>
        <w:spacing w:after="0"/>
        <w:ind w:left="993" w:hanging="284"/>
      </w:pPr>
      <w:r w:rsidRPr="00AE2F09">
        <w:t>Data cut-off of June 2013</w:t>
      </w:r>
      <w:r w:rsidR="00167669">
        <w:t>,</w:t>
      </w:r>
      <w:r w:rsidRPr="00AE2F09">
        <w:t xml:space="preserve"> which is reported in a journal article (Longo et al., 2015b). </w:t>
      </w:r>
      <w:r>
        <w:t>This had p</w:t>
      </w:r>
      <w:r w:rsidRPr="00AE2F09">
        <w:t xml:space="preserve">reviously </w:t>
      </w:r>
      <w:r>
        <w:t xml:space="preserve">been </w:t>
      </w:r>
      <w:r w:rsidRPr="00AE2F09">
        <w:t>considered by the PBAC;</w:t>
      </w:r>
    </w:p>
    <w:p w14:paraId="6B559C86" w14:textId="77777777" w:rsidR="005B3590" w:rsidRPr="00AE2F09" w:rsidRDefault="005B3590" w:rsidP="004C4E64">
      <w:pPr>
        <w:pStyle w:val="ListParagraph"/>
        <w:numPr>
          <w:ilvl w:val="0"/>
          <w:numId w:val="10"/>
        </w:numPr>
        <w:spacing w:after="0"/>
        <w:ind w:left="993" w:hanging="284"/>
      </w:pPr>
      <w:bookmarkStart w:id="39" w:name="_Hlk106026117"/>
      <w:r w:rsidRPr="00AE2F09">
        <w:t xml:space="preserve">Data cut-off of May 2016 from a sponsor commissioned analysis of the </w:t>
      </w:r>
      <w:bookmarkStart w:id="40" w:name="_Hlk106026975"/>
      <w:r w:rsidRPr="00AE2F09">
        <w:t>subgroup of patients aged 18 years or older at first use of sapropterin who had a (pre-sapropterin) baseline Phe &gt; 600 µmol/L</w:t>
      </w:r>
      <w:bookmarkEnd w:id="40"/>
      <w:r w:rsidRPr="00AE2F09">
        <w:t xml:space="preserve">. </w:t>
      </w:r>
      <w:r>
        <w:t>This h</w:t>
      </w:r>
      <w:r w:rsidRPr="00AE2F09">
        <w:t>a</w:t>
      </w:r>
      <w:r>
        <w:t>d</w:t>
      </w:r>
      <w:r w:rsidRPr="00AE2F09">
        <w:t xml:space="preserve"> not been previously considered by the PBAC; </w:t>
      </w:r>
    </w:p>
    <w:p w14:paraId="4E62B9D7" w14:textId="467AB937" w:rsidR="005B3590" w:rsidRPr="00AE2F09" w:rsidRDefault="005B3590" w:rsidP="004C4E64">
      <w:pPr>
        <w:pStyle w:val="ListParagraph"/>
        <w:numPr>
          <w:ilvl w:val="0"/>
          <w:numId w:val="10"/>
        </w:numPr>
        <w:spacing w:after="0"/>
        <w:ind w:left="993" w:hanging="284"/>
      </w:pPr>
      <w:bookmarkStart w:id="41" w:name="_Hlk106026003"/>
      <w:bookmarkEnd w:id="39"/>
      <w:r w:rsidRPr="00AE2F09">
        <w:t>Data cut-off of February 2017</w:t>
      </w:r>
      <w:r w:rsidR="00167669">
        <w:t>,</w:t>
      </w:r>
      <w:r w:rsidRPr="00AE2F09">
        <w:t xml:space="preserve"> which is reported as a conference poster (Lilienstein 2018</w:t>
      </w:r>
      <w:bookmarkEnd w:id="41"/>
      <w:r w:rsidRPr="00AE2F09">
        <w:t xml:space="preserve">). </w:t>
      </w:r>
      <w:r>
        <w:t>This had</w:t>
      </w:r>
      <w:r w:rsidRPr="00AE2F09">
        <w:t xml:space="preserve"> not been previously considered by the PBAC; and</w:t>
      </w:r>
    </w:p>
    <w:p w14:paraId="3C803C01" w14:textId="6D203F08" w:rsidR="005B3590" w:rsidRPr="00AE2F09" w:rsidRDefault="005B3590" w:rsidP="004C4E64">
      <w:pPr>
        <w:pStyle w:val="ListParagraph"/>
        <w:numPr>
          <w:ilvl w:val="0"/>
          <w:numId w:val="10"/>
        </w:numPr>
        <w:ind w:left="993" w:hanging="284"/>
      </w:pPr>
      <w:r w:rsidRPr="00AE2F09">
        <w:t>Data cut-off of February 2018</w:t>
      </w:r>
      <w:r w:rsidR="00167669">
        <w:t>,</w:t>
      </w:r>
      <w:r w:rsidRPr="00AE2F09">
        <w:t xml:space="preserve"> which was used in the matched-adjusted analysis reported in Zori 2019. </w:t>
      </w:r>
      <w:r>
        <w:t>This had</w:t>
      </w:r>
      <w:r w:rsidRPr="00AE2F09">
        <w:t xml:space="preserve"> not been previously considered by the PBAC</w:t>
      </w:r>
      <w:r w:rsidR="00722E02">
        <w:t>.</w:t>
      </w:r>
      <w:r w:rsidRPr="00AE2F09">
        <w:t xml:space="preserve"> </w:t>
      </w:r>
    </w:p>
    <w:p w14:paraId="1EDA196D" w14:textId="3950A233" w:rsidR="00441F9F" w:rsidRPr="00441F9F" w:rsidRDefault="00441F9F" w:rsidP="00FE06FF">
      <w:pPr>
        <w:pStyle w:val="3-BodyText"/>
        <w:rPr>
          <w:i/>
          <w:iCs/>
        </w:rPr>
      </w:pPr>
      <w:r>
        <w:t>T</w:t>
      </w:r>
      <w:r w:rsidR="00680F67">
        <w:t xml:space="preserve">he </w:t>
      </w:r>
      <w:r w:rsidR="00FE06FF">
        <w:t xml:space="preserve">two comparisons presented in the </w:t>
      </w:r>
      <w:r w:rsidR="00680F67">
        <w:t>submission</w:t>
      </w:r>
      <w:r w:rsidR="00FE06FF">
        <w:t xml:space="preserve"> (a naïve-indirect comparison; and an unanchored matched-adjusted analysis </w:t>
      </w:r>
      <w:r>
        <w:t>both</w:t>
      </w:r>
      <w:r w:rsidR="00FE06FF">
        <w:t>)</w:t>
      </w:r>
      <w:r>
        <w:t xml:space="preserve"> were based on data from the PRISM studies to inform the pegvaliase arm and the PKUDOS registry to inform the Phe-diet alone arm</w:t>
      </w:r>
      <w:r w:rsidR="00FE06FF">
        <w:t>.</w:t>
      </w:r>
      <w:r w:rsidR="006263FE">
        <w:t xml:space="preserve"> </w:t>
      </w:r>
      <w:r w:rsidRPr="000764C2">
        <w:t xml:space="preserve">The ESC considered that a key underlying issue with </w:t>
      </w:r>
      <w:r w:rsidR="00722E02">
        <w:t>the</w:t>
      </w:r>
      <w:r w:rsidR="00722E02" w:rsidRPr="000764C2">
        <w:t xml:space="preserve"> </w:t>
      </w:r>
      <w:r w:rsidRPr="000764C2">
        <w:t>comparisons was th</w:t>
      </w:r>
      <w:r w:rsidR="00232747" w:rsidRPr="000764C2">
        <w:t>at neither included a</w:t>
      </w:r>
      <w:r w:rsidRPr="000764C2">
        <w:t xml:space="preserve"> common comparator arm.</w:t>
      </w:r>
    </w:p>
    <w:p w14:paraId="6092682C" w14:textId="77777777" w:rsidR="00774AF7" w:rsidRPr="00694CC1" w:rsidRDefault="00774AF7" w:rsidP="00774AF7">
      <w:pPr>
        <w:pStyle w:val="4-SubsectionHeading"/>
        <w:rPr>
          <w:iCs/>
        </w:rPr>
      </w:pPr>
      <w:bookmarkStart w:id="42" w:name="_Toc22897641"/>
      <w:bookmarkStart w:id="43" w:name="_Toc103769998"/>
      <w:r w:rsidRPr="00694CC1">
        <w:rPr>
          <w:iCs/>
        </w:rPr>
        <w:t>Comparative effectiveness</w:t>
      </w:r>
      <w:bookmarkEnd w:id="42"/>
      <w:bookmarkEnd w:id="43"/>
    </w:p>
    <w:p w14:paraId="6BB338C6" w14:textId="3CC46A4D" w:rsidR="00774AF7" w:rsidRPr="00AE2F09" w:rsidRDefault="00774AF7" w:rsidP="00774AF7">
      <w:pPr>
        <w:pStyle w:val="3-BodyText"/>
      </w:pPr>
      <w:r w:rsidRPr="00AE2F09">
        <w:t>The results for change in blood-Phe over time in PRISM 1 (</w:t>
      </w:r>
      <w:r w:rsidRPr="00AE2F09">
        <w:fldChar w:fldCharType="begin"/>
      </w:r>
      <w:r w:rsidRPr="00AE2F09">
        <w:instrText xml:space="preserve"> REF _Ref103047539 \h  \* MERGEFORMAT </w:instrText>
      </w:r>
      <w:r w:rsidRPr="00AE2F09">
        <w:fldChar w:fldCharType="separate"/>
      </w:r>
      <w:r w:rsidR="001162C8" w:rsidRPr="001162C8">
        <w:t>Table 4</w:t>
      </w:r>
      <w:r w:rsidRPr="00AE2F09">
        <w:fldChar w:fldCharType="end"/>
      </w:r>
      <w:r w:rsidRPr="00AE2F09">
        <w:t xml:space="preserve">) and PRISM 2 </w:t>
      </w:r>
      <w:r w:rsidR="001E1B54">
        <w:t>P</w:t>
      </w:r>
      <w:r w:rsidRPr="00AE2F09">
        <w:t>art 2 (</w:t>
      </w:r>
      <w:r w:rsidRPr="00AE2F09">
        <w:fldChar w:fldCharType="begin"/>
      </w:r>
      <w:r w:rsidRPr="00AE2F09">
        <w:instrText xml:space="preserve"> REF _Ref103047555 \h  \* MERGEFORMAT </w:instrText>
      </w:r>
      <w:r w:rsidRPr="00AE2F09">
        <w:fldChar w:fldCharType="separate"/>
      </w:r>
      <w:r w:rsidR="001162C8" w:rsidRPr="001162C8">
        <w:t>Table 5</w:t>
      </w:r>
      <w:r w:rsidRPr="00AE2F09">
        <w:fldChar w:fldCharType="end"/>
      </w:r>
      <w:r w:rsidRPr="00AE2F09">
        <w:t xml:space="preserve">) are presented below. </w:t>
      </w:r>
    </w:p>
    <w:p w14:paraId="5595E722" w14:textId="26540E68" w:rsidR="00774AF7" w:rsidRPr="00AE2F09" w:rsidRDefault="00774AF7" w:rsidP="00774AF7">
      <w:pPr>
        <w:pStyle w:val="TableFigureHeading"/>
        <w:keepLines/>
        <w:rPr>
          <w:rStyle w:val="CommentReference"/>
          <w:b/>
          <w:bCs w:val="0"/>
          <w:szCs w:val="24"/>
        </w:rPr>
      </w:pPr>
      <w:bookmarkStart w:id="44" w:name="_Ref103047539"/>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4</w:t>
      </w:r>
      <w:r w:rsidRPr="00AE2F09">
        <w:rPr>
          <w:rStyle w:val="CommentReference"/>
          <w:b/>
          <w:bCs w:val="0"/>
          <w:szCs w:val="24"/>
        </w:rPr>
        <w:fldChar w:fldCharType="end"/>
      </w:r>
      <w:bookmarkEnd w:id="44"/>
      <w:r w:rsidRPr="00AE2F09">
        <w:rPr>
          <w:rStyle w:val="CommentReference"/>
          <w:b/>
          <w:bCs w:val="0"/>
          <w:szCs w:val="24"/>
        </w:rPr>
        <w:t xml:space="preserve">: Results of change in blood-Phe over time in PRISM 1 </w:t>
      </w:r>
    </w:p>
    <w:tbl>
      <w:tblPr>
        <w:tblStyle w:val="TableGrid"/>
        <w:tblW w:w="5000" w:type="pct"/>
        <w:tblLook w:val="04A0" w:firstRow="1" w:lastRow="0" w:firstColumn="1" w:lastColumn="0" w:noHBand="0" w:noVBand="1"/>
      </w:tblPr>
      <w:tblGrid>
        <w:gridCol w:w="989"/>
        <w:gridCol w:w="1701"/>
        <w:gridCol w:w="1701"/>
        <w:gridCol w:w="2312"/>
        <w:gridCol w:w="2314"/>
      </w:tblGrid>
      <w:tr w:rsidR="00774AF7" w:rsidRPr="00AE2F09" w14:paraId="72C70F40" w14:textId="77777777" w:rsidTr="00FD7CD0">
        <w:tc>
          <w:tcPr>
            <w:tcW w:w="548" w:type="pct"/>
            <w:vMerge w:val="restart"/>
            <w:shd w:val="clear" w:color="auto" w:fill="auto"/>
            <w:vAlign w:val="center"/>
          </w:tcPr>
          <w:p w14:paraId="72D0F012" w14:textId="77777777" w:rsidR="00774AF7" w:rsidRPr="00AE2F09" w:rsidRDefault="00774AF7" w:rsidP="00FD7CD0">
            <w:pPr>
              <w:pStyle w:val="Tableheading0"/>
              <w:keepNext/>
              <w:keepLines/>
              <w:widowControl/>
              <w:jc w:val="left"/>
              <w:rPr>
                <w:rFonts w:ascii="Arial Narrow" w:eastAsiaTheme="majorEastAsia" w:hAnsi="Arial Narrow" w:cstheme="majorBidi"/>
                <w:szCs w:val="24"/>
              </w:rPr>
            </w:pPr>
          </w:p>
        </w:tc>
        <w:tc>
          <w:tcPr>
            <w:tcW w:w="943" w:type="pct"/>
            <w:tcBorders>
              <w:bottom w:val="single" w:sz="4" w:space="0" w:color="auto"/>
            </w:tcBorders>
            <w:shd w:val="clear" w:color="auto" w:fill="auto"/>
          </w:tcPr>
          <w:p w14:paraId="5496D1E2"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Pegvaliase 20 mg/day</w:t>
            </w:r>
          </w:p>
          <w:p w14:paraId="38FEA1F2"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(N = 131)</w:t>
            </w:r>
          </w:p>
        </w:tc>
        <w:tc>
          <w:tcPr>
            <w:tcW w:w="943" w:type="pct"/>
            <w:tcBorders>
              <w:bottom w:val="single" w:sz="4" w:space="0" w:color="auto"/>
            </w:tcBorders>
            <w:shd w:val="clear" w:color="auto" w:fill="auto"/>
          </w:tcPr>
          <w:p w14:paraId="1B978866"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Pegvaliase 40 mg/day</w:t>
            </w:r>
          </w:p>
          <w:p w14:paraId="1F586F79"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(N = 130)</w:t>
            </w:r>
          </w:p>
        </w:tc>
        <w:tc>
          <w:tcPr>
            <w:tcW w:w="1282" w:type="pct"/>
            <w:tcBorders>
              <w:bottom w:val="single" w:sz="4" w:space="0" w:color="auto"/>
            </w:tcBorders>
            <w:shd w:val="clear" w:color="auto" w:fill="auto"/>
            <w:vAlign w:val="center"/>
          </w:tcPr>
          <w:p w14:paraId="1EB93433"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Pegvaliase 20 mg/day</w:t>
            </w:r>
          </w:p>
          <w:p w14:paraId="421447B1"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(N = 131)</w:t>
            </w:r>
          </w:p>
        </w:tc>
        <w:tc>
          <w:tcPr>
            <w:tcW w:w="1283" w:type="pct"/>
            <w:tcBorders>
              <w:bottom w:val="single" w:sz="4" w:space="0" w:color="auto"/>
            </w:tcBorders>
            <w:shd w:val="clear" w:color="auto" w:fill="auto"/>
            <w:vAlign w:val="center"/>
          </w:tcPr>
          <w:p w14:paraId="1F0F2FDD"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Pegvaliase 40 mg/day</w:t>
            </w:r>
          </w:p>
          <w:p w14:paraId="24ABED9B"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(N = 130)</w:t>
            </w:r>
          </w:p>
        </w:tc>
      </w:tr>
      <w:tr w:rsidR="00774AF7" w:rsidRPr="00AE2F09" w14:paraId="23FCAAB3" w14:textId="77777777" w:rsidTr="00FD7CD0">
        <w:tc>
          <w:tcPr>
            <w:tcW w:w="548" w:type="pct"/>
            <w:vMerge/>
            <w:tcBorders>
              <w:bottom w:val="single" w:sz="4" w:space="0" w:color="auto"/>
            </w:tcBorders>
            <w:shd w:val="clear" w:color="auto" w:fill="auto"/>
            <w:vAlign w:val="center"/>
          </w:tcPr>
          <w:p w14:paraId="59A0F014" w14:textId="77777777" w:rsidR="00774AF7" w:rsidRPr="00AE2F09" w:rsidRDefault="00774AF7" w:rsidP="00FD7CD0">
            <w:pPr>
              <w:pStyle w:val="Tableheading0"/>
              <w:keepNext/>
              <w:keepLines/>
              <w:widowControl/>
              <w:jc w:val="left"/>
              <w:rPr>
                <w:rFonts w:ascii="Arial Narrow" w:eastAsiaTheme="majorEastAsia" w:hAnsi="Arial Narrow" w:cstheme="majorBidi"/>
                <w:szCs w:val="24"/>
              </w:rPr>
            </w:pPr>
          </w:p>
        </w:tc>
        <w:tc>
          <w:tcPr>
            <w:tcW w:w="943" w:type="pct"/>
            <w:tcBorders>
              <w:bottom w:val="single" w:sz="4" w:space="0" w:color="auto"/>
            </w:tcBorders>
            <w:shd w:val="clear" w:color="auto" w:fill="auto"/>
            <w:vAlign w:val="center"/>
          </w:tcPr>
          <w:p w14:paraId="0E27036A"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Mean (SD), µmol/L</w:t>
            </w:r>
          </w:p>
        </w:tc>
        <w:tc>
          <w:tcPr>
            <w:tcW w:w="943" w:type="pct"/>
            <w:tcBorders>
              <w:bottom w:val="single" w:sz="4" w:space="0" w:color="auto"/>
            </w:tcBorders>
            <w:shd w:val="clear" w:color="auto" w:fill="auto"/>
            <w:vAlign w:val="center"/>
          </w:tcPr>
          <w:p w14:paraId="09BAAC50"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Mean (SD), µmol/L</w:t>
            </w:r>
          </w:p>
        </w:tc>
        <w:tc>
          <w:tcPr>
            <w:tcW w:w="1282" w:type="pct"/>
            <w:tcBorders>
              <w:bottom w:val="single" w:sz="4" w:space="0" w:color="auto"/>
            </w:tcBorders>
            <w:shd w:val="clear" w:color="auto" w:fill="auto"/>
          </w:tcPr>
          <w:p w14:paraId="59713262"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Change from baseline*, mean (SD), µmol/L</w:t>
            </w:r>
          </w:p>
        </w:tc>
        <w:tc>
          <w:tcPr>
            <w:tcW w:w="1283" w:type="pct"/>
            <w:tcBorders>
              <w:bottom w:val="single" w:sz="4" w:space="0" w:color="auto"/>
            </w:tcBorders>
            <w:shd w:val="clear" w:color="auto" w:fill="auto"/>
          </w:tcPr>
          <w:p w14:paraId="66A6B1B7" w14:textId="77777777" w:rsidR="00774AF7" w:rsidRPr="00AE2F09" w:rsidRDefault="00774AF7" w:rsidP="00FD7CD0">
            <w:pPr>
              <w:pStyle w:val="Tableheading0"/>
              <w:keepNext/>
              <w:keepLines/>
              <w:widowControl/>
              <w:rPr>
                <w:rFonts w:ascii="Arial Narrow" w:eastAsiaTheme="majorEastAsia" w:hAnsi="Arial Narrow" w:cstheme="majorBidi"/>
                <w:szCs w:val="24"/>
              </w:rPr>
            </w:pPr>
            <w:r w:rsidRPr="00AE2F09">
              <w:rPr>
                <w:rFonts w:ascii="Arial Narrow" w:eastAsiaTheme="majorEastAsia" w:hAnsi="Arial Narrow" w:cstheme="majorBidi"/>
                <w:szCs w:val="24"/>
              </w:rPr>
              <w:t>Change from baseline*, mean (SD), µmol/L</w:t>
            </w:r>
          </w:p>
        </w:tc>
      </w:tr>
      <w:tr w:rsidR="00774AF7" w:rsidRPr="00AE2F09" w14:paraId="5F777FB2" w14:textId="77777777" w:rsidTr="00FD7CD0">
        <w:trPr>
          <w:trHeight w:val="469"/>
        </w:trPr>
        <w:tc>
          <w:tcPr>
            <w:tcW w:w="548" w:type="pct"/>
            <w:shd w:val="clear" w:color="auto" w:fill="auto"/>
            <w:vAlign w:val="center"/>
          </w:tcPr>
          <w:p w14:paraId="2F2D5A1D" w14:textId="77777777" w:rsidR="00774AF7" w:rsidRPr="00AE2F09" w:rsidRDefault="00774AF7" w:rsidP="00FD7CD0">
            <w:pPr>
              <w:pStyle w:val="Tab1table"/>
              <w:keepNext/>
              <w:keepLines/>
              <w:ind w:left="0"/>
              <w:rPr>
                <w:rFonts w:ascii="Arial Narrow" w:eastAsiaTheme="majorEastAsia" w:hAnsi="Arial Narrow" w:cstheme="majorBidi"/>
                <w:bCs/>
                <w:szCs w:val="24"/>
              </w:rPr>
            </w:pPr>
            <w:r w:rsidRPr="00AE2F09">
              <w:rPr>
                <w:rFonts w:ascii="Arial Narrow" w:eastAsiaTheme="majorEastAsia" w:hAnsi="Arial Narrow" w:cstheme="majorBidi"/>
                <w:bCs/>
                <w:szCs w:val="24"/>
              </w:rPr>
              <w:t>Baseline</w:t>
            </w:r>
          </w:p>
        </w:tc>
        <w:tc>
          <w:tcPr>
            <w:tcW w:w="943" w:type="pct"/>
            <w:shd w:val="clear" w:color="auto" w:fill="auto"/>
          </w:tcPr>
          <w:p w14:paraId="79E6D024"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 xml:space="preserve"> n = 131</w:t>
            </w:r>
          </w:p>
          <w:p w14:paraId="26CBEB77"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1241.0 (389.7)</w:t>
            </w:r>
          </w:p>
        </w:tc>
        <w:tc>
          <w:tcPr>
            <w:tcW w:w="943" w:type="pct"/>
            <w:shd w:val="clear" w:color="auto" w:fill="auto"/>
          </w:tcPr>
          <w:p w14:paraId="78150DC4"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130</w:t>
            </w:r>
          </w:p>
          <w:p w14:paraId="5ABE1ABA"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1224.4 (384.3)</w:t>
            </w:r>
          </w:p>
        </w:tc>
        <w:tc>
          <w:tcPr>
            <w:tcW w:w="1282" w:type="pct"/>
            <w:shd w:val="clear" w:color="auto" w:fill="auto"/>
            <w:vAlign w:val="center"/>
          </w:tcPr>
          <w:p w14:paraId="4A143B98"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w:t>
            </w:r>
          </w:p>
        </w:tc>
        <w:tc>
          <w:tcPr>
            <w:tcW w:w="1283" w:type="pct"/>
            <w:shd w:val="clear" w:color="auto" w:fill="auto"/>
            <w:vAlign w:val="center"/>
          </w:tcPr>
          <w:p w14:paraId="053F10E3"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w:t>
            </w:r>
          </w:p>
        </w:tc>
      </w:tr>
      <w:tr w:rsidR="00774AF7" w:rsidRPr="00AE2F09" w14:paraId="4CCBFBBA" w14:textId="77777777" w:rsidTr="00FD7CD0">
        <w:trPr>
          <w:trHeight w:val="459"/>
        </w:trPr>
        <w:tc>
          <w:tcPr>
            <w:tcW w:w="548" w:type="pct"/>
            <w:tcBorders>
              <w:top w:val="single" w:sz="4" w:space="0" w:color="auto"/>
              <w:bottom w:val="single" w:sz="4" w:space="0" w:color="auto"/>
            </w:tcBorders>
            <w:vAlign w:val="center"/>
          </w:tcPr>
          <w:p w14:paraId="066AC874" w14:textId="77777777" w:rsidR="00774AF7" w:rsidRPr="00AE2F09" w:rsidRDefault="00774AF7" w:rsidP="00FD7CD0">
            <w:pPr>
              <w:pStyle w:val="Tab1table"/>
              <w:keepNext/>
              <w:keepLines/>
              <w:ind w:left="0"/>
              <w:rPr>
                <w:rFonts w:ascii="Arial Narrow" w:eastAsiaTheme="majorEastAsia" w:hAnsi="Arial Narrow" w:cstheme="majorBidi"/>
                <w:bCs/>
                <w:szCs w:val="24"/>
              </w:rPr>
            </w:pPr>
            <w:r w:rsidRPr="00AE2F09">
              <w:rPr>
                <w:rFonts w:ascii="Arial Narrow" w:eastAsiaTheme="majorEastAsia" w:hAnsi="Arial Narrow" w:cstheme="majorBidi"/>
                <w:bCs/>
                <w:szCs w:val="24"/>
              </w:rPr>
              <w:t>Week 12</w:t>
            </w:r>
          </w:p>
        </w:tc>
        <w:tc>
          <w:tcPr>
            <w:tcW w:w="943" w:type="pct"/>
            <w:tcBorders>
              <w:top w:val="single" w:sz="4" w:space="0" w:color="auto"/>
              <w:bottom w:val="single" w:sz="4" w:space="0" w:color="auto"/>
            </w:tcBorders>
          </w:tcPr>
          <w:p w14:paraId="4998B620"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120</w:t>
            </w:r>
          </w:p>
          <w:p w14:paraId="028FB502"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997.0 (513.84)</w:t>
            </w:r>
          </w:p>
        </w:tc>
        <w:tc>
          <w:tcPr>
            <w:tcW w:w="943" w:type="pct"/>
            <w:tcBorders>
              <w:top w:val="single" w:sz="4" w:space="0" w:color="auto"/>
              <w:bottom w:val="single" w:sz="4" w:space="0" w:color="auto"/>
            </w:tcBorders>
          </w:tcPr>
          <w:p w14:paraId="5E1FB6D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120</w:t>
            </w:r>
          </w:p>
          <w:p w14:paraId="01B70B6A"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859.1 (534.14)</w:t>
            </w:r>
          </w:p>
        </w:tc>
        <w:tc>
          <w:tcPr>
            <w:tcW w:w="1282" w:type="pct"/>
            <w:tcBorders>
              <w:top w:val="single" w:sz="4" w:space="0" w:color="auto"/>
              <w:bottom w:val="single" w:sz="4" w:space="0" w:color="auto"/>
            </w:tcBorders>
          </w:tcPr>
          <w:p w14:paraId="663DA4CB"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120</w:t>
            </w:r>
          </w:p>
          <w:p w14:paraId="65E7DDEE"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-264.2 (432.30)</w:t>
            </w:r>
          </w:p>
        </w:tc>
        <w:tc>
          <w:tcPr>
            <w:tcW w:w="1283" w:type="pct"/>
            <w:vMerge w:val="restart"/>
            <w:tcBorders>
              <w:top w:val="single" w:sz="4" w:space="0" w:color="auto"/>
              <w:bottom w:val="single" w:sz="4" w:space="0" w:color="auto"/>
            </w:tcBorders>
          </w:tcPr>
          <w:p w14:paraId="0B39F0AB"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120</w:t>
            </w:r>
          </w:p>
          <w:p w14:paraId="48D2979A"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-359.9 (495.53)</w:t>
            </w:r>
          </w:p>
          <w:p w14:paraId="520ED3B9"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75</w:t>
            </w:r>
          </w:p>
          <w:p w14:paraId="1DDD45D0" w14:textId="77777777" w:rsidR="00774AF7" w:rsidRPr="00AE2F09" w:rsidRDefault="00774AF7" w:rsidP="00FD7CD0">
            <w:pPr>
              <w:pStyle w:val="Tablecentre"/>
              <w:keepNext/>
              <w:keepLines/>
              <w:rPr>
                <w:rFonts w:ascii="Arial Narrow" w:eastAsiaTheme="majorEastAsia" w:hAnsi="Arial Narrow" w:cstheme="majorBidi"/>
                <w:bCs/>
                <w:szCs w:val="24"/>
              </w:rPr>
            </w:pPr>
            <w:r w:rsidRPr="00AE2F09">
              <w:rPr>
                <w:rFonts w:ascii="Arial Narrow" w:eastAsiaTheme="majorEastAsia" w:hAnsi="Arial Narrow" w:cstheme="majorBidi"/>
                <w:bCs/>
                <w:szCs w:val="24"/>
              </w:rPr>
              <w:t>-509.3 (619.20)</w:t>
            </w:r>
          </w:p>
        </w:tc>
      </w:tr>
      <w:tr w:rsidR="00774AF7" w:rsidRPr="00AE2F09" w14:paraId="36B7EB18" w14:textId="77777777" w:rsidTr="00FD7CD0">
        <w:trPr>
          <w:trHeight w:val="132"/>
        </w:trPr>
        <w:tc>
          <w:tcPr>
            <w:tcW w:w="548" w:type="pct"/>
            <w:tcBorders>
              <w:top w:val="nil"/>
              <w:bottom w:val="single" w:sz="4" w:space="0" w:color="auto"/>
            </w:tcBorders>
            <w:vAlign w:val="center"/>
          </w:tcPr>
          <w:p w14:paraId="4884ED21" w14:textId="77777777" w:rsidR="00774AF7" w:rsidRPr="00AE2F09" w:rsidRDefault="00774AF7" w:rsidP="00FD7CD0">
            <w:pPr>
              <w:pStyle w:val="Tab1table"/>
              <w:keepNext/>
              <w:keepLines/>
              <w:ind w:left="0"/>
              <w:rPr>
                <w:rFonts w:ascii="Arial Narrow" w:eastAsiaTheme="majorEastAsia" w:hAnsi="Arial Narrow" w:cstheme="majorBidi"/>
                <w:bCs/>
                <w:szCs w:val="24"/>
              </w:rPr>
            </w:pPr>
            <w:r w:rsidRPr="00AE2F09">
              <w:rPr>
                <w:rFonts w:ascii="Arial Narrow" w:eastAsiaTheme="majorEastAsia" w:hAnsi="Arial Narrow" w:cstheme="majorBidi"/>
                <w:bCs/>
                <w:szCs w:val="24"/>
              </w:rPr>
              <w:t>Week 24</w:t>
            </w:r>
          </w:p>
        </w:tc>
        <w:tc>
          <w:tcPr>
            <w:tcW w:w="943" w:type="pct"/>
            <w:tcBorders>
              <w:top w:val="nil"/>
              <w:bottom w:val="single" w:sz="4" w:space="0" w:color="auto"/>
            </w:tcBorders>
          </w:tcPr>
          <w:p w14:paraId="2E89EDA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76</w:t>
            </w:r>
          </w:p>
          <w:p w14:paraId="7C6F9B6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929.2 (449.02)</w:t>
            </w:r>
          </w:p>
        </w:tc>
        <w:tc>
          <w:tcPr>
            <w:tcW w:w="943" w:type="pct"/>
            <w:tcBorders>
              <w:top w:val="nil"/>
              <w:bottom w:val="single" w:sz="4" w:space="0" w:color="auto"/>
            </w:tcBorders>
          </w:tcPr>
          <w:p w14:paraId="60AA8A6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75</w:t>
            </w:r>
          </w:p>
          <w:p w14:paraId="098D4BBF"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668.0 (547.94)</w:t>
            </w:r>
          </w:p>
        </w:tc>
        <w:tc>
          <w:tcPr>
            <w:tcW w:w="1282" w:type="pct"/>
            <w:tcBorders>
              <w:top w:val="nil"/>
              <w:bottom w:val="single" w:sz="4" w:space="0" w:color="auto"/>
            </w:tcBorders>
          </w:tcPr>
          <w:p w14:paraId="0C9F9131"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76</w:t>
            </w:r>
          </w:p>
          <w:p w14:paraId="6091BE1F"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-334.7 (438.30)</w:t>
            </w:r>
          </w:p>
        </w:tc>
        <w:tc>
          <w:tcPr>
            <w:tcW w:w="1283" w:type="pct"/>
            <w:vMerge/>
            <w:tcBorders>
              <w:bottom w:val="single" w:sz="4" w:space="0" w:color="auto"/>
            </w:tcBorders>
          </w:tcPr>
          <w:p w14:paraId="52378360" w14:textId="77777777" w:rsidR="00774AF7" w:rsidRPr="00AE2F09" w:rsidRDefault="00774AF7" w:rsidP="00FD7CD0">
            <w:pPr>
              <w:pStyle w:val="Tablecentre"/>
              <w:keepNext/>
              <w:keepLines/>
              <w:widowControl/>
              <w:rPr>
                <w:rFonts w:ascii="Arial Narrow" w:eastAsiaTheme="majorEastAsia" w:hAnsi="Arial Narrow" w:cstheme="majorBidi"/>
                <w:bCs/>
                <w:szCs w:val="24"/>
              </w:rPr>
            </w:pPr>
          </w:p>
        </w:tc>
      </w:tr>
      <w:tr w:rsidR="00774AF7" w:rsidRPr="00AE2F09" w14:paraId="183C4FD0" w14:textId="77777777" w:rsidTr="00FD7CD0">
        <w:trPr>
          <w:trHeight w:val="132"/>
        </w:trPr>
        <w:tc>
          <w:tcPr>
            <w:tcW w:w="548" w:type="pct"/>
            <w:tcBorders>
              <w:top w:val="nil"/>
              <w:bottom w:val="single" w:sz="4" w:space="0" w:color="auto"/>
            </w:tcBorders>
            <w:vAlign w:val="center"/>
          </w:tcPr>
          <w:p w14:paraId="48C2BCCD" w14:textId="77777777" w:rsidR="00774AF7" w:rsidRPr="00AE2F09" w:rsidRDefault="00774AF7" w:rsidP="00FD7CD0">
            <w:pPr>
              <w:pStyle w:val="Tab1table"/>
              <w:keepNext/>
              <w:keepLines/>
              <w:ind w:left="0"/>
              <w:rPr>
                <w:rFonts w:ascii="Arial Narrow" w:eastAsiaTheme="majorEastAsia" w:hAnsi="Arial Narrow" w:cstheme="majorBidi"/>
                <w:bCs/>
                <w:szCs w:val="24"/>
              </w:rPr>
            </w:pPr>
            <w:r w:rsidRPr="00AE2F09">
              <w:rPr>
                <w:rFonts w:ascii="Arial Narrow" w:eastAsiaTheme="majorEastAsia" w:hAnsi="Arial Narrow" w:cstheme="majorBidi"/>
                <w:bCs/>
                <w:szCs w:val="24"/>
              </w:rPr>
              <w:t>Week 36</w:t>
            </w:r>
          </w:p>
        </w:tc>
        <w:tc>
          <w:tcPr>
            <w:tcW w:w="943" w:type="pct"/>
            <w:tcBorders>
              <w:top w:val="nil"/>
              <w:bottom w:val="single" w:sz="4" w:space="0" w:color="auto"/>
            </w:tcBorders>
          </w:tcPr>
          <w:p w14:paraId="71D1F071"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44</w:t>
            </w:r>
          </w:p>
          <w:p w14:paraId="1E021571"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868.4 (501.78)</w:t>
            </w:r>
          </w:p>
        </w:tc>
        <w:tc>
          <w:tcPr>
            <w:tcW w:w="943" w:type="pct"/>
            <w:tcBorders>
              <w:top w:val="nil"/>
              <w:bottom w:val="single" w:sz="4" w:space="0" w:color="auto"/>
            </w:tcBorders>
          </w:tcPr>
          <w:p w14:paraId="50FD433A"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36</w:t>
            </w:r>
          </w:p>
          <w:p w14:paraId="1F08E43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624.4 (530.58)</w:t>
            </w:r>
          </w:p>
        </w:tc>
        <w:tc>
          <w:tcPr>
            <w:tcW w:w="1282" w:type="pct"/>
            <w:tcBorders>
              <w:top w:val="nil"/>
              <w:bottom w:val="single" w:sz="4" w:space="0" w:color="auto"/>
            </w:tcBorders>
          </w:tcPr>
          <w:p w14:paraId="3328954F"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44</w:t>
            </w:r>
          </w:p>
          <w:p w14:paraId="36F4C46D"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-356.4 (539.93)</w:t>
            </w:r>
          </w:p>
        </w:tc>
        <w:tc>
          <w:tcPr>
            <w:tcW w:w="1283" w:type="pct"/>
            <w:tcBorders>
              <w:top w:val="nil"/>
              <w:bottom w:val="single" w:sz="4" w:space="0" w:color="auto"/>
            </w:tcBorders>
          </w:tcPr>
          <w:p w14:paraId="6720636F"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n = 36</w:t>
            </w:r>
          </w:p>
          <w:p w14:paraId="6093915C" w14:textId="77777777" w:rsidR="00774AF7" w:rsidRPr="00AE2F09" w:rsidRDefault="00774AF7" w:rsidP="00FD7CD0">
            <w:pPr>
              <w:pStyle w:val="Tablecentre"/>
              <w:keepNext/>
              <w:keepLines/>
              <w:widowControl/>
              <w:rPr>
                <w:rFonts w:ascii="Arial Narrow" w:eastAsiaTheme="majorEastAsia" w:hAnsi="Arial Narrow" w:cstheme="majorBidi"/>
                <w:bCs/>
                <w:szCs w:val="24"/>
              </w:rPr>
            </w:pPr>
            <w:r w:rsidRPr="00AE2F09">
              <w:rPr>
                <w:rFonts w:ascii="Arial Narrow" w:eastAsiaTheme="majorEastAsia" w:hAnsi="Arial Narrow" w:cstheme="majorBidi"/>
                <w:bCs/>
                <w:szCs w:val="24"/>
              </w:rPr>
              <w:t>-524.6 (678.74)</w:t>
            </w:r>
          </w:p>
        </w:tc>
      </w:tr>
    </w:tbl>
    <w:p w14:paraId="5CCEACC9" w14:textId="0E0BC1B3" w:rsidR="00774AF7" w:rsidRPr="00AE2F09" w:rsidRDefault="00774AF7" w:rsidP="00774AF7">
      <w:pPr>
        <w:pStyle w:val="TableFooter"/>
        <w:keepNext/>
        <w:keepLines/>
        <w:rPr>
          <w:sz w:val="20"/>
        </w:rPr>
      </w:pPr>
      <w:r w:rsidRPr="00AE2F09">
        <w:t>Source: Table 2.5-1</w:t>
      </w:r>
      <w:r w:rsidR="00CC16BC">
        <w:t xml:space="preserve"> (</w:t>
      </w:r>
      <w:r w:rsidRPr="00AE2F09">
        <w:t>p98</w:t>
      </w:r>
      <w:r w:rsidR="00CC16BC">
        <w:t>)</w:t>
      </w:r>
      <w:r w:rsidRPr="00AE2F09">
        <w:t xml:space="preserve"> of the submission</w:t>
      </w:r>
    </w:p>
    <w:p w14:paraId="7FC78D22" w14:textId="77777777" w:rsidR="00774AF7" w:rsidRPr="00AE2F09" w:rsidRDefault="00774AF7" w:rsidP="00774AF7">
      <w:pPr>
        <w:pStyle w:val="TableFooter"/>
        <w:keepNext/>
        <w:keepLines/>
      </w:pPr>
      <w:r w:rsidRPr="00AE2F09">
        <w:t>Phe = phenylalanine; SD = standard deviation</w:t>
      </w:r>
    </w:p>
    <w:p w14:paraId="257E43B2" w14:textId="618D5116" w:rsidR="00774AF7" w:rsidRPr="00AE2F09" w:rsidRDefault="00774AF7" w:rsidP="00774AF7">
      <w:pPr>
        <w:pStyle w:val="TableFooter"/>
        <w:keepNext/>
        <w:keepLines/>
      </w:pPr>
      <w:bookmarkStart w:id="45" w:name="_Hlk110511110"/>
      <w:r w:rsidRPr="00AE2F09">
        <w:t xml:space="preserve">* Change from </w:t>
      </w:r>
      <w:r w:rsidR="00FB7927">
        <w:t>b</w:t>
      </w:r>
      <w:r w:rsidRPr="00AE2F09">
        <w:t>aseline was based on patients with available measurements at both time points.</w:t>
      </w:r>
    </w:p>
    <w:bookmarkEnd w:id="45"/>
    <w:p w14:paraId="77F7BE54" w14:textId="77777777" w:rsidR="00774AF7" w:rsidRPr="00AE2F09" w:rsidRDefault="00774AF7" w:rsidP="00774AF7">
      <w:pPr>
        <w:pStyle w:val="3-BodyText"/>
        <w:numPr>
          <w:ilvl w:val="0"/>
          <w:numId w:val="0"/>
        </w:numPr>
      </w:pPr>
    </w:p>
    <w:p w14:paraId="764DA555" w14:textId="10198638" w:rsidR="00774AF7" w:rsidRPr="00AE2F09" w:rsidRDefault="00774AF7" w:rsidP="00774AF7">
      <w:pPr>
        <w:keepNext/>
        <w:keepLines/>
        <w:jc w:val="left"/>
        <w:rPr>
          <w:rFonts w:ascii="Arial Narrow" w:eastAsiaTheme="majorEastAsia" w:hAnsi="Arial Narrow" w:cstheme="majorBidi"/>
          <w:b/>
          <w:sz w:val="20"/>
          <w:szCs w:val="16"/>
        </w:rPr>
      </w:pPr>
      <w:bookmarkStart w:id="46" w:name="_Ref103047555"/>
      <w:r w:rsidRPr="00AE2F09">
        <w:rPr>
          <w:rFonts w:ascii="Arial Narrow" w:eastAsiaTheme="majorEastAsia" w:hAnsi="Arial Narrow" w:cstheme="majorBidi"/>
          <w:b/>
          <w:sz w:val="20"/>
          <w:szCs w:val="16"/>
        </w:rPr>
        <w:t xml:space="preserve">Table </w:t>
      </w:r>
      <w:r w:rsidRPr="00AE2F09">
        <w:rPr>
          <w:rFonts w:ascii="Arial Narrow" w:eastAsiaTheme="majorEastAsia" w:hAnsi="Arial Narrow" w:cstheme="majorBidi"/>
          <w:b/>
          <w:sz w:val="20"/>
          <w:szCs w:val="16"/>
        </w:rPr>
        <w:fldChar w:fldCharType="begin"/>
      </w:r>
      <w:r w:rsidRPr="00AE2F09">
        <w:rPr>
          <w:rFonts w:ascii="Arial Narrow" w:eastAsiaTheme="majorEastAsia" w:hAnsi="Arial Narrow" w:cstheme="majorBidi"/>
          <w:b/>
          <w:sz w:val="20"/>
          <w:szCs w:val="16"/>
        </w:rPr>
        <w:instrText xml:space="preserve"> SEQ Table \* ARABIC </w:instrText>
      </w:r>
      <w:r w:rsidRPr="00AE2F09">
        <w:rPr>
          <w:rFonts w:ascii="Arial Narrow" w:eastAsiaTheme="majorEastAsia" w:hAnsi="Arial Narrow" w:cstheme="majorBidi"/>
          <w:b/>
          <w:sz w:val="20"/>
          <w:szCs w:val="16"/>
        </w:rPr>
        <w:fldChar w:fldCharType="separate"/>
      </w:r>
      <w:r w:rsidR="001162C8">
        <w:rPr>
          <w:rFonts w:ascii="Arial Narrow" w:eastAsiaTheme="majorEastAsia" w:hAnsi="Arial Narrow" w:cstheme="majorBidi"/>
          <w:b/>
          <w:noProof/>
          <w:sz w:val="20"/>
          <w:szCs w:val="16"/>
        </w:rPr>
        <w:t>5</w:t>
      </w:r>
      <w:r w:rsidRPr="00AE2F09">
        <w:rPr>
          <w:rFonts w:ascii="Arial Narrow" w:eastAsiaTheme="majorEastAsia" w:hAnsi="Arial Narrow" w:cstheme="majorBidi"/>
          <w:b/>
          <w:sz w:val="20"/>
          <w:szCs w:val="16"/>
        </w:rPr>
        <w:fldChar w:fldCharType="end"/>
      </w:r>
      <w:bookmarkEnd w:id="46"/>
      <w:r w:rsidRPr="00AE2F09">
        <w:rPr>
          <w:rFonts w:ascii="Arial Narrow" w:eastAsiaTheme="majorEastAsia" w:hAnsi="Arial Narrow" w:cstheme="majorBidi"/>
          <w:b/>
          <w:sz w:val="20"/>
          <w:szCs w:val="16"/>
        </w:rPr>
        <w:t>: Results of change in blood-Phe over time in PRISM 2 Part 2</w:t>
      </w:r>
    </w:p>
    <w:tbl>
      <w:tblPr>
        <w:tblStyle w:val="TableGrid"/>
        <w:tblW w:w="5000" w:type="pct"/>
        <w:tblLook w:val="04A0" w:firstRow="1" w:lastRow="0" w:firstColumn="1" w:lastColumn="0" w:noHBand="0" w:noVBand="1"/>
      </w:tblPr>
      <w:tblGrid>
        <w:gridCol w:w="3255"/>
        <w:gridCol w:w="1526"/>
        <w:gridCol w:w="2231"/>
        <w:gridCol w:w="2005"/>
      </w:tblGrid>
      <w:tr w:rsidR="00774AF7" w:rsidRPr="00AE2F09" w14:paraId="35DB389B" w14:textId="77777777" w:rsidTr="006453B4">
        <w:tc>
          <w:tcPr>
            <w:tcW w:w="1805" w:type="pct"/>
            <w:tcBorders>
              <w:bottom w:val="nil"/>
            </w:tcBorders>
            <w:shd w:val="clear" w:color="auto" w:fill="auto"/>
            <w:vAlign w:val="center"/>
          </w:tcPr>
          <w:p w14:paraId="1BCCA1CC" w14:textId="14EBBD0F" w:rsidR="00774AF7" w:rsidRPr="00AE2F09" w:rsidRDefault="00EB099C" w:rsidP="00FD7CD0">
            <w:pPr>
              <w:keepNext/>
              <w:keepLines/>
              <w:jc w:val="left"/>
              <w:rPr>
                <w:rFonts w:ascii="Arial Narrow" w:eastAsiaTheme="majorEastAsia" w:hAnsi="Arial Narrow" w:cstheme="majorBidi"/>
                <w:b/>
                <w:sz w:val="20"/>
              </w:rPr>
            </w:pPr>
            <w:r w:rsidRPr="00AE2F09">
              <w:rPr>
                <w:rFonts w:ascii="Arial Narrow" w:eastAsiaTheme="majorEastAsia" w:hAnsi="Arial Narrow" w:cstheme="majorBidi"/>
                <w:b/>
                <w:sz w:val="20"/>
              </w:rPr>
              <w:t>Outcome</w:t>
            </w:r>
          </w:p>
        </w:tc>
        <w:tc>
          <w:tcPr>
            <w:tcW w:w="846" w:type="pct"/>
            <w:tcBorders>
              <w:bottom w:val="nil"/>
            </w:tcBorders>
            <w:shd w:val="clear" w:color="auto" w:fill="auto"/>
            <w:vAlign w:val="center"/>
          </w:tcPr>
          <w:p w14:paraId="1467C297" w14:textId="77777777"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Pooled pegvaliase</w:t>
            </w:r>
          </w:p>
        </w:tc>
        <w:tc>
          <w:tcPr>
            <w:tcW w:w="1237" w:type="pct"/>
            <w:tcBorders>
              <w:bottom w:val="nil"/>
            </w:tcBorders>
            <w:shd w:val="clear" w:color="auto" w:fill="auto"/>
            <w:vAlign w:val="center"/>
          </w:tcPr>
          <w:p w14:paraId="6BA0C629" w14:textId="5253F5FD"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 xml:space="preserve">Placebo </w:t>
            </w:r>
            <w:r w:rsidR="00F94D20" w:rsidRPr="00AE2F09">
              <w:rPr>
                <w:rFonts w:ascii="Arial Narrow" w:eastAsiaTheme="majorEastAsia" w:hAnsi="Arial Narrow" w:cstheme="majorBidi"/>
                <w:b/>
                <w:sz w:val="20"/>
              </w:rPr>
              <w:t>(</w:t>
            </w:r>
            <w:r w:rsidRPr="00AE2F09">
              <w:rPr>
                <w:rFonts w:ascii="Arial Narrow" w:eastAsiaTheme="majorEastAsia" w:hAnsi="Arial Narrow" w:cstheme="majorBidi"/>
                <w:b/>
                <w:sz w:val="20"/>
              </w:rPr>
              <w:t>20 mg/day</w:t>
            </w:r>
            <w:r w:rsidR="005C3E9B" w:rsidRPr="00AE2F09">
              <w:rPr>
                <w:rFonts w:ascii="Arial Narrow" w:eastAsiaTheme="majorEastAsia" w:hAnsi="Arial Narrow" w:cstheme="majorBidi"/>
                <w:b/>
                <w:sz w:val="20"/>
              </w:rPr>
              <w:t xml:space="preserve"> </w:t>
            </w:r>
            <w:r w:rsidR="00F94D20" w:rsidRPr="00AE2F09">
              <w:rPr>
                <w:rFonts w:ascii="Arial Narrow" w:eastAsiaTheme="majorEastAsia" w:hAnsi="Arial Narrow" w:cstheme="majorBidi"/>
                <w:b/>
                <w:sz w:val="20"/>
              </w:rPr>
              <w:t>pegvaliase previously in Part 1)</w:t>
            </w:r>
            <w:r w:rsidR="005C3E9B" w:rsidRPr="00AE2F09">
              <w:rPr>
                <w:rFonts w:ascii="Arial Narrow" w:eastAsiaTheme="majorEastAsia" w:hAnsi="Arial Narrow" w:cstheme="majorBidi"/>
                <w:b/>
                <w:sz w:val="20"/>
              </w:rPr>
              <w:t>^</w:t>
            </w:r>
          </w:p>
        </w:tc>
        <w:tc>
          <w:tcPr>
            <w:tcW w:w="1112" w:type="pct"/>
            <w:tcBorders>
              <w:bottom w:val="nil"/>
            </w:tcBorders>
            <w:shd w:val="clear" w:color="auto" w:fill="auto"/>
            <w:vAlign w:val="center"/>
          </w:tcPr>
          <w:p w14:paraId="11DF12A7" w14:textId="2FD8CEE9"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 xml:space="preserve">Placebo </w:t>
            </w:r>
            <w:r w:rsidR="00F94D20" w:rsidRPr="00AE2F09">
              <w:rPr>
                <w:rFonts w:ascii="Arial Narrow" w:eastAsiaTheme="majorEastAsia" w:hAnsi="Arial Narrow" w:cstheme="majorBidi"/>
                <w:b/>
                <w:sz w:val="20"/>
              </w:rPr>
              <w:t>(</w:t>
            </w:r>
            <w:r w:rsidRPr="00AE2F09">
              <w:rPr>
                <w:rFonts w:ascii="Arial Narrow" w:eastAsiaTheme="majorEastAsia" w:hAnsi="Arial Narrow" w:cstheme="majorBidi"/>
                <w:b/>
                <w:sz w:val="20"/>
              </w:rPr>
              <w:t>40 mg/day</w:t>
            </w:r>
            <w:r w:rsidR="00F94D20" w:rsidRPr="00AE2F09">
              <w:rPr>
                <w:rFonts w:ascii="Arial Narrow" w:eastAsiaTheme="majorEastAsia" w:hAnsi="Arial Narrow" w:cstheme="majorBidi"/>
                <w:b/>
                <w:sz w:val="20"/>
              </w:rPr>
              <w:t xml:space="preserve"> pegvaliase previously in Part 1) </w:t>
            </w:r>
            <w:r w:rsidR="005C3E9B" w:rsidRPr="00AE2F09">
              <w:rPr>
                <w:rFonts w:ascii="Arial Narrow" w:eastAsiaTheme="majorEastAsia" w:hAnsi="Arial Narrow" w:cstheme="majorBidi"/>
                <w:b/>
                <w:sz w:val="20"/>
              </w:rPr>
              <w:t>^</w:t>
            </w:r>
          </w:p>
        </w:tc>
      </w:tr>
      <w:tr w:rsidR="00774AF7" w:rsidRPr="00AE2F09" w14:paraId="6806F7AA" w14:textId="77777777" w:rsidTr="006453B4">
        <w:tc>
          <w:tcPr>
            <w:tcW w:w="1805" w:type="pct"/>
            <w:tcBorders>
              <w:top w:val="nil"/>
              <w:bottom w:val="single" w:sz="4" w:space="0" w:color="auto"/>
            </w:tcBorders>
            <w:shd w:val="clear" w:color="auto" w:fill="auto"/>
            <w:vAlign w:val="center"/>
          </w:tcPr>
          <w:p w14:paraId="36176508" w14:textId="77777777" w:rsidR="00774AF7" w:rsidRPr="00AE2F09" w:rsidRDefault="00774AF7" w:rsidP="00FD7CD0">
            <w:pPr>
              <w:keepNext/>
              <w:keepLines/>
              <w:jc w:val="left"/>
              <w:rPr>
                <w:rFonts w:ascii="Arial Narrow" w:eastAsiaTheme="majorEastAsia" w:hAnsi="Arial Narrow" w:cstheme="majorBidi"/>
                <w:b/>
                <w:sz w:val="20"/>
              </w:rPr>
            </w:pPr>
            <w:r w:rsidRPr="00AE2F09">
              <w:rPr>
                <w:rFonts w:ascii="Arial Narrow" w:eastAsiaTheme="majorEastAsia" w:hAnsi="Arial Narrow" w:cstheme="majorBidi"/>
                <w:b/>
                <w:sz w:val="20"/>
              </w:rPr>
              <w:t>Mean (SD)</w:t>
            </w:r>
          </w:p>
        </w:tc>
        <w:tc>
          <w:tcPr>
            <w:tcW w:w="846" w:type="pct"/>
            <w:tcBorders>
              <w:top w:val="nil"/>
              <w:bottom w:val="single" w:sz="4" w:space="0" w:color="auto"/>
            </w:tcBorders>
            <w:shd w:val="clear" w:color="auto" w:fill="auto"/>
            <w:vAlign w:val="center"/>
          </w:tcPr>
          <w:p w14:paraId="3A8BABC3" w14:textId="77777777"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N = 58</w:t>
            </w:r>
          </w:p>
        </w:tc>
        <w:tc>
          <w:tcPr>
            <w:tcW w:w="1237" w:type="pct"/>
            <w:tcBorders>
              <w:top w:val="nil"/>
              <w:bottom w:val="single" w:sz="4" w:space="0" w:color="auto"/>
            </w:tcBorders>
            <w:shd w:val="clear" w:color="auto" w:fill="auto"/>
            <w:vAlign w:val="center"/>
          </w:tcPr>
          <w:p w14:paraId="1B493919" w14:textId="77777777"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N = 14</w:t>
            </w:r>
          </w:p>
        </w:tc>
        <w:tc>
          <w:tcPr>
            <w:tcW w:w="1112" w:type="pct"/>
            <w:tcBorders>
              <w:top w:val="nil"/>
              <w:bottom w:val="single" w:sz="4" w:space="0" w:color="auto"/>
            </w:tcBorders>
            <w:shd w:val="clear" w:color="auto" w:fill="auto"/>
            <w:vAlign w:val="center"/>
          </w:tcPr>
          <w:p w14:paraId="63204514" w14:textId="77777777" w:rsidR="00774AF7" w:rsidRPr="00AE2F09" w:rsidRDefault="00774AF7" w:rsidP="00FD7CD0">
            <w:pPr>
              <w:keepNext/>
              <w:keepLines/>
              <w:jc w:val="center"/>
              <w:rPr>
                <w:rFonts w:ascii="Arial Narrow" w:eastAsiaTheme="majorEastAsia" w:hAnsi="Arial Narrow" w:cstheme="majorBidi"/>
                <w:b/>
                <w:sz w:val="20"/>
              </w:rPr>
            </w:pPr>
            <w:r w:rsidRPr="00AE2F09">
              <w:rPr>
                <w:rFonts w:ascii="Arial Narrow" w:eastAsiaTheme="majorEastAsia" w:hAnsi="Arial Narrow" w:cstheme="majorBidi"/>
                <w:b/>
                <w:sz w:val="20"/>
              </w:rPr>
              <w:t>N = 14</w:t>
            </w:r>
          </w:p>
        </w:tc>
      </w:tr>
      <w:tr w:rsidR="00EB099C" w:rsidRPr="00AE2F09" w14:paraId="45536B4C" w14:textId="77777777" w:rsidTr="00C41523">
        <w:tc>
          <w:tcPr>
            <w:tcW w:w="1805" w:type="pct"/>
            <w:tcBorders>
              <w:bottom w:val="single" w:sz="4" w:space="0" w:color="auto"/>
            </w:tcBorders>
          </w:tcPr>
          <w:p w14:paraId="7F59FE08" w14:textId="62B149A4" w:rsidR="00EB099C" w:rsidRPr="00AE2F09" w:rsidRDefault="00EB099C" w:rsidP="00EB099C">
            <w:pPr>
              <w:keepNext/>
              <w:keepLines/>
              <w:jc w:val="left"/>
              <w:rPr>
                <w:rFonts w:ascii="Arial Narrow" w:eastAsiaTheme="majorEastAsia" w:hAnsi="Arial Narrow" w:cstheme="majorBidi"/>
                <w:b/>
                <w:sz w:val="20"/>
              </w:rPr>
            </w:pPr>
            <w:r w:rsidRPr="00AE2F09">
              <w:rPr>
                <w:rFonts w:ascii="Arial Narrow" w:eastAsiaTheme="majorEastAsia" w:hAnsi="Arial Narrow" w:cstheme="majorBidi"/>
                <w:b/>
                <w:sz w:val="20"/>
              </w:rPr>
              <w:t>Responder (blood-</w:t>
            </w:r>
            <w:r w:rsidR="008312ED" w:rsidRPr="00AE2F09">
              <w:rPr>
                <w:rFonts w:ascii="Arial Narrow" w:eastAsiaTheme="majorEastAsia" w:hAnsi="Arial Narrow" w:cstheme="majorBidi"/>
                <w:b/>
                <w:sz w:val="20"/>
              </w:rPr>
              <w:t>P</w:t>
            </w:r>
            <w:r w:rsidRPr="00AE2F09">
              <w:rPr>
                <w:rFonts w:ascii="Arial Narrow" w:eastAsiaTheme="majorEastAsia" w:hAnsi="Arial Narrow" w:cstheme="majorBidi"/>
                <w:b/>
                <w:sz w:val="20"/>
              </w:rPr>
              <w:t>he ≤360µmol/L)</w:t>
            </w:r>
            <w:r w:rsidR="006453B4" w:rsidRPr="00AE2F09">
              <w:rPr>
                <w:rFonts w:ascii="Arial Narrow" w:eastAsiaTheme="majorEastAsia" w:hAnsi="Arial Narrow" w:cstheme="majorBidi"/>
                <w:b/>
                <w:sz w:val="20"/>
              </w:rPr>
              <w:t xml:space="preserve"> #</w:t>
            </w:r>
          </w:p>
        </w:tc>
        <w:tc>
          <w:tcPr>
            <w:tcW w:w="846" w:type="pct"/>
            <w:tcBorders>
              <w:bottom w:val="single" w:sz="4" w:space="0" w:color="auto"/>
            </w:tcBorders>
          </w:tcPr>
          <w:p w14:paraId="3A737C1B"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c>
          <w:tcPr>
            <w:tcW w:w="1237" w:type="pct"/>
            <w:tcBorders>
              <w:bottom w:val="single" w:sz="4" w:space="0" w:color="auto"/>
            </w:tcBorders>
          </w:tcPr>
          <w:p w14:paraId="7B6CF3BE"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c>
          <w:tcPr>
            <w:tcW w:w="1112" w:type="pct"/>
            <w:tcBorders>
              <w:bottom w:val="single" w:sz="4" w:space="0" w:color="auto"/>
            </w:tcBorders>
          </w:tcPr>
          <w:p w14:paraId="1DCFBB5C"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r>
      <w:tr w:rsidR="00EB099C" w:rsidRPr="00AE2F09" w14:paraId="47F5A9C2" w14:textId="77777777" w:rsidTr="00C41523">
        <w:tc>
          <w:tcPr>
            <w:tcW w:w="1805" w:type="pct"/>
            <w:tcBorders>
              <w:bottom w:val="single" w:sz="4" w:space="0" w:color="auto"/>
            </w:tcBorders>
          </w:tcPr>
          <w:p w14:paraId="2C482943" w14:textId="1E37D790" w:rsidR="00EB099C" w:rsidRPr="00AE2F09" w:rsidRDefault="00EB099C" w:rsidP="00EB099C">
            <w:pPr>
              <w:keepNext/>
              <w:keepLines/>
              <w:jc w:val="left"/>
              <w:rPr>
                <w:rFonts w:ascii="Arial Narrow" w:eastAsiaTheme="majorEastAsia" w:hAnsi="Arial Narrow" w:cstheme="majorBidi"/>
                <w:bCs/>
                <w:sz w:val="20"/>
              </w:rPr>
            </w:pPr>
            <w:r w:rsidRPr="00AE2F09">
              <w:rPr>
                <w:rFonts w:ascii="Arial Narrow" w:eastAsiaTheme="majorEastAsia" w:hAnsi="Arial Narrow" w:cstheme="majorBidi"/>
                <w:bCs/>
                <w:sz w:val="20"/>
              </w:rPr>
              <w:t>n/N (%)</w:t>
            </w:r>
          </w:p>
        </w:tc>
        <w:tc>
          <w:tcPr>
            <w:tcW w:w="846" w:type="pct"/>
            <w:tcBorders>
              <w:bottom w:val="single" w:sz="4" w:space="0" w:color="auto"/>
            </w:tcBorders>
          </w:tcPr>
          <w:p w14:paraId="6763C355" w14:textId="5F55804F" w:rsidR="00EB099C" w:rsidRPr="00AE2F09" w:rsidRDefault="00EB099C" w:rsidP="00EB099C">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25/49 (51)</w:t>
            </w:r>
          </w:p>
        </w:tc>
        <w:tc>
          <w:tcPr>
            <w:tcW w:w="1237" w:type="pct"/>
            <w:tcBorders>
              <w:bottom w:val="single" w:sz="4" w:space="0" w:color="auto"/>
            </w:tcBorders>
          </w:tcPr>
          <w:p w14:paraId="79498578" w14:textId="6E283E19" w:rsidR="00EB099C" w:rsidRPr="00AE2F09" w:rsidRDefault="00EB099C" w:rsidP="00EB099C">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0/13 (0)</w:t>
            </w:r>
          </w:p>
        </w:tc>
        <w:tc>
          <w:tcPr>
            <w:tcW w:w="1112" w:type="pct"/>
            <w:tcBorders>
              <w:bottom w:val="single" w:sz="4" w:space="0" w:color="auto"/>
            </w:tcBorders>
          </w:tcPr>
          <w:p w14:paraId="14923486" w14:textId="18E33866" w:rsidR="00EB099C" w:rsidRPr="00AE2F09" w:rsidRDefault="00EB099C" w:rsidP="00EB099C">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0/10 (0)</w:t>
            </w:r>
          </w:p>
        </w:tc>
      </w:tr>
      <w:tr w:rsidR="00EB099C" w:rsidRPr="00AE2F09" w14:paraId="629FD239" w14:textId="77777777" w:rsidTr="00C41523">
        <w:tc>
          <w:tcPr>
            <w:tcW w:w="1805" w:type="pct"/>
            <w:tcBorders>
              <w:bottom w:val="single" w:sz="4" w:space="0" w:color="auto"/>
            </w:tcBorders>
          </w:tcPr>
          <w:p w14:paraId="3A59E7BC" w14:textId="5FF76982" w:rsidR="00EB099C" w:rsidRPr="00AE2F09" w:rsidRDefault="00EB099C" w:rsidP="00EB099C">
            <w:pPr>
              <w:keepNext/>
              <w:keepLines/>
              <w:jc w:val="left"/>
              <w:rPr>
                <w:rFonts w:ascii="Arial Narrow" w:eastAsiaTheme="majorEastAsia" w:hAnsi="Arial Narrow" w:cstheme="majorBidi"/>
                <w:b/>
                <w:sz w:val="20"/>
              </w:rPr>
            </w:pPr>
            <w:r w:rsidRPr="00AE2F09">
              <w:rPr>
                <w:rFonts w:ascii="Arial Narrow" w:eastAsiaTheme="majorEastAsia" w:hAnsi="Arial Narrow" w:cstheme="majorBidi"/>
                <w:b/>
                <w:sz w:val="20"/>
              </w:rPr>
              <w:t>Phe levels (µmol/L), Mean (SD)</w:t>
            </w:r>
          </w:p>
        </w:tc>
        <w:tc>
          <w:tcPr>
            <w:tcW w:w="846" w:type="pct"/>
            <w:tcBorders>
              <w:bottom w:val="single" w:sz="4" w:space="0" w:color="auto"/>
            </w:tcBorders>
          </w:tcPr>
          <w:p w14:paraId="261BFA5B"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c>
          <w:tcPr>
            <w:tcW w:w="1237" w:type="pct"/>
            <w:tcBorders>
              <w:bottom w:val="single" w:sz="4" w:space="0" w:color="auto"/>
            </w:tcBorders>
          </w:tcPr>
          <w:p w14:paraId="1A602D7B"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c>
          <w:tcPr>
            <w:tcW w:w="1112" w:type="pct"/>
            <w:tcBorders>
              <w:bottom w:val="single" w:sz="4" w:space="0" w:color="auto"/>
            </w:tcBorders>
          </w:tcPr>
          <w:p w14:paraId="76BD98E7" w14:textId="77777777" w:rsidR="00EB099C" w:rsidRPr="00AE2F09" w:rsidRDefault="00EB099C" w:rsidP="00EB099C">
            <w:pPr>
              <w:keepNext/>
              <w:keepLines/>
              <w:widowControl w:val="0"/>
              <w:jc w:val="center"/>
              <w:rPr>
                <w:rFonts w:ascii="Arial Narrow" w:eastAsiaTheme="majorEastAsia" w:hAnsi="Arial Narrow" w:cstheme="majorBidi"/>
                <w:bCs/>
                <w:sz w:val="20"/>
              </w:rPr>
            </w:pPr>
          </w:p>
        </w:tc>
      </w:tr>
      <w:tr w:rsidR="00774AF7" w:rsidRPr="00AE2F09" w14:paraId="45E2A5D9" w14:textId="77777777" w:rsidTr="006453B4">
        <w:tc>
          <w:tcPr>
            <w:tcW w:w="1805" w:type="pct"/>
            <w:tcBorders>
              <w:bottom w:val="single" w:sz="4" w:space="0" w:color="auto"/>
            </w:tcBorders>
            <w:vAlign w:val="center"/>
          </w:tcPr>
          <w:p w14:paraId="6E582812" w14:textId="77777777" w:rsidR="00774AF7" w:rsidRPr="00AE2F09" w:rsidRDefault="00774AF7" w:rsidP="00FD7CD0">
            <w:pPr>
              <w:keepNext/>
              <w:keepLines/>
              <w:jc w:val="left"/>
              <w:rPr>
                <w:rFonts w:ascii="Arial Narrow" w:eastAsiaTheme="majorEastAsia" w:hAnsi="Arial Narrow" w:cstheme="majorBidi"/>
                <w:bCs/>
                <w:sz w:val="20"/>
              </w:rPr>
            </w:pPr>
            <w:r w:rsidRPr="00AE2F09">
              <w:rPr>
                <w:rFonts w:ascii="Arial Narrow" w:eastAsiaTheme="majorEastAsia" w:hAnsi="Arial Narrow" w:cstheme="majorBidi"/>
                <w:bCs/>
                <w:sz w:val="20"/>
              </w:rPr>
              <w:t>Baseline*</w:t>
            </w:r>
          </w:p>
        </w:tc>
        <w:tc>
          <w:tcPr>
            <w:tcW w:w="846" w:type="pct"/>
            <w:tcBorders>
              <w:bottom w:val="single" w:sz="4" w:space="0" w:color="auto"/>
            </w:tcBorders>
            <w:vAlign w:val="center"/>
          </w:tcPr>
          <w:p w14:paraId="47062948"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503.9 (520.28)</w:t>
            </w:r>
          </w:p>
        </w:tc>
        <w:tc>
          <w:tcPr>
            <w:tcW w:w="1237" w:type="pct"/>
            <w:tcBorders>
              <w:bottom w:val="single" w:sz="4" w:space="0" w:color="auto"/>
            </w:tcBorders>
            <w:vAlign w:val="center"/>
          </w:tcPr>
          <w:p w14:paraId="526A9AFA"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563.9 (504.62)</w:t>
            </w:r>
          </w:p>
        </w:tc>
        <w:tc>
          <w:tcPr>
            <w:tcW w:w="1112" w:type="pct"/>
            <w:tcBorders>
              <w:bottom w:val="single" w:sz="4" w:space="0" w:color="auto"/>
            </w:tcBorders>
            <w:vAlign w:val="center"/>
          </w:tcPr>
          <w:p w14:paraId="5EC85145"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508.2 (363.68)</w:t>
            </w:r>
          </w:p>
        </w:tc>
      </w:tr>
      <w:tr w:rsidR="00774AF7" w:rsidRPr="00AE2F09" w14:paraId="322638DF" w14:textId="77777777" w:rsidTr="006453B4">
        <w:tc>
          <w:tcPr>
            <w:tcW w:w="1805" w:type="pct"/>
            <w:tcBorders>
              <w:top w:val="single" w:sz="4" w:space="0" w:color="auto"/>
              <w:bottom w:val="single" w:sz="4" w:space="0" w:color="auto"/>
            </w:tcBorders>
            <w:vAlign w:val="center"/>
          </w:tcPr>
          <w:p w14:paraId="2301513F" w14:textId="77777777" w:rsidR="00774AF7" w:rsidRPr="00AE2F09" w:rsidRDefault="00774AF7" w:rsidP="00FD7CD0">
            <w:pPr>
              <w:keepNext/>
              <w:keepLines/>
              <w:jc w:val="left"/>
              <w:rPr>
                <w:rFonts w:ascii="Arial Narrow" w:eastAsiaTheme="majorEastAsia" w:hAnsi="Arial Narrow" w:cstheme="majorBidi"/>
                <w:bCs/>
                <w:sz w:val="20"/>
              </w:rPr>
            </w:pPr>
            <w:r w:rsidRPr="00AE2F09">
              <w:rPr>
                <w:rFonts w:ascii="Arial Narrow" w:eastAsiaTheme="majorEastAsia" w:hAnsi="Arial Narrow" w:cstheme="majorBidi"/>
                <w:bCs/>
                <w:sz w:val="20"/>
              </w:rPr>
              <w:t>Week 8</w:t>
            </w:r>
          </w:p>
        </w:tc>
        <w:tc>
          <w:tcPr>
            <w:tcW w:w="846" w:type="pct"/>
            <w:tcBorders>
              <w:top w:val="single" w:sz="4" w:space="0" w:color="auto"/>
              <w:bottom w:val="single" w:sz="4" w:space="0" w:color="auto"/>
            </w:tcBorders>
            <w:vAlign w:val="center"/>
          </w:tcPr>
          <w:p w14:paraId="0496A872"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559.2 (569.47)</w:t>
            </w:r>
          </w:p>
        </w:tc>
        <w:tc>
          <w:tcPr>
            <w:tcW w:w="1237" w:type="pct"/>
            <w:tcBorders>
              <w:top w:val="single" w:sz="4" w:space="0" w:color="auto"/>
              <w:bottom w:val="single" w:sz="4" w:space="0" w:color="auto"/>
            </w:tcBorders>
            <w:vAlign w:val="center"/>
          </w:tcPr>
          <w:p w14:paraId="22C8C6A0"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1509.0 (372.64)</w:t>
            </w:r>
          </w:p>
        </w:tc>
        <w:tc>
          <w:tcPr>
            <w:tcW w:w="1112" w:type="pct"/>
            <w:tcBorders>
              <w:top w:val="single" w:sz="4" w:space="0" w:color="auto"/>
              <w:bottom w:val="single" w:sz="4" w:space="0" w:color="auto"/>
            </w:tcBorders>
            <w:vAlign w:val="center"/>
          </w:tcPr>
          <w:p w14:paraId="0B78BE39"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1164.4 (343.32)</w:t>
            </w:r>
          </w:p>
        </w:tc>
      </w:tr>
      <w:tr w:rsidR="00774AF7" w:rsidRPr="00AE2F09" w14:paraId="5408F56D" w14:textId="77777777" w:rsidTr="006453B4">
        <w:tc>
          <w:tcPr>
            <w:tcW w:w="1805" w:type="pct"/>
            <w:tcBorders>
              <w:top w:val="single" w:sz="4" w:space="0" w:color="auto"/>
              <w:bottom w:val="nil"/>
            </w:tcBorders>
            <w:vAlign w:val="center"/>
          </w:tcPr>
          <w:p w14:paraId="7F608445" w14:textId="77777777" w:rsidR="00774AF7" w:rsidRPr="00AE2F09" w:rsidRDefault="00774AF7" w:rsidP="00FD7CD0">
            <w:pPr>
              <w:keepNext/>
              <w:keepLines/>
              <w:widowControl w:val="0"/>
              <w:tabs>
                <w:tab w:val="left" w:pos="416"/>
                <w:tab w:val="left" w:pos="582"/>
              </w:tabs>
              <w:contextualSpacing/>
              <w:jc w:val="left"/>
              <w:rPr>
                <w:rFonts w:ascii="Arial Narrow" w:eastAsiaTheme="majorEastAsia" w:hAnsi="Arial Narrow" w:cstheme="majorBidi"/>
                <w:bCs/>
                <w:sz w:val="20"/>
              </w:rPr>
            </w:pPr>
            <w:r w:rsidRPr="00AE2F09">
              <w:rPr>
                <w:rFonts w:ascii="Arial Narrow" w:eastAsiaTheme="majorEastAsia" w:hAnsi="Arial Narrow" w:cstheme="majorBidi"/>
                <w:bCs/>
                <w:sz w:val="20"/>
              </w:rPr>
              <w:t>Mean change from baseline</w:t>
            </w:r>
          </w:p>
        </w:tc>
        <w:tc>
          <w:tcPr>
            <w:tcW w:w="846" w:type="pct"/>
            <w:tcBorders>
              <w:top w:val="single" w:sz="4" w:space="0" w:color="auto"/>
              <w:bottom w:val="nil"/>
            </w:tcBorders>
            <w:vAlign w:val="center"/>
          </w:tcPr>
          <w:p w14:paraId="34BF5349"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18.6 (279.43)</w:t>
            </w:r>
          </w:p>
        </w:tc>
        <w:tc>
          <w:tcPr>
            <w:tcW w:w="1237" w:type="pct"/>
            <w:tcBorders>
              <w:top w:val="single" w:sz="4" w:space="0" w:color="auto"/>
              <w:bottom w:val="nil"/>
            </w:tcBorders>
            <w:vAlign w:val="center"/>
          </w:tcPr>
          <w:p w14:paraId="2AEAFA0D"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996.4 (555.0)</w:t>
            </w:r>
          </w:p>
        </w:tc>
        <w:tc>
          <w:tcPr>
            <w:tcW w:w="1112" w:type="pct"/>
            <w:tcBorders>
              <w:top w:val="single" w:sz="4" w:space="0" w:color="auto"/>
              <w:bottom w:val="nil"/>
            </w:tcBorders>
            <w:vAlign w:val="center"/>
          </w:tcPr>
          <w:p w14:paraId="13879918"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599.0 (507.40)</w:t>
            </w:r>
          </w:p>
        </w:tc>
      </w:tr>
      <w:tr w:rsidR="00774AF7" w:rsidRPr="00AE2F09" w14:paraId="18653531" w14:textId="77777777" w:rsidTr="006453B4">
        <w:tc>
          <w:tcPr>
            <w:tcW w:w="1805" w:type="pct"/>
            <w:tcBorders>
              <w:top w:val="nil"/>
              <w:bottom w:val="single" w:sz="4" w:space="0" w:color="auto"/>
            </w:tcBorders>
            <w:vAlign w:val="center"/>
          </w:tcPr>
          <w:p w14:paraId="76BC29EA" w14:textId="77777777" w:rsidR="00774AF7" w:rsidRPr="00AE2F09" w:rsidRDefault="00774AF7" w:rsidP="00FD7CD0">
            <w:pPr>
              <w:keepNext/>
              <w:keepLines/>
              <w:widowControl w:val="0"/>
              <w:tabs>
                <w:tab w:val="left" w:pos="416"/>
                <w:tab w:val="left" w:pos="582"/>
              </w:tabs>
              <w:contextualSpacing/>
              <w:jc w:val="left"/>
              <w:rPr>
                <w:rFonts w:ascii="Arial Narrow" w:eastAsiaTheme="majorEastAsia" w:hAnsi="Arial Narrow" w:cstheme="majorBidi"/>
                <w:bCs/>
                <w:sz w:val="20"/>
              </w:rPr>
            </w:pPr>
            <w:r w:rsidRPr="00AE2F09">
              <w:rPr>
                <w:rFonts w:ascii="Arial Narrow" w:eastAsiaTheme="majorEastAsia" w:hAnsi="Arial Narrow" w:cstheme="majorBidi"/>
                <w:bCs/>
                <w:sz w:val="20"/>
              </w:rPr>
              <w:t>LS mean change from baseline (95% CI)</w:t>
            </w:r>
          </w:p>
        </w:tc>
        <w:tc>
          <w:tcPr>
            <w:tcW w:w="846" w:type="pct"/>
            <w:tcBorders>
              <w:top w:val="nil"/>
              <w:bottom w:val="single" w:sz="4" w:space="0" w:color="auto"/>
            </w:tcBorders>
            <w:vAlign w:val="center"/>
          </w:tcPr>
          <w:p w14:paraId="2BA0F59D"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26.50</w:t>
            </w:r>
          </w:p>
          <w:p w14:paraId="58FB4866"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w:t>
            </w:r>
            <w:r w:rsidRPr="00AE2F09">
              <w:rPr>
                <w:rFonts w:ascii="Arial Narrow" w:eastAsiaTheme="majorEastAsia" w:hAnsi="Arial Narrow" w:cstheme="majorBidi"/>
                <w:bCs/>
                <w:sz w:val="20"/>
              </w:rPr>
              <w:noBreakHyphen/>
              <w:t>68.26, 121.26)</w:t>
            </w:r>
          </w:p>
        </w:tc>
        <w:tc>
          <w:tcPr>
            <w:tcW w:w="1237" w:type="pct"/>
            <w:tcBorders>
              <w:top w:val="nil"/>
              <w:bottom w:val="single" w:sz="4" w:space="0" w:color="auto"/>
            </w:tcBorders>
            <w:vAlign w:val="center"/>
          </w:tcPr>
          <w:p w14:paraId="3B154C05"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949.75</w:t>
            </w:r>
          </w:p>
          <w:p w14:paraId="3B1222ED"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(760.38, 1139.11)</w:t>
            </w:r>
          </w:p>
        </w:tc>
        <w:tc>
          <w:tcPr>
            <w:tcW w:w="1112" w:type="pct"/>
            <w:tcBorders>
              <w:top w:val="nil"/>
              <w:bottom w:val="single" w:sz="4" w:space="0" w:color="auto"/>
            </w:tcBorders>
            <w:vAlign w:val="center"/>
          </w:tcPr>
          <w:p w14:paraId="41D2A009"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664.77</w:t>
            </w:r>
          </w:p>
          <w:p w14:paraId="48524D1D"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(465.45, 864.10)</w:t>
            </w:r>
          </w:p>
        </w:tc>
      </w:tr>
      <w:tr w:rsidR="00774AF7" w:rsidRPr="00AE2F09" w14:paraId="2673D9A0" w14:textId="77777777" w:rsidTr="006453B4">
        <w:tc>
          <w:tcPr>
            <w:tcW w:w="1805" w:type="pct"/>
            <w:tcBorders>
              <w:top w:val="single" w:sz="4" w:space="0" w:color="auto"/>
              <w:bottom w:val="nil"/>
            </w:tcBorders>
            <w:vAlign w:val="center"/>
          </w:tcPr>
          <w:p w14:paraId="7DB6629A" w14:textId="77777777" w:rsidR="00774AF7" w:rsidRPr="00AE2F09" w:rsidRDefault="00774AF7" w:rsidP="00FD7CD0">
            <w:pPr>
              <w:keepNext/>
              <w:keepLines/>
              <w:jc w:val="left"/>
              <w:rPr>
                <w:rFonts w:ascii="Arial Narrow" w:eastAsiaTheme="majorEastAsia" w:hAnsi="Arial Narrow" w:cstheme="majorBidi"/>
                <w:bCs/>
                <w:sz w:val="20"/>
              </w:rPr>
            </w:pPr>
            <w:r w:rsidRPr="00AE2F09">
              <w:rPr>
                <w:rFonts w:ascii="Arial Narrow" w:eastAsiaTheme="majorEastAsia" w:hAnsi="Arial Narrow" w:cstheme="majorBidi"/>
                <w:bCs/>
                <w:sz w:val="20"/>
              </w:rPr>
              <w:t>Pooled pegvaliase vs placebo</w:t>
            </w:r>
          </w:p>
        </w:tc>
        <w:tc>
          <w:tcPr>
            <w:tcW w:w="846" w:type="pct"/>
            <w:tcBorders>
              <w:top w:val="single" w:sz="4" w:space="0" w:color="auto"/>
              <w:bottom w:val="nil"/>
            </w:tcBorders>
            <w:vAlign w:val="center"/>
          </w:tcPr>
          <w:p w14:paraId="58F1AAED" w14:textId="77777777" w:rsidR="00774AF7" w:rsidRPr="00AE2F09" w:rsidRDefault="00774AF7" w:rsidP="00FD7CD0">
            <w:pPr>
              <w:keepNext/>
              <w:keepLines/>
              <w:widowControl w:val="0"/>
              <w:jc w:val="center"/>
              <w:rPr>
                <w:rFonts w:ascii="Arial Narrow" w:eastAsiaTheme="majorEastAsia" w:hAnsi="Arial Narrow" w:cstheme="majorBidi"/>
                <w:bCs/>
                <w:sz w:val="20"/>
              </w:rPr>
            </w:pPr>
          </w:p>
        </w:tc>
        <w:tc>
          <w:tcPr>
            <w:tcW w:w="1237" w:type="pct"/>
            <w:tcBorders>
              <w:top w:val="single" w:sz="4" w:space="0" w:color="auto"/>
              <w:bottom w:val="nil"/>
            </w:tcBorders>
            <w:vAlign w:val="center"/>
          </w:tcPr>
          <w:p w14:paraId="4A371F0A" w14:textId="77777777" w:rsidR="00774AF7" w:rsidRPr="00AE2F09" w:rsidRDefault="00774AF7" w:rsidP="00FD7CD0">
            <w:pPr>
              <w:keepNext/>
              <w:keepLines/>
              <w:widowControl w:val="0"/>
              <w:jc w:val="center"/>
              <w:rPr>
                <w:rFonts w:ascii="Arial Narrow" w:eastAsiaTheme="majorEastAsia" w:hAnsi="Arial Narrow" w:cstheme="majorBidi"/>
                <w:bCs/>
                <w:sz w:val="20"/>
              </w:rPr>
            </w:pPr>
          </w:p>
        </w:tc>
        <w:tc>
          <w:tcPr>
            <w:tcW w:w="1112" w:type="pct"/>
            <w:tcBorders>
              <w:top w:val="single" w:sz="4" w:space="0" w:color="auto"/>
              <w:bottom w:val="nil"/>
            </w:tcBorders>
            <w:vAlign w:val="center"/>
          </w:tcPr>
          <w:p w14:paraId="3FAE8D69" w14:textId="77777777" w:rsidR="00774AF7" w:rsidRPr="00AE2F09" w:rsidRDefault="00774AF7" w:rsidP="00FD7CD0">
            <w:pPr>
              <w:keepNext/>
              <w:keepLines/>
              <w:widowControl w:val="0"/>
              <w:jc w:val="center"/>
              <w:rPr>
                <w:rFonts w:ascii="Arial Narrow" w:eastAsiaTheme="majorEastAsia" w:hAnsi="Arial Narrow" w:cstheme="majorBidi"/>
                <w:bCs/>
                <w:sz w:val="20"/>
              </w:rPr>
            </w:pPr>
          </w:p>
        </w:tc>
      </w:tr>
      <w:tr w:rsidR="00774AF7" w:rsidRPr="00AE2F09" w14:paraId="3B01D729" w14:textId="77777777" w:rsidTr="006453B4">
        <w:tc>
          <w:tcPr>
            <w:tcW w:w="1805" w:type="pct"/>
            <w:tcBorders>
              <w:top w:val="nil"/>
            </w:tcBorders>
            <w:vAlign w:val="center"/>
          </w:tcPr>
          <w:p w14:paraId="457098DB" w14:textId="77777777" w:rsidR="00774AF7" w:rsidRPr="00AE2F09" w:rsidRDefault="00774AF7" w:rsidP="00FD7CD0">
            <w:pPr>
              <w:keepNext/>
              <w:keepLines/>
              <w:widowControl w:val="0"/>
              <w:tabs>
                <w:tab w:val="left" w:pos="416"/>
                <w:tab w:val="left" w:pos="582"/>
              </w:tabs>
              <w:ind w:left="283"/>
              <w:contextualSpacing/>
              <w:jc w:val="left"/>
              <w:rPr>
                <w:rFonts w:ascii="Arial Narrow" w:eastAsiaTheme="majorEastAsia" w:hAnsi="Arial Narrow" w:cstheme="majorBidi"/>
                <w:bCs/>
                <w:sz w:val="20"/>
              </w:rPr>
            </w:pPr>
            <w:r w:rsidRPr="00AE2F09">
              <w:rPr>
                <w:rFonts w:ascii="Arial Narrow" w:eastAsiaTheme="majorEastAsia" w:hAnsi="Arial Narrow" w:cstheme="majorBidi"/>
                <w:bCs/>
                <w:sz w:val="20"/>
              </w:rPr>
              <w:t>Difference in LS means (95% CI)</w:t>
            </w:r>
          </w:p>
        </w:tc>
        <w:tc>
          <w:tcPr>
            <w:tcW w:w="846" w:type="pct"/>
            <w:tcBorders>
              <w:top w:val="nil"/>
            </w:tcBorders>
            <w:vAlign w:val="center"/>
          </w:tcPr>
          <w:p w14:paraId="0BA4D936"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w:t>
            </w:r>
          </w:p>
        </w:tc>
        <w:tc>
          <w:tcPr>
            <w:tcW w:w="1237" w:type="pct"/>
            <w:tcBorders>
              <w:top w:val="nil"/>
            </w:tcBorders>
            <w:vAlign w:val="center"/>
          </w:tcPr>
          <w:p w14:paraId="4E2DA350"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noBreakHyphen/>
              <w:t>923.25 (</w:t>
            </w:r>
            <w:r w:rsidRPr="00AE2F09">
              <w:rPr>
                <w:rFonts w:ascii="Arial Narrow" w:eastAsiaTheme="majorEastAsia" w:hAnsi="Arial Narrow" w:cstheme="majorBidi"/>
                <w:bCs/>
                <w:sz w:val="20"/>
              </w:rPr>
              <w:noBreakHyphen/>
              <w:t xml:space="preserve">1135.04, </w:t>
            </w:r>
            <w:r w:rsidRPr="00AE2F09">
              <w:rPr>
                <w:rFonts w:ascii="Arial Narrow" w:eastAsiaTheme="majorEastAsia" w:hAnsi="Arial Narrow" w:cstheme="majorBidi"/>
                <w:bCs/>
                <w:sz w:val="20"/>
              </w:rPr>
              <w:noBreakHyphen/>
              <w:t>711.46)</w:t>
            </w:r>
          </w:p>
          <w:p w14:paraId="47DF24D4"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p &lt; 0.0001~</w:t>
            </w:r>
          </w:p>
        </w:tc>
        <w:tc>
          <w:tcPr>
            <w:tcW w:w="1112" w:type="pct"/>
            <w:tcBorders>
              <w:top w:val="nil"/>
            </w:tcBorders>
            <w:vAlign w:val="center"/>
          </w:tcPr>
          <w:p w14:paraId="5694C104"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noBreakHyphen/>
              <w:t>638.27 (</w:t>
            </w:r>
            <w:r w:rsidRPr="00AE2F09">
              <w:rPr>
                <w:rFonts w:ascii="Arial Narrow" w:eastAsiaTheme="majorEastAsia" w:hAnsi="Arial Narrow" w:cstheme="majorBidi"/>
                <w:bCs/>
                <w:sz w:val="20"/>
              </w:rPr>
              <w:noBreakHyphen/>
              <w:t xml:space="preserve">858.97, </w:t>
            </w:r>
            <w:r w:rsidRPr="00AE2F09">
              <w:rPr>
                <w:rFonts w:ascii="Arial Narrow" w:eastAsiaTheme="majorEastAsia" w:hAnsi="Arial Narrow" w:cstheme="majorBidi"/>
                <w:bCs/>
                <w:sz w:val="20"/>
              </w:rPr>
              <w:noBreakHyphen/>
              <w:t>417.57)</w:t>
            </w:r>
          </w:p>
          <w:p w14:paraId="23BD94CA" w14:textId="77777777" w:rsidR="00774AF7" w:rsidRPr="00AE2F09" w:rsidRDefault="00774AF7" w:rsidP="00FD7CD0">
            <w:pPr>
              <w:keepNext/>
              <w:keepLines/>
              <w:widowControl w:val="0"/>
              <w:jc w:val="center"/>
              <w:rPr>
                <w:rFonts w:ascii="Arial Narrow" w:eastAsiaTheme="majorEastAsia" w:hAnsi="Arial Narrow" w:cstheme="majorBidi"/>
                <w:bCs/>
                <w:sz w:val="20"/>
              </w:rPr>
            </w:pPr>
            <w:r w:rsidRPr="00AE2F09">
              <w:rPr>
                <w:rFonts w:ascii="Arial Narrow" w:eastAsiaTheme="majorEastAsia" w:hAnsi="Arial Narrow" w:cstheme="majorBidi"/>
                <w:bCs/>
                <w:sz w:val="20"/>
              </w:rPr>
              <w:t>p &lt; 0.0001~</w:t>
            </w:r>
          </w:p>
        </w:tc>
      </w:tr>
    </w:tbl>
    <w:p w14:paraId="50A80833" w14:textId="6C0CEB96" w:rsidR="00774AF7" w:rsidRPr="00AE2F09" w:rsidRDefault="00774AF7" w:rsidP="00774AF7">
      <w:pPr>
        <w:pStyle w:val="TableFooter"/>
        <w:keepNext/>
        <w:keepLines/>
      </w:pPr>
      <w:r w:rsidRPr="00AE2F09">
        <w:t>Source: Table 2.5-5</w:t>
      </w:r>
      <w:r w:rsidR="00CC16BC">
        <w:t xml:space="preserve"> (</w:t>
      </w:r>
      <w:r w:rsidRPr="00AE2F09">
        <w:t>p108</w:t>
      </w:r>
      <w:r w:rsidR="00CC16BC">
        <w:t>)</w:t>
      </w:r>
      <w:r w:rsidRPr="00AE2F09">
        <w:t xml:space="preserve"> of the submission</w:t>
      </w:r>
      <w:r w:rsidR="00D21B47" w:rsidRPr="00AE2F09">
        <w:t>, table 14.2.8.1.230, p3372 165-302 CSR</w:t>
      </w:r>
    </w:p>
    <w:p w14:paraId="594F713B" w14:textId="77777777" w:rsidR="00774AF7" w:rsidRPr="00AE2F09" w:rsidRDefault="00774AF7" w:rsidP="00774AF7">
      <w:pPr>
        <w:pStyle w:val="TableFooter"/>
        <w:keepNext/>
        <w:keepLines/>
      </w:pPr>
      <w:r w:rsidRPr="00AE2F09">
        <w:t>CI = confidence interval; LS = least squares; mITT = modified intention-to-treat; MMRM = mixed-model repeated measures; Phe = phenylalanine; SD = standard deviation</w:t>
      </w:r>
    </w:p>
    <w:p w14:paraId="72EF66EC" w14:textId="5B1DBFF0" w:rsidR="006453B4" w:rsidRPr="00AE2F09" w:rsidRDefault="006453B4" w:rsidP="00774AF7">
      <w:pPr>
        <w:pStyle w:val="TableFooter"/>
        <w:keepNext/>
        <w:keepLines/>
      </w:pPr>
      <w:r w:rsidRPr="00AE2F09">
        <w:t xml:space="preserve"># It </w:t>
      </w:r>
      <w:r w:rsidR="009B081F" w:rsidRPr="00AE2F09">
        <w:t>was unclear why there were missing data from the responder analysis</w:t>
      </w:r>
    </w:p>
    <w:p w14:paraId="57B7C311" w14:textId="5491A839" w:rsidR="00774AF7" w:rsidRPr="00AE2F09" w:rsidRDefault="00774AF7" w:rsidP="00774AF7">
      <w:pPr>
        <w:pStyle w:val="TableFooter"/>
        <w:keepNext/>
        <w:keepLines/>
      </w:pPr>
      <w:r w:rsidRPr="00AE2F09">
        <w:t>*Baseline measured from start of PRISM-2 Part 2, defined as the last available blood Phe collected prior to dosing on day 1 of Part 2 (PRISM-2 CSR p 175)</w:t>
      </w:r>
    </w:p>
    <w:p w14:paraId="3FC34CD3" w14:textId="6153C2B7" w:rsidR="00774AF7" w:rsidRPr="00AE2F09" w:rsidRDefault="00774AF7" w:rsidP="00774AF7">
      <w:pPr>
        <w:pStyle w:val="TableFooter"/>
        <w:keepNext/>
        <w:keepLines/>
      </w:pPr>
      <w:r w:rsidRPr="00AE2F09">
        <w:t>~Based on the mixed model repeated measures (MMRM) method, with study drug (pegvaliase, placebo), visit, and study drug-by-visit interaction as factors adjusting for baseline blood Phe concentration.</w:t>
      </w:r>
    </w:p>
    <w:p w14:paraId="6561D692" w14:textId="6EAAC148" w:rsidR="005C3E9B" w:rsidRPr="00AE2F09" w:rsidRDefault="005C3E9B" w:rsidP="00774AF7">
      <w:pPr>
        <w:pStyle w:val="TableFooter"/>
        <w:keepNext/>
        <w:keepLines/>
      </w:pPr>
      <w:r w:rsidRPr="00AE2F09">
        <w:t xml:space="preserve">^ </w:t>
      </w:r>
      <w:r w:rsidR="00DE7660" w:rsidRPr="00AE2F09">
        <w:t xml:space="preserve">Placebo groups separated </w:t>
      </w:r>
      <w:r w:rsidR="00B312A6" w:rsidRPr="00AE2F09">
        <w:t xml:space="preserve">as results from a mixed model repeated measures </w:t>
      </w:r>
      <w:r w:rsidR="00313C3E" w:rsidRPr="00AE2F09">
        <w:t>analysis of change in blood-Phe concentration from baseline to week 8 reported a P value &gt;0.1, suggesting the groups were different</w:t>
      </w:r>
      <w:r w:rsidR="007A139D" w:rsidRPr="00AE2F09">
        <w:t xml:space="preserve"> due to carryover effect from different dosage of pegvaliase used in PRISM 2 </w:t>
      </w:r>
      <w:r w:rsidR="00B75228">
        <w:t>P</w:t>
      </w:r>
      <w:r w:rsidR="007A139D" w:rsidRPr="00AE2F09">
        <w:t>art 1</w:t>
      </w:r>
      <w:r w:rsidR="00313C3E" w:rsidRPr="00AE2F09">
        <w:t xml:space="preserve">. </w:t>
      </w:r>
    </w:p>
    <w:p w14:paraId="426718D6" w14:textId="77777777" w:rsidR="00774AF7" w:rsidRPr="00AE2F09" w:rsidRDefault="00774AF7" w:rsidP="00774AF7">
      <w:pPr>
        <w:pStyle w:val="3-BodyText"/>
        <w:numPr>
          <w:ilvl w:val="0"/>
          <w:numId w:val="0"/>
        </w:numPr>
      </w:pPr>
    </w:p>
    <w:p w14:paraId="0830AFF3" w14:textId="5F43BA69" w:rsidR="00774AF7" w:rsidRPr="00AE2F09" w:rsidRDefault="00FB7927" w:rsidP="00774AF7">
      <w:pPr>
        <w:pStyle w:val="3-BodyText"/>
      </w:pPr>
      <w:bookmarkStart w:id="47" w:name="_Ref103484201"/>
      <w:r>
        <w:t>In PRISM 1, b</w:t>
      </w:r>
      <w:r w:rsidR="00774AF7" w:rsidRPr="00AE2F09">
        <w:t>oth pegvaliase 20</w:t>
      </w:r>
      <w:r w:rsidR="00722E02">
        <w:t xml:space="preserve"> </w:t>
      </w:r>
      <w:r w:rsidR="00774AF7" w:rsidRPr="00AE2F09">
        <w:t>mg/day and 40</w:t>
      </w:r>
      <w:r w:rsidR="00722E02">
        <w:t xml:space="preserve"> </w:t>
      </w:r>
      <w:r w:rsidR="00774AF7" w:rsidRPr="00AE2F09">
        <w:t xml:space="preserve">mg/day led to substantial decreases (mean decrease &gt;350 </w:t>
      </w:r>
      <w:r w:rsidR="00774AF7" w:rsidRPr="00AE2F09">
        <w:rPr>
          <w:rFonts w:cstheme="minorHAnsi"/>
        </w:rPr>
        <w:t>µ</w:t>
      </w:r>
      <w:r w:rsidR="00774AF7" w:rsidRPr="00AE2F09">
        <w:t>mol/L by week 36) in blood-Phe from baseline. However, in the randomised double</w:t>
      </w:r>
      <w:r>
        <w:t>-</w:t>
      </w:r>
      <w:r w:rsidR="00774AF7" w:rsidRPr="00AE2F09">
        <w:t xml:space="preserve">blind PRISM 2 Part 2, </w:t>
      </w:r>
      <w:r w:rsidR="00E44E3F">
        <w:t xml:space="preserve">mean </w:t>
      </w:r>
      <w:r w:rsidR="00E44E3F" w:rsidRPr="00AE2F09">
        <w:t xml:space="preserve">blood-Phe levels </w:t>
      </w:r>
      <w:r w:rsidR="00E44E3F">
        <w:t xml:space="preserve">actually increased </w:t>
      </w:r>
      <w:r w:rsidR="00E44E3F" w:rsidRPr="00AE2F09">
        <w:t>over the eight weeks in patients treated with pegvaliase.</w:t>
      </w:r>
      <w:r w:rsidR="00321296" w:rsidRPr="00AE2F09">
        <w:t xml:space="preserve"> </w:t>
      </w:r>
      <w:r w:rsidR="00774AF7" w:rsidRPr="00AE2F09">
        <w:t xml:space="preserve">This was inconsistent with the assumptions </w:t>
      </w:r>
      <w:r w:rsidR="0014729B">
        <w:t>applied</w:t>
      </w:r>
      <w:r w:rsidR="0014729B" w:rsidRPr="00AE2F09">
        <w:t xml:space="preserve"> </w:t>
      </w:r>
      <w:r w:rsidR="00774AF7" w:rsidRPr="00AE2F09">
        <w:t>in the economic model, discussed in</w:t>
      </w:r>
      <w:r w:rsidR="00E51765" w:rsidRPr="00AE2F09">
        <w:t xml:space="preserve"> </w:t>
      </w:r>
      <w:r w:rsidR="00021C91" w:rsidRPr="00AE2F09">
        <w:t xml:space="preserve">paragraph </w:t>
      </w:r>
      <w:r w:rsidR="00021C91" w:rsidRPr="00AE2F09">
        <w:fldChar w:fldCharType="begin"/>
      </w:r>
      <w:r w:rsidR="00021C91" w:rsidRPr="00AE2F09">
        <w:instrText xml:space="preserve"> REF _Ref103059828 \r \h  \* MERGEFORMAT </w:instrText>
      </w:r>
      <w:r w:rsidR="00021C91" w:rsidRPr="00AE2F09">
        <w:fldChar w:fldCharType="separate"/>
      </w:r>
      <w:r w:rsidR="001162C8">
        <w:t>6.63</w:t>
      </w:r>
      <w:r w:rsidR="00021C91" w:rsidRPr="00AE2F09">
        <w:fldChar w:fldCharType="end"/>
      </w:r>
      <w:r w:rsidR="00F2538D">
        <w:t>, however the PBAC noted that for patients continuing pegvaliase the increase was relatively small and blood-Phe levels remained fairly stable, compared with placebo, where blood-Phe increase</w:t>
      </w:r>
      <w:r w:rsidR="0014729B">
        <w:t>d</w:t>
      </w:r>
      <w:r w:rsidR="00F2538D">
        <w:t xml:space="preserve"> substantially</w:t>
      </w:r>
      <w:r w:rsidR="00774AF7" w:rsidRPr="00AE2F09">
        <w:t xml:space="preserve">. </w:t>
      </w:r>
      <w:r w:rsidR="00F2538D">
        <w:t>T</w:t>
      </w:r>
      <w:r w:rsidR="00774AF7" w:rsidRPr="00AE2F09">
        <w:t>he difference in change from baseline blood</w:t>
      </w:r>
      <w:r w:rsidR="00774AF7" w:rsidRPr="00AE2F09">
        <w:noBreakHyphen/>
        <w:t>Phe as measured by least squares mean between pegvaliase and placebo was statistically significantly in favour of pegvaliase.</w:t>
      </w:r>
      <w:bookmarkEnd w:id="47"/>
      <w:r w:rsidR="00774AF7" w:rsidRPr="00AE2F09">
        <w:t xml:space="preserve"> </w:t>
      </w:r>
      <w:r w:rsidR="00E44E3F">
        <w:t>Further,</w:t>
      </w:r>
      <w:r w:rsidR="00E44E3F" w:rsidRPr="00AE2F09">
        <w:t xml:space="preserve"> more than half (25/49, 51%) of the patients treated with pegvaliase (who were included in the analysis) reported a blood-Phe ≤360 µmol/L</w:t>
      </w:r>
      <w:r w:rsidR="00E44E3F">
        <w:t>.</w:t>
      </w:r>
      <w:r w:rsidR="00D003E8" w:rsidRPr="00D003E8">
        <w:t xml:space="preserve"> </w:t>
      </w:r>
      <w:r w:rsidR="00D003E8">
        <w:t xml:space="preserve">The PBAC noted that there was </w:t>
      </w:r>
      <w:r w:rsidR="005F691D">
        <w:t xml:space="preserve">likely to </w:t>
      </w:r>
      <w:r w:rsidR="00C52728">
        <w:t xml:space="preserve">have </w:t>
      </w:r>
      <w:r w:rsidR="005F691D">
        <w:t>be</w:t>
      </w:r>
      <w:r w:rsidR="00C52728">
        <w:t>en</w:t>
      </w:r>
      <w:r w:rsidR="005F691D">
        <w:t xml:space="preserve"> </w:t>
      </w:r>
      <w:r w:rsidR="00D003E8">
        <w:t>considerable attrition in PRISM 1, with less than a third of patients (80/261)</w:t>
      </w:r>
      <w:r w:rsidR="005F691D">
        <w:t xml:space="preserve"> having Phe-level data available at 36 weeks</w:t>
      </w:r>
      <w:r w:rsidR="00D003E8">
        <w:t>. The PBAC considered that the treatment effect may be overestimated due to the drop out of patients with poor response to pegvaliase.</w:t>
      </w:r>
    </w:p>
    <w:p w14:paraId="7B748AFC" w14:textId="6D093725" w:rsidR="003B0162" w:rsidRPr="00AE2F09" w:rsidRDefault="003B0162" w:rsidP="008B5DC0">
      <w:pPr>
        <w:pStyle w:val="3-BodyText"/>
        <w:keepNext/>
        <w:keepLines/>
        <w:jc w:val="left"/>
      </w:pPr>
      <w:r w:rsidRPr="00AE2F09">
        <w:t xml:space="preserve">The </w:t>
      </w:r>
      <w:r w:rsidR="00B335DA" w:rsidRPr="00AE2F09">
        <w:t xml:space="preserve">change in blood-Phe for up to two years in patients treated with pegvaliase in PRISM 1/PRISM 2 is presented in </w:t>
      </w:r>
      <w:r w:rsidR="00B335DA" w:rsidRPr="00AE2F09">
        <w:fldChar w:fldCharType="begin"/>
      </w:r>
      <w:r w:rsidR="00B335DA" w:rsidRPr="00AE2F09">
        <w:instrText xml:space="preserve"> REF _Ref103049456 \h  \* MERGEFORMAT </w:instrText>
      </w:r>
      <w:r w:rsidR="00B335DA" w:rsidRPr="00AE2F09">
        <w:fldChar w:fldCharType="separate"/>
      </w:r>
      <w:r w:rsidR="001162C8" w:rsidRPr="001162C8">
        <w:t>Figure 2</w:t>
      </w:r>
      <w:r w:rsidR="00B335DA" w:rsidRPr="00AE2F09">
        <w:fldChar w:fldCharType="end"/>
      </w:r>
      <w:r w:rsidR="003E1AE8" w:rsidRPr="00AE2F09">
        <w:t xml:space="preserve">, and </w:t>
      </w:r>
      <w:r w:rsidR="00FB7927">
        <w:t xml:space="preserve">the </w:t>
      </w:r>
      <w:r w:rsidR="00872124" w:rsidRPr="00AE2F09">
        <w:t xml:space="preserve">change in blood-Phe in patients aged </w:t>
      </w:r>
      <w:r w:rsidR="00FB7927" w:rsidRPr="00F2538D">
        <w:rPr>
          <w:rFonts w:cstheme="minorHAnsi"/>
        </w:rPr>
        <w:t>≥</w:t>
      </w:r>
      <w:r w:rsidR="00872124" w:rsidRPr="00AE2F09">
        <w:t xml:space="preserve">18 years treated with diet only enrolled in PKUDOS </w:t>
      </w:r>
      <w:r w:rsidR="00F43408" w:rsidRPr="00AE2F09">
        <w:t xml:space="preserve">(‘previous’ patients) is presented in </w:t>
      </w:r>
      <w:r w:rsidR="00F43408" w:rsidRPr="00AE2F09">
        <w:fldChar w:fldCharType="begin"/>
      </w:r>
      <w:r w:rsidR="00F43408" w:rsidRPr="00AE2F09">
        <w:instrText xml:space="preserve"> REF _Ref103049693 \h  \* MERGEFORMAT </w:instrText>
      </w:r>
      <w:r w:rsidR="00F43408" w:rsidRPr="00AE2F09">
        <w:fldChar w:fldCharType="separate"/>
      </w:r>
      <w:r w:rsidR="001162C8" w:rsidRPr="001162C8">
        <w:t>Figure 3</w:t>
      </w:r>
      <w:r w:rsidR="00F43408" w:rsidRPr="00AE2F09">
        <w:fldChar w:fldCharType="end"/>
      </w:r>
      <w:r w:rsidR="00F43408" w:rsidRPr="00AE2F09">
        <w:t>.</w:t>
      </w:r>
      <w:r w:rsidR="00D32BCB" w:rsidRPr="00AE2F09">
        <w:t xml:space="preserve"> </w:t>
      </w:r>
    </w:p>
    <w:p w14:paraId="35573DD3" w14:textId="67CFB29B" w:rsidR="00774AF7" w:rsidRPr="00F2538D" w:rsidRDefault="00B335DA" w:rsidP="008B5DC0">
      <w:pPr>
        <w:keepNext/>
        <w:keepLines/>
        <w:jc w:val="left"/>
        <w:rPr>
          <w:rFonts w:ascii="Arial Narrow" w:eastAsiaTheme="majorEastAsia" w:hAnsi="Arial Narrow" w:cstheme="majorBidi"/>
          <w:b/>
          <w:sz w:val="20"/>
          <w:szCs w:val="16"/>
        </w:rPr>
      </w:pPr>
      <w:bookmarkStart w:id="48" w:name="_Ref103049456"/>
      <w:r w:rsidRPr="00F2538D">
        <w:rPr>
          <w:rFonts w:ascii="Arial Narrow" w:eastAsiaTheme="majorEastAsia" w:hAnsi="Arial Narrow" w:cstheme="majorBidi"/>
          <w:b/>
          <w:sz w:val="20"/>
          <w:szCs w:val="16"/>
        </w:rPr>
        <w:t xml:space="preserve">Figure </w:t>
      </w:r>
      <w:r w:rsidRPr="00F2538D">
        <w:rPr>
          <w:rFonts w:ascii="Arial Narrow" w:eastAsiaTheme="majorEastAsia" w:hAnsi="Arial Narrow" w:cstheme="majorBidi"/>
          <w:b/>
          <w:sz w:val="20"/>
          <w:szCs w:val="16"/>
        </w:rPr>
        <w:fldChar w:fldCharType="begin"/>
      </w:r>
      <w:r w:rsidRPr="00F2538D">
        <w:rPr>
          <w:rFonts w:ascii="Arial Narrow" w:eastAsiaTheme="majorEastAsia" w:hAnsi="Arial Narrow" w:cstheme="majorBidi"/>
          <w:b/>
          <w:sz w:val="20"/>
          <w:szCs w:val="16"/>
        </w:rPr>
        <w:instrText xml:space="preserve"> SEQ Figure \* ARABIC </w:instrText>
      </w:r>
      <w:r w:rsidRPr="00F2538D">
        <w:rPr>
          <w:rFonts w:ascii="Arial Narrow" w:eastAsiaTheme="majorEastAsia" w:hAnsi="Arial Narrow" w:cstheme="majorBidi"/>
          <w:b/>
          <w:sz w:val="20"/>
          <w:szCs w:val="16"/>
        </w:rPr>
        <w:fldChar w:fldCharType="separate"/>
      </w:r>
      <w:r w:rsidR="001162C8">
        <w:rPr>
          <w:rFonts w:ascii="Arial Narrow" w:eastAsiaTheme="majorEastAsia" w:hAnsi="Arial Narrow" w:cstheme="majorBidi"/>
          <w:b/>
          <w:noProof/>
          <w:sz w:val="20"/>
          <w:szCs w:val="16"/>
        </w:rPr>
        <w:t>2</w:t>
      </w:r>
      <w:r w:rsidRPr="00F2538D">
        <w:rPr>
          <w:rFonts w:ascii="Arial Narrow" w:eastAsiaTheme="majorEastAsia" w:hAnsi="Arial Narrow" w:cstheme="majorBidi"/>
          <w:b/>
          <w:sz w:val="20"/>
          <w:szCs w:val="16"/>
        </w:rPr>
        <w:fldChar w:fldCharType="end"/>
      </w:r>
      <w:bookmarkEnd w:id="48"/>
      <w:r w:rsidR="00774AF7" w:rsidRPr="00F2538D">
        <w:rPr>
          <w:rFonts w:ascii="Arial Narrow" w:eastAsiaTheme="majorEastAsia" w:hAnsi="Arial Narrow" w:cstheme="majorBidi"/>
          <w:b/>
          <w:sz w:val="20"/>
          <w:szCs w:val="16"/>
        </w:rPr>
        <w:t xml:space="preserve">: </w:t>
      </w:r>
      <w:r w:rsidR="002A156D" w:rsidRPr="00F2538D">
        <w:rPr>
          <w:rFonts w:ascii="Arial Narrow" w:eastAsiaTheme="majorEastAsia" w:hAnsi="Arial Narrow" w:cstheme="majorBidi"/>
          <w:b/>
          <w:sz w:val="20"/>
          <w:szCs w:val="16"/>
        </w:rPr>
        <w:t>Two-year</w:t>
      </w:r>
      <w:r w:rsidRPr="00F2538D">
        <w:rPr>
          <w:rFonts w:ascii="Arial Narrow" w:eastAsiaTheme="majorEastAsia" w:hAnsi="Arial Narrow" w:cstheme="majorBidi"/>
          <w:b/>
          <w:sz w:val="20"/>
          <w:szCs w:val="16"/>
        </w:rPr>
        <w:t xml:space="preserve"> </w:t>
      </w:r>
      <w:r w:rsidR="00774AF7" w:rsidRPr="00F2538D">
        <w:rPr>
          <w:rFonts w:ascii="Arial Narrow" w:eastAsiaTheme="majorEastAsia" w:hAnsi="Arial Narrow" w:cstheme="majorBidi"/>
          <w:b/>
          <w:sz w:val="20"/>
          <w:szCs w:val="16"/>
        </w:rPr>
        <w:t>results of mean change in blood-Phe over time in the PRISM trials (n=261)</w:t>
      </w:r>
    </w:p>
    <w:p w14:paraId="6EEB86F7" w14:textId="77777777" w:rsidR="00774AF7" w:rsidRPr="00AE2F09" w:rsidRDefault="00774AF7" w:rsidP="00B335DA">
      <w:pPr>
        <w:keepNext/>
        <w:keepLines/>
        <w:rPr>
          <w:bCs/>
        </w:rPr>
      </w:pPr>
      <w:r w:rsidRPr="00AE2F09">
        <w:rPr>
          <w:bCs/>
          <w:noProof/>
        </w:rPr>
        <w:drawing>
          <wp:inline distT="0" distB="0" distL="0" distR="0" wp14:anchorId="6A9D85A7" wp14:editId="5E77BA3A">
            <wp:extent cx="4754880" cy="2286831"/>
            <wp:effectExtent l="0" t="0" r="7620" b="0"/>
            <wp:docPr id="9" name="Picture 9" descr="Figure 2: Two-year results of mean change in blood-Phe over time in the PRISM trials (n=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2: Two-year results of mean change in blood-Phe over time in the PRISM trials (n=261)"/>
                    <pic:cNvPicPr/>
                  </pic:nvPicPr>
                  <pic:blipFill>
                    <a:blip r:embed="rId9"/>
                    <a:stretch>
                      <a:fillRect/>
                    </a:stretch>
                  </pic:blipFill>
                  <pic:spPr>
                    <a:xfrm>
                      <a:off x="0" y="0"/>
                      <a:ext cx="4763431" cy="2290943"/>
                    </a:xfrm>
                    <a:prstGeom prst="rect">
                      <a:avLst/>
                    </a:prstGeom>
                  </pic:spPr>
                </pic:pic>
              </a:graphicData>
            </a:graphic>
          </wp:inline>
        </w:drawing>
      </w:r>
    </w:p>
    <w:p w14:paraId="5CA59E3A" w14:textId="77777777" w:rsidR="00774AF7" w:rsidRPr="00AE2F09" w:rsidRDefault="00774AF7" w:rsidP="00B335DA">
      <w:pPr>
        <w:keepNext/>
        <w:keepLines/>
        <w:rPr>
          <w:rFonts w:ascii="Arial Narrow" w:hAnsi="Arial Narrow"/>
          <w:bCs/>
          <w:sz w:val="20"/>
        </w:rPr>
      </w:pPr>
      <w:r w:rsidRPr="00AE2F09">
        <w:rPr>
          <w:rFonts w:ascii="Arial Narrow" w:hAnsi="Arial Narrow"/>
          <w:bCs/>
          <w:sz w:val="18"/>
        </w:rPr>
        <w:t>Source: Figure 2.5-7 (p116) of the submission</w:t>
      </w:r>
    </w:p>
    <w:p w14:paraId="58B3F182" w14:textId="77777777" w:rsidR="00774AF7" w:rsidRPr="00AE2F09" w:rsidRDefault="00774AF7" w:rsidP="00B335DA">
      <w:pPr>
        <w:keepNext/>
        <w:keepLines/>
        <w:rPr>
          <w:rFonts w:ascii="Arial Narrow" w:hAnsi="Arial Narrow"/>
          <w:bCs/>
          <w:sz w:val="18"/>
        </w:rPr>
      </w:pPr>
      <w:r w:rsidRPr="00AE2F09">
        <w:rPr>
          <w:rFonts w:ascii="Arial Narrow" w:hAnsi="Arial Narrow"/>
          <w:bCs/>
          <w:sz w:val="18"/>
        </w:rPr>
        <w:t>Phe = phenylalanine; SE = standard error</w:t>
      </w:r>
    </w:p>
    <w:p w14:paraId="0A44EB49" w14:textId="77777777" w:rsidR="00774AF7" w:rsidRPr="00AE2F09" w:rsidRDefault="00774AF7" w:rsidP="00B335DA">
      <w:pPr>
        <w:keepNext/>
        <w:keepLines/>
        <w:rPr>
          <w:rFonts w:ascii="Arial Narrow" w:hAnsi="Arial Narrow"/>
          <w:bCs/>
          <w:sz w:val="18"/>
        </w:rPr>
      </w:pPr>
      <w:r w:rsidRPr="00AE2F09">
        <w:rPr>
          <w:rFonts w:ascii="Arial Narrow" w:hAnsi="Arial Narrow"/>
          <w:bCs/>
          <w:sz w:val="18"/>
        </w:rPr>
        <w:t>Sample size reflects patients with data available at study timepoint and who have reached study timepoint at data cut; study is ongoing.</w:t>
      </w:r>
    </w:p>
    <w:p w14:paraId="110307F2" w14:textId="77777777" w:rsidR="00774AF7" w:rsidRPr="00AE2F09" w:rsidRDefault="00774AF7" w:rsidP="00774AF7">
      <w:pPr>
        <w:pStyle w:val="3-BodyText"/>
        <w:numPr>
          <w:ilvl w:val="0"/>
          <w:numId w:val="0"/>
        </w:numPr>
        <w:rPr>
          <w:color w:val="0066FF"/>
        </w:rPr>
      </w:pPr>
    </w:p>
    <w:p w14:paraId="3C5479C6" w14:textId="6580C03E" w:rsidR="00774AF7" w:rsidRPr="00AE2F09" w:rsidRDefault="00F43408" w:rsidP="00F43408">
      <w:pPr>
        <w:pStyle w:val="TableFigureHeading"/>
        <w:keepLines/>
        <w:rPr>
          <w:rStyle w:val="CommentReference"/>
          <w:szCs w:val="24"/>
        </w:rPr>
      </w:pPr>
      <w:bookmarkStart w:id="49" w:name="_Ref103049693"/>
      <w:r w:rsidRPr="00AE2F09">
        <w:rPr>
          <w:rStyle w:val="CommentReference"/>
          <w:b/>
          <w:bCs w:val="0"/>
          <w:szCs w:val="24"/>
        </w:rPr>
        <w:t xml:space="preserve">Figure </w:t>
      </w:r>
      <w:r w:rsidRPr="00AE2F09">
        <w:rPr>
          <w:rStyle w:val="CommentReference"/>
          <w:b/>
          <w:bCs w:val="0"/>
          <w:szCs w:val="24"/>
        </w:rPr>
        <w:fldChar w:fldCharType="begin"/>
      </w:r>
      <w:r w:rsidRPr="00AE2F09">
        <w:rPr>
          <w:rStyle w:val="CommentReference"/>
          <w:b/>
          <w:bCs w:val="0"/>
          <w:szCs w:val="24"/>
        </w:rPr>
        <w:instrText xml:space="preserve"> SEQ Figure \* ARABIC </w:instrText>
      </w:r>
      <w:r w:rsidRPr="00AE2F09">
        <w:rPr>
          <w:rStyle w:val="CommentReference"/>
          <w:b/>
          <w:bCs w:val="0"/>
          <w:szCs w:val="24"/>
        </w:rPr>
        <w:fldChar w:fldCharType="separate"/>
      </w:r>
      <w:r w:rsidR="001162C8">
        <w:rPr>
          <w:rStyle w:val="CommentReference"/>
          <w:b/>
          <w:bCs w:val="0"/>
          <w:noProof/>
          <w:szCs w:val="24"/>
        </w:rPr>
        <w:t>3</w:t>
      </w:r>
      <w:r w:rsidRPr="00AE2F09">
        <w:rPr>
          <w:rStyle w:val="CommentReference"/>
          <w:b/>
          <w:bCs w:val="0"/>
          <w:szCs w:val="24"/>
        </w:rPr>
        <w:fldChar w:fldCharType="end"/>
      </w:r>
      <w:bookmarkEnd w:id="49"/>
      <w:r w:rsidR="00774AF7" w:rsidRPr="00AE2F09">
        <w:rPr>
          <w:rStyle w:val="CommentReference"/>
          <w:b/>
          <w:bCs w:val="0"/>
          <w:szCs w:val="24"/>
        </w:rPr>
        <w:t>: Mean blood-</w:t>
      </w:r>
      <w:r w:rsidR="00774AF7" w:rsidRPr="00AE2F09">
        <w:rPr>
          <w:rStyle w:val="CommentReference"/>
          <w:b/>
          <w:szCs w:val="24"/>
        </w:rPr>
        <w:t>Phe levels</w:t>
      </w:r>
      <w:r w:rsidR="00F37249" w:rsidRPr="00AE2F09">
        <w:rPr>
          <w:rStyle w:val="CommentReference"/>
          <w:b/>
          <w:szCs w:val="24"/>
        </w:rPr>
        <w:t xml:space="preserve"> </w:t>
      </w:r>
      <w:r w:rsidR="00C4047E" w:rsidRPr="00AE2F09">
        <w:rPr>
          <w:rStyle w:val="CommentReference"/>
          <w:b/>
          <w:szCs w:val="24"/>
        </w:rPr>
        <w:t xml:space="preserve">over 8 years in PKUDOS </w:t>
      </w:r>
      <w:r w:rsidR="00F37249" w:rsidRPr="00AE2F09">
        <w:rPr>
          <w:rStyle w:val="CommentReference"/>
          <w:b/>
          <w:szCs w:val="24"/>
        </w:rPr>
        <w:t>in Phe-restricted diet patients</w:t>
      </w:r>
      <w:r w:rsidR="007A7A4F" w:rsidRPr="00AE2F09">
        <w:rPr>
          <w:rStyle w:val="CommentReference"/>
          <w:b/>
          <w:szCs w:val="24"/>
        </w:rPr>
        <w:t xml:space="preserve"> </w:t>
      </w:r>
      <w:r w:rsidR="00C41523" w:rsidRPr="00AE2F09">
        <w:rPr>
          <w:rStyle w:val="CommentReference"/>
          <w:b/>
          <w:szCs w:val="24"/>
        </w:rPr>
        <w:t>who were</w:t>
      </w:r>
      <w:r w:rsidR="0025755F" w:rsidRPr="00AE2F09">
        <w:rPr>
          <w:rStyle w:val="CommentReference"/>
          <w:b/>
          <w:szCs w:val="24"/>
        </w:rPr>
        <w:t>:</w:t>
      </w:r>
      <w:r w:rsidR="00C41523" w:rsidRPr="00AE2F09">
        <w:rPr>
          <w:rStyle w:val="CommentReference"/>
          <w:b/>
          <w:szCs w:val="24"/>
        </w:rPr>
        <w:t xml:space="preserve"> </w:t>
      </w:r>
      <w:r w:rsidR="002A156D" w:rsidRPr="00AE2F09">
        <w:rPr>
          <w:rStyle w:val="CommentReference"/>
          <w:b/>
          <w:szCs w:val="24"/>
        </w:rPr>
        <w:t>previously treated</w:t>
      </w:r>
      <w:r w:rsidR="00BE528D" w:rsidRPr="00AE2F09">
        <w:rPr>
          <w:rStyle w:val="CommentReference"/>
          <w:b/>
          <w:szCs w:val="24"/>
        </w:rPr>
        <w:t xml:space="preserve"> with sapropterin </w:t>
      </w:r>
      <w:r w:rsidR="00C4047E" w:rsidRPr="00AE2F09">
        <w:rPr>
          <w:rStyle w:val="CommentReference"/>
          <w:b/>
          <w:szCs w:val="24"/>
        </w:rPr>
        <w:t xml:space="preserve">(left half of graph) </w:t>
      </w:r>
      <w:r w:rsidR="0025755F" w:rsidRPr="00AE2F09">
        <w:rPr>
          <w:rStyle w:val="CommentReference"/>
          <w:b/>
          <w:szCs w:val="24"/>
        </w:rPr>
        <w:t xml:space="preserve">or </w:t>
      </w:r>
      <w:r w:rsidR="00BE528D" w:rsidRPr="00AE2F09">
        <w:rPr>
          <w:rStyle w:val="CommentReference"/>
          <w:b/>
          <w:szCs w:val="24"/>
        </w:rPr>
        <w:t>continuously treated with sapropterin</w:t>
      </w:r>
      <w:r w:rsidR="00774AF7" w:rsidRPr="00AE2F09">
        <w:rPr>
          <w:rStyle w:val="CommentReference"/>
          <w:b/>
          <w:szCs w:val="24"/>
        </w:rPr>
        <w:t xml:space="preserve"> </w:t>
      </w:r>
      <w:r w:rsidR="00C4047E" w:rsidRPr="00AE2F09">
        <w:rPr>
          <w:rStyle w:val="CommentReference"/>
          <w:b/>
          <w:szCs w:val="24"/>
        </w:rPr>
        <w:t xml:space="preserve">(right half of graph) </w:t>
      </w:r>
    </w:p>
    <w:p w14:paraId="0FD076E0" w14:textId="77777777" w:rsidR="00774AF7" w:rsidRPr="00AE2F09" w:rsidRDefault="00774AF7" w:rsidP="00F43408">
      <w:pPr>
        <w:pStyle w:val="TableFooter"/>
        <w:keepNext/>
        <w:keepLines/>
      </w:pPr>
      <w:r w:rsidRPr="00AE2F09">
        <w:rPr>
          <w:noProof/>
        </w:rPr>
        <w:drawing>
          <wp:inline distT="0" distB="0" distL="0" distR="0" wp14:anchorId="5512021A" wp14:editId="08CCFEF4">
            <wp:extent cx="2764474" cy="3262579"/>
            <wp:effectExtent l="0" t="0" r="0" b="0"/>
            <wp:docPr id="10" name="Picture 10" descr="Figure 3: Mean blood-Phe levels over 8 years in PKUDOS in Phe-restricted diet patients who were: previously treated with sapropterin (left half of graph) or continuously treated with sapropterin (right half of grap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3: Mean blood-Phe levels over 8 years in PKUDOS in Phe-restricted diet patients who were: previously treated with sapropterin (left half of graph) or continuously treated with sapropterin (right half of graph) "/>
                    <pic:cNvPicPr/>
                  </pic:nvPicPr>
                  <pic:blipFill>
                    <a:blip r:embed="rId10"/>
                    <a:stretch>
                      <a:fillRect/>
                    </a:stretch>
                  </pic:blipFill>
                  <pic:spPr>
                    <a:xfrm>
                      <a:off x="0" y="0"/>
                      <a:ext cx="2799458" cy="3303866"/>
                    </a:xfrm>
                    <a:prstGeom prst="rect">
                      <a:avLst/>
                    </a:prstGeom>
                  </pic:spPr>
                </pic:pic>
              </a:graphicData>
            </a:graphic>
          </wp:inline>
        </w:drawing>
      </w:r>
      <w:r w:rsidRPr="00AE2F09">
        <w:t xml:space="preserve"> </w:t>
      </w:r>
    </w:p>
    <w:p w14:paraId="4B6D2FF6" w14:textId="77777777" w:rsidR="00774AF7" w:rsidRPr="00AE2F09" w:rsidRDefault="00774AF7" w:rsidP="00F43408">
      <w:pPr>
        <w:pStyle w:val="TableFooter"/>
        <w:keepNext/>
        <w:keepLines/>
      </w:pPr>
      <w:r w:rsidRPr="00AE2F09">
        <w:t>Source: Figure 2.8-9 (p224) of the submission</w:t>
      </w:r>
    </w:p>
    <w:p w14:paraId="36D5E03C" w14:textId="77777777" w:rsidR="00774AF7" w:rsidRPr="00AE2F09" w:rsidRDefault="00774AF7" w:rsidP="00F43408">
      <w:pPr>
        <w:pStyle w:val="TableFooter"/>
        <w:keepNext/>
        <w:keepLines/>
      </w:pPr>
      <w:r w:rsidRPr="00AE2F09">
        <w:t>Phe = phenylalanine; SD = standard deviation</w:t>
      </w:r>
    </w:p>
    <w:p w14:paraId="46083EE7" w14:textId="7C1A36DD" w:rsidR="00774AF7" w:rsidRPr="00AE2F09" w:rsidRDefault="00774AF7" w:rsidP="00F43408">
      <w:pPr>
        <w:pStyle w:val="TableFooter"/>
        <w:keepNext/>
        <w:keepLines/>
      </w:pPr>
      <w:r w:rsidRPr="00AE2F09">
        <w:t xml:space="preserve">Note: ‘Previous’ refers to </w:t>
      </w:r>
      <w:r w:rsidR="00C41523" w:rsidRPr="00AE2F09">
        <w:t xml:space="preserve">patients who were </w:t>
      </w:r>
      <w:r w:rsidR="002A156D" w:rsidRPr="00AE2F09">
        <w:t>previously treated</w:t>
      </w:r>
      <w:r w:rsidRPr="00AE2F09">
        <w:t xml:space="preserve"> with sapropterin</w:t>
      </w:r>
      <w:r w:rsidR="00F43408" w:rsidRPr="00AE2F09">
        <w:t xml:space="preserve"> but have ceased and managed only with Phe-restricted diet</w:t>
      </w:r>
      <w:r w:rsidRPr="00AE2F09">
        <w:t>; ‘Continuous’ refers to currently treated with sapropterin; Light shaded area represents blood</w:t>
      </w:r>
      <w:r w:rsidR="00867CD5">
        <w:t>-</w:t>
      </w:r>
      <w:r w:rsidRPr="00AE2F09">
        <w:t>Phe range 120-360 μmol/L; Dark shaded area represents blood</w:t>
      </w:r>
      <w:r w:rsidR="00867CD5">
        <w:t>-</w:t>
      </w:r>
      <w:r w:rsidRPr="00AE2F09">
        <w:t>Phe range 360-600 μmol/L.</w:t>
      </w:r>
    </w:p>
    <w:p w14:paraId="45620D58" w14:textId="4320D694" w:rsidR="00774AF7" w:rsidRPr="00AE2F09" w:rsidRDefault="00774AF7" w:rsidP="00774AF7">
      <w:pPr>
        <w:pStyle w:val="3-BodyText"/>
        <w:numPr>
          <w:ilvl w:val="0"/>
          <w:numId w:val="0"/>
        </w:numPr>
        <w:rPr>
          <w:color w:val="0066FF"/>
        </w:rPr>
      </w:pPr>
    </w:p>
    <w:p w14:paraId="466A4666" w14:textId="53DD5757" w:rsidR="00F2538D" w:rsidRPr="00AE2F09" w:rsidRDefault="00DC2447" w:rsidP="00F2538D">
      <w:pPr>
        <w:pStyle w:val="3-BodyText"/>
      </w:pPr>
      <w:r w:rsidRPr="00AE2F09">
        <w:t xml:space="preserve">Patients treated with pegvaliase in PRISM 1/PRISM 2 reported a slow decline in mean blood-Phe over time which </w:t>
      </w:r>
      <w:r w:rsidR="009D053E" w:rsidRPr="00AE2F09">
        <w:t xml:space="preserve">appeared to plateau at around </w:t>
      </w:r>
      <w:r w:rsidR="00D003E8" w:rsidRPr="00AE2F09">
        <w:t>360 µmol/L</w:t>
      </w:r>
      <w:r w:rsidR="00D003E8">
        <w:t xml:space="preserve"> by </w:t>
      </w:r>
      <w:r w:rsidR="00BE1AE7" w:rsidRPr="00AE2F09">
        <w:t>15-18 months</w:t>
      </w:r>
      <w:r w:rsidRPr="00AE2F09">
        <w:t>. The sharp decrease in blood-Phe just prior to month 3 appears to approximately align with the minimum time point in the PRISM 1 trial dosing regimen (10 weeks) that allowed patients to titrate up to a dose of 20 mg/day. For reference, patients were kept on a 2.5</w:t>
      </w:r>
      <w:r w:rsidR="00722E02">
        <w:t xml:space="preserve"> </w:t>
      </w:r>
      <w:r w:rsidRPr="00AE2F09">
        <w:t>mg/week dose for the first 4 weeks of PRISM 1</w:t>
      </w:r>
      <w:r w:rsidR="009B75AE" w:rsidRPr="00AE2F09">
        <w:t xml:space="preserve">, which is consistent with </w:t>
      </w:r>
      <w:r w:rsidR="00A02247" w:rsidRPr="00AE2F09">
        <w:t>PI dosing</w:t>
      </w:r>
      <w:r w:rsidRPr="00AE2F09">
        <w:t xml:space="preserve">. It is unclear whether this adequately explains the sharp decrease in blood-Phe at this time point. </w:t>
      </w:r>
      <w:r w:rsidR="00F2538D">
        <w:t xml:space="preserve">The PBAC noted that although the blood-Phe decreased over time for patients treated with pegvaliase, the number of patients </w:t>
      </w:r>
      <w:r w:rsidR="005F691D">
        <w:t>for whom there w</w:t>
      </w:r>
      <w:r w:rsidR="00457B16">
        <w:t>ere</w:t>
      </w:r>
      <w:r w:rsidR="005F691D">
        <w:t xml:space="preserve"> data available </w:t>
      </w:r>
      <w:r w:rsidR="00F2538D">
        <w:t xml:space="preserve">decreased considerably, with an attrition rate of 80% over 24 months, as shown in </w:t>
      </w:r>
      <w:r w:rsidR="00F2538D">
        <w:fldChar w:fldCharType="begin"/>
      </w:r>
      <w:r w:rsidR="00F2538D">
        <w:instrText xml:space="preserve"> REF _Ref103049456 \h  \* MERGEFORMAT </w:instrText>
      </w:r>
      <w:r w:rsidR="00F2538D">
        <w:fldChar w:fldCharType="separate"/>
      </w:r>
      <w:r w:rsidR="001162C8" w:rsidRPr="001162C8">
        <w:t>Figure 2</w:t>
      </w:r>
      <w:r w:rsidR="00F2538D">
        <w:fldChar w:fldCharType="end"/>
      </w:r>
      <w:r w:rsidR="00F2538D">
        <w:t>.</w:t>
      </w:r>
      <w:r w:rsidR="00A332AF">
        <w:t xml:space="preserve"> The PBAC</w:t>
      </w:r>
      <w:r w:rsidR="0005164E">
        <w:t xml:space="preserve"> considered that </w:t>
      </w:r>
      <w:r w:rsidR="00696819">
        <w:t>part</w:t>
      </w:r>
      <w:r w:rsidR="00C5091F">
        <w:t xml:space="preserve"> of the apparent decline in blood-Phe </w:t>
      </w:r>
      <w:r w:rsidR="0013517B">
        <w:t>may be attributable to</w:t>
      </w:r>
      <w:r w:rsidR="00796951">
        <w:t xml:space="preserve"> </w:t>
      </w:r>
      <w:r w:rsidR="00696819">
        <w:t xml:space="preserve">a selection bias caused by </w:t>
      </w:r>
      <w:r w:rsidR="00796951">
        <w:t xml:space="preserve">disproportionate drop-out of those </w:t>
      </w:r>
      <w:r w:rsidR="00187936">
        <w:t xml:space="preserve">with persistently high blood-Phe, </w:t>
      </w:r>
      <w:r w:rsidR="0013517B">
        <w:t>rather than therapy</w:t>
      </w:r>
      <w:r w:rsidR="00F81D73">
        <w:t>.</w:t>
      </w:r>
    </w:p>
    <w:p w14:paraId="5DD4B352" w14:textId="761BA2B9" w:rsidR="00F43408" w:rsidRDefault="00D32BCB" w:rsidP="00F43408">
      <w:pPr>
        <w:pStyle w:val="3-BodyText"/>
      </w:pPr>
      <w:r w:rsidRPr="00AE2F09">
        <w:t>The results for the previously treated group in PKUDOS show a slight decrease in blood-Phe over time, however SDs around the estimate</w:t>
      </w:r>
      <w:r w:rsidR="00C41523" w:rsidRPr="00AE2F09">
        <w:t xml:space="preserve"> are</w:t>
      </w:r>
      <w:r w:rsidRPr="00AE2F09">
        <w:t xml:space="preserve"> large and over-lapping, and therefore there is a large amount of uncertainty in the results.</w:t>
      </w:r>
    </w:p>
    <w:p w14:paraId="37897E75" w14:textId="2CD09DBB" w:rsidR="001E1B54" w:rsidRPr="001E1B54" w:rsidRDefault="001E1B54" w:rsidP="001E1B54">
      <w:pPr>
        <w:pStyle w:val="3-BodyText"/>
        <w:numPr>
          <w:ilvl w:val="0"/>
          <w:numId w:val="0"/>
        </w:numPr>
        <w:outlineLvl w:val="2"/>
        <w:rPr>
          <w:b/>
          <w:bCs/>
          <w:i/>
          <w:iCs/>
        </w:rPr>
      </w:pPr>
      <w:r w:rsidRPr="001E1B54">
        <w:rPr>
          <w:b/>
          <w:bCs/>
          <w:i/>
          <w:iCs/>
        </w:rPr>
        <w:t>Matched-adjusted analysis (Zori et al, 2019)</w:t>
      </w:r>
    </w:p>
    <w:p w14:paraId="4F187B76" w14:textId="7A782B00" w:rsidR="008A7A90" w:rsidRPr="00AE2F09" w:rsidRDefault="005B3590" w:rsidP="00F43408">
      <w:pPr>
        <w:pStyle w:val="3-BodyText"/>
      </w:pPr>
      <w:r>
        <w:t xml:space="preserve">The submission presented an </w:t>
      </w:r>
      <w:r w:rsidRPr="008954FB">
        <w:t>unanchored matched-adjusted historical cohort analysis (a sponsor-conducted analysis, Zori et al, 2019),</w:t>
      </w:r>
      <w:r w:rsidRPr="00E82F2B">
        <w:rPr>
          <w:i/>
          <w:iCs/>
        </w:rPr>
        <w:t xml:space="preserve"> </w:t>
      </w:r>
      <w:r w:rsidRPr="000764C2">
        <w:t xml:space="preserve">which used propensity score-matching with the following variables: baseline age, gender, and baseline blood Phe concentration. The analysis only included patients who had baseline blood-Phe of ≥600 µmol/L and were ≥18 years old. </w:t>
      </w:r>
      <w:r w:rsidR="00BE1AE7" w:rsidRPr="00AE2F09">
        <w:t xml:space="preserve">The results </w:t>
      </w:r>
      <w:r w:rsidR="00987AD1" w:rsidRPr="00AE2F09">
        <w:t xml:space="preserve">are presented in </w:t>
      </w:r>
      <w:r w:rsidR="00987AD1" w:rsidRPr="00AE2F09">
        <w:fldChar w:fldCharType="begin"/>
      </w:r>
      <w:r w:rsidR="00987AD1" w:rsidRPr="00AE2F09">
        <w:instrText xml:space="preserve"> REF _Ref103050258 \h </w:instrText>
      </w:r>
      <w:r w:rsidR="00505ABB" w:rsidRPr="00AE2F09">
        <w:instrText xml:space="preserve"> \* MERGEFORMAT </w:instrText>
      </w:r>
      <w:r w:rsidR="00987AD1" w:rsidRPr="00AE2F09">
        <w:fldChar w:fldCharType="separate"/>
      </w:r>
      <w:r w:rsidR="001162C8" w:rsidRPr="001162C8">
        <w:t>Table 6</w:t>
      </w:r>
      <w:r w:rsidR="00987AD1" w:rsidRPr="00AE2F09">
        <w:fldChar w:fldCharType="end"/>
      </w:r>
      <w:r w:rsidR="00987AD1" w:rsidRPr="00AE2F09">
        <w:t>.</w:t>
      </w:r>
      <w:r w:rsidR="00B5346F" w:rsidRPr="00AE2F09">
        <w:t xml:space="preserve"> </w:t>
      </w:r>
    </w:p>
    <w:p w14:paraId="5DA6B23F" w14:textId="0E0DAE26" w:rsidR="00774AF7" w:rsidRPr="00AE2F09" w:rsidRDefault="00987AD1" w:rsidP="00987AD1">
      <w:pPr>
        <w:pStyle w:val="TableFigureHeading"/>
        <w:keepLines/>
        <w:rPr>
          <w:rStyle w:val="CommentReference"/>
          <w:b/>
          <w:bCs w:val="0"/>
          <w:szCs w:val="24"/>
        </w:rPr>
      </w:pPr>
      <w:bookmarkStart w:id="50" w:name="_Ref103050258"/>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6</w:t>
      </w:r>
      <w:r w:rsidRPr="00AE2F09">
        <w:rPr>
          <w:rStyle w:val="CommentReference"/>
          <w:b/>
          <w:bCs w:val="0"/>
          <w:szCs w:val="24"/>
        </w:rPr>
        <w:fldChar w:fldCharType="end"/>
      </w:r>
      <w:bookmarkEnd w:id="50"/>
      <w:r w:rsidR="00774AF7" w:rsidRPr="00AE2F09">
        <w:rPr>
          <w:rStyle w:val="CommentReference"/>
          <w:b/>
          <w:bCs w:val="0"/>
          <w:szCs w:val="24"/>
        </w:rPr>
        <w:t>: Blood</w:t>
      </w:r>
      <w:r w:rsidR="00867CD5">
        <w:rPr>
          <w:rStyle w:val="CommentReference"/>
          <w:b/>
          <w:bCs w:val="0"/>
          <w:szCs w:val="24"/>
        </w:rPr>
        <w:t>-</w:t>
      </w:r>
      <w:r w:rsidR="00774AF7" w:rsidRPr="00AE2F09">
        <w:rPr>
          <w:rStyle w:val="CommentReference"/>
          <w:b/>
          <w:bCs w:val="0"/>
          <w:szCs w:val="24"/>
        </w:rPr>
        <w:t>Phe level outcome results over time in the Zori et al matched analysis</w:t>
      </w:r>
    </w:p>
    <w:tbl>
      <w:tblPr>
        <w:tblStyle w:val="TableGrid"/>
        <w:tblW w:w="5000" w:type="pct"/>
        <w:tblLook w:val="04A0" w:firstRow="1" w:lastRow="0" w:firstColumn="1" w:lastColumn="0" w:noHBand="0" w:noVBand="1"/>
      </w:tblPr>
      <w:tblGrid>
        <w:gridCol w:w="4957"/>
        <w:gridCol w:w="2249"/>
        <w:gridCol w:w="1811"/>
      </w:tblGrid>
      <w:tr w:rsidR="00987AD1" w:rsidRPr="00AE2F09" w14:paraId="1E60B626" w14:textId="77777777" w:rsidTr="00FD7CD0">
        <w:tc>
          <w:tcPr>
            <w:tcW w:w="2749" w:type="pct"/>
            <w:tcBorders>
              <w:top w:val="single" w:sz="4" w:space="0" w:color="auto"/>
              <w:bottom w:val="nil"/>
            </w:tcBorders>
            <w:shd w:val="clear" w:color="auto" w:fill="auto"/>
          </w:tcPr>
          <w:p w14:paraId="5F110D73" w14:textId="77777777" w:rsidR="00774AF7" w:rsidRPr="00AE2F09" w:rsidRDefault="00774AF7" w:rsidP="00987AD1">
            <w:pPr>
              <w:pStyle w:val="Tableheading0"/>
              <w:keepNext/>
              <w:keepLines/>
              <w:widowControl/>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Proportion of patients, n (%)</w:t>
            </w:r>
          </w:p>
        </w:tc>
        <w:tc>
          <w:tcPr>
            <w:tcW w:w="1247" w:type="pct"/>
            <w:tcBorders>
              <w:bottom w:val="nil"/>
            </w:tcBorders>
            <w:shd w:val="clear" w:color="auto" w:fill="auto"/>
          </w:tcPr>
          <w:p w14:paraId="2C3DEA91" w14:textId="77777777" w:rsidR="00774AF7" w:rsidRPr="00AE2F09" w:rsidRDefault="00774AF7" w:rsidP="00987AD1">
            <w:pPr>
              <w:pStyle w:val="Tableheading0"/>
              <w:keepNext/>
              <w:keepLines/>
              <w:widowControl/>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Pegvaliase</w:t>
            </w:r>
          </w:p>
        </w:tc>
        <w:tc>
          <w:tcPr>
            <w:tcW w:w="1004" w:type="pct"/>
            <w:tcBorders>
              <w:bottom w:val="nil"/>
            </w:tcBorders>
            <w:shd w:val="clear" w:color="auto" w:fill="auto"/>
          </w:tcPr>
          <w:p w14:paraId="5E5C84D5" w14:textId="77777777" w:rsidR="00774AF7" w:rsidRPr="00AE2F09" w:rsidRDefault="00774AF7" w:rsidP="00987AD1">
            <w:pPr>
              <w:pStyle w:val="Tableheading0"/>
              <w:keepNext/>
              <w:keepLines/>
              <w:widowControl/>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Phe-restricted diet alone</w:t>
            </w:r>
          </w:p>
        </w:tc>
      </w:tr>
      <w:tr w:rsidR="00987AD1" w:rsidRPr="00AE2F09" w14:paraId="4B0E8F4A" w14:textId="77777777" w:rsidTr="00FD7CD0">
        <w:tc>
          <w:tcPr>
            <w:tcW w:w="2749" w:type="pct"/>
            <w:tcBorders>
              <w:bottom w:val="nil"/>
            </w:tcBorders>
            <w:shd w:val="clear" w:color="auto" w:fill="auto"/>
          </w:tcPr>
          <w:p w14:paraId="7F389050" w14:textId="77777777" w:rsidR="00774AF7" w:rsidRPr="00AE2F09" w:rsidRDefault="00774AF7" w:rsidP="00987AD1">
            <w:pPr>
              <w:pStyle w:val="Btable"/>
              <w:keepNext/>
              <w:keepLines/>
              <w:widowControl/>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Year 1</w:t>
            </w:r>
          </w:p>
        </w:tc>
        <w:tc>
          <w:tcPr>
            <w:tcW w:w="1247" w:type="pct"/>
            <w:tcBorders>
              <w:bottom w:val="nil"/>
            </w:tcBorders>
            <w:shd w:val="clear" w:color="auto" w:fill="auto"/>
          </w:tcPr>
          <w:p w14:paraId="38055C54" w14:textId="77777777" w:rsidR="00774AF7" w:rsidRPr="00AE2F09" w:rsidRDefault="00774AF7" w:rsidP="00987AD1">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N = 87</w:t>
            </w:r>
          </w:p>
        </w:tc>
        <w:tc>
          <w:tcPr>
            <w:tcW w:w="1004" w:type="pct"/>
            <w:tcBorders>
              <w:bottom w:val="nil"/>
            </w:tcBorders>
            <w:shd w:val="clear" w:color="auto" w:fill="auto"/>
          </w:tcPr>
          <w:p w14:paraId="40B3C161" w14:textId="77777777" w:rsidR="00774AF7" w:rsidRPr="00AE2F09" w:rsidRDefault="00774AF7" w:rsidP="00987AD1">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N = 51</w:t>
            </w:r>
          </w:p>
        </w:tc>
      </w:tr>
      <w:tr w:rsidR="00987AD1" w:rsidRPr="00AE2F09" w14:paraId="6ABDB2EE" w14:textId="77777777" w:rsidTr="00FD7CD0">
        <w:tc>
          <w:tcPr>
            <w:tcW w:w="2749" w:type="pct"/>
            <w:tcBorders>
              <w:bottom w:val="nil"/>
            </w:tcBorders>
            <w:shd w:val="clear" w:color="auto" w:fill="auto"/>
          </w:tcPr>
          <w:p w14:paraId="089BD6B0" w14:textId="77777777" w:rsidR="00774AF7" w:rsidRPr="00AE2F09" w:rsidRDefault="00774AF7" w:rsidP="00987AD1">
            <w:pPr>
              <w:pStyle w:val="Btable"/>
              <w:keepNext/>
              <w:keepLines/>
              <w:widowControl/>
              <w:rPr>
                <w:rFonts w:ascii="Arial Narrow" w:eastAsia="Times New Roman" w:hAnsi="Arial Narrow" w:cs="Times New Roman"/>
                <w:b w:val="0"/>
                <w:snapToGrid w:val="0"/>
                <w:szCs w:val="24"/>
                <w:vertAlign w:val="superscript"/>
              </w:rPr>
            </w:pPr>
            <w:r w:rsidRPr="00AE2F09">
              <w:rPr>
                <w:rFonts w:ascii="Arial Narrow" w:eastAsia="Times New Roman" w:hAnsi="Arial Narrow" w:cs="Times New Roman"/>
                <w:b w:val="0"/>
                <w:snapToGrid w:val="0"/>
                <w:szCs w:val="24"/>
              </w:rPr>
              <w:t xml:space="preserve">Blood-Phe </w:t>
            </w:r>
            <w:r w:rsidRPr="00AE2F09">
              <w:rPr>
                <w:rFonts w:ascii="Arial Narrow" w:hAnsi="Arial Narrow"/>
                <w:b w:val="0"/>
                <w:snapToGrid w:val="0"/>
                <w:szCs w:val="24"/>
              </w:rPr>
              <w:t>µmol/L</w:t>
            </w:r>
            <w:r w:rsidRPr="00AE2F09">
              <w:rPr>
                <w:rFonts w:ascii="Arial Narrow" w:eastAsia="Times New Roman" w:hAnsi="Arial Narrow" w:cs="Times New Roman"/>
                <w:b w:val="0"/>
                <w:snapToGrid w:val="0"/>
                <w:szCs w:val="24"/>
              </w:rPr>
              <w:t xml:space="preserve"> (mean (SD)) </w:t>
            </w:r>
            <w:r w:rsidRPr="00AE2F09">
              <w:rPr>
                <w:rFonts w:ascii="Arial Narrow" w:eastAsia="Times New Roman" w:hAnsi="Arial Narrow" w:cs="Times New Roman"/>
                <w:b w:val="0"/>
                <w:snapToGrid w:val="0"/>
                <w:szCs w:val="24"/>
                <w:vertAlign w:val="superscript"/>
              </w:rPr>
              <w:t>¥</w:t>
            </w:r>
          </w:p>
        </w:tc>
        <w:tc>
          <w:tcPr>
            <w:tcW w:w="1247" w:type="pct"/>
            <w:tcBorders>
              <w:bottom w:val="nil"/>
            </w:tcBorders>
            <w:shd w:val="clear" w:color="auto" w:fill="auto"/>
          </w:tcPr>
          <w:p w14:paraId="5D87D861" w14:textId="77777777" w:rsidR="00774AF7" w:rsidRPr="00AE2F09" w:rsidRDefault="00774AF7" w:rsidP="00987AD1">
            <w:pPr>
              <w:pStyle w:val="Tableheading0"/>
              <w:keepNext/>
              <w:keepLines/>
              <w:rPr>
                <w:rFonts w:ascii="Arial Narrow" w:eastAsia="Times New Roman" w:hAnsi="Arial Narrow" w:cs="Times New Roman"/>
                <w:b w:val="0"/>
                <w:snapToGrid w:val="0"/>
                <w:szCs w:val="24"/>
              </w:rPr>
            </w:pPr>
            <w:r w:rsidRPr="00AE2F09">
              <w:rPr>
                <w:rFonts w:ascii="Arial Narrow" w:eastAsia="Times New Roman" w:hAnsi="Arial Narrow" w:cs="Times New Roman"/>
                <w:b w:val="0"/>
                <w:snapToGrid w:val="0"/>
                <w:szCs w:val="24"/>
              </w:rPr>
              <w:t>473 (451)</w:t>
            </w:r>
          </w:p>
        </w:tc>
        <w:tc>
          <w:tcPr>
            <w:tcW w:w="1004" w:type="pct"/>
            <w:tcBorders>
              <w:bottom w:val="nil"/>
            </w:tcBorders>
            <w:shd w:val="clear" w:color="auto" w:fill="auto"/>
          </w:tcPr>
          <w:p w14:paraId="3F84F527" w14:textId="77777777" w:rsidR="00774AF7" w:rsidRPr="00AE2F09" w:rsidRDefault="00774AF7" w:rsidP="00987AD1">
            <w:pPr>
              <w:pStyle w:val="Tableheading0"/>
              <w:keepNext/>
              <w:keepLines/>
              <w:rPr>
                <w:rFonts w:ascii="Arial Narrow" w:eastAsia="Times New Roman" w:hAnsi="Arial Narrow" w:cs="Times New Roman"/>
                <w:b w:val="0"/>
                <w:snapToGrid w:val="0"/>
                <w:szCs w:val="24"/>
              </w:rPr>
            </w:pPr>
            <w:r w:rsidRPr="00AE2F09">
              <w:rPr>
                <w:rFonts w:ascii="Arial Narrow" w:eastAsia="Times New Roman" w:hAnsi="Arial Narrow" w:cs="Times New Roman"/>
                <w:b w:val="0"/>
                <w:snapToGrid w:val="0"/>
                <w:szCs w:val="24"/>
              </w:rPr>
              <w:t>1022 (322)</w:t>
            </w:r>
          </w:p>
        </w:tc>
      </w:tr>
      <w:tr w:rsidR="00987AD1" w:rsidRPr="00AE2F09" w14:paraId="22D869F7" w14:textId="77777777" w:rsidTr="00FD7CD0">
        <w:tc>
          <w:tcPr>
            <w:tcW w:w="2749" w:type="pct"/>
            <w:tcBorders>
              <w:bottom w:val="nil"/>
            </w:tcBorders>
          </w:tcPr>
          <w:p w14:paraId="0A864588" w14:textId="77777777" w:rsidR="00774AF7" w:rsidRPr="00AE2F09" w:rsidRDefault="00774AF7" w:rsidP="00987AD1">
            <w:pPr>
              <w:pStyle w:val="Tabletext"/>
              <w:keepNext/>
              <w:keepLines/>
            </w:pPr>
            <w:r w:rsidRPr="00AE2F09">
              <w:t>By Phe levels (</w:t>
            </w:r>
            <w:r w:rsidRPr="00AE2F09">
              <w:rPr>
                <w:snapToGrid/>
              </w:rPr>
              <w:t>Proportion of patients, n (%)</w:t>
            </w:r>
            <w:r w:rsidRPr="00AE2F09">
              <w:t>)</w:t>
            </w:r>
          </w:p>
        </w:tc>
        <w:tc>
          <w:tcPr>
            <w:tcW w:w="1247" w:type="pct"/>
            <w:tcBorders>
              <w:bottom w:val="nil"/>
            </w:tcBorders>
          </w:tcPr>
          <w:p w14:paraId="5C26298D"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c>
          <w:tcPr>
            <w:tcW w:w="1004" w:type="pct"/>
            <w:tcBorders>
              <w:bottom w:val="nil"/>
            </w:tcBorders>
          </w:tcPr>
          <w:p w14:paraId="3F14FA70"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r>
      <w:tr w:rsidR="00987AD1" w:rsidRPr="00AE2F09" w14:paraId="7FB722E1" w14:textId="77777777" w:rsidTr="00FD7CD0">
        <w:tc>
          <w:tcPr>
            <w:tcW w:w="2749" w:type="pct"/>
            <w:tcBorders>
              <w:top w:val="nil"/>
              <w:bottom w:val="nil"/>
            </w:tcBorders>
          </w:tcPr>
          <w:p w14:paraId="6365E2F3"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600 µmol/L</w:t>
            </w:r>
          </w:p>
        </w:tc>
        <w:tc>
          <w:tcPr>
            <w:tcW w:w="1247" w:type="pct"/>
            <w:tcBorders>
              <w:top w:val="nil"/>
              <w:bottom w:val="nil"/>
            </w:tcBorders>
          </w:tcPr>
          <w:p w14:paraId="56C06349"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52 (60)</w:t>
            </w:r>
          </w:p>
        </w:tc>
        <w:tc>
          <w:tcPr>
            <w:tcW w:w="1004" w:type="pct"/>
            <w:tcBorders>
              <w:top w:val="nil"/>
              <w:bottom w:val="nil"/>
            </w:tcBorders>
          </w:tcPr>
          <w:p w14:paraId="2DADCDA6"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3 (6)</w:t>
            </w:r>
          </w:p>
        </w:tc>
      </w:tr>
      <w:tr w:rsidR="00987AD1" w:rsidRPr="00AE2F09" w14:paraId="5988CDB9" w14:textId="77777777" w:rsidTr="00FD7CD0">
        <w:tc>
          <w:tcPr>
            <w:tcW w:w="2749" w:type="pct"/>
            <w:tcBorders>
              <w:top w:val="nil"/>
              <w:bottom w:val="nil"/>
            </w:tcBorders>
          </w:tcPr>
          <w:p w14:paraId="2FC2202E"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360 µmol/L</w:t>
            </w:r>
          </w:p>
        </w:tc>
        <w:tc>
          <w:tcPr>
            <w:tcW w:w="1247" w:type="pct"/>
            <w:tcBorders>
              <w:top w:val="nil"/>
              <w:bottom w:val="nil"/>
            </w:tcBorders>
          </w:tcPr>
          <w:p w14:paraId="455943BA"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41 (47)</w:t>
            </w:r>
          </w:p>
        </w:tc>
        <w:tc>
          <w:tcPr>
            <w:tcW w:w="1004" w:type="pct"/>
            <w:tcBorders>
              <w:top w:val="nil"/>
              <w:bottom w:val="nil"/>
            </w:tcBorders>
          </w:tcPr>
          <w:p w14:paraId="0C880732"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0</w:t>
            </w:r>
          </w:p>
        </w:tc>
      </w:tr>
      <w:tr w:rsidR="00987AD1" w:rsidRPr="00AE2F09" w14:paraId="6A9EFC96" w14:textId="77777777" w:rsidTr="00FD7CD0">
        <w:tc>
          <w:tcPr>
            <w:tcW w:w="2749" w:type="pct"/>
            <w:tcBorders>
              <w:top w:val="nil"/>
              <w:bottom w:val="single" w:sz="4" w:space="0" w:color="auto"/>
            </w:tcBorders>
          </w:tcPr>
          <w:p w14:paraId="704913C3"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120 µmol/L</w:t>
            </w:r>
          </w:p>
        </w:tc>
        <w:tc>
          <w:tcPr>
            <w:tcW w:w="1247" w:type="pct"/>
            <w:tcBorders>
              <w:top w:val="nil"/>
              <w:bottom w:val="single" w:sz="4" w:space="0" w:color="auto"/>
            </w:tcBorders>
          </w:tcPr>
          <w:p w14:paraId="3E880CB6"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34 (39)</w:t>
            </w:r>
          </w:p>
        </w:tc>
        <w:tc>
          <w:tcPr>
            <w:tcW w:w="1004" w:type="pct"/>
            <w:tcBorders>
              <w:top w:val="nil"/>
              <w:bottom w:val="single" w:sz="4" w:space="0" w:color="auto"/>
            </w:tcBorders>
          </w:tcPr>
          <w:p w14:paraId="045C791D"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0</w:t>
            </w:r>
          </w:p>
        </w:tc>
      </w:tr>
      <w:tr w:rsidR="00987AD1" w:rsidRPr="00AE2F09" w14:paraId="0860741F" w14:textId="77777777" w:rsidTr="00FD7CD0">
        <w:tc>
          <w:tcPr>
            <w:tcW w:w="2749" w:type="pct"/>
            <w:tcBorders>
              <w:bottom w:val="nil"/>
            </w:tcBorders>
          </w:tcPr>
          <w:p w14:paraId="704D0964" w14:textId="77777777" w:rsidR="00774AF7" w:rsidRPr="00AE2F09" w:rsidRDefault="00774AF7" w:rsidP="00987AD1">
            <w:pPr>
              <w:pStyle w:val="Tabletext"/>
              <w:keepNext/>
              <w:keepLines/>
            </w:pPr>
            <w:r w:rsidRPr="00AE2F09">
              <w:t>By percentage of Phe reduction (</w:t>
            </w:r>
            <w:r w:rsidRPr="00AE2F09">
              <w:rPr>
                <w:snapToGrid/>
              </w:rPr>
              <w:t>Proportion of patients, n (%)</w:t>
            </w:r>
            <w:r w:rsidRPr="00AE2F09">
              <w:t>)</w:t>
            </w:r>
          </w:p>
        </w:tc>
        <w:tc>
          <w:tcPr>
            <w:tcW w:w="1247" w:type="pct"/>
            <w:tcBorders>
              <w:bottom w:val="nil"/>
            </w:tcBorders>
          </w:tcPr>
          <w:p w14:paraId="566E27AE"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c>
          <w:tcPr>
            <w:tcW w:w="1004" w:type="pct"/>
            <w:tcBorders>
              <w:bottom w:val="nil"/>
            </w:tcBorders>
          </w:tcPr>
          <w:p w14:paraId="5AF51CD8"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r>
      <w:tr w:rsidR="00987AD1" w:rsidRPr="00AE2F09" w14:paraId="4F537F0D" w14:textId="77777777" w:rsidTr="00FD7CD0">
        <w:tc>
          <w:tcPr>
            <w:tcW w:w="2749" w:type="pct"/>
            <w:tcBorders>
              <w:top w:val="nil"/>
              <w:bottom w:val="nil"/>
            </w:tcBorders>
          </w:tcPr>
          <w:p w14:paraId="77538115"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20% reduction in blood Phe</w:t>
            </w:r>
          </w:p>
        </w:tc>
        <w:tc>
          <w:tcPr>
            <w:tcW w:w="1247" w:type="pct"/>
            <w:tcBorders>
              <w:top w:val="nil"/>
              <w:bottom w:val="nil"/>
            </w:tcBorders>
          </w:tcPr>
          <w:p w14:paraId="598BE8D4"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62 (71)</w:t>
            </w:r>
          </w:p>
        </w:tc>
        <w:tc>
          <w:tcPr>
            <w:tcW w:w="1004" w:type="pct"/>
            <w:tcBorders>
              <w:top w:val="nil"/>
              <w:bottom w:val="nil"/>
            </w:tcBorders>
          </w:tcPr>
          <w:p w14:paraId="677003ED"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13 (26)</w:t>
            </w:r>
          </w:p>
        </w:tc>
      </w:tr>
      <w:tr w:rsidR="00987AD1" w:rsidRPr="00AE2F09" w14:paraId="0C54E974" w14:textId="77777777" w:rsidTr="00FD7CD0">
        <w:tc>
          <w:tcPr>
            <w:tcW w:w="2749" w:type="pct"/>
            <w:tcBorders>
              <w:top w:val="nil"/>
              <w:bottom w:val="nil"/>
            </w:tcBorders>
          </w:tcPr>
          <w:p w14:paraId="513DFB66"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30% reduction in blood Phe</w:t>
            </w:r>
          </w:p>
        </w:tc>
        <w:tc>
          <w:tcPr>
            <w:tcW w:w="1247" w:type="pct"/>
            <w:tcBorders>
              <w:top w:val="nil"/>
              <w:bottom w:val="nil"/>
            </w:tcBorders>
          </w:tcPr>
          <w:p w14:paraId="51E2648D"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58 (67)</w:t>
            </w:r>
          </w:p>
        </w:tc>
        <w:tc>
          <w:tcPr>
            <w:tcW w:w="1004" w:type="pct"/>
            <w:tcBorders>
              <w:top w:val="nil"/>
              <w:bottom w:val="nil"/>
            </w:tcBorders>
          </w:tcPr>
          <w:p w14:paraId="75384FA8"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9 (18)</w:t>
            </w:r>
          </w:p>
        </w:tc>
      </w:tr>
      <w:tr w:rsidR="00987AD1" w:rsidRPr="00AE2F09" w14:paraId="53379E79" w14:textId="77777777" w:rsidTr="00FD7CD0">
        <w:tc>
          <w:tcPr>
            <w:tcW w:w="2749" w:type="pct"/>
            <w:tcBorders>
              <w:top w:val="nil"/>
            </w:tcBorders>
          </w:tcPr>
          <w:p w14:paraId="308CBFB6"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50% reduction in blood Phe</w:t>
            </w:r>
          </w:p>
        </w:tc>
        <w:tc>
          <w:tcPr>
            <w:tcW w:w="1247" w:type="pct"/>
            <w:tcBorders>
              <w:top w:val="nil"/>
            </w:tcBorders>
          </w:tcPr>
          <w:p w14:paraId="22A38847"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50 (58)</w:t>
            </w:r>
          </w:p>
        </w:tc>
        <w:tc>
          <w:tcPr>
            <w:tcW w:w="1004" w:type="pct"/>
            <w:tcBorders>
              <w:top w:val="nil"/>
            </w:tcBorders>
          </w:tcPr>
          <w:p w14:paraId="76AFD97E"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0</w:t>
            </w:r>
          </w:p>
        </w:tc>
      </w:tr>
      <w:tr w:rsidR="00987AD1" w:rsidRPr="00AE2F09" w14:paraId="503C2D23" w14:textId="77777777" w:rsidTr="00FD7CD0">
        <w:tc>
          <w:tcPr>
            <w:tcW w:w="2749" w:type="pct"/>
            <w:tcBorders>
              <w:bottom w:val="single" w:sz="4" w:space="0" w:color="auto"/>
            </w:tcBorders>
            <w:shd w:val="clear" w:color="auto" w:fill="auto"/>
          </w:tcPr>
          <w:p w14:paraId="17C770C9" w14:textId="77777777" w:rsidR="00774AF7" w:rsidRPr="00AE2F09" w:rsidRDefault="00774AF7" w:rsidP="00987AD1">
            <w:pPr>
              <w:pStyle w:val="Btable"/>
              <w:keepNext/>
              <w:keepLines/>
              <w:widowControl/>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Year 2</w:t>
            </w:r>
          </w:p>
        </w:tc>
        <w:tc>
          <w:tcPr>
            <w:tcW w:w="1247" w:type="pct"/>
            <w:tcBorders>
              <w:bottom w:val="single" w:sz="4" w:space="0" w:color="auto"/>
            </w:tcBorders>
            <w:shd w:val="clear" w:color="auto" w:fill="auto"/>
          </w:tcPr>
          <w:p w14:paraId="593E86EA" w14:textId="77777777" w:rsidR="00774AF7" w:rsidRPr="00AE2F09" w:rsidRDefault="00774AF7" w:rsidP="00987AD1">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N = 80</w:t>
            </w:r>
          </w:p>
        </w:tc>
        <w:tc>
          <w:tcPr>
            <w:tcW w:w="1004" w:type="pct"/>
            <w:tcBorders>
              <w:bottom w:val="single" w:sz="4" w:space="0" w:color="auto"/>
            </w:tcBorders>
            <w:shd w:val="clear" w:color="auto" w:fill="auto"/>
          </w:tcPr>
          <w:p w14:paraId="4ECAAC2E" w14:textId="77777777" w:rsidR="00774AF7" w:rsidRPr="00AE2F09" w:rsidRDefault="00774AF7" w:rsidP="00987AD1">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N = 42</w:t>
            </w:r>
          </w:p>
        </w:tc>
      </w:tr>
      <w:tr w:rsidR="00987AD1" w:rsidRPr="00AE2F09" w14:paraId="0AB83FC4" w14:textId="77777777" w:rsidTr="00FD7CD0">
        <w:tc>
          <w:tcPr>
            <w:tcW w:w="2749" w:type="pct"/>
            <w:tcBorders>
              <w:bottom w:val="nil"/>
            </w:tcBorders>
            <w:shd w:val="clear" w:color="auto" w:fill="auto"/>
          </w:tcPr>
          <w:p w14:paraId="2F9C7C0C" w14:textId="77777777" w:rsidR="00774AF7" w:rsidRPr="00AE2F09" w:rsidRDefault="00774AF7" w:rsidP="00987AD1">
            <w:pPr>
              <w:pStyle w:val="Btable"/>
              <w:keepNext/>
              <w:keepLines/>
              <w:widowControl/>
              <w:rPr>
                <w:rFonts w:ascii="Arial Narrow" w:eastAsia="Times New Roman" w:hAnsi="Arial Narrow" w:cs="Times New Roman"/>
                <w:b w:val="0"/>
                <w:snapToGrid w:val="0"/>
                <w:szCs w:val="24"/>
              </w:rPr>
            </w:pPr>
            <w:r w:rsidRPr="00AE2F09">
              <w:rPr>
                <w:rFonts w:ascii="Arial Narrow" w:eastAsia="Times New Roman" w:hAnsi="Arial Narrow" w:cs="Times New Roman"/>
                <w:b w:val="0"/>
                <w:snapToGrid w:val="0"/>
                <w:szCs w:val="24"/>
              </w:rPr>
              <w:t xml:space="preserve">Blood-Phe </w:t>
            </w:r>
            <w:r w:rsidRPr="00AE2F09">
              <w:rPr>
                <w:rFonts w:ascii="Arial Narrow" w:hAnsi="Arial Narrow"/>
                <w:b w:val="0"/>
                <w:snapToGrid w:val="0"/>
                <w:szCs w:val="24"/>
              </w:rPr>
              <w:t>µmol/L</w:t>
            </w:r>
            <w:r w:rsidRPr="00AE2F09">
              <w:rPr>
                <w:rFonts w:ascii="Arial Narrow" w:eastAsia="Times New Roman" w:hAnsi="Arial Narrow" w:cs="Times New Roman"/>
                <w:b w:val="0"/>
                <w:snapToGrid w:val="0"/>
                <w:szCs w:val="24"/>
              </w:rPr>
              <w:t xml:space="preserve"> (mean (SD))</w:t>
            </w:r>
          </w:p>
        </w:tc>
        <w:tc>
          <w:tcPr>
            <w:tcW w:w="1247" w:type="pct"/>
            <w:tcBorders>
              <w:bottom w:val="nil"/>
            </w:tcBorders>
            <w:shd w:val="clear" w:color="auto" w:fill="auto"/>
          </w:tcPr>
          <w:p w14:paraId="214F9428" w14:textId="77777777" w:rsidR="00774AF7" w:rsidRPr="00AE2F09" w:rsidRDefault="00774AF7" w:rsidP="00987AD1">
            <w:pPr>
              <w:pStyle w:val="Tableheading0"/>
              <w:keepNext/>
              <w:keepLines/>
              <w:rPr>
                <w:rFonts w:ascii="Arial Narrow" w:eastAsia="Times New Roman" w:hAnsi="Arial Narrow" w:cs="Times New Roman"/>
                <w:b w:val="0"/>
                <w:snapToGrid w:val="0"/>
                <w:szCs w:val="24"/>
              </w:rPr>
            </w:pPr>
            <w:r w:rsidRPr="00AE2F09">
              <w:rPr>
                <w:rFonts w:ascii="Arial Narrow" w:eastAsia="Times New Roman" w:hAnsi="Arial Narrow" w:cs="Times New Roman"/>
                <w:b w:val="0"/>
                <w:snapToGrid w:val="0"/>
                <w:szCs w:val="24"/>
              </w:rPr>
              <w:t>302 (392)</w:t>
            </w:r>
          </w:p>
        </w:tc>
        <w:tc>
          <w:tcPr>
            <w:tcW w:w="1004" w:type="pct"/>
            <w:tcBorders>
              <w:bottom w:val="nil"/>
            </w:tcBorders>
            <w:shd w:val="clear" w:color="auto" w:fill="auto"/>
          </w:tcPr>
          <w:p w14:paraId="04F37410" w14:textId="77777777" w:rsidR="00774AF7" w:rsidRPr="00AE2F09" w:rsidRDefault="00774AF7" w:rsidP="00987AD1">
            <w:pPr>
              <w:pStyle w:val="Tableheading0"/>
              <w:keepNext/>
              <w:keepLines/>
              <w:rPr>
                <w:rFonts w:ascii="Arial Narrow" w:eastAsia="Times New Roman" w:hAnsi="Arial Narrow" w:cs="Times New Roman"/>
                <w:b w:val="0"/>
                <w:snapToGrid w:val="0"/>
                <w:szCs w:val="24"/>
              </w:rPr>
            </w:pPr>
            <w:r w:rsidRPr="00AE2F09">
              <w:rPr>
                <w:rFonts w:ascii="Arial Narrow" w:eastAsia="Times New Roman" w:hAnsi="Arial Narrow" w:cs="Times New Roman"/>
                <w:b w:val="0"/>
                <w:snapToGrid w:val="0"/>
                <w:szCs w:val="24"/>
              </w:rPr>
              <w:t>965 (359)</w:t>
            </w:r>
          </w:p>
        </w:tc>
      </w:tr>
      <w:tr w:rsidR="00987AD1" w:rsidRPr="00AE2F09" w14:paraId="1A62E14B" w14:textId="77777777" w:rsidTr="00FD7CD0">
        <w:tc>
          <w:tcPr>
            <w:tcW w:w="2749" w:type="pct"/>
            <w:tcBorders>
              <w:bottom w:val="nil"/>
            </w:tcBorders>
          </w:tcPr>
          <w:p w14:paraId="5972ED49" w14:textId="77777777" w:rsidR="00774AF7" w:rsidRPr="00AE2F09" w:rsidRDefault="00774AF7" w:rsidP="00987AD1">
            <w:pPr>
              <w:pStyle w:val="Tabletext"/>
              <w:keepNext/>
              <w:keepLines/>
            </w:pPr>
            <w:r w:rsidRPr="00AE2F09">
              <w:t>By Phe levels (</w:t>
            </w:r>
            <w:r w:rsidRPr="00AE2F09">
              <w:rPr>
                <w:snapToGrid/>
              </w:rPr>
              <w:t>Proportion of patients, n (%)</w:t>
            </w:r>
            <w:r w:rsidRPr="00AE2F09">
              <w:t>)</w:t>
            </w:r>
          </w:p>
        </w:tc>
        <w:tc>
          <w:tcPr>
            <w:tcW w:w="1247" w:type="pct"/>
            <w:tcBorders>
              <w:bottom w:val="nil"/>
            </w:tcBorders>
          </w:tcPr>
          <w:p w14:paraId="2905F45E"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c>
          <w:tcPr>
            <w:tcW w:w="1004" w:type="pct"/>
            <w:tcBorders>
              <w:bottom w:val="nil"/>
            </w:tcBorders>
          </w:tcPr>
          <w:p w14:paraId="647C94BC"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r>
      <w:tr w:rsidR="00987AD1" w:rsidRPr="00AE2F09" w14:paraId="08535F4C" w14:textId="77777777" w:rsidTr="00FD7CD0">
        <w:tc>
          <w:tcPr>
            <w:tcW w:w="2749" w:type="pct"/>
            <w:tcBorders>
              <w:top w:val="nil"/>
              <w:bottom w:val="nil"/>
            </w:tcBorders>
          </w:tcPr>
          <w:p w14:paraId="5E69AA6C"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600 µmol/L</w:t>
            </w:r>
          </w:p>
        </w:tc>
        <w:tc>
          <w:tcPr>
            <w:tcW w:w="1247" w:type="pct"/>
            <w:tcBorders>
              <w:top w:val="nil"/>
              <w:bottom w:val="nil"/>
            </w:tcBorders>
          </w:tcPr>
          <w:p w14:paraId="16BBE992"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63 (79)</w:t>
            </w:r>
          </w:p>
        </w:tc>
        <w:tc>
          <w:tcPr>
            <w:tcW w:w="1004" w:type="pct"/>
            <w:tcBorders>
              <w:top w:val="nil"/>
              <w:bottom w:val="nil"/>
            </w:tcBorders>
          </w:tcPr>
          <w:p w14:paraId="41FC54F0"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 (12)</w:t>
            </w:r>
          </w:p>
        </w:tc>
      </w:tr>
      <w:tr w:rsidR="00987AD1" w:rsidRPr="00AE2F09" w14:paraId="4C05D794" w14:textId="77777777" w:rsidTr="00FD7CD0">
        <w:tc>
          <w:tcPr>
            <w:tcW w:w="2749" w:type="pct"/>
            <w:tcBorders>
              <w:top w:val="nil"/>
              <w:bottom w:val="nil"/>
            </w:tcBorders>
          </w:tcPr>
          <w:p w14:paraId="017B8D80"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360 µmol/L</w:t>
            </w:r>
          </w:p>
        </w:tc>
        <w:tc>
          <w:tcPr>
            <w:tcW w:w="1247" w:type="pct"/>
            <w:tcBorders>
              <w:top w:val="nil"/>
              <w:bottom w:val="nil"/>
            </w:tcBorders>
          </w:tcPr>
          <w:p w14:paraId="7BF02563"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58 (72)</w:t>
            </w:r>
          </w:p>
        </w:tc>
        <w:tc>
          <w:tcPr>
            <w:tcW w:w="1004" w:type="pct"/>
            <w:tcBorders>
              <w:top w:val="nil"/>
              <w:bottom w:val="nil"/>
            </w:tcBorders>
          </w:tcPr>
          <w:p w14:paraId="46D74884"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1 (2)</w:t>
            </w:r>
          </w:p>
        </w:tc>
      </w:tr>
      <w:tr w:rsidR="00987AD1" w:rsidRPr="00AE2F09" w14:paraId="6FB98652" w14:textId="77777777" w:rsidTr="00FD7CD0">
        <w:tc>
          <w:tcPr>
            <w:tcW w:w="2749" w:type="pct"/>
            <w:tcBorders>
              <w:top w:val="nil"/>
              <w:bottom w:val="single" w:sz="4" w:space="0" w:color="auto"/>
            </w:tcBorders>
          </w:tcPr>
          <w:p w14:paraId="172C2AA0"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120 µmol/L</w:t>
            </w:r>
          </w:p>
        </w:tc>
        <w:tc>
          <w:tcPr>
            <w:tcW w:w="1247" w:type="pct"/>
            <w:tcBorders>
              <w:top w:val="nil"/>
              <w:bottom w:val="single" w:sz="4" w:space="0" w:color="auto"/>
            </w:tcBorders>
          </w:tcPr>
          <w:p w14:paraId="146BF825"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37 (46)</w:t>
            </w:r>
          </w:p>
        </w:tc>
        <w:tc>
          <w:tcPr>
            <w:tcW w:w="1004" w:type="pct"/>
            <w:tcBorders>
              <w:top w:val="nil"/>
              <w:bottom w:val="single" w:sz="4" w:space="0" w:color="auto"/>
            </w:tcBorders>
          </w:tcPr>
          <w:p w14:paraId="0D1B69E1"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0</w:t>
            </w:r>
          </w:p>
        </w:tc>
      </w:tr>
      <w:tr w:rsidR="00987AD1" w:rsidRPr="00AE2F09" w14:paraId="3BD6F3AD" w14:textId="77777777" w:rsidTr="00FD7CD0">
        <w:tc>
          <w:tcPr>
            <w:tcW w:w="2749" w:type="pct"/>
            <w:tcBorders>
              <w:bottom w:val="nil"/>
            </w:tcBorders>
          </w:tcPr>
          <w:p w14:paraId="3B62F0B9" w14:textId="77777777" w:rsidR="00774AF7" w:rsidRPr="00AE2F09" w:rsidRDefault="00774AF7" w:rsidP="00987AD1">
            <w:pPr>
              <w:pStyle w:val="Tabletext"/>
              <w:keepNext/>
              <w:keepLines/>
            </w:pPr>
            <w:r w:rsidRPr="00AE2F09">
              <w:t>By percentage of Phe reduction (</w:t>
            </w:r>
            <w:r w:rsidRPr="00AE2F09">
              <w:rPr>
                <w:snapToGrid/>
              </w:rPr>
              <w:t>Proportion of patients, n (%)</w:t>
            </w:r>
            <w:r w:rsidRPr="00AE2F09">
              <w:t>)</w:t>
            </w:r>
          </w:p>
        </w:tc>
        <w:tc>
          <w:tcPr>
            <w:tcW w:w="1247" w:type="pct"/>
            <w:tcBorders>
              <w:bottom w:val="nil"/>
            </w:tcBorders>
          </w:tcPr>
          <w:p w14:paraId="5DB9C9A3"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c>
          <w:tcPr>
            <w:tcW w:w="1004" w:type="pct"/>
            <w:tcBorders>
              <w:bottom w:val="nil"/>
            </w:tcBorders>
          </w:tcPr>
          <w:p w14:paraId="3B7969A7" w14:textId="77777777" w:rsidR="00774AF7" w:rsidRPr="00AE2F09" w:rsidRDefault="00774AF7" w:rsidP="00987AD1">
            <w:pPr>
              <w:pStyle w:val="Tablecentre"/>
              <w:keepNext/>
              <w:keepLines/>
              <w:rPr>
                <w:rFonts w:ascii="Arial Narrow" w:eastAsia="Times New Roman" w:hAnsi="Arial Narrow" w:cs="Times New Roman"/>
                <w:snapToGrid w:val="0"/>
                <w:szCs w:val="24"/>
              </w:rPr>
            </w:pPr>
          </w:p>
        </w:tc>
      </w:tr>
      <w:tr w:rsidR="00987AD1" w:rsidRPr="00AE2F09" w14:paraId="75CEE202" w14:textId="77777777" w:rsidTr="00FD7CD0">
        <w:tc>
          <w:tcPr>
            <w:tcW w:w="2749" w:type="pct"/>
            <w:tcBorders>
              <w:top w:val="nil"/>
              <w:bottom w:val="nil"/>
            </w:tcBorders>
          </w:tcPr>
          <w:p w14:paraId="404EFCAE"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20% reduction in blood Phe</w:t>
            </w:r>
          </w:p>
        </w:tc>
        <w:tc>
          <w:tcPr>
            <w:tcW w:w="1247" w:type="pct"/>
            <w:tcBorders>
              <w:top w:val="nil"/>
              <w:bottom w:val="nil"/>
            </w:tcBorders>
          </w:tcPr>
          <w:p w14:paraId="314067F8"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68 (85)</w:t>
            </w:r>
          </w:p>
        </w:tc>
        <w:tc>
          <w:tcPr>
            <w:tcW w:w="1004" w:type="pct"/>
            <w:tcBorders>
              <w:top w:val="nil"/>
              <w:bottom w:val="nil"/>
            </w:tcBorders>
          </w:tcPr>
          <w:p w14:paraId="0EE156E2"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13 (31)</w:t>
            </w:r>
          </w:p>
        </w:tc>
      </w:tr>
      <w:tr w:rsidR="00987AD1" w:rsidRPr="00AE2F09" w14:paraId="7EBF474C" w14:textId="77777777" w:rsidTr="00FD7CD0">
        <w:tc>
          <w:tcPr>
            <w:tcW w:w="2749" w:type="pct"/>
            <w:tcBorders>
              <w:top w:val="nil"/>
              <w:bottom w:val="nil"/>
            </w:tcBorders>
          </w:tcPr>
          <w:p w14:paraId="1CC152A0"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30% reduction in blood Phe</w:t>
            </w:r>
          </w:p>
        </w:tc>
        <w:tc>
          <w:tcPr>
            <w:tcW w:w="1247" w:type="pct"/>
            <w:tcBorders>
              <w:top w:val="nil"/>
              <w:bottom w:val="nil"/>
            </w:tcBorders>
          </w:tcPr>
          <w:p w14:paraId="3F8B8D2E"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65 (81)</w:t>
            </w:r>
          </w:p>
        </w:tc>
        <w:tc>
          <w:tcPr>
            <w:tcW w:w="1004" w:type="pct"/>
            <w:tcBorders>
              <w:top w:val="nil"/>
              <w:bottom w:val="nil"/>
            </w:tcBorders>
          </w:tcPr>
          <w:p w14:paraId="67B3FB5F"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9 (21)</w:t>
            </w:r>
          </w:p>
        </w:tc>
      </w:tr>
      <w:tr w:rsidR="00987AD1" w:rsidRPr="00AE2F09" w14:paraId="03F902C6" w14:textId="77777777" w:rsidTr="00FD7CD0">
        <w:tc>
          <w:tcPr>
            <w:tcW w:w="2749" w:type="pct"/>
            <w:tcBorders>
              <w:top w:val="nil"/>
            </w:tcBorders>
          </w:tcPr>
          <w:p w14:paraId="0B1F1C02" w14:textId="77777777" w:rsidR="00774AF7" w:rsidRPr="00AE2F09" w:rsidRDefault="00774AF7" w:rsidP="00987AD1">
            <w:pPr>
              <w:pStyle w:val="Tab1table"/>
              <w:keepNext/>
              <w:keepLines/>
              <w:rPr>
                <w:rFonts w:ascii="Arial Narrow" w:hAnsi="Arial Narrow"/>
                <w:snapToGrid w:val="0"/>
                <w:szCs w:val="24"/>
              </w:rPr>
            </w:pPr>
            <w:r w:rsidRPr="00AE2F09">
              <w:rPr>
                <w:rFonts w:ascii="Arial Narrow" w:hAnsi="Arial Narrow"/>
                <w:snapToGrid w:val="0"/>
                <w:szCs w:val="24"/>
              </w:rPr>
              <w:t>≥ 50% reduction in blood Phe</w:t>
            </w:r>
          </w:p>
        </w:tc>
        <w:tc>
          <w:tcPr>
            <w:tcW w:w="1247" w:type="pct"/>
            <w:tcBorders>
              <w:top w:val="nil"/>
            </w:tcBorders>
          </w:tcPr>
          <w:p w14:paraId="438233B2"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59 (74)</w:t>
            </w:r>
          </w:p>
        </w:tc>
        <w:tc>
          <w:tcPr>
            <w:tcW w:w="1004" w:type="pct"/>
            <w:tcBorders>
              <w:top w:val="nil"/>
            </w:tcBorders>
          </w:tcPr>
          <w:p w14:paraId="75060BA1" w14:textId="77777777" w:rsidR="00774AF7" w:rsidRPr="00AE2F09" w:rsidRDefault="00774AF7" w:rsidP="00987AD1">
            <w:pPr>
              <w:pStyle w:val="Tablecentre"/>
              <w:keepNext/>
              <w:keepLines/>
              <w:rPr>
                <w:rFonts w:ascii="Arial Narrow" w:eastAsia="Times New Roman" w:hAnsi="Arial Narrow" w:cs="Times New Roman"/>
                <w:snapToGrid w:val="0"/>
                <w:szCs w:val="24"/>
              </w:rPr>
            </w:pPr>
            <w:r w:rsidRPr="00AE2F09">
              <w:rPr>
                <w:rFonts w:ascii="Arial Narrow" w:eastAsia="Times New Roman" w:hAnsi="Arial Narrow" w:cs="Times New Roman"/>
                <w:snapToGrid w:val="0"/>
                <w:szCs w:val="24"/>
              </w:rPr>
              <w:t>3 (7)</w:t>
            </w:r>
          </w:p>
        </w:tc>
      </w:tr>
    </w:tbl>
    <w:p w14:paraId="02EC0CF9" w14:textId="77777777" w:rsidR="00774AF7" w:rsidRPr="00AE2F09" w:rsidRDefault="00774AF7" w:rsidP="00987AD1">
      <w:pPr>
        <w:keepNext/>
        <w:keepLines/>
        <w:rPr>
          <w:rFonts w:ascii="Arial Narrow" w:hAnsi="Arial Narrow"/>
          <w:sz w:val="18"/>
        </w:rPr>
      </w:pPr>
      <w:r w:rsidRPr="00AE2F09">
        <w:rPr>
          <w:rFonts w:ascii="Arial Narrow" w:hAnsi="Arial Narrow"/>
          <w:sz w:val="18"/>
        </w:rPr>
        <w:t>Source: Table 2.6-3 (p141) of the submission</w:t>
      </w:r>
    </w:p>
    <w:p w14:paraId="34BA51EC" w14:textId="77777777" w:rsidR="00774AF7" w:rsidRPr="00AE2F09" w:rsidRDefault="00774AF7" w:rsidP="00987AD1">
      <w:pPr>
        <w:keepNext/>
        <w:keepLines/>
        <w:rPr>
          <w:rFonts w:ascii="Arial Narrow" w:hAnsi="Arial Narrow"/>
          <w:sz w:val="18"/>
        </w:rPr>
      </w:pPr>
      <w:r w:rsidRPr="00AE2F09">
        <w:rPr>
          <w:rFonts w:ascii="Arial Narrow" w:hAnsi="Arial Narrow"/>
          <w:sz w:val="18"/>
        </w:rPr>
        <w:t>Phe = phenylalanine; SD = standard deviation</w:t>
      </w:r>
    </w:p>
    <w:p w14:paraId="6AE59DAE" w14:textId="340E7306" w:rsidR="00774AF7" w:rsidRPr="00AE2F09" w:rsidRDefault="00774AF7" w:rsidP="00987AD1">
      <w:pPr>
        <w:keepNext/>
        <w:keepLines/>
        <w:rPr>
          <w:rFonts w:ascii="Arial Narrow" w:hAnsi="Arial Narrow"/>
          <w:sz w:val="18"/>
        </w:rPr>
      </w:pPr>
      <w:r w:rsidRPr="00AE2F09">
        <w:rPr>
          <w:rFonts w:ascii="Arial Narrow" w:hAnsi="Arial Narrow"/>
          <w:sz w:val="18"/>
        </w:rPr>
        <w:t>¥ The baseline mean blood-Phe levels between arms in the analysis were comparable. Mean (SD) baseline blood</w:t>
      </w:r>
      <w:r w:rsidR="00867CD5">
        <w:rPr>
          <w:rFonts w:ascii="Arial Narrow" w:hAnsi="Arial Narrow"/>
          <w:sz w:val="18"/>
        </w:rPr>
        <w:t>-</w:t>
      </w:r>
      <w:r w:rsidRPr="00AE2F09">
        <w:rPr>
          <w:rFonts w:ascii="Arial Narrow" w:hAnsi="Arial Narrow"/>
          <w:sz w:val="18"/>
        </w:rPr>
        <w:t>Phe concentration for patients included in Year 1 analysis: Pegvaliase 1089 (289) μmol/L; Phe-restricted diet alone 1037 (271) μmol/L</w:t>
      </w:r>
    </w:p>
    <w:p w14:paraId="05DF0FFB" w14:textId="4D9E2116" w:rsidR="00774AF7" w:rsidRPr="00AE2F09" w:rsidRDefault="00774AF7" w:rsidP="00987AD1">
      <w:pPr>
        <w:keepNext/>
        <w:keepLines/>
        <w:rPr>
          <w:rFonts w:ascii="Arial Narrow" w:hAnsi="Arial Narrow"/>
          <w:sz w:val="18"/>
        </w:rPr>
      </w:pPr>
      <w:r w:rsidRPr="00AE2F09">
        <w:rPr>
          <w:rFonts w:ascii="Arial Narrow" w:hAnsi="Arial Narrow"/>
          <w:sz w:val="18"/>
        </w:rPr>
        <w:t>Mean (SD) baseline blood</w:t>
      </w:r>
      <w:r w:rsidR="00867CD5">
        <w:rPr>
          <w:rFonts w:ascii="Arial Narrow" w:hAnsi="Arial Narrow"/>
          <w:sz w:val="18"/>
        </w:rPr>
        <w:t>-</w:t>
      </w:r>
      <w:r w:rsidRPr="00AE2F09">
        <w:rPr>
          <w:rFonts w:ascii="Arial Narrow" w:hAnsi="Arial Narrow"/>
          <w:sz w:val="18"/>
        </w:rPr>
        <w:t xml:space="preserve">Phe concentration for patients included in Year 2 analysis: Pegvaliase 1107 (293) μmol/L; Phe-restricted diet alone 1051 (302) μmol/L  </w:t>
      </w:r>
    </w:p>
    <w:p w14:paraId="5974B5B9" w14:textId="77777777" w:rsidR="00774AF7" w:rsidRPr="00AE2F09" w:rsidRDefault="00774AF7" w:rsidP="00774AF7">
      <w:pPr>
        <w:pStyle w:val="3-BodyText"/>
        <w:numPr>
          <w:ilvl w:val="0"/>
          <w:numId w:val="0"/>
        </w:numPr>
      </w:pPr>
    </w:p>
    <w:p w14:paraId="5615B382" w14:textId="4B8D326B" w:rsidR="00B5346F" w:rsidRPr="00AE2F09" w:rsidRDefault="00B5346F" w:rsidP="00B5346F">
      <w:pPr>
        <w:pStyle w:val="3-BodyText"/>
      </w:pPr>
      <w:r w:rsidRPr="00AE2F09">
        <w:t>Zori 2019 reported that matched patients treated with pegvaliase achieve</w:t>
      </w:r>
      <w:r w:rsidR="00303909" w:rsidRPr="00AE2F09">
        <w:t>d</w:t>
      </w:r>
      <w:r w:rsidRPr="00AE2F09">
        <w:t xml:space="preserve"> better results across all blood-Phe outcomes than patients treated with Phe-restricted diet. However, </w:t>
      </w:r>
      <w:r w:rsidR="00E82F2B">
        <w:t xml:space="preserve">the evaluation </w:t>
      </w:r>
      <w:r w:rsidR="00E82F2B" w:rsidRPr="00722E02">
        <w:t>and the ESC</w:t>
      </w:r>
      <w:r w:rsidR="00E82F2B">
        <w:t xml:space="preserve"> noted the following issues with the analysis</w:t>
      </w:r>
      <w:r w:rsidRPr="00AE2F09">
        <w:t>:</w:t>
      </w:r>
    </w:p>
    <w:p w14:paraId="19946A61" w14:textId="0763A3D8" w:rsidR="00B5346F" w:rsidRPr="00AE2F09" w:rsidRDefault="00B5346F" w:rsidP="00975BF7">
      <w:pPr>
        <w:pStyle w:val="ListBullet"/>
        <w:numPr>
          <w:ilvl w:val="0"/>
          <w:numId w:val="7"/>
        </w:numPr>
        <w:spacing w:after="120"/>
        <w:ind w:left="1134" w:hanging="425"/>
        <w:contextualSpacing w:val="0"/>
      </w:pPr>
      <w:r w:rsidRPr="00AE2F09">
        <w:t>Whilst 125 patients per arm were matched at baseline for the analysis, follow-up data w</w:t>
      </w:r>
      <w:r w:rsidR="00D6041A" w:rsidRPr="00AE2F09">
        <w:t>ere</w:t>
      </w:r>
      <w:r w:rsidRPr="00AE2F09">
        <w:t xml:space="preserve"> only available for 87 and 51 patients in year 1 for pegvaliase and Phe-restricted diet patients</w:t>
      </w:r>
      <w:r w:rsidR="00303909" w:rsidRPr="00AE2F09">
        <w:t xml:space="preserve"> respectively</w:t>
      </w:r>
      <w:r w:rsidRPr="00AE2F09">
        <w:t xml:space="preserve">, and 80 and 42 patients respectively in Year 2. It </w:t>
      </w:r>
      <w:r w:rsidR="00E2115E" w:rsidRPr="00AE2F09">
        <w:t>wa</w:t>
      </w:r>
      <w:r w:rsidRPr="00AE2F09">
        <w:t xml:space="preserve">s unclear whether there </w:t>
      </w:r>
      <w:r w:rsidR="00722E02">
        <w:t>were</w:t>
      </w:r>
      <w:r w:rsidR="00722E02" w:rsidRPr="00AE2F09">
        <w:t xml:space="preserve"> </w:t>
      </w:r>
      <w:r w:rsidRPr="00AE2F09">
        <w:t>systematic differences between these arms in patients due to factors</w:t>
      </w:r>
      <w:r w:rsidR="000469F1" w:rsidRPr="00AE2F09">
        <w:t xml:space="preserve"> leading to lost to follow up</w:t>
      </w:r>
      <w:r w:rsidR="003B5A67" w:rsidRPr="00AE2F09">
        <w:t>;</w:t>
      </w:r>
      <w:r w:rsidRPr="00AE2F09">
        <w:t xml:space="preserve"> </w:t>
      </w:r>
    </w:p>
    <w:p w14:paraId="08835176" w14:textId="5DB26700" w:rsidR="00232747" w:rsidRPr="000764C2" w:rsidRDefault="00C24EE7" w:rsidP="00232747">
      <w:pPr>
        <w:pStyle w:val="ListParagraph"/>
        <w:numPr>
          <w:ilvl w:val="0"/>
          <w:numId w:val="7"/>
        </w:numPr>
        <w:ind w:left="1134" w:hanging="425"/>
      </w:pPr>
      <w:r w:rsidRPr="00AE2F09">
        <w:t>T</w:t>
      </w:r>
      <w:r w:rsidR="00B5346F" w:rsidRPr="00AE2F09">
        <w:t xml:space="preserve">here </w:t>
      </w:r>
      <w:r w:rsidR="00E2115E" w:rsidRPr="00AE2F09">
        <w:t>was</w:t>
      </w:r>
      <w:r w:rsidR="004F0DBC" w:rsidRPr="00AE2F09">
        <w:t xml:space="preserve"> </w:t>
      </w:r>
      <w:r w:rsidR="00B5346F" w:rsidRPr="00AE2F09">
        <w:t>no common comparator arm</w:t>
      </w:r>
      <w:r w:rsidRPr="00AE2F09">
        <w:t xml:space="preserve">, </w:t>
      </w:r>
      <w:r w:rsidR="00232747" w:rsidRPr="000764C2">
        <w:t>and as such there was high potential for confounding due to differences in prognostic factors (that were not accounted for in the matching) across single arms of different studies;</w:t>
      </w:r>
    </w:p>
    <w:p w14:paraId="6DC1D125" w14:textId="1A77451F" w:rsidR="00B5346F" w:rsidRDefault="00441F9F" w:rsidP="00975BF7">
      <w:pPr>
        <w:pStyle w:val="ListParagraph"/>
        <w:numPr>
          <w:ilvl w:val="0"/>
          <w:numId w:val="7"/>
        </w:numPr>
        <w:ind w:left="1134" w:hanging="425"/>
      </w:pPr>
      <w:r w:rsidRPr="000764C2">
        <w:t xml:space="preserve">It was unclear whether all relevant effect modifiers and prognostic variables were identified in the analysis. </w:t>
      </w:r>
      <w:r>
        <w:t>For example, p</w:t>
      </w:r>
      <w:r w:rsidR="00C24EE7" w:rsidRPr="00AE2F09">
        <w:t xml:space="preserve">atients were not matched for sapropterin responsiveness, </w:t>
      </w:r>
      <w:r w:rsidR="002F7CCA" w:rsidRPr="00AE2F09">
        <w:t xml:space="preserve">which </w:t>
      </w:r>
      <w:r w:rsidR="002D3514" w:rsidRPr="00AE2F09">
        <w:t xml:space="preserve">was </w:t>
      </w:r>
      <w:r>
        <w:t xml:space="preserve">also </w:t>
      </w:r>
      <w:r w:rsidR="00B5346F" w:rsidRPr="00AE2F09">
        <w:t>a potential applicability issue</w:t>
      </w:r>
      <w:r w:rsidR="003B5A67" w:rsidRPr="00AE2F09">
        <w:t>;</w:t>
      </w:r>
    </w:p>
    <w:p w14:paraId="3F816457" w14:textId="51A50F9E" w:rsidR="00B5346F" w:rsidRPr="00AE2F09" w:rsidRDefault="00B5346F" w:rsidP="00B5346F">
      <w:pPr>
        <w:pStyle w:val="ListBullet"/>
        <w:tabs>
          <w:tab w:val="clear" w:pos="360"/>
          <w:tab w:val="num" w:pos="770"/>
        </w:tabs>
        <w:spacing w:after="120"/>
        <w:ind w:left="1134" w:hanging="425"/>
        <w:contextualSpacing w:val="0"/>
      </w:pPr>
      <w:r w:rsidRPr="00AE2F09">
        <w:t xml:space="preserve">The mean blood-Phe levels have large SDs, with the SD around the pegvaliase estimates being larger than the estimated mean blood-Phe. This </w:t>
      </w:r>
      <w:r w:rsidR="003B5A67" w:rsidRPr="00AE2F09">
        <w:t xml:space="preserve">suggests </w:t>
      </w:r>
      <w:r w:rsidRPr="00AE2F09">
        <w:t>a sizeable amount of uncertainty</w:t>
      </w:r>
      <w:r w:rsidR="003B5A67" w:rsidRPr="00AE2F09">
        <w:t xml:space="preserve"> with the results; and</w:t>
      </w:r>
    </w:p>
    <w:p w14:paraId="61F326A9" w14:textId="77777777" w:rsidR="00B5346F" w:rsidRPr="00AE2F09" w:rsidRDefault="00B5346F" w:rsidP="00B5346F">
      <w:pPr>
        <w:pStyle w:val="ListBullet"/>
        <w:tabs>
          <w:tab w:val="clear" w:pos="360"/>
          <w:tab w:val="num" w:pos="770"/>
        </w:tabs>
        <w:spacing w:after="120"/>
        <w:ind w:left="1134" w:hanging="425"/>
        <w:contextualSpacing w:val="0"/>
      </w:pPr>
      <w:r w:rsidRPr="00AE2F09">
        <w:t>There are no measures of uncertainty around the proportion of patients achieving the blood-Phe outcomes nor any formal statistical testing to allow an estimation of the incremental benefit of pegvaliase compared to diet alone.</w:t>
      </w:r>
    </w:p>
    <w:p w14:paraId="07E2483F" w14:textId="50686133" w:rsidR="00EE4EAD" w:rsidRDefault="00EE4EAD" w:rsidP="00EE4EAD">
      <w:pPr>
        <w:pStyle w:val="3-BodyText"/>
      </w:pPr>
      <w:bookmarkStart w:id="51" w:name="_Ref103052572"/>
      <w:r w:rsidRPr="00AE2F09">
        <w:t>Zori 2019 also presented results comparing matched patients (by age, gender and baseline blood-Phe) treated with pegvaliase (n=43) compared to patients treated with sapropterin plus diet in PKUDOS (n=25). Both treatments led to decreases in blood-Phe over time, but compared to sapropterin, a higher proportion of patients treated with pegvaliase achieved ≤360 µmol/L at year 1 (2/25 (8%) and 22/43 (51%, respectively) and at year 2 (2/25 (8%) and 26/40 (65%), respectively), suggesting that pegvaliase was more effective than sapropterin at lowering blood-Phe levels.</w:t>
      </w:r>
      <w:bookmarkEnd w:id="51"/>
    </w:p>
    <w:p w14:paraId="4ACC6944" w14:textId="76B5E314" w:rsidR="000D0F10" w:rsidRPr="00975BF7" w:rsidRDefault="00975BF7" w:rsidP="00232747">
      <w:pPr>
        <w:pStyle w:val="3-BodyText"/>
        <w:numPr>
          <w:ilvl w:val="0"/>
          <w:numId w:val="0"/>
        </w:numPr>
        <w:outlineLvl w:val="2"/>
        <w:rPr>
          <w:b/>
          <w:bCs/>
          <w:i/>
          <w:iCs/>
        </w:rPr>
      </w:pPr>
      <w:r w:rsidRPr="00975BF7">
        <w:rPr>
          <w:b/>
          <w:bCs/>
          <w:i/>
          <w:iCs/>
        </w:rPr>
        <w:t>Naïve indirect comparison</w:t>
      </w:r>
    </w:p>
    <w:p w14:paraId="682B97DF" w14:textId="6A28619A" w:rsidR="00B5346F" w:rsidRPr="00AE2F09" w:rsidRDefault="00441F9F" w:rsidP="003B5A67">
      <w:pPr>
        <w:pStyle w:val="3-BodyText"/>
      </w:pPr>
      <w:r>
        <w:t>Rather than using t</w:t>
      </w:r>
      <w:r w:rsidR="00B5346F" w:rsidRPr="00AE2F09">
        <w:t>he results of Zori 2019 to inform the economic evaluation</w:t>
      </w:r>
      <w:r w:rsidR="00880D03" w:rsidRPr="00AE2F09">
        <w:t xml:space="preserve">, the economic model relied on </w:t>
      </w:r>
      <w:r>
        <w:t xml:space="preserve">pegvaliase </w:t>
      </w:r>
      <w:r w:rsidR="00880D03" w:rsidRPr="00AE2F09">
        <w:t xml:space="preserve">responder rates </w:t>
      </w:r>
      <w:r>
        <w:t>from</w:t>
      </w:r>
      <w:r w:rsidR="005C4779" w:rsidRPr="00AE2F09">
        <w:t xml:space="preserve"> the naïve indirect comparison</w:t>
      </w:r>
      <w:r>
        <w:t>.</w:t>
      </w:r>
      <w:r w:rsidR="000D0F10">
        <w:t xml:space="preserve"> </w:t>
      </w:r>
      <w:r w:rsidR="005C4779" w:rsidRPr="00AE2F09">
        <w:t xml:space="preserve">The results from the naïve indirect comparison </w:t>
      </w:r>
      <w:r w:rsidR="00C2576A" w:rsidRPr="00AE2F09">
        <w:t xml:space="preserve">are </w:t>
      </w:r>
      <w:r w:rsidR="005C4779" w:rsidRPr="00AE2F09">
        <w:t xml:space="preserve">presented in </w:t>
      </w:r>
      <w:r w:rsidR="005C4779" w:rsidRPr="00AE2F09">
        <w:fldChar w:fldCharType="begin"/>
      </w:r>
      <w:r w:rsidR="005C4779" w:rsidRPr="00AE2F09">
        <w:instrText xml:space="preserve"> REF _Ref103050259 \h  \* MERGEFORMAT </w:instrText>
      </w:r>
      <w:r w:rsidR="005C4779" w:rsidRPr="00AE2F09">
        <w:fldChar w:fldCharType="separate"/>
      </w:r>
      <w:r w:rsidR="001162C8" w:rsidRPr="001162C8">
        <w:t>Table 7</w:t>
      </w:r>
      <w:r w:rsidR="005C4779" w:rsidRPr="00AE2F09">
        <w:fldChar w:fldCharType="end"/>
      </w:r>
      <w:r w:rsidR="005C4779" w:rsidRPr="00AE2F09">
        <w:t>.</w:t>
      </w:r>
    </w:p>
    <w:p w14:paraId="6FE401E6" w14:textId="6FC90CF0" w:rsidR="00774AF7" w:rsidRPr="00AE2F09" w:rsidRDefault="00987AD1" w:rsidP="00987AD1">
      <w:pPr>
        <w:pStyle w:val="TableFigureHeading"/>
        <w:keepLines/>
        <w:rPr>
          <w:rStyle w:val="CommentReference"/>
          <w:b/>
          <w:bCs w:val="0"/>
          <w:szCs w:val="24"/>
        </w:rPr>
      </w:pPr>
      <w:bookmarkStart w:id="52" w:name="_Ref103050259"/>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7</w:t>
      </w:r>
      <w:r w:rsidRPr="00AE2F09">
        <w:rPr>
          <w:rStyle w:val="CommentReference"/>
          <w:b/>
          <w:bCs w:val="0"/>
          <w:szCs w:val="24"/>
        </w:rPr>
        <w:fldChar w:fldCharType="end"/>
      </w:r>
      <w:bookmarkEnd w:id="52"/>
      <w:r w:rsidR="00774AF7" w:rsidRPr="00AE2F09">
        <w:rPr>
          <w:rStyle w:val="CommentReference"/>
          <w:b/>
          <w:bCs w:val="0"/>
          <w:szCs w:val="24"/>
        </w:rPr>
        <w:t>: Blood-Phe level outcome results over time in the indirect comparison</w:t>
      </w:r>
    </w:p>
    <w:tbl>
      <w:tblPr>
        <w:tblStyle w:val="TableGrid"/>
        <w:tblW w:w="0" w:type="auto"/>
        <w:tblCellMar>
          <w:left w:w="28" w:type="dxa"/>
          <w:right w:w="28" w:type="dxa"/>
        </w:tblCellMar>
        <w:tblLook w:val="04A0" w:firstRow="1" w:lastRow="0" w:firstColumn="1" w:lastColumn="0" w:noHBand="0" w:noVBand="1"/>
      </w:tblPr>
      <w:tblGrid>
        <w:gridCol w:w="893"/>
        <w:gridCol w:w="1338"/>
        <w:gridCol w:w="1339"/>
        <w:gridCol w:w="1339"/>
        <w:gridCol w:w="1339"/>
        <w:gridCol w:w="1339"/>
        <w:gridCol w:w="1339"/>
      </w:tblGrid>
      <w:tr w:rsidR="00987AD1" w:rsidRPr="00AE2F09" w14:paraId="1EF4A4E3" w14:textId="77777777" w:rsidTr="0000364B">
        <w:trPr>
          <w:trHeight w:val="67"/>
        </w:trPr>
        <w:tc>
          <w:tcPr>
            <w:tcW w:w="893" w:type="dxa"/>
            <w:vMerge w:val="restart"/>
            <w:shd w:val="clear" w:color="auto" w:fill="auto"/>
            <w:vAlign w:val="center"/>
          </w:tcPr>
          <w:p w14:paraId="1929D044"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Time period</w:t>
            </w:r>
          </w:p>
        </w:tc>
        <w:tc>
          <w:tcPr>
            <w:tcW w:w="4016" w:type="dxa"/>
            <w:gridSpan w:val="3"/>
            <w:shd w:val="clear" w:color="auto" w:fill="auto"/>
            <w:vAlign w:val="center"/>
          </w:tcPr>
          <w:p w14:paraId="74276FFB"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≤360 µmol/L</w:t>
            </w:r>
          </w:p>
        </w:tc>
        <w:tc>
          <w:tcPr>
            <w:tcW w:w="4017" w:type="dxa"/>
            <w:gridSpan w:val="3"/>
            <w:vAlign w:val="center"/>
          </w:tcPr>
          <w:p w14:paraId="1E7F9144"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 30% reduction from baseline</w:t>
            </w:r>
          </w:p>
        </w:tc>
      </w:tr>
      <w:tr w:rsidR="00987AD1" w:rsidRPr="00AE2F09" w14:paraId="12BF198A" w14:textId="77777777" w:rsidTr="0000364B">
        <w:trPr>
          <w:trHeight w:val="67"/>
        </w:trPr>
        <w:tc>
          <w:tcPr>
            <w:tcW w:w="893" w:type="dxa"/>
            <w:vMerge/>
            <w:shd w:val="clear" w:color="auto" w:fill="auto"/>
            <w:vAlign w:val="center"/>
          </w:tcPr>
          <w:p w14:paraId="2A66615F" w14:textId="77777777" w:rsidR="00987AD1" w:rsidRPr="00AE2F09" w:rsidRDefault="00987AD1" w:rsidP="00FD7CD0">
            <w:pPr>
              <w:pStyle w:val="Tab1table"/>
              <w:keepNext/>
              <w:keepLines/>
              <w:ind w:left="0"/>
              <w:rPr>
                <w:rFonts w:ascii="Arial Narrow" w:hAnsi="Arial Narrow"/>
                <w:b/>
                <w:bCs/>
                <w:snapToGrid w:val="0"/>
                <w:szCs w:val="24"/>
              </w:rPr>
            </w:pPr>
          </w:p>
        </w:tc>
        <w:tc>
          <w:tcPr>
            <w:tcW w:w="1338" w:type="dxa"/>
            <w:shd w:val="clear" w:color="auto" w:fill="auto"/>
            <w:vAlign w:val="center"/>
          </w:tcPr>
          <w:p w14:paraId="34B2493D"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Pegvaliase</w:t>
            </w:r>
          </w:p>
          <w:p w14:paraId="36B066D4"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n (%)</w:t>
            </w:r>
          </w:p>
        </w:tc>
        <w:tc>
          <w:tcPr>
            <w:tcW w:w="1339" w:type="dxa"/>
            <w:shd w:val="clear" w:color="auto" w:fill="auto"/>
            <w:vAlign w:val="center"/>
          </w:tcPr>
          <w:p w14:paraId="2865994D"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Phe-restricted diet</w:t>
            </w:r>
          </w:p>
          <w:p w14:paraId="5CB6E0FC"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n (%)</w:t>
            </w:r>
          </w:p>
        </w:tc>
        <w:tc>
          <w:tcPr>
            <w:tcW w:w="1339" w:type="dxa"/>
            <w:vAlign w:val="center"/>
          </w:tcPr>
          <w:p w14:paraId="6EE1FE5C"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 xml:space="preserve">OR (95% CI) </w:t>
            </w:r>
            <w:r w:rsidRPr="00AE2F09">
              <w:rPr>
                <w:rFonts w:ascii="Arial Narrow" w:hAnsi="Arial Narrow"/>
                <w:b/>
                <w:bCs/>
                <w:snapToGrid w:val="0"/>
                <w:szCs w:val="24"/>
                <w:vertAlign w:val="superscript"/>
              </w:rPr>
              <w:t>¥</w:t>
            </w:r>
          </w:p>
        </w:tc>
        <w:tc>
          <w:tcPr>
            <w:tcW w:w="1339" w:type="dxa"/>
            <w:vAlign w:val="center"/>
          </w:tcPr>
          <w:p w14:paraId="702F2091"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Pegvaliase</w:t>
            </w:r>
          </w:p>
          <w:p w14:paraId="5B0145BF"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n (%)</w:t>
            </w:r>
          </w:p>
        </w:tc>
        <w:tc>
          <w:tcPr>
            <w:tcW w:w="1339" w:type="dxa"/>
            <w:vAlign w:val="center"/>
          </w:tcPr>
          <w:p w14:paraId="5ADD9FF4"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Phe-restricted diet</w:t>
            </w:r>
          </w:p>
          <w:p w14:paraId="034E3F3E"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n (%)</w:t>
            </w:r>
          </w:p>
        </w:tc>
        <w:tc>
          <w:tcPr>
            <w:tcW w:w="1339" w:type="dxa"/>
            <w:vAlign w:val="center"/>
          </w:tcPr>
          <w:p w14:paraId="6BDCDAB4"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 xml:space="preserve">OR (95% CI) </w:t>
            </w:r>
            <w:r w:rsidRPr="00AE2F09">
              <w:rPr>
                <w:rFonts w:ascii="Arial Narrow" w:hAnsi="Arial Narrow"/>
                <w:b/>
                <w:bCs/>
                <w:snapToGrid w:val="0"/>
                <w:szCs w:val="24"/>
                <w:vertAlign w:val="superscript"/>
              </w:rPr>
              <w:t>¥</w:t>
            </w:r>
          </w:p>
        </w:tc>
      </w:tr>
      <w:tr w:rsidR="00987AD1" w:rsidRPr="00AE2F09" w14:paraId="184D6C44" w14:textId="77777777" w:rsidTr="0000364B">
        <w:tc>
          <w:tcPr>
            <w:tcW w:w="893" w:type="dxa"/>
            <w:vAlign w:val="center"/>
          </w:tcPr>
          <w:p w14:paraId="48438E23"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Baseline</w:t>
            </w:r>
          </w:p>
        </w:tc>
        <w:tc>
          <w:tcPr>
            <w:tcW w:w="1338" w:type="dxa"/>
            <w:vAlign w:val="center"/>
          </w:tcPr>
          <w:p w14:paraId="62B0A7BC"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261</w:t>
            </w:r>
          </w:p>
          <w:p w14:paraId="2E1FBB07"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 (0%)</w:t>
            </w:r>
          </w:p>
        </w:tc>
        <w:tc>
          <w:tcPr>
            <w:tcW w:w="1339" w:type="dxa"/>
            <w:vAlign w:val="center"/>
          </w:tcPr>
          <w:p w14:paraId="1256CC52"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50</w:t>
            </w:r>
          </w:p>
          <w:p w14:paraId="26E911EC"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 (0%)</w:t>
            </w:r>
          </w:p>
        </w:tc>
        <w:tc>
          <w:tcPr>
            <w:tcW w:w="1339" w:type="dxa"/>
            <w:vAlign w:val="center"/>
          </w:tcPr>
          <w:p w14:paraId="5661640C"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w:t>
            </w:r>
          </w:p>
        </w:tc>
        <w:tc>
          <w:tcPr>
            <w:tcW w:w="1339" w:type="dxa"/>
            <w:vAlign w:val="center"/>
          </w:tcPr>
          <w:p w14:paraId="38BA13D1"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261</w:t>
            </w:r>
          </w:p>
          <w:p w14:paraId="55970F04"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 (0%)</w:t>
            </w:r>
          </w:p>
        </w:tc>
        <w:tc>
          <w:tcPr>
            <w:tcW w:w="1339" w:type="dxa"/>
            <w:vAlign w:val="center"/>
          </w:tcPr>
          <w:p w14:paraId="1F280158"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50</w:t>
            </w:r>
          </w:p>
          <w:p w14:paraId="5CC84E3B"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 (0%)</w:t>
            </w:r>
          </w:p>
        </w:tc>
        <w:tc>
          <w:tcPr>
            <w:tcW w:w="1339" w:type="dxa"/>
            <w:vAlign w:val="center"/>
          </w:tcPr>
          <w:p w14:paraId="0B6E0F4B"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w:t>
            </w:r>
          </w:p>
        </w:tc>
      </w:tr>
      <w:tr w:rsidR="00987AD1" w:rsidRPr="00AE2F09" w14:paraId="432CB6BF" w14:textId="77777777" w:rsidTr="0000364B">
        <w:tc>
          <w:tcPr>
            <w:tcW w:w="893" w:type="dxa"/>
            <w:vAlign w:val="center"/>
          </w:tcPr>
          <w:p w14:paraId="6D3F3322"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1-6 months</w:t>
            </w:r>
          </w:p>
        </w:tc>
        <w:tc>
          <w:tcPr>
            <w:tcW w:w="1338" w:type="dxa"/>
            <w:vAlign w:val="center"/>
          </w:tcPr>
          <w:p w14:paraId="2C9995AA"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257</w:t>
            </w:r>
          </w:p>
          <w:p w14:paraId="1B0F6D68"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70 (27%)</w:t>
            </w:r>
          </w:p>
        </w:tc>
        <w:tc>
          <w:tcPr>
            <w:tcW w:w="1339" w:type="dxa"/>
            <w:vAlign w:val="center"/>
          </w:tcPr>
          <w:p w14:paraId="39E4EFA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37</w:t>
            </w:r>
          </w:p>
          <w:p w14:paraId="1ECB5880"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6 (16%)</w:t>
            </w:r>
          </w:p>
        </w:tc>
        <w:tc>
          <w:tcPr>
            <w:tcW w:w="1339" w:type="dxa"/>
            <w:vAlign w:val="center"/>
          </w:tcPr>
          <w:p w14:paraId="7A0EF71F"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0.52 (0.21, 1.29)</w:t>
            </w:r>
          </w:p>
        </w:tc>
        <w:tc>
          <w:tcPr>
            <w:tcW w:w="1339" w:type="dxa"/>
            <w:vAlign w:val="center"/>
          </w:tcPr>
          <w:p w14:paraId="2C6C451D"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257</w:t>
            </w:r>
          </w:p>
          <w:p w14:paraId="50A43AFB"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145 (56%)</w:t>
            </w:r>
          </w:p>
        </w:tc>
        <w:tc>
          <w:tcPr>
            <w:tcW w:w="1339" w:type="dxa"/>
            <w:vAlign w:val="center"/>
          </w:tcPr>
          <w:p w14:paraId="47779A08"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37</w:t>
            </w:r>
          </w:p>
          <w:p w14:paraId="525CFF7E"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11 (30%)</w:t>
            </w:r>
          </w:p>
        </w:tc>
        <w:tc>
          <w:tcPr>
            <w:tcW w:w="1339" w:type="dxa"/>
            <w:vAlign w:val="center"/>
          </w:tcPr>
          <w:p w14:paraId="54C275C4"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0.33 (0.15, 0.69)</w:t>
            </w:r>
          </w:p>
        </w:tc>
      </w:tr>
      <w:tr w:rsidR="00987AD1" w:rsidRPr="00AE2F09" w14:paraId="4FB2ADD0" w14:textId="77777777" w:rsidTr="0000364B">
        <w:tc>
          <w:tcPr>
            <w:tcW w:w="893" w:type="dxa"/>
            <w:vAlign w:val="center"/>
          </w:tcPr>
          <w:p w14:paraId="256B8F5C"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7-12 months</w:t>
            </w:r>
          </w:p>
        </w:tc>
        <w:tc>
          <w:tcPr>
            <w:tcW w:w="1338" w:type="dxa"/>
            <w:vAlign w:val="center"/>
          </w:tcPr>
          <w:p w14:paraId="2A678B53"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209</w:t>
            </w:r>
          </w:p>
          <w:p w14:paraId="6158ACE4"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96 (46%)</w:t>
            </w:r>
          </w:p>
        </w:tc>
        <w:tc>
          <w:tcPr>
            <w:tcW w:w="1339" w:type="dxa"/>
            <w:vAlign w:val="center"/>
          </w:tcPr>
          <w:p w14:paraId="21ED9A72"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32</w:t>
            </w:r>
          </w:p>
          <w:p w14:paraId="334AC54E"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4 (13%)</w:t>
            </w:r>
          </w:p>
        </w:tc>
        <w:tc>
          <w:tcPr>
            <w:tcW w:w="1339" w:type="dxa"/>
            <w:vAlign w:val="center"/>
          </w:tcPr>
          <w:p w14:paraId="56801C86"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0.19 (0.06, 0.50)</w:t>
            </w:r>
          </w:p>
        </w:tc>
        <w:tc>
          <w:tcPr>
            <w:tcW w:w="1339" w:type="dxa"/>
            <w:vAlign w:val="center"/>
          </w:tcPr>
          <w:p w14:paraId="5640C26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209</w:t>
            </w:r>
          </w:p>
          <w:p w14:paraId="0D6F73B8"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147 (70%)</w:t>
            </w:r>
          </w:p>
        </w:tc>
        <w:tc>
          <w:tcPr>
            <w:tcW w:w="1339" w:type="dxa"/>
            <w:vAlign w:val="center"/>
          </w:tcPr>
          <w:p w14:paraId="07B71318"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32</w:t>
            </w:r>
          </w:p>
          <w:p w14:paraId="15642A81"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9 (28%)</w:t>
            </w:r>
          </w:p>
        </w:tc>
        <w:tc>
          <w:tcPr>
            <w:tcW w:w="1339" w:type="dxa"/>
            <w:vAlign w:val="center"/>
          </w:tcPr>
          <w:p w14:paraId="3EBF65D7"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0.17 (0.07, 0.38)</w:t>
            </w:r>
          </w:p>
        </w:tc>
      </w:tr>
      <w:tr w:rsidR="00987AD1" w:rsidRPr="00AE2F09" w14:paraId="06E2D1A4" w14:textId="77777777" w:rsidTr="0000364B">
        <w:tc>
          <w:tcPr>
            <w:tcW w:w="893" w:type="dxa"/>
            <w:vAlign w:val="center"/>
          </w:tcPr>
          <w:p w14:paraId="14C2F40F"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Year 2</w:t>
            </w:r>
          </w:p>
        </w:tc>
        <w:tc>
          <w:tcPr>
            <w:tcW w:w="1338" w:type="dxa"/>
            <w:vAlign w:val="center"/>
          </w:tcPr>
          <w:p w14:paraId="1619A1B8"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186 ^</w:t>
            </w:r>
          </w:p>
          <w:p w14:paraId="705DC125"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135 (73%)</w:t>
            </w:r>
          </w:p>
        </w:tc>
        <w:tc>
          <w:tcPr>
            <w:tcW w:w="1339" w:type="dxa"/>
            <w:vAlign w:val="center"/>
          </w:tcPr>
          <w:p w14:paraId="57C79636"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27</w:t>
            </w:r>
          </w:p>
          <w:p w14:paraId="1EDA7381"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3 (11%)</w:t>
            </w:r>
          </w:p>
        </w:tc>
        <w:tc>
          <w:tcPr>
            <w:tcW w:w="1339" w:type="dxa"/>
            <w:vAlign w:val="center"/>
          </w:tcPr>
          <w:p w14:paraId="3D8DE631"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0.06 (0.01, 0.16)</w:t>
            </w:r>
          </w:p>
        </w:tc>
        <w:tc>
          <w:tcPr>
            <w:tcW w:w="1339" w:type="dxa"/>
            <w:vAlign w:val="center"/>
          </w:tcPr>
          <w:p w14:paraId="170EE6D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186</w:t>
            </w:r>
          </w:p>
          <w:p w14:paraId="31BB0E17"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169 (91%)</w:t>
            </w:r>
          </w:p>
        </w:tc>
        <w:tc>
          <w:tcPr>
            <w:tcW w:w="1339" w:type="dxa"/>
            <w:vAlign w:val="center"/>
          </w:tcPr>
          <w:p w14:paraId="70185A79"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27</w:t>
            </w:r>
          </w:p>
          <w:p w14:paraId="7153D727"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13 (48%)</w:t>
            </w:r>
          </w:p>
        </w:tc>
        <w:tc>
          <w:tcPr>
            <w:tcW w:w="1339" w:type="dxa"/>
            <w:vAlign w:val="center"/>
          </w:tcPr>
          <w:p w14:paraId="3871F578"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0.09 (0.04, 0.23)</w:t>
            </w:r>
          </w:p>
        </w:tc>
      </w:tr>
      <w:tr w:rsidR="00987AD1" w:rsidRPr="00AE2F09" w14:paraId="0DBFE623" w14:textId="77777777" w:rsidTr="0000364B">
        <w:tc>
          <w:tcPr>
            <w:tcW w:w="893" w:type="dxa"/>
            <w:shd w:val="clear" w:color="auto" w:fill="D9D9D9" w:themeFill="background1" w:themeFillShade="D9"/>
            <w:vAlign w:val="center"/>
          </w:tcPr>
          <w:p w14:paraId="46913A46" w14:textId="77777777" w:rsidR="00987AD1" w:rsidRPr="00AE2F09" w:rsidRDefault="00987AD1" w:rsidP="00FD7CD0">
            <w:pPr>
              <w:pStyle w:val="Tab1table"/>
              <w:keepNext/>
              <w:keepLines/>
              <w:ind w:left="0"/>
              <w:rPr>
                <w:rFonts w:ascii="Arial Narrow" w:hAnsi="Arial Narrow"/>
                <w:b/>
                <w:bCs/>
                <w:snapToGrid w:val="0"/>
                <w:szCs w:val="24"/>
                <w:vertAlign w:val="superscript"/>
              </w:rPr>
            </w:pPr>
            <w:r w:rsidRPr="00AE2F09">
              <w:rPr>
                <w:rFonts w:ascii="Arial Narrow" w:hAnsi="Arial Narrow"/>
                <w:b/>
                <w:bCs/>
                <w:snapToGrid w:val="0"/>
                <w:szCs w:val="24"/>
              </w:rPr>
              <w:t xml:space="preserve">Year 2 </w:t>
            </w:r>
            <w:r w:rsidRPr="00AE2F09">
              <w:rPr>
                <w:rFonts w:ascii="Arial Narrow" w:hAnsi="Arial Narrow"/>
                <w:b/>
                <w:bCs/>
                <w:snapToGrid w:val="0"/>
                <w:szCs w:val="24"/>
                <w:vertAlign w:val="superscript"/>
              </w:rPr>
              <w:t>±</w:t>
            </w:r>
          </w:p>
        </w:tc>
        <w:tc>
          <w:tcPr>
            <w:tcW w:w="1338" w:type="dxa"/>
            <w:shd w:val="clear" w:color="auto" w:fill="D9D9D9" w:themeFill="background1" w:themeFillShade="D9"/>
            <w:vAlign w:val="center"/>
          </w:tcPr>
          <w:p w14:paraId="4C756406"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261</w:t>
            </w:r>
          </w:p>
          <w:p w14:paraId="4E8B16CA"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135 (52%)</w:t>
            </w:r>
          </w:p>
        </w:tc>
        <w:tc>
          <w:tcPr>
            <w:tcW w:w="1339" w:type="dxa"/>
            <w:shd w:val="clear" w:color="auto" w:fill="D9D9D9" w:themeFill="background1" w:themeFillShade="D9"/>
            <w:vAlign w:val="center"/>
          </w:tcPr>
          <w:p w14:paraId="48F630B4"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50</w:t>
            </w:r>
          </w:p>
          <w:p w14:paraId="27B743C2"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3 (6%)</w:t>
            </w:r>
          </w:p>
        </w:tc>
        <w:tc>
          <w:tcPr>
            <w:tcW w:w="1339" w:type="dxa"/>
            <w:shd w:val="clear" w:color="auto" w:fill="D9D9D9" w:themeFill="background1" w:themeFillShade="D9"/>
            <w:vAlign w:val="center"/>
          </w:tcPr>
          <w:p w14:paraId="3CAF1F33"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0.06 (0.01, 0.19)</w:t>
            </w:r>
          </w:p>
        </w:tc>
        <w:tc>
          <w:tcPr>
            <w:tcW w:w="1339" w:type="dxa"/>
            <w:shd w:val="clear" w:color="auto" w:fill="D9D9D9" w:themeFill="background1" w:themeFillShade="D9"/>
            <w:vAlign w:val="center"/>
          </w:tcPr>
          <w:p w14:paraId="47A5A0B5"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261</w:t>
            </w:r>
          </w:p>
          <w:p w14:paraId="38131D1E"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169 (65%)</w:t>
            </w:r>
          </w:p>
        </w:tc>
        <w:tc>
          <w:tcPr>
            <w:tcW w:w="1339" w:type="dxa"/>
            <w:shd w:val="clear" w:color="auto" w:fill="D9D9D9" w:themeFill="background1" w:themeFillShade="D9"/>
            <w:vAlign w:val="center"/>
          </w:tcPr>
          <w:p w14:paraId="5050C7D0"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50</w:t>
            </w:r>
          </w:p>
          <w:p w14:paraId="460E4E14"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13 (26%)</w:t>
            </w:r>
          </w:p>
        </w:tc>
        <w:tc>
          <w:tcPr>
            <w:tcW w:w="1339" w:type="dxa"/>
            <w:shd w:val="clear" w:color="auto" w:fill="D9D9D9" w:themeFill="background1" w:themeFillShade="D9"/>
            <w:vAlign w:val="center"/>
          </w:tcPr>
          <w:p w14:paraId="2DD6351A"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0.19 (0.10, 0.38)</w:t>
            </w:r>
          </w:p>
        </w:tc>
      </w:tr>
      <w:tr w:rsidR="00987AD1" w:rsidRPr="00AE2F09" w14:paraId="667A663F" w14:textId="77777777" w:rsidTr="0000364B">
        <w:tc>
          <w:tcPr>
            <w:tcW w:w="893" w:type="dxa"/>
            <w:vAlign w:val="center"/>
          </w:tcPr>
          <w:p w14:paraId="15EC8F54"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Year 3</w:t>
            </w:r>
          </w:p>
        </w:tc>
        <w:tc>
          <w:tcPr>
            <w:tcW w:w="1338" w:type="dxa"/>
            <w:vAlign w:val="center"/>
          </w:tcPr>
          <w:p w14:paraId="2F434F5A"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162</w:t>
            </w:r>
          </w:p>
          <w:p w14:paraId="4447EE43"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139 (86%)</w:t>
            </w:r>
          </w:p>
        </w:tc>
        <w:tc>
          <w:tcPr>
            <w:tcW w:w="1339" w:type="dxa"/>
            <w:vAlign w:val="center"/>
          </w:tcPr>
          <w:p w14:paraId="168C4D85"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21</w:t>
            </w:r>
          </w:p>
          <w:p w14:paraId="1F869E3E"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2 (10%)</w:t>
            </w:r>
          </w:p>
        </w:tc>
        <w:tc>
          <w:tcPr>
            <w:tcW w:w="1339" w:type="dxa"/>
            <w:vAlign w:val="center"/>
          </w:tcPr>
          <w:p w14:paraId="0A716979"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0.02 (0.00, 0.08)</w:t>
            </w:r>
          </w:p>
        </w:tc>
        <w:tc>
          <w:tcPr>
            <w:tcW w:w="1339" w:type="dxa"/>
            <w:vAlign w:val="center"/>
          </w:tcPr>
          <w:p w14:paraId="5F109785"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162</w:t>
            </w:r>
          </w:p>
          <w:p w14:paraId="1A91B0F2"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152 (94%)</w:t>
            </w:r>
          </w:p>
        </w:tc>
        <w:tc>
          <w:tcPr>
            <w:tcW w:w="1339" w:type="dxa"/>
            <w:vAlign w:val="center"/>
          </w:tcPr>
          <w:p w14:paraId="623DEF68"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21</w:t>
            </w:r>
          </w:p>
          <w:p w14:paraId="7D164B29"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7 (33%)</w:t>
            </w:r>
          </w:p>
        </w:tc>
        <w:tc>
          <w:tcPr>
            <w:tcW w:w="1339" w:type="dxa"/>
            <w:vAlign w:val="center"/>
          </w:tcPr>
          <w:p w14:paraId="5B4E50B0"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0.03 (0.01, 0.10)</w:t>
            </w:r>
          </w:p>
        </w:tc>
      </w:tr>
      <w:tr w:rsidR="00987AD1" w:rsidRPr="00AE2F09" w14:paraId="0BB849A0" w14:textId="77777777" w:rsidTr="0000364B">
        <w:tc>
          <w:tcPr>
            <w:tcW w:w="893" w:type="dxa"/>
            <w:vAlign w:val="center"/>
          </w:tcPr>
          <w:p w14:paraId="00B177D3"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Year 4</w:t>
            </w:r>
          </w:p>
        </w:tc>
        <w:tc>
          <w:tcPr>
            <w:tcW w:w="1338" w:type="dxa"/>
            <w:vAlign w:val="center"/>
          </w:tcPr>
          <w:p w14:paraId="334E9393"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132</w:t>
            </w:r>
          </w:p>
          <w:p w14:paraId="6880318A"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112 (85%)</w:t>
            </w:r>
          </w:p>
        </w:tc>
        <w:tc>
          <w:tcPr>
            <w:tcW w:w="1339" w:type="dxa"/>
            <w:vAlign w:val="center"/>
          </w:tcPr>
          <w:p w14:paraId="18F956E3"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13</w:t>
            </w:r>
          </w:p>
          <w:p w14:paraId="3086F2DF"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2 (15%)</w:t>
            </w:r>
          </w:p>
        </w:tc>
        <w:tc>
          <w:tcPr>
            <w:tcW w:w="1339" w:type="dxa"/>
            <w:vAlign w:val="center"/>
          </w:tcPr>
          <w:p w14:paraId="44201586"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0.04 (0.01, 0.18)</w:t>
            </w:r>
          </w:p>
        </w:tc>
        <w:tc>
          <w:tcPr>
            <w:tcW w:w="1339" w:type="dxa"/>
            <w:vAlign w:val="center"/>
          </w:tcPr>
          <w:p w14:paraId="06E50755"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132</w:t>
            </w:r>
          </w:p>
          <w:p w14:paraId="1B56FB48"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124 (94%)</w:t>
            </w:r>
          </w:p>
        </w:tc>
        <w:tc>
          <w:tcPr>
            <w:tcW w:w="1339" w:type="dxa"/>
            <w:vAlign w:val="center"/>
          </w:tcPr>
          <w:p w14:paraId="72F2C3D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13</w:t>
            </w:r>
          </w:p>
          <w:p w14:paraId="6650AC6E"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6 (46%)</w:t>
            </w:r>
          </w:p>
        </w:tc>
        <w:tc>
          <w:tcPr>
            <w:tcW w:w="1339" w:type="dxa"/>
            <w:vAlign w:val="center"/>
          </w:tcPr>
          <w:p w14:paraId="3FF3EC2D"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0.06 (0.02, 0.20)</w:t>
            </w:r>
          </w:p>
        </w:tc>
      </w:tr>
      <w:tr w:rsidR="00987AD1" w:rsidRPr="00AE2F09" w14:paraId="62404BB1" w14:textId="77777777" w:rsidTr="0000364B">
        <w:tc>
          <w:tcPr>
            <w:tcW w:w="893" w:type="dxa"/>
            <w:vAlign w:val="center"/>
          </w:tcPr>
          <w:p w14:paraId="37ED3958" w14:textId="77777777" w:rsidR="00987AD1" w:rsidRPr="00AE2F09" w:rsidRDefault="00987AD1" w:rsidP="00FD7CD0">
            <w:pPr>
              <w:pStyle w:val="Tab1table"/>
              <w:keepNext/>
              <w:keepLines/>
              <w:ind w:left="0"/>
              <w:rPr>
                <w:rFonts w:ascii="Arial Narrow" w:hAnsi="Arial Narrow"/>
                <w:b/>
                <w:bCs/>
                <w:snapToGrid w:val="0"/>
                <w:szCs w:val="24"/>
              </w:rPr>
            </w:pPr>
            <w:r w:rsidRPr="00AE2F09">
              <w:rPr>
                <w:rFonts w:ascii="Arial Narrow" w:hAnsi="Arial Narrow"/>
                <w:b/>
                <w:bCs/>
                <w:snapToGrid w:val="0"/>
                <w:szCs w:val="24"/>
              </w:rPr>
              <w:t>Year 5</w:t>
            </w:r>
          </w:p>
        </w:tc>
        <w:tc>
          <w:tcPr>
            <w:tcW w:w="1338" w:type="dxa"/>
            <w:vAlign w:val="center"/>
          </w:tcPr>
          <w:p w14:paraId="22BDC3F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74</w:t>
            </w:r>
          </w:p>
          <w:p w14:paraId="651433F2"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58 (78%)</w:t>
            </w:r>
          </w:p>
        </w:tc>
        <w:tc>
          <w:tcPr>
            <w:tcW w:w="1339" w:type="dxa"/>
            <w:vAlign w:val="center"/>
          </w:tcPr>
          <w:p w14:paraId="5319BADB"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11</w:t>
            </w:r>
          </w:p>
          <w:p w14:paraId="1D224BA3"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0 (0%)</w:t>
            </w:r>
          </w:p>
        </w:tc>
        <w:tc>
          <w:tcPr>
            <w:tcW w:w="1339" w:type="dxa"/>
            <w:vAlign w:val="center"/>
          </w:tcPr>
          <w:p w14:paraId="47BC6B28"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0.01 (0.00, 0.22)</w:t>
            </w:r>
          </w:p>
        </w:tc>
        <w:tc>
          <w:tcPr>
            <w:tcW w:w="1339" w:type="dxa"/>
            <w:vAlign w:val="center"/>
          </w:tcPr>
          <w:p w14:paraId="7B9A720D"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74</w:t>
            </w:r>
          </w:p>
          <w:p w14:paraId="6F164F5C"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69 (93%)</w:t>
            </w:r>
          </w:p>
        </w:tc>
        <w:tc>
          <w:tcPr>
            <w:tcW w:w="1339" w:type="dxa"/>
            <w:vAlign w:val="center"/>
          </w:tcPr>
          <w:p w14:paraId="45EF7954" w14:textId="77777777" w:rsidR="00987AD1" w:rsidRPr="00AE2F09" w:rsidRDefault="00987AD1" w:rsidP="00FD7CD0">
            <w:pPr>
              <w:keepNext/>
              <w:keepLines/>
              <w:jc w:val="center"/>
              <w:rPr>
                <w:rFonts w:ascii="Arial Narrow" w:hAnsi="Arial Narrow" w:cs="Times New Roman"/>
                <w:snapToGrid w:val="0"/>
                <w:sz w:val="20"/>
              </w:rPr>
            </w:pPr>
            <w:r w:rsidRPr="00AE2F09">
              <w:rPr>
                <w:rFonts w:ascii="Arial Narrow" w:hAnsi="Arial Narrow" w:cs="Times New Roman"/>
                <w:snapToGrid w:val="0"/>
                <w:sz w:val="20"/>
              </w:rPr>
              <w:t>n = 11</w:t>
            </w:r>
          </w:p>
          <w:p w14:paraId="0F0E5D91" w14:textId="77777777" w:rsidR="00987AD1" w:rsidRPr="00AE2F09" w:rsidRDefault="00987AD1" w:rsidP="00FD7CD0">
            <w:pPr>
              <w:pStyle w:val="Tab1table"/>
              <w:keepNext/>
              <w:keepLines/>
              <w:ind w:left="0"/>
              <w:jc w:val="center"/>
              <w:rPr>
                <w:rFonts w:ascii="Arial Narrow" w:hAnsi="Arial Narrow"/>
                <w:snapToGrid w:val="0"/>
                <w:szCs w:val="24"/>
              </w:rPr>
            </w:pPr>
            <w:r w:rsidRPr="00AE2F09">
              <w:rPr>
                <w:rFonts w:ascii="Arial Narrow" w:hAnsi="Arial Narrow"/>
                <w:snapToGrid w:val="0"/>
                <w:szCs w:val="24"/>
              </w:rPr>
              <w:t>2 (18%)</w:t>
            </w:r>
          </w:p>
        </w:tc>
        <w:tc>
          <w:tcPr>
            <w:tcW w:w="1339" w:type="dxa"/>
            <w:vAlign w:val="center"/>
          </w:tcPr>
          <w:p w14:paraId="3528332E" w14:textId="77777777" w:rsidR="00987AD1" w:rsidRPr="00AE2F09" w:rsidRDefault="00987AD1" w:rsidP="00FD7CD0">
            <w:pPr>
              <w:pStyle w:val="Tab1table"/>
              <w:keepNext/>
              <w:keepLines/>
              <w:ind w:left="0"/>
              <w:jc w:val="center"/>
              <w:rPr>
                <w:rFonts w:ascii="Arial Narrow" w:hAnsi="Arial Narrow"/>
                <w:b/>
                <w:bCs/>
                <w:snapToGrid w:val="0"/>
                <w:szCs w:val="24"/>
              </w:rPr>
            </w:pPr>
            <w:r w:rsidRPr="00AE2F09">
              <w:rPr>
                <w:rFonts w:ascii="Arial Narrow" w:hAnsi="Arial Narrow"/>
                <w:b/>
                <w:bCs/>
                <w:snapToGrid w:val="0"/>
                <w:szCs w:val="24"/>
              </w:rPr>
              <w:t>0.20 (0.00, 0.01)</w:t>
            </w:r>
          </w:p>
        </w:tc>
      </w:tr>
    </w:tbl>
    <w:p w14:paraId="57A4B94A" w14:textId="77777777" w:rsidR="00774AF7" w:rsidRPr="00AE2F09" w:rsidRDefault="00774AF7" w:rsidP="00774AF7">
      <w:pPr>
        <w:pStyle w:val="TableFooter"/>
      </w:pPr>
      <w:r w:rsidRPr="00AE2F09">
        <w:t>Source: Table 2.6-7 to 9 (p153-5) of the submission; evaluator-conducted calculations</w:t>
      </w:r>
    </w:p>
    <w:p w14:paraId="65652C9D" w14:textId="77777777" w:rsidR="00774AF7" w:rsidRPr="00AE2F09" w:rsidRDefault="00774AF7" w:rsidP="00774AF7">
      <w:pPr>
        <w:pStyle w:val="TableFooter"/>
      </w:pPr>
      <w:r w:rsidRPr="00AE2F09">
        <w:t>CI = confidence interval; OR = Odds ratio; Phe = phenylalanine</w:t>
      </w:r>
    </w:p>
    <w:p w14:paraId="756D6FFA" w14:textId="77777777" w:rsidR="00774AF7" w:rsidRPr="00AE2F09" w:rsidRDefault="00774AF7" w:rsidP="00774AF7">
      <w:pPr>
        <w:pStyle w:val="TableFooter"/>
      </w:pPr>
      <w:r w:rsidRPr="00AE2F09">
        <w:t>¥ Bold denotes a statistically significant value ( p ≤ 0.05)</w:t>
      </w:r>
    </w:p>
    <w:p w14:paraId="026DCE13" w14:textId="0A144CEF" w:rsidR="00774AF7" w:rsidRPr="00AE2F09" w:rsidRDefault="00774AF7" w:rsidP="00774AF7">
      <w:pPr>
        <w:pStyle w:val="TableFooter"/>
      </w:pPr>
      <w:r w:rsidRPr="00AE2F09">
        <w:t>^ 21 patients were further excluded from the economic evaluation (n=165), as it was stated that they did not remain on pegvaliase for two years</w:t>
      </w:r>
      <w:r w:rsidR="00401BA4" w:rsidRPr="00AE2F09">
        <w:t xml:space="preserve">, and a response rate of 81.8% (135/165) was used in the economic evaluation. </w:t>
      </w:r>
      <w:r w:rsidRPr="00AE2F09">
        <w:t xml:space="preserve"> </w:t>
      </w:r>
    </w:p>
    <w:p w14:paraId="498752F1" w14:textId="561664C0" w:rsidR="00774AF7" w:rsidRPr="00AE2F09" w:rsidRDefault="00774AF7" w:rsidP="005C4779">
      <w:pPr>
        <w:pStyle w:val="TableFooter"/>
        <w:spacing w:after="120"/>
      </w:pPr>
      <w:r w:rsidRPr="00AE2F09">
        <w:t xml:space="preserve">± </w:t>
      </w:r>
      <w:r w:rsidR="00782567" w:rsidRPr="00AE2F09">
        <w:t xml:space="preserve">Grey-shading denotes </w:t>
      </w:r>
      <w:r w:rsidR="004A6DE4" w:rsidRPr="00AE2F09">
        <w:t>e</w:t>
      </w:r>
      <w:r w:rsidRPr="00AE2F09">
        <w:t>valuator-conducted analysis using total baseline sample size in denominator</w:t>
      </w:r>
    </w:p>
    <w:p w14:paraId="3D9AA1DD" w14:textId="28CE84AF" w:rsidR="008D3F48" w:rsidRPr="00AE2F09" w:rsidRDefault="00975BF7" w:rsidP="00774AF7">
      <w:pPr>
        <w:pStyle w:val="3-BodyText"/>
      </w:pPr>
      <w:r>
        <w:t>T</w:t>
      </w:r>
      <w:r w:rsidR="00E13469" w:rsidRPr="00AE2F09">
        <w:t xml:space="preserve">he </w:t>
      </w:r>
      <w:r w:rsidR="00642C10" w:rsidRPr="00AE2F09">
        <w:t>propo</w:t>
      </w:r>
      <w:r w:rsidR="00877C6D" w:rsidRPr="00AE2F09">
        <w:t>r</w:t>
      </w:r>
      <w:r w:rsidR="00642C10" w:rsidRPr="00AE2F09">
        <w:t xml:space="preserve">tion of </w:t>
      </w:r>
      <w:r w:rsidR="00B96F08" w:rsidRPr="00AE2F09">
        <w:t xml:space="preserve">pegvaliase responders </w:t>
      </w:r>
      <w:r w:rsidR="00017B56" w:rsidRPr="00AE2F09">
        <w:t>(achieving blood-</w:t>
      </w:r>
      <w:r w:rsidR="00C74CAA" w:rsidRPr="00AE2F09">
        <w:t>P</w:t>
      </w:r>
      <w:r w:rsidR="00017B56" w:rsidRPr="00AE2F09">
        <w:t xml:space="preserve">he </w:t>
      </w:r>
      <w:r w:rsidR="00017B56" w:rsidRPr="00AE2F09">
        <w:rPr>
          <w:rFonts w:cstheme="minorHAnsi"/>
        </w:rPr>
        <w:t>≤</w:t>
      </w:r>
      <w:r w:rsidR="00DE0EA5">
        <w:rPr>
          <w:rFonts w:cstheme="minorHAnsi"/>
        </w:rPr>
        <w:t> </w:t>
      </w:r>
      <w:r w:rsidR="00017B56" w:rsidRPr="00AE2F09">
        <w:t>360</w:t>
      </w:r>
      <w:r w:rsidR="00DE0EA5">
        <w:t> </w:t>
      </w:r>
      <w:r w:rsidR="00017B56" w:rsidRPr="00AE2F09">
        <w:rPr>
          <w:rFonts w:cstheme="minorHAnsi"/>
        </w:rPr>
        <w:t>µ</w:t>
      </w:r>
      <w:r w:rsidR="00017B56" w:rsidRPr="00AE2F09">
        <w:t xml:space="preserve">mol/L) </w:t>
      </w:r>
      <w:r w:rsidR="00F26429" w:rsidRPr="00AE2F09">
        <w:t xml:space="preserve">was </w:t>
      </w:r>
      <w:r w:rsidR="00B96F08" w:rsidRPr="00AE2F09">
        <w:t xml:space="preserve">calculated based on the number of patients ‘at risk’ at a particular time point </w:t>
      </w:r>
      <w:r w:rsidR="00441F9F">
        <w:t>(i.e.</w:t>
      </w:r>
      <w:r w:rsidR="003E2AC1">
        <w:t>,</w:t>
      </w:r>
      <w:r w:rsidR="00441F9F">
        <w:t xml:space="preserve"> using an observed case basis) </w:t>
      </w:r>
      <w:r w:rsidR="00B96F08" w:rsidRPr="00AE2F09">
        <w:t>rather than all patients enrolled</w:t>
      </w:r>
      <w:r w:rsidR="00AD3074" w:rsidRPr="00AE2F09">
        <w:t xml:space="preserve"> (i.e.</w:t>
      </w:r>
      <w:r w:rsidR="003E2AC1">
        <w:t>,</w:t>
      </w:r>
      <w:r w:rsidR="00AD3074" w:rsidRPr="00AE2F09">
        <w:t xml:space="preserve"> </w:t>
      </w:r>
      <w:r w:rsidR="008954FB">
        <w:t>the full analysis set</w:t>
      </w:r>
      <w:r w:rsidR="00AD3074" w:rsidRPr="00AE2F09">
        <w:t>)</w:t>
      </w:r>
      <w:r w:rsidR="00B96F08" w:rsidRPr="00AE2F09">
        <w:t xml:space="preserve">. This biased the results in favour of pegvaliase </w:t>
      </w:r>
      <w:r w:rsidR="008954FB">
        <w:t>because</w:t>
      </w:r>
      <w:r w:rsidR="007071A9" w:rsidRPr="00AE2F09">
        <w:t xml:space="preserve"> patients who discontinue treatment were effectively not considered to be non-responders and simply censored.</w:t>
      </w:r>
      <w:r w:rsidR="008B100E" w:rsidRPr="00AE2F09">
        <w:t xml:space="preserve"> During the evaluation, </w:t>
      </w:r>
      <w:r w:rsidR="00081866" w:rsidRPr="00AE2F09">
        <w:t>the proportion of responders at two years (</w:t>
      </w:r>
      <w:r w:rsidR="001A2111" w:rsidRPr="00AE2F09">
        <w:t xml:space="preserve">timepoint </w:t>
      </w:r>
      <w:r w:rsidR="00081866" w:rsidRPr="00AE2F09">
        <w:t>used in the economic evaluation and aligns with the proposed restriction for response assessment</w:t>
      </w:r>
      <w:r w:rsidR="00DE5DB6" w:rsidRPr="00AE2F09">
        <w:t>) was calculated using all patients enrolled</w:t>
      </w:r>
      <w:r w:rsidR="00AD3074" w:rsidRPr="00AE2F09">
        <w:t xml:space="preserve"> at baseline</w:t>
      </w:r>
      <w:r w:rsidR="00DE5DB6" w:rsidRPr="00AE2F09">
        <w:t xml:space="preserve">, and the proportion of responders in pegvaliase decreased from 73% </w:t>
      </w:r>
      <w:r w:rsidR="00017B56" w:rsidRPr="00AE2F09">
        <w:t xml:space="preserve">(135/186) </w:t>
      </w:r>
      <w:r w:rsidR="00DE5DB6" w:rsidRPr="00AE2F09">
        <w:t>to 52%</w:t>
      </w:r>
      <w:r w:rsidR="00017B56" w:rsidRPr="00AE2F09">
        <w:t xml:space="preserve"> (135/261)</w:t>
      </w:r>
      <w:r w:rsidR="00DE5DB6" w:rsidRPr="00AE2F09">
        <w:t>.</w:t>
      </w:r>
      <w:r w:rsidR="008D3F48" w:rsidRPr="00AE2F09">
        <w:t xml:space="preserve"> </w:t>
      </w:r>
    </w:p>
    <w:p w14:paraId="342F493B" w14:textId="03285D73" w:rsidR="009562E3" w:rsidRPr="000764C2" w:rsidRDefault="009E2524" w:rsidP="00774AF7">
      <w:pPr>
        <w:pStyle w:val="3-BodyText"/>
      </w:pPr>
      <w:bookmarkStart w:id="53" w:name="_Ref103052138"/>
      <w:r w:rsidRPr="00AE2F09">
        <w:t>In the economic evaluation, only data from patients who remained on pegvaliase treatment for two years were included for the assessment of</w:t>
      </w:r>
      <w:r w:rsidR="00145654" w:rsidRPr="00AE2F09">
        <w:t xml:space="preserve"> the</w:t>
      </w:r>
      <w:r w:rsidRPr="00AE2F09">
        <w:t xml:space="preserve"> proportion of pegvaliase responders</w:t>
      </w:r>
      <w:r w:rsidR="007D73C7" w:rsidRPr="00AE2F09">
        <w:t xml:space="preserve">. This resulted in 21 patients being excluded from </w:t>
      </w:r>
      <w:r w:rsidR="00065C83" w:rsidRPr="00AE2F09">
        <w:t xml:space="preserve">the </w:t>
      </w:r>
      <w:r w:rsidR="007D73C7" w:rsidRPr="00AE2F09">
        <w:t xml:space="preserve">analysis compared to the total number of patients still being followed at year 2 reported in </w:t>
      </w:r>
      <w:r w:rsidR="007D73C7" w:rsidRPr="00AE2F09">
        <w:fldChar w:fldCharType="begin"/>
      </w:r>
      <w:r w:rsidR="007D73C7" w:rsidRPr="00AE2F09">
        <w:instrText xml:space="preserve"> REF _Ref103050259 \h  \* MERGEFORMAT </w:instrText>
      </w:r>
      <w:r w:rsidR="007D73C7" w:rsidRPr="00AE2F09">
        <w:fldChar w:fldCharType="separate"/>
      </w:r>
      <w:r w:rsidR="001162C8" w:rsidRPr="001162C8">
        <w:t>Table 7</w:t>
      </w:r>
      <w:r w:rsidR="007D73C7" w:rsidRPr="00AE2F09">
        <w:fldChar w:fldCharType="end"/>
      </w:r>
      <w:r w:rsidRPr="00AE2F09">
        <w:t>, and a</w:t>
      </w:r>
      <w:r w:rsidR="006651E9" w:rsidRPr="00AE2F09">
        <w:t xml:space="preserve">n 81.8% (135/165) </w:t>
      </w:r>
      <w:r w:rsidR="00461D6C" w:rsidRPr="00AE2F09">
        <w:t xml:space="preserve">blood-Phe </w:t>
      </w:r>
      <w:r w:rsidR="006651E9" w:rsidRPr="00AE2F09">
        <w:t>response rate was assumed for pegvaliase</w:t>
      </w:r>
      <w:r w:rsidR="009E3CB2" w:rsidRPr="00AE2F09">
        <w:t>.</w:t>
      </w:r>
      <w:r w:rsidR="006651E9" w:rsidRPr="00AE2F09">
        <w:t xml:space="preserve"> </w:t>
      </w:r>
      <w:r w:rsidR="009562E3" w:rsidRPr="000764C2">
        <w:t>The PSCR argued that pegvaliase discontinuations were modelled separately in the economic analysis, such that pegvaliase overall response at 2 years was approximately 61%</w:t>
      </w:r>
      <w:r w:rsidR="000600D1" w:rsidRPr="000764C2">
        <w:t xml:space="preserve"> (which also included additional patients who responded based on ADHD-RS)</w:t>
      </w:r>
      <w:r w:rsidR="009562E3" w:rsidRPr="000764C2">
        <w:t xml:space="preserve">. </w:t>
      </w:r>
    </w:p>
    <w:p w14:paraId="08AADE07" w14:textId="228C4A25" w:rsidR="00774AF7" w:rsidRDefault="009E3CB2" w:rsidP="00774AF7">
      <w:pPr>
        <w:pStyle w:val="3-BodyText"/>
      </w:pPr>
      <w:r w:rsidRPr="00AE2F09">
        <w:t xml:space="preserve">Comparatively, a </w:t>
      </w:r>
      <w:r w:rsidR="006651E9" w:rsidRPr="00AE2F09">
        <w:t xml:space="preserve">0% </w:t>
      </w:r>
      <w:r w:rsidRPr="00AE2F09">
        <w:t xml:space="preserve">response rate </w:t>
      </w:r>
      <w:r w:rsidR="006651E9" w:rsidRPr="00AE2F09">
        <w:t xml:space="preserve">was assumed </w:t>
      </w:r>
      <w:r w:rsidR="009562E3">
        <w:t xml:space="preserve">in the economic model </w:t>
      </w:r>
      <w:r w:rsidR="006651E9" w:rsidRPr="00AE2F09">
        <w:t xml:space="preserve">for </w:t>
      </w:r>
      <w:r w:rsidR="00461D6C" w:rsidRPr="00AE2F09">
        <w:t>Phe</w:t>
      </w:r>
      <w:r w:rsidR="007E0CE4">
        <w:noBreakHyphen/>
      </w:r>
      <w:r w:rsidR="00461D6C" w:rsidRPr="00AE2F09">
        <w:t xml:space="preserve">restricted diet only patients, which was not supported by the data which reported up to 16% blood-Phe response rate at 6 months (using the submission’s calculation methods). </w:t>
      </w:r>
      <w:r w:rsidR="003F22FC" w:rsidRPr="00AE2F09">
        <w:t>This favoured pegvaliase in the economic model.</w:t>
      </w:r>
      <w:bookmarkEnd w:id="53"/>
      <w:r w:rsidR="003F22FC" w:rsidRPr="00AE2F09">
        <w:t xml:space="preserve"> </w:t>
      </w:r>
    </w:p>
    <w:p w14:paraId="75F7ED03" w14:textId="4045DA9E" w:rsidR="00975BF7" w:rsidRPr="00975BF7" w:rsidRDefault="00975BF7" w:rsidP="00975BF7">
      <w:pPr>
        <w:pStyle w:val="3-BodyText"/>
        <w:numPr>
          <w:ilvl w:val="0"/>
          <w:numId w:val="0"/>
        </w:numPr>
        <w:outlineLvl w:val="2"/>
        <w:rPr>
          <w:b/>
          <w:bCs/>
          <w:i/>
          <w:iCs/>
        </w:rPr>
      </w:pPr>
      <w:r w:rsidRPr="00975BF7">
        <w:rPr>
          <w:b/>
          <w:bCs/>
          <w:i/>
          <w:iCs/>
        </w:rPr>
        <w:t>ADHD-RS inattention scale</w:t>
      </w:r>
    </w:p>
    <w:p w14:paraId="1E145550" w14:textId="397A4B0B" w:rsidR="00774AF7" w:rsidRPr="00AE2F09" w:rsidRDefault="00774AF7" w:rsidP="002F3F00">
      <w:pPr>
        <w:pStyle w:val="3-BodyText"/>
      </w:pPr>
      <w:r w:rsidRPr="00AE2F09">
        <w:t>The results for change in ADHD</w:t>
      </w:r>
      <w:r w:rsidR="00E47136">
        <w:t>-</w:t>
      </w:r>
      <w:r w:rsidRPr="00AE2F09">
        <w:t xml:space="preserve">RS inattention subscale scores over time </w:t>
      </w:r>
      <w:r w:rsidR="003F22FC" w:rsidRPr="00AE2F09">
        <w:t xml:space="preserve">in patients treated with pegvaliase </w:t>
      </w:r>
      <w:r w:rsidR="00571B24" w:rsidRPr="00AE2F09">
        <w:t xml:space="preserve">in PRISM 1 as well as the comparative results from </w:t>
      </w:r>
      <w:r w:rsidR="009A3A10" w:rsidRPr="00AE2F09">
        <w:t xml:space="preserve">PRISM 2 Part 2 </w:t>
      </w:r>
      <w:r w:rsidRPr="00AE2F09">
        <w:t>are presented below.</w:t>
      </w:r>
    </w:p>
    <w:p w14:paraId="2A8F1A2F" w14:textId="5ACE14F2" w:rsidR="00774AF7" w:rsidRPr="00AE2F09" w:rsidRDefault="003F22FC" w:rsidP="002F3F00">
      <w:pPr>
        <w:pStyle w:val="TableFigureHeading"/>
        <w:rPr>
          <w:rStyle w:val="CommentReference"/>
          <w:b/>
          <w:bCs w:val="0"/>
          <w:szCs w:val="24"/>
        </w:rPr>
      </w:pPr>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8</w:t>
      </w:r>
      <w:r w:rsidRPr="00AE2F09">
        <w:rPr>
          <w:rStyle w:val="CommentReference"/>
          <w:b/>
          <w:bCs w:val="0"/>
          <w:szCs w:val="24"/>
        </w:rPr>
        <w:fldChar w:fldCharType="end"/>
      </w:r>
      <w:r w:rsidR="00774AF7" w:rsidRPr="00AE2F09">
        <w:rPr>
          <w:rStyle w:val="CommentReference"/>
          <w:b/>
          <w:bCs w:val="0"/>
          <w:szCs w:val="24"/>
        </w:rPr>
        <w:t>: Results of change in ADHD</w:t>
      </w:r>
      <w:r w:rsidR="004B437A">
        <w:rPr>
          <w:rStyle w:val="CommentReference"/>
          <w:b/>
          <w:bCs w:val="0"/>
          <w:szCs w:val="24"/>
        </w:rPr>
        <w:t xml:space="preserve"> </w:t>
      </w:r>
      <w:r w:rsidR="00774AF7" w:rsidRPr="00AE2F09">
        <w:rPr>
          <w:rStyle w:val="CommentReference"/>
          <w:b/>
          <w:bCs w:val="0"/>
          <w:szCs w:val="24"/>
        </w:rPr>
        <w:t xml:space="preserve">RS-IV inattention subscale over </w:t>
      </w:r>
      <w:r w:rsidR="00060226" w:rsidRPr="00AE2F09">
        <w:rPr>
          <w:rStyle w:val="CommentReference"/>
          <w:b/>
          <w:bCs w:val="0"/>
          <w:szCs w:val="24"/>
        </w:rPr>
        <w:t xml:space="preserve">26-36 weeks </w:t>
      </w:r>
      <w:r w:rsidR="00774AF7" w:rsidRPr="00AE2F09">
        <w:rPr>
          <w:rStyle w:val="CommentReference"/>
          <w:b/>
          <w:bCs w:val="0"/>
          <w:szCs w:val="24"/>
        </w:rPr>
        <w:t>in PRISM 1</w:t>
      </w:r>
    </w:p>
    <w:tbl>
      <w:tblPr>
        <w:tblStyle w:val="TableGrid"/>
        <w:tblW w:w="5000" w:type="pct"/>
        <w:tblLook w:val="04A0" w:firstRow="1" w:lastRow="0" w:firstColumn="1" w:lastColumn="0" w:noHBand="0" w:noVBand="1"/>
      </w:tblPr>
      <w:tblGrid>
        <w:gridCol w:w="4287"/>
        <w:gridCol w:w="2364"/>
        <w:gridCol w:w="2366"/>
      </w:tblGrid>
      <w:tr w:rsidR="00B422E3" w:rsidRPr="00AE2F09" w14:paraId="743AAC49" w14:textId="77777777" w:rsidTr="00FD7CD0">
        <w:trPr>
          <w:trHeight w:val="244"/>
        </w:trPr>
        <w:tc>
          <w:tcPr>
            <w:tcW w:w="2377" w:type="pct"/>
            <w:tcBorders>
              <w:top w:val="single" w:sz="4" w:space="0" w:color="auto"/>
            </w:tcBorders>
          </w:tcPr>
          <w:p w14:paraId="4EEC447B" w14:textId="77777777" w:rsidR="00774AF7" w:rsidRPr="00AE2F09" w:rsidRDefault="00774AF7" w:rsidP="00FD7CD0">
            <w:pPr>
              <w:pStyle w:val="Tableheading0"/>
              <w:keepNext/>
              <w:widowControl/>
              <w:rPr>
                <w:rFonts w:ascii="Arial Narrow" w:hAnsi="Arial Narrow"/>
              </w:rPr>
            </w:pPr>
          </w:p>
        </w:tc>
        <w:tc>
          <w:tcPr>
            <w:tcW w:w="1311" w:type="pct"/>
            <w:tcBorders>
              <w:top w:val="single" w:sz="4" w:space="0" w:color="auto"/>
            </w:tcBorders>
          </w:tcPr>
          <w:p w14:paraId="590C007E" w14:textId="77777777" w:rsidR="00774AF7" w:rsidRPr="00AE2F09" w:rsidRDefault="00774AF7" w:rsidP="00FD7CD0">
            <w:pPr>
              <w:pStyle w:val="Tableheading0"/>
              <w:keepNext/>
              <w:widowControl/>
              <w:rPr>
                <w:rFonts w:ascii="Arial Narrow" w:hAnsi="Arial Narrow"/>
              </w:rPr>
            </w:pPr>
            <w:r w:rsidRPr="00AE2F09">
              <w:rPr>
                <w:rFonts w:ascii="Arial Narrow" w:hAnsi="Arial Narrow"/>
              </w:rPr>
              <w:t>Pegvaliase 20 mg/day</w:t>
            </w:r>
          </w:p>
        </w:tc>
        <w:tc>
          <w:tcPr>
            <w:tcW w:w="1312" w:type="pct"/>
          </w:tcPr>
          <w:p w14:paraId="3C7BCB7F" w14:textId="77777777" w:rsidR="00774AF7" w:rsidRPr="00AE2F09" w:rsidRDefault="00774AF7" w:rsidP="00FD7CD0">
            <w:pPr>
              <w:pStyle w:val="Tableheading0"/>
              <w:keepNext/>
              <w:widowControl/>
              <w:rPr>
                <w:rFonts w:ascii="Arial Narrow" w:hAnsi="Arial Narrow"/>
              </w:rPr>
            </w:pPr>
            <w:r w:rsidRPr="00AE2F09">
              <w:rPr>
                <w:rFonts w:ascii="Arial Narrow" w:hAnsi="Arial Narrow"/>
              </w:rPr>
              <w:t>Pegvaliase 40 mg/day</w:t>
            </w:r>
          </w:p>
        </w:tc>
      </w:tr>
      <w:tr w:rsidR="00B422E3" w:rsidRPr="00AE2F09" w14:paraId="7E5BC368" w14:textId="77777777" w:rsidTr="00FD7CD0">
        <w:trPr>
          <w:trHeight w:val="244"/>
        </w:trPr>
        <w:tc>
          <w:tcPr>
            <w:tcW w:w="2377" w:type="pct"/>
            <w:tcBorders>
              <w:bottom w:val="single" w:sz="4" w:space="0" w:color="auto"/>
            </w:tcBorders>
            <w:shd w:val="clear" w:color="auto" w:fill="auto"/>
          </w:tcPr>
          <w:p w14:paraId="09F074F8" w14:textId="26EBCC3B" w:rsidR="00774AF7" w:rsidRPr="00AE2F09" w:rsidRDefault="00774AF7" w:rsidP="00FD7CD0">
            <w:pPr>
              <w:pStyle w:val="Btable"/>
              <w:keepNext/>
              <w:rPr>
                <w:rFonts w:ascii="Arial Narrow" w:hAnsi="Arial Narrow"/>
              </w:rPr>
            </w:pPr>
            <w:r w:rsidRPr="00AE2F09">
              <w:rPr>
                <w:rFonts w:ascii="Arial Narrow" w:hAnsi="Arial Narrow"/>
              </w:rPr>
              <w:t>ADHD</w:t>
            </w:r>
            <w:r w:rsidR="004B437A">
              <w:rPr>
                <w:rFonts w:ascii="Arial Narrow" w:hAnsi="Arial Narrow"/>
              </w:rPr>
              <w:t xml:space="preserve"> </w:t>
            </w:r>
            <w:r w:rsidRPr="00AE2F09">
              <w:rPr>
                <w:rFonts w:ascii="Arial Narrow" w:hAnsi="Arial Narrow"/>
              </w:rPr>
              <w:t>RS-IV IA subscore</w:t>
            </w:r>
          </w:p>
        </w:tc>
        <w:tc>
          <w:tcPr>
            <w:tcW w:w="1311" w:type="pct"/>
            <w:tcBorders>
              <w:bottom w:val="single" w:sz="4" w:space="0" w:color="auto"/>
            </w:tcBorders>
            <w:shd w:val="clear" w:color="auto" w:fill="auto"/>
          </w:tcPr>
          <w:p w14:paraId="68C3F8BA" w14:textId="77777777" w:rsidR="00774AF7" w:rsidRPr="00AE2F09" w:rsidRDefault="00774AF7" w:rsidP="00FD7CD0">
            <w:pPr>
              <w:pStyle w:val="Tableheading0"/>
              <w:keepNext/>
              <w:rPr>
                <w:rFonts w:ascii="Arial Narrow" w:hAnsi="Arial Narrow"/>
              </w:rPr>
            </w:pPr>
            <w:r w:rsidRPr="00AE2F09">
              <w:rPr>
                <w:rFonts w:ascii="Arial Narrow" w:hAnsi="Arial Narrow"/>
              </w:rPr>
              <w:t>N = 131</w:t>
            </w:r>
          </w:p>
        </w:tc>
        <w:tc>
          <w:tcPr>
            <w:tcW w:w="1312" w:type="pct"/>
            <w:tcBorders>
              <w:bottom w:val="single" w:sz="4" w:space="0" w:color="auto"/>
            </w:tcBorders>
            <w:shd w:val="clear" w:color="auto" w:fill="auto"/>
          </w:tcPr>
          <w:p w14:paraId="4129DEF9" w14:textId="77777777" w:rsidR="00774AF7" w:rsidRPr="00AE2F09" w:rsidRDefault="00774AF7" w:rsidP="00FD7CD0">
            <w:pPr>
              <w:pStyle w:val="Tableheading0"/>
              <w:keepNext/>
              <w:rPr>
                <w:rFonts w:ascii="Arial Narrow" w:hAnsi="Arial Narrow"/>
              </w:rPr>
            </w:pPr>
            <w:r w:rsidRPr="00AE2F09">
              <w:rPr>
                <w:rFonts w:ascii="Arial Narrow" w:hAnsi="Arial Narrow"/>
              </w:rPr>
              <w:t>N = 130</w:t>
            </w:r>
          </w:p>
        </w:tc>
      </w:tr>
      <w:tr w:rsidR="00B422E3" w:rsidRPr="00AE2F09" w14:paraId="7214110E" w14:textId="77777777" w:rsidTr="00FD7CD0">
        <w:trPr>
          <w:trHeight w:val="244"/>
        </w:trPr>
        <w:tc>
          <w:tcPr>
            <w:tcW w:w="2377" w:type="pct"/>
            <w:tcBorders>
              <w:top w:val="nil"/>
              <w:bottom w:val="nil"/>
            </w:tcBorders>
          </w:tcPr>
          <w:p w14:paraId="21645B87" w14:textId="77777777" w:rsidR="00774AF7" w:rsidRPr="00AE2F09" w:rsidRDefault="00774AF7" w:rsidP="00FD7CD0">
            <w:pPr>
              <w:pStyle w:val="Tab1table"/>
              <w:keepNext/>
              <w:ind w:left="0"/>
              <w:rPr>
                <w:rFonts w:ascii="Arial Narrow" w:hAnsi="Arial Narrow"/>
              </w:rPr>
            </w:pPr>
            <w:r w:rsidRPr="00AE2F09">
              <w:rPr>
                <w:rFonts w:ascii="Arial Narrow" w:hAnsi="Arial Narrow"/>
              </w:rPr>
              <w:t>Baseline</w:t>
            </w:r>
          </w:p>
        </w:tc>
        <w:tc>
          <w:tcPr>
            <w:tcW w:w="1311" w:type="pct"/>
            <w:tcBorders>
              <w:top w:val="nil"/>
              <w:bottom w:val="nil"/>
            </w:tcBorders>
          </w:tcPr>
          <w:p w14:paraId="22180F81"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129</w:t>
            </w:r>
          </w:p>
        </w:tc>
        <w:tc>
          <w:tcPr>
            <w:tcW w:w="1312" w:type="pct"/>
            <w:tcBorders>
              <w:top w:val="nil"/>
              <w:bottom w:val="nil"/>
            </w:tcBorders>
          </w:tcPr>
          <w:p w14:paraId="101789F4"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124</w:t>
            </w:r>
          </w:p>
        </w:tc>
      </w:tr>
      <w:tr w:rsidR="00B422E3" w:rsidRPr="00AE2F09" w14:paraId="13B3FF4E" w14:textId="77777777" w:rsidTr="00FD7CD0">
        <w:trPr>
          <w:trHeight w:val="244"/>
        </w:trPr>
        <w:tc>
          <w:tcPr>
            <w:tcW w:w="2377" w:type="pct"/>
            <w:tcBorders>
              <w:top w:val="nil"/>
              <w:bottom w:val="nil"/>
            </w:tcBorders>
          </w:tcPr>
          <w:p w14:paraId="06DF47DE" w14:textId="77777777" w:rsidR="00774AF7" w:rsidRPr="00AE2F09" w:rsidRDefault="00774AF7" w:rsidP="00FD7CD0">
            <w:pPr>
              <w:pStyle w:val="Tab1table"/>
              <w:keepNext/>
              <w:rPr>
                <w:rFonts w:ascii="Arial Narrow" w:hAnsi="Arial Narrow"/>
              </w:rPr>
            </w:pPr>
            <w:r w:rsidRPr="00AE2F09">
              <w:rPr>
                <w:rFonts w:ascii="Arial Narrow" w:hAnsi="Arial Narrow"/>
              </w:rPr>
              <w:t>Mean (SD)</w:t>
            </w:r>
          </w:p>
        </w:tc>
        <w:tc>
          <w:tcPr>
            <w:tcW w:w="1311" w:type="pct"/>
            <w:tcBorders>
              <w:top w:val="nil"/>
              <w:bottom w:val="nil"/>
            </w:tcBorders>
          </w:tcPr>
          <w:p w14:paraId="3ED4B3D7"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10.0 (6.6)</w:t>
            </w:r>
          </w:p>
        </w:tc>
        <w:tc>
          <w:tcPr>
            <w:tcW w:w="1312" w:type="pct"/>
            <w:tcBorders>
              <w:top w:val="nil"/>
              <w:bottom w:val="nil"/>
            </w:tcBorders>
          </w:tcPr>
          <w:p w14:paraId="01040EAF"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9.5 (5.6)</w:t>
            </w:r>
          </w:p>
        </w:tc>
      </w:tr>
      <w:tr w:rsidR="00B422E3" w:rsidRPr="00AE2F09" w14:paraId="1777C4E3" w14:textId="77777777" w:rsidTr="00FD7CD0">
        <w:trPr>
          <w:trHeight w:val="244"/>
        </w:trPr>
        <w:tc>
          <w:tcPr>
            <w:tcW w:w="2377" w:type="pct"/>
            <w:tcBorders>
              <w:top w:val="nil"/>
              <w:bottom w:val="single" w:sz="4" w:space="0" w:color="auto"/>
            </w:tcBorders>
          </w:tcPr>
          <w:p w14:paraId="7B5621DC" w14:textId="77777777" w:rsidR="00774AF7" w:rsidRPr="00AE2F09" w:rsidRDefault="00774AF7" w:rsidP="00FD7CD0">
            <w:pPr>
              <w:pStyle w:val="Tab1table"/>
              <w:keepNext/>
              <w:rPr>
                <w:rFonts w:ascii="Arial Narrow" w:hAnsi="Arial Narrow"/>
              </w:rPr>
            </w:pPr>
            <w:r w:rsidRPr="00AE2F09">
              <w:rPr>
                <w:rFonts w:ascii="Arial Narrow" w:hAnsi="Arial Narrow"/>
              </w:rPr>
              <w:t>Median (min, max)</w:t>
            </w:r>
          </w:p>
        </w:tc>
        <w:tc>
          <w:tcPr>
            <w:tcW w:w="1311" w:type="pct"/>
            <w:tcBorders>
              <w:top w:val="nil"/>
              <w:bottom w:val="single" w:sz="4" w:space="0" w:color="auto"/>
            </w:tcBorders>
          </w:tcPr>
          <w:p w14:paraId="325DE80D"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9.0 (0.0, 26.0)</w:t>
            </w:r>
          </w:p>
        </w:tc>
        <w:tc>
          <w:tcPr>
            <w:tcW w:w="1312" w:type="pct"/>
            <w:tcBorders>
              <w:top w:val="nil"/>
              <w:bottom w:val="single" w:sz="4" w:space="0" w:color="auto"/>
            </w:tcBorders>
          </w:tcPr>
          <w:p w14:paraId="579C04FA"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8.0 (0.0, 23.0)</w:t>
            </w:r>
          </w:p>
        </w:tc>
      </w:tr>
      <w:tr w:rsidR="00B422E3" w:rsidRPr="00AE2F09" w14:paraId="4EBE61C7" w14:textId="77777777" w:rsidTr="00FD7CD0">
        <w:trPr>
          <w:trHeight w:val="244"/>
        </w:trPr>
        <w:tc>
          <w:tcPr>
            <w:tcW w:w="2377" w:type="pct"/>
            <w:tcBorders>
              <w:top w:val="nil"/>
              <w:bottom w:val="nil"/>
            </w:tcBorders>
          </w:tcPr>
          <w:p w14:paraId="68C8F8AD" w14:textId="77777777" w:rsidR="00774AF7" w:rsidRPr="00AE2F09" w:rsidRDefault="00774AF7" w:rsidP="00FD7CD0">
            <w:pPr>
              <w:pStyle w:val="Tab1table"/>
              <w:keepNext/>
              <w:ind w:left="0"/>
              <w:rPr>
                <w:rFonts w:ascii="Arial Narrow" w:hAnsi="Arial Narrow"/>
              </w:rPr>
            </w:pPr>
            <w:r w:rsidRPr="00AE2F09">
              <w:rPr>
                <w:rFonts w:ascii="Arial Narrow" w:hAnsi="Arial Narrow"/>
              </w:rPr>
              <w:t>End of study</w:t>
            </w:r>
          </w:p>
        </w:tc>
        <w:tc>
          <w:tcPr>
            <w:tcW w:w="1311" w:type="pct"/>
            <w:tcBorders>
              <w:top w:val="nil"/>
              <w:bottom w:val="nil"/>
            </w:tcBorders>
          </w:tcPr>
          <w:p w14:paraId="00F8F83E"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96</w:t>
            </w:r>
          </w:p>
        </w:tc>
        <w:tc>
          <w:tcPr>
            <w:tcW w:w="1312" w:type="pct"/>
            <w:tcBorders>
              <w:top w:val="nil"/>
              <w:bottom w:val="nil"/>
            </w:tcBorders>
          </w:tcPr>
          <w:p w14:paraId="6A580B82"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93</w:t>
            </w:r>
          </w:p>
        </w:tc>
      </w:tr>
      <w:tr w:rsidR="00B422E3" w:rsidRPr="00AE2F09" w14:paraId="55C28AFF" w14:textId="77777777" w:rsidTr="00FD7CD0">
        <w:trPr>
          <w:trHeight w:val="244"/>
        </w:trPr>
        <w:tc>
          <w:tcPr>
            <w:tcW w:w="2377" w:type="pct"/>
            <w:tcBorders>
              <w:top w:val="nil"/>
              <w:bottom w:val="nil"/>
            </w:tcBorders>
          </w:tcPr>
          <w:p w14:paraId="78B9F5A4" w14:textId="77777777" w:rsidR="00774AF7" w:rsidRPr="00AE2F09" w:rsidRDefault="00774AF7" w:rsidP="00FD7CD0">
            <w:pPr>
              <w:pStyle w:val="Tab1table"/>
              <w:keepNext/>
              <w:rPr>
                <w:rFonts w:ascii="Arial Narrow" w:hAnsi="Arial Narrow"/>
              </w:rPr>
            </w:pPr>
            <w:r w:rsidRPr="00AE2F09">
              <w:rPr>
                <w:rFonts w:ascii="Arial Narrow" w:hAnsi="Arial Narrow"/>
              </w:rPr>
              <w:t>Mean (SD)</w:t>
            </w:r>
          </w:p>
        </w:tc>
        <w:tc>
          <w:tcPr>
            <w:tcW w:w="1311" w:type="pct"/>
            <w:tcBorders>
              <w:top w:val="nil"/>
              <w:bottom w:val="nil"/>
            </w:tcBorders>
          </w:tcPr>
          <w:p w14:paraId="1111996E"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6.2 (5.2)</w:t>
            </w:r>
          </w:p>
        </w:tc>
        <w:tc>
          <w:tcPr>
            <w:tcW w:w="1312" w:type="pct"/>
            <w:tcBorders>
              <w:top w:val="nil"/>
              <w:bottom w:val="nil"/>
            </w:tcBorders>
          </w:tcPr>
          <w:p w14:paraId="6B37C662"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6.9 (5.0)</w:t>
            </w:r>
          </w:p>
        </w:tc>
      </w:tr>
      <w:tr w:rsidR="00B422E3" w:rsidRPr="00AE2F09" w14:paraId="62C1DC55" w14:textId="77777777" w:rsidTr="00FD7CD0">
        <w:trPr>
          <w:trHeight w:val="244"/>
        </w:trPr>
        <w:tc>
          <w:tcPr>
            <w:tcW w:w="2377" w:type="pct"/>
            <w:tcBorders>
              <w:top w:val="nil"/>
              <w:bottom w:val="single" w:sz="4" w:space="0" w:color="auto"/>
            </w:tcBorders>
          </w:tcPr>
          <w:p w14:paraId="235B39F8" w14:textId="77777777" w:rsidR="00774AF7" w:rsidRPr="00AE2F09" w:rsidRDefault="00774AF7" w:rsidP="00FD7CD0">
            <w:pPr>
              <w:pStyle w:val="Tab1table"/>
              <w:keepNext/>
              <w:rPr>
                <w:rFonts w:ascii="Arial Narrow" w:hAnsi="Arial Narrow"/>
              </w:rPr>
            </w:pPr>
            <w:r w:rsidRPr="00AE2F09">
              <w:rPr>
                <w:rFonts w:ascii="Arial Narrow" w:hAnsi="Arial Narrow"/>
              </w:rPr>
              <w:t>Median (min, max)</w:t>
            </w:r>
          </w:p>
        </w:tc>
        <w:tc>
          <w:tcPr>
            <w:tcW w:w="1311" w:type="pct"/>
            <w:tcBorders>
              <w:top w:val="nil"/>
              <w:bottom w:val="single" w:sz="4" w:space="0" w:color="auto"/>
            </w:tcBorders>
          </w:tcPr>
          <w:p w14:paraId="7DCBB70E"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5.0 (0.0, 24.0)</w:t>
            </w:r>
          </w:p>
        </w:tc>
        <w:tc>
          <w:tcPr>
            <w:tcW w:w="1312" w:type="pct"/>
            <w:tcBorders>
              <w:top w:val="nil"/>
              <w:bottom w:val="single" w:sz="4" w:space="0" w:color="auto"/>
            </w:tcBorders>
          </w:tcPr>
          <w:p w14:paraId="0B3A9DBC"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6.0 (0.0, 20.0)</w:t>
            </w:r>
          </w:p>
        </w:tc>
      </w:tr>
      <w:tr w:rsidR="00B422E3" w:rsidRPr="00AE2F09" w14:paraId="04BF5B19" w14:textId="77777777" w:rsidTr="00FD7CD0">
        <w:trPr>
          <w:trHeight w:val="244"/>
        </w:trPr>
        <w:tc>
          <w:tcPr>
            <w:tcW w:w="2377" w:type="pct"/>
            <w:tcBorders>
              <w:top w:val="nil"/>
              <w:bottom w:val="nil"/>
            </w:tcBorders>
          </w:tcPr>
          <w:p w14:paraId="422E9B12" w14:textId="77777777" w:rsidR="00774AF7" w:rsidRPr="00AE2F09" w:rsidRDefault="00774AF7" w:rsidP="00FD7CD0">
            <w:pPr>
              <w:pStyle w:val="Tab1table"/>
              <w:keepNext/>
              <w:ind w:left="0"/>
              <w:rPr>
                <w:rFonts w:ascii="Arial Narrow" w:hAnsi="Arial Narrow"/>
              </w:rPr>
            </w:pPr>
            <w:r w:rsidRPr="00AE2F09">
              <w:rPr>
                <w:rFonts w:ascii="Arial Narrow" w:hAnsi="Arial Narrow"/>
              </w:rPr>
              <w:t>Change from baseline to end of study*</w:t>
            </w:r>
          </w:p>
        </w:tc>
        <w:tc>
          <w:tcPr>
            <w:tcW w:w="1311" w:type="pct"/>
            <w:tcBorders>
              <w:top w:val="nil"/>
              <w:bottom w:val="nil"/>
            </w:tcBorders>
          </w:tcPr>
          <w:p w14:paraId="10FFD47D"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94</w:t>
            </w:r>
          </w:p>
        </w:tc>
        <w:tc>
          <w:tcPr>
            <w:tcW w:w="1312" w:type="pct"/>
            <w:tcBorders>
              <w:top w:val="nil"/>
              <w:bottom w:val="nil"/>
            </w:tcBorders>
          </w:tcPr>
          <w:p w14:paraId="418775CF" w14:textId="77777777" w:rsidR="00774AF7" w:rsidRPr="00AE2F09" w:rsidRDefault="00774AF7" w:rsidP="00FD7CD0">
            <w:pPr>
              <w:pStyle w:val="Tablecentre"/>
              <w:keepNext/>
              <w:widowControl/>
              <w:rPr>
                <w:rFonts w:ascii="Arial Narrow" w:hAnsi="Arial Narrow"/>
              </w:rPr>
            </w:pPr>
            <w:r w:rsidRPr="00AE2F09">
              <w:rPr>
                <w:rFonts w:ascii="Arial Narrow" w:hAnsi="Arial Narrow"/>
              </w:rPr>
              <w:t>n = 87</w:t>
            </w:r>
          </w:p>
        </w:tc>
      </w:tr>
      <w:tr w:rsidR="00B422E3" w:rsidRPr="00AE2F09" w14:paraId="40FE3682" w14:textId="77777777" w:rsidTr="00FD7CD0">
        <w:trPr>
          <w:trHeight w:val="244"/>
        </w:trPr>
        <w:tc>
          <w:tcPr>
            <w:tcW w:w="2377" w:type="pct"/>
            <w:tcBorders>
              <w:top w:val="nil"/>
              <w:bottom w:val="nil"/>
            </w:tcBorders>
          </w:tcPr>
          <w:p w14:paraId="3C1679D7" w14:textId="77777777" w:rsidR="00774AF7" w:rsidRPr="00AE2F09" w:rsidRDefault="00774AF7" w:rsidP="00FD7CD0">
            <w:pPr>
              <w:pStyle w:val="Tab1table"/>
              <w:keepNext/>
              <w:rPr>
                <w:rFonts w:ascii="Arial Narrow" w:hAnsi="Arial Narrow"/>
              </w:rPr>
            </w:pPr>
            <w:r w:rsidRPr="00AE2F09">
              <w:rPr>
                <w:rFonts w:ascii="Arial Narrow" w:hAnsi="Arial Narrow"/>
              </w:rPr>
              <w:t>Mean (SD)</w:t>
            </w:r>
          </w:p>
        </w:tc>
        <w:tc>
          <w:tcPr>
            <w:tcW w:w="1311" w:type="pct"/>
            <w:tcBorders>
              <w:top w:val="nil"/>
              <w:bottom w:val="nil"/>
            </w:tcBorders>
          </w:tcPr>
          <w:p w14:paraId="454D09F1" w14:textId="77777777" w:rsidR="00774AF7" w:rsidRPr="00AE2F09" w:rsidRDefault="00774AF7" w:rsidP="00FD7CD0">
            <w:pPr>
              <w:pStyle w:val="Tablecentre"/>
              <w:keepNext/>
              <w:widowControl/>
              <w:rPr>
                <w:rFonts w:ascii="Arial Narrow" w:hAnsi="Arial Narrow"/>
              </w:rPr>
            </w:pPr>
            <w:r w:rsidRPr="00AE2F09">
              <w:rPr>
                <w:rFonts w:ascii="Arial Narrow" w:hAnsi="Arial Narrow"/>
              </w:rPr>
              <w:noBreakHyphen/>
              <w:t>3.7 (5.2)</w:t>
            </w:r>
          </w:p>
        </w:tc>
        <w:tc>
          <w:tcPr>
            <w:tcW w:w="1312" w:type="pct"/>
            <w:tcBorders>
              <w:top w:val="nil"/>
              <w:bottom w:val="nil"/>
            </w:tcBorders>
          </w:tcPr>
          <w:p w14:paraId="37833E6A" w14:textId="77777777" w:rsidR="00774AF7" w:rsidRPr="00AE2F09" w:rsidRDefault="00774AF7" w:rsidP="00FD7CD0">
            <w:pPr>
              <w:pStyle w:val="Tablecentre"/>
              <w:keepNext/>
              <w:widowControl/>
              <w:rPr>
                <w:rFonts w:ascii="Arial Narrow" w:hAnsi="Arial Narrow"/>
              </w:rPr>
            </w:pPr>
            <w:r w:rsidRPr="00AE2F09">
              <w:rPr>
                <w:rFonts w:ascii="Arial Narrow" w:hAnsi="Arial Narrow"/>
              </w:rPr>
              <w:noBreakHyphen/>
              <w:t>3.2 (5.3)</w:t>
            </w:r>
          </w:p>
        </w:tc>
      </w:tr>
      <w:tr w:rsidR="00B422E3" w:rsidRPr="00AE2F09" w14:paraId="34F83BEE" w14:textId="77777777" w:rsidTr="00FD7CD0">
        <w:trPr>
          <w:trHeight w:val="244"/>
        </w:trPr>
        <w:tc>
          <w:tcPr>
            <w:tcW w:w="2377" w:type="pct"/>
            <w:tcBorders>
              <w:top w:val="nil"/>
              <w:bottom w:val="single" w:sz="4" w:space="0" w:color="auto"/>
            </w:tcBorders>
          </w:tcPr>
          <w:p w14:paraId="737DF66F" w14:textId="77777777" w:rsidR="00774AF7" w:rsidRPr="00AE2F09" w:rsidRDefault="00774AF7" w:rsidP="00FD7CD0">
            <w:pPr>
              <w:pStyle w:val="Tab1table"/>
              <w:keepNext/>
              <w:rPr>
                <w:rFonts w:ascii="Arial Narrow" w:hAnsi="Arial Narrow"/>
              </w:rPr>
            </w:pPr>
            <w:r w:rsidRPr="00AE2F09">
              <w:rPr>
                <w:rFonts w:ascii="Arial Narrow" w:hAnsi="Arial Narrow"/>
              </w:rPr>
              <w:t>Median (min, max)</w:t>
            </w:r>
          </w:p>
        </w:tc>
        <w:tc>
          <w:tcPr>
            <w:tcW w:w="1311" w:type="pct"/>
            <w:tcBorders>
              <w:top w:val="nil"/>
              <w:bottom w:val="single" w:sz="4" w:space="0" w:color="auto"/>
            </w:tcBorders>
          </w:tcPr>
          <w:p w14:paraId="4263FF07" w14:textId="77777777" w:rsidR="00774AF7" w:rsidRPr="00AE2F09" w:rsidRDefault="00774AF7" w:rsidP="00FD7CD0">
            <w:pPr>
              <w:pStyle w:val="Tablecentre"/>
              <w:keepNext/>
              <w:widowControl/>
              <w:rPr>
                <w:rFonts w:ascii="Arial Narrow" w:hAnsi="Arial Narrow"/>
              </w:rPr>
            </w:pPr>
            <w:r w:rsidRPr="00AE2F09">
              <w:rPr>
                <w:rFonts w:ascii="Arial Narrow" w:hAnsi="Arial Narrow"/>
              </w:rPr>
              <w:noBreakHyphen/>
              <w:t>3.0 (</w:t>
            </w:r>
            <w:r w:rsidRPr="00AE2F09">
              <w:rPr>
                <w:rFonts w:ascii="Arial Narrow" w:hAnsi="Arial Narrow"/>
              </w:rPr>
              <w:noBreakHyphen/>
              <w:t>23.0, 10.0)</w:t>
            </w:r>
          </w:p>
        </w:tc>
        <w:tc>
          <w:tcPr>
            <w:tcW w:w="1312" w:type="pct"/>
            <w:tcBorders>
              <w:top w:val="nil"/>
              <w:bottom w:val="single" w:sz="4" w:space="0" w:color="auto"/>
            </w:tcBorders>
          </w:tcPr>
          <w:p w14:paraId="113B8F61" w14:textId="77777777" w:rsidR="00774AF7" w:rsidRPr="00AE2F09" w:rsidRDefault="00774AF7" w:rsidP="00FD7CD0">
            <w:pPr>
              <w:pStyle w:val="Tablecentre"/>
              <w:keepNext/>
              <w:widowControl/>
              <w:rPr>
                <w:rFonts w:ascii="Arial Narrow" w:hAnsi="Arial Narrow"/>
              </w:rPr>
            </w:pPr>
            <w:r w:rsidRPr="00AE2F09">
              <w:rPr>
                <w:rFonts w:ascii="Arial Narrow" w:hAnsi="Arial Narrow"/>
              </w:rPr>
              <w:noBreakHyphen/>
              <w:t>2.0 (</w:t>
            </w:r>
            <w:r w:rsidRPr="00AE2F09">
              <w:rPr>
                <w:rFonts w:ascii="Arial Narrow" w:hAnsi="Arial Narrow"/>
              </w:rPr>
              <w:noBreakHyphen/>
              <w:t>18.0, 10.0)</w:t>
            </w:r>
          </w:p>
        </w:tc>
      </w:tr>
    </w:tbl>
    <w:p w14:paraId="2B4CFAE6" w14:textId="77777777" w:rsidR="00774AF7" w:rsidRPr="00AE2F09" w:rsidRDefault="00774AF7" w:rsidP="00774AF7">
      <w:pPr>
        <w:pStyle w:val="TableFooter"/>
        <w:rPr>
          <w:sz w:val="20"/>
        </w:rPr>
      </w:pPr>
      <w:r w:rsidRPr="00AE2F09">
        <w:t>Source: Table 2.5-3 (p102) of the submission</w:t>
      </w:r>
    </w:p>
    <w:p w14:paraId="43422617" w14:textId="1D557B92" w:rsidR="00774AF7" w:rsidRPr="00AE2F09" w:rsidRDefault="00774AF7" w:rsidP="00774AF7">
      <w:pPr>
        <w:pStyle w:val="TableFooter"/>
      </w:pPr>
      <w:r w:rsidRPr="00AE2F09">
        <w:t>ADHD</w:t>
      </w:r>
      <w:r w:rsidR="004B437A">
        <w:t xml:space="preserve"> </w:t>
      </w:r>
      <w:r w:rsidRPr="00AE2F09">
        <w:t>RS</w:t>
      </w:r>
      <w:r w:rsidR="004B437A">
        <w:t>-IV</w:t>
      </w:r>
      <w:r w:rsidRPr="00AE2F09">
        <w:t xml:space="preserve"> IA =</w:t>
      </w:r>
      <w:r w:rsidR="00867CD5">
        <w:t xml:space="preserve"> A</w:t>
      </w:r>
      <w:r w:rsidRPr="00AE2F09">
        <w:t xml:space="preserve">ttention </w:t>
      </w:r>
      <w:r w:rsidR="00867CD5">
        <w:t>D</w:t>
      </w:r>
      <w:r w:rsidRPr="00AE2F09">
        <w:t xml:space="preserve">eficit </w:t>
      </w:r>
      <w:r w:rsidR="00867CD5">
        <w:t>H</w:t>
      </w:r>
      <w:r w:rsidRPr="00AE2F09">
        <w:t xml:space="preserve">yperactivity </w:t>
      </w:r>
      <w:r w:rsidR="00867CD5">
        <w:t>D</w:t>
      </w:r>
      <w:r w:rsidRPr="00AE2F09">
        <w:t xml:space="preserve">isorder </w:t>
      </w:r>
      <w:r w:rsidR="00867CD5">
        <w:t>R</w:t>
      </w:r>
      <w:r w:rsidRPr="00AE2F09">
        <w:t xml:space="preserve">ating </w:t>
      </w:r>
      <w:r w:rsidR="00867CD5">
        <w:t>S</w:t>
      </w:r>
      <w:r w:rsidRPr="00AE2F09">
        <w:t>cale</w:t>
      </w:r>
      <w:r w:rsidR="00867CD5">
        <w:t xml:space="preserve"> I</w:t>
      </w:r>
      <w:r w:rsidRPr="00AE2F09">
        <w:t xml:space="preserve">nattention subscale; PKU = phenylketonuria; POMS = </w:t>
      </w:r>
      <w:r w:rsidR="00867CD5">
        <w:t>P</w:t>
      </w:r>
      <w:r w:rsidRPr="00AE2F09">
        <w:t xml:space="preserve">rofile of </w:t>
      </w:r>
      <w:r w:rsidR="00867CD5">
        <w:t>M</w:t>
      </w:r>
      <w:r w:rsidRPr="00AE2F09">
        <w:t xml:space="preserve">ood </w:t>
      </w:r>
      <w:r w:rsidR="00867CD5">
        <w:t>S</w:t>
      </w:r>
      <w:r w:rsidRPr="00AE2F09">
        <w:t>tates; SD = standard deviation; TMD = total mood disturbance</w:t>
      </w:r>
    </w:p>
    <w:p w14:paraId="5BBC26B5" w14:textId="77777777" w:rsidR="00774AF7" w:rsidRPr="00AE2F09" w:rsidRDefault="00774AF7" w:rsidP="00A734C6">
      <w:pPr>
        <w:pStyle w:val="TableFooter"/>
        <w:spacing w:after="240"/>
      </w:pPr>
      <w:r w:rsidRPr="00AE2F09">
        <w:t>* Based on patients with available measurements at both time points</w:t>
      </w:r>
    </w:p>
    <w:p w14:paraId="31191BE0" w14:textId="04918E3A" w:rsidR="00774AF7" w:rsidRPr="00AE2F09" w:rsidRDefault="00F3269C" w:rsidP="00A734C6">
      <w:pPr>
        <w:pStyle w:val="TableFigureHeading"/>
        <w:keepNext w:val="0"/>
        <w:widowControl w:val="0"/>
        <w:rPr>
          <w:rStyle w:val="CommentReference"/>
          <w:b/>
          <w:bCs w:val="0"/>
          <w:szCs w:val="24"/>
        </w:rPr>
      </w:pPr>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9</w:t>
      </w:r>
      <w:r w:rsidRPr="00AE2F09">
        <w:rPr>
          <w:rStyle w:val="CommentReference"/>
          <w:b/>
          <w:bCs w:val="0"/>
          <w:szCs w:val="24"/>
        </w:rPr>
        <w:fldChar w:fldCharType="end"/>
      </w:r>
      <w:r w:rsidR="00774AF7" w:rsidRPr="00AE2F09">
        <w:rPr>
          <w:rStyle w:val="CommentReference"/>
          <w:b/>
          <w:bCs w:val="0"/>
          <w:szCs w:val="24"/>
        </w:rPr>
        <w:t>: Results of change in ADHD</w:t>
      </w:r>
      <w:r w:rsidR="004B437A">
        <w:rPr>
          <w:rStyle w:val="CommentReference"/>
          <w:b/>
          <w:bCs w:val="0"/>
          <w:szCs w:val="24"/>
        </w:rPr>
        <w:t xml:space="preserve"> </w:t>
      </w:r>
      <w:r w:rsidR="00774AF7" w:rsidRPr="00AE2F09">
        <w:rPr>
          <w:rStyle w:val="CommentReference"/>
          <w:b/>
          <w:bCs w:val="0"/>
          <w:szCs w:val="24"/>
        </w:rPr>
        <w:t>RS-IV inattention subscale from PRISM 2 Part 2 baseline to week 8</w:t>
      </w:r>
    </w:p>
    <w:tbl>
      <w:tblPr>
        <w:tblStyle w:val="TableGrid"/>
        <w:tblW w:w="5000" w:type="pct"/>
        <w:tblLook w:val="04A0" w:firstRow="1" w:lastRow="0" w:firstColumn="1" w:lastColumn="0" w:noHBand="0" w:noVBand="1"/>
      </w:tblPr>
      <w:tblGrid>
        <w:gridCol w:w="2380"/>
        <w:gridCol w:w="2211"/>
        <w:gridCol w:w="2213"/>
        <w:gridCol w:w="2213"/>
      </w:tblGrid>
      <w:tr w:rsidR="00F3269C" w:rsidRPr="00AE2F09" w14:paraId="7EAD8FAA" w14:textId="77777777" w:rsidTr="00FD7CD0">
        <w:tc>
          <w:tcPr>
            <w:tcW w:w="1320" w:type="pct"/>
            <w:tcBorders>
              <w:bottom w:val="nil"/>
            </w:tcBorders>
          </w:tcPr>
          <w:p w14:paraId="2B4F2071" w14:textId="77777777" w:rsidR="00774AF7" w:rsidRPr="00AE2F09" w:rsidRDefault="00774AF7" w:rsidP="00A734C6">
            <w:pPr>
              <w:pStyle w:val="Tableheading0"/>
              <w:rPr>
                <w:rFonts w:ascii="Arial Narrow" w:hAnsi="Arial Narrow"/>
              </w:rPr>
            </w:pPr>
          </w:p>
        </w:tc>
        <w:tc>
          <w:tcPr>
            <w:tcW w:w="1226" w:type="pct"/>
            <w:tcBorders>
              <w:bottom w:val="nil"/>
            </w:tcBorders>
          </w:tcPr>
          <w:p w14:paraId="159C4E25" w14:textId="77777777" w:rsidR="00774AF7" w:rsidRPr="00AE2F09" w:rsidRDefault="00774AF7" w:rsidP="00A734C6">
            <w:pPr>
              <w:pStyle w:val="Tableheading0"/>
              <w:rPr>
                <w:rFonts w:ascii="Arial Narrow" w:hAnsi="Arial Narrow"/>
              </w:rPr>
            </w:pPr>
            <w:r w:rsidRPr="00AE2F09">
              <w:rPr>
                <w:rFonts w:ascii="Arial Narrow" w:hAnsi="Arial Narrow"/>
              </w:rPr>
              <w:t>Pooled pegvaliase</w:t>
            </w:r>
          </w:p>
        </w:tc>
        <w:tc>
          <w:tcPr>
            <w:tcW w:w="1227" w:type="pct"/>
            <w:tcBorders>
              <w:bottom w:val="nil"/>
            </w:tcBorders>
          </w:tcPr>
          <w:p w14:paraId="286E92AC" w14:textId="77777777" w:rsidR="00774AF7" w:rsidRPr="00AE2F09" w:rsidRDefault="00774AF7" w:rsidP="00A734C6">
            <w:pPr>
              <w:pStyle w:val="Tableheading0"/>
              <w:rPr>
                <w:rFonts w:ascii="Arial Narrow" w:hAnsi="Arial Narrow"/>
              </w:rPr>
            </w:pPr>
            <w:r w:rsidRPr="00AE2F09">
              <w:rPr>
                <w:rFonts w:ascii="Arial Narrow" w:hAnsi="Arial Narrow"/>
              </w:rPr>
              <w:t>Placebo 20 mg/day</w:t>
            </w:r>
          </w:p>
        </w:tc>
        <w:tc>
          <w:tcPr>
            <w:tcW w:w="1227" w:type="pct"/>
            <w:tcBorders>
              <w:bottom w:val="nil"/>
            </w:tcBorders>
          </w:tcPr>
          <w:p w14:paraId="34FD90EC" w14:textId="77777777" w:rsidR="00774AF7" w:rsidRPr="00AE2F09" w:rsidRDefault="00774AF7" w:rsidP="00A734C6">
            <w:pPr>
              <w:pStyle w:val="Tableheading0"/>
              <w:rPr>
                <w:rFonts w:ascii="Arial Narrow" w:hAnsi="Arial Narrow"/>
              </w:rPr>
            </w:pPr>
            <w:r w:rsidRPr="00AE2F09">
              <w:rPr>
                <w:rFonts w:ascii="Arial Narrow" w:hAnsi="Arial Narrow"/>
              </w:rPr>
              <w:t>Placebo 40 mg/day</w:t>
            </w:r>
          </w:p>
        </w:tc>
      </w:tr>
      <w:tr w:rsidR="00F3269C" w:rsidRPr="00AE2F09" w14:paraId="1E3F0624" w14:textId="77777777" w:rsidTr="00FD7CD0">
        <w:tc>
          <w:tcPr>
            <w:tcW w:w="1320" w:type="pct"/>
            <w:tcBorders>
              <w:top w:val="nil"/>
            </w:tcBorders>
          </w:tcPr>
          <w:p w14:paraId="636D561B" w14:textId="77777777" w:rsidR="00774AF7" w:rsidRPr="00AE2F09" w:rsidRDefault="00774AF7" w:rsidP="00A734C6">
            <w:pPr>
              <w:pStyle w:val="Tableheading0"/>
              <w:rPr>
                <w:rFonts w:ascii="Arial Narrow" w:hAnsi="Arial Narrow"/>
              </w:rPr>
            </w:pPr>
          </w:p>
        </w:tc>
        <w:tc>
          <w:tcPr>
            <w:tcW w:w="1226" w:type="pct"/>
            <w:tcBorders>
              <w:top w:val="nil"/>
            </w:tcBorders>
          </w:tcPr>
          <w:p w14:paraId="748D32A1" w14:textId="77777777" w:rsidR="00774AF7" w:rsidRPr="00AE2F09" w:rsidRDefault="00774AF7" w:rsidP="00A734C6">
            <w:pPr>
              <w:pStyle w:val="Tableheading0"/>
              <w:rPr>
                <w:rFonts w:ascii="Arial Narrow" w:hAnsi="Arial Narrow"/>
              </w:rPr>
            </w:pPr>
            <w:r w:rsidRPr="00AE2F09">
              <w:rPr>
                <w:rFonts w:ascii="Arial Narrow" w:hAnsi="Arial Narrow"/>
              </w:rPr>
              <w:t>N = 58</w:t>
            </w:r>
          </w:p>
        </w:tc>
        <w:tc>
          <w:tcPr>
            <w:tcW w:w="1227" w:type="pct"/>
            <w:tcBorders>
              <w:top w:val="nil"/>
            </w:tcBorders>
          </w:tcPr>
          <w:p w14:paraId="67DC4F1C" w14:textId="77777777" w:rsidR="00774AF7" w:rsidRPr="00AE2F09" w:rsidRDefault="00774AF7" w:rsidP="00A734C6">
            <w:pPr>
              <w:pStyle w:val="Tableheading0"/>
              <w:rPr>
                <w:rFonts w:ascii="Arial Narrow" w:hAnsi="Arial Narrow"/>
              </w:rPr>
            </w:pPr>
            <w:r w:rsidRPr="00AE2F09">
              <w:rPr>
                <w:rFonts w:ascii="Arial Narrow" w:hAnsi="Arial Narrow"/>
              </w:rPr>
              <w:t>N = 14</w:t>
            </w:r>
          </w:p>
        </w:tc>
        <w:tc>
          <w:tcPr>
            <w:tcW w:w="1227" w:type="pct"/>
            <w:tcBorders>
              <w:top w:val="nil"/>
            </w:tcBorders>
          </w:tcPr>
          <w:p w14:paraId="09D3D27F" w14:textId="77777777" w:rsidR="00774AF7" w:rsidRPr="00AE2F09" w:rsidRDefault="00774AF7" w:rsidP="00A734C6">
            <w:pPr>
              <w:pStyle w:val="Tableheading0"/>
              <w:rPr>
                <w:rFonts w:ascii="Arial Narrow" w:hAnsi="Arial Narrow"/>
              </w:rPr>
            </w:pPr>
            <w:r w:rsidRPr="00AE2F09">
              <w:rPr>
                <w:rFonts w:ascii="Arial Narrow" w:hAnsi="Arial Narrow"/>
              </w:rPr>
              <w:t>N = 14</w:t>
            </w:r>
          </w:p>
        </w:tc>
      </w:tr>
      <w:tr w:rsidR="00F3269C" w:rsidRPr="00AE2F09" w14:paraId="6184C360" w14:textId="77777777" w:rsidTr="00FD7CD0">
        <w:tc>
          <w:tcPr>
            <w:tcW w:w="5000" w:type="pct"/>
            <w:gridSpan w:val="4"/>
            <w:tcBorders>
              <w:bottom w:val="single" w:sz="4" w:space="0" w:color="auto"/>
            </w:tcBorders>
            <w:shd w:val="clear" w:color="auto" w:fill="auto"/>
          </w:tcPr>
          <w:p w14:paraId="72DB48CD" w14:textId="1F3F031E" w:rsidR="00774AF7" w:rsidRPr="00AE2F09" w:rsidRDefault="00774AF7" w:rsidP="00A734C6">
            <w:pPr>
              <w:pStyle w:val="Btable"/>
              <w:rPr>
                <w:rFonts w:ascii="Arial Narrow" w:hAnsi="Arial Narrow"/>
              </w:rPr>
            </w:pPr>
            <w:r w:rsidRPr="00AE2F09">
              <w:rPr>
                <w:rFonts w:ascii="Arial Narrow" w:hAnsi="Arial Narrow"/>
              </w:rPr>
              <w:t>ADHD</w:t>
            </w:r>
            <w:r w:rsidR="004B437A">
              <w:rPr>
                <w:rFonts w:ascii="Arial Narrow" w:hAnsi="Arial Narrow"/>
              </w:rPr>
              <w:t xml:space="preserve"> </w:t>
            </w:r>
            <w:r w:rsidRPr="00AE2F09">
              <w:rPr>
                <w:rFonts w:ascii="Arial Narrow" w:hAnsi="Arial Narrow"/>
              </w:rPr>
              <w:t>RS-IV IA subscale score</w:t>
            </w:r>
          </w:p>
        </w:tc>
      </w:tr>
      <w:tr w:rsidR="00F3269C" w:rsidRPr="00AE2F09" w14:paraId="48C4D0BF" w14:textId="77777777" w:rsidTr="00FD7CD0">
        <w:tc>
          <w:tcPr>
            <w:tcW w:w="1320" w:type="pct"/>
            <w:tcBorders>
              <w:bottom w:val="nil"/>
            </w:tcBorders>
          </w:tcPr>
          <w:p w14:paraId="3D483116" w14:textId="77777777" w:rsidR="00774AF7" w:rsidRPr="00AE2F09" w:rsidRDefault="00774AF7" w:rsidP="00A734C6">
            <w:pPr>
              <w:pStyle w:val="Tabletext"/>
              <w:widowControl w:val="0"/>
              <w:rPr>
                <w:szCs w:val="20"/>
              </w:rPr>
            </w:pPr>
            <w:r w:rsidRPr="00AE2F09">
              <w:rPr>
                <w:szCs w:val="20"/>
              </w:rPr>
              <w:t>N</w:t>
            </w:r>
          </w:p>
        </w:tc>
        <w:tc>
          <w:tcPr>
            <w:tcW w:w="1226" w:type="pct"/>
            <w:tcBorders>
              <w:bottom w:val="nil"/>
            </w:tcBorders>
          </w:tcPr>
          <w:p w14:paraId="158FF276" w14:textId="77777777" w:rsidR="00774AF7" w:rsidRPr="00AE2F09" w:rsidRDefault="00774AF7" w:rsidP="00A734C6">
            <w:pPr>
              <w:pStyle w:val="Tablecentre"/>
              <w:rPr>
                <w:rFonts w:ascii="Arial Narrow" w:hAnsi="Arial Narrow"/>
              </w:rPr>
            </w:pPr>
            <w:r w:rsidRPr="00AE2F09">
              <w:rPr>
                <w:rFonts w:ascii="Arial Narrow" w:hAnsi="Arial Narrow"/>
              </w:rPr>
              <w:t>58</w:t>
            </w:r>
          </w:p>
        </w:tc>
        <w:tc>
          <w:tcPr>
            <w:tcW w:w="1227" w:type="pct"/>
            <w:tcBorders>
              <w:bottom w:val="nil"/>
            </w:tcBorders>
          </w:tcPr>
          <w:p w14:paraId="4E5547B2" w14:textId="77777777" w:rsidR="00774AF7" w:rsidRPr="00AE2F09" w:rsidRDefault="00774AF7" w:rsidP="00A734C6">
            <w:pPr>
              <w:pStyle w:val="Tablecentre"/>
              <w:rPr>
                <w:rFonts w:ascii="Arial Narrow" w:hAnsi="Arial Narrow"/>
              </w:rPr>
            </w:pPr>
            <w:r w:rsidRPr="00AE2F09">
              <w:rPr>
                <w:rFonts w:ascii="Arial Narrow" w:hAnsi="Arial Narrow"/>
              </w:rPr>
              <w:t>14</w:t>
            </w:r>
          </w:p>
        </w:tc>
        <w:tc>
          <w:tcPr>
            <w:tcW w:w="1227" w:type="pct"/>
            <w:tcBorders>
              <w:bottom w:val="nil"/>
            </w:tcBorders>
          </w:tcPr>
          <w:p w14:paraId="38AC65A9" w14:textId="77777777" w:rsidR="00774AF7" w:rsidRPr="00AE2F09" w:rsidRDefault="00774AF7" w:rsidP="00A734C6">
            <w:pPr>
              <w:pStyle w:val="Tablecentre"/>
              <w:rPr>
                <w:rFonts w:ascii="Arial Narrow" w:hAnsi="Arial Narrow"/>
              </w:rPr>
            </w:pPr>
            <w:r w:rsidRPr="00AE2F09">
              <w:rPr>
                <w:rFonts w:ascii="Arial Narrow" w:hAnsi="Arial Narrow"/>
              </w:rPr>
              <w:t>14</w:t>
            </w:r>
          </w:p>
        </w:tc>
      </w:tr>
      <w:tr w:rsidR="00F3269C" w:rsidRPr="00AE2F09" w14:paraId="2FB2B765" w14:textId="77777777" w:rsidTr="00FD7CD0">
        <w:tc>
          <w:tcPr>
            <w:tcW w:w="1320" w:type="pct"/>
            <w:tcBorders>
              <w:top w:val="nil"/>
              <w:bottom w:val="nil"/>
            </w:tcBorders>
          </w:tcPr>
          <w:p w14:paraId="41890CBF" w14:textId="77777777" w:rsidR="00774AF7" w:rsidRPr="00AE2F09" w:rsidRDefault="00774AF7" w:rsidP="00A734C6">
            <w:pPr>
              <w:pStyle w:val="Tabletext"/>
              <w:widowControl w:val="0"/>
              <w:rPr>
                <w:szCs w:val="20"/>
              </w:rPr>
            </w:pPr>
            <w:r w:rsidRPr="00AE2F09">
              <w:rPr>
                <w:szCs w:val="20"/>
              </w:rPr>
              <w:t>Baseline*, mean (SD)</w:t>
            </w:r>
          </w:p>
        </w:tc>
        <w:tc>
          <w:tcPr>
            <w:tcW w:w="1226" w:type="pct"/>
            <w:tcBorders>
              <w:top w:val="nil"/>
              <w:bottom w:val="nil"/>
            </w:tcBorders>
          </w:tcPr>
          <w:p w14:paraId="41BAE1AA" w14:textId="77777777" w:rsidR="00774AF7" w:rsidRPr="00AE2F09" w:rsidRDefault="00774AF7" w:rsidP="00A734C6">
            <w:pPr>
              <w:pStyle w:val="Tablecentre"/>
              <w:rPr>
                <w:rFonts w:ascii="Arial Narrow" w:hAnsi="Arial Narrow"/>
              </w:rPr>
            </w:pPr>
            <w:r w:rsidRPr="00AE2F09">
              <w:rPr>
                <w:rFonts w:ascii="Arial Narrow" w:hAnsi="Arial Narrow"/>
              </w:rPr>
              <w:t>5.9 (5.54)</w:t>
            </w:r>
          </w:p>
        </w:tc>
        <w:tc>
          <w:tcPr>
            <w:tcW w:w="1227" w:type="pct"/>
            <w:tcBorders>
              <w:top w:val="nil"/>
              <w:bottom w:val="nil"/>
            </w:tcBorders>
          </w:tcPr>
          <w:p w14:paraId="39700E46" w14:textId="77777777" w:rsidR="00774AF7" w:rsidRPr="00AE2F09" w:rsidRDefault="00774AF7" w:rsidP="00A734C6">
            <w:pPr>
              <w:pStyle w:val="Tablecentre"/>
              <w:rPr>
                <w:rFonts w:ascii="Arial Narrow" w:hAnsi="Arial Narrow"/>
              </w:rPr>
            </w:pPr>
            <w:r w:rsidRPr="00AE2F09">
              <w:rPr>
                <w:rFonts w:ascii="Arial Narrow" w:hAnsi="Arial Narrow"/>
              </w:rPr>
              <w:t>5.0 (4.26)</w:t>
            </w:r>
          </w:p>
        </w:tc>
        <w:tc>
          <w:tcPr>
            <w:tcW w:w="1227" w:type="pct"/>
            <w:tcBorders>
              <w:top w:val="nil"/>
              <w:bottom w:val="nil"/>
            </w:tcBorders>
          </w:tcPr>
          <w:p w14:paraId="1AE07344" w14:textId="77777777" w:rsidR="00774AF7" w:rsidRPr="00AE2F09" w:rsidRDefault="00774AF7" w:rsidP="00A734C6">
            <w:pPr>
              <w:pStyle w:val="Tablecentre"/>
              <w:rPr>
                <w:rFonts w:ascii="Arial Narrow" w:hAnsi="Arial Narrow"/>
              </w:rPr>
            </w:pPr>
            <w:r w:rsidRPr="00AE2F09">
              <w:rPr>
                <w:rFonts w:ascii="Arial Narrow" w:hAnsi="Arial Narrow"/>
              </w:rPr>
              <w:t>2.9 (3.68)</w:t>
            </w:r>
          </w:p>
        </w:tc>
      </w:tr>
      <w:tr w:rsidR="00F3269C" w:rsidRPr="00AE2F09" w14:paraId="5BDAD057" w14:textId="77777777" w:rsidTr="00FD7CD0">
        <w:tc>
          <w:tcPr>
            <w:tcW w:w="1320" w:type="pct"/>
            <w:tcBorders>
              <w:top w:val="nil"/>
              <w:bottom w:val="nil"/>
            </w:tcBorders>
          </w:tcPr>
          <w:p w14:paraId="7632604D" w14:textId="77777777" w:rsidR="00774AF7" w:rsidRPr="00AE2F09" w:rsidRDefault="00774AF7" w:rsidP="00A734C6">
            <w:pPr>
              <w:pStyle w:val="Tabletext"/>
              <w:widowControl w:val="0"/>
              <w:rPr>
                <w:szCs w:val="20"/>
              </w:rPr>
            </w:pPr>
            <w:r w:rsidRPr="00AE2F09">
              <w:rPr>
                <w:szCs w:val="20"/>
              </w:rPr>
              <w:t>Week 8, mean (SD)</w:t>
            </w:r>
          </w:p>
        </w:tc>
        <w:tc>
          <w:tcPr>
            <w:tcW w:w="1226" w:type="pct"/>
            <w:tcBorders>
              <w:top w:val="nil"/>
              <w:bottom w:val="nil"/>
            </w:tcBorders>
          </w:tcPr>
          <w:p w14:paraId="05A5562C" w14:textId="77777777" w:rsidR="00774AF7" w:rsidRPr="00AE2F09" w:rsidRDefault="00774AF7" w:rsidP="00A734C6">
            <w:pPr>
              <w:pStyle w:val="Tablecentre"/>
              <w:rPr>
                <w:rFonts w:ascii="Arial Narrow" w:hAnsi="Arial Narrow"/>
              </w:rPr>
            </w:pPr>
            <w:r w:rsidRPr="00AE2F09">
              <w:rPr>
                <w:rFonts w:ascii="Arial Narrow" w:hAnsi="Arial Narrow"/>
              </w:rPr>
              <w:t>6.8 (5.98)</w:t>
            </w:r>
          </w:p>
        </w:tc>
        <w:tc>
          <w:tcPr>
            <w:tcW w:w="1227" w:type="pct"/>
            <w:tcBorders>
              <w:top w:val="nil"/>
              <w:bottom w:val="nil"/>
            </w:tcBorders>
          </w:tcPr>
          <w:p w14:paraId="32E7948D" w14:textId="77777777" w:rsidR="00774AF7" w:rsidRPr="00AE2F09" w:rsidRDefault="00774AF7" w:rsidP="00A734C6">
            <w:pPr>
              <w:pStyle w:val="Tablecentre"/>
              <w:rPr>
                <w:rFonts w:ascii="Arial Narrow" w:hAnsi="Arial Narrow"/>
              </w:rPr>
            </w:pPr>
            <w:r w:rsidRPr="00AE2F09">
              <w:rPr>
                <w:rFonts w:ascii="Arial Narrow" w:hAnsi="Arial Narrow"/>
              </w:rPr>
              <w:t>6.0 (4.58)</w:t>
            </w:r>
          </w:p>
        </w:tc>
        <w:tc>
          <w:tcPr>
            <w:tcW w:w="1227" w:type="pct"/>
            <w:tcBorders>
              <w:top w:val="nil"/>
              <w:bottom w:val="nil"/>
            </w:tcBorders>
          </w:tcPr>
          <w:p w14:paraId="793AB265" w14:textId="77777777" w:rsidR="00774AF7" w:rsidRPr="00AE2F09" w:rsidRDefault="00774AF7" w:rsidP="00A734C6">
            <w:pPr>
              <w:pStyle w:val="Tablecentre"/>
              <w:rPr>
                <w:rFonts w:ascii="Arial Narrow" w:hAnsi="Arial Narrow"/>
              </w:rPr>
            </w:pPr>
            <w:r w:rsidRPr="00AE2F09">
              <w:rPr>
                <w:rFonts w:ascii="Arial Narrow" w:hAnsi="Arial Narrow"/>
              </w:rPr>
              <w:t>3.2 (2.86)</w:t>
            </w:r>
          </w:p>
        </w:tc>
      </w:tr>
      <w:tr w:rsidR="00F3269C" w:rsidRPr="00AE2F09" w14:paraId="070AAE14" w14:textId="77777777" w:rsidTr="00FD7CD0">
        <w:tc>
          <w:tcPr>
            <w:tcW w:w="1320" w:type="pct"/>
            <w:tcBorders>
              <w:top w:val="nil"/>
              <w:bottom w:val="nil"/>
            </w:tcBorders>
          </w:tcPr>
          <w:p w14:paraId="747778FC" w14:textId="77777777" w:rsidR="00774AF7" w:rsidRPr="00AE2F09" w:rsidRDefault="00774AF7" w:rsidP="00A734C6">
            <w:pPr>
              <w:pStyle w:val="Tabletext"/>
              <w:widowControl w:val="0"/>
              <w:rPr>
                <w:szCs w:val="20"/>
              </w:rPr>
            </w:pPr>
            <w:r w:rsidRPr="00AE2F09">
              <w:rPr>
                <w:szCs w:val="20"/>
              </w:rPr>
              <w:t>Change from baseline</w:t>
            </w:r>
          </w:p>
        </w:tc>
        <w:tc>
          <w:tcPr>
            <w:tcW w:w="1226" w:type="pct"/>
            <w:tcBorders>
              <w:top w:val="nil"/>
              <w:bottom w:val="nil"/>
            </w:tcBorders>
          </w:tcPr>
          <w:p w14:paraId="26696485" w14:textId="77777777" w:rsidR="00774AF7" w:rsidRPr="00AE2F09" w:rsidRDefault="00774AF7" w:rsidP="00A734C6">
            <w:pPr>
              <w:pStyle w:val="Tablecentre"/>
              <w:rPr>
                <w:rFonts w:ascii="Arial Narrow" w:hAnsi="Arial Narrow"/>
              </w:rPr>
            </w:pPr>
          </w:p>
        </w:tc>
        <w:tc>
          <w:tcPr>
            <w:tcW w:w="1227" w:type="pct"/>
            <w:tcBorders>
              <w:top w:val="nil"/>
              <w:bottom w:val="nil"/>
            </w:tcBorders>
          </w:tcPr>
          <w:p w14:paraId="3441F74B" w14:textId="77777777" w:rsidR="00774AF7" w:rsidRPr="00AE2F09" w:rsidRDefault="00774AF7" w:rsidP="00A734C6">
            <w:pPr>
              <w:pStyle w:val="Tablecentre"/>
              <w:rPr>
                <w:rFonts w:ascii="Arial Narrow" w:hAnsi="Arial Narrow"/>
              </w:rPr>
            </w:pPr>
          </w:p>
        </w:tc>
        <w:tc>
          <w:tcPr>
            <w:tcW w:w="1227" w:type="pct"/>
            <w:tcBorders>
              <w:top w:val="nil"/>
              <w:bottom w:val="nil"/>
            </w:tcBorders>
          </w:tcPr>
          <w:p w14:paraId="61B8BBD4" w14:textId="77777777" w:rsidR="00774AF7" w:rsidRPr="00AE2F09" w:rsidRDefault="00774AF7" w:rsidP="00A734C6">
            <w:pPr>
              <w:pStyle w:val="Tablecentre"/>
              <w:rPr>
                <w:rFonts w:ascii="Arial Narrow" w:hAnsi="Arial Narrow"/>
              </w:rPr>
            </w:pPr>
          </w:p>
        </w:tc>
      </w:tr>
      <w:tr w:rsidR="00F3269C" w:rsidRPr="00AE2F09" w14:paraId="43F23E56" w14:textId="77777777" w:rsidTr="00FD7CD0">
        <w:tc>
          <w:tcPr>
            <w:tcW w:w="1320" w:type="pct"/>
            <w:tcBorders>
              <w:top w:val="nil"/>
              <w:bottom w:val="nil"/>
            </w:tcBorders>
          </w:tcPr>
          <w:p w14:paraId="3FC4E49F" w14:textId="77777777" w:rsidR="00774AF7" w:rsidRPr="00AE2F09" w:rsidRDefault="00774AF7" w:rsidP="00A734C6">
            <w:pPr>
              <w:pStyle w:val="Tab1table"/>
              <w:rPr>
                <w:rFonts w:ascii="Arial Narrow" w:hAnsi="Arial Narrow"/>
              </w:rPr>
            </w:pPr>
            <w:r w:rsidRPr="00AE2F09">
              <w:rPr>
                <w:rFonts w:ascii="Arial Narrow" w:hAnsi="Arial Narrow"/>
              </w:rPr>
              <w:t>Mean (SD)</w:t>
            </w:r>
          </w:p>
        </w:tc>
        <w:tc>
          <w:tcPr>
            <w:tcW w:w="1226" w:type="pct"/>
            <w:tcBorders>
              <w:top w:val="nil"/>
              <w:bottom w:val="nil"/>
            </w:tcBorders>
          </w:tcPr>
          <w:p w14:paraId="7F8379CE" w14:textId="77777777" w:rsidR="00774AF7" w:rsidRPr="00AE2F09" w:rsidRDefault="00774AF7" w:rsidP="00A734C6">
            <w:pPr>
              <w:pStyle w:val="Tablecentre"/>
              <w:rPr>
                <w:rFonts w:ascii="Arial Narrow" w:hAnsi="Arial Narrow"/>
              </w:rPr>
            </w:pPr>
            <w:r w:rsidRPr="00AE2F09">
              <w:rPr>
                <w:rFonts w:ascii="Arial Narrow" w:hAnsi="Arial Narrow"/>
              </w:rPr>
              <w:t>0.8 (4.62)</w:t>
            </w:r>
          </w:p>
        </w:tc>
        <w:tc>
          <w:tcPr>
            <w:tcW w:w="1227" w:type="pct"/>
            <w:tcBorders>
              <w:top w:val="nil"/>
              <w:bottom w:val="nil"/>
            </w:tcBorders>
          </w:tcPr>
          <w:p w14:paraId="71E4D010" w14:textId="77777777" w:rsidR="00774AF7" w:rsidRPr="00AE2F09" w:rsidRDefault="00774AF7" w:rsidP="00A734C6">
            <w:pPr>
              <w:pStyle w:val="Tablecentre"/>
              <w:rPr>
                <w:rFonts w:ascii="Arial Narrow" w:hAnsi="Arial Narrow"/>
              </w:rPr>
            </w:pPr>
            <w:r w:rsidRPr="00AE2F09">
              <w:rPr>
                <w:rFonts w:ascii="Arial Narrow" w:hAnsi="Arial Narrow"/>
              </w:rPr>
              <w:t>1.2 (3.00)</w:t>
            </w:r>
          </w:p>
        </w:tc>
        <w:tc>
          <w:tcPr>
            <w:tcW w:w="1227" w:type="pct"/>
            <w:tcBorders>
              <w:top w:val="nil"/>
              <w:bottom w:val="nil"/>
            </w:tcBorders>
          </w:tcPr>
          <w:p w14:paraId="720EFC4E" w14:textId="77777777" w:rsidR="00774AF7" w:rsidRPr="00AE2F09" w:rsidRDefault="00774AF7" w:rsidP="00A734C6">
            <w:pPr>
              <w:pStyle w:val="Tablecentre"/>
              <w:rPr>
                <w:rFonts w:ascii="Arial Narrow" w:hAnsi="Arial Narrow"/>
              </w:rPr>
            </w:pPr>
            <w:r w:rsidRPr="00AE2F09">
              <w:rPr>
                <w:rFonts w:ascii="Arial Narrow" w:hAnsi="Arial Narrow"/>
              </w:rPr>
              <w:noBreakHyphen/>
              <w:t>0.4 (3.44)</w:t>
            </w:r>
          </w:p>
        </w:tc>
      </w:tr>
      <w:tr w:rsidR="00F3269C" w:rsidRPr="00AE2F09" w14:paraId="291675E3" w14:textId="77777777" w:rsidTr="00FD7CD0">
        <w:tc>
          <w:tcPr>
            <w:tcW w:w="1320" w:type="pct"/>
            <w:tcBorders>
              <w:top w:val="nil"/>
              <w:bottom w:val="nil"/>
            </w:tcBorders>
          </w:tcPr>
          <w:p w14:paraId="3F4E48C7" w14:textId="77777777" w:rsidR="00774AF7" w:rsidRPr="00AE2F09" w:rsidRDefault="00774AF7" w:rsidP="00A734C6">
            <w:pPr>
              <w:pStyle w:val="Tab1table"/>
              <w:rPr>
                <w:rFonts w:ascii="Arial Narrow" w:hAnsi="Arial Narrow"/>
              </w:rPr>
            </w:pPr>
            <w:r w:rsidRPr="00AE2F09">
              <w:rPr>
                <w:rFonts w:ascii="Arial Narrow" w:hAnsi="Arial Narrow"/>
              </w:rPr>
              <w:t>LS mean (95% CI)</w:t>
            </w:r>
          </w:p>
        </w:tc>
        <w:tc>
          <w:tcPr>
            <w:tcW w:w="1226" w:type="pct"/>
            <w:tcBorders>
              <w:top w:val="nil"/>
              <w:bottom w:val="nil"/>
            </w:tcBorders>
          </w:tcPr>
          <w:p w14:paraId="394AC479" w14:textId="77777777" w:rsidR="00774AF7" w:rsidRPr="00AE2F09" w:rsidRDefault="00774AF7" w:rsidP="00A734C6">
            <w:pPr>
              <w:pStyle w:val="Tablecentre"/>
              <w:rPr>
                <w:rFonts w:ascii="Arial Narrow" w:hAnsi="Arial Narrow"/>
              </w:rPr>
            </w:pPr>
            <w:r w:rsidRPr="00AE2F09">
              <w:rPr>
                <w:rFonts w:ascii="Arial Narrow" w:hAnsi="Arial Narrow"/>
              </w:rPr>
              <w:t>1.24 (0.03, 2.45)</w:t>
            </w:r>
          </w:p>
        </w:tc>
        <w:tc>
          <w:tcPr>
            <w:tcW w:w="1227" w:type="pct"/>
            <w:tcBorders>
              <w:top w:val="nil"/>
              <w:bottom w:val="nil"/>
            </w:tcBorders>
          </w:tcPr>
          <w:p w14:paraId="0460290E" w14:textId="77777777" w:rsidR="00774AF7" w:rsidRPr="00AE2F09" w:rsidRDefault="00774AF7" w:rsidP="00A734C6">
            <w:pPr>
              <w:pStyle w:val="Tablecentre"/>
              <w:rPr>
                <w:rFonts w:ascii="Arial Narrow" w:hAnsi="Arial Narrow"/>
              </w:rPr>
            </w:pPr>
            <w:r w:rsidRPr="00AE2F09">
              <w:rPr>
                <w:rFonts w:ascii="Arial Narrow" w:hAnsi="Arial Narrow"/>
              </w:rPr>
              <w:t>0.74 (</w:t>
            </w:r>
            <w:r w:rsidRPr="00AE2F09">
              <w:rPr>
                <w:rFonts w:ascii="Arial Narrow" w:hAnsi="Arial Narrow"/>
              </w:rPr>
              <w:noBreakHyphen/>
              <w:t>1.52, 3.01)</w:t>
            </w:r>
          </w:p>
        </w:tc>
        <w:tc>
          <w:tcPr>
            <w:tcW w:w="1227" w:type="pct"/>
            <w:tcBorders>
              <w:top w:val="nil"/>
              <w:bottom w:val="nil"/>
            </w:tcBorders>
          </w:tcPr>
          <w:p w14:paraId="7813C26B" w14:textId="77777777" w:rsidR="00774AF7" w:rsidRPr="00AE2F09" w:rsidRDefault="00774AF7" w:rsidP="00A734C6">
            <w:pPr>
              <w:pStyle w:val="Tablecentre"/>
              <w:rPr>
                <w:rFonts w:ascii="Arial Narrow" w:hAnsi="Arial Narrow"/>
              </w:rPr>
            </w:pPr>
            <w:r w:rsidRPr="00AE2F09">
              <w:rPr>
                <w:rFonts w:ascii="Arial Narrow" w:hAnsi="Arial Narrow"/>
              </w:rPr>
              <w:noBreakHyphen/>
              <w:t>0.40 (</w:t>
            </w:r>
            <w:r w:rsidRPr="00AE2F09">
              <w:rPr>
                <w:rFonts w:ascii="Arial Narrow" w:hAnsi="Arial Narrow"/>
              </w:rPr>
              <w:noBreakHyphen/>
              <w:t>2.93, 2.12)</w:t>
            </w:r>
          </w:p>
        </w:tc>
      </w:tr>
      <w:tr w:rsidR="00F3269C" w:rsidRPr="00AE2F09" w14:paraId="19B2196F" w14:textId="77777777" w:rsidTr="00FD7CD0">
        <w:tc>
          <w:tcPr>
            <w:tcW w:w="1320" w:type="pct"/>
            <w:tcBorders>
              <w:top w:val="nil"/>
              <w:bottom w:val="nil"/>
            </w:tcBorders>
          </w:tcPr>
          <w:p w14:paraId="5DB55869" w14:textId="77777777" w:rsidR="00774AF7" w:rsidRPr="00AE2F09" w:rsidRDefault="00774AF7" w:rsidP="00A734C6">
            <w:pPr>
              <w:pStyle w:val="Tabletext"/>
              <w:widowControl w:val="0"/>
              <w:rPr>
                <w:szCs w:val="20"/>
              </w:rPr>
            </w:pPr>
            <w:r w:rsidRPr="00AE2F09">
              <w:rPr>
                <w:szCs w:val="20"/>
              </w:rPr>
              <w:t>Pooled active vs placebo</w:t>
            </w:r>
          </w:p>
        </w:tc>
        <w:tc>
          <w:tcPr>
            <w:tcW w:w="1226" w:type="pct"/>
            <w:tcBorders>
              <w:top w:val="nil"/>
              <w:bottom w:val="nil"/>
            </w:tcBorders>
          </w:tcPr>
          <w:p w14:paraId="110D90E9" w14:textId="77777777" w:rsidR="00774AF7" w:rsidRPr="00AE2F09" w:rsidRDefault="00774AF7" w:rsidP="00A734C6">
            <w:pPr>
              <w:pStyle w:val="Tablecentre"/>
              <w:rPr>
                <w:rFonts w:ascii="Arial Narrow" w:hAnsi="Arial Narrow"/>
              </w:rPr>
            </w:pPr>
          </w:p>
        </w:tc>
        <w:tc>
          <w:tcPr>
            <w:tcW w:w="1227" w:type="pct"/>
            <w:tcBorders>
              <w:top w:val="nil"/>
              <w:bottom w:val="nil"/>
            </w:tcBorders>
          </w:tcPr>
          <w:p w14:paraId="507CE92D" w14:textId="77777777" w:rsidR="00774AF7" w:rsidRPr="00AE2F09" w:rsidRDefault="00774AF7" w:rsidP="00A734C6">
            <w:pPr>
              <w:pStyle w:val="Tablecentre"/>
              <w:rPr>
                <w:rFonts w:ascii="Arial Narrow" w:hAnsi="Arial Narrow"/>
              </w:rPr>
            </w:pPr>
          </w:p>
        </w:tc>
        <w:tc>
          <w:tcPr>
            <w:tcW w:w="1227" w:type="pct"/>
            <w:tcBorders>
              <w:top w:val="nil"/>
              <w:bottom w:val="nil"/>
            </w:tcBorders>
          </w:tcPr>
          <w:p w14:paraId="630A3578" w14:textId="77777777" w:rsidR="00774AF7" w:rsidRPr="00AE2F09" w:rsidRDefault="00774AF7" w:rsidP="00A734C6">
            <w:pPr>
              <w:pStyle w:val="Tablecentre"/>
              <w:rPr>
                <w:rFonts w:ascii="Arial Narrow" w:hAnsi="Arial Narrow"/>
              </w:rPr>
            </w:pPr>
          </w:p>
        </w:tc>
      </w:tr>
      <w:tr w:rsidR="00F3269C" w:rsidRPr="00AE2F09" w14:paraId="2E20B207" w14:textId="77777777" w:rsidTr="00FD7CD0">
        <w:tc>
          <w:tcPr>
            <w:tcW w:w="1320" w:type="pct"/>
            <w:tcBorders>
              <w:top w:val="nil"/>
            </w:tcBorders>
          </w:tcPr>
          <w:p w14:paraId="60866CD2" w14:textId="77777777" w:rsidR="00774AF7" w:rsidRPr="00AE2F09" w:rsidRDefault="00774AF7" w:rsidP="00A734C6">
            <w:pPr>
              <w:pStyle w:val="Tab1table"/>
              <w:rPr>
                <w:rFonts w:ascii="Arial Narrow" w:hAnsi="Arial Narrow"/>
              </w:rPr>
            </w:pPr>
            <w:r w:rsidRPr="00AE2F09">
              <w:rPr>
                <w:rFonts w:ascii="Arial Narrow" w:hAnsi="Arial Narrow"/>
              </w:rPr>
              <w:t>Difference in LS means (95% CI)</w:t>
            </w:r>
          </w:p>
        </w:tc>
        <w:tc>
          <w:tcPr>
            <w:tcW w:w="1226" w:type="pct"/>
            <w:tcBorders>
              <w:top w:val="nil"/>
            </w:tcBorders>
          </w:tcPr>
          <w:p w14:paraId="2009A8A8" w14:textId="77777777" w:rsidR="00774AF7" w:rsidRPr="00AE2F09" w:rsidRDefault="00774AF7" w:rsidP="00A734C6">
            <w:pPr>
              <w:pStyle w:val="Tablecentre"/>
              <w:rPr>
                <w:rFonts w:ascii="Arial Narrow" w:hAnsi="Arial Narrow"/>
              </w:rPr>
            </w:pPr>
            <w:r w:rsidRPr="00AE2F09">
              <w:rPr>
                <w:rFonts w:ascii="Arial Narrow" w:hAnsi="Arial Narrow"/>
              </w:rPr>
              <w:t>-</w:t>
            </w:r>
          </w:p>
        </w:tc>
        <w:tc>
          <w:tcPr>
            <w:tcW w:w="1227" w:type="pct"/>
            <w:tcBorders>
              <w:top w:val="nil"/>
            </w:tcBorders>
          </w:tcPr>
          <w:p w14:paraId="2D97EBE1" w14:textId="77777777" w:rsidR="00774AF7" w:rsidRPr="00AE2F09" w:rsidRDefault="00774AF7" w:rsidP="00A734C6">
            <w:pPr>
              <w:pStyle w:val="Tablecentre"/>
              <w:rPr>
                <w:rFonts w:ascii="Arial Narrow" w:hAnsi="Arial Narrow"/>
              </w:rPr>
            </w:pPr>
            <w:r w:rsidRPr="00AE2F09">
              <w:rPr>
                <w:rFonts w:ascii="Arial Narrow" w:hAnsi="Arial Narrow"/>
              </w:rPr>
              <w:t>0.50 (</w:t>
            </w:r>
            <w:r w:rsidRPr="00AE2F09">
              <w:rPr>
                <w:rFonts w:ascii="Arial Narrow" w:hAnsi="Arial Narrow"/>
              </w:rPr>
              <w:noBreakHyphen/>
              <w:t>2.07, 3.06); p = 0.707</w:t>
            </w:r>
          </w:p>
        </w:tc>
        <w:tc>
          <w:tcPr>
            <w:tcW w:w="1227" w:type="pct"/>
            <w:tcBorders>
              <w:top w:val="nil"/>
            </w:tcBorders>
          </w:tcPr>
          <w:p w14:paraId="3840EF14" w14:textId="77777777" w:rsidR="00774AF7" w:rsidRPr="00AE2F09" w:rsidRDefault="00774AF7" w:rsidP="00A734C6">
            <w:pPr>
              <w:pStyle w:val="Tablecentre"/>
              <w:rPr>
                <w:rFonts w:ascii="Arial Narrow" w:hAnsi="Arial Narrow"/>
              </w:rPr>
            </w:pPr>
            <w:r w:rsidRPr="00AE2F09">
              <w:rPr>
                <w:rFonts w:ascii="Arial Narrow" w:hAnsi="Arial Narrow"/>
              </w:rPr>
              <w:t>1.64 (</w:t>
            </w:r>
            <w:r w:rsidRPr="00AE2F09">
              <w:rPr>
                <w:rFonts w:ascii="Arial Narrow" w:hAnsi="Arial Narrow"/>
              </w:rPr>
              <w:noBreakHyphen/>
              <w:t>1.16, 4.45); p = 0.2469</w:t>
            </w:r>
          </w:p>
        </w:tc>
      </w:tr>
      <w:tr w:rsidR="00F3269C" w:rsidRPr="00AE2F09" w14:paraId="236B4A70" w14:textId="51571C86" w:rsidTr="00FD7CD0">
        <w:tc>
          <w:tcPr>
            <w:tcW w:w="5000" w:type="pct"/>
            <w:gridSpan w:val="4"/>
            <w:tcBorders>
              <w:bottom w:val="single" w:sz="4" w:space="0" w:color="auto"/>
            </w:tcBorders>
            <w:shd w:val="clear" w:color="auto" w:fill="auto"/>
          </w:tcPr>
          <w:p w14:paraId="375A6F44" w14:textId="49B2EB52" w:rsidR="00774AF7" w:rsidRPr="00AE2F09" w:rsidRDefault="00774AF7" w:rsidP="00A734C6">
            <w:pPr>
              <w:pStyle w:val="Btable"/>
              <w:rPr>
                <w:rFonts w:ascii="Arial Narrow" w:hAnsi="Arial Narrow"/>
              </w:rPr>
            </w:pPr>
            <w:r w:rsidRPr="00AE2F09">
              <w:rPr>
                <w:rFonts w:ascii="Arial Narrow" w:hAnsi="Arial Narrow"/>
              </w:rPr>
              <w:t>ADHD</w:t>
            </w:r>
            <w:r w:rsidR="004B437A">
              <w:rPr>
                <w:rFonts w:ascii="Arial Narrow" w:hAnsi="Arial Narrow"/>
              </w:rPr>
              <w:t xml:space="preserve"> </w:t>
            </w:r>
            <w:r w:rsidRPr="00AE2F09">
              <w:rPr>
                <w:rFonts w:ascii="Arial Narrow" w:hAnsi="Arial Narrow"/>
              </w:rPr>
              <w:t>RS-IV IA subscale score in PRISM</w:t>
            </w:r>
            <w:r w:rsidRPr="00AE2F09">
              <w:rPr>
                <w:rFonts w:ascii="Arial Narrow" w:hAnsi="Arial Narrow"/>
              </w:rPr>
              <w:noBreakHyphen/>
              <w:t>1 patients with baseline^ score &gt; 9</w:t>
            </w:r>
          </w:p>
        </w:tc>
      </w:tr>
      <w:tr w:rsidR="00F3269C" w:rsidRPr="00AE2F09" w14:paraId="4210FD8C" w14:textId="6F72FE67" w:rsidTr="00FD7CD0">
        <w:tc>
          <w:tcPr>
            <w:tcW w:w="1320" w:type="pct"/>
            <w:tcBorders>
              <w:bottom w:val="nil"/>
            </w:tcBorders>
          </w:tcPr>
          <w:p w14:paraId="66137025" w14:textId="6CACB8C4" w:rsidR="00774AF7" w:rsidRPr="00AE2F09" w:rsidRDefault="00774AF7" w:rsidP="00A734C6">
            <w:pPr>
              <w:pStyle w:val="Tabletext"/>
              <w:widowControl w:val="0"/>
              <w:rPr>
                <w:szCs w:val="20"/>
              </w:rPr>
            </w:pPr>
            <w:r w:rsidRPr="00AE2F09">
              <w:rPr>
                <w:szCs w:val="20"/>
              </w:rPr>
              <w:t>N</w:t>
            </w:r>
          </w:p>
        </w:tc>
        <w:tc>
          <w:tcPr>
            <w:tcW w:w="1226" w:type="pct"/>
            <w:tcBorders>
              <w:bottom w:val="nil"/>
            </w:tcBorders>
          </w:tcPr>
          <w:p w14:paraId="12C223E5" w14:textId="634BBFBC" w:rsidR="00774AF7" w:rsidRPr="00AE2F09" w:rsidRDefault="00774AF7" w:rsidP="00A734C6">
            <w:pPr>
              <w:pStyle w:val="Tablecentre"/>
              <w:rPr>
                <w:rFonts w:ascii="Arial Narrow" w:hAnsi="Arial Narrow"/>
              </w:rPr>
            </w:pPr>
            <w:r w:rsidRPr="00AE2F09">
              <w:rPr>
                <w:rFonts w:ascii="Arial Narrow" w:hAnsi="Arial Narrow"/>
              </w:rPr>
              <w:t>26</w:t>
            </w:r>
          </w:p>
        </w:tc>
        <w:tc>
          <w:tcPr>
            <w:tcW w:w="1227" w:type="pct"/>
            <w:tcBorders>
              <w:bottom w:val="nil"/>
            </w:tcBorders>
          </w:tcPr>
          <w:p w14:paraId="3CE7C39C" w14:textId="778F24E3" w:rsidR="00774AF7" w:rsidRPr="00AE2F09" w:rsidRDefault="00774AF7" w:rsidP="00A734C6">
            <w:pPr>
              <w:pStyle w:val="Tablecentre"/>
              <w:rPr>
                <w:rFonts w:ascii="Arial Narrow" w:hAnsi="Arial Narrow"/>
              </w:rPr>
            </w:pPr>
            <w:r w:rsidRPr="00AE2F09">
              <w:rPr>
                <w:rFonts w:ascii="Arial Narrow" w:hAnsi="Arial Narrow"/>
              </w:rPr>
              <w:t>5</w:t>
            </w:r>
          </w:p>
        </w:tc>
        <w:tc>
          <w:tcPr>
            <w:tcW w:w="1227" w:type="pct"/>
            <w:tcBorders>
              <w:bottom w:val="nil"/>
            </w:tcBorders>
          </w:tcPr>
          <w:p w14:paraId="22481316" w14:textId="5D1AFD44" w:rsidR="00774AF7" w:rsidRPr="00AE2F09" w:rsidRDefault="00774AF7" w:rsidP="00A734C6">
            <w:pPr>
              <w:pStyle w:val="Tablecentre"/>
              <w:rPr>
                <w:rFonts w:ascii="Arial Narrow" w:hAnsi="Arial Narrow"/>
              </w:rPr>
            </w:pPr>
            <w:r w:rsidRPr="00AE2F09">
              <w:rPr>
                <w:rFonts w:ascii="Arial Narrow" w:hAnsi="Arial Narrow"/>
              </w:rPr>
              <w:t>6</w:t>
            </w:r>
          </w:p>
        </w:tc>
      </w:tr>
      <w:tr w:rsidR="00F3269C" w:rsidRPr="00AE2F09" w14:paraId="28D9F149" w14:textId="2A9D1C56" w:rsidTr="00FD7CD0">
        <w:tc>
          <w:tcPr>
            <w:tcW w:w="1320" w:type="pct"/>
            <w:tcBorders>
              <w:top w:val="nil"/>
              <w:bottom w:val="nil"/>
            </w:tcBorders>
          </w:tcPr>
          <w:p w14:paraId="20DBB36F" w14:textId="167A5E3C" w:rsidR="00774AF7" w:rsidRPr="00AE2F09" w:rsidRDefault="00774AF7" w:rsidP="00A734C6">
            <w:pPr>
              <w:pStyle w:val="Tabletext"/>
              <w:widowControl w:val="0"/>
              <w:rPr>
                <w:szCs w:val="20"/>
              </w:rPr>
            </w:pPr>
            <w:r w:rsidRPr="00AE2F09">
              <w:rPr>
                <w:szCs w:val="20"/>
              </w:rPr>
              <w:t>Baseline*, mean (SD)</w:t>
            </w:r>
          </w:p>
        </w:tc>
        <w:tc>
          <w:tcPr>
            <w:tcW w:w="1226" w:type="pct"/>
            <w:tcBorders>
              <w:top w:val="nil"/>
              <w:bottom w:val="nil"/>
            </w:tcBorders>
          </w:tcPr>
          <w:p w14:paraId="277F7F6B" w14:textId="4B6A7693" w:rsidR="00774AF7" w:rsidRPr="00AE2F09" w:rsidRDefault="00774AF7" w:rsidP="00A734C6">
            <w:pPr>
              <w:pStyle w:val="Tablecentre"/>
              <w:rPr>
                <w:rFonts w:ascii="Arial Narrow" w:hAnsi="Arial Narrow"/>
              </w:rPr>
            </w:pPr>
            <w:r w:rsidRPr="00AE2F09">
              <w:rPr>
                <w:rFonts w:ascii="Arial Narrow" w:hAnsi="Arial Narrow"/>
              </w:rPr>
              <w:t>7.5 (5.29)</w:t>
            </w:r>
          </w:p>
        </w:tc>
        <w:tc>
          <w:tcPr>
            <w:tcW w:w="1227" w:type="pct"/>
            <w:tcBorders>
              <w:top w:val="nil"/>
              <w:bottom w:val="nil"/>
            </w:tcBorders>
          </w:tcPr>
          <w:p w14:paraId="6147FA65" w14:textId="3A93AB75" w:rsidR="00774AF7" w:rsidRPr="00AE2F09" w:rsidRDefault="00774AF7" w:rsidP="00A734C6">
            <w:pPr>
              <w:pStyle w:val="Tablecentre"/>
              <w:rPr>
                <w:rFonts w:ascii="Arial Narrow" w:hAnsi="Arial Narrow"/>
              </w:rPr>
            </w:pPr>
            <w:r w:rsidRPr="00AE2F09">
              <w:rPr>
                <w:rFonts w:ascii="Arial Narrow" w:hAnsi="Arial Narrow"/>
              </w:rPr>
              <w:t>8.0 (3.94)</w:t>
            </w:r>
          </w:p>
        </w:tc>
        <w:tc>
          <w:tcPr>
            <w:tcW w:w="1227" w:type="pct"/>
            <w:tcBorders>
              <w:top w:val="nil"/>
              <w:bottom w:val="nil"/>
            </w:tcBorders>
          </w:tcPr>
          <w:p w14:paraId="215DDC52" w14:textId="0D44FCA6" w:rsidR="00774AF7" w:rsidRPr="00AE2F09" w:rsidRDefault="00774AF7" w:rsidP="00A734C6">
            <w:pPr>
              <w:pStyle w:val="Tablecentre"/>
              <w:rPr>
                <w:rFonts w:ascii="Arial Narrow" w:hAnsi="Arial Narrow"/>
              </w:rPr>
            </w:pPr>
            <w:r w:rsidRPr="00AE2F09">
              <w:rPr>
                <w:rFonts w:ascii="Arial Narrow" w:hAnsi="Arial Narrow"/>
              </w:rPr>
              <w:t>4.7 (4.50)</w:t>
            </w:r>
          </w:p>
        </w:tc>
      </w:tr>
      <w:tr w:rsidR="00F3269C" w:rsidRPr="00AE2F09" w14:paraId="495CCFF2" w14:textId="11CEDB77" w:rsidTr="00FD7CD0">
        <w:tc>
          <w:tcPr>
            <w:tcW w:w="1320" w:type="pct"/>
            <w:tcBorders>
              <w:top w:val="nil"/>
              <w:bottom w:val="nil"/>
            </w:tcBorders>
          </w:tcPr>
          <w:p w14:paraId="4C0A3989" w14:textId="193A21F0" w:rsidR="00774AF7" w:rsidRPr="00AE2F09" w:rsidRDefault="00774AF7" w:rsidP="00A734C6">
            <w:pPr>
              <w:pStyle w:val="Tabletext"/>
              <w:widowControl w:val="0"/>
              <w:rPr>
                <w:szCs w:val="20"/>
              </w:rPr>
            </w:pPr>
            <w:r w:rsidRPr="00AE2F09">
              <w:rPr>
                <w:szCs w:val="20"/>
              </w:rPr>
              <w:t>Week 8, mean (SD)</w:t>
            </w:r>
          </w:p>
        </w:tc>
        <w:tc>
          <w:tcPr>
            <w:tcW w:w="1226" w:type="pct"/>
            <w:tcBorders>
              <w:top w:val="nil"/>
              <w:bottom w:val="nil"/>
            </w:tcBorders>
          </w:tcPr>
          <w:p w14:paraId="3F4E2991" w14:textId="0E7E0602" w:rsidR="00774AF7" w:rsidRPr="00AE2F09" w:rsidRDefault="00774AF7" w:rsidP="00A734C6">
            <w:pPr>
              <w:pStyle w:val="Tablecentre"/>
              <w:rPr>
                <w:rFonts w:ascii="Arial Narrow" w:hAnsi="Arial Narrow"/>
              </w:rPr>
            </w:pPr>
            <w:r w:rsidRPr="00AE2F09">
              <w:rPr>
                <w:rFonts w:ascii="Arial Narrow" w:hAnsi="Arial Narrow"/>
              </w:rPr>
              <w:t>9.9 (4.97)</w:t>
            </w:r>
          </w:p>
        </w:tc>
        <w:tc>
          <w:tcPr>
            <w:tcW w:w="1227" w:type="pct"/>
            <w:tcBorders>
              <w:top w:val="nil"/>
              <w:bottom w:val="nil"/>
            </w:tcBorders>
          </w:tcPr>
          <w:p w14:paraId="349D6FA0" w14:textId="442B1BAC" w:rsidR="00774AF7" w:rsidRPr="00AE2F09" w:rsidRDefault="00774AF7" w:rsidP="00A734C6">
            <w:pPr>
              <w:pStyle w:val="Tablecentre"/>
              <w:rPr>
                <w:rFonts w:ascii="Arial Narrow" w:hAnsi="Arial Narrow"/>
              </w:rPr>
            </w:pPr>
            <w:r w:rsidRPr="00AE2F09">
              <w:rPr>
                <w:rFonts w:ascii="Arial Narrow" w:hAnsi="Arial Narrow"/>
              </w:rPr>
              <w:t>7.8 (3.69)</w:t>
            </w:r>
          </w:p>
        </w:tc>
        <w:tc>
          <w:tcPr>
            <w:tcW w:w="1227" w:type="pct"/>
            <w:tcBorders>
              <w:top w:val="nil"/>
              <w:bottom w:val="nil"/>
            </w:tcBorders>
          </w:tcPr>
          <w:p w14:paraId="16D01FB3" w14:textId="31833682" w:rsidR="00774AF7" w:rsidRPr="00AE2F09" w:rsidRDefault="00774AF7" w:rsidP="00A734C6">
            <w:pPr>
              <w:pStyle w:val="Tablecentre"/>
              <w:rPr>
                <w:rFonts w:ascii="Arial Narrow" w:hAnsi="Arial Narrow"/>
              </w:rPr>
            </w:pPr>
            <w:r w:rsidRPr="00AE2F09">
              <w:rPr>
                <w:rFonts w:ascii="Arial Narrow" w:hAnsi="Arial Narrow"/>
              </w:rPr>
              <w:t>5.5 (2.65)</w:t>
            </w:r>
          </w:p>
        </w:tc>
      </w:tr>
      <w:tr w:rsidR="00F3269C" w:rsidRPr="00AE2F09" w14:paraId="7545B775" w14:textId="6FD32440" w:rsidTr="00FD7CD0">
        <w:tc>
          <w:tcPr>
            <w:tcW w:w="1320" w:type="pct"/>
            <w:tcBorders>
              <w:top w:val="nil"/>
              <w:bottom w:val="nil"/>
            </w:tcBorders>
          </w:tcPr>
          <w:p w14:paraId="08A2606B" w14:textId="18CFA6AA" w:rsidR="00774AF7" w:rsidRPr="00AE2F09" w:rsidRDefault="00774AF7" w:rsidP="00A734C6">
            <w:pPr>
              <w:pStyle w:val="Tabletext"/>
              <w:widowControl w:val="0"/>
              <w:rPr>
                <w:szCs w:val="20"/>
              </w:rPr>
            </w:pPr>
            <w:r w:rsidRPr="00AE2F09">
              <w:rPr>
                <w:szCs w:val="20"/>
              </w:rPr>
              <w:t>Change from baseline</w:t>
            </w:r>
          </w:p>
        </w:tc>
        <w:tc>
          <w:tcPr>
            <w:tcW w:w="1226" w:type="pct"/>
            <w:tcBorders>
              <w:top w:val="nil"/>
              <w:bottom w:val="nil"/>
            </w:tcBorders>
          </w:tcPr>
          <w:p w14:paraId="585992C1" w14:textId="7139930F" w:rsidR="00774AF7" w:rsidRPr="00AE2F09" w:rsidRDefault="00774AF7" w:rsidP="00A734C6">
            <w:pPr>
              <w:pStyle w:val="Tablecentre"/>
              <w:rPr>
                <w:rFonts w:ascii="Arial Narrow" w:hAnsi="Arial Narrow"/>
              </w:rPr>
            </w:pPr>
          </w:p>
        </w:tc>
        <w:tc>
          <w:tcPr>
            <w:tcW w:w="1227" w:type="pct"/>
            <w:tcBorders>
              <w:top w:val="nil"/>
              <w:bottom w:val="nil"/>
            </w:tcBorders>
          </w:tcPr>
          <w:p w14:paraId="7F5FE48E" w14:textId="48CB9558" w:rsidR="00774AF7" w:rsidRPr="00AE2F09" w:rsidRDefault="00774AF7" w:rsidP="00A734C6">
            <w:pPr>
              <w:pStyle w:val="Tablecentre"/>
              <w:rPr>
                <w:rFonts w:ascii="Arial Narrow" w:hAnsi="Arial Narrow"/>
              </w:rPr>
            </w:pPr>
          </w:p>
        </w:tc>
        <w:tc>
          <w:tcPr>
            <w:tcW w:w="1227" w:type="pct"/>
            <w:tcBorders>
              <w:top w:val="nil"/>
              <w:bottom w:val="nil"/>
            </w:tcBorders>
          </w:tcPr>
          <w:p w14:paraId="1CD011C0" w14:textId="452D2437" w:rsidR="00774AF7" w:rsidRPr="00AE2F09" w:rsidRDefault="00774AF7" w:rsidP="00A734C6">
            <w:pPr>
              <w:pStyle w:val="Tablecentre"/>
              <w:rPr>
                <w:rFonts w:ascii="Arial Narrow" w:hAnsi="Arial Narrow"/>
              </w:rPr>
            </w:pPr>
          </w:p>
        </w:tc>
      </w:tr>
      <w:tr w:rsidR="00F3269C" w:rsidRPr="00AE2F09" w14:paraId="56358D2E" w14:textId="511D6B1F" w:rsidTr="00FD7CD0">
        <w:tc>
          <w:tcPr>
            <w:tcW w:w="1320" w:type="pct"/>
            <w:tcBorders>
              <w:top w:val="nil"/>
              <w:bottom w:val="nil"/>
            </w:tcBorders>
          </w:tcPr>
          <w:p w14:paraId="0E9BF300" w14:textId="53E237E0" w:rsidR="00774AF7" w:rsidRPr="00AE2F09" w:rsidRDefault="00774AF7" w:rsidP="00A734C6">
            <w:pPr>
              <w:pStyle w:val="Tab1table"/>
              <w:rPr>
                <w:rFonts w:ascii="Arial Narrow" w:hAnsi="Arial Narrow"/>
              </w:rPr>
            </w:pPr>
            <w:r w:rsidRPr="00AE2F09">
              <w:rPr>
                <w:rFonts w:ascii="Arial Narrow" w:hAnsi="Arial Narrow"/>
              </w:rPr>
              <w:t>Mean (SD)</w:t>
            </w:r>
          </w:p>
        </w:tc>
        <w:tc>
          <w:tcPr>
            <w:tcW w:w="1226" w:type="pct"/>
            <w:tcBorders>
              <w:top w:val="nil"/>
              <w:bottom w:val="nil"/>
            </w:tcBorders>
          </w:tcPr>
          <w:p w14:paraId="0FC60545" w14:textId="466E04C4" w:rsidR="00774AF7" w:rsidRPr="00AE2F09" w:rsidRDefault="00774AF7" w:rsidP="00A734C6">
            <w:pPr>
              <w:pStyle w:val="Tablecentre"/>
              <w:rPr>
                <w:rFonts w:ascii="Arial Narrow" w:hAnsi="Arial Narrow"/>
              </w:rPr>
            </w:pPr>
            <w:r w:rsidRPr="00AE2F09">
              <w:rPr>
                <w:rFonts w:ascii="Arial Narrow" w:hAnsi="Arial Narrow"/>
              </w:rPr>
              <w:t>2.5 (4.69)</w:t>
            </w:r>
          </w:p>
        </w:tc>
        <w:tc>
          <w:tcPr>
            <w:tcW w:w="1227" w:type="pct"/>
            <w:tcBorders>
              <w:top w:val="nil"/>
              <w:bottom w:val="nil"/>
            </w:tcBorders>
          </w:tcPr>
          <w:p w14:paraId="3AC4D95F" w14:textId="3E97F786" w:rsidR="00774AF7" w:rsidRPr="00AE2F09" w:rsidRDefault="00774AF7" w:rsidP="00A734C6">
            <w:pPr>
              <w:pStyle w:val="Tablecentre"/>
              <w:rPr>
                <w:rFonts w:ascii="Arial Narrow" w:hAnsi="Arial Narrow"/>
              </w:rPr>
            </w:pPr>
            <w:r w:rsidRPr="00AE2F09">
              <w:rPr>
                <w:rFonts w:ascii="Arial Narrow" w:hAnsi="Arial Narrow"/>
              </w:rPr>
              <w:noBreakHyphen/>
              <w:t>0.5 (2.52)</w:t>
            </w:r>
          </w:p>
        </w:tc>
        <w:tc>
          <w:tcPr>
            <w:tcW w:w="1227" w:type="pct"/>
            <w:tcBorders>
              <w:top w:val="nil"/>
              <w:bottom w:val="nil"/>
            </w:tcBorders>
          </w:tcPr>
          <w:p w14:paraId="2CD3D8EB" w14:textId="77429A11" w:rsidR="00774AF7" w:rsidRPr="00AE2F09" w:rsidRDefault="00774AF7" w:rsidP="00A734C6">
            <w:pPr>
              <w:pStyle w:val="Tablecentre"/>
              <w:rPr>
                <w:rFonts w:ascii="Arial Narrow" w:hAnsi="Arial Narrow"/>
              </w:rPr>
            </w:pPr>
            <w:r w:rsidRPr="00AE2F09">
              <w:rPr>
                <w:rFonts w:ascii="Arial Narrow" w:hAnsi="Arial Narrow"/>
              </w:rPr>
              <w:noBreakHyphen/>
              <w:t>1.0 (3.56)</w:t>
            </w:r>
          </w:p>
        </w:tc>
      </w:tr>
      <w:tr w:rsidR="00F3269C" w:rsidRPr="00AE2F09" w14:paraId="738F7E09" w14:textId="43B4A7EA" w:rsidTr="00FD7CD0">
        <w:tc>
          <w:tcPr>
            <w:tcW w:w="1320" w:type="pct"/>
            <w:tcBorders>
              <w:top w:val="nil"/>
              <w:bottom w:val="nil"/>
            </w:tcBorders>
          </w:tcPr>
          <w:p w14:paraId="5F76076F" w14:textId="46FED5E0" w:rsidR="00774AF7" w:rsidRPr="00AE2F09" w:rsidRDefault="00774AF7" w:rsidP="00A734C6">
            <w:pPr>
              <w:pStyle w:val="Tab1table"/>
              <w:rPr>
                <w:rFonts w:ascii="Arial Narrow" w:hAnsi="Arial Narrow"/>
              </w:rPr>
            </w:pPr>
            <w:r w:rsidRPr="00AE2F09">
              <w:rPr>
                <w:rFonts w:ascii="Arial Narrow" w:hAnsi="Arial Narrow"/>
              </w:rPr>
              <w:t>LS mean (95% CI)</w:t>
            </w:r>
          </w:p>
        </w:tc>
        <w:tc>
          <w:tcPr>
            <w:tcW w:w="1226" w:type="pct"/>
            <w:tcBorders>
              <w:top w:val="nil"/>
              <w:bottom w:val="nil"/>
            </w:tcBorders>
          </w:tcPr>
          <w:p w14:paraId="4E08127A" w14:textId="2B07AD35" w:rsidR="00774AF7" w:rsidRPr="00AE2F09" w:rsidRDefault="00774AF7" w:rsidP="00A734C6">
            <w:pPr>
              <w:pStyle w:val="Tablecentre"/>
              <w:rPr>
                <w:rFonts w:ascii="Arial Narrow" w:hAnsi="Arial Narrow"/>
              </w:rPr>
            </w:pPr>
            <w:r w:rsidRPr="00AE2F09">
              <w:rPr>
                <w:rFonts w:ascii="Arial Narrow" w:hAnsi="Arial Narrow"/>
              </w:rPr>
              <w:t>3.05 (1.10, 5.00)</w:t>
            </w:r>
          </w:p>
        </w:tc>
        <w:tc>
          <w:tcPr>
            <w:tcW w:w="1227" w:type="pct"/>
            <w:tcBorders>
              <w:top w:val="nil"/>
              <w:bottom w:val="nil"/>
            </w:tcBorders>
          </w:tcPr>
          <w:p w14:paraId="26B9B467" w14:textId="0A586E3F" w:rsidR="00774AF7" w:rsidRPr="00AE2F09" w:rsidRDefault="00774AF7" w:rsidP="00A734C6">
            <w:pPr>
              <w:pStyle w:val="Tablecentre"/>
              <w:rPr>
                <w:rFonts w:ascii="Arial Narrow" w:hAnsi="Arial Narrow"/>
              </w:rPr>
            </w:pPr>
            <w:r w:rsidRPr="00AE2F09">
              <w:rPr>
                <w:rFonts w:ascii="Arial Narrow" w:hAnsi="Arial Narrow"/>
              </w:rPr>
              <w:noBreakHyphen/>
              <w:t>1.62 (</w:t>
            </w:r>
            <w:r w:rsidRPr="00AE2F09">
              <w:rPr>
                <w:rFonts w:ascii="Arial Narrow" w:hAnsi="Arial Narrow"/>
              </w:rPr>
              <w:noBreakHyphen/>
              <w:t>6.07, 2.83)</w:t>
            </w:r>
          </w:p>
        </w:tc>
        <w:tc>
          <w:tcPr>
            <w:tcW w:w="1227" w:type="pct"/>
            <w:tcBorders>
              <w:top w:val="nil"/>
              <w:bottom w:val="nil"/>
            </w:tcBorders>
          </w:tcPr>
          <w:p w14:paraId="3D4AA457" w14:textId="349B450C" w:rsidR="00774AF7" w:rsidRPr="00AE2F09" w:rsidRDefault="00774AF7" w:rsidP="00A734C6">
            <w:pPr>
              <w:pStyle w:val="Tablecentre"/>
              <w:rPr>
                <w:rFonts w:ascii="Arial Narrow" w:hAnsi="Arial Narrow"/>
              </w:rPr>
            </w:pPr>
            <w:r w:rsidRPr="00AE2F09">
              <w:rPr>
                <w:rFonts w:ascii="Arial Narrow" w:hAnsi="Arial Narrow"/>
              </w:rPr>
              <w:t>0.28 (</w:t>
            </w:r>
            <w:r w:rsidRPr="00AE2F09">
              <w:rPr>
                <w:rFonts w:ascii="Arial Narrow" w:hAnsi="Arial Narrow"/>
              </w:rPr>
              <w:noBreakHyphen/>
              <w:t>4.05, 4.61)</w:t>
            </w:r>
          </w:p>
        </w:tc>
      </w:tr>
      <w:tr w:rsidR="00F3269C" w:rsidRPr="00AE2F09" w14:paraId="4020E1B7" w14:textId="5A483CB7" w:rsidTr="00FD7CD0">
        <w:tc>
          <w:tcPr>
            <w:tcW w:w="1320" w:type="pct"/>
            <w:tcBorders>
              <w:top w:val="nil"/>
              <w:bottom w:val="nil"/>
            </w:tcBorders>
          </w:tcPr>
          <w:p w14:paraId="62E316B4" w14:textId="37E9A939" w:rsidR="00774AF7" w:rsidRPr="00AE2F09" w:rsidRDefault="00774AF7" w:rsidP="00A734C6">
            <w:pPr>
              <w:pStyle w:val="Tabletext"/>
              <w:widowControl w:val="0"/>
              <w:rPr>
                <w:szCs w:val="20"/>
              </w:rPr>
            </w:pPr>
            <w:r w:rsidRPr="00AE2F09">
              <w:rPr>
                <w:szCs w:val="20"/>
              </w:rPr>
              <w:t>Pooled active vs placebo</w:t>
            </w:r>
          </w:p>
        </w:tc>
        <w:tc>
          <w:tcPr>
            <w:tcW w:w="1226" w:type="pct"/>
            <w:tcBorders>
              <w:top w:val="nil"/>
              <w:bottom w:val="nil"/>
            </w:tcBorders>
          </w:tcPr>
          <w:p w14:paraId="3CEAE5E9" w14:textId="1A0DBE3C" w:rsidR="00774AF7" w:rsidRPr="00AE2F09" w:rsidRDefault="00774AF7" w:rsidP="00A734C6">
            <w:pPr>
              <w:pStyle w:val="Tablecentre"/>
              <w:rPr>
                <w:rFonts w:ascii="Arial Narrow" w:hAnsi="Arial Narrow"/>
              </w:rPr>
            </w:pPr>
          </w:p>
        </w:tc>
        <w:tc>
          <w:tcPr>
            <w:tcW w:w="1227" w:type="pct"/>
            <w:tcBorders>
              <w:top w:val="nil"/>
              <w:bottom w:val="nil"/>
            </w:tcBorders>
          </w:tcPr>
          <w:p w14:paraId="1A82F26A" w14:textId="1C47C510" w:rsidR="00774AF7" w:rsidRPr="00AE2F09" w:rsidRDefault="00774AF7" w:rsidP="00A734C6">
            <w:pPr>
              <w:pStyle w:val="Tablecentre"/>
              <w:rPr>
                <w:rFonts w:ascii="Arial Narrow" w:hAnsi="Arial Narrow"/>
              </w:rPr>
            </w:pPr>
          </w:p>
        </w:tc>
        <w:tc>
          <w:tcPr>
            <w:tcW w:w="1227" w:type="pct"/>
            <w:tcBorders>
              <w:top w:val="nil"/>
              <w:bottom w:val="nil"/>
            </w:tcBorders>
          </w:tcPr>
          <w:p w14:paraId="2C9A8D06" w14:textId="085FB24F" w:rsidR="00774AF7" w:rsidRPr="00AE2F09" w:rsidRDefault="00774AF7" w:rsidP="00A734C6">
            <w:pPr>
              <w:pStyle w:val="Tablecentre"/>
              <w:rPr>
                <w:rFonts w:ascii="Arial Narrow" w:hAnsi="Arial Narrow"/>
              </w:rPr>
            </w:pPr>
          </w:p>
        </w:tc>
      </w:tr>
      <w:tr w:rsidR="00F3269C" w:rsidRPr="00AE2F09" w14:paraId="04EFC29B" w14:textId="0FB71AA9" w:rsidTr="00FD7CD0">
        <w:tc>
          <w:tcPr>
            <w:tcW w:w="1320" w:type="pct"/>
            <w:tcBorders>
              <w:top w:val="nil"/>
            </w:tcBorders>
          </w:tcPr>
          <w:p w14:paraId="48800EB5" w14:textId="70F8E4BD" w:rsidR="00774AF7" w:rsidRPr="00AE2F09" w:rsidRDefault="00774AF7" w:rsidP="00A734C6">
            <w:pPr>
              <w:pStyle w:val="Tab1table"/>
              <w:rPr>
                <w:rFonts w:ascii="Arial Narrow" w:hAnsi="Arial Narrow"/>
              </w:rPr>
            </w:pPr>
            <w:r w:rsidRPr="00AE2F09">
              <w:rPr>
                <w:rFonts w:ascii="Arial Narrow" w:hAnsi="Arial Narrow"/>
              </w:rPr>
              <w:t>Difference in LS means (95% CI)</w:t>
            </w:r>
          </w:p>
        </w:tc>
        <w:tc>
          <w:tcPr>
            <w:tcW w:w="1226" w:type="pct"/>
            <w:tcBorders>
              <w:top w:val="nil"/>
            </w:tcBorders>
          </w:tcPr>
          <w:p w14:paraId="73C11ECD" w14:textId="2A04EAA7" w:rsidR="00774AF7" w:rsidRPr="00AE2F09" w:rsidRDefault="00774AF7" w:rsidP="00A734C6">
            <w:pPr>
              <w:pStyle w:val="Tablecentre"/>
              <w:rPr>
                <w:rFonts w:ascii="Arial Narrow" w:hAnsi="Arial Narrow"/>
              </w:rPr>
            </w:pPr>
            <w:r w:rsidRPr="00AE2F09">
              <w:rPr>
                <w:rFonts w:ascii="Arial Narrow" w:hAnsi="Arial Narrow"/>
              </w:rPr>
              <w:t>-</w:t>
            </w:r>
          </w:p>
        </w:tc>
        <w:tc>
          <w:tcPr>
            <w:tcW w:w="1227" w:type="pct"/>
            <w:tcBorders>
              <w:top w:val="nil"/>
            </w:tcBorders>
          </w:tcPr>
          <w:p w14:paraId="52C791A3" w14:textId="4A701607" w:rsidR="00774AF7" w:rsidRPr="00AE2F09" w:rsidRDefault="00774AF7" w:rsidP="00A734C6">
            <w:pPr>
              <w:pStyle w:val="Tablecentre"/>
              <w:rPr>
                <w:rFonts w:ascii="Arial Narrow" w:hAnsi="Arial Narrow"/>
              </w:rPr>
            </w:pPr>
            <w:r w:rsidRPr="00AE2F09">
              <w:rPr>
                <w:rFonts w:ascii="Arial Narrow" w:hAnsi="Arial Narrow"/>
              </w:rPr>
              <w:t>4.67 (</w:t>
            </w:r>
            <w:r w:rsidRPr="00AE2F09">
              <w:rPr>
                <w:rFonts w:ascii="Arial Narrow" w:hAnsi="Arial Narrow"/>
              </w:rPr>
              <w:noBreakHyphen/>
              <w:t>0.19, 9.53); p = 0.0591</w:t>
            </w:r>
          </w:p>
        </w:tc>
        <w:tc>
          <w:tcPr>
            <w:tcW w:w="1227" w:type="pct"/>
            <w:tcBorders>
              <w:top w:val="nil"/>
            </w:tcBorders>
          </w:tcPr>
          <w:p w14:paraId="4D2AFB19" w14:textId="1EBE906B" w:rsidR="00774AF7" w:rsidRPr="00AE2F09" w:rsidRDefault="00774AF7" w:rsidP="00A734C6">
            <w:pPr>
              <w:pStyle w:val="Tablecentre"/>
              <w:rPr>
                <w:rFonts w:ascii="Arial Narrow" w:hAnsi="Arial Narrow"/>
              </w:rPr>
            </w:pPr>
            <w:r w:rsidRPr="00AE2F09">
              <w:rPr>
                <w:rFonts w:ascii="Arial Narrow" w:hAnsi="Arial Narrow"/>
              </w:rPr>
              <w:t>2.77 (</w:t>
            </w:r>
            <w:r w:rsidRPr="00AE2F09">
              <w:rPr>
                <w:rFonts w:ascii="Arial Narrow" w:hAnsi="Arial Narrow"/>
              </w:rPr>
              <w:noBreakHyphen/>
              <w:t>1.99, 7.52); p = 0.2447</w:t>
            </w:r>
          </w:p>
        </w:tc>
      </w:tr>
    </w:tbl>
    <w:p w14:paraId="7D096396" w14:textId="77777777" w:rsidR="00774AF7" w:rsidRPr="00AE2F09" w:rsidRDefault="00774AF7" w:rsidP="00A734C6">
      <w:pPr>
        <w:pStyle w:val="TableFooter"/>
        <w:widowControl w:val="0"/>
        <w:rPr>
          <w:sz w:val="20"/>
        </w:rPr>
      </w:pPr>
      <w:r w:rsidRPr="00AE2F09">
        <w:t>Source: Table 2.5-7 (p112) of the submission</w:t>
      </w:r>
    </w:p>
    <w:p w14:paraId="6C3E62EE" w14:textId="796F20C7" w:rsidR="00774AF7" w:rsidRPr="00AE2F09" w:rsidRDefault="00774AF7" w:rsidP="00A734C6">
      <w:pPr>
        <w:pStyle w:val="TableFooter"/>
        <w:widowControl w:val="0"/>
      </w:pPr>
      <w:r w:rsidRPr="00AE2F09">
        <w:t>ADHD</w:t>
      </w:r>
      <w:r w:rsidR="004B437A">
        <w:t xml:space="preserve"> </w:t>
      </w:r>
      <w:r w:rsidRPr="00AE2F09">
        <w:t>RS</w:t>
      </w:r>
      <w:r w:rsidRPr="00AE2F09">
        <w:noBreakHyphen/>
        <w:t>IV IA = Attention Deficit Hyperactivity Disorder Rating Scale IV Inattention subscale; CI = confidence interval; mITT = modified intention-to-treat; LS = least squares; POMS = Profile of Mood States; PKU = phenylketonuria; SD = standard deviation; TMD = total mood disturbance</w:t>
      </w:r>
    </w:p>
    <w:p w14:paraId="306644F7" w14:textId="77777777" w:rsidR="00774AF7" w:rsidRPr="00AE2F09" w:rsidRDefault="00774AF7" w:rsidP="00B75228">
      <w:pPr>
        <w:pStyle w:val="TableFooter"/>
        <w:keepNext/>
        <w:widowControl w:val="0"/>
      </w:pPr>
      <w:r w:rsidRPr="00AE2F09">
        <w:t>*Refers to baseline at the start of PRISM-2 Part 2</w:t>
      </w:r>
    </w:p>
    <w:p w14:paraId="5E707EFC" w14:textId="75B0D810" w:rsidR="00774AF7" w:rsidRPr="00AE2F09" w:rsidRDefault="00774AF7" w:rsidP="00B75228">
      <w:pPr>
        <w:pStyle w:val="TableFooter"/>
        <w:keepNext/>
        <w:widowControl w:val="0"/>
        <w:spacing w:after="240"/>
      </w:pPr>
      <w:r w:rsidRPr="00AE2F09">
        <w:t>^ Refers to pegvaliase-naïve baseline</w:t>
      </w:r>
    </w:p>
    <w:p w14:paraId="39670D9F" w14:textId="1513E268" w:rsidR="00774AF7" w:rsidRPr="00AE2F09" w:rsidRDefault="00F3269C" w:rsidP="00F3269C">
      <w:pPr>
        <w:pStyle w:val="TableFigureHeading"/>
        <w:keepLines/>
        <w:rPr>
          <w:rStyle w:val="CommentReference"/>
          <w:szCs w:val="24"/>
        </w:rPr>
      </w:pPr>
      <w:r w:rsidRPr="00AE2F09">
        <w:rPr>
          <w:rStyle w:val="CommentReference"/>
          <w:b/>
          <w:bCs w:val="0"/>
          <w:szCs w:val="24"/>
        </w:rPr>
        <w:t xml:space="preserve">Figure </w:t>
      </w:r>
      <w:r w:rsidRPr="00AE2F09">
        <w:rPr>
          <w:rStyle w:val="CommentReference"/>
          <w:b/>
          <w:bCs w:val="0"/>
          <w:szCs w:val="24"/>
        </w:rPr>
        <w:fldChar w:fldCharType="begin"/>
      </w:r>
      <w:r w:rsidRPr="00AE2F09">
        <w:rPr>
          <w:rStyle w:val="CommentReference"/>
          <w:b/>
          <w:bCs w:val="0"/>
          <w:szCs w:val="24"/>
        </w:rPr>
        <w:instrText xml:space="preserve"> SEQ Figure \* ARABIC </w:instrText>
      </w:r>
      <w:r w:rsidRPr="00AE2F09">
        <w:rPr>
          <w:rStyle w:val="CommentReference"/>
          <w:b/>
          <w:bCs w:val="0"/>
          <w:szCs w:val="24"/>
        </w:rPr>
        <w:fldChar w:fldCharType="separate"/>
      </w:r>
      <w:r w:rsidR="001162C8">
        <w:rPr>
          <w:rStyle w:val="CommentReference"/>
          <w:b/>
          <w:bCs w:val="0"/>
          <w:noProof/>
          <w:szCs w:val="24"/>
        </w:rPr>
        <w:t>4</w:t>
      </w:r>
      <w:r w:rsidRPr="00AE2F09">
        <w:rPr>
          <w:rStyle w:val="CommentReference"/>
          <w:b/>
          <w:bCs w:val="0"/>
          <w:szCs w:val="24"/>
        </w:rPr>
        <w:fldChar w:fldCharType="end"/>
      </w:r>
      <w:r w:rsidR="00B75228">
        <w:rPr>
          <w:rStyle w:val="CommentReference"/>
          <w:b/>
          <w:bCs w:val="0"/>
          <w:szCs w:val="24"/>
        </w:rPr>
        <w:t>:</w:t>
      </w:r>
      <w:r w:rsidR="00774AF7" w:rsidRPr="00AE2F09">
        <w:rPr>
          <w:rStyle w:val="CommentReference"/>
          <w:b/>
          <w:bCs w:val="0"/>
          <w:szCs w:val="24"/>
        </w:rPr>
        <w:t xml:space="preserve"> Results of mean change in ADHD</w:t>
      </w:r>
      <w:r w:rsidR="004B437A">
        <w:rPr>
          <w:rStyle w:val="CommentReference"/>
          <w:b/>
          <w:bCs w:val="0"/>
          <w:szCs w:val="24"/>
        </w:rPr>
        <w:t xml:space="preserve"> </w:t>
      </w:r>
      <w:r w:rsidR="00774AF7" w:rsidRPr="00AE2F09">
        <w:rPr>
          <w:rStyle w:val="CommentReference"/>
          <w:b/>
          <w:bCs w:val="0"/>
          <w:szCs w:val="24"/>
        </w:rPr>
        <w:t>RS-IV inattention subscale over the PRISM trials (n=261</w:t>
      </w:r>
      <w:r w:rsidR="00774AF7" w:rsidRPr="00AE2F09">
        <w:rPr>
          <w:rStyle w:val="CommentReference"/>
          <w:b/>
          <w:szCs w:val="24"/>
        </w:rPr>
        <w:t>)</w:t>
      </w:r>
    </w:p>
    <w:p w14:paraId="4182712A" w14:textId="77777777" w:rsidR="00774AF7" w:rsidRPr="00AE2F09" w:rsidRDefault="00774AF7" w:rsidP="00774AF7">
      <w:pPr>
        <w:keepNext/>
        <w:keepLines/>
      </w:pPr>
      <w:r w:rsidRPr="00AE2F09">
        <w:rPr>
          <w:noProof/>
        </w:rPr>
        <w:drawing>
          <wp:inline distT="0" distB="0" distL="0" distR="0" wp14:anchorId="026C6874" wp14:editId="76AA83E3">
            <wp:extent cx="5730875" cy="2914015"/>
            <wp:effectExtent l="0" t="0" r="3175" b="635"/>
            <wp:docPr id="11" name="Picture 11" descr="Figure 4: Results of mean change in ADHD RS-IV inattention subscale over the PRISM trials (n=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4: Results of mean change in ADHD RS-IV inattention subscale over the PRISM trials (n=2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2914015"/>
                    </a:xfrm>
                    <a:prstGeom prst="rect">
                      <a:avLst/>
                    </a:prstGeom>
                    <a:noFill/>
                  </pic:spPr>
                </pic:pic>
              </a:graphicData>
            </a:graphic>
          </wp:inline>
        </w:drawing>
      </w:r>
    </w:p>
    <w:p w14:paraId="1CA75510" w14:textId="6D6F456E" w:rsidR="00867CD5" w:rsidRPr="00AE2F09" w:rsidRDefault="00867CD5" w:rsidP="00867CD5">
      <w:pPr>
        <w:keepNext/>
        <w:keepLines/>
        <w:rPr>
          <w:rFonts w:ascii="Arial Narrow" w:hAnsi="Arial Narrow"/>
          <w:sz w:val="18"/>
        </w:rPr>
      </w:pPr>
      <w:r w:rsidRPr="00AE2F09">
        <w:rPr>
          <w:rFonts w:ascii="Arial Narrow" w:hAnsi="Arial Narrow"/>
          <w:sz w:val="18"/>
        </w:rPr>
        <w:t>Source: Figure 2.5-9</w:t>
      </w:r>
      <w:r w:rsidR="00CC16BC">
        <w:rPr>
          <w:rFonts w:ascii="Arial Narrow" w:hAnsi="Arial Narrow"/>
          <w:sz w:val="18"/>
        </w:rPr>
        <w:t xml:space="preserve"> (</w:t>
      </w:r>
      <w:r w:rsidRPr="00AE2F09">
        <w:rPr>
          <w:rFonts w:ascii="Arial Narrow" w:hAnsi="Arial Narrow"/>
          <w:sz w:val="18"/>
        </w:rPr>
        <w:t>p118</w:t>
      </w:r>
      <w:r w:rsidR="00CC16BC">
        <w:rPr>
          <w:rFonts w:ascii="Arial Narrow" w:hAnsi="Arial Narrow"/>
          <w:sz w:val="18"/>
        </w:rPr>
        <w:t>)</w:t>
      </w:r>
      <w:r w:rsidRPr="00AE2F09">
        <w:rPr>
          <w:rFonts w:ascii="Arial Narrow" w:hAnsi="Arial Narrow"/>
          <w:sz w:val="18"/>
        </w:rPr>
        <w:t xml:space="preserve"> of the submission</w:t>
      </w:r>
    </w:p>
    <w:p w14:paraId="443C4162" w14:textId="02A92A1F" w:rsidR="00774AF7" w:rsidRPr="00AE2F09" w:rsidRDefault="00774AF7" w:rsidP="00774AF7">
      <w:pPr>
        <w:keepNext/>
        <w:keepLines/>
        <w:rPr>
          <w:rFonts w:ascii="Arial Narrow" w:hAnsi="Arial Narrow"/>
          <w:sz w:val="18"/>
        </w:rPr>
      </w:pPr>
      <w:r w:rsidRPr="00AE2F09">
        <w:rPr>
          <w:rFonts w:ascii="Arial Narrow" w:hAnsi="Arial Narrow"/>
          <w:sz w:val="18"/>
        </w:rPr>
        <w:t>ADHD</w:t>
      </w:r>
      <w:r w:rsidR="004B437A">
        <w:rPr>
          <w:rFonts w:ascii="Arial Narrow" w:hAnsi="Arial Narrow"/>
          <w:sz w:val="18"/>
        </w:rPr>
        <w:t xml:space="preserve"> </w:t>
      </w:r>
      <w:r w:rsidRPr="00AE2F09">
        <w:rPr>
          <w:rFonts w:ascii="Arial Narrow" w:hAnsi="Arial Narrow"/>
          <w:sz w:val="18"/>
        </w:rPr>
        <w:t>RS</w:t>
      </w:r>
      <w:r w:rsidRPr="00AE2F09">
        <w:rPr>
          <w:rFonts w:ascii="Arial Narrow" w:hAnsi="Arial Narrow"/>
          <w:sz w:val="18"/>
        </w:rPr>
        <w:noBreakHyphen/>
        <w:t>IV IA = Attention Deficit Hyperactivity Disorder Rating Scale IV Inattention subscale; Phe = phenylalanine; SE = standard error</w:t>
      </w:r>
    </w:p>
    <w:p w14:paraId="17D7B933" w14:textId="77777777" w:rsidR="00774AF7" w:rsidRPr="00AE2F09" w:rsidRDefault="00774AF7" w:rsidP="00774AF7">
      <w:pPr>
        <w:pStyle w:val="3-BodyText"/>
        <w:numPr>
          <w:ilvl w:val="0"/>
          <w:numId w:val="0"/>
        </w:numPr>
      </w:pPr>
    </w:p>
    <w:p w14:paraId="555C0310" w14:textId="561D6207" w:rsidR="00774AF7" w:rsidRPr="00AE2F09" w:rsidRDefault="00774AF7" w:rsidP="00774AF7">
      <w:pPr>
        <w:pStyle w:val="3-BodyText"/>
      </w:pPr>
      <w:r w:rsidRPr="00AE2F09">
        <w:t xml:space="preserve">In PRISM 1, both </w:t>
      </w:r>
      <w:r w:rsidR="005B3766" w:rsidRPr="00AE2F09">
        <w:t xml:space="preserve">the </w:t>
      </w:r>
      <w:r w:rsidRPr="00AE2F09">
        <w:t>pegvaliase 20</w:t>
      </w:r>
      <w:r w:rsidR="00D003E8">
        <w:t xml:space="preserve"> </w:t>
      </w:r>
      <w:r w:rsidRPr="00AE2F09">
        <w:t>mg/day and 40</w:t>
      </w:r>
      <w:r w:rsidR="00D003E8">
        <w:t xml:space="preserve"> </w:t>
      </w:r>
      <w:r w:rsidRPr="00AE2F09">
        <w:t xml:space="preserve">mg/day groups in both the total trial population and the </w:t>
      </w:r>
      <w:r w:rsidR="00B13E71" w:rsidRPr="00AE2F09">
        <w:t xml:space="preserve">subgroup of patients with </w:t>
      </w:r>
      <w:r w:rsidRPr="00AE2F09">
        <w:t>ADHD</w:t>
      </w:r>
      <w:r w:rsidR="004B437A">
        <w:t xml:space="preserve"> </w:t>
      </w:r>
      <w:r w:rsidRPr="00AE2F09">
        <w:t>RS-IV inattention score &gt;9 at baseline had lower inattention subscale scores at the end of the study than at baseline</w:t>
      </w:r>
      <w:r w:rsidR="00CE5C27" w:rsidRPr="00AE2F09">
        <w:t xml:space="preserve"> indicating an improvement in symptoms</w:t>
      </w:r>
      <w:r w:rsidRPr="00AE2F09">
        <w:t>. However, the standard deviations around these mean changes are larger than the mean change themselves, indicating a high degree of uncertainty.</w:t>
      </w:r>
      <w:r w:rsidR="00360693" w:rsidRPr="00AE2F09">
        <w:t xml:space="preserve"> Additionally, </w:t>
      </w:r>
      <w:r w:rsidR="008222DA" w:rsidRPr="00AE2F09">
        <w:t xml:space="preserve">it was unclear if </w:t>
      </w:r>
      <w:r w:rsidR="00360693" w:rsidRPr="00AE2F09">
        <w:t xml:space="preserve">these </w:t>
      </w:r>
      <w:r w:rsidR="008E13D2" w:rsidRPr="00AE2F09">
        <w:t xml:space="preserve">score changes </w:t>
      </w:r>
      <w:r w:rsidR="008222DA" w:rsidRPr="00AE2F09">
        <w:t xml:space="preserve">were clinically meaningful as </w:t>
      </w:r>
      <w:r w:rsidR="0014492D" w:rsidRPr="00AE2F09">
        <w:t xml:space="preserve">the mean and median change were </w:t>
      </w:r>
      <w:r w:rsidR="008E13D2" w:rsidRPr="00AE2F09">
        <w:t>below the MCID (</w:t>
      </w:r>
      <w:r w:rsidR="008E13D2" w:rsidRPr="00AE2F09">
        <w:rPr>
          <w:rFonts w:cstheme="minorHAnsi"/>
        </w:rPr>
        <w:t>≥</w:t>
      </w:r>
      <w:r w:rsidR="008E13D2" w:rsidRPr="00AE2F09">
        <w:t>5 point change from baseline) nominated in the submission.</w:t>
      </w:r>
      <w:r w:rsidR="00D003E8">
        <w:t xml:space="preserve"> </w:t>
      </w:r>
    </w:p>
    <w:p w14:paraId="45EE5C59" w14:textId="357B9B71" w:rsidR="00774AF7" w:rsidRPr="00AE2F09" w:rsidRDefault="00774AF7" w:rsidP="00774AF7">
      <w:pPr>
        <w:pStyle w:val="3-BodyText"/>
      </w:pPr>
      <w:r w:rsidRPr="00AE2F09">
        <w:t>In the total PRISM 2 Part 2 population, the pooled pegvaliase and placebo 20</w:t>
      </w:r>
      <w:r w:rsidR="00D003E8">
        <w:t xml:space="preserve"> </w:t>
      </w:r>
      <w:r w:rsidRPr="00AE2F09">
        <w:t>mg/day arms had minor increases over 8 weeks in inattention subscale scores whereas the placebo 40</w:t>
      </w:r>
      <w:r w:rsidR="00D003E8">
        <w:t xml:space="preserve"> </w:t>
      </w:r>
      <w:r w:rsidRPr="00AE2F09">
        <w:t xml:space="preserve">mg/day arm had a minor decrease. The results for patients with a pegvaliase-naïve baseline ADHD-RS inattention subscale score &gt;9 shows pooled pegvaliase patients increased in inattention subscale scores over the 8 weeks of PRISM 2 Part 2 (by 2.5) whilst both placebo arms decreased in scores. These results do not appear to support the claim of clinical efficacy in terms of improvement in ADHD-RS inattention subscale scores </w:t>
      </w:r>
      <w:r w:rsidR="0054062A" w:rsidRPr="00AE2F09">
        <w:t xml:space="preserve">with treatment </w:t>
      </w:r>
      <w:r w:rsidR="00641CE8" w:rsidRPr="00AE2F09">
        <w:t xml:space="preserve">with pegvaliase </w:t>
      </w:r>
      <w:r w:rsidRPr="00AE2F09">
        <w:t>and further do not support the correlation between blood-Phe and ADHD inattention subscale scores</w:t>
      </w:r>
      <w:r w:rsidR="008936A1" w:rsidRPr="00AE2F09">
        <w:t xml:space="preserve"> as assumed by the submission in the economic model</w:t>
      </w:r>
      <w:r w:rsidR="00D81D6C" w:rsidRPr="00AE2F09">
        <w:t xml:space="preserve"> (see paragraph </w:t>
      </w:r>
      <w:r w:rsidR="00D81D6C" w:rsidRPr="00AE2F09">
        <w:fldChar w:fldCharType="begin"/>
      </w:r>
      <w:r w:rsidR="00D81D6C" w:rsidRPr="00AE2F09">
        <w:instrText xml:space="preserve"> REF _Ref103059828 \r \h </w:instrText>
      </w:r>
      <w:r w:rsidR="00AE2F09" w:rsidRPr="00AE2F09">
        <w:instrText xml:space="preserve"> \* MERGEFORMAT </w:instrText>
      </w:r>
      <w:r w:rsidR="00D81D6C" w:rsidRPr="00AE2F09">
        <w:fldChar w:fldCharType="separate"/>
      </w:r>
      <w:r w:rsidR="001162C8">
        <w:t>6.63</w:t>
      </w:r>
      <w:r w:rsidR="00D81D6C" w:rsidRPr="00AE2F09">
        <w:fldChar w:fldCharType="end"/>
      </w:r>
      <w:r w:rsidR="00D81D6C" w:rsidRPr="00AE2F09">
        <w:t>)</w:t>
      </w:r>
      <w:r w:rsidR="008936A1" w:rsidRPr="00AE2F09">
        <w:t>.</w:t>
      </w:r>
    </w:p>
    <w:p w14:paraId="3F78EBBA" w14:textId="412D058A" w:rsidR="0047378B" w:rsidRDefault="0047378B" w:rsidP="00774AF7">
      <w:pPr>
        <w:pStyle w:val="3-BodyText"/>
      </w:pPr>
      <w:r w:rsidRPr="00AE2F09">
        <w:t xml:space="preserve">The submission claimed that, </w:t>
      </w:r>
      <w:r w:rsidR="00382500" w:rsidRPr="00AE2F09">
        <w:t xml:space="preserve">among the 30 patients treated with pegvaliase who did not achieve a blood-Phe of </w:t>
      </w:r>
      <w:r w:rsidR="00382500" w:rsidRPr="00AE2F09">
        <w:rPr>
          <w:rFonts w:cstheme="minorHAnsi"/>
        </w:rPr>
        <w:t>≤</w:t>
      </w:r>
      <w:r w:rsidR="00382500" w:rsidRPr="00AE2F09">
        <w:t xml:space="preserve">360 </w:t>
      </w:r>
      <w:r w:rsidR="00382500" w:rsidRPr="00AE2F09">
        <w:rPr>
          <w:rFonts w:cstheme="minorHAnsi"/>
        </w:rPr>
        <w:t>µ</w:t>
      </w:r>
      <w:r w:rsidR="00382500" w:rsidRPr="00AE2F09">
        <w:t xml:space="preserve">mol/L in PRISM 1 and PRISM 2 (see paragraph </w:t>
      </w:r>
      <w:r w:rsidR="00382500" w:rsidRPr="00AE2F09">
        <w:fldChar w:fldCharType="begin"/>
      </w:r>
      <w:r w:rsidR="00382500" w:rsidRPr="00AE2F09">
        <w:instrText xml:space="preserve"> REF _Ref103052138 \r \h </w:instrText>
      </w:r>
      <w:r w:rsidR="00AE2F09" w:rsidRPr="00AE2F09">
        <w:instrText xml:space="preserve"> \* MERGEFORMAT </w:instrText>
      </w:r>
      <w:r w:rsidR="00382500" w:rsidRPr="00AE2F09">
        <w:fldChar w:fldCharType="separate"/>
      </w:r>
      <w:r w:rsidR="001162C8">
        <w:t>6.34</w:t>
      </w:r>
      <w:r w:rsidR="00382500" w:rsidRPr="00AE2F09">
        <w:fldChar w:fldCharType="end"/>
      </w:r>
      <w:r w:rsidR="00382500" w:rsidRPr="00AE2F09">
        <w:t xml:space="preserve">), </w:t>
      </w:r>
      <w:r w:rsidR="009516B6" w:rsidRPr="00AE2F09">
        <w:t xml:space="preserve">14 patients achieved a reduction of </w:t>
      </w:r>
      <w:r w:rsidR="009516B6" w:rsidRPr="00AE2F09">
        <w:rPr>
          <w:rFonts w:cstheme="minorHAnsi"/>
        </w:rPr>
        <w:t>≥</w:t>
      </w:r>
      <w:r w:rsidR="009516B6" w:rsidRPr="00AE2F09">
        <w:t>5 points in the ADHD-RS inattention subscale score, and therefore an 8.5% (14/165) response rate for ADHD-RS was assumed in the economic model. Inappropriately, no response rate data for patients treated with Phe</w:t>
      </w:r>
      <w:r w:rsidR="009516B6" w:rsidRPr="00AE2F09">
        <w:noBreakHyphen/>
        <w:t xml:space="preserve">restricted diet was presented, and </w:t>
      </w:r>
      <w:r w:rsidR="00A34F2E" w:rsidRPr="00AE2F09">
        <w:t>as such it was not possible to assess the incremental benefit of pegvaliase for this outcome. T</w:t>
      </w:r>
      <w:r w:rsidR="009516B6" w:rsidRPr="00AE2F09">
        <w:t xml:space="preserve">he submission assumed no patient treated with Phe-restricted diet could </w:t>
      </w:r>
      <w:r w:rsidR="00A34F2E" w:rsidRPr="00AE2F09">
        <w:t xml:space="preserve">achieved a reduction of </w:t>
      </w:r>
      <w:r w:rsidR="00A34F2E" w:rsidRPr="00AE2F09">
        <w:rPr>
          <w:rFonts w:cstheme="minorHAnsi"/>
        </w:rPr>
        <w:t>≥</w:t>
      </w:r>
      <w:r w:rsidR="00A34F2E" w:rsidRPr="00AE2F09">
        <w:t xml:space="preserve">5 points in the ADHD-RS inattention subscale score in the economic model. </w:t>
      </w:r>
    </w:p>
    <w:p w14:paraId="3CFCBBD0" w14:textId="33A4878E" w:rsidR="00975BF7" w:rsidRPr="00975BF7" w:rsidRDefault="00975BF7" w:rsidP="00975BF7">
      <w:pPr>
        <w:pStyle w:val="3-BodyText"/>
        <w:numPr>
          <w:ilvl w:val="0"/>
          <w:numId w:val="0"/>
        </w:numPr>
        <w:outlineLvl w:val="2"/>
        <w:rPr>
          <w:b/>
          <w:bCs/>
          <w:i/>
          <w:iCs/>
        </w:rPr>
      </w:pPr>
      <w:r w:rsidRPr="00975BF7">
        <w:rPr>
          <w:b/>
          <w:bCs/>
          <w:i/>
          <w:iCs/>
        </w:rPr>
        <w:t>PRISM subgroup results by sapropterin responder status</w:t>
      </w:r>
    </w:p>
    <w:p w14:paraId="64598C82" w14:textId="6BC545E0" w:rsidR="00774AF7" w:rsidRPr="00AE2F09" w:rsidRDefault="00774AF7" w:rsidP="00774AF7">
      <w:pPr>
        <w:pStyle w:val="3-BodyText"/>
      </w:pPr>
      <w:r w:rsidRPr="00AE2F09">
        <w:t xml:space="preserve">The results of a subgroup analysis of PRISM trial data by sapropterin ‘responders’ vs ‘non-responders’ </w:t>
      </w:r>
      <w:r w:rsidR="00975BF7">
        <w:t>are</w:t>
      </w:r>
      <w:r w:rsidRPr="00AE2F09">
        <w:t xml:space="preserve"> presented below. Sapropterin responders were defined as patients who had &gt;</w:t>
      </w:r>
      <w:r w:rsidR="008F3570">
        <w:t> </w:t>
      </w:r>
      <w:r w:rsidRPr="00AE2F09">
        <w:t xml:space="preserve">4 week consecutive sapropterin treatment within 6 months of </w:t>
      </w:r>
      <w:r w:rsidR="00ED550A">
        <w:t xml:space="preserve">their </w:t>
      </w:r>
      <w:r w:rsidRPr="00AE2F09">
        <w:t xml:space="preserve">screening visit and had exhibited a </w:t>
      </w:r>
      <w:r w:rsidR="002A156D" w:rsidRPr="00AE2F09">
        <w:t>clinically significant</w:t>
      </w:r>
      <w:r w:rsidRPr="00AE2F09">
        <w:t xml:space="preserve"> decrease in blood Phe levels per investigator determination.</w:t>
      </w:r>
      <w:r w:rsidR="00711E5F" w:rsidRPr="00AE2F09">
        <w:t xml:space="preserve"> </w:t>
      </w:r>
      <w:r w:rsidR="001E1B54">
        <w:t>While t</w:t>
      </w:r>
      <w:r w:rsidR="00711E5F" w:rsidRPr="00AE2F09">
        <w:t xml:space="preserve">his does not align with the </w:t>
      </w:r>
      <w:r w:rsidR="001E1B54">
        <w:t xml:space="preserve">PBS </w:t>
      </w:r>
      <w:r w:rsidR="00711E5F" w:rsidRPr="00AE2F09">
        <w:t xml:space="preserve">criteria for sapropterin </w:t>
      </w:r>
      <w:r w:rsidR="002A156D" w:rsidRPr="00AE2F09">
        <w:t>response</w:t>
      </w:r>
      <w:r w:rsidR="001E1B54">
        <w:t xml:space="preserve"> (which is a </w:t>
      </w:r>
      <w:r w:rsidR="001E1B54">
        <w:rPr>
          <w:rFonts w:cstheme="minorHAnsi"/>
        </w:rPr>
        <w:t>≥</w:t>
      </w:r>
      <w:r w:rsidR="00E44E3F">
        <w:rPr>
          <w:rFonts w:cstheme="minorHAnsi"/>
        </w:rPr>
        <w:t> </w:t>
      </w:r>
      <w:r w:rsidR="001E1B54">
        <w:t>30% reduction in 7 days), the analysis is</w:t>
      </w:r>
      <w:r w:rsidR="002A156D" w:rsidRPr="00AE2F09">
        <w:t xml:space="preserve"> </w:t>
      </w:r>
      <w:r w:rsidR="00711E5F" w:rsidRPr="00AE2F09">
        <w:t xml:space="preserve">informative in determining the appropriateness of restricting use of pegvaliase </w:t>
      </w:r>
      <w:r w:rsidR="00E50931" w:rsidRPr="00AE2F09">
        <w:t>to sapropterin non-responders.</w:t>
      </w:r>
    </w:p>
    <w:p w14:paraId="21D43446" w14:textId="463B7864" w:rsidR="00774AF7" w:rsidRPr="00AE2F09" w:rsidRDefault="00A34F2E" w:rsidP="00A34F2E">
      <w:pPr>
        <w:pStyle w:val="TableFigureHeading"/>
        <w:keepLines/>
        <w:rPr>
          <w:rStyle w:val="CommentReference"/>
          <w:b/>
          <w:bCs w:val="0"/>
          <w:szCs w:val="24"/>
        </w:rPr>
      </w:pPr>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10</w:t>
      </w:r>
      <w:r w:rsidRPr="00AE2F09">
        <w:rPr>
          <w:rStyle w:val="CommentReference"/>
          <w:b/>
          <w:bCs w:val="0"/>
          <w:szCs w:val="24"/>
        </w:rPr>
        <w:fldChar w:fldCharType="end"/>
      </w:r>
      <w:r w:rsidR="00774AF7" w:rsidRPr="00AE2F09">
        <w:rPr>
          <w:rStyle w:val="CommentReference"/>
          <w:b/>
          <w:bCs w:val="0"/>
          <w:szCs w:val="24"/>
        </w:rPr>
        <w:t>: Blood-Phe levels over time by sapropterin responder status in the PRISM trials</w:t>
      </w:r>
    </w:p>
    <w:tbl>
      <w:tblPr>
        <w:tblStyle w:val="TableGrid8"/>
        <w:tblW w:w="5000" w:type="pct"/>
        <w:jc w:val="center"/>
        <w:tblLook w:val="0020" w:firstRow="1" w:lastRow="0" w:firstColumn="0" w:lastColumn="0" w:noHBand="0" w:noVBand="0"/>
      </w:tblPr>
      <w:tblGrid>
        <w:gridCol w:w="2889"/>
        <w:gridCol w:w="3143"/>
        <w:gridCol w:w="2985"/>
      </w:tblGrid>
      <w:tr w:rsidR="00A34F2E" w:rsidRPr="00AE2F09" w14:paraId="16B243F6" w14:textId="77777777" w:rsidTr="000A60A7">
        <w:trPr>
          <w:trHeight w:val="20"/>
          <w:jc w:val="center"/>
        </w:trPr>
        <w:tc>
          <w:tcPr>
            <w:tcW w:w="1602" w:type="pct"/>
            <w:shd w:val="clear" w:color="auto" w:fill="auto"/>
            <w:vAlign w:val="center"/>
          </w:tcPr>
          <w:p w14:paraId="64E62E14" w14:textId="1C3C546F" w:rsidR="00774AF7" w:rsidRPr="00AE2F09" w:rsidRDefault="00774AF7" w:rsidP="00A34F2E">
            <w:pPr>
              <w:keepNext/>
              <w:keepLines/>
              <w:jc w:val="left"/>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Blood</w:t>
            </w:r>
            <w:r w:rsidR="003F29E5">
              <w:rPr>
                <w:rFonts w:ascii="Arial Narrow" w:hAnsi="Arial Narrow" w:cs="Times New Roman"/>
                <w:b/>
                <w:bCs/>
                <w:snapToGrid w:val="0"/>
                <w:sz w:val="20"/>
                <w:lang w:val="en-AU" w:eastAsia="en-AU"/>
              </w:rPr>
              <w:t xml:space="preserve"> </w:t>
            </w:r>
            <w:r w:rsidRPr="00AE2F09">
              <w:rPr>
                <w:rFonts w:ascii="Arial Narrow" w:hAnsi="Arial Narrow" w:cs="Times New Roman"/>
                <w:b/>
                <w:bCs/>
                <w:snapToGrid w:val="0"/>
                <w:sz w:val="20"/>
                <w:lang w:val="en-AU" w:eastAsia="en-AU"/>
              </w:rPr>
              <w:t xml:space="preserve">Phe Concentration (μmol/L) </w:t>
            </w:r>
          </w:p>
        </w:tc>
        <w:tc>
          <w:tcPr>
            <w:tcW w:w="1743" w:type="pct"/>
            <w:shd w:val="clear" w:color="auto" w:fill="auto"/>
            <w:vAlign w:val="center"/>
          </w:tcPr>
          <w:p w14:paraId="6D82AE7F" w14:textId="77777777" w:rsidR="00774AF7" w:rsidRPr="00AE2F09" w:rsidRDefault="00774AF7" w:rsidP="00A34F2E">
            <w:pPr>
              <w:keepNext/>
              <w:keepLines/>
              <w:jc w:val="center"/>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Sapropterin non-responder (N = 144)</w:t>
            </w:r>
          </w:p>
        </w:tc>
        <w:tc>
          <w:tcPr>
            <w:tcW w:w="1655" w:type="pct"/>
            <w:shd w:val="clear" w:color="auto" w:fill="auto"/>
            <w:vAlign w:val="center"/>
          </w:tcPr>
          <w:p w14:paraId="496D3A4B" w14:textId="77777777" w:rsidR="00774AF7" w:rsidRPr="00AE2F09" w:rsidRDefault="00774AF7" w:rsidP="00A34F2E">
            <w:pPr>
              <w:keepNext/>
              <w:keepLines/>
              <w:jc w:val="center"/>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Sapropterin responder ^</w:t>
            </w:r>
          </w:p>
          <w:p w14:paraId="7E622855" w14:textId="77777777" w:rsidR="00774AF7" w:rsidRPr="00AE2F09" w:rsidRDefault="00774AF7" w:rsidP="00A34F2E">
            <w:pPr>
              <w:keepNext/>
              <w:keepLines/>
              <w:jc w:val="center"/>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(N = 52)</w:t>
            </w:r>
          </w:p>
        </w:tc>
      </w:tr>
      <w:tr w:rsidR="00A34F2E" w:rsidRPr="00AE2F09" w14:paraId="42581701" w14:textId="77777777" w:rsidTr="000A60A7">
        <w:trPr>
          <w:trHeight w:val="20"/>
          <w:jc w:val="center"/>
        </w:trPr>
        <w:tc>
          <w:tcPr>
            <w:tcW w:w="5000" w:type="pct"/>
            <w:gridSpan w:val="3"/>
            <w:tcBorders>
              <w:bottom w:val="single" w:sz="4" w:space="0" w:color="auto"/>
            </w:tcBorders>
            <w:shd w:val="clear" w:color="auto" w:fill="auto"/>
            <w:vAlign w:val="center"/>
          </w:tcPr>
          <w:p w14:paraId="4FE5EA3D" w14:textId="77777777" w:rsidR="00774AF7" w:rsidRPr="00AE2F09" w:rsidRDefault="00774AF7" w:rsidP="00A34F2E">
            <w:pPr>
              <w:keepNext/>
              <w:keepLines/>
              <w:jc w:val="left"/>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Baseline</w:t>
            </w:r>
          </w:p>
        </w:tc>
      </w:tr>
      <w:tr w:rsidR="00A34F2E" w:rsidRPr="00AE2F09" w14:paraId="250E94FB" w14:textId="77777777" w:rsidTr="000A60A7">
        <w:trPr>
          <w:trHeight w:val="20"/>
          <w:jc w:val="center"/>
        </w:trPr>
        <w:tc>
          <w:tcPr>
            <w:tcW w:w="1602" w:type="pct"/>
            <w:tcBorders>
              <w:top w:val="single" w:sz="4" w:space="0" w:color="auto"/>
              <w:left w:val="single" w:sz="4" w:space="0" w:color="auto"/>
              <w:bottom w:val="nil"/>
              <w:right w:val="single" w:sz="4" w:space="0" w:color="auto"/>
            </w:tcBorders>
            <w:vAlign w:val="center"/>
          </w:tcPr>
          <w:p w14:paraId="487749F8"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n </w:t>
            </w:r>
          </w:p>
        </w:tc>
        <w:tc>
          <w:tcPr>
            <w:tcW w:w="1743" w:type="pct"/>
            <w:tcBorders>
              <w:top w:val="single" w:sz="4" w:space="0" w:color="auto"/>
              <w:left w:val="single" w:sz="4" w:space="0" w:color="auto"/>
              <w:bottom w:val="nil"/>
              <w:right w:val="single" w:sz="4" w:space="0" w:color="auto"/>
            </w:tcBorders>
            <w:vAlign w:val="center"/>
          </w:tcPr>
          <w:p w14:paraId="235D894F"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144</w:t>
            </w:r>
          </w:p>
        </w:tc>
        <w:tc>
          <w:tcPr>
            <w:tcW w:w="1655" w:type="pct"/>
            <w:tcBorders>
              <w:top w:val="single" w:sz="4" w:space="0" w:color="auto"/>
              <w:left w:val="single" w:sz="4" w:space="0" w:color="auto"/>
              <w:bottom w:val="nil"/>
              <w:right w:val="single" w:sz="4" w:space="0" w:color="auto"/>
            </w:tcBorders>
            <w:vAlign w:val="center"/>
          </w:tcPr>
          <w:p w14:paraId="566969D9"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52</w:t>
            </w:r>
          </w:p>
        </w:tc>
      </w:tr>
      <w:tr w:rsidR="00A34F2E" w:rsidRPr="00AE2F09" w14:paraId="1ECA585C" w14:textId="77777777" w:rsidTr="000A60A7">
        <w:trPr>
          <w:trHeight w:val="20"/>
          <w:jc w:val="center"/>
        </w:trPr>
        <w:tc>
          <w:tcPr>
            <w:tcW w:w="1602" w:type="pct"/>
            <w:tcBorders>
              <w:top w:val="nil"/>
              <w:left w:val="single" w:sz="4" w:space="0" w:color="auto"/>
              <w:bottom w:val="nil"/>
              <w:right w:val="single" w:sz="4" w:space="0" w:color="auto"/>
            </w:tcBorders>
            <w:vAlign w:val="center"/>
          </w:tcPr>
          <w:p w14:paraId="3B763148"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Mean (SD) </w:t>
            </w:r>
          </w:p>
        </w:tc>
        <w:tc>
          <w:tcPr>
            <w:tcW w:w="1743" w:type="pct"/>
            <w:tcBorders>
              <w:top w:val="nil"/>
              <w:left w:val="single" w:sz="4" w:space="0" w:color="auto"/>
              <w:bottom w:val="nil"/>
              <w:right w:val="single" w:sz="4" w:space="0" w:color="auto"/>
            </w:tcBorders>
            <w:vAlign w:val="center"/>
          </w:tcPr>
          <w:p w14:paraId="404D77AA"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1278.1 (377.2)</w:t>
            </w:r>
          </w:p>
        </w:tc>
        <w:tc>
          <w:tcPr>
            <w:tcW w:w="1655" w:type="pct"/>
            <w:tcBorders>
              <w:top w:val="nil"/>
              <w:left w:val="single" w:sz="4" w:space="0" w:color="auto"/>
              <w:bottom w:val="nil"/>
              <w:right w:val="single" w:sz="4" w:space="0" w:color="auto"/>
            </w:tcBorders>
            <w:vAlign w:val="center"/>
          </w:tcPr>
          <w:p w14:paraId="76F48CCC"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1131.8 (363.7)</w:t>
            </w:r>
          </w:p>
        </w:tc>
      </w:tr>
      <w:tr w:rsidR="00A34F2E" w:rsidRPr="00AE2F09" w14:paraId="187CAF4E" w14:textId="77777777" w:rsidTr="000A60A7">
        <w:trPr>
          <w:trHeight w:val="20"/>
          <w:jc w:val="center"/>
        </w:trPr>
        <w:tc>
          <w:tcPr>
            <w:tcW w:w="1602" w:type="pct"/>
            <w:tcBorders>
              <w:top w:val="nil"/>
              <w:left w:val="single" w:sz="4" w:space="0" w:color="auto"/>
              <w:bottom w:val="single" w:sz="4" w:space="0" w:color="auto"/>
              <w:right w:val="single" w:sz="4" w:space="0" w:color="auto"/>
            </w:tcBorders>
            <w:vAlign w:val="center"/>
          </w:tcPr>
          <w:p w14:paraId="53AC8AC7"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Median (min, max)</w:t>
            </w:r>
          </w:p>
        </w:tc>
        <w:tc>
          <w:tcPr>
            <w:tcW w:w="1743" w:type="pct"/>
            <w:tcBorders>
              <w:top w:val="nil"/>
              <w:left w:val="single" w:sz="4" w:space="0" w:color="auto"/>
              <w:bottom w:val="single" w:sz="4" w:space="0" w:color="auto"/>
              <w:right w:val="single" w:sz="4" w:space="0" w:color="auto"/>
            </w:tcBorders>
            <w:vAlign w:val="center"/>
          </w:tcPr>
          <w:p w14:paraId="1D54C777"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1281.5 (483, 2330)</w:t>
            </w:r>
          </w:p>
        </w:tc>
        <w:tc>
          <w:tcPr>
            <w:tcW w:w="1655" w:type="pct"/>
            <w:tcBorders>
              <w:top w:val="nil"/>
              <w:left w:val="single" w:sz="4" w:space="0" w:color="auto"/>
              <w:bottom w:val="single" w:sz="4" w:space="0" w:color="auto"/>
              <w:right w:val="single" w:sz="4" w:space="0" w:color="auto"/>
            </w:tcBorders>
            <w:vAlign w:val="center"/>
          </w:tcPr>
          <w:p w14:paraId="5874EB88"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1045.0 (568, 1889)</w:t>
            </w:r>
          </w:p>
        </w:tc>
      </w:tr>
      <w:tr w:rsidR="00A34F2E" w:rsidRPr="00AE2F09" w14:paraId="68D5669D" w14:textId="77777777" w:rsidTr="000A60A7">
        <w:trPr>
          <w:trHeight w:val="20"/>
          <w:jc w:val="center"/>
        </w:trPr>
        <w:tc>
          <w:tcPr>
            <w:tcW w:w="5000" w:type="pct"/>
            <w:gridSpan w:val="3"/>
            <w:tcBorders>
              <w:top w:val="single" w:sz="4" w:space="0" w:color="auto"/>
            </w:tcBorders>
            <w:shd w:val="clear" w:color="auto" w:fill="auto"/>
            <w:vAlign w:val="center"/>
          </w:tcPr>
          <w:p w14:paraId="025DF039" w14:textId="77777777" w:rsidR="00774AF7" w:rsidRPr="00AE2F09" w:rsidRDefault="00774AF7" w:rsidP="00A34F2E">
            <w:pPr>
              <w:keepNext/>
              <w:keepLines/>
              <w:jc w:val="left"/>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12 months</w:t>
            </w:r>
          </w:p>
        </w:tc>
      </w:tr>
      <w:tr w:rsidR="00A34F2E" w:rsidRPr="00AE2F09" w14:paraId="7C44303B" w14:textId="77777777" w:rsidTr="000A60A7">
        <w:trPr>
          <w:trHeight w:val="20"/>
          <w:jc w:val="center"/>
        </w:trPr>
        <w:tc>
          <w:tcPr>
            <w:tcW w:w="1602" w:type="pct"/>
            <w:tcBorders>
              <w:bottom w:val="nil"/>
            </w:tcBorders>
            <w:vAlign w:val="center"/>
          </w:tcPr>
          <w:p w14:paraId="5DCE7FCF"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n </w:t>
            </w:r>
          </w:p>
        </w:tc>
        <w:tc>
          <w:tcPr>
            <w:tcW w:w="1743" w:type="pct"/>
            <w:tcBorders>
              <w:bottom w:val="nil"/>
            </w:tcBorders>
            <w:vAlign w:val="center"/>
          </w:tcPr>
          <w:p w14:paraId="560A12D2"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93</w:t>
            </w:r>
          </w:p>
        </w:tc>
        <w:tc>
          <w:tcPr>
            <w:tcW w:w="1655" w:type="pct"/>
            <w:tcBorders>
              <w:bottom w:val="nil"/>
            </w:tcBorders>
            <w:vAlign w:val="center"/>
          </w:tcPr>
          <w:p w14:paraId="5B80EE56"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34</w:t>
            </w:r>
          </w:p>
        </w:tc>
      </w:tr>
      <w:tr w:rsidR="00A34F2E" w:rsidRPr="00AE2F09" w14:paraId="6DCF7DD1" w14:textId="77777777" w:rsidTr="000A60A7">
        <w:trPr>
          <w:trHeight w:val="20"/>
          <w:jc w:val="center"/>
        </w:trPr>
        <w:tc>
          <w:tcPr>
            <w:tcW w:w="1602" w:type="pct"/>
            <w:tcBorders>
              <w:top w:val="nil"/>
              <w:bottom w:val="nil"/>
            </w:tcBorders>
            <w:vAlign w:val="center"/>
          </w:tcPr>
          <w:p w14:paraId="5EFB4337"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Mean (SD) </w:t>
            </w:r>
          </w:p>
        </w:tc>
        <w:tc>
          <w:tcPr>
            <w:tcW w:w="1743" w:type="pct"/>
            <w:tcBorders>
              <w:top w:val="nil"/>
              <w:bottom w:val="nil"/>
            </w:tcBorders>
            <w:vAlign w:val="center"/>
          </w:tcPr>
          <w:p w14:paraId="684E7184"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502.5 (530.7)</w:t>
            </w:r>
          </w:p>
        </w:tc>
        <w:tc>
          <w:tcPr>
            <w:tcW w:w="1655" w:type="pct"/>
            <w:tcBorders>
              <w:top w:val="nil"/>
              <w:bottom w:val="nil"/>
            </w:tcBorders>
            <w:vAlign w:val="center"/>
          </w:tcPr>
          <w:p w14:paraId="2465BB4F"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692.3 (519.2)</w:t>
            </w:r>
          </w:p>
        </w:tc>
      </w:tr>
      <w:tr w:rsidR="00A34F2E" w:rsidRPr="00AE2F09" w14:paraId="4F8B8050" w14:textId="77777777" w:rsidTr="000A60A7">
        <w:trPr>
          <w:trHeight w:val="20"/>
          <w:jc w:val="center"/>
        </w:trPr>
        <w:tc>
          <w:tcPr>
            <w:tcW w:w="1602" w:type="pct"/>
            <w:tcBorders>
              <w:top w:val="nil"/>
              <w:bottom w:val="nil"/>
            </w:tcBorders>
            <w:vAlign w:val="center"/>
          </w:tcPr>
          <w:p w14:paraId="4C1ABD00"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Median (min, max)</w:t>
            </w:r>
          </w:p>
        </w:tc>
        <w:tc>
          <w:tcPr>
            <w:tcW w:w="1743" w:type="pct"/>
            <w:tcBorders>
              <w:top w:val="nil"/>
              <w:bottom w:val="nil"/>
            </w:tcBorders>
            <w:vAlign w:val="center"/>
          </w:tcPr>
          <w:p w14:paraId="38D18F6E"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338.0 (0, 2001)</w:t>
            </w:r>
          </w:p>
        </w:tc>
        <w:tc>
          <w:tcPr>
            <w:tcW w:w="1655" w:type="pct"/>
            <w:tcBorders>
              <w:top w:val="nil"/>
              <w:bottom w:val="nil"/>
            </w:tcBorders>
            <w:vAlign w:val="center"/>
          </w:tcPr>
          <w:p w14:paraId="5A782E0D"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687.5 (0, 1816)</w:t>
            </w:r>
          </w:p>
        </w:tc>
      </w:tr>
      <w:tr w:rsidR="00A34F2E" w:rsidRPr="00AE2F09" w14:paraId="16F1F738" w14:textId="77777777" w:rsidTr="000A60A7">
        <w:trPr>
          <w:trHeight w:val="20"/>
          <w:jc w:val="center"/>
        </w:trPr>
        <w:tc>
          <w:tcPr>
            <w:tcW w:w="5000" w:type="pct"/>
            <w:gridSpan w:val="3"/>
            <w:shd w:val="clear" w:color="auto" w:fill="auto"/>
            <w:vAlign w:val="center"/>
          </w:tcPr>
          <w:p w14:paraId="35C663DD" w14:textId="77777777" w:rsidR="00774AF7" w:rsidRPr="00AE2F09" w:rsidRDefault="00774AF7" w:rsidP="00A34F2E">
            <w:pPr>
              <w:keepNext/>
              <w:keepLines/>
              <w:jc w:val="left"/>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24 months</w:t>
            </w:r>
          </w:p>
        </w:tc>
      </w:tr>
      <w:tr w:rsidR="00A34F2E" w:rsidRPr="00AE2F09" w14:paraId="72E943AC" w14:textId="77777777" w:rsidTr="000A60A7">
        <w:trPr>
          <w:trHeight w:val="20"/>
          <w:jc w:val="center"/>
        </w:trPr>
        <w:tc>
          <w:tcPr>
            <w:tcW w:w="1602" w:type="pct"/>
            <w:tcBorders>
              <w:bottom w:val="nil"/>
            </w:tcBorders>
            <w:vAlign w:val="center"/>
          </w:tcPr>
          <w:p w14:paraId="5BA5E254"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n </w:t>
            </w:r>
          </w:p>
        </w:tc>
        <w:tc>
          <w:tcPr>
            <w:tcW w:w="1743" w:type="pct"/>
            <w:tcBorders>
              <w:bottom w:val="nil"/>
            </w:tcBorders>
            <w:vAlign w:val="center"/>
          </w:tcPr>
          <w:p w14:paraId="05E89932"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59</w:t>
            </w:r>
          </w:p>
        </w:tc>
        <w:tc>
          <w:tcPr>
            <w:tcW w:w="1655" w:type="pct"/>
            <w:tcBorders>
              <w:bottom w:val="nil"/>
            </w:tcBorders>
            <w:vAlign w:val="center"/>
          </w:tcPr>
          <w:p w14:paraId="4749BD20"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12</w:t>
            </w:r>
          </w:p>
        </w:tc>
      </w:tr>
      <w:tr w:rsidR="00A34F2E" w:rsidRPr="00AE2F09" w14:paraId="23D5CD5E" w14:textId="77777777" w:rsidTr="000A60A7">
        <w:trPr>
          <w:trHeight w:val="20"/>
          <w:jc w:val="center"/>
        </w:trPr>
        <w:tc>
          <w:tcPr>
            <w:tcW w:w="1602" w:type="pct"/>
            <w:tcBorders>
              <w:top w:val="nil"/>
              <w:bottom w:val="nil"/>
            </w:tcBorders>
            <w:vAlign w:val="center"/>
          </w:tcPr>
          <w:p w14:paraId="79D60F86"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Mean (SD) </w:t>
            </w:r>
          </w:p>
        </w:tc>
        <w:tc>
          <w:tcPr>
            <w:tcW w:w="1743" w:type="pct"/>
            <w:tcBorders>
              <w:top w:val="nil"/>
              <w:bottom w:val="nil"/>
            </w:tcBorders>
            <w:vAlign w:val="center"/>
          </w:tcPr>
          <w:p w14:paraId="241E7334"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335.5 (456.25)</w:t>
            </w:r>
          </w:p>
        </w:tc>
        <w:tc>
          <w:tcPr>
            <w:tcW w:w="1655" w:type="pct"/>
            <w:tcBorders>
              <w:top w:val="nil"/>
              <w:bottom w:val="nil"/>
            </w:tcBorders>
            <w:vAlign w:val="center"/>
          </w:tcPr>
          <w:p w14:paraId="3F365E8B"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349.0 (436.44)</w:t>
            </w:r>
          </w:p>
        </w:tc>
      </w:tr>
      <w:tr w:rsidR="00A34F2E" w:rsidRPr="00AE2F09" w14:paraId="47A70598" w14:textId="77777777" w:rsidTr="000A60A7">
        <w:trPr>
          <w:trHeight w:val="20"/>
          <w:jc w:val="center"/>
        </w:trPr>
        <w:tc>
          <w:tcPr>
            <w:tcW w:w="1602" w:type="pct"/>
            <w:tcBorders>
              <w:top w:val="nil"/>
              <w:bottom w:val="single" w:sz="4" w:space="0" w:color="auto"/>
            </w:tcBorders>
            <w:vAlign w:val="center"/>
          </w:tcPr>
          <w:p w14:paraId="5C3464F1"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Median (min, max)</w:t>
            </w:r>
          </w:p>
        </w:tc>
        <w:tc>
          <w:tcPr>
            <w:tcW w:w="1743" w:type="pct"/>
            <w:tcBorders>
              <w:top w:val="nil"/>
              <w:bottom w:val="single" w:sz="4" w:space="0" w:color="auto"/>
            </w:tcBorders>
            <w:vAlign w:val="center"/>
          </w:tcPr>
          <w:p w14:paraId="61114A90"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120.0 (0, 1640)</w:t>
            </w:r>
          </w:p>
        </w:tc>
        <w:tc>
          <w:tcPr>
            <w:tcW w:w="1655" w:type="pct"/>
            <w:tcBorders>
              <w:top w:val="nil"/>
              <w:bottom w:val="single" w:sz="4" w:space="0" w:color="auto"/>
            </w:tcBorders>
            <w:vAlign w:val="center"/>
          </w:tcPr>
          <w:p w14:paraId="6F666E6C"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165.0 (0, 1374)</w:t>
            </w:r>
          </w:p>
        </w:tc>
      </w:tr>
      <w:tr w:rsidR="00A34F2E" w:rsidRPr="00AE2F09" w14:paraId="0A649606" w14:textId="77777777" w:rsidTr="000A60A7">
        <w:trPr>
          <w:trHeight w:val="20"/>
          <w:jc w:val="center"/>
        </w:trPr>
        <w:tc>
          <w:tcPr>
            <w:tcW w:w="5000" w:type="pct"/>
            <w:gridSpan w:val="3"/>
            <w:tcBorders>
              <w:top w:val="single" w:sz="4" w:space="0" w:color="auto"/>
              <w:bottom w:val="single" w:sz="4" w:space="0" w:color="auto"/>
            </w:tcBorders>
            <w:shd w:val="clear" w:color="auto" w:fill="auto"/>
            <w:vAlign w:val="center"/>
          </w:tcPr>
          <w:p w14:paraId="6D8E6278" w14:textId="77777777" w:rsidR="00774AF7" w:rsidRPr="00AE2F09" w:rsidRDefault="00774AF7" w:rsidP="00A34F2E">
            <w:pPr>
              <w:keepNext/>
              <w:keepLines/>
              <w:jc w:val="left"/>
              <w:rPr>
                <w:rFonts w:ascii="Arial Narrow" w:hAnsi="Arial Narrow" w:cs="Times New Roman"/>
                <w:b/>
                <w:bCs/>
                <w:snapToGrid w:val="0"/>
                <w:sz w:val="20"/>
                <w:lang w:val="en-AU" w:eastAsia="en-AU"/>
              </w:rPr>
            </w:pPr>
            <w:r w:rsidRPr="00AE2F09">
              <w:rPr>
                <w:rFonts w:ascii="Arial Narrow" w:hAnsi="Arial Narrow" w:cs="Times New Roman"/>
                <w:b/>
                <w:bCs/>
                <w:snapToGrid w:val="0"/>
                <w:sz w:val="20"/>
                <w:lang w:val="en-AU" w:eastAsia="en-AU"/>
              </w:rPr>
              <w:t>36 months</w:t>
            </w:r>
          </w:p>
        </w:tc>
      </w:tr>
      <w:tr w:rsidR="00A34F2E" w:rsidRPr="00AE2F09" w14:paraId="6EB2D4C1" w14:textId="77777777" w:rsidTr="000A60A7">
        <w:trPr>
          <w:trHeight w:val="20"/>
          <w:jc w:val="center"/>
        </w:trPr>
        <w:tc>
          <w:tcPr>
            <w:tcW w:w="1602" w:type="pct"/>
            <w:tcBorders>
              <w:top w:val="single" w:sz="4" w:space="0" w:color="auto"/>
              <w:bottom w:val="nil"/>
            </w:tcBorders>
            <w:vAlign w:val="center"/>
          </w:tcPr>
          <w:p w14:paraId="4FDC248B"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n </w:t>
            </w:r>
          </w:p>
        </w:tc>
        <w:tc>
          <w:tcPr>
            <w:tcW w:w="1743" w:type="pct"/>
            <w:tcBorders>
              <w:top w:val="single" w:sz="4" w:space="0" w:color="auto"/>
              <w:bottom w:val="nil"/>
            </w:tcBorders>
            <w:vAlign w:val="center"/>
          </w:tcPr>
          <w:p w14:paraId="4B72C375"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24</w:t>
            </w:r>
          </w:p>
        </w:tc>
        <w:tc>
          <w:tcPr>
            <w:tcW w:w="1655" w:type="pct"/>
            <w:tcBorders>
              <w:top w:val="single" w:sz="4" w:space="0" w:color="auto"/>
              <w:bottom w:val="nil"/>
            </w:tcBorders>
            <w:vAlign w:val="center"/>
          </w:tcPr>
          <w:p w14:paraId="0CC14CFA"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8</w:t>
            </w:r>
          </w:p>
        </w:tc>
      </w:tr>
      <w:tr w:rsidR="00A34F2E" w:rsidRPr="00AE2F09" w14:paraId="6B198ED9" w14:textId="77777777" w:rsidTr="000A60A7">
        <w:trPr>
          <w:trHeight w:val="20"/>
          <w:jc w:val="center"/>
        </w:trPr>
        <w:tc>
          <w:tcPr>
            <w:tcW w:w="1602" w:type="pct"/>
            <w:tcBorders>
              <w:top w:val="nil"/>
              <w:bottom w:val="nil"/>
            </w:tcBorders>
            <w:vAlign w:val="center"/>
          </w:tcPr>
          <w:p w14:paraId="5D98EA52"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 xml:space="preserve">Mean (SD) </w:t>
            </w:r>
          </w:p>
        </w:tc>
        <w:tc>
          <w:tcPr>
            <w:tcW w:w="1743" w:type="pct"/>
            <w:tcBorders>
              <w:top w:val="nil"/>
              <w:bottom w:val="nil"/>
            </w:tcBorders>
            <w:vAlign w:val="center"/>
          </w:tcPr>
          <w:p w14:paraId="4E622F85"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335.6 (458.4)</w:t>
            </w:r>
          </w:p>
        </w:tc>
        <w:tc>
          <w:tcPr>
            <w:tcW w:w="1655" w:type="pct"/>
            <w:tcBorders>
              <w:top w:val="nil"/>
              <w:bottom w:val="nil"/>
            </w:tcBorders>
            <w:vAlign w:val="center"/>
          </w:tcPr>
          <w:p w14:paraId="27C5D217"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294.4 (315.6)</w:t>
            </w:r>
          </w:p>
        </w:tc>
      </w:tr>
      <w:tr w:rsidR="00A34F2E" w:rsidRPr="00AE2F09" w14:paraId="6153995B" w14:textId="77777777" w:rsidTr="000A60A7">
        <w:trPr>
          <w:trHeight w:val="20"/>
          <w:jc w:val="center"/>
        </w:trPr>
        <w:tc>
          <w:tcPr>
            <w:tcW w:w="1602" w:type="pct"/>
            <w:tcBorders>
              <w:top w:val="nil"/>
              <w:bottom w:val="single" w:sz="4" w:space="0" w:color="auto"/>
            </w:tcBorders>
            <w:vAlign w:val="center"/>
          </w:tcPr>
          <w:p w14:paraId="4E8A1A82" w14:textId="77777777" w:rsidR="00774AF7" w:rsidRPr="00AE2F09" w:rsidRDefault="00774AF7" w:rsidP="00A34F2E">
            <w:pPr>
              <w:keepNext/>
              <w:keepLines/>
              <w:jc w:val="left"/>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Median</w:t>
            </w:r>
          </w:p>
        </w:tc>
        <w:tc>
          <w:tcPr>
            <w:tcW w:w="1743" w:type="pct"/>
            <w:tcBorders>
              <w:top w:val="nil"/>
              <w:bottom w:val="single" w:sz="4" w:space="0" w:color="auto"/>
            </w:tcBorders>
            <w:vAlign w:val="center"/>
          </w:tcPr>
          <w:p w14:paraId="2327DAD9"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54.5 (0, 1647)</w:t>
            </w:r>
          </w:p>
        </w:tc>
        <w:tc>
          <w:tcPr>
            <w:tcW w:w="1655" w:type="pct"/>
            <w:tcBorders>
              <w:top w:val="nil"/>
              <w:bottom w:val="single" w:sz="4" w:space="0" w:color="auto"/>
            </w:tcBorders>
            <w:vAlign w:val="center"/>
          </w:tcPr>
          <w:p w14:paraId="4B0386B5" w14:textId="77777777" w:rsidR="00774AF7" w:rsidRPr="00AE2F09" w:rsidRDefault="00774AF7" w:rsidP="00A34F2E">
            <w:pPr>
              <w:keepNext/>
              <w:keepLines/>
              <w:jc w:val="center"/>
              <w:rPr>
                <w:rFonts w:ascii="Arial Narrow" w:hAnsi="Arial Narrow" w:cs="Times New Roman"/>
                <w:snapToGrid w:val="0"/>
                <w:sz w:val="20"/>
                <w:lang w:val="en-AU" w:eastAsia="en-AU"/>
              </w:rPr>
            </w:pPr>
            <w:r w:rsidRPr="00AE2F09">
              <w:rPr>
                <w:rFonts w:ascii="Arial Narrow" w:hAnsi="Arial Narrow" w:cs="Times New Roman"/>
                <w:snapToGrid w:val="0"/>
                <w:sz w:val="20"/>
                <w:lang w:val="en-AU" w:eastAsia="en-AU"/>
              </w:rPr>
              <w:t>173.0 (32, 983)</w:t>
            </w:r>
          </w:p>
        </w:tc>
      </w:tr>
    </w:tbl>
    <w:p w14:paraId="5F2F1C76" w14:textId="77777777" w:rsidR="00774AF7" w:rsidRPr="00AE2F09" w:rsidRDefault="00774AF7" w:rsidP="00A34F2E">
      <w:pPr>
        <w:keepNext/>
        <w:keepLines/>
        <w:rPr>
          <w:rFonts w:ascii="Arial Narrow" w:hAnsi="Arial Narrow"/>
          <w:sz w:val="18"/>
        </w:rPr>
      </w:pPr>
      <w:r w:rsidRPr="00AE2F09">
        <w:rPr>
          <w:rFonts w:ascii="Arial Narrow" w:hAnsi="Arial Narrow"/>
          <w:sz w:val="18"/>
        </w:rPr>
        <w:t>Source: Table 2.6-1 (p136) of the submission</w:t>
      </w:r>
    </w:p>
    <w:p w14:paraId="2D63C3FE" w14:textId="64149249" w:rsidR="00774AF7" w:rsidRPr="00AE2F09" w:rsidRDefault="00774AF7" w:rsidP="00A34F2E">
      <w:pPr>
        <w:keepNext/>
        <w:keepLines/>
        <w:rPr>
          <w:rFonts w:ascii="Arial Narrow" w:hAnsi="Arial Narrow"/>
          <w:sz w:val="18"/>
        </w:rPr>
      </w:pPr>
      <w:r w:rsidRPr="00AE2F09">
        <w:rPr>
          <w:rFonts w:ascii="Arial Narrow" w:hAnsi="Arial Narrow"/>
          <w:sz w:val="18"/>
        </w:rPr>
        <w:t xml:space="preserve">^ defined as patient who had &gt;4 week consecutive sapropterin treatment within 6 months of screening visit and had exhibited a </w:t>
      </w:r>
      <w:r w:rsidR="002A156D" w:rsidRPr="00AE2F09">
        <w:rPr>
          <w:rFonts w:ascii="Arial Narrow" w:hAnsi="Arial Narrow"/>
          <w:sz w:val="18"/>
        </w:rPr>
        <w:t>clinically significant</w:t>
      </w:r>
      <w:r w:rsidRPr="00AE2F09">
        <w:rPr>
          <w:rFonts w:ascii="Arial Narrow" w:hAnsi="Arial Narrow"/>
          <w:sz w:val="18"/>
        </w:rPr>
        <w:t xml:space="preserve"> decrease in blood Phe levels per investigator determination</w:t>
      </w:r>
    </w:p>
    <w:p w14:paraId="6762BB0B" w14:textId="77777777" w:rsidR="00774AF7" w:rsidRPr="00AE2F09" w:rsidRDefault="00774AF7" w:rsidP="00A34F2E">
      <w:pPr>
        <w:keepNext/>
        <w:keepLines/>
        <w:rPr>
          <w:rFonts w:ascii="Arial Narrow" w:hAnsi="Arial Narrow"/>
          <w:sz w:val="18"/>
        </w:rPr>
      </w:pPr>
      <w:r w:rsidRPr="00AE2F09">
        <w:rPr>
          <w:rFonts w:ascii="Arial Narrow" w:hAnsi="Arial Narrow"/>
          <w:sz w:val="18"/>
        </w:rPr>
        <w:t>SD = standard deviation</w:t>
      </w:r>
    </w:p>
    <w:p w14:paraId="51AE71AE" w14:textId="77777777" w:rsidR="00774AF7" w:rsidRPr="00AE2F09" w:rsidRDefault="00774AF7" w:rsidP="00774AF7">
      <w:pPr>
        <w:pStyle w:val="3-BodyText"/>
        <w:numPr>
          <w:ilvl w:val="0"/>
          <w:numId w:val="0"/>
        </w:numPr>
        <w:ind w:left="720"/>
      </w:pPr>
    </w:p>
    <w:p w14:paraId="2C4C1480" w14:textId="106DC989" w:rsidR="00774AF7" w:rsidRPr="00AE2F09" w:rsidRDefault="00774AF7" w:rsidP="00774AF7">
      <w:pPr>
        <w:pStyle w:val="3-BodyText"/>
      </w:pPr>
      <w:bookmarkStart w:id="54" w:name="_Ref110244556"/>
      <w:r w:rsidRPr="00AE2F09">
        <w:t xml:space="preserve">The submission considered the results of the subgroup analysis demonstrates a similar treatment effect of pegvaliase in sapropterin responders and non-responders which therefore justifies the use of the ITT population to indicate efficacy in the sapropterin non-responder population. The </w:t>
      </w:r>
      <w:r w:rsidR="00E44E3F">
        <w:t xml:space="preserve">evaluation </w:t>
      </w:r>
      <w:r w:rsidR="00E44E3F" w:rsidRPr="000764C2">
        <w:t xml:space="preserve">and the ESC considered that the </w:t>
      </w:r>
      <w:r w:rsidRPr="000764C2">
        <w:t xml:space="preserve">results of this analysis </w:t>
      </w:r>
      <w:r w:rsidR="00E44E3F" w:rsidRPr="000764C2">
        <w:t>were</w:t>
      </w:r>
      <w:r w:rsidRPr="000764C2">
        <w:t xml:space="preserve"> highly uncertain as no statistical tests</w:t>
      </w:r>
      <w:r w:rsidRPr="00AE2F09">
        <w:t xml:space="preserve"> </w:t>
      </w:r>
      <w:r w:rsidR="00957228" w:rsidRPr="00AE2F09">
        <w:t xml:space="preserve">were </w:t>
      </w:r>
      <w:r w:rsidRPr="00AE2F09">
        <w:t>conducted to support the claim of no difference, there were very small sample sizes at later time points and the SDs around the means at baseline are wide.</w:t>
      </w:r>
      <w:r w:rsidR="00E50931" w:rsidRPr="00AE2F09">
        <w:t xml:space="preserve"> However, assuming the submission’s </w:t>
      </w:r>
      <w:r w:rsidR="00CB7466" w:rsidRPr="00AE2F09">
        <w:t xml:space="preserve">analysis </w:t>
      </w:r>
      <w:r w:rsidR="00E50931" w:rsidRPr="00AE2F09">
        <w:t xml:space="preserve">was accurate, then </w:t>
      </w:r>
      <w:r w:rsidR="00192A1A" w:rsidRPr="00AE2F09">
        <w:t xml:space="preserve">it may be inequitable </w:t>
      </w:r>
      <w:r w:rsidR="00E50931" w:rsidRPr="00AE2F09">
        <w:t xml:space="preserve">to restrict pegvaliase to </w:t>
      </w:r>
      <w:r w:rsidR="001E1B54">
        <w:t>sapropterin non-responders</w:t>
      </w:r>
      <w:r w:rsidR="00044DFA" w:rsidRPr="00AE2F09">
        <w:t>.</w:t>
      </w:r>
      <w:r w:rsidR="00192A1A" w:rsidRPr="00AE2F09">
        <w:t xml:space="preserve"> </w:t>
      </w:r>
      <w:r w:rsidR="002D6B64">
        <w:t>The PBAC considered that if there is a similar treatment effect of pegvaliase in responders and non-responders</w:t>
      </w:r>
      <w:r w:rsidR="00814A39">
        <w:t>,</w:t>
      </w:r>
      <w:r w:rsidR="002D6B64">
        <w:t xml:space="preserve"> restricting pegvaliase to sapropterin non-responders does not identify a group more likely to respond to treatment and therefore </w:t>
      </w:r>
      <w:r w:rsidR="00814A39">
        <w:t>the approach is not clinically justified.</w:t>
      </w:r>
      <w:bookmarkEnd w:id="54"/>
      <w:r w:rsidR="00814A39">
        <w:t xml:space="preserve"> </w:t>
      </w:r>
    </w:p>
    <w:p w14:paraId="62BDAE46" w14:textId="293B15F7" w:rsidR="00975BF7" w:rsidRPr="00975BF7" w:rsidRDefault="00975BF7" w:rsidP="00BB4AF9">
      <w:pPr>
        <w:pStyle w:val="3-BodyText"/>
        <w:numPr>
          <w:ilvl w:val="0"/>
          <w:numId w:val="0"/>
        </w:numPr>
        <w:outlineLvl w:val="2"/>
        <w:rPr>
          <w:b/>
          <w:bCs/>
          <w:i/>
          <w:iCs/>
        </w:rPr>
      </w:pPr>
      <w:bookmarkStart w:id="55" w:name="_Toc22897642"/>
      <w:r w:rsidRPr="00975BF7">
        <w:rPr>
          <w:b/>
          <w:bCs/>
          <w:i/>
          <w:iCs/>
        </w:rPr>
        <w:t xml:space="preserve">Literature review: </w:t>
      </w:r>
      <w:r>
        <w:rPr>
          <w:b/>
          <w:bCs/>
          <w:i/>
          <w:iCs/>
        </w:rPr>
        <w:t xml:space="preserve">relationship between </w:t>
      </w:r>
      <w:r w:rsidRPr="00975BF7">
        <w:rPr>
          <w:b/>
          <w:bCs/>
          <w:i/>
          <w:iCs/>
        </w:rPr>
        <w:t>blood-Phe and neuropsychiatric symptoms in adults</w:t>
      </w:r>
    </w:p>
    <w:p w14:paraId="64671F18" w14:textId="2CBDB352" w:rsidR="00417572" w:rsidRPr="00975BF7" w:rsidRDefault="00417572" w:rsidP="002838B7">
      <w:pPr>
        <w:pStyle w:val="3-BodyText"/>
        <w:rPr>
          <w:rFonts w:cstheme="minorHAnsi"/>
        </w:rPr>
      </w:pPr>
      <w:r w:rsidRPr="00AE2F09">
        <w:t xml:space="preserve">Based on a literature review (presented as an appendix), the submission claimed that a lower blood-Phe was correlated with fewer neuropsychiatric symptoms in adults. </w:t>
      </w:r>
      <w:r w:rsidRPr="00975BF7">
        <w:rPr>
          <w:rFonts w:cstheme="minorHAnsi"/>
        </w:rPr>
        <w:t xml:space="preserve">Overall, while it was biologically plausible that a lower blood-Phe was correlated with fewer neuropsychiatric symptoms in adults, the </w:t>
      </w:r>
      <w:bookmarkStart w:id="56" w:name="_Hlk106028185"/>
      <w:r w:rsidR="00975BF7">
        <w:rPr>
          <w:rFonts w:cstheme="minorHAnsi"/>
        </w:rPr>
        <w:t xml:space="preserve">evaluation </w:t>
      </w:r>
      <w:r w:rsidR="00975BF7" w:rsidRPr="00814A39">
        <w:rPr>
          <w:rFonts w:cstheme="minorHAnsi"/>
        </w:rPr>
        <w:t>and the ESC</w:t>
      </w:r>
      <w:r w:rsidR="00975BF7">
        <w:rPr>
          <w:rFonts w:cstheme="minorHAnsi"/>
        </w:rPr>
        <w:t xml:space="preserve"> considered that the </w:t>
      </w:r>
      <w:bookmarkEnd w:id="56"/>
      <w:r w:rsidRPr="00975BF7">
        <w:rPr>
          <w:rFonts w:cstheme="minorHAnsi"/>
        </w:rPr>
        <w:t>exact correlation was uncertain, and the incremental benefit associated with treatment with sapropterin or pegvaliase was difficult to accurately quantify</w:t>
      </w:r>
      <w:r w:rsidR="005B3766" w:rsidRPr="00975BF7">
        <w:rPr>
          <w:rFonts w:cstheme="minorHAnsi"/>
        </w:rPr>
        <w:t xml:space="preserve">. </w:t>
      </w:r>
      <w:bookmarkStart w:id="57" w:name="_Hlk103756265"/>
      <w:r w:rsidR="005B3766" w:rsidRPr="00975BF7">
        <w:rPr>
          <w:rFonts w:cstheme="minorHAnsi"/>
        </w:rPr>
        <w:t>T</w:t>
      </w:r>
      <w:r w:rsidRPr="00975BF7">
        <w:rPr>
          <w:rFonts w:cstheme="minorHAnsi"/>
        </w:rPr>
        <w:t xml:space="preserve">he published regression models in Bilder 2016 and Burgess 2021 </w:t>
      </w:r>
      <w:r w:rsidR="005B3766" w:rsidRPr="00975BF7">
        <w:rPr>
          <w:rFonts w:cstheme="minorHAnsi"/>
        </w:rPr>
        <w:t xml:space="preserve">did </w:t>
      </w:r>
      <w:r w:rsidRPr="00975BF7">
        <w:rPr>
          <w:rFonts w:cstheme="minorHAnsi"/>
        </w:rPr>
        <w:t>not report any statistically significant correlations between Phe and neuropsychiatric outcomes</w:t>
      </w:r>
      <w:r w:rsidR="005B3766" w:rsidRPr="00975BF7">
        <w:rPr>
          <w:rFonts w:cstheme="minorHAnsi"/>
        </w:rPr>
        <w:t xml:space="preserve">. </w:t>
      </w:r>
      <w:bookmarkEnd w:id="57"/>
      <w:r w:rsidR="005B3766" w:rsidRPr="00975BF7">
        <w:rPr>
          <w:rFonts w:cstheme="minorHAnsi"/>
        </w:rPr>
        <w:t xml:space="preserve">Further, </w:t>
      </w:r>
      <w:r w:rsidRPr="00975BF7">
        <w:rPr>
          <w:rFonts w:cstheme="minorHAnsi"/>
        </w:rPr>
        <w:t>PKU-016 also report</w:t>
      </w:r>
      <w:r w:rsidR="005B3766" w:rsidRPr="00975BF7">
        <w:rPr>
          <w:rFonts w:cstheme="minorHAnsi"/>
        </w:rPr>
        <w:t>ed</w:t>
      </w:r>
      <w:r w:rsidRPr="00975BF7">
        <w:rPr>
          <w:rFonts w:cstheme="minorHAnsi"/>
        </w:rPr>
        <w:t xml:space="preserve"> no statistically significant differences between adults with PKU treated with sapropterin or placebo in ADHD-RS and BRIEF scores. </w:t>
      </w:r>
    </w:p>
    <w:p w14:paraId="77E344B1" w14:textId="08F711DB" w:rsidR="00BB4AF9" w:rsidRPr="002E2044" w:rsidRDefault="009E4BCF" w:rsidP="002E2044">
      <w:pPr>
        <w:pStyle w:val="3-BodyText"/>
      </w:pPr>
      <w:bookmarkStart w:id="58" w:name="_Ref103053220"/>
      <w:bookmarkStart w:id="59" w:name="_Ref103484627"/>
      <w:r w:rsidRPr="004D4410">
        <w:rPr>
          <w:rFonts w:cstheme="minorHAnsi"/>
        </w:rPr>
        <w:t xml:space="preserve">The submission also claimed that a relationship between increases in Phe tolerance and increased quality of life was supported by the time burden studies and HRQoL evidence. This was plausible and reasonable and was captured in the time trade off (TTO) study used in the economic model (see </w:t>
      </w:r>
      <w:r w:rsidRPr="004D4410">
        <w:rPr>
          <w:rFonts w:cstheme="minorHAnsi"/>
        </w:rPr>
        <w:fldChar w:fldCharType="begin"/>
      </w:r>
      <w:r w:rsidRPr="004D4410">
        <w:rPr>
          <w:rFonts w:cstheme="minorHAnsi"/>
        </w:rPr>
        <w:instrText xml:space="preserve"> REF _Ref103053508 \h  \* MERGEFORMAT </w:instrText>
      </w:r>
      <w:r w:rsidRPr="004D4410">
        <w:rPr>
          <w:rFonts w:cstheme="minorHAnsi"/>
        </w:rPr>
      </w:r>
      <w:r w:rsidRPr="004D4410">
        <w:rPr>
          <w:rFonts w:cstheme="minorHAnsi"/>
        </w:rPr>
        <w:fldChar w:fldCharType="separate"/>
      </w:r>
      <w:r w:rsidR="001162C8" w:rsidRPr="001162C8">
        <w:rPr>
          <w:rFonts w:cstheme="minorHAnsi"/>
        </w:rPr>
        <w:t>Table 14</w:t>
      </w:r>
      <w:r w:rsidRPr="004D4410">
        <w:rPr>
          <w:rFonts w:cstheme="minorHAnsi"/>
        </w:rPr>
        <w:fldChar w:fldCharType="end"/>
      </w:r>
      <w:r w:rsidRPr="004D4410">
        <w:rPr>
          <w:rFonts w:cstheme="minorHAnsi"/>
        </w:rPr>
        <w:t xml:space="preserve"> below). However</w:t>
      </w:r>
      <w:r w:rsidR="006A579A" w:rsidRPr="004D4410">
        <w:rPr>
          <w:rFonts w:cstheme="minorHAnsi"/>
        </w:rPr>
        <w:t>,</w:t>
      </w:r>
      <w:r w:rsidRPr="004D4410">
        <w:rPr>
          <w:rFonts w:cstheme="minorHAnsi"/>
        </w:rPr>
        <w:t xml:space="preserve"> differences in dietary Phe </w:t>
      </w:r>
      <w:r w:rsidR="00F26429" w:rsidRPr="004D4410">
        <w:rPr>
          <w:rFonts w:cstheme="minorHAnsi"/>
        </w:rPr>
        <w:t xml:space="preserve">were </w:t>
      </w:r>
      <w:r w:rsidRPr="004D4410">
        <w:rPr>
          <w:rFonts w:cstheme="minorHAnsi"/>
        </w:rPr>
        <w:t>not considered in the clinical claim or economic model.</w:t>
      </w:r>
      <w:bookmarkEnd w:id="58"/>
      <w:r w:rsidR="00551FF0" w:rsidRPr="004D4410">
        <w:rPr>
          <w:rFonts w:cstheme="minorHAnsi"/>
        </w:rPr>
        <w:t xml:space="preserve"> </w:t>
      </w:r>
      <w:bookmarkStart w:id="60" w:name="_Hlk103756342"/>
      <w:r w:rsidR="00551FF0" w:rsidRPr="004D4410">
        <w:rPr>
          <w:rFonts w:cstheme="minorHAnsi"/>
        </w:rPr>
        <w:t>In reality, it is likely som</w:t>
      </w:r>
      <w:r w:rsidR="005C79C7" w:rsidRPr="004D4410">
        <w:rPr>
          <w:rFonts w:cstheme="minorHAnsi"/>
        </w:rPr>
        <w:t xml:space="preserve">e </w:t>
      </w:r>
      <w:r w:rsidR="006A579A" w:rsidRPr="004D4410">
        <w:rPr>
          <w:rFonts w:cstheme="minorHAnsi"/>
        </w:rPr>
        <w:t xml:space="preserve">adult </w:t>
      </w:r>
      <w:r w:rsidR="005C79C7" w:rsidRPr="004D4410">
        <w:rPr>
          <w:rFonts w:cstheme="minorHAnsi"/>
        </w:rPr>
        <w:t xml:space="preserve">patients who </w:t>
      </w:r>
      <w:r w:rsidR="00696670" w:rsidRPr="004D4410">
        <w:rPr>
          <w:rFonts w:cstheme="minorHAnsi"/>
        </w:rPr>
        <w:t>achieve</w:t>
      </w:r>
      <w:r w:rsidR="005C79C7" w:rsidRPr="004D4410">
        <w:rPr>
          <w:rFonts w:cstheme="minorHAnsi"/>
        </w:rPr>
        <w:t xml:space="preserve"> a response to pegvaliase would </w:t>
      </w:r>
      <w:r w:rsidR="00417ED9" w:rsidRPr="004D4410">
        <w:rPr>
          <w:rFonts w:cstheme="minorHAnsi"/>
        </w:rPr>
        <w:t xml:space="preserve">choose to trade-off </w:t>
      </w:r>
      <w:r w:rsidR="00924929" w:rsidRPr="004D4410">
        <w:rPr>
          <w:rFonts w:cstheme="minorHAnsi"/>
        </w:rPr>
        <w:t xml:space="preserve">some of the blood-Phe lowering effects with pegvaliase by relaxing </w:t>
      </w:r>
      <w:r w:rsidR="005C79C7" w:rsidRPr="004D4410">
        <w:rPr>
          <w:rFonts w:cstheme="minorHAnsi"/>
        </w:rPr>
        <w:t>their Phe-restricted diet</w:t>
      </w:r>
      <w:r w:rsidR="005C79C7" w:rsidRPr="000764C2">
        <w:rPr>
          <w:rFonts w:cstheme="minorHAnsi"/>
        </w:rPr>
        <w:t xml:space="preserve">. </w:t>
      </w:r>
      <w:r w:rsidR="004D4410" w:rsidRPr="000764C2">
        <w:rPr>
          <w:rFonts w:cstheme="minorHAnsi"/>
        </w:rPr>
        <w:t>For example, in the PRISM studies, patients treated with pegvaliase 20mg/day had minor increases in daily protein intake and daily Phe intake over time, whereas those treated with pegvaliase 40mg/day had larger increases in daily protein and Phe intake over time.</w:t>
      </w:r>
      <w:r w:rsidR="004D4410" w:rsidRPr="000764C2">
        <w:rPr>
          <w:rFonts w:cstheme="minorHAnsi"/>
          <w:i/>
          <w:iCs/>
        </w:rPr>
        <w:t xml:space="preserve"> </w:t>
      </w:r>
      <w:r w:rsidR="00924929" w:rsidRPr="004D4410">
        <w:rPr>
          <w:rFonts w:cstheme="minorHAnsi"/>
        </w:rPr>
        <w:t>However</w:t>
      </w:r>
      <w:r w:rsidR="006A579A" w:rsidRPr="004D4410">
        <w:rPr>
          <w:rFonts w:cstheme="minorHAnsi"/>
        </w:rPr>
        <w:t>,</w:t>
      </w:r>
      <w:r w:rsidR="004D4410" w:rsidRPr="004D4410">
        <w:rPr>
          <w:rFonts w:cstheme="minorHAnsi"/>
        </w:rPr>
        <w:t xml:space="preserve"> overall</w:t>
      </w:r>
      <w:r w:rsidR="004D4410">
        <w:rPr>
          <w:rFonts w:cstheme="minorHAnsi"/>
        </w:rPr>
        <w:t>,</w:t>
      </w:r>
      <w:r w:rsidR="00924929" w:rsidRPr="004D4410">
        <w:rPr>
          <w:rFonts w:cstheme="minorHAnsi"/>
        </w:rPr>
        <w:t xml:space="preserve"> the </w:t>
      </w:r>
      <w:r w:rsidR="005B1C3A" w:rsidRPr="004D4410">
        <w:rPr>
          <w:rFonts w:cstheme="minorHAnsi"/>
        </w:rPr>
        <w:t xml:space="preserve">extent of this could not be elicited from the available data. </w:t>
      </w:r>
      <w:r w:rsidR="00471CBF" w:rsidRPr="004D4410">
        <w:rPr>
          <w:rFonts w:cstheme="minorHAnsi"/>
        </w:rPr>
        <w:t xml:space="preserve">For reference, the </w:t>
      </w:r>
      <w:r w:rsidR="006B795D" w:rsidRPr="004D4410">
        <w:rPr>
          <w:rFonts w:cstheme="minorHAnsi"/>
        </w:rPr>
        <w:t xml:space="preserve">TTO study </w:t>
      </w:r>
      <w:r w:rsidR="00574127" w:rsidRPr="004D4410">
        <w:rPr>
          <w:rFonts w:cstheme="minorHAnsi"/>
        </w:rPr>
        <w:t xml:space="preserve">conducted by the sponsor </w:t>
      </w:r>
      <w:r w:rsidR="006B795D" w:rsidRPr="004D4410">
        <w:rPr>
          <w:rFonts w:cstheme="minorHAnsi"/>
        </w:rPr>
        <w:t xml:space="preserve">estimated the </w:t>
      </w:r>
      <w:r w:rsidR="00A77144" w:rsidRPr="004D4410">
        <w:rPr>
          <w:rFonts w:cstheme="minorHAnsi"/>
        </w:rPr>
        <w:t>disutilit</w:t>
      </w:r>
      <w:r w:rsidR="00707257">
        <w:rPr>
          <w:rFonts w:cstheme="minorHAnsi"/>
        </w:rPr>
        <w:t xml:space="preserve">y </w:t>
      </w:r>
      <w:r w:rsidR="00A77144" w:rsidRPr="004D4410">
        <w:rPr>
          <w:rFonts w:cstheme="minorHAnsi"/>
        </w:rPr>
        <w:t xml:space="preserve">associated </w:t>
      </w:r>
      <w:r w:rsidR="00707257">
        <w:rPr>
          <w:rFonts w:cstheme="minorHAnsi"/>
        </w:rPr>
        <w:t xml:space="preserve">with: a </w:t>
      </w:r>
      <w:r w:rsidR="00A77144" w:rsidRPr="004D4410">
        <w:rPr>
          <w:rFonts w:cstheme="minorHAnsi"/>
        </w:rPr>
        <w:t xml:space="preserve">restricted diet </w:t>
      </w:r>
      <w:r w:rsidR="00114A20" w:rsidRPr="004D4410">
        <w:rPr>
          <w:rFonts w:cstheme="minorHAnsi"/>
        </w:rPr>
        <w:t xml:space="preserve">with medical food </w:t>
      </w:r>
      <w:r w:rsidR="00707257" w:rsidRPr="004D4410">
        <w:rPr>
          <w:rFonts w:cstheme="minorHAnsi"/>
        </w:rPr>
        <w:t>to be 0.173</w:t>
      </w:r>
      <w:r w:rsidR="00707257">
        <w:rPr>
          <w:rFonts w:cstheme="minorHAnsi"/>
        </w:rPr>
        <w:t>;</w:t>
      </w:r>
      <w:r w:rsidR="00707257" w:rsidRPr="004D4410">
        <w:rPr>
          <w:rFonts w:cstheme="minorHAnsi"/>
        </w:rPr>
        <w:t xml:space="preserve"> </w:t>
      </w:r>
      <w:r w:rsidR="00AC76AE" w:rsidRPr="004D4410">
        <w:rPr>
          <w:rFonts w:cstheme="minorHAnsi"/>
        </w:rPr>
        <w:t>and</w:t>
      </w:r>
      <w:r w:rsidR="00707257">
        <w:rPr>
          <w:rFonts w:cstheme="minorHAnsi"/>
        </w:rPr>
        <w:t xml:space="preserve"> a</w:t>
      </w:r>
      <w:r w:rsidR="00AC76AE" w:rsidRPr="004D4410">
        <w:rPr>
          <w:rFonts w:cstheme="minorHAnsi"/>
        </w:rPr>
        <w:t xml:space="preserve"> </w:t>
      </w:r>
      <w:r w:rsidR="002A156D" w:rsidRPr="004D4410">
        <w:rPr>
          <w:rFonts w:cstheme="minorHAnsi"/>
        </w:rPr>
        <w:t>partly restricted</w:t>
      </w:r>
      <w:r w:rsidR="00AC76AE" w:rsidRPr="004D4410">
        <w:rPr>
          <w:rFonts w:cstheme="minorHAnsi"/>
        </w:rPr>
        <w:t xml:space="preserve"> diet without medical food </w:t>
      </w:r>
      <w:r w:rsidR="00A77144" w:rsidRPr="004D4410">
        <w:rPr>
          <w:rFonts w:cstheme="minorHAnsi"/>
        </w:rPr>
        <w:t xml:space="preserve">to be </w:t>
      </w:r>
      <w:r w:rsidR="00F81A03" w:rsidRPr="004D4410">
        <w:rPr>
          <w:rFonts w:cstheme="minorHAnsi"/>
        </w:rPr>
        <w:t>0.062, assuming no change in PKU symptoms.</w:t>
      </w:r>
      <w:bookmarkEnd w:id="59"/>
      <w:r w:rsidR="00F81A03" w:rsidRPr="004D4410">
        <w:rPr>
          <w:rFonts w:cstheme="minorHAnsi"/>
        </w:rPr>
        <w:t xml:space="preserve"> </w:t>
      </w:r>
      <w:bookmarkStart w:id="61" w:name="_Hlk106028274"/>
      <w:r w:rsidR="00BB4AF9" w:rsidRPr="000764C2">
        <w:rPr>
          <w:rFonts w:cstheme="minorHAnsi"/>
        </w:rPr>
        <w:t>The ESC considered that normalisation of diet may be an important treatment goal</w:t>
      </w:r>
      <w:r w:rsidR="002E2044" w:rsidRPr="000764C2">
        <w:rPr>
          <w:rFonts w:cstheme="minorHAnsi"/>
        </w:rPr>
        <w:t>. However, the ESC also</w:t>
      </w:r>
      <w:bookmarkEnd w:id="61"/>
      <w:r w:rsidR="002E2044" w:rsidRPr="000764C2">
        <w:t xml:space="preserve"> considered that this may result in limited applicability of the clinical trial outcomes for pegvaliase to clinical practice.</w:t>
      </w:r>
      <w:r w:rsidR="002E2044">
        <w:rPr>
          <w:i/>
          <w:iCs/>
        </w:rPr>
        <w:t xml:space="preserve"> </w:t>
      </w:r>
      <w:r w:rsidR="002E2044" w:rsidRPr="00E95DBC">
        <w:rPr>
          <w:i/>
          <w:iCs/>
        </w:rPr>
        <w:t xml:space="preserve"> </w:t>
      </w:r>
    </w:p>
    <w:p w14:paraId="183E9C40" w14:textId="77777777" w:rsidR="00774AF7" w:rsidRPr="00694CC1" w:rsidRDefault="00774AF7" w:rsidP="002F3F00">
      <w:pPr>
        <w:pStyle w:val="4-SubsectionHeading"/>
        <w:rPr>
          <w:iCs/>
        </w:rPr>
      </w:pPr>
      <w:bookmarkStart w:id="62" w:name="_Toc103769999"/>
      <w:bookmarkEnd w:id="60"/>
      <w:r w:rsidRPr="00694CC1">
        <w:rPr>
          <w:iCs/>
        </w:rPr>
        <w:t>Comparative harms</w:t>
      </w:r>
      <w:bookmarkEnd w:id="55"/>
      <w:bookmarkEnd w:id="62"/>
    </w:p>
    <w:p w14:paraId="2EA92D62" w14:textId="41DCECB0" w:rsidR="00774AF7" w:rsidRPr="00AE2F09" w:rsidRDefault="00774AF7" w:rsidP="00974657">
      <w:pPr>
        <w:pStyle w:val="3-BodyText"/>
      </w:pPr>
      <w:r w:rsidRPr="00AE2F09">
        <w:t xml:space="preserve">The safety results for </w:t>
      </w:r>
      <w:r w:rsidR="00974657" w:rsidRPr="00AE2F09">
        <w:t xml:space="preserve">patients treated with </w:t>
      </w:r>
      <w:r w:rsidRPr="00AE2F09">
        <w:t xml:space="preserve">pegvaliase </w:t>
      </w:r>
      <w:r w:rsidR="00974657" w:rsidRPr="00AE2F09">
        <w:t xml:space="preserve">and placebo from </w:t>
      </w:r>
      <w:r w:rsidR="009472B5" w:rsidRPr="00AE2F09">
        <w:t xml:space="preserve">PRISM 2 Part 2 </w:t>
      </w:r>
      <w:r w:rsidRPr="00AE2F09">
        <w:t>are presented below.</w:t>
      </w:r>
    </w:p>
    <w:p w14:paraId="2B3EDA46" w14:textId="4D395BB1" w:rsidR="00774AF7" w:rsidRPr="00AE2F09" w:rsidRDefault="009472B5" w:rsidP="006E1522">
      <w:pPr>
        <w:pStyle w:val="TableFigureHeading"/>
        <w:keepLines/>
        <w:rPr>
          <w:rStyle w:val="CommentReference"/>
          <w:b/>
          <w:bCs w:val="0"/>
          <w:szCs w:val="24"/>
        </w:rPr>
      </w:pPr>
      <w:bookmarkStart w:id="63" w:name="_Ref109987916"/>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11</w:t>
      </w:r>
      <w:r w:rsidRPr="00AE2F09">
        <w:rPr>
          <w:rStyle w:val="CommentReference"/>
          <w:b/>
          <w:bCs w:val="0"/>
          <w:szCs w:val="24"/>
        </w:rPr>
        <w:fldChar w:fldCharType="end"/>
      </w:r>
      <w:bookmarkEnd w:id="63"/>
      <w:r w:rsidR="00774AF7" w:rsidRPr="00AE2F09">
        <w:rPr>
          <w:rStyle w:val="CommentReference"/>
          <w:b/>
          <w:bCs w:val="0"/>
          <w:szCs w:val="24"/>
        </w:rPr>
        <w:t>: Summary of AEs in PRISM 2 Part 2</w:t>
      </w:r>
    </w:p>
    <w:tbl>
      <w:tblPr>
        <w:tblStyle w:val="TableGrid"/>
        <w:tblW w:w="5000" w:type="pct"/>
        <w:tblLook w:val="04A0" w:firstRow="1" w:lastRow="0" w:firstColumn="1" w:lastColumn="0" w:noHBand="0" w:noVBand="1"/>
      </w:tblPr>
      <w:tblGrid>
        <w:gridCol w:w="3403"/>
        <w:gridCol w:w="1872"/>
        <w:gridCol w:w="1872"/>
        <w:gridCol w:w="1870"/>
      </w:tblGrid>
      <w:tr w:rsidR="006E1522" w:rsidRPr="00AE2F09" w14:paraId="653935C5" w14:textId="77777777" w:rsidTr="00FD7CD0">
        <w:trPr>
          <w:trHeight w:val="227"/>
        </w:trPr>
        <w:tc>
          <w:tcPr>
            <w:tcW w:w="1887" w:type="pct"/>
            <w:vMerge w:val="restart"/>
            <w:shd w:val="clear" w:color="auto" w:fill="auto"/>
            <w:vAlign w:val="center"/>
          </w:tcPr>
          <w:p w14:paraId="2931753F" w14:textId="77777777" w:rsidR="006E1522" w:rsidRPr="00AE2F09" w:rsidRDefault="006E1522" w:rsidP="006E1522">
            <w:pPr>
              <w:keepNext/>
              <w:keepLines/>
              <w:jc w:val="center"/>
              <w:rPr>
                <w:rFonts w:ascii="Arial Narrow" w:hAnsi="Arial Narrow" w:cs="Times New Roman"/>
                <w:b/>
                <w:bCs/>
                <w:snapToGrid w:val="0"/>
                <w:sz w:val="20"/>
              </w:rPr>
            </w:pPr>
            <w:r w:rsidRPr="00AE2F09">
              <w:rPr>
                <w:rFonts w:ascii="Arial Narrow" w:hAnsi="Arial Narrow" w:cs="Times New Roman"/>
                <w:b/>
                <w:bCs/>
                <w:snapToGrid w:val="0"/>
                <w:sz w:val="20"/>
              </w:rPr>
              <w:t>Adverse event type, n (%)</w:t>
            </w:r>
          </w:p>
        </w:tc>
        <w:tc>
          <w:tcPr>
            <w:tcW w:w="2076" w:type="pct"/>
            <w:gridSpan w:val="2"/>
            <w:shd w:val="clear" w:color="auto" w:fill="auto"/>
            <w:vAlign w:val="center"/>
          </w:tcPr>
          <w:p w14:paraId="696BA98E" w14:textId="77777777" w:rsidR="006E1522" w:rsidRPr="00AE2F09" w:rsidRDefault="006E1522" w:rsidP="006E1522">
            <w:pPr>
              <w:keepNext/>
              <w:keepLines/>
              <w:jc w:val="center"/>
              <w:rPr>
                <w:rFonts w:ascii="Arial Narrow" w:hAnsi="Arial Narrow" w:cs="Times New Roman"/>
                <w:b/>
                <w:bCs/>
                <w:snapToGrid w:val="0"/>
                <w:sz w:val="20"/>
              </w:rPr>
            </w:pPr>
            <w:r w:rsidRPr="00AE2F09">
              <w:rPr>
                <w:rFonts w:ascii="Arial Narrow" w:hAnsi="Arial Narrow" w:cs="Times New Roman"/>
                <w:b/>
                <w:bCs/>
                <w:snapToGrid w:val="0"/>
                <w:sz w:val="20"/>
              </w:rPr>
              <w:t>Incidence</w:t>
            </w:r>
          </w:p>
        </w:tc>
        <w:tc>
          <w:tcPr>
            <w:tcW w:w="1037" w:type="pct"/>
            <w:vMerge w:val="restart"/>
            <w:shd w:val="clear" w:color="auto" w:fill="auto"/>
            <w:vAlign w:val="center"/>
          </w:tcPr>
          <w:p w14:paraId="6254AB37" w14:textId="77777777" w:rsidR="006E1522" w:rsidRPr="00AE2F09" w:rsidRDefault="006E1522" w:rsidP="006E1522">
            <w:pPr>
              <w:keepNext/>
              <w:keepLines/>
              <w:jc w:val="center"/>
              <w:rPr>
                <w:rFonts w:ascii="Arial Narrow" w:hAnsi="Arial Narrow" w:cs="Times New Roman"/>
                <w:b/>
                <w:bCs/>
                <w:snapToGrid w:val="0"/>
                <w:sz w:val="20"/>
              </w:rPr>
            </w:pPr>
            <w:r w:rsidRPr="00AE2F09">
              <w:rPr>
                <w:rFonts w:ascii="Arial Narrow" w:hAnsi="Arial Narrow" w:cs="Times New Roman"/>
                <w:b/>
                <w:bCs/>
                <w:snapToGrid w:val="0"/>
                <w:sz w:val="20"/>
              </w:rPr>
              <w:t>Risk Difference (95% CI)</w:t>
            </w:r>
          </w:p>
        </w:tc>
      </w:tr>
      <w:tr w:rsidR="006E1522" w:rsidRPr="00AE2F09" w14:paraId="3FB105B6" w14:textId="77777777" w:rsidTr="00FD7CD0">
        <w:trPr>
          <w:trHeight w:val="227"/>
        </w:trPr>
        <w:tc>
          <w:tcPr>
            <w:tcW w:w="1887" w:type="pct"/>
            <w:vMerge/>
            <w:shd w:val="clear" w:color="auto" w:fill="auto"/>
            <w:vAlign w:val="center"/>
          </w:tcPr>
          <w:p w14:paraId="5ED0A9C5" w14:textId="77777777" w:rsidR="006E1522" w:rsidRPr="00AE2F09" w:rsidRDefault="006E1522" w:rsidP="006E1522">
            <w:pPr>
              <w:keepNext/>
              <w:keepLines/>
              <w:jc w:val="center"/>
              <w:rPr>
                <w:rFonts w:ascii="Arial Narrow" w:hAnsi="Arial Narrow" w:cs="Times New Roman"/>
                <w:b/>
                <w:bCs/>
                <w:snapToGrid w:val="0"/>
                <w:sz w:val="20"/>
              </w:rPr>
            </w:pPr>
          </w:p>
        </w:tc>
        <w:tc>
          <w:tcPr>
            <w:tcW w:w="1038" w:type="pct"/>
            <w:shd w:val="clear" w:color="auto" w:fill="auto"/>
            <w:vAlign w:val="center"/>
          </w:tcPr>
          <w:p w14:paraId="060DD74B" w14:textId="77777777" w:rsidR="006E1522" w:rsidRPr="00AE2F09" w:rsidRDefault="006E1522" w:rsidP="006E1522">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Pooled pegvaliase</w:t>
            </w:r>
          </w:p>
          <w:p w14:paraId="5C08FADD" w14:textId="77777777" w:rsidR="006E1522" w:rsidRPr="00AE2F09" w:rsidRDefault="006E1522" w:rsidP="006E1522">
            <w:pPr>
              <w:pStyle w:val="Tableheading0"/>
              <w:keepNext/>
              <w:keepLines/>
              <w:rPr>
                <w:rFonts w:ascii="Arial Narrow" w:eastAsia="Times New Roman" w:hAnsi="Arial Narrow" w:cs="Times New Roman"/>
                <w:bCs/>
                <w:snapToGrid w:val="0"/>
                <w:szCs w:val="24"/>
              </w:rPr>
            </w:pPr>
            <w:r w:rsidRPr="00AE2F09">
              <w:rPr>
                <w:rFonts w:ascii="Arial Narrow" w:hAnsi="Arial Narrow" w:cs="Times New Roman"/>
                <w:bCs/>
                <w:snapToGrid w:val="0"/>
              </w:rPr>
              <w:t>(N = 66)</w:t>
            </w:r>
          </w:p>
        </w:tc>
        <w:tc>
          <w:tcPr>
            <w:tcW w:w="1038" w:type="pct"/>
            <w:shd w:val="clear" w:color="auto" w:fill="auto"/>
            <w:vAlign w:val="center"/>
          </w:tcPr>
          <w:p w14:paraId="5F8CC6FA" w14:textId="77777777" w:rsidR="006E1522" w:rsidRPr="00AE2F09" w:rsidRDefault="006E1522" w:rsidP="006E1522">
            <w:pPr>
              <w:pStyle w:val="Tableheading0"/>
              <w:keepNext/>
              <w:keepLines/>
              <w:rPr>
                <w:rFonts w:ascii="Arial Narrow" w:eastAsia="Times New Roman" w:hAnsi="Arial Narrow" w:cs="Times New Roman"/>
                <w:bCs/>
                <w:snapToGrid w:val="0"/>
                <w:szCs w:val="24"/>
              </w:rPr>
            </w:pPr>
            <w:r w:rsidRPr="00AE2F09">
              <w:rPr>
                <w:rFonts w:ascii="Arial Narrow" w:eastAsia="Times New Roman" w:hAnsi="Arial Narrow" w:cs="Times New Roman"/>
                <w:bCs/>
                <w:snapToGrid w:val="0"/>
                <w:szCs w:val="24"/>
              </w:rPr>
              <w:t>Pooled placebo</w:t>
            </w:r>
          </w:p>
          <w:p w14:paraId="36BA44BB" w14:textId="77777777" w:rsidR="006E1522" w:rsidRPr="00AE2F09" w:rsidRDefault="006E1522" w:rsidP="006E1522">
            <w:pPr>
              <w:pStyle w:val="Tableheading0"/>
              <w:keepNext/>
              <w:keepLines/>
              <w:rPr>
                <w:rFonts w:ascii="Arial Narrow" w:eastAsia="Times New Roman" w:hAnsi="Arial Narrow" w:cs="Times New Roman"/>
                <w:bCs/>
                <w:snapToGrid w:val="0"/>
                <w:szCs w:val="24"/>
              </w:rPr>
            </w:pPr>
            <w:r w:rsidRPr="00AE2F09">
              <w:rPr>
                <w:rFonts w:ascii="Arial Narrow" w:hAnsi="Arial Narrow" w:cs="Times New Roman"/>
                <w:bCs/>
                <w:snapToGrid w:val="0"/>
              </w:rPr>
              <w:t>(N = 29)</w:t>
            </w:r>
          </w:p>
        </w:tc>
        <w:tc>
          <w:tcPr>
            <w:tcW w:w="1037" w:type="pct"/>
            <w:vMerge/>
            <w:shd w:val="clear" w:color="auto" w:fill="auto"/>
            <w:vAlign w:val="center"/>
          </w:tcPr>
          <w:p w14:paraId="22EB8098" w14:textId="77777777" w:rsidR="006E1522" w:rsidRPr="00AE2F09" w:rsidRDefault="006E1522" w:rsidP="006E1522">
            <w:pPr>
              <w:keepNext/>
              <w:keepLines/>
              <w:jc w:val="center"/>
              <w:rPr>
                <w:rFonts w:ascii="Arial Narrow" w:hAnsi="Arial Narrow" w:cs="Times New Roman"/>
                <w:b/>
                <w:bCs/>
                <w:snapToGrid w:val="0"/>
                <w:sz w:val="20"/>
              </w:rPr>
            </w:pPr>
          </w:p>
        </w:tc>
      </w:tr>
      <w:tr w:rsidR="006E1522" w:rsidRPr="00AE2F09" w14:paraId="76032F0A" w14:textId="77777777" w:rsidTr="00FD7CD0">
        <w:trPr>
          <w:trHeight w:val="227"/>
        </w:trPr>
        <w:tc>
          <w:tcPr>
            <w:tcW w:w="1887" w:type="pct"/>
            <w:vAlign w:val="center"/>
          </w:tcPr>
          <w:p w14:paraId="0534DD54"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Duration of exposure, days, mean (SD)</w:t>
            </w:r>
          </w:p>
        </w:tc>
        <w:tc>
          <w:tcPr>
            <w:tcW w:w="1038" w:type="pct"/>
            <w:vAlign w:val="center"/>
          </w:tcPr>
          <w:p w14:paraId="581B9A8F"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54.4 (6.91)</w:t>
            </w:r>
          </w:p>
        </w:tc>
        <w:tc>
          <w:tcPr>
            <w:tcW w:w="1038" w:type="pct"/>
            <w:vAlign w:val="center"/>
          </w:tcPr>
          <w:p w14:paraId="36053EE2"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55.0 (5.21)</w:t>
            </w:r>
          </w:p>
        </w:tc>
        <w:tc>
          <w:tcPr>
            <w:tcW w:w="1037" w:type="pct"/>
            <w:vAlign w:val="center"/>
          </w:tcPr>
          <w:p w14:paraId="024A4344" w14:textId="77777777" w:rsidR="006E1522" w:rsidRPr="00AE2F09" w:rsidRDefault="006E1522" w:rsidP="006E1522">
            <w:pPr>
              <w:keepNext/>
              <w:keepLines/>
              <w:jc w:val="center"/>
              <w:rPr>
                <w:rFonts w:ascii="Arial Narrow" w:hAnsi="Arial Narrow" w:cs="Times New Roman"/>
                <w:snapToGrid w:val="0"/>
                <w:sz w:val="20"/>
              </w:rPr>
            </w:pPr>
          </w:p>
        </w:tc>
      </w:tr>
      <w:tr w:rsidR="006E1522" w:rsidRPr="00AE2F09" w14:paraId="7A741816" w14:textId="77777777" w:rsidTr="00FD7CD0">
        <w:trPr>
          <w:trHeight w:val="227"/>
        </w:trPr>
        <w:tc>
          <w:tcPr>
            <w:tcW w:w="1887" w:type="pct"/>
            <w:vAlign w:val="center"/>
          </w:tcPr>
          <w:p w14:paraId="73307A55"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Duration of exposure (person-years)</w:t>
            </w:r>
          </w:p>
        </w:tc>
        <w:tc>
          <w:tcPr>
            <w:tcW w:w="1038" w:type="pct"/>
            <w:vAlign w:val="center"/>
          </w:tcPr>
          <w:p w14:paraId="25D20EC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9.8</w:t>
            </w:r>
          </w:p>
        </w:tc>
        <w:tc>
          <w:tcPr>
            <w:tcW w:w="1038" w:type="pct"/>
            <w:vAlign w:val="center"/>
          </w:tcPr>
          <w:p w14:paraId="068DEAE6"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4.4 </w:t>
            </w:r>
            <w:r w:rsidRPr="00AE2F09">
              <w:rPr>
                <w:rFonts w:ascii="Arial Narrow" w:hAnsi="Arial Narrow" w:cs="Times New Roman"/>
                <w:snapToGrid w:val="0"/>
                <w:sz w:val="20"/>
                <w:vertAlign w:val="superscript"/>
              </w:rPr>
              <w:t>¥</w:t>
            </w:r>
          </w:p>
        </w:tc>
        <w:tc>
          <w:tcPr>
            <w:tcW w:w="1037" w:type="pct"/>
            <w:vAlign w:val="center"/>
          </w:tcPr>
          <w:p w14:paraId="0D791DAC" w14:textId="77777777" w:rsidR="006E1522" w:rsidRPr="00AE2F09" w:rsidRDefault="006E1522" w:rsidP="006E1522">
            <w:pPr>
              <w:keepNext/>
              <w:keepLines/>
              <w:jc w:val="center"/>
              <w:rPr>
                <w:rFonts w:ascii="Arial Narrow" w:hAnsi="Arial Narrow" w:cs="Times New Roman"/>
                <w:snapToGrid w:val="0"/>
                <w:sz w:val="20"/>
              </w:rPr>
            </w:pPr>
          </w:p>
        </w:tc>
      </w:tr>
      <w:tr w:rsidR="006E1522" w:rsidRPr="00AE2F09" w14:paraId="26C90E71" w14:textId="77777777" w:rsidTr="00FD7CD0">
        <w:trPr>
          <w:trHeight w:val="227"/>
        </w:trPr>
        <w:tc>
          <w:tcPr>
            <w:tcW w:w="1887" w:type="pct"/>
            <w:vAlign w:val="center"/>
          </w:tcPr>
          <w:p w14:paraId="52CD0491"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Deaths</w:t>
            </w:r>
          </w:p>
        </w:tc>
        <w:tc>
          <w:tcPr>
            <w:tcW w:w="1038" w:type="pct"/>
            <w:vAlign w:val="center"/>
          </w:tcPr>
          <w:p w14:paraId="1E352331"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8" w:type="pct"/>
            <w:vAlign w:val="center"/>
          </w:tcPr>
          <w:p w14:paraId="7793D395"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7" w:type="pct"/>
            <w:vAlign w:val="center"/>
          </w:tcPr>
          <w:p w14:paraId="7D28F196"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r>
      <w:tr w:rsidR="006E1522" w:rsidRPr="00AE2F09" w14:paraId="30EC1BAA" w14:textId="77777777" w:rsidTr="00FD7CD0">
        <w:trPr>
          <w:trHeight w:val="227"/>
        </w:trPr>
        <w:tc>
          <w:tcPr>
            <w:tcW w:w="5000" w:type="pct"/>
            <w:gridSpan w:val="4"/>
            <w:vAlign w:val="center"/>
          </w:tcPr>
          <w:p w14:paraId="0A3BBDC6" w14:textId="77777777" w:rsidR="006E1522" w:rsidRPr="00AE2F09" w:rsidRDefault="006E1522" w:rsidP="006E1522">
            <w:pPr>
              <w:keepNext/>
              <w:keepLines/>
              <w:rPr>
                <w:rFonts w:ascii="Arial Narrow" w:hAnsi="Arial Narrow" w:cs="Times New Roman"/>
                <w:b/>
                <w:bCs/>
                <w:snapToGrid w:val="0"/>
                <w:sz w:val="20"/>
              </w:rPr>
            </w:pPr>
            <w:r w:rsidRPr="00AE2F09">
              <w:rPr>
                <w:rFonts w:ascii="Arial Narrow" w:hAnsi="Arial Narrow" w:cs="Times New Roman"/>
                <w:b/>
                <w:bCs/>
                <w:snapToGrid w:val="0"/>
                <w:sz w:val="20"/>
              </w:rPr>
              <w:t>AEs</w:t>
            </w:r>
          </w:p>
        </w:tc>
      </w:tr>
      <w:tr w:rsidR="006E1522" w:rsidRPr="00AE2F09" w14:paraId="27F21C06" w14:textId="77777777" w:rsidTr="00FD7CD0">
        <w:trPr>
          <w:trHeight w:val="227"/>
        </w:trPr>
        <w:tc>
          <w:tcPr>
            <w:tcW w:w="1887" w:type="pct"/>
            <w:vAlign w:val="center"/>
          </w:tcPr>
          <w:p w14:paraId="6CEE0E37"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Any AEs</w:t>
            </w:r>
          </w:p>
        </w:tc>
        <w:tc>
          <w:tcPr>
            <w:tcW w:w="1038" w:type="pct"/>
            <w:vAlign w:val="center"/>
          </w:tcPr>
          <w:p w14:paraId="03A43C6F"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55 (83.3) </w:t>
            </w:r>
          </w:p>
        </w:tc>
        <w:tc>
          <w:tcPr>
            <w:tcW w:w="1038" w:type="pct"/>
            <w:vAlign w:val="center"/>
          </w:tcPr>
          <w:p w14:paraId="4EAF29E4"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27 (93.1) </w:t>
            </w:r>
          </w:p>
        </w:tc>
        <w:tc>
          <w:tcPr>
            <w:tcW w:w="1037" w:type="pct"/>
            <w:vAlign w:val="center"/>
          </w:tcPr>
          <w:p w14:paraId="30E6F92E"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-0.10 (-0.23, 0.03)</w:t>
            </w:r>
          </w:p>
        </w:tc>
      </w:tr>
      <w:tr w:rsidR="006E1522" w:rsidRPr="00AE2F09" w14:paraId="3FDEE9A9" w14:textId="77777777" w:rsidTr="00FD7CD0">
        <w:trPr>
          <w:trHeight w:val="227"/>
        </w:trPr>
        <w:tc>
          <w:tcPr>
            <w:tcW w:w="1887" w:type="pct"/>
            <w:vAlign w:val="center"/>
          </w:tcPr>
          <w:p w14:paraId="0E29E282"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Drug-related AEs </w:t>
            </w:r>
          </w:p>
        </w:tc>
        <w:tc>
          <w:tcPr>
            <w:tcW w:w="1038" w:type="pct"/>
            <w:vAlign w:val="center"/>
          </w:tcPr>
          <w:p w14:paraId="77E33DE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44 (66.7) </w:t>
            </w:r>
          </w:p>
        </w:tc>
        <w:tc>
          <w:tcPr>
            <w:tcW w:w="1038" w:type="pct"/>
            <w:vAlign w:val="center"/>
          </w:tcPr>
          <w:p w14:paraId="63CB05AF"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16 (55.2) </w:t>
            </w:r>
          </w:p>
        </w:tc>
        <w:tc>
          <w:tcPr>
            <w:tcW w:w="1037" w:type="pct"/>
            <w:vAlign w:val="center"/>
          </w:tcPr>
          <w:p w14:paraId="7EA5F618"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0.12 (-0.10, 0.33)</w:t>
            </w:r>
          </w:p>
        </w:tc>
      </w:tr>
      <w:tr w:rsidR="006E1522" w:rsidRPr="00AE2F09" w14:paraId="7B1149C9" w14:textId="77777777" w:rsidTr="00FD7CD0">
        <w:trPr>
          <w:trHeight w:val="227"/>
        </w:trPr>
        <w:tc>
          <w:tcPr>
            <w:tcW w:w="1887" w:type="pct"/>
            <w:vAlign w:val="center"/>
          </w:tcPr>
          <w:p w14:paraId="65B6C472"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AEs causing dose interruption or reduction </w:t>
            </w:r>
          </w:p>
        </w:tc>
        <w:tc>
          <w:tcPr>
            <w:tcW w:w="1038" w:type="pct"/>
            <w:vAlign w:val="center"/>
          </w:tcPr>
          <w:p w14:paraId="2F9B3144"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 (1.5) </w:t>
            </w:r>
          </w:p>
        </w:tc>
        <w:tc>
          <w:tcPr>
            <w:tcW w:w="1038" w:type="pct"/>
            <w:vAlign w:val="center"/>
          </w:tcPr>
          <w:p w14:paraId="6FBDCE1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 (3.4) </w:t>
            </w:r>
          </w:p>
        </w:tc>
        <w:tc>
          <w:tcPr>
            <w:tcW w:w="1037" w:type="pct"/>
            <w:vAlign w:val="center"/>
          </w:tcPr>
          <w:p w14:paraId="5F989176"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-0.02 (-0.09, 0.05)</w:t>
            </w:r>
          </w:p>
        </w:tc>
      </w:tr>
      <w:tr w:rsidR="006E1522" w:rsidRPr="00AE2F09" w14:paraId="6E07C78A" w14:textId="77777777" w:rsidTr="00FD7CD0">
        <w:trPr>
          <w:trHeight w:val="227"/>
        </w:trPr>
        <w:tc>
          <w:tcPr>
            <w:tcW w:w="5000" w:type="pct"/>
            <w:gridSpan w:val="4"/>
            <w:vAlign w:val="center"/>
          </w:tcPr>
          <w:p w14:paraId="590D4B1F" w14:textId="77777777" w:rsidR="006E1522" w:rsidRPr="00AE2F09" w:rsidRDefault="006E1522" w:rsidP="006E1522">
            <w:pPr>
              <w:keepNext/>
              <w:keepLines/>
              <w:rPr>
                <w:rFonts w:ascii="Arial Narrow" w:hAnsi="Arial Narrow" w:cs="Times New Roman"/>
                <w:b/>
                <w:bCs/>
                <w:snapToGrid w:val="0"/>
                <w:sz w:val="20"/>
              </w:rPr>
            </w:pPr>
            <w:r w:rsidRPr="00AE2F09">
              <w:rPr>
                <w:rFonts w:ascii="Arial Narrow" w:hAnsi="Arial Narrow" w:cs="Times New Roman"/>
                <w:b/>
                <w:bCs/>
                <w:snapToGrid w:val="0"/>
                <w:sz w:val="20"/>
              </w:rPr>
              <w:t>SAEs</w:t>
            </w:r>
          </w:p>
        </w:tc>
      </w:tr>
      <w:tr w:rsidR="006E1522" w:rsidRPr="00AE2F09" w14:paraId="5C22F949" w14:textId="77777777" w:rsidTr="00FD7CD0">
        <w:trPr>
          <w:trHeight w:val="227"/>
        </w:trPr>
        <w:tc>
          <w:tcPr>
            <w:tcW w:w="1887" w:type="pct"/>
            <w:vAlign w:val="center"/>
          </w:tcPr>
          <w:p w14:paraId="3B7EECD3" w14:textId="77777777" w:rsidR="006E1522" w:rsidRPr="00AE2F09" w:rsidRDefault="006E1522" w:rsidP="006E1522">
            <w:pPr>
              <w:keepNext/>
              <w:keepLines/>
              <w:rPr>
                <w:rFonts w:ascii="Arial Narrow" w:hAnsi="Arial Narrow" w:cs="Times New Roman"/>
                <w:snapToGrid w:val="0"/>
                <w:sz w:val="20"/>
                <w:vertAlign w:val="superscript"/>
              </w:rPr>
            </w:pPr>
            <w:r w:rsidRPr="00AE2F09">
              <w:rPr>
                <w:rFonts w:ascii="Arial Narrow" w:hAnsi="Arial Narrow" w:cs="Times New Roman"/>
                <w:snapToGrid w:val="0"/>
                <w:sz w:val="20"/>
              </w:rPr>
              <w:t xml:space="preserve">Any SAEs </w:t>
            </w:r>
            <w:r w:rsidRPr="00AE2F09">
              <w:rPr>
                <w:rFonts w:ascii="Arial Narrow" w:hAnsi="Arial Narrow" w:cs="Times New Roman"/>
                <w:snapToGrid w:val="0"/>
                <w:sz w:val="20"/>
                <w:vertAlign w:val="superscript"/>
              </w:rPr>
              <w:t>π</w:t>
            </w:r>
          </w:p>
        </w:tc>
        <w:tc>
          <w:tcPr>
            <w:tcW w:w="1038" w:type="pct"/>
            <w:vAlign w:val="center"/>
          </w:tcPr>
          <w:p w14:paraId="0F501F84"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2 (3.0) </w:t>
            </w:r>
          </w:p>
        </w:tc>
        <w:tc>
          <w:tcPr>
            <w:tcW w:w="1038" w:type="pct"/>
            <w:vAlign w:val="center"/>
          </w:tcPr>
          <w:p w14:paraId="0FD5BBA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 (3.4) </w:t>
            </w:r>
          </w:p>
        </w:tc>
        <w:tc>
          <w:tcPr>
            <w:tcW w:w="1037" w:type="pct"/>
            <w:vAlign w:val="center"/>
          </w:tcPr>
          <w:p w14:paraId="158CF86C"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-0.00 (-0.08, 0.07)</w:t>
            </w:r>
          </w:p>
        </w:tc>
      </w:tr>
      <w:tr w:rsidR="006E1522" w:rsidRPr="00AE2F09" w14:paraId="17FBA026" w14:textId="77777777" w:rsidTr="00FD7CD0">
        <w:trPr>
          <w:trHeight w:val="227"/>
        </w:trPr>
        <w:tc>
          <w:tcPr>
            <w:tcW w:w="1887" w:type="pct"/>
            <w:vAlign w:val="center"/>
          </w:tcPr>
          <w:p w14:paraId="44C24C3F"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Drug-related SAEs </w:t>
            </w:r>
          </w:p>
        </w:tc>
        <w:tc>
          <w:tcPr>
            <w:tcW w:w="1038" w:type="pct"/>
            <w:vAlign w:val="center"/>
          </w:tcPr>
          <w:p w14:paraId="6CF3E7D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2 (3.0) </w:t>
            </w:r>
          </w:p>
        </w:tc>
        <w:tc>
          <w:tcPr>
            <w:tcW w:w="1038" w:type="pct"/>
            <w:vAlign w:val="center"/>
          </w:tcPr>
          <w:p w14:paraId="64125D4D"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0 </w:t>
            </w:r>
          </w:p>
        </w:tc>
        <w:tc>
          <w:tcPr>
            <w:tcW w:w="1037" w:type="pct"/>
            <w:vAlign w:val="center"/>
          </w:tcPr>
          <w:p w14:paraId="2F923B59"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0.03 (-0.01, 0.07)</w:t>
            </w:r>
          </w:p>
        </w:tc>
      </w:tr>
      <w:tr w:rsidR="006E1522" w:rsidRPr="00AE2F09" w14:paraId="474E733F" w14:textId="77777777" w:rsidTr="00FD7CD0">
        <w:trPr>
          <w:trHeight w:val="227"/>
        </w:trPr>
        <w:tc>
          <w:tcPr>
            <w:tcW w:w="5000" w:type="pct"/>
            <w:gridSpan w:val="4"/>
            <w:vAlign w:val="center"/>
          </w:tcPr>
          <w:p w14:paraId="438E5B39" w14:textId="77777777" w:rsidR="006E1522" w:rsidRPr="00AE2F09" w:rsidRDefault="006E1522" w:rsidP="006E1522">
            <w:pPr>
              <w:keepNext/>
              <w:keepLines/>
              <w:rPr>
                <w:rFonts w:ascii="Arial Narrow" w:hAnsi="Arial Narrow" w:cs="Times New Roman"/>
                <w:b/>
                <w:bCs/>
                <w:snapToGrid w:val="0"/>
                <w:sz w:val="20"/>
              </w:rPr>
            </w:pPr>
            <w:r w:rsidRPr="00AE2F09">
              <w:rPr>
                <w:rFonts w:ascii="Arial Narrow" w:hAnsi="Arial Narrow" w:cs="Times New Roman"/>
                <w:b/>
                <w:bCs/>
                <w:snapToGrid w:val="0"/>
                <w:sz w:val="20"/>
              </w:rPr>
              <w:t>Adverse events of Special Interest</w:t>
            </w:r>
          </w:p>
        </w:tc>
      </w:tr>
      <w:tr w:rsidR="006E1522" w:rsidRPr="00AE2F09" w14:paraId="7166B1FC" w14:textId="77777777" w:rsidTr="00FD7CD0">
        <w:trPr>
          <w:trHeight w:val="227"/>
        </w:trPr>
        <w:tc>
          <w:tcPr>
            <w:tcW w:w="1887" w:type="pct"/>
            <w:vAlign w:val="center"/>
          </w:tcPr>
          <w:p w14:paraId="27A8140D"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Anaphylaxis (per NIAID/ FAAN Criteria) </w:t>
            </w:r>
          </w:p>
        </w:tc>
        <w:tc>
          <w:tcPr>
            <w:tcW w:w="1038" w:type="pct"/>
            <w:vAlign w:val="center"/>
          </w:tcPr>
          <w:p w14:paraId="7615FA3B"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8" w:type="pct"/>
            <w:vAlign w:val="center"/>
          </w:tcPr>
          <w:p w14:paraId="442D9C86"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7" w:type="pct"/>
            <w:vAlign w:val="center"/>
          </w:tcPr>
          <w:p w14:paraId="24DA9A85"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r>
      <w:tr w:rsidR="006E1522" w:rsidRPr="00AE2F09" w14:paraId="291D7F70" w14:textId="77777777" w:rsidTr="00FD7CD0">
        <w:trPr>
          <w:trHeight w:val="227"/>
        </w:trPr>
        <w:tc>
          <w:tcPr>
            <w:tcW w:w="1887" w:type="pct"/>
            <w:vAlign w:val="center"/>
          </w:tcPr>
          <w:p w14:paraId="0BC7104E"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Anaphylaxis (per Brown's severe criteria) </w:t>
            </w:r>
          </w:p>
        </w:tc>
        <w:tc>
          <w:tcPr>
            <w:tcW w:w="1038" w:type="pct"/>
            <w:vAlign w:val="center"/>
          </w:tcPr>
          <w:p w14:paraId="6EC92845"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8" w:type="pct"/>
            <w:vAlign w:val="center"/>
          </w:tcPr>
          <w:p w14:paraId="361AD827"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c>
          <w:tcPr>
            <w:tcW w:w="1037" w:type="pct"/>
            <w:vAlign w:val="center"/>
          </w:tcPr>
          <w:p w14:paraId="3EE31806"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w:t>
            </w:r>
          </w:p>
        </w:tc>
      </w:tr>
      <w:tr w:rsidR="006E1522" w:rsidRPr="00AE2F09" w14:paraId="29896CFA" w14:textId="77777777" w:rsidTr="00FD7CD0">
        <w:trPr>
          <w:trHeight w:val="227"/>
        </w:trPr>
        <w:tc>
          <w:tcPr>
            <w:tcW w:w="5000" w:type="pct"/>
            <w:gridSpan w:val="4"/>
            <w:vAlign w:val="center"/>
          </w:tcPr>
          <w:p w14:paraId="6BAEBCAF" w14:textId="77777777" w:rsidR="006E1522" w:rsidRPr="00AE2F09" w:rsidRDefault="006E1522" w:rsidP="006E1522">
            <w:pPr>
              <w:keepNext/>
              <w:keepLines/>
              <w:rPr>
                <w:rFonts w:ascii="Arial Narrow" w:hAnsi="Arial Narrow" w:cs="Times New Roman"/>
                <w:b/>
                <w:bCs/>
                <w:snapToGrid w:val="0"/>
                <w:sz w:val="20"/>
              </w:rPr>
            </w:pPr>
            <w:r w:rsidRPr="00AE2F09">
              <w:rPr>
                <w:rFonts w:ascii="Arial Narrow" w:hAnsi="Arial Narrow" w:cs="Times New Roman"/>
                <w:b/>
                <w:bCs/>
                <w:snapToGrid w:val="0"/>
                <w:sz w:val="20"/>
              </w:rPr>
              <w:t>Adverse events of Significance</w:t>
            </w:r>
          </w:p>
        </w:tc>
      </w:tr>
      <w:tr w:rsidR="006E1522" w:rsidRPr="00AE2F09" w14:paraId="27F47034" w14:textId="77777777" w:rsidTr="00FD7CD0">
        <w:trPr>
          <w:trHeight w:val="227"/>
        </w:trPr>
        <w:tc>
          <w:tcPr>
            <w:tcW w:w="1887" w:type="pct"/>
            <w:vAlign w:val="center"/>
          </w:tcPr>
          <w:p w14:paraId="18267FC6"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Hypersensitivity AEs </w:t>
            </w:r>
          </w:p>
        </w:tc>
        <w:tc>
          <w:tcPr>
            <w:tcW w:w="1038" w:type="pct"/>
            <w:vAlign w:val="center"/>
          </w:tcPr>
          <w:p w14:paraId="18009750"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26 (39.4) </w:t>
            </w:r>
          </w:p>
        </w:tc>
        <w:tc>
          <w:tcPr>
            <w:tcW w:w="1038" w:type="pct"/>
            <w:vAlign w:val="center"/>
          </w:tcPr>
          <w:p w14:paraId="69B99D5E"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4 (13.8) </w:t>
            </w:r>
          </w:p>
        </w:tc>
        <w:tc>
          <w:tcPr>
            <w:tcW w:w="1037" w:type="pct"/>
            <w:vAlign w:val="center"/>
          </w:tcPr>
          <w:p w14:paraId="10D72007" w14:textId="77777777" w:rsidR="006E1522" w:rsidRPr="00AE2F09" w:rsidRDefault="006E1522" w:rsidP="006E1522">
            <w:pPr>
              <w:keepNext/>
              <w:keepLines/>
              <w:jc w:val="center"/>
              <w:rPr>
                <w:rFonts w:ascii="Arial Narrow" w:hAnsi="Arial Narrow" w:cs="Times New Roman"/>
                <w:b/>
                <w:bCs/>
                <w:snapToGrid w:val="0"/>
                <w:sz w:val="20"/>
              </w:rPr>
            </w:pPr>
            <w:r w:rsidRPr="00AE2F09">
              <w:rPr>
                <w:rFonts w:ascii="Arial Narrow" w:hAnsi="Arial Narrow" w:cs="Times New Roman"/>
                <w:b/>
                <w:bCs/>
                <w:snapToGrid w:val="0"/>
                <w:sz w:val="20"/>
              </w:rPr>
              <w:t>0.26 (0.08, 0.43)</w:t>
            </w:r>
          </w:p>
        </w:tc>
      </w:tr>
      <w:tr w:rsidR="006E1522" w:rsidRPr="00AE2F09" w14:paraId="6FCAF96C" w14:textId="77777777" w:rsidTr="00FD7CD0">
        <w:trPr>
          <w:trHeight w:val="227"/>
        </w:trPr>
        <w:tc>
          <w:tcPr>
            <w:tcW w:w="1887" w:type="pct"/>
            <w:vAlign w:val="center"/>
          </w:tcPr>
          <w:p w14:paraId="6781558D"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Generalised skin reaction ≥ 14 days</w:t>
            </w:r>
          </w:p>
        </w:tc>
        <w:tc>
          <w:tcPr>
            <w:tcW w:w="1038" w:type="pct"/>
            <w:vAlign w:val="center"/>
          </w:tcPr>
          <w:p w14:paraId="67BBFA2E"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7 (10.6) </w:t>
            </w:r>
          </w:p>
        </w:tc>
        <w:tc>
          <w:tcPr>
            <w:tcW w:w="1038" w:type="pct"/>
            <w:vAlign w:val="center"/>
          </w:tcPr>
          <w:p w14:paraId="3179AF7F"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0 </w:t>
            </w:r>
          </w:p>
        </w:tc>
        <w:tc>
          <w:tcPr>
            <w:tcW w:w="1037" w:type="pct"/>
            <w:vAlign w:val="center"/>
          </w:tcPr>
          <w:p w14:paraId="244E6D7C" w14:textId="77777777" w:rsidR="006E1522" w:rsidRPr="00AE2F09" w:rsidRDefault="006E1522" w:rsidP="006E1522">
            <w:pPr>
              <w:keepNext/>
              <w:keepLines/>
              <w:jc w:val="center"/>
              <w:rPr>
                <w:rFonts w:ascii="Arial Narrow" w:hAnsi="Arial Narrow" w:cs="Times New Roman"/>
                <w:b/>
                <w:bCs/>
                <w:snapToGrid w:val="0"/>
                <w:sz w:val="20"/>
              </w:rPr>
            </w:pPr>
            <w:r w:rsidRPr="00AE2F09">
              <w:rPr>
                <w:rFonts w:ascii="Arial Narrow" w:hAnsi="Arial Narrow" w:cs="Times New Roman"/>
                <w:b/>
                <w:bCs/>
                <w:snapToGrid w:val="0"/>
                <w:sz w:val="20"/>
              </w:rPr>
              <w:t>0.11 (0.03, 0.19)</w:t>
            </w:r>
          </w:p>
        </w:tc>
      </w:tr>
      <w:tr w:rsidR="006E1522" w:rsidRPr="00AE2F09" w14:paraId="639AD56A" w14:textId="77777777" w:rsidTr="00FD7CD0">
        <w:trPr>
          <w:trHeight w:val="227"/>
        </w:trPr>
        <w:tc>
          <w:tcPr>
            <w:tcW w:w="1887" w:type="pct"/>
            <w:vAlign w:val="center"/>
          </w:tcPr>
          <w:p w14:paraId="58CF9A18"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Injection-site skin reaction ≥ 14 days</w:t>
            </w:r>
          </w:p>
        </w:tc>
        <w:tc>
          <w:tcPr>
            <w:tcW w:w="1038" w:type="pct"/>
            <w:vAlign w:val="center"/>
          </w:tcPr>
          <w:p w14:paraId="2F578048"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5 (7.6) </w:t>
            </w:r>
          </w:p>
        </w:tc>
        <w:tc>
          <w:tcPr>
            <w:tcW w:w="1038" w:type="pct"/>
            <w:vAlign w:val="center"/>
          </w:tcPr>
          <w:p w14:paraId="4AE123C5"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 (3.4) </w:t>
            </w:r>
          </w:p>
        </w:tc>
        <w:tc>
          <w:tcPr>
            <w:tcW w:w="1037" w:type="pct"/>
            <w:vAlign w:val="center"/>
          </w:tcPr>
          <w:p w14:paraId="3A261FB2"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0.04 (-0.05, 0.13)</w:t>
            </w:r>
          </w:p>
        </w:tc>
      </w:tr>
      <w:tr w:rsidR="006E1522" w:rsidRPr="00AE2F09" w14:paraId="6DD4CB8D" w14:textId="77777777" w:rsidTr="00FD7CD0">
        <w:trPr>
          <w:trHeight w:val="227"/>
        </w:trPr>
        <w:tc>
          <w:tcPr>
            <w:tcW w:w="1887" w:type="pct"/>
            <w:vAlign w:val="center"/>
          </w:tcPr>
          <w:p w14:paraId="45FA36F9"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Arthralgia</w:t>
            </w:r>
          </w:p>
        </w:tc>
        <w:tc>
          <w:tcPr>
            <w:tcW w:w="1038" w:type="pct"/>
            <w:vAlign w:val="center"/>
          </w:tcPr>
          <w:p w14:paraId="2B1BC4C7"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9 (13.6) </w:t>
            </w:r>
          </w:p>
        </w:tc>
        <w:tc>
          <w:tcPr>
            <w:tcW w:w="1038" w:type="pct"/>
            <w:vAlign w:val="center"/>
          </w:tcPr>
          <w:p w14:paraId="6358C35C"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3 (10.3) </w:t>
            </w:r>
          </w:p>
        </w:tc>
        <w:tc>
          <w:tcPr>
            <w:tcW w:w="1037" w:type="pct"/>
            <w:vAlign w:val="center"/>
          </w:tcPr>
          <w:p w14:paraId="5F4B7BAF"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0.03 (-0.10, 0.17)</w:t>
            </w:r>
          </w:p>
        </w:tc>
      </w:tr>
      <w:tr w:rsidR="006E1522" w:rsidRPr="00AE2F09" w14:paraId="58E1ABCC" w14:textId="77777777" w:rsidTr="00FD7CD0">
        <w:trPr>
          <w:trHeight w:val="227"/>
        </w:trPr>
        <w:tc>
          <w:tcPr>
            <w:tcW w:w="1887" w:type="pct"/>
            <w:vAlign w:val="center"/>
          </w:tcPr>
          <w:p w14:paraId="1791DE68" w14:textId="77777777" w:rsidR="006E1522" w:rsidRPr="00AE2F09" w:rsidRDefault="006E1522" w:rsidP="006E1522">
            <w:pPr>
              <w:keepNext/>
              <w:keepLines/>
              <w:rPr>
                <w:rFonts w:ascii="Arial Narrow" w:hAnsi="Arial Narrow" w:cs="Times New Roman"/>
                <w:snapToGrid w:val="0"/>
                <w:sz w:val="20"/>
              </w:rPr>
            </w:pPr>
            <w:r w:rsidRPr="00AE2F09">
              <w:rPr>
                <w:rFonts w:ascii="Arial Narrow" w:hAnsi="Arial Narrow" w:cs="Times New Roman"/>
                <w:snapToGrid w:val="0"/>
                <w:sz w:val="20"/>
              </w:rPr>
              <w:t xml:space="preserve">Injection-site reaction </w:t>
            </w:r>
          </w:p>
        </w:tc>
        <w:tc>
          <w:tcPr>
            <w:tcW w:w="1038" w:type="pct"/>
            <w:vAlign w:val="center"/>
          </w:tcPr>
          <w:p w14:paraId="520DEAC3"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16 (24.2) </w:t>
            </w:r>
          </w:p>
        </w:tc>
        <w:tc>
          <w:tcPr>
            <w:tcW w:w="1038" w:type="pct"/>
            <w:vAlign w:val="center"/>
          </w:tcPr>
          <w:p w14:paraId="7AF41068"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 xml:space="preserve">7 (24.1) </w:t>
            </w:r>
          </w:p>
        </w:tc>
        <w:tc>
          <w:tcPr>
            <w:tcW w:w="1037" w:type="pct"/>
            <w:vAlign w:val="center"/>
          </w:tcPr>
          <w:p w14:paraId="00265042" w14:textId="77777777" w:rsidR="006E1522" w:rsidRPr="00AE2F09" w:rsidRDefault="006E1522" w:rsidP="006E1522">
            <w:pPr>
              <w:keepNext/>
              <w:keepLines/>
              <w:jc w:val="center"/>
              <w:rPr>
                <w:rFonts w:ascii="Arial Narrow" w:hAnsi="Arial Narrow" w:cs="Times New Roman"/>
                <w:snapToGrid w:val="0"/>
                <w:sz w:val="20"/>
              </w:rPr>
            </w:pPr>
            <w:r w:rsidRPr="00AE2F09">
              <w:rPr>
                <w:rFonts w:ascii="Arial Narrow" w:hAnsi="Arial Narrow" w:cs="Times New Roman"/>
                <w:snapToGrid w:val="0"/>
                <w:sz w:val="20"/>
              </w:rPr>
              <w:t>0.00 (-0.19, 0.19)</w:t>
            </w:r>
          </w:p>
        </w:tc>
      </w:tr>
    </w:tbl>
    <w:p w14:paraId="4902EE55" w14:textId="77777777" w:rsidR="00867CD5" w:rsidRPr="00AE2F09" w:rsidRDefault="00867CD5" w:rsidP="00867CD5">
      <w:pPr>
        <w:pStyle w:val="TableFigureFooter"/>
        <w:keepNext/>
        <w:keepLines/>
      </w:pPr>
      <w:r w:rsidRPr="00AE2F09">
        <w:t>Source: Table 2.5-14 (p125-6) of the submission; Evaluator-compiled Risk Differences</w:t>
      </w:r>
    </w:p>
    <w:p w14:paraId="64889750" w14:textId="77777777" w:rsidR="006E1522" w:rsidRPr="00AE2F09" w:rsidRDefault="006E1522" w:rsidP="006E1522">
      <w:pPr>
        <w:pStyle w:val="TableFigureFooter"/>
        <w:keepNext/>
        <w:keepLines/>
      </w:pPr>
      <w:r w:rsidRPr="00AE2F09">
        <w:t>AE = adverse event; AESI = adverse event of special interest; CI = confidence interval; FAAN = food allergy and anaphylaxis network; NIAID = National Institute of Allergy and Infectious Diseases; SAE = serious adverse event; SD = standard deviation</w:t>
      </w:r>
    </w:p>
    <w:p w14:paraId="6721B6FF" w14:textId="77777777" w:rsidR="006E1522" w:rsidRPr="00AE2F09" w:rsidRDefault="006E1522" w:rsidP="006E1522">
      <w:pPr>
        <w:pStyle w:val="TableFigureFooter"/>
        <w:keepNext/>
        <w:keepLines/>
      </w:pPr>
      <w:r w:rsidRPr="00AE2F09">
        <w:t>¥ Patients in Part 2 placebo group received 4.4 person-years of exposure to placebo</w:t>
      </w:r>
    </w:p>
    <w:p w14:paraId="137633CC" w14:textId="77777777" w:rsidR="006E1522" w:rsidRPr="00AE2F09" w:rsidRDefault="006E1522" w:rsidP="006E1522">
      <w:pPr>
        <w:pStyle w:val="TableFigureFooter"/>
        <w:keepNext/>
        <w:keepLines/>
      </w:pPr>
      <w:r w:rsidRPr="00AE2F09">
        <w:t>π Additional AEs (8 events for 4 patients) were upgraded by the sponsor to SAEs and were not factored into the incidence or event rates of the summary tables</w:t>
      </w:r>
    </w:p>
    <w:p w14:paraId="68E46E79" w14:textId="3A984682" w:rsidR="00774AF7" w:rsidRPr="00AE2F09" w:rsidRDefault="00774AF7" w:rsidP="00774AF7">
      <w:pPr>
        <w:pStyle w:val="3-BodyText"/>
      </w:pPr>
      <w:r w:rsidRPr="00AE2F09">
        <w:t xml:space="preserve">The results from PRISM 2 Part 2 indicate that patients treated with pegvaliase had a higher incidence of hypersensitivity (RD = 0.26, 95%CI 0.09, 0.43) and generalised skin reactions lasting longer than 14 days (RD = 0.11, 95%CI 0.03, 0.19). </w:t>
      </w:r>
      <w:r w:rsidR="00F26429" w:rsidRPr="00AE2F09">
        <w:t>A</w:t>
      </w:r>
      <w:r w:rsidRPr="00AE2F09">
        <w:t>lthough injection site reactions were not statistically different between treatments in PRISM 2 Part 2, in clinical practice, patients would not receiv</w:t>
      </w:r>
      <w:r w:rsidR="00296632">
        <w:t>e</w:t>
      </w:r>
      <w:r w:rsidRPr="00AE2F09">
        <w:t xml:space="preserve"> placebo injections therefore it is also expected that injection site reactions would be more frequent with pegvaliase compared to patients on Phe-restricted diets alone.</w:t>
      </w:r>
      <w:r w:rsidR="003F3991" w:rsidRPr="00AE2F09">
        <w:t xml:space="preserve"> PRISM 2 Part 2 </w:t>
      </w:r>
      <w:r w:rsidR="00D27B2D" w:rsidRPr="00AE2F09">
        <w:t xml:space="preserve">only treated patients for eight weeks, therefore the comparative safety over a longer treatment period was unknown. </w:t>
      </w:r>
    </w:p>
    <w:p w14:paraId="1CBC4E67" w14:textId="15C504B8" w:rsidR="005B3766" w:rsidRPr="00AE2F09" w:rsidRDefault="00DB4046" w:rsidP="00774AF7">
      <w:pPr>
        <w:pStyle w:val="3-BodyText"/>
      </w:pPr>
      <w:r w:rsidRPr="00AE2F09">
        <w:t xml:space="preserve">The anaphylaxis results in the table above are based on PRISM 2 </w:t>
      </w:r>
      <w:r w:rsidR="001E1B54" w:rsidRPr="00AE2F09">
        <w:t>P</w:t>
      </w:r>
      <w:r w:rsidR="001E1B54">
        <w:t>art</w:t>
      </w:r>
      <w:r w:rsidR="001E1B54" w:rsidRPr="00AE2F09">
        <w:t xml:space="preserve"> </w:t>
      </w:r>
      <w:r w:rsidRPr="00AE2F09">
        <w:t xml:space="preserve">2, in which patients had already been exposed to pegvaliase for an extended period. </w:t>
      </w:r>
      <w:r w:rsidR="005B3766" w:rsidRPr="00AE2F09">
        <w:t>The Delegate’s Overview states that pegvaliase is ‘highly immunogenic. Hypersensitivity reactions were very common, most of these were mild- moderate. Anaphylaxis or acute hypersensitivity occurred in around 20%’ and that ‘the risk mitigation strategy proposed [to the TGA] was included as a protocol amendment to the clinical studies in May 2014. This included premedication with a H1, H2 antagonist and NSAID; having a trained observed present at the time of injections; training in the recognition and treatment of hypersensitivity; use of an Epipen; and an extension of the initiation and titration phase from 14 weeks to 26 weeks.</w:t>
      </w:r>
      <w:r w:rsidRPr="00AE2F09">
        <w:t>’</w:t>
      </w:r>
      <w:r w:rsidR="00C545BE" w:rsidRPr="00C545BE">
        <w:t xml:space="preserve"> </w:t>
      </w:r>
      <w:r w:rsidR="00C545BE">
        <w:t xml:space="preserve">The PBAC noted that patients who discontinued pegvaliase </w:t>
      </w:r>
      <w:r w:rsidR="00612C9F">
        <w:t xml:space="preserve">due to </w:t>
      </w:r>
      <w:r w:rsidR="006C4D06">
        <w:t xml:space="preserve">intolerance of therapy </w:t>
      </w:r>
      <w:r w:rsidR="00BB128C">
        <w:t>in PRISM 1 or PRISM 2 Part 1 were not</w:t>
      </w:r>
      <w:r w:rsidR="00C545BE">
        <w:t xml:space="preserve"> included in PRISM 2 Part 2 and therefore the AE rates in </w:t>
      </w:r>
      <w:r w:rsidR="00C545BE">
        <w:fldChar w:fldCharType="begin"/>
      </w:r>
      <w:r w:rsidR="00C545BE">
        <w:instrText xml:space="preserve"> REF _Ref109987916 \h  \* MERGEFORMAT </w:instrText>
      </w:r>
      <w:r w:rsidR="00C545BE">
        <w:fldChar w:fldCharType="separate"/>
      </w:r>
      <w:r w:rsidR="001162C8" w:rsidRPr="001162C8">
        <w:t>Table 11</w:t>
      </w:r>
      <w:r w:rsidR="00C545BE">
        <w:fldChar w:fldCharType="end"/>
      </w:r>
      <w:r w:rsidR="00BB128C">
        <w:t>, particularly hypersensitivity AE and generalise</w:t>
      </w:r>
      <w:r w:rsidR="00296632">
        <w:t>d</w:t>
      </w:r>
      <w:r w:rsidR="00BB128C">
        <w:t xml:space="preserve"> skin reaction,</w:t>
      </w:r>
      <w:r w:rsidR="00C545BE">
        <w:t xml:space="preserve"> are likely </w:t>
      </w:r>
      <w:r w:rsidR="00BB128C">
        <w:t xml:space="preserve">to underestimate </w:t>
      </w:r>
      <w:r w:rsidR="00C545BE">
        <w:t>the true burden of AEs for pegvaliase.</w:t>
      </w:r>
    </w:p>
    <w:p w14:paraId="1E6EF612" w14:textId="77777777" w:rsidR="00774AF7" w:rsidRPr="00694CC1" w:rsidRDefault="00774AF7" w:rsidP="00774AF7">
      <w:pPr>
        <w:pStyle w:val="4-SubsectionHeading"/>
        <w:rPr>
          <w:iCs/>
        </w:rPr>
      </w:pPr>
      <w:bookmarkStart w:id="64" w:name="_Toc22897643"/>
      <w:bookmarkStart w:id="65" w:name="_Toc103770000"/>
      <w:r w:rsidRPr="00694CC1">
        <w:rPr>
          <w:iCs/>
        </w:rPr>
        <w:t>Benefits/harms</w:t>
      </w:r>
      <w:bookmarkEnd w:id="64"/>
      <w:bookmarkEnd w:id="65"/>
    </w:p>
    <w:p w14:paraId="21E2C969" w14:textId="584EA450" w:rsidR="00774AF7" w:rsidRPr="00AE2F09" w:rsidRDefault="00774AF7" w:rsidP="00774AF7">
      <w:pPr>
        <w:pStyle w:val="3-BodyText"/>
      </w:pPr>
      <w:r w:rsidRPr="00AE2F09">
        <w:t xml:space="preserve">A summary of the comparative benefits </w:t>
      </w:r>
      <w:r w:rsidR="00B80BEF" w:rsidRPr="00AE2F09">
        <w:t xml:space="preserve">and harms </w:t>
      </w:r>
      <w:r w:rsidRPr="00AE2F09">
        <w:t xml:space="preserve">for pegvaliase versus </w:t>
      </w:r>
      <w:r w:rsidR="00B80BEF" w:rsidRPr="00AE2F09">
        <w:t xml:space="preserve">placebo (as a proxy for </w:t>
      </w:r>
      <w:r w:rsidRPr="00AE2F09">
        <w:t>Phe-restricted diet alone</w:t>
      </w:r>
      <w:r w:rsidR="00B80BEF" w:rsidRPr="00AE2F09">
        <w:t>)</w:t>
      </w:r>
      <w:r w:rsidRPr="00AE2F09">
        <w:t xml:space="preserve"> is presented below.</w:t>
      </w:r>
    </w:p>
    <w:p w14:paraId="145595D1" w14:textId="2DBAD3B9" w:rsidR="00774AF7" w:rsidRPr="00AE2F09" w:rsidRDefault="00B80BEF" w:rsidP="00B80BEF">
      <w:pPr>
        <w:pStyle w:val="TableFigureHeading"/>
      </w:pPr>
      <w:r w:rsidRPr="00AE2F09">
        <w:t xml:space="preserve">Table </w:t>
      </w:r>
      <w:r w:rsidR="00DA5CFB">
        <w:fldChar w:fldCharType="begin"/>
      </w:r>
      <w:r w:rsidR="00DA5CFB">
        <w:instrText xml:space="preserve"> SEQ Table \* ARABIC </w:instrText>
      </w:r>
      <w:r w:rsidR="00DA5CFB">
        <w:fldChar w:fldCharType="separate"/>
      </w:r>
      <w:r w:rsidR="001162C8">
        <w:rPr>
          <w:noProof/>
        </w:rPr>
        <w:t>12</w:t>
      </w:r>
      <w:r w:rsidR="00DA5CFB">
        <w:rPr>
          <w:noProof/>
        </w:rPr>
        <w:fldChar w:fldCharType="end"/>
      </w:r>
      <w:r w:rsidR="00774AF7" w:rsidRPr="00AE2F09">
        <w:t>. Summary of comparative benefits for pegvaliase compared to placebo</w:t>
      </w:r>
    </w:p>
    <w:tbl>
      <w:tblPr>
        <w:tblW w:w="5000" w:type="pct"/>
        <w:tblLayout w:type="fixed"/>
        <w:tblCellMar>
          <w:left w:w="28" w:type="dxa"/>
          <w:right w:w="28" w:type="dxa"/>
        </w:tblCellMar>
        <w:tblLook w:val="04A0" w:firstRow="1" w:lastRow="0" w:firstColumn="1" w:lastColumn="0" w:noHBand="0" w:noVBand="1"/>
      </w:tblPr>
      <w:tblGrid>
        <w:gridCol w:w="1272"/>
        <w:gridCol w:w="575"/>
        <w:gridCol w:w="445"/>
        <w:gridCol w:w="545"/>
        <w:gridCol w:w="739"/>
        <w:gridCol w:w="265"/>
        <w:gridCol w:w="839"/>
        <w:gridCol w:w="451"/>
        <w:gridCol w:w="543"/>
        <w:gridCol w:w="590"/>
        <w:gridCol w:w="90"/>
        <w:gridCol w:w="310"/>
        <w:gridCol w:w="817"/>
        <w:gridCol w:w="144"/>
        <w:gridCol w:w="1392"/>
      </w:tblGrid>
      <w:tr w:rsidR="00EF3DD2" w:rsidRPr="00AE2F09" w14:paraId="7F8406CB" w14:textId="77777777" w:rsidTr="00EF3DD2">
        <w:trPr>
          <w:cantSplit/>
          <w:trHeight w:val="150"/>
          <w:tblHeader/>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90A8E9" w14:textId="28E8AA0B" w:rsidR="00EF3DD2" w:rsidRPr="00AE2F09" w:rsidRDefault="00EF3DD2" w:rsidP="00EF3DD2">
            <w:pPr>
              <w:pStyle w:val="In-tableHeading"/>
              <w:rPr>
                <w:lang w:val="en-AU"/>
              </w:rPr>
            </w:pPr>
          </w:p>
        </w:tc>
        <w:tc>
          <w:tcPr>
            <w:tcW w:w="566" w:type="pct"/>
            <w:gridSpan w:val="2"/>
            <w:vMerge w:val="restart"/>
            <w:tcBorders>
              <w:top w:val="single" w:sz="4" w:space="0" w:color="auto"/>
              <w:left w:val="single" w:sz="4" w:space="0" w:color="auto"/>
              <w:bottom w:val="single" w:sz="4" w:space="0" w:color="auto"/>
              <w:right w:val="single" w:sz="4" w:space="0" w:color="auto"/>
            </w:tcBorders>
            <w:vAlign w:val="center"/>
          </w:tcPr>
          <w:p w14:paraId="42EED3C8" w14:textId="77777777" w:rsidR="00EF3DD2" w:rsidRPr="00AE2F09" w:rsidRDefault="00EF3DD2" w:rsidP="00EF3DD2">
            <w:pPr>
              <w:pStyle w:val="In-tableHeading"/>
              <w:jc w:val="center"/>
              <w:rPr>
                <w:lang w:val="en-AU"/>
              </w:rPr>
            </w:pPr>
            <w:r w:rsidRPr="00AE2F09">
              <w:rPr>
                <w:lang w:val="en-AU"/>
              </w:rPr>
              <w:t>Pegvaliase</w:t>
            </w:r>
          </w:p>
          <w:p w14:paraId="55CA968B" w14:textId="5F3F7AEB" w:rsidR="00EF3DD2" w:rsidRPr="00AE2F09" w:rsidRDefault="00EF3DD2" w:rsidP="00EF3DD2">
            <w:pPr>
              <w:pStyle w:val="In-tableHeading"/>
              <w:jc w:val="center"/>
              <w:rPr>
                <w:lang w:val="en-AU"/>
              </w:rPr>
            </w:pPr>
            <w:r w:rsidRPr="00AE2F09">
              <w:rPr>
                <w:lang w:val="en-AU"/>
              </w:rPr>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14:paraId="1FACC6EF" w14:textId="77777777" w:rsidR="00EF3DD2" w:rsidRPr="00AE2F09" w:rsidRDefault="00EF3DD2" w:rsidP="00EF3DD2">
            <w:pPr>
              <w:pStyle w:val="In-tableHeading"/>
              <w:jc w:val="center"/>
              <w:rPr>
                <w:lang w:val="en-AU"/>
              </w:rPr>
            </w:pPr>
            <w:r w:rsidRPr="00AE2F09">
              <w:rPr>
                <w:lang w:val="en-AU"/>
              </w:rPr>
              <w:t>Placebo</w:t>
            </w:r>
          </w:p>
          <w:p w14:paraId="5116A173" w14:textId="42589464" w:rsidR="00EF3DD2" w:rsidRPr="00AE2F09" w:rsidRDefault="00EF3DD2" w:rsidP="00EF3DD2">
            <w:pPr>
              <w:pStyle w:val="In-tableHeading"/>
              <w:jc w:val="center"/>
              <w:rPr>
                <w:lang w:val="en-AU"/>
              </w:rPr>
            </w:pPr>
            <w:r w:rsidRPr="00AE2F09">
              <w:rPr>
                <w:lang w:val="en-AU"/>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694D2B5C" w14:textId="77777777" w:rsidR="00EF3DD2" w:rsidRPr="00AE2F09" w:rsidRDefault="00EF3DD2" w:rsidP="00EF3DD2">
            <w:pPr>
              <w:pStyle w:val="In-tableHeading"/>
              <w:jc w:val="center"/>
              <w:rPr>
                <w:lang w:val="en-AU"/>
              </w:rPr>
            </w:pPr>
            <w:r w:rsidRPr="00AE2F09">
              <w:rPr>
                <w:lang w:val="en-AU"/>
              </w:rPr>
              <w:t>RR</w:t>
            </w:r>
          </w:p>
          <w:p w14:paraId="6E1043B1" w14:textId="50856374" w:rsidR="00EF3DD2" w:rsidRPr="00AE2F09" w:rsidRDefault="00EF3DD2" w:rsidP="00EF3DD2">
            <w:pPr>
              <w:pStyle w:val="In-tableHeading"/>
              <w:jc w:val="center"/>
              <w:rPr>
                <w:lang w:val="en-AU"/>
              </w:rPr>
            </w:pPr>
            <w:r w:rsidRPr="00AE2F09">
              <w:rPr>
                <w:lang w:val="en-AU"/>
              </w:rPr>
              <w:t>(95% CI)</w:t>
            </w:r>
          </w:p>
        </w:tc>
        <w:tc>
          <w:tcPr>
            <w:tcW w:w="1303" w:type="pct"/>
            <w:gridSpan w:val="5"/>
            <w:tcBorders>
              <w:top w:val="single" w:sz="4" w:space="0" w:color="auto"/>
              <w:left w:val="single" w:sz="4" w:space="0" w:color="auto"/>
              <w:bottom w:val="single" w:sz="4" w:space="0" w:color="auto"/>
              <w:right w:val="single" w:sz="4" w:space="0" w:color="auto"/>
            </w:tcBorders>
            <w:vAlign w:val="center"/>
          </w:tcPr>
          <w:p w14:paraId="0101DB69" w14:textId="1CDA1989" w:rsidR="00EF3DD2" w:rsidRPr="00AE2F09" w:rsidRDefault="00EF3DD2" w:rsidP="00EF3DD2">
            <w:pPr>
              <w:pStyle w:val="In-tableHeading"/>
              <w:jc w:val="center"/>
              <w:rPr>
                <w:lang w:val="en-AU"/>
              </w:rPr>
            </w:pPr>
            <w:r w:rsidRPr="00AE2F09">
              <w:rPr>
                <w:lang w:val="en-AU"/>
              </w:rPr>
              <w:t>Event rate/100 patients *</w:t>
            </w:r>
          </w:p>
        </w:tc>
        <w:tc>
          <w:tcPr>
            <w:tcW w:w="852" w:type="pct"/>
            <w:gridSpan w:val="2"/>
            <w:vMerge w:val="restart"/>
            <w:tcBorders>
              <w:top w:val="single" w:sz="4" w:space="0" w:color="auto"/>
              <w:left w:val="single" w:sz="4" w:space="0" w:color="auto"/>
              <w:bottom w:val="single" w:sz="4" w:space="0" w:color="auto"/>
              <w:right w:val="single" w:sz="4" w:space="0" w:color="auto"/>
            </w:tcBorders>
            <w:vAlign w:val="center"/>
          </w:tcPr>
          <w:p w14:paraId="1104000B" w14:textId="77777777" w:rsidR="00EF3DD2" w:rsidRPr="00AE2F09" w:rsidRDefault="00EF3DD2" w:rsidP="00EF3DD2">
            <w:pPr>
              <w:pStyle w:val="In-tableHeading"/>
              <w:jc w:val="center"/>
              <w:rPr>
                <w:lang w:val="en-AU"/>
              </w:rPr>
            </w:pPr>
            <w:r w:rsidRPr="00AE2F09">
              <w:rPr>
                <w:lang w:val="en-AU"/>
              </w:rPr>
              <w:t>RD</w:t>
            </w:r>
          </w:p>
          <w:p w14:paraId="3961FF18" w14:textId="618271E6" w:rsidR="00EF3DD2" w:rsidRPr="00AE2F09" w:rsidRDefault="00EF3DD2" w:rsidP="00EF3DD2">
            <w:pPr>
              <w:pStyle w:val="In-tableHeading"/>
              <w:jc w:val="center"/>
              <w:rPr>
                <w:lang w:val="en-AU"/>
              </w:rPr>
            </w:pPr>
            <w:r w:rsidRPr="00AE2F09">
              <w:rPr>
                <w:lang w:val="en-AU"/>
              </w:rPr>
              <w:t>(95% CI)</w:t>
            </w:r>
          </w:p>
        </w:tc>
      </w:tr>
      <w:tr w:rsidR="00EF3DD2" w:rsidRPr="00AE2F09" w14:paraId="075AEE24" w14:textId="77777777" w:rsidTr="00EF3DD2">
        <w:trPr>
          <w:cantSplit/>
          <w:trHeight w:val="31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7059A1A" w14:textId="77777777" w:rsidR="00EF3DD2" w:rsidRPr="00AE2F09" w:rsidRDefault="00EF3DD2" w:rsidP="00EF3DD2">
            <w:pPr>
              <w:pStyle w:val="In-tableHeading"/>
              <w:jc w:val="center"/>
              <w:rPr>
                <w:lang w:val="en-AU"/>
              </w:rPr>
            </w:pPr>
          </w:p>
        </w:tc>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7CF590C3" w14:textId="77777777" w:rsidR="00EF3DD2" w:rsidRPr="00AE2F09" w:rsidRDefault="00EF3DD2" w:rsidP="00EF3DD2">
            <w:pPr>
              <w:pStyle w:val="In-tableHeading"/>
              <w:jc w:val="center"/>
              <w:rPr>
                <w:lang w:val="en-AU"/>
              </w:rPr>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73BF8751" w14:textId="77777777" w:rsidR="00EF3DD2" w:rsidRPr="00AE2F09" w:rsidRDefault="00EF3DD2" w:rsidP="00EF3DD2">
            <w:pPr>
              <w:pStyle w:val="In-tableHeading"/>
              <w:jc w:val="center"/>
              <w:rPr>
                <w:lang w:val="en-AU"/>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15B71FA5" w14:textId="77777777" w:rsidR="00EF3DD2" w:rsidRPr="00AE2F09" w:rsidRDefault="00EF3DD2" w:rsidP="00EF3DD2">
            <w:pPr>
              <w:pStyle w:val="In-tableHeading"/>
              <w:jc w:val="center"/>
              <w:rPr>
                <w:lang w:val="en-AU"/>
              </w:rPr>
            </w:pPr>
          </w:p>
        </w:tc>
        <w:tc>
          <w:tcPr>
            <w:tcW w:w="678" w:type="pct"/>
            <w:gridSpan w:val="3"/>
            <w:tcBorders>
              <w:top w:val="single" w:sz="4" w:space="0" w:color="auto"/>
              <w:left w:val="single" w:sz="4" w:space="0" w:color="auto"/>
              <w:bottom w:val="single" w:sz="4" w:space="0" w:color="auto"/>
              <w:right w:val="single" w:sz="4" w:space="0" w:color="auto"/>
            </w:tcBorders>
            <w:vAlign w:val="center"/>
          </w:tcPr>
          <w:p w14:paraId="2D45C21A" w14:textId="6F746528" w:rsidR="00EF3DD2" w:rsidRPr="00AE2F09" w:rsidRDefault="00EF3DD2" w:rsidP="00EF3DD2">
            <w:pPr>
              <w:pStyle w:val="In-tableHeading"/>
              <w:jc w:val="center"/>
              <w:rPr>
                <w:lang w:val="en-AU"/>
              </w:rPr>
            </w:pPr>
            <w:r w:rsidRPr="00AE2F09">
              <w:rPr>
                <w:lang w:val="en-AU"/>
              </w:rPr>
              <w:t>Pegvaliase</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3489AE15" w14:textId="352B176B" w:rsidR="00EF3DD2" w:rsidRPr="00AE2F09" w:rsidRDefault="00EF3DD2" w:rsidP="00EF3DD2">
            <w:pPr>
              <w:pStyle w:val="In-tableHeading"/>
              <w:jc w:val="center"/>
              <w:rPr>
                <w:lang w:val="en-AU"/>
              </w:rPr>
            </w:pPr>
            <w:r w:rsidRPr="00AE2F09">
              <w:rPr>
                <w:lang w:val="en-AU"/>
              </w:rPr>
              <w:t>Placebo</w:t>
            </w:r>
          </w:p>
        </w:tc>
        <w:tc>
          <w:tcPr>
            <w:tcW w:w="852" w:type="pct"/>
            <w:gridSpan w:val="2"/>
            <w:vMerge/>
            <w:tcBorders>
              <w:top w:val="single" w:sz="4" w:space="0" w:color="auto"/>
              <w:left w:val="single" w:sz="4" w:space="0" w:color="auto"/>
              <w:bottom w:val="single" w:sz="4" w:space="0" w:color="auto"/>
              <w:right w:val="single" w:sz="4" w:space="0" w:color="auto"/>
            </w:tcBorders>
            <w:vAlign w:val="center"/>
          </w:tcPr>
          <w:p w14:paraId="20E8358C" w14:textId="77777777" w:rsidR="00EF3DD2" w:rsidRPr="00AE2F09" w:rsidRDefault="00EF3DD2" w:rsidP="00EF3DD2">
            <w:pPr>
              <w:pStyle w:val="In-tableHeading"/>
              <w:jc w:val="center"/>
              <w:rPr>
                <w:lang w:val="en-AU"/>
              </w:rPr>
            </w:pPr>
          </w:p>
        </w:tc>
      </w:tr>
      <w:tr w:rsidR="00EF3DD2" w:rsidRPr="00AE2F09" w14:paraId="19B05726" w14:textId="77777777" w:rsidTr="002F3F00">
        <w:trPr>
          <w:cantSplit/>
        </w:trPr>
        <w:tc>
          <w:tcPr>
            <w:tcW w:w="5000" w:type="pct"/>
            <w:gridSpan w:val="15"/>
            <w:tcBorders>
              <w:top w:val="single" w:sz="4" w:space="0" w:color="auto"/>
              <w:left w:val="single" w:sz="4" w:space="0" w:color="auto"/>
              <w:bottom w:val="double" w:sz="4" w:space="0" w:color="auto"/>
              <w:right w:val="single" w:sz="4" w:space="0" w:color="auto"/>
            </w:tcBorders>
            <w:shd w:val="clear" w:color="auto" w:fill="auto"/>
            <w:vAlign w:val="center"/>
          </w:tcPr>
          <w:p w14:paraId="466E89FC" w14:textId="77777777" w:rsidR="00EF3DD2" w:rsidRPr="00AE2F09" w:rsidRDefault="00EF3DD2" w:rsidP="002F3F00">
            <w:pPr>
              <w:pStyle w:val="In-tableHeading"/>
              <w:rPr>
                <w:lang w:val="en-AU"/>
              </w:rPr>
            </w:pPr>
            <w:r w:rsidRPr="00AE2F09">
              <w:rPr>
                <w:lang w:val="en-AU"/>
              </w:rPr>
              <w:t>Benefits</w:t>
            </w:r>
          </w:p>
        </w:tc>
      </w:tr>
      <w:tr w:rsidR="00EF3DD2" w:rsidRPr="00AE2F09" w14:paraId="738FD801" w14:textId="77777777" w:rsidTr="002F3F00">
        <w:trPr>
          <w:cantSplit/>
        </w:trPr>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1D0C150A" w14:textId="0B54EF13" w:rsidR="00EF3DD2" w:rsidRPr="00AE2F09" w:rsidRDefault="00EF3DD2" w:rsidP="002F3F00">
            <w:pPr>
              <w:pStyle w:val="In-tableHeading"/>
              <w:rPr>
                <w:lang w:val="en-AU"/>
              </w:rPr>
            </w:pPr>
            <w:r w:rsidRPr="00AE2F09">
              <w:rPr>
                <w:lang w:val="en-AU"/>
              </w:rPr>
              <w:t>Proportion achieving ≤360 µmol/L</w:t>
            </w:r>
          </w:p>
        </w:tc>
      </w:tr>
      <w:tr w:rsidR="00EF3DD2" w:rsidRPr="00AE2F09" w14:paraId="2AE42B51" w14:textId="77777777" w:rsidTr="00EF3DD2">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05E811E" w14:textId="27D66D03" w:rsidR="00EF3DD2" w:rsidRPr="00AE2F09" w:rsidRDefault="00EF3DD2" w:rsidP="002F3F00">
            <w:pPr>
              <w:pStyle w:val="TableText0"/>
            </w:pPr>
            <w:r w:rsidRPr="00AE2F09">
              <w:t>PRISM</w:t>
            </w:r>
            <w:r w:rsidR="00BB128C">
              <w:t xml:space="preserve"> </w:t>
            </w:r>
            <w:r w:rsidRPr="00AE2F09">
              <w:t>2 Part 2</w:t>
            </w:r>
          </w:p>
        </w:tc>
        <w:tc>
          <w:tcPr>
            <w:tcW w:w="566" w:type="pct"/>
            <w:gridSpan w:val="2"/>
            <w:tcBorders>
              <w:top w:val="single" w:sz="4" w:space="0" w:color="auto"/>
              <w:left w:val="single" w:sz="4" w:space="0" w:color="auto"/>
              <w:bottom w:val="single" w:sz="4" w:space="0" w:color="auto"/>
              <w:right w:val="single" w:sz="4" w:space="0" w:color="auto"/>
            </w:tcBorders>
            <w:vAlign w:val="center"/>
          </w:tcPr>
          <w:p w14:paraId="748C4552" w14:textId="597BF036" w:rsidR="00EF3DD2" w:rsidRPr="00AE2F09" w:rsidRDefault="001C470C" w:rsidP="002F3F00">
            <w:pPr>
              <w:pStyle w:val="TableText0"/>
              <w:jc w:val="center"/>
            </w:pPr>
            <w:r w:rsidRPr="00AE2F09">
              <w:t>25/49</w:t>
            </w:r>
          </w:p>
        </w:tc>
        <w:tc>
          <w:tcPr>
            <w:tcW w:w="712" w:type="pct"/>
            <w:gridSpan w:val="2"/>
            <w:tcBorders>
              <w:top w:val="single" w:sz="4" w:space="0" w:color="auto"/>
              <w:left w:val="single" w:sz="4" w:space="0" w:color="auto"/>
              <w:bottom w:val="single" w:sz="4" w:space="0" w:color="auto"/>
              <w:right w:val="single" w:sz="4" w:space="0" w:color="auto"/>
            </w:tcBorders>
            <w:vAlign w:val="center"/>
          </w:tcPr>
          <w:p w14:paraId="444C4A82" w14:textId="6DCB0DAF" w:rsidR="00EF3DD2" w:rsidRPr="00AE2F09" w:rsidRDefault="001C470C" w:rsidP="002F3F00">
            <w:pPr>
              <w:pStyle w:val="TableText0"/>
              <w:jc w:val="center"/>
            </w:pPr>
            <w:r w:rsidRPr="00AE2F09">
              <w:t>0/23</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69F7643A" w14:textId="7C9B85E0" w:rsidR="00EF3DD2" w:rsidRPr="00AE2F09" w:rsidRDefault="00354E83" w:rsidP="002F3F00">
            <w:pPr>
              <w:pStyle w:val="TableText0"/>
              <w:jc w:val="center"/>
            </w:pPr>
            <w:r w:rsidRPr="00AE2F09">
              <w:t>24.5 (3.53, NA)</w:t>
            </w:r>
          </w:p>
        </w:tc>
        <w:tc>
          <w:tcPr>
            <w:tcW w:w="678" w:type="pct"/>
            <w:gridSpan w:val="3"/>
            <w:tcBorders>
              <w:top w:val="single" w:sz="4" w:space="0" w:color="auto"/>
              <w:left w:val="single" w:sz="4" w:space="0" w:color="auto"/>
              <w:bottom w:val="single" w:sz="4" w:space="0" w:color="auto"/>
              <w:right w:val="single" w:sz="4" w:space="0" w:color="auto"/>
            </w:tcBorders>
            <w:vAlign w:val="center"/>
          </w:tcPr>
          <w:p w14:paraId="52CCEFD8" w14:textId="03CBEEC6" w:rsidR="00EF3DD2" w:rsidRPr="00AE2F09" w:rsidRDefault="001C470C" w:rsidP="002F3F00">
            <w:pPr>
              <w:pStyle w:val="TableText0"/>
              <w:jc w:val="center"/>
            </w:pPr>
            <w:r w:rsidRPr="00AE2F09">
              <w:t>51</w:t>
            </w:r>
          </w:p>
        </w:tc>
        <w:tc>
          <w:tcPr>
            <w:tcW w:w="625" w:type="pct"/>
            <w:gridSpan w:val="2"/>
            <w:tcBorders>
              <w:top w:val="single" w:sz="4" w:space="0" w:color="auto"/>
              <w:left w:val="single" w:sz="4" w:space="0" w:color="auto"/>
              <w:bottom w:val="single" w:sz="4" w:space="0" w:color="auto"/>
              <w:right w:val="single" w:sz="4" w:space="0" w:color="auto"/>
            </w:tcBorders>
            <w:vAlign w:val="center"/>
          </w:tcPr>
          <w:p w14:paraId="1B1A0517" w14:textId="4193CF30" w:rsidR="00EF3DD2" w:rsidRPr="00AE2F09" w:rsidRDefault="001C470C" w:rsidP="002F3F00">
            <w:pPr>
              <w:pStyle w:val="TableText0"/>
              <w:jc w:val="center"/>
            </w:pPr>
            <w:r w:rsidRPr="00AE2F09">
              <w:t>0</w:t>
            </w:r>
          </w:p>
        </w:tc>
        <w:tc>
          <w:tcPr>
            <w:tcW w:w="852" w:type="pct"/>
            <w:gridSpan w:val="2"/>
            <w:tcBorders>
              <w:top w:val="single" w:sz="4" w:space="0" w:color="auto"/>
              <w:left w:val="single" w:sz="4" w:space="0" w:color="auto"/>
              <w:bottom w:val="single" w:sz="4" w:space="0" w:color="auto"/>
              <w:right w:val="single" w:sz="4" w:space="0" w:color="auto"/>
            </w:tcBorders>
            <w:vAlign w:val="center"/>
          </w:tcPr>
          <w:p w14:paraId="11BD6BFB" w14:textId="602C1C7D" w:rsidR="00EF3DD2" w:rsidRPr="00AE2F09" w:rsidRDefault="00A779BE" w:rsidP="002F3F00">
            <w:pPr>
              <w:pStyle w:val="TableText0"/>
              <w:jc w:val="center"/>
            </w:pPr>
            <w:r w:rsidRPr="00AE2F09">
              <w:t>0.51 (0.35, 0.65)</w:t>
            </w:r>
          </w:p>
        </w:tc>
      </w:tr>
      <w:tr w:rsidR="00774AF7" w:rsidRPr="00AE2F09" w14:paraId="5580BE47" w14:textId="77777777" w:rsidTr="00FD7CD0">
        <w:trPr>
          <w:cantSplit/>
        </w:trPr>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32613025" w14:textId="77777777" w:rsidR="00774AF7" w:rsidRPr="00AE2F09" w:rsidRDefault="00774AF7" w:rsidP="00FD7CD0">
            <w:pPr>
              <w:pStyle w:val="In-tableHeading"/>
              <w:rPr>
                <w:lang w:val="en-AU"/>
              </w:rPr>
            </w:pPr>
            <w:r w:rsidRPr="00AE2F09">
              <w:rPr>
                <w:lang w:val="en-AU"/>
              </w:rPr>
              <w:t>Change from baseline blood Phe levels</w:t>
            </w:r>
          </w:p>
        </w:tc>
      </w:tr>
      <w:tr w:rsidR="00774AF7" w:rsidRPr="00AE2F09" w14:paraId="478684EB" w14:textId="77777777" w:rsidTr="0079201A">
        <w:trPr>
          <w:cantSplit/>
          <w:trHeight w:val="225"/>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7108488" w14:textId="77777777" w:rsidR="00774AF7" w:rsidRPr="00AE2F09" w:rsidRDefault="00774AF7" w:rsidP="00FD7CD0">
            <w:pPr>
              <w:pStyle w:val="TableText0"/>
              <w:rPr>
                <w:b/>
                <w:bCs w:val="0"/>
              </w:rPr>
            </w:pPr>
            <w:r w:rsidRPr="00AE2F09">
              <w:rPr>
                <w:b/>
                <w:bCs w:val="0"/>
              </w:rPr>
              <w:t>Trial</w:t>
            </w:r>
          </w:p>
        </w:tc>
        <w:tc>
          <w:tcPr>
            <w:tcW w:w="1425" w:type="pct"/>
            <w:gridSpan w:val="5"/>
            <w:tcBorders>
              <w:top w:val="single" w:sz="4" w:space="0" w:color="auto"/>
              <w:left w:val="single" w:sz="4" w:space="0" w:color="auto"/>
              <w:bottom w:val="single" w:sz="4" w:space="0" w:color="auto"/>
              <w:right w:val="single" w:sz="4" w:space="0" w:color="auto"/>
            </w:tcBorders>
            <w:vAlign w:val="center"/>
          </w:tcPr>
          <w:p w14:paraId="5FB92DF8" w14:textId="77777777" w:rsidR="00774AF7" w:rsidRPr="00AE2F09" w:rsidRDefault="00774AF7" w:rsidP="00FD7CD0">
            <w:pPr>
              <w:pStyle w:val="In-tableHeading"/>
              <w:jc w:val="center"/>
              <w:rPr>
                <w:lang w:val="en-AU"/>
              </w:rPr>
            </w:pPr>
            <w:r w:rsidRPr="00AE2F09">
              <w:rPr>
                <w:lang w:val="en-AU"/>
              </w:rPr>
              <w:t>Pegvaliase</w:t>
            </w:r>
          </w:p>
        </w:tc>
        <w:tc>
          <w:tcPr>
            <w:tcW w:w="1565" w:type="pct"/>
            <w:gridSpan w:val="6"/>
            <w:tcBorders>
              <w:top w:val="single" w:sz="4" w:space="0" w:color="auto"/>
              <w:left w:val="single" w:sz="4" w:space="0" w:color="auto"/>
              <w:bottom w:val="single" w:sz="4" w:space="0" w:color="auto"/>
              <w:right w:val="single" w:sz="4" w:space="0" w:color="auto"/>
            </w:tcBorders>
            <w:vAlign w:val="center"/>
          </w:tcPr>
          <w:p w14:paraId="5E2577C1" w14:textId="77777777" w:rsidR="00774AF7" w:rsidRPr="00AE2F09" w:rsidRDefault="00774AF7" w:rsidP="00FD7CD0">
            <w:pPr>
              <w:pStyle w:val="In-tableHeading"/>
              <w:jc w:val="center"/>
              <w:rPr>
                <w:vertAlign w:val="superscript"/>
                <w:lang w:val="en-AU"/>
              </w:rPr>
            </w:pPr>
            <w:r w:rsidRPr="00AE2F09">
              <w:rPr>
                <w:lang w:val="en-AU"/>
              </w:rPr>
              <w:t xml:space="preserve">Placebo </w:t>
            </w:r>
            <w:r w:rsidRPr="00AE2F09">
              <w:rPr>
                <w:vertAlign w:val="superscript"/>
                <w:lang w:val="en-AU"/>
              </w:rPr>
              <w:t>¥</w:t>
            </w:r>
          </w:p>
        </w:tc>
        <w:tc>
          <w:tcPr>
            <w:tcW w:w="1305" w:type="pct"/>
            <w:gridSpan w:val="3"/>
            <w:vMerge w:val="restart"/>
            <w:tcBorders>
              <w:top w:val="single" w:sz="4" w:space="0" w:color="auto"/>
              <w:left w:val="single" w:sz="4" w:space="0" w:color="auto"/>
              <w:bottom w:val="single" w:sz="4" w:space="0" w:color="auto"/>
              <w:right w:val="single" w:sz="4" w:space="0" w:color="auto"/>
            </w:tcBorders>
            <w:vAlign w:val="center"/>
          </w:tcPr>
          <w:p w14:paraId="5E702032" w14:textId="499D483E" w:rsidR="00774AF7" w:rsidRPr="00AE2F09" w:rsidRDefault="00774AF7" w:rsidP="00FD7CD0">
            <w:pPr>
              <w:pStyle w:val="In-tableHeading"/>
              <w:jc w:val="center"/>
              <w:rPr>
                <w:lang w:val="en-AU"/>
              </w:rPr>
            </w:pPr>
            <w:r w:rsidRPr="00AE2F09">
              <w:rPr>
                <w:lang w:val="en-AU"/>
              </w:rPr>
              <w:t>Mean difference</w:t>
            </w:r>
          </w:p>
          <w:p w14:paraId="0E900C63" w14:textId="77777777" w:rsidR="00774AF7" w:rsidRPr="00AE2F09" w:rsidRDefault="00774AF7" w:rsidP="00FD7CD0">
            <w:pPr>
              <w:pStyle w:val="In-tableHeading"/>
              <w:jc w:val="center"/>
              <w:rPr>
                <w:szCs w:val="18"/>
                <w:lang w:val="en-AU"/>
              </w:rPr>
            </w:pPr>
            <w:r w:rsidRPr="00AE2F09">
              <w:rPr>
                <w:szCs w:val="18"/>
                <w:lang w:val="en-AU"/>
              </w:rPr>
              <w:t>Pegvaliase vs. placebo</w:t>
            </w:r>
          </w:p>
          <w:p w14:paraId="4737ECDC" w14:textId="77777777" w:rsidR="00774AF7" w:rsidRPr="00AE2F09" w:rsidRDefault="00774AF7" w:rsidP="00FD7CD0">
            <w:pPr>
              <w:pStyle w:val="In-tableHeading"/>
              <w:jc w:val="center"/>
              <w:rPr>
                <w:szCs w:val="18"/>
                <w:lang w:val="en-AU"/>
              </w:rPr>
            </w:pPr>
            <w:r w:rsidRPr="00AE2F09">
              <w:rPr>
                <w:szCs w:val="18"/>
                <w:lang w:val="en-AU"/>
              </w:rPr>
              <w:t>(95% CI)</w:t>
            </w:r>
          </w:p>
        </w:tc>
      </w:tr>
      <w:tr w:rsidR="00774AF7" w:rsidRPr="00AE2F09" w14:paraId="4C4E14CB" w14:textId="77777777" w:rsidTr="0079201A">
        <w:trPr>
          <w:cantSplit/>
          <w:trHeight w:val="225"/>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EA612C7" w14:textId="77777777" w:rsidR="00774AF7" w:rsidRPr="00AE2F09" w:rsidRDefault="00774AF7" w:rsidP="00FD7CD0">
            <w:pPr>
              <w:keepNext/>
              <w:keepLines/>
              <w:rPr>
                <w:rFonts w:ascii="Arial Narrow" w:hAnsi="Arial Narrow"/>
                <w:sz w:val="20"/>
                <w:szCs w:val="18"/>
              </w:rPr>
            </w:pPr>
          </w:p>
        </w:tc>
        <w:tc>
          <w:tcPr>
            <w:tcW w:w="319" w:type="pct"/>
            <w:tcBorders>
              <w:top w:val="single" w:sz="4" w:space="0" w:color="auto"/>
              <w:left w:val="single" w:sz="4" w:space="0" w:color="auto"/>
              <w:bottom w:val="single" w:sz="4" w:space="0" w:color="auto"/>
              <w:right w:val="single" w:sz="4" w:space="0" w:color="auto"/>
            </w:tcBorders>
            <w:vAlign w:val="center"/>
          </w:tcPr>
          <w:p w14:paraId="142B02E2" w14:textId="77777777" w:rsidR="00774AF7" w:rsidRPr="00AE2F09" w:rsidRDefault="00774AF7" w:rsidP="00FD7CD0">
            <w:pPr>
              <w:pStyle w:val="In-tableHeading"/>
              <w:jc w:val="center"/>
              <w:rPr>
                <w:lang w:val="en-AU"/>
              </w:rPr>
            </w:pPr>
            <w:r w:rsidRPr="00AE2F09">
              <w:rPr>
                <w:lang w:val="en-AU"/>
              </w:rPr>
              <w:t>N</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511A607B" w14:textId="158F47F1" w:rsidR="00774AF7" w:rsidRPr="00AE2F09" w:rsidRDefault="00774AF7" w:rsidP="00FD7CD0">
            <w:pPr>
              <w:pStyle w:val="In-tableHeading"/>
              <w:jc w:val="center"/>
              <w:rPr>
                <w:lang w:val="en-AU"/>
              </w:rPr>
            </w:pPr>
            <w:r w:rsidRPr="00AE2F09">
              <w:rPr>
                <w:lang w:val="en-AU"/>
              </w:rPr>
              <w:t xml:space="preserve">Mean ∆ baseline </w:t>
            </w:r>
            <w:r w:rsidR="00B761FD" w:rsidRPr="00AE2F09">
              <w:rPr>
                <w:lang w:val="en-AU"/>
              </w:rPr>
              <w:t xml:space="preserve"> (µmol/L)</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7BF43A5A" w14:textId="77777777" w:rsidR="00774AF7" w:rsidRPr="00AE2F09" w:rsidRDefault="00774AF7" w:rsidP="00FD7CD0">
            <w:pPr>
              <w:pStyle w:val="In-tableHeading"/>
              <w:jc w:val="center"/>
              <w:rPr>
                <w:lang w:val="en-AU"/>
              </w:rPr>
            </w:pPr>
            <w:r w:rsidRPr="00AE2F09">
              <w:rPr>
                <w:lang w:val="en-AU"/>
              </w:rPr>
              <w:t>SD</w:t>
            </w:r>
          </w:p>
        </w:tc>
        <w:tc>
          <w:tcPr>
            <w:tcW w:w="465" w:type="pct"/>
            <w:tcBorders>
              <w:top w:val="single" w:sz="4" w:space="0" w:color="auto"/>
              <w:left w:val="single" w:sz="4" w:space="0" w:color="auto"/>
              <w:bottom w:val="single" w:sz="4" w:space="0" w:color="auto"/>
              <w:right w:val="single" w:sz="4" w:space="0" w:color="auto"/>
            </w:tcBorders>
            <w:vAlign w:val="center"/>
          </w:tcPr>
          <w:p w14:paraId="636F8F92" w14:textId="77777777" w:rsidR="00774AF7" w:rsidRPr="00AE2F09" w:rsidRDefault="00774AF7" w:rsidP="00FD7CD0">
            <w:pPr>
              <w:pStyle w:val="In-tableHeading"/>
              <w:jc w:val="center"/>
              <w:rPr>
                <w:lang w:val="en-AU"/>
              </w:rPr>
            </w:pPr>
            <w:r w:rsidRPr="00AE2F09">
              <w:rPr>
                <w:lang w:val="en-AU"/>
              </w:rPr>
              <w:t>N</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49E3BE10" w14:textId="6706F13A" w:rsidR="00774AF7" w:rsidRPr="00AE2F09" w:rsidRDefault="00774AF7" w:rsidP="00FD7CD0">
            <w:pPr>
              <w:pStyle w:val="In-tableHeading"/>
              <w:jc w:val="center"/>
              <w:rPr>
                <w:lang w:val="en-AU"/>
              </w:rPr>
            </w:pPr>
            <w:r w:rsidRPr="00AE2F09">
              <w:rPr>
                <w:lang w:val="en-AU"/>
              </w:rPr>
              <w:t>Mean ∆ baseline</w:t>
            </w:r>
            <w:r w:rsidR="00B761FD" w:rsidRPr="00AE2F09">
              <w:rPr>
                <w:lang w:val="en-AU"/>
              </w:rPr>
              <w:t xml:space="preserve"> (µmol/L)</w:t>
            </w:r>
            <w:r w:rsidRPr="00AE2F09">
              <w:rPr>
                <w:lang w:val="en-AU"/>
              </w:rPr>
              <w:t xml:space="preserve"> </w:t>
            </w:r>
            <w:r w:rsidR="00B761FD" w:rsidRPr="00AE2F09" w:rsidDel="00B761FD">
              <w:rPr>
                <w:lang w:val="en-AU"/>
              </w:rPr>
              <w:t xml:space="preserve"> </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40FF467A" w14:textId="77777777" w:rsidR="00774AF7" w:rsidRPr="00AE2F09" w:rsidRDefault="00774AF7" w:rsidP="00FD7CD0">
            <w:pPr>
              <w:pStyle w:val="In-tableHeading"/>
              <w:jc w:val="center"/>
              <w:rPr>
                <w:lang w:val="en-AU"/>
              </w:rPr>
            </w:pPr>
            <w:r w:rsidRPr="00AE2F09">
              <w:rPr>
                <w:lang w:val="en-AU"/>
              </w:rPr>
              <w:t>SD</w:t>
            </w:r>
          </w:p>
        </w:tc>
        <w:tc>
          <w:tcPr>
            <w:tcW w:w="1305" w:type="pct"/>
            <w:gridSpan w:val="3"/>
            <w:vMerge/>
            <w:tcBorders>
              <w:top w:val="single" w:sz="4" w:space="0" w:color="auto"/>
              <w:left w:val="single" w:sz="4" w:space="0" w:color="auto"/>
              <w:bottom w:val="single" w:sz="4" w:space="0" w:color="auto"/>
              <w:right w:val="single" w:sz="4" w:space="0" w:color="auto"/>
            </w:tcBorders>
            <w:vAlign w:val="center"/>
          </w:tcPr>
          <w:p w14:paraId="1C3F87EB" w14:textId="77777777" w:rsidR="00774AF7" w:rsidRPr="00AE2F09" w:rsidRDefault="00774AF7" w:rsidP="00FD7CD0">
            <w:pPr>
              <w:keepNext/>
              <w:keepLines/>
              <w:jc w:val="center"/>
              <w:rPr>
                <w:rFonts w:ascii="Arial Narrow" w:hAnsi="Arial Narrow"/>
                <w:b/>
                <w:sz w:val="20"/>
                <w:szCs w:val="18"/>
              </w:rPr>
            </w:pPr>
          </w:p>
        </w:tc>
      </w:tr>
      <w:tr w:rsidR="00774AF7" w:rsidRPr="00AE2F09" w14:paraId="5B206841" w14:textId="77777777" w:rsidTr="0079201A">
        <w:trPr>
          <w:cantSplit/>
        </w:trPr>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808217" w14:textId="77777777" w:rsidR="00774AF7" w:rsidRPr="00AE2F09" w:rsidRDefault="00774AF7" w:rsidP="00FD7CD0">
            <w:pPr>
              <w:pStyle w:val="TableText0"/>
            </w:pPr>
            <w:r w:rsidRPr="00AE2F09">
              <w:t>PRISM 2 Part 2</w:t>
            </w:r>
          </w:p>
        </w:tc>
        <w:tc>
          <w:tcPr>
            <w:tcW w:w="319" w:type="pct"/>
            <w:tcBorders>
              <w:top w:val="single" w:sz="4" w:space="0" w:color="auto"/>
              <w:left w:val="single" w:sz="4" w:space="0" w:color="auto"/>
              <w:bottom w:val="single" w:sz="4" w:space="0" w:color="auto"/>
              <w:right w:val="single" w:sz="4" w:space="0" w:color="auto"/>
            </w:tcBorders>
            <w:vAlign w:val="center"/>
          </w:tcPr>
          <w:p w14:paraId="5F0B9E18" w14:textId="77777777" w:rsidR="00774AF7" w:rsidRPr="00AE2F09" w:rsidRDefault="00774AF7" w:rsidP="00FD7CD0">
            <w:pPr>
              <w:pStyle w:val="TableText0"/>
              <w:jc w:val="center"/>
            </w:pPr>
            <w:r w:rsidRPr="00AE2F09">
              <w:t>58</w:t>
            </w:r>
          </w:p>
        </w:tc>
        <w:tc>
          <w:tcPr>
            <w:tcW w:w="549" w:type="pct"/>
            <w:gridSpan w:val="2"/>
            <w:tcBorders>
              <w:top w:val="single" w:sz="4" w:space="0" w:color="auto"/>
              <w:left w:val="single" w:sz="4" w:space="0" w:color="auto"/>
              <w:bottom w:val="single" w:sz="4" w:space="0" w:color="auto"/>
              <w:right w:val="single" w:sz="4" w:space="0" w:color="auto"/>
            </w:tcBorders>
            <w:vAlign w:val="center"/>
          </w:tcPr>
          <w:p w14:paraId="5BBCF494" w14:textId="77777777" w:rsidR="00774AF7" w:rsidRPr="00AE2F09" w:rsidRDefault="00774AF7" w:rsidP="00FD7CD0">
            <w:pPr>
              <w:pStyle w:val="TableText0"/>
              <w:jc w:val="center"/>
            </w:pPr>
            <w:r w:rsidRPr="00AE2F09">
              <w:t>18.6</w:t>
            </w:r>
          </w:p>
        </w:tc>
        <w:tc>
          <w:tcPr>
            <w:tcW w:w="557" w:type="pct"/>
            <w:gridSpan w:val="2"/>
            <w:tcBorders>
              <w:top w:val="single" w:sz="4" w:space="0" w:color="auto"/>
              <w:left w:val="single" w:sz="4" w:space="0" w:color="auto"/>
              <w:bottom w:val="single" w:sz="4" w:space="0" w:color="auto"/>
              <w:right w:val="single" w:sz="4" w:space="0" w:color="auto"/>
            </w:tcBorders>
            <w:vAlign w:val="center"/>
          </w:tcPr>
          <w:p w14:paraId="7AFFC740" w14:textId="77777777" w:rsidR="00774AF7" w:rsidRPr="00AE2F09" w:rsidRDefault="00774AF7" w:rsidP="00FD7CD0">
            <w:pPr>
              <w:pStyle w:val="TableText0"/>
              <w:jc w:val="center"/>
            </w:pPr>
            <w:r w:rsidRPr="00AE2F09">
              <w:t>279.43</w:t>
            </w:r>
          </w:p>
        </w:tc>
        <w:tc>
          <w:tcPr>
            <w:tcW w:w="465" w:type="pct"/>
            <w:tcBorders>
              <w:top w:val="single" w:sz="4" w:space="0" w:color="auto"/>
              <w:left w:val="single" w:sz="4" w:space="0" w:color="auto"/>
              <w:bottom w:val="single" w:sz="4" w:space="0" w:color="auto"/>
              <w:right w:val="single" w:sz="4" w:space="0" w:color="auto"/>
            </w:tcBorders>
            <w:vAlign w:val="center"/>
          </w:tcPr>
          <w:p w14:paraId="418BDB42" w14:textId="77777777" w:rsidR="00774AF7" w:rsidRPr="00AE2F09" w:rsidRDefault="00774AF7" w:rsidP="00FD7CD0">
            <w:pPr>
              <w:pStyle w:val="TableText0"/>
              <w:jc w:val="center"/>
            </w:pPr>
            <w:r w:rsidRPr="00AE2F09">
              <w:t>14</w:t>
            </w:r>
          </w:p>
        </w:tc>
        <w:tc>
          <w:tcPr>
            <w:tcW w:w="551" w:type="pct"/>
            <w:gridSpan w:val="2"/>
            <w:tcBorders>
              <w:top w:val="single" w:sz="4" w:space="0" w:color="auto"/>
              <w:left w:val="single" w:sz="4" w:space="0" w:color="auto"/>
              <w:bottom w:val="single" w:sz="4" w:space="0" w:color="auto"/>
              <w:right w:val="single" w:sz="4" w:space="0" w:color="auto"/>
            </w:tcBorders>
            <w:vAlign w:val="center"/>
          </w:tcPr>
          <w:p w14:paraId="2D675A4E" w14:textId="77777777" w:rsidR="00774AF7" w:rsidRPr="00AE2F09" w:rsidRDefault="00774AF7" w:rsidP="00FD7CD0">
            <w:pPr>
              <w:pStyle w:val="TableText0"/>
              <w:jc w:val="center"/>
            </w:pPr>
            <w:r w:rsidRPr="00AE2F09">
              <w:t>599.0</w:t>
            </w:r>
          </w:p>
        </w:tc>
        <w:tc>
          <w:tcPr>
            <w:tcW w:w="549" w:type="pct"/>
            <w:gridSpan w:val="3"/>
            <w:tcBorders>
              <w:top w:val="single" w:sz="4" w:space="0" w:color="auto"/>
              <w:left w:val="single" w:sz="4" w:space="0" w:color="auto"/>
              <w:bottom w:val="single" w:sz="4" w:space="0" w:color="auto"/>
              <w:right w:val="single" w:sz="4" w:space="0" w:color="auto"/>
            </w:tcBorders>
            <w:vAlign w:val="center"/>
          </w:tcPr>
          <w:p w14:paraId="71002851" w14:textId="77777777" w:rsidR="00774AF7" w:rsidRPr="00AE2F09" w:rsidRDefault="00774AF7" w:rsidP="00FD7CD0">
            <w:pPr>
              <w:pStyle w:val="TableText0"/>
              <w:jc w:val="center"/>
            </w:pPr>
            <w:r w:rsidRPr="00AE2F09">
              <w:t>507.40</w:t>
            </w:r>
          </w:p>
        </w:tc>
        <w:tc>
          <w:tcPr>
            <w:tcW w:w="1305" w:type="pct"/>
            <w:gridSpan w:val="3"/>
            <w:tcBorders>
              <w:top w:val="single" w:sz="4" w:space="0" w:color="auto"/>
              <w:left w:val="single" w:sz="4" w:space="0" w:color="auto"/>
              <w:bottom w:val="single" w:sz="4" w:space="0" w:color="auto"/>
              <w:right w:val="single" w:sz="4" w:space="0" w:color="auto"/>
            </w:tcBorders>
            <w:vAlign w:val="center"/>
          </w:tcPr>
          <w:p w14:paraId="2E179E4B" w14:textId="10FE0B89" w:rsidR="00774AF7" w:rsidRPr="00AE2F09" w:rsidRDefault="00577D4B" w:rsidP="00FD7CD0">
            <w:pPr>
              <w:pStyle w:val="TableText0"/>
              <w:jc w:val="center"/>
            </w:pPr>
            <w:r w:rsidRPr="00AE2F09">
              <w:t>-</w:t>
            </w:r>
            <w:r w:rsidR="00774AF7" w:rsidRPr="00AE2F09">
              <w:t>580.4 (382, 779)</w:t>
            </w:r>
          </w:p>
        </w:tc>
      </w:tr>
      <w:tr w:rsidR="005103F2" w:rsidRPr="00AE2F09" w14:paraId="07741F5D" w14:textId="77777777" w:rsidTr="00FD7CD0">
        <w:tc>
          <w:tcPr>
            <w:tcW w:w="5000" w:type="pct"/>
            <w:gridSpan w:val="15"/>
            <w:tcBorders>
              <w:top w:val="double" w:sz="4" w:space="0" w:color="auto"/>
              <w:left w:val="single" w:sz="4" w:space="0" w:color="auto"/>
              <w:bottom w:val="single" w:sz="4" w:space="0" w:color="auto"/>
              <w:right w:val="single" w:sz="4" w:space="0" w:color="auto"/>
            </w:tcBorders>
            <w:shd w:val="clear" w:color="auto" w:fill="auto"/>
            <w:vAlign w:val="center"/>
          </w:tcPr>
          <w:p w14:paraId="122DF09B" w14:textId="77777777" w:rsidR="005103F2" w:rsidRPr="00AE2F09" w:rsidRDefault="005103F2" w:rsidP="00FD7CD0">
            <w:pPr>
              <w:pStyle w:val="In-tableHeading"/>
              <w:rPr>
                <w:lang w:val="en-AU"/>
              </w:rPr>
            </w:pPr>
            <w:r w:rsidRPr="00AE2F09">
              <w:rPr>
                <w:lang w:val="en-AU"/>
              </w:rPr>
              <w:t xml:space="preserve">Harms </w:t>
            </w:r>
          </w:p>
        </w:tc>
      </w:tr>
      <w:tr w:rsidR="005103F2" w:rsidRPr="00AE2F09" w14:paraId="5C7A8634" w14:textId="77777777" w:rsidTr="00EF3DD2">
        <w:trPr>
          <w:trHeight w:val="70"/>
        </w:trPr>
        <w:tc>
          <w:tcPr>
            <w:tcW w:w="70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3D6FB" w14:textId="77777777" w:rsidR="005103F2" w:rsidRPr="00AE2F09" w:rsidRDefault="005103F2" w:rsidP="00FD7CD0">
            <w:pPr>
              <w:pStyle w:val="In-tableHeading"/>
              <w:rPr>
                <w:lang w:val="en-AU"/>
              </w:rPr>
            </w:pPr>
          </w:p>
        </w:tc>
        <w:tc>
          <w:tcPr>
            <w:tcW w:w="566" w:type="pct"/>
            <w:gridSpan w:val="2"/>
            <w:vMerge w:val="restart"/>
            <w:tcBorders>
              <w:top w:val="single" w:sz="4" w:space="0" w:color="auto"/>
              <w:left w:val="single" w:sz="4" w:space="0" w:color="auto"/>
              <w:bottom w:val="single" w:sz="4" w:space="0" w:color="auto"/>
              <w:right w:val="single" w:sz="4" w:space="0" w:color="auto"/>
            </w:tcBorders>
            <w:vAlign w:val="center"/>
          </w:tcPr>
          <w:p w14:paraId="1BBB0466" w14:textId="0FBAD98B" w:rsidR="005103F2" w:rsidRPr="00AE2F09" w:rsidRDefault="005103F2" w:rsidP="00FD7CD0">
            <w:pPr>
              <w:pStyle w:val="In-tableHeading"/>
              <w:jc w:val="center"/>
              <w:rPr>
                <w:lang w:val="en-AU"/>
              </w:rPr>
            </w:pPr>
            <w:r w:rsidRPr="00AE2F09">
              <w:rPr>
                <w:lang w:val="en-AU"/>
              </w:rPr>
              <w:t>Pegvaliase</w:t>
            </w:r>
          </w:p>
          <w:p w14:paraId="70A46CC8" w14:textId="77777777" w:rsidR="005103F2" w:rsidRPr="00AE2F09" w:rsidRDefault="005103F2" w:rsidP="00FD7CD0">
            <w:pPr>
              <w:pStyle w:val="In-tableHeading"/>
              <w:jc w:val="center"/>
              <w:rPr>
                <w:lang w:val="en-AU"/>
              </w:rPr>
            </w:pPr>
            <w:r w:rsidRPr="00AE2F09">
              <w:rPr>
                <w:lang w:val="en-AU"/>
              </w:rPr>
              <w:t>n/N</w:t>
            </w:r>
          </w:p>
        </w:tc>
        <w:tc>
          <w:tcPr>
            <w:tcW w:w="712" w:type="pct"/>
            <w:gridSpan w:val="2"/>
            <w:vMerge w:val="restart"/>
            <w:tcBorders>
              <w:top w:val="single" w:sz="4" w:space="0" w:color="auto"/>
              <w:left w:val="single" w:sz="4" w:space="0" w:color="auto"/>
              <w:bottom w:val="single" w:sz="4" w:space="0" w:color="auto"/>
              <w:right w:val="single" w:sz="4" w:space="0" w:color="auto"/>
            </w:tcBorders>
            <w:vAlign w:val="center"/>
          </w:tcPr>
          <w:p w14:paraId="41BCA11F" w14:textId="4ACE6BB7" w:rsidR="005103F2" w:rsidRPr="00AE2F09" w:rsidRDefault="005103F2" w:rsidP="00FD7CD0">
            <w:pPr>
              <w:pStyle w:val="In-tableHeading"/>
              <w:jc w:val="center"/>
              <w:rPr>
                <w:lang w:val="en-AU"/>
              </w:rPr>
            </w:pPr>
            <w:r w:rsidRPr="00AE2F09">
              <w:rPr>
                <w:lang w:val="en-AU"/>
              </w:rPr>
              <w:t>Placebo</w:t>
            </w:r>
          </w:p>
          <w:p w14:paraId="7C7E0431" w14:textId="77777777" w:rsidR="005103F2" w:rsidRPr="00AE2F09" w:rsidRDefault="005103F2" w:rsidP="00FD7CD0">
            <w:pPr>
              <w:pStyle w:val="In-tableHeading"/>
              <w:jc w:val="center"/>
              <w:rPr>
                <w:lang w:val="en-AU"/>
              </w:rPr>
            </w:pPr>
            <w:r w:rsidRPr="00AE2F09">
              <w:rPr>
                <w:lang w:val="en-AU"/>
              </w:rPr>
              <w:t>n/N</w:t>
            </w:r>
          </w:p>
        </w:tc>
        <w:tc>
          <w:tcPr>
            <w:tcW w:w="862" w:type="pct"/>
            <w:gridSpan w:val="3"/>
            <w:vMerge w:val="restart"/>
            <w:tcBorders>
              <w:top w:val="single" w:sz="4" w:space="0" w:color="auto"/>
              <w:left w:val="single" w:sz="4" w:space="0" w:color="auto"/>
              <w:bottom w:val="single" w:sz="4" w:space="0" w:color="auto"/>
              <w:right w:val="single" w:sz="4" w:space="0" w:color="auto"/>
            </w:tcBorders>
            <w:vAlign w:val="center"/>
          </w:tcPr>
          <w:p w14:paraId="0973B527" w14:textId="77777777" w:rsidR="005103F2" w:rsidRPr="00AE2F09" w:rsidRDefault="005103F2" w:rsidP="00FD7CD0">
            <w:pPr>
              <w:pStyle w:val="In-tableHeading"/>
              <w:jc w:val="center"/>
              <w:rPr>
                <w:lang w:val="en-AU"/>
              </w:rPr>
            </w:pPr>
            <w:r w:rsidRPr="00AE2F09">
              <w:rPr>
                <w:lang w:val="en-AU"/>
              </w:rPr>
              <w:t>RR</w:t>
            </w:r>
          </w:p>
          <w:p w14:paraId="36F95BA1" w14:textId="77777777" w:rsidR="005103F2" w:rsidRPr="00AE2F09" w:rsidRDefault="005103F2" w:rsidP="00FD7CD0">
            <w:pPr>
              <w:pStyle w:val="In-tableHeading"/>
              <w:jc w:val="center"/>
              <w:rPr>
                <w:lang w:val="en-AU"/>
              </w:rPr>
            </w:pPr>
            <w:r w:rsidRPr="00AE2F09">
              <w:rPr>
                <w:lang w:val="en-AU"/>
              </w:rPr>
              <w:t>(95% CI)</w:t>
            </w:r>
          </w:p>
        </w:tc>
        <w:tc>
          <w:tcPr>
            <w:tcW w:w="1383" w:type="pct"/>
            <w:gridSpan w:val="6"/>
            <w:tcBorders>
              <w:top w:val="single" w:sz="4" w:space="0" w:color="auto"/>
              <w:left w:val="single" w:sz="4" w:space="0" w:color="auto"/>
              <w:bottom w:val="single" w:sz="4" w:space="0" w:color="auto"/>
              <w:right w:val="single" w:sz="4" w:space="0" w:color="auto"/>
            </w:tcBorders>
            <w:vAlign w:val="center"/>
          </w:tcPr>
          <w:p w14:paraId="173D0DC0" w14:textId="31E948EB" w:rsidR="005103F2" w:rsidRPr="00AE2F09" w:rsidRDefault="005103F2" w:rsidP="00FD7CD0">
            <w:pPr>
              <w:pStyle w:val="In-tableHeading"/>
              <w:jc w:val="center"/>
              <w:rPr>
                <w:lang w:val="en-AU"/>
              </w:rPr>
            </w:pPr>
            <w:r w:rsidRPr="00AE2F09">
              <w:rPr>
                <w:lang w:val="en-AU"/>
              </w:rPr>
              <w:t>Event rate/100 patients</w:t>
            </w:r>
          </w:p>
        </w:tc>
        <w:tc>
          <w:tcPr>
            <w:tcW w:w="772" w:type="pct"/>
            <w:vMerge w:val="restart"/>
            <w:tcBorders>
              <w:top w:val="single" w:sz="4" w:space="0" w:color="auto"/>
              <w:left w:val="single" w:sz="4" w:space="0" w:color="auto"/>
              <w:bottom w:val="single" w:sz="4" w:space="0" w:color="auto"/>
              <w:right w:val="single" w:sz="4" w:space="0" w:color="auto"/>
            </w:tcBorders>
            <w:vAlign w:val="center"/>
          </w:tcPr>
          <w:p w14:paraId="1C45458F" w14:textId="77777777" w:rsidR="005103F2" w:rsidRPr="00AE2F09" w:rsidRDefault="005103F2" w:rsidP="00FD7CD0">
            <w:pPr>
              <w:pStyle w:val="In-tableHeading"/>
              <w:jc w:val="center"/>
              <w:rPr>
                <w:lang w:val="en-AU"/>
              </w:rPr>
            </w:pPr>
            <w:r w:rsidRPr="00AE2F09">
              <w:rPr>
                <w:lang w:val="en-AU"/>
              </w:rPr>
              <w:t>RD</w:t>
            </w:r>
          </w:p>
          <w:p w14:paraId="288A4B61" w14:textId="77777777" w:rsidR="005103F2" w:rsidRPr="00AE2F09" w:rsidRDefault="005103F2" w:rsidP="00FD7CD0">
            <w:pPr>
              <w:pStyle w:val="In-tableHeading"/>
              <w:jc w:val="center"/>
              <w:rPr>
                <w:lang w:val="en-AU"/>
              </w:rPr>
            </w:pPr>
            <w:r w:rsidRPr="00AE2F09">
              <w:rPr>
                <w:lang w:val="en-AU"/>
              </w:rPr>
              <w:t>(95% CI)</w:t>
            </w:r>
          </w:p>
        </w:tc>
      </w:tr>
      <w:tr w:rsidR="005103F2" w:rsidRPr="00AE2F09" w14:paraId="4323342C" w14:textId="77777777" w:rsidTr="00EF3DD2">
        <w:trPr>
          <w:trHeight w:val="390"/>
        </w:trPr>
        <w:tc>
          <w:tcPr>
            <w:tcW w:w="705" w:type="pct"/>
            <w:vMerge/>
            <w:tcBorders>
              <w:top w:val="single" w:sz="4" w:space="0" w:color="auto"/>
              <w:left w:val="single" w:sz="4" w:space="0" w:color="auto"/>
              <w:bottom w:val="single" w:sz="4" w:space="0" w:color="auto"/>
              <w:right w:val="single" w:sz="4" w:space="0" w:color="auto"/>
            </w:tcBorders>
            <w:shd w:val="clear" w:color="auto" w:fill="auto"/>
            <w:vAlign w:val="center"/>
          </w:tcPr>
          <w:p w14:paraId="637B5B0B" w14:textId="77777777" w:rsidR="005103F2" w:rsidRPr="00AE2F09" w:rsidRDefault="005103F2" w:rsidP="00FD7CD0">
            <w:pPr>
              <w:pStyle w:val="In-tableHeading"/>
              <w:rPr>
                <w:lang w:val="en-AU"/>
              </w:rPr>
            </w:pPr>
          </w:p>
        </w:tc>
        <w:tc>
          <w:tcPr>
            <w:tcW w:w="566" w:type="pct"/>
            <w:gridSpan w:val="2"/>
            <w:vMerge/>
            <w:tcBorders>
              <w:top w:val="single" w:sz="4" w:space="0" w:color="auto"/>
              <w:left w:val="single" w:sz="4" w:space="0" w:color="auto"/>
              <w:bottom w:val="single" w:sz="4" w:space="0" w:color="auto"/>
              <w:right w:val="single" w:sz="4" w:space="0" w:color="auto"/>
            </w:tcBorders>
            <w:vAlign w:val="center"/>
          </w:tcPr>
          <w:p w14:paraId="0E60B341" w14:textId="77777777" w:rsidR="005103F2" w:rsidRPr="00AE2F09" w:rsidRDefault="005103F2" w:rsidP="00FD7CD0">
            <w:pPr>
              <w:pStyle w:val="In-tableHeading"/>
              <w:rPr>
                <w:lang w:val="en-AU"/>
              </w:rPr>
            </w:pPr>
          </w:p>
        </w:tc>
        <w:tc>
          <w:tcPr>
            <w:tcW w:w="712" w:type="pct"/>
            <w:gridSpan w:val="2"/>
            <w:vMerge/>
            <w:tcBorders>
              <w:top w:val="single" w:sz="4" w:space="0" w:color="auto"/>
              <w:left w:val="single" w:sz="4" w:space="0" w:color="auto"/>
              <w:bottom w:val="single" w:sz="4" w:space="0" w:color="auto"/>
              <w:right w:val="single" w:sz="4" w:space="0" w:color="auto"/>
            </w:tcBorders>
            <w:vAlign w:val="center"/>
          </w:tcPr>
          <w:p w14:paraId="2EC97A90" w14:textId="77777777" w:rsidR="005103F2" w:rsidRPr="00AE2F09" w:rsidRDefault="005103F2" w:rsidP="00FD7CD0">
            <w:pPr>
              <w:pStyle w:val="In-tableHeading"/>
              <w:rPr>
                <w:lang w:val="en-AU"/>
              </w:rPr>
            </w:pPr>
          </w:p>
        </w:tc>
        <w:tc>
          <w:tcPr>
            <w:tcW w:w="862" w:type="pct"/>
            <w:gridSpan w:val="3"/>
            <w:vMerge/>
            <w:tcBorders>
              <w:top w:val="single" w:sz="4" w:space="0" w:color="auto"/>
              <w:left w:val="single" w:sz="4" w:space="0" w:color="auto"/>
              <w:bottom w:val="single" w:sz="4" w:space="0" w:color="auto"/>
              <w:right w:val="single" w:sz="4" w:space="0" w:color="auto"/>
            </w:tcBorders>
            <w:vAlign w:val="center"/>
          </w:tcPr>
          <w:p w14:paraId="026FB7C3" w14:textId="77777777" w:rsidR="005103F2" w:rsidRPr="00AE2F09" w:rsidRDefault="005103F2" w:rsidP="00FD7CD0">
            <w:pPr>
              <w:pStyle w:val="In-tableHeading"/>
              <w:rPr>
                <w:lang w:val="en-AU"/>
              </w:rPr>
            </w:pP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12E97854" w14:textId="7F6492C9" w:rsidR="005103F2" w:rsidRPr="00AE2F09" w:rsidRDefault="00C74CAA" w:rsidP="00FD7CD0">
            <w:pPr>
              <w:pStyle w:val="In-tableHeading"/>
              <w:jc w:val="center"/>
              <w:rPr>
                <w:lang w:val="en-AU"/>
              </w:rPr>
            </w:pPr>
            <w:r w:rsidRPr="00AE2F09">
              <w:rPr>
                <w:lang w:val="en-AU"/>
              </w:rPr>
              <w:t>Pegvaliase</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733C74A7" w14:textId="7C6AECDF" w:rsidR="005103F2" w:rsidRPr="00AE2F09" w:rsidRDefault="00C74CAA" w:rsidP="00FD7CD0">
            <w:pPr>
              <w:pStyle w:val="In-tableHeading"/>
              <w:jc w:val="center"/>
              <w:rPr>
                <w:lang w:val="en-AU"/>
              </w:rPr>
            </w:pPr>
            <w:r w:rsidRPr="00AE2F09">
              <w:rPr>
                <w:lang w:val="en-AU"/>
              </w:rPr>
              <w:t>Placebo</w:t>
            </w:r>
          </w:p>
        </w:tc>
        <w:tc>
          <w:tcPr>
            <w:tcW w:w="772" w:type="pct"/>
            <w:vMerge/>
            <w:tcBorders>
              <w:top w:val="single" w:sz="4" w:space="0" w:color="auto"/>
              <w:left w:val="single" w:sz="4" w:space="0" w:color="auto"/>
              <w:bottom w:val="single" w:sz="4" w:space="0" w:color="auto"/>
              <w:right w:val="single" w:sz="4" w:space="0" w:color="auto"/>
            </w:tcBorders>
            <w:vAlign w:val="center"/>
          </w:tcPr>
          <w:p w14:paraId="71541E81" w14:textId="77777777" w:rsidR="005103F2" w:rsidRPr="00AE2F09" w:rsidRDefault="005103F2" w:rsidP="00FD7CD0">
            <w:pPr>
              <w:pStyle w:val="In-tableHeading"/>
              <w:rPr>
                <w:lang w:val="en-AU"/>
              </w:rPr>
            </w:pPr>
          </w:p>
        </w:tc>
      </w:tr>
      <w:tr w:rsidR="005103F2" w:rsidRPr="00AE2F09" w14:paraId="547D4C26" w14:textId="77777777" w:rsidTr="00FD7CD0">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389558D2" w14:textId="786654CF" w:rsidR="005103F2" w:rsidRPr="00AE2F09" w:rsidRDefault="005103F2" w:rsidP="00FD7CD0">
            <w:pPr>
              <w:pStyle w:val="In-tableHeading"/>
              <w:jc w:val="both"/>
              <w:rPr>
                <w:lang w:val="en-AU"/>
              </w:rPr>
            </w:pPr>
            <w:r w:rsidRPr="00AE2F09">
              <w:rPr>
                <w:snapToGrid w:val="0"/>
                <w:lang w:val="en-AU"/>
              </w:rPr>
              <w:t>Hypersensitivity AEs</w:t>
            </w:r>
          </w:p>
        </w:tc>
      </w:tr>
      <w:tr w:rsidR="005103F2" w:rsidRPr="00AE2F09" w14:paraId="31D8E0D6" w14:textId="77777777" w:rsidTr="00EF3DD2">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DF422B" w14:textId="4D20AB3B" w:rsidR="005103F2" w:rsidRPr="00AE2F09" w:rsidRDefault="005103F2" w:rsidP="00FD7CD0">
            <w:pPr>
              <w:pStyle w:val="TableText0"/>
            </w:pPr>
            <w:r w:rsidRPr="00AE2F09">
              <w:t>PRISM 2 Part 2</w:t>
            </w:r>
          </w:p>
        </w:tc>
        <w:tc>
          <w:tcPr>
            <w:tcW w:w="566" w:type="pct"/>
            <w:gridSpan w:val="2"/>
            <w:tcBorders>
              <w:top w:val="single" w:sz="4" w:space="0" w:color="auto"/>
              <w:left w:val="single" w:sz="4" w:space="0" w:color="auto"/>
              <w:bottom w:val="single" w:sz="4" w:space="0" w:color="auto"/>
              <w:right w:val="single" w:sz="4" w:space="0" w:color="auto"/>
            </w:tcBorders>
            <w:vAlign w:val="center"/>
          </w:tcPr>
          <w:p w14:paraId="40FA48D5" w14:textId="3459E926" w:rsidR="005103F2" w:rsidRPr="00AE2F09" w:rsidRDefault="005103F2" w:rsidP="00FD7CD0">
            <w:pPr>
              <w:pStyle w:val="TableText0"/>
              <w:jc w:val="center"/>
            </w:pPr>
            <w:r w:rsidRPr="00AE2F09">
              <w:t>26/66</w:t>
            </w:r>
          </w:p>
        </w:tc>
        <w:tc>
          <w:tcPr>
            <w:tcW w:w="712" w:type="pct"/>
            <w:gridSpan w:val="2"/>
            <w:tcBorders>
              <w:top w:val="single" w:sz="4" w:space="0" w:color="auto"/>
              <w:left w:val="single" w:sz="4" w:space="0" w:color="auto"/>
              <w:bottom w:val="single" w:sz="4" w:space="0" w:color="auto"/>
              <w:right w:val="single" w:sz="4" w:space="0" w:color="auto"/>
            </w:tcBorders>
            <w:vAlign w:val="center"/>
          </w:tcPr>
          <w:p w14:paraId="5CC8EBB8" w14:textId="647D8B5E" w:rsidR="005103F2" w:rsidRPr="00AE2F09" w:rsidRDefault="005103F2" w:rsidP="00FD7CD0">
            <w:pPr>
              <w:pStyle w:val="TableText0"/>
              <w:jc w:val="center"/>
            </w:pPr>
            <w:r w:rsidRPr="00AE2F09">
              <w:t>4/29</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7E00E007" w14:textId="2D8B2825" w:rsidR="005103F2" w:rsidRPr="00AE2F09" w:rsidRDefault="00374900" w:rsidP="00FD7CD0">
            <w:pPr>
              <w:pStyle w:val="TableText0"/>
              <w:jc w:val="center"/>
            </w:pPr>
            <w:r w:rsidRPr="00AE2F09">
              <w:t>2.86 (1.21, 7.45)</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029F59A5" w14:textId="770A598D" w:rsidR="005103F2" w:rsidRPr="00AE2F09" w:rsidRDefault="0079201A" w:rsidP="00FD7CD0">
            <w:pPr>
              <w:pStyle w:val="TableText0"/>
              <w:jc w:val="center"/>
            </w:pPr>
            <w:r w:rsidRPr="00AE2F09">
              <w:t>39.4</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363EAE0A" w14:textId="57CDECC3" w:rsidR="005103F2" w:rsidRPr="00AE2F09" w:rsidRDefault="0079201A" w:rsidP="00FD7CD0">
            <w:pPr>
              <w:pStyle w:val="TableText0"/>
              <w:jc w:val="center"/>
            </w:pPr>
            <w:r w:rsidRPr="00AE2F09">
              <w:t>13.8</w:t>
            </w:r>
          </w:p>
        </w:tc>
        <w:tc>
          <w:tcPr>
            <w:tcW w:w="772" w:type="pct"/>
            <w:tcBorders>
              <w:top w:val="single" w:sz="4" w:space="0" w:color="auto"/>
              <w:left w:val="single" w:sz="4" w:space="0" w:color="auto"/>
              <w:bottom w:val="single" w:sz="4" w:space="0" w:color="auto"/>
              <w:right w:val="single" w:sz="4" w:space="0" w:color="auto"/>
            </w:tcBorders>
            <w:vAlign w:val="center"/>
          </w:tcPr>
          <w:p w14:paraId="3CA8C6A1" w14:textId="505D8FE0" w:rsidR="005103F2" w:rsidRPr="00AE2F09" w:rsidRDefault="0079201A" w:rsidP="00FD7CD0">
            <w:pPr>
              <w:pStyle w:val="TableText0"/>
              <w:jc w:val="center"/>
            </w:pPr>
            <w:r w:rsidRPr="00AE2F09">
              <w:t>0.26 (0.08, 0.43)</w:t>
            </w:r>
          </w:p>
        </w:tc>
      </w:tr>
      <w:tr w:rsidR="005103F2" w:rsidRPr="00AE2F09" w14:paraId="03D39DC4" w14:textId="77777777" w:rsidTr="00FD7CD0">
        <w:tc>
          <w:tcPr>
            <w:tcW w:w="5000" w:type="pct"/>
            <w:gridSpan w:val="15"/>
            <w:tcBorders>
              <w:top w:val="single" w:sz="4" w:space="0" w:color="auto"/>
              <w:left w:val="single" w:sz="4" w:space="0" w:color="auto"/>
              <w:bottom w:val="single" w:sz="4" w:space="0" w:color="auto"/>
              <w:right w:val="single" w:sz="4" w:space="0" w:color="auto"/>
            </w:tcBorders>
            <w:shd w:val="clear" w:color="auto" w:fill="auto"/>
            <w:vAlign w:val="center"/>
          </w:tcPr>
          <w:p w14:paraId="68363D1E" w14:textId="41BE379B" w:rsidR="005103F2" w:rsidRPr="00AE2F09" w:rsidRDefault="005103F2" w:rsidP="00FD7CD0">
            <w:pPr>
              <w:pStyle w:val="In-tableHeading"/>
              <w:rPr>
                <w:lang w:val="en-AU"/>
              </w:rPr>
            </w:pPr>
            <w:r w:rsidRPr="00AE2F09">
              <w:rPr>
                <w:snapToGrid w:val="0"/>
                <w:lang w:val="en-AU"/>
              </w:rPr>
              <w:t>Generalised skin reaction ≥ 14 days</w:t>
            </w:r>
          </w:p>
        </w:tc>
      </w:tr>
      <w:tr w:rsidR="005103F2" w:rsidRPr="00AE2F09" w14:paraId="1AC5F0A8" w14:textId="77777777" w:rsidTr="00EF3DD2">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5810F6" w14:textId="6E5A259F" w:rsidR="005103F2" w:rsidRPr="00AE2F09" w:rsidRDefault="005103F2" w:rsidP="00FD7CD0">
            <w:pPr>
              <w:pStyle w:val="TableText0"/>
            </w:pPr>
            <w:r w:rsidRPr="00AE2F09">
              <w:t>PRISM 2 Part 2</w:t>
            </w:r>
          </w:p>
        </w:tc>
        <w:tc>
          <w:tcPr>
            <w:tcW w:w="566" w:type="pct"/>
            <w:gridSpan w:val="2"/>
            <w:tcBorders>
              <w:top w:val="single" w:sz="4" w:space="0" w:color="auto"/>
              <w:left w:val="single" w:sz="4" w:space="0" w:color="auto"/>
              <w:bottom w:val="single" w:sz="4" w:space="0" w:color="auto"/>
              <w:right w:val="single" w:sz="4" w:space="0" w:color="auto"/>
            </w:tcBorders>
            <w:vAlign w:val="center"/>
          </w:tcPr>
          <w:p w14:paraId="158FA661" w14:textId="5870F30C" w:rsidR="005103F2" w:rsidRPr="00AE2F09" w:rsidRDefault="005103F2" w:rsidP="00FD7CD0">
            <w:pPr>
              <w:pStyle w:val="TableText0"/>
              <w:jc w:val="center"/>
            </w:pPr>
            <w:r w:rsidRPr="00AE2F09">
              <w:t>7/66</w:t>
            </w:r>
          </w:p>
        </w:tc>
        <w:tc>
          <w:tcPr>
            <w:tcW w:w="712" w:type="pct"/>
            <w:gridSpan w:val="2"/>
            <w:tcBorders>
              <w:top w:val="single" w:sz="4" w:space="0" w:color="auto"/>
              <w:left w:val="single" w:sz="4" w:space="0" w:color="auto"/>
              <w:bottom w:val="single" w:sz="4" w:space="0" w:color="auto"/>
              <w:right w:val="single" w:sz="4" w:space="0" w:color="auto"/>
            </w:tcBorders>
            <w:vAlign w:val="center"/>
          </w:tcPr>
          <w:p w14:paraId="42EE9820" w14:textId="4C8A5983" w:rsidR="005103F2" w:rsidRPr="00AE2F09" w:rsidRDefault="005103F2" w:rsidP="00FD7CD0">
            <w:pPr>
              <w:pStyle w:val="TableText0"/>
              <w:jc w:val="center"/>
            </w:pPr>
            <w:r w:rsidRPr="00AE2F09">
              <w:t>0/29</w:t>
            </w:r>
          </w:p>
        </w:tc>
        <w:tc>
          <w:tcPr>
            <w:tcW w:w="862" w:type="pct"/>
            <w:gridSpan w:val="3"/>
            <w:tcBorders>
              <w:top w:val="single" w:sz="4" w:space="0" w:color="auto"/>
              <w:left w:val="single" w:sz="4" w:space="0" w:color="auto"/>
              <w:bottom w:val="single" w:sz="4" w:space="0" w:color="auto"/>
              <w:right w:val="single" w:sz="4" w:space="0" w:color="auto"/>
            </w:tcBorders>
            <w:vAlign w:val="center"/>
          </w:tcPr>
          <w:p w14:paraId="2C4D9BFD" w14:textId="70C5FC6D" w:rsidR="005103F2" w:rsidRPr="00AE2F09" w:rsidRDefault="00B80BEF" w:rsidP="00FD7CD0">
            <w:pPr>
              <w:pStyle w:val="TableText0"/>
              <w:jc w:val="center"/>
            </w:pPr>
            <w:r w:rsidRPr="00AE2F09">
              <w:t>6.73 (0.87, NA)</w:t>
            </w:r>
          </w:p>
        </w:tc>
        <w:tc>
          <w:tcPr>
            <w:tcW w:w="628" w:type="pct"/>
            <w:gridSpan w:val="2"/>
            <w:tcBorders>
              <w:top w:val="single" w:sz="4" w:space="0" w:color="auto"/>
              <w:left w:val="single" w:sz="4" w:space="0" w:color="auto"/>
              <w:bottom w:val="single" w:sz="4" w:space="0" w:color="auto"/>
              <w:right w:val="single" w:sz="4" w:space="0" w:color="auto"/>
            </w:tcBorders>
            <w:vAlign w:val="center"/>
          </w:tcPr>
          <w:p w14:paraId="3865FD78" w14:textId="54074C50" w:rsidR="005103F2" w:rsidRPr="00AE2F09" w:rsidRDefault="0079201A" w:rsidP="00FD7CD0">
            <w:pPr>
              <w:pStyle w:val="TableText0"/>
              <w:jc w:val="center"/>
            </w:pPr>
            <w:r w:rsidRPr="00AE2F09">
              <w:t>10.6</w:t>
            </w:r>
          </w:p>
        </w:tc>
        <w:tc>
          <w:tcPr>
            <w:tcW w:w="755" w:type="pct"/>
            <w:gridSpan w:val="4"/>
            <w:tcBorders>
              <w:top w:val="single" w:sz="4" w:space="0" w:color="auto"/>
              <w:left w:val="single" w:sz="4" w:space="0" w:color="auto"/>
              <w:bottom w:val="single" w:sz="4" w:space="0" w:color="auto"/>
              <w:right w:val="single" w:sz="4" w:space="0" w:color="auto"/>
            </w:tcBorders>
            <w:vAlign w:val="center"/>
          </w:tcPr>
          <w:p w14:paraId="3BB9C627" w14:textId="37078BB4" w:rsidR="005103F2" w:rsidRPr="00AE2F09" w:rsidRDefault="0079201A" w:rsidP="00FD7CD0">
            <w:pPr>
              <w:pStyle w:val="TableText0"/>
              <w:jc w:val="center"/>
            </w:pPr>
            <w:r w:rsidRPr="00AE2F09">
              <w:t>0</w:t>
            </w:r>
          </w:p>
        </w:tc>
        <w:tc>
          <w:tcPr>
            <w:tcW w:w="772" w:type="pct"/>
            <w:tcBorders>
              <w:top w:val="single" w:sz="4" w:space="0" w:color="auto"/>
              <w:left w:val="single" w:sz="4" w:space="0" w:color="auto"/>
              <w:bottom w:val="single" w:sz="4" w:space="0" w:color="auto"/>
              <w:right w:val="single" w:sz="4" w:space="0" w:color="auto"/>
            </w:tcBorders>
            <w:vAlign w:val="center"/>
          </w:tcPr>
          <w:p w14:paraId="7A689FC3" w14:textId="6613B1FD" w:rsidR="005103F2" w:rsidRPr="00AE2F09" w:rsidRDefault="0079201A" w:rsidP="00FD7CD0">
            <w:pPr>
              <w:pStyle w:val="TableText0"/>
              <w:jc w:val="center"/>
            </w:pPr>
            <w:r w:rsidRPr="00AE2F09">
              <w:t>0.11 (0.03, 0.19)</w:t>
            </w:r>
          </w:p>
        </w:tc>
      </w:tr>
    </w:tbl>
    <w:p w14:paraId="054C6A9F" w14:textId="511F04F8" w:rsidR="00774AF7" w:rsidRPr="00AE2F09" w:rsidRDefault="00774AF7" w:rsidP="00774AF7">
      <w:pPr>
        <w:pStyle w:val="TableFigureFooter"/>
      </w:pPr>
      <w:r w:rsidRPr="00AE2F09">
        <w:t xml:space="preserve">Source: </w:t>
      </w:r>
      <w:r w:rsidR="00867CD5">
        <w:t>C</w:t>
      </w:r>
      <w:r w:rsidRPr="00AE2F09">
        <w:t>ompiled during the evaluation</w:t>
      </w:r>
    </w:p>
    <w:p w14:paraId="5FA3038B" w14:textId="2E0E7C0E" w:rsidR="00774AF7" w:rsidRPr="00AE2F09" w:rsidRDefault="00774AF7" w:rsidP="00774AF7">
      <w:pPr>
        <w:pStyle w:val="TableFigureFooter"/>
      </w:pPr>
      <w:r w:rsidRPr="00AE2F09">
        <w:t>¥ 40</w:t>
      </w:r>
      <w:r w:rsidR="00867CD5">
        <w:t xml:space="preserve"> </w:t>
      </w:r>
      <w:r w:rsidRPr="00AE2F09">
        <w:t>mg/day placebo group</w:t>
      </w:r>
    </w:p>
    <w:p w14:paraId="69DE357A" w14:textId="0BCA7305" w:rsidR="002F14A1" w:rsidRPr="00AE2F09" w:rsidRDefault="002F14A1" w:rsidP="00774AF7">
      <w:pPr>
        <w:pStyle w:val="TableFigureFooter"/>
      </w:pPr>
      <w:r w:rsidRPr="00AE2F09">
        <w:t>*</w:t>
      </w:r>
      <w:r w:rsidR="005835BE" w:rsidRPr="00AE2F09">
        <w:t>8 week trial duration</w:t>
      </w:r>
    </w:p>
    <w:p w14:paraId="0BCBC4AA" w14:textId="77777777" w:rsidR="00774AF7" w:rsidRPr="00AE2F09" w:rsidRDefault="00774AF7" w:rsidP="00774AF7">
      <w:pPr>
        <w:pStyle w:val="TableFigureFooter"/>
      </w:pPr>
      <w:r w:rsidRPr="00AE2F09">
        <w:t xml:space="preserve"> </w:t>
      </w:r>
    </w:p>
    <w:p w14:paraId="215D2FBD" w14:textId="195311FA" w:rsidR="00A61FFB" w:rsidRPr="00AE2F09" w:rsidRDefault="00A61FFB" w:rsidP="00A61FFB">
      <w:pPr>
        <w:pStyle w:val="3-BodyText"/>
      </w:pPr>
      <w:r w:rsidRPr="00AE2F09">
        <w:t xml:space="preserve">On the basis of direct evidence presented by the submission, for every 100 patients treated with pegvaliase </w:t>
      </w:r>
      <w:r w:rsidR="009B4205" w:rsidRPr="00AE2F09">
        <w:t xml:space="preserve">plus Phe-restricted diet </w:t>
      </w:r>
      <w:r w:rsidRPr="00AE2F09">
        <w:t>in comparison with Phe-restricted diet</w:t>
      </w:r>
      <w:r w:rsidR="00DB4046" w:rsidRPr="00AE2F09">
        <w:t>, after eight weeks</w:t>
      </w:r>
      <w:r w:rsidRPr="00AE2F09">
        <w:t>:</w:t>
      </w:r>
    </w:p>
    <w:p w14:paraId="6B1D102D" w14:textId="2430973C" w:rsidR="009B4205" w:rsidRPr="00AE2F09" w:rsidRDefault="009B4205" w:rsidP="009B4205">
      <w:pPr>
        <w:pStyle w:val="ListParagraph"/>
      </w:pPr>
      <w:r w:rsidRPr="00AE2F09">
        <w:t xml:space="preserve">Approximately 51 additional patients achieve a blood-Phe level of </w:t>
      </w:r>
      <w:r w:rsidRPr="00AE2F09">
        <w:rPr>
          <w:rFonts w:cstheme="minorHAnsi"/>
        </w:rPr>
        <w:t>≤</w:t>
      </w:r>
      <w:r w:rsidRPr="00AE2F09">
        <w:t xml:space="preserve">360 </w:t>
      </w:r>
      <w:r w:rsidRPr="00AE2F09">
        <w:rPr>
          <w:rFonts w:cstheme="minorHAnsi"/>
        </w:rPr>
        <w:t>µ</w:t>
      </w:r>
      <w:r w:rsidRPr="00AE2F09">
        <w:t>mol/L.</w:t>
      </w:r>
    </w:p>
    <w:p w14:paraId="7718D217" w14:textId="3BDF2F73" w:rsidR="00B80BEF" w:rsidRPr="00AE2F09" w:rsidRDefault="00B80BEF" w:rsidP="00B80BEF">
      <w:pPr>
        <w:pStyle w:val="3-BodyText"/>
      </w:pPr>
      <w:r w:rsidRPr="00AE2F09">
        <w:t xml:space="preserve">On the basis of direct evidence presented by the submission, for every 100 patients treated with pegvaliase </w:t>
      </w:r>
      <w:r w:rsidR="009B4205" w:rsidRPr="00AE2F09">
        <w:t xml:space="preserve">plus Phe-restricted diet </w:t>
      </w:r>
      <w:r w:rsidRPr="00AE2F09">
        <w:t>in comparison with a Phe-restricted diet alone:</w:t>
      </w:r>
    </w:p>
    <w:p w14:paraId="0E40BF55" w14:textId="0FE4D559" w:rsidR="00B80BEF" w:rsidRPr="00AE2F09" w:rsidRDefault="00B80BEF" w:rsidP="00B80BEF">
      <w:pPr>
        <w:pStyle w:val="ListParagraph"/>
      </w:pPr>
      <w:r w:rsidRPr="00AE2F09">
        <w:t>Approximately 26 more patients would have a hypersensitivity adverse event</w:t>
      </w:r>
      <w:r w:rsidR="00B36068">
        <w:t>; and</w:t>
      </w:r>
    </w:p>
    <w:p w14:paraId="64F8E6D6" w14:textId="03AF278C" w:rsidR="00B80BEF" w:rsidRDefault="00B80BEF" w:rsidP="00B80BEF">
      <w:pPr>
        <w:pStyle w:val="ListParagraph"/>
      </w:pPr>
      <w:r w:rsidRPr="00AE2F09">
        <w:t>Approximately 11 more patients would have a generalised skin reaction lasting more than 14 days</w:t>
      </w:r>
      <w:r w:rsidR="00B36068">
        <w:t>.</w:t>
      </w:r>
    </w:p>
    <w:p w14:paraId="718CDAAE" w14:textId="4B9DC586" w:rsidR="00BB128C" w:rsidRPr="00BB128C" w:rsidRDefault="00BB128C" w:rsidP="00BB128C">
      <w:pPr>
        <w:pStyle w:val="3-BodyText"/>
      </w:pPr>
      <w:r>
        <w:t xml:space="preserve">As noted above, the PBAC considered that the true rate of hypersensitivity AEs and generalised skin reactions are likely to be </w:t>
      </w:r>
      <w:r w:rsidR="00296632">
        <w:t xml:space="preserve">substantially </w:t>
      </w:r>
      <w:r>
        <w:t xml:space="preserve">higher than the above values, which were based on PRISM 2 Part 2. </w:t>
      </w:r>
    </w:p>
    <w:p w14:paraId="41DE8DAA" w14:textId="1687AEAB" w:rsidR="00774AF7" w:rsidRPr="00694CC1" w:rsidRDefault="00774AF7" w:rsidP="00774AF7">
      <w:pPr>
        <w:pStyle w:val="4-SubsectionHeading"/>
        <w:rPr>
          <w:iCs/>
        </w:rPr>
      </w:pPr>
      <w:bookmarkStart w:id="66" w:name="_Toc22897644"/>
      <w:bookmarkStart w:id="67" w:name="_Toc103770001"/>
      <w:r w:rsidRPr="00694CC1">
        <w:rPr>
          <w:iCs/>
        </w:rPr>
        <w:t>Clinical claim</w:t>
      </w:r>
      <w:bookmarkEnd w:id="66"/>
      <w:bookmarkEnd w:id="67"/>
    </w:p>
    <w:p w14:paraId="1D6A85FF" w14:textId="5A026D3C" w:rsidR="000F2C1B" w:rsidRPr="000764C2" w:rsidRDefault="00774AF7" w:rsidP="00FD7CD0">
      <w:pPr>
        <w:pStyle w:val="3-BodyText"/>
      </w:pPr>
      <w:r w:rsidRPr="00AE2F09">
        <w:t>The submission described pegvaliase</w:t>
      </w:r>
      <w:r w:rsidR="00A106D1" w:rsidRPr="00AE2F09">
        <w:t xml:space="preserve"> plus a </w:t>
      </w:r>
      <w:r w:rsidR="009B41BF" w:rsidRPr="00AE2F09">
        <w:t>P</w:t>
      </w:r>
      <w:r w:rsidR="00A106D1" w:rsidRPr="00AE2F09">
        <w:t>he-restricted diet</w:t>
      </w:r>
      <w:r w:rsidRPr="00AE2F09">
        <w:t xml:space="preserve"> as superior in terms of effectiveness compared with a Phe-restricted diet</w:t>
      </w:r>
      <w:r w:rsidR="002838B7">
        <w:t>.</w:t>
      </w:r>
      <w:r w:rsidR="005916CF">
        <w:t xml:space="preserve"> </w:t>
      </w:r>
      <w:r w:rsidR="002838B7" w:rsidRPr="000764C2">
        <w:t xml:space="preserve">The PSCR confirmed that the clinical claim was </w:t>
      </w:r>
      <w:r w:rsidR="005916CF" w:rsidRPr="000764C2">
        <w:t>based on the composite outcome of: a blood</w:t>
      </w:r>
      <w:r w:rsidR="003F29E5">
        <w:t>-</w:t>
      </w:r>
      <w:r w:rsidR="005916CF" w:rsidRPr="000764C2">
        <w:t>Phe &lt;</w:t>
      </w:r>
      <w:r w:rsidR="00DE0EA5">
        <w:t> </w:t>
      </w:r>
      <w:r w:rsidR="005916CF" w:rsidRPr="000764C2">
        <w:t>360</w:t>
      </w:r>
      <w:r w:rsidR="00DE0EA5">
        <w:t> </w:t>
      </w:r>
      <w:r w:rsidR="005916CF" w:rsidRPr="000764C2">
        <w:t xml:space="preserve">µmol/L; and/or a ≥ 5-point change from baseline in the ADHD-RS </w:t>
      </w:r>
      <w:r w:rsidR="004D1015" w:rsidRPr="000764C2">
        <w:t>inattention</w:t>
      </w:r>
      <w:r w:rsidR="005916CF" w:rsidRPr="000764C2">
        <w:t xml:space="preserve"> subscale score</w:t>
      </w:r>
      <w:r w:rsidRPr="000764C2">
        <w:t xml:space="preserve">. </w:t>
      </w:r>
    </w:p>
    <w:p w14:paraId="3BAFA1AF" w14:textId="7944B32D" w:rsidR="0045479D" w:rsidRPr="000764C2" w:rsidRDefault="00774AF7" w:rsidP="00774AF7">
      <w:pPr>
        <w:pStyle w:val="3-BodyText"/>
      </w:pPr>
      <w:r w:rsidRPr="000764C2">
        <w:t xml:space="preserve">The </w:t>
      </w:r>
      <w:r w:rsidR="00323799" w:rsidRPr="000764C2">
        <w:t xml:space="preserve">ESC considered that the </w:t>
      </w:r>
      <w:r w:rsidR="002838B7" w:rsidRPr="000764C2">
        <w:t xml:space="preserve">evidence suggested that pegvaliase may be effective at reducing blood-Phe levels given the difference in the </w:t>
      </w:r>
      <w:r w:rsidRPr="000764C2">
        <w:t xml:space="preserve">proportion of patients achieving </w:t>
      </w:r>
      <w:r w:rsidR="002838B7" w:rsidRPr="000764C2">
        <w:t xml:space="preserve">a </w:t>
      </w:r>
      <w:r w:rsidRPr="000764C2">
        <w:t>blood-Phe ≤360</w:t>
      </w:r>
      <w:r w:rsidR="002838B7" w:rsidRPr="000764C2">
        <w:t> </w:t>
      </w:r>
      <w:r w:rsidRPr="000764C2">
        <w:t xml:space="preserve">µmol/L with pegvaliase (52-73% at 2 years, depending on denominator) </w:t>
      </w:r>
      <w:r w:rsidR="002838B7" w:rsidRPr="000764C2">
        <w:t xml:space="preserve">versus a </w:t>
      </w:r>
      <w:r w:rsidRPr="000764C2">
        <w:t>Phe-restricted diet alone (6-11% at 2 years, depending on denominator)</w:t>
      </w:r>
      <w:r w:rsidR="002838B7" w:rsidRPr="000764C2">
        <w:t>, based on</w:t>
      </w:r>
      <w:r w:rsidRPr="000764C2">
        <w:t xml:space="preserve"> the matched</w:t>
      </w:r>
      <w:r w:rsidR="008F3570" w:rsidRPr="000764C2">
        <w:t>-adjusted</w:t>
      </w:r>
      <w:r w:rsidRPr="000764C2">
        <w:t xml:space="preserve"> analysis and the naïve</w:t>
      </w:r>
      <w:r w:rsidR="008F3570" w:rsidRPr="000764C2">
        <w:t>-</w:t>
      </w:r>
      <w:r w:rsidRPr="000764C2">
        <w:t xml:space="preserve">indirect comparison. However, </w:t>
      </w:r>
      <w:r w:rsidR="002838B7" w:rsidRPr="000764C2">
        <w:t xml:space="preserve">the ESC considered that it was not possible to quantify the magnitude of the incremental benefit based on the evidence provided </w:t>
      </w:r>
      <w:r w:rsidRPr="000764C2">
        <w:t xml:space="preserve">given </w:t>
      </w:r>
      <w:r w:rsidR="002838B7" w:rsidRPr="000764C2">
        <w:t xml:space="preserve">the limitations in the methodology of both comparisons and </w:t>
      </w:r>
      <w:r w:rsidRPr="000764C2">
        <w:t xml:space="preserve">the poor quality of the evidence </w:t>
      </w:r>
      <w:r w:rsidR="002838B7" w:rsidRPr="000764C2">
        <w:t>underpinning these comparisons (e.g.</w:t>
      </w:r>
      <w:r w:rsidR="00E47136">
        <w:t>,</w:t>
      </w:r>
      <w:r w:rsidR="002838B7" w:rsidRPr="000764C2">
        <w:t xml:space="preserve"> the high risk of bias in the studies</w:t>
      </w:r>
      <w:r w:rsidR="009616DB" w:rsidRPr="000764C2">
        <w:t xml:space="preserve"> and</w:t>
      </w:r>
      <w:r w:rsidR="002838B7" w:rsidRPr="000764C2">
        <w:t xml:space="preserve"> the lack of detailed information about the flow </w:t>
      </w:r>
      <w:r w:rsidR="00E95DBC" w:rsidRPr="000764C2">
        <w:t xml:space="preserve">of patients </w:t>
      </w:r>
      <w:r w:rsidR="002838B7" w:rsidRPr="000764C2">
        <w:t>through</w:t>
      </w:r>
      <w:r w:rsidR="00E95DBC" w:rsidRPr="000764C2">
        <w:t xml:space="preserve"> </w:t>
      </w:r>
      <w:r w:rsidR="002838B7" w:rsidRPr="000764C2">
        <w:t>PKUDOS)</w:t>
      </w:r>
      <w:r w:rsidRPr="000764C2">
        <w:t>. The only randomised comparative data w</w:t>
      </w:r>
      <w:r w:rsidR="001E1B54" w:rsidRPr="000764C2">
        <w:t>ere</w:t>
      </w:r>
      <w:r w:rsidRPr="000764C2">
        <w:t xml:space="preserve"> from a short term, 8 week trial with 86 patients (PRISM 2 </w:t>
      </w:r>
      <w:r w:rsidR="001E1B54" w:rsidRPr="000764C2">
        <w:t>P</w:t>
      </w:r>
      <w:r w:rsidRPr="000764C2">
        <w:t>art 2) which</w:t>
      </w:r>
      <w:r w:rsidR="00707257" w:rsidRPr="000764C2">
        <w:t xml:space="preserve"> found that pegvaliase (n=58) was associated with a</w:t>
      </w:r>
      <w:r w:rsidRPr="000764C2">
        <w:t xml:space="preserve"> statistically significant (P&lt;0.0001) higher reduction in mean blood-Phe </w:t>
      </w:r>
      <w:r w:rsidR="001A07A8" w:rsidRPr="000764C2">
        <w:t xml:space="preserve">from baseline, </w:t>
      </w:r>
      <w:r w:rsidRPr="000764C2">
        <w:t xml:space="preserve">compared </w:t>
      </w:r>
      <w:r w:rsidR="001A07A8" w:rsidRPr="000764C2">
        <w:t xml:space="preserve">with </w:t>
      </w:r>
      <w:r w:rsidRPr="000764C2">
        <w:t xml:space="preserve">placebo (n=28). </w:t>
      </w:r>
      <w:r w:rsidR="00E95DBC" w:rsidRPr="000764C2">
        <w:t>Overall, the ESC considered there was a very high level of uncertainty in the clinical evidence and comparative effectiveness estimates</w:t>
      </w:r>
      <w:r w:rsidR="00413E39" w:rsidRPr="000764C2">
        <w:t xml:space="preserve">, and that the </w:t>
      </w:r>
      <w:r w:rsidR="004D1015" w:rsidRPr="000764C2">
        <w:t xml:space="preserve">submission had likely overestimated the </w:t>
      </w:r>
      <w:r w:rsidR="00413E39" w:rsidRPr="000764C2">
        <w:t>benefit of pegvaliase</w:t>
      </w:r>
      <w:r w:rsidR="009616DB" w:rsidRPr="000764C2">
        <w:t xml:space="preserve"> (e.g.</w:t>
      </w:r>
      <w:r w:rsidR="00E47136">
        <w:t>,</w:t>
      </w:r>
      <w:r w:rsidR="009616DB" w:rsidRPr="000764C2">
        <w:t xml:space="preserve"> PRISM 2 Part 2 only included patients who </w:t>
      </w:r>
      <w:r w:rsidR="008F3570" w:rsidRPr="000764C2">
        <w:t xml:space="preserve">had received pegvaliase for a significant period of time and </w:t>
      </w:r>
      <w:r w:rsidR="009616DB" w:rsidRPr="000764C2">
        <w:t xml:space="preserve">had achieved </w:t>
      </w:r>
      <w:r w:rsidR="009616DB" w:rsidRPr="000764C2">
        <w:rPr>
          <w:rFonts w:cs="Calibri"/>
        </w:rPr>
        <w:t>≥ </w:t>
      </w:r>
      <w:r w:rsidR="009616DB" w:rsidRPr="000764C2">
        <w:t xml:space="preserve">20% reduction in blood-Phe; </w:t>
      </w:r>
      <w:r w:rsidR="001A07A8" w:rsidRPr="000764C2">
        <w:t>and as such</w:t>
      </w:r>
      <w:r w:rsidR="009616DB" w:rsidRPr="000764C2">
        <w:t xml:space="preserve"> included patients </w:t>
      </w:r>
      <w:r w:rsidR="00932885" w:rsidRPr="000764C2">
        <w:t xml:space="preserve">who </w:t>
      </w:r>
      <w:r w:rsidR="009616DB" w:rsidRPr="000764C2">
        <w:t xml:space="preserve">already had a degree of responsiveness to pegvaliase). </w:t>
      </w:r>
      <w:r w:rsidR="008B5DC0">
        <w:t>The pre-PBAC acknowledged the limitations of the data but noted that PKU is a rare disease, which poses challenges to generating high quality clinical evidence and</w:t>
      </w:r>
      <w:r w:rsidR="00296632">
        <w:t xml:space="preserve"> stated that</w:t>
      </w:r>
      <w:r w:rsidR="008B5DC0">
        <w:t xml:space="preserve"> no further substantial evidence for pegvaliase </w:t>
      </w:r>
      <w:r w:rsidR="004B437A">
        <w:t>is</w:t>
      </w:r>
      <w:r w:rsidR="008B5DC0">
        <w:t xml:space="preserve"> likely to be forthcoming.</w:t>
      </w:r>
    </w:p>
    <w:p w14:paraId="5EBF37B4" w14:textId="34852148" w:rsidR="00774AF7" w:rsidRDefault="0064787F" w:rsidP="00774AF7">
      <w:pPr>
        <w:pStyle w:val="3-BodyText"/>
      </w:pPr>
      <w:r w:rsidRPr="00AE2F09">
        <w:t>T</w:t>
      </w:r>
      <w:r w:rsidR="00774AF7" w:rsidRPr="00AE2F09">
        <w:t xml:space="preserve">he submission did not provide any comparative data for the proportion of patients who achieved a response defined as a ≥5 point improvement in the ADHD-RS inattention subscale score. </w:t>
      </w:r>
      <w:r w:rsidR="001A07A8">
        <w:t>Thus</w:t>
      </w:r>
      <w:r w:rsidR="00774AF7" w:rsidRPr="00AE2F09">
        <w:t xml:space="preserve">, the </w:t>
      </w:r>
      <w:r w:rsidR="00323799">
        <w:t xml:space="preserve">evaluation and </w:t>
      </w:r>
      <w:r w:rsidR="00323799" w:rsidRPr="000764C2">
        <w:t>the ESC</w:t>
      </w:r>
      <w:r w:rsidR="00323799">
        <w:t xml:space="preserve"> considered that the </w:t>
      </w:r>
      <w:r w:rsidR="00774AF7" w:rsidRPr="00AE2F09">
        <w:t>claim of superior effectiveness in the ADHD-RS inattention subscale score</w:t>
      </w:r>
      <w:r w:rsidR="00E95DBC">
        <w:t>, and for</w:t>
      </w:r>
      <w:r w:rsidR="00774AF7" w:rsidRPr="00AE2F09">
        <w:t xml:space="preserve"> the composite outcome</w:t>
      </w:r>
      <w:r w:rsidR="00413E39">
        <w:t>,</w:t>
      </w:r>
      <w:r w:rsidR="00774AF7" w:rsidRPr="00AE2F09">
        <w:t xml:space="preserve"> was poorly </w:t>
      </w:r>
      <w:r w:rsidR="002A156D" w:rsidRPr="00AE2F09">
        <w:t>supported and</w:t>
      </w:r>
      <w:r w:rsidR="00774AF7" w:rsidRPr="00AE2F09">
        <w:t xml:space="preserve"> </w:t>
      </w:r>
      <w:r w:rsidR="00E95DBC" w:rsidRPr="000764C2">
        <w:t xml:space="preserve">did </w:t>
      </w:r>
      <w:r w:rsidR="00774AF7" w:rsidRPr="000764C2">
        <w:t>not</w:t>
      </w:r>
      <w:r w:rsidR="00774AF7" w:rsidRPr="00AE2F09">
        <w:t xml:space="preserve"> support the use of this composite outcome within the requested restrictions</w:t>
      </w:r>
      <w:r w:rsidR="009B41BF" w:rsidRPr="00AE2F09">
        <w:t xml:space="preserve"> </w:t>
      </w:r>
      <w:r w:rsidR="00932885" w:rsidRPr="000764C2">
        <w:t xml:space="preserve">or in the economic evaluation </w:t>
      </w:r>
      <w:r w:rsidR="00413E39" w:rsidRPr="000764C2">
        <w:t>(noting this composite outcome would allow more patients to be eligible for ongoing treatment</w:t>
      </w:r>
      <w:r w:rsidR="001A07A8" w:rsidRPr="000764C2">
        <w:t>, and to be classed as responders in the economic evaluation</w:t>
      </w:r>
      <w:r w:rsidR="00413E39" w:rsidRPr="000764C2">
        <w:t>)</w:t>
      </w:r>
      <w:r w:rsidR="00774AF7" w:rsidRPr="000764C2">
        <w:t>.</w:t>
      </w:r>
      <w:r w:rsidR="00774AF7" w:rsidRPr="00AE2F09">
        <w:t xml:space="preserve"> </w:t>
      </w:r>
      <w:r w:rsidR="00F26429" w:rsidRPr="00AE2F09">
        <w:t>S</w:t>
      </w:r>
      <w:r w:rsidR="00774AF7" w:rsidRPr="00AE2F09">
        <w:t>upportive evidence from the literature suggest</w:t>
      </w:r>
      <w:r w:rsidR="009616DB">
        <w:t>s</w:t>
      </w:r>
      <w:r w:rsidR="00774AF7" w:rsidRPr="00AE2F09">
        <w:t xml:space="preserve"> that a reduction in blood-Phe </w:t>
      </w:r>
      <w:r w:rsidR="009616DB">
        <w:t>i</w:t>
      </w:r>
      <w:r w:rsidR="009616DB" w:rsidRPr="00AE2F09">
        <w:t xml:space="preserve">s </w:t>
      </w:r>
      <w:r w:rsidR="00774AF7" w:rsidRPr="00AE2F09">
        <w:t xml:space="preserve">plausibly related to </w:t>
      </w:r>
      <w:r w:rsidRPr="00AE2F09">
        <w:t xml:space="preserve">a </w:t>
      </w:r>
      <w:r w:rsidR="00774AF7" w:rsidRPr="00AE2F09">
        <w:t xml:space="preserve">reduction in neuropsychiatric symptoms though this difference was difficult to quantify and did not reach statistical significance in regression models (Bilder 2016 and Burgess 2021) or in randomised controlled trials (PKU-016). Overall, the magnitude of benefit </w:t>
      </w:r>
      <w:r w:rsidR="000915D7" w:rsidRPr="00AE2F09">
        <w:t>in the proportion of patients achieving a clinically meaningful (</w:t>
      </w:r>
      <w:r w:rsidR="000915D7" w:rsidRPr="00AE2F09">
        <w:rPr>
          <w:rFonts w:cstheme="minorHAnsi"/>
        </w:rPr>
        <w:t>≥</w:t>
      </w:r>
      <w:r w:rsidR="008F0CDD">
        <w:rPr>
          <w:rFonts w:cstheme="minorHAnsi"/>
        </w:rPr>
        <w:t> </w:t>
      </w:r>
      <w:r w:rsidR="000915D7" w:rsidRPr="00AE2F09">
        <w:t xml:space="preserve">5 point) improvement in the ADHD-RS inattention subscale score </w:t>
      </w:r>
      <w:r w:rsidR="00774AF7" w:rsidRPr="00AE2F09">
        <w:t xml:space="preserve">in the requested population, specifically when treated with pegvaliase, was highly uncertain. </w:t>
      </w:r>
    </w:p>
    <w:p w14:paraId="1875CB13" w14:textId="7535D1D3" w:rsidR="00F4383B" w:rsidRPr="00AE2F09" w:rsidRDefault="00774AF7" w:rsidP="00F4383B">
      <w:pPr>
        <w:pStyle w:val="3-BodyText"/>
      </w:pPr>
      <w:r w:rsidRPr="00AE2F09">
        <w:t>The submission described pegvaliase</w:t>
      </w:r>
      <w:r w:rsidR="002F41CD" w:rsidRPr="00AE2F09">
        <w:t xml:space="preserve"> </w:t>
      </w:r>
      <w:r w:rsidR="00AC0880" w:rsidRPr="00AE2F09">
        <w:t>plus</w:t>
      </w:r>
      <w:r w:rsidR="002F41CD" w:rsidRPr="00AE2F09">
        <w:t xml:space="preserve"> a Phe-restricted diet</w:t>
      </w:r>
      <w:r w:rsidRPr="00AE2F09">
        <w:t xml:space="preserve"> as inferior in terms of safety compared to a Phe-restricted diet. This claim was supported, however given the lack of </w:t>
      </w:r>
      <w:r w:rsidR="003F3991" w:rsidRPr="00AE2F09">
        <w:t>longer</w:t>
      </w:r>
      <w:r w:rsidR="00236B97" w:rsidRPr="00AE2F09">
        <w:t>-</w:t>
      </w:r>
      <w:r w:rsidR="003F3991" w:rsidRPr="00AE2F09">
        <w:t xml:space="preserve">term </w:t>
      </w:r>
      <w:r w:rsidRPr="00AE2F09">
        <w:t xml:space="preserve">comparative data the magnitude of the difference </w:t>
      </w:r>
      <w:r w:rsidR="003F3991" w:rsidRPr="00AE2F09">
        <w:t xml:space="preserve">over a longer treatment period </w:t>
      </w:r>
      <w:r w:rsidRPr="00AE2F09">
        <w:t>was uncertain.</w:t>
      </w:r>
      <w:r w:rsidR="00592BC6" w:rsidRPr="00AE2F09">
        <w:t xml:space="preserve"> </w:t>
      </w:r>
    </w:p>
    <w:p w14:paraId="6DA58B5F" w14:textId="3D857907" w:rsidR="00C84163" w:rsidRPr="007D530E" w:rsidRDefault="00C84163" w:rsidP="00932885">
      <w:pPr>
        <w:pStyle w:val="3-BodyText"/>
      </w:pPr>
      <w:r w:rsidRPr="00AE2F09">
        <w:t xml:space="preserve">The submission did not make a clinical claim versus sapropterin given it had positioned the two drugs in separate lines of therapy. As outlined in </w:t>
      </w:r>
      <w:r w:rsidR="007D530E">
        <w:t>p</w:t>
      </w:r>
      <w:r w:rsidRPr="00AE2F09">
        <w:t xml:space="preserve">aragraph </w:t>
      </w:r>
      <w:r w:rsidRPr="00AE2F09">
        <w:fldChar w:fldCharType="begin"/>
      </w:r>
      <w:r w:rsidRPr="00AE2F09">
        <w:instrText xml:space="preserve"> REF _Ref103052572 \r \h </w:instrText>
      </w:r>
      <w:r w:rsidR="00AE2F09" w:rsidRPr="00AE2F09">
        <w:instrText xml:space="preserve"> \* MERGEFORMAT </w:instrText>
      </w:r>
      <w:r w:rsidRPr="00AE2F09">
        <w:fldChar w:fldCharType="separate"/>
      </w:r>
      <w:r w:rsidR="001162C8">
        <w:t>6.31</w:t>
      </w:r>
      <w:r w:rsidRPr="00AE2F09">
        <w:fldChar w:fldCharType="end"/>
      </w:r>
      <w:r w:rsidRPr="00AE2F09">
        <w:t>, there is some evidence to suggest that pegvaliase may be more effective than sapropterin at lowering blood-Phe. Pegvaliase may have inferior safety to sapropterin given the submission describes pegvaliase as in inferior in terms of safety compared to a Phe-</w:t>
      </w:r>
      <w:r w:rsidRPr="007D530E">
        <w:t>restricted diet, while the PBAC has previously accepted that sapropterin has non-inferior safety compared to a Phe-restricted diet in adults (paragraph 7.8, sapropterin PSD</w:t>
      </w:r>
      <w:r w:rsidR="007D530E" w:rsidRPr="007D530E">
        <w:t>,</w:t>
      </w:r>
      <w:r w:rsidRPr="007D530E">
        <w:t xml:space="preserve"> November 2020</w:t>
      </w:r>
      <w:r w:rsidR="007D530E" w:rsidRPr="007D530E">
        <w:t xml:space="preserve"> PBAC meeting</w:t>
      </w:r>
      <w:r w:rsidRPr="007D530E">
        <w:t>).</w:t>
      </w:r>
    </w:p>
    <w:p w14:paraId="26264399" w14:textId="2D4B2649" w:rsidR="00540F22" w:rsidRPr="007D530E" w:rsidRDefault="00540F22" w:rsidP="00540F22">
      <w:pPr>
        <w:widowControl w:val="0"/>
        <w:numPr>
          <w:ilvl w:val="1"/>
          <w:numId w:val="1"/>
        </w:numPr>
        <w:spacing w:after="120"/>
        <w:rPr>
          <w:rFonts w:asciiTheme="minorHAnsi" w:hAnsiTheme="minorHAnsi"/>
          <w:snapToGrid w:val="0"/>
          <w:szCs w:val="20"/>
        </w:rPr>
      </w:pPr>
      <w:bookmarkStart w:id="68" w:name="_Hlk76376200"/>
      <w:r w:rsidRPr="007D530E">
        <w:rPr>
          <w:rFonts w:asciiTheme="minorHAnsi" w:hAnsiTheme="minorHAnsi"/>
          <w:iCs/>
          <w:snapToGrid w:val="0"/>
        </w:rPr>
        <w:t>The</w:t>
      </w:r>
      <w:r w:rsidRPr="007D530E">
        <w:rPr>
          <w:rFonts w:asciiTheme="minorHAnsi" w:hAnsiTheme="minorHAnsi"/>
          <w:snapToGrid w:val="0"/>
          <w:szCs w:val="20"/>
        </w:rPr>
        <w:t xml:space="preserve"> PBAC considered that the claim of superior comparative effectiveness </w:t>
      </w:r>
      <w:r w:rsidR="007D530E" w:rsidRPr="007D530E">
        <w:rPr>
          <w:rFonts w:asciiTheme="minorHAnsi" w:hAnsiTheme="minorHAnsi"/>
          <w:snapToGrid w:val="0"/>
          <w:szCs w:val="20"/>
        </w:rPr>
        <w:t xml:space="preserve">to </w:t>
      </w:r>
      <w:r w:rsidR="00296632">
        <w:rPr>
          <w:rFonts w:asciiTheme="minorHAnsi" w:hAnsiTheme="minorHAnsi"/>
          <w:snapToGrid w:val="0"/>
          <w:szCs w:val="20"/>
        </w:rPr>
        <w:t xml:space="preserve">a </w:t>
      </w:r>
      <w:r w:rsidR="007D530E" w:rsidRPr="007D530E">
        <w:rPr>
          <w:rFonts w:asciiTheme="minorHAnsi" w:hAnsiTheme="minorHAnsi"/>
          <w:snapToGrid w:val="0"/>
          <w:szCs w:val="20"/>
        </w:rPr>
        <w:t xml:space="preserve">Phe-restricted diet alone </w:t>
      </w:r>
      <w:r w:rsidRPr="007D530E">
        <w:rPr>
          <w:rFonts w:asciiTheme="minorHAnsi" w:hAnsiTheme="minorHAnsi"/>
          <w:snapToGrid w:val="0"/>
          <w:szCs w:val="20"/>
        </w:rPr>
        <w:t>was reasonable</w:t>
      </w:r>
      <w:r w:rsidR="00296632">
        <w:rPr>
          <w:rFonts w:asciiTheme="minorHAnsi" w:hAnsiTheme="minorHAnsi"/>
          <w:snapToGrid w:val="0"/>
          <w:szCs w:val="20"/>
        </w:rPr>
        <w:t>,</w:t>
      </w:r>
      <w:r w:rsidR="00296632" w:rsidRPr="00296632">
        <w:rPr>
          <w:rFonts w:asciiTheme="minorHAnsi" w:hAnsiTheme="minorHAnsi"/>
          <w:snapToGrid w:val="0"/>
          <w:szCs w:val="20"/>
        </w:rPr>
        <w:t xml:space="preserve"> </w:t>
      </w:r>
      <w:r w:rsidR="00296632" w:rsidRPr="007D530E">
        <w:rPr>
          <w:rFonts w:asciiTheme="minorHAnsi" w:hAnsiTheme="minorHAnsi"/>
          <w:snapToGrid w:val="0"/>
          <w:szCs w:val="20"/>
        </w:rPr>
        <w:t>in terms of blood-Phe reduction</w:t>
      </w:r>
      <w:r w:rsidRPr="007D530E">
        <w:rPr>
          <w:rFonts w:asciiTheme="minorHAnsi" w:hAnsiTheme="minorHAnsi"/>
          <w:snapToGrid w:val="0"/>
          <w:szCs w:val="20"/>
        </w:rPr>
        <w:t>.</w:t>
      </w:r>
    </w:p>
    <w:p w14:paraId="78F33ADE" w14:textId="5C7F98FC" w:rsidR="00540F22" w:rsidRPr="007D530E" w:rsidRDefault="00540F22" w:rsidP="00540F22">
      <w:pPr>
        <w:widowControl w:val="0"/>
        <w:numPr>
          <w:ilvl w:val="1"/>
          <w:numId w:val="1"/>
        </w:numPr>
        <w:spacing w:after="120"/>
        <w:rPr>
          <w:rFonts w:asciiTheme="minorHAnsi" w:hAnsiTheme="minorHAnsi"/>
          <w:snapToGrid w:val="0"/>
          <w:szCs w:val="20"/>
        </w:rPr>
      </w:pPr>
      <w:r w:rsidRPr="007D530E">
        <w:rPr>
          <w:rFonts w:asciiTheme="minorHAnsi" w:hAnsiTheme="minorHAnsi"/>
          <w:snapToGrid w:val="0"/>
          <w:szCs w:val="20"/>
        </w:rPr>
        <w:t xml:space="preserve">The PBAC considered that the claim of inferior comparative safety </w:t>
      </w:r>
      <w:r w:rsidR="007D530E" w:rsidRPr="007D530E">
        <w:rPr>
          <w:rFonts w:asciiTheme="minorHAnsi" w:hAnsiTheme="minorHAnsi"/>
          <w:snapToGrid w:val="0"/>
          <w:szCs w:val="20"/>
        </w:rPr>
        <w:t xml:space="preserve">to </w:t>
      </w:r>
      <w:r w:rsidR="00296632">
        <w:rPr>
          <w:rFonts w:asciiTheme="minorHAnsi" w:hAnsiTheme="minorHAnsi"/>
          <w:snapToGrid w:val="0"/>
          <w:szCs w:val="20"/>
        </w:rPr>
        <w:t xml:space="preserve">a </w:t>
      </w:r>
      <w:r w:rsidR="007D530E" w:rsidRPr="007D530E">
        <w:rPr>
          <w:rFonts w:asciiTheme="minorHAnsi" w:hAnsiTheme="minorHAnsi"/>
          <w:snapToGrid w:val="0"/>
          <w:szCs w:val="20"/>
        </w:rPr>
        <w:t xml:space="preserve">Phe-restricted diet alone </w:t>
      </w:r>
      <w:r w:rsidRPr="007D530E">
        <w:rPr>
          <w:rFonts w:asciiTheme="minorHAnsi" w:hAnsiTheme="minorHAnsi"/>
          <w:snapToGrid w:val="0"/>
          <w:szCs w:val="20"/>
        </w:rPr>
        <w:t>was reasonable.</w:t>
      </w:r>
      <w:bookmarkEnd w:id="68"/>
    </w:p>
    <w:p w14:paraId="7E2E95FA" w14:textId="77777777" w:rsidR="00774AF7" w:rsidRPr="00694CC1" w:rsidRDefault="00774AF7" w:rsidP="002F3F00">
      <w:pPr>
        <w:pStyle w:val="4-SubsectionHeading"/>
        <w:rPr>
          <w:iCs/>
        </w:rPr>
      </w:pPr>
      <w:bookmarkStart w:id="69" w:name="_Toc22897645"/>
      <w:bookmarkStart w:id="70" w:name="_Toc103770002"/>
      <w:r w:rsidRPr="00694CC1">
        <w:rPr>
          <w:iCs/>
        </w:rPr>
        <w:t>Economic analysis</w:t>
      </w:r>
      <w:bookmarkEnd w:id="69"/>
      <w:bookmarkEnd w:id="70"/>
      <w:r w:rsidRPr="00694CC1">
        <w:rPr>
          <w:iCs/>
        </w:rPr>
        <w:t xml:space="preserve"> </w:t>
      </w:r>
    </w:p>
    <w:p w14:paraId="5C3C916D" w14:textId="234F670D" w:rsidR="00774AF7" w:rsidRPr="00AE2F09" w:rsidRDefault="00774AF7" w:rsidP="00774AF7">
      <w:pPr>
        <w:pStyle w:val="3-BodyText"/>
        <w:rPr>
          <w:b/>
          <w:bCs/>
        </w:rPr>
      </w:pPr>
      <w:r w:rsidRPr="00AE2F09">
        <w:t xml:space="preserve">The submission presented a cost-utility analysis using a micro-simulation model. This is consistent with the </w:t>
      </w:r>
      <w:r w:rsidR="00F4383B" w:rsidRPr="00AE2F09">
        <w:t>clinical claim</w:t>
      </w:r>
      <w:r w:rsidRPr="00AE2F09">
        <w:t>.</w:t>
      </w:r>
      <w:r w:rsidR="00072661" w:rsidRPr="00AE2F09">
        <w:t xml:space="preserve"> </w:t>
      </w:r>
    </w:p>
    <w:p w14:paraId="1AA3FB4F" w14:textId="00E535FE" w:rsidR="00774AF7" w:rsidRPr="00AE2F09" w:rsidRDefault="00774AF7" w:rsidP="00774AF7">
      <w:pPr>
        <w:pStyle w:val="3-BodyText"/>
        <w:rPr>
          <w:b/>
          <w:bCs/>
        </w:rPr>
      </w:pPr>
      <w:r w:rsidRPr="00AE2F09">
        <w:rPr>
          <w:snapToGrid/>
        </w:rPr>
        <w:t xml:space="preserve">The model structure, key inputs and rationale are presented in </w:t>
      </w:r>
      <w:r w:rsidR="001506D2" w:rsidRPr="00AE2F09">
        <w:rPr>
          <w:snapToGrid/>
        </w:rPr>
        <w:fldChar w:fldCharType="begin"/>
      </w:r>
      <w:r w:rsidR="001506D2" w:rsidRPr="00AE2F09">
        <w:rPr>
          <w:snapToGrid/>
        </w:rPr>
        <w:instrText xml:space="preserve"> REF _Ref103054947 \h  \* MERGEFORMAT </w:instrText>
      </w:r>
      <w:r w:rsidR="001506D2" w:rsidRPr="00AE2F09">
        <w:rPr>
          <w:snapToGrid/>
        </w:rPr>
      </w:r>
      <w:r w:rsidR="001506D2" w:rsidRPr="00AE2F09">
        <w:rPr>
          <w:snapToGrid/>
        </w:rPr>
        <w:fldChar w:fldCharType="separate"/>
      </w:r>
      <w:r w:rsidR="001162C8" w:rsidRPr="001162C8">
        <w:rPr>
          <w:snapToGrid/>
        </w:rPr>
        <w:t>Table 13</w:t>
      </w:r>
      <w:r w:rsidR="001506D2" w:rsidRPr="00AE2F09">
        <w:rPr>
          <w:snapToGrid/>
        </w:rPr>
        <w:fldChar w:fldCharType="end"/>
      </w:r>
      <w:r w:rsidRPr="00AE2F09">
        <w:rPr>
          <w:snapToGrid/>
        </w:rPr>
        <w:t>.</w:t>
      </w:r>
      <w:r w:rsidRPr="00AE2F09">
        <w:t xml:space="preserve"> </w:t>
      </w:r>
    </w:p>
    <w:p w14:paraId="1FECD114" w14:textId="0A6AF8FB" w:rsidR="00774AF7" w:rsidRPr="00AE2F09" w:rsidRDefault="001506D2" w:rsidP="001506D2">
      <w:pPr>
        <w:pStyle w:val="TableFigureHeading"/>
        <w:rPr>
          <w:rStyle w:val="CommentReference"/>
          <w:b/>
          <w:bCs w:val="0"/>
          <w:szCs w:val="24"/>
        </w:rPr>
      </w:pPr>
      <w:bookmarkStart w:id="71" w:name="_Ref103054947"/>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13</w:t>
      </w:r>
      <w:r w:rsidRPr="00AE2F09">
        <w:rPr>
          <w:rStyle w:val="CommentReference"/>
          <w:b/>
          <w:bCs w:val="0"/>
          <w:szCs w:val="24"/>
        </w:rPr>
        <w:fldChar w:fldCharType="end"/>
      </w:r>
      <w:bookmarkEnd w:id="71"/>
      <w:r w:rsidR="00774AF7" w:rsidRPr="00AE2F09">
        <w:rPr>
          <w:rStyle w:val="CommentReference"/>
          <w:b/>
          <w:bCs w:val="0"/>
          <w:szCs w:val="24"/>
        </w:rPr>
        <w:t>: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838"/>
        <w:gridCol w:w="7179"/>
      </w:tblGrid>
      <w:tr w:rsidR="001506D2" w:rsidRPr="00AE2F09" w14:paraId="3EA6F229" w14:textId="77777777" w:rsidTr="00D80532">
        <w:trPr>
          <w:tblHeader/>
        </w:trPr>
        <w:tc>
          <w:tcPr>
            <w:tcW w:w="1019" w:type="pct"/>
            <w:shd w:val="clear" w:color="auto" w:fill="auto"/>
            <w:vAlign w:val="center"/>
          </w:tcPr>
          <w:p w14:paraId="5B1DBBC3" w14:textId="77777777" w:rsidR="00774AF7" w:rsidRPr="00AE2F09" w:rsidRDefault="00774AF7" w:rsidP="00FD7CD0">
            <w:pPr>
              <w:pStyle w:val="In-tableHeading"/>
              <w:rPr>
                <w:lang w:val="en-AU"/>
              </w:rPr>
            </w:pPr>
            <w:r w:rsidRPr="00AE2F09">
              <w:rPr>
                <w:lang w:val="en-AU"/>
              </w:rPr>
              <w:t>Component</w:t>
            </w:r>
          </w:p>
        </w:tc>
        <w:tc>
          <w:tcPr>
            <w:tcW w:w="3981" w:type="pct"/>
            <w:shd w:val="clear" w:color="auto" w:fill="auto"/>
            <w:vAlign w:val="center"/>
          </w:tcPr>
          <w:p w14:paraId="1EB91D54" w14:textId="77777777" w:rsidR="00774AF7" w:rsidRPr="00AE2F09" w:rsidRDefault="00774AF7" w:rsidP="00FD7CD0">
            <w:pPr>
              <w:pStyle w:val="In-tableHeading"/>
              <w:rPr>
                <w:lang w:val="en-AU"/>
              </w:rPr>
            </w:pPr>
            <w:r w:rsidRPr="00AE2F09">
              <w:rPr>
                <w:lang w:val="en-AU"/>
              </w:rPr>
              <w:t>Summary</w:t>
            </w:r>
          </w:p>
        </w:tc>
      </w:tr>
      <w:tr w:rsidR="001506D2" w:rsidRPr="00AE2F09" w14:paraId="0FA21EEA" w14:textId="77777777" w:rsidTr="00D80532">
        <w:tc>
          <w:tcPr>
            <w:tcW w:w="1019" w:type="pct"/>
            <w:shd w:val="clear" w:color="auto" w:fill="auto"/>
            <w:vAlign w:val="center"/>
          </w:tcPr>
          <w:p w14:paraId="25A4F626" w14:textId="77777777" w:rsidR="00774AF7" w:rsidRPr="00AE2F09" w:rsidRDefault="00774AF7" w:rsidP="00FD7CD0">
            <w:pPr>
              <w:pStyle w:val="TableText0"/>
            </w:pPr>
            <w:r w:rsidRPr="00AE2F09">
              <w:t>Treatments</w:t>
            </w:r>
          </w:p>
        </w:tc>
        <w:tc>
          <w:tcPr>
            <w:tcW w:w="3981" w:type="pct"/>
            <w:shd w:val="clear" w:color="auto" w:fill="auto"/>
            <w:vAlign w:val="center"/>
          </w:tcPr>
          <w:p w14:paraId="4483CED2" w14:textId="4F3974C7" w:rsidR="00774AF7" w:rsidRPr="00AE2F09" w:rsidRDefault="00774AF7" w:rsidP="00FD7CD0">
            <w:pPr>
              <w:pStyle w:val="TableText0"/>
            </w:pPr>
            <w:r w:rsidRPr="00AE2F09">
              <w:t xml:space="preserve">Pegvaliase </w:t>
            </w:r>
            <w:r w:rsidR="00F4383B" w:rsidRPr="00AE2F09">
              <w:t>plus</w:t>
            </w:r>
            <w:r w:rsidRPr="00AE2F09">
              <w:t xml:space="preserve"> a Phe-restricted diet vs a Phe-restricted diet alone</w:t>
            </w:r>
          </w:p>
        </w:tc>
      </w:tr>
      <w:tr w:rsidR="001506D2" w:rsidRPr="00AE2F09" w14:paraId="5D3A434E" w14:textId="77777777" w:rsidTr="00D80532">
        <w:tc>
          <w:tcPr>
            <w:tcW w:w="1019" w:type="pct"/>
            <w:shd w:val="clear" w:color="auto" w:fill="auto"/>
            <w:vAlign w:val="center"/>
          </w:tcPr>
          <w:p w14:paraId="5988BB91" w14:textId="77777777" w:rsidR="00774AF7" w:rsidRPr="00AE2F09" w:rsidRDefault="00774AF7" w:rsidP="00FD7CD0">
            <w:pPr>
              <w:pStyle w:val="TableText0"/>
            </w:pPr>
            <w:r w:rsidRPr="00AE2F09">
              <w:t>Time horizon</w:t>
            </w:r>
          </w:p>
        </w:tc>
        <w:tc>
          <w:tcPr>
            <w:tcW w:w="3981" w:type="pct"/>
            <w:shd w:val="clear" w:color="auto" w:fill="auto"/>
            <w:vAlign w:val="center"/>
          </w:tcPr>
          <w:p w14:paraId="6D908B3B" w14:textId="77777777" w:rsidR="00774AF7" w:rsidRPr="00AE2F09" w:rsidRDefault="00774AF7" w:rsidP="00FD7CD0">
            <w:pPr>
              <w:pStyle w:val="TableText0"/>
            </w:pPr>
            <w:r w:rsidRPr="00AE2F09">
              <w:t>Lifetime (up to 100 years of age) in the model base-case vs 5 years in the key clinical studies</w:t>
            </w:r>
          </w:p>
        </w:tc>
      </w:tr>
      <w:tr w:rsidR="001506D2" w:rsidRPr="00AE2F09" w14:paraId="63B6DA5C" w14:textId="77777777" w:rsidTr="00D80532">
        <w:tc>
          <w:tcPr>
            <w:tcW w:w="1019" w:type="pct"/>
            <w:shd w:val="clear" w:color="auto" w:fill="auto"/>
            <w:vAlign w:val="center"/>
          </w:tcPr>
          <w:p w14:paraId="1F34DE54" w14:textId="77777777" w:rsidR="00774AF7" w:rsidRPr="00AE2F09" w:rsidRDefault="00774AF7" w:rsidP="00FD7CD0">
            <w:pPr>
              <w:pStyle w:val="TableText0"/>
            </w:pPr>
            <w:r w:rsidRPr="00AE2F09">
              <w:t>Outcomes</w:t>
            </w:r>
          </w:p>
        </w:tc>
        <w:tc>
          <w:tcPr>
            <w:tcW w:w="3981" w:type="pct"/>
            <w:shd w:val="clear" w:color="auto" w:fill="auto"/>
            <w:vAlign w:val="center"/>
          </w:tcPr>
          <w:p w14:paraId="4A4211EF" w14:textId="77777777" w:rsidR="00774AF7" w:rsidRPr="00AE2F09" w:rsidRDefault="00774AF7" w:rsidP="00FD7CD0">
            <w:pPr>
              <w:pStyle w:val="TableText0"/>
            </w:pPr>
            <w:r w:rsidRPr="00AE2F09">
              <w:t>Responders and quality adjusted life years gained</w:t>
            </w:r>
          </w:p>
        </w:tc>
      </w:tr>
      <w:tr w:rsidR="001506D2" w:rsidRPr="00AE2F09" w14:paraId="5115894B" w14:textId="77777777" w:rsidTr="00D80532">
        <w:tc>
          <w:tcPr>
            <w:tcW w:w="1019" w:type="pct"/>
            <w:shd w:val="clear" w:color="auto" w:fill="auto"/>
            <w:vAlign w:val="center"/>
          </w:tcPr>
          <w:p w14:paraId="78E3E1C5" w14:textId="77777777" w:rsidR="00774AF7" w:rsidRPr="00AE2F09" w:rsidRDefault="00774AF7" w:rsidP="00FD7CD0">
            <w:pPr>
              <w:pStyle w:val="TableText0"/>
            </w:pPr>
            <w:r w:rsidRPr="00AE2F09">
              <w:t>Methods used to generate results</w:t>
            </w:r>
          </w:p>
        </w:tc>
        <w:tc>
          <w:tcPr>
            <w:tcW w:w="3981" w:type="pct"/>
            <w:shd w:val="clear" w:color="auto" w:fill="auto"/>
            <w:vAlign w:val="center"/>
          </w:tcPr>
          <w:p w14:paraId="5959476A" w14:textId="77777777" w:rsidR="00774AF7" w:rsidRPr="00AE2F09" w:rsidRDefault="00774AF7" w:rsidP="00FD7CD0">
            <w:pPr>
              <w:pStyle w:val="TableText0"/>
            </w:pPr>
            <w:r w:rsidRPr="00AE2F09">
              <w:t>Microsimulation model using @Risk and Microsoft Excel</w:t>
            </w:r>
          </w:p>
        </w:tc>
      </w:tr>
      <w:tr w:rsidR="001506D2" w:rsidRPr="00AE2F09" w14:paraId="4D718D9C" w14:textId="77777777" w:rsidTr="00D80532">
        <w:tc>
          <w:tcPr>
            <w:tcW w:w="1019" w:type="pct"/>
            <w:shd w:val="clear" w:color="auto" w:fill="auto"/>
            <w:vAlign w:val="center"/>
          </w:tcPr>
          <w:p w14:paraId="4240EFA4" w14:textId="77777777" w:rsidR="00774AF7" w:rsidRPr="00AE2F09" w:rsidRDefault="00774AF7" w:rsidP="00FD7CD0">
            <w:pPr>
              <w:pStyle w:val="TableText0"/>
            </w:pPr>
            <w:r w:rsidRPr="00AE2F09">
              <w:t>Health states</w:t>
            </w:r>
          </w:p>
        </w:tc>
        <w:tc>
          <w:tcPr>
            <w:tcW w:w="3981" w:type="pct"/>
            <w:shd w:val="clear" w:color="auto" w:fill="auto"/>
            <w:vAlign w:val="center"/>
          </w:tcPr>
          <w:p w14:paraId="503647E9" w14:textId="77777777" w:rsidR="00774AF7" w:rsidRPr="00AE2F09" w:rsidRDefault="00774AF7" w:rsidP="00FD7CD0">
            <w:pPr>
              <w:pStyle w:val="TableText0"/>
            </w:pPr>
            <w:r w:rsidRPr="00AE2F09">
              <w:t>‘Responder’, ‘non-responder’, ‘Phe-restricted diet’ and ‘dead’. Responder defined as achieving either ≤360 µmol/L or ADHD-RS inattention subscale reduction of ≥5 from baseline by 2 years</w:t>
            </w:r>
          </w:p>
        </w:tc>
      </w:tr>
      <w:tr w:rsidR="001506D2" w:rsidRPr="00AE2F09" w14:paraId="523E13F4" w14:textId="77777777" w:rsidTr="00D80532">
        <w:tc>
          <w:tcPr>
            <w:tcW w:w="1019" w:type="pct"/>
            <w:shd w:val="clear" w:color="auto" w:fill="auto"/>
            <w:vAlign w:val="center"/>
          </w:tcPr>
          <w:p w14:paraId="18527CF4" w14:textId="77777777" w:rsidR="00774AF7" w:rsidRPr="00AE2F09" w:rsidRDefault="00774AF7" w:rsidP="00FD7CD0">
            <w:pPr>
              <w:pStyle w:val="TableText0"/>
            </w:pPr>
            <w:r w:rsidRPr="00AE2F09">
              <w:t>Cycle length</w:t>
            </w:r>
          </w:p>
        </w:tc>
        <w:tc>
          <w:tcPr>
            <w:tcW w:w="3981" w:type="pct"/>
            <w:shd w:val="clear" w:color="auto" w:fill="auto"/>
            <w:vAlign w:val="center"/>
          </w:tcPr>
          <w:p w14:paraId="2F9069F8" w14:textId="77777777" w:rsidR="00774AF7" w:rsidRPr="00AE2F09" w:rsidRDefault="00774AF7" w:rsidP="00FD7CD0">
            <w:pPr>
              <w:pStyle w:val="TableText0"/>
            </w:pPr>
            <w:r w:rsidRPr="00AE2F09">
              <w:t>1 week</w:t>
            </w:r>
          </w:p>
        </w:tc>
      </w:tr>
      <w:tr w:rsidR="001506D2" w:rsidRPr="00AE2F09" w14:paraId="5DBD6769" w14:textId="77777777" w:rsidTr="00D80532">
        <w:tc>
          <w:tcPr>
            <w:tcW w:w="1019" w:type="pct"/>
            <w:shd w:val="clear" w:color="auto" w:fill="auto"/>
            <w:vAlign w:val="center"/>
          </w:tcPr>
          <w:p w14:paraId="32904EB5" w14:textId="77777777" w:rsidR="00774AF7" w:rsidRPr="00AE2F09" w:rsidRDefault="00774AF7" w:rsidP="00FD7CD0">
            <w:pPr>
              <w:pStyle w:val="TableText0"/>
            </w:pPr>
            <w:r w:rsidRPr="00AE2F09">
              <w:t>Transition probabilities</w:t>
            </w:r>
          </w:p>
        </w:tc>
        <w:tc>
          <w:tcPr>
            <w:tcW w:w="3981" w:type="pct"/>
            <w:shd w:val="clear" w:color="auto" w:fill="auto"/>
            <w:vAlign w:val="center"/>
          </w:tcPr>
          <w:p w14:paraId="65285223" w14:textId="08867EE4" w:rsidR="00774AF7" w:rsidRPr="00AE2F09" w:rsidRDefault="00774AF7" w:rsidP="00FD7CD0">
            <w:pPr>
              <w:pStyle w:val="TableText0"/>
            </w:pPr>
            <w:r w:rsidRPr="00AE2F09">
              <w:rPr>
                <w:b/>
                <w:bCs w:val="0"/>
              </w:rPr>
              <w:t>Pegvaliase response rate</w:t>
            </w:r>
            <w:r w:rsidRPr="00AE2F09">
              <w:t xml:space="preserve">: Calculated from an analysis of February 2019 PRISM trial data-cut of patients with ≥2 years of pegvaliase treatment who achieved either ≤360 µmol/L </w:t>
            </w:r>
            <w:r w:rsidR="00A87B98" w:rsidRPr="00AE2F09">
              <w:t xml:space="preserve">(81.8%) </w:t>
            </w:r>
            <w:r w:rsidRPr="00AE2F09">
              <w:t>or ADHD-RS inattention subscale reduction of ≥5 from baseline</w:t>
            </w:r>
            <w:r w:rsidR="00A87B98" w:rsidRPr="00AE2F09">
              <w:t xml:space="preserve"> (8.5%)</w:t>
            </w:r>
            <w:r w:rsidRPr="00AE2F09">
              <w:t>.</w:t>
            </w:r>
          </w:p>
          <w:p w14:paraId="56E4077E" w14:textId="77777777" w:rsidR="00774AF7" w:rsidRPr="00AE2F09" w:rsidRDefault="00774AF7" w:rsidP="00FD7CD0">
            <w:pPr>
              <w:pStyle w:val="TableText0"/>
            </w:pPr>
            <w:r w:rsidRPr="00AE2F09">
              <w:rPr>
                <w:b/>
                <w:bCs w:val="0"/>
              </w:rPr>
              <w:t xml:space="preserve">Phe-diet alone response rate: </w:t>
            </w:r>
            <w:r w:rsidRPr="00AE2F09">
              <w:t>Assumed to be 0%.</w:t>
            </w:r>
          </w:p>
          <w:p w14:paraId="05005381" w14:textId="77777777" w:rsidR="00774AF7" w:rsidRPr="00AE2F09" w:rsidRDefault="00774AF7" w:rsidP="00FD7CD0">
            <w:pPr>
              <w:pStyle w:val="TableText0"/>
            </w:pPr>
          </w:p>
          <w:p w14:paraId="78903076" w14:textId="74F258AA" w:rsidR="00774AF7" w:rsidRPr="00AE2F09" w:rsidRDefault="00774AF7" w:rsidP="00FD7CD0">
            <w:pPr>
              <w:pStyle w:val="TableText0"/>
            </w:pPr>
            <w:r w:rsidRPr="00AE2F09">
              <w:rPr>
                <w:b/>
                <w:bCs w:val="0"/>
              </w:rPr>
              <w:t>Pegvaliase blood-Phe level over time</w:t>
            </w:r>
            <w:r w:rsidRPr="00AE2F09">
              <w:t>: Estimated using a</w:t>
            </w:r>
            <w:r w:rsidR="006E6EBA" w:rsidRPr="00AE2F09">
              <w:t>n</w:t>
            </w:r>
            <w:r w:rsidRPr="00AE2F09">
              <w:t xml:space="preserve"> exponential regression with </w:t>
            </w:r>
            <w:r w:rsidR="006E6EBA" w:rsidRPr="00AE2F09">
              <w:t>plateaus at particular time-points</w:t>
            </w:r>
            <w:r w:rsidRPr="00AE2F09">
              <w:t xml:space="preserve"> (for blood-Phe responders and for non-responders on pegvaliase) and linear regression (for ADHD responders) from the above PRISM data-cut.</w:t>
            </w:r>
          </w:p>
          <w:p w14:paraId="4EA00C56" w14:textId="784A5434" w:rsidR="00774AF7" w:rsidRPr="00AE2F09" w:rsidRDefault="00774AF7" w:rsidP="00FD7CD0">
            <w:pPr>
              <w:pStyle w:val="TableText0"/>
            </w:pPr>
            <w:r w:rsidRPr="00AE2F09">
              <w:rPr>
                <w:b/>
                <w:bCs w:val="0"/>
              </w:rPr>
              <w:t>Phe-diet alone blood-Phe level over time</w:t>
            </w:r>
            <w:r w:rsidRPr="00AE2F09">
              <w:t>: Estimated from an additional analysis of the PKUDOS registry dataset and applied as a 108 µmol/L reduction from baseline and assume</w:t>
            </w:r>
            <w:r w:rsidR="001C450A" w:rsidRPr="00AE2F09">
              <w:t>d</w:t>
            </w:r>
            <w:r w:rsidRPr="00AE2F09">
              <w:t xml:space="preserve"> as constant thereafter.</w:t>
            </w:r>
          </w:p>
          <w:p w14:paraId="6D06279D" w14:textId="77777777" w:rsidR="00774AF7" w:rsidRPr="00AE2F09" w:rsidRDefault="00774AF7" w:rsidP="00FD7CD0">
            <w:pPr>
              <w:pStyle w:val="TableText0"/>
            </w:pPr>
          </w:p>
          <w:p w14:paraId="202AB337" w14:textId="77777777" w:rsidR="00774AF7" w:rsidRPr="00AE2F09" w:rsidRDefault="00774AF7" w:rsidP="00FD7CD0">
            <w:pPr>
              <w:pStyle w:val="TableText0"/>
            </w:pPr>
            <w:r w:rsidRPr="00AE2F09">
              <w:rPr>
                <w:b/>
                <w:bCs w:val="0"/>
              </w:rPr>
              <w:t>Pegvaliase discontinuation rate</w:t>
            </w:r>
            <w:r w:rsidRPr="00AE2F09">
              <w:t>: Calculated as time-dependent discontinuation rates up to 5 years from the above PRISM data-cut with no discontinuation from Year 5 onwards.</w:t>
            </w:r>
          </w:p>
          <w:p w14:paraId="2129FE27" w14:textId="77777777" w:rsidR="00774AF7" w:rsidRPr="00AE2F09" w:rsidRDefault="00774AF7" w:rsidP="00FD7CD0">
            <w:pPr>
              <w:pStyle w:val="TableText0"/>
            </w:pPr>
            <w:r w:rsidRPr="00AE2F09">
              <w:rPr>
                <w:b/>
                <w:bCs w:val="0"/>
              </w:rPr>
              <w:t>Phe-diet alone discontinuation rate</w:t>
            </w:r>
            <w:r w:rsidRPr="00AE2F09">
              <w:t>: Assumed to be 0%.</w:t>
            </w:r>
          </w:p>
          <w:p w14:paraId="6307E858" w14:textId="77777777" w:rsidR="00774AF7" w:rsidRPr="00AE2F09" w:rsidRDefault="00774AF7" w:rsidP="00FD7CD0">
            <w:pPr>
              <w:pStyle w:val="TableText0"/>
            </w:pPr>
          </w:p>
          <w:p w14:paraId="4169716E" w14:textId="77777777" w:rsidR="00774AF7" w:rsidRPr="00AE2F09" w:rsidRDefault="00774AF7" w:rsidP="00FD7CD0">
            <w:pPr>
              <w:pStyle w:val="TableText0"/>
            </w:pPr>
            <w:r w:rsidRPr="00AE2F09">
              <w:rPr>
                <w:b/>
                <w:bCs w:val="0"/>
              </w:rPr>
              <w:t>Overall survival</w:t>
            </w:r>
            <w:r w:rsidRPr="00AE2F09">
              <w:t>: Gender and age adjusted general population mortality.</w:t>
            </w:r>
          </w:p>
          <w:p w14:paraId="05314D4D" w14:textId="77777777" w:rsidR="00774AF7" w:rsidRPr="00AE2F09" w:rsidRDefault="00774AF7" w:rsidP="00FD7CD0">
            <w:pPr>
              <w:pStyle w:val="TableText0"/>
            </w:pPr>
          </w:p>
          <w:p w14:paraId="4F6F2943" w14:textId="77777777" w:rsidR="00774AF7" w:rsidRPr="00AE2F09" w:rsidRDefault="00774AF7" w:rsidP="00FD7CD0">
            <w:pPr>
              <w:pStyle w:val="TableText0"/>
            </w:pPr>
            <w:r w:rsidRPr="00AE2F09">
              <w:rPr>
                <w:b/>
                <w:bCs w:val="0"/>
              </w:rPr>
              <w:t>Pegvaliase adverse events</w:t>
            </w:r>
            <w:r w:rsidRPr="00AE2F09">
              <w:t>: Calculated from the incidence of adverse events ≥ Grade 3 that occurred in ≥1% of patients in PRISM 1 trial.</w:t>
            </w:r>
          </w:p>
          <w:p w14:paraId="768EC235" w14:textId="77777777" w:rsidR="00774AF7" w:rsidRPr="00AE2F09" w:rsidRDefault="00774AF7" w:rsidP="00FD7CD0">
            <w:pPr>
              <w:pStyle w:val="TableText0"/>
            </w:pPr>
            <w:r w:rsidRPr="00AE2F09">
              <w:rPr>
                <w:b/>
                <w:bCs w:val="0"/>
              </w:rPr>
              <w:t>Phe-diet alone adverse events</w:t>
            </w:r>
            <w:r w:rsidRPr="00AE2F09">
              <w:t>: Assumed to be 0%</w:t>
            </w:r>
          </w:p>
        </w:tc>
      </w:tr>
      <w:tr w:rsidR="001506D2" w:rsidRPr="00AE2F09" w14:paraId="70703BD3" w14:textId="77777777" w:rsidTr="00D80532">
        <w:tc>
          <w:tcPr>
            <w:tcW w:w="1019" w:type="pct"/>
            <w:shd w:val="clear" w:color="auto" w:fill="auto"/>
            <w:vAlign w:val="center"/>
          </w:tcPr>
          <w:p w14:paraId="4635003C" w14:textId="77777777" w:rsidR="00774AF7" w:rsidRPr="00AE2F09" w:rsidRDefault="00774AF7" w:rsidP="00FD7CD0">
            <w:pPr>
              <w:pStyle w:val="TableText0"/>
            </w:pPr>
            <w:r w:rsidRPr="00AE2F09">
              <w:t>Health related quality of life</w:t>
            </w:r>
          </w:p>
        </w:tc>
        <w:tc>
          <w:tcPr>
            <w:tcW w:w="3981" w:type="pct"/>
            <w:shd w:val="clear" w:color="auto" w:fill="auto"/>
            <w:vAlign w:val="center"/>
          </w:tcPr>
          <w:p w14:paraId="7A56D682" w14:textId="77777777" w:rsidR="00774AF7" w:rsidRPr="00AE2F09" w:rsidRDefault="00774AF7" w:rsidP="00FD7CD0">
            <w:pPr>
              <w:pStyle w:val="TableText0"/>
            </w:pPr>
            <w:r w:rsidRPr="00AE2F09">
              <w:t>TTO direct elicitation with Swedish general population preference weights. Utility values for health states from the utility study were applied to blood-Phe categories assumed by the submission to correspond to the given health states.</w:t>
            </w:r>
          </w:p>
        </w:tc>
      </w:tr>
    </w:tbl>
    <w:p w14:paraId="1CB3FE92" w14:textId="36367AA3" w:rsidR="00774AF7" w:rsidRPr="00AE2F09" w:rsidRDefault="00774AF7" w:rsidP="00774AF7">
      <w:pPr>
        <w:pStyle w:val="TableFigureFooter"/>
        <w:rPr>
          <w:sz w:val="20"/>
        </w:rPr>
      </w:pPr>
      <w:r w:rsidRPr="00AE2F09">
        <w:t>Source: Table 3.1-1</w:t>
      </w:r>
      <w:r w:rsidR="00D9648C">
        <w:t xml:space="preserve">, </w:t>
      </w:r>
      <w:r w:rsidRPr="00AE2F09">
        <w:t>pp260-1 of the submission</w:t>
      </w:r>
    </w:p>
    <w:p w14:paraId="4039F6B0" w14:textId="7D57C6E1" w:rsidR="00774AF7" w:rsidRPr="00AE2F09" w:rsidRDefault="00774AF7" w:rsidP="00774AF7">
      <w:pPr>
        <w:pStyle w:val="TableFigureFooter"/>
      </w:pPr>
      <w:r w:rsidRPr="00AE2F09">
        <w:t>ADHD-RS = Attention</w:t>
      </w:r>
      <w:r w:rsidR="00867CD5">
        <w:t xml:space="preserve"> D</w:t>
      </w:r>
      <w:r w:rsidRPr="00AE2F09">
        <w:t xml:space="preserve">eficit </w:t>
      </w:r>
      <w:r w:rsidR="00867CD5">
        <w:t>H</w:t>
      </w:r>
      <w:r w:rsidRPr="00AE2F09">
        <w:t xml:space="preserve">yperactivity </w:t>
      </w:r>
      <w:r w:rsidR="00867CD5">
        <w:t>D</w:t>
      </w:r>
      <w:r w:rsidRPr="00AE2F09">
        <w:t xml:space="preserve">isorder </w:t>
      </w:r>
      <w:r w:rsidR="00867CD5">
        <w:t>R</w:t>
      </w:r>
      <w:r w:rsidRPr="00AE2F09">
        <w:t xml:space="preserve">ating </w:t>
      </w:r>
      <w:r w:rsidR="00867CD5">
        <w:t>S</w:t>
      </w:r>
      <w:r w:rsidRPr="00AE2F09">
        <w:t>cale; Phe = phenylalanine; TTO = time trade off</w:t>
      </w:r>
    </w:p>
    <w:p w14:paraId="0AB99B01" w14:textId="36C1006B" w:rsidR="00774AF7" w:rsidRPr="00AE2F09" w:rsidRDefault="000D0070" w:rsidP="00774AF7">
      <w:pPr>
        <w:pStyle w:val="3-BodyText"/>
      </w:pPr>
      <w:r>
        <w:t>M</w:t>
      </w:r>
      <w:r w:rsidR="00774AF7" w:rsidRPr="00AE2F09">
        <w:t xml:space="preserve">icrosimulation is used to determine the gender (which affects background mortality based on Australian life tables), baseline Phe, age at treatment initiation and death, responder status and time of pegvaliase discontinuation. Only patients </w:t>
      </w:r>
      <w:r w:rsidR="00A87B98" w:rsidRPr="00AE2F09">
        <w:t xml:space="preserve">treated with pegvaliase </w:t>
      </w:r>
      <w:r w:rsidR="00774AF7" w:rsidRPr="00AE2F09">
        <w:t>can respond in the model. Phe-restricted diet patients remain in a Phe-restricted diet health state until death.</w:t>
      </w:r>
    </w:p>
    <w:p w14:paraId="6CE7E1C7" w14:textId="3C4B6D36" w:rsidR="00072661" w:rsidRDefault="00072661" w:rsidP="00072661">
      <w:pPr>
        <w:pStyle w:val="3-BodyText"/>
      </w:pPr>
      <w:bookmarkStart w:id="72" w:name="_Hlk106029850"/>
      <w:r w:rsidRPr="000764C2">
        <w:t xml:space="preserve">The </w:t>
      </w:r>
      <w:bookmarkStart w:id="73" w:name="_Hlk106029876"/>
      <w:r w:rsidR="00283321" w:rsidRPr="000764C2">
        <w:t>ESC considered that there w</w:t>
      </w:r>
      <w:r w:rsidR="000D0F10" w:rsidRPr="000764C2">
        <w:t>as</w:t>
      </w:r>
      <w:r w:rsidR="00283321" w:rsidRPr="000764C2">
        <w:t xml:space="preserve"> a lack of </w:t>
      </w:r>
      <w:r w:rsidR="001D3F22" w:rsidRPr="000764C2">
        <w:t xml:space="preserve">clinical </w:t>
      </w:r>
      <w:r w:rsidR="00283321" w:rsidRPr="000764C2">
        <w:t>data available to support the microsimulation approach undertaken</w:t>
      </w:r>
      <w:bookmarkEnd w:id="73"/>
      <w:r w:rsidRPr="000764C2">
        <w:t>.</w:t>
      </w:r>
      <w:r w:rsidRPr="00AE2F09">
        <w:t xml:space="preserve"> </w:t>
      </w:r>
      <w:bookmarkEnd w:id="72"/>
      <w:r w:rsidRPr="00AE2F09">
        <w:t xml:space="preserve">While the submission claimed that a microsimulation </w:t>
      </w:r>
      <w:r w:rsidR="003A3AC4">
        <w:t xml:space="preserve">approach </w:t>
      </w:r>
      <w:r w:rsidRPr="00AE2F09">
        <w:t>was justified as blood-Phe level</w:t>
      </w:r>
      <w:r w:rsidR="00283321">
        <w:t>s</w:t>
      </w:r>
      <w:r w:rsidRPr="00AE2F09">
        <w:t xml:space="preserve"> and quality of life </w:t>
      </w:r>
      <w:r w:rsidR="00283321">
        <w:t>a</w:t>
      </w:r>
      <w:r w:rsidR="00283321" w:rsidRPr="00AE2F09">
        <w:t xml:space="preserve">re </w:t>
      </w:r>
      <w:r w:rsidRPr="00AE2F09">
        <w:t xml:space="preserve">continuous variables, transitions in blood-Phe level could have been modelled using a cohort model (as was presented for previous sapropterin submissions in PKU), and quality of life was derived from mapping categorical variables based on time trade off results to assumed blood Phe levels. The use of a microsimulation model resulted in unnecessarily complicated model, which required significant time to compute. For this reason, only limited sensitivity analyses could be conducted during the evaluation, mostly using only 100 iterations. </w:t>
      </w:r>
    </w:p>
    <w:p w14:paraId="275CB79F" w14:textId="6CFF0578" w:rsidR="00D80532" w:rsidRPr="000764C2" w:rsidRDefault="00D80532" w:rsidP="00072661">
      <w:pPr>
        <w:pStyle w:val="3-BodyText"/>
      </w:pPr>
      <w:r w:rsidRPr="000764C2">
        <w:t xml:space="preserve">The PSCR </w:t>
      </w:r>
      <w:r w:rsidR="007C3D67" w:rsidRPr="000764C2">
        <w:t>reiterate</w:t>
      </w:r>
      <w:r w:rsidRPr="000764C2">
        <w:t xml:space="preserve">d that a Markov model would be problematic in this circumstance </w:t>
      </w:r>
      <w:r w:rsidR="00F13841" w:rsidRPr="000764C2">
        <w:t>as</w:t>
      </w:r>
      <w:r w:rsidRPr="000764C2">
        <w:t xml:space="preserve"> the health states are based on the continuous outcome of blood Phe for which there are no established thresholds at which a sudden marked change in functioning and quality of life are observed. </w:t>
      </w:r>
      <w:r w:rsidR="00E90942" w:rsidRPr="000764C2">
        <w:t>The PSCR argued that r</w:t>
      </w:r>
      <w:r w:rsidRPr="000764C2">
        <w:t>eduction</w:t>
      </w:r>
      <w:r w:rsidR="007C3D67" w:rsidRPr="000764C2">
        <w:t>s</w:t>
      </w:r>
      <w:r w:rsidRPr="000764C2">
        <w:t xml:space="preserve"> in blood Phe levels over time result in gradual but continuous improvements in functioning and quality of life. The PSCR </w:t>
      </w:r>
      <w:r w:rsidR="00F12BB1">
        <w:t xml:space="preserve">and pre-PBAC response </w:t>
      </w:r>
      <w:r w:rsidRPr="000764C2">
        <w:t xml:space="preserve">claimed </w:t>
      </w:r>
      <w:r w:rsidR="00283321" w:rsidRPr="000764C2">
        <w:t xml:space="preserve">that a large number of health states would be required to prevent disproportionate changes in QoL, </w:t>
      </w:r>
      <w:r w:rsidR="00F12BB1">
        <w:t xml:space="preserve">which may be computationally more complex than the use of regression equations </w:t>
      </w:r>
      <w:r w:rsidR="00283321" w:rsidRPr="000764C2">
        <w:t xml:space="preserve">and </w:t>
      </w:r>
      <w:r w:rsidRPr="000764C2">
        <w:t>there w</w:t>
      </w:r>
      <w:r w:rsidR="00283321" w:rsidRPr="000764C2">
        <w:t>ould be</w:t>
      </w:r>
      <w:r w:rsidRPr="000764C2">
        <w:t xml:space="preserve"> a lack of data to inform all the health state transitions</w:t>
      </w:r>
      <w:r w:rsidR="00A67132" w:rsidRPr="000764C2">
        <w:t xml:space="preserve">. </w:t>
      </w:r>
      <w:r w:rsidR="00283321" w:rsidRPr="000764C2">
        <w:t xml:space="preserve">However, </w:t>
      </w:r>
      <w:r w:rsidR="007C3D67" w:rsidRPr="000764C2">
        <w:t xml:space="preserve">the ESC considered this justification was inadequate as: there were a corresponding lack of data to inform the microsimulation approach undertaken; and </w:t>
      </w:r>
      <w:r w:rsidR="00283321" w:rsidRPr="000764C2">
        <w:t>as outlined above, t</w:t>
      </w:r>
      <w:r w:rsidR="00A67132" w:rsidRPr="000764C2">
        <w:t>he utility values were</w:t>
      </w:r>
      <w:r w:rsidR="007C3D67" w:rsidRPr="000764C2">
        <w:t xml:space="preserve"> derived from</w:t>
      </w:r>
      <w:r w:rsidR="00A67132" w:rsidRPr="000764C2">
        <w:t xml:space="preserve"> </w:t>
      </w:r>
      <w:r w:rsidR="007C3D67" w:rsidRPr="000764C2">
        <w:t>blood-Phe level categories (akin to ‘</w:t>
      </w:r>
      <w:r w:rsidR="00A67132" w:rsidRPr="000764C2">
        <w:t>mapped health states’</w:t>
      </w:r>
      <w:r w:rsidR="007C3D67" w:rsidRPr="000764C2">
        <w:t>)</w:t>
      </w:r>
      <w:r w:rsidR="00A67132" w:rsidRPr="000764C2">
        <w:t>.</w:t>
      </w:r>
      <w:r w:rsidR="004833E8">
        <w:t xml:space="preserve"> </w:t>
      </w:r>
    </w:p>
    <w:p w14:paraId="2F548715" w14:textId="77777777" w:rsidR="00907F55" w:rsidRDefault="00774AF7" w:rsidP="00774AF7">
      <w:pPr>
        <w:pStyle w:val="3-BodyText"/>
      </w:pPr>
      <w:bookmarkStart w:id="74" w:name="_Ref103059828"/>
      <w:r w:rsidRPr="00AE2F09">
        <w:t>Pegvaliase patients who respond</w:t>
      </w:r>
      <w:r w:rsidR="006D609D" w:rsidRPr="00AE2F09">
        <w:t xml:space="preserve"> in the model</w:t>
      </w:r>
      <w:r w:rsidRPr="00AE2F09">
        <w:t xml:space="preserve"> can respond either by </w:t>
      </w:r>
      <w:r w:rsidR="006E6EBA" w:rsidRPr="00AE2F09">
        <w:t xml:space="preserve">achieving a </w:t>
      </w:r>
      <w:r w:rsidRPr="00AE2F09">
        <w:t xml:space="preserve">blood-Phe &lt;360 </w:t>
      </w:r>
      <w:r w:rsidRPr="00AE2F09">
        <w:rPr>
          <w:rFonts w:cstheme="minorHAnsi"/>
        </w:rPr>
        <w:t>µ</w:t>
      </w:r>
      <w:r w:rsidRPr="00AE2F09">
        <w:t xml:space="preserve">mol/L or </w:t>
      </w:r>
      <w:r w:rsidR="006E6EBA" w:rsidRPr="00AE2F09">
        <w:t>an</w:t>
      </w:r>
      <w:r w:rsidRPr="00AE2F09">
        <w:t xml:space="preserve"> ADHD-RS inattention subscale score change </w:t>
      </w:r>
      <w:r w:rsidRPr="00AE2F09">
        <w:rPr>
          <w:rFonts w:cstheme="minorHAnsi"/>
        </w:rPr>
        <w:t>≥</w:t>
      </w:r>
      <w:r w:rsidRPr="00AE2F09">
        <w:t>5 from baseline</w:t>
      </w:r>
      <w:r w:rsidR="00907F55">
        <w:t xml:space="preserve"> (response rates of 90.3% in the pegvaliase arm, and 0% in the Phe-diet alone arm were used)</w:t>
      </w:r>
      <w:r w:rsidRPr="00AE2F09">
        <w:t xml:space="preserve">. Non-responders remain on treatment until 2 years in the model then switch to a Phe-restricted diet. </w:t>
      </w:r>
    </w:p>
    <w:p w14:paraId="0D7C1968" w14:textId="5E7E13D0" w:rsidR="00774AF7" w:rsidRPr="00AE2F09" w:rsidRDefault="00774AF7" w:rsidP="00774AF7">
      <w:pPr>
        <w:pStyle w:val="3-BodyText"/>
      </w:pPr>
      <w:r w:rsidRPr="00AE2F09">
        <w:t xml:space="preserve">Pegvaliase patients </w:t>
      </w:r>
      <w:r w:rsidR="00F07319" w:rsidRPr="00AE2F09">
        <w:t xml:space="preserve">are assumed to experience a decrease in </w:t>
      </w:r>
      <w:r w:rsidRPr="00AE2F09">
        <w:t xml:space="preserve">blood-Phe each cycle they remain on treatment (based on equations that differ based on type of response) until they reach a plateau of </w:t>
      </w:r>
      <w:r w:rsidR="008B5DC0" w:rsidRPr="00AE2F09">
        <w:t>261</w:t>
      </w:r>
      <w:r w:rsidR="008B5DC0">
        <w:t> </w:t>
      </w:r>
      <w:r w:rsidRPr="00AE2F09">
        <w:rPr>
          <w:rFonts w:cstheme="minorHAnsi"/>
        </w:rPr>
        <w:t>µ</w:t>
      </w:r>
      <w:r w:rsidRPr="00AE2F09">
        <w:t>mol/L</w:t>
      </w:r>
      <w:r w:rsidR="0088279A" w:rsidRPr="00AE2F09">
        <w:t xml:space="preserve">, </w:t>
      </w:r>
      <w:r w:rsidRPr="00AE2F09">
        <w:t xml:space="preserve">unless they </w:t>
      </w:r>
      <w:r w:rsidR="00B96C8D" w:rsidRPr="00AE2F09">
        <w:t xml:space="preserve">discontinue treatment and </w:t>
      </w:r>
      <w:r w:rsidRPr="00AE2F09">
        <w:t>transition to a Phe-restricted diet. Patients treated with Phe-restricted diet only were assigned a once off improvement in blood-Phe of 108</w:t>
      </w:r>
      <w:r w:rsidR="008B5DC0">
        <w:t xml:space="preserve"> </w:t>
      </w:r>
      <w:r w:rsidRPr="00AE2F09">
        <w:rPr>
          <w:rFonts w:cstheme="minorHAnsi"/>
        </w:rPr>
        <w:t>µ</w:t>
      </w:r>
      <w:r w:rsidRPr="00AE2F09">
        <w:t>mol/L at the first cycle.</w:t>
      </w:r>
      <w:bookmarkEnd w:id="74"/>
      <w:r w:rsidR="00F1277C" w:rsidRPr="00AE2F09">
        <w:t xml:space="preserve"> </w:t>
      </w:r>
    </w:p>
    <w:p w14:paraId="22BFC8FE" w14:textId="25CAF399" w:rsidR="00B55DE0" w:rsidRPr="00AE2F09" w:rsidRDefault="00907F55" w:rsidP="00DD081B">
      <w:pPr>
        <w:pStyle w:val="3-BodyText"/>
      </w:pPr>
      <w:r w:rsidRPr="000764C2">
        <w:t>In the</w:t>
      </w:r>
      <w:r w:rsidR="00FC34F8" w:rsidRPr="000764C2">
        <w:t xml:space="preserve"> pegvaliase arm of the</w:t>
      </w:r>
      <w:r w:rsidRPr="000764C2">
        <w:t xml:space="preserve"> model, the equations for estimating blood-Phe levels each cycle were based on </w:t>
      </w:r>
      <w:r w:rsidR="00100939" w:rsidRPr="000764C2">
        <w:t xml:space="preserve">the </w:t>
      </w:r>
      <w:r w:rsidR="00C15D3D" w:rsidRPr="000764C2">
        <w:t xml:space="preserve">same data </w:t>
      </w:r>
      <w:r w:rsidR="006E6EBA" w:rsidRPr="000764C2">
        <w:t xml:space="preserve">as were </w:t>
      </w:r>
      <w:r w:rsidR="00C15D3D" w:rsidRPr="000764C2">
        <w:t>used to inform the naïve indirect comparison</w:t>
      </w:r>
      <w:r w:rsidR="00100939" w:rsidRPr="000764C2">
        <w:t xml:space="preserve">. </w:t>
      </w:r>
      <w:r w:rsidR="00E742FC" w:rsidRPr="000764C2">
        <w:t xml:space="preserve">As such, the ESC noted </w:t>
      </w:r>
      <w:r w:rsidR="00040D66" w:rsidRPr="000764C2">
        <w:t>the economic evaluation was</w:t>
      </w:r>
      <w:r w:rsidR="00E742FC" w:rsidRPr="000764C2">
        <w:t xml:space="preserve"> subject to the limitations of this data including the high risk of bias</w:t>
      </w:r>
      <w:r w:rsidRPr="000764C2">
        <w:t xml:space="preserve"> of the included studies</w:t>
      </w:r>
      <w:r w:rsidR="00E742FC" w:rsidRPr="000764C2">
        <w:t>.</w:t>
      </w:r>
      <w:r w:rsidR="00E742FC" w:rsidRPr="003A3AC4">
        <w:rPr>
          <w:i/>
          <w:iCs/>
        </w:rPr>
        <w:t xml:space="preserve"> </w:t>
      </w:r>
      <w:r w:rsidR="00FC34F8">
        <w:t xml:space="preserve">To derive the equation for pegvaliase Phe </w:t>
      </w:r>
      <w:r w:rsidR="00FC34F8" w:rsidRPr="003A3AC4">
        <w:rPr>
          <w:rFonts w:cs="Calibri"/>
        </w:rPr>
        <w:t>≤</w:t>
      </w:r>
      <w:r w:rsidR="00FC34F8">
        <w:t xml:space="preserve">360 </w:t>
      </w:r>
      <w:r w:rsidR="00FC34F8" w:rsidRPr="003A3AC4">
        <w:rPr>
          <w:rFonts w:cs="Calibri"/>
        </w:rPr>
        <w:t>µ</w:t>
      </w:r>
      <w:r w:rsidR="00FC34F8">
        <w:t>mol/L responders</w:t>
      </w:r>
      <w:r w:rsidR="009026E8">
        <w:t>,</w:t>
      </w:r>
      <w:r w:rsidR="00FC34F8">
        <w:t xml:space="preserve"> the submission applied a</w:t>
      </w:r>
      <w:r w:rsidR="00FC34F8" w:rsidRPr="00AE2F09" w:rsidDel="00A67132">
        <w:t xml:space="preserve"> </w:t>
      </w:r>
      <w:r w:rsidR="00C15D3D" w:rsidRPr="00AE2F09">
        <w:t xml:space="preserve">non-linear exponential regression with asymptote. </w:t>
      </w:r>
      <w:r w:rsidR="00A06D51">
        <w:t>O</w:t>
      </w:r>
      <w:r w:rsidR="00C15D3D" w:rsidRPr="00AE2F09">
        <w:t xml:space="preserve">nly limited goodness of fit statistics were presented to justify the appropriateness of the </w:t>
      </w:r>
      <w:r w:rsidR="00FC34F8" w:rsidRPr="009026E8">
        <w:t>regression equation</w:t>
      </w:r>
      <w:r w:rsidR="00C15D3D" w:rsidRPr="00AE2F09">
        <w:t xml:space="preserve">, and </w:t>
      </w:r>
      <w:r w:rsidR="00FC34F8">
        <w:t xml:space="preserve">the evaluation considered that </w:t>
      </w:r>
      <w:r w:rsidR="00C15D3D" w:rsidRPr="00AE2F09">
        <w:t xml:space="preserve">it was unlikely that a univariate extrapolation was appropriate as other factors like age and daily dietary </w:t>
      </w:r>
      <w:r w:rsidR="00C74CAA" w:rsidRPr="00AE2F09">
        <w:t>P</w:t>
      </w:r>
      <w:r w:rsidR="00C15D3D" w:rsidRPr="00AE2F09">
        <w:t>he would impact blood-</w:t>
      </w:r>
      <w:r w:rsidR="00C74CAA" w:rsidRPr="00AE2F09">
        <w:t>P</w:t>
      </w:r>
      <w:r w:rsidR="00C15D3D" w:rsidRPr="00AE2F09">
        <w:t xml:space="preserve">he. The wide variance in data points in the fitted plot make it difficult to visually assess whether </w:t>
      </w:r>
      <w:r w:rsidR="000A3069" w:rsidRPr="00AE2F09">
        <w:t xml:space="preserve">the </w:t>
      </w:r>
      <w:r w:rsidR="00C15D3D" w:rsidRPr="00AE2F09">
        <w:t xml:space="preserve">fitted curve is a reasonable fit to the data. </w:t>
      </w:r>
      <w:r w:rsidR="00E742FC" w:rsidRPr="000764C2">
        <w:t>Overall, the ESC considered there was limited testing for goodness of fit and a large amount of variance in the underpinning data.</w:t>
      </w:r>
    </w:p>
    <w:p w14:paraId="20DB7B8B" w14:textId="79DB2B7E" w:rsidR="00C15D3D" w:rsidRPr="00AE2F09" w:rsidRDefault="00E742FC" w:rsidP="00774AF7">
      <w:pPr>
        <w:pStyle w:val="3-BodyText"/>
      </w:pPr>
      <w:r>
        <w:t>A</w:t>
      </w:r>
      <w:r w:rsidR="00B55DE0" w:rsidRPr="00AE2F09">
        <w:t xml:space="preserve">s discussed in </w:t>
      </w:r>
      <w:r w:rsidR="00317538" w:rsidRPr="00AE2F09">
        <w:t xml:space="preserve">paragraph </w:t>
      </w:r>
      <w:r w:rsidR="00317538" w:rsidRPr="00AE2F09">
        <w:fldChar w:fldCharType="begin"/>
      </w:r>
      <w:r w:rsidR="00317538" w:rsidRPr="00AE2F09">
        <w:instrText xml:space="preserve"> REF _Ref103484201 \r \h </w:instrText>
      </w:r>
      <w:r w:rsidR="00AE2F09" w:rsidRPr="00AE2F09">
        <w:instrText xml:space="preserve"> \* MERGEFORMAT </w:instrText>
      </w:r>
      <w:r w:rsidR="00317538" w:rsidRPr="00AE2F09">
        <w:fldChar w:fldCharType="separate"/>
      </w:r>
      <w:r w:rsidR="001162C8">
        <w:t>6.25</w:t>
      </w:r>
      <w:r w:rsidR="00317538" w:rsidRPr="00AE2F09">
        <w:fldChar w:fldCharType="end"/>
      </w:r>
      <w:r w:rsidR="00317538" w:rsidRPr="00AE2F09">
        <w:t xml:space="preserve">, </w:t>
      </w:r>
      <w:r w:rsidR="00C15D3D" w:rsidRPr="00AE2F09">
        <w:t xml:space="preserve">a number of patients who achieved at least one reading of blood-Phe ≤360 µmol/L within the first two years subsequently reported higher blood-Phe levels, which was inconsistent with the </w:t>
      </w:r>
      <w:r w:rsidR="000A3069" w:rsidRPr="00AE2F09">
        <w:t xml:space="preserve">model’s </w:t>
      </w:r>
      <w:r w:rsidR="00C15D3D" w:rsidRPr="00AE2F09">
        <w:t>assumption that all patients who were responders will maintain a reduced blood-Phe over time.</w:t>
      </w:r>
    </w:p>
    <w:p w14:paraId="33B7B7A3" w14:textId="52DB9F45" w:rsidR="003118C2" w:rsidRPr="000764C2" w:rsidRDefault="00774AF7" w:rsidP="00774AF7">
      <w:pPr>
        <w:pStyle w:val="3-BodyText"/>
      </w:pPr>
      <w:r w:rsidRPr="00AE2F09">
        <w:t xml:space="preserve">The </w:t>
      </w:r>
      <w:r w:rsidR="00E331F3">
        <w:t>model</w:t>
      </w:r>
      <w:r w:rsidR="00E331F3" w:rsidRPr="00AE2F09">
        <w:t xml:space="preserve"> </w:t>
      </w:r>
      <w:r w:rsidR="00C15D3D" w:rsidRPr="00AE2F09">
        <w:t xml:space="preserve">also assumed </w:t>
      </w:r>
      <w:r w:rsidRPr="00AE2F09">
        <w:t xml:space="preserve">that Phe-restricted diet patients were unable to achieve a response, which contradicts </w:t>
      </w:r>
      <w:r w:rsidR="006E6EBA" w:rsidRPr="00AE2F09">
        <w:t xml:space="preserve">the </w:t>
      </w:r>
      <w:r w:rsidRPr="00AE2F09">
        <w:t xml:space="preserve">clinical evidence presented in the indirect naïve comparison </w:t>
      </w:r>
      <w:r w:rsidR="00D004CA" w:rsidRPr="00AE2F09">
        <w:t xml:space="preserve">(see </w:t>
      </w:r>
      <w:r w:rsidR="00D004CA" w:rsidRPr="00AE2F09">
        <w:fldChar w:fldCharType="begin"/>
      </w:r>
      <w:r w:rsidR="00D004CA" w:rsidRPr="00AE2F09">
        <w:instrText xml:space="preserve"> REF _Ref103050259 \h  \* MERGEFORMAT </w:instrText>
      </w:r>
      <w:r w:rsidR="00D004CA" w:rsidRPr="00AE2F09">
        <w:fldChar w:fldCharType="separate"/>
      </w:r>
      <w:r w:rsidR="001162C8" w:rsidRPr="001162C8">
        <w:t>Table 7</w:t>
      </w:r>
      <w:r w:rsidR="00D004CA" w:rsidRPr="00AE2F09">
        <w:fldChar w:fldCharType="end"/>
      </w:r>
      <w:r w:rsidR="00D004CA" w:rsidRPr="00AE2F09">
        <w:t>)</w:t>
      </w:r>
      <w:r w:rsidRPr="00AE2F09">
        <w:t xml:space="preserve">. </w:t>
      </w:r>
      <w:r w:rsidR="003118C2" w:rsidRPr="000764C2">
        <w:t xml:space="preserve">The PSCR argued that this was appropriate as the requested population comprises patients who have inadequate </w:t>
      </w:r>
      <w:r w:rsidR="00E331F3" w:rsidRPr="000764C2">
        <w:t>blood</w:t>
      </w:r>
      <w:r w:rsidR="00E331F3">
        <w:t>-</w:t>
      </w:r>
      <w:r w:rsidR="003118C2" w:rsidRPr="000764C2">
        <w:t xml:space="preserve">Phe control despite prior management with sapropterin and a Phe restricted diet alone. However, the data in </w:t>
      </w:r>
      <w:r w:rsidR="003118C2" w:rsidRPr="000764C2">
        <w:fldChar w:fldCharType="begin"/>
      </w:r>
      <w:r w:rsidR="003118C2" w:rsidRPr="000764C2">
        <w:instrText xml:space="preserve"> REF _Ref103050259 \h  \* MERGEFORMAT </w:instrText>
      </w:r>
      <w:r w:rsidR="003118C2" w:rsidRPr="000764C2">
        <w:fldChar w:fldCharType="separate"/>
      </w:r>
      <w:r w:rsidR="001162C8" w:rsidRPr="001162C8">
        <w:t>Table 7</w:t>
      </w:r>
      <w:r w:rsidR="003118C2" w:rsidRPr="000764C2">
        <w:fldChar w:fldCharType="end"/>
      </w:r>
      <w:r w:rsidR="003118C2" w:rsidRPr="000764C2">
        <w:t xml:space="preserve"> informing the Phe-restricted diet arm (from the PKUDOS registry) comprises patients who had discontinued sapropterin (reasons for discontinuation were unknown). While not directly applicable to the requested population, this indicates that some Phe-restricted diet patients </w:t>
      </w:r>
      <w:r w:rsidR="00A06D51" w:rsidRPr="000764C2">
        <w:t xml:space="preserve">who have decided to cease sapropterin </w:t>
      </w:r>
      <w:r w:rsidR="003118C2" w:rsidRPr="000764C2">
        <w:t xml:space="preserve">can achieve a response. </w:t>
      </w:r>
    </w:p>
    <w:p w14:paraId="7015B915" w14:textId="722E6E00" w:rsidR="00774AF7" w:rsidRPr="00AE2F09" w:rsidRDefault="00774AF7" w:rsidP="00774AF7">
      <w:pPr>
        <w:pStyle w:val="3-BodyText"/>
      </w:pPr>
      <w:r w:rsidRPr="00AE2F09">
        <w:t>The utility values used in the submission were based on a sponsor commissioned utility study which included a time trade off (TTO) (n=1,106) and discrete choice experiment (DCE) (n=1,117) component, from a mix of PKU experienced people (n=17) and adults from the general Swedish population. Utility values for discrete health states (no symptoms, mild, moderate or severe symptoms, and no diet or partial diet restrictions) from the utility study were correlated to blood-Phe categories assumed by the submission to correspond to the given health states. The results from the sponsor</w:t>
      </w:r>
      <w:r w:rsidR="00C4206A" w:rsidRPr="00AE2F09">
        <w:t>-</w:t>
      </w:r>
      <w:r w:rsidRPr="00AE2F09">
        <w:t>commission</w:t>
      </w:r>
      <w:r w:rsidR="00C4206A" w:rsidRPr="00AE2F09">
        <w:t>ed</w:t>
      </w:r>
      <w:r w:rsidRPr="00AE2F09">
        <w:t xml:space="preserve"> utility study, and the utility changes for each 1 µmol/L change in blood Phe applied in the model (which was dependent on the </w:t>
      </w:r>
      <w:r w:rsidR="00E331F3" w:rsidRPr="00AE2F09">
        <w:t>blood</w:t>
      </w:r>
      <w:r w:rsidR="00E331F3">
        <w:t>-</w:t>
      </w:r>
      <w:r w:rsidRPr="00AE2F09">
        <w:t xml:space="preserve">Phe range), </w:t>
      </w:r>
      <w:r w:rsidR="00C4206A" w:rsidRPr="00AE2F09">
        <w:t xml:space="preserve">are </w:t>
      </w:r>
      <w:r w:rsidRPr="00AE2F09">
        <w:t xml:space="preserve">presented in </w:t>
      </w:r>
      <w:r w:rsidR="001C7A45" w:rsidRPr="00AE2F09">
        <w:fldChar w:fldCharType="begin"/>
      </w:r>
      <w:r w:rsidR="001C7A45" w:rsidRPr="00AE2F09">
        <w:instrText xml:space="preserve"> REF _Ref103053508 \h  \* MERGEFORMAT </w:instrText>
      </w:r>
      <w:r w:rsidR="001C7A45" w:rsidRPr="00AE2F09">
        <w:fldChar w:fldCharType="separate"/>
      </w:r>
      <w:r w:rsidR="001162C8" w:rsidRPr="001162C8">
        <w:t>Table 14</w:t>
      </w:r>
      <w:r w:rsidR="001C7A45" w:rsidRPr="00AE2F09">
        <w:fldChar w:fldCharType="end"/>
      </w:r>
      <w:r w:rsidRPr="00AE2F09">
        <w:t>.</w:t>
      </w:r>
    </w:p>
    <w:p w14:paraId="0C6A3B37" w14:textId="0CC56739" w:rsidR="00774AF7" w:rsidRPr="00AE2F09" w:rsidRDefault="009E4BCF" w:rsidP="009E4BCF">
      <w:pPr>
        <w:pStyle w:val="3-BodyText"/>
        <w:keepNext/>
        <w:keepLines/>
        <w:numPr>
          <w:ilvl w:val="0"/>
          <w:numId w:val="0"/>
        </w:numPr>
        <w:spacing w:after="0"/>
        <w:rPr>
          <w:rFonts w:ascii="Arial Narrow" w:hAnsi="Arial Narrow"/>
          <w:b/>
          <w:bCs/>
          <w:sz w:val="20"/>
          <w:szCs w:val="20"/>
        </w:rPr>
      </w:pPr>
      <w:bookmarkStart w:id="75" w:name="_Ref103053508"/>
      <w:r w:rsidRPr="00AE2F09">
        <w:rPr>
          <w:rFonts w:ascii="Arial Narrow" w:hAnsi="Arial Narrow"/>
          <w:b/>
          <w:bCs/>
          <w:sz w:val="20"/>
          <w:szCs w:val="20"/>
        </w:rPr>
        <w:t xml:space="preserve">Table </w:t>
      </w:r>
      <w:r w:rsidRPr="00AE2F09">
        <w:rPr>
          <w:rFonts w:ascii="Arial Narrow" w:hAnsi="Arial Narrow"/>
          <w:b/>
          <w:bCs/>
          <w:sz w:val="20"/>
          <w:szCs w:val="20"/>
        </w:rPr>
        <w:fldChar w:fldCharType="begin"/>
      </w:r>
      <w:r w:rsidRPr="00AE2F09">
        <w:rPr>
          <w:rFonts w:ascii="Arial Narrow" w:hAnsi="Arial Narrow"/>
          <w:b/>
          <w:bCs/>
          <w:sz w:val="20"/>
          <w:szCs w:val="20"/>
        </w:rPr>
        <w:instrText xml:space="preserve"> SEQ Table \* ARABIC </w:instrText>
      </w:r>
      <w:r w:rsidRPr="00AE2F09">
        <w:rPr>
          <w:rFonts w:ascii="Arial Narrow" w:hAnsi="Arial Narrow"/>
          <w:b/>
          <w:bCs/>
          <w:sz w:val="20"/>
          <w:szCs w:val="20"/>
        </w:rPr>
        <w:fldChar w:fldCharType="separate"/>
      </w:r>
      <w:r w:rsidR="001162C8">
        <w:rPr>
          <w:rFonts w:ascii="Arial Narrow" w:hAnsi="Arial Narrow"/>
          <w:b/>
          <w:bCs/>
          <w:noProof/>
          <w:sz w:val="20"/>
          <w:szCs w:val="20"/>
        </w:rPr>
        <w:t>14</w:t>
      </w:r>
      <w:r w:rsidRPr="00AE2F09">
        <w:rPr>
          <w:rFonts w:ascii="Arial Narrow" w:hAnsi="Arial Narrow"/>
          <w:b/>
          <w:bCs/>
          <w:sz w:val="20"/>
          <w:szCs w:val="20"/>
        </w:rPr>
        <w:fldChar w:fldCharType="end"/>
      </w:r>
      <w:bookmarkEnd w:id="75"/>
      <w:r w:rsidR="00774AF7" w:rsidRPr="00AE2F09">
        <w:rPr>
          <w:rFonts w:ascii="Arial Narrow" w:hAnsi="Arial Narrow"/>
          <w:b/>
          <w:bCs/>
          <w:sz w:val="20"/>
          <w:szCs w:val="20"/>
        </w:rPr>
        <w:t>. Utility value results from sponsor commissioned utility study and as applied in economic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47"/>
        <w:gridCol w:w="1843"/>
        <w:gridCol w:w="2693"/>
        <w:gridCol w:w="1934"/>
      </w:tblGrid>
      <w:tr w:rsidR="000E2F3A" w:rsidRPr="00AE2F09" w14:paraId="765B050C" w14:textId="77777777" w:rsidTr="00FD7CD0">
        <w:trPr>
          <w:cantSplit/>
        </w:trPr>
        <w:tc>
          <w:tcPr>
            <w:tcW w:w="2547" w:type="dxa"/>
            <w:vAlign w:val="center"/>
          </w:tcPr>
          <w:p w14:paraId="626E65B3" w14:textId="77777777" w:rsidR="000E2F3A" w:rsidRPr="00AE2F09" w:rsidRDefault="000E2F3A" w:rsidP="000E2F3A">
            <w:pPr>
              <w:pStyle w:val="In-tableHeading"/>
              <w:keepLines/>
              <w:widowControl w:val="0"/>
              <w:rPr>
                <w:vertAlign w:val="superscript"/>
                <w:lang w:val="en-AU"/>
              </w:rPr>
            </w:pPr>
            <w:r w:rsidRPr="00AE2F09">
              <w:rPr>
                <w:lang w:val="en-AU"/>
              </w:rPr>
              <w:t xml:space="preserve">Health State </w:t>
            </w:r>
            <w:r w:rsidRPr="00AE2F09">
              <w:rPr>
                <w:vertAlign w:val="superscript"/>
                <w:lang w:val="en-AU"/>
              </w:rPr>
              <w:t>¥</w:t>
            </w:r>
          </w:p>
        </w:tc>
        <w:tc>
          <w:tcPr>
            <w:tcW w:w="1843" w:type="dxa"/>
            <w:vAlign w:val="center"/>
          </w:tcPr>
          <w:p w14:paraId="40407120" w14:textId="77777777" w:rsidR="000E2F3A" w:rsidRPr="00AE2F09" w:rsidRDefault="000E2F3A" w:rsidP="000E2F3A">
            <w:pPr>
              <w:pStyle w:val="In-tableHeading"/>
              <w:keepLines/>
              <w:widowControl w:val="0"/>
              <w:jc w:val="center"/>
              <w:rPr>
                <w:lang w:val="en-AU"/>
              </w:rPr>
            </w:pPr>
            <w:r w:rsidRPr="00AE2F09">
              <w:rPr>
                <w:lang w:val="en-AU"/>
              </w:rPr>
              <w:t>TTO mean utility (SD) [N / median]</w:t>
            </w:r>
          </w:p>
        </w:tc>
        <w:tc>
          <w:tcPr>
            <w:tcW w:w="2693" w:type="dxa"/>
            <w:vAlign w:val="center"/>
          </w:tcPr>
          <w:p w14:paraId="0A388C8A" w14:textId="6B25F902" w:rsidR="000E2F3A" w:rsidRPr="00AE2F09" w:rsidRDefault="000E2F3A" w:rsidP="000E2F3A">
            <w:pPr>
              <w:pStyle w:val="In-tableHeading"/>
              <w:keepLines/>
              <w:widowControl w:val="0"/>
              <w:jc w:val="center"/>
              <w:rPr>
                <w:vertAlign w:val="superscript"/>
                <w:lang w:val="en-AU"/>
              </w:rPr>
            </w:pPr>
            <w:r w:rsidRPr="00AE2F09">
              <w:rPr>
                <w:lang w:val="en-AU"/>
              </w:rPr>
              <w:t xml:space="preserve">Blood-Phe level category applied in the economic model </w:t>
            </w:r>
            <w:r w:rsidRPr="00AE2F09">
              <w:rPr>
                <w:vertAlign w:val="superscript"/>
                <w:lang w:val="en-AU"/>
              </w:rPr>
              <w:t>*</w:t>
            </w:r>
          </w:p>
          <w:p w14:paraId="03409E16" w14:textId="367437C4" w:rsidR="000E2F3A" w:rsidRPr="00AE2F09" w:rsidRDefault="000E2F3A" w:rsidP="000E2F3A">
            <w:pPr>
              <w:pStyle w:val="In-tableHeading"/>
              <w:keepLines/>
              <w:widowControl w:val="0"/>
              <w:jc w:val="center"/>
              <w:rPr>
                <w:vertAlign w:val="superscript"/>
                <w:lang w:val="en-AU"/>
              </w:rPr>
            </w:pPr>
            <w:r w:rsidRPr="00AE2F09">
              <w:rPr>
                <w:lang w:val="en-AU"/>
              </w:rPr>
              <w:t>Reference blood-Phe (utility)</w:t>
            </w:r>
          </w:p>
        </w:tc>
        <w:tc>
          <w:tcPr>
            <w:tcW w:w="1934" w:type="dxa"/>
          </w:tcPr>
          <w:p w14:paraId="60FD7414" w14:textId="77777777" w:rsidR="000E2F3A" w:rsidRPr="00AE2F09" w:rsidRDefault="000E2F3A" w:rsidP="000E2F3A">
            <w:pPr>
              <w:pStyle w:val="In-tableHeading"/>
              <w:keepLines/>
              <w:widowControl w:val="0"/>
              <w:jc w:val="center"/>
              <w:rPr>
                <w:lang w:val="en-AU"/>
              </w:rPr>
            </w:pPr>
            <w:r w:rsidRPr="00AE2F09">
              <w:rPr>
                <w:lang w:val="en-AU"/>
              </w:rPr>
              <w:t>Change in utility for each 1 µmol/L change applied in model</w:t>
            </w:r>
          </w:p>
        </w:tc>
      </w:tr>
      <w:tr w:rsidR="000E2F3A" w:rsidRPr="00AE2F09" w14:paraId="57CA27AE" w14:textId="77777777" w:rsidTr="00FD7CD0">
        <w:trPr>
          <w:cantSplit/>
        </w:trPr>
        <w:tc>
          <w:tcPr>
            <w:tcW w:w="2547" w:type="dxa"/>
            <w:vAlign w:val="center"/>
          </w:tcPr>
          <w:p w14:paraId="1CDD8FC7" w14:textId="77777777" w:rsidR="000E2F3A" w:rsidRPr="00AE2F09" w:rsidRDefault="000E2F3A" w:rsidP="000E2F3A">
            <w:pPr>
              <w:pStyle w:val="TableText0"/>
              <w:keepLines/>
              <w:widowControl w:val="0"/>
            </w:pPr>
            <w:r w:rsidRPr="00AE2F09">
              <w:t>No diet restrictions and no symptoms</w:t>
            </w:r>
          </w:p>
        </w:tc>
        <w:tc>
          <w:tcPr>
            <w:tcW w:w="1843" w:type="dxa"/>
            <w:vAlign w:val="center"/>
          </w:tcPr>
          <w:p w14:paraId="7AE186DA" w14:textId="77777777" w:rsidR="000E2F3A" w:rsidRPr="00AE2F09" w:rsidRDefault="000E2F3A" w:rsidP="000E2F3A">
            <w:pPr>
              <w:pStyle w:val="TableText0"/>
              <w:keepLines/>
              <w:widowControl w:val="0"/>
              <w:jc w:val="center"/>
            </w:pPr>
            <w:r w:rsidRPr="00AE2F09">
              <w:t>0.837 (0.259)</w:t>
            </w:r>
          </w:p>
          <w:p w14:paraId="38FF56ED" w14:textId="77777777" w:rsidR="000E2F3A" w:rsidRPr="00AE2F09" w:rsidRDefault="000E2F3A" w:rsidP="000E2F3A">
            <w:pPr>
              <w:pStyle w:val="TableText0"/>
              <w:keepLines/>
              <w:widowControl w:val="0"/>
              <w:jc w:val="center"/>
            </w:pPr>
            <w:r w:rsidRPr="00AE2F09">
              <w:t>[425 / 0.950]</w:t>
            </w:r>
          </w:p>
        </w:tc>
        <w:tc>
          <w:tcPr>
            <w:tcW w:w="2693" w:type="dxa"/>
            <w:vAlign w:val="center"/>
          </w:tcPr>
          <w:p w14:paraId="36B69425" w14:textId="5284D4E3" w:rsidR="000E2F3A" w:rsidRPr="00AE2F09" w:rsidRDefault="000E2F3A" w:rsidP="000E2F3A">
            <w:pPr>
              <w:pStyle w:val="TableText0"/>
              <w:keepLines/>
              <w:widowControl w:val="0"/>
              <w:jc w:val="center"/>
            </w:pPr>
            <w:r w:rsidRPr="00AE2F09">
              <w:t xml:space="preserve">&lt;120 µmol/L </w:t>
            </w:r>
            <w:r w:rsidRPr="00AE2F09">
              <w:rPr>
                <w:vertAlign w:val="superscript"/>
              </w:rPr>
              <w:t>±</w:t>
            </w:r>
          </w:p>
        </w:tc>
        <w:tc>
          <w:tcPr>
            <w:tcW w:w="1934" w:type="dxa"/>
            <w:vAlign w:val="center"/>
          </w:tcPr>
          <w:p w14:paraId="155E2550" w14:textId="77777777" w:rsidR="000E2F3A" w:rsidRPr="00AE2F09" w:rsidRDefault="000E2F3A" w:rsidP="000E2F3A">
            <w:pPr>
              <w:pStyle w:val="TableText0"/>
              <w:keepLines/>
              <w:widowControl w:val="0"/>
              <w:jc w:val="center"/>
            </w:pPr>
            <w:r w:rsidRPr="00AE2F09">
              <w:t>0 ^</w:t>
            </w:r>
          </w:p>
        </w:tc>
      </w:tr>
      <w:tr w:rsidR="000E2F3A" w:rsidRPr="00AE2F09" w14:paraId="1225FE8C" w14:textId="77777777" w:rsidTr="00FD7CD0">
        <w:trPr>
          <w:cantSplit/>
        </w:trPr>
        <w:tc>
          <w:tcPr>
            <w:tcW w:w="2547" w:type="dxa"/>
            <w:vAlign w:val="center"/>
          </w:tcPr>
          <w:p w14:paraId="01613234" w14:textId="77777777" w:rsidR="000E2F3A" w:rsidRPr="00AE2F09" w:rsidRDefault="000E2F3A" w:rsidP="000E2F3A">
            <w:pPr>
              <w:pStyle w:val="TableText0"/>
              <w:keepLines/>
              <w:widowControl w:val="0"/>
            </w:pPr>
            <w:r w:rsidRPr="00AE2F09">
              <w:t>Partly-restricted diet without medical food and no symptoms</w:t>
            </w:r>
          </w:p>
        </w:tc>
        <w:tc>
          <w:tcPr>
            <w:tcW w:w="1843" w:type="dxa"/>
            <w:vAlign w:val="center"/>
          </w:tcPr>
          <w:p w14:paraId="08CFAF43" w14:textId="77777777" w:rsidR="000E2F3A" w:rsidRPr="00AE2F09" w:rsidRDefault="000E2F3A" w:rsidP="000E2F3A">
            <w:pPr>
              <w:pStyle w:val="TableText0"/>
              <w:keepLines/>
              <w:widowControl w:val="0"/>
              <w:jc w:val="center"/>
            </w:pPr>
            <w:r w:rsidRPr="00AE2F09">
              <w:t>0.775 (0.302)</w:t>
            </w:r>
          </w:p>
          <w:p w14:paraId="228363ED" w14:textId="77777777" w:rsidR="000E2F3A" w:rsidRPr="00AE2F09" w:rsidRDefault="000E2F3A" w:rsidP="000E2F3A">
            <w:pPr>
              <w:pStyle w:val="TableText0"/>
              <w:keepLines/>
              <w:widowControl w:val="0"/>
              <w:jc w:val="center"/>
            </w:pPr>
            <w:r w:rsidRPr="00AE2F09">
              <w:t>[411 / 0.900]</w:t>
            </w:r>
          </w:p>
        </w:tc>
        <w:tc>
          <w:tcPr>
            <w:tcW w:w="2693" w:type="dxa"/>
            <w:vAlign w:val="center"/>
          </w:tcPr>
          <w:p w14:paraId="7682C046" w14:textId="77777777" w:rsidR="000E2F3A" w:rsidRPr="00AE2F09" w:rsidRDefault="000E2F3A" w:rsidP="000E2F3A">
            <w:pPr>
              <w:pStyle w:val="TableText0"/>
              <w:keepLines/>
              <w:widowControl w:val="0"/>
              <w:jc w:val="center"/>
            </w:pPr>
            <w:r w:rsidRPr="00AE2F09">
              <w:t xml:space="preserve">120 – 360 µmol/L </w:t>
            </w:r>
          </w:p>
          <w:p w14:paraId="259D3E1F" w14:textId="11172BBA" w:rsidR="000E2F3A" w:rsidRPr="00AE2F09" w:rsidRDefault="000E2F3A" w:rsidP="000E2F3A">
            <w:pPr>
              <w:pStyle w:val="TableText0"/>
              <w:keepLines/>
              <w:widowControl w:val="0"/>
              <w:jc w:val="center"/>
            </w:pPr>
            <w:r w:rsidRPr="00AE2F09">
              <w:t>240 µmol/L(0.775)</w:t>
            </w:r>
          </w:p>
        </w:tc>
        <w:tc>
          <w:tcPr>
            <w:tcW w:w="1934" w:type="dxa"/>
            <w:vAlign w:val="center"/>
          </w:tcPr>
          <w:p w14:paraId="1C65043E" w14:textId="77777777" w:rsidR="000E2F3A" w:rsidRPr="00AE2F09" w:rsidRDefault="000E2F3A" w:rsidP="000E2F3A">
            <w:pPr>
              <w:pStyle w:val="TableText0"/>
              <w:keepLines/>
              <w:widowControl w:val="0"/>
              <w:jc w:val="center"/>
            </w:pPr>
            <w:r w:rsidRPr="00AE2F09">
              <w:t>120- 240: 0.00051</w:t>
            </w:r>
          </w:p>
          <w:p w14:paraId="6A60799A" w14:textId="77777777" w:rsidR="000E2F3A" w:rsidRPr="00AE2F09" w:rsidRDefault="000E2F3A" w:rsidP="000E2F3A">
            <w:pPr>
              <w:pStyle w:val="TableText0"/>
              <w:keepLines/>
              <w:widowControl w:val="0"/>
              <w:jc w:val="center"/>
            </w:pPr>
            <w:r w:rsidRPr="00AE2F09">
              <w:t>241-360: 0.00046</w:t>
            </w:r>
          </w:p>
        </w:tc>
      </w:tr>
      <w:tr w:rsidR="000E2F3A" w:rsidRPr="00AE2F09" w14:paraId="30739CDE" w14:textId="77777777" w:rsidTr="00FD7CD0">
        <w:trPr>
          <w:cantSplit/>
        </w:trPr>
        <w:tc>
          <w:tcPr>
            <w:tcW w:w="2547" w:type="dxa"/>
            <w:vAlign w:val="center"/>
          </w:tcPr>
          <w:p w14:paraId="56A30ABD" w14:textId="77777777" w:rsidR="000E2F3A" w:rsidRPr="00AE2F09" w:rsidRDefault="000E2F3A" w:rsidP="000E2F3A">
            <w:pPr>
              <w:pStyle w:val="TableText0"/>
              <w:keepLines/>
              <w:widowControl w:val="0"/>
            </w:pPr>
            <w:r w:rsidRPr="00AE2F09">
              <w:t>No symptoms and restricted diet with medical food</w:t>
            </w:r>
          </w:p>
        </w:tc>
        <w:tc>
          <w:tcPr>
            <w:tcW w:w="1843" w:type="dxa"/>
            <w:vAlign w:val="center"/>
          </w:tcPr>
          <w:p w14:paraId="47DFD23F" w14:textId="77777777" w:rsidR="000E2F3A" w:rsidRPr="00AE2F09" w:rsidRDefault="000E2F3A" w:rsidP="000E2F3A">
            <w:pPr>
              <w:pStyle w:val="TableText0"/>
              <w:keepLines/>
              <w:widowControl w:val="0"/>
              <w:jc w:val="center"/>
            </w:pPr>
            <w:r w:rsidRPr="00AE2F09">
              <w:t xml:space="preserve">0.664 (0.412) </w:t>
            </w:r>
          </w:p>
          <w:p w14:paraId="70918FB4" w14:textId="77777777" w:rsidR="000E2F3A" w:rsidRPr="00AE2F09" w:rsidRDefault="000E2F3A" w:rsidP="000E2F3A">
            <w:pPr>
              <w:pStyle w:val="TableText0"/>
              <w:keepLines/>
              <w:widowControl w:val="0"/>
              <w:jc w:val="center"/>
            </w:pPr>
            <w:r w:rsidRPr="00AE2F09">
              <w:t>[409 / 0.825]</w:t>
            </w:r>
          </w:p>
        </w:tc>
        <w:tc>
          <w:tcPr>
            <w:tcW w:w="2693" w:type="dxa"/>
            <w:vAlign w:val="center"/>
          </w:tcPr>
          <w:p w14:paraId="1BB5AF34" w14:textId="77777777" w:rsidR="000E2F3A" w:rsidRPr="00AE2F09" w:rsidRDefault="000E2F3A" w:rsidP="000E2F3A">
            <w:pPr>
              <w:pStyle w:val="TableText0"/>
              <w:keepLines/>
              <w:widowControl w:val="0"/>
              <w:jc w:val="center"/>
            </w:pPr>
            <w:r w:rsidRPr="00AE2F09">
              <w:t>360 – 600 µmol/L</w:t>
            </w:r>
          </w:p>
          <w:p w14:paraId="1B42DDE9" w14:textId="2B296175" w:rsidR="000E2F3A" w:rsidRPr="00AE2F09" w:rsidRDefault="000E2F3A" w:rsidP="000E2F3A">
            <w:pPr>
              <w:pStyle w:val="TableText0"/>
              <w:keepLines/>
              <w:widowControl w:val="0"/>
              <w:jc w:val="center"/>
            </w:pPr>
            <w:r w:rsidRPr="00AE2F09">
              <w:t>480 µmol/L(0.664</w:t>
            </w:r>
            <w:r w:rsidR="00161473" w:rsidRPr="00AE2F09">
              <w:t>)</w:t>
            </w:r>
          </w:p>
        </w:tc>
        <w:tc>
          <w:tcPr>
            <w:tcW w:w="1934" w:type="dxa"/>
            <w:vAlign w:val="center"/>
          </w:tcPr>
          <w:p w14:paraId="6F47EE50" w14:textId="77777777" w:rsidR="000E2F3A" w:rsidRPr="00AE2F09" w:rsidRDefault="000E2F3A" w:rsidP="000E2F3A">
            <w:pPr>
              <w:pStyle w:val="TableText0"/>
              <w:keepLines/>
              <w:widowControl w:val="0"/>
              <w:jc w:val="center"/>
            </w:pPr>
            <w:r w:rsidRPr="00AE2F09">
              <w:t>361-480: 0.00046</w:t>
            </w:r>
          </w:p>
          <w:p w14:paraId="358E5585" w14:textId="77777777" w:rsidR="000E2F3A" w:rsidRPr="00AE2F09" w:rsidRDefault="000E2F3A" w:rsidP="000E2F3A">
            <w:pPr>
              <w:pStyle w:val="TableText0"/>
              <w:keepLines/>
              <w:widowControl w:val="0"/>
              <w:jc w:val="center"/>
            </w:pPr>
            <w:r w:rsidRPr="00AE2F09">
              <w:t>481-600: 0.00017</w:t>
            </w:r>
          </w:p>
        </w:tc>
      </w:tr>
      <w:tr w:rsidR="000E2F3A" w:rsidRPr="00AE2F09" w14:paraId="6A9B5E0A" w14:textId="77777777" w:rsidTr="00FD7CD0">
        <w:trPr>
          <w:cantSplit/>
        </w:trPr>
        <w:tc>
          <w:tcPr>
            <w:tcW w:w="2547" w:type="dxa"/>
            <w:vAlign w:val="center"/>
          </w:tcPr>
          <w:p w14:paraId="5E55CA69" w14:textId="77777777" w:rsidR="000E2F3A" w:rsidRPr="00AE2F09" w:rsidRDefault="000E2F3A" w:rsidP="000E2F3A">
            <w:pPr>
              <w:pStyle w:val="TableText0"/>
              <w:keepLines/>
              <w:widowControl w:val="0"/>
            </w:pPr>
            <w:r w:rsidRPr="00AE2F09">
              <w:t>Mild symptoms and restricted diet with medical food</w:t>
            </w:r>
          </w:p>
        </w:tc>
        <w:tc>
          <w:tcPr>
            <w:tcW w:w="1843" w:type="dxa"/>
            <w:vAlign w:val="center"/>
          </w:tcPr>
          <w:p w14:paraId="1C430F37" w14:textId="77777777" w:rsidR="000E2F3A" w:rsidRPr="00AE2F09" w:rsidRDefault="000E2F3A" w:rsidP="000E2F3A">
            <w:pPr>
              <w:pStyle w:val="TableText0"/>
              <w:keepLines/>
              <w:widowControl w:val="0"/>
              <w:jc w:val="center"/>
            </w:pPr>
            <w:r w:rsidRPr="00AE2F09">
              <w:t>0.591 (0.450)</w:t>
            </w:r>
          </w:p>
          <w:p w14:paraId="53AB6820" w14:textId="77777777" w:rsidR="000E2F3A" w:rsidRPr="00AE2F09" w:rsidRDefault="000E2F3A" w:rsidP="000E2F3A">
            <w:pPr>
              <w:pStyle w:val="TableText0"/>
              <w:keepLines/>
              <w:widowControl w:val="0"/>
              <w:jc w:val="center"/>
            </w:pPr>
            <w:r w:rsidRPr="00AE2F09">
              <w:t>[415 / 0.725]</w:t>
            </w:r>
          </w:p>
        </w:tc>
        <w:tc>
          <w:tcPr>
            <w:tcW w:w="2693" w:type="dxa"/>
            <w:vAlign w:val="center"/>
          </w:tcPr>
          <w:p w14:paraId="2FC68558" w14:textId="77777777" w:rsidR="000E2F3A" w:rsidRPr="00AE2F09" w:rsidRDefault="000E2F3A" w:rsidP="000E2F3A">
            <w:pPr>
              <w:pStyle w:val="TableText0"/>
              <w:keepLines/>
              <w:widowControl w:val="0"/>
              <w:jc w:val="center"/>
            </w:pPr>
            <w:r w:rsidRPr="00AE2F09">
              <w:t>600 – 1,200 µmol/L</w:t>
            </w:r>
          </w:p>
          <w:p w14:paraId="71C687D6" w14:textId="6DF64839" w:rsidR="000E2F3A" w:rsidRPr="00AE2F09" w:rsidRDefault="000E2F3A" w:rsidP="000E2F3A">
            <w:pPr>
              <w:pStyle w:val="TableText0"/>
              <w:keepLines/>
              <w:widowControl w:val="0"/>
              <w:jc w:val="center"/>
            </w:pPr>
            <w:r w:rsidRPr="00AE2F09">
              <w:t>900 µmol/L(0.591)</w:t>
            </w:r>
          </w:p>
        </w:tc>
        <w:tc>
          <w:tcPr>
            <w:tcW w:w="1934" w:type="dxa"/>
            <w:vMerge w:val="restart"/>
            <w:vAlign w:val="center"/>
          </w:tcPr>
          <w:p w14:paraId="68561261" w14:textId="77777777" w:rsidR="000E2F3A" w:rsidRPr="00AE2F09" w:rsidRDefault="000E2F3A" w:rsidP="000E2F3A">
            <w:pPr>
              <w:pStyle w:val="TableText0"/>
              <w:keepLines/>
              <w:widowControl w:val="0"/>
              <w:jc w:val="center"/>
            </w:pPr>
            <w:r w:rsidRPr="00AE2F09">
              <w:t>601-900: 0.00017</w:t>
            </w:r>
          </w:p>
          <w:p w14:paraId="490BF3F8" w14:textId="77777777" w:rsidR="000E2F3A" w:rsidRPr="00AE2F09" w:rsidRDefault="000E2F3A" w:rsidP="000E2F3A">
            <w:pPr>
              <w:pStyle w:val="TableText0"/>
              <w:keepLines/>
              <w:widowControl w:val="0"/>
              <w:jc w:val="center"/>
            </w:pPr>
            <w:r w:rsidRPr="00AE2F09">
              <w:t>≥901: 0.00090</w:t>
            </w:r>
          </w:p>
        </w:tc>
      </w:tr>
      <w:tr w:rsidR="000E2F3A" w:rsidRPr="00AE2F09" w14:paraId="3DBBB0CA" w14:textId="77777777" w:rsidTr="00FD7CD0">
        <w:trPr>
          <w:cantSplit/>
        </w:trPr>
        <w:tc>
          <w:tcPr>
            <w:tcW w:w="2547" w:type="dxa"/>
            <w:vAlign w:val="center"/>
          </w:tcPr>
          <w:p w14:paraId="65738384" w14:textId="77777777" w:rsidR="000E2F3A" w:rsidRPr="00AE2F09" w:rsidRDefault="000E2F3A" w:rsidP="000E2F3A">
            <w:pPr>
              <w:pStyle w:val="TableText0"/>
              <w:keepLines/>
              <w:widowControl w:val="0"/>
            </w:pPr>
            <w:r w:rsidRPr="00AE2F09">
              <w:t>Moderate symptoms and restricted diet with medical food</w:t>
            </w:r>
          </w:p>
        </w:tc>
        <w:tc>
          <w:tcPr>
            <w:tcW w:w="1843" w:type="dxa"/>
            <w:vAlign w:val="center"/>
          </w:tcPr>
          <w:p w14:paraId="1B894FA6" w14:textId="77777777" w:rsidR="000E2F3A" w:rsidRPr="00AE2F09" w:rsidRDefault="000E2F3A" w:rsidP="000E2F3A">
            <w:pPr>
              <w:pStyle w:val="TableText0"/>
              <w:keepLines/>
              <w:widowControl w:val="0"/>
              <w:jc w:val="center"/>
            </w:pPr>
            <w:r w:rsidRPr="00AE2F09">
              <w:t>0.504 (0.437)</w:t>
            </w:r>
          </w:p>
          <w:p w14:paraId="7DC14DF8" w14:textId="77777777" w:rsidR="000E2F3A" w:rsidRPr="00AE2F09" w:rsidRDefault="000E2F3A" w:rsidP="000E2F3A">
            <w:pPr>
              <w:pStyle w:val="TableText0"/>
              <w:keepLines/>
              <w:widowControl w:val="0"/>
              <w:jc w:val="center"/>
            </w:pPr>
            <w:r w:rsidRPr="00AE2F09">
              <w:t>[399 / 0.600]</w:t>
            </w:r>
          </w:p>
        </w:tc>
        <w:tc>
          <w:tcPr>
            <w:tcW w:w="2693" w:type="dxa"/>
            <w:vMerge w:val="restart"/>
            <w:vAlign w:val="center"/>
          </w:tcPr>
          <w:p w14:paraId="048717AC" w14:textId="77777777" w:rsidR="000E2F3A" w:rsidRPr="00AE2F09" w:rsidRDefault="000E2F3A" w:rsidP="000E2F3A">
            <w:pPr>
              <w:pStyle w:val="TableText0"/>
              <w:keepLines/>
              <w:widowControl w:val="0"/>
              <w:jc w:val="center"/>
            </w:pPr>
            <w:r w:rsidRPr="00AE2F09">
              <w:t>Mean utility value of these two health states applied to ≥1,201 µmol/L</w:t>
            </w:r>
          </w:p>
          <w:p w14:paraId="7BD92BE9" w14:textId="4DA3C719" w:rsidR="000E2F3A" w:rsidRPr="00AE2F09" w:rsidRDefault="000E2F3A" w:rsidP="000E2F3A">
            <w:pPr>
              <w:pStyle w:val="TableText0"/>
              <w:keepLines/>
              <w:widowControl w:val="0"/>
              <w:jc w:val="center"/>
            </w:pPr>
            <w:r w:rsidRPr="00AE2F09">
              <w:t>1,201 µmol/L(0.321)</w:t>
            </w:r>
          </w:p>
        </w:tc>
        <w:tc>
          <w:tcPr>
            <w:tcW w:w="1934" w:type="dxa"/>
            <w:vMerge/>
            <w:vAlign w:val="center"/>
          </w:tcPr>
          <w:p w14:paraId="55767D8F" w14:textId="77777777" w:rsidR="000E2F3A" w:rsidRPr="00AE2F09" w:rsidRDefault="000E2F3A" w:rsidP="000E2F3A">
            <w:pPr>
              <w:pStyle w:val="TableText0"/>
              <w:keepLines/>
              <w:widowControl w:val="0"/>
              <w:jc w:val="center"/>
            </w:pPr>
          </w:p>
        </w:tc>
      </w:tr>
      <w:tr w:rsidR="000E2F3A" w:rsidRPr="00AE2F09" w14:paraId="03BD6C20" w14:textId="77777777" w:rsidTr="00FD7CD0">
        <w:trPr>
          <w:cantSplit/>
        </w:trPr>
        <w:tc>
          <w:tcPr>
            <w:tcW w:w="2547" w:type="dxa"/>
            <w:vAlign w:val="center"/>
          </w:tcPr>
          <w:p w14:paraId="647A070E" w14:textId="77777777" w:rsidR="00774AF7" w:rsidRPr="00AE2F09" w:rsidRDefault="00774AF7" w:rsidP="00FD7CD0">
            <w:pPr>
              <w:pStyle w:val="TableText0"/>
              <w:keepLines/>
              <w:widowControl w:val="0"/>
            </w:pPr>
            <w:r w:rsidRPr="00AE2F09">
              <w:t>Severe symptoms and restricted diet with medical food</w:t>
            </w:r>
          </w:p>
        </w:tc>
        <w:tc>
          <w:tcPr>
            <w:tcW w:w="1843" w:type="dxa"/>
            <w:vAlign w:val="center"/>
          </w:tcPr>
          <w:p w14:paraId="386D7D7A" w14:textId="77777777" w:rsidR="00774AF7" w:rsidRPr="00AE2F09" w:rsidRDefault="00774AF7" w:rsidP="00FD7CD0">
            <w:pPr>
              <w:pStyle w:val="TableText0"/>
              <w:keepLines/>
              <w:widowControl w:val="0"/>
              <w:jc w:val="center"/>
            </w:pPr>
            <w:r w:rsidRPr="00AE2F09">
              <w:t>0.138 (0.570)</w:t>
            </w:r>
          </w:p>
          <w:p w14:paraId="5B737F8B" w14:textId="77777777" w:rsidR="00774AF7" w:rsidRPr="00AE2F09" w:rsidRDefault="00774AF7" w:rsidP="00FD7CD0">
            <w:pPr>
              <w:pStyle w:val="TableText0"/>
              <w:keepLines/>
              <w:widowControl w:val="0"/>
              <w:jc w:val="center"/>
            </w:pPr>
            <w:r w:rsidRPr="00AE2F09">
              <w:t>[39 / 0.275]</w:t>
            </w:r>
          </w:p>
        </w:tc>
        <w:tc>
          <w:tcPr>
            <w:tcW w:w="2693" w:type="dxa"/>
            <w:vMerge/>
            <w:vAlign w:val="center"/>
          </w:tcPr>
          <w:p w14:paraId="78F0E99C" w14:textId="77777777" w:rsidR="00774AF7" w:rsidRPr="00AE2F09" w:rsidRDefault="00774AF7" w:rsidP="00FD7CD0">
            <w:pPr>
              <w:pStyle w:val="TableText0"/>
              <w:keepLines/>
              <w:widowControl w:val="0"/>
              <w:jc w:val="center"/>
            </w:pPr>
          </w:p>
        </w:tc>
        <w:tc>
          <w:tcPr>
            <w:tcW w:w="1934" w:type="dxa"/>
            <w:vMerge/>
            <w:vAlign w:val="center"/>
          </w:tcPr>
          <w:p w14:paraId="4D3EF803" w14:textId="77777777" w:rsidR="00774AF7" w:rsidRPr="00AE2F09" w:rsidRDefault="00774AF7" w:rsidP="00FD7CD0">
            <w:pPr>
              <w:pStyle w:val="TableText0"/>
              <w:keepLines/>
              <w:widowControl w:val="0"/>
              <w:jc w:val="center"/>
            </w:pPr>
          </w:p>
        </w:tc>
      </w:tr>
    </w:tbl>
    <w:p w14:paraId="14E9C3B8" w14:textId="77777777" w:rsidR="00774AF7" w:rsidRPr="00D9648C" w:rsidRDefault="00774AF7" w:rsidP="00774AF7">
      <w:pPr>
        <w:pStyle w:val="TableFigureFooter"/>
        <w:keepNext/>
        <w:keepLines/>
        <w:widowControl w:val="0"/>
        <w:spacing w:after="0"/>
        <w:contextualSpacing w:val="0"/>
        <w:jc w:val="left"/>
        <w:rPr>
          <w:szCs w:val="18"/>
        </w:rPr>
      </w:pPr>
      <w:r w:rsidRPr="00D9648C">
        <w:rPr>
          <w:szCs w:val="18"/>
        </w:rPr>
        <w:t>Source: Tables 3 and 4.2 in Appendix 18 of the submission, Palynziq (pegvaliase) – Kuvan (sapropterin) – CEA.xlsx</w:t>
      </w:r>
    </w:p>
    <w:p w14:paraId="6706373E" w14:textId="77777777" w:rsidR="00774AF7" w:rsidRPr="00D9648C" w:rsidRDefault="00774AF7" w:rsidP="00774AF7">
      <w:pPr>
        <w:pStyle w:val="TableFigureFooter"/>
        <w:keepNext/>
        <w:keepLines/>
        <w:widowControl w:val="0"/>
        <w:spacing w:after="0"/>
        <w:contextualSpacing w:val="0"/>
        <w:rPr>
          <w:szCs w:val="18"/>
        </w:rPr>
      </w:pPr>
      <w:r w:rsidRPr="00D9648C">
        <w:rPr>
          <w:szCs w:val="18"/>
        </w:rPr>
        <w:t>Phe = phenylalanine; SD = standard deviation; TTO = time trade-off</w:t>
      </w:r>
    </w:p>
    <w:p w14:paraId="748237B6" w14:textId="704B9209" w:rsidR="00774AF7" w:rsidRPr="00D9648C" w:rsidRDefault="00774AF7" w:rsidP="00774AF7">
      <w:pPr>
        <w:pStyle w:val="TableFigureFooter"/>
        <w:keepNext/>
        <w:keepLines/>
        <w:widowControl w:val="0"/>
        <w:spacing w:after="0"/>
        <w:contextualSpacing w:val="0"/>
        <w:rPr>
          <w:szCs w:val="18"/>
        </w:rPr>
      </w:pPr>
      <w:r w:rsidRPr="00D9648C">
        <w:rPr>
          <w:szCs w:val="18"/>
          <w:vertAlign w:val="superscript"/>
        </w:rPr>
        <w:t xml:space="preserve">^ </w:t>
      </w:r>
      <w:r w:rsidRPr="00D9648C">
        <w:rPr>
          <w:szCs w:val="18"/>
        </w:rPr>
        <w:t xml:space="preserve">All patients with </w:t>
      </w:r>
      <w:r w:rsidR="008312ED" w:rsidRPr="00D9648C">
        <w:rPr>
          <w:szCs w:val="18"/>
        </w:rPr>
        <w:t>P</w:t>
      </w:r>
      <w:r w:rsidRPr="00D9648C">
        <w:rPr>
          <w:szCs w:val="18"/>
        </w:rPr>
        <w:t>he 0-119 µmol/L assumed to have maximum utility of 0.837</w:t>
      </w:r>
    </w:p>
    <w:p w14:paraId="42A03A6D" w14:textId="77777777" w:rsidR="00774AF7" w:rsidRPr="00D9648C" w:rsidRDefault="00774AF7" w:rsidP="00774AF7">
      <w:pPr>
        <w:pStyle w:val="TableFigureFooter"/>
        <w:keepNext/>
        <w:keepLines/>
        <w:widowControl w:val="0"/>
        <w:spacing w:after="0"/>
        <w:contextualSpacing w:val="0"/>
        <w:rPr>
          <w:szCs w:val="18"/>
        </w:rPr>
      </w:pPr>
      <w:r w:rsidRPr="00D9648C">
        <w:rPr>
          <w:szCs w:val="18"/>
          <w:vertAlign w:val="superscript"/>
        </w:rPr>
        <w:t>¥</w:t>
      </w:r>
      <w:r w:rsidRPr="00D9648C">
        <w:rPr>
          <w:szCs w:val="18"/>
        </w:rPr>
        <w:t xml:space="preserve"> ‘Symptoms’ were described in health state vignettes for emotional, cognitive and physical symptoms. </w:t>
      </w:r>
    </w:p>
    <w:p w14:paraId="17EE4470" w14:textId="77777777" w:rsidR="00774AF7" w:rsidRPr="00D9648C" w:rsidRDefault="00774AF7" w:rsidP="00774AF7">
      <w:pPr>
        <w:pStyle w:val="TableFigureFooter"/>
        <w:keepNext/>
        <w:keepLines/>
        <w:widowControl w:val="0"/>
        <w:spacing w:after="0"/>
        <w:contextualSpacing w:val="0"/>
        <w:jc w:val="left"/>
        <w:rPr>
          <w:szCs w:val="18"/>
        </w:rPr>
      </w:pPr>
      <w:r w:rsidRPr="00D9648C">
        <w:rPr>
          <w:szCs w:val="18"/>
          <w:vertAlign w:val="superscript"/>
        </w:rPr>
        <w:t>±</w:t>
      </w:r>
      <w:r w:rsidRPr="00D9648C">
        <w:rPr>
          <w:szCs w:val="18"/>
        </w:rPr>
        <w:t xml:space="preserve"> Patients were not assigned blood-Phe values &lt;261 µmol/L in the economic model, however the submission applied TTO health state utility values to blood-Phe categories and used linear interpolation between these to derive utility values by blood-Phe level in the model. As such, the submission used &lt;120 µmol/L as a blood-Phe category to inform the interpolation.</w:t>
      </w:r>
    </w:p>
    <w:p w14:paraId="2AC43230" w14:textId="77777777" w:rsidR="00774AF7" w:rsidRPr="00D9648C" w:rsidRDefault="00774AF7" w:rsidP="003A3AC4">
      <w:pPr>
        <w:pStyle w:val="TableFigureFooter"/>
        <w:keepNext/>
        <w:keepLines/>
        <w:widowControl w:val="0"/>
        <w:spacing w:after="240"/>
        <w:contextualSpacing w:val="0"/>
        <w:jc w:val="left"/>
        <w:rPr>
          <w:szCs w:val="18"/>
        </w:rPr>
      </w:pPr>
      <w:r w:rsidRPr="00D9648C">
        <w:rPr>
          <w:szCs w:val="18"/>
          <w:vertAlign w:val="superscript"/>
        </w:rPr>
        <w:t xml:space="preserve">* </w:t>
      </w:r>
      <w:r w:rsidRPr="00D9648C">
        <w:rPr>
          <w:szCs w:val="18"/>
        </w:rPr>
        <w:t>The submission applied the utility value to the mid-point blood-Phe value for the category in order to derive utility values by blood-Phe using linear interpolation</w:t>
      </w:r>
    </w:p>
    <w:p w14:paraId="24308AE6" w14:textId="5E3F05B4" w:rsidR="00774AF7" w:rsidRPr="00AE2F09" w:rsidRDefault="00E742FC" w:rsidP="00774AF7">
      <w:pPr>
        <w:pStyle w:val="3-BodyText"/>
      </w:pPr>
      <w:r w:rsidRPr="00E742FC">
        <w:t xml:space="preserve">The evaluation </w:t>
      </w:r>
      <w:r w:rsidRPr="000764C2">
        <w:t>and the ESC</w:t>
      </w:r>
      <w:r>
        <w:rPr>
          <w:i/>
          <w:iCs/>
        </w:rPr>
        <w:t xml:space="preserve"> </w:t>
      </w:r>
      <w:r w:rsidRPr="00E742FC">
        <w:t>considered that i</w:t>
      </w:r>
      <w:r w:rsidR="00774AF7" w:rsidRPr="00E742FC">
        <w:t>t</w:t>
      </w:r>
      <w:r w:rsidR="00774AF7" w:rsidRPr="00AE2F09">
        <w:t xml:space="preserve"> was unclear if </w:t>
      </w:r>
      <w:r>
        <w:t xml:space="preserve">the </w:t>
      </w:r>
      <w:r w:rsidR="00774AF7" w:rsidRPr="00AE2F09">
        <w:t>health states</w:t>
      </w:r>
      <w:r w:rsidR="005C48C6">
        <w:t xml:space="preserve"> from the</w:t>
      </w:r>
      <w:r w:rsidR="00774AF7" w:rsidRPr="00AE2F09">
        <w:t xml:space="preserve"> </w:t>
      </w:r>
      <w:r w:rsidR="005C48C6">
        <w:t>TTO</w:t>
      </w:r>
      <w:r w:rsidR="005C48C6" w:rsidRPr="00AE2F09">
        <w:t xml:space="preserve"> </w:t>
      </w:r>
      <w:r w:rsidR="005C48C6">
        <w:t>study adequately aligned with the</w:t>
      </w:r>
      <w:r w:rsidR="00774AF7" w:rsidRPr="00AE2F09">
        <w:t xml:space="preserve"> specific P</w:t>
      </w:r>
      <w:r w:rsidR="00722C3D" w:rsidRPr="00AE2F09">
        <w:t>he</w:t>
      </w:r>
      <w:r w:rsidR="00774AF7" w:rsidRPr="00AE2F09">
        <w:t xml:space="preserve"> </w:t>
      </w:r>
      <w:r w:rsidR="005C48C6">
        <w:t>value</w:t>
      </w:r>
      <w:r w:rsidR="00774AF7" w:rsidRPr="00AE2F09">
        <w:t xml:space="preserve">s </w:t>
      </w:r>
      <w:r w:rsidR="005C48C6">
        <w:t xml:space="preserve">used in the model given the lack of </w:t>
      </w:r>
      <w:r w:rsidR="00774AF7" w:rsidRPr="00AE2F09">
        <w:t xml:space="preserve">clinical data </w:t>
      </w:r>
      <w:r w:rsidR="005C48C6">
        <w:t xml:space="preserve">to support this assumption. </w:t>
      </w:r>
      <w:r w:rsidR="00774AF7" w:rsidRPr="00AE2F09">
        <w:t xml:space="preserve">It was also unreasonable to assume that a change of just 1 </w:t>
      </w:r>
      <w:r w:rsidR="00774AF7" w:rsidRPr="00AE2F09">
        <w:rPr>
          <w:rFonts w:cstheme="minorHAnsi"/>
        </w:rPr>
        <w:t>µ</w:t>
      </w:r>
      <w:r w:rsidR="00774AF7" w:rsidRPr="00AE2F09">
        <w:t xml:space="preserve">mol/L in </w:t>
      </w:r>
      <w:r w:rsidR="00E331F3" w:rsidRPr="00AE2F09">
        <w:t>blood</w:t>
      </w:r>
      <w:r w:rsidR="00E331F3">
        <w:t>-</w:t>
      </w:r>
      <w:r w:rsidR="00774AF7" w:rsidRPr="00AE2F09">
        <w:t>Phe level would lead to a change in patient utility, nor was it reasonable to assume that changes of utility less than 0.001 were clinically relevant or that the utility instruments used to derive the utilities were sensitive enough to have detected such changes.</w:t>
      </w:r>
      <w:r w:rsidR="00C746BC">
        <w:t xml:space="preserve"> </w:t>
      </w:r>
      <w:r w:rsidR="00C746BC" w:rsidRPr="000764C2">
        <w:t>The PSCR reiterated that</w:t>
      </w:r>
      <w:r w:rsidR="00774AF7" w:rsidRPr="000764C2">
        <w:t xml:space="preserve"> </w:t>
      </w:r>
      <w:r w:rsidR="00C746BC" w:rsidRPr="000764C2">
        <w:t>changes in blood</w:t>
      </w:r>
      <w:r w:rsidR="00E331F3">
        <w:t>-</w:t>
      </w:r>
      <w:r w:rsidR="00C746BC" w:rsidRPr="000764C2">
        <w:t>Phe levels over time are associated with gradual but continuous improvements in quality of life, which become meaningful when accumulated over time.</w:t>
      </w:r>
    </w:p>
    <w:p w14:paraId="754D71E4" w14:textId="188FAF35" w:rsidR="00774AF7" w:rsidRDefault="00774AF7" w:rsidP="00774AF7">
      <w:pPr>
        <w:pStyle w:val="3-BodyText"/>
      </w:pPr>
      <w:r w:rsidRPr="00AE2F09">
        <w:t xml:space="preserve">The submission claimed that the utilities applied in the current analysis are broadly consistent with those used in previous submissions to the PBAC for sapropterin (i.e., sapropterin: 0.71; Phe restricted diet only: 0.59; relaxed Phe restricted diet: 0.48 and uncontrolled: 0.37). </w:t>
      </w:r>
      <w:r w:rsidR="009163E8" w:rsidRPr="00AE2F09">
        <w:t>However,</w:t>
      </w:r>
      <w:r w:rsidRPr="00AE2F09">
        <w:t xml:space="preserve"> the lower end utilit</w:t>
      </w:r>
      <w:r w:rsidR="009163E8" w:rsidRPr="00AE2F09">
        <w:t>ies</w:t>
      </w:r>
      <w:r w:rsidRPr="00AE2F09">
        <w:t xml:space="preserve"> applied in the current submission were less conservative than those applied in the March 2018 sapropterin submission. For example, a Phe-restricted diet patient with a simulated baseline blood</w:t>
      </w:r>
      <w:r w:rsidR="00A84E02">
        <w:t>-</w:t>
      </w:r>
      <w:r w:rsidRPr="00AE2F09">
        <w:t>Phe &gt;1,201 µmol/L would receive a utility value of 0.321</w:t>
      </w:r>
      <w:r w:rsidR="009163E8" w:rsidRPr="00AE2F09">
        <w:t>,</w:t>
      </w:r>
      <w:r w:rsidRPr="00AE2F09">
        <w:t xml:space="preserve"> whereas uncontrolled blood Phe was assigned a utility of 0.37 in March 2018. Moreover, given the established developmental effects of uncontrolled Phe levels in paediatric PKU patients, and the fact that these effects have either occurred or not in adulthood and will thus not be affected by adult Phe levels, it was unclear why the utility values in the adult population should be consistent with the previous considerations which included children and adolescents. The PBAC has previously considered that “it is highly likely that potential health impacts of uncontrolled PKU are more severe in infants and young children than in adults” (paragraph 6.49, sapropterin </w:t>
      </w:r>
      <w:r w:rsidR="00E331F3">
        <w:t xml:space="preserve">PSD, </w:t>
      </w:r>
      <w:r w:rsidRPr="00AE2F09">
        <w:t>March 2018 P</w:t>
      </w:r>
      <w:r w:rsidR="00E331F3">
        <w:t>BAC meeting</w:t>
      </w:r>
      <w:r w:rsidRPr="00AE2F09">
        <w:t xml:space="preserve">) and as such, it would be expected that the utility of uncontrolled PKU in adults should be higher relative to children and adolescents, whereas the opposite is true in the current submission. This likely meant that the utility of uncontrolled PKU was underestimated in the current submission, which favours pegvaliase. </w:t>
      </w:r>
    </w:p>
    <w:p w14:paraId="547552B8" w14:textId="5B7FA535" w:rsidR="00E331F3" w:rsidRPr="00AE2F09" w:rsidRDefault="00E331F3" w:rsidP="00774AF7">
      <w:pPr>
        <w:pStyle w:val="3-BodyText"/>
      </w:pPr>
      <w:r>
        <w:t>The PBAC noted that utility values applied in the submission were less conservative than in the March 2018 sapropterin submission, however the PBAC also noted that consumer input emphasised the high disutility experienced</w:t>
      </w:r>
      <w:r w:rsidR="00A611A1">
        <w:t xml:space="preserve"> by patients</w:t>
      </w:r>
      <w:r>
        <w:t xml:space="preserve"> both for severe symptoms </w:t>
      </w:r>
      <w:r w:rsidR="004B437A">
        <w:t>and</w:t>
      </w:r>
      <w:r>
        <w:t xml:space="preserve"> from highly restricted diet and the requirement for food supplements. </w:t>
      </w:r>
    </w:p>
    <w:p w14:paraId="7DE21D49" w14:textId="387F77FD" w:rsidR="007D01F2" w:rsidRPr="00AE2F09" w:rsidRDefault="00774AF7" w:rsidP="00774AF7">
      <w:pPr>
        <w:pStyle w:val="3-BodyText"/>
      </w:pPr>
      <w:r w:rsidRPr="00AE2F09">
        <w:t xml:space="preserve">Key drivers of the model </w:t>
      </w:r>
      <w:r w:rsidR="007D01F2" w:rsidRPr="00AE2F09">
        <w:t xml:space="preserve">are presented </w:t>
      </w:r>
      <w:r w:rsidR="00C84D31" w:rsidRPr="00AE2F09">
        <w:t>i</w:t>
      </w:r>
      <w:r w:rsidR="007D01F2" w:rsidRPr="00AE2F09">
        <w:t xml:space="preserve">n </w:t>
      </w:r>
      <w:r w:rsidR="00C84D31" w:rsidRPr="00AE2F09">
        <w:fldChar w:fldCharType="begin"/>
      </w:r>
      <w:r w:rsidR="00C84D31" w:rsidRPr="00AE2F09">
        <w:instrText xml:space="preserve"> REF _Ref102422988 \h  \* MERGEFORMAT </w:instrText>
      </w:r>
      <w:r w:rsidR="00C84D31" w:rsidRPr="00AE2F09">
        <w:fldChar w:fldCharType="separate"/>
      </w:r>
      <w:r w:rsidR="001162C8" w:rsidRPr="001162C8">
        <w:t>Table 15</w:t>
      </w:r>
      <w:r w:rsidR="00C84D31" w:rsidRPr="00AE2F09">
        <w:fldChar w:fldCharType="end"/>
      </w:r>
      <w:r w:rsidR="00C84D31" w:rsidRPr="00AE2F09">
        <w:t>.</w:t>
      </w:r>
    </w:p>
    <w:p w14:paraId="11C8FE8F" w14:textId="5996B158" w:rsidR="00C84D31" w:rsidRPr="00AE2F09" w:rsidRDefault="00C84D31" w:rsidP="00C84D31">
      <w:pPr>
        <w:pStyle w:val="TableFigureHeading"/>
        <w:rPr>
          <w:rStyle w:val="CommentReference"/>
          <w:b/>
          <w:szCs w:val="24"/>
        </w:rPr>
      </w:pPr>
      <w:bookmarkStart w:id="76" w:name="_Ref102422988"/>
      <w:r w:rsidRPr="00AE2F09">
        <w:rPr>
          <w:rStyle w:val="CommentReference"/>
          <w:b/>
          <w:szCs w:val="24"/>
        </w:rPr>
        <w:t xml:space="preserve">Table </w:t>
      </w:r>
      <w:r w:rsidRPr="00AE2F09">
        <w:rPr>
          <w:rStyle w:val="CommentReference"/>
          <w:b/>
          <w:szCs w:val="24"/>
        </w:rPr>
        <w:fldChar w:fldCharType="begin"/>
      </w:r>
      <w:r w:rsidRPr="00AE2F09">
        <w:rPr>
          <w:rStyle w:val="CommentReference"/>
          <w:b/>
          <w:szCs w:val="24"/>
        </w:rPr>
        <w:instrText xml:space="preserve"> SEQ Table \* MERGEFORMAT </w:instrText>
      </w:r>
      <w:r w:rsidRPr="00AE2F09">
        <w:rPr>
          <w:rStyle w:val="CommentReference"/>
          <w:b/>
          <w:szCs w:val="24"/>
        </w:rPr>
        <w:fldChar w:fldCharType="separate"/>
      </w:r>
      <w:r w:rsidR="001162C8">
        <w:rPr>
          <w:rStyle w:val="CommentReference"/>
          <w:b/>
          <w:noProof/>
          <w:szCs w:val="24"/>
        </w:rPr>
        <w:t>15</w:t>
      </w:r>
      <w:r w:rsidRPr="00AE2F09">
        <w:rPr>
          <w:rStyle w:val="CommentReference"/>
          <w:b/>
          <w:szCs w:val="24"/>
        </w:rPr>
        <w:fldChar w:fldCharType="end"/>
      </w:r>
      <w:bookmarkEnd w:id="76"/>
      <w:r w:rsidRPr="00AE2F09">
        <w:rPr>
          <w:rStyle w:val="CommentReference"/>
          <w:b/>
          <w:szCs w:val="24"/>
        </w:rPr>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3969"/>
        <w:gridCol w:w="3919"/>
      </w:tblGrid>
      <w:tr w:rsidR="00C84D31" w:rsidRPr="00AE2F09" w14:paraId="3E203935" w14:textId="77777777" w:rsidTr="00651CD1">
        <w:trPr>
          <w:tblHeader/>
        </w:trPr>
        <w:tc>
          <w:tcPr>
            <w:tcW w:w="626" w:type="pct"/>
            <w:shd w:val="clear" w:color="auto" w:fill="auto"/>
            <w:vAlign w:val="center"/>
          </w:tcPr>
          <w:p w14:paraId="66DA7B6E" w14:textId="77777777" w:rsidR="00C84D31" w:rsidRPr="00AE2F09" w:rsidRDefault="00C84D31" w:rsidP="00FD7CD0">
            <w:pPr>
              <w:pStyle w:val="In-tableHeading"/>
              <w:jc w:val="center"/>
              <w:rPr>
                <w:lang w:val="en-AU"/>
              </w:rPr>
            </w:pPr>
            <w:r w:rsidRPr="00AE2F09">
              <w:rPr>
                <w:lang w:val="en-AU"/>
              </w:rPr>
              <w:t>Description</w:t>
            </w:r>
          </w:p>
        </w:tc>
        <w:tc>
          <w:tcPr>
            <w:tcW w:w="2201" w:type="pct"/>
            <w:shd w:val="clear" w:color="auto" w:fill="auto"/>
            <w:vAlign w:val="center"/>
          </w:tcPr>
          <w:p w14:paraId="66BE0FBD" w14:textId="77777777" w:rsidR="00C84D31" w:rsidRPr="00AE2F09" w:rsidRDefault="00C84D31" w:rsidP="00FD7CD0">
            <w:pPr>
              <w:pStyle w:val="In-tableHeading"/>
              <w:jc w:val="center"/>
              <w:rPr>
                <w:lang w:val="en-AU"/>
              </w:rPr>
            </w:pPr>
            <w:r w:rsidRPr="00AE2F09">
              <w:rPr>
                <w:lang w:val="en-AU"/>
              </w:rPr>
              <w:t>Method/Value</w:t>
            </w:r>
          </w:p>
        </w:tc>
        <w:tc>
          <w:tcPr>
            <w:tcW w:w="2173" w:type="pct"/>
            <w:shd w:val="clear" w:color="auto" w:fill="auto"/>
            <w:vAlign w:val="center"/>
          </w:tcPr>
          <w:p w14:paraId="246EAB44" w14:textId="77777777" w:rsidR="00C84D31" w:rsidRPr="00AE2F09" w:rsidRDefault="00C84D31" w:rsidP="00FD7CD0">
            <w:pPr>
              <w:pStyle w:val="In-tableHeading"/>
              <w:jc w:val="center"/>
              <w:rPr>
                <w:lang w:val="en-AU"/>
              </w:rPr>
            </w:pPr>
            <w:r w:rsidRPr="00AE2F09">
              <w:rPr>
                <w:lang w:val="en-AU"/>
              </w:rPr>
              <w:t>Impact</w:t>
            </w:r>
          </w:p>
          <w:p w14:paraId="44AD0EDE" w14:textId="45BEE602" w:rsidR="00C84D31" w:rsidRPr="00AE2F09" w:rsidRDefault="00C84D31" w:rsidP="00FD7CD0">
            <w:pPr>
              <w:pStyle w:val="In-tableHeading"/>
              <w:jc w:val="center"/>
              <w:rPr>
                <w:lang w:val="en-AU"/>
              </w:rPr>
            </w:pPr>
            <w:r w:rsidRPr="00AE2F09">
              <w:rPr>
                <w:rFonts w:cs="Arial"/>
                <w:szCs w:val="20"/>
                <w:lang w:val="en-AU"/>
              </w:rPr>
              <w:t xml:space="preserve">Base case: </w:t>
            </w:r>
            <w:r w:rsidRPr="00AE2F09">
              <w:rPr>
                <w:szCs w:val="20"/>
                <w:lang w:val="en-AU"/>
              </w:rPr>
              <w:t>$</w:t>
            </w:r>
            <w:r w:rsidR="00EC6944" w:rsidRPr="00EC6944">
              <w:rPr>
                <w:color w:val="000000"/>
                <w:szCs w:val="20"/>
                <w:shd w:val="solid" w:color="000000" w:fill="000000"/>
                <w:lang w:val="en-AU"/>
                <w14:textFill>
                  <w14:solidFill>
                    <w14:srgbClr w14:val="000000">
                      <w14:alpha w14:val="100000"/>
                    </w14:srgbClr>
                  </w14:solidFill>
                </w14:textFill>
              </w:rPr>
              <w:t>|</w:t>
            </w:r>
            <w:r w:rsidR="00DA23EE">
              <w:rPr>
                <w:szCs w:val="20"/>
                <w:vertAlign w:val="superscript"/>
                <w:lang w:val="en-AU"/>
              </w:rPr>
              <w:t>1</w:t>
            </w:r>
            <w:r w:rsidR="00C94BA2" w:rsidRPr="00AE2F09">
              <w:rPr>
                <w:szCs w:val="20"/>
                <w:lang w:val="en-AU"/>
              </w:rPr>
              <w:t>/QALY</w:t>
            </w:r>
          </w:p>
        </w:tc>
      </w:tr>
      <w:tr w:rsidR="00C84D31" w:rsidRPr="00AE2F09" w14:paraId="12AA0243" w14:textId="77777777" w:rsidTr="00651CD1">
        <w:tc>
          <w:tcPr>
            <w:tcW w:w="626" w:type="pct"/>
            <w:shd w:val="clear" w:color="auto" w:fill="auto"/>
            <w:vAlign w:val="center"/>
          </w:tcPr>
          <w:p w14:paraId="21751B22" w14:textId="2D0E86AD" w:rsidR="00C84D31" w:rsidRPr="00AE2F09" w:rsidRDefault="00730468" w:rsidP="00C84D31">
            <w:pPr>
              <w:pStyle w:val="TableText0"/>
              <w:jc w:val="center"/>
            </w:pPr>
            <w:r w:rsidRPr="00AE2F09">
              <w:t>Dosage of pegvaliase</w:t>
            </w:r>
          </w:p>
        </w:tc>
        <w:tc>
          <w:tcPr>
            <w:tcW w:w="2201" w:type="pct"/>
            <w:shd w:val="clear" w:color="auto" w:fill="auto"/>
            <w:vAlign w:val="center"/>
          </w:tcPr>
          <w:p w14:paraId="22202CDA" w14:textId="79C2AF59" w:rsidR="00923BF4" w:rsidRPr="00AE2F09" w:rsidRDefault="00F07165" w:rsidP="00FD7CD0">
            <w:pPr>
              <w:pStyle w:val="TableText0"/>
            </w:pPr>
            <w:r w:rsidRPr="00AE2F09">
              <w:t>Maintenance dose a</w:t>
            </w:r>
            <w:r w:rsidR="00730468" w:rsidRPr="00AE2F09">
              <w:t xml:space="preserve">ssumed to be </w:t>
            </w:r>
            <w:r w:rsidR="00730468" w:rsidRPr="005D1692">
              <w:t>30.5</w:t>
            </w:r>
            <w:r w:rsidR="00651CD1">
              <w:t xml:space="preserve"> </w:t>
            </w:r>
            <w:r w:rsidR="00730468" w:rsidRPr="00AE2F09">
              <w:t>mg</w:t>
            </w:r>
            <w:r w:rsidR="00507680" w:rsidRPr="00AE2F09">
              <w:t>/day</w:t>
            </w:r>
            <w:r w:rsidR="00730468" w:rsidRPr="00AE2F09">
              <w:t xml:space="preserve"> in base case based on relative </w:t>
            </w:r>
            <w:r w:rsidR="00794806" w:rsidRPr="00AE2F09">
              <w:t xml:space="preserve">treatment days at each dosage </w:t>
            </w:r>
            <w:r w:rsidR="00730468" w:rsidRPr="00AE2F09">
              <w:t xml:space="preserve">in PRISM 1 and PRISM 2. </w:t>
            </w:r>
          </w:p>
          <w:p w14:paraId="176B1D9D" w14:textId="77777777" w:rsidR="00923BF4" w:rsidRPr="00AE2F09" w:rsidRDefault="00923BF4" w:rsidP="00FD7CD0">
            <w:pPr>
              <w:pStyle w:val="TableText0"/>
            </w:pPr>
          </w:p>
          <w:p w14:paraId="587B6D74" w14:textId="04F0F84D" w:rsidR="009C2A75" w:rsidRPr="00AE2F09" w:rsidRDefault="00730468" w:rsidP="00FD7CD0">
            <w:pPr>
              <w:pStyle w:val="TableText0"/>
            </w:pPr>
            <w:r w:rsidRPr="00AE2F09">
              <w:t>However</w:t>
            </w:r>
            <w:r w:rsidR="00A84E02">
              <w:t xml:space="preserve">, </w:t>
            </w:r>
            <w:r w:rsidRPr="00AE2F09">
              <w:t xml:space="preserve">this </w:t>
            </w:r>
            <w:r w:rsidR="009C3FB2" w:rsidRPr="00AE2F09">
              <w:t xml:space="preserve">included treatment days in titration period and </w:t>
            </w:r>
            <w:r w:rsidR="00067824" w:rsidRPr="00AE2F09">
              <w:t xml:space="preserve">was based on the </w:t>
            </w:r>
            <w:r w:rsidR="00794806" w:rsidRPr="00AE2F09">
              <w:t xml:space="preserve">use of only </w:t>
            </w:r>
            <w:r w:rsidR="00923BF4" w:rsidRPr="00AE2F09">
              <w:t xml:space="preserve">average treatment days </w:t>
            </w:r>
            <w:r w:rsidR="00BF202D" w:rsidRPr="00AE2F09">
              <w:t xml:space="preserve">for </w:t>
            </w:r>
            <w:r w:rsidR="00923BF4" w:rsidRPr="00AE2F09">
              <w:t>up to five years</w:t>
            </w:r>
            <w:r w:rsidR="00BF202D" w:rsidRPr="00AE2F09">
              <w:t xml:space="preserve">, which </w:t>
            </w:r>
            <w:r w:rsidR="00923BF4" w:rsidRPr="00AE2F09">
              <w:t xml:space="preserve">underestimates the </w:t>
            </w:r>
            <w:r w:rsidR="00BF202D" w:rsidRPr="00AE2F09">
              <w:t xml:space="preserve">long term </w:t>
            </w:r>
            <w:r w:rsidR="00923BF4" w:rsidRPr="00AE2F09">
              <w:t>average dose. For example, at five years of follow up, a patient who slowly titrated up to 60</w:t>
            </w:r>
            <w:r w:rsidR="00651CD1">
              <w:t xml:space="preserve"> </w:t>
            </w:r>
            <w:r w:rsidR="00923BF4" w:rsidRPr="00AE2F09">
              <w:t>mg/kg over two years would only have spent 60% (three out of five years) of their treatment days on the 60</w:t>
            </w:r>
            <w:r w:rsidR="00651CD1">
              <w:t xml:space="preserve"> </w:t>
            </w:r>
            <w:r w:rsidR="00923BF4" w:rsidRPr="00AE2F09">
              <w:t>mg/kg dose. However, at 20 years follow up, assuming they remained on 60</w:t>
            </w:r>
            <w:r w:rsidR="00DA23EE">
              <w:t> </w:t>
            </w:r>
            <w:r w:rsidR="00923BF4" w:rsidRPr="00AE2F09">
              <w:t>mg/kg, this percentage would instead be 90% (18 out of 20 years)</w:t>
            </w:r>
            <w:r w:rsidR="00960745" w:rsidRPr="00AE2F09">
              <w:t>.</w:t>
            </w:r>
          </w:p>
          <w:p w14:paraId="757273FE" w14:textId="51786F57" w:rsidR="00960745" w:rsidRPr="00AE2F09" w:rsidRDefault="00960745" w:rsidP="00FD7CD0">
            <w:pPr>
              <w:pStyle w:val="TableText0"/>
            </w:pPr>
            <w:r w:rsidRPr="00AE2F09">
              <w:t>11.9% of treatment days were at 0</w:t>
            </w:r>
            <w:r w:rsidR="00651CD1">
              <w:t xml:space="preserve"> </w:t>
            </w:r>
            <w:r w:rsidRPr="00AE2F09">
              <w:t xml:space="preserve">mg/day usage. </w:t>
            </w:r>
          </w:p>
        </w:tc>
        <w:tc>
          <w:tcPr>
            <w:tcW w:w="2173" w:type="pct"/>
            <w:shd w:val="clear" w:color="auto" w:fill="auto"/>
            <w:vAlign w:val="center"/>
          </w:tcPr>
          <w:p w14:paraId="42D8CFD5" w14:textId="6A1A64E0" w:rsidR="00C84D31" w:rsidRPr="00AE2F09" w:rsidRDefault="00923BF4" w:rsidP="00FD7CD0">
            <w:pPr>
              <w:pStyle w:val="TableText0"/>
            </w:pPr>
            <w:r w:rsidRPr="00AE2F09">
              <w:t>High. Assuming a maintenance dose of 60</w:t>
            </w:r>
            <w:r w:rsidR="00651CD1">
              <w:t xml:space="preserve"> </w:t>
            </w:r>
            <w:r w:rsidRPr="00AE2F09">
              <w:t>mg/day increased the ICER to $</w:t>
            </w:r>
            <w:r w:rsidR="00EC6944" w:rsidRPr="00EC6944">
              <w:rPr>
                <w:color w:val="000000"/>
                <w:spacing w:val="53"/>
                <w:shd w:val="solid" w:color="000000" w:fill="000000"/>
                <w:fitText w:val="331" w:id="-1436265216"/>
                <w14:textFill>
                  <w14:solidFill>
                    <w14:srgbClr w14:val="000000">
                      <w14:alpha w14:val="100000"/>
                    </w14:srgbClr>
                  </w14:solidFill>
                </w14:textFill>
              </w:rPr>
              <w:t>|||</w:t>
            </w:r>
            <w:r w:rsidR="00EC6944" w:rsidRPr="00EC6944">
              <w:rPr>
                <w:color w:val="000000"/>
                <w:spacing w:val="2"/>
                <w:shd w:val="solid" w:color="000000" w:fill="000000"/>
                <w:fitText w:val="331" w:id="-1436265216"/>
                <w14:textFill>
                  <w14:solidFill>
                    <w14:srgbClr w14:val="000000">
                      <w14:alpha w14:val="100000"/>
                    </w14:srgbClr>
                  </w14:solidFill>
                </w14:textFill>
              </w:rPr>
              <w:t>|</w:t>
            </w:r>
            <w:r w:rsidR="00A32DB3" w:rsidRPr="00A32DB3">
              <w:t xml:space="preserve"> </w:t>
            </w:r>
            <w:r w:rsidR="00EC6944" w:rsidRPr="00EC6944">
              <w:rPr>
                <w:color w:val="000000"/>
                <w:spacing w:val="53"/>
                <w:shd w:val="solid" w:color="000000" w:fill="000000"/>
                <w:fitText w:val="331" w:id="-1436265215"/>
                <w14:textFill>
                  <w14:solidFill>
                    <w14:srgbClr w14:val="000000">
                      <w14:alpha w14:val="100000"/>
                    </w14:srgbClr>
                  </w14:solidFill>
                </w14:textFill>
              </w:rPr>
              <w:t>|||</w:t>
            </w:r>
            <w:r w:rsidR="00EC6944" w:rsidRPr="00EC6944">
              <w:rPr>
                <w:color w:val="000000"/>
                <w:spacing w:val="2"/>
                <w:shd w:val="solid" w:color="000000" w:fill="000000"/>
                <w:fitText w:val="331" w:id="-1436265215"/>
                <w14:textFill>
                  <w14:solidFill>
                    <w14:srgbClr w14:val="000000">
                      <w14:alpha w14:val="100000"/>
                    </w14:srgbClr>
                  </w14:solidFill>
                </w14:textFill>
              </w:rPr>
              <w:t>|</w:t>
            </w:r>
            <w:r w:rsidR="00DA23EE">
              <w:rPr>
                <w:vertAlign w:val="superscript"/>
              </w:rPr>
              <w:t>2</w:t>
            </w:r>
            <w:r w:rsidRPr="00AE2F09">
              <w:t>, an increase of 84%.</w:t>
            </w:r>
            <w:r w:rsidR="009C2A75" w:rsidRPr="00AE2F09">
              <w:t xml:space="preserve"> </w:t>
            </w:r>
          </w:p>
        </w:tc>
      </w:tr>
      <w:tr w:rsidR="00C84D31" w:rsidRPr="00AE2F09" w14:paraId="79056791" w14:textId="77777777" w:rsidTr="00651CD1">
        <w:tc>
          <w:tcPr>
            <w:tcW w:w="626" w:type="pct"/>
            <w:shd w:val="clear" w:color="auto" w:fill="auto"/>
            <w:vAlign w:val="center"/>
          </w:tcPr>
          <w:p w14:paraId="4A9CA621" w14:textId="0B3D4E91" w:rsidR="00C84D31" w:rsidRPr="00AE2F09" w:rsidRDefault="001E4983" w:rsidP="00FD7CD0">
            <w:pPr>
              <w:pStyle w:val="TableText0"/>
              <w:jc w:val="center"/>
            </w:pPr>
            <w:r w:rsidRPr="00AE2F09">
              <w:t>Baseline Phe</w:t>
            </w:r>
          </w:p>
        </w:tc>
        <w:tc>
          <w:tcPr>
            <w:tcW w:w="2201" w:type="pct"/>
            <w:shd w:val="clear" w:color="auto" w:fill="auto"/>
            <w:vAlign w:val="center"/>
          </w:tcPr>
          <w:p w14:paraId="769E0E10" w14:textId="64DAF075" w:rsidR="00C84D31" w:rsidRPr="00AE2F09" w:rsidRDefault="00587B9B" w:rsidP="00FD7CD0">
            <w:pPr>
              <w:pStyle w:val="TableText0"/>
            </w:pPr>
            <w:r w:rsidRPr="00AE2F09">
              <w:t>The distribution of baseline Phe from patients enrolled in PRISM 1 and PRI</w:t>
            </w:r>
            <w:r w:rsidR="00A84E02">
              <w:t>SM</w:t>
            </w:r>
            <w:r w:rsidRPr="00AE2F09">
              <w:t xml:space="preserve"> 2 was used to inform the microsimulation. However</w:t>
            </w:r>
            <w:r w:rsidR="00A84E02">
              <w:t>,</w:t>
            </w:r>
            <w:r w:rsidRPr="00AE2F09">
              <w:t xml:space="preserve"> the results could vary </w:t>
            </w:r>
            <w:r w:rsidR="002F48F7" w:rsidRPr="00AE2F09">
              <w:t xml:space="preserve">significantly, with the lognormal distribution around a mean of 1,215 µmol/L having a </w:t>
            </w:r>
            <w:r w:rsidR="00023A4A" w:rsidRPr="00AE2F09">
              <w:t>5</w:t>
            </w:r>
            <w:r w:rsidR="002F48F7" w:rsidRPr="00AE2F09">
              <w:t xml:space="preserve">% value of </w:t>
            </w:r>
            <w:r w:rsidR="00023A4A" w:rsidRPr="00AE2F09">
              <w:t>710</w:t>
            </w:r>
            <w:r w:rsidR="002F48F7" w:rsidRPr="00AE2F09">
              <w:t xml:space="preserve"> µmol/L and 9</w:t>
            </w:r>
            <w:r w:rsidR="00023A4A" w:rsidRPr="00AE2F09">
              <w:t>5</w:t>
            </w:r>
            <w:r w:rsidR="002F48F7" w:rsidRPr="00AE2F09">
              <w:t xml:space="preserve">% value of </w:t>
            </w:r>
            <w:r w:rsidR="00023A4A" w:rsidRPr="00AE2F09">
              <w:t xml:space="preserve">1,884 </w:t>
            </w:r>
            <w:r w:rsidR="002F48F7" w:rsidRPr="00AE2F09">
              <w:t>µmol/L</w:t>
            </w:r>
          </w:p>
        </w:tc>
        <w:tc>
          <w:tcPr>
            <w:tcW w:w="2173" w:type="pct"/>
            <w:shd w:val="clear" w:color="auto" w:fill="auto"/>
            <w:vAlign w:val="center"/>
          </w:tcPr>
          <w:p w14:paraId="288E5FFE" w14:textId="3E47A753" w:rsidR="00C84D31" w:rsidRPr="00AE2F09" w:rsidRDefault="002F48F7" w:rsidP="00FD7CD0">
            <w:pPr>
              <w:pStyle w:val="TableText0"/>
            </w:pPr>
            <w:r w:rsidRPr="00AE2F09">
              <w:t xml:space="preserve">Probabilistic sensitivity analysis showed that </w:t>
            </w:r>
            <w:r w:rsidR="00DB15FD" w:rsidRPr="00AE2F09">
              <w:t xml:space="preserve">baseline blood-Phe has a negative correlation with the ICER, with a lower baseline blood-Phe leading to a higher ICER. Assuming </w:t>
            </w:r>
            <w:r w:rsidR="002F1E13" w:rsidRPr="00AE2F09">
              <w:t xml:space="preserve">a baseline </w:t>
            </w:r>
            <w:r w:rsidR="00507680" w:rsidRPr="00AE2F09">
              <w:t xml:space="preserve">blood-Phe </w:t>
            </w:r>
            <w:r w:rsidR="002F1E13" w:rsidRPr="00AE2F09">
              <w:t>of 953.93 µmol/L (25</w:t>
            </w:r>
            <w:r w:rsidR="002F1E13" w:rsidRPr="00AE2F09">
              <w:rPr>
                <w:vertAlign w:val="superscript"/>
              </w:rPr>
              <w:t>th</w:t>
            </w:r>
            <w:r w:rsidR="002F1E13" w:rsidRPr="00AE2F09">
              <w:t xml:space="preserve"> percentile of distribution) increased the ICER by 84%</w:t>
            </w:r>
          </w:p>
        </w:tc>
      </w:tr>
      <w:tr w:rsidR="002F1E13" w:rsidRPr="00AE2F09" w14:paraId="0C2F32C2" w14:textId="77777777" w:rsidTr="00651CD1">
        <w:tc>
          <w:tcPr>
            <w:tcW w:w="626" w:type="pct"/>
            <w:shd w:val="clear" w:color="auto" w:fill="auto"/>
            <w:vAlign w:val="center"/>
          </w:tcPr>
          <w:p w14:paraId="34C067A8" w14:textId="20C1A071" w:rsidR="002F1E13" w:rsidRPr="00AE2F09" w:rsidRDefault="002F1E13" w:rsidP="002F1E13">
            <w:pPr>
              <w:pStyle w:val="TableText0"/>
              <w:jc w:val="center"/>
            </w:pPr>
            <w:r w:rsidRPr="00AE2F09">
              <w:t>Utility assumption</w:t>
            </w:r>
          </w:p>
        </w:tc>
        <w:tc>
          <w:tcPr>
            <w:tcW w:w="2201" w:type="pct"/>
            <w:shd w:val="clear" w:color="auto" w:fill="auto"/>
            <w:vAlign w:val="center"/>
          </w:tcPr>
          <w:p w14:paraId="5455691A" w14:textId="3F34DBB4" w:rsidR="002F1E13" w:rsidRPr="00AE2F09" w:rsidRDefault="002F1E13" w:rsidP="002F1E13">
            <w:pPr>
              <w:pStyle w:val="TableText0"/>
            </w:pPr>
            <w:r w:rsidRPr="00AE2F09">
              <w:t>Based on mapping from TTO with a higher utility for the best responder health state (120-360 µmol/L, 0.765) and lower utility for uncontrolled blood-Phe (&gt;1,201 µmol/L, 0.321) compared to previous sapropterin submission in March 2018 (0.71 and 0.37, respectively)</w:t>
            </w:r>
          </w:p>
        </w:tc>
        <w:tc>
          <w:tcPr>
            <w:tcW w:w="2173" w:type="pct"/>
            <w:shd w:val="clear" w:color="auto" w:fill="auto"/>
            <w:vAlign w:val="center"/>
          </w:tcPr>
          <w:p w14:paraId="6BADF8D0" w14:textId="35D33EA9" w:rsidR="002F1E13" w:rsidRPr="00AE2F09" w:rsidRDefault="002F1E13" w:rsidP="002F1E13">
            <w:pPr>
              <w:pStyle w:val="TableText0"/>
            </w:pPr>
            <w:r w:rsidRPr="00AE2F09">
              <w:t>Moderate. Using utility values from March 2018 for the best (120-360 µmol/L, 0.71) and worst blood-Phe (&gt;1,201 µmol/L, 0.37) categories increased the ICER to $</w:t>
            </w:r>
            <w:r w:rsidR="00EC6944" w:rsidRPr="00EC6944">
              <w:rPr>
                <w:color w:val="000000"/>
                <w:spacing w:val="50"/>
                <w:shd w:val="solid" w:color="000000" w:fill="000000"/>
                <w:fitText w:val="323" w:id="-1436265214"/>
                <w14:textFill>
                  <w14:solidFill>
                    <w14:srgbClr w14:val="000000">
                      <w14:alpha w14:val="100000"/>
                    </w14:srgbClr>
                  </w14:solidFill>
                </w14:textFill>
              </w:rPr>
              <w:t>|||</w:t>
            </w:r>
            <w:r w:rsidR="00EC6944" w:rsidRPr="00EC6944">
              <w:rPr>
                <w:color w:val="000000"/>
                <w:spacing w:val="3"/>
                <w:shd w:val="solid" w:color="000000" w:fill="000000"/>
                <w:fitText w:val="323" w:id="-1436265214"/>
                <w14:textFill>
                  <w14:solidFill>
                    <w14:srgbClr w14:val="000000">
                      <w14:alpha w14:val="100000"/>
                    </w14:srgbClr>
                  </w14:solidFill>
                </w14:textFill>
              </w:rPr>
              <w:t>|</w:t>
            </w:r>
            <w:r w:rsidR="00DA23EE">
              <w:rPr>
                <w:vertAlign w:val="superscript"/>
              </w:rPr>
              <w:t>3</w:t>
            </w:r>
            <w:r w:rsidRPr="00AE2F09">
              <w:t>, a 37.3% increase.</w:t>
            </w:r>
          </w:p>
        </w:tc>
      </w:tr>
    </w:tbl>
    <w:p w14:paraId="5F630CC7" w14:textId="1414B793" w:rsidR="00C84D31" w:rsidRDefault="00C84D31" w:rsidP="00C84D31">
      <w:pPr>
        <w:pStyle w:val="TableFigureFooter"/>
      </w:pPr>
      <w:r w:rsidRPr="00AE2F09">
        <w:t xml:space="preserve">Source: Constructed during the evaluation. </w:t>
      </w:r>
    </w:p>
    <w:p w14:paraId="17A68B12" w14:textId="77777777" w:rsidR="00DA23EE" w:rsidRPr="00CC64AE" w:rsidRDefault="00DA23EE" w:rsidP="00DA23EE">
      <w:pPr>
        <w:pStyle w:val="TableFigureFooter"/>
        <w:keepNext/>
        <w:spacing w:after="0"/>
        <w:contextualSpacing w:val="0"/>
        <w:rPr>
          <w:i/>
        </w:rPr>
      </w:pPr>
      <w:bookmarkStart w:id="77" w:name="_Hlk112839435"/>
      <w:r w:rsidRPr="00CC64AE">
        <w:rPr>
          <w:i/>
        </w:rPr>
        <w:t>The redacted values correspond to the following ranges:</w:t>
      </w:r>
    </w:p>
    <w:bookmarkEnd w:id="77"/>
    <w:p w14:paraId="6B31FE57" w14:textId="69951805" w:rsidR="00DA23EE" w:rsidRPr="00281DAB" w:rsidRDefault="00DA23EE" w:rsidP="00DA23EE">
      <w:pPr>
        <w:pStyle w:val="TableFigureFooter"/>
        <w:keepNext/>
        <w:spacing w:after="0"/>
        <w:contextualSpacing w:val="0"/>
      </w:pPr>
      <w:r w:rsidRPr="00CC64AE">
        <w:rPr>
          <w:i/>
          <w:szCs w:val="18"/>
          <w:vertAlign w:val="superscript"/>
        </w:rPr>
        <w:t>1</w:t>
      </w:r>
      <w:r w:rsidRPr="00CC64AE">
        <w:rPr>
          <w:i/>
          <w:szCs w:val="18"/>
        </w:rPr>
        <w:t xml:space="preserve"> </w:t>
      </w:r>
      <w:r w:rsidRPr="00DA23EE">
        <w:rPr>
          <w:i/>
          <w:szCs w:val="18"/>
        </w:rPr>
        <w:t>$655,000 to &lt; $755,000</w:t>
      </w:r>
    </w:p>
    <w:p w14:paraId="77F73069" w14:textId="4F72CE47" w:rsidR="00DA23EE" w:rsidRPr="00CC64AE" w:rsidRDefault="00DA23EE" w:rsidP="00DA23EE">
      <w:pPr>
        <w:rPr>
          <w:rFonts w:ascii="Arial Narrow" w:hAnsi="Arial Narrow"/>
          <w:i/>
          <w:sz w:val="18"/>
          <w:szCs w:val="18"/>
        </w:rPr>
      </w:pPr>
      <w:r w:rsidRPr="00CC64AE">
        <w:rPr>
          <w:rFonts w:ascii="Arial Narrow" w:hAnsi="Arial Narrow"/>
          <w:i/>
          <w:sz w:val="18"/>
          <w:szCs w:val="18"/>
          <w:vertAlign w:val="superscript"/>
        </w:rPr>
        <w:t>2</w:t>
      </w:r>
      <w:r w:rsidRPr="00CC64AE">
        <w:rPr>
          <w:rFonts w:ascii="Arial Narrow" w:hAnsi="Arial Narrow"/>
          <w:i/>
          <w:sz w:val="18"/>
          <w:szCs w:val="18"/>
        </w:rPr>
        <w:t xml:space="preserve"> </w:t>
      </w:r>
      <w:r w:rsidRPr="00DA23EE">
        <w:rPr>
          <w:rFonts w:ascii="Arial Narrow" w:hAnsi="Arial Narrow"/>
          <w:i/>
          <w:sz w:val="18"/>
          <w:szCs w:val="18"/>
        </w:rPr>
        <w:t>&gt; $1,055,000</w:t>
      </w:r>
    </w:p>
    <w:p w14:paraId="79D34DED" w14:textId="112B5FFA" w:rsidR="00DA23EE" w:rsidRPr="00DA23EE" w:rsidRDefault="00DA23EE" w:rsidP="00DA23EE">
      <w:pPr>
        <w:spacing w:after="240"/>
        <w:rPr>
          <w:rFonts w:ascii="Arial Narrow" w:hAnsi="Arial Narrow"/>
          <w:i/>
          <w:sz w:val="18"/>
          <w:szCs w:val="18"/>
        </w:rPr>
      </w:pPr>
      <w:r w:rsidRPr="00CC64AE">
        <w:rPr>
          <w:rFonts w:ascii="Arial Narrow" w:hAnsi="Arial Narrow"/>
          <w:i/>
          <w:sz w:val="18"/>
          <w:szCs w:val="18"/>
          <w:vertAlign w:val="superscript"/>
        </w:rPr>
        <w:t xml:space="preserve">3 </w:t>
      </w:r>
      <w:r w:rsidRPr="00DA23EE">
        <w:rPr>
          <w:rFonts w:ascii="Arial Narrow" w:hAnsi="Arial Narrow"/>
          <w:i/>
          <w:sz w:val="18"/>
          <w:szCs w:val="18"/>
        </w:rPr>
        <w:t>$855,000 to &lt; $955,000</w:t>
      </w:r>
    </w:p>
    <w:p w14:paraId="469F195A" w14:textId="4F31349E" w:rsidR="002F1E13" w:rsidRPr="00AE2F09" w:rsidRDefault="008D47CC" w:rsidP="00774AF7">
      <w:pPr>
        <w:pStyle w:val="3-BodyText"/>
      </w:pPr>
      <w:r w:rsidRPr="00AE2F09">
        <w:t>T</w:t>
      </w:r>
      <w:r w:rsidR="0084392E" w:rsidRPr="00AE2F09">
        <w:t xml:space="preserve">he proportion of patients who achieve a blood-Phe </w:t>
      </w:r>
      <w:r w:rsidR="0084392E" w:rsidRPr="00AE2F09">
        <w:rPr>
          <w:rFonts w:cstheme="minorHAnsi"/>
        </w:rPr>
        <w:t>≤</w:t>
      </w:r>
      <w:r w:rsidR="00DA23EE">
        <w:rPr>
          <w:rFonts w:cstheme="minorHAnsi"/>
        </w:rPr>
        <w:t> </w:t>
      </w:r>
      <w:r w:rsidR="0084392E" w:rsidRPr="00AE2F09">
        <w:t>360 µmol/L</w:t>
      </w:r>
      <w:r w:rsidR="000B1B22" w:rsidRPr="00AE2F09">
        <w:t xml:space="preserve"> with pegvaliase treatment was not a key driver of the model. Assuming a relative decrease in response rate of 30% (decreased from 81.8% to 57.3%) only increased the ICER by 3.2%. Give</w:t>
      </w:r>
      <w:r w:rsidR="00640297" w:rsidRPr="00AE2F09">
        <w:t>n</w:t>
      </w:r>
      <w:r w:rsidR="000B1B22" w:rsidRPr="00AE2F09">
        <w:t xml:space="preserve"> than the proportion of patients who achieve a blood-Phe </w:t>
      </w:r>
      <w:r w:rsidR="000B1B22" w:rsidRPr="00AE2F09">
        <w:rPr>
          <w:rFonts w:cstheme="minorHAnsi"/>
        </w:rPr>
        <w:t>≤</w:t>
      </w:r>
      <w:r w:rsidR="00DA23EE">
        <w:rPr>
          <w:rFonts w:cstheme="minorHAnsi"/>
        </w:rPr>
        <w:t> </w:t>
      </w:r>
      <w:r w:rsidR="000B1B22" w:rsidRPr="00AE2F09">
        <w:t xml:space="preserve">360 µmol/L was </w:t>
      </w:r>
      <w:r w:rsidR="00A67132">
        <w:t>a</w:t>
      </w:r>
      <w:r w:rsidR="00A67132" w:rsidRPr="00AE2F09">
        <w:t xml:space="preserve"> </w:t>
      </w:r>
      <w:r w:rsidR="000B1B22" w:rsidRPr="00AE2F09">
        <w:t xml:space="preserve">key efficacy outcome, this </w:t>
      </w:r>
      <w:r w:rsidR="003C4B3D" w:rsidRPr="00AE2F09">
        <w:t xml:space="preserve">likely reflects the inappropriateness of the </w:t>
      </w:r>
      <w:r w:rsidR="002745C0" w:rsidRPr="00AE2F09">
        <w:t xml:space="preserve">assumptions </w:t>
      </w:r>
      <w:r w:rsidR="00A67132">
        <w:t>underpinning</w:t>
      </w:r>
      <w:r w:rsidR="002745C0" w:rsidRPr="00AE2F09">
        <w:t xml:space="preserve"> the </w:t>
      </w:r>
      <w:r w:rsidR="003C4B3D" w:rsidRPr="00AE2F09">
        <w:t xml:space="preserve">economic model. </w:t>
      </w:r>
    </w:p>
    <w:p w14:paraId="11B07284" w14:textId="48062B85" w:rsidR="00774AF7" w:rsidRPr="00AE2F09" w:rsidRDefault="00774AF7" w:rsidP="00774AF7">
      <w:pPr>
        <w:pStyle w:val="3-BodyText"/>
      </w:pPr>
      <w:r w:rsidRPr="00AE2F09">
        <w:t xml:space="preserve">The results </w:t>
      </w:r>
      <w:r w:rsidR="00C63E1E">
        <w:t xml:space="preserve">of the economic model </w:t>
      </w:r>
      <w:r w:rsidRPr="00AE2F09">
        <w:t xml:space="preserve">are presented in </w:t>
      </w:r>
      <w:r w:rsidR="002745C0" w:rsidRPr="00AE2F09">
        <w:fldChar w:fldCharType="begin"/>
      </w:r>
      <w:r w:rsidR="002745C0" w:rsidRPr="00AE2F09">
        <w:instrText xml:space="preserve"> REF _Ref103057195 \h  \* MERGEFORMAT </w:instrText>
      </w:r>
      <w:r w:rsidR="002745C0" w:rsidRPr="00AE2F09">
        <w:fldChar w:fldCharType="separate"/>
      </w:r>
      <w:r w:rsidR="001162C8" w:rsidRPr="001162C8">
        <w:t>Table 16</w:t>
      </w:r>
      <w:r w:rsidR="002745C0" w:rsidRPr="00AE2F09">
        <w:fldChar w:fldCharType="end"/>
      </w:r>
      <w:r w:rsidRPr="00AE2F09">
        <w:t xml:space="preserve">. </w:t>
      </w:r>
    </w:p>
    <w:p w14:paraId="3925E042" w14:textId="3EEA8008" w:rsidR="00774AF7" w:rsidRPr="00AE2F09" w:rsidRDefault="002745C0" w:rsidP="002745C0">
      <w:pPr>
        <w:pStyle w:val="TableFigureHeading"/>
        <w:keepLines/>
        <w:rPr>
          <w:rStyle w:val="CommentReference"/>
          <w:b/>
          <w:bCs w:val="0"/>
          <w:szCs w:val="24"/>
        </w:rPr>
      </w:pPr>
      <w:bookmarkStart w:id="78" w:name="_Ref103057195"/>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16</w:t>
      </w:r>
      <w:r w:rsidRPr="00AE2F09">
        <w:rPr>
          <w:rStyle w:val="CommentReference"/>
          <w:b/>
          <w:bCs w:val="0"/>
          <w:szCs w:val="24"/>
        </w:rPr>
        <w:fldChar w:fldCharType="end"/>
      </w:r>
      <w:bookmarkEnd w:id="78"/>
      <w:r w:rsidR="00774AF7" w:rsidRPr="00AE2F09">
        <w:rPr>
          <w:rStyle w:val="CommentReference"/>
          <w:b/>
          <w:bCs w:val="0"/>
          <w:szCs w:val="24"/>
        </w:rPr>
        <w:t>: Results of the stepped economic 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28" w:type="dxa"/>
          <w:right w:w="28" w:type="dxa"/>
        </w:tblCellMar>
        <w:tblLook w:val="04A0" w:firstRow="1" w:lastRow="0" w:firstColumn="1" w:lastColumn="0" w:noHBand="0" w:noVBand="1"/>
      </w:tblPr>
      <w:tblGrid>
        <w:gridCol w:w="2460"/>
        <w:gridCol w:w="905"/>
        <w:gridCol w:w="928"/>
        <w:gridCol w:w="977"/>
        <w:gridCol w:w="905"/>
        <w:gridCol w:w="928"/>
        <w:gridCol w:w="977"/>
        <w:gridCol w:w="937"/>
      </w:tblGrid>
      <w:tr w:rsidR="002745C0" w:rsidRPr="00AE2F09" w14:paraId="75221B71" w14:textId="77777777" w:rsidTr="00FD7CD0">
        <w:trPr>
          <w:cantSplit/>
        </w:trPr>
        <w:tc>
          <w:tcPr>
            <w:tcW w:w="0" w:type="auto"/>
            <w:vMerge w:val="restart"/>
            <w:shd w:val="clear" w:color="auto" w:fill="FFFFFF" w:themeFill="background1"/>
            <w:vAlign w:val="center"/>
          </w:tcPr>
          <w:p w14:paraId="7D19278E" w14:textId="77777777" w:rsidR="00774AF7" w:rsidRPr="00AE2F09" w:rsidRDefault="00774AF7" w:rsidP="00FD7CD0">
            <w:pPr>
              <w:pStyle w:val="In-tableHeading"/>
              <w:keepLines/>
              <w:widowControl w:val="0"/>
              <w:jc w:val="center"/>
              <w:rPr>
                <w:lang w:val="en-AU"/>
              </w:rPr>
            </w:pPr>
            <w:r w:rsidRPr="00AE2F09">
              <w:rPr>
                <w:lang w:val="en-AU"/>
              </w:rPr>
              <w:t>Data</w:t>
            </w:r>
          </w:p>
        </w:tc>
        <w:tc>
          <w:tcPr>
            <w:tcW w:w="0" w:type="auto"/>
            <w:gridSpan w:val="3"/>
            <w:shd w:val="clear" w:color="auto" w:fill="FFFFFF" w:themeFill="background1"/>
            <w:vAlign w:val="center"/>
          </w:tcPr>
          <w:p w14:paraId="490F5BC9" w14:textId="77777777" w:rsidR="00774AF7" w:rsidRPr="00AE2F09" w:rsidRDefault="00774AF7" w:rsidP="00FD7CD0">
            <w:pPr>
              <w:pStyle w:val="In-tableHeading"/>
              <w:keepLines/>
              <w:widowControl w:val="0"/>
              <w:jc w:val="center"/>
              <w:rPr>
                <w:lang w:val="en-AU"/>
              </w:rPr>
            </w:pPr>
            <w:r w:rsidRPr="00AE2F09">
              <w:rPr>
                <w:lang w:val="en-AU"/>
              </w:rPr>
              <w:t>Costs</w:t>
            </w:r>
          </w:p>
        </w:tc>
        <w:tc>
          <w:tcPr>
            <w:tcW w:w="0" w:type="auto"/>
            <w:gridSpan w:val="3"/>
            <w:shd w:val="clear" w:color="auto" w:fill="FFFFFF" w:themeFill="background1"/>
            <w:vAlign w:val="center"/>
          </w:tcPr>
          <w:p w14:paraId="6D4108C1" w14:textId="77777777" w:rsidR="00774AF7" w:rsidRPr="00AE2F09" w:rsidRDefault="00774AF7" w:rsidP="00FD7CD0">
            <w:pPr>
              <w:pStyle w:val="In-tableHeading"/>
              <w:keepLines/>
              <w:widowControl w:val="0"/>
              <w:jc w:val="center"/>
              <w:rPr>
                <w:lang w:val="en-AU"/>
              </w:rPr>
            </w:pPr>
            <w:r w:rsidRPr="00AE2F09">
              <w:rPr>
                <w:lang w:val="en-AU"/>
              </w:rPr>
              <w:t>Health outcomes</w:t>
            </w:r>
          </w:p>
        </w:tc>
        <w:tc>
          <w:tcPr>
            <w:tcW w:w="0" w:type="auto"/>
            <w:vMerge w:val="restart"/>
            <w:shd w:val="clear" w:color="auto" w:fill="FFFFFF" w:themeFill="background1"/>
            <w:vAlign w:val="center"/>
          </w:tcPr>
          <w:p w14:paraId="72F9D30A" w14:textId="77777777" w:rsidR="00774AF7" w:rsidRPr="00AE2F09" w:rsidRDefault="00774AF7" w:rsidP="00FD7CD0">
            <w:pPr>
              <w:pStyle w:val="In-tableHeading"/>
              <w:keepLines/>
              <w:widowControl w:val="0"/>
              <w:jc w:val="center"/>
              <w:rPr>
                <w:lang w:val="en-AU"/>
              </w:rPr>
            </w:pPr>
            <w:r w:rsidRPr="00AE2F09">
              <w:rPr>
                <w:lang w:val="en-AU"/>
              </w:rPr>
              <w:t>ICER</w:t>
            </w:r>
          </w:p>
        </w:tc>
      </w:tr>
      <w:tr w:rsidR="002745C0" w:rsidRPr="00AE2F09" w14:paraId="317785A1" w14:textId="77777777" w:rsidTr="00FD7CD0">
        <w:trPr>
          <w:cantSplit/>
          <w:tblHeader/>
        </w:trPr>
        <w:tc>
          <w:tcPr>
            <w:tcW w:w="0" w:type="auto"/>
            <w:vMerge/>
            <w:shd w:val="clear" w:color="auto" w:fill="FFFFFF" w:themeFill="background1"/>
            <w:vAlign w:val="center"/>
          </w:tcPr>
          <w:p w14:paraId="3883C526" w14:textId="77777777" w:rsidR="00774AF7" w:rsidRPr="00AE2F09" w:rsidRDefault="00774AF7" w:rsidP="00FD7CD0">
            <w:pPr>
              <w:pStyle w:val="In-tableHeading"/>
              <w:keepLines/>
              <w:widowControl w:val="0"/>
              <w:jc w:val="center"/>
              <w:rPr>
                <w:lang w:val="en-AU"/>
              </w:rPr>
            </w:pPr>
          </w:p>
        </w:tc>
        <w:tc>
          <w:tcPr>
            <w:tcW w:w="0" w:type="auto"/>
            <w:shd w:val="clear" w:color="auto" w:fill="FFFFFF" w:themeFill="background1"/>
            <w:vAlign w:val="center"/>
          </w:tcPr>
          <w:p w14:paraId="322F0977" w14:textId="77777777" w:rsidR="00774AF7" w:rsidRPr="00AE2F09" w:rsidRDefault="00774AF7" w:rsidP="00FD7CD0">
            <w:pPr>
              <w:pStyle w:val="In-tableHeading"/>
              <w:keepLines/>
              <w:widowControl w:val="0"/>
              <w:jc w:val="center"/>
              <w:rPr>
                <w:rFonts w:ascii="Times" w:hAnsi="Times"/>
                <w:lang w:val="en-AU"/>
              </w:rPr>
            </w:pPr>
            <w:r w:rsidRPr="00AE2F09">
              <w:rPr>
                <w:lang w:val="en-AU"/>
              </w:rPr>
              <w:t>Pegvaliase</w:t>
            </w:r>
          </w:p>
        </w:tc>
        <w:tc>
          <w:tcPr>
            <w:tcW w:w="0" w:type="auto"/>
            <w:shd w:val="clear" w:color="auto" w:fill="FFFFFF" w:themeFill="background1"/>
            <w:vAlign w:val="center"/>
          </w:tcPr>
          <w:p w14:paraId="518AD8B8" w14:textId="77777777" w:rsidR="00774AF7" w:rsidRPr="00AE2F09" w:rsidRDefault="00774AF7" w:rsidP="00FD7CD0">
            <w:pPr>
              <w:pStyle w:val="In-tableHeading"/>
              <w:keepLines/>
              <w:widowControl w:val="0"/>
              <w:jc w:val="center"/>
              <w:rPr>
                <w:rFonts w:ascii="Times" w:hAnsi="Times"/>
                <w:lang w:val="en-AU"/>
              </w:rPr>
            </w:pPr>
            <w:r w:rsidRPr="00AE2F09">
              <w:rPr>
                <w:lang w:val="en-AU"/>
              </w:rPr>
              <w:t>Phe-restricted diet</w:t>
            </w:r>
          </w:p>
        </w:tc>
        <w:tc>
          <w:tcPr>
            <w:tcW w:w="0" w:type="auto"/>
            <w:shd w:val="clear" w:color="auto" w:fill="FFFFFF" w:themeFill="background1"/>
            <w:vAlign w:val="center"/>
          </w:tcPr>
          <w:p w14:paraId="56A8F76A" w14:textId="77777777" w:rsidR="00774AF7" w:rsidRPr="00AE2F09" w:rsidRDefault="00774AF7" w:rsidP="00FD7CD0">
            <w:pPr>
              <w:pStyle w:val="In-tableHeading"/>
              <w:keepLines/>
              <w:widowControl w:val="0"/>
              <w:jc w:val="center"/>
              <w:rPr>
                <w:rFonts w:ascii="Times" w:hAnsi="Times"/>
                <w:lang w:val="en-AU"/>
              </w:rPr>
            </w:pPr>
            <w:r w:rsidRPr="00AE2F09">
              <w:rPr>
                <w:lang w:val="en-AU"/>
              </w:rPr>
              <w:t>Incremental</w:t>
            </w:r>
          </w:p>
        </w:tc>
        <w:tc>
          <w:tcPr>
            <w:tcW w:w="0" w:type="auto"/>
            <w:shd w:val="clear" w:color="auto" w:fill="FFFFFF" w:themeFill="background1"/>
            <w:vAlign w:val="center"/>
          </w:tcPr>
          <w:p w14:paraId="2B287EEB" w14:textId="77777777" w:rsidR="00774AF7" w:rsidRPr="00AE2F09" w:rsidRDefault="00774AF7" w:rsidP="00FD7CD0">
            <w:pPr>
              <w:pStyle w:val="In-tableHeading"/>
              <w:keepLines/>
              <w:widowControl w:val="0"/>
              <w:jc w:val="center"/>
              <w:rPr>
                <w:rFonts w:ascii="Times" w:hAnsi="Times"/>
                <w:lang w:val="en-AU"/>
              </w:rPr>
            </w:pPr>
            <w:r w:rsidRPr="00AE2F09">
              <w:rPr>
                <w:lang w:val="en-AU"/>
              </w:rPr>
              <w:t>Pegvaliase</w:t>
            </w:r>
          </w:p>
        </w:tc>
        <w:tc>
          <w:tcPr>
            <w:tcW w:w="0" w:type="auto"/>
            <w:shd w:val="clear" w:color="auto" w:fill="FFFFFF" w:themeFill="background1"/>
            <w:vAlign w:val="center"/>
          </w:tcPr>
          <w:p w14:paraId="4B99B5F1" w14:textId="77777777" w:rsidR="00774AF7" w:rsidRPr="00AE2F09" w:rsidRDefault="00774AF7" w:rsidP="00FD7CD0">
            <w:pPr>
              <w:pStyle w:val="In-tableHeading"/>
              <w:keepLines/>
              <w:widowControl w:val="0"/>
              <w:jc w:val="center"/>
              <w:rPr>
                <w:lang w:val="en-AU"/>
              </w:rPr>
            </w:pPr>
            <w:r w:rsidRPr="00AE2F09">
              <w:rPr>
                <w:lang w:val="en-AU"/>
              </w:rPr>
              <w:t>Phe-restricted diet</w:t>
            </w:r>
          </w:p>
        </w:tc>
        <w:tc>
          <w:tcPr>
            <w:tcW w:w="0" w:type="auto"/>
            <w:shd w:val="clear" w:color="auto" w:fill="FFFFFF" w:themeFill="background1"/>
            <w:vAlign w:val="center"/>
          </w:tcPr>
          <w:p w14:paraId="62E5BDB5" w14:textId="77777777" w:rsidR="00774AF7" w:rsidRPr="00AE2F09" w:rsidRDefault="00774AF7" w:rsidP="00FD7CD0">
            <w:pPr>
              <w:pStyle w:val="In-tableHeading"/>
              <w:keepLines/>
              <w:widowControl w:val="0"/>
              <w:jc w:val="center"/>
              <w:rPr>
                <w:lang w:val="en-AU"/>
              </w:rPr>
            </w:pPr>
            <w:r w:rsidRPr="00AE2F09">
              <w:rPr>
                <w:lang w:val="en-AU"/>
              </w:rPr>
              <w:t>Incremental</w:t>
            </w:r>
          </w:p>
        </w:tc>
        <w:tc>
          <w:tcPr>
            <w:tcW w:w="0" w:type="auto"/>
            <w:vMerge/>
            <w:shd w:val="clear" w:color="auto" w:fill="FFFFFF" w:themeFill="background1"/>
            <w:vAlign w:val="center"/>
          </w:tcPr>
          <w:p w14:paraId="22ABBCD2" w14:textId="77777777" w:rsidR="00774AF7" w:rsidRPr="00AE2F09" w:rsidRDefault="00774AF7" w:rsidP="00FD7CD0">
            <w:pPr>
              <w:pStyle w:val="Tabletext"/>
              <w:keepNext/>
              <w:keepLines/>
              <w:widowControl w:val="0"/>
              <w:jc w:val="center"/>
            </w:pPr>
          </w:p>
        </w:tc>
      </w:tr>
      <w:tr w:rsidR="002745C0" w:rsidRPr="00AE2F09" w14:paraId="4AD5D333" w14:textId="77777777" w:rsidTr="00FD7CD0">
        <w:trPr>
          <w:cantSplit/>
        </w:trPr>
        <w:tc>
          <w:tcPr>
            <w:tcW w:w="0" w:type="auto"/>
            <w:shd w:val="clear" w:color="auto" w:fill="FFFFFF" w:themeFill="background1"/>
            <w:vAlign w:val="center"/>
          </w:tcPr>
          <w:p w14:paraId="514E33F3" w14:textId="77777777" w:rsidR="00774AF7" w:rsidRPr="00AE2F09" w:rsidRDefault="00774AF7" w:rsidP="00FD7CD0">
            <w:pPr>
              <w:pStyle w:val="TableText0"/>
              <w:keepLines/>
              <w:widowControl w:val="0"/>
            </w:pPr>
            <w:r w:rsidRPr="00AE2F09">
              <w:t>Step 1: Response rate with time horizon of 2 years</w:t>
            </w:r>
          </w:p>
        </w:tc>
        <w:tc>
          <w:tcPr>
            <w:tcW w:w="0" w:type="auto"/>
            <w:shd w:val="clear" w:color="auto" w:fill="FFFFFF" w:themeFill="background1"/>
            <w:vAlign w:val="center"/>
          </w:tcPr>
          <w:p w14:paraId="402BCF8A" w14:textId="294D4DB6" w:rsidR="00774AF7" w:rsidRPr="00AE2F09" w:rsidRDefault="00774AF7" w:rsidP="00FD7CD0">
            <w:pPr>
              <w:pStyle w:val="TableText0"/>
              <w:keepLines/>
              <w:widowControl w:val="0"/>
              <w:jc w:val="center"/>
            </w:pPr>
            <w:r w:rsidRPr="00AE2F09">
              <w:rPr>
                <w:rFonts w:cs="Calibri"/>
                <w:szCs w:val="20"/>
              </w:rPr>
              <w:t>$</w:t>
            </w:r>
            <w:r w:rsidR="00EC6944" w:rsidRPr="00EC6944">
              <w:rPr>
                <w:rFonts w:cs="Calibri"/>
                <w:color w:val="000000"/>
                <w:spacing w:val="76"/>
                <w:szCs w:val="20"/>
                <w:shd w:val="solid" w:color="000000" w:fill="000000"/>
                <w:fitText w:val="162" w:id="-1436265213"/>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2" w:id="-1436265213"/>
                <w14:textFill>
                  <w14:solidFill>
                    <w14:srgbClr w14:val="000000">
                      <w14:alpha w14:val="100000"/>
                    </w14:srgbClr>
                  </w14:solidFill>
                </w14:textFill>
              </w:rPr>
              <w:t>|</w:t>
            </w:r>
          </w:p>
        </w:tc>
        <w:tc>
          <w:tcPr>
            <w:tcW w:w="0" w:type="auto"/>
            <w:shd w:val="clear" w:color="auto" w:fill="FFFFFF" w:themeFill="background1"/>
            <w:vAlign w:val="center"/>
          </w:tcPr>
          <w:p w14:paraId="6BC5A7F0" w14:textId="29866AD3" w:rsidR="00774AF7" w:rsidRPr="00AE2F09" w:rsidRDefault="00774AF7" w:rsidP="00FD7CD0">
            <w:pPr>
              <w:pStyle w:val="TableText0"/>
              <w:keepLines/>
              <w:widowControl w:val="0"/>
              <w:jc w:val="center"/>
            </w:pPr>
            <w:r w:rsidRPr="00AE2F09">
              <w:rPr>
                <w:rFonts w:cs="Calibri"/>
                <w:szCs w:val="20"/>
              </w:rPr>
              <w:t>$</w:t>
            </w:r>
            <w:r w:rsidR="00EC6944" w:rsidRPr="00EC6944">
              <w:rPr>
                <w:rFonts w:cs="Calibri"/>
                <w:color w:val="000000"/>
                <w:spacing w:val="76"/>
                <w:szCs w:val="20"/>
                <w:shd w:val="solid" w:color="000000" w:fill="000000"/>
                <w:fitText w:val="162" w:id="-1436265212"/>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2" w:id="-1436265212"/>
                <w14:textFill>
                  <w14:solidFill>
                    <w14:srgbClr w14:val="000000">
                      <w14:alpha w14:val="100000"/>
                    </w14:srgbClr>
                  </w14:solidFill>
                </w14:textFill>
              </w:rPr>
              <w:t>|</w:t>
            </w:r>
          </w:p>
        </w:tc>
        <w:tc>
          <w:tcPr>
            <w:tcW w:w="0" w:type="auto"/>
            <w:shd w:val="clear" w:color="auto" w:fill="FFFFFF" w:themeFill="background1"/>
            <w:vAlign w:val="center"/>
          </w:tcPr>
          <w:p w14:paraId="18C894FB" w14:textId="211BEB60" w:rsidR="00774AF7" w:rsidRPr="00AE2F09" w:rsidRDefault="00774AF7" w:rsidP="00FD7CD0">
            <w:pPr>
              <w:pStyle w:val="TableText0"/>
              <w:keepLines/>
              <w:widowControl w:val="0"/>
              <w:jc w:val="center"/>
            </w:pPr>
            <w:r w:rsidRPr="00AE2F09">
              <w:rPr>
                <w:rFonts w:cs="Calibri"/>
                <w:szCs w:val="20"/>
              </w:rPr>
              <w:t>$</w:t>
            </w:r>
            <w:r w:rsidR="00EC6944" w:rsidRPr="00EC6944">
              <w:rPr>
                <w:rFonts w:cs="Calibri" w:hint="eastAsia"/>
                <w:color w:val="000000"/>
                <w:w w:val="29"/>
                <w:szCs w:val="20"/>
                <w:shd w:val="solid" w:color="000000" w:fill="000000"/>
                <w:fitText w:val="131" w:id="-1436265211"/>
                <w14:textFill>
                  <w14:solidFill>
                    <w14:srgbClr w14:val="000000">
                      <w14:alpha w14:val="100000"/>
                    </w14:srgbClr>
                  </w14:solidFill>
                </w14:textFill>
              </w:rPr>
              <w:t xml:space="preserve">　</w:t>
            </w:r>
            <w:r w:rsidR="00EC6944" w:rsidRPr="00EC6944">
              <w:rPr>
                <w:rFonts w:cs="Calibri"/>
                <w:color w:val="000000"/>
                <w:w w:val="29"/>
                <w:szCs w:val="20"/>
                <w:shd w:val="solid" w:color="000000" w:fill="000000"/>
                <w:fitText w:val="131" w:id="-1436265211"/>
                <w14:textFill>
                  <w14:solidFill>
                    <w14:srgbClr w14:val="000000">
                      <w14:alpha w14:val="100000"/>
                    </w14:srgbClr>
                  </w14:solidFill>
                </w14:textFill>
              </w:rPr>
              <w:t>|</w:t>
            </w:r>
            <w:r w:rsidR="00EC6944" w:rsidRPr="00EC6944">
              <w:rPr>
                <w:rFonts w:cs="Calibri" w:hint="eastAsia"/>
                <w:color w:val="000000"/>
                <w:spacing w:val="3"/>
                <w:w w:val="29"/>
                <w:szCs w:val="20"/>
                <w:shd w:val="solid" w:color="000000" w:fill="000000"/>
                <w:fitText w:val="131" w:id="-1436265211"/>
                <w14:textFill>
                  <w14:solidFill>
                    <w14:srgbClr w14:val="000000">
                      <w14:alpha w14:val="100000"/>
                    </w14:srgbClr>
                  </w14:solidFill>
                </w14:textFill>
              </w:rPr>
              <w:t xml:space="preserve">　</w:t>
            </w:r>
          </w:p>
        </w:tc>
        <w:tc>
          <w:tcPr>
            <w:tcW w:w="0" w:type="auto"/>
            <w:shd w:val="clear" w:color="auto" w:fill="FFFFFF" w:themeFill="background1"/>
            <w:vAlign w:val="center"/>
          </w:tcPr>
          <w:p w14:paraId="62081F26" w14:textId="77777777" w:rsidR="00774AF7" w:rsidRPr="00AE2F09" w:rsidRDefault="00774AF7" w:rsidP="00FD7CD0">
            <w:pPr>
              <w:pStyle w:val="TableText0"/>
              <w:keepLines/>
              <w:widowControl w:val="0"/>
              <w:jc w:val="center"/>
            </w:pPr>
            <w:r w:rsidRPr="00AE2F09">
              <w:rPr>
                <w:rFonts w:cs="Calibri"/>
                <w:szCs w:val="20"/>
              </w:rPr>
              <w:t>90.3%</w:t>
            </w:r>
          </w:p>
        </w:tc>
        <w:tc>
          <w:tcPr>
            <w:tcW w:w="0" w:type="auto"/>
            <w:shd w:val="clear" w:color="auto" w:fill="FFFFFF" w:themeFill="background1"/>
            <w:vAlign w:val="center"/>
          </w:tcPr>
          <w:p w14:paraId="6C9FD6F5" w14:textId="77777777" w:rsidR="00774AF7" w:rsidRPr="00AE2F09" w:rsidRDefault="00774AF7" w:rsidP="00FD7CD0">
            <w:pPr>
              <w:pStyle w:val="TableText0"/>
              <w:keepLines/>
              <w:widowControl w:val="0"/>
              <w:jc w:val="center"/>
            </w:pPr>
            <w:r w:rsidRPr="00AE2F09">
              <w:rPr>
                <w:rFonts w:cs="Calibri"/>
                <w:szCs w:val="20"/>
              </w:rPr>
              <w:t>0.00</w:t>
            </w:r>
          </w:p>
        </w:tc>
        <w:tc>
          <w:tcPr>
            <w:tcW w:w="0" w:type="auto"/>
            <w:shd w:val="clear" w:color="auto" w:fill="FFFFFF" w:themeFill="background1"/>
            <w:vAlign w:val="center"/>
          </w:tcPr>
          <w:p w14:paraId="4B067342" w14:textId="77777777" w:rsidR="00774AF7" w:rsidRPr="00AE2F09" w:rsidRDefault="00774AF7" w:rsidP="00FD7CD0">
            <w:pPr>
              <w:pStyle w:val="TableText0"/>
              <w:keepLines/>
              <w:widowControl w:val="0"/>
              <w:jc w:val="center"/>
            </w:pPr>
            <w:r w:rsidRPr="00AE2F09">
              <w:rPr>
                <w:rFonts w:cs="Calibri"/>
                <w:szCs w:val="20"/>
              </w:rPr>
              <w:t>90.3%</w:t>
            </w:r>
          </w:p>
        </w:tc>
        <w:tc>
          <w:tcPr>
            <w:tcW w:w="0" w:type="auto"/>
            <w:shd w:val="clear" w:color="auto" w:fill="FFFFFF" w:themeFill="background1"/>
            <w:vAlign w:val="center"/>
          </w:tcPr>
          <w:p w14:paraId="5180875D" w14:textId="7F10687C" w:rsidR="00774AF7" w:rsidRPr="00AE2F09" w:rsidRDefault="00774AF7" w:rsidP="00FD7CD0">
            <w:pPr>
              <w:pStyle w:val="TableText0"/>
              <w:keepLines/>
              <w:widowControl w:val="0"/>
              <w:jc w:val="center"/>
            </w:pPr>
            <w:r w:rsidRPr="00AE2F09">
              <w:rPr>
                <w:rFonts w:cs="Calibri"/>
                <w:szCs w:val="20"/>
              </w:rPr>
              <w:t>$</w:t>
            </w:r>
            <w:r w:rsidR="00EC6944" w:rsidRPr="00EC6944">
              <w:rPr>
                <w:rFonts w:cs="Calibri"/>
                <w:color w:val="000000"/>
                <w:spacing w:val="48"/>
                <w:szCs w:val="20"/>
                <w:shd w:val="solid" w:color="000000" w:fill="000000"/>
                <w:fitText w:val="316" w:id="-1436265210"/>
                <w14:textFill>
                  <w14:solidFill>
                    <w14:srgbClr w14:val="000000">
                      <w14:alpha w14:val="100000"/>
                    </w14:srgbClr>
                  </w14:solidFill>
                </w14:textFill>
              </w:rPr>
              <w:t>|||</w:t>
            </w:r>
            <w:r w:rsidR="00EC6944" w:rsidRPr="00EC6944">
              <w:rPr>
                <w:rFonts w:cs="Calibri"/>
                <w:color w:val="000000"/>
                <w:spacing w:val="2"/>
                <w:szCs w:val="20"/>
                <w:shd w:val="solid" w:color="000000" w:fill="000000"/>
                <w:fitText w:val="316" w:id="-1436265210"/>
                <w14:textFill>
                  <w14:solidFill>
                    <w14:srgbClr w14:val="000000">
                      <w14:alpha w14:val="100000"/>
                    </w14:srgbClr>
                  </w14:solidFill>
                </w14:textFill>
              </w:rPr>
              <w:t>|</w:t>
            </w:r>
            <w:r w:rsidR="00DA23EE">
              <w:rPr>
                <w:rFonts w:cs="Calibri"/>
                <w:szCs w:val="20"/>
                <w:vertAlign w:val="superscript"/>
              </w:rPr>
              <w:t>1</w:t>
            </w:r>
            <w:r w:rsidRPr="00AE2F09">
              <w:rPr>
                <w:rFonts w:cs="Calibri"/>
                <w:szCs w:val="20"/>
              </w:rPr>
              <w:t xml:space="preserve"> per responder</w:t>
            </w:r>
          </w:p>
        </w:tc>
      </w:tr>
      <w:tr w:rsidR="002745C0" w:rsidRPr="00AE2F09" w14:paraId="1CE2CD8D" w14:textId="77777777" w:rsidTr="00FD7CD0">
        <w:trPr>
          <w:cantSplit/>
        </w:trPr>
        <w:tc>
          <w:tcPr>
            <w:tcW w:w="0" w:type="auto"/>
            <w:shd w:val="clear" w:color="auto" w:fill="FFFFFF" w:themeFill="background1"/>
            <w:vAlign w:val="center"/>
          </w:tcPr>
          <w:p w14:paraId="08143242" w14:textId="77777777" w:rsidR="00774AF7" w:rsidRPr="00AE2F09" w:rsidRDefault="00774AF7" w:rsidP="00FD7CD0">
            <w:pPr>
              <w:pStyle w:val="TableText0"/>
              <w:keepLines/>
              <w:widowControl w:val="0"/>
              <w:rPr>
                <w:rFonts w:cs="Calibri"/>
                <w:szCs w:val="20"/>
              </w:rPr>
            </w:pPr>
            <w:r w:rsidRPr="00AE2F09">
              <w:rPr>
                <w:rFonts w:cs="Calibri"/>
                <w:szCs w:val="20"/>
              </w:rPr>
              <w:t>Step 2: Step 1 including extrapolation, background mortality, treatment discontinuation and transformation to QALYs</w:t>
            </w:r>
          </w:p>
        </w:tc>
        <w:tc>
          <w:tcPr>
            <w:tcW w:w="0" w:type="auto"/>
            <w:shd w:val="clear" w:color="auto" w:fill="FFFFFF" w:themeFill="background1"/>
            <w:vAlign w:val="center"/>
          </w:tcPr>
          <w:p w14:paraId="09D8C294" w14:textId="7C858C22"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6"/>
                <w:szCs w:val="20"/>
                <w:shd w:val="solid" w:color="000000" w:fill="000000"/>
                <w:fitText w:val="162" w:id="-1436265209"/>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2" w:id="-1436265209"/>
                <w14:textFill>
                  <w14:solidFill>
                    <w14:srgbClr w14:val="000000">
                      <w14:alpha w14:val="100000"/>
                    </w14:srgbClr>
                  </w14:solidFill>
                </w14:textFill>
              </w:rPr>
              <w:t>|</w:t>
            </w:r>
          </w:p>
        </w:tc>
        <w:tc>
          <w:tcPr>
            <w:tcW w:w="0" w:type="auto"/>
            <w:shd w:val="clear" w:color="auto" w:fill="FFFFFF" w:themeFill="background1"/>
            <w:vAlign w:val="center"/>
          </w:tcPr>
          <w:p w14:paraId="5BAD6EDF" w14:textId="0626C6B3"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5"/>
                <w:szCs w:val="20"/>
                <w:shd w:val="solid" w:color="000000" w:fill="000000"/>
                <w:fitText w:val="161" w:id="-1436265208"/>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1" w:id="-1436265208"/>
                <w14:textFill>
                  <w14:solidFill>
                    <w14:srgbClr w14:val="000000">
                      <w14:alpha w14:val="100000"/>
                    </w14:srgbClr>
                  </w14:solidFill>
                </w14:textFill>
              </w:rPr>
              <w:t>|</w:t>
            </w:r>
          </w:p>
        </w:tc>
        <w:tc>
          <w:tcPr>
            <w:tcW w:w="0" w:type="auto"/>
            <w:shd w:val="clear" w:color="auto" w:fill="FFFFFF" w:themeFill="background1"/>
            <w:vAlign w:val="center"/>
          </w:tcPr>
          <w:p w14:paraId="27834950" w14:textId="7A71AE30"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hint="eastAsia"/>
                <w:color w:val="000000"/>
                <w:w w:val="29"/>
                <w:szCs w:val="20"/>
                <w:shd w:val="solid" w:color="000000" w:fill="000000"/>
                <w:fitText w:val="131" w:id="-1436265207"/>
                <w14:textFill>
                  <w14:solidFill>
                    <w14:srgbClr w14:val="000000">
                      <w14:alpha w14:val="100000"/>
                    </w14:srgbClr>
                  </w14:solidFill>
                </w14:textFill>
              </w:rPr>
              <w:t xml:space="preserve">　</w:t>
            </w:r>
            <w:r w:rsidR="00EC6944" w:rsidRPr="00EC6944">
              <w:rPr>
                <w:rFonts w:cs="Calibri"/>
                <w:color w:val="000000"/>
                <w:w w:val="29"/>
                <w:szCs w:val="20"/>
                <w:shd w:val="solid" w:color="000000" w:fill="000000"/>
                <w:fitText w:val="131" w:id="-1436265207"/>
                <w14:textFill>
                  <w14:solidFill>
                    <w14:srgbClr w14:val="000000">
                      <w14:alpha w14:val="100000"/>
                    </w14:srgbClr>
                  </w14:solidFill>
                </w14:textFill>
              </w:rPr>
              <w:t>|</w:t>
            </w:r>
            <w:r w:rsidR="00EC6944" w:rsidRPr="00EC6944">
              <w:rPr>
                <w:rFonts w:cs="Calibri" w:hint="eastAsia"/>
                <w:color w:val="000000"/>
                <w:spacing w:val="3"/>
                <w:w w:val="29"/>
                <w:szCs w:val="20"/>
                <w:shd w:val="solid" w:color="000000" w:fill="000000"/>
                <w:fitText w:val="131" w:id="-1436265207"/>
                <w14:textFill>
                  <w14:solidFill>
                    <w14:srgbClr w14:val="000000">
                      <w14:alpha w14:val="100000"/>
                    </w14:srgbClr>
                  </w14:solidFill>
                </w14:textFill>
              </w:rPr>
              <w:t xml:space="preserve">　</w:t>
            </w:r>
          </w:p>
        </w:tc>
        <w:tc>
          <w:tcPr>
            <w:tcW w:w="0" w:type="auto"/>
            <w:shd w:val="clear" w:color="auto" w:fill="FFFFFF" w:themeFill="background1"/>
            <w:vAlign w:val="center"/>
          </w:tcPr>
          <w:p w14:paraId="72A055E8" w14:textId="77777777" w:rsidR="00774AF7" w:rsidRPr="00AE2F09" w:rsidRDefault="00774AF7" w:rsidP="00FD7CD0">
            <w:pPr>
              <w:pStyle w:val="TableText0"/>
              <w:keepLines/>
              <w:widowControl w:val="0"/>
              <w:jc w:val="center"/>
              <w:rPr>
                <w:rFonts w:cs="Calibri"/>
                <w:szCs w:val="20"/>
              </w:rPr>
            </w:pPr>
            <w:r w:rsidRPr="00AE2F09">
              <w:rPr>
                <w:rFonts w:cs="Calibri"/>
                <w:szCs w:val="20"/>
              </w:rPr>
              <w:t>12.19</w:t>
            </w:r>
          </w:p>
        </w:tc>
        <w:tc>
          <w:tcPr>
            <w:tcW w:w="0" w:type="auto"/>
            <w:shd w:val="clear" w:color="auto" w:fill="FFFFFF" w:themeFill="background1"/>
            <w:vAlign w:val="center"/>
          </w:tcPr>
          <w:p w14:paraId="0C0C88F0" w14:textId="77777777" w:rsidR="00774AF7" w:rsidRPr="00AE2F09" w:rsidRDefault="00774AF7" w:rsidP="00FD7CD0">
            <w:pPr>
              <w:pStyle w:val="TableText0"/>
              <w:keepLines/>
              <w:widowControl w:val="0"/>
              <w:jc w:val="center"/>
              <w:rPr>
                <w:rFonts w:cs="Calibri"/>
                <w:szCs w:val="20"/>
              </w:rPr>
            </w:pPr>
            <w:r w:rsidRPr="00AE2F09">
              <w:rPr>
                <w:rFonts w:cs="Calibri"/>
                <w:szCs w:val="20"/>
              </w:rPr>
              <w:t>8.77</w:t>
            </w:r>
          </w:p>
        </w:tc>
        <w:tc>
          <w:tcPr>
            <w:tcW w:w="0" w:type="auto"/>
            <w:shd w:val="clear" w:color="auto" w:fill="FFFFFF" w:themeFill="background1"/>
            <w:vAlign w:val="center"/>
          </w:tcPr>
          <w:p w14:paraId="57EE2924" w14:textId="77777777" w:rsidR="00774AF7" w:rsidRPr="00AE2F09" w:rsidRDefault="00774AF7" w:rsidP="00FD7CD0">
            <w:pPr>
              <w:pStyle w:val="TableText0"/>
              <w:keepLines/>
              <w:widowControl w:val="0"/>
              <w:jc w:val="center"/>
              <w:rPr>
                <w:rFonts w:cs="Calibri"/>
                <w:szCs w:val="20"/>
              </w:rPr>
            </w:pPr>
            <w:r w:rsidRPr="00AE2F09">
              <w:rPr>
                <w:rFonts w:cs="Calibri"/>
                <w:szCs w:val="20"/>
              </w:rPr>
              <w:t>3.42</w:t>
            </w:r>
          </w:p>
        </w:tc>
        <w:tc>
          <w:tcPr>
            <w:tcW w:w="0" w:type="auto"/>
            <w:shd w:val="clear" w:color="auto" w:fill="FFFFFF" w:themeFill="background1"/>
            <w:vAlign w:val="center"/>
          </w:tcPr>
          <w:p w14:paraId="66AD2EA1" w14:textId="7CEE109B"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48"/>
                <w:szCs w:val="20"/>
                <w:shd w:val="solid" w:color="000000" w:fill="000000"/>
                <w:fitText w:val="316" w:id="-1436265206"/>
                <w14:textFill>
                  <w14:solidFill>
                    <w14:srgbClr w14:val="000000">
                      <w14:alpha w14:val="100000"/>
                    </w14:srgbClr>
                  </w14:solidFill>
                </w14:textFill>
              </w:rPr>
              <w:t>|||</w:t>
            </w:r>
            <w:r w:rsidR="00EC6944" w:rsidRPr="00EC6944">
              <w:rPr>
                <w:rFonts w:cs="Calibri"/>
                <w:color w:val="000000"/>
                <w:spacing w:val="2"/>
                <w:szCs w:val="20"/>
                <w:shd w:val="solid" w:color="000000" w:fill="000000"/>
                <w:fitText w:val="316" w:id="-1436265206"/>
                <w14:textFill>
                  <w14:solidFill>
                    <w14:srgbClr w14:val="000000">
                      <w14:alpha w14:val="100000"/>
                    </w14:srgbClr>
                  </w14:solidFill>
                </w14:textFill>
              </w:rPr>
              <w:t>|</w:t>
            </w:r>
            <w:r w:rsidR="00DA23EE">
              <w:rPr>
                <w:rFonts w:cs="Calibri"/>
                <w:szCs w:val="20"/>
                <w:vertAlign w:val="superscript"/>
              </w:rPr>
              <w:t>2</w:t>
            </w:r>
            <w:r w:rsidRPr="00AE2F09">
              <w:rPr>
                <w:rFonts w:cs="Calibri"/>
                <w:szCs w:val="20"/>
              </w:rPr>
              <w:t xml:space="preserve"> per QALY</w:t>
            </w:r>
          </w:p>
        </w:tc>
      </w:tr>
      <w:tr w:rsidR="002745C0" w:rsidRPr="00AE2F09" w14:paraId="08F5CF1B" w14:textId="77777777" w:rsidTr="00FD7CD0">
        <w:trPr>
          <w:cantSplit/>
        </w:trPr>
        <w:tc>
          <w:tcPr>
            <w:tcW w:w="0" w:type="auto"/>
            <w:shd w:val="clear" w:color="auto" w:fill="FFFFFF" w:themeFill="background1"/>
            <w:vAlign w:val="center"/>
          </w:tcPr>
          <w:p w14:paraId="43F465C0" w14:textId="77777777" w:rsidR="00774AF7" w:rsidRPr="00AE2F09" w:rsidRDefault="00774AF7" w:rsidP="00FD7CD0">
            <w:pPr>
              <w:pStyle w:val="TableText0"/>
              <w:keepLines/>
              <w:widowControl w:val="0"/>
              <w:rPr>
                <w:rFonts w:cs="Calibri"/>
                <w:szCs w:val="20"/>
              </w:rPr>
            </w:pPr>
            <w:r w:rsidRPr="00AE2F09">
              <w:rPr>
                <w:rFonts w:cs="Calibri"/>
                <w:szCs w:val="20"/>
              </w:rPr>
              <w:t>Step 3: Step 2 including continuing treatment criteria</w:t>
            </w:r>
          </w:p>
        </w:tc>
        <w:tc>
          <w:tcPr>
            <w:tcW w:w="0" w:type="auto"/>
            <w:shd w:val="clear" w:color="auto" w:fill="FFFFFF" w:themeFill="background1"/>
            <w:vAlign w:val="center"/>
          </w:tcPr>
          <w:p w14:paraId="11F05430" w14:textId="055812BB"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6"/>
                <w:szCs w:val="20"/>
                <w:shd w:val="solid" w:color="000000" w:fill="000000"/>
                <w:fitText w:val="162" w:id="-1436265205"/>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2" w:id="-1436265205"/>
                <w14:textFill>
                  <w14:solidFill>
                    <w14:srgbClr w14:val="000000">
                      <w14:alpha w14:val="100000"/>
                    </w14:srgbClr>
                  </w14:solidFill>
                </w14:textFill>
              </w:rPr>
              <w:t>|</w:t>
            </w:r>
          </w:p>
        </w:tc>
        <w:tc>
          <w:tcPr>
            <w:tcW w:w="0" w:type="auto"/>
            <w:shd w:val="clear" w:color="auto" w:fill="FFFFFF" w:themeFill="background1"/>
            <w:vAlign w:val="center"/>
          </w:tcPr>
          <w:p w14:paraId="4BDA7C52" w14:textId="231FD543"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5"/>
                <w:szCs w:val="20"/>
                <w:shd w:val="solid" w:color="000000" w:fill="000000"/>
                <w:fitText w:val="161" w:id="-1436265204"/>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1" w:id="-1436265204"/>
                <w14:textFill>
                  <w14:solidFill>
                    <w14:srgbClr w14:val="000000">
                      <w14:alpha w14:val="100000"/>
                    </w14:srgbClr>
                  </w14:solidFill>
                </w14:textFill>
              </w:rPr>
              <w:t>|</w:t>
            </w:r>
          </w:p>
        </w:tc>
        <w:tc>
          <w:tcPr>
            <w:tcW w:w="0" w:type="auto"/>
            <w:shd w:val="clear" w:color="auto" w:fill="FFFFFF" w:themeFill="background1"/>
            <w:vAlign w:val="center"/>
          </w:tcPr>
          <w:p w14:paraId="17E02930" w14:textId="1E7F0C2C"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hint="eastAsia"/>
                <w:color w:val="000000"/>
                <w:w w:val="29"/>
                <w:szCs w:val="20"/>
                <w:shd w:val="solid" w:color="000000" w:fill="000000"/>
                <w:fitText w:val="131" w:id="-1436265203"/>
                <w14:textFill>
                  <w14:solidFill>
                    <w14:srgbClr w14:val="000000">
                      <w14:alpha w14:val="100000"/>
                    </w14:srgbClr>
                  </w14:solidFill>
                </w14:textFill>
              </w:rPr>
              <w:t xml:space="preserve">　</w:t>
            </w:r>
            <w:r w:rsidR="00EC6944" w:rsidRPr="00EC6944">
              <w:rPr>
                <w:rFonts w:cs="Calibri"/>
                <w:color w:val="000000"/>
                <w:w w:val="29"/>
                <w:szCs w:val="20"/>
                <w:shd w:val="solid" w:color="000000" w:fill="000000"/>
                <w:fitText w:val="131" w:id="-1436265203"/>
                <w14:textFill>
                  <w14:solidFill>
                    <w14:srgbClr w14:val="000000">
                      <w14:alpha w14:val="100000"/>
                    </w14:srgbClr>
                  </w14:solidFill>
                </w14:textFill>
              </w:rPr>
              <w:t>|</w:t>
            </w:r>
            <w:r w:rsidR="00EC6944" w:rsidRPr="00EC6944">
              <w:rPr>
                <w:rFonts w:cs="Calibri" w:hint="eastAsia"/>
                <w:color w:val="000000"/>
                <w:spacing w:val="3"/>
                <w:w w:val="29"/>
                <w:szCs w:val="20"/>
                <w:shd w:val="solid" w:color="000000" w:fill="000000"/>
                <w:fitText w:val="131" w:id="-1436265203"/>
                <w14:textFill>
                  <w14:solidFill>
                    <w14:srgbClr w14:val="000000">
                      <w14:alpha w14:val="100000"/>
                    </w14:srgbClr>
                  </w14:solidFill>
                </w14:textFill>
              </w:rPr>
              <w:t xml:space="preserve">　</w:t>
            </w:r>
          </w:p>
        </w:tc>
        <w:tc>
          <w:tcPr>
            <w:tcW w:w="0" w:type="auto"/>
            <w:shd w:val="clear" w:color="auto" w:fill="FFFFFF" w:themeFill="background1"/>
            <w:vAlign w:val="center"/>
          </w:tcPr>
          <w:p w14:paraId="0D98D049" w14:textId="77777777" w:rsidR="00774AF7" w:rsidRPr="00AE2F09" w:rsidRDefault="00774AF7" w:rsidP="00FD7CD0">
            <w:pPr>
              <w:pStyle w:val="TableText0"/>
              <w:keepLines/>
              <w:widowControl w:val="0"/>
              <w:jc w:val="center"/>
              <w:rPr>
                <w:rFonts w:cs="Calibri"/>
                <w:szCs w:val="20"/>
              </w:rPr>
            </w:pPr>
            <w:r w:rsidRPr="00AE2F09">
              <w:rPr>
                <w:rFonts w:cs="Calibri"/>
                <w:szCs w:val="20"/>
              </w:rPr>
              <w:t>11.98</w:t>
            </w:r>
          </w:p>
        </w:tc>
        <w:tc>
          <w:tcPr>
            <w:tcW w:w="0" w:type="auto"/>
            <w:shd w:val="clear" w:color="auto" w:fill="FFFFFF" w:themeFill="background1"/>
            <w:vAlign w:val="center"/>
          </w:tcPr>
          <w:p w14:paraId="3A7B3CB0" w14:textId="77777777" w:rsidR="00774AF7" w:rsidRPr="00AE2F09" w:rsidRDefault="00774AF7" w:rsidP="00FD7CD0">
            <w:pPr>
              <w:pStyle w:val="TableText0"/>
              <w:keepLines/>
              <w:widowControl w:val="0"/>
              <w:jc w:val="center"/>
              <w:rPr>
                <w:rFonts w:cs="Calibri"/>
                <w:szCs w:val="20"/>
              </w:rPr>
            </w:pPr>
            <w:r w:rsidRPr="00AE2F09">
              <w:rPr>
                <w:rFonts w:cs="Calibri"/>
                <w:szCs w:val="20"/>
              </w:rPr>
              <w:t>8.77</w:t>
            </w:r>
          </w:p>
        </w:tc>
        <w:tc>
          <w:tcPr>
            <w:tcW w:w="0" w:type="auto"/>
            <w:shd w:val="clear" w:color="auto" w:fill="FFFFFF" w:themeFill="background1"/>
            <w:vAlign w:val="center"/>
          </w:tcPr>
          <w:p w14:paraId="24D4004F" w14:textId="77777777" w:rsidR="00774AF7" w:rsidRPr="00AE2F09" w:rsidRDefault="00774AF7" w:rsidP="00FD7CD0">
            <w:pPr>
              <w:pStyle w:val="TableText0"/>
              <w:keepLines/>
              <w:widowControl w:val="0"/>
              <w:jc w:val="center"/>
              <w:rPr>
                <w:rFonts w:cs="Calibri"/>
                <w:szCs w:val="20"/>
              </w:rPr>
            </w:pPr>
            <w:r w:rsidRPr="00AE2F09">
              <w:rPr>
                <w:rFonts w:cs="Calibri"/>
                <w:szCs w:val="20"/>
              </w:rPr>
              <w:t>3.21</w:t>
            </w:r>
          </w:p>
        </w:tc>
        <w:tc>
          <w:tcPr>
            <w:tcW w:w="0" w:type="auto"/>
            <w:shd w:val="clear" w:color="auto" w:fill="FFFFFF" w:themeFill="background1"/>
            <w:vAlign w:val="center"/>
          </w:tcPr>
          <w:p w14:paraId="741C9E67" w14:textId="1C2200AD"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48"/>
                <w:szCs w:val="20"/>
                <w:shd w:val="solid" w:color="000000" w:fill="000000"/>
                <w:fitText w:val="316" w:id="-1436265202"/>
                <w14:textFill>
                  <w14:solidFill>
                    <w14:srgbClr w14:val="000000">
                      <w14:alpha w14:val="100000"/>
                    </w14:srgbClr>
                  </w14:solidFill>
                </w14:textFill>
              </w:rPr>
              <w:t>|||</w:t>
            </w:r>
            <w:r w:rsidR="00EC6944" w:rsidRPr="00EC6944">
              <w:rPr>
                <w:rFonts w:cs="Calibri"/>
                <w:color w:val="000000"/>
                <w:spacing w:val="2"/>
                <w:szCs w:val="20"/>
                <w:shd w:val="solid" w:color="000000" w:fill="000000"/>
                <w:fitText w:val="316" w:id="-1436265202"/>
                <w14:textFill>
                  <w14:solidFill>
                    <w14:srgbClr w14:val="000000">
                      <w14:alpha w14:val="100000"/>
                    </w14:srgbClr>
                  </w14:solidFill>
                </w14:textFill>
              </w:rPr>
              <w:t>|</w:t>
            </w:r>
            <w:r w:rsidR="00DA23EE">
              <w:rPr>
                <w:rFonts w:cs="Calibri"/>
                <w:szCs w:val="20"/>
                <w:vertAlign w:val="superscript"/>
              </w:rPr>
              <w:t>2</w:t>
            </w:r>
            <w:r w:rsidRPr="00AE2F09">
              <w:rPr>
                <w:rFonts w:cs="Calibri"/>
                <w:szCs w:val="20"/>
              </w:rPr>
              <w:t xml:space="preserve"> per QALY</w:t>
            </w:r>
          </w:p>
        </w:tc>
      </w:tr>
      <w:tr w:rsidR="002745C0" w:rsidRPr="00AE2F09" w14:paraId="21608DF4" w14:textId="77777777" w:rsidTr="00FD7CD0">
        <w:trPr>
          <w:cantSplit/>
        </w:trPr>
        <w:tc>
          <w:tcPr>
            <w:tcW w:w="0" w:type="auto"/>
            <w:shd w:val="clear" w:color="auto" w:fill="FFFFFF" w:themeFill="background1"/>
            <w:vAlign w:val="center"/>
          </w:tcPr>
          <w:p w14:paraId="5916F1AF" w14:textId="77777777" w:rsidR="00774AF7" w:rsidRPr="00AE2F09" w:rsidRDefault="00774AF7" w:rsidP="00FD7CD0">
            <w:pPr>
              <w:pStyle w:val="TableText0"/>
              <w:keepLines/>
              <w:widowControl w:val="0"/>
              <w:rPr>
                <w:rFonts w:cs="Calibri"/>
                <w:szCs w:val="20"/>
              </w:rPr>
            </w:pPr>
            <w:r w:rsidRPr="00AE2F09">
              <w:rPr>
                <w:rFonts w:cs="Calibri"/>
                <w:szCs w:val="20"/>
              </w:rPr>
              <w:t>Step 4: Step 3 including all resource use</w:t>
            </w:r>
          </w:p>
        </w:tc>
        <w:tc>
          <w:tcPr>
            <w:tcW w:w="0" w:type="auto"/>
            <w:shd w:val="clear" w:color="auto" w:fill="FFFFFF" w:themeFill="background1"/>
            <w:vAlign w:val="center"/>
          </w:tcPr>
          <w:p w14:paraId="6042AD39" w14:textId="720C5524"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6"/>
                <w:szCs w:val="20"/>
                <w:shd w:val="solid" w:color="000000" w:fill="000000"/>
                <w:fitText w:val="162" w:id="-1436265201"/>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2" w:id="-1436265201"/>
                <w14:textFill>
                  <w14:solidFill>
                    <w14:srgbClr w14:val="000000">
                      <w14:alpha w14:val="100000"/>
                    </w14:srgbClr>
                  </w14:solidFill>
                </w14:textFill>
              </w:rPr>
              <w:t>|</w:t>
            </w:r>
          </w:p>
        </w:tc>
        <w:tc>
          <w:tcPr>
            <w:tcW w:w="0" w:type="auto"/>
            <w:shd w:val="clear" w:color="auto" w:fill="FFFFFF" w:themeFill="background1"/>
            <w:vAlign w:val="center"/>
          </w:tcPr>
          <w:p w14:paraId="78FC5E10" w14:textId="25CA8B59"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color w:val="000000"/>
                <w:spacing w:val="75"/>
                <w:szCs w:val="20"/>
                <w:shd w:val="solid" w:color="000000" w:fill="000000"/>
                <w:fitText w:val="161" w:id="-1436265200"/>
                <w14:textFill>
                  <w14:solidFill>
                    <w14:srgbClr w14:val="000000">
                      <w14:alpha w14:val="100000"/>
                    </w14:srgbClr>
                  </w14:solidFill>
                </w14:textFill>
              </w:rPr>
              <w:t>|</w:t>
            </w:r>
            <w:r w:rsidR="00EC6944" w:rsidRPr="00EC6944">
              <w:rPr>
                <w:rFonts w:cs="Calibri"/>
                <w:color w:val="000000"/>
                <w:spacing w:val="1"/>
                <w:szCs w:val="20"/>
                <w:shd w:val="solid" w:color="000000" w:fill="000000"/>
                <w:fitText w:val="161" w:id="-1436265200"/>
                <w14:textFill>
                  <w14:solidFill>
                    <w14:srgbClr w14:val="000000">
                      <w14:alpha w14:val="100000"/>
                    </w14:srgbClr>
                  </w14:solidFill>
                </w14:textFill>
              </w:rPr>
              <w:t>|</w:t>
            </w:r>
          </w:p>
        </w:tc>
        <w:tc>
          <w:tcPr>
            <w:tcW w:w="0" w:type="auto"/>
            <w:shd w:val="clear" w:color="auto" w:fill="FFFFFF" w:themeFill="background1"/>
            <w:vAlign w:val="center"/>
          </w:tcPr>
          <w:p w14:paraId="04B17D68" w14:textId="61A1B9DA" w:rsidR="00774AF7" w:rsidRPr="00AE2F09" w:rsidRDefault="00774AF7" w:rsidP="00FD7CD0">
            <w:pPr>
              <w:pStyle w:val="TableText0"/>
              <w:keepLines/>
              <w:widowControl w:val="0"/>
              <w:jc w:val="center"/>
              <w:rPr>
                <w:rFonts w:cs="Calibri"/>
                <w:szCs w:val="20"/>
              </w:rPr>
            </w:pPr>
            <w:r w:rsidRPr="00AE2F09">
              <w:rPr>
                <w:rFonts w:cs="Calibri"/>
                <w:szCs w:val="20"/>
              </w:rPr>
              <w:t>$</w:t>
            </w:r>
            <w:r w:rsidR="00EC6944" w:rsidRPr="00EC6944">
              <w:rPr>
                <w:rFonts w:cs="Calibri" w:hint="eastAsia"/>
                <w:color w:val="000000"/>
                <w:w w:val="29"/>
                <w:szCs w:val="20"/>
                <w:shd w:val="solid" w:color="000000" w:fill="000000"/>
                <w:fitText w:val="131" w:id="-1436265216"/>
                <w14:textFill>
                  <w14:solidFill>
                    <w14:srgbClr w14:val="000000">
                      <w14:alpha w14:val="100000"/>
                    </w14:srgbClr>
                  </w14:solidFill>
                </w14:textFill>
              </w:rPr>
              <w:t xml:space="preserve">　</w:t>
            </w:r>
            <w:r w:rsidR="00EC6944" w:rsidRPr="00EC6944">
              <w:rPr>
                <w:rFonts w:cs="Calibri"/>
                <w:color w:val="000000"/>
                <w:w w:val="29"/>
                <w:szCs w:val="20"/>
                <w:shd w:val="solid" w:color="000000" w:fill="000000"/>
                <w:fitText w:val="131" w:id="-1436265216"/>
                <w14:textFill>
                  <w14:solidFill>
                    <w14:srgbClr w14:val="000000">
                      <w14:alpha w14:val="100000"/>
                    </w14:srgbClr>
                  </w14:solidFill>
                </w14:textFill>
              </w:rPr>
              <w:t>|</w:t>
            </w:r>
            <w:r w:rsidR="00EC6944" w:rsidRPr="00EC6944">
              <w:rPr>
                <w:rFonts w:cs="Calibri" w:hint="eastAsia"/>
                <w:color w:val="000000"/>
                <w:spacing w:val="3"/>
                <w:w w:val="29"/>
                <w:szCs w:val="20"/>
                <w:shd w:val="solid" w:color="000000" w:fill="000000"/>
                <w:fitText w:val="131" w:id="-1436265216"/>
                <w14:textFill>
                  <w14:solidFill>
                    <w14:srgbClr w14:val="000000">
                      <w14:alpha w14:val="100000"/>
                    </w14:srgbClr>
                  </w14:solidFill>
                </w14:textFill>
              </w:rPr>
              <w:t xml:space="preserve">　</w:t>
            </w:r>
          </w:p>
        </w:tc>
        <w:tc>
          <w:tcPr>
            <w:tcW w:w="0" w:type="auto"/>
            <w:shd w:val="clear" w:color="auto" w:fill="FFFFFF" w:themeFill="background1"/>
            <w:vAlign w:val="center"/>
          </w:tcPr>
          <w:p w14:paraId="2824C058" w14:textId="77777777" w:rsidR="00774AF7" w:rsidRPr="00AE2F09" w:rsidRDefault="00774AF7" w:rsidP="00FD7CD0">
            <w:pPr>
              <w:pStyle w:val="TableText0"/>
              <w:keepLines/>
              <w:widowControl w:val="0"/>
              <w:jc w:val="center"/>
              <w:rPr>
                <w:rFonts w:cs="Calibri"/>
                <w:szCs w:val="20"/>
              </w:rPr>
            </w:pPr>
            <w:r w:rsidRPr="00AE2F09">
              <w:rPr>
                <w:rFonts w:cs="Calibri"/>
                <w:szCs w:val="20"/>
              </w:rPr>
              <w:t>11.98</w:t>
            </w:r>
          </w:p>
        </w:tc>
        <w:tc>
          <w:tcPr>
            <w:tcW w:w="0" w:type="auto"/>
            <w:shd w:val="clear" w:color="auto" w:fill="FFFFFF" w:themeFill="background1"/>
            <w:vAlign w:val="center"/>
          </w:tcPr>
          <w:p w14:paraId="24F3C756" w14:textId="77777777" w:rsidR="00774AF7" w:rsidRPr="00AE2F09" w:rsidRDefault="00774AF7" w:rsidP="00FD7CD0">
            <w:pPr>
              <w:pStyle w:val="TableText0"/>
              <w:keepLines/>
              <w:widowControl w:val="0"/>
              <w:jc w:val="center"/>
              <w:rPr>
                <w:rFonts w:cs="Calibri"/>
                <w:szCs w:val="20"/>
              </w:rPr>
            </w:pPr>
            <w:r w:rsidRPr="00AE2F09">
              <w:rPr>
                <w:rFonts w:cs="Calibri"/>
                <w:szCs w:val="20"/>
              </w:rPr>
              <w:t>8.77</w:t>
            </w:r>
          </w:p>
        </w:tc>
        <w:tc>
          <w:tcPr>
            <w:tcW w:w="0" w:type="auto"/>
            <w:shd w:val="clear" w:color="auto" w:fill="FFFFFF" w:themeFill="background1"/>
            <w:vAlign w:val="center"/>
          </w:tcPr>
          <w:p w14:paraId="37330024" w14:textId="77777777" w:rsidR="00774AF7" w:rsidRPr="00AE2F09" w:rsidRDefault="00774AF7" w:rsidP="00FD7CD0">
            <w:pPr>
              <w:pStyle w:val="TableText0"/>
              <w:keepLines/>
              <w:widowControl w:val="0"/>
              <w:jc w:val="center"/>
              <w:rPr>
                <w:rFonts w:cs="Calibri"/>
                <w:szCs w:val="20"/>
              </w:rPr>
            </w:pPr>
            <w:r w:rsidRPr="00AE2F09">
              <w:rPr>
                <w:rFonts w:cs="Calibri"/>
                <w:szCs w:val="20"/>
              </w:rPr>
              <w:t>3.21</w:t>
            </w:r>
          </w:p>
        </w:tc>
        <w:tc>
          <w:tcPr>
            <w:tcW w:w="0" w:type="auto"/>
            <w:shd w:val="clear" w:color="auto" w:fill="FFFFFF" w:themeFill="background1"/>
            <w:vAlign w:val="center"/>
          </w:tcPr>
          <w:p w14:paraId="3A992D03" w14:textId="194EADB1" w:rsidR="00774AF7" w:rsidRPr="00AE2F09" w:rsidRDefault="00774AF7" w:rsidP="00FD7CD0">
            <w:pPr>
              <w:pStyle w:val="TableText0"/>
              <w:keepLines/>
              <w:widowControl w:val="0"/>
              <w:jc w:val="center"/>
              <w:rPr>
                <w:rFonts w:cs="Calibri"/>
                <w:b/>
                <w:bCs w:val="0"/>
                <w:szCs w:val="20"/>
              </w:rPr>
            </w:pPr>
            <w:r w:rsidRPr="00AE2F09">
              <w:rPr>
                <w:rFonts w:cs="Calibri"/>
                <w:b/>
                <w:bCs w:val="0"/>
                <w:szCs w:val="20"/>
              </w:rPr>
              <w:t>$</w:t>
            </w:r>
            <w:r w:rsidR="00EC6944" w:rsidRPr="00EC6944">
              <w:rPr>
                <w:rFonts w:cs="Calibri"/>
                <w:b/>
                <w:bCs w:val="0"/>
                <w:color w:val="000000"/>
                <w:spacing w:val="43"/>
                <w:szCs w:val="20"/>
                <w:shd w:val="solid" w:color="000000" w:fill="000000"/>
                <w:fitText w:val="224" w:id="-1436265215"/>
                <w14:textFill>
                  <w14:solidFill>
                    <w14:srgbClr w14:val="000000">
                      <w14:alpha w14:val="100000"/>
                    </w14:srgbClr>
                  </w14:solidFill>
                </w14:textFill>
              </w:rPr>
              <w:t>||</w:t>
            </w:r>
            <w:r w:rsidR="00EC6944" w:rsidRPr="00EC6944">
              <w:rPr>
                <w:rFonts w:cs="Calibri"/>
                <w:b/>
                <w:bCs w:val="0"/>
                <w:color w:val="000000"/>
                <w:spacing w:val="1"/>
                <w:szCs w:val="20"/>
                <w:shd w:val="solid" w:color="000000" w:fill="000000"/>
                <w:fitText w:val="224" w:id="-1436265215"/>
                <w14:textFill>
                  <w14:solidFill>
                    <w14:srgbClr w14:val="000000">
                      <w14:alpha w14:val="100000"/>
                    </w14:srgbClr>
                  </w14:solidFill>
                </w14:textFill>
              </w:rPr>
              <w:t>|</w:t>
            </w:r>
            <w:r w:rsidR="00DA23EE">
              <w:rPr>
                <w:rFonts w:cs="Calibri"/>
                <w:b/>
                <w:bCs w:val="0"/>
                <w:szCs w:val="20"/>
                <w:vertAlign w:val="superscript"/>
              </w:rPr>
              <w:t>2</w:t>
            </w:r>
            <w:r w:rsidRPr="00AE2F09">
              <w:rPr>
                <w:rFonts w:cs="Calibri"/>
                <w:b/>
                <w:bCs w:val="0"/>
                <w:szCs w:val="20"/>
              </w:rPr>
              <w:t xml:space="preserve"> per QALY</w:t>
            </w:r>
          </w:p>
        </w:tc>
      </w:tr>
    </w:tbl>
    <w:p w14:paraId="5034CF90" w14:textId="157A99DA" w:rsidR="00A84E02" w:rsidRDefault="00A84E02" w:rsidP="00774AF7">
      <w:pPr>
        <w:pStyle w:val="TableFigureFooter"/>
        <w:keepNext/>
        <w:keepLines/>
      </w:pPr>
      <w:r>
        <w:t>Source: Table 3.8-2</w:t>
      </w:r>
      <w:r w:rsidR="00CC16BC">
        <w:t xml:space="preserve"> (</w:t>
      </w:r>
      <w:r>
        <w:t>p305</w:t>
      </w:r>
      <w:r w:rsidR="00CC16BC">
        <w:t xml:space="preserve">) </w:t>
      </w:r>
      <w:r>
        <w:t>of the submission</w:t>
      </w:r>
    </w:p>
    <w:p w14:paraId="10329685" w14:textId="5B79ED19" w:rsidR="00774AF7" w:rsidRDefault="00774AF7" w:rsidP="006A612C">
      <w:pPr>
        <w:pStyle w:val="TableFigureFooter"/>
        <w:keepNext/>
        <w:keepLines/>
        <w:spacing w:after="240"/>
      </w:pPr>
      <w:r w:rsidRPr="00AE2F09">
        <w:t>ICER = incremental cost-effectiveness ratio; Phe = phenylalanine; QALY = quality-adjusted life year</w:t>
      </w:r>
    </w:p>
    <w:p w14:paraId="1280E521" w14:textId="77777777" w:rsidR="00DA23EE" w:rsidRPr="00CC64AE" w:rsidRDefault="00DA23EE" w:rsidP="00DA23EE">
      <w:pPr>
        <w:pStyle w:val="TableFigureFooter"/>
        <w:keepNext/>
        <w:spacing w:after="0"/>
        <w:contextualSpacing w:val="0"/>
        <w:rPr>
          <w:i/>
        </w:rPr>
      </w:pPr>
      <w:r w:rsidRPr="00CC64AE">
        <w:rPr>
          <w:i/>
        </w:rPr>
        <w:t>The redacted values correspond to the following ranges:</w:t>
      </w:r>
    </w:p>
    <w:p w14:paraId="75E2EFA3" w14:textId="33C0C51E" w:rsidR="00DA23EE" w:rsidRPr="00281DAB" w:rsidRDefault="00DA23EE" w:rsidP="00DA23EE">
      <w:pPr>
        <w:pStyle w:val="TableFigureFooter"/>
        <w:keepNext/>
        <w:spacing w:after="0"/>
        <w:contextualSpacing w:val="0"/>
      </w:pPr>
      <w:r w:rsidRPr="00CC64AE">
        <w:rPr>
          <w:i/>
          <w:szCs w:val="18"/>
          <w:vertAlign w:val="superscript"/>
        </w:rPr>
        <w:t>1</w:t>
      </w:r>
      <w:r w:rsidRPr="00CC64AE">
        <w:rPr>
          <w:i/>
          <w:szCs w:val="18"/>
        </w:rPr>
        <w:t xml:space="preserve"> </w:t>
      </w:r>
      <w:r w:rsidRPr="00DA23EE">
        <w:rPr>
          <w:i/>
          <w:szCs w:val="18"/>
        </w:rPr>
        <w:t>$</w:t>
      </w:r>
      <w:r>
        <w:rPr>
          <w:i/>
          <w:szCs w:val="18"/>
        </w:rPr>
        <w:t>3</w:t>
      </w:r>
      <w:r w:rsidRPr="00DA23EE">
        <w:rPr>
          <w:i/>
          <w:szCs w:val="18"/>
        </w:rPr>
        <w:t>55,000 to &lt; $</w:t>
      </w:r>
      <w:r>
        <w:rPr>
          <w:i/>
          <w:szCs w:val="18"/>
        </w:rPr>
        <w:t>4</w:t>
      </w:r>
      <w:r w:rsidRPr="00DA23EE">
        <w:rPr>
          <w:i/>
          <w:szCs w:val="18"/>
        </w:rPr>
        <w:t>55,000</w:t>
      </w:r>
    </w:p>
    <w:p w14:paraId="1E103974" w14:textId="1E1943B8" w:rsidR="00DA23EE" w:rsidRPr="00DA23EE" w:rsidRDefault="00DA23EE" w:rsidP="00DA23EE">
      <w:pPr>
        <w:pStyle w:val="TableFigureFooter"/>
        <w:keepNext/>
        <w:spacing w:after="0"/>
        <w:contextualSpacing w:val="0"/>
      </w:pPr>
      <w:r w:rsidRPr="00CC64AE">
        <w:rPr>
          <w:i/>
          <w:szCs w:val="18"/>
          <w:vertAlign w:val="superscript"/>
        </w:rPr>
        <w:t>2</w:t>
      </w:r>
      <w:r w:rsidRPr="00CC64AE">
        <w:rPr>
          <w:i/>
          <w:szCs w:val="18"/>
        </w:rPr>
        <w:t xml:space="preserve"> </w:t>
      </w:r>
      <w:r w:rsidRPr="00DA23EE">
        <w:rPr>
          <w:i/>
          <w:szCs w:val="18"/>
        </w:rPr>
        <w:t>$655,000 to &lt; $755,000</w:t>
      </w:r>
    </w:p>
    <w:p w14:paraId="5EFF27B4" w14:textId="77777777" w:rsidR="00DA23EE" w:rsidRPr="00CC64AE" w:rsidRDefault="00DA23EE" w:rsidP="00DA23EE">
      <w:pPr>
        <w:rPr>
          <w:rFonts w:ascii="Arial Narrow" w:hAnsi="Arial Narrow"/>
          <w:i/>
          <w:sz w:val="18"/>
          <w:szCs w:val="18"/>
        </w:rPr>
      </w:pPr>
    </w:p>
    <w:p w14:paraId="3231D339" w14:textId="2B52AB06" w:rsidR="001134F5" w:rsidRPr="000764C2" w:rsidRDefault="00A67132" w:rsidP="001134F5">
      <w:pPr>
        <w:pStyle w:val="3-BodyText"/>
      </w:pPr>
      <w:bookmarkStart w:id="79" w:name="_Hlk106029922"/>
      <w:r w:rsidRPr="000764C2">
        <w:t xml:space="preserve">The </w:t>
      </w:r>
      <w:r w:rsidR="00CF0B3C" w:rsidRPr="000764C2">
        <w:t>submission calculated the ICER using the mean of the costs and the mean of the QALYs</w:t>
      </w:r>
      <w:r w:rsidR="00BD2576" w:rsidRPr="000764C2">
        <w:t xml:space="preserve"> from the microsimulation</w:t>
      </w:r>
      <w:bookmarkStart w:id="80" w:name="_Hlk106699766"/>
      <w:r w:rsidR="00CF0B3C" w:rsidRPr="000764C2">
        <w:t>. However, the evaluation noted that the</w:t>
      </w:r>
      <w:r w:rsidR="00732208" w:rsidRPr="000764C2">
        <w:t>re was substantial variation in the</w:t>
      </w:r>
      <w:r w:rsidR="00CF0B3C" w:rsidRPr="000764C2">
        <w:t xml:space="preserve"> ICER</w:t>
      </w:r>
      <w:bookmarkEnd w:id="80"/>
      <w:r w:rsidR="00CF0B3C" w:rsidRPr="000764C2">
        <w:t xml:space="preserve"> (</w:t>
      </w:r>
      <w:r w:rsidR="00732208" w:rsidRPr="000764C2">
        <w:t xml:space="preserve">increasing up to </w:t>
      </w:r>
      <w:r w:rsidR="0046725A" w:rsidRPr="0046725A">
        <w:t>&gt;</w:t>
      </w:r>
      <w:r w:rsidR="0046725A">
        <w:t> </w:t>
      </w:r>
      <w:r w:rsidR="0046725A" w:rsidRPr="0046725A">
        <w:t>$1,055,000</w:t>
      </w:r>
      <w:r w:rsidR="00CF0B3C" w:rsidRPr="000764C2">
        <w:t xml:space="preserve">/QALY) </w:t>
      </w:r>
      <w:bookmarkStart w:id="81" w:name="_Hlk106699798"/>
      <w:r w:rsidR="00732208" w:rsidRPr="000764C2">
        <w:t>when considering</w:t>
      </w:r>
      <w:r w:rsidR="00CF0B3C" w:rsidRPr="000764C2">
        <w:t xml:space="preserve"> the mean of all the ICERs generated in 5,000 iterations of the model. </w:t>
      </w:r>
      <w:bookmarkEnd w:id="81"/>
      <w:r w:rsidR="00CF0B3C" w:rsidRPr="000764C2">
        <w:t xml:space="preserve">The ESC considered that this indicated the </w:t>
      </w:r>
      <w:r w:rsidR="0053039F" w:rsidRPr="000764C2">
        <w:t>substantial variability and uncertainty in the model outcomes</w:t>
      </w:r>
      <w:r w:rsidR="00465E08" w:rsidRPr="000764C2">
        <w:t xml:space="preserve">, due to factors such as the limitations of the underlying clinical data </w:t>
      </w:r>
      <w:r w:rsidR="00C66579" w:rsidRPr="000764C2">
        <w:t>(e.g. there was a large amount of variance in the clinical data and thus</w:t>
      </w:r>
      <w:r w:rsidR="00465E08" w:rsidRPr="000764C2">
        <w:t xml:space="preserve"> poor fit of the data to the regression</w:t>
      </w:r>
      <w:r w:rsidR="00C66579" w:rsidRPr="000764C2">
        <w:t xml:space="preserve"> equations applied for estimating blood</w:t>
      </w:r>
      <w:r w:rsidR="006A612C">
        <w:t xml:space="preserve"> </w:t>
      </w:r>
      <w:r w:rsidR="00C66579" w:rsidRPr="000764C2">
        <w:t>Phe levels in the pegvaliase arm)</w:t>
      </w:r>
      <w:r w:rsidR="0053039F" w:rsidRPr="000764C2">
        <w:t>. This variability</w:t>
      </w:r>
      <w:r w:rsidR="001134F5" w:rsidRPr="000764C2">
        <w:t xml:space="preserve"> is also indicated in</w:t>
      </w:r>
      <w:r w:rsidR="0053039F" w:rsidRPr="000764C2">
        <w:t xml:space="preserve"> </w:t>
      </w:r>
      <w:r w:rsidR="001134F5" w:rsidRPr="000764C2">
        <w:fldChar w:fldCharType="begin"/>
      </w:r>
      <w:r w:rsidR="001134F5" w:rsidRPr="000764C2">
        <w:instrText xml:space="preserve"> REF _Ref103515715 \h  \* MERGEFORMAT </w:instrText>
      </w:r>
      <w:r w:rsidR="001134F5" w:rsidRPr="000764C2">
        <w:fldChar w:fldCharType="separate"/>
      </w:r>
      <w:r w:rsidR="001162C8" w:rsidRPr="001162C8">
        <w:t>Figure 5</w:t>
      </w:r>
      <w:r w:rsidR="001134F5" w:rsidRPr="000764C2">
        <w:fldChar w:fldCharType="end"/>
      </w:r>
      <w:r w:rsidR="001134F5" w:rsidRPr="000764C2">
        <w:t>, which shows the ICER scatterplot of the model over 5,000 iterations, with each datapoint representing the incremental cost and incremental QALY reported for one iteration (i.e.</w:t>
      </w:r>
      <w:r w:rsidR="006A612C">
        <w:t>,</w:t>
      </w:r>
      <w:r w:rsidR="001134F5" w:rsidRPr="000764C2">
        <w:t xml:space="preserve"> one patient). </w:t>
      </w:r>
    </w:p>
    <w:p w14:paraId="138E504E" w14:textId="0EF45799" w:rsidR="00D64C7B" w:rsidRPr="00AE2F09" w:rsidRDefault="00D64C7B" w:rsidP="001134F5">
      <w:pPr>
        <w:pStyle w:val="Caption"/>
        <w:keepNext/>
        <w:keepLines/>
        <w:spacing w:after="0"/>
        <w:rPr>
          <w:rStyle w:val="CommentReference"/>
          <w:bCs w:val="0"/>
          <w:color w:val="auto"/>
          <w:szCs w:val="24"/>
        </w:rPr>
      </w:pPr>
      <w:bookmarkStart w:id="82" w:name="_Ref103515715"/>
      <w:bookmarkEnd w:id="79"/>
      <w:r w:rsidRPr="00AE2F09">
        <w:rPr>
          <w:rStyle w:val="CommentReference"/>
          <w:b/>
          <w:bCs w:val="0"/>
          <w:color w:val="auto"/>
          <w:szCs w:val="24"/>
        </w:rPr>
        <w:t xml:space="preserve">Figure </w:t>
      </w:r>
      <w:r w:rsidRPr="00AE2F09">
        <w:rPr>
          <w:rStyle w:val="CommentReference"/>
          <w:b/>
          <w:bCs w:val="0"/>
          <w:color w:val="auto"/>
          <w:szCs w:val="24"/>
        </w:rPr>
        <w:fldChar w:fldCharType="begin"/>
      </w:r>
      <w:r w:rsidRPr="00AE2F09">
        <w:rPr>
          <w:rStyle w:val="CommentReference"/>
          <w:b/>
          <w:bCs w:val="0"/>
          <w:color w:val="auto"/>
          <w:szCs w:val="24"/>
        </w:rPr>
        <w:instrText xml:space="preserve"> SEQ Figure \* ARABIC </w:instrText>
      </w:r>
      <w:r w:rsidRPr="00AE2F09">
        <w:rPr>
          <w:rStyle w:val="CommentReference"/>
          <w:b/>
          <w:bCs w:val="0"/>
          <w:color w:val="auto"/>
          <w:szCs w:val="24"/>
        </w:rPr>
        <w:fldChar w:fldCharType="separate"/>
      </w:r>
      <w:r w:rsidR="001162C8">
        <w:rPr>
          <w:rStyle w:val="CommentReference"/>
          <w:b/>
          <w:bCs w:val="0"/>
          <w:noProof/>
          <w:color w:val="auto"/>
          <w:szCs w:val="24"/>
        </w:rPr>
        <w:t>5</w:t>
      </w:r>
      <w:r w:rsidRPr="00AE2F09">
        <w:rPr>
          <w:rStyle w:val="CommentReference"/>
          <w:b/>
          <w:bCs w:val="0"/>
          <w:color w:val="auto"/>
          <w:szCs w:val="24"/>
        </w:rPr>
        <w:fldChar w:fldCharType="end"/>
      </w:r>
      <w:bookmarkEnd w:id="82"/>
      <w:r w:rsidR="009163E8" w:rsidRPr="00AE2F09">
        <w:rPr>
          <w:rStyle w:val="CommentReference"/>
          <w:b/>
          <w:bCs w:val="0"/>
          <w:color w:val="auto"/>
          <w:szCs w:val="24"/>
        </w:rPr>
        <w:t>:</w:t>
      </w:r>
      <w:r w:rsidRPr="00AE2F09">
        <w:rPr>
          <w:rStyle w:val="CommentReference"/>
          <w:b/>
          <w:bCs w:val="0"/>
          <w:color w:val="auto"/>
          <w:szCs w:val="24"/>
        </w:rPr>
        <w:t xml:space="preserve"> Scatter plot of incremental cost vs incremental QALY over 5,000 iterations</w:t>
      </w:r>
    </w:p>
    <w:p w14:paraId="68D608E6" w14:textId="098CDD06" w:rsidR="00D64C7B" w:rsidRPr="00AE2F09" w:rsidRDefault="006B671B" w:rsidP="001134F5">
      <w:pPr>
        <w:pStyle w:val="3-BodyText"/>
        <w:keepNext/>
        <w:keepLines/>
        <w:numPr>
          <w:ilvl w:val="0"/>
          <w:numId w:val="0"/>
        </w:numPr>
        <w:ind w:left="720" w:hanging="720"/>
      </w:pPr>
      <w:r>
        <w:rPr>
          <w:noProof/>
          <w:snapToGrid/>
        </w:rPr>
        <mc:AlternateContent>
          <mc:Choice Requires="wps">
            <w:drawing>
              <wp:inline distT="0" distB="0" distL="0" distR="0" wp14:anchorId="38B797AC" wp14:editId="00CF3027">
                <wp:extent cx="5188966" cy="2955290"/>
                <wp:effectExtent l="0" t="0" r="12065" b="16510"/>
                <wp:docPr id="17" name="Rectangle 17" descr="Redacted Figure 5: Scatter plot of incremental cost vs incremental QALY over 5,000 iterations"/>
                <wp:cNvGraphicFramePr/>
                <a:graphic xmlns:a="http://schemas.openxmlformats.org/drawingml/2006/main">
                  <a:graphicData uri="http://schemas.microsoft.com/office/word/2010/wordprocessingShape">
                    <wps:wsp>
                      <wps:cNvSpPr/>
                      <wps:spPr>
                        <a:xfrm>
                          <a:off x="0" y="0"/>
                          <a:ext cx="5188966" cy="295529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3492846" id="Rectangle 17" o:spid="_x0000_s1026" alt="Redacted Figure 5: Scatter plot of incremental cost vs incremental QALY over 5,000 iterations" style="width:408.6pt;height:23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" fillcolor="black [3200]" strokecolor="black [1600]" strokeweight="2pt">
                <w10:anchorlock/>
              </v:rect>
            </w:pict>
          </mc:Fallback>
        </mc:AlternateContent>
      </w:r>
    </w:p>
    <w:p w14:paraId="4F071530" w14:textId="4C513E8C" w:rsidR="00D64C7B" w:rsidRDefault="00D662BF" w:rsidP="00011EAC">
      <w:pPr>
        <w:pStyle w:val="3-BodyText"/>
        <w:keepNext/>
        <w:keepLines/>
        <w:numPr>
          <w:ilvl w:val="0"/>
          <w:numId w:val="0"/>
        </w:numPr>
        <w:spacing w:after="0"/>
        <w:ind w:left="720" w:hanging="720"/>
        <w:rPr>
          <w:rFonts w:ascii="Arial Narrow" w:hAnsi="Arial Narrow"/>
          <w:sz w:val="18"/>
          <w:szCs w:val="18"/>
        </w:rPr>
      </w:pPr>
      <w:r w:rsidRPr="00AE2F09">
        <w:rPr>
          <w:rFonts w:ascii="Arial Narrow" w:hAnsi="Arial Narrow"/>
          <w:sz w:val="18"/>
          <w:szCs w:val="18"/>
        </w:rPr>
        <w:t xml:space="preserve">Source: </w:t>
      </w:r>
      <w:r w:rsidR="00B75228">
        <w:rPr>
          <w:rFonts w:ascii="Arial Narrow" w:hAnsi="Arial Narrow"/>
          <w:sz w:val="18"/>
          <w:szCs w:val="18"/>
        </w:rPr>
        <w:t>C</w:t>
      </w:r>
      <w:r w:rsidRPr="00AE2F09">
        <w:rPr>
          <w:rFonts w:ascii="Arial Narrow" w:hAnsi="Arial Narrow"/>
          <w:sz w:val="18"/>
          <w:szCs w:val="18"/>
        </w:rPr>
        <w:t xml:space="preserve">onstructed during </w:t>
      </w:r>
      <w:r w:rsidR="00B75228">
        <w:rPr>
          <w:rFonts w:ascii="Arial Narrow" w:hAnsi="Arial Narrow"/>
          <w:sz w:val="18"/>
          <w:szCs w:val="18"/>
        </w:rPr>
        <w:t xml:space="preserve">the </w:t>
      </w:r>
      <w:r w:rsidRPr="00AE2F09">
        <w:rPr>
          <w:rFonts w:ascii="Arial Narrow" w:hAnsi="Arial Narrow"/>
          <w:sz w:val="18"/>
          <w:szCs w:val="18"/>
        </w:rPr>
        <w:t>evaluation</w:t>
      </w:r>
    </w:p>
    <w:p w14:paraId="63D9663C" w14:textId="77777777" w:rsidR="00011EAC" w:rsidRPr="00AE2F09" w:rsidRDefault="00011EAC" w:rsidP="00011EAC">
      <w:pPr>
        <w:pStyle w:val="3-BodyText"/>
        <w:keepNext/>
        <w:keepLines/>
        <w:numPr>
          <w:ilvl w:val="0"/>
          <w:numId w:val="0"/>
        </w:numPr>
        <w:spacing w:after="0"/>
        <w:ind w:left="720" w:hanging="720"/>
        <w:rPr>
          <w:rFonts w:ascii="Arial Narrow" w:hAnsi="Arial Narrow"/>
          <w:sz w:val="18"/>
          <w:szCs w:val="18"/>
        </w:rPr>
      </w:pPr>
    </w:p>
    <w:p w14:paraId="6B287B65" w14:textId="4AA848E3" w:rsidR="001134F5" w:rsidRPr="00AE2F09" w:rsidRDefault="0053039F" w:rsidP="0080514F">
      <w:pPr>
        <w:pStyle w:val="3-BodyText"/>
      </w:pPr>
      <w:r>
        <w:t>The ICER scatterplot</w:t>
      </w:r>
      <w:r w:rsidRPr="00AE2F09">
        <w:t xml:space="preserve"> shows that in the majority of patients, the incremental cost was above the </w:t>
      </w:r>
      <w:r w:rsidR="0046725A" w:rsidRPr="0046725A">
        <w:t>&gt;</w:t>
      </w:r>
      <w:r w:rsidR="0046725A">
        <w:t> </w:t>
      </w:r>
      <w:r w:rsidR="0046725A" w:rsidRPr="0046725A">
        <w:t>$1,055,000</w:t>
      </w:r>
      <w:r w:rsidR="0046725A">
        <w:t xml:space="preserve"> </w:t>
      </w:r>
      <w:r w:rsidRPr="00AE2F09">
        <w:t xml:space="preserve">proposed in the base case, and that a substantial number of iterations had an ICER above the base case ICER as reflected by the number of data points to the left of the willingness to pay line set to the base case ICER of </w:t>
      </w:r>
      <w:r w:rsidR="00011EAC" w:rsidRPr="00011EAC">
        <w:rPr>
          <w:iCs/>
        </w:rPr>
        <w:t>$655,000 to &lt; $755,000</w:t>
      </w:r>
      <w:r w:rsidRPr="00011EAC">
        <w:rPr>
          <w:iCs/>
        </w:rPr>
        <w:t>/</w:t>
      </w:r>
      <w:r w:rsidRPr="00AE2F09">
        <w:t xml:space="preserve">QALY. The cluster of data points near the origin (0,0) </w:t>
      </w:r>
      <w:r w:rsidR="00A611A1">
        <w:t>represents</w:t>
      </w:r>
      <w:r w:rsidRPr="00AE2F09">
        <w:t xml:space="preserve"> non-responders in the model.</w:t>
      </w:r>
      <w:r>
        <w:t xml:space="preserve"> </w:t>
      </w:r>
      <w:r w:rsidR="00FA5AC0">
        <w:t>In addition, a</w:t>
      </w:r>
      <w:r w:rsidR="003E15E1" w:rsidRPr="00AE2F09">
        <w:t xml:space="preserve"> number of the QALY results were negative – that is, </w:t>
      </w:r>
      <w:r w:rsidR="00475B6B">
        <w:t>treatment</w:t>
      </w:r>
      <w:r w:rsidR="003E15E1" w:rsidRPr="00AE2F09">
        <w:t xml:space="preserve"> with pegvaliase was correlated with worse outcomes.</w:t>
      </w:r>
      <w:r w:rsidR="001134F5">
        <w:t xml:space="preserve"> </w:t>
      </w:r>
    </w:p>
    <w:p w14:paraId="47935252" w14:textId="0959D81D" w:rsidR="00774AF7" w:rsidRPr="00AE2F09" w:rsidRDefault="00B96D70" w:rsidP="00774AF7">
      <w:pPr>
        <w:pStyle w:val="3-BodyText"/>
      </w:pPr>
      <w:r w:rsidRPr="00AE2F09">
        <w:fldChar w:fldCharType="begin"/>
      </w:r>
      <w:r w:rsidRPr="00AE2F09">
        <w:instrText xml:space="preserve"> REF _Ref103057662 \h  \* MERGEFORMAT </w:instrText>
      </w:r>
      <w:r w:rsidRPr="00AE2F09">
        <w:fldChar w:fldCharType="separate"/>
      </w:r>
      <w:r w:rsidR="001162C8" w:rsidRPr="001162C8">
        <w:t>Table 17</w:t>
      </w:r>
      <w:r w:rsidRPr="00AE2F09">
        <w:fldChar w:fldCharType="end"/>
      </w:r>
      <w:r w:rsidRPr="00AE2F09">
        <w:t xml:space="preserve"> </w:t>
      </w:r>
      <w:r w:rsidR="00774AF7" w:rsidRPr="00AE2F09">
        <w:t>presents the results of univariate sensitivity analyses.</w:t>
      </w:r>
    </w:p>
    <w:p w14:paraId="79C9E083" w14:textId="170637FA" w:rsidR="00774AF7" w:rsidRPr="00AE2F09" w:rsidRDefault="00B96D70" w:rsidP="00B96D70">
      <w:pPr>
        <w:pStyle w:val="TableFigureHeading"/>
        <w:keepLines/>
        <w:rPr>
          <w:rStyle w:val="CommentReference"/>
          <w:b/>
          <w:bCs w:val="0"/>
          <w:szCs w:val="24"/>
        </w:rPr>
      </w:pPr>
      <w:bookmarkStart w:id="83" w:name="_Ref103057662"/>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17</w:t>
      </w:r>
      <w:r w:rsidRPr="00AE2F09">
        <w:rPr>
          <w:rStyle w:val="CommentReference"/>
          <w:b/>
          <w:bCs w:val="0"/>
          <w:szCs w:val="24"/>
        </w:rPr>
        <w:fldChar w:fldCharType="end"/>
      </w:r>
      <w:bookmarkEnd w:id="83"/>
      <w:r w:rsidR="00774AF7" w:rsidRPr="00AE2F09">
        <w:rPr>
          <w:rStyle w:val="CommentReference"/>
          <w:b/>
          <w:bCs w:val="0"/>
          <w:szCs w:val="24"/>
        </w:rPr>
        <w:t xml:space="preserve">: </w:t>
      </w:r>
      <w:r w:rsidRPr="00AE2F09">
        <w:rPr>
          <w:rStyle w:val="CommentReference"/>
          <w:b/>
          <w:bCs w:val="0"/>
          <w:szCs w:val="24"/>
        </w:rPr>
        <w:t xml:space="preserve">Univariate </w:t>
      </w:r>
      <w:r w:rsidR="00774AF7" w:rsidRPr="00AE2F09">
        <w:rPr>
          <w:rStyle w:val="CommentReference"/>
          <w:b/>
          <w:bCs w:val="0"/>
          <w:szCs w:val="24"/>
        </w:rPr>
        <w:t>sensitivity analyses</w:t>
      </w:r>
      <w:r w:rsidRPr="00AE2F09">
        <w:rPr>
          <w:rStyle w:val="CommentReference"/>
          <w:b/>
          <w:bCs w:val="0"/>
          <w:szCs w:val="24"/>
        </w:rPr>
        <w:t xml:space="preserve"> around </w:t>
      </w:r>
      <w:r w:rsidR="00955E81" w:rsidRPr="00AE2F09">
        <w:rPr>
          <w:rStyle w:val="CommentReference"/>
          <w:b/>
          <w:bCs w:val="0"/>
          <w:szCs w:val="24"/>
        </w:rPr>
        <w:t xml:space="preserve">economic evaluation </w:t>
      </w:r>
    </w:p>
    <w:tbl>
      <w:tblPr>
        <w:tblStyle w:val="TableGrid"/>
        <w:tblW w:w="0" w:type="auto"/>
        <w:tblLook w:val="04A0" w:firstRow="1" w:lastRow="0" w:firstColumn="1" w:lastColumn="0" w:noHBand="0" w:noVBand="1"/>
      </w:tblPr>
      <w:tblGrid>
        <w:gridCol w:w="4312"/>
        <w:gridCol w:w="1218"/>
        <w:gridCol w:w="1137"/>
        <w:gridCol w:w="1268"/>
        <w:gridCol w:w="1081"/>
      </w:tblGrid>
      <w:tr w:rsidR="00B96D70" w:rsidRPr="00AE2F09" w14:paraId="45B4894F" w14:textId="77777777" w:rsidTr="00FD7CD0">
        <w:tc>
          <w:tcPr>
            <w:tcW w:w="4312" w:type="dxa"/>
            <w:tcBorders>
              <w:bottom w:val="double" w:sz="4" w:space="0" w:color="auto"/>
            </w:tcBorders>
          </w:tcPr>
          <w:p w14:paraId="50B701CB" w14:textId="77777777" w:rsidR="00774AF7" w:rsidRPr="00AE2F09" w:rsidRDefault="00774AF7" w:rsidP="00FD7CD0">
            <w:pPr>
              <w:keepNext/>
              <w:keepLines/>
              <w:rPr>
                <w:rFonts w:ascii="Arial Narrow" w:hAnsi="Arial Narrow"/>
                <w:sz w:val="20"/>
                <w:szCs w:val="20"/>
              </w:rPr>
            </w:pPr>
          </w:p>
        </w:tc>
        <w:tc>
          <w:tcPr>
            <w:tcW w:w="1218" w:type="dxa"/>
            <w:tcBorders>
              <w:bottom w:val="double" w:sz="4" w:space="0" w:color="auto"/>
            </w:tcBorders>
          </w:tcPr>
          <w:p w14:paraId="17CC9A7F" w14:textId="77777777" w:rsidR="00774AF7" w:rsidRPr="00AE2F09" w:rsidRDefault="00774AF7" w:rsidP="00FD7CD0">
            <w:pPr>
              <w:keepNext/>
              <w:keepLines/>
              <w:rPr>
                <w:rFonts w:ascii="Arial Narrow" w:hAnsi="Arial Narrow"/>
                <w:b/>
                <w:bCs/>
                <w:sz w:val="20"/>
                <w:szCs w:val="20"/>
              </w:rPr>
            </w:pPr>
            <w:r w:rsidRPr="00AE2F09">
              <w:rPr>
                <w:rFonts w:ascii="Arial Narrow" w:hAnsi="Arial Narrow"/>
                <w:b/>
                <w:bCs/>
                <w:sz w:val="20"/>
                <w:szCs w:val="20"/>
              </w:rPr>
              <w:t>Incremental Cost</w:t>
            </w:r>
          </w:p>
        </w:tc>
        <w:tc>
          <w:tcPr>
            <w:tcW w:w="1137" w:type="dxa"/>
            <w:tcBorders>
              <w:bottom w:val="double" w:sz="4" w:space="0" w:color="auto"/>
            </w:tcBorders>
          </w:tcPr>
          <w:p w14:paraId="1F4FB422" w14:textId="77777777" w:rsidR="00774AF7" w:rsidRPr="00AE2F09" w:rsidRDefault="00774AF7" w:rsidP="00FD7CD0">
            <w:pPr>
              <w:keepNext/>
              <w:keepLines/>
              <w:rPr>
                <w:rFonts w:ascii="Arial Narrow" w:hAnsi="Arial Narrow"/>
                <w:b/>
                <w:bCs/>
                <w:sz w:val="20"/>
                <w:szCs w:val="20"/>
              </w:rPr>
            </w:pPr>
            <w:r w:rsidRPr="00AE2F09">
              <w:rPr>
                <w:rFonts w:ascii="Arial Narrow" w:hAnsi="Arial Narrow"/>
                <w:b/>
                <w:bCs/>
                <w:sz w:val="20"/>
                <w:szCs w:val="20"/>
              </w:rPr>
              <w:t>Incremental QALY</w:t>
            </w:r>
          </w:p>
        </w:tc>
        <w:tc>
          <w:tcPr>
            <w:tcW w:w="1268" w:type="dxa"/>
            <w:tcBorders>
              <w:bottom w:val="double" w:sz="4" w:space="0" w:color="auto"/>
            </w:tcBorders>
          </w:tcPr>
          <w:p w14:paraId="4FBE4674" w14:textId="77777777" w:rsidR="00774AF7" w:rsidRPr="00AE2F09" w:rsidRDefault="00774AF7" w:rsidP="00FD7CD0">
            <w:pPr>
              <w:keepNext/>
              <w:keepLines/>
              <w:rPr>
                <w:rFonts w:ascii="Arial Narrow" w:hAnsi="Arial Narrow"/>
                <w:b/>
                <w:bCs/>
                <w:sz w:val="20"/>
                <w:szCs w:val="20"/>
              </w:rPr>
            </w:pPr>
            <w:r w:rsidRPr="00AE2F09">
              <w:rPr>
                <w:rFonts w:ascii="Arial Narrow" w:hAnsi="Arial Narrow"/>
                <w:b/>
                <w:bCs/>
                <w:sz w:val="20"/>
                <w:szCs w:val="20"/>
              </w:rPr>
              <w:t>ICER ($/QALY)</w:t>
            </w:r>
          </w:p>
        </w:tc>
        <w:tc>
          <w:tcPr>
            <w:tcW w:w="1081" w:type="dxa"/>
            <w:tcBorders>
              <w:bottom w:val="double" w:sz="4" w:space="0" w:color="auto"/>
            </w:tcBorders>
          </w:tcPr>
          <w:p w14:paraId="51A1C2A1" w14:textId="77777777" w:rsidR="00774AF7" w:rsidRPr="00AE2F09" w:rsidRDefault="00774AF7" w:rsidP="00FD7CD0">
            <w:pPr>
              <w:keepNext/>
              <w:keepLines/>
              <w:rPr>
                <w:rFonts w:ascii="Arial Narrow" w:hAnsi="Arial Narrow"/>
                <w:b/>
                <w:bCs/>
                <w:sz w:val="20"/>
                <w:szCs w:val="20"/>
              </w:rPr>
            </w:pPr>
            <w:r w:rsidRPr="00AE2F09">
              <w:rPr>
                <w:rFonts w:ascii="Arial Narrow" w:hAnsi="Arial Narrow"/>
                <w:b/>
                <w:bCs/>
                <w:sz w:val="20"/>
                <w:szCs w:val="20"/>
              </w:rPr>
              <w:t>Change from baseline</w:t>
            </w:r>
          </w:p>
        </w:tc>
      </w:tr>
      <w:tr w:rsidR="00B96D70" w:rsidRPr="00AE2F09" w14:paraId="5615B836" w14:textId="77777777" w:rsidTr="00FD7CD0">
        <w:tc>
          <w:tcPr>
            <w:tcW w:w="9016" w:type="dxa"/>
            <w:gridSpan w:val="5"/>
            <w:tcBorders>
              <w:top w:val="double" w:sz="4" w:space="0" w:color="auto"/>
              <w:bottom w:val="double" w:sz="4" w:space="0" w:color="auto"/>
            </w:tcBorders>
          </w:tcPr>
          <w:p w14:paraId="3A0467FA" w14:textId="77777777" w:rsidR="00774AF7" w:rsidRPr="00AE2F09" w:rsidRDefault="00774AF7" w:rsidP="00FD7CD0">
            <w:pPr>
              <w:keepNext/>
              <w:keepLines/>
              <w:rPr>
                <w:rFonts w:ascii="Arial Narrow" w:hAnsi="Arial Narrow"/>
                <w:sz w:val="20"/>
                <w:szCs w:val="20"/>
              </w:rPr>
            </w:pPr>
            <w:r w:rsidRPr="00AE2F09">
              <w:rPr>
                <w:rFonts w:ascii="Arial Narrow" w:hAnsi="Arial Narrow"/>
                <w:b/>
                <w:bCs/>
                <w:sz w:val="20"/>
                <w:szCs w:val="20"/>
              </w:rPr>
              <w:t>Sensitivity analyses conducted by submission (5,000 iterations)</w:t>
            </w:r>
          </w:p>
        </w:tc>
      </w:tr>
      <w:tr w:rsidR="00B96D70" w:rsidRPr="00AE2F09" w14:paraId="260DD84C" w14:textId="77777777" w:rsidTr="00FD7CD0">
        <w:tc>
          <w:tcPr>
            <w:tcW w:w="4312" w:type="dxa"/>
            <w:tcBorders>
              <w:top w:val="double" w:sz="4" w:space="0" w:color="auto"/>
            </w:tcBorders>
          </w:tcPr>
          <w:p w14:paraId="1A48DA05"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Base case (5000 iterations))</w:t>
            </w:r>
          </w:p>
        </w:tc>
        <w:tc>
          <w:tcPr>
            <w:tcW w:w="1218" w:type="dxa"/>
            <w:tcBorders>
              <w:top w:val="double" w:sz="4" w:space="0" w:color="auto"/>
            </w:tcBorders>
            <w:vAlign w:val="center"/>
          </w:tcPr>
          <w:p w14:paraId="77E0A297" w14:textId="2172F552"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w:t>
            </w:r>
            <w:r w:rsidR="00EC6944" w:rsidRPr="00EC6944">
              <w:rPr>
                <w:rFonts w:ascii="Arial Narrow" w:hAnsi="Arial Narrow" w:cs="Calibri" w:hint="eastAsia"/>
                <w:color w:val="000000"/>
                <w:w w:val="18"/>
                <w:sz w:val="20"/>
                <w:szCs w:val="20"/>
                <w:shd w:val="solid" w:color="000000" w:fill="000000"/>
                <w:fitText w:val="84" w:id="-1436265214"/>
                <w14:textFill>
                  <w14:solidFill>
                    <w14:srgbClr w14:val="000000">
                      <w14:alpha w14:val="100000"/>
                    </w14:srgbClr>
                  </w14:solidFill>
                </w14:textFill>
              </w:rPr>
              <w:t xml:space="preserve">　</w:t>
            </w:r>
            <w:r w:rsidR="00EC6944" w:rsidRPr="00EC6944">
              <w:rPr>
                <w:rFonts w:ascii="Arial Narrow" w:hAnsi="Arial Narrow" w:cs="Calibri"/>
                <w:color w:val="000000"/>
                <w:w w:val="18"/>
                <w:sz w:val="20"/>
                <w:szCs w:val="20"/>
                <w:shd w:val="solid" w:color="000000" w:fill="000000"/>
                <w:fitText w:val="84" w:id="-1436265214"/>
                <w14:textFill>
                  <w14:solidFill>
                    <w14:srgbClr w14:val="000000">
                      <w14:alpha w14:val="100000"/>
                    </w14:srgbClr>
                  </w14:solidFill>
                </w14:textFill>
              </w:rPr>
              <w:t>|</w:t>
            </w:r>
            <w:r w:rsidR="00EC6944" w:rsidRPr="00EC6944">
              <w:rPr>
                <w:rFonts w:ascii="Arial Narrow" w:hAnsi="Arial Narrow" w:cs="Calibri" w:hint="eastAsia"/>
                <w:color w:val="000000"/>
                <w:spacing w:val="4"/>
                <w:w w:val="18"/>
                <w:sz w:val="20"/>
                <w:szCs w:val="20"/>
                <w:shd w:val="solid" w:color="000000" w:fill="000000"/>
                <w:fitText w:val="84" w:id="-1436265214"/>
                <w14:textFill>
                  <w14:solidFill>
                    <w14:srgbClr w14:val="000000">
                      <w14:alpha w14:val="100000"/>
                    </w14:srgbClr>
                  </w14:solidFill>
                </w14:textFill>
              </w:rPr>
              <w:t xml:space="preserve">　</w:t>
            </w:r>
          </w:p>
        </w:tc>
        <w:tc>
          <w:tcPr>
            <w:tcW w:w="1137" w:type="dxa"/>
            <w:tcBorders>
              <w:top w:val="double" w:sz="4" w:space="0" w:color="auto"/>
            </w:tcBorders>
            <w:vAlign w:val="center"/>
          </w:tcPr>
          <w:p w14:paraId="7FCA8492"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3.21</w:t>
            </w:r>
          </w:p>
        </w:tc>
        <w:tc>
          <w:tcPr>
            <w:tcW w:w="1268" w:type="dxa"/>
            <w:tcBorders>
              <w:top w:val="double" w:sz="4" w:space="0" w:color="auto"/>
            </w:tcBorders>
            <w:vAlign w:val="center"/>
          </w:tcPr>
          <w:p w14:paraId="174CCFD9" w14:textId="6F824638" w:rsidR="00774AF7" w:rsidRPr="00011EAC" w:rsidRDefault="00774AF7" w:rsidP="00FD7CD0">
            <w:pPr>
              <w:keepNext/>
              <w:keepLines/>
              <w:jc w:val="center"/>
              <w:rPr>
                <w:rFonts w:ascii="Arial Narrow" w:hAnsi="Arial Narrow"/>
                <w:sz w:val="20"/>
                <w:szCs w:val="20"/>
                <w:vertAlign w:val="superscript"/>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3"/>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3"/>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3"/>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tcBorders>
              <w:top w:val="double" w:sz="4" w:space="0" w:color="auto"/>
            </w:tcBorders>
            <w:vAlign w:val="center"/>
          </w:tcPr>
          <w:p w14:paraId="78CE8694"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NA</w:t>
            </w:r>
          </w:p>
        </w:tc>
      </w:tr>
      <w:tr w:rsidR="00B96D70" w:rsidRPr="00AE2F09" w14:paraId="162B621E" w14:textId="77777777" w:rsidTr="00FD7CD0">
        <w:tc>
          <w:tcPr>
            <w:tcW w:w="4312" w:type="dxa"/>
          </w:tcPr>
          <w:p w14:paraId="7C2FB140" w14:textId="318F7B16"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Treat to max. pegvaliase dose (60 mg/day) (base case 30.5</w:t>
            </w:r>
            <w:r w:rsidR="00FA5AC0">
              <w:rPr>
                <w:rFonts w:ascii="Arial Narrow" w:hAnsi="Arial Narrow"/>
                <w:sz w:val="20"/>
                <w:szCs w:val="20"/>
              </w:rPr>
              <w:t xml:space="preserve"> </w:t>
            </w:r>
            <w:r w:rsidRPr="00AE2F09">
              <w:rPr>
                <w:rFonts w:ascii="Arial Narrow" w:hAnsi="Arial Narrow"/>
                <w:sz w:val="20"/>
                <w:szCs w:val="20"/>
              </w:rPr>
              <w:t>mg/day)</w:t>
            </w:r>
          </w:p>
        </w:tc>
        <w:tc>
          <w:tcPr>
            <w:tcW w:w="1218" w:type="dxa"/>
            <w:vAlign w:val="center"/>
          </w:tcPr>
          <w:p w14:paraId="4CAFD5B1" w14:textId="33ACDE16"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12"/>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12"/>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12"/>
                <w14:textFill>
                  <w14:solidFill>
                    <w14:srgbClr w14:val="000000">
                      <w14:alpha w14:val="100000"/>
                    </w14:srgbClr>
                  </w14:solidFill>
                </w14:textFill>
              </w:rPr>
              <w:t xml:space="preserve">　</w:t>
            </w:r>
          </w:p>
        </w:tc>
        <w:tc>
          <w:tcPr>
            <w:tcW w:w="1137" w:type="dxa"/>
            <w:vAlign w:val="center"/>
          </w:tcPr>
          <w:p w14:paraId="10A5C171"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3.21</w:t>
            </w:r>
          </w:p>
        </w:tc>
        <w:tc>
          <w:tcPr>
            <w:tcW w:w="1268" w:type="dxa"/>
            <w:vAlign w:val="center"/>
          </w:tcPr>
          <w:p w14:paraId="41FAD33C" w14:textId="3496FACD" w:rsidR="00774AF7" w:rsidRPr="00011EAC" w:rsidRDefault="00774AF7" w:rsidP="00FD7CD0">
            <w:pPr>
              <w:keepNext/>
              <w:keepLines/>
              <w:jc w:val="center"/>
              <w:rPr>
                <w:rFonts w:ascii="Arial Narrow" w:hAnsi="Arial Narrow"/>
                <w:sz w:val="20"/>
                <w:szCs w:val="20"/>
                <w:vertAlign w:val="superscript"/>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1"/>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1"/>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1"/>
                <w14:textFill>
                  <w14:solidFill>
                    <w14:srgbClr w14:val="000000">
                      <w14:alpha w14:val="100000"/>
                    </w14:srgbClr>
                  </w14:solidFill>
                </w14:textFill>
              </w:rPr>
              <w:t xml:space="preserve">　</w:t>
            </w:r>
            <w:r w:rsidR="00011EAC">
              <w:rPr>
                <w:rFonts w:ascii="Arial Narrow" w:hAnsi="Arial Narrow"/>
                <w:sz w:val="20"/>
                <w:szCs w:val="20"/>
                <w:vertAlign w:val="superscript"/>
              </w:rPr>
              <w:t>2</w:t>
            </w:r>
          </w:p>
        </w:tc>
        <w:tc>
          <w:tcPr>
            <w:tcW w:w="1081" w:type="dxa"/>
            <w:vAlign w:val="center"/>
          </w:tcPr>
          <w:p w14:paraId="4E866DB4"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+84.0%</w:t>
            </w:r>
          </w:p>
        </w:tc>
      </w:tr>
      <w:tr w:rsidR="00B96D70" w:rsidRPr="00AE2F09" w14:paraId="74B63527" w14:textId="77777777" w:rsidTr="00FD7CD0">
        <w:tc>
          <w:tcPr>
            <w:tcW w:w="4312" w:type="dxa"/>
          </w:tcPr>
          <w:p w14:paraId="195FD691"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Time horizon = 40 years (base case 100)</w:t>
            </w:r>
          </w:p>
        </w:tc>
        <w:tc>
          <w:tcPr>
            <w:tcW w:w="1218" w:type="dxa"/>
            <w:vAlign w:val="center"/>
          </w:tcPr>
          <w:p w14:paraId="0CB73EF6" w14:textId="022EBEBD"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10"/>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10"/>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10"/>
                <w14:textFill>
                  <w14:solidFill>
                    <w14:srgbClr w14:val="000000">
                      <w14:alpha w14:val="100000"/>
                    </w14:srgbClr>
                  </w14:solidFill>
                </w14:textFill>
              </w:rPr>
              <w:t xml:space="preserve">　</w:t>
            </w:r>
          </w:p>
        </w:tc>
        <w:tc>
          <w:tcPr>
            <w:tcW w:w="1137" w:type="dxa"/>
            <w:vAlign w:val="center"/>
          </w:tcPr>
          <w:p w14:paraId="6CF72560"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2.96</w:t>
            </w:r>
          </w:p>
        </w:tc>
        <w:tc>
          <w:tcPr>
            <w:tcW w:w="1268" w:type="dxa"/>
            <w:vAlign w:val="center"/>
          </w:tcPr>
          <w:p w14:paraId="6061D50D" w14:textId="7B91598A"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9"/>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9"/>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9"/>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vAlign w:val="center"/>
          </w:tcPr>
          <w:p w14:paraId="24373342"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+0.3%</w:t>
            </w:r>
          </w:p>
        </w:tc>
      </w:tr>
      <w:tr w:rsidR="00B96D70" w:rsidRPr="00AE2F09" w14:paraId="00CE87BF" w14:textId="77777777" w:rsidTr="00FD7CD0">
        <w:tc>
          <w:tcPr>
            <w:tcW w:w="4312" w:type="dxa"/>
          </w:tcPr>
          <w:p w14:paraId="0D2212A1"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Discount rate: 0% (base case 5%)</w:t>
            </w:r>
          </w:p>
        </w:tc>
        <w:tc>
          <w:tcPr>
            <w:tcW w:w="1218" w:type="dxa"/>
            <w:vAlign w:val="center"/>
          </w:tcPr>
          <w:p w14:paraId="6F316EE5" w14:textId="455E3C60"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8"/>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8"/>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8"/>
                <w14:textFill>
                  <w14:solidFill>
                    <w14:srgbClr w14:val="000000">
                      <w14:alpha w14:val="100000"/>
                    </w14:srgbClr>
                  </w14:solidFill>
                </w14:textFill>
              </w:rPr>
              <w:t xml:space="preserve">　</w:t>
            </w:r>
          </w:p>
        </w:tc>
        <w:tc>
          <w:tcPr>
            <w:tcW w:w="1137" w:type="dxa"/>
            <w:vAlign w:val="center"/>
          </w:tcPr>
          <w:p w14:paraId="5678412C"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9.48</w:t>
            </w:r>
          </w:p>
        </w:tc>
        <w:tc>
          <w:tcPr>
            <w:tcW w:w="1268" w:type="dxa"/>
            <w:vAlign w:val="center"/>
          </w:tcPr>
          <w:p w14:paraId="5E692A19" w14:textId="2F6BA95A"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7"/>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7"/>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7"/>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vAlign w:val="center"/>
          </w:tcPr>
          <w:p w14:paraId="0380D741"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-4.1%</w:t>
            </w:r>
          </w:p>
        </w:tc>
      </w:tr>
      <w:tr w:rsidR="00B96D70" w:rsidRPr="00AE2F09" w14:paraId="3C76409B" w14:textId="77777777" w:rsidTr="00FD7CD0">
        <w:tc>
          <w:tcPr>
            <w:tcW w:w="4312" w:type="dxa"/>
            <w:tcBorders>
              <w:bottom w:val="single" w:sz="4" w:space="0" w:color="auto"/>
            </w:tcBorders>
          </w:tcPr>
          <w:p w14:paraId="0E3A6788"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Discount rate: 3.5% (base case 5%)</w:t>
            </w:r>
          </w:p>
        </w:tc>
        <w:tc>
          <w:tcPr>
            <w:tcW w:w="1218" w:type="dxa"/>
            <w:tcBorders>
              <w:bottom w:val="single" w:sz="4" w:space="0" w:color="auto"/>
            </w:tcBorders>
            <w:vAlign w:val="center"/>
          </w:tcPr>
          <w:p w14:paraId="71A28846" w14:textId="1D1D5608"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6"/>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6"/>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6"/>
                <w14:textFill>
                  <w14:solidFill>
                    <w14:srgbClr w14:val="000000">
                      <w14:alpha w14:val="100000"/>
                    </w14:srgbClr>
                  </w14:solidFill>
                </w14:textFill>
              </w:rPr>
              <w:t xml:space="preserve">　</w:t>
            </w:r>
          </w:p>
        </w:tc>
        <w:tc>
          <w:tcPr>
            <w:tcW w:w="1137" w:type="dxa"/>
            <w:tcBorders>
              <w:bottom w:val="single" w:sz="4" w:space="0" w:color="auto"/>
            </w:tcBorders>
            <w:vAlign w:val="center"/>
          </w:tcPr>
          <w:p w14:paraId="0352CFCB"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4.15</w:t>
            </w:r>
          </w:p>
        </w:tc>
        <w:tc>
          <w:tcPr>
            <w:tcW w:w="1268" w:type="dxa"/>
            <w:tcBorders>
              <w:bottom w:val="single" w:sz="4" w:space="0" w:color="auto"/>
            </w:tcBorders>
            <w:vAlign w:val="center"/>
          </w:tcPr>
          <w:p w14:paraId="1AFA5F43" w14:textId="3927CBA0"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5"/>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5"/>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5"/>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tcBorders>
              <w:bottom w:val="single" w:sz="4" w:space="0" w:color="auto"/>
            </w:tcBorders>
            <w:vAlign w:val="center"/>
          </w:tcPr>
          <w:p w14:paraId="12254FE2"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cs="Calibri"/>
                <w:sz w:val="20"/>
                <w:szCs w:val="20"/>
              </w:rPr>
              <w:t>-1.4%</w:t>
            </w:r>
          </w:p>
        </w:tc>
      </w:tr>
      <w:tr w:rsidR="00B96D70" w:rsidRPr="00AE2F09" w14:paraId="67EE6FD8" w14:textId="77777777" w:rsidTr="00FD7CD0">
        <w:tc>
          <w:tcPr>
            <w:tcW w:w="9016" w:type="dxa"/>
            <w:gridSpan w:val="5"/>
            <w:tcBorders>
              <w:top w:val="double" w:sz="4" w:space="0" w:color="auto"/>
              <w:bottom w:val="double" w:sz="4" w:space="0" w:color="auto"/>
            </w:tcBorders>
          </w:tcPr>
          <w:p w14:paraId="1F284BBE" w14:textId="77777777" w:rsidR="00774AF7" w:rsidRPr="00AE2F09" w:rsidRDefault="00774AF7" w:rsidP="00FD7CD0">
            <w:pPr>
              <w:keepNext/>
              <w:keepLines/>
              <w:rPr>
                <w:rFonts w:ascii="Arial Narrow" w:hAnsi="Arial Narrow"/>
                <w:b/>
                <w:bCs/>
                <w:sz w:val="20"/>
                <w:szCs w:val="20"/>
              </w:rPr>
            </w:pPr>
            <w:r w:rsidRPr="00AE2F09">
              <w:rPr>
                <w:rFonts w:ascii="Arial Narrow" w:hAnsi="Arial Narrow"/>
                <w:b/>
                <w:bCs/>
                <w:sz w:val="20"/>
                <w:szCs w:val="20"/>
              </w:rPr>
              <w:t>Sensitivity analyses conducted during evaluation (100 iterations)</w:t>
            </w:r>
          </w:p>
        </w:tc>
      </w:tr>
      <w:tr w:rsidR="00B96D70" w:rsidRPr="00AE2F09" w14:paraId="45A9F093" w14:textId="77777777" w:rsidTr="00FD7CD0">
        <w:tc>
          <w:tcPr>
            <w:tcW w:w="4312" w:type="dxa"/>
            <w:tcBorders>
              <w:top w:val="double" w:sz="4" w:space="0" w:color="auto"/>
            </w:tcBorders>
          </w:tcPr>
          <w:p w14:paraId="414597AC"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Base case (100 iterations)</w:t>
            </w:r>
          </w:p>
        </w:tc>
        <w:tc>
          <w:tcPr>
            <w:tcW w:w="1218" w:type="dxa"/>
            <w:tcBorders>
              <w:top w:val="double" w:sz="4" w:space="0" w:color="auto"/>
            </w:tcBorders>
            <w:vAlign w:val="center"/>
          </w:tcPr>
          <w:p w14:paraId="25D87209" w14:textId="228AEAD1"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4"/>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4"/>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4"/>
                <w14:textFill>
                  <w14:solidFill>
                    <w14:srgbClr w14:val="000000">
                      <w14:alpha w14:val="100000"/>
                    </w14:srgbClr>
                  </w14:solidFill>
                </w14:textFill>
              </w:rPr>
              <w:t xml:space="preserve">　</w:t>
            </w:r>
          </w:p>
        </w:tc>
        <w:tc>
          <w:tcPr>
            <w:tcW w:w="1137" w:type="dxa"/>
            <w:tcBorders>
              <w:top w:val="double" w:sz="4" w:space="0" w:color="auto"/>
            </w:tcBorders>
            <w:vAlign w:val="center"/>
          </w:tcPr>
          <w:p w14:paraId="7B9B80DB"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3.17</w:t>
            </w:r>
          </w:p>
        </w:tc>
        <w:tc>
          <w:tcPr>
            <w:tcW w:w="1268" w:type="dxa"/>
            <w:tcBorders>
              <w:top w:val="double" w:sz="4" w:space="0" w:color="auto"/>
            </w:tcBorders>
            <w:vAlign w:val="center"/>
          </w:tcPr>
          <w:p w14:paraId="17AB5D9A" w14:textId="67D3CCC0"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3"/>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3"/>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3"/>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tcBorders>
              <w:top w:val="double" w:sz="4" w:space="0" w:color="auto"/>
            </w:tcBorders>
            <w:vAlign w:val="center"/>
          </w:tcPr>
          <w:p w14:paraId="2432A328"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NA</w:t>
            </w:r>
          </w:p>
        </w:tc>
      </w:tr>
      <w:tr w:rsidR="00B96D70" w:rsidRPr="00AE2F09" w14:paraId="3BF6390B" w14:textId="77777777" w:rsidTr="00FD7CD0">
        <w:tc>
          <w:tcPr>
            <w:tcW w:w="4312" w:type="dxa"/>
          </w:tcPr>
          <w:p w14:paraId="237F1657"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Time to pegvaliase response 18 months (base case 24 months)</w:t>
            </w:r>
          </w:p>
        </w:tc>
        <w:tc>
          <w:tcPr>
            <w:tcW w:w="1218" w:type="dxa"/>
            <w:vAlign w:val="center"/>
          </w:tcPr>
          <w:p w14:paraId="5D88C066" w14:textId="08FAEEBB"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2"/>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2"/>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2"/>
                <w14:textFill>
                  <w14:solidFill>
                    <w14:srgbClr w14:val="000000">
                      <w14:alpha w14:val="100000"/>
                    </w14:srgbClr>
                  </w14:solidFill>
                </w14:textFill>
              </w:rPr>
              <w:t xml:space="preserve">　</w:t>
            </w:r>
          </w:p>
        </w:tc>
        <w:tc>
          <w:tcPr>
            <w:tcW w:w="1137" w:type="dxa"/>
            <w:vAlign w:val="center"/>
          </w:tcPr>
          <w:p w14:paraId="6249FD1E"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3.16</w:t>
            </w:r>
          </w:p>
        </w:tc>
        <w:tc>
          <w:tcPr>
            <w:tcW w:w="1268" w:type="dxa"/>
            <w:vAlign w:val="center"/>
          </w:tcPr>
          <w:p w14:paraId="4B804F99" w14:textId="726490A0"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1"/>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1"/>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1"/>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vAlign w:val="center"/>
          </w:tcPr>
          <w:p w14:paraId="147A8969"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-0.3%</w:t>
            </w:r>
          </w:p>
        </w:tc>
      </w:tr>
      <w:tr w:rsidR="00B96D70" w:rsidRPr="00AE2F09" w14:paraId="684BEEB8" w14:textId="77777777" w:rsidTr="00FD7CD0">
        <w:tc>
          <w:tcPr>
            <w:tcW w:w="4312" w:type="dxa"/>
          </w:tcPr>
          <w:p w14:paraId="6FF721CD"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Time horizon = 2 years (base case 100)</w:t>
            </w:r>
          </w:p>
        </w:tc>
        <w:tc>
          <w:tcPr>
            <w:tcW w:w="1218" w:type="dxa"/>
            <w:vAlign w:val="center"/>
          </w:tcPr>
          <w:p w14:paraId="76D8A843" w14:textId="509F229F"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0"/>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0"/>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0"/>
                <w14:textFill>
                  <w14:solidFill>
                    <w14:srgbClr w14:val="000000">
                      <w14:alpha w14:val="100000"/>
                    </w14:srgbClr>
                  </w14:solidFill>
                </w14:textFill>
              </w:rPr>
              <w:t xml:space="preserve">　</w:t>
            </w:r>
          </w:p>
        </w:tc>
        <w:tc>
          <w:tcPr>
            <w:tcW w:w="1137" w:type="dxa"/>
            <w:vAlign w:val="center"/>
          </w:tcPr>
          <w:p w14:paraId="70BBF6AB"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0.25</w:t>
            </w:r>
          </w:p>
        </w:tc>
        <w:tc>
          <w:tcPr>
            <w:tcW w:w="1268" w:type="dxa"/>
            <w:vAlign w:val="center"/>
          </w:tcPr>
          <w:p w14:paraId="75F2E059" w14:textId="44E8CBB4"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6"/>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6"/>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6"/>
                <w14:textFill>
                  <w14:solidFill>
                    <w14:srgbClr w14:val="000000">
                      <w14:alpha w14:val="100000"/>
                    </w14:srgbClr>
                  </w14:solidFill>
                </w14:textFill>
              </w:rPr>
              <w:t xml:space="preserve">　</w:t>
            </w:r>
            <w:r w:rsidR="00B67213">
              <w:rPr>
                <w:rFonts w:ascii="Arial Narrow" w:hAnsi="Arial Narrow"/>
                <w:sz w:val="20"/>
                <w:szCs w:val="20"/>
                <w:vertAlign w:val="superscript"/>
              </w:rPr>
              <w:t>3</w:t>
            </w:r>
          </w:p>
        </w:tc>
        <w:tc>
          <w:tcPr>
            <w:tcW w:w="1081" w:type="dxa"/>
            <w:vAlign w:val="center"/>
          </w:tcPr>
          <w:p w14:paraId="0195BBA2"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+50.3%</w:t>
            </w:r>
          </w:p>
        </w:tc>
      </w:tr>
      <w:tr w:rsidR="00A6009D" w:rsidRPr="00AE2F09" w14:paraId="5529FEA5" w14:textId="77777777" w:rsidTr="00FD7CD0">
        <w:tc>
          <w:tcPr>
            <w:tcW w:w="4312" w:type="dxa"/>
          </w:tcPr>
          <w:p w14:paraId="7F5FA48A" w14:textId="67D8A08E" w:rsidR="00A6009D" w:rsidRPr="00AE2F09" w:rsidRDefault="00A6009D" w:rsidP="00FD7CD0">
            <w:pPr>
              <w:keepNext/>
              <w:keepLines/>
              <w:rPr>
                <w:rFonts w:ascii="Arial Narrow" w:hAnsi="Arial Narrow"/>
                <w:sz w:val="20"/>
                <w:szCs w:val="20"/>
              </w:rPr>
            </w:pPr>
            <w:r w:rsidRPr="00AE2F09">
              <w:rPr>
                <w:rFonts w:ascii="Arial Narrow" w:hAnsi="Arial Narrow"/>
                <w:sz w:val="20"/>
                <w:szCs w:val="20"/>
              </w:rPr>
              <w:t>Time horizon = 10 years (base case 100)</w:t>
            </w:r>
          </w:p>
        </w:tc>
        <w:tc>
          <w:tcPr>
            <w:tcW w:w="1218" w:type="dxa"/>
            <w:vAlign w:val="center"/>
          </w:tcPr>
          <w:p w14:paraId="13383646" w14:textId="3A2FBD8D" w:rsidR="00A6009D" w:rsidRPr="00AE2F09" w:rsidRDefault="000170FA"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15"/>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15"/>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15"/>
                <w14:textFill>
                  <w14:solidFill>
                    <w14:srgbClr w14:val="000000">
                      <w14:alpha w14:val="100000"/>
                    </w14:srgbClr>
                  </w14:solidFill>
                </w14:textFill>
              </w:rPr>
              <w:t xml:space="preserve">　</w:t>
            </w:r>
          </w:p>
        </w:tc>
        <w:tc>
          <w:tcPr>
            <w:tcW w:w="1137" w:type="dxa"/>
            <w:vAlign w:val="center"/>
          </w:tcPr>
          <w:p w14:paraId="6E86E3E2" w14:textId="475B8CA1" w:rsidR="00A6009D" w:rsidRPr="00AE2F09" w:rsidRDefault="000170FA" w:rsidP="00FD7CD0">
            <w:pPr>
              <w:keepNext/>
              <w:keepLines/>
              <w:jc w:val="center"/>
              <w:rPr>
                <w:rFonts w:ascii="Arial Narrow" w:hAnsi="Arial Narrow"/>
                <w:sz w:val="20"/>
                <w:szCs w:val="20"/>
              </w:rPr>
            </w:pPr>
            <w:r w:rsidRPr="00AE2F09">
              <w:rPr>
                <w:rFonts w:ascii="Arial Narrow" w:hAnsi="Arial Narrow"/>
                <w:sz w:val="20"/>
                <w:szCs w:val="20"/>
              </w:rPr>
              <w:t>1.29</w:t>
            </w:r>
          </w:p>
        </w:tc>
        <w:tc>
          <w:tcPr>
            <w:tcW w:w="1268" w:type="dxa"/>
            <w:vAlign w:val="center"/>
          </w:tcPr>
          <w:p w14:paraId="47E147BE" w14:textId="135BB7E2" w:rsidR="00A6009D" w:rsidRPr="00AE2F09" w:rsidRDefault="006F245F"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4"/>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4"/>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4"/>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vAlign w:val="center"/>
          </w:tcPr>
          <w:p w14:paraId="288A1A91" w14:textId="550F8F81" w:rsidR="00A6009D" w:rsidRPr="00AE2F09" w:rsidRDefault="003B16C6" w:rsidP="00FD7CD0">
            <w:pPr>
              <w:keepNext/>
              <w:keepLines/>
              <w:jc w:val="center"/>
              <w:rPr>
                <w:rFonts w:ascii="Arial Narrow" w:hAnsi="Arial Narrow"/>
                <w:sz w:val="20"/>
                <w:szCs w:val="20"/>
              </w:rPr>
            </w:pPr>
            <w:r w:rsidRPr="00AE2F09">
              <w:rPr>
                <w:rFonts w:ascii="Arial Narrow" w:hAnsi="Arial Narrow"/>
                <w:sz w:val="20"/>
                <w:szCs w:val="20"/>
              </w:rPr>
              <w:t>+</w:t>
            </w:r>
            <w:r w:rsidR="00CE57FF" w:rsidRPr="00AE2F09">
              <w:rPr>
                <w:rFonts w:ascii="Arial Narrow" w:hAnsi="Arial Narrow"/>
                <w:sz w:val="20"/>
                <w:szCs w:val="20"/>
              </w:rPr>
              <w:t>6.8%</w:t>
            </w:r>
          </w:p>
        </w:tc>
      </w:tr>
      <w:tr w:rsidR="00B96D70" w:rsidRPr="00AE2F09" w14:paraId="48DE4C53" w14:textId="77777777" w:rsidTr="00FD7CD0">
        <w:tc>
          <w:tcPr>
            <w:tcW w:w="4312" w:type="dxa"/>
          </w:tcPr>
          <w:p w14:paraId="441203E1"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Treat to max. pegvaliase dose (40 mg/day)</w:t>
            </w:r>
          </w:p>
        </w:tc>
        <w:tc>
          <w:tcPr>
            <w:tcW w:w="1218" w:type="dxa"/>
            <w:vAlign w:val="center"/>
          </w:tcPr>
          <w:p w14:paraId="022B976C" w14:textId="2EAE170A"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13"/>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13"/>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13"/>
                <w14:textFill>
                  <w14:solidFill>
                    <w14:srgbClr w14:val="000000">
                      <w14:alpha w14:val="100000"/>
                    </w14:srgbClr>
                  </w14:solidFill>
                </w14:textFill>
              </w:rPr>
              <w:t xml:space="preserve">　</w:t>
            </w:r>
          </w:p>
        </w:tc>
        <w:tc>
          <w:tcPr>
            <w:tcW w:w="1137" w:type="dxa"/>
            <w:vAlign w:val="center"/>
          </w:tcPr>
          <w:p w14:paraId="5D5CC50D"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3.17</w:t>
            </w:r>
          </w:p>
        </w:tc>
        <w:tc>
          <w:tcPr>
            <w:tcW w:w="1268" w:type="dxa"/>
            <w:vAlign w:val="center"/>
          </w:tcPr>
          <w:p w14:paraId="4B00741E" w14:textId="219B0918"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2"/>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2"/>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2"/>
                <w14:textFill>
                  <w14:solidFill>
                    <w14:srgbClr w14:val="000000">
                      <w14:alpha w14:val="100000"/>
                    </w14:srgbClr>
                  </w14:solidFill>
                </w14:textFill>
              </w:rPr>
              <w:t xml:space="preserve">　</w:t>
            </w:r>
            <w:r w:rsidR="00B67213">
              <w:rPr>
                <w:rFonts w:ascii="Arial Narrow" w:hAnsi="Arial Narrow"/>
                <w:sz w:val="20"/>
                <w:szCs w:val="20"/>
                <w:vertAlign w:val="superscript"/>
              </w:rPr>
              <w:t>4</w:t>
            </w:r>
          </w:p>
        </w:tc>
        <w:tc>
          <w:tcPr>
            <w:tcW w:w="1081" w:type="dxa"/>
            <w:vAlign w:val="center"/>
          </w:tcPr>
          <w:p w14:paraId="6B737F0F"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+23.8%</w:t>
            </w:r>
          </w:p>
        </w:tc>
      </w:tr>
      <w:tr w:rsidR="00B96D70" w:rsidRPr="00AE2F09" w14:paraId="50B3EF6F" w14:textId="77777777" w:rsidTr="00FD7CD0">
        <w:tc>
          <w:tcPr>
            <w:tcW w:w="4312" w:type="dxa"/>
          </w:tcPr>
          <w:p w14:paraId="1322D8F5" w14:textId="77777777"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 xml:space="preserve">Pegvaliase responder minimum blood Phe 360 µmol/L (base case 261 </w:t>
            </w:r>
            <w:r w:rsidRPr="00AE2F09">
              <w:rPr>
                <w:rFonts w:ascii="Arial Narrow" w:hAnsi="Arial Narrow" w:cstheme="minorBidi"/>
                <w:sz w:val="20"/>
                <w:szCs w:val="20"/>
              </w:rPr>
              <w:t>µmol/L)</w:t>
            </w:r>
          </w:p>
        </w:tc>
        <w:tc>
          <w:tcPr>
            <w:tcW w:w="1218" w:type="dxa"/>
            <w:vAlign w:val="center"/>
          </w:tcPr>
          <w:p w14:paraId="3AE9E973" w14:textId="395BE282"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11"/>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11"/>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11"/>
                <w14:textFill>
                  <w14:solidFill>
                    <w14:srgbClr w14:val="000000">
                      <w14:alpha w14:val="100000"/>
                    </w14:srgbClr>
                  </w14:solidFill>
                </w14:textFill>
              </w:rPr>
              <w:t xml:space="preserve">　</w:t>
            </w:r>
          </w:p>
        </w:tc>
        <w:tc>
          <w:tcPr>
            <w:tcW w:w="1137" w:type="dxa"/>
            <w:vAlign w:val="center"/>
          </w:tcPr>
          <w:p w14:paraId="3AADAE54"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2.73</w:t>
            </w:r>
          </w:p>
        </w:tc>
        <w:tc>
          <w:tcPr>
            <w:tcW w:w="1268" w:type="dxa"/>
            <w:vAlign w:val="center"/>
          </w:tcPr>
          <w:p w14:paraId="3405A648" w14:textId="0904DA09"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10"/>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10"/>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10"/>
                <w14:textFill>
                  <w14:solidFill>
                    <w14:srgbClr w14:val="000000">
                      <w14:alpha w14:val="100000"/>
                    </w14:srgbClr>
                  </w14:solidFill>
                </w14:textFill>
              </w:rPr>
              <w:t xml:space="preserve">　</w:t>
            </w:r>
            <w:r w:rsidR="00B67213">
              <w:rPr>
                <w:rFonts w:ascii="Arial Narrow" w:hAnsi="Arial Narrow"/>
                <w:sz w:val="20"/>
                <w:szCs w:val="20"/>
                <w:vertAlign w:val="superscript"/>
              </w:rPr>
              <w:t>4</w:t>
            </w:r>
          </w:p>
        </w:tc>
        <w:tc>
          <w:tcPr>
            <w:tcW w:w="1081" w:type="dxa"/>
            <w:vAlign w:val="center"/>
          </w:tcPr>
          <w:p w14:paraId="57C8E2DC"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+16.4%</w:t>
            </w:r>
          </w:p>
        </w:tc>
      </w:tr>
      <w:tr w:rsidR="00B96D70" w:rsidRPr="00AE2F09" w14:paraId="2C3B45DC" w14:textId="77777777" w:rsidTr="00FD7CD0">
        <w:tc>
          <w:tcPr>
            <w:tcW w:w="4312" w:type="dxa"/>
          </w:tcPr>
          <w:p w14:paraId="21F5432D" w14:textId="317412D0"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Use utilities from March 2018 submission - 0.71 for responder and 0.37 for uncontrolled (0.765</w:t>
            </w:r>
            <w:r w:rsidR="006E27B2" w:rsidRPr="00AE2F09">
              <w:rPr>
                <w:rFonts w:ascii="Arial Narrow" w:hAnsi="Arial Narrow"/>
                <w:sz w:val="20"/>
                <w:szCs w:val="20"/>
              </w:rPr>
              <w:t xml:space="preserve"> and 0.321 in base case, respectively)</w:t>
            </w:r>
          </w:p>
        </w:tc>
        <w:tc>
          <w:tcPr>
            <w:tcW w:w="1218" w:type="dxa"/>
            <w:vAlign w:val="center"/>
          </w:tcPr>
          <w:p w14:paraId="591EE49F" w14:textId="172037C6"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9"/>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9"/>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9"/>
                <w14:textFill>
                  <w14:solidFill>
                    <w14:srgbClr w14:val="000000">
                      <w14:alpha w14:val="100000"/>
                    </w14:srgbClr>
                  </w14:solidFill>
                </w14:textFill>
              </w:rPr>
              <w:t xml:space="preserve">　</w:t>
            </w:r>
          </w:p>
        </w:tc>
        <w:tc>
          <w:tcPr>
            <w:tcW w:w="1137" w:type="dxa"/>
            <w:vAlign w:val="center"/>
          </w:tcPr>
          <w:p w14:paraId="11358859"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2.31</w:t>
            </w:r>
          </w:p>
        </w:tc>
        <w:tc>
          <w:tcPr>
            <w:tcW w:w="1268" w:type="dxa"/>
            <w:vAlign w:val="center"/>
          </w:tcPr>
          <w:p w14:paraId="4DBC76FA" w14:textId="17AAB92D"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8"/>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8"/>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8"/>
                <w14:textFill>
                  <w14:solidFill>
                    <w14:srgbClr w14:val="000000">
                      <w14:alpha w14:val="100000"/>
                    </w14:srgbClr>
                  </w14:solidFill>
                </w14:textFill>
              </w:rPr>
              <w:t xml:space="preserve">　</w:t>
            </w:r>
            <w:r w:rsidR="00B67213">
              <w:rPr>
                <w:rFonts w:ascii="Arial Narrow" w:hAnsi="Arial Narrow"/>
                <w:sz w:val="20"/>
                <w:szCs w:val="20"/>
                <w:vertAlign w:val="superscript"/>
              </w:rPr>
              <w:t>5</w:t>
            </w:r>
          </w:p>
        </w:tc>
        <w:tc>
          <w:tcPr>
            <w:tcW w:w="1081" w:type="dxa"/>
            <w:vAlign w:val="center"/>
          </w:tcPr>
          <w:p w14:paraId="522D3AF2"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+37.3%</w:t>
            </w:r>
          </w:p>
        </w:tc>
      </w:tr>
      <w:tr w:rsidR="00B96D70" w:rsidRPr="00AE2F09" w14:paraId="0495EFA9" w14:textId="77777777" w:rsidTr="00FD7CD0">
        <w:tc>
          <w:tcPr>
            <w:tcW w:w="4312" w:type="dxa"/>
          </w:tcPr>
          <w:p w14:paraId="78F3CAA1" w14:textId="12DD119C"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Reduce AEMP of one syringe by 10% to $</w:t>
            </w:r>
            <w:r w:rsidR="00EC6944" w:rsidRPr="00EC6944">
              <w:rPr>
                <w:rFonts w:ascii="Arial Narrow" w:hAnsi="Arial Narrow"/>
                <w:color w:val="000000"/>
                <w:spacing w:val="9"/>
                <w:sz w:val="20"/>
                <w:szCs w:val="20"/>
                <w:shd w:val="solid" w:color="000000" w:fill="000000"/>
                <w:fitText w:val="311" w:id="-1436265207"/>
                <w14:textFill>
                  <w14:solidFill>
                    <w14:srgbClr w14:val="000000">
                      <w14:alpha w14:val="100000"/>
                    </w14:srgbClr>
                  </w14:solidFill>
                </w14:textFill>
              </w:rPr>
              <w:t>||  |</w:t>
            </w:r>
            <w:r w:rsidR="00EC6944" w:rsidRPr="00EC6944">
              <w:rPr>
                <w:rFonts w:ascii="Arial Narrow" w:hAnsi="Arial Narrow"/>
                <w:color w:val="000000"/>
                <w:spacing w:val="5"/>
                <w:sz w:val="20"/>
                <w:szCs w:val="20"/>
                <w:shd w:val="solid" w:color="000000" w:fill="000000"/>
                <w:fitText w:val="311" w:id="-1436265207"/>
                <w14:textFill>
                  <w14:solidFill>
                    <w14:srgbClr w14:val="000000">
                      <w14:alpha w14:val="100000"/>
                    </w14:srgbClr>
                  </w14:solidFill>
                </w14:textFill>
              </w:rPr>
              <w:t>|</w:t>
            </w:r>
            <w:r w:rsidRPr="00AE2F09">
              <w:rPr>
                <w:rFonts w:ascii="Arial Narrow" w:hAnsi="Arial Narrow"/>
                <w:sz w:val="20"/>
                <w:szCs w:val="20"/>
              </w:rPr>
              <w:t xml:space="preserve"> (base case $</w:t>
            </w:r>
            <w:r w:rsidR="00EC6944" w:rsidRPr="00EC6944">
              <w:rPr>
                <w:rFonts w:ascii="Arial Narrow" w:hAnsi="Arial Narrow"/>
                <w:color w:val="000000"/>
                <w:spacing w:val="10"/>
                <w:sz w:val="20"/>
                <w:szCs w:val="20"/>
                <w:shd w:val="solid" w:color="000000" w:fill="000000"/>
                <w:fitText w:val="312" w:id="-1436265206"/>
                <w14:textFill>
                  <w14:solidFill>
                    <w14:srgbClr w14:val="000000">
                      <w14:alpha w14:val="100000"/>
                    </w14:srgbClr>
                  </w14:solidFill>
                </w14:textFill>
              </w:rPr>
              <w:t>||  |</w:t>
            </w:r>
            <w:r w:rsidR="00EC6944" w:rsidRPr="00EC6944">
              <w:rPr>
                <w:rFonts w:ascii="Arial Narrow" w:hAnsi="Arial Narrow"/>
                <w:color w:val="000000"/>
                <w:spacing w:val="1"/>
                <w:sz w:val="20"/>
                <w:szCs w:val="20"/>
                <w:shd w:val="solid" w:color="000000" w:fill="000000"/>
                <w:fitText w:val="312" w:id="-1436265206"/>
                <w14:textFill>
                  <w14:solidFill>
                    <w14:srgbClr w14:val="000000">
                      <w14:alpha w14:val="100000"/>
                    </w14:srgbClr>
                  </w14:solidFill>
                </w14:textFill>
              </w:rPr>
              <w:t>|</w:t>
            </w:r>
            <w:r w:rsidRPr="00AE2F09">
              <w:rPr>
                <w:rFonts w:ascii="Arial Narrow" w:hAnsi="Arial Narrow"/>
                <w:sz w:val="20"/>
                <w:szCs w:val="20"/>
              </w:rPr>
              <w:t>)</w:t>
            </w:r>
          </w:p>
        </w:tc>
        <w:tc>
          <w:tcPr>
            <w:tcW w:w="1218" w:type="dxa"/>
            <w:vAlign w:val="center"/>
          </w:tcPr>
          <w:p w14:paraId="3BB18E28" w14:textId="4568F8C4"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5"/>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5"/>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5"/>
                <w14:textFill>
                  <w14:solidFill>
                    <w14:srgbClr w14:val="000000">
                      <w14:alpha w14:val="100000"/>
                    </w14:srgbClr>
                  </w14:solidFill>
                </w14:textFill>
              </w:rPr>
              <w:t xml:space="preserve">　</w:t>
            </w:r>
          </w:p>
        </w:tc>
        <w:tc>
          <w:tcPr>
            <w:tcW w:w="1137" w:type="dxa"/>
            <w:vAlign w:val="center"/>
          </w:tcPr>
          <w:p w14:paraId="25A75E30"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3.17</w:t>
            </w:r>
          </w:p>
        </w:tc>
        <w:tc>
          <w:tcPr>
            <w:tcW w:w="1268" w:type="dxa"/>
            <w:vAlign w:val="center"/>
          </w:tcPr>
          <w:p w14:paraId="20D5201F" w14:textId="39FE55D8"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4"/>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4"/>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4"/>
                <w14:textFill>
                  <w14:solidFill>
                    <w14:srgbClr w14:val="000000">
                      <w14:alpha w14:val="100000"/>
                    </w14:srgbClr>
                  </w14:solidFill>
                </w14:textFill>
              </w:rPr>
              <w:t xml:space="preserve">　</w:t>
            </w:r>
            <w:r w:rsidR="00B67213">
              <w:rPr>
                <w:rFonts w:ascii="Arial Narrow" w:hAnsi="Arial Narrow"/>
                <w:sz w:val="20"/>
                <w:szCs w:val="20"/>
                <w:vertAlign w:val="superscript"/>
              </w:rPr>
              <w:t>6</w:t>
            </w:r>
          </w:p>
        </w:tc>
        <w:tc>
          <w:tcPr>
            <w:tcW w:w="1081" w:type="dxa"/>
            <w:vAlign w:val="center"/>
          </w:tcPr>
          <w:p w14:paraId="2B3E0015"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-9.9%</w:t>
            </w:r>
          </w:p>
        </w:tc>
      </w:tr>
      <w:tr w:rsidR="00B96D70" w:rsidRPr="00AE2F09" w14:paraId="65481A5F" w14:textId="77777777" w:rsidTr="00FD7CD0">
        <w:tc>
          <w:tcPr>
            <w:tcW w:w="4312" w:type="dxa"/>
          </w:tcPr>
          <w:p w14:paraId="0717EB8F" w14:textId="6CC4DB22" w:rsidR="00774AF7" w:rsidRPr="00AE2F09" w:rsidRDefault="00774AF7" w:rsidP="00FD7CD0">
            <w:pPr>
              <w:keepNext/>
              <w:keepLines/>
              <w:rPr>
                <w:rFonts w:ascii="Arial Narrow" w:hAnsi="Arial Narrow"/>
                <w:sz w:val="20"/>
                <w:szCs w:val="20"/>
              </w:rPr>
            </w:pPr>
            <w:r w:rsidRPr="00AE2F09">
              <w:rPr>
                <w:rFonts w:ascii="Arial Narrow" w:hAnsi="Arial Narrow"/>
                <w:sz w:val="20"/>
                <w:szCs w:val="20"/>
              </w:rPr>
              <w:t>Reduce AEMP of one syringe by 50% to $</w:t>
            </w:r>
            <w:r w:rsidR="00EC6944" w:rsidRPr="00EC6944">
              <w:rPr>
                <w:rFonts w:ascii="Arial Narrow" w:hAnsi="Arial Narrow"/>
                <w:color w:val="000000"/>
                <w:spacing w:val="9"/>
                <w:sz w:val="20"/>
                <w:szCs w:val="20"/>
                <w:shd w:val="solid" w:color="000000" w:fill="000000"/>
                <w:fitText w:val="311" w:id="-1436265203"/>
                <w14:textFill>
                  <w14:solidFill>
                    <w14:srgbClr w14:val="000000">
                      <w14:alpha w14:val="100000"/>
                    </w14:srgbClr>
                  </w14:solidFill>
                </w14:textFill>
              </w:rPr>
              <w:t>||  |</w:t>
            </w:r>
            <w:r w:rsidR="00EC6944" w:rsidRPr="00EC6944">
              <w:rPr>
                <w:rFonts w:ascii="Arial Narrow" w:hAnsi="Arial Narrow"/>
                <w:color w:val="000000"/>
                <w:spacing w:val="5"/>
                <w:sz w:val="20"/>
                <w:szCs w:val="20"/>
                <w:shd w:val="solid" w:color="000000" w:fill="000000"/>
                <w:fitText w:val="311" w:id="-1436265203"/>
                <w14:textFill>
                  <w14:solidFill>
                    <w14:srgbClr w14:val="000000">
                      <w14:alpha w14:val="100000"/>
                    </w14:srgbClr>
                  </w14:solidFill>
                </w14:textFill>
              </w:rPr>
              <w:t>|</w:t>
            </w:r>
            <w:r w:rsidRPr="00AE2F09">
              <w:rPr>
                <w:rFonts w:ascii="Arial Narrow" w:hAnsi="Arial Narrow"/>
                <w:sz w:val="20"/>
                <w:szCs w:val="20"/>
              </w:rPr>
              <w:t xml:space="preserve"> (base case $</w:t>
            </w:r>
            <w:r w:rsidR="00EC6944" w:rsidRPr="00EC6944">
              <w:rPr>
                <w:rFonts w:ascii="Arial Narrow" w:hAnsi="Arial Narrow"/>
                <w:color w:val="000000"/>
                <w:spacing w:val="10"/>
                <w:sz w:val="20"/>
                <w:szCs w:val="20"/>
                <w:shd w:val="solid" w:color="000000" w:fill="000000"/>
                <w:fitText w:val="312" w:id="-1436265202"/>
                <w14:textFill>
                  <w14:solidFill>
                    <w14:srgbClr w14:val="000000">
                      <w14:alpha w14:val="100000"/>
                    </w14:srgbClr>
                  </w14:solidFill>
                </w14:textFill>
              </w:rPr>
              <w:t>||  |</w:t>
            </w:r>
            <w:r w:rsidR="00EC6944" w:rsidRPr="00EC6944">
              <w:rPr>
                <w:rFonts w:ascii="Arial Narrow" w:hAnsi="Arial Narrow"/>
                <w:color w:val="000000"/>
                <w:spacing w:val="1"/>
                <w:sz w:val="20"/>
                <w:szCs w:val="20"/>
                <w:shd w:val="solid" w:color="000000" w:fill="000000"/>
                <w:fitText w:val="312" w:id="-1436265202"/>
                <w14:textFill>
                  <w14:solidFill>
                    <w14:srgbClr w14:val="000000">
                      <w14:alpha w14:val="100000"/>
                    </w14:srgbClr>
                  </w14:solidFill>
                </w14:textFill>
              </w:rPr>
              <w:t>|</w:t>
            </w:r>
            <w:r w:rsidRPr="00AE2F09">
              <w:rPr>
                <w:rFonts w:ascii="Arial Narrow" w:hAnsi="Arial Narrow"/>
                <w:sz w:val="20"/>
                <w:szCs w:val="20"/>
              </w:rPr>
              <w:t>)</w:t>
            </w:r>
          </w:p>
        </w:tc>
        <w:tc>
          <w:tcPr>
            <w:tcW w:w="1218" w:type="dxa"/>
            <w:vAlign w:val="center"/>
          </w:tcPr>
          <w:p w14:paraId="3BB4732A" w14:textId="1F94EF6F"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18"/>
                <w:sz w:val="20"/>
                <w:szCs w:val="20"/>
                <w:shd w:val="solid" w:color="000000" w:fill="000000"/>
                <w:fitText w:val="84" w:id="-1436265201"/>
                <w14:textFill>
                  <w14:solidFill>
                    <w14:srgbClr w14:val="000000">
                      <w14:alpha w14:val="100000"/>
                    </w14:srgbClr>
                  </w14:solidFill>
                </w14:textFill>
              </w:rPr>
              <w:t xml:space="preserve">　</w:t>
            </w:r>
            <w:r w:rsidR="00EC6944" w:rsidRPr="00EC6944">
              <w:rPr>
                <w:rFonts w:ascii="Arial Narrow" w:hAnsi="Arial Narrow"/>
                <w:color w:val="000000"/>
                <w:w w:val="18"/>
                <w:sz w:val="20"/>
                <w:szCs w:val="20"/>
                <w:shd w:val="solid" w:color="000000" w:fill="000000"/>
                <w:fitText w:val="84" w:id="-1436265201"/>
                <w14:textFill>
                  <w14:solidFill>
                    <w14:srgbClr w14:val="000000">
                      <w14:alpha w14:val="100000"/>
                    </w14:srgbClr>
                  </w14:solidFill>
                </w14:textFill>
              </w:rPr>
              <w:t>|</w:t>
            </w:r>
            <w:r w:rsidR="00EC6944" w:rsidRPr="00EC6944">
              <w:rPr>
                <w:rFonts w:ascii="Arial Narrow" w:hAnsi="Arial Narrow" w:hint="eastAsia"/>
                <w:color w:val="000000"/>
                <w:spacing w:val="4"/>
                <w:w w:val="18"/>
                <w:sz w:val="20"/>
                <w:szCs w:val="20"/>
                <w:shd w:val="solid" w:color="000000" w:fill="000000"/>
                <w:fitText w:val="84" w:id="-1436265201"/>
                <w14:textFill>
                  <w14:solidFill>
                    <w14:srgbClr w14:val="000000">
                      <w14:alpha w14:val="100000"/>
                    </w14:srgbClr>
                  </w14:solidFill>
                </w14:textFill>
              </w:rPr>
              <w:t xml:space="preserve">　</w:t>
            </w:r>
          </w:p>
        </w:tc>
        <w:tc>
          <w:tcPr>
            <w:tcW w:w="1137" w:type="dxa"/>
            <w:vAlign w:val="center"/>
          </w:tcPr>
          <w:p w14:paraId="14B2DE2A"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3.17</w:t>
            </w:r>
          </w:p>
        </w:tc>
        <w:tc>
          <w:tcPr>
            <w:tcW w:w="1268" w:type="dxa"/>
            <w:vAlign w:val="center"/>
          </w:tcPr>
          <w:p w14:paraId="2D01A4CF" w14:textId="2D10BEF8"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w:t>
            </w:r>
            <w:r w:rsidR="00EC6944" w:rsidRPr="00EC6944">
              <w:rPr>
                <w:rFonts w:ascii="Arial Narrow" w:hAnsi="Arial Narrow" w:hint="eastAsia"/>
                <w:color w:val="000000"/>
                <w:w w:val="22"/>
                <w:sz w:val="20"/>
                <w:szCs w:val="20"/>
                <w:shd w:val="solid" w:color="000000" w:fill="000000"/>
                <w:fitText w:val="100" w:id="-1436265200"/>
                <w14:textFill>
                  <w14:solidFill>
                    <w14:srgbClr w14:val="000000">
                      <w14:alpha w14:val="100000"/>
                    </w14:srgbClr>
                  </w14:solidFill>
                </w14:textFill>
              </w:rPr>
              <w:t xml:space="preserve">　</w:t>
            </w:r>
            <w:r w:rsidR="00EC6944" w:rsidRPr="00EC6944">
              <w:rPr>
                <w:rFonts w:ascii="Arial Narrow" w:hAnsi="Arial Narrow"/>
                <w:color w:val="000000"/>
                <w:w w:val="22"/>
                <w:sz w:val="20"/>
                <w:szCs w:val="20"/>
                <w:shd w:val="solid" w:color="000000" w:fill="000000"/>
                <w:fitText w:val="100" w:id="-1436265200"/>
                <w14:textFill>
                  <w14:solidFill>
                    <w14:srgbClr w14:val="000000">
                      <w14:alpha w14:val="100000"/>
                    </w14:srgbClr>
                  </w14:solidFill>
                </w14:textFill>
              </w:rPr>
              <w:t>|</w:t>
            </w:r>
            <w:r w:rsidR="00EC6944" w:rsidRPr="00EC6944">
              <w:rPr>
                <w:rFonts w:ascii="Arial Narrow" w:hAnsi="Arial Narrow" w:hint="eastAsia"/>
                <w:color w:val="000000"/>
                <w:spacing w:val="3"/>
                <w:w w:val="22"/>
                <w:sz w:val="20"/>
                <w:szCs w:val="20"/>
                <w:shd w:val="solid" w:color="000000" w:fill="000000"/>
                <w:fitText w:val="100" w:id="-1436265200"/>
                <w14:textFill>
                  <w14:solidFill>
                    <w14:srgbClr w14:val="000000">
                      <w14:alpha w14:val="100000"/>
                    </w14:srgbClr>
                  </w14:solidFill>
                </w14:textFill>
              </w:rPr>
              <w:t xml:space="preserve">　</w:t>
            </w:r>
            <w:r w:rsidR="00B67213">
              <w:rPr>
                <w:rFonts w:ascii="Arial Narrow" w:hAnsi="Arial Narrow"/>
                <w:sz w:val="20"/>
                <w:szCs w:val="20"/>
                <w:vertAlign w:val="superscript"/>
              </w:rPr>
              <w:t>7</w:t>
            </w:r>
          </w:p>
        </w:tc>
        <w:tc>
          <w:tcPr>
            <w:tcW w:w="1081" w:type="dxa"/>
            <w:vAlign w:val="center"/>
          </w:tcPr>
          <w:p w14:paraId="331C71D7" w14:textId="77777777" w:rsidR="00774AF7" w:rsidRPr="00AE2F09" w:rsidRDefault="00774AF7" w:rsidP="00FD7CD0">
            <w:pPr>
              <w:keepNext/>
              <w:keepLines/>
              <w:jc w:val="center"/>
              <w:rPr>
                <w:rFonts w:ascii="Arial Narrow" w:hAnsi="Arial Narrow"/>
                <w:sz w:val="20"/>
                <w:szCs w:val="20"/>
              </w:rPr>
            </w:pPr>
            <w:r w:rsidRPr="00AE2F09">
              <w:rPr>
                <w:rFonts w:ascii="Arial Narrow" w:hAnsi="Arial Narrow"/>
                <w:sz w:val="20"/>
                <w:szCs w:val="20"/>
              </w:rPr>
              <w:t>-49.7%</w:t>
            </w:r>
          </w:p>
        </w:tc>
      </w:tr>
      <w:tr w:rsidR="009F029E" w:rsidRPr="00AE2F09" w14:paraId="257F27C8" w14:textId="77777777" w:rsidTr="00FD7CD0">
        <w:tc>
          <w:tcPr>
            <w:tcW w:w="4312" w:type="dxa"/>
          </w:tcPr>
          <w:p w14:paraId="0038F96F" w14:textId="63C90CA2" w:rsidR="009F029E" w:rsidRPr="00AE2F09" w:rsidRDefault="009F029E" w:rsidP="009F029E">
            <w:pPr>
              <w:keepNext/>
              <w:keepLines/>
              <w:rPr>
                <w:rFonts w:ascii="Arial Narrow" w:hAnsi="Arial Narrow"/>
                <w:sz w:val="20"/>
                <w:szCs w:val="20"/>
              </w:rPr>
            </w:pPr>
            <w:r w:rsidRPr="00AE2F09">
              <w:rPr>
                <w:rFonts w:ascii="Arial Narrow" w:hAnsi="Arial Narrow"/>
                <w:sz w:val="20"/>
                <w:szCs w:val="20"/>
              </w:rPr>
              <w:t>Blood-Phe response rate 57.3% for pegvaliase (base case 81.8%)</w:t>
            </w:r>
          </w:p>
        </w:tc>
        <w:tc>
          <w:tcPr>
            <w:tcW w:w="1218" w:type="dxa"/>
            <w:vAlign w:val="center"/>
          </w:tcPr>
          <w:p w14:paraId="24C5CE66" w14:textId="17B282B4" w:rsidR="009F029E" w:rsidRPr="00AE2F09" w:rsidRDefault="009F029E" w:rsidP="009F029E">
            <w:pPr>
              <w:keepNext/>
              <w:keepLines/>
              <w:jc w:val="center"/>
              <w:rPr>
                <w:rFonts w:ascii="Arial Narrow" w:hAnsi="Arial Narrow"/>
                <w:sz w:val="20"/>
                <w:szCs w:val="20"/>
              </w:rPr>
            </w:pPr>
            <w:r w:rsidRPr="00AE2F09">
              <w:rPr>
                <w:rFonts w:ascii="Arial Narrow" w:hAnsi="Arial Narrow" w:cs="Calibri"/>
                <w:color w:val="000000"/>
                <w:sz w:val="20"/>
                <w:szCs w:val="20"/>
              </w:rPr>
              <w:t>$</w:t>
            </w:r>
            <w:r w:rsidR="00EC6944" w:rsidRPr="00EC6944">
              <w:rPr>
                <w:rFonts w:ascii="Arial Narrow" w:hAnsi="Arial Narrow" w:cs="Calibri" w:hint="eastAsia"/>
                <w:color w:val="000000"/>
                <w:w w:val="18"/>
                <w:sz w:val="20"/>
                <w:szCs w:val="20"/>
                <w:shd w:val="solid" w:color="000000" w:fill="000000"/>
                <w:fitText w:val="84" w:id="-1436265216"/>
                <w14:textFill>
                  <w14:solidFill>
                    <w14:srgbClr w14:val="000000">
                      <w14:alpha w14:val="100000"/>
                    </w14:srgbClr>
                  </w14:solidFill>
                </w14:textFill>
              </w:rPr>
              <w:t xml:space="preserve">　</w:t>
            </w:r>
            <w:r w:rsidR="00EC6944" w:rsidRPr="00EC6944">
              <w:rPr>
                <w:rFonts w:ascii="Arial Narrow" w:hAnsi="Arial Narrow" w:cs="Calibri"/>
                <w:color w:val="000000"/>
                <w:w w:val="18"/>
                <w:sz w:val="20"/>
                <w:szCs w:val="20"/>
                <w:shd w:val="solid" w:color="000000" w:fill="000000"/>
                <w:fitText w:val="84" w:id="-1436265216"/>
                <w14:textFill>
                  <w14:solidFill>
                    <w14:srgbClr w14:val="000000">
                      <w14:alpha w14:val="100000"/>
                    </w14:srgbClr>
                  </w14:solidFill>
                </w14:textFill>
              </w:rPr>
              <w:t>|</w:t>
            </w:r>
            <w:r w:rsidR="00EC6944" w:rsidRPr="00EC6944">
              <w:rPr>
                <w:rFonts w:ascii="Arial Narrow" w:hAnsi="Arial Narrow" w:cs="Calibri" w:hint="eastAsia"/>
                <w:color w:val="000000"/>
                <w:spacing w:val="4"/>
                <w:w w:val="18"/>
                <w:sz w:val="20"/>
                <w:szCs w:val="20"/>
                <w:shd w:val="solid" w:color="000000" w:fill="000000"/>
                <w:fitText w:val="84" w:id="-1436265216"/>
                <w14:textFill>
                  <w14:solidFill>
                    <w14:srgbClr w14:val="000000">
                      <w14:alpha w14:val="100000"/>
                    </w14:srgbClr>
                  </w14:solidFill>
                </w14:textFill>
              </w:rPr>
              <w:t xml:space="preserve">　</w:t>
            </w:r>
          </w:p>
        </w:tc>
        <w:tc>
          <w:tcPr>
            <w:tcW w:w="1137" w:type="dxa"/>
            <w:vAlign w:val="center"/>
          </w:tcPr>
          <w:p w14:paraId="538BE5F0" w14:textId="18B6D82C" w:rsidR="009F029E" w:rsidRPr="00AE2F09" w:rsidRDefault="009F029E" w:rsidP="009F029E">
            <w:pPr>
              <w:keepNext/>
              <w:keepLines/>
              <w:jc w:val="center"/>
              <w:rPr>
                <w:rFonts w:ascii="Arial Narrow" w:hAnsi="Arial Narrow"/>
                <w:sz w:val="20"/>
                <w:szCs w:val="20"/>
              </w:rPr>
            </w:pPr>
            <w:r w:rsidRPr="00AE2F09">
              <w:rPr>
                <w:rFonts w:ascii="Arial Narrow" w:hAnsi="Arial Narrow" w:cs="Calibri"/>
                <w:color w:val="000000"/>
                <w:sz w:val="20"/>
                <w:szCs w:val="20"/>
              </w:rPr>
              <w:t>2.40</w:t>
            </w:r>
          </w:p>
        </w:tc>
        <w:tc>
          <w:tcPr>
            <w:tcW w:w="1268" w:type="dxa"/>
            <w:vAlign w:val="center"/>
          </w:tcPr>
          <w:p w14:paraId="390109F8" w14:textId="12499A16" w:rsidR="009F029E" w:rsidRPr="00AE2F09" w:rsidRDefault="009F029E" w:rsidP="009F029E">
            <w:pPr>
              <w:keepNext/>
              <w:keepLines/>
              <w:jc w:val="center"/>
              <w:rPr>
                <w:rFonts w:ascii="Arial Narrow" w:hAnsi="Arial Narrow"/>
                <w:sz w:val="20"/>
                <w:szCs w:val="20"/>
              </w:rPr>
            </w:pPr>
            <w:r w:rsidRPr="00AE2F09">
              <w:rPr>
                <w:rFonts w:ascii="Arial Narrow" w:hAnsi="Arial Narrow" w:cs="Calibri"/>
                <w:color w:val="000000"/>
                <w:sz w:val="20"/>
                <w:szCs w:val="20"/>
              </w:rPr>
              <w:t>$</w:t>
            </w:r>
            <w:r w:rsidR="00EC6944" w:rsidRPr="00EC6944">
              <w:rPr>
                <w:rFonts w:ascii="Arial Narrow" w:hAnsi="Arial Narrow" w:cs="Calibri" w:hint="eastAsia"/>
                <w:color w:val="000000"/>
                <w:w w:val="22"/>
                <w:sz w:val="20"/>
                <w:szCs w:val="20"/>
                <w:shd w:val="solid" w:color="000000" w:fill="000000"/>
                <w:fitText w:val="100" w:id="-1436265215"/>
                <w14:textFill>
                  <w14:solidFill>
                    <w14:srgbClr w14:val="000000">
                      <w14:alpha w14:val="100000"/>
                    </w14:srgbClr>
                  </w14:solidFill>
                </w14:textFill>
              </w:rPr>
              <w:t xml:space="preserve">　</w:t>
            </w:r>
            <w:r w:rsidR="00EC6944" w:rsidRPr="00EC6944">
              <w:rPr>
                <w:rFonts w:ascii="Arial Narrow" w:hAnsi="Arial Narrow" w:cs="Calibri"/>
                <w:color w:val="000000"/>
                <w:w w:val="22"/>
                <w:sz w:val="20"/>
                <w:szCs w:val="20"/>
                <w:shd w:val="solid" w:color="000000" w:fill="000000"/>
                <w:fitText w:val="100" w:id="-1436265215"/>
                <w14:textFill>
                  <w14:solidFill>
                    <w14:srgbClr w14:val="000000">
                      <w14:alpha w14:val="100000"/>
                    </w14:srgbClr>
                  </w14:solidFill>
                </w14:textFill>
              </w:rPr>
              <w:t>|</w:t>
            </w:r>
            <w:r w:rsidR="00EC6944" w:rsidRPr="00EC6944">
              <w:rPr>
                <w:rFonts w:ascii="Arial Narrow" w:hAnsi="Arial Narrow" w:cs="Calibri" w:hint="eastAsia"/>
                <w:color w:val="000000"/>
                <w:spacing w:val="3"/>
                <w:w w:val="22"/>
                <w:sz w:val="20"/>
                <w:szCs w:val="20"/>
                <w:shd w:val="solid" w:color="000000" w:fill="000000"/>
                <w:fitText w:val="100" w:id="-1436265215"/>
                <w14:textFill>
                  <w14:solidFill>
                    <w14:srgbClr w14:val="000000">
                      <w14:alpha w14:val="100000"/>
                    </w14:srgbClr>
                  </w14:solidFill>
                </w14:textFill>
              </w:rPr>
              <w:t xml:space="preserve">　</w:t>
            </w:r>
            <w:r w:rsidR="00011EAC">
              <w:rPr>
                <w:rFonts w:ascii="Arial Narrow" w:hAnsi="Arial Narrow"/>
                <w:sz w:val="20"/>
                <w:szCs w:val="20"/>
                <w:vertAlign w:val="superscript"/>
              </w:rPr>
              <w:t>1</w:t>
            </w:r>
          </w:p>
        </w:tc>
        <w:tc>
          <w:tcPr>
            <w:tcW w:w="1081" w:type="dxa"/>
            <w:vAlign w:val="center"/>
          </w:tcPr>
          <w:p w14:paraId="77E84A81" w14:textId="5C80C992" w:rsidR="009F029E" w:rsidRPr="00AE2F09" w:rsidRDefault="009F029E" w:rsidP="009F029E">
            <w:pPr>
              <w:keepNext/>
              <w:keepLines/>
              <w:jc w:val="center"/>
              <w:rPr>
                <w:rFonts w:ascii="Arial Narrow" w:hAnsi="Arial Narrow"/>
                <w:sz w:val="20"/>
                <w:szCs w:val="20"/>
              </w:rPr>
            </w:pPr>
            <w:r w:rsidRPr="00AE2F09">
              <w:rPr>
                <w:rFonts w:ascii="Arial Narrow" w:hAnsi="Arial Narrow" w:cs="Calibri"/>
                <w:color w:val="000000"/>
                <w:sz w:val="20"/>
                <w:szCs w:val="20"/>
              </w:rPr>
              <w:t>+3.2%</w:t>
            </w:r>
          </w:p>
        </w:tc>
      </w:tr>
    </w:tbl>
    <w:p w14:paraId="1A28A37A" w14:textId="71819E5C" w:rsidR="00774AF7" w:rsidRDefault="00774AF7" w:rsidP="00CF2D0B">
      <w:pPr>
        <w:pStyle w:val="TableFigureFooter"/>
        <w:keepNext/>
        <w:keepLines/>
        <w:spacing w:after="240"/>
      </w:pPr>
      <w:r w:rsidRPr="00AE2F09">
        <w:t>Source: Compiled during the evaluation</w:t>
      </w:r>
    </w:p>
    <w:p w14:paraId="1BF38EFC" w14:textId="77777777" w:rsidR="00B67213" w:rsidRPr="00CC64AE" w:rsidRDefault="00B67213" w:rsidP="00B67213">
      <w:pPr>
        <w:pStyle w:val="TableFigureFooter"/>
        <w:keepNext/>
        <w:spacing w:after="0"/>
        <w:contextualSpacing w:val="0"/>
        <w:rPr>
          <w:i/>
        </w:rPr>
      </w:pPr>
      <w:r w:rsidRPr="00CC64AE">
        <w:rPr>
          <w:i/>
        </w:rPr>
        <w:t>The redacted values correspond to the following ranges:</w:t>
      </w:r>
    </w:p>
    <w:p w14:paraId="69C1120A" w14:textId="063FD74C" w:rsidR="00B67213" w:rsidRPr="00281DAB" w:rsidRDefault="00B67213" w:rsidP="00B67213">
      <w:pPr>
        <w:pStyle w:val="TableFigureFooter"/>
        <w:keepNext/>
        <w:spacing w:after="0"/>
        <w:contextualSpacing w:val="0"/>
      </w:pPr>
      <w:r w:rsidRPr="00CC64AE">
        <w:rPr>
          <w:i/>
          <w:szCs w:val="18"/>
          <w:vertAlign w:val="superscript"/>
        </w:rPr>
        <w:t>1</w:t>
      </w:r>
      <w:r w:rsidRPr="00CC64AE">
        <w:rPr>
          <w:i/>
          <w:szCs w:val="18"/>
        </w:rPr>
        <w:t xml:space="preserve"> </w:t>
      </w:r>
      <w:r w:rsidRPr="00DA23EE">
        <w:rPr>
          <w:i/>
          <w:szCs w:val="18"/>
        </w:rPr>
        <w:t>$655,000 to &lt; $755,000</w:t>
      </w:r>
    </w:p>
    <w:p w14:paraId="2EDE0830" w14:textId="37152798" w:rsidR="00B67213" w:rsidRDefault="00B67213" w:rsidP="00B67213">
      <w:pPr>
        <w:pStyle w:val="TableFigureFooter"/>
        <w:keepNext/>
        <w:spacing w:after="0"/>
        <w:contextualSpacing w:val="0"/>
        <w:rPr>
          <w:i/>
          <w:szCs w:val="18"/>
        </w:rPr>
      </w:pPr>
      <w:r w:rsidRPr="00CC64AE">
        <w:rPr>
          <w:i/>
          <w:szCs w:val="18"/>
          <w:vertAlign w:val="superscript"/>
        </w:rPr>
        <w:t>2</w:t>
      </w:r>
      <w:r w:rsidRPr="00CC64AE">
        <w:rPr>
          <w:i/>
          <w:szCs w:val="18"/>
        </w:rPr>
        <w:t xml:space="preserve"> </w:t>
      </w:r>
      <w:r w:rsidRPr="00011EAC">
        <w:rPr>
          <w:i/>
          <w:iCs/>
        </w:rPr>
        <w:t>&gt; $1,055,000</w:t>
      </w:r>
      <w:r>
        <w:rPr>
          <w:i/>
          <w:iCs/>
        </w:rPr>
        <w:t xml:space="preserve"> </w:t>
      </w:r>
    </w:p>
    <w:p w14:paraId="16ECEB43" w14:textId="058BD41D" w:rsidR="00B67213" w:rsidRPr="00281DAB" w:rsidRDefault="00B67213" w:rsidP="00B67213">
      <w:pPr>
        <w:pStyle w:val="TableFigureFooter"/>
        <w:keepNext/>
        <w:spacing w:after="0"/>
        <w:contextualSpacing w:val="0"/>
      </w:pPr>
      <w:r>
        <w:rPr>
          <w:i/>
          <w:szCs w:val="18"/>
          <w:vertAlign w:val="superscript"/>
        </w:rPr>
        <w:t>3</w:t>
      </w:r>
      <w:r w:rsidRPr="00CC64AE">
        <w:rPr>
          <w:i/>
          <w:szCs w:val="18"/>
        </w:rPr>
        <w:t xml:space="preserve"> </w:t>
      </w:r>
      <w:r w:rsidRPr="00DA23EE">
        <w:rPr>
          <w:i/>
          <w:szCs w:val="18"/>
        </w:rPr>
        <w:t>$</w:t>
      </w:r>
      <w:r>
        <w:rPr>
          <w:i/>
          <w:szCs w:val="18"/>
        </w:rPr>
        <w:t>9</w:t>
      </w:r>
      <w:r w:rsidRPr="00DA23EE">
        <w:rPr>
          <w:i/>
          <w:szCs w:val="18"/>
        </w:rPr>
        <w:t>55,000 to &lt; $</w:t>
      </w:r>
      <w:r>
        <w:rPr>
          <w:i/>
          <w:szCs w:val="18"/>
        </w:rPr>
        <w:t>1,0</w:t>
      </w:r>
      <w:r w:rsidRPr="00DA23EE">
        <w:rPr>
          <w:i/>
          <w:szCs w:val="18"/>
        </w:rPr>
        <w:t>55,000</w:t>
      </w:r>
    </w:p>
    <w:p w14:paraId="1A0A2A4E" w14:textId="3A5CB460" w:rsidR="00B67213" w:rsidRPr="00DA23EE" w:rsidRDefault="00B67213" w:rsidP="00B67213">
      <w:pPr>
        <w:pStyle w:val="TableFigureFooter"/>
        <w:keepNext/>
        <w:spacing w:after="0"/>
        <w:contextualSpacing w:val="0"/>
      </w:pPr>
      <w:r>
        <w:rPr>
          <w:i/>
          <w:szCs w:val="18"/>
          <w:vertAlign w:val="superscript"/>
        </w:rPr>
        <w:t>4</w:t>
      </w:r>
      <w:r w:rsidRPr="00CC64AE">
        <w:rPr>
          <w:i/>
          <w:szCs w:val="18"/>
        </w:rPr>
        <w:t xml:space="preserve"> </w:t>
      </w:r>
      <w:r w:rsidRPr="00DA23EE">
        <w:rPr>
          <w:i/>
          <w:szCs w:val="18"/>
        </w:rPr>
        <w:t>$</w:t>
      </w:r>
      <w:r>
        <w:rPr>
          <w:i/>
          <w:szCs w:val="18"/>
        </w:rPr>
        <w:t>7</w:t>
      </w:r>
      <w:r w:rsidRPr="00DA23EE">
        <w:rPr>
          <w:i/>
          <w:szCs w:val="18"/>
        </w:rPr>
        <w:t>55,000 to &lt; $</w:t>
      </w:r>
      <w:r>
        <w:rPr>
          <w:i/>
          <w:szCs w:val="18"/>
        </w:rPr>
        <w:t>8</w:t>
      </w:r>
      <w:r w:rsidRPr="00DA23EE">
        <w:rPr>
          <w:i/>
          <w:szCs w:val="18"/>
        </w:rPr>
        <w:t>55,000</w:t>
      </w:r>
    </w:p>
    <w:p w14:paraId="1CCE782F" w14:textId="06C0E0A7" w:rsidR="00B67213" w:rsidRPr="00281DAB" w:rsidRDefault="00B67213" w:rsidP="00B67213">
      <w:pPr>
        <w:pStyle w:val="TableFigureFooter"/>
        <w:keepNext/>
        <w:spacing w:after="0"/>
        <w:contextualSpacing w:val="0"/>
      </w:pPr>
      <w:r>
        <w:rPr>
          <w:i/>
          <w:szCs w:val="18"/>
          <w:vertAlign w:val="superscript"/>
        </w:rPr>
        <w:t>5</w:t>
      </w:r>
      <w:r w:rsidRPr="00CC64AE">
        <w:rPr>
          <w:i/>
          <w:szCs w:val="18"/>
        </w:rPr>
        <w:t xml:space="preserve"> </w:t>
      </w:r>
      <w:r w:rsidRPr="00DA23EE">
        <w:rPr>
          <w:i/>
          <w:szCs w:val="18"/>
        </w:rPr>
        <w:t>$</w:t>
      </w:r>
      <w:r>
        <w:rPr>
          <w:i/>
          <w:szCs w:val="18"/>
        </w:rPr>
        <w:t>8</w:t>
      </w:r>
      <w:r w:rsidRPr="00DA23EE">
        <w:rPr>
          <w:i/>
          <w:szCs w:val="18"/>
        </w:rPr>
        <w:t>55,000 to &lt; $</w:t>
      </w:r>
      <w:r>
        <w:rPr>
          <w:i/>
          <w:szCs w:val="18"/>
        </w:rPr>
        <w:t>9</w:t>
      </w:r>
      <w:r w:rsidRPr="00DA23EE">
        <w:rPr>
          <w:i/>
          <w:szCs w:val="18"/>
        </w:rPr>
        <w:t>55,000</w:t>
      </w:r>
    </w:p>
    <w:p w14:paraId="37E55ABF" w14:textId="13EF4480" w:rsidR="00B67213" w:rsidRDefault="00B67213" w:rsidP="00B67213">
      <w:pPr>
        <w:pStyle w:val="TableFigureFooter"/>
        <w:keepNext/>
        <w:spacing w:after="0"/>
        <w:contextualSpacing w:val="0"/>
        <w:rPr>
          <w:i/>
          <w:szCs w:val="18"/>
        </w:rPr>
      </w:pPr>
      <w:r w:rsidRPr="00B67213">
        <w:rPr>
          <w:i/>
          <w:szCs w:val="18"/>
          <w:vertAlign w:val="superscript"/>
        </w:rPr>
        <w:t>6</w:t>
      </w:r>
      <w:r w:rsidRPr="00B67213">
        <w:rPr>
          <w:i/>
          <w:szCs w:val="18"/>
        </w:rPr>
        <w:t xml:space="preserve"> $555,000 to &lt; $655,000</w:t>
      </w:r>
    </w:p>
    <w:p w14:paraId="3ACFD763" w14:textId="0CB63227" w:rsidR="00B67213" w:rsidRPr="00B67213" w:rsidRDefault="00B67213" w:rsidP="00B67213">
      <w:pPr>
        <w:pStyle w:val="TableFigureFooter"/>
        <w:keepNext/>
        <w:spacing w:after="0"/>
        <w:contextualSpacing w:val="0"/>
        <w:rPr>
          <w:i/>
          <w:szCs w:val="18"/>
        </w:rPr>
      </w:pPr>
      <w:r>
        <w:rPr>
          <w:i/>
          <w:szCs w:val="18"/>
          <w:vertAlign w:val="superscript"/>
        </w:rPr>
        <w:t>7</w:t>
      </w:r>
      <w:r w:rsidRPr="00B67213">
        <w:rPr>
          <w:i/>
          <w:szCs w:val="18"/>
        </w:rPr>
        <w:t xml:space="preserve"> $</w:t>
      </w:r>
      <w:r>
        <w:rPr>
          <w:i/>
          <w:szCs w:val="18"/>
        </w:rPr>
        <w:t>2</w:t>
      </w:r>
      <w:r w:rsidRPr="00B67213">
        <w:rPr>
          <w:i/>
          <w:szCs w:val="18"/>
        </w:rPr>
        <w:t>55,000 to &lt; $</w:t>
      </w:r>
      <w:r>
        <w:rPr>
          <w:i/>
          <w:szCs w:val="18"/>
        </w:rPr>
        <w:t>3</w:t>
      </w:r>
      <w:r w:rsidRPr="00B67213">
        <w:rPr>
          <w:i/>
          <w:szCs w:val="18"/>
        </w:rPr>
        <w:t>55,000</w:t>
      </w:r>
    </w:p>
    <w:p w14:paraId="442E9FC9" w14:textId="77777777" w:rsidR="00B67213" w:rsidRPr="00DA23EE" w:rsidRDefault="00B67213" w:rsidP="00B67213">
      <w:pPr>
        <w:pStyle w:val="TableFigureFooter"/>
        <w:keepNext/>
        <w:spacing w:after="0"/>
        <w:contextualSpacing w:val="0"/>
      </w:pPr>
    </w:p>
    <w:p w14:paraId="4ED8EAC4" w14:textId="15C758B1" w:rsidR="001134F5" w:rsidRPr="001134F5" w:rsidRDefault="006E27B2" w:rsidP="001134F5">
      <w:pPr>
        <w:pStyle w:val="3-BodyText"/>
      </w:pPr>
      <w:bookmarkStart w:id="84" w:name="_Hlk103759273"/>
      <w:r w:rsidRPr="00AE2F09">
        <w:t>P</w:t>
      </w:r>
      <w:r w:rsidR="00DB09F9" w:rsidRPr="00AE2F09">
        <w:t>robabilistic sensitivity analyses around baseline blood-Phe</w:t>
      </w:r>
      <w:r w:rsidRPr="00AE2F09">
        <w:t xml:space="preserve"> demonstrated that it was a key driver of the model</w:t>
      </w:r>
      <w:r w:rsidR="00DB09F9" w:rsidRPr="00AE2F09">
        <w:t>.</w:t>
      </w:r>
      <w:r w:rsidR="00D35F7D" w:rsidRPr="00AE2F09">
        <w:t xml:space="preserve"> </w:t>
      </w:r>
      <w:bookmarkEnd w:id="84"/>
      <w:r w:rsidR="00D35F7D" w:rsidRPr="001134F5">
        <w:rPr>
          <w:rFonts w:cstheme="minorHAnsi"/>
        </w:rPr>
        <w:t xml:space="preserve">For example, using the 25th percentiles of baseline Phe, with a value of 953.93 µmol/L, increased the ICER by </w:t>
      </w:r>
      <w:r w:rsidR="00A50075" w:rsidRPr="001134F5">
        <w:rPr>
          <w:rFonts w:cstheme="minorHAnsi"/>
        </w:rPr>
        <w:t>84</w:t>
      </w:r>
      <w:r w:rsidR="00D35F7D" w:rsidRPr="001134F5">
        <w:rPr>
          <w:rFonts w:cstheme="minorHAnsi"/>
        </w:rPr>
        <w:t>%.</w:t>
      </w:r>
      <w:r w:rsidR="001134F5" w:rsidRPr="001134F5">
        <w:rPr>
          <w:rFonts w:cstheme="minorHAnsi"/>
        </w:rPr>
        <w:t xml:space="preserve"> </w:t>
      </w:r>
      <w:r w:rsidR="001134F5">
        <w:t>T</w:t>
      </w:r>
      <w:r w:rsidR="00AC1C14" w:rsidRPr="00AE2F09">
        <w:t xml:space="preserve">he </w:t>
      </w:r>
      <w:r w:rsidR="001134F5">
        <w:t xml:space="preserve">univariate </w:t>
      </w:r>
      <w:r w:rsidR="00AC1C14" w:rsidRPr="00AE2F09">
        <w:t xml:space="preserve">sensitivity analyses showed that </w:t>
      </w:r>
      <w:r w:rsidR="001134F5">
        <w:t xml:space="preserve">other </w:t>
      </w:r>
      <w:r w:rsidR="00AC1C14" w:rsidRPr="00AE2F09">
        <w:t xml:space="preserve">key drivers of the model were the dosage, time horizon, </w:t>
      </w:r>
      <w:r w:rsidR="00283321">
        <w:t xml:space="preserve">the </w:t>
      </w:r>
      <w:r w:rsidR="00AC1C14" w:rsidRPr="00AE2F09">
        <w:t xml:space="preserve">assumption </w:t>
      </w:r>
      <w:r w:rsidR="00283321">
        <w:t>that</w:t>
      </w:r>
      <w:r w:rsidR="00AC1C14" w:rsidRPr="00AE2F09">
        <w:t xml:space="preserve"> pegvaliase responders </w:t>
      </w:r>
      <w:r w:rsidR="00283321">
        <w:t xml:space="preserve">would </w:t>
      </w:r>
      <w:r w:rsidR="00AC1C14" w:rsidRPr="00AE2F09">
        <w:t>achiev</w:t>
      </w:r>
      <w:r w:rsidR="00283321">
        <w:t>e</w:t>
      </w:r>
      <w:r w:rsidR="00AC1C14" w:rsidRPr="00AE2F09">
        <w:t xml:space="preserve"> a blood-Phe of 261 </w:t>
      </w:r>
      <w:r w:rsidR="00AC1C14" w:rsidRPr="001134F5">
        <w:rPr>
          <w:rFonts w:cs="Calibri"/>
        </w:rPr>
        <w:t>µ</w:t>
      </w:r>
      <w:r w:rsidR="00AC1C14" w:rsidRPr="00AE2F09">
        <w:t xml:space="preserve">mol/L </w:t>
      </w:r>
      <w:r w:rsidR="001134F5">
        <w:t>and</w:t>
      </w:r>
      <w:r w:rsidR="00AC1C14" w:rsidRPr="00AE2F09">
        <w:t xml:space="preserve"> the utilities used</w:t>
      </w:r>
      <w:r w:rsidR="001134F5">
        <w:t>.</w:t>
      </w:r>
      <w:r w:rsidR="001134F5" w:rsidRPr="001134F5">
        <w:rPr>
          <w:i/>
          <w:iCs/>
        </w:rPr>
        <w:t xml:space="preserve"> </w:t>
      </w:r>
    </w:p>
    <w:p w14:paraId="6EB64D94" w14:textId="1BA2432A" w:rsidR="001134F5" w:rsidRPr="000764C2" w:rsidRDefault="001134F5" w:rsidP="001134F5">
      <w:pPr>
        <w:pStyle w:val="3-BodyText"/>
      </w:pPr>
      <w:r w:rsidRPr="000764C2">
        <w:t>The ESC considered that the univariate sensitivity analyses</w:t>
      </w:r>
      <w:r w:rsidR="00DA1798" w:rsidRPr="000764C2">
        <w:t xml:space="preserve"> (which adjust assumptions using the existing model structure)</w:t>
      </w:r>
      <w:r w:rsidRPr="000764C2">
        <w:t xml:space="preserve"> did not adequately demonstrate the </w:t>
      </w:r>
      <w:r w:rsidR="00DA1798" w:rsidRPr="000764C2">
        <w:t>substantial</w:t>
      </w:r>
      <w:r w:rsidR="00752750" w:rsidRPr="000764C2">
        <w:t xml:space="preserve"> </w:t>
      </w:r>
      <w:r w:rsidRPr="000764C2">
        <w:t>uncertainty with the model</w:t>
      </w:r>
      <w:r w:rsidR="00DA1798" w:rsidRPr="000764C2">
        <w:t xml:space="preserve">, given the issues with the underlying data and </w:t>
      </w:r>
      <w:r w:rsidR="00C66579" w:rsidRPr="000764C2">
        <w:t>the model structure</w:t>
      </w:r>
      <w:r w:rsidRPr="000764C2">
        <w:t xml:space="preserve">. </w:t>
      </w:r>
    </w:p>
    <w:p w14:paraId="4A70162A" w14:textId="701DEBE9" w:rsidR="00633CEB" w:rsidRPr="00AE2F09" w:rsidRDefault="00633CEB" w:rsidP="002E1784">
      <w:pPr>
        <w:pStyle w:val="3-BodyText"/>
      </w:pPr>
      <w:r w:rsidRPr="00AE2F09">
        <w:t xml:space="preserve">During the evaluation, as an exploratory analysis, an ICER comparing pegvaliase with sapropterin was </w:t>
      </w:r>
      <w:r w:rsidR="002E1784" w:rsidRPr="00AE2F09">
        <w:t xml:space="preserve">calculated using the base case QALY and </w:t>
      </w:r>
      <w:r w:rsidR="008253B5" w:rsidRPr="00AE2F09">
        <w:t>c</w:t>
      </w:r>
      <w:r w:rsidR="002E1784" w:rsidRPr="00AE2F09">
        <w:t>osts for each treatment as estimated by the submission. An ICER of $</w:t>
      </w:r>
      <w:r w:rsidR="001C0D60" w:rsidRPr="001C0D60">
        <w:t>655,000 to &lt; $755,000</w:t>
      </w:r>
      <w:r w:rsidR="002E1784" w:rsidRPr="00AE2F09">
        <w:t>/QALY was estimated. However</w:t>
      </w:r>
      <w:r w:rsidR="008253B5" w:rsidRPr="00AE2F09">
        <w:t>,</w:t>
      </w:r>
      <w:r w:rsidR="002E1784" w:rsidRPr="00AE2F09">
        <w:t xml:space="preserve"> this </w:t>
      </w:r>
      <w:r w:rsidR="00C0601D" w:rsidRPr="00AE2F09">
        <w:t xml:space="preserve">result should be interpreted with caution given the </w:t>
      </w:r>
      <w:r w:rsidR="00EF7684" w:rsidRPr="00AE2F09">
        <w:t xml:space="preserve">issues </w:t>
      </w:r>
      <w:r w:rsidR="00C0601D" w:rsidRPr="00AE2F09">
        <w:t>associated with the model</w:t>
      </w:r>
      <w:r w:rsidR="00EF7684" w:rsidRPr="00AE2F09">
        <w:t xml:space="preserve"> identified above. </w:t>
      </w:r>
    </w:p>
    <w:p w14:paraId="3909C9F5" w14:textId="2CB63013" w:rsidR="00774AF7" w:rsidRPr="00694CC1" w:rsidRDefault="00774AF7" w:rsidP="00774AF7">
      <w:pPr>
        <w:pStyle w:val="4-SubsectionHeading"/>
        <w:rPr>
          <w:iCs/>
        </w:rPr>
      </w:pPr>
      <w:bookmarkStart w:id="85" w:name="_Toc22897646"/>
      <w:bookmarkStart w:id="86" w:name="_Toc103770003"/>
      <w:r w:rsidRPr="00694CC1">
        <w:rPr>
          <w:iCs/>
        </w:rPr>
        <w:t>Drug cost/patient/year</w:t>
      </w:r>
      <w:bookmarkEnd w:id="85"/>
      <w:r w:rsidRPr="00694CC1">
        <w:rPr>
          <w:iCs/>
        </w:rPr>
        <w:t>: $</w:t>
      </w:r>
      <w:bookmarkEnd w:id="86"/>
      <w:r w:rsidR="00EC6944" w:rsidRPr="00EC6944">
        <w:rPr>
          <w:iCs/>
          <w:color w:val="000000"/>
          <w:spacing w:val="0"/>
          <w:w w:val="48"/>
          <w:kern w:val="0"/>
          <w:shd w:val="solid" w:color="000000" w:fill="000000"/>
          <w:fitText w:val="581" w:id="-1436265214"/>
          <w14:textFill>
            <w14:solidFill>
              <w14:srgbClr w14:val="000000">
                <w14:alpha w14:val="100000"/>
              </w14:srgbClr>
            </w14:solidFill>
          </w14:textFill>
        </w:rPr>
        <w:t>||||  |||</w:t>
      </w:r>
      <w:r w:rsidR="00EC6944" w:rsidRPr="00EC6944">
        <w:rPr>
          <w:iCs/>
          <w:color w:val="000000"/>
          <w:spacing w:val="9"/>
          <w:w w:val="48"/>
          <w:kern w:val="0"/>
          <w:shd w:val="solid" w:color="000000" w:fill="000000"/>
          <w:fitText w:val="581" w:id="-1436265214"/>
          <w14:textFill>
            <w14:solidFill>
              <w14:srgbClr w14:val="000000">
                <w14:alpha w14:val="100000"/>
              </w14:srgbClr>
            </w14:solidFill>
          </w14:textFill>
        </w:rPr>
        <w:t>|</w:t>
      </w:r>
    </w:p>
    <w:p w14:paraId="47959EC2" w14:textId="0C97790D" w:rsidR="00774AF7" w:rsidRPr="00AE2F09" w:rsidRDefault="00513716" w:rsidP="00513716">
      <w:pPr>
        <w:pStyle w:val="TableFigureHeading"/>
        <w:rPr>
          <w:rStyle w:val="CommentReference"/>
          <w:b/>
          <w:szCs w:val="24"/>
        </w:rPr>
      </w:pPr>
      <w:r w:rsidRPr="00AE2F09">
        <w:rPr>
          <w:rStyle w:val="CommentReference"/>
          <w:b/>
          <w:bCs w:val="0"/>
          <w:szCs w:val="24"/>
        </w:rPr>
        <w:t xml:space="preserve">Table </w:t>
      </w:r>
      <w:r w:rsidRPr="00AE2F09">
        <w:rPr>
          <w:rStyle w:val="CommentReference"/>
          <w:b/>
          <w:bCs w:val="0"/>
          <w:szCs w:val="24"/>
        </w:rPr>
        <w:fldChar w:fldCharType="begin"/>
      </w:r>
      <w:r w:rsidRPr="00AE2F09">
        <w:rPr>
          <w:rStyle w:val="CommentReference"/>
          <w:b/>
          <w:bCs w:val="0"/>
          <w:szCs w:val="24"/>
        </w:rPr>
        <w:instrText xml:space="preserve"> SEQ Table \* ARABIC </w:instrText>
      </w:r>
      <w:r w:rsidRPr="00AE2F09">
        <w:rPr>
          <w:rStyle w:val="CommentReference"/>
          <w:b/>
          <w:bCs w:val="0"/>
          <w:szCs w:val="24"/>
        </w:rPr>
        <w:fldChar w:fldCharType="separate"/>
      </w:r>
      <w:r w:rsidR="001162C8">
        <w:rPr>
          <w:rStyle w:val="CommentReference"/>
          <w:b/>
          <w:bCs w:val="0"/>
          <w:noProof/>
          <w:szCs w:val="24"/>
        </w:rPr>
        <w:t>18</w:t>
      </w:r>
      <w:r w:rsidRPr="00AE2F09">
        <w:rPr>
          <w:rStyle w:val="CommentReference"/>
          <w:b/>
          <w:bCs w:val="0"/>
          <w:szCs w:val="24"/>
        </w:rPr>
        <w:fldChar w:fldCharType="end"/>
      </w:r>
      <w:r w:rsidR="00774AF7" w:rsidRPr="00AE2F09">
        <w:rPr>
          <w:rStyle w:val="CommentReference"/>
          <w:b/>
          <w:bCs w:val="0"/>
          <w:szCs w:val="24"/>
        </w:rPr>
        <w:t>: Drug</w:t>
      </w:r>
      <w:r w:rsidR="00774AF7" w:rsidRPr="00AE2F09">
        <w:rPr>
          <w:rStyle w:val="CommentReference"/>
          <w:b/>
          <w:szCs w:val="24"/>
        </w:rPr>
        <w:t xml:space="preserve"> cost (maintenance dose) per patient for </w:t>
      </w:r>
      <w:r w:rsidR="00F54F8A" w:rsidRPr="00AE2F09">
        <w:rPr>
          <w:rStyle w:val="CommentReference"/>
          <w:b/>
          <w:szCs w:val="24"/>
        </w:rPr>
        <w:t xml:space="preserve">pegvaliase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70"/>
        <w:gridCol w:w="1955"/>
        <w:gridCol w:w="2750"/>
        <w:gridCol w:w="1942"/>
      </w:tblGrid>
      <w:tr w:rsidR="00774AF7" w:rsidRPr="00AE2F09" w14:paraId="553B67D7" w14:textId="77777777" w:rsidTr="00FD7CD0">
        <w:trPr>
          <w:cantSplit/>
          <w:tblHeader/>
          <w:jc w:val="center"/>
        </w:trPr>
        <w:tc>
          <w:tcPr>
            <w:tcW w:w="1314" w:type="pct"/>
            <w:shd w:val="clear" w:color="auto" w:fill="auto"/>
            <w:vAlign w:val="center"/>
          </w:tcPr>
          <w:p w14:paraId="51F861C0" w14:textId="77777777" w:rsidR="00774AF7" w:rsidRPr="00AE2F09" w:rsidRDefault="00774AF7" w:rsidP="00FD7CD0">
            <w:pPr>
              <w:pStyle w:val="In-tableHeading"/>
              <w:jc w:val="center"/>
              <w:rPr>
                <w:lang w:val="en-AU"/>
              </w:rPr>
            </w:pPr>
          </w:p>
        </w:tc>
        <w:tc>
          <w:tcPr>
            <w:tcW w:w="1084" w:type="pct"/>
            <w:shd w:val="clear" w:color="auto" w:fill="auto"/>
            <w:vAlign w:val="center"/>
          </w:tcPr>
          <w:p w14:paraId="40CAE475" w14:textId="77777777" w:rsidR="00774AF7" w:rsidRPr="00AE2F09" w:rsidRDefault="00774AF7" w:rsidP="00FD7CD0">
            <w:pPr>
              <w:pStyle w:val="In-tableHeading"/>
              <w:jc w:val="center"/>
              <w:rPr>
                <w:lang w:val="en-AU"/>
              </w:rPr>
            </w:pPr>
            <w:r w:rsidRPr="00AE2F09">
              <w:rPr>
                <w:lang w:val="en-AU"/>
              </w:rPr>
              <w:t>Trial dose and duration</w:t>
            </w:r>
          </w:p>
        </w:tc>
        <w:tc>
          <w:tcPr>
            <w:tcW w:w="1525" w:type="pct"/>
            <w:shd w:val="clear" w:color="auto" w:fill="auto"/>
            <w:vAlign w:val="center"/>
          </w:tcPr>
          <w:p w14:paraId="42AB30F3" w14:textId="77777777" w:rsidR="00774AF7" w:rsidRPr="00AE2F09" w:rsidRDefault="00774AF7" w:rsidP="00FD7CD0">
            <w:pPr>
              <w:pStyle w:val="In-tableHeading"/>
              <w:jc w:val="center"/>
              <w:rPr>
                <w:lang w:val="en-AU"/>
              </w:rPr>
            </w:pPr>
            <w:r w:rsidRPr="00AE2F09">
              <w:rPr>
                <w:lang w:val="en-AU"/>
              </w:rPr>
              <w:t>Model</w:t>
            </w:r>
          </w:p>
        </w:tc>
        <w:tc>
          <w:tcPr>
            <w:tcW w:w="1077" w:type="pct"/>
            <w:shd w:val="clear" w:color="auto" w:fill="auto"/>
            <w:vAlign w:val="center"/>
          </w:tcPr>
          <w:p w14:paraId="3C81A8F4" w14:textId="77777777" w:rsidR="00774AF7" w:rsidRPr="00AE2F09" w:rsidRDefault="00774AF7" w:rsidP="00FD7CD0">
            <w:pPr>
              <w:pStyle w:val="In-tableHeading"/>
              <w:jc w:val="center"/>
              <w:rPr>
                <w:lang w:val="en-AU"/>
              </w:rPr>
            </w:pPr>
            <w:r w:rsidRPr="00AE2F09">
              <w:rPr>
                <w:lang w:val="en-AU"/>
              </w:rPr>
              <w:t>Financial estimates</w:t>
            </w:r>
          </w:p>
        </w:tc>
      </w:tr>
      <w:tr w:rsidR="00774AF7" w:rsidRPr="00AE2F09" w14:paraId="0894CBB9" w14:textId="77777777" w:rsidTr="00FD7CD0">
        <w:trPr>
          <w:cantSplit/>
          <w:jc w:val="center"/>
        </w:trPr>
        <w:tc>
          <w:tcPr>
            <w:tcW w:w="1314" w:type="pct"/>
            <w:shd w:val="clear" w:color="auto" w:fill="auto"/>
            <w:vAlign w:val="center"/>
          </w:tcPr>
          <w:p w14:paraId="630B7CB8" w14:textId="77777777" w:rsidR="00774AF7" w:rsidRPr="00AE2F09" w:rsidRDefault="00774AF7" w:rsidP="00FD7CD0">
            <w:pPr>
              <w:pStyle w:val="TableText0"/>
            </w:pPr>
            <w:r w:rsidRPr="00AE2F09">
              <w:t>Mean maintenance dose</w:t>
            </w:r>
          </w:p>
        </w:tc>
        <w:tc>
          <w:tcPr>
            <w:tcW w:w="1084" w:type="pct"/>
            <w:shd w:val="clear" w:color="auto" w:fill="auto"/>
            <w:vAlign w:val="center"/>
          </w:tcPr>
          <w:p w14:paraId="4ABC81F9" w14:textId="04C8DE4A" w:rsidR="00774AF7" w:rsidRPr="00AE2F09" w:rsidRDefault="00FC14FD" w:rsidP="00FD7CD0">
            <w:pPr>
              <w:pStyle w:val="TableText0"/>
              <w:jc w:val="center"/>
            </w:pPr>
            <w:r w:rsidRPr="00AE2F09">
              <w:t>NR</w:t>
            </w:r>
          </w:p>
        </w:tc>
        <w:tc>
          <w:tcPr>
            <w:tcW w:w="2602" w:type="pct"/>
            <w:gridSpan w:val="2"/>
            <w:shd w:val="clear" w:color="auto" w:fill="auto"/>
            <w:vAlign w:val="center"/>
          </w:tcPr>
          <w:p w14:paraId="3CD31336" w14:textId="2A6E4A10" w:rsidR="00774AF7" w:rsidRPr="00AE2F09" w:rsidRDefault="00774AF7" w:rsidP="00FD7CD0">
            <w:pPr>
              <w:pStyle w:val="TableText0"/>
              <w:jc w:val="center"/>
            </w:pPr>
            <w:r w:rsidRPr="001245D1">
              <w:t>30.5</w:t>
            </w:r>
            <w:r w:rsidRPr="00AE2F09">
              <w:t xml:space="preserve"> mg/day</w:t>
            </w:r>
            <w:r w:rsidR="00FC14FD" w:rsidRPr="00AE2F09">
              <w:t xml:space="preserve"> ^</w:t>
            </w:r>
          </w:p>
        </w:tc>
      </w:tr>
      <w:tr w:rsidR="00774AF7" w:rsidRPr="00AE2F09" w14:paraId="5EBBD74D" w14:textId="77777777" w:rsidTr="00FD7CD0">
        <w:trPr>
          <w:cantSplit/>
          <w:jc w:val="center"/>
        </w:trPr>
        <w:tc>
          <w:tcPr>
            <w:tcW w:w="1314" w:type="pct"/>
            <w:shd w:val="clear" w:color="auto" w:fill="auto"/>
            <w:vAlign w:val="center"/>
          </w:tcPr>
          <w:p w14:paraId="4F582829" w14:textId="77777777" w:rsidR="00774AF7" w:rsidRPr="00AE2F09" w:rsidRDefault="00774AF7" w:rsidP="00FD7CD0">
            <w:pPr>
              <w:pStyle w:val="TableText0"/>
            </w:pPr>
            <w:r w:rsidRPr="00AE2F09">
              <w:t>Mean duration</w:t>
            </w:r>
          </w:p>
        </w:tc>
        <w:tc>
          <w:tcPr>
            <w:tcW w:w="1084" w:type="pct"/>
            <w:shd w:val="clear" w:color="auto" w:fill="auto"/>
            <w:vAlign w:val="center"/>
          </w:tcPr>
          <w:p w14:paraId="04099054" w14:textId="77777777" w:rsidR="00774AF7" w:rsidRPr="00AE2F09" w:rsidRDefault="00774AF7" w:rsidP="00FD7CD0">
            <w:pPr>
              <w:pStyle w:val="TableText0"/>
              <w:jc w:val="center"/>
            </w:pPr>
            <w:r w:rsidRPr="00AE2F09">
              <w:t>Trial ongoing</w:t>
            </w:r>
          </w:p>
        </w:tc>
        <w:tc>
          <w:tcPr>
            <w:tcW w:w="1525" w:type="pct"/>
            <w:shd w:val="clear" w:color="auto" w:fill="auto"/>
            <w:vAlign w:val="center"/>
          </w:tcPr>
          <w:p w14:paraId="7DF29B69" w14:textId="77777777" w:rsidR="00774AF7" w:rsidRPr="00AE2F09" w:rsidRDefault="00774AF7" w:rsidP="00FD7CD0">
            <w:pPr>
              <w:pStyle w:val="TableText0"/>
              <w:jc w:val="center"/>
            </w:pPr>
            <w:r w:rsidRPr="00AE2F09">
              <w:t>NR</w:t>
            </w:r>
          </w:p>
        </w:tc>
        <w:tc>
          <w:tcPr>
            <w:tcW w:w="1077" w:type="pct"/>
            <w:shd w:val="clear" w:color="auto" w:fill="auto"/>
            <w:vAlign w:val="center"/>
          </w:tcPr>
          <w:p w14:paraId="5F41147D" w14:textId="77777777" w:rsidR="00774AF7" w:rsidRPr="00AE2F09" w:rsidRDefault="00774AF7" w:rsidP="00FD7CD0">
            <w:pPr>
              <w:pStyle w:val="TableText0"/>
              <w:jc w:val="center"/>
            </w:pPr>
            <w:r w:rsidRPr="00AE2F09">
              <w:t>NR</w:t>
            </w:r>
          </w:p>
        </w:tc>
      </w:tr>
      <w:tr w:rsidR="00774AF7" w:rsidRPr="00AE2F09" w14:paraId="27C38C5B" w14:textId="77777777" w:rsidTr="00FD7CD0">
        <w:trPr>
          <w:cantSplit/>
          <w:jc w:val="center"/>
        </w:trPr>
        <w:tc>
          <w:tcPr>
            <w:tcW w:w="1314" w:type="pct"/>
            <w:shd w:val="clear" w:color="auto" w:fill="auto"/>
            <w:vAlign w:val="center"/>
          </w:tcPr>
          <w:p w14:paraId="673F8148" w14:textId="77777777" w:rsidR="00774AF7" w:rsidRPr="00AE2F09" w:rsidRDefault="00774AF7" w:rsidP="00FD7CD0">
            <w:pPr>
              <w:pStyle w:val="TableText0"/>
            </w:pPr>
            <w:r w:rsidRPr="00AE2F09">
              <w:t>Cost/patient/week</w:t>
            </w:r>
          </w:p>
        </w:tc>
        <w:tc>
          <w:tcPr>
            <w:tcW w:w="1084" w:type="pct"/>
            <w:shd w:val="clear" w:color="auto" w:fill="auto"/>
            <w:vAlign w:val="center"/>
          </w:tcPr>
          <w:p w14:paraId="0A4F9EF8" w14:textId="77777777" w:rsidR="00774AF7" w:rsidRPr="00AE2F09" w:rsidRDefault="00774AF7" w:rsidP="00FD7CD0">
            <w:pPr>
              <w:pStyle w:val="TableText0"/>
              <w:jc w:val="center"/>
            </w:pPr>
            <w:r w:rsidRPr="00AE2F09">
              <w:t>NC</w:t>
            </w:r>
          </w:p>
        </w:tc>
        <w:tc>
          <w:tcPr>
            <w:tcW w:w="2602" w:type="pct"/>
            <w:gridSpan w:val="2"/>
            <w:shd w:val="clear" w:color="auto" w:fill="auto"/>
            <w:vAlign w:val="center"/>
          </w:tcPr>
          <w:p w14:paraId="2B925494" w14:textId="5869AA63" w:rsidR="00774AF7" w:rsidRPr="00AE2F09" w:rsidRDefault="00774AF7" w:rsidP="00FD7CD0">
            <w:pPr>
              <w:pStyle w:val="TableText0"/>
              <w:jc w:val="center"/>
            </w:pPr>
            <w:r w:rsidRPr="00AE2F09">
              <w:t>$</w:t>
            </w:r>
            <w:r w:rsidR="00EC6944" w:rsidRPr="00EC6944">
              <w:rPr>
                <w:color w:val="000000"/>
                <w:shd w:val="solid" w:color="000000" w:fill="000000"/>
                <w14:textFill>
                  <w14:solidFill>
                    <w14:srgbClr w14:val="000000">
                      <w14:alpha w14:val="100000"/>
                    </w14:srgbClr>
                  </w14:solidFill>
                </w14:textFill>
              </w:rPr>
              <w:t>|</w:t>
            </w:r>
          </w:p>
        </w:tc>
      </w:tr>
    </w:tbl>
    <w:p w14:paraId="13EC49B1" w14:textId="641C003B" w:rsidR="00774AF7" w:rsidRPr="00AE2F09" w:rsidRDefault="00774AF7" w:rsidP="00774AF7">
      <w:pPr>
        <w:pStyle w:val="TableFigureFooter"/>
      </w:pPr>
      <w:r w:rsidRPr="00AE2F09">
        <w:t>Source: Section 3.6 of the submission; Section 3 workbook, sheet 3a of the utilisation-and-cost-model.</w:t>
      </w:r>
    </w:p>
    <w:p w14:paraId="2141CF05" w14:textId="141D8A7E" w:rsidR="00FC14FD" w:rsidRPr="00AE2F09" w:rsidRDefault="00FC14FD" w:rsidP="00774AF7">
      <w:pPr>
        <w:pStyle w:val="TableFigureFooter"/>
      </w:pPr>
      <w:r w:rsidRPr="00AE2F09">
        <w:t>^based on weighted dose of number of treatment days at each dosage, including titration period</w:t>
      </w:r>
      <w:r w:rsidR="00A55254" w:rsidRPr="00AE2F09">
        <w:t xml:space="preserve"> over five years</w:t>
      </w:r>
    </w:p>
    <w:p w14:paraId="6AD3BB7A" w14:textId="77777777" w:rsidR="00774AF7" w:rsidRPr="00AE2F09" w:rsidRDefault="00774AF7" w:rsidP="00CF2D0B">
      <w:pPr>
        <w:pStyle w:val="TableFigureFooter"/>
        <w:keepNext/>
        <w:keepLines/>
        <w:spacing w:after="240"/>
      </w:pPr>
      <w:r w:rsidRPr="00AE2F09">
        <w:t>NC = not calculable; NR = not reported</w:t>
      </w:r>
    </w:p>
    <w:p w14:paraId="57CC2FA7" w14:textId="0C5514E2" w:rsidR="00774AF7" w:rsidRPr="00AE2F09" w:rsidRDefault="00774AF7" w:rsidP="00774AF7">
      <w:pPr>
        <w:pStyle w:val="3-BodyText"/>
        <w:rPr>
          <w:snapToGrid/>
        </w:rPr>
      </w:pPr>
      <w:r w:rsidRPr="00AE2F09">
        <w:rPr>
          <w:snapToGrid/>
        </w:rPr>
        <w:t>The cost of pegvaliase per patient per year calculated in the submission was $</w:t>
      </w:r>
      <w:r w:rsidR="00EC6944" w:rsidRPr="00EC6944">
        <w:rPr>
          <w:snapToGrid/>
          <w:color w:val="000000"/>
          <w:w w:val="60"/>
          <w:shd w:val="solid" w:color="000000" w:fill="000000"/>
          <w:fitText w:val="465" w:id="-1436265213"/>
          <w14:textFill>
            <w14:solidFill>
              <w14:srgbClr w14:val="000000">
                <w14:alpha w14:val="100000"/>
              </w14:srgbClr>
            </w14:solidFill>
          </w14:textFill>
        </w:rPr>
        <w:t>|||  ||</w:t>
      </w:r>
      <w:r w:rsidR="00EC6944" w:rsidRPr="00EC6944">
        <w:rPr>
          <w:snapToGrid/>
          <w:color w:val="000000"/>
          <w:spacing w:val="1"/>
          <w:w w:val="60"/>
          <w:shd w:val="solid" w:color="000000" w:fill="000000"/>
          <w:fitText w:val="465" w:id="-1436265213"/>
          <w14:textFill>
            <w14:solidFill>
              <w14:srgbClr w14:val="000000">
                <w14:alpha w14:val="100000"/>
              </w14:srgbClr>
            </w14:solidFill>
          </w14:textFill>
        </w:rPr>
        <w:t>|</w:t>
      </w:r>
      <w:r w:rsidR="00FC14FD" w:rsidRPr="00AE2F09">
        <w:rPr>
          <w:snapToGrid/>
        </w:rPr>
        <w:t>.</w:t>
      </w:r>
      <w:r w:rsidRPr="00AE2F09">
        <w:rPr>
          <w:snapToGrid/>
        </w:rPr>
        <w:t xml:space="preserve"> </w:t>
      </w:r>
      <w:r w:rsidR="00FC14FD" w:rsidRPr="00AE2F09">
        <w:rPr>
          <w:snapToGrid/>
        </w:rPr>
        <w:t xml:space="preserve">This calculation was based on a maintenance dose of </w:t>
      </w:r>
      <w:r w:rsidR="00FC14FD" w:rsidRPr="001245D1">
        <w:rPr>
          <w:snapToGrid/>
        </w:rPr>
        <w:t>30.5</w:t>
      </w:r>
      <w:r w:rsidR="00FC14FD" w:rsidRPr="00AE2F09">
        <w:rPr>
          <w:snapToGrid/>
        </w:rPr>
        <w:t xml:space="preserve"> mg/day, and 52 weeks of treatment at a cost of $</w:t>
      </w:r>
      <w:r w:rsidR="00EC6944" w:rsidRPr="00A25F6C">
        <w:rPr>
          <w:snapToGrid/>
          <w:color w:val="000000"/>
          <w:w w:val="15"/>
          <w:shd w:val="solid" w:color="000000" w:fill="000000"/>
          <w:fitText w:val="-20" w:id="-1436265212"/>
          <w14:textFill>
            <w14:solidFill>
              <w14:srgbClr w14:val="000000">
                <w14:alpha w14:val="100000"/>
              </w14:srgbClr>
            </w14:solidFill>
          </w14:textFill>
        </w:rPr>
        <w:t xml:space="preserve">|  </w:t>
      </w:r>
      <w:r w:rsidR="00EC6944" w:rsidRPr="00A25F6C">
        <w:rPr>
          <w:snapToGrid/>
          <w:color w:val="000000"/>
          <w:spacing w:val="-69"/>
          <w:w w:val="15"/>
          <w:shd w:val="solid" w:color="000000" w:fill="000000"/>
          <w:fitText w:val="-20" w:id="-1436265212"/>
          <w14:textFill>
            <w14:solidFill>
              <w14:srgbClr w14:val="000000">
                <w14:alpha w14:val="100000"/>
              </w14:srgbClr>
            </w14:solidFill>
          </w14:textFill>
        </w:rPr>
        <w:t>|</w:t>
      </w:r>
      <w:r w:rsidR="00FC14FD" w:rsidRPr="00AE2F09">
        <w:rPr>
          <w:snapToGrid/>
        </w:rPr>
        <w:t xml:space="preserve"> per week. </w:t>
      </w:r>
    </w:p>
    <w:p w14:paraId="2CC2BB09" w14:textId="6FB16954" w:rsidR="007F5179" w:rsidRPr="005D1692" w:rsidRDefault="007F5179" w:rsidP="00774AF7">
      <w:pPr>
        <w:pStyle w:val="3-BodyText"/>
        <w:rPr>
          <w:snapToGrid/>
        </w:rPr>
      </w:pPr>
      <w:r w:rsidRPr="005D1692">
        <w:rPr>
          <w:snapToGrid/>
        </w:rPr>
        <w:t>For reference,</w:t>
      </w:r>
      <w:r w:rsidR="001E1FBA" w:rsidRPr="005D1692">
        <w:rPr>
          <w:snapToGrid/>
        </w:rPr>
        <w:t xml:space="preserve"> the cost of sapropterin </w:t>
      </w:r>
      <w:r w:rsidR="00941A9A" w:rsidRPr="005D1692">
        <w:rPr>
          <w:snapToGrid/>
        </w:rPr>
        <w:t>for an</w:t>
      </w:r>
      <w:r w:rsidR="001E1FBA" w:rsidRPr="005D1692">
        <w:rPr>
          <w:snapToGrid/>
        </w:rPr>
        <w:t xml:space="preserve"> adult was $</w:t>
      </w:r>
      <w:r w:rsidR="00EC6944" w:rsidRPr="00EC6944">
        <w:rPr>
          <w:snapToGrid/>
          <w:color w:val="000000"/>
          <w:w w:val="61"/>
          <w:shd w:val="solid" w:color="000000" w:fill="000000"/>
          <w:fitText w:val="473" w:id="-1436265211"/>
          <w14:textFill>
            <w14:solidFill>
              <w14:srgbClr w14:val="000000">
                <w14:alpha w14:val="100000"/>
              </w14:srgbClr>
            </w14:solidFill>
          </w14:textFill>
        </w:rPr>
        <w:t>|||  ||</w:t>
      </w:r>
      <w:r w:rsidR="00EC6944" w:rsidRPr="00EC6944">
        <w:rPr>
          <w:snapToGrid/>
          <w:color w:val="000000"/>
          <w:spacing w:val="3"/>
          <w:w w:val="61"/>
          <w:shd w:val="solid" w:color="000000" w:fill="000000"/>
          <w:fitText w:val="473" w:id="-1436265211"/>
          <w14:textFill>
            <w14:solidFill>
              <w14:srgbClr w14:val="000000">
                <w14:alpha w14:val="100000"/>
              </w14:srgbClr>
            </w14:solidFill>
          </w14:textFill>
        </w:rPr>
        <w:t>|</w:t>
      </w:r>
      <w:r w:rsidR="001E1FBA" w:rsidRPr="005D1692">
        <w:rPr>
          <w:snapToGrid/>
        </w:rPr>
        <w:t xml:space="preserve"> </w:t>
      </w:r>
      <w:r w:rsidR="00941A9A" w:rsidRPr="005D1692">
        <w:rPr>
          <w:snapToGrid/>
        </w:rPr>
        <w:t xml:space="preserve">per year </w:t>
      </w:r>
      <w:r w:rsidR="001E1FBA" w:rsidRPr="005D1692">
        <w:rPr>
          <w:snapToGrid/>
        </w:rPr>
        <w:t xml:space="preserve">inclusive of the proposed </w:t>
      </w:r>
      <w:r w:rsidR="00134DD3" w:rsidRPr="005D1692">
        <w:rPr>
          <w:snapToGrid/>
        </w:rPr>
        <w:t>risk sharing arrangement (</w:t>
      </w:r>
      <w:r w:rsidR="001E1FBA" w:rsidRPr="005D1692">
        <w:rPr>
          <w:snapToGrid/>
        </w:rPr>
        <w:t>RSA</w:t>
      </w:r>
      <w:r w:rsidR="00134DD3" w:rsidRPr="005D1692">
        <w:rPr>
          <w:snapToGrid/>
        </w:rPr>
        <w:t>)</w:t>
      </w:r>
      <w:r w:rsidR="001E1FBA" w:rsidRPr="005D1692">
        <w:rPr>
          <w:snapToGrid/>
        </w:rPr>
        <w:t xml:space="preserve">, wherein expenditure caps were based on a maximum patient weight of </w:t>
      </w:r>
      <w:r w:rsidR="00EC6944" w:rsidRPr="00A25F6C">
        <w:rPr>
          <w:snapToGrid/>
          <w:color w:val="000000"/>
          <w:w w:val="15"/>
          <w:shd w:val="solid" w:color="000000" w:fill="000000"/>
          <w:fitText w:val="-20" w:id="-1436265210"/>
          <w14:textFill>
            <w14:solidFill>
              <w14:srgbClr w14:val="000000">
                <w14:alpha w14:val="100000"/>
              </w14:srgbClr>
            </w14:solidFill>
          </w14:textFill>
        </w:rPr>
        <w:t xml:space="preserve">|  </w:t>
      </w:r>
      <w:r w:rsidR="00EC6944" w:rsidRPr="00A25F6C">
        <w:rPr>
          <w:snapToGrid/>
          <w:color w:val="000000"/>
          <w:spacing w:val="-69"/>
          <w:w w:val="15"/>
          <w:shd w:val="solid" w:color="000000" w:fill="000000"/>
          <w:fitText w:val="-20" w:id="-1436265210"/>
          <w14:textFill>
            <w14:solidFill>
              <w14:srgbClr w14:val="000000">
                <w14:alpha w14:val="100000"/>
              </w14:srgbClr>
            </w14:solidFill>
          </w14:textFill>
        </w:rPr>
        <w:t>|</w:t>
      </w:r>
      <w:r w:rsidR="00D9648C" w:rsidRPr="005D1692">
        <w:rPr>
          <w:snapToGrid/>
        </w:rPr>
        <w:t xml:space="preserve"> </w:t>
      </w:r>
      <w:r w:rsidR="001E1FBA" w:rsidRPr="005D1692">
        <w:rPr>
          <w:snapToGrid/>
        </w:rPr>
        <w:t xml:space="preserve">kg, </w:t>
      </w:r>
      <w:r w:rsidR="00134DD3" w:rsidRPr="005D1692">
        <w:rPr>
          <w:snapToGrid/>
        </w:rPr>
        <w:t xml:space="preserve">at </w:t>
      </w:r>
      <w:r w:rsidR="001E1FBA" w:rsidRPr="005D1692">
        <w:rPr>
          <w:snapToGrid/>
        </w:rPr>
        <w:t>a dose of 20</w:t>
      </w:r>
      <w:r w:rsidR="00D9648C" w:rsidRPr="005D1692">
        <w:rPr>
          <w:snapToGrid/>
        </w:rPr>
        <w:t xml:space="preserve"> </w:t>
      </w:r>
      <w:r w:rsidR="001E1FBA" w:rsidRPr="005D1692">
        <w:rPr>
          <w:snapToGrid/>
        </w:rPr>
        <w:t>mg/kg</w:t>
      </w:r>
      <w:r w:rsidR="00A3095B" w:rsidRPr="005D1692">
        <w:rPr>
          <w:snapToGrid/>
        </w:rPr>
        <w:t xml:space="preserve"> (based on the price requested in the sapropterin submission)</w:t>
      </w:r>
      <w:r w:rsidR="00134DD3" w:rsidRPr="005D1692">
        <w:rPr>
          <w:snapToGrid/>
        </w:rPr>
        <w:t>. Using average weight in Australian adults and assuming 40% male, the cost w</w:t>
      </w:r>
      <w:r w:rsidR="00941A9A" w:rsidRPr="005D1692">
        <w:rPr>
          <w:snapToGrid/>
        </w:rPr>
        <w:t>ould be</w:t>
      </w:r>
      <w:r w:rsidR="00134DD3" w:rsidRPr="005D1692">
        <w:rPr>
          <w:snapToGrid/>
        </w:rPr>
        <w:t xml:space="preserve"> $</w:t>
      </w:r>
      <w:r w:rsidR="00EC6944" w:rsidRPr="00A25F6C">
        <w:rPr>
          <w:snapToGrid/>
          <w:color w:val="000000"/>
          <w:w w:val="15"/>
          <w:shd w:val="solid" w:color="000000" w:fill="000000"/>
          <w:fitText w:val="-20" w:id="-1436265209"/>
          <w14:textFill>
            <w14:solidFill>
              <w14:srgbClr w14:val="000000">
                <w14:alpha w14:val="100000"/>
              </w14:srgbClr>
            </w14:solidFill>
          </w14:textFill>
        </w:rPr>
        <w:t xml:space="preserve">|  </w:t>
      </w:r>
      <w:r w:rsidR="00EC6944" w:rsidRPr="00A25F6C">
        <w:rPr>
          <w:snapToGrid/>
          <w:color w:val="000000"/>
          <w:spacing w:val="-69"/>
          <w:w w:val="15"/>
          <w:shd w:val="solid" w:color="000000" w:fill="000000"/>
          <w:fitText w:val="-20" w:id="-1436265209"/>
          <w14:textFill>
            <w14:solidFill>
              <w14:srgbClr w14:val="000000">
                <w14:alpha w14:val="100000"/>
              </w14:srgbClr>
            </w14:solidFill>
          </w14:textFill>
        </w:rPr>
        <w:t>|</w:t>
      </w:r>
      <w:r w:rsidR="00134DD3" w:rsidRPr="005D1692">
        <w:rPr>
          <w:snapToGrid/>
        </w:rPr>
        <w:t xml:space="preserve"> per year without the RSA.</w:t>
      </w:r>
    </w:p>
    <w:p w14:paraId="4F4D0F14" w14:textId="77777777" w:rsidR="00774AF7" w:rsidRPr="00694CC1" w:rsidRDefault="00774AF7" w:rsidP="00774AF7">
      <w:pPr>
        <w:pStyle w:val="4-SubsectionHeading"/>
        <w:rPr>
          <w:iCs/>
        </w:rPr>
      </w:pPr>
      <w:bookmarkStart w:id="87" w:name="_Toc22897647"/>
      <w:bookmarkStart w:id="88" w:name="_Toc103770004"/>
      <w:r w:rsidRPr="00694CC1">
        <w:rPr>
          <w:iCs/>
        </w:rPr>
        <w:t>Estimated PBS usage &amp; financial implications</w:t>
      </w:r>
      <w:bookmarkEnd w:id="87"/>
      <w:bookmarkEnd w:id="88"/>
    </w:p>
    <w:p w14:paraId="5AD63F7D" w14:textId="5B14E02C" w:rsidR="00540F22" w:rsidRPr="00475B6B" w:rsidRDefault="00540F22" w:rsidP="00540F22">
      <w:pPr>
        <w:pStyle w:val="3-BodyText"/>
      </w:pPr>
      <w:bookmarkStart w:id="89" w:name="_Toc22897649"/>
      <w:bookmarkStart w:id="90" w:name="_Toc103559801"/>
      <w:bookmarkStart w:id="91" w:name="_Toc103770006"/>
      <w:r w:rsidRPr="008312ED">
        <w:t xml:space="preserve">This submission </w:t>
      </w:r>
      <w:r>
        <w:t>was</w:t>
      </w:r>
      <w:r w:rsidRPr="008312ED">
        <w:t xml:space="preserve"> considered by DUSC. The submission </w:t>
      </w:r>
      <w:r w:rsidR="008A2983">
        <w:t>used</w:t>
      </w:r>
      <w:r w:rsidR="008A2983" w:rsidRPr="008312ED">
        <w:t xml:space="preserve"> </w:t>
      </w:r>
      <w:r w:rsidRPr="008312ED">
        <w:t xml:space="preserve">an epidemiological approach. </w:t>
      </w:r>
      <w:r w:rsidRPr="005715B0">
        <w:t>The financial estimates were based on the sponsor’s requested scenario which also included extending the existing sapropterin listing to allow initiation in adults</w:t>
      </w:r>
      <w:r w:rsidR="00C83A93" w:rsidRPr="00475B6B">
        <w:t xml:space="preserve"> (Item 6.09, July 2022 PBAC Meeting)</w:t>
      </w:r>
      <w:r w:rsidR="00F175D0">
        <w:t xml:space="preserve">. Further, the estimates were based on </w:t>
      </w:r>
      <w:r w:rsidR="00475B6B">
        <w:t xml:space="preserve">pegvaliase </w:t>
      </w:r>
      <w:r w:rsidR="00F175D0">
        <w:t>being restricted to use in</w:t>
      </w:r>
      <w:r w:rsidR="00475B6B">
        <w:t xml:space="preserve"> sapropterin non-responders only</w:t>
      </w:r>
      <w:r w:rsidR="00C83A93" w:rsidRPr="00475B6B">
        <w:t xml:space="preserve">. </w:t>
      </w:r>
    </w:p>
    <w:p w14:paraId="684E8A28" w14:textId="1547D7CB" w:rsidR="00540F22" w:rsidRPr="008312ED" w:rsidRDefault="00540F22" w:rsidP="00540F22">
      <w:pPr>
        <w:pStyle w:val="3-BodyText"/>
        <w:rPr>
          <w:rStyle w:val="CommentReference"/>
          <w:rFonts w:asciiTheme="minorHAnsi" w:hAnsiTheme="minorHAnsi"/>
          <w:b w:val="0"/>
          <w:sz w:val="24"/>
          <w:szCs w:val="24"/>
        </w:rPr>
      </w:pPr>
      <w:r w:rsidRPr="008312ED">
        <w:t xml:space="preserve">Key financial inputs for the financial estimates are presented in </w:t>
      </w:r>
      <w:r w:rsidRPr="008312ED">
        <w:fldChar w:fldCharType="begin"/>
      </w:r>
      <w:r w:rsidRPr="008312ED">
        <w:instrText xml:space="preserve"> REF _Ref103058407 \h  \* MERGEFORMAT </w:instrText>
      </w:r>
      <w:r w:rsidRPr="008312ED">
        <w:fldChar w:fldCharType="separate"/>
      </w:r>
      <w:r w:rsidR="001162C8" w:rsidRPr="001162C8">
        <w:t>Table 19</w:t>
      </w:r>
      <w:r w:rsidRPr="008312ED">
        <w:fldChar w:fldCharType="end"/>
      </w:r>
      <w:r w:rsidRPr="008312ED">
        <w:t xml:space="preserve">. </w:t>
      </w:r>
    </w:p>
    <w:p w14:paraId="28170204" w14:textId="6471C008" w:rsidR="00540F22" w:rsidRPr="008312ED" w:rsidRDefault="00540F22" w:rsidP="00973418">
      <w:pPr>
        <w:pStyle w:val="TableFigureHeading"/>
        <w:keepLines/>
        <w:rPr>
          <w:rStyle w:val="CommentReference"/>
          <w:b/>
          <w:bCs w:val="0"/>
          <w:szCs w:val="24"/>
        </w:rPr>
      </w:pPr>
      <w:bookmarkStart w:id="92" w:name="_Ref103058407"/>
      <w:r w:rsidRPr="008312ED">
        <w:rPr>
          <w:rStyle w:val="CommentReference"/>
          <w:b/>
          <w:szCs w:val="24"/>
        </w:rPr>
        <w:t xml:space="preserve">Table </w:t>
      </w:r>
      <w:r w:rsidRPr="008312ED">
        <w:rPr>
          <w:rStyle w:val="CommentReference"/>
          <w:b/>
          <w:szCs w:val="24"/>
        </w:rPr>
        <w:fldChar w:fldCharType="begin"/>
      </w:r>
      <w:r w:rsidRPr="008312ED">
        <w:rPr>
          <w:rStyle w:val="CommentReference"/>
          <w:b/>
          <w:szCs w:val="24"/>
        </w:rPr>
        <w:instrText xml:space="preserve"> SEQ Table \* ARABIC </w:instrText>
      </w:r>
      <w:r w:rsidRPr="008312ED">
        <w:rPr>
          <w:rStyle w:val="CommentReference"/>
          <w:b/>
          <w:szCs w:val="24"/>
        </w:rPr>
        <w:fldChar w:fldCharType="separate"/>
      </w:r>
      <w:r w:rsidR="001162C8">
        <w:rPr>
          <w:rStyle w:val="CommentReference"/>
          <w:b/>
          <w:noProof/>
          <w:szCs w:val="24"/>
        </w:rPr>
        <w:t>19</w:t>
      </w:r>
      <w:r w:rsidRPr="008312ED">
        <w:rPr>
          <w:rStyle w:val="CommentReference"/>
          <w:b/>
          <w:szCs w:val="24"/>
        </w:rPr>
        <w:fldChar w:fldCharType="end"/>
      </w:r>
      <w:bookmarkEnd w:id="92"/>
      <w:r w:rsidR="00B75228">
        <w:rPr>
          <w:rStyle w:val="CommentReference"/>
          <w:b/>
          <w:szCs w:val="24"/>
        </w:rPr>
        <w:t>:</w:t>
      </w:r>
      <w:r w:rsidRPr="008312ED">
        <w:rPr>
          <w:rStyle w:val="CommentReference"/>
          <w:b/>
          <w:szCs w:val="24"/>
        </w:rPr>
        <w:t xml:space="preserve"> Key</w:t>
      </w:r>
      <w:r w:rsidRPr="008312ED">
        <w:rPr>
          <w:rStyle w:val="CommentReference"/>
          <w:b/>
          <w:bCs w:val="0"/>
          <w:szCs w:val="24"/>
        </w:rPr>
        <w:t xml:space="preserve">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54"/>
        <w:gridCol w:w="2269"/>
        <w:gridCol w:w="5194"/>
      </w:tblGrid>
      <w:tr w:rsidR="0020741D" w:rsidRPr="00540F22" w14:paraId="2148BEE5" w14:textId="1C87B8D1" w:rsidTr="0020741D">
        <w:trPr>
          <w:cantSplit/>
          <w:tblHeader/>
        </w:trPr>
        <w:tc>
          <w:tcPr>
            <w:tcW w:w="862" w:type="pct"/>
            <w:shd w:val="clear" w:color="auto" w:fill="auto"/>
            <w:vAlign w:val="center"/>
          </w:tcPr>
          <w:p w14:paraId="15B512FF" w14:textId="77777777" w:rsidR="0020741D" w:rsidRPr="00540F22" w:rsidRDefault="0020741D" w:rsidP="00973418">
            <w:pPr>
              <w:pStyle w:val="In-tableHeading"/>
              <w:keepLines/>
              <w:rPr>
                <w:lang w:val="en-AU"/>
              </w:rPr>
            </w:pPr>
            <w:r w:rsidRPr="00540F22">
              <w:rPr>
                <w:lang w:val="en-AU"/>
              </w:rPr>
              <w:t>Parameter</w:t>
            </w:r>
          </w:p>
        </w:tc>
        <w:tc>
          <w:tcPr>
            <w:tcW w:w="1258" w:type="pct"/>
            <w:shd w:val="clear" w:color="auto" w:fill="auto"/>
            <w:vAlign w:val="center"/>
          </w:tcPr>
          <w:p w14:paraId="5EA6754F" w14:textId="77777777" w:rsidR="0020741D" w:rsidRPr="00540F22" w:rsidRDefault="0020741D" w:rsidP="00973418">
            <w:pPr>
              <w:pStyle w:val="In-tableHeading"/>
              <w:keepLines/>
              <w:jc w:val="center"/>
              <w:rPr>
                <w:lang w:val="en-AU"/>
              </w:rPr>
            </w:pPr>
            <w:r w:rsidRPr="00540F22">
              <w:rPr>
                <w:lang w:val="en-AU"/>
              </w:rPr>
              <w:t>Value applied</w:t>
            </w:r>
          </w:p>
        </w:tc>
        <w:tc>
          <w:tcPr>
            <w:tcW w:w="2880" w:type="pct"/>
            <w:shd w:val="clear" w:color="auto" w:fill="auto"/>
            <w:vAlign w:val="center"/>
          </w:tcPr>
          <w:p w14:paraId="32EF4C24" w14:textId="77777777" w:rsidR="0020741D" w:rsidRPr="00540F22" w:rsidRDefault="0020741D" w:rsidP="00973418">
            <w:pPr>
              <w:pStyle w:val="In-tableHeading"/>
              <w:keepLines/>
              <w:jc w:val="center"/>
              <w:rPr>
                <w:lang w:val="en-AU"/>
              </w:rPr>
            </w:pPr>
            <w:r w:rsidRPr="00540F22">
              <w:rPr>
                <w:lang w:val="en-AU"/>
              </w:rPr>
              <w:t>Source/ Comment</w:t>
            </w:r>
          </w:p>
        </w:tc>
      </w:tr>
      <w:tr w:rsidR="0020741D" w:rsidRPr="00540F22" w14:paraId="48CBD16B" w14:textId="65DD7777" w:rsidTr="0020741D">
        <w:trPr>
          <w:cantSplit/>
        </w:trPr>
        <w:tc>
          <w:tcPr>
            <w:tcW w:w="862" w:type="pct"/>
            <w:shd w:val="clear" w:color="auto" w:fill="auto"/>
            <w:vAlign w:val="center"/>
          </w:tcPr>
          <w:p w14:paraId="7ED02B68" w14:textId="77777777" w:rsidR="0020741D" w:rsidRPr="00540F22" w:rsidRDefault="0020741D" w:rsidP="00973418">
            <w:pPr>
              <w:pStyle w:val="TableText0"/>
              <w:keepLines/>
            </w:pPr>
            <w:r w:rsidRPr="00540F22">
              <w:t>Prevalence of HPA</w:t>
            </w:r>
          </w:p>
        </w:tc>
        <w:tc>
          <w:tcPr>
            <w:tcW w:w="1258" w:type="pct"/>
            <w:shd w:val="clear" w:color="auto" w:fill="auto"/>
            <w:vAlign w:val="center"/>
          </w:tcPr>
          <w:p w14:paraId="131E3B48" w14:textId="77777777" w:rsidR="0020741D" w:rsidRPr="00540F22" w:rsidRDefault="0020741D" w:rsidP="00973418">
            <w:pPr>
              <w:pStyle w:val="TableText0"/>
              <w:keepLines/>
              <w:jc w:val="center"/>
            </w:pPr>
            <w:r w:rsidRPr="00540F22">
              <w:t>1 per 11,226</w:t>
            </w:r>
          </w:p>
        </w:tc>
        <w:tc>
          <w:tcPr>
            <w:tcW w:w="2880" w:type="pct"/>
            <w:shd w:val="clear" w:color="auto" w:fill="auto"/>
          </w:tcPr>
          <w:p w14:paraId="09D4EE6F" w14:textId="77777777" w:rsidR="0020741D" w:rsidRPr="00540F22" w:rsidRDefault="0020741D" w:rsidP="00973418">
            <w:pPr>
              <w:pStyle w:val="TableText0"/>
              <w:keepLines/>
            </w:pPr>
            <w:r w:rsidRPr="00540F22">
              <w:t>Boneh et al. (2006). This was consistent with the November 2018 submission.</w:t>
            </w:r>
          </w:p>
        </w:tc>
      </w:tr>
      <w:tr w:rsidR="0020741D" w:rsidRPr="00540F22" w14:paraId="16F444BD" w14:textId="4AE923CF" w:rsidTr="0020741D">
        <w:trPr>
          <w:cantSplit/>
        </w:trPr>
        <w:tc>
          <w:tcPr>
            <w:tcW w:w="862" w:type="pct"/>
            <w:shd w:val="clear" w:color="auto" w:fill="auto"/>
            <w:vAlign w:val="center"/>
          </w:tcPr>
          <w:p w14:paraId="4E2DDF72" w14:textId="77777777" w:rsidR="0020741D" w:rsidRPr="00540F22" w:rsidRDefault="0020741D" w:rsidP="00973418">
            <w:pPr>
              <w:pStyle w:val="TableText0"/>
              <w:keepLines/>
            </w:pPr>
            <w:r w:rsidRPr="00540F22">
              <w:t>PKU % of HPA</w:t>
            </w:r>
          </w:p>
        </w:tc>
        <w:tc>
          <w:tcPr>
            <w:tcW w:w="1258" w:type="pct"/>
            <w:shd w:val="clear" w:color="auto" w:fill="auto"/>
            <w:vAlign w:val="center"/>
          </w:tcPr>
          <w:p w14:paraId="50E1EFA1" w14:textId="77777777" w:rsidR="0020741D" w:rsidRPr="00585891" w:rsidRDefault="0020741D" w:rsidP="00973418">
            <w:pPr>
              <w:pStyle w:val="TableText0"/>
              <w:keepLines/>
              <w:jc w:val="center"/>
            </w:pPr>
            <w:r w:rsidRPr="00585891">
              <w:t>98.8%</w:t>
            </w:r>
          </w:p>
        </w:tc>
        <w:tc>
          <w:tcPr>
            <w:tcW w:w="2880" w:type="pct"/>
            <w:shd w:val="clear" w:color="auto" w:fill="auto"/>
          </w:tcPr>
          <w:p w14:paraId="06B2DDD1" w14:textId="77777777" w:rsidR="0020741D" w:rsidRPr="00540F22" w:rsidRDefault="0020741D" w:rsidP="00973418">
            <w:pPr>
              <w:pStyle w:val="TableText0"/>
              <w:keepLines/>
            </w:pPr>
            <w:r w:rsidRPr="00540F22">
              <w:t>Abadie et al. (2001). This was consistent with the November 2018 submission.</w:t>
            </w:r>
          </w:p>
        </w:tc>
      </w:tr>
      <w:tr w:rsidR="0020741D" w:rsidRPr="00540F22" w14:paraId="7AA73B2F" w14:textId="0C5D33E4" w:rsidTr="0020741D">
        <w:trPr>
          <w:cantSplit/>
        </w:trPr>
        <w:tc>
          <w:tcPr>
            <w:tcW w:w="862" w:type="pct"/>
            <w:shd w:val="clear" w:color="auto" w:fill="auto"/>
            <w:vAlign w:val="center"/>
          </w:tcPr>
          <w:p w14:paraId="33FDC7C6" w14:textId="77777777" w:rsidR="0020741D" w:rsidRPr="00540F22" w:rsidRDefault="0020741D" w:rsidP="00973418">
            <w:pPr>
              <w:pStyle w:val="Tabletext"/>
              <w:keepNext/>
              <w:keepLines/>
            </w:pPr>
            <w:r w:rsidRPr="00540F22">
              <w:t>Patients (%) under routine follow-up for PKU</w:t>
            </w:r>
          </w:p>
        </w:tc>
        <w:tc>
          <w:tcPr>
            <w:tcW w:w="1258" w:type="pct"/>
            <w:shd w:val="clear" w:color="auto" w:fill="auto"/>
            <w:vAlign w:val="center"/>
          </w:tcPr>
          <w:p w14:paraId="29E5CADA" w14:textId="77777777" w:rsidR="0020741D" w:rsidRPr="00585891" w:rsidRDefault="0020741D" w:rsidP="00973418">
            <w:pPr>
              <w:pStyle w:val="Tabletext"/>
              <w:keepNext/>
              <w:keepLines/>
              <w:jc w:val="center"/>
            </w:pPr>
            <w:r w:rsidRPr="00585891">
              <w:t>70.0%</w:t>
            </w:r>
          </w:p>
        </w:tc>
        <w:tc>
          <w:tcPr>
            <w:tcW w:w="2880" w:type="pct"/>
            <w:shd w:val="clear" w:color="auto" w:fill="auto"/>
          </w:tcPr>
          <w:p w14:paraId="6FA3D174" w14:textId="29445802" w:rsidR="0020741D" w:rsidRPr="00540F22" w:rsidRDefault="0020741D" w:rsidP="00973418">
            <w:pPr>
              <w:pStyle w:val="TableText0"/>
              <w:keepLines/>
            </w:pPr>
            <w:r w:rsidRPr="00540F22">
              <w:t>Assumption.</w:t>
            </w:r>
          </w:p>
        </w:tc>
      </w:tr>
      <w:tr w:rsidR="0020741D" w:rsidRPr="00540F22" w14:paraId="68B81972" w14:textId="02292487" w:rsidTr="0020741D">
        <w:trPr>
          <w:cantSplit/>
        </w:trPr>
        <w:tc>
          <w:tcPr>
            <w:tcW w:w="862" w:type="pct"/>
            <w:shd w:val="clear" w:color="auto" w:fill="auto"/>
            <w:vAlign w:val="center"/>
          </w:tcPr>
          <w:p w14:paraId="7C967793" w14:textId="77777777" w:rsidR="0020741D" w:rsidRPr="00540F22" w:rsidRDefault="0020741D" w:rsidP="00973418">
            <w:pPr>
              <w:pStyle w:val="TableText0"/>
              <w:keepLines/>
            </w:pPr>
            <w:r w:rsidRPr="00540F22">
              <w:t>Patients (%) with blood Phe levels &gt; 600 µmol/L</w:t>
            </w:r>
          </w:p>
        </w:tc>
        <w:tc>
          <w:tcPr>
            <w:tcW w:w="1258" w:type="pct"/>
            <w:shd w:val="clear" w:color="auto" w:fill="auto"/>
            <w:vAlign w:val="center"/>
          </w:tcPr>
          <w:p w14:paraId="33764C32" w14:textId="77777777" w:rsidR="0020741D" w:rsidRPr="00585891" w:rsidRDefault="0020741D" w:rsidP="00973418">
            <w:pPr>
              <w:pStyle w:val="TableText0"/>
              <w:keepLines/>
              <w:jc w:val="center"/>
            </w:pPr>
            <w:r w:rsidRPr="00585891">
              <w:t>49.92%</w:t>
            </w:r>
          </w:p>
        </w:tc>
        <w:tc>
          <w:tcPr>
            <w:tcW w:w="2880" w:type="pct"/>
            <w:shd w:val="clear" w:color="auto" w:fill="auto"/>
          </w:tcPr>
          <w:p w14:paraId="5C55F580" w14:textId="29B087B4" w:rsidR="0020741D" w:rsidRPr="00540F22" w:rsidRDefault="0020741D" w:rsidP="00973418">
            <w:pPr>
              <w:pStyle w:val="TableText0"/>
              <w:keepLines/>
            </w:pPr>
            <w:r w:rsidRPr="00540F22">
              <w:t xml:space="preserve">Literature search. Across 21 studies included in the submission’s literature search, the average proportion of patients with blood Phe levels was 49.92% (range: 28% - 100%; median: 75%). </w:t>
            </w:r>
            <w:r>
              <w:t>Dusc considered that t</w:t>
            </w:r>
            <w:r w:rsidRPr="00540F22">
              <w:rPr>
                <w:szCs w:val="20"/>
              </w:rPr>
              <w:t>his value is highly uncertain due to the large range in reported values across the studies.</w:t>
            </w:r>
          </w:p>
        </w:tc>
      </w:tr>
      <w:tr w:rsidR="0020741D" w:rsidRPr="00540F22" w14:paraId="39CAD00F" w14:textId="4712FC94" w:rsidTr="0020741D">
        <w:trPr>
          <w:cantSplit/>
        </w:trPr>
        <w:tc>
          <w:tcPr>
            <w:tcW w:w="862" w:type="pct"/>
            <w:shd w:val="clear" w:color="auto" w:fill="auto"/>
            <w:vAlign w:val="center"/>
          </w:tcPr>
          <w:p w14:paraId="79B52478" w14:textId="77777777" w:rsidR="0020741D" w:rsidRPr="00540F22" w:rsidRDefault="0020741D" w:rsidP="00973418">
            <w:pPr>
              <w:pStyle w:val="Tabletext"/>
              <w:keepNext/>
              <w:keepLines/>
            </w:pPr>
            <w:r w:rsidRPr="00540F22">
              <w:t>Patients (%) achieving response to sapropterin</w:t>
            </w:r>
          </w:p>
        </w:tc>
        <w:tc>
          <w:tcPr>
            <w:tcW w:w="1258" w:type="pct"/>
            <w:shd w:val="clear" w:color="auto" w:fill="auto"/>
            <w:vAlign w:val="center"/>
          </w:tcPr>
          <w:p w14:paraId="35450BAD" w14:textId="77777777" w:rsidR="0020741D" w:rsidRPr="00585891" w:rsidRDefault="0020741D" w:rsidP="00973418">
            <w:pPr>
              <w:pStyle w:val="Tabletext"/>
              <w:keepNext/>
              <w:keepLines/>
              <w:jc w:val="center"/>
            </w:pPr>
            <w:r w:rsidRPr="00585891">
              <w:t>23.48%</w:t>
            </w:r>
          </w:p>
        </w:tc>
        <w:tc>
          <w:tcPr>
            <w:tcW w:w="2880" w:type="pct"/>
            <w:shd w:val="clear" w:color="auto" w:fill="auto"/>
          </w:tcPr>
          <w:p w14:paraId="34DDBDE5" w14:textId="0E2D8F30" w:rsidR="0020741D" w:rsidRPr="00540F22" w:rsidRDefault="0020741D" w:rsidP="00973418">
            <w:pPr>
              <w:pStyle w:val="Tabletext"/>
              <w:keepNext/>
              <w:keepLines/>
            </w:pPr>
            <w:r w:rsidRPr="00540F22">
              <w:t xml:space="preserve">Additional analyses of PKUDOS based on response rate at 28 days. </w:t>
            </w:r>
            <w:r>
              <w:t xml:space="preserve">The evaluation noted this value would be lower if the </w:t>
            </w:r>
            <w:r w:rsidRPr="00540F22">
              <w:t xml:space="preserve">response rate at 7 days </w:t>
            </w:r>
            <w:r>
              <w:t xml:space="preserve">were used, </w:t>
            </w:r>
            <w:r w:rsidRPr="00540F22">
              <w:t>as per PBS restriction</w:t>
            </w:r>
            <w:r>
              <w:t>.</w:t>
            </w:r>
            <w:r w:rsidRPr="00540F22">
              <w:t xml:space="preserve"> </w:t>
            </w:r>
            <w:r>
              <w:t>DUSC considered t</w:t>
            </w:r>
            <w:r w:rsidRPr="00540F22">
              <w:t>his value is highly uncertain as it is dependent on the uptake rates for sapropterin</w:t>
            </w:r>
          </w:p>
        </w:tc>
      </w:tr>
      <w:tr w:rsidR="0020741D" w:rsidRPr="00540F22" w14:paraId="4FEE0ABF" w14:textId="7E5A444E" w:rsidTr="0020741D">
        <w:trPr>
          <w:cantSplit/>
        </w:trPr>
        <w:tc>
          <w:tcPr>
            <w:tcW w:w="862" w:type="pct"/>
            <w:shd w:val="clear" w:color="auto" w:fill="auto"/>
            <w:vAlign w:val="center"/>
          </w:tcPr>
          <w:p w14:paraId="349CAF6F" w14:textId="77777777" w:rsidR="0020741D" w:rsidRPr="00540F22" w:rsidRDefault="0020741D" w:rsidP="00973418">
            <w:pPr>
              <w:pStyle w:val="TableText0"/>
              <w:keepLines/>
            </w:pPr>
            <w:r w:rsidRPr="00540F22">
              <w:t>Uptake rates</w:t>
            </w:r>
          </w:p>
        </w:tc>
        <w:tc>
          <w:tcPr>
            <w:tcW w:w="1258" w:type="pct"/>
            <w:shd w:val="clear" w:color="auto" w:fill="auto"/>
            <w:vAlign w:val="center"/>
          </w:tcPr>
          <w:p w14:paraId="7A0302F2" w14:textId="773AA01C" w:rsidR="0020741D" w:rsidRPr="00540F22" w:rsidRDefault="00EC6944" w:rsidP="00973418">
            <w:pPr>
              <w:pStyle w:val="TableText0"/>
              <w:keepLines/>
              <w:jc w:val="center"/>
            </w:pPr>
            <w:r w:rsidRPr="00DA5CFB">
              <w:rPr>
                <w:rFonts w:hint="eastAsia"/>
                <w:color w:val="000000"/>
                <w:w w:val="15"/>
                <w:shd w:val="solid" w:color="000000" w:fill="000000"/>
                <w:fitText w:val="23" w:id="-1436265208"/>
                <w14:textFill>
                  <w14:solidFill>
                    <w14:srgbClr w14:val="000000">
                      <w14:alpha w14:val="100000"/>
                    </w14:srgbClr>
                  </w14:solidFill>
                </w14:textFill>
              </w:rPr>
              <w:t xml:space="preserve">　</w:t>
            </w:r>
            <w:r w:rsidRPr="00DA5CFB">
              <w:rPr>
                <w:color w:val="000000"/>
                <w:w w:val="15"/>
                <w:shd w:val="solid" w:color="000000" w:fill="000000"/>
                <w:fitText w:val="23" w:id="-1436265208"/>
                <w14:textFill>
                  <w14:solidFill>
                    <w14:srgbClr w14:val="000000">
                      <w14:alpha w14:val="100000"/>
                    </w14:srgbClr>
                  </w14:solidFill>
                </w14:textFill>
              </w:rPr>
              <w:t>|</w:t>
            </w:r>
            <w:r w:rsidRPr="00DA5CFB">
              <w:rPr>
                <w:rFonts w:hint="eastAsia"/>
                <w:color w:val="000000"/>
                <w:spacing w:val="-42"/>
                <w:w w:val="15"/>
                <w:shd w:val="solid" w:color="000000" w:fill="000000"/>
                <w:fitText w:val="23" w:id="-1436265208"/>
                <w14:textFill>
                  <w14:solidFill>
                    <w14:srgbClr w14:val="000000">
                      <w14:alpha w14:val="100000"/>
                    </w14:srgbClr>
                  </w14:solidFill>
                </w14:textFill>
              </w:rPr>
              <w:t xml:space="preserve">　</w:t>
            </w:r>
            <w:r w:rsidR="0020741D" w:rsidRPr="00540F22">
              <w:t xml:space="preserve">% increasing by </w:t>
            </w:r>
            <w:r w:rsidRPr="00EC6944">
              <w:rPr>
                <w:rFonts w:hint="eastAsia"/>
                <w:color w:val="000000"/>
                <w:w w:val="31"/>
                <w:shd w:val="solid" w:color="000000" w:fill="000000"/>
                <w:fitText w:val="139" w:id="-1436265207"/>
                <w14:textFill>
                  <w14:solidFill>
                    <w14:srgbClr w14:val="000000">
                      <w14:alpha w14:val="100000"/>
                    </w14:srgbClr>
                  </w14:solidFill>
                </w14:textFill>
              </w:rPr>
              <w:t xml:space="preserve">　</w:t>
            </w:r>
            <w:r w:rsidRPr="00EC6944">
              <w:rPr>
                <w:color w:val="000000"/>
                <w:w w:val="31"/>
                <w:shd w:val="solid" w:color="000000" w:fill="000000"/>
                <w:fitText w:val="139" w:id="-1436265207"/>
                <w14:textFill>
                  <w14:solidFill>
                    <w14:srgbClr w14:val="000000">
                      <w14:alpha w14:val="100000"/>
                    </w14:srgbClr>
                  </w14:solidFill>
                </w14:textFill>
              </w:rPr>
              <w:t>|</w:t>
            </w:r>
            <w:r w:rsidRPr="00EC6944">
              <w:rPr>
                <w:rFonts w:hint="eastAsia"/>
                <w:color w:val="000000"/>
                <w:spacing w:val="3"/>
                <w:w w:val="31"/>
                <w:shd w:val="solid" w:color="000000" w:fill="000000"/>
                <w:fitText w:val="139" w:id="-1436265207"/>
                <w14:textFill>
                  <w14:solidFill>
                    <w14:srgbClr w14:val="000000">
                      <w14:alpha w14:val="100000"/>
                    </w14:srgbClr>
                  </w14:solidFill>
                </w14:textFill>
              </w:rPr>
              <w:t xml:space="preserve">　</w:t>
            </w:r>
            <w:r w:rsidR="0020741D" w:rsidRPr="00540F22">
              <w:t xml:space="preserve">% each year to </w:t>
            </w:r>
            <w:r w:rsidRPr="00EC6944">
              <w:rPr>
                <w:color w:val="000000"/>
                <w:spacing w:val="114"/>
                <w:shd w:val="solid" w:color="000000" w:fill="000000"/>
                <w:fitText w:val="200" w:id="-1436265206"/>
                <w14:textFill>
                  <w14:solidFill>
                    <w14:srgbClr w14:val="000000">
                      <w14:alpha w14:val="100000"/>
                    </w14:srgbClr>
                  </w14:solidFill>
                </w14:textFill>
              </w:rPr>
              <w:t>|</w:t>
            </w:r>
            <w:r w:rsidRPr="00EC6944">
              <w:rPr>
                <w:color w:val="000000"/>
                <w:spacing w:val="1"/>
                <w:shd w:val="solid" w:color="000000" w:fill="000000"/>
                <w:fitText w:val="200" w:id="-1436265206"/>
                <w14:textFill>
                  <w14:solidFill>
                    <w14:srgbClr w14:val="000000">
                      <w14:alpha w14:val="100000"/>
                    </w14:srgbClr>
                  </w14:solidFill>
                </w14:textFill>
              </w:rPr>
              <w:t>|</w:t>
            </w:r>
            <w:r w:rsidR="0020741D" w:rsidRPr="00540F22">
              <w:t>% in 2027 for sapropterin and pegvaliase</w:t>
            </w:r>
          </w:p>
        </w:tc>
        <w:tc>
          <w:tcPr>
            <w:tcW w:w="2880" w:type="pct"/>
            <w:shd w:val="clear" w:color="auto" w:fill="auto"/>
          </w:tcPr>
          <w:p w14:paraId="60950502" w14:textId="7A088F4A" w:rsidR="0020741D" w:rsidRPr="00540F22" w:rsidRDefault="0020741D" w:rsidP="00973418">
            <w:pPr>
              <w:pStyle w:val="TableText0"/>
              <w:keepLines/>
            </w:pPr>
            <w:r w:rsidRPr="00540F22">
              <w:t xml:space="preserve">Assumption. </w:t>
            </w:r>
            <w:r>
              <w:t>DUSC considered t</w:t>
            </w:r>
            <w:r w:rsidRPr="00540F22">
              <w:rPr>
                <w:szCs w:val="20"/>
              </w:rPr>
              <w:t>his value may be underestimated due to the potential for use outside of the restriction</w:t>
            </w:r>
            <w:r w:rsidRPr="00540F22">
              <w:t>.</w:t>
            </w:r>
          </w:p>
        </w:tc>
      </w:tr>
    </w:tbl>
    <w:p w14:paraId="3E3F09BC" w14:textId="623002EE" w:rsidR="00540F22" w:rsidRPr="008312ED" w:rsidRDefault="00540F22" w:rsidP="00973418">
      <w:pPr>
        <w:pStyle w:val="TableFigureFooter"/>
        <w:keepNext/>
        <w:keepLines/>
      </w:pPr>
      <w:r w:rsidRPr="008312ED">
        <w:t>Source: Table 4.1-1, pp310-313 of the submission</w:t>
      </w:r>
      <w:r w:rsidR="00417CFE">
        <w:t>; Table 2 of the DUSC Advice</w:t>
      </w:r>
      <w:r w:rsidRPr="008312ED">
        <w:t xml:space="preserve">. </w:t>
      </w:r>
    </w:p>
    <w:p w14:paraId="136538B5" w14:textId="462BF693" w:rsidR="00540F22" w:rsidRPr="008312ED" w:rsidRDefault="00540F22" w:rsidP="00973418">
      <w:pPr>
        <w:pStyle w:val="TableFigureFooter"/>
        <w:keepNext/>
        <w:keepLines/>
        <w:spacing w:after="240"/>
      </w:pPr>
      <w:r w:rsidRPr="008312ED">
        <w:t>AEMP = Approved Ex-Manufacturer Price HPA = hyperphenylalaninemia; PKU = phenylketonuria</w:t>
      </w:r>
    </w:p>
    <w:p w14:paraId="2D3D2F34" w14:textId="4F77F0D8" w:rsidR="00540F22" w:rsidRPr="008312ED" w:rsidRDefault="00540F22" w:rsidP="00540F22">
      <w:pPr>
        <w:pStyle w:val="3-BodyText"/>
      </w:pPr>
      <w:r w:rsidRPr="008312ED">
        <w:fldChar w:fldCharType="begin"/>
      </w:r>
      <w:r w:rsidRPr="008312ED">
        <w:instrText xml:space="preserve"> REF _Ref103058454 \h </w:instrText>
      </w:r>
      <w:r w:rsidRPr="008312ED">
        <w:fldChar w:fldCharType="separate"/>
      </w:r>
      <w:r w:rsidR="001162C8" w:rsidRPr="008312ED">
        <w:t xml:space="preserve">Table </w:t>
      </w:r>
      <w:r w:rsidR="001162C8">
        <w:rPr>
          <w:noProof/>
        </w:rPr>
        <w:t>20</w:t>
      </w:r>
      <w:r w:rsidRPr="008312ED">
        <w:fldChar w:fldCharType="end"/>
      </w:r>
      <w:r w:rsidRPr="008312ED">
        <w:t xml:space="preserve"> presents the estimation of the eligible and treated populations.</w:t>
      </w:r>
    </w:p>
    <w:p w14:paraId="1F48A141" w14:textId="3D1B6EA4" w:rsidR="00540F22" w:rsidRPr="008312ED" w:rsidRDefault="00540F22" w:rsidP="00540F22">
      <w:pPr>
        <w:pStyle w:val="TableFigureHeading"/>
        <w:keepLines/>
      </w:pPr>
      <w:bookmarkStart w:id="93" w:name="_Ref103058454"/>
      <w:r w:rsidRPr="008312ED">
        <w:t xml:space="preserve">Table </w:t>
      </w:r>
      <w:r w:rsidR="00DA5CFB">
        <w:fldChar w:fldCharType="begin"/>
      </w:r>
      <w:r w:rsidR="00DA5CFB">
        <w:instrText xml:space="preserve"> SEQ Table \* ARABIC </w:instrText>
      </w:r>
      <w:r w:rsidR="00DA5CFB">
        <w:fldChar w:fldCharType="separate"/>
      </w:r>
      <w:r w:rsidR="001162C8">
        <w:rPr>
          <w:noProof/>
        </w:rPr>
        <w:t>20</w:t>
      </w:r>
      <w:r w:rsidR="00DA5CFB">
        <w:rPr>
          <w:noProof/>
        </w:rPr>
        <w:fldChar w:fldCharType="end"/>
      </w:r>
      <w:bookmarkEnd w:id="93"/>
      <w:r w:rsidRPr="008312ED">
        <w:t>: Estimated prevalent eligible and treated population</w:t>
      </w:r>
    </w:p>
    <w:tbl>
      <w:tblPr>
        <w:tblStyle w:val="TableGrid"/>
        <w:tblW w:w="0" w:type="auto"/>
        <w:tblLook w:val="04A0" w:firstRow="1" w:lastRow="0" w:firstColumn="1" w:lastColumn="0" w:noHBand="0" w:noVBand="1"/>
      </w:tblPr>
      <w:tblGrid>
        <w:gridCol w:w="2034"/>
        <w:gridCol w:w="1127"/>
        <w:gridCol w:w="1171"/>
        <w:gridCol w:w="1171"/>
        <w:gridCol w:w="1171"/>
        <w:gridCol w:w="1171"/>
        <w:gridCol w:w="1171"/>
      </w:tblGrid>
      <w:tr w:rsidR="00540F22" w:rsidRPr="008312ED" w14:paraId="6DF1CDAE" w14:textId="77777777" w:rsidTr="003D711D">
        <w:tc>
          <w:tcPr>
            <w:tcW w:w="2034" w:type="dxa"/>
          </w:tcPr>
          <w:p w14:paraId="405EF967" w14:textId="77777777" w:rsidR="00540F22" w:rsidRPr="008312ED" w:rsidRDefault="00540F22" w:rsidP="003D711D">
            <w:pPr>
              <w:pStyle w:val="Tabletext"/>
              <w:keepNext/>
              <w:keepLines/>
              <w:rPr>
                <w:b/>
                <w:bCs/>
              </w:rPr>
            </w:pPr>
          </w:p>
        </w:tc>
        <w:tc>
          <w:tcPr>
            <w:tcW w:w="1127" w:type="dxa"/>
            <w:vAlign w:val="center"/>
          </w:tcPr>
          <w:p w14:paraId="1692C681" w14:textId="77777777" w:rsidR="00540F22" w:rsidRPr="008312ED" w:rsidRDefault="00540F22" w:rsidP="003D711D">
            <w:pPr>
              <w:pStyle w:val="Tabletext"/>
              <w:keepNext/>
              <w:keepLines/>
              <w:jc w:val="center"/>
              <w:rPr>
                <w:b/>
                <w:bCs/>
              </w:rPr>
            </w:pPr>
            <w:r w:rsidRPr="008312ED">
              <w:rPr>
                <w:b/>
                <w:bCs/>
              </w:rPr>
              <w:t>2022</w:t>
            </w:r>
          </w:p>
        </w:tc>
        <w:tc>
          <w:tcPr>
            <w:tcW w:w="1171" w:type="dxa"/>
            <w:vAlign w:val="center"/>
          </w:tcPr>
          <w:p w14:paraId="17D5ED6D" w14:textId="77777777" w:rsidR="00540F22" w:rsidRPr="008312ED" w:rsidRDefault="00540F22" w:rsidP="003D711D">
            <w:pPr>
              <w:pStyle w:val="Tabletext"/>
              <w:keepNext/>
              <w:keepLines/>
              <w:jc w:val="center"/>
              <w:rPr>
                <w:b/>
                <w:bCs/>
              </w:rPr>
            </w:pPr>
            <w:r w:rsidRPr="008312ED">
              <w:rPr>
                <w:b/>
                <w:bCs/>
              </w:rPr>
              <w:t>2023</w:t>
            </w:r>
          </w:p>
        </w:tc>
        <w:tc>
          <w:tcPr>
            <w:tcW w:w="1171" w:type="dxa"/>
            <w:vAlign w:val="center"/>
          </w:tcPr>
          <w:p w14:paraId="050228AC" w14:textId="77777777" w:rsidR="00540F22" w:rsidRPr="008312ED" w:rsidRDefault="00540F22" w:rsidP="003D711D">
            <w:pPr>
              <w:pStyle w:val="Tabletext"/>
              <w:keepNext/>
              <w:keepLines/>
              <w:jc w:val="center"/>
              <w:rPr>
                <w:b/>
                <w:bCs/>
              </w:rPr>
            </w:pPr>
            <w:r w:rsidRPr="008312ED">
              <w:rPr>
                <w:b/>
                <w:bCs/>
              </w:rPr>
              <w:t>2024</w:t>
            </w:r>
          </w:p>
        </w:tc>
        <w:tc>
          <w:tcPr>
            <w:tcW w:w="1171" w:type="dxa"/>
            <w:vAlign w:val="center"/>
          </w:tcPr>
          <w:p w14:paraId="3EDEF932" w14:textId="77777777" w:rsidR="00540F22" w:rsidRPr="008312ED" w:rsidRDefault="00540F22" w:rsidP="003D711D">
            <w:pPr>
              <w:pStyle w:val="Tabletext"/>
              <w:keepNext/>
              <w:keepLines/>
              <w:jc w:val="center"/>
              <w:rPr>
                <w:b/>
                <w:bCs/>
              </w:rPr>
            </w:pPr>
            <w:r w:rsidRPr="008312ED">
              <w:rPr>
                <w:b/>
                <w:bCs/>
              </w:rPr>
              <w:t>2025</w:t>
            </w:r>
          </w:p>
        </w:tc>
        <w:tc>
          <w:tcPr>
            <w:tcW w:w="1171" w:type="dxa"/>
            <w:vAlign w:val="center"/>
          </w:tcPr>
          <w:p w14:paraId="0B0ABB2C" w14:textId="77777777" w:rsidR="00540F22" w:rsidRPr="008312ED" w:rsidRDefault="00540F22" w:rsidP="003D711D">
            <w:pPr>
              <w:pStyle w:val="Tabletext"/>
              <w:keepNext/>
              <w:keepLines/>
              <w:jc w:val="center"/>
              <w:rPr>
                <w:b/>
                <w:bCs/>
              </w:rPr>
            </w:pPr>
            <w:r w:rsidRPr="008312ED">
              <w:rPr>
                <w:b/>
                <w:bCs/>
              </w:rPr>
              <w:t>2026</w:t>
            </w:r>
          </w:p>
        </w:tc>
        <w:tc>
          <w:tcPr>
            <w:tcW w:w="1171" w:type="dxa"/>
            <w:vAlign w:val="center"/>
          </w:tcPr>
          <w:p w14:paraId="35BB4FD1" w14:textId="77777777" w:rsidR="00540F22" w:rsidRPr="008312ED" w:rsidRDefault="00540F22" w:rsidP="003D711D">
            <w:pPr>
              <w:pStyle w:val="Tabletext"/>
              <w:keepNext/>
              <w:keepLines/>
              <w:jc w:val="center"/>
              <w:rPr>
                <w:b/>
                <w:bCs/>
              </w:rPr>
            </w:pPr>
            <w:r w:rsidRPr="008312ED">
              <w:rPr>
                <w:b/>
                <w:bCs/>
              </w:rPr>
              <w:t>2027</w:t>
            </w:r>
          </w:p>
        </w:tc>
      </w:tr>
      <w:tr w:rsidR="00540F22" w:rsidRPr="008312ED" w14:paraId="61145700" w14:textId="77777777" w:rsidTr="003D711D">
        <w:tc>
          <w:tcPr>
            <w:tcW w:w="2034" w:type="dxa"/>
          </w:tcPr>
          <w:p w14:paraId="706C745C" w14:textId="77777777" w:rsidR="00540F22" w:rsidRPr="00DD2552" w:rsidRDefault="00540F22" w:rsidP="003D711D">
            <w:pPr>
              <w:pStyle w:val="Tabletext"/>
              <w:keepNext/>
              <w:keepLines/>
            </w:pPr>
            <w:r w:rsidRPr="00DD2552">
              <w:t>Aged ≥ 16 years</w:t>
            </w:r>
          </w:p>
        </w:tc>
        <w:tc>
          <w:tcPr>
            <w:tcW w:w="1127" w:type="dxa"/>
            <w:vAlign w:val="center"/>
          </w:tcPr>
          <w:p w14:paraId="0BB8D9D9" w14:textId="77777777" w:rsidR="00540F22" w:rsidRPr="008312ED" w:rsidRDefault="00540F22" w:rsidP="003D711D">
            <w:pPr>
              <w:pStyle w:val="Tabletext"/>
              <w:keepNext/>
              <w:keepLines/>
              <w:jc w:val="center"/>
            </w:pPr>
            <w:r w:rsidRPr="008312ED">
              <w:t>21,383,326</w:t>
            </w:r>
          </w:p>
        </w:tc>
        <w:tc>
          <w:tcPr>
            <w:tcW w:w="1171" w:type="dxa"/>
            <w:vAlign w:val="center"/>
          </w:tcPr>
          <w:p w14:paraId="4D8A0703" w14:textId="77777777" w:rsidR="00540F22" w:rsidRPr="008312ED" w:rsidRDefault="00540F22" w:rsidP="003D711D">
            <w:pPr>
              <w:pStyle w:val="Tabletext"/>
              <w:keepNext/>
              <w:keepLines/>
              <w:jc w:val="center"/>
            </w:pPr>
            <w:r w:rsidRPr="008312ED">
              <w:t>21,734,626</w:t>
            </w:r>
          </w:p>
        </w:tc>
        <w:tc>
          <w:tcPr>
            <w:tcW w:w="1171" w:type="dxa"/>
            <w:vAlign w:val="center"/>
          </w:tcPr>
          <w:p w14:paraId="433BEC3C" w14:textId="77777777" w:rsidR="00540F22" w:rsidRPr="008312ED" w:rsidRDefault="00540F22" w:rsidP="003D711D">
            <w:pPr>
              <w:pStyle w:val="Tabletext"/>
              <w:keepNext/>
              <w:keepLines/>
              <w:jc w:val="center"/>
            </w:pPr>
            <w:r w:rsidRPr="008312ED">
              <w:t>22,082,338</w:t>
            </w:r>
          </w:p>
        </w:tc>
        <w:tc>
          <w:tcPr>
            <w:tcW w:w="1171" w:type="dxa"/>
            <w:vAlign w:val="center"/>
          </w:tcPr>
          <w:p w14:paraId="6CE29415" w14:textId="77777777" w:rsidR="00540F22" w:rsidRPr="008312ED" w:rsidRDefault="00540F22" w:rsidP="003D711D">
            <w:pPr>
              <w:pStyle w:val="Tabletext"/>
              <w:keepNext/>
              <w:keepLines/>
              <w:jc w:val="center"/>
            </w:pPr>
            <w:r w:rsidRPr="008312ED">
              <w:t>22,422,054</w:t>
            </w:r>
          </w:p>
        </w:tc>
        <w:tc>
          <w:tcPr>
            <w:tcW w:w="1171" w:type="dxa"/>
            <w:vAlign w:val="center"/>
          </w:tcPr>
          <w:p w14:paraId="4B57E51C" w14:textId="77777777" w:rsidR="00540F22" w:rsidRPr="008312ED" w:rsidRDefault="00540F22" w:rsidP="003D711D">
            <w:pPr>
              <w:pStyle w:val="Tabletext"/>
              <w:keepNext/>
              <w:keepLines/>
              <w:jc w:val="center"/>
            </w:pPr>
            <w:r w:rsidRPr="008312ED">
              <w:t>22,759,127</w:t>
            </w:r>
          </w:p>
        </w:tc>
        <w:tc>
          <w:tcPr>
            <w:tcW w:w="1171" w:type="dxa"/>
            <w:vAlign w:val="center"/>
          </w:tcPr>
          <w:p w14:paraId="05FD4A34" w14:textId="77777777" w:rsidR="00540F22" w:rsidRPr="008312ED" w:rsidRDefault="00540F22" w:rsidP="003D711D">
            <w:pPr>
              <w:pStyle w:val="Tabletext"/>
              <w:keepNext/>
              <w:keepLines/>
              <w:jc w:val="center"/>
            </w:pPr>
            <w:r w:rsidRPr="008312ED">
              <w:t>23,086,141</w:t>
            </w:r>
          </w:p>
        </w:tc>
      </w:tr>
      <w:tr w:rsidR="00540F22" w:rsidRPr="008312ED" w14:paraId="311D522F" w14:textId="77777777" w:rsidTr="003D711D">
        <w:tc>
          <w:tcPr>
            <w:tcW w:w="2034" w:type="dxa"/>
          </w:tcPr>
          <w:p w14:paraId="645A77FC" w14:textId="77777777" w:rsidR="00540F22" w:rsidRPr="00DD2552" w:rsidRDefault="00540F22" w:rsidP="003D711D">
            <w:pPr>
              <w:pStyle w:val="Tabletext"/>
              <w:keepNext/>
              <w:keepLines/>
            </w:pPr>
            <w:r w:rsidRPr="00DD2552">
              <w:t>HPA (0.0089%)</w:t>
            </w:r>
          </w:p>
        </w:tc>
        <w:tc>
          <w:tcPr>
            <w:tcW w:w="1127" w:type="dxa"/>
            <w:vAlign w:val="center"/>
          </w:tcPr>
          <w:p w14:paraId="7DB9E858" w14:textId="67D7CCA8" w:rsidR="00540F22" w:rsidRPr="00FA4CA8" w:rsidRDefault="00EC6944" w:rsidP="003D711D">
            <w:pPr>
              <w:pStyle w:val="Tabletext"/>
              <w:keepNext/>
              <w:keepLines/>
              <w:jc w:val="center"/>
              <w:rPr>
                <w:vertAlign w:val="superscript"/>
              </w:rPr>
            </w:pPr>
            <w:r w:rsidRPr="00EC6944">
              <w:rPr>
                <w:rFonts w:cs="Calibri" w:hint="eastAsia"/>
                <w:color w:val="000000"/>
                <w:w w:val="27"/>
                <w:shd w:val="solid" w:color="000000" w:fill="000000"/>
                <w:fitText w:val="123" w:id="-1436265205"/>
                <w14:textFill>
                  <w14:solidFill>
                    <w14:srgbClr w14:val="000000">
                      <w14:alpha w14:val="100000"/>
                    </w14:srgbClr>
                  </w14:solidFill>
                </w14:textFill>
              </w:rPr>
              <w:t xml:space="preserve">　</w:t>
            </w:r>
            <w:r w:rsidRPr="00EC6944">
              <w:rPr>
                <w:rFonts w:cs="Calibri"/>
                <w:color w:val="000000"/>
                <w:w w:val="27"/>
                <w:shd w:val="solid" w:color="000000" w:fill="000000"/>
                <w:fitText w:val="123" w:id="-1436265205"/>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05"/>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60136417" w14:textId="4FAF152A"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04"/>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4"/>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4"/>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62F3A463" w14:textId="2A3C7AAA"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03"/>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3"/>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3"/>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37F66898" w14:textId="5E21889E"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2"/>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2"/>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2"/>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03176803" w14:textId="590AEEDA"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1"/>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1"/>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1"/>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33FDF7EF" w14:textId="469ECA82"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1" w:id="-1436265200"/>
                <w14:textFill>
                  <w14:solidFill>
                    <w14:srgbClr w14:val="000000">
                      <w14:alpha w14:val="100000"/>
                    </w14:srgbClr>
                  </w14:solidFill>
                </w14:textFill>
              </w:rPr>
              <w:t xml:space="preserve">　</w:t>
            </w:r>
            <w:r w:rsidRPr="00EC6944">
              <w:rPr>
                <w:rFonts w:cs="Calibri"/>
                <w:color w:val="000000"/>
                <w:w w:val="22"/>
                <w:shd w:val="solid" w:color="000000" w:fill="000000"/>
                <w:fitText w:val="101" w:id="-1436265200"/>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00"/>
                <w14:textFill>
                  <w14:solidFill>
                    <w14:srgbClr w14:val="000000">
                      <w14:alpha w14:val="100000"/>
                    </w14:srgbClr>
                  </w14:solidFill>
                </w14:textFill>
              </w:rPr>
              <w:t xml:space="preserve">　</w:t>
            </w:r>
            <w:r w:rsidR="00FA4CA8">
              <w:rPr>
                <w:rFonts w:cs="Calibri"/>
                <w:vertAlign w:val="superscript"/>
              </w:rPr>
              <w:t>1</w:t>
            </w:r>
          </w:p>
        </w:tc>
      </w:tr>
      <w:tr w:rsidR="00540F22" w:rsidRPr="008312ED" w14:paraId="5974C0C6" w14:textId="77777777" w:rsidTr="003D711D">
        <w:tc>
          <w:tcPr>
            <w:tcW w:w="2034" w:type="dxa"/>
          </w:tcPr>
          <w:p w14:paraId="4CE6B50F" w14:textId="77777777" w:rsidR="00540F22" w:rsidRPr="00DD2552" w:rsidRDefault="00540F22" w:rsidP="003D711D">
            <w:pPr>
              <w:pStyle w:val="Tabletext"/>
              <w:keepNext/>
              <w:keepLines/>
            </w:pPr>
            <w:r w:rsidRPr="00DD2552">
              <w:t>PKU (98.8%)</w:t>
            </w:r>
          </w:p>
        </w:tc>
        <w:tc>
          <w:tcPr>
            <w:tcW w:w="1127" w:type="dxa"/>
            <w:vAlign w:val="center"/>
          </w:tcPr>
          <w:p w14:paraId="49BCCE13" w14:textId="7F1C4206" w:rsidR="00540F22" w:rsidRPr="008312ED" w:rsidRDefault="00EC6944" w:rsidP="003D711D">
            <w:pPr>
              <w:pStyle w:val="Tabletext"/>
              <w:keepNext/>
              <w:keepLines/>
              <w:jc w:val="center"/>
            </w:pPr>
            <w:r w:rsidRPr="00EC6944">
              <w:rPr>
                <w:rFonts w:cs="Calibri" w:hint="eastAsia"/>
                <w:color w:val="000000"/>
                <w:w w:val="27"/>
                <w:shd w:val="solid" w:color="000000" w:fill="000000"/>
                <w:fitText w:val="123" w:id="-1436265216"/>
                <w14:textFill>
                  <w14:solidFill>
                    <w14:srgbClr w14:val="000000">
                      <w14:alpha w14:val="100000"/>
                    </w14:srgbClr>
                  </w14:solidFill>
                </w14:textFill>
              </w:rPr>
              <w:t xml:space="preserve">　</w:t>
            </w:r>
            <w:r w:rsidRPr="00EC6944">
              <w:rPr>
                <w:rFonts w:cs="Calibri"/>
                <w:color w:val="000000"/>
                <w:w w:val="27"/>
                <w:shd w:val="solid" w:color="000000" w:fill="000000"/>
                <w:fitText w:val="123" w:id="-1436265216"/>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16"/>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6B3A8FA2" w14:textId="6AFD4A32"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15"/>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5"/>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5"/>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40A526CC" w14:textId="07E5C680"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14"/>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4"/>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4"/>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1ACE3E26" w14:textId="4F9CC874"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13"/>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3"/>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3"/>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7532E9B4" w14:textId="3052341F"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12"/>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2"/>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2"/>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3D3C9D8B" w14:textId="71480694"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1" w:id="-1436265211"/>
                <w14:textFill>
                  <w14:solidFill>
                    <w14:srgbClr w14:val="000000">
                      <w14:alpha w14:val="100000"/>
                    </w14:srgbClr>
                  </w14:solidFill>
                </w14:textFill>
              </w:rPr>
              <w:t xml:space="preserve">　</w:t>
            </w:r>
            <w:r w:rsidRPr="00EC6944">
              <w:rPr>
                <w:rFonts w:cs="Calibri"/>
                <w:color w:val="000000"/>
                <w:w w:val="22"/>
                <w:shd w:val="solid" w:color="000000" w:fill="000000"/>
                <w:fitText w:val="101" w:id="-1436265211"/>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11"/>
                <w14:textFill>
                  <w14:solidFill>
                    <w14:srgbClr w14:val="000000">
                      <w14:alpha w14:val="100000"/>
                    </w14:srgbClr>
                  </w14:solidFill>
                </w14:textFill>
              </w:rPr>
              <w:t xml:space="preserve">　</w:t>
            </w:r>
            <w:r w:rsidR="00FA4CA8">
              <w:rPr>
                <w:rFonts w:cs="Calibri"/>
                <w:vertAlign w:val="superscript"/>
              </w:rPr>
              <w:t>1</w:t>
            </w:r>
          </w:p>
        </w:tc>
      </w:tr>
      <w:tr w:rsidR="00540F22" w:rsidRPr="008312ED" w14:paraId="1EC8D650" w14:textId="77777777" w:rsidTr="003D711D">
        <w:tc>
          <w:tcPr>
            <w:tcW w:w="2034" w:type="dxa"/>
          </w:tcPr>
          <w:p w14:paraId="6F145F9E" w14:textId="77777777" w:rsidR="00540F22" w:rsidRPr="00DD2552" w:rsidRDefault="00540F22" w:rsidP="003D711D">
            <w:pPr>
              <w:pStyle w:val="Tabletext"/>
              <w:keepNext/>
              <w:keepLines/>
            </w:pPr>
            <w:r w:rsidRPr="00DD2552">
              <w:t>Clinic f/u (70%)</w:t>
            </w:r>
          </w:p>
        </w:tc>
        <w:tc>
          <w:tcPr>
            <w:tcW w:w="1127" w:type="dxa"/>
            <w:vAlign w:val="center"/>
          </w:tcPr>
          <w:p w14:paraId="7BA51B9E" w14:textId="5D3BEB30" w:rsidR="00540F22" w:rsidRPr="00646807" w:rsidRDefault="00EC6944" w:rsidP="003D711D">
            <w:pPr>
              <w:pStyle w:val="Tabletext"/>
              <w:keepNext/>
              <w:keepLines/>
              <w:jc w:val="center"/>
              <w:rPr>
                <w:highlight w:val="darkGray"/>
              </w:rPr>
            </w:pPr>
            <w:r w:rsidRPr="00EC6944">
              <w:rPr>
                <w:rFonts w:cs="Calibri" w:hint="eastAsia"/>
                <w:color w:val="000000"/>
                <w:w w:val="27"/>
                <w:shd w:val="solid" w:color="000000" w:fill="000000"/>
                <w:fitText w:val="123" w:id="-1436265210"/>
                <w14:textFill>
                  <w14:solidFill>
                    <w14:srgbClr w14:val="000000">
                      <w14:alpha w14:val="100000"/>
                    </w14:srgbClr>
                  </w14:solidFill>
                </w14:textFill>
              </w:rPr>
              <w:t xml:space="preserve">　</w:t>
            </w:r>
            <w:r w:rsidRPr="00EC6944">
              <w:rPr>
                <w:rFonts w:cs="Calibri"/>
                <w:color w:val="000000"/>
                <w:w w:val="27"/>
                <w:shd w:val="solid" w:color="000000" w:fill="000000"/>
                <w:fitText w:val="123" w:id="-1436265210"/>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10"/>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082179E8" w14:textId="2905811A"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09"/>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9"/>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9"/>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074E765A" w14:textId="4662B830"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8"/>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8"/>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8"/>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681F0F98" w14:textId="57C64827"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7"/>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7"/>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7"/>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0AA61D34" w14:textId="7DA9473D"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6"/>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6"/>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6"/>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1BB0558" w14:textId="74308D0A"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1" w:id="-1436265205"/>
                <w14:textFill>
                  <w14:solidFill>
                    <w14:srgbClr w14:val="000000">
                      <w14:alpha w14:val="100000"/>
                    </w14:srgbClr>
                  </w14:solidFill>
                </w14:textFill>
              </w:rPr>
              <w:t xml:space="preserve">　</w:t>
            </w:r>
            <w:r w:rsidRPr="00EC6944">
              <w:rPr>
                <w:rFonts w:cs="Calibri"/>
                <w:color w:val="000000"/>
                <w:w w:val="22"/>
                <w:shd w:val="solid" w:color="000000" w:fill="000000"/>
                <w:fitText w:val="101" w:id="-1436265205"/>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05"/>
                <w14:textFill>
                  <w14:solidFill>
                    <w14:srgbClr w14:val="000000">
                      <w14:alpha w14:val="100000"/>
                    </w14:srgbClr>
                  </w14:solidFill>
                </w14:textFill>
              </w:rPr>
              <w:t xml:space="preserve">　</w:t>
            </w:r>
            <w:r w:rsidR="00FA4CA8">
              <w:rPr>
                <w:rFonts w:cs="Calibri"/>
                <w:vertAlign w:val="superscript"/>
              </w:rPr>
              <w:t>1</w:t>
            </w:r>
          </w:p>
        </w:tc>
      </w:tr>
      <w:tr w:rsidR="00540F22" w:rsidRPr="008312ED" w14:paraId="302C2CBD" w14:textId="77777777" w:rsidTr="003D711D">
        <w:tc>
          <w:tcPr>
            <w:tcW w:w="2034" w:type="dxa"/>
          </w:tcPr>
          <w:p w14:paraId="19D290A2" w14:textId="77777777" w:rsidR="00540F22" w:rsidRPr="008312ED" w:rsidRDefault="00540F22" w:rsidP="003D711D">
            <w:pPr>
              <w:pStyle w:val="Tabletext"/>
              <w:keepNext/>
              <w:keepLines/>
            </w:pPr>
            <w:r w:rsidRPr="008312ED">
              <w:t>&gt;600 µmol/L (49.9%)</w:t>
            </w:r>
          </w:p>
        </w:tc>
        <w:tc>
          <w:tcPr>
            <w:tcW w:w="1127" w:type="dxa"/>
            <w:vAlign w:val="center"/>
          </w:tcPr>
          <w:p w14:paraId="3E035AF6" w14:textId="5BDA2DDF" w:rsidR="00540F22" w:rsidRPr="008312ED" w:rsidRDefault="00EC6944" w:rsidP="003D711D">
            <w:pPr>
              <w:pStyle w:val="Tabletext"/>
              <w:keepNext/>
              <w:keepLines/>
              <w:jc w:val="center"/>
            </w:pPr>
            <w:r w:rsidRPr="00EC6944">
              <w:rPr>
                <w:rFonts w:cs="Calibri" w:hint="eastAsia"/>
                <w:color w:val="000000"/>
                <w:w w:val="27"/>
                <w:shd w:val="solid" w:color="000000" w:fill="000000"/>
                <w:fitText w:val="123" w:id="-1436265204"/>
                <w14:textFill>
                  <w14:solidFill>
                    <w14:srgbClr w14:val="000000">
                      <w14:alpha w14:val="100000"/>
                    </w14:srgbClr>
                  </w14:solidFill>
                </w14:textFill>
              </w:rPr>
              <w:t xml:space="preserve">　</w:t>
            </w:r>
            <w:r w:rsidRPr="00EC6944">
              <w:rPr>
                <w:rFonts w:cs="Calibri"/>
                <w:color w:val="000000"/>
                <w:w w:val="27"/>
                <w:shd w:val="solid" w:color="000000" w:fill="000000"/>
                <w:fitText w:val="123" w:id="-1436265204"/>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04"/>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1C56D7B" w14:textId="6BCA1231"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03"/>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3"/>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3"/>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E05C08E" w14:textId="4F3F542D"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02"/>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2"/>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2"/>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DB8DC42" w14:textId="2007A1E6"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1"/>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1"/>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1"/>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7E68D32" w14:textId="4C5D1126"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00"/>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0"/>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0"/>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52C37A00" w14:textId="2F944867"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1" w:id="-1436265216"/>
                <w14:textFill>
                  <w14:solidFill>
                    <w14:srgbClr w14:val="000000">
                      <w14:alpha w14:val="100000"/>
                    </w14:srgbClr>
                  </w14:solidFill>
                </w14:textFill>
              </w:rPr>
              <w:t xml:space="preserve">　</w:t>
            </w:r>
            <w:r w:rsidRPr="00EC6944">
              <w:rPr>
                <w:rFonts w:cs="Calibri"/>
                <w:color w:val="000000"/>
                <w:w w:val="22"/>
                <w:shd w:val="solid" w:color="000000" w:fill="000000"/>
                <w:fitText w:val="101" w:id="-1436265216"/>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16"/>
                <w14:textFill>
                  <w14:solidFill>
                    <w14:srgbClr w14:val="000000">
                      <w14:alpha w14:val="100000"/>
                    </w14:srgbClr>
                  </w14:solidFill>
                </w14:textFill>
              </w:rPr>
              <w:t xml:space="preserve">　</w:t>
            </w:r>
            <w:r w:rsidR="00FA4CA8">
              <w:rPr>
                <w:rFonts w:cs="Calibri"/>
                <w:vertAlign w:val="superscript"/>
              </w:rPr>
              <w:t>1</w:t>
            </w:r>
          </w:p>
        </w:tc>
      </w:tr>
      <w:tr w:rsidR="00540F22" w:rsidRPr="008312ED" w14:paraId="69E98436" w14:textId="77777777" w:rsidTr="003D711D">
        <w:tc>
          <w:tcPr>
            <w:tcW w:w="2034" w:type="dxa"/>
          </w:tcPr>
          <w:p w14:paraId="29BD273A" w14:textId="77777777" w:rsidR="00540F22" w:rsidRPr="008312ED" w:rsidRDefault="00540F22" w:rsidP="003D711D">
            <w:pPr>
              <w:pStyle w:val="Tabletext"/>
              <w:keepNext/>
              <w:keepLines/>
            </w:pPr>
            <w:r w:rsidRPr="008312ED">
              <w:t>Saprop. NR (76.52%)</w:t>
            </w:r>
          </w:p>
        </w:tc>
        <w:tc>
          <w:tcPr>
            <w:tcW w:w="1127" w:type="dxa"/>
            <w:vAlign w:val="center"/>
          </w:tcPr>
          <w:p w14:paraId="5896AA5F" w14:textId="6DA83066" w:rsidR="00540F22" w:rsidRPr="008312ED" w:rsidRDefault="00EC6944" w:rsidP="003D711D">
            <w:pPr>
              <w:pStyle w:val="Tabletext"/>
              <w:keepNext/>
              <w:keepLines/>
              <w:jc w:val="center"/>
            </w:pPr>
            <w:r w:rsidRPr="00EC6944">
              <w:rPr>
                <w:rFonts w:cs="Calibri" w:hint="eastAsia"/>
                <w:color w:val="000000"/>
                <w:w w:val="27"/>
                <w:shd w:val="solid" w:color="000000" w:fill="000000"/>
                <w:fitText w:val="123" w:id="-1436265215"/>
                <w14:textFill>
                  <w14:solidFill>
                    <w14:srgbClr w14:val="000000">
                      <w14:alpha w14:val="100000"/>
                    </w14:srgbClr>
                  </w14:solidFill>
                </w14:textFill>
              </w:rPr>
              <w:t xml:space="preserve">　</w:t>
            </w:r>
            <w:r w:rsidRPr="00EC6944">
              <w:rPr>
                <w:rFonts w:cs="Calibri"/>
                <w:color w:val="000000"/>
                <w:w w:val="27"/>
                <w:shd w:val="solid" w:color="000000" w:fill="000000"/>
                <w:fitText w:val="123" w:id="-1436265215"/>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15"/>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2712D13C" w14:textId="5BDF6F33"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14"/>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4"/>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4"/>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17F1B2A8" w14:textId="7EB62E96" w:rsidR="00540F22" w:rsidRPr="008312ED" w:rsidRDefault="00EC6944" w:rsidP="003D711D">
            <w:pPr>
              <w:pStyle w:val="Tabletext"/>
              <w:keepNext/>
              <w:keepLines/>
              <w:jc w:val="center"/>
            </w:pPr>
            <w:r w:rsidRPr="00EC6944">
              <w:rPr>
                <w:rFonts w:cs="Calibri" w:hint="eastAsia"/>
                <w:color w:val="000000"/>
                <w:w w:val="22"/>
                <w:shd w:val="solid" w:color="000000" w:fill="000000"/>
                <w:fitText w:val="100" w:id="-1436265213"/>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3"/>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3"/>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E5F91ED" w14:textId="47F3992A"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12"/>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2"/>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2"/>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236E0219" w14:textId="2035E959"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0" w:id="-1436265211"/>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1"/>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1"/>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4E533A1F" w14:textId="1CDC2708" w:rsidR="00540F22" w:rsidRPr="00FA4CA8" w:rsidRDefault="00EC6944" w:rsidP="003D711D">
            <w:pPr>
              <w:pStyle w:val="Tabletext"/>
              <w:keepNext/>
              <w:keepLines/>
              <w:jc w:val="center"/>
              <w:rPr>
                <w:highlight w:val="darkGray"/>
              </w:rPr>
            </w:pPr>
            <w:r w:rsidRPr="00EC6944">
              <w:rPr>
                <w:rFonts w:cs="Calibri" w:hint="eastAsia"/>
                <w:color w:val="000000"/>
                <w:w w:val="22"/>
                <w:shd w:val="solid" w:color="000000" w:fill="000000"/>
                <w:fitText w:val="101" w:id="-1436265210"/>
                <w14:textFill>
                  <w14:solidFill>
                    <w14:srgbClr w14:val="000000">
                      <w14:alpha w14:val="100000"/>
                    </w14:srgbClr>
                  </w14:solidFill>
                </w14:textFill>
              </w:rPr>
              <w:t xml:space="preserve">　</w:t>
            </w:r>
            <w:r w:rsidRPr="00EC6944">
              <w:rPr>
                <w:rFonts w:cs="Calibri"/>
                <w:color w:val="000000"/>
                <w:w w:val="22"/>
                <w:shd w:val="solid" w:color="000000" w:fill="000000"/>
                <w:fitText w:val="101" w:id="-1436265210"/>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10"/>
                <w14:textFill>
                  <w14:solidFill>
                    <w14:srgbClr w14:val="000000">
                      <w14:alpha w14:val="100000"/>
                    </w14:srgbClr>
                  </w14:solidFill>
                </w14:textFill>
              </w:rPr>
              <w:t xml:space="preserve">　</w:t>
            </w:r>
            <w:r w:rsidR="00FA4CA8">
              <w:rPr>
                <w:rFonts w:cs="Calibri"/>
                <w:vertAlign w:val="superscript"/>
              </w:rPr>
              <w:t>1</w:t>
            </w:r>
          </w:p>
        </w:tc>
      </w:tr>
      <w:tr w:rsidR="00540F22" w:rsidRPr="008312ED" w14:paraId="5948E0C0" w14:textId="77777777" w:rsidTr="003D711D">
        <w:tc>
          <w:tcPr>
            <w:tcW w:w="2034" w:type="dxa"/>
          </w:tcPr>
          <w:p w14:paraId="3E81FA5D" w14:textId="77777777" w:rsidR="00540F22" w:rsidRPr="008312ED" w:rsidRDefault="00540F22" w:rsidP="003D711D">
            <w:pPr>
              <w:pStyle w:val="Tabletext"/>
              <w:keepNext/>
              <w:keepLines/>
              <w:rPr>
                <w:b/>
                <w:bCs/>
              </w:rPr>
            </w:pPr>
            <w:r w:rsidRPr="008312ED">
              <w:rPr>
                <w:b/>
                <w:bCs/>
              </w:rPr>
              <w:t>Eligible population</w:t>
            </w:r>
          </w:p>
        </w:tc>
        <w:tc>
          <w:tcPr>
            <w:tcW w:w="1127" w:type="dxa"/>
            <w:vAlign w:val="center"/>
          </w:tcPr>
          <w:p w14:paraId="1B6E8719" w14:textId="78097938" w:rsidR="00540F22" w:rsidRPr="008312ED" w:rsidRDefault="00EC6944" w:rsidP="003D711D">
            <w:pPr>
              <w:pStyle w:val="Tabletext"/>
              <w:keepNext/>
              <w:keepLines/>
              <w:jc w:val="center"/>
              <w:rPr>
                <w:b/>
                <w:bCs/>
              </w:rPr>
            </w:pPr>
            <w:r w:rsidRPr="00EC6944">
              <w:rPr>
                <w:rFonts w:cs="Calibri"/>
                <w:b/>
                <w:bCs/>
                <w:color w:val="000000"/>
                <w:spacing w:val="70"/>
                <w:shd w:val="solid" w:color="000000" w:fill="000000"/>
                <w:fitText w:val="162" w:id="-1436265209"/>
                <w14:textFill>
                  <w14:solidFill>
                    <w14:srgbClr w14:val="000000">
                      <w14:alpha w14:val="100000"/>
                    </w14:srgbClr>
                  </w14:solidFill>
                </w14:textFill>
              </w:rPr>
              <w:t>|</w:t>
            </w:r>
            <w:r w:rsidRPr="00EC6944">
              <w:rPr>
                <w:rFonts w:cs="Calibri"/>
                <w:b/>
                <w:bCs/>
                <w:color w:val="000000"/>
                <w:spacing w:val="1"/>
                <w:shd w:val="solid" w:color="000000" w:fill="000000"/>
                <w:fitText w:val="162" w:id="-1436265209"/>
                <w14:textFill>
                  <w14:solidFill>
                    <w14:srgbClr w14:val="000000">
                      <w14:alpha w14:val="100000"/>
                    </w14:srgbClr>
                  </w14:solidFill>
                </w14:textFill>
              </w:rPr>
              <w:t>|</w:t>
            </w:r>
            <w:r w:rsidR="00FA4CA8">
              <w:rPr>
                <w:rFonts w:cs="Calibri"/>
                <w:vertAlign w:val="superscript"/>
              </w:rPr>
              <w:t>2</w:t>
            </w:r>
          </w:p>
        </w:tc>
        <w:tc>
          <w:tcPr>
            <w:tcW w:w="1171" w:type="dxa"/>
            <w:vAlign w:val="center"/>
          </w:tcPr>
          <w:p w14:paraId="7A417E3B" w14:textId="5BD51659" w:rsidR="00540F22" w:rsidRPr="008312ED" w:rsidRDefault="00EC6944" w:rsidP="003D711D">
            <w:pPr>
              <w:pStyle w:val="Tabletext"/>
              <w:keepNext/>
              <w:keepLines/>
              <w:jc w:val="center"/>
              <w:rPr>
                <w:b/>
                <w:bCs/>
              </w:rPr>
            </w:pPr>
            <w:r w:rsidRPr="00EC6944">
              <w:rPr>
                <w:rFonts w:cs="Calibri" w:hint="eastAsia"/>
                <w:b/>
                <w:bCs/>
                <w:color w:val="000000"/>
                <w:w w:val="32"/>
                <w:shd w:val="solid" w:color="000000" w:fill="000000"/>
                <w:fitText w:val="146" w:id="-1436265208"/>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08"/>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08"/>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3D948775" w14:textId="08CB2091" w:rsidR="00540F22" w:rsidRPr="008312ED" w:rsidRDefault="00EC6944" w:rsidP="003D711D">
            <w:pPr>
              <w:pStyle w:val="Tabletext"/>
              <w:keepNext/>
              <w:keepLines/>
              <w:jc w:val="center"/>
              <w:rPr>
                <w:b/>
                <w:bCs/>
              </w:rPr>
            </w:pPr>
            <w:r w:rsidRPr="00EC6944">
              <w:rPr>
                <w:rFonts w:cs="Calibri" w:hint="eastAsia"/>
                <w:b/>
                <w:bCs/>
                <w:color w:val="000000"/>
                <w:w w:val="32"/>
                <w:shd w:val="solid" w:color="000000" w:fill="000000"/>
                <w:fitText w:val="147" w:id="-1436265207"/>
                <w14:textFill>
                  <w14:solidFill>
                    <w14:srgbClr w14:val="000000">
                      <w14:alpha w14:val="100000"/>
                    </w14:srgbClr>
                  </w14:solidFill>
                </w14:textFill>
              </w:rPr>
              <w:t xml:space="preserve">　</w:t>
            </w:r>
            <w:r w:rsidRPr="00EC6944">
              <w:rPr>
                <w:rFonts w:cs="Calibri"/>
                <w:b/>
                <w:bCs/>
                <w:color w:val="000000"/>
                <w:w w:val="32"/>
                <w:shd w:val="solid" w:color="000000" w:fill="000000"/>
                <w:fitText w:val="147" w:id="-1436265207"/>
                <w14:textFill>
                  <w14:solidFill>
                    <w14:srgbClr w14:val="000000">
                      <w14:alpha w14:val="100000"/>
                    </w14:srgbClr>
                  </w14:solidFill>
                </w14:textFill>
              </w:rPr>
              <w:t>|</w:t>
            </w:r>
            <w:r w:rsidRPr="00EC6944">
              <w:rPr>
                <w:rFonts w:cs="Calibri" w:hint="eastAsia"/>
                <w:b/>
                <w:bCs/>
                <w:color w:val="000000"/>
                <w:spacing w:val="7"/>
                <w:w w:val="32"/>
                <w:shd w:val="solid" w:color="000000" w:fill="000000"/>
                <w:fitText w:val="147" w:id="-1436265207"/>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061D6E3F" w14:textId="099ADA84" w:rsidR="00540F22" w:rsidRPr="00FA4CA8" w:rsidRDefault="00EC6944" w:rsidP="003D711D">
            <w:pPr>
              <w:pStyle w:val="Tabletext"/>
              <w:keepNext/>
              <w:keepLines/>
              <w:jc w:val="center"/>
              <w:rPr>
                <w:b/>
                <w:bCs/>
                <w:highlight w:val="darkGray"/>
              </w:rPr>
            </w:pPr>
            <w:r w:rsidRPr="00EC6944">
              <w:rPr>
                <w:rFonts w:cs="Calibri" w:hint="eastAsia"/>
                <w:b/>
                <w:bCs/>
                <w:color w:val="000000"/>
                <w:w w:val="32"/>
                <w:shd w:val="solid" w:color="000000" w:fill="000000"/>
                <w:fitText w:val="146" w:id="-1436265206"/>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06"/>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06"/>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321B1917" w14:textId="225D0347" w:rsidR="00540F22" w:rsidRPr="00FA4CA8" w:rsidRDefault="00EC6944" w:rsidP="003D711D">
            <w:pPr>
              <w:pStyle w:val="Tabletext"/>
              <w:keepNext/>
              <w:keepLines/>
              <w:jc w:val="center"/>
              <w:rPr>
                <w:b/>
                <w:bCs/>
                <w:highlight w:val="darkGray"/>
              </w:rPr>
            </w:pPr>
            <w:r w:rsidRPr="00EC6944">
              <w:rPr>
                <w:rFonts w:cs="Calibri" w:hint="eastAsia"/>
                <w:b/>
                <w:bCs/>
                <w:color w:val="000000"/>
                <w:w w:val="32"/>
                <w:shd w:val="solid" w:color="000000" w:fill="000000"/>
                <w:fitText w:val="147" w:id="-1436265205"/>
                <w14:textFill>
                  <w14:solidFill>
                    <w14:srgbClr w14:val="000000">
                      <w14:alpha w14:val="100000"/>
                    </w14:srgbClr>
                  </w14:solidFill>
                </w14:textFill>
              </w:rPr>
              <w:t xml:space="preserve">　</w:t>
            </w:r>
            <w:r w:rsidRPr="00EC6944">
              <w:rPr>
                <w:rFonts w:cs="Calibri"/>
                <w:b/>
                <w:bCs/>
                <w:color w:val="000000"/>
                <w:w w:val="32"/>
                <w:shd w:val="solid" w:color="000000" w:fill="000000"/>
                <w:fitText w:val="147" w:id="-1436265205"/>
                <w14:textFill>
                  <w14:solidFill>
                    <w14:srgbClr w14:val="000000">
                      <w14:alpha w14:val="100000"/>
                    </w14:srgbClr>
                  </w14:solidFill>
                </w14:textFill>
              </w:rPr>
              <w:t>|</w:t>
            </w:r>
            <w:r w:rsidRPr="00EC6944">
              <w:rPr>
                <w:rFonts w:cs="Calibri" w:hint="eastAsia"/>
                <w:b/>
                <w:bCs/>
                <w:color w:val="000000"/>
                <w:spacing w:val="7"/>
                <w:w w:val="32"/>
                <w:shd w:val="solid" w:color="000000" w:fill="000000"/>
                <w:fitText w:val="147" w:id="-1436265205"/>
                <w14:textFill>
                  <w14:solidFill>
                    <w14:srgbClr w14:val="000000">
                      <w14:alpha w14:val="100000"/>
                    </w14:srgbClr>
                  </w14:solidFill>
                </w14:textFill>
              </w:rPr>
              <w:t xml:space="preserve">　</w:t>
            </w:r>
            <w:r w:rsidR="00FA4CA8">
              <w:rPr>
                <w:rFonts w:cs="Calibri"/>
                <w:vertAlign w:val="superscript"/>
              </w:rPr>
              <w:t>1</w:t>
            </w:r>
          </w:p>
        </w:tc>
        <w:tc>
          <w:tcPr>
            <w:tcW w:w="1171" w:type="dxa"/>
            <w:vAlign w:val="center"/>
          </w:tcPr>
          <w:p w14:paraId="549E55A8" w14:textId="6C10D05F" w:rsidR="00540F22" w:rsidRPr="00FA4CA8" w:rsidRDefault="00EC6944" w:rsidP="003D711D">
            <w:pPr>
              <w:pStyle w:val="Tabletext"/>
              <w:keepNext/>
              <w:keepLines/>
              <w:jc w:val="center"/>
              <w:rPr>
                <w:b/>
                <w:bCs/>
                <w:highlight w:val="darkGray"/>
              </w:rPr>
            </w:pPr>
            <w:r w:rsidRPr="00EC6944">
              <w:rPr>
                <w:rFonts w:cs="Calibri" w:hint="eastAsia"/>
                <w:b/>
                <w:bCs/>
                <w:color w:val="000000"/>
                <w:w w:val="32"/>
                <w:shd w:val="solid" w:color="000000" w:fill="000000"/>
                <w:fitText w:val="146" w:id="-1436265204"/>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04"/>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04"/>
                <w14:textFill>
                  <w14:solidFill>
                    <w14:srgbClr w14:val="000000">
                      <w14:alpha w14:val="100000"/>
                    </w14:srgbClr>
                  </w14:solidFill>
                </w14:textFill>
              </w:rPr>
              <w:t xml:space="preserve">　</w:t>
            </w:r>
            <w:r w:rsidR="00FA4CA8">
              <w:rPr>
                <w:rFonts w:cs="Calibri"/>
                <w:vertAlign w:val="superscript"/>
              </w:rPr>
              <w:t>1</w:t>
            </w:r>
          </w:p>
        </w:tc>
      </w:tr>
      <w:tr w:rsidR="00540F22" w:rsidRPr="008312ED" w14:paraId="2B9678E1" w14:textId="77777777" w:rsidTr="003D711D">
        <w:tc>
          <w:tcPr>
            <w:tcW w:w="2034" w:type="dxa"/>
          </w:tcPr>
          <w:p w14:paraId="5BE313F8" w14:textId="77777777" w:rsidR="00540F22" w:rsidRPr="008312ED" w:rsidRDefault="00540F22" w:rsidP="003D711D">
            <w:pPr>
              <w:pStyle w:val="Tabletext"/>
              <w:keepNext/>
              <w:keepLines/>
            </w:pPr>
            <w:r w:rsidRPr="008312ED">
              <w:t>Uptake rates</w:t>
            </w:r>
          </w:p>
        </w:tc>
        <w:tc>
          <w:tcPr>
            <w:tcW w:w="1127" w:type="dxa"/>
            <w:vAlign w:val="center"/>
          </w:tcPr>
          <w:p w14:paraId="3181F25A" w14:textId="3044672A" w:rsidR="00540F22" w:rsidRPr="00941508" w:rsidRDefault="00EC6944" w:rsidP="003D711D">
            <w:pPr>
              <w:pStyle w:val="Tabletext"/>
              <w:keepNext/>
              <w:keepLines/>
              <w:jc w:val="center"/>
              <w:rPr>
                <w:rFonts w:cs="Calibri"/>
              </w:rPr>
            </w:pPr>
            <w:r w:rsidRPr="00EC6944">
              <w:rPr>
                <w:rFonts w:cs="Calibri"/>
                <w:color w:val="000000"/>
                <w:spacing w:val="83"/>
                <w:szCs w:val="20"/>
                <w:shd w:val="solid" w:color="000000" w:fill="000000"/>
                <w:fitText w:val="169" w:id="-1436265203"/>
                <w14:textFill>
                  <w14:solidFill>
                    <w14:srgbClr w14:val="000000">
                      <w14:alpha w14:val="100000"/>
                    </w14:srgbClr>
                  </w14:solidFill>
                </w14:textFill>
              </w:rPr>
              <w:t>|</w:t>
            </w:r>
            <w:r w:rsidRPr="00EC6944">
              <w:rPr>
                <w:rFonts w:cs="Calibri"/>
                <w:color w:val="000000"/>
                <w:spacing w:val="1"/>
                <w:szCs w:val="20"/>
                <w:shd w:val="solid" w:color="000000" w:fill="000000"/>
                <w:fitText w:val="169" w:id="-1436265203"/>
                <w14:textFill>
                  <w14:solidFill>
                    <w14:srgbClr w14:val="000000">
                      <w14:alpha w14:val="100000"/>
                    </w14:srgbClr>
                  </w14:solidFill>
                </w14:textFill>
              </w:rPr>
              <w:t>|</w:t>
            </w:r>
            <w:r w:rsidR="00540F22" w:rsidRPr="00941508">
              <w:rPr>
                <w:rFonts w:cs="Calibri"/>
                <w:szCs w:val="20"/>
              </w:rPr>
              <w:t>%</w:t>
            </w:r>
          </w:p>
        </w:tc>
        <w:tc>
          <w:tcPr>
            <w:tcW w:w="1171" w:type="dxa"/>
            <w:vAlign w:val="center"/>
          </w:tcPr>
          <w:p w14:paraId="613B37B1" w14:textId="4C470FD4" w:rsidR="00540F22" w:rsidRPr="00941508" w:rsidRDefault="00EC6944" w:rsidP="003D711D">
            <w:pPr>
              <w:pStyle w:val="Tabletext"/>
              <w:keepNext/>
              <w:keepLines/>
              <w:jc w:val="center"/>
              <w:rPr>
                <w:rFonts w:cs="Calibri"/>
              </w:rPr>
            </w:pPr>
            <w:r w:rsidRPr="00EC6944">
              <w:rPr>
                <w:rFonts w:cs="Calibri" w:hint="eastAsia"/>
                <w:color w:val="000000"/>
                <w:w w:val="33"/>
                <w:szCs w:val="20"/>
                <w:shd w:val="solid" w:color="000000" w:fill="000000"/>
                <w:fitText w:val="147" w:id="-1436265202"/>
                <w14:textFill>
                  <w14:solidFill>
                    <w14:srgbClr w14:val="000000">
                      <w14:alpha w14:val="100000"/>
                    </w14:srgbClr>
                  </w14:solidFill>
                </w14:textFill>
              </w:rPr>
              <w:t xml:space="preserve">　</w:t>
            </w:r>
            <w:r w:rsidRPr="00EC6944">
              <w:rPr>
                <w:rFonts w:cs="Calibri"/>
                <w:color w:val="000000"/>
                <w:w w:val="33"/>
                <w:szCs w:val="20"/>
                <w:shd w:val="solid" w:color="000000" w:fill="000000"/>
                <w:fitText w:val="147" w:id="-1436265202"/>
                <w14:textFill>
                  <w14:solidFill>
                    <w14:srgbClr w14:val="000000">
                      <w14:alpha w14:val="100000"/>
                    </w14:srgbClr>
                  </w14:solidFill>
                </w14:textFill>
              </w:rPr>
              <w:t>|</w:t>
            </w:r>
            <w:r w:rsidRPr="00EC6944">
              <w:rPr>
                <w:rFonts w:cs="Calibri" w:hint="eastAsia"/>
                <w:color w:val="000000"/>
                <w:spacing w:val="1"/>
                <w:w w:val="33"/>
                <w:szCs w:val="20"/>
                <w:shd w:val="solid" w:color="000000" w:fill="000000"/>
                <w:fitText w:val="147" w:id="-1436265202"/>
                <w14:textFill>
                  <w14:solidFill>
                    <w14:srgbClr w14:val="000000">
                      <w14:alpha w14:val="100000"/>
                    </w14:srgbClr>
                  </w14:solidFill>
                </w14:textFill>
              </w:rPr>
              <w:t xml:space="preserve">　</w:t>
            </w:r>
            <w:r w:rsidR="00540F22" w:rsidRPr="00941508">
              <w:rPr>
                <w:rFonts w:cs="Calibri"/>
                <w:szCs w:val="20"/>
              </w:rPr>
              <w:t>%</w:t>
            </w:r>
          </w:p>
        </w:tc>
        <w:tc>
          <w:tcPr>
            <w:tcW w:w="1171" w:type="dxa"/>
            <w:vAlign w:val="center"/>
          </w:tcPr>
          <w:p w14:paraId="37D468B4" w14:textId="78CB629B" w:rsidR="00540F22" w:rsidRPr="00941508" w:rsidRDefault="00EC6944" w:rsidP="003D711D">
            <w:pPr>
              <w:pStyle w:val="Tabletext"/>
              <w:keepNext/>
              <w:keepLines/>
              <w:jc w:val="center"/>
              <w:rPr>
                <w:rFonts w:cs="Calibri"/>
              </w:rPr>
            </w:pPr>
            <w:r w:rsidRPr="00EC6944">
              <w:rPr>
                <w:rFonts w:cs="Calibri" w:hint="eastAsia"/>
                <w:color w:val="000000"/>
                <w:w w:val="32"/>
                <w:szCs w:val="20"/>
                <w:shd w:val="solid" w:color="000000" w:fill="000000"/>
                <w:fitText w:val="146" w:id="-1436265201"/>
                <w14:textFill>
                  <w14:solidFill>
                    <w14:srgbClr w14:val="000000">
                      <w14:alpha w14:val="100000"/>
                    </w14:srgbClr>
                  </w14:solidFill>
                </w14:textFill>
              </w:rPr>
              <w:t xml:space="preserve">　</w:t>
            </w:r>
            <w:r w:rsidRPr="00EC6944">
              <w:rPr>
                <w:rFonts w:cs="Calibri"/>
                <w:color w:val="000000"/>
                <w:w w:val="32"/>
                <w:szCs w:val="20"/>
                <w:shd w:val="solid" w:color="000000" w:fill="000000"/>
                <w:fitText w:val="146" w:id="-1436265201"/>
                <w14:textFill>
                  <w14:solidFill>
                    <w14:srgbClr w14:val="000000">
                      <w14:alpha w14:val="100000"/>
                    </w14:srgbClr>
                  </w14:solidFill>
                </w14:textFill>
              </w:rPr>
              <w:t>|</w:t>
            </w:r>
            <w:r w:rsidRPr="00EC6944">
              <w:rPr>
                <w:rFonts w:cs="Calibri" w:hint="eastAsia"/>
                <w:color w:val="000000"/>
                <w:spacing w:val="7"/>
                <w:w w:val="32"/>
                <w:szCs w:val="20"/>
                <w:shd w:val="solid" w:color="000000" w:fill="000000"/>
                <w:fitText w:val="146" w:id="-1436265201"/>
                <w14:textFill>
                  <w14:solidFill>
                    <w14:srgbClr w14:val="000000">
                      <w14:alpha w14:val="100000"/>
                    </w14:srgbClr>
                  </w14:solidFill>
                </w14:textFill>
              </w:rPr>
              <w:t xml:space="preserve">　</w:t>
            </w:r>
            <w:r w:rsidR="00540F22" w:rsidRPr="00941508">
              <w:rPr>
                <w:rFonts w:cs="Calibri"/>
                <w:szCs w:val="20"/>
              </w:rPr>
              <w:t>%</w:t>
            </w:r>
          </w:p>
        </w:tc>
        <w:tc>
          <w:tcPr>
            <w:tcW w:w="1171" w:type="dxa"/>
            <w:vAlign w:val="center"/>
          </w:tcPr>
          <w:p w14:paraId="6AC18E57" w14:textId="43C1E3C3" w:rsidR="00540F22" w:rsidRPr="00941508" w:rsidRDefault="00EC6944" w:rsidP="003D711D">
            <w:pPr>
              <w:pStyle w:val="Tabletext"/>
              <w:keepNext/>
              <w:keepLines/>
              <w:jc w:val="center"/>
              <w:rPr>
                <w:rFonts w:cs="Calibri"/>
              </w:rPr>
            </w:pPr>
            <w:r w:rsidRPr="00EC6944">
              <w:rPr>
                <w:rFonts w:cs="Calibri" w:hint="eastAsia"/>
                <w:color w:val="000000"/>
                <w:w w:val="33"/>
                <w:szCs w:val="20"/>
                <w:shd w:val="solid" w:color="000000" w:fill="000000"/>
                <w:fitText w:val="147" w:id="-1436265200"/>
                <w14:textFill>
                  <w14:solidFill>
                    <w14:srgbClr w14:val="000000">
                      <w14:alpha w14:val="100000"/>
                    </w14:srgbClr>
                  </w14:solidFill>
                </w14:textFill>
              </w:rPr>
              <w:t xml:space="preserve">　</w:t>
            </w:r>
            <w:r w:rsidRPr="00EC6944">
              <w:rPr>
                <w:rFonts w:cs="Calibri"/>
                <w:color w:val="000000"/>
                <w:w w:val="33"/>
                <w:szCs w:val="20"/>
                <w:shd w:val="solid" w:color="000000" w:fill="000000"/>
                <w:fitText w:val="147" w:id="-1436265200"/>
                <w14:textFill>
                  <w14:solidFill>
                    <w14:srgbClr w14:val="000000">
                      <w14:alpha w14:val="100000"/>
                    </w14:srgbClr>
                  </w14:solidFill>
                </w14:textFill>
              </w:rPr>
              <w:t>|</w:t>
            </w:r>
            <w:r w:rsidRPr="00EC6944">
              <w:rPr>
                <w:rFonts w:cs="Calibri" w:hint="eastAsia"/>
                <w:color w:val="000000"/>
                <w:spacing w:val="1"/>
                <w:w w:val="33"/>
                <w:szCs w:val="20"/>
                <w:shd w:val="solid" w:color="000000" w:fill="000000"/>
                <w:fitText w:val="147" w:id="-1436265200"/>
                <w14:textFill>
                  <w14:solidFill>
                    <w14:srgbClr w14:val="000000">
                      <w14:alpha w14:val="100000"/>
                    </w14:srgbClr>
                  </w14:solidFill>
                </w14:textFill>
              </w:rPr>
              <w:t xml:space="preserve">　</w:t>
            </w:r>
            <w:r w:rsidR="00540F22" w:rsidRPr="00941508">
              <w:rPr>
                <w:rFonts w:cs="Calibri"/>
                <w:szCs w:val="20"/>
              </w:rPr>
              <w:t>%</w:t>
            </w:r>
          </w:p>
        </w:tc>
        <w:tc>
          <w:tcPr>
            <w:tcW w:w="1171" w:type="dxa"/>
            <w:vAlign w:val="center"/>
          </w:tcPr>
          <w:p w14:paraId="1E7E8E5A" w14:textId="390758A6" w:rsidR="00540F22" w:rsidRPr="00941508" w:rsidRDefault="00EC6944" w:rsidP="003D711D">
            <w:pPr>
              <w:pStyle w:val="Tabletext"/>
              <w:keepNext/>
              <w:keepLines/>
              <w:jc w:val="center"/>
              <w:rPr>
                <w:rFonts w:cs="Calibri"/>
              </w:rPr>
            </w:pPr>
            <w:r w:rsidRPr="00EC6944">
              <w:rPr>
                <w:rFonts w:cs="Calibri" w:hint="eastAsia"/>
                <w:color w:val="000000"/>
                <w:w w:val="32"/>
                <w:szCs w:val="20"/>
                <w:shd w:val="solid" w:color="000000" w:fill="000000"/>
                <w:fitText w:val="146" w:id="-1436265216"/>
                <w14:textFill>
                  <w14:solidFill>
                    <w14:srgbClr w14:val="000000">
                      <w14:alpha w14:val="100000"/>
                    </w14:srgbClr>
                  </w14:solidFill>
                </w14:textFill>
              </w:rPr>
              <w:t xml:space="preserve">　</w:t>
            </w:r>
            <w:r w:rsidRPr="00EC6944">
              <w:rPr>
                <w:rFonts w:cs="Calibri"/>
                <w:color w:val="000000"/>
                <w:w w:val="32"/>
                <w:szCs w:val="20"/>
                <w:shd w:val="solid" w:color="000000" w:fill="000000"/>
                <w:fitText w:val="146" w:id="-1436265216"/>
                <w14:textFill>
                  <w14:solidFill>
                    <w14:srgbClr w14:val="000000">
                      <w14:alpha w14:val="100000"/>
                    </w14:srgbClr>
                  </w14:solidFill>
                </w14:textFill>
              </w:rPr>
              <w:t>|</w:t>
            </w:r>
            <w:r w:rsidRPr="00EC6944">
              <w:rPr>
                <w:rFonts w:cs="Calibri" w:hint="eastAsia"/>
                <w:color w:val="000000"/>
                <w:spacing w:val="7"/>
                <w:w w:val="32"/>
                <w:szCs w:val="20"/>
                <w:shd w:val="solid" w:color="000000" w:fill="000000"/>
                <w:fitText w:val="146" w:id="-1436265216"/>
                <w14:textFill>
                  <w14:solidFill>
                    <w14:srgbClr w14:val="000000">
                      <w14:alpha w14:val="100000"/>
                    </w14:srgbClr>
                  </w14:solidFill>
                </w14:textFill>
              </w:rPr>
              <w:t xml:space="preserve">　</w:t>
            </w:r>
            <w:r w:rsidR="00540F22" w:rsidRPr="00941508">
              <w:rPr>
                <w:rFonts w:cs="Calibri"/>
                <w:szCs w:val="20"/>
              </w:rPr>
              <w:t>%</w:t>
            </w:r>
          </w:p>
        </w:tc>
        <w:tc>
          <w:tcPr>
            <w:tcW w:w="1171" w:type="dxa"/>
            <w:vAlign w:val="center"/>
          </w:tcPr>
          <w:p w14:paraId="7827D800" w14:textId="5B30ACD2" w:rsidR="00540F22" w:rsidRPr="00941508" w:rsidRDefault="00EC6944" w:rsidP="003D711D">
            <w:pPr>
              <w:pStyle w:val="Tabletext"/>
              <w:keepNext/>
              <w:keepLines/>
              <w:jc w:val="center"/>
              <w:rPr>
                <w:rFonts w:cs="Calibri"/>
              </w:rPr>
            </w:pPr>
            <w:r w:rsidRPr="00EC6944">
              <w:rPr>
                <w:rFonts w:cs="Calibri" w:hint="eastAsia"/>
                <w:color w:val="000000"/>
                <w:w w:val="33"/>
                <w:szCs w:val="20"/>
                <w:shd w:val="solid" w:color="000000" w:fill="000000"/>
                <w:fitText w:val="147" w:id="-1436265215"/>
                <w14:textFill>
                  <w14:solidFill>
                    <w14:srgbClr w14:val="000000">
                      <w14:alpha w14:val="100000"/>
                    </w14:srgbClr>
                  </w14:solidFill>
                </w14:textFill>
              </w:rPr>
              <w:t xml:space="preserve">　</w:t>
            </w:r>
            <w:r w:rsidRPr="00EC6944">
              <w:rPr>
                <w:rFonts w:cs="Calibri"/>
                <w:color w:val="000000"/>
                <w:w w:val="33"/>
                <w:szCs w:val="20"/>
                <w:shd w:val="solid" w:color="000000" w:fill="000000"/>
                <w:fitText w:val="147" w:id="-1436265215"/>
                <w14:textFill>
                  <w14:solidFill>
                    <w14:srgbClr w14:val="000000">
                      <w14:alpha w14:val="100000"/>
                    </w14:srgbClr>
                  </w14:solidFill>
                </w14:textFill>
              </w:rPr>
              <w:t>|</w:t>
            </w:r>
            <w:r w:rsidRPr="00EC6944">
              <w:rPr>
                <w:rFonts w:cs="Calibri" w:hint="eastAsia"/>
                <w:color w:val="000000"/>
                <w:spacing w:val="1"/>
                <w:w w:val="33"/>
                <w:szCs w:val="20"/>
                <w:shd w:val="solid" w:color="000000" w:fill="000000"/>
                <w:fitText w:val="147" w:id="-1436265215"/>
                <w14:textFill>
                  <w14:solidFill>
                    <w14:srgbClr w14:val="000000">
                      <w14:alpha w14:val="100000"/>
                    </w14:srgbClr>
                  </w14:solidFill>
                </w14:textFill>
              </w:rPr>
              <w:t xml:space="preserve">　</w:t>
            </w:r>
            <w:r w:rsidR="00540F22" w:rsidRPr="00941508">
              <w:rPr>
                <w:rFonts w:cs="Calibri"/>
                <w:szCs w:val="20"/>
              </w:rPr>
              <w:t>%</w:t>
            </w:r>
          </w:p>
        </w:tc>
      </w:tr>
      <w:tr w:rsidR="00540F22" w:rsidRPr="008312ED" w14:paraId="2CB6BB33" w14:textId="77777777" w:rsidTr="003D711D">
        <w:tc>
          <w:tcPr>
            <w:tcW w:w="2034" w:type="dxa"/>
          </w:tcPr>
          <w:p w14:paraId="46A81366" w14:textId="77777777" w:rsidR="00540F22" w:rsidRPr="008312ED" w:rsidRDefault="00540F22" w:rsidP="003D711D">
            <w:pPr>
              <w:pStyle w:val="Tabletext"/>
              <w:keepNext/>
              <w:keepLines/>
            </w:pPr>
            <w:r w:rsidRPr="008312ED">
              <w:t>Initiating treatment</w:t>
            </w:r>
          </w:p>
        </w:tc>
        <w:tc>
          <w:tcPr>
            <w:tcW w:w="1127" w:type="dxa"/>
            <w:vAlign w:val="center"/>
          </w:tcPr>
          <w:p w14:paraId="38FD0AB8" w14:textId="3FC39B00" w:rsidR="00540F22" w:rsidRPr="008312ED" w:rsidRDefault="00EC6944" w:rsidP="003D711D">
            <w:pPr>
              <w:pStyle w:val="Tabletext"/>
              <w:keepNext/>
              <w:keepLines/>
              <w:jc w:val="center"/>
              <w:rPr>
                <w:rFonts w:cs="Calibri"/>
              </w:rPr>
            </w:pPr>
            <w:r w:rsidRPr="00EC6944">
              <w:rPr>
                <w:rFonts w:cs="Calibri" w:hint="eastAsia"/>
                <w:color w:val="000000"/>
                <w:w w:val="27"/>
                <w:shd w:val="solid" w:color="000000" w:fill="000000"/>
                <w:fitText w:val="123" w:id="-1436265214"/>
                <w14:textFill>
                  <w14:solidFill>
                    <w14:srgbClr w14:val="000000">
                      <w14:alpha w14:val="100000"/>
                    </w14:srgbClr>
                  </w14:solidFill>
                </w14:textFill>
              </w:rPr>
              <w:t xml:space="preserve">　</w:t>
            </w:r>
            <w:r w:rsidRPr="00EC6944">
              <w:rPr>
                <w:rFonts w:cs="Calibri"/>
                <w:color w:val="000000"/>
                <w:w w:val="27"/>
                <w:shd w:val="solid" w:color="000000" w:fill="000000"/>
                <w:fitText w:val="123" w:id="-1436265214"/>
                <w14:textFill>
                  <w14:solidFill>
                    <w14:srgbClr w14:val="000000">
                      <w14:alpha w14:val="100000"/>
                    </w14:srgbClr>
                  </w14:solidFill>
                </w14:textFill>
              </w:rPr>
              <w:t>|</w:t>
            </w:r>
            <w:r w:rsidRPr="00EC6944">
              <w:rPr>
                <w:rFonts w:cs="Calibri" w:hint="eastAsia"/>
                <w:color w:val="000000"/>
                <w:spacing w:val="5"/>
                <w:w w:val="27"/>
                <w:shd w:val="solid" w:color="000000" w:fill="000000"/>
                <w:fitText w:val="123" w:id="-1436265214"/>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5E910670" w14:textId="14530805"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13"/>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3"/>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3"/>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7CB0EF78" w14:textId="38E8147C"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12"/>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2"/>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2"/>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2ADFC74E" w14:textId="5DBDA218"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11"/>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1"/>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1"/>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65EDC6C9" w14:textId="31DBD50B" w:rsidR="00540F22" w:rsidRPr="00FA4CA8" w:rsidRDefault="00EC6944" w:rsidP="003D711D">
            <w:pPr>
              <w:pStyle w:val="Tabletext"/>
              <w:keepNext/>
              <w:keepLines/>
              <w:jc w:val="center"/>
              <w:rPr>
                <w:rFonts w:cs="Calibri"/>
                <w:highlight w:val="darkGray"/>
              </w:rPr>
            </w:pPr>
            <w:r w:rsidRPr="00EC6944">
              <w:rPr>
                <w:rFonts w:cs="Calibri" w:hint="eastAsia"/>
                <w:color w:val="000000"/>
                <w:w w:val="22"/>
                <w:shd w:val="solid" w:color="000000" w:fill="000000"/>
                <w:fitText w:val="100" w:id="-1436265210"/>
                <w14:textFill>
                  <w14:solidFill>
                    <w14:srgbClr w14:val="000000">
                      <w14:alpha w14:val="100000"/>
                    </w14:srgbClr>
                  </w14:solidFill>
                </w14:textFill>
              </w:rPr>
              <w:t xml:space="preserve">　</w:t>
            </w:r>
            <w:r w:rsidRPr="00EC6944">
              <w:rPr>
                <w:rFonts w:cs="Calibri"/>
                <w:color w:val="000000"/>
                <w:w w:val="22"/>
                <w:shd w:val="solid" w:color="000000" w:fill="000000"/>
                <w:fitText w:val="100" w:id="-1436265210"/>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10"/>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6DF009D9" w14:textId="6CE68030" w:rsidR="00540F22" w:rsidRPr="00FA4CA8" w:rsidRDefault="00EC6944" w:rsidP="003D711D">
            <w:pPr>
              <w:pStyle w:val="Tabletext"/>
              <w:keepNext/>
              <w:keepLines/>
              <w:jc w:val="center"/>
              <w:rPr>
                <w:rFonts w:cs="Calibri"/>
                <w:highlight w:val="darkGray"/>
              </w:rPr>
            </w:pPr>
            <w:r w:rsidRPr="00EC6944">
              <w:rPr>
                <w:rFonts w:cs="Calibri" w:hint="eastAsia"/>
                <w:color w:val="000000"/>
                <w:w w:val="22"/>
                <w:shd w:val="solid" w:color="000000" w:fill="000000"/>
                <w:fitText w:val="101" w:id="-1436265209"/>
                <w14:textFill>
                  <w14:solidFill>
                    <w14:srgbClr w14:val="000000">
                      <w14:alpha w14:val="100000"/>
                    </w14:srgbClr>
                  </w14:solidFill>
                </w14:textFill>
              </w:rPr>
              <w:t xml:space="preserve">　</w:t>
            </w:r>
            <w:r w:rsidRPr="00EC6944">
              <w:rPr>
                <w:rFonts w:cs="Calibri"/>
                <w:color w:val="000000"/>
                <w:w w:val="22"/>
                <w:shd w:val="solid" w:color="000000" w:fill="000000"/>
                <w:fitText w:val="101" w:id="-1436265209"/>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09"/>
                <w14:textFill>
                  <w14:solidFill>
                    <w14:srgbClr w14:val="000000">
                      <w14:alpha w14:val="100000"/>
                    </w14:srgbClr>
                  </w14:solidFill>
                </w14:textFill>
              </w:rPr>
              <w:t xml:space="preserve">　</w:t>
            </w:r>
            <w:r w:rsidR="00FA4CA8">
              <w:rPr>
                <w:rFonts w:cs="Calibri"/>
                <w:vertAlign w:val="superscript"/>
              </w:rPr>
              <w:t>2</w:t>
            </w:r>
          </w:p>
        </w:tc>
      </w:tr>
      <w:tr w:rsidR="00540F22" w:rsidRPr="008312ED" w14:paraId="0ECE5D0A" w14:textId="77777777" w:rsidTr="003D711D">
        <w:tc>
          <w:tcPr>
            <w:tcW w:w="2034" w:type="dxa"/>
          </w:tcPr>
          <w:p w14:paraId="7938669F" w14:textId="77777777" w:rsidR="00540F22" w:rsidRPr="008312ED" w:rsidRDefault="00540F22" w:rsidP="003D711D">
            <w:pPr>
              <w:pStyle w:val="Tabletext"/>
              <w:keepNext/>
              <w:keepLines/>
            </w:pPr>
            <w:r w:rsidRPr="008312ED">
              <w:t>Continuing in sub. years</w:t>
            </w:r>
          </w:p>
        </w:tc>
        <w:tc>
          <w:tcPr>
            <w:tcW w:w="1127" w:type="dxa"/>
            <w:vAlign w:val="center"/>
          </w:tcPr>
          <w:p w14:paraId="03C5CC77" w14:textId="77777777" w:rsidR="00540F22" w:rsidRPr="008312ED" w:rsidRDefault="00540F22" w:rsidP="003D711D">
            <w:pPr>
              <w:pStyle w:val="Tabletext"/>
              <w:keepNext/>
              <w:keepLines/>
              <w:jc w:val="center"/>
              <w:rPr>
                <w:rFonts w:cs="Calibri"/>
              </w:rPr>
            </w:pPr>
            <w:r w:rsidRPr="008312ED">
              <w:rPr>
                <w:rFonts w:cs="Calibri"/>
              </w:rPr>
              <w:t>0</w:t>
            </w:r>
          </w:p>
        </w:tc>
        <w:tc>
          <w:tcPr>
            <w:tcW w:w="1171" w:type="dxa"/>
            <w:vAlign w:val="center"/>
          </w:tcPr>
          <w:p w14:paraId="56419785" w14:textId="1EEAE26A"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08"/>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8"/>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8"/>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2D5E9C30" w14:textId="3FAD06A4"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07"/>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7"/>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7"/>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219AB33C" w14:textId="2840C20D"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06"/>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6"/>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6"/>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46DAB773" w14:textId="54E32BA3"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0" w:id="-1436265205"/>
                <w14:textFill>
                  <w14:solidFill>
                    <w14:srgbClr w14:val="000000">
                      <w14:alpha w14:val="100000"/>
                    </w14:srgbClr>
                  </w14:solidFill>
                </w14:textFill>
              </w:rPr>
              <w:t xml:space="preserve">　</w:t>
            </w:r>
            <w:r w:rsidRPr="00EC6944">
              <w:rPr>
                <w:rFonts w:cs="Calibri"/>
                <w:color w:val="000000"/>
                <w:w w:val="22"/>
                <w:shd w:val="solid" w:color="000000" w:fill="000000"/>
                <w:fitText w:val="100" w:id="-1436265205"/>
                <w14:textFill>
                  <w14:solidFill>
                    <w14:srgbClr w14:val="000000">
                      <w14:alpha w14:val="100000"/>
                    </w14:srgbClr>
                  </w14:solidFill>
                </w14:textFill>
              </w:rPr>
              <w:t>|</w:t>
            </w:r>
            <w:r w:rsidRPr="00EC6944">
              <w:rPr>
                <w:rFonts w:cs="Calibri" w:hint="eastAsia"/>
                <w:color w:val="000000"/>
                <w:spacing w:val="3"/>
                <w:w w:val="22"/>
                <w:shd w:val="solid" w:color="000000" w:fill="000000"/>
                <w:fitText w:val="100" w:id="-1436265205"/>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4FBC8886" w14:textId="1595A7CC" w:rsidR="00540F22" w:rsidRPr="008312ED" w:rsidRDefault="00EC6944" w:rsidP="003D711D">
            <w:pPr>
              <w:pStyle w:val="Tabletext"/>
              <w:keepNext/>
              <w:keepLines/>
              <w:jc w:val="center"/>
              <w:rPr>
                <w:rFonts w:cs="Calibri"/>
              </w:rPr>
            </w:pPr>
            <w:r w:rsidRPr="00EC6944">
              <w:rPr>
                <w:rFonts w:cs="Calibri" w:hint="eastAsia"/>
                <w:color w:val="000000"/>
                <w:w w:val="22"/>
                <w:shd w:val="solid" w:color="000000" w:fill="000000"/>
                <w:fitText w:val="101" w:id="-1436265204"/>
                <w14:textFill>
                  <w14:solidFill>
                    <w14:srgbClr w14:val="000000">
                      <w14:alpha w14:val="100000"/>
                    </w14:srgbClr>
                  </w14:solidFill>
                </w14:textFill>
              </w:rPr>
              <w:t xml:space="preserve">　</w:t>
            </w:r>
            <w:r w:rsidRPr="00EC6944">
              <w:rPr>
                <w:rFonts w:cs="Calibri"/>
                <w:color w:val="000000"/>
                <w:w w:val="22"/>
                <w:shd w:val="solid" w:color="000000" w:fill="000000"/>
                <w:fitText w:val="101" w:id="-1436265204"/>
                <w14:textFill>
                  <w14:solidFill>
                    <w14:srgbClr w14:val="000000">
                      <w14:alpha w14:val="100000"/>
                    </w14:srgbClr>
                  </w14:solidFill>
                </w14:textFill>
              </w:rPr>
              <w:t>|</w:t>
            </w:r>
            <w:r w:rsidRPr="00EC6944">
              <w:rPr>
                <w:rFonts w:cs="Calibri" w:hint="eastAsia"/>
                <w:color w:val="000000"/>
                <w:spacing w:val="4"/>
                <w:w w:val="22"/>
                <w:shd w:val="solid" w:color="000000" w:fill="000000"/>
                <w:fitText w:val="101" w:id="-1436265204"/>
                <w14:textFill>
                  <w14:solidFill>
                    <w14:srgbClr w14:val="000000">
                      <w14:alpha w14:val="100000"/>
                    </w14:srgbClr>
                  </w14:solidFill>
                </w14:textFill>
              </w:rPr>
              <w:t xml:space="preserve">　</w:t>
            </w:r>
            <w:r w:rsidR="00FA4CA8">
              <w:rPr>
                <w:rFonts w:cs="Calibri"/>
                <w:vertAlign w:val="superscript"/>
              </w:rPr>
              <w:t>2</w:t>
            </w:r>
          </w:p>
        </w:tc>
      </w:tr>
      <w:tr w:rsidR="00540F22" w:rsidRPr="008312ED" w14:paraId="578BA620" w14:textId="77777777" w:rsidTr="003D711D">
        <w:tc>
          <w:tcPr>
            <w:tcW w:w="2034" w:type="dxa"/>
          </w:tcPr>
          <w:p w14:paraId="1DD412BD" w14:textId="77777777" w:rsidR="00540F22" w:rsidRPr="008312ED" w:rsidRDefault="00540F22" w:rsidP="003D711D">
            <w:pPr>
              <w:pStyle w:val="Tabletext"/>
              <w:keepNext/>
              <w:keepLines/>
            </w:pPr>
            <w:r w:rsidRPr="008312ED">
              <w:rPr>
                <w:b/>
                <w:bCs/>
              </w:rPr>
              <w:t>Total treated</w:t>
            </w:r>
          </w:p>
        </w:tc>
        <w:tc>
          <w:tcPr>
            <w:tcW w:w="1127" w:type="dxa"/>
            <w:vAlign w:val="center"/>
          </w:tcPr>
          <w:p w14:paraId="6BDFA8C9" w14:textId="4B4FF1BD" w:rsidR="00540F22" w:rsidRPr="008312ED" w:rsidRDefault="00EC6944" w:rsidP="003D711D">
            <w:pPr>
              <w:pStyle w:val="Tabletext"/>
              <w:keepNext/>
              <w:keepLines/>
              <w:jc w:val="center"/>
              <w:rPr>
                <w:rFonts w:cs="Calibri"/>
              </w:rPr>
            </w:pPr>
            <w:r w:rsidRPr="00EC6944">
              <w:rPr>
                <w:rFonts w:cs="Calibri"/>
                <w:b/>
                <w:bCs/>
                <w:color w:val="000000"/>
                <w:spacing w:val="70"/>
                <w:shd w:val="solid" w:color="000000" w:fill="000000"/>
                <w:fitText w:val="162" w:id="-1436265203"/>
                <w14:textFill>
                  <w14:solidFill>
                    <w14:srgbClr w14:val="000000">
                      <w14:alpha w14:val="100000"/>
                    </w14:srgbClr>
                  </w14:solidFill>
                </w14:textFill>
              </w:rPr>
              <w:t>|</w:t>
            </w:r>
            <w:r w:rsidRPr="00EC6944">
              <w:rPr>
                <w:rFonts w:cs="Calibri"/>
                <w:b/>
                <w:bCs/>
                <w:color w:val="000000"/>
                <w:spacing w:val="1"/>
                <w:shd w:val="solid" w:color="000000" w:fill="000000"/>
                <w:fitText w:val="162" w:id="-1436265203"/>
                <w14:textFill>
                  <w14:solidFill>
                    <w14:srgbClr w14:val="000000">
                      <w14:alpha w14:val="100000"/>
                    </w14:srgbClr>
                  </w14:solidFill>
                </w14:textFill>
              </w:rPr>
              <w:t>|</w:t>
            </w:r>
            <w:r w:rsidR="00FA4CA8">
              <w:rPr>
                <w:rFonts w:cs="Calibri"/>
                <w:vertAlign w:val="superscript"/>
              </w:rPr>
              <w:t>2</w:t>
            </w:r>
          </w:p>
        </w:tc>
        <w:tc>
          <w:tcPr>
            <w:tcW w:w="1171" w:type="dxa"/>
            <w:vAlign w:val="center"/>
          </w:tcPr>
          <w:p w14:paraId="7E5B15D6" w14:textId="417BDE23" w:rsidR="00540F22" w:rsidRPr="008312ED" w:rsidRDefault="00EC6944" w:rsidP="003D711D">
            <w:pPr>
              <w:pStyle w:val="Tabletext"/>
              <w:keepNext/>
              <w:keepLines/>
              <w:jc w:val="center"/>
              <w:rPr>
                <w:rFonts w:cs="Calibri"/>
              </w:rPr>
            </w:pPr>
            <w:r w:rsidRPr="00EC6944">
              <w:rPr>
                <w:rFonts w:cs="Calibri" w:hint="eastAsia"/>
                <w:b/>
                <w:bCs/>
                <w:color w:val="000000"/>
                <w:w w:val="32"/>
                <w:shd w:val="solid" w:color="000000" w:fill="000000"/>
                <w:fitText w:val="146" w:id="-1436265202"/>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02"/>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02"/>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0761A576" w14:textId="25DBB456" w:rsidR="00540F22" w:rsidRPr="008312ED" w:rsidRDefault="00EC6944" w:rsidP="003D711D">
            <w:pPr>
              <w:pStyle w:val="Tabletext"/>
              <w:keepNext/>
              <w:keepLines/>
              <w:jc w:val="center"/>
              <w:rPr>
                <w:rFonts w:cs="Calibri"/>
              </w:rPr>
            </w:pPr>
            <w:r w:rsidRPr="00EC6944">
              <w:rPr>
                <w:rFonts w:cs="Calibri" w:hint="eastAsia"/>
                <w:b/>
                <w:bCs/>
                <w:color w:val="000000"/>
                <w:w w:val="32"/>
                <w:shd w:val="solid" w:color="000000" w:fill="000000"/>
                <w:fitText w:val="147" w:id="-1436265201"/>
                <w14:textFill>
                  <w14:solidFill>
                    <w14:srgbClr w14:val="000000">
                      <w14:alpha w14:val="100000"/>
                    </w14:srgbClr>
                  </w14:solidFill>
                </w14:textFill>
              </w:rPr>
              <w:t xml:space="preserve">　</w:t>
            </w:r>
            <w:r w:rsidRPr="00EC6944">
              <w:rPr>
                <w:rFonts w:cs="Calibri"/>
                <w:b/>
                <w:bCs/>
                <w:color w:val="000000"/>
                <w:w w:val="32"/>
                <w:shd w:val="solid" w:color="000000" w:fill="000000"/>
                <w:fitText w:val="147" w:id="-1436265201"/>
                <w14:textFill>
                  <w14:solidFill>
                    <w14:srgbClr w14:val="000000">
                      <w14:alpha w14:val="100000"/>
                    </w14:srgbClr>
                  </w14:solidFill>
                </w14:textFill>
              </w:rPr>
              <w:t>|</w:t>
            </w:r>
            <w:r w:rsidRPr="00EC6944">
              <w:rPr>
                <w:rFonts w:cs="Calibri" w:hint="eastAsia"/>
                <w:b/>
                <w:bCs/>
                <w:color w:val="000000"/>
                <w:spacing w:val="7"/>
                <w:w w:val="32"/>
                <w:shd w:val="solid" w:color="000000" w:fill="000000"/>
                <w:fitText w:val="147" w:id="-1436265201"/>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481556F0" w14:textId="10D1F762" w:rsidR="00540F22" w:rsidRPr="008312ED" w:rsidRDefault="00EC6944" w:rsidP="003D711D">
            <w:pPr>
              <w:pStyle w:val="Tabletext"/>
              <w:keepNext/>
              <w:keepLines/>
              <w:jc w:val="center"/>
              <w:rPr>
                <w:rFonts w:cs="Calibri"/>
              </w:rPr>
            </w:pPr>
            <w:r w:rsidRPr="00EC6944">
              <w:rPr>
                <w:rFonts w:cs="Calibri" w:hint="eastAsia"/>
                <w:b/>
                <w:bCs/>
                <w:color w:val="000000"/>
                <w:w w:val="32"/>
                <w:shd w:val="solid" w:color="000000" w:fill="000000"/>
                <w:fitText w:val="146" w:id="-1436265200"/>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00"/>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00"/>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75B5226E" w14:textId="30DDC246" w:rsidR="00540F22" w:rsidRPr="008312ED" w:rsidRDefault="00EC6944" w:rsidP="003D711D">
            <w:pPr>
              <w:pStyle w:val="Tabletext"/>
              <w:keepNext/>
              <w:keepLines/>
              <w:jc w:val="center"/>
              <w:rPr>
                <w:rFonts w:cs="Calibri"/>
              </w:rPr>
            </w:pPr>
            <w:r w:rsidRPr="00EC6944">
              <w:rPr>
                <w:rFonts w:cs="Calibri" w:hint="eastAsia"/>
                <w:b/>
                <w:bCs/>
                <w:color w:val="000000"/>
                <w:w w:val="32"/>
                <w:shd w:val="solid" w:color="000000" w:fill="000000"/>
                <w:fitText w:val="147" w:id="-1436265216"/>
                <w14:textFill>
                  <w14:solidFill>
                    <w14:srgbClr w14:val="000000">
                      <w14:alpha w14:val="100000"/>
                    </w14:srgbClr>
                  </w14:solidFill>
                </w14:textFill>
              </w:rPr>
              <w:t xml:space="preserve">　</w:t>
            </w:r>
            <w:r w:rsidRPr="00EC6944">
              <w:rPr>
                <w:rFonts w:cs="Calibri"/>
                <w:b/>
                <w:bCs/>
                <w:color w:val="000000"/>
                <w:w w:val="32"/>
                <w:shd w:val="solid" w:color="000000" w:fill="000000"/>
                <w:fitText w:val="147" w:id="-1436265216"/>
                <w14:textFill>
                  <w14:solidFill>
                    <w14:srgbClr w14:val="000000">
                      <w14:alpha w14:val="100000"/>
                    </w14:srgbClr>
                  </w14:solidFill>
                </w14:textFill>
              </w:rPr>
              <w:t>|</w:t>
            </w:r>
            <w:r w:rsidRPr="00EC6944">
              <w:rPr>
                <w:rFonts w:cs="Calibri" w:hint="eastAsia"/>
                <w:b/>
                <w:bCs/>
                <w:color w:val="000000"/>
                <w:spacing w:val="7"/>
                <w:w w:val="32"/>
                <w:shd w:val="solid" w:color="000000" w:fill="000000"/>
                <w:fitText w:val="147" w:id="-1436265216"/>
                <w14:textFill>
                  <w14:solidFill>
                    <w14:srgbClr w14:val="000000">
                      <w14:alpha w14:val="100000"/>
                    </w14:srgbClr>
                  </w14:solidFill>
                </w14:textFill>
              </w:rPr>
              <w:t xml:space="preserve">　</w:t>
            </w:r>
            <w:r w:rsidR="00FA4CA8">
              <w:rPr>
                <w:rFonts w:cs="Calibri"/>
                <w:vertAlign w:val="superscript"/>
              </w:rPr>
              <w:t>2</w:t>
            </w:r>
          </w:p>
        </w:tc>
        <w:tc>
          <w:tcPr>
            <w:tcW w:w="1171" w:type="dxa"/>
            <w:vAlign w:val="center"/>
          </w:tcPr>
          <w:p w14:paraId="40F6CFB8" w14:textId="3455ACEA" w:rsidR="00540F22" w:rsidRPr="008312ED" w:rsidRDefault="00EC6944" w:rsidP="003D711D">
            <w:pPr>
              <w:pStyle w:val="Tabletext"/>
              <w:keepNext/>
              <w:keepLines/>
              <w:jc w:val="center"/>
              <w:rPr>
                <w:rFonts w:cs="Calibri"/>
              </w:rPr>
            </w:pPr>
            <w:r w:rsidRPr="00EC6944">
              <w:rPr>
                <w:rFonts w:cs="Calibri" w:hint="eastAsia"/>
                <w:b/>
                <w:bCs/>
                <w:color w:val="000000"/>
                <w:w w:val="32"/>
                <w:shd w:val="solid" w:color="000000" w:fill="000000"/>
                <w:fitText w:val="146" w:id="-1436265215"/>
                <w14:textFill>
                  <w14:solidFill>
                    <w14:srgbClr w14:val="000000">
                      <w14:alpha w14:val="100000"/>
                    </w14:srgbClr>
                  </w14:solidFill>
                </w14:textFill>
              </w:rPr>
              <w:t xml:space="preserve">　</w:t>
            </w:r>
            <w:r w:rsidRPr="00EC6944">
              <w:rPr>
                <w:rFonts w:cs="Calibri"/>
                <w:b/>
                <w:bCs/>
                <w:color w:val="000000"/>
                <w:w w:val="32"/>
                <w:shd w:val="solid" w:color="000000" w:fill="000000"/>
                <w:fitText w:val="146" w:id="-1436265215"/>
                <w14:textFill>
                  <w14:solidFill>
                    <w14:srgbClr w14:val="000000">
                      <w14:alpha w14:val="100000"/>
                    </w14:srgbClr>
                  </w14:solidFill>
                </w14:textFill>
              </w:rPr>
              <w:t>|</w:t>
            </w:r>
            <w:r w:rsidRPr="00EC6944">
              <w:rPr>
                <w:rFonts w:cs="Calibri" w:hint="eastAsia"/>
                <w:b/>
                <w:bCs/>
                <w:color w:val="000000"/>
                <w:spacing w:val="6"/>
                <w:w w:val="32"/>
                <w:shd w:val="solid" w:color="000000" w:fill="000000"/>
                <w:fitText w:val="146" w:id="-1436265215"/>
                <w14:textFill>
                  <w14:solidFill>
                    <w14:srgbClr w14:val="000000">
                      <w14:alpha w14:val="100000"/>
                    </w14:srgbClr>
                  </w14:solidFill>
                </w14:textFill>
              </w:rPr>
              <w:t xml:space="preserve">　</w:t>
            </w:r>
            <w:r w:rsidR="00FA4CA8">
              <w:rPr>
                <w:rFonts w:cs="Calibri"/>
                <w:vertAlign w:val="superscript"/>
              </w:rPr>
              <w:t>2</w:t>
            </w:r>
          </w:p>
        </w:tc>
      </w:tr>
    </w:tbl>
    <w:p w14:paraId="33827425" w14:textId="2EAE6DEF" w:rsidR="00B75228" w:rsidRDefault="00B75228" w:rsidP="00C83A93">
      <w:pPr>
        <w:pStyle w:val="TableFigureFooter"/>
        <w:keepNext/>
        <w:keepLines/>
        <w:spacing w:after="240"/>
      </w:pPr>
      <w:r>
        <w:t xml:space="preserve">Source: </w:t>
      </w:r>
      <w:r w:rsidR="00540F22" w:rsidRPr="008312ED">
        <w:t>Table 4.2-1, pp328 of the submission</w:t>
      </w:r>
    </w:p>
    <w:p w14:paraId="52A0ABDA" w14:textId="396C3818" w:rsidR="00540F22" w:rsidRDefault="00540F22" w:rsidP="00C83A93">
      <w:pPr>
        <w:pStyle w:val="TableFigureFooter"/>
        <w:keepNext/>
        <w:keepLines/>
        <w:spacing w:after="240"/>
      </w:pPr>
      <w:r w:rsidRPr="008312ED">
        <w:t>HPA = hyperphenylalan</w:t>
      </w:r>
      <w:r w:rsidR="00B75228">
        <w:t>in</w:t>
      </w:r>
      <w:r w:rsidRPr="008312ED">
        <w:t xml:space="preserve">emia; PKU = </w:t>
      </w:r>
      <w:r w:rsidR="00B75228">
        <w:t>p</w:t>
      </w:r>
      <w:r w:rsidRPr="008312ED">
        <w:t>henylketonuria; f/u = follow-up; Saprop = sapropterin NR = non responder</w:t>
      </w:r>
    </w:p>
    <w:p w14:paraId="215B0406" w14:textId="77777777" w:rsidR="00FA4CA8" w:rsidRPr="00CC64AE" w:rsidRDefault="00FA4CA8" w:rsidP="00FA4CA8">
      <w:pPr>
        <w:pStyle w:val="TableFigureFooter"/>
        <w:keepNext/>
        <w:spacing w:after="0"/>
        <w:contextualSpacing w:val="0"/>
        <w:rPr>
          <w:i/>
        </w:rPr>
      </w:pPr>
      <w:r w:rsidRPr="00CC64AE">
        <w:rPr>
          <w:i/>
        </w:rPr>
        <w:t>The redacted values correspond to the following ranges:</w:t>
      </w:r>
    </w:p>
    <w:p w14:paraId="3BB6233C" w14:textId="2B074002" w:rsidR="00FA4CA8" w:rsidRPr="00281DAB" w:rsidRDefault="00FA4CA8" w:rsidP="00FA4CA8">
      <w:pPr>
        <w:pStyle w:val="TableFigureFooter"/>
        <w:keepNext/>
        <w:spacing w:after="0"/>
        <w:contextualSpacing w:val="0"/>
      </w:pPr>
      <w:r w:rsidRPr="00CC64AE">
        <w:rPr>
          <w:i/>
          <w:szCs w:val="18"/>
          <w:vertAlign w:val="superscript"/>
        </w:rPr>
        <w:t>1</w:t>
      </w:r>
      <w:r w:rsidRPr="00CC64AE">
        <w:rPr>
          <w:i/>
          <w:szCs w:val="18"/>
        </w:rPr>
        <w:t xml:space="preserve"> </w:t>
      </w:r>
      <w:r>
        <w:rPr>
          <w:i/>
          <w:szCs w:val="18"/>
        </w:rPr>
        <w:t>500</w:t>
      </w:r>
      <w:r w:rsidRPr="00DA23EE">
        <w:rPr>
          <w:i/>
          <w:szCs w:val="18"/>
        </w:rPr>
        <w:t> to &lt; 5,000</w:t>
      </w:r>
    </w:p>
    <w:p w14:paraId="55729275" w14:textId="0696B29B" w:rsidR="00FA4CA8" w:rsidRDefault="00FA4CA8" w:rsidP="00FA4CA8">
      <w:pPr>
        <w:pStyle w:val="TableFigureFooter"/>
        <w:keepNext/>
        <w:spacing w:after="0"/>
        <w:contextualSpacing w:val="0"/>
        <w:rPr>
          <w:i/>
          <w:iCs/>
        </w:rPr>
      </w:pPr>
      <w:r w:rsidRPr="00CC64AE">
        <w:rPr>
          <w:i/>
          <w:szCs w:val="18"/>
          <w:vertAlign w:val="superscript"/>
        </w:rPr>
        <w:t>2</w:t>
      </w:r>
      <w:r w:rsidRPr="00CC64AE">
        <w:rPr>
          <w:i/>
          <w:szCs w:val="18"/>
        </w:rPr>
        <w:t xml:space="preserve"> </w:t>
      </w:r>
      <w:r w:rsidRPr="00DA23EE">
        <w:rPr>
          <w:i/>
          <w:szCs w:val="18"/>
        </w:rPr>
        <w:t>&lt; 500</w:t>
      </w:r>
    </w:p>
    <w:p w14:paraId="5D665720" w14:textId="77777777" w:rsidR="00FA4CA8" w:rsidRDefault="00FA4CA8" w:rsidP="00FA4CA8">
      <w:pPr>
        <w:pStyle w:val="TableFigureFooter"/>
        <w:keepNext/>
        <w:spacing w:after="0"/>
        <w:contextualSpacing w:val="0"/>
        <w:rPr>
          <w:i/>
          <w:szCs w:val="18"/>
        </w:rPr>
      </w:pPr>
    </w:p>
    <w:p w14:paraId="4191B2E0" w14:textId="1CDECFB0" w:rsidR="00540F22" w:rsidRPr="008312ED" w:rsidRDefault="00540F22" w:rsidP="00540F22">
      <w:pPr>
        <w:pStyle w:val="3-BodyText"/>
      </w:pPr>
      <w:r w:rsidRPr="008312ED">
        <w:t>The eligible population was calculated in a manner broadly consistent with previous submissions for sapropterin. Specifically, the current submission applied the same inputs for prevalence and percentage of HPA patients who have PKU.</w:t>
      </w:r>
    </w:p>
    <w:p w14:paraId="0D880376" w14:textId="5A8F563A" w:rsidR="00540F22" w:rsidRPr="00E21E16" w:rsidRDefault="00E21E16" w:rsidP="00C70792">
      <w:pPr>
        <w:pStyle w:val="3-BodyText"/>
        <w:rPr>
          <w:i/>
          <w:iCs/>
        </w:rPr>
      </w:pPr>
      <w:r>
        <w:t xml:space="preserve">The submission assumed </w:t>
      </w:r>
      <w:r w:rsidRPr="002E4AA3">
        <w:t>that 70% of the adult PKU population are under routine follow-up</w:t>
      </w:r>
      <w:r w:rsidR="008A2983" w:rsidRPr="002E4AA3">
        <w:t xml:space="preserve"> at metabolic clinics</w:t>
      </w:r>
      <w:r w:rsidRPr="002E4AA3">
        <w:t>. Although DUSC considered that this step was not sufficiently justified and should be removed, the PBAC noted that consultation with clinicians and the MDAA indicated that 70% may be an overestimate and clinicians estimated that it is likely that only 50% to 60</w:t>
      </w:r>
      <w:r>
        <w:t xml:space="preserve">% of adult patients are under routine follow-up (for example there may be limited access to metabolic clinics in some areas, some patients may have left routine care due to being unable to follow the low protein diet and/or the psychosocial impacts of PKU, or previous historical advice that routine care was not required in adulthood). This assumption </w:t>
      </w:r>
      <w:r w:rsidR="007A577C">
        <w:t>may</w:t>
      </w:r>
      <w:r>
        <w:t xml:space="preserve"> therefore overestimate the number of patients eligible for treatment. However, </w:t>
      </w:r>
      <w:r w:rsidR="00540F22" w:rsidRPr="00540F22">
        <w:t xml:space="preserve">a new treatment </w:t>
      </w:r>
      <w:r w:rsidR="007A577C">
        <w:t>may</w:t>
      </w:r>
      <w:r w:rsidR="007A577C" w:rsidRPr="00540F22">
        <w:t xml:space="preserve"> </w:t>
      </w:r>
      <w:r w:rsidR="00540F22" w:rsidRPr="00540F22">
        <w:t xml:space="preserve">increase prescriber contact, given that the target population (sapropterin non-responders) have previously demonstrated a willingness to initiate drug therapy for their condition. </w:t>
      </w:r>
    </w:p>
    <w:p w14:paraId="069AFB30" w14:textId="2FFDC226" w:rsidR="00C83A93" w:rsidRPr="00E21E16" w:rsidRDefault="00A1747E" w:rsidP="00C83A93">
      <w:pPr>
        <w:pStyle w:val="3-BodyText"/>
      </w:pPr>
      <w:r>
        <w:t xml:space="preserve">DUSC considered that </w:t>
      </w:r>
      <w:r w:rsidR="00417CFE">
        <w:t xml:space="preserve">the </w:t>
      </w:r>
      <w:r w:rsidR="00C83A93" w:rsidRPr="00E21E16">
        <w:t xml:space="preserve">treatment uptake rates </w:t>
      </w:r>
      <w:r w:rsidR="00417CFE">
        <w:t>could be</w:t>
      </w:r>
      <w:r w:rsidR="00C83A93" w:rsidRPr="00E21E16">
        <w:t xml:space="preserve"> underestimated</w:t>
      </w:r>
      <w:r w:rsidR="00417CFE">
        <w:t>,</w:t>
      </w:r>
      <w:r w:rsidR="00C83A93" w:rsidRPr="00E21E16">
        <w:t xml:space="preserve"> </w:t>
      </w:r>
      <w:r w:rsidR="00847E44">
        <w:t>but also</w:t>
      </w:r>
      <w:r w:rsidR="00417CFE" w:rsidRPr="00417CFE">
        <w:t xml:space="preserve"> noted that as pegvaliase is a daily injection, patients may be hesitant to initiate treatment. Additionally, DUSC commented that </w:t>
      </w:r>
      <w:r w:rsidR="00417CFE">
        <w:t>i</w:t>
      </w:r>
      <w:r w:rsidR="00C83A93" w:rsidRPr="00E21E16">
        <w:t xml:space="preserve">t is unclear why uptake rates continue to increase over time as patients may not up titrate, due to the requested induction phase and as pegvaliase is associated with high rates of hypersensitivity. </w:t>
      </w:r>
      <w:r w:rsidR="00417CFE" w:rsidRPr="00417CFE">
        <w:t>DUSC considered the uptake rates observed during the first six months of PBS listing would likely be indicative of future uptake levels.</w:t>
      </w:r>
    </w:p>
    <w:p w14:paraId="35F96F4E" w14:textId="249B3828" w:rsidR="00540F22" w:rsidRPr="008312ED" w:rsidRDefault="00540F22" w:rsidP="00540F22">
      <w:pPr>
        <w:pStyle w:val="3-BodyText"/>
      </w:pPr>
      <w:r w:rsidRPr="008312ED">
        <w:fldChar w:fldCharType="begin"/>
      </w:r>
      <w:r w:rsidRPr="008312ED">
        <w:instrText xml:space="preserve"> REF _Ref103058779 \h  \* MERGEFORMAT </w:instrText>
      </w:r>
      <w:r w:rsidRPr="008312ED">
        <w:fldChar w:fldCharType="separate"/>
      </w:r>
      <w:r w:rsidR="001162C8" w:rsidRPr="001162C8">
        <w:t>Table 21</w:t>
      </w:r>
      <w:r w:rsidRPr="008312ED">
        <w:fldChar w:fldCharType="end"/>
      </w:r>
      <w:r w:rsidRPr="008312ED">
        <w:t xml:space="preserve"> presents the estimated use and financial implications for pegvaliase. </w:t>
      </w:r>
    </w:p>
    <w:p w14:paraId="3D2FC7F9" w14:textId="304EF0FF" w:rsidR="00540F22" w:rsidRPr="008312ED" w:rsidRDefault="00540F22" w:rsidP="00540F22">
      <w:pPr>
        <w:pStyle w:val="TableFigureHeading"/>
        <w:rPr>
          <w:rStyle w:val="CommentReference"/>
          <w:b/>
          <w:bCs w:val="0"/>
          <w:szCs w:val="24"/>
        </w:rPr>
      </w:pPr>
      <w:bookmarkStart w:id="94" w:name="_Ref103058779"/>
      <w:r w:rsidRPr="008312ED">
        <w:rPr>
          <w:rStyle w:val="CommentReference"/>
          <w:b/>
          <w:bCs w:val="0"/>
          <w:szCs w:val="24"/>
        </w:rPr>
        <w:t xml:space="preserve">Table </w:t>
      </w:r>
      <w:r w:rsidRPr="008312ED">
        <w:rPr>
          <w:rStyle w:val="CommentReference"/>
          <w:b/>
          <w:bCs w:val="0"/>
          <w:szCs w:val="24"/>
        </w:rPr>
        <w:fldChar w:fldCharType="begin"/>
      </w:r>
      <w:r w:rsidRPr="008312ED">
        <w:rPr>
          <w:rStyle w:val="CommentReference"/>
          <w:b/>
          <w:bCs w:val="0"/>
          <w:szCs w:val="24"/>
        </w:rPr>
        <w:instrText xml:space="preserve"> SEQ Table \* ARABIC </w:instrText>
      </w:r>
      <w:r w:rsidRPr="008312ED">
        <w:rPr>
          <w:rStyle w:val="CommentReference"/>
          <w:b/>
          <w:bCs w:val="0"/>
          <w:szCs w:val="24"/>
        </w:rPr>
        <w:fldChar w:fldCharType="separate"/>
      </w:r>
      <w:r w:rsidR="001162C8">
        <w:rPr>
          <w:rStyle w:val="CommentReference"/>
          <w:b/>
          <w:bCs w:val="0"/>
          <w:noProof/>
          <w:szCs w:val="24"/>
        </w:rPr>
        <w:t>21</w:t>
      </w:r>
      <w:r w:rsidRPr="008312ED">
        <w:rPr>
          <w:rStyle w:val="CommentReference"/>
          <w:b/>
          <w:bCs w:val="0"/>
          <w:szCs w:val="24"/>
        </w:rPr>
        <w:fldChar w:fldCharType="end"/>
      </w:r>
      <w:bookmarkEnd w:id="94"/>
      <w:r w:rsidRPr="008312ED">
        <w:rPr>
          <w:rStyle w:val="CommentReference"/>
          <w:b/>
          <w:bCs w:val="0"/>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540F22" w:rsidRPr="008312ED" w14:paraId="33C8BCA5" w14:textId="77777777" w:rsidTr="003D711D">
        <w:trPr>
          <w:tblHeader/>
        </w:trPr>
        <w:tc>
          <w:tcPr>
            <w:tcW w:w="1116" w:type="pct"/>
            <w:shd w:val="clear" w:color="auto" w:fill="auto"/>
            <w:vAlign w:val="center"/>
          </w:tcPr>
          <w:p w14:paraId="6D175D9E" w14:textId="77777777" w:rsidR="00540F22" w:rsidRPr="008312ED" w:rsidRDefault="00540F22" w:rsidP="003D711D">
            <w:pPr>
              <w:pStyle w:val="In-tableHeading"/>
              <w:jc w:val="center"/>
              <w:rPr>
                <w:lang w:val="en-AU"/>
              </w:rPr>
            </w:pPr>
          </w:p>
        </w:tc>
        <w:tc>
          <w:tcPr>
            <w:tcW w:w="647" w:type="pct"/>
            <w:shd w:val="clear" w:color="auto" w:fill="auto"/>
            <w:vAlign w:val="center"/>
          </w:tcPr>
          <w:p w14:paraId="346F5F26" w14:textId="77777777" w:rsidR="00540F22" w:rsidRPr="008312ED" w:rsidRDefault="00540F22" w:rsidP="003D711D">
            <w:pPr>
              <w:pStyle w:val="In-tableHeading"/>
              <w:jc w:val="center"/>
              <w:rPr>
                <w:lang w:val="en-AU"/>
              </w:rPr>
            </w:pPr>
            <w:r w:rsidRPr="008312ED">
              <w:rPr>
                <w:lang w:val="en-AU"/>
              </w:rPr>
              <w:t>Year 1</w:t>
            </w:r>
          </w:p>
        </w:tc>
        <w:tc>
          <w:tcPr>
            <w:tcW w:w="647" w:type="pct"/>
            <w:shd w:val="clear" w:color="auto" w:fill="auto"/>
            <w:vAlign w:val="center"/>
          </w:tcPr>
          <w:p w14:paraId="2FA20C3F" w14:textId="77777777" w:rsidR="00540F22" w:rsidRPr="008312ED" w:rsidRDefault="00540F22" w:rsidP="003D711D">
            <w:pPr>
              <w:pStyle w:val="In-tableHeading"/>
              <w:jc w:val="center"/>
              <w:rPr>
                <w:lang w:val="en-AU"/>
              </w:rPr>
            </w:pPr>
            <w:r w:rsidRPr="008312ED">
              <w:rPr>
                <w:lang w:val="en-AU"/>
              </w:rPr>
              <w:t>Year 2</w:t>
            </w:r>
          </w:p>
        </w:tc>
        <w:tc>
          <w:tcPr>
            <w:tcW w:w="647" w:type="pct"/>
            <w:shd w:val="clear" w:color="auto" w:fill="auto"/>
            <w:vAlign w:val="center"/>
          </w:tcPr>
          <w:p w14:paraId="76BCA5C0" w14:textId="77777777" w:rsidR="00540F22" w:rsidRPr="008312ED" w:rsidRDefault="00540F22" w:rsidP="003D711D">
            <w:pPr>
              <w:pStyle w:val="In-tableHeading"/>
              <w:jc w:val="center"/>
              <w:rPr>
                <w:lang w:val="en-AU"/>
              </w:rPr>
            </w:pPr>
            <w:r w:rsidRPr="008312ED">
              <w:rPr>
                <w:lang w:val="en-AU"/>
              </w:rPr>
              <w:t>Year 3</w:t>
            </w:r>
          </w:p>
        </w:tc>
        <w:tc>
          <w:tcPr>
            <w:tcW w:w="647" w:type="pct"/>
            <w:shd w:val="clear" w:color="auto" w:fill="auto"/>
            <w:vAlign w:val="center"/>
          </w:tcPr>
          <w:p w14:paraId="3E2FA0ED" w14:textId="77777777" w:rsidR="00540F22" w:rsidRPr="008312ED" w:rsidRDefault="00540F22" w:rsidP="003D711D">
            <w:pPr>
              <w:pStyle w:val="In-tableHeading"/>
              <w:jc w:val="center"/>
              <w:rPr>
                <w:lang w:val="en-AU"/>
              </w:rPr>
            </w:pPr>
            <w:r w:rsidRPr="008312ED">
              <w:rPr>
                <w:lang w:val="en-AU"/>
              </w:rPr>
              <w:t>Year 4</w:t>
            </w:r>
          </w:p>
        </w:tc>
        <w:tc>
          <w:tcPr>
            <w:tcW w:w="647" w:type="pct"/>
            <w:shd w:val="clear" w:color="auto" w:fill="auto"/>
            <w:vAlign w:val="center"/>
          </w:tcPr>
          <w:p w14:paraId="443D6669" w14:textId="77777777" w:rsidR="00540F22" w:rsidRPr="008312ED" w:rsidRDefault="00540F22" w:rsidP="003D711D">
            <w:pPr>
              <w:pStyle w:val="In-tableHeading"/>
              <w:jc w:val="center"/>
              <w:rPr>
                <w:lang w:val="en-AU"/>
              </w:rPr>
            </w:pPr>
            <w:r w:rsidRPr="008312ED">
              <w:rPr>
                <w:lang w:val="en-AU"/>
              </w:rPr>
              <w:t>Year 5</w:t>
            </w:r>
          </w:p>
        </w:tc>
        <w:tc>
          <w:tcPr>
            <w:tcW w:w="649" w:type="pct"/>
          </w:tcPr>
          <w:p w14:paraId="028E9A79" w14:textId="77777777" w:rsidR="00540F22" w:rsidRPr="008312ED" w:rsidRDefault="00540F22" w:rsidP="003D711D">
            <w:pPr>
              <w:pStyle w:val="In-tableHeading"/>
              <w:jc w:val="center"/>
              <w:rPr>
                <w:lang w:val="en-AU"/>
              </w:rPr>
            </w:pPr>
            <w:r w:rsidRPr="008312ED">
              <w:rPr>
                <w:lang w:val="en-AU"/>
              </w:rPr>
              <w:t>Year 6</w:t>
            </w:r>
          </w:p>
        </w:tc>
      </w:tr>
      <w:tr w:rsidR="00540F22" w:rsidRPr="008312ED" w14:paraId="28EB9CC7" w14:textId="77777777" w:rsidTr="003D711D">
        <w:tc>
          <w:tcPr>
            <w:tcW w:w="5000" w:type="pct"/>
            <w:gridSpan w:val="7"/>
            <w:shd w:val="clear" w:color="auto" w:fill="auto"/>
            <w:vAlign w:val="center"/>
          </w:tcPr>
          <w:p w14:paraId="36F9D19F" w14:textId="77777777" w:rsidR="00540F22" w:rsidRPr="008312ED" w:rsidRDefault="00540F22" w:rsidP="003D711D">
            <w:pPr>
              <w:pStyle w:val="In-tableHeading"/>
              <w:rPr>
                <w:bCs/>
                <w:lang w:val="en-AU"/>
              </w:rPr>
            </w:pPr>
            <w:r w:rsidRPr="008312ED">
              <w:rPr>
                <w:bCs/>
                <w:lang w:val="en-AU"/>
              </w:rPr>
              <w:t>Estimated extent of use</w:t>
            </w:r>
          </w:p>
        </w:tc>
      </w:tr>
      <w:tr w:rsidR="00540F22" w:rsidRPr="008312ED" w14:paraId="2D857D3A" w14:textId="77777777" w:rsidTr="003D711D">
        <w:tc>
          <w:tcPr>
            <w:tcW w:w="1116" w:type="pct"/>
            <w:shd w:val="clear" w:color="auto" w:fill="auto"/>
            <w:vAlign w:val="center"/>
          </w:tcPr>
          <w:p w14:paraId="71EA33DD" w14:textId="77777777" w:rsidR="00540F22" w:rsidRPr="008312ED" w:rsidRDefault="00540F22" w:rsidP="003D711D">
            <w:pPr>
              <w:pStyle w:val="TableText0"/>
              <w:rPr>
                <w:rFonts w:ascii="Times" w:hAnsi="Times"/>
              </w:rPr>
            </w:pPr>
            <w:r w:rsidRPr="008312ED">
              <w:t>Number of patients treated</w:t>
            </w:r>
          </w:p>
        </w:tc>
        <w:tc>
          <w:tcPr>
            <w:tcW w:w="647" w:type="pct"/>
            <w:shd w:val="clear" w:color="auto" w:fill="auto"/>
            <w:vAlign w:val="center"/>
          </w:tcPr>
          <w:p w14:paraId="40D4A09E" w14:textId="2E3339C8" w:rsidR="00540F22" w:rsidRPr="00C548F6" w:rsidRDefault="00EC6944" w:rsidP="003D711D">
            <w:pPr>
              <w:pStyle w:val="TableText0"/>
              <w:jc w:val="center"/>
              <w:rPr>
                <w:vertAlign w:val="superscript"/>
              </w:rPr>
            </w:pPr>
            <w:r w:rsidRPr="00EC6944">
              <w:rPr>
                <w:rFonts w:cs="Calibri" w:hint="eastAsia"/>
                <w:b/>
                <w:color w:val="000000"/>
                <w:w w:val="15"/>
                <w:shd w:val="solid" w:color="000000" w:fill="000000"/>
                <w:fitText w:val="62" w:id="-1436265214"/>
                <w14:textFill>
                  <w14:solidFill>
                    <w14:srgbClr w14:val="000000">
                      <w14:alpha w14:val="100000"/>
                    </w14:srgbClr>
                  </w14:solidFill>
                </w14:textFill>
              </w:rPr>
              <w:t xml:space="preserve">　</w:t>
            </w:r>
            <w:r w:rsidRPr="00EC6944">
              <w:rPr>
                <w:rFonts w:cs="Calibri"/>
                <w:b/>
                <w:color w:val="000000"/>
                <w:w w:val="15"/>
                <w:shd w:val="solid" w:color="000000" w:fill="000000"/>
                <w:fitText w:val="62" w:id="-1436265214"/>
                <w14:textFill>
                  <w14:solidFill>
                    <w14:srgbClr w14:val="000000">
                      <w14:alpha w14:val="100000"/>
                    </w14:srgbClr>
                  </w14:solidFill>
                </w14:textFill>
              </w:rPr>
              <w:t>|</w:t>
            </w:r>
            <w:r w:rsidRPr="00EC6944">
              <w:rPr>
                <w:rFonts w:cs="Calibri" w:hint="eastAsia"/>
                <w:b/>
                <w:color w:val="000000"/>
                <w:spacing w:val="-4"/>
                <w:w w:val="15"/>
                <w:shd w:val="solid" w:color="000000" w:fill="000000"/>
                <w:fitText w:val="62" w:id="-1436265214"/>
                <w14:textFill>
                  <w14:solidFill>
                    <w14:srgbClr w14:val="000000">
                      <w14:alpha w14:val="100000"/>
                    </w14:srgbClr>
                  </w14:solidFill>
                </w14:textFill>
              </w:rPr>
              <w:t xml:space="preserve">　</w:t>
            </w:r>
            <w:r w:rsidR="00C548F6">
              <w:rPr>
                <w:rFonts w:cs="Calibri"/>
                <w:b/>
                <w:vertAlign w:val="superscript"/>
              </w:rPr>
              <w:t>1</w:t>
            </w:r>
          </w:p>
        </w:tc>
        <w:tc>
          <w:tcPr>
            <w:tcW w:w="647" w:type="pct"/>
            <w:shd w:val="clear" w:color="auto" w:fill="auto"/>
            <w:vAlign w:val="center"/>
          </w:tcPr>
          <w:p w14:paraId="3822A6A4" w14:textId="1E7CCBA2" w:rsidR="00540F22" w:rsidRPr="008312ED" w:rsidRDefault="00EC6944" w:rsidP="003D711D">
            <w:pPr>
              <w:pStyle w:val="TableText0"/>
              <w:jc w:val="center"/>
            </w:pPr>
            <w:r w:rsidRPr="00EC6944">
              <w:rPr>
                <w:rFonts w:cs="Calibri" w:hint="eastAsia"/>
                <w:b/>
                <w:color w:val="000000"/>
                <w:w w:val="15"/>
                <w:shd w:val="solid" w:color="000000" w:fill="000000"/>
                <w:fitText w:val="62" w:id="-1436265213"/>
                <w14:textFill>
                  <w14:solidFill>
                    <w14:srgbClr w14:val="000000">
                      <w14:alpha w14:val="100000"/>
                    </w14:srgbClr>
                  </w14:solidFill>
                </w14:textFill>
              </w:rPr>
              <w:t xml:space="preserve">　</w:t>
            </w:r>
            <w:r w:rsidRPr="00EC6944">
              <w:rPr>
                <w:rFonts w:cs="Calibri"/>
                <w:b/>
                <w:color w:val="000000"/>
                <w:w w:val="15"/>
                <w:shd w:val="solid" w:color="000000" w:fill="000000"/>
                <w:fitText w:val="62" w:id="-1436265213"/>
                <w14:textFill>
                  <w14:solidFill>
                    <w14:srgbClr w14:val="000000">
                      <w14:alpha w14:val="100000"/>
                    </w14:srgbClr>
                  </w14:solidFill>
                </w14:textFill>
              </w:rPr>
              <w:t>|</w:t>
            </w:r>
            <w:r w:rsidRPr="00EC6944">
              <w:rPr>
                <w:rFonts w:cs="Calibri" w:hint="eastAsia"/>
                <w:b/>
                <w:color w:val="000000"/>
                <w:spacing w:val="-4"/>
                <w:w w:val="15"/>
                <w:shd w:val="solid" w:color="000000" w:fill="000000"/>
                <w:fitText w:val="62" w:id="-1436265213"/>
                <w14:textFill>
                  <w14:solidFill>
                    <w14:srgbClr w14:val="000000">
                      <w14:alpha w14:val="100000"/>
                    </w14:srgbClr>
                  </w14:solidFill>
                </w14:textFill>
              </w:rPr>
              <w:t xml:space="preserve">　</w:t>
            </w:r>
            <w:r w:rsidR="00C548F6">
              <w:rPr>
                <w:rFonts w:cs="Calibri"/>
                <w:b/>
                <w:vertAlign w:val="superscript"/>
              </w:rPr>
              <w:t>1</w:t>
            </w:r>
          </w:p>
        </w:tc>
        <w:tc>
          <w:tcPr>
            <w:tcW w:w="647" w:type="pct"/>
            <w:shd w:val="clear" w:color="auto" w:fill="auto"/>
            <w:vAlign w:val="center"/>
          </w:tcPr>
          <w:p w14:paraId="245FA1DE" w14:textId="6A15F236" w:rsidR="00540F22" w:rsidRPr="008312ED" w:rsidRDefault="00EC6944" w:rsidP="003D711D">
            <w:pPr>
              <w:pStyle w:val="TableText0"/>
              <w:jc w:val="center"/>
            </w:pPr>
            <w:r w:rsidRPr="00EC6944">
              <w:rPr>
                <w:rFonts w:cs="Calibri" w:hint="eastAsia"/>
                <w:b/>
                <w:color w:val="000000"/>
                <w:w w:val="15"/>
                <w:shd w:val="solid" w:color="000000" w:fill="000000"/>
                <w:fitText w:val="61" w:id="-1436265212"/>
                <w14:textFill>
                  <w14:solidFill>
                    <w14:srgbClr w14:val="000000">
                      <w14:alpha w14:val="100000"/>
                    </w14:srgbClr>
                  </w14:solidFill>
                </w14:textFill>
              </w:rPr>
              <w:t xml:space="preserve">　</w:t>
            </w:r>
            <w:r w:rsidRPr="00EC6944">
              <w:rPr>
                <w:rFonts w:cs="Calibri"/>
                <w:b/>
                <w:color w:val="000000"/>
                <w:w w:val="15"/>
                <w:shd w:val="solid" w:color="000000" w:fill="000000"/>
                <w:fitText w:val="61" w:id="-1436265212"/>
                <w14:textFill>
                  <w14:solidFill>
                    <w14:srgbClr w14:val="000000">
                      <w14:alpha w14:val="100000"/>
                    </w14:srgbClr>
                  </w14:solidFill>
                </w14:textFill>
              </w:rPr>
              <w:t>|</w:t>
            </w:r>
            <w:r w:rsidRPr="00EC6944">
              <w:rPr>
                <w:rFonts w:cs="Calibri" w:hint="eastAsia"/>
                <w:b/>
                <w:color w:val="000000"/>
                <w:spacing w:val="-5"/>
                <w:w w:val="15"/>
                <w:shd w:val="solid" w:color="000000" w:fill="000000"/>
                <w:fitText w:val="61" w:id="-1436265212"/>
                <w14:textFill>
                  <w14:solidFill>
                    <w14:srgbClr w14:val="000000">
                      <w14:alpha w14:val="100000"/>
                    </w14:srgbClr>
                  </w14:solidFill>
                </w14:textFill>
              </w:rPr>
              <w:t xml:space="preserve">　</w:t>
            </w:r>
            <w:r w:rsidR="00C548F6">
              <w:rPr>
                <w:rFonts w:cs="Calibri"/>
                <w:b/>
                <w:vertAlign w:val="superscript"/>
              </w:rPr>
              <w:t>1</w:t>
            </w:r>
          </w:p>
        </w:tc>
        <w:tc>
          <w:tcPr>
            <w:tcW w:w="647" w:type="pct"/>
            <w:shd w:val="clear" w:color="auto" w:fill="auto"/>
            <w:vAlign w:val="center"/>
          </w:tcPr>
          <w:p w14:paraId="03D195A6" w14:textId="5AA1121C" w:rsidR="00540F22" w:rsidRPr="008312ED" w:rsidRDefault="00EC6944" w:rsidP="003D711D">
            <w:pPr>
              <w:pStyle w:val="TableText0"/>
              <w:jc w:val="center"/>
            </w:pPr>
            <w:r w:rsidRPr="00EC6944">
              <w:rPr>
                <w:rFonts w:cs="Calibri" w:hint="eastAsia"/>
                <w:b/>
                <w:color w:val="000000"/>
                <w:w w:val="15"/>
                <w:shd w:val="solid" w:color="000000" w:fill="000000"/>
                <w:fitText w:val="61" w:id="-1436265211"/>
                <w14:textFill>
                  <w14:solidFill>
                    <w14:srgbClr w14:val="000000">
                      <w14:alpha w14:val="100000"/>
                    </w14:srgbClr>
                  </w14:solidFill>
                </w14:textFill>
              </w:rPr>
              <w:t xml:space="preserve">　</w:t>
            </w:r>
            <w:r w:rsidRPr="00EC6944">
              <w:rPr>
                <w:rFonts w:cs="Calibri"/>
                <w:b/>
                <w:color w:val="000000"/>
                <w:w w:val="15"/>
                <w:shd w:val="solid" w:color="000000" w:fill="000000"/>
                <w:fitText w:val="61" w:id="-1436265211"/>
                <w14:textFill>
                  <w14:solidFill>
                    <w14:srgbClr w14:val="000000">
                      <w14:alpha w14:val="100000"/>
                    </w14:srgbClr>
                  </w14:solidFill>
                </w14:textFill>
              </w:rPr>
              <w:t>|</w:t>
            </w:r>
            <w:r w:rsidRPr="00EC6944">
              <w:rPr>
                <w:rFonts w:cs="Calibri" w:hint="eastAsia"/>
                <w:b/>
                <w:color w:val="000000"/>
                <w:spacing w:val="-5"/>
                <w:w w:val="15"/>
                <w:shd w:val="solid" w:color="000000" w:fill="000000"/>
                <w:fitText w:val="61" w:id="-1436265211"/>
                <w14:textFill>
                  <w14:solidFill>
                    <w14:srgbClr w14:val="000000">
                      <w14:alpha w14:val="100000"/>
                    </w14:srgbClr>
                  </w14:solidFill>
                </w14:textFill>
              </w:rPr>
              <w:t xml:space="preserve">　</w:t>
            </w:r>
            <w:r w:rsidR="00C548F6">
              <w:rPr>
                <w:rFonts w:cs="Calibri"/>
                <w:b/>
                <w:vertAlign w:val="superscript"/>
              </w:rPr>
              <w:t>1</w:t>
            </w:r>
          </w:p>
        </w:tc>
        <w:tc>
          <w:tcPr>
            <w:tcW w:w="647" w:type="pct"/>
            <w:shd w:val="clear" w:color="auto" w:fill="auto"/>
            <w:vAlign w:val="center"/>
          </w:tcPr>
          <w:p w14:paraId="1A66A62C" w14:textId="1FA91711" w:rsidR="00540F22" w:rsidRPr="008312ED" w:rsidRDefault="00EC6944" w:rsidP="003D711D">
            <w:pPr>
              <w:pStyle w:val="TableText0"/>
              <w:jc w:val="center"/>
            </w:pPr>
            <w:r w:rsidRPr="00EC6944">
              <w:rPr>
                <w:rFonts w:cs="Calibri" w:hint="eastAsia"/>
                <w:b/>
                <w:color w:val="000000"/>
                <w:w w:val="15"/>
                <w:shd w:val="solid" w:color="000000" w:fill="000000"/>
                <w:fitText w:val="62" w:id="-1436265210"/>
                <w14:textFill>
                  <w14:solidFill>
                    <w14:srgbClr w14:val="000000">
                      <w14:alpha w14:val="100000"/>
                    </w14:srgbClr>
                  </w14:solidFill>
                </w14:textFill>
              </w:rPr>
              <w:t xml:space="preserve">　</w:t>
            </w:r>
            <w:r w:rsidRPr="00EC6944">
              <w:rPr>
                <w:rFonts w:cs="Calibri"/>
                <w:b/>
                <w:color w:val="000000"/>
                <w:w w:val="15"/>
                <w:shd w:val="solid" w:color="000000" w:fill="000000"/>
                <w:fitText w:val="62" w:id="-1436265210"/>
                <w14:textFill>
                  <w14:solidFill>
                    <w14:srgbClr w14:val="000000">
                      <w14:alpha w14:val="100000"/>
                    </w14:srgbClr>
                  </w14:solidFill>
                </w14:textFill>
              </w:rPr>
              <w:t>|</w:t>
            </w:r>
            <w:r w:rsidRPr="00EC6944">
              <w:rPr>
                <w:rFonts w:cs="Calibri" w:hint="eastAsia"/>
                <w:b/>
                <w:color w:val="000000"/>
                <w:spacing w:val="-4"/>
                <w:w w:val="15"/>
                <w:shd w:val="solid" w:color="000000" w:fill="000000"/>
                <w:fitText w:val="62" w:id="-1436265210"/>
                <w14:textFill>
                  <w14:solidFill>
                    <w14:srgbClr w14:val="000000">
                      <w14:alpha w14:val="100000"/>
                    </w14:srgbClr>
                  </w14:solidFill>
                </w14:textFill>
              </w:rPr>
              <w:t xml:space="preserve">　</w:t>
            </w:r>
            <w:r w:rsidR="00C548F6">
              <w:rPr>
                <w:rFonts w:cs="Calibri"/>
                <w:b/>
                <w:vertAlign w:val="superscript"/>
              </w:rPr>
              <w:t>1</w:t>
            </w:r>
          </w:p>
        </w:tc>
        <w:tc>
          <w:tcPr>
            <w:tcW w:w="649" w:type="pct"/>
            <w:vAlign w:val="center"/>
          </w:tcPr>
          <w:p w14:paraId="6F01A78B" w14:textId="419086EF" w:rsidR="00540F22" w:rsidRPr="008312ED" w:rsidRDefault="00EC6944" w:rsidP="003D711D">
            <w:pPr>
              <w:pStyle w:val="TableText0"/>
              <w:jc w:val="center"/>
            </w:pPr>
            <w:r w:rsidRPr="00EC6944">
              <w:rPr>
                <w:rFonts w:cs="Calibri" w:hint="eastAsia"/>
                <w:b/>
                <w:color w:val="000000"/>
                <w:w w:val="15"/>
                <w:shd w:val="solid" w:color="000000" w:fill="000000"/>
                <w:fitText w:val="61" w:id="-1436265209"/>
                <w14:textFill>
                  <w14:solidFill>
                    <w14:srgbClr w14:val="000000">
                      <w14:alpha w14:val="100000"/>
                    </w14:srgbClr>
                  </w14:solidFill>
                </w14:textFill>
              </w:rPr>
              <w:t xml:space="preserve">　</w:t>
            </w:r>
            <w:r w:rsidRPr="00EC6944">
              <w:rPr>
                <w:rFonts w:cs="Calibri"/>
                <w:b/>
                <w:color w:val="000000"/>
                <w:w w:val="15"/>
                <w:shd w:val="solid" w:color="000000" w:fill="000000"/>
                <w:fitText w:val="61" w:id="-1436265209"/>
                <w14:textFill>
                  <w14:solidFill>
                    <w14:srgbClr w14:val="000000">
                      <w14:alpha w14:val="100000"/>
                    </w14:srgbClr>
                  </w14:solidFill>
                </w14:textFill>
              </w:rPr>
              <w:t>|</w:t>
            </w:r>
            <w:r w:rsidRPr="00EC6944">
              <w:rPr>
                <w:rFonts w:cs="Calibri" w:hint="eastAsia"/>
                <w:b/>
                <w:color w:val="000000"/>
                <w:spacing w:val="-5"/>
                <w:w w:val="15"/>
                <w:shd w:val="solid" w:color="000000" w:fill="000000"/>
                <w:fitText w:val="61" w:id="-1436265209"/>
                <w14:textFill>
                  <w14:solidFill>
                    <w14:srgbClr w14:val="000000">
                      <w14:alpha w14:val="100000"/>
                    </w14:srgbClr>
                  </w14:solidFill>
                </w14:textFill>
              </w:rPr>
              <w:t xml:space="preserve">　</w:t>
            </w:r>
            <w:r w:rsidR="00C548F6">
              <w:rPr>
                <w:rFonts w:cs="Calibri"/>
                <w:b/>
                <w:vertAlign w:val="superscript"/>
              </w:rPr>
              <w:t>1</w:t>
            </w:r>
          </w:p>
        </w:tc>
      </w:tr>
      <w:tr w:rsidR="00540F22" w:rsidRPr="008312ED" w14:paraId="47EC5C54" w14:textId="77777777" w:rsidTr="003D711D">
        <w:tc>
          <w:tcPr>
            <w:tcW w:w="1116" w:type="pct"/>
            <w:shd w:val="clear" w:color="auto" w:fill="auto"/>
            <w:vAlign w:val="center"/>
          </w:tcPr>
          <w:p w14:paraId="7521EC1D" w14:textId="77777777" w:rsidR="00540F22" w:rsidRPr="008312ED" w:rsidRDefault="00540F22" w:rsidP="003D711D">
            <w:pPr>
              <w:pStyle w:val="TableText0"/>
              <w:rPr>
                <w:rFonts w:ascii="Times" w:hAnsi="Times"/>
              </w:rPr>
            </w:pPr>
            <w:r w:rsidRPr="008312ED">
              <w:t>Number of scripts dispensed</w:t>
            </w:r>
          </w:p>
        </w:tc>
        <w:tc>
          <w:tcPr>
            <w:tcW w:w="647" w:type="pct"/>
            <w:shd w:val="clear" w:color="auto" w:fill="auto"/>
            <w:vAlign w:val="center"/>
          </w:tcPr>
          <w:p w14:paraId="316C10C4" w14:textId="061206F0" w:rsidR="00540F22" w:rsidRPr="008312ED" w:rsidRDefault="00EC6944" w:rsidP="003D711D">
            <w:pPr>
              <w:pStyle w:val="TableText0"/>
              <w:jc w:val="center"/>
            </w:pPr>
            <w:r w:rsidRPr="00DA5CFB">
              <w:rPr>
                <w:rFonts w:cs="Calibri" w:hint="eastAsia"/>
                <w:color w:val="000000"/>
                <w:w w:val="15"/>
                <w:shd w:val="solid" w:color="000000" w:fill="000000"/>
                <w:fitText w:val="23" w:id="-1436265208"/>
                <w14:textFill>
                  <w14:solidFill>
                    <w14:srgbClr w14:val="000000">
                      <w14:alpha w14:val="100000"/>
                    </w14:srgbClr>
                  </w14:solidFill>
                </w14:textFill>
              </w:rPr>
              <w:t xml:space="preserve">　</w:t>
            </w:r>
            <w:r w:rsidRPr="00DA5CFB">
              <w:rPr>
                <w:rFonts w:cs="Calibri"/>
                <w:color w:val="000000"/>
                <w:w w:val="15"/>
                <w:shd w:val="solid" w:color="000000" w:fill="000000"/>
                <w:fitText w:val="23" w:id="-1436265208"/>
                <w14:textFill>
                  <w14:solidFill>
                    <w14:srgbClr w14:val="000000">
                      <w14:alpha w14:val="100000"/>
                    </w14:srgbClr>
                  </w14:solidFill>
                </w14:textFill>
              </w:rPr>
              <w:t>|</w:t>
            </w:r>
            <w:r w:rsidRPr="00DA5CFB">
              <w:rPr>
                <w:rFonts w:cs="Calibri" w:hint="eastAsia"/>
                <w:color w:val="000000"/>
                <w:spacing w:val="-42"/>
                <w:w w:val="15"/>
                <w:shd w:val="solid" w:color="000000" w:fill="000000"/>
                <w:fitText w:val="23" w:id="-1436265208"/>
                <w14:textFill>
                  <w14:solidFill>
                    <w14:srgbClr w14:val="000000">
                      <w14:alpha w14:val="100000"/>
                    </w14:srgbClr>
                  </w14:solidFill>
                </w14:textFill>
              </w:rPr>
              <w:t xml:space="preserve">　</w:t>
            </w:r>
            <w:r w:rsidR="00C548F6">
              <w:rPr>
                <w:rFonts w:cs="Calibri"/>
                <w:b/>
                <w:vertAlign w:val="superscript"/>
              </w:rPr>
              <w:t>2</w:t>
            </w:r>
          </w:p>
        </w:tc>
        <w:tc>
          <w:tcPr>
            <w:tcW w:w="647" w:type="pct"/>
            <w:shd w:val="clear" w:color="auto" w:fill="auto"/>
            <w:vAlign w:val="center"/>
          </w:tcPr>
          <w:p w14:paraId="19CC0F57" w14:textId="4D5A6307" w:rsidR="00540F22" w:rsidRPr="008312ED" w:rsidRDefault="00EC6944" w:rsidP="003D711D">
            <w:pPr>
              <w:pStyle w:val="TableText0"/>
              <w:jc w:val="center"/>
            </w:pPr>
            <w:r w:rsidRPr="00DA5CFB">
              <w:rPr>
                <w:rFonts w:cs="Calibri" w:hint="eastAsia"/>
                <w:color w:val="000000"/>
                <w:w w:val="15"/>
                <w:shd w:val="solid" w:color="000000" w:fill="000000"/>
                <w:fitText w:val="23" w:id="-1436265207"/>
                <w14:textFill>
                  <w14:solidFill>
                    <w14:srgbClr w14:val="000000">
                      <w14:alpha w14:val="100000"/>
                    </w14:srgbClr>
                  </w14:solidFill>
                </w14:textFill>
              </w:rPr>
              <w:t xml:space="preserve">　</w:t>
            </w:r>
            <w:r w:rsidRPr="00DA5CFB">
              <w:rPr>
                <w:rFonts w:cs="Calibri"/>
                <w:color w:val="000000"/>
                <w:w w:val="15"/>
                <w:shd w:val="solid" w:color="000000" w:fill="000000"/>
                <w:fitText w:val="23" w:id="-1436265207"/>
                <w14:textFill>
                  <w14:solidFill>
                    <w14:srgbClr w14:val="000000">
                      <w14:alpha w14:val="100000"/>
                    </w14:srgbClr>
                  </w14:solidFill>
                </w14:textFill>
              </w:rPr>
              <w:t>|</w:t>
            </w:r>
            <w:r w:rsidRPr="00DA5CFB">
              <w:rPr>
                <w:rFonts w:cs="Calibri" w:hint="eastAsia"/>
                <w:color w:val="000000"/>
                <w:spacing w:val="-42"/>
                <w:w w:val="15"/>
                <w:shd w:val="solid" w:color="000000" w:fill="000000"/>
                <w:fitText w:val="23" w:id="-1436265207"/>
                <w14:textFill>
                  <w14:solidFill>
                    <w14:srgbClr w14:val="000000">
                      <w14:alpha w14:val="100000"/>
                    </w14:srgbClr>
                  </w14:solidFill>
                </w14:textFill>
              </w:rPr>
              <w:t xml:space="preserve">　</w:t>
            </w:r>
            <w:r w:rsidR="00C548F6">
              <w:rPr>
                <w:rFonts w:cs="Calibri"/>
                <w:b/>
                <w:vertAlign w:val="superscript"/>
              </w:rPr>
              <w:t>2</w:t>
            </w:r>
          </w:p>
        </w:tc>
        <w:tc>
          <w:tcPr>
            <w:tcW w:w="647" w:type="pct"/>
            <w:shd w:val="clear" w:color="auto" w:fill="auto"/>
            <w:vAlign w:val="center"/>
          </w:tcPr>
          <w:p w14:paraId="447531CE" w14:textId="26686E4C" w:rsidR="00540F22" w:rsidRPr="008312ED" w:rsidRDefault="00EC6944" w:rsidP="003D711D">
            <w:pPr>
              <w:pStyle w:val="TableText0"/>
              <w:jc w:val="center"/>
            </w:pPr>
            <w:r w:rsidRPr="00DA5CFB">
              <w:rPr>
                <w:rFonts w:cs="Calibri" w:hint="eastAsia"/>
                <w:color w:val="000000"/>
                <w:w w:val="15"/>
                <w:shd w:val="solid" w:color="000000" w:fill="000000"/>
                <w:fitText w:val="24" w:id="-1436265206"/>
                <w14:textFill>
                  <w14:solidFill>
                    <w14:srgbClr w14:val="000000">
                      <w14:alpha w14:val="100000"/>
                    </w14:srgbClr>
                  </w14:solidFill>
                </w14:textFill>
              </w:rPr>
              <w:t xml:space="preserve">　</w:t>
            </w:r>
            <w:r w:rsidRPr="00DA5CFB">
              <w:rPr>
                <w:rFonts w:cs="Calibri"/>
                <w:color w:val="000000"/>
                <w:w w:val="15"/>
                <w:shd w:val="solid" w:color="000000" w:fill="000000"/>
                <w:fitText w:val="24" w:id="-1436265206"/>
                <w14:textFill>
                  <w14:solidFill>
                    <w14:srgbClr w14:val="000000">
                      <w14:alpha w14:val="100000"/>
                    </w14:srgbClr>
                  </w14:solidFill>
                </w14:textFill>
              </w:rPr>
              <w:t>|</w:t>
            </w:r>
            <w:r w:rsidRPr="00DA5CFB">
              <w:rPr>
                <w:rFonts w:cs="Calibri" w:hint="eastAsia"/>
                <w:color w:val="000000"/>
                <w:spacing w:val="-41"/>
                <w:w w:val="15"/>
                <w:shd w:val="solid" w:color="000000" w:fill="000000"/>
                <w:fitText w:val="24" w:id="-1436265206"/>
                <w14:textFill>
                  <w14:solidFill>
                    <w14:srgbClr w14:val="000000">
                      <w14:alpha w14:val="100000"/>
                    </w14:srgbClr>
                  </w14:solidFill>
                </w14:textFill>
              </w:rPr>
              <w:t xml:space="preserve">　</w:t>
            </w:r>
            <w:r w:rsidR="00C548F6">
              <w:rPr>
                <w:rFonts w:cs="Calibri"/>
                <w:b/>
                <w:vertAlign w:val="superscript"/>
              </w:rPr>
              <w:t>2</w:t>
            </w:r>
          </w:p>
        </w:tc>
        <w:tc>
          <w:tcPr>
            <w:tcW w:w="647" w:type="pct"/>
            <w:shd w:val="clear" w:color="auto" w:fill="auto"/>
            <w:vAlign w:val="center"/>
          </w:tcPr>
          <w:p w14:paraId="5F048453" w14:textId="7ED3A1A6" w:rsidR="00540F22" w:rsidRPr="008312ED" w:rsidRDefault="00EC6944" w:rsidP="003D711D">
            <w:pPr>
              <w:pStyle w:val="TableText0"/>
              <w:jc w:val="center"/>
            </w:pPr>
            <w:r w:rsidRPr="00DA5CFB">
              <w:rPr>
                <w:rFonts w:cs="Calibri" w:hint="eastAsia"/>
                <w:color w:val="000000"/>
                <w:w w:val="15"/>
                <w:shd w:val="solid" w:color="000000" w:fill="000000"/>
                <w:fitText w:val="23" w:id="-1436265205"/>
                <w14:textFill>
                  <w14:solidFill>
                    <w14:srgbClr w14:val="000000">
                      <w14:alpha w14:val="100000"/>
                    </w14:srgbClr>
                  </w14:solidFill>
                </w14:textFill>
              </w:rPr>
              <w:t xml:space="preserve">　</w:t>
            </w:r>
            <w:r w:rsidRPr="00DA5CFB">
              <w:rPr>
                <w:rFonts w:cs="Calibri"/>
                <w:color w:val="000000"/>
                <w:w w:val="15"/>
                <w:shd w:val="solid" w:color="000000" w:fill="000000"/>
                <w:fitText w:val="23" w:id="-1436265205"/>
                <w14:textFill>
                  <w14:solidFill>
                    <w14:srgbClr w14:val="000000">
                      <w14:alpha w14:val="100000"/>
                    </w14:srgbClr>
                  </w14:solidFill>
                </w14:textFill>
              </w:rPr>
              <w:t>|</w:t>
            </w:r>
            <w:r w:rsidRPr="00DA5CFB">
              <w:rPr>
                <w:rFonts w:cs="Calibri" w:hint="eastAsia"/>
                <w:color w:val="000000"/>
                <w:spacing w:val="-42"/>
                <w:w w:val="15"/>
                <w:shd w:val="solid" w:color="000000" w:fill="000000"/>
                <w:fitText w:val="23" w:id="-1436265205"/>
                <w14:textFill>
                  <w14:solidFill>
                    <w14:srgbClr w14:val="000000">
                      <w14:alpha w14:val="100000"/>
                    </w14:srgbClr>
                  </w14:solidFill>
                </w14:textFill>
              </w:rPr>
              <w:t xml:space="preserve">　</w:t>
            </w:r>
            <w:r w:rsidR="00C548F6">
              <w:rPr>
                <w:rFonts w:cs="Calibri"/>
                <w:b/>
                <w:vertAlign w:val="superscript"/>
              </w:rPr>
              <w:t>2</w:t>
            </w:r>
          </w:p>
        </w:tc>
        <w:tc>
          <w:tcPr>
            <w:tcW w:w="647" w:type="pct"/>
            <w:shd w:val="clear" w:color="auto" w:fill="auto"/>
            <w:vAlign w:val="center"/>
          </w:tcPr>
          <w:p w14:paraId="4B5551D9" w14:textId="44E5944D" w:rsidR="00540F22" w:rsidRPr="008312ED" w:rsidRDefault="00EC6944" w:rsidP="003D711D">
            <w:pPr>
              <w:pStyle w:val="TableText0"/>
              <w:jc w:val="center"/>
            </w:pPr>
            <w:r w:rsidRPr="00DA5CFB">
              <w:rPr>
                <w:rFonts w:cs="Calibri" w:hint="eastAsia"/>
                <w:color w:val="000000"/>
                <w:w w:val="15"/>
                <w:shd w:val="solid" w:color="000000" w:fill="000000"/>
                <w:fitText w:val="23" w:id="-1436265204"/>
                <w14:textFill>
                  <w14:solidFill>
                    <w14:srgbClr w14:val="000000">
                      <w14:alpha w14:val="100000"/>
                    </w14:srgbClr>
                  </w14:solidFill>
                </w14:textFill>
              </w:rPr>
              <w:t xml:space="preserve">　</w:t>
            </w:r>
            <w:r w:rsidRPr="00DA5CFB">
              <w:rPr>
                <w:rFonts w:cs="Calibri"/>
                <w:color w:val="000000"/>
                <w:w w:val="15"/>
                <w:shd w:val="solid" w:color="000000" w:fill="000000"/>
                <w:fitText w:val="23" w:id="-1436265204"/>
                <w14:textFill>
                  <w14:solidFill>
                    <w14:srgbClr w14:val="000000">
                      <w14:alpha w14:val="100000"/>
                    </w14:srgbClr>
                  </w14:solidFill>
                </w14:textFill>
              </w:rPr>
              <w:t>|</w:t>
            </w:r>
            <w:r w:rsidRPr="00DA5CFB">
              <w:rPr>
                <w:rFonts w:cs="Calibri" w:hint="eastAsia"/>
                <w:color w:val="000000"/>
                <w:spacing w:val="-42"/>
                <w:w w:val="15"/>
                <w:shd w:val="solid" w:color="000000" w:fill="000000"/>
                <w:fitText w:val="23" w:id="-1436265204"/>
                <w14:textFill>
                  <w14:solidFill>
                    <w14:srgbClr w14:val="000000">
                      <w14:alpha w14:val="100000"/>
                    </w14:srgbClr>
                  </w14:solidFill>
                </w14:textFill>
              </w:rPr>
              <w:t xml:space="preserve">　</w:t>
            </w:r>
            <w:r w:rsidR="00C548F6">
              <w:rPr>
                <w:rFonts w:cs="Calibri"/>
                <w:b/>
                <w:vertAlign w:val="superscript"/>
              </w:rPr>
              <w:t>2</w:t>
            </w:r>
          </w:p>
        </w:tc>
        <w:tc>
          <w:tcPr>
            <w:tcW w:w="649" w:type="pct"/>
            <w:vAlign w:val="center"/>
          </w:tcPr>
          <w:p w14:paraId="2331C8AD" w14:textId="057D2217" w:rsidR="00540F22" w:rsidRPr="008312ED" w:rsidRDefault="00EC6944" w:rsidP="003D711D">
            <w:pPr>
              <w:pStyle w:val="TableText0"/>
              <w:jc w:val="center"/>
            </w:pPr>
            <w:r w:rsidRPr="00DA5CFB">
              <w:rPr>
                <w:rFonts w:cs="Calibri" w:hint="eastAsia"/>
                <w:color w:val="000000"/>
                <w:w w:val="15"/>
                <w:shd w:val="solid" w:color="000000" w:fill="000000"/>
                <w:fitText w:val="24" w:id="-1436265203"/>
                <w14:textFill>
                  <w14:solidFill>
                    <w14:srgbClr w14:val="000000">
                      <w14:alpha w14:val="100000"/>
                    </w14:srgbClr>
                  </w14:solidFill>
                </w14:textFill>
              </w:rPr>
              <w:t xml:space="preserve">　</w:t>
            </w:r>
            <w:r w:rsidRPr="00DA5CFB">
              <w:rPr>
                <w:rFonts w:cs="Calibri"/>
                <w:color w:val="000000"/>
                <w:w w:val="15"/>
                <w:shd w:val="solid" w:color="000000" w:fill="000000"/>
                <w:fitText w:val="24" w:id="-1436265203"/>
                <w14:textFill>
                  <w14:solidFill>
                    <w14:srgbClr w14:val="000000">
                      <w14:alpha w14:val="100000"/>
                    </w14:srgbClr>
                  </w14:solidFill>
                </w14:textFill>
              </w:rPr>
              <w:t>|</w:t>
            </w:r>
            <w:r w:rsidRPr="00DA5CFB">
              <w:rPr>
                <w:rFonts w:cs="Calibri" w:hint="eastAsia"/>
                <w:color w:val="000000"/>
                <w:spacing w:val="-41"/>
                <w:w w:val="15"/>
                <w:shd w:val="solid" w:color="000000" w:fill="000000"/>
                <w:fitText w:val="24" w:id="-1436265203"/>
                <w14:textFill>
                  <w14:solidFill>
                    <w14:srgbClr w14:val="000000">
                      <w14:alpha w14:val="100000"/>
                    </w14:srgbClr>
                  </w14:solidFill>
                </w14:textFill>
              </w:rPr>
              <w:t xml:space="preserve">　</w:t>
            </w:r>
            <w:r w:rsidR="00C548F6">
              <w:rPr>
                <w:rFonts w:cs="Calibri"/>
                <w:b/>
                <w:vertAlign w:val="superscript"/>
              </w:rPr>
              <w:t>2</w:t>
            </w:r>
          </w:p>
        </w:tc>
      </w:tr>
      <w:tr w:rsidR="00540F22" w:rsidRPr="008312ED" w14:paraId="581C0DD9" w14:textId="77777777" w:rsidTr="003D711D">
        <w:tc>
          <w:tcPr>
            <w:tcW w:w="5000" w:type="pct"/>
            <w:gridSpan w:val="7"/>
            <w:shd w:val="clear" w:color="auto" w:fill="auto"/>
            <w:vAlign w:val="center"/>
          </w:tcPr>
          <w:p w14:paraId="519EE74B" w14:textId="77777777" w:rsidR="00540F22" w:rsidRPr="008312ED" w:rsidRDefault="00540F22" w:rsidP="003D711D">
            <w:pPr>
              <w:pStyle w:val="In-tableHeading"/>
              <w:rPr>
                <w:lang w:val="en-AU"/>
              </w:rPr>
            </w:pPr>
            <w:r w:rsidRPr="008312ED">
              <w:rPr>
                <w:lang w:val="en-AU"/>
              </w:rPr>
              <w:t>Estimated financial implications of pegvaliase</w:t>
            </w:r>
          </w:p>
        </w:tc>
      </w:tr>
      <w:tr w:rsidR="00540F22" w:rsidRPr="008312ED" w14:paraId="4E099285" w14:textId="77777777" w:rsidTr="003D711D">
        <w:tc>
          <w:tcPr>
            <w:tcW w:w="1116" w:type="pct"/>
            <w:shd w:val="clear" w:color="auto" w:fill="auto"/>
            <w:vAlign w:val="center"/>
          </w:tcPr>
          <w:p w14:paraId="474C235C" w14:textId="77777777" w:rsidR="00540F22" w:rsidRPr="008312ED" w:rsidRDefault="00540F22" w:rsidP="003D711D">
            <w:pPr>
              <w:pStyle w:val="TableText0"/>
              <w:rPr>
                <w:sz w:val="19"/>
                <w:szCs w:val="19"/>
              </w:rPr>
            </w:pPr>
            <w:r w:rsidRPr="008312ED">
              <w:rPr>
                <w:sz w:val="19"/>
                <w:szCs w:val="19"/>
              </w:rPr>
              <w:t>Cost to PBS/RPBS less copayments</w:t>
            </w:r>
          </w:p>
        </w:tc>
        <w:tc>
          <w:tcPr>
            <w:tcW w:w="647" w:type="pct"/>
            <w:shd w:val="clear" w:color="auto" w:fill="auto"/>
            <w:vAlign w:val="center"/>
          </w:tcPr>
          <w:p w14:paraId="4EF55EFB" w14:textId="172C003A"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70" w:id="-1436265202"/>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70" w:id="-1436265202"/>
                <w14:textFill>
                  <w14:solidFill>
                    <w14:srgbClr w14:val="000000">
                      <w14:alpha w14:val="100000"/>
                    </w14:srgbClr>
                  </w14:solidFill>
                </w14:textFill>
              </w:rPr>
              <w:t>|</w:t>
            </w:r>
            <w:r w:rsidR="00EC6944" w:rsidRPr="00EC6944">
              <w:rPr>
                <w:rFonts w:cs="Calibri" w:hint="eastAsia"/>
                <w:color w:val="000000"/>
                <w:spacing w:val="4"/>
                <w:w w:val="15"/>
                <w:szCs w:val="20"/>
                <w:shd w:val="solid" w:color="000000" w:fill="000000"/>
                <w:fitText w:val="70" w:id="-1436265202"/>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3649A5DD" w14:textId="60553FA9"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69" w:id="-1436265201"/>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69" w:id="-1436265201"/>
                <w14:textFill>
                  <w14:solidFill>
                    <w14:srgbClr w14:val="000000">
                      <w14:alpha w14:val="100000"/>
                    </w14:srgbClr>
                  </w14:solidFill>
                </w14:textFill>
              </w:rPr>
              <w:t>|</w:t>
            </w:r>
            <w:r w:rsidR="00EC6944" w:rsidRPr="00EC6944">
              <w:rPr>
                <w:rFonts w:cs="Calibri" w:hint="eastAsia"/>
                <w:color w:val="000000"/>
                <w:spacing w:val="3"/>
                <w:w w:val="15"/>
                <w:szCs w:val="20"/>
                <w:shd w:val="solid" w:color="000000" w:fill="000000"/>
                <w:fitText w:val="69" w:id="-1436265201"/>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426CF197" w14:textId="36E6F8CD"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69" w:id="-1436265200"/>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69" w:id="-1436265200"/>
                <w14:textFill>
                  <w14:solidFill>
                    <w14:srgbClr w14:val="000000">
                      <w14:alpha w14:val="100000"/>
                    </w14:srgbClr>
                  </w14:solidFill>
                </w14:textFill>
              </w:rPr>
              <w:t>|</w:t>
            </w:r>
            <w:r w:rsidR="00EC6944" w:rsidRPr="00EC6944">
              <w:rPr>
                <w:rFonts w:cs="Calibri" w:hint="eastAsia"/>
                <w:color w:val="000000"/>
                <w:spacing w:val="3"/>
                <w:w w:val="15"/>
                <w:szCs w:val="20"/>
                <w:shd w:val="solid" w:color="000000" w:fill="000000"/>
                <w:fitText w:val="69" w:id="-1436265200"/>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687D13AE" w14:textId="2589B10B"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70" w:id="-1436265216"/>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70" w:id="-1436265216"/>
                <w14:textFill>
                  <w14:solidFill>
                    <w14:srgbClr w14:val="000000">
                      <w14:alpha w14:val="100000"/>
                    </w14:srgbClr>
                  </w14:solidFill>
                </w14:textFill>
              </w:rPr>
              <w:t>|</w:t>
            </w:r>
            <w:r w:rsidR="00EC6944" w:rsidRPr="00EC6944">
              <w:rPr>
                <w:rFonts w:cs="Calibri" w:hint="eastAsia"/>
                <w:color w:val="000000"/>
                <w:spacing w:val="4"/>
                <w:w w:val="15"/>
                <w:szCs w:val="20"/>
                <w:shd w:val="solid" w:color="000000" w:fill="000000"/>
                <w:fitText w:val="70" w:id="-1436265216"/>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2168F4A5" w14:textId="337269AB"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69" w:id="-1436265215"/>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69" w:id="-1436265215"/>
                <w14:textFill>
                  <w14:solidFill>
                    <w14:srgbClr w14:val="000000">
                      <w14:alpha w14:val="100000"/>
                    </w14:srgbClr>
                  </w14:solidFill>
                </w14:textFill>
              </w:rPr>
              <w:t>|</w:t>
            </w:r>
            <w:r w:rsidR="00EC6944" w:rsidRPr="00EC6944">
              <w:rPr>
                <w:rFonts w:cs="Calibri" w:hint="eastAsia"/>
                <w:color w:val="000000"/>
                <w:spacing w:val="3"/>
                <w:w w:val="15"/>
                <w:szCs w:val="20"/>
                <w:shd w:val="solid" w:color="000000" w:fill="000000"/>
                <w:fitText w:val="69" w:id="-1436265215"/>
                <w14:textFill>
                  <w14:solidFill>
                    <w14:srgbClr w14:val="000000">
                      <w14:alpha w14:val="100000"/>
                    </w14:srgbClr>
                  </w14:solidFill>
                </w14:textFill>
              </w:rPr>
              <w:t xml:space="preserve">　</w:t>
            </w:r>
            <w:r w:rsidR="00053B18">
              <w:rPr>
                <w:rFonts w:cs="Calibri"/>
                <w:szCs w:val="20"/>
                <w:vertAlign w:val="superscript"/>
              </w:rPr>
              <w:t>5</w:t>
            </w:r>
          </w:p>
        </w:tc>
        <w:tc>
          <w:tcPr>
            <w:tcW w:w="649" w:type="pct"/>
            <w:vAlign w:val="center"/>
          </w:tcPr>
          <w:p w14:paraId="527E3023" w14:textId="22D17067"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5"/>
                <w:szCs w:val="20"/>
                <w:shd w:val="solid" w:color="000000" w:fill="000000"/>
                <w:fitText w:val="69" w:id="-1436265214"/>
                <w14:textFill>
                  <w14:solidFill>
                    <w14:srgbClr w14:val="000000">
                      <w14:alpha w14:val="100000"/>
                    </w14:srgbClr>
                  </w14:solidFill>
                </w14:textFill>
              </w:rPr>
              <w:t xml:space="preserve">　</w:t>
            </w:r>
            <w:r w:rsidR="00EC6944" w:rsidRPr="00EC6944">
              <w:rPr>
                <w:rFonts w:cs="Calibri"/>
                <w:color w:val="000000"/>
                <w:w w:val="15"/>
                <w:szCs w:val="20"/>
                <w:shd w:val="solid" w:color="000000" w:fill="000000"/>
                <w:fitText w:val="69" w:id="-1436265214"/>
                <w14:textFill>
                  <w14:solidFill>
                    <w14:srgbClr w14:val="000000">
                      <w14:alpha w14:val="100000"/>
                    </w14:srgbClr>
                  </w14:solidFill>
                </w14:textFill>
              </w:rPr>
              <w:t>|</w:t>
            </w:r>
            <w:r w:rsidR="00EC6944" w:rsidRPr="00EC6944">
              <w:rPr>
                <w:rFonts w:cs="Calibri" w:hint="eastAsia"/>
                <w:color w:val="000000"/>
                <w:spacing w:val="3"/>
                <w:w w:val="15"/>
                <w:szCs w:val="20"/>
                <w:shd w:val="solid" w:color="000000" w:fill="000000"/>
                <w:fitText w:val="69" w:id="-1436265214"/>
                <w14:textFill>
                  <w14:solidFill>
                    <w14:srgbClr w14:val="000000">
                      <w14:alpha w14:val="100000"/>
                    </w14:srgbClr>
                  </w14:solidFill>
                </w14:textFill>
              </w:rPr>
              <w:t xml:space="preserve">　</w:t>
            </w:r>
            <w:r w:rsidR="00053B18">
              <w:rPr>
                <w:rFonts w:cs="Calibri"/>
                <w:szCs w:val="20"/>
                <w:vertAlign w:val="superscript"/>
              </w:rPr>
              <w:t>5</w:t>
            </w:r>
          </w:p>
        </w:tc>
      </w:tr>
      <w:tr w:rsidR="00540F22" w:rsidRPr="008312ED" w14:paraId="17A89DD4" w14:textId="77777777" w:rsidTr="003D711D">
        <w:tc>
          <w:tcPr>
            <w:tcW w:w="5000" w:type="pct"/>
            <w:gridSpan w:val="7"/>
            <w:shd w:val="clear" w:color="auto" w:fill="auto"/>
            <w:vAlign w:val="center"/>
          </w:tcPr>
          <w:p w14:paraId="6046D00E" w14:textId="77777777" w:rsidR="00540F22" w:rsidRPr="008312ED" w:rsidRDefault="00540F22" w:rsidP="003D711D">
            <w:pPr>
              <w:pStyle w:val="TableText0"/>
              <w:rPr>
                <w:b/>
                <w:bCs w:val="0"/>
              </w:rPr>
            </w:pPr>
            <w:r w:rsidRPr="008312ED">
              <w:rPr>
                <w:b/>
                <w:bCs w:val="0"/>
              </w:rPr>
              <w:t>Estimated financial implications for Phe-free supplements and premedication</w:t>
            </w:r>
          </w:p>
        </w:tc>
      </w:tr>
      <w:tr w:rsidR="00540F22" w:rsidRPr="008312ED" w14:paraId="5F2854E5" w14:textId="77777777" w:rsidTr="003D711D">
        <w:tc>
          <w:tcPr>
            <w:tcW w:w="1116" w:type="pct"/>
            <w:shd w:val="clear" w:color="auto" w:fill="auto"/>
            <w:vAlign w:val="center"/>
          </w:tcPr>
          <w:p w14:paraId="3ABB8158" w14:textId="77777777" w:rsidR="00540F22" w:rsidRPr="008312ED" w:rsidRDefault="00540F22" w:rsidP="003D711D">
            <w:pPr>
              <w:pStyle w:val="TableText0"/>
              <w:rPr>
                <w:sz w:val="19"/>
                <w:szCs w:val="19"/>
              </w:rPr>
            </w:pPr>
            <w:r w:rsidRPr="008312ED">
              <w:rPr>
                <w:sz w:val="19"/>
                <w:szCs w:val="19"/>
              </w:rPr>
              <w:t>Cost to PBS/RPBS less copayments</w:t>
            </w:r>
          </w:p>
        </w:tc>
        <w:tc>
          <w:tcPr>
            <w:tcW w:w="647" w:type="pct"/>
            <w:shd w:val="clear" w:color="auto" w:fill="auto"/>
            <w:vAlign w:val="center"/>
          </w:tcPr>
          <w:p w14:paraId="465DD0B4" w14:textId="7CB60D30" w:rsidR="00540F22" w:rsidRPr="00053B18" w:rsidRDefault="00540F22" w:rsidP="003D711D">
            <w:pPr>
              <w:pStyle w:val="TableText0"/>
              <w:jc w:val="center"/>
              <w:rPr>
                <w:vertAlign w:val="superscript"/>
              </w:rPr>
            </w:pPr>
            <w:r w:rsidRPr="008312ED">
              <w:rPr>
                <w:rFonts w:cs="Calibri"/>
                <w:szCs w:val="20"/>
              </w:rPr>
              <w:t>-$</w:t>
            </w:r>
            <w:r w:rsidR="00EC6944" w:rsidRPr="00EC6944">
              <w:rPr>
                <w:rFonts w:cs="Calibri" w:hint="eastAsia"/>
                <w:color w:val="000000"/>
                <w:w w:val="21"/>
                <w:szCs w:val="20"/>
                <w:shd w:val="solid" w:color="000000" w:fill="000000"/>
                <w:fitText w:val="93" w:id="-1436265213"/>
                <w14:textFill>
                  <w14:solidFill>
                    <w14:srgbClr w14:val="000000">
                      <w14:alpha w14:val="100000"/>
                    </w14:srgbClr>
                  </w14:solidFill>
                </w14:textFill>
              </w:rPr>
              <w:t xml:space="preserve">　</w:t>
            </w:r>
            <w:r w:rsidR="00EC6944" w:rsidRPr="00EC6944">
              <w:rPr>
                <w:rFonts w:cs="Calibri"/>
                <w:color w:val="000000"/>
                <w:w w:val="21"/>
                <w:szCs w:val="20"/>
                <w:shd w:val="solid" w:color="000000" w:fill="000000"/>
                <w:fitText w:val="93" w:id="-1436265213"/>
                <w14:textFill>
                  <w14:solidFill>
                    <w14:srgbClr w14:val="000000">
                      <w14:alpha w14:val="100000"/>
                    </w14:srgbClr>
                  </w14:solidFill>
                </w14:textFill>
              </w:rPr>
              <w:t>|</w:t>
            </w:r>
            <w:r w:rsidR="00EC6944" w:rsidRPr="00EC6944">
              <w:rPr>
                <w:rFonts w:cs="Calibri" w:hint="eastAsia"/>
                <w:color w:val="000000"/>
                <w:spacing w:val="2"/>
                <w:w w:val="21"/>
                <w:szCs w:val="20"/>
                <w:shd w:val="solid" w:color="000000" w:fill="000000"/>
                <w:fitText w:val="93" w:id="-1436265213"/>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181C6B06" w14:textId="520C9B57"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20"/>
                <w:szCs w:val="20"/>
                <w:shd w:val="solid" w:color="000000" w:fill="000000"/>
                <w:fitText w:val="92" w:id="-1436265212"/>
                <w14:textFill>
                  <w14:solidFill>
                    <w14:srgbClr w14:val="000000">
                      <w14:alpha w14:val="100000"/>
                    </w14:srgbClr>
                  </w14:solidFill>
                </w14:textFill>
              </w:rPr>
              <w:t xml:space="preserve">　</w:t>
            </w:r>
            <w:r w:rsidR="00EC6944" w:rsidRPr="00EC6944">
              <w:rPr>
                <w:rFonts w:cs="Calibri"/>
                <w:color w:val="000000"/>
                <w:w w:val="20"/>
                <w:szCs w:val="20"/>
                <w:shd w:val="solid" w:color="000000" w:fill="000000"/>
                <w:fitText w:val="92" w:id="-1436265212"/>
                <w14:textFill>
                  <w14:solidFill>
                    <w14:srgbClr w14:val="000000">
                      <w14:alpha w14:val="100000"/>
                    </w14:srgbClr>
                  </w14:solidFill>
                </w14:textFill>
              </w:rPr>
              <w:t>|</w:t>
            </w:r>
            <w:r w:rsidR="00EC6944" w:rsidRPr="00EC6944">
              <w:rPr>
                <w:rFonts w:cs="Calibri" w:hint="eastAsia"/>
                <w:color w:val="000000"/>
                <w:spacing w:val="5"/>
                <w:w w:val="20"/>
                <w:szCs w:val="20"/>
                <w:shd w:val="solid" w:color="000000" w:fill="000000"/>
                <w:fitText w:val="92" w:id="-1436265212"/>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154292A9" w14:textId="312A34EB"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21"/>
                <w:szCs w:val="20"/>
                <w:shd w:val="solid" w:color="000000" w:fill="000000"/>
                <w:fitText w:val="93" w:id="-1436265211"/>
                <w14:textFill>
                  <w14:solidFill>
                    <w14:srgbClr w14:val="000000">
                      <w14:alpha w14:val="100000"/>
                    </w14:srgbClr>
                  </w14:solidFill>
                </w14:textFill>
              </w:rPr>
              <w:t xml:space="preserve">　</w:t>
            </w:r>
            <w:r w:rsidR="00EC6944" w:rsidRPr="00EC6944">
              <w:rPr>
                <w:rFonts w:cs="Calibri"/>
                <w:color w:val="000000"/>
                <w:w w:val="21"/>
                <w:szCs w:val="20"/>
                <w:shd w:val="solid" w:color="000000" w:fill="000000"/>
                <w:fitText w:val="93" w:id="-1436265211"/>
                <w14:textFill>
                  <w14:solidFill>
                    <w14:srgbClr w14:val="000000">
                      <w14:alpha w14:val="100000"/>
                    </w14:srgbClr>
                  </w14:solidFill>
                </w14:textFill>
              </w:rPr>
              <w:t>|</w:t>
            </w:r>
            <w:r w:rsidR="00EC6944" w:rsidRPr="00EC6944">
              <w:rPr>
                <w:rFonts w:cs="Calibri" w:hint="eastAsia"/>
                <w:color w:val="000000"/>
                <w:spacing w:val="2"/>
                <w:w w:val="21"/>
                <w:szCs w:val="20"/>
                <w:shd w:val="solid" w:color="000000" w:fill="000000"/>
                <w:fitText w:val="93" w:id="-1436265211"/>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360109D4" w14:textId="51B5EAFD"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21"/>
                <w:szCs w:val="20"/>
                <w:shd w:val="solid" w:color="000000" w:fill="000000"/>
                <w:fitText w:val="93" w:id="-1436265210"/>
                <w14:textFill>
                  <w14:solidFill>
                    <w14:srgbClr w14:val="000000">
                      <w14:alpha w14:val="100000"/>
                    </w14:srgbClr>
                  </w14:solidFill>
                </w14:textFill>
              </w:rPr>
              <w:t xml:space="preserve">　</w:t>
            </w:r>
            <w:r w:rsidR="00EC6944" w:rsidRPr="00EC6944">
              <w:rPr>
                <w:rFonts w:cs="Calibri"/>
                <w:color w:val="000000"/>
                <w:w w:val="21"/>
                <w:szCs w:val="20"/>
                <w:shd w:val="solid" w:color="000000" w:fill="000000"/>
                <w:fitText w:val="93" w:id="-1436265210"/>
                <w14:textFill>
                  <w14:solidFill>
                    <w14:srgbClr w14:val="000000">
                      <w14:alpha w14:val="100000"/>
                    </w14:srgbClr>
                  </w14:solidFill>
                </w14:textFill>
              </w:rPr>
              <w:t>|</w:t>
            </w:r>
            <w:r w:rsidR="00EC6944" w:rsidRPr="00EC6944">
              <w:rPr>
                <w:rFonts w:cs="Calibri" w:hint="eastAsia"/>
                <w:color w:val="000000"/>
                <w:spacing w:val="2"/>
                <w:w w:val="21"/>
                <w:szCs w:val="20"/>
                <w:shd w:val="solid" w:color="000000" w:fill="000000"/>
                <w:fitText w:val="93" w:id="-1436265210"/>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60E2D8D7" w14:textId="3A06C89D"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20"/>
                <w:szCs w:val="20"/>
                <w:shd w:val="solid" w:color="000000" w:fill="000000"/>
                <w:fitText w:val="92" w:id="-1436265209"/>
                <w14:textFill>
                  <w14:solidFill>
                    <w14:srgbClr w14:val="000000">
                      <w14:alpha w14:val="100000"/>
                    </w14:srgbClr>
                  </w14:solidFill>
                </w14:textFill>
              </w:rPr>
              <w:t xml:space="preserve">　</w:t>
            </w:r>
            <w:r w:rsidR="00EC6944" w:rsidRPr="00EC6944">
              <w:rPr>
                <w:rFonts w:cs="Calibri"/>
                <w:color w:val="000000"/>
                <w:w w:val="20"/>
                <w:szCs w:val="20"/>
                <w:shd w:val="solid" w:color="000000" w:fill="000000"/>
                <w:fitText w:val="92" w:id="-1436265209"/>
                <w14:textFill>
                  <w14:solidFill>
                    <w14:srgbClr w14:val="000000">
                      <w14:alpha w14:val="100000"/>
                    </w14:srgbClr>
                  </w14:solidFill>
                </w14:textFill>
              </w:rPr>
              <w:t>|</w:t>
            </w:r>
            <w:r w:rsidR="00EC6944" w:rsidRPr="00EC6944">
              <w:rPr>
                <w:rFonts w:cs="Calibri" w:hint="eastAsia"/>
                <w:color w:val="000000"/>
                <w:spacing w:val="5"/>
                <w:w w:val="20"/>
                <w:szCs w:val="20"/>
                <w:shd w:val="solid" w:color="000000" w:fill="000000"/>
                <w:fitText w:val="92" w:id="-1436265209"/>
                <w14:textFill>
                  <w14:solidFill>
                    <w14:srgbClr w14:val="000000">
                      <w14:alpha w14:val="100000"/>
                    </w14:srgbClr>
                  </w14:solidFill>
                </w14:textFill>
              </w:rPr>
              <w:t xml:space="preserve">　</w:t>
            </w:r>
            <w:r w:rsidR="00053B18">
              <w:rPr>
                <w:rFonts w:cs="Calibri"/>
                <w:szCs w:val="20"/>
                <w:vertAlign w:val="superscript"/>
              </w:rPr>
              <w:t>4</w:t>
            </w:r>
          </w:p>
        </w:tc>
        <w:tc>
          <w:tcPr>
            <w:tcW w:w="649" w:type="pct"/>
            <w:vAlign w:val="center"/>
          </w:tcPr>
          <w:p w14:paraId="79A58D3D" w14:textId="22606D78" w:rsidR="00540F22" w:rsidRPr="008312ED" w:rsidRDefault="00540F22" w:rsidP="003D711D">
            <w:pPr>
              <w:pStyle w:val="TableText0"/>
              <w:jc w:val="center"/>
            </w:pPr>
            <w:r w:rsidRPr="008312ED">
              <w:rPr>
                <w:rFonts w:cs="Calibri"/>
                <w:szCs w:val="20"/>
              </w:rPr>
              <w:t>-$</w:t>
            </w:r>
            <w:r w:rsidR="00EC6944" w:rsidRPr="00EC6944">
              <w:rPr>
                <w:rFonts w:cs="Calibri" w:hint="eastAsia"/>
                <w:color w:val="000000"/>
                <w:w w:val="19"/>
                <w:szCs w:val="20"/>
                <w:shd w:val="solid" w:color="000000" w:fill="000000"/>
                <w:fitText w:val="85" w:id="-1436265208"/>
                <w14:textFill>
                  <w14:solidFill>
                    <w14:srgbClr w14:val="000000">
                      <w14:alpha w14:val="100000"/>
                    </w14:srgbClr>
                  </w14:solidFill>
                </w14:textFill>
              </w:rPr>
              <w:t xml:space="preserve">　</w:t>
            </w:r>
            <w:r w:rsidR="00EC6944" w:rsidRPr="00EC6944">
              <w:rPr>
                <w:rFonts w:cs="Calibri"/>
                <w:color w:val="000000"/>
                <w:w w:val="19"/>
                <w:szCs w:val="20"/>
                <w:shd w:val="solid" w:color="000000" w:fill="000000"/>
                <w:fitText w:val="85" w:id="-1436265208"/>
                <w14:textFill>
                  <w14:solidFill>
                    <w14:srgbClr w14:val="000000">
                      <w14:alpha w14:val="100000"/>
                    </w14:srgbClr>
                  </w14:solidFill>
                </w14:textFill>
              </w:rPr>
              <w:t>|</w:t>
            </w:r>
            <w:r w:rsidR="00EC6944" w:rsidRPr="00EC6944">
              <w:rPr>
                <w:rFonts w:cs="Calibri" w:hint="eastAsia"/>
                <w:color w:val="000000"/>
                <w:spacing w:val="1"/>
                <w:w w:val="19"/>
                <w:szCs w:val="20"/>
                <w:shd w:val="solid" w:color="000000" w:fill="000000"/>
                <w:fitText w:val="85" w:id="-1436265208"/>
                <w14:textFill>
                  <w14:solidFill>
                    <w14:srgbClr w14:val="000000">
                      <w14:alpha w14:val="100000"/>
                    </w14:srgbClr>
                  </w14:solidFill>
                </w14:textFill>
              </w:rPr>
              <w:t xml:space="preserve">　</w:t>
            </w:r>
            <w:r w:rsidR="00053B18">
              <w:rPr>
                <w:rFonts w:cs="Calibri"/>
                <w:szCs w:val="20"/>
                <w:vertAlign w:val="superscript"/>
              </w:rPr>
              <w:t>4</w:t>
            </w:r>
          </w:p>
        </w:tc>
      </w:tr>
      <w:tr w:rsidR="00540F22" w:rsidRPr="008312ED" w14:paraId="25C785FE" w14:textId="77777777" w:rsidTr="003D711D">
        <w:tc>
          <w:tcPr>
            <w:tcW w:w="5000" w:type="pct"/>
            <w:gridSpan w:val="7"/>
            <w:shd w:val="clear" w:color="auto" w:fill="auto"/>
            <w:vAlign w:val="center"/>
          </w:tcPr>
          <w:p w14:paraId="294DB939" w14:textId="2A3C5FE6" w:rsidR="00540F22" w:rsidRPr="008312ED" w:rsidRDefault="00540F22" w:rsidP="003D711D">
            <w:pPr>
              <w:pStyle w:val="In-tableHeading"/>
              <w:rPr>
                <w:lang w:val="en-AU"/>
              </w:rPr>
            </w:pPr>
            <w:r w:rsidRPr="008312ED">
              <w:rPr>
                <w:lang w:val="en-AU"/>
              </w:rPr>
              <w:t>Net financial implications</w:t>
            </w:r>
            <w:r w:rsidRPr="004B437A">
              <w:rPr>
                <w:lang w:val="en-AU"/>
              </w:rPr>
              <w:t xml:space="preserve"> </w:t>
            </w:r>
            <w:r w:rsidR="004B437A" w:rsidRPr="004B437A">
              <w:t>–</w:t>
            </w:r>
            <w:r w:rsidRPr="008312ED">
              <w:rPr>
                <w:lang w:val="en-AU"/>
              </w:rPr>
              <w:t xml:space="preserve"> Pegvaliase</w:t>
            </w:r>
          </w:p>
        </w:tc>
      </w:tr>
      <w:tr w:rsidR="00540F22" w:rsidRPr="008312ED" w14:paraId="19162C3E" w14:textId="77777777" w:rsidTr="003D711D">
        <w:tc>
          <w:tcPr>
            <w:tcW w:w="1116" w:type="pct"/>
            <w:shd w:val="clear" w:color="auto" w:fill="auto"/>
            <w:vAlign w:val="center"/>
          </w:tcPr>
          <w:p w14:paraId="726C2348" w14:textId="77777777" w:rsidR="00540F22" w:rsidRPr="008312ED" w:rsidRDefault="00540F22" w:rsidP="003D711D">
            <w:pPr>
              <w:pStyle w:val="TableText0"/>
              <w:rPr>
                <w:sz w:val="19"/>
                <w:szCs w:val="19"/>
              </w:rPr>
            </w:pPr>
            <w:r w:rsidRPr="008312ED">
              <w:rPr>
                <w:sz w:val="19"/>
                <w:szCs w:val="19"/>
              </w:rPr>
              <w:t>Net cost to PBS</w:t>
            </w:r>
          </w:p>
        </w:tc>
        <w:tc>
          <w:tcPr>
            <w:tcW w:w="647" w:type="pct"/>
            <w:shd w:val="clear" w:color="auto" w:fill="auto"/>
            <w:vAlign w:val="center"/>
          </w:tcPr>
          <w:p w14:paraId="39928255" w14:textId="2F5BA30A"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07"/>
                <w14:textFill>
                  <w14:solidFill>
                    <w14:srgbClr w14:val="000000">
                      <w14:alpha w14:val="100000"/>
                    </w14:srgbClr>
                  </w14:solidFill>
                </w14:textFill>
              </w:rPr>
              <w:t xml:space="preserve">　</w:t>
            </w:r>
            <w:r w:rsidR="00EC6944" w:rsidRPr="00EC6944">
              <w:rPr>
                <w:color w:val="000000"/>
                <w:w w:val="15"/>
                <w:shd w:val="solid" w:color="000000" w:fill="000000"/>
                <w:fitText w:val="70" w:id="-1436265207"/>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07"/>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449ED66A" w14:textId="21B6C97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6"/>
                <w14:textFill>
                  <w14:solidFill>
                    <w14:srgbClr w14:val="000000">
                      <w14:alpha w14:val="100000"/>
                    </w14:srgbClr>
                  </w14:solidFill>
                </w14:textFill>
              </w:rPr>
              <w:t xml:space="preserve">　</w:t>
            </w:r>
            <w:r w:rsidR="00EC6944" w:rsidRPr="00EC6944">
              <w:rPr>
                <w:color w:val="000000"/>
                <w:w w:val="15"/>
                <w:shd w:val="solid" w:color="000000" w:fill="000000"/>
                <w:fitText w:val="69" w:id="-1436265206"/>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6"/>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1C946AB0" w14:textId="40E941B5"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5"/>
                <w14:textFill>
                  <w14:solidFill>
                    <w14:srgbClr w14:val="000000">
                      <w14:alpha w14:val="100000"/>
                    </w14:srgbClr>
                  </w14:solidFill>
                </w14:textFill>
              </w:rPr>
              <w:t xml:space="preserve">　</w:t>
            </w:r>
            <w:r w:rsidR="00EC6944" w:rsidRPr="00EC6944">
              <w:rPr>
                <w:color w:val="000000"/>
                <w:w w:val="15"/>
                <w:shd w:val="solid" w:color="000000" w:fill="000000"/>
                <w:fitText w:val="69" w:id="-1436265205"/>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5"/>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04CDB509" w14:textId="20F30055"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04"/>
                <w14:textFill>
                  <w14:solidFill>
                    <w14:srgbClr w14:val="000000">
                      <w14:alpha w14:val="100000"/>
                    </w14:srgbClr>
                  </w14:solidFill>
                </w14:textFill>
              </w:rPr>
              <w:t xml:space="preserve">　</w:t>
            </w:r>
            <w:r w:rsidR="00EC6944" w:rsidRPr="00EC6944">
              <w:rPr>
                <w:color w:val="000000"/>
                <w:w w:val="15"/>
                <w:shd w:val="solid" w:color="000000" w:fill="000000"/>
                <w:fitText w:val="70" w:id="-1436265204"/>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04"/>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62A6DE9A" w14:textId="12B0B3B4"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3"/>
                <w14:textFill>
                  <w14:solidFill>
                    <w14:srgbClr w14:val="000000">
                      <w14:alpha w14:val="100000"/>
                    </w14:srgbClr>
                  </w14:solidFill>
                </w14:textFill>
              </w:rPr>
              <w:t xml:space="preserve">　</w:t>
            </w:r>
            <w:r w:rsidR="00EC6944" w:rsidRPr="00EC6944">
              <w:rPr>
                <w:color w:val="000000"/>
                <w:w w:val="15"/>
                <w:shd w:val="solid" w:color="000000" w:fill="000000"/>
                <w:fitText w:val="69" w:id="-1436265203"/>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3"/>
                <w14:textFill>
                  <w14:solidFill>
                    <w14:srgbClr w14:val="000000">
                      <w14:alpha w14:val="100000"/>
                    </w14:srgbClr>
                  </w14:solidFill>
                </w14:textFill>
              </w:rPr>
              <w:t xml:space="preserve">　</w:t>
            </w:r>
            <w:r w:rsidR="00053B18">
              <w:rPr>
                <w:rFonts w:cs="Calibri"/>
                <w:szCs w:val="20"/>
                <w:vertAlign w:val="superscript"/>
              </w:rPr>
              <w:t>5</w:t>
            </w:r>
          </w:p>
        </w:tc>
        <w:tc>
          <w:tcPr>
            <w:tcW w:w="649" w:type="pct"/>
            <w:vAlign w:val="center"/>
          </w:tcPr>
          <w:p w14:paraId="36B6ACF6" w14:textId="12D2162A"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2"/>
                <w14:textFill>
                  <w14:solidFill>
                    <w14:srgbClr w14:val="000000">
                      <w14:alpha w14:val="100000"/>
                    </w14:srgbClr>
                  </w14:solidFill>
                </w14:textFill>
              </w:rPr>
              <w:t xml:space="preserve">　</w:t>
            </w:r>
            <w:r w:rsidR="00EC6944" w:rsidRPr="00EC6944">
              <w:rPr>
                <w:color w:val="000000"/>
                <w:w w:val="15"/>
                <w:shd w:val="solid" w:color="000000" w:fill="000000"/>
                <w:fitText w:val="69" w:id="-1436265202"/>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2"/>
                <w14:textFill>
                  <w14:solidFill>
                    <w14:srgbClr w14:val="000000">
                      <w14:alpha w14:val="100000"/>
                    </w14:srgbClr>
                  </w14:solidFill>
                </w14:textFill>
              </w:rPr>
              <w:t xml:space="preserve">　</w:t>
            </w:r>
            <w:r w:rsidR="00053B18">
              <w:rPr>
                <w:rFonts w:cs="Calibri"/>
                <w:szCs w:val="20"/>
                <w:vertAlign w:val="superscript"/>
              </w:rPr>
              <w:t>5</w:t>
            </w:r>
          </w:p>
        </w:tc>
      </w:tr>
      <w:tr w:rsidR="00540F22" w:rsidRPr="008312ED" w14:paraId="41C57BD7" w14:textId="77777777" w:rsidTr="003D711D">
        <w:tc>
          <w:tcPr>
            <w:tcW w:w="1116" w:type="pct"/>
            <w:shd w:val="clear" w:color="auto" w:fill="auto"/>
            <w:vAlign w:val="center"/>
          </w:tcPr>
          <w:p w14:paraId="02ABF5F5" w14:textId="77777777" w:rsidR="00540F22" w:rsidRPr="008312ED" w:rsidRDefault="00540F22" w:rsidP="003D711D">
            <w:pPr>
              <w:pStyle w:val="TableText0"/>
              <w:rPr>
                <w:rFonts w:ascii="Times" w:hAnsi="Times"/>
              </w:rPr>
            </w:pPr>
            <w:r w:rsidRPr="008312ED">
              <w:rPr>
                <w:sz w:val="19"/>
                <w:szCs w:val="19"/>
              </w:rPr>
              <w:t>Net cost to MBS</w:t>
            </w:r>
          </w:p>
        </w:tc>
        <w:tc>
          <w:tcPr>
            <w:tcW w:w="647" w:type="pct"/>
            <w:shd w:val="clear" w:color="auto" w:fill="auto"/>
          </w:tcPr>
          <w:p w14:paraId="1A076AA8" w14:textId="7EB70710"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01"/>
                <w14:textFill>
                  <w14:solidFill>
                    <w14:srgbClr w14:val="000000">
                      <w14:alpha w14:val="100000"/>
                    </w14:srgbClr>
                  </w14:solidFill>
                </w14:textFill>
              </w:rPr>
              <w:t xml:space="preserve">　</w:t>
            </w:r>
            <w:r w:rsidR="00EC6944" w:rsidRPr="00EC6944">
              <w:rPr>
                <w:color w:val="000000"/>
                <w:w w:val="15"/>
                <w:shd w:val="solid" w:color="000000" w:fill="000000"/>
                <w:fitText w:val="70" w:id="-1436265201"/>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01"/>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tcPr>
          <w:p w14:paraId="299380C8" w14:textId="4E6699B5"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0"/>
                <w14:textFill>
                  <w14:solidFill>
                    <w14:srgbClr w14:val="000000">
                      <w14:alpha w14:val="100000"/>
                    </w14:srgbClr>
                  </w14:solidFill>
                </w14:textFill>
              </w:rPr>
              <w:t xml:space="preserve">　</w:t>
            </w:r>
            <w:r w:rsidR="00EC6944" w:rsidRPr="00EC6944">
              <w:rPr>
                <w:color w:val="000000"/>
                <w:w w:val="15"/>
                <w:shd w:val="solid" w:color="000000" w:fill="000000"/>
                <w:fitText w:val="69" w:id="-1436265200"/>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0"/>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tcPr>
          <w:p w14:paraId="1AC049A8" w14:textId="2868907D"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16"/>
                <w14:textFill>
                  <w14:solidFill>
                    <w14:srgbClr w14:val="000000">
                      <w14:alpha w14:val="100000"/>
                    </w14:srgbClr>
                  </w14:solidFill>
                </w14:textFill>
              </w:rPr>
              <w:t xml:space="preserve">　</w:t>
            </w:r>
            <w:r w:rsidR="00EC6944" w:rsidRPr="00EC6944">
              <w:rPr>
                <w:color w:val="000000"/>
                <w:w w:val="15"/>
                <w:shd w:val="solid" w:color="000000" w:fill="000000"/>
                <w:fitText w:val="69" w:id="-1436265216"/>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16"/>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tcPr>
          <w:p w14:paraId="5DD67311" w14:textId="46AD4CDD"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15"/>
                <w14:textFill>
                  <w14:solidFill>
                    <w14:srgbClr w14:val="000000">
                      <w14:alpha w14:val="100000"/>
                    </w14:srgbClr>
                  </w14:solidFill>
                </w14:textFill>
              </w:rPr>
              <w:t xml:space="preserve">　</w:t>
            </w:r>
            <w:r w:rsidR="00EC6944" w:rsidRPr="00EC6944">
              <w:rPr>
                <w:color w:val="000000"/>
                <w:w w:val="15"/>
                <w:shd w:val="solid" w:color="000000" w:fill="000000"/>
                <w:fitText w:val="70" w:id="-1436265215"/>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15"/>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tcPr>
          <w:p w14:paraId="0709467F" w14:textId="4030710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14"/>
                <w14:textFill>
                  <w14:solidFill>
                    <w14:srgbClr w14:val="000000">
                      <w14:alpha w14:val="100000"/>
                    </w14:srgbClr>
                  </w14:solidFill>
                </w14:textFill>
              </w:rPr>
              <w:t xml:space="preserve">　</w:t>
            </w:r>
            <w:r w:rsidR="00EC6944" w:rsidRPr="00EC6944">
              <w:rPr>
                <w:color w:val="000000"/>
                <w:w w:val="15"/>
                <w:shd w:val="solid" w:color="000000" w:fill="000000"/>
                <w:fitText w:val="69" w:id="-1436265214"/>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14"/>
                <w14:textFill>
                  <w14:solidFill>
                    <w14:srgbClr w14:val="000000">
                      <w14:alpha w14:val="100000"/>
                    </w14:srgbClr>
                  </w14:solidFill>
                </w14:textFill>
              </w:rPr>
              <w:t xml:space="preserve">　</w:t>
            </w:r>
            <w:r w:rsidR="00053B18">
              <w:rPr>
                <w:rFonts w:cs="Calibri"/>
                <w:szCs w:val="20"/>
                <w:vertAlign w:val="superscript"/>
              </w:rPr>
              <w:t>4</w:t>
            </w:r>
          </w:p>
        </w:tc>
        <w:tc>
          <w:tcPr>
            <w:tcW w:w="649" w:type="pct"/>
          </w:tcPr>
          <w:p w14:paraId="09E21828" w14:textId="022BDBA1"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13"/>
                <w14:textFill>
                  <w14:solidFill>
                    <w14:srgbClr w14:val="000000">
                      <w14:alpha w14:val="100000"/>
                    </w14:srgbClr>
                  </w14:solidFill>
                </w14:textFill>
              </w:rPr>
              <w:t xml:space="preserve">　</w:t>
            </w:r>
            <w:r w:rsidR="00EC6944" w:rsidRPr="00EC6944">
              <w:rPr>
                <w:color w:val="000000"/>
                <w:w w:val="15"/>
                <w:shd w:val="solid" w:color="000000" w:fill="000000"/>
                <w:fitText w:val="69" w:id="-1436265213"/>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13"/>
                <w14:textFill>
                  <w14:solidFill>
                    <w14:srgbClr w14:val="000000">
                      <w14:alpha w14:val="100000"/>
                    </w14:srgbClr>
                  </w14:solidFill>
                </w14:textFill>
              </w:rPr>
              <w:t xml:space="preserve">　</w:t>
            </w:r>
            <w:r w:rsidR="00053B18">
              <w:rPr>
                <w:rFonts w:cs="Calibri"/>
                <w:szCs w:val="20"/>
                <w:vertAlign w:val="superscript"/>
              </w:rPr>
              <w:t>4</w:t>
            </w:r>
          </w:p>
        </w:tc>
      </w:tr>
      <w:tr w:rsidR="00540F22" w:rsidRPr="008312ED" w14:paraId="1BB3C391" w14:textId="77777777" w:rsidTr="003D711D">
        <w:tc>
          <w:tcPr>
            <w:tcW w:w="1116" w:type="pct"/>
            <w:shd w:val="clear" w:color="auto" w:fill="auto"/>
            <w:vAlign w:val="center"/>
          </w:tcPr>
          <w:p w14:paraId="502CC19E" w14:textId="77777777" w:rsidR="00540F22" w:rsidRPr="008312ED" w:rsidRDefault="00540F22" w:rsidP="003D711D">
            <w:pPr>
              <w:pStyle w:val="TableText0"/>
              <w:rPr>
                <w:sz w:val="19"/>
                <w:szCs w:val="19"/>
              </w:rPr>
            </w:pPr>
            <w:r w:rsidRPr="008312ED">
              <w:rPr>
                <w:sz w:val="19"/>
                <w:szCs w:val="19"/>
              </w:rPr>
              <w:t>Net cost to Government</w:t>
            </w:r>
          </w:p>
        </w:tc>
        <w:tc>
          <w:tcPr>
            <w:tcW w:w="647" w:type="pct"/>
            <w:shd w:val="clear" w:color="auto" w:fill="auto"/>
            <w:vAlign w:val="center"/>
          </w:tcPr>
          <w:p w14:paraId="600CB46C" w14:textId="7FFD667C"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12"/>
                <w14:textFill>
                  <w14:solidFill>
                    <w14:srgbClr w14:val="000000">
                      <w14:alpha w14:val="100000"/>
                    </w14:srgbClr>
                  </w14:solidFill>
                </w14:textFill>
              </w:rPr>
              <w:t xml:space="preserve">　</w:t>
            </w:r>
            <w:r w:rsidR="00EC6944" w:rsidRPr="00EC6944">
              <w:rPr>
                <w:color w:val="000000"/>
                <w:w w:val="15"/>
                <w:shd w:val="solid" w:color="000000" w:fill="000000"/>
                <w:fitText w:val="70" w:id="-1436265212"/>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12"/>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62726DE5" w14:textId="3C7B9A98"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11"/>
                <w14:textFill>
                  <w14:solidFill>
                    <w14:srgbClr w14:val="000000">
                      <w14:alpha w14:val="100000"/>
                    </w14:srgbClr>
                  </w14:solidFill>
                </w14:textFill>
              </w:rPr>
              <w:t xml:space="preserve">　</w:t>
            </w:r>
            <w:r w:rsidR="00EC6944" w:rsidRPr="00EC6944">
              <w:rPr>
                <w:color w:val="000000"/>
                <w:w w:val="15"/>
                <w:shd w:val="solid" w:color="000000" w:fill="000000"/>
                <w:fitText w:val="69" w:id="-1436265211"/>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11"/>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5AEEE226" w14:textId="2FE8536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10"/>
                <w14:textFill>
                  <w14:solidFill>
                    <w14:srgbClr w14:val="000000">
                      <w14:alpha w14:val="100000"/>
                    </w14:srgbClr>
                  </w14:solidFill>
                </w14:textFill>
              </w:rPr>
              <w:t xml:space="preserve">　</w:t>
            </w:r>
            <w:r w:rsidR="00EC6944" w:rsidRPr="00EC6944">
              <w:rPr>
                <w:color w:val="000000"/>
                <w:w w:val="15"/>
                <w:shd w:val="solid" w:color="000000" w:fill="000000"/>
                <w:fitText w:val="69" w:id="-1436265210"/>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10"/>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1966C497" w14:textId="58326752"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5209"/>
                <w14:textFill>
                  <w14:solidFill>
                    <w14:srgbClr w14:val="000000">
                      <w14:alpha w14:val="100000"/>
                    </w14:srgbClr>
                  </w14:solidFill>
                </w14:textFill>
              </w:rPr>
              <w:t xml:space="preserve">　</w:t>
            </w:r>
            <w:r w:rsidR="00EC6944" w:rsidRPr="00EC6944">
              <w:rPr>
                <w:color w:val="000000"/>
                <w:w w:val="15"/>
                <w:shd w:val="solid" w:color="000000" w:fill="000000"/>
                <w:fitText w:val="70" w:id="-1436265209"/>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5209"/>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1690A734" w14:textId="2651C485"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8"/>
                <w14:textFill>
                  <w14:solidFill>
                    <w14:srgbClr w14:val="000000">
                      <w14:alpha w14:val="100000"/>
                    </w14:srgbClr>
                  </w14:solidFill>
                </w14:textFill>
              </w:rPr>
              <w:t xml:space="preserve">　</w:t>
            </w:r>
            <w:r w:rsidR="00EC6944" w:rsidRPr="00EC6944">
              <w:rPr>
                <w:color w:val="000000"/>
                <w:w w:val="15"/>
                <w:shd w:val="solid" w:color="000000" w:fill="000000"/>
                <w:fitText w:val="69" w:id="-1436265208"/>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8"/>
                <w14:textFill>
                  <w14:solidFill>
                    <w14:srgbClr w14:val="000000">
                      <w14:alpha w14:val="100000"/>
                    </w14:srgbClr>
                  </w14:solidFill>
                </w14:textFill>
              </w:rPr>
              <w:t xml:space="preserve">　</w:t>
            </w:r>
            <w:r w:rsidR="00053B18">
              <w:rPr>
                <w:rFonts w:cs="Calibri"/>
                <w:szCs w:val="20"/>
                <w:vertAlign w:val="superscript"/>
              </w:rPr>
              <w:t>5</w:t>
            </w:r>
          </w:p>
        </w:tc>
        <w:tc>
          <w:tcPr>
            <w:tcW w:w="649" w:type="pct"/>
            <w:vAlign w:val="center"/>
          </w:tcPr>
          <w:p w14:paraId="466B4145" w14:textId="42B5173E"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5207"/>
                <w14:textFill>
                  <w14:solidFill>
                    <w14:srgbClr w14:val="000000">
                      <w14:alpha w14:val="100000"/>
                    </w14:srgbClr>
                  </w14:solidFill>
                </w14:textFill>
              </w:rPr>
              <w:t xml:space="preserve">　</w:t>
            </w:r>
            <w:r w:rsidR="00EC6944" w:rsidRPr="00EC6944">
              <w:rPr>
                <w:color w:val="000000"/>
                <w:w w:val="15"/>
                <w:shd w:val="solid" w:color="000000" w:fill="000000"/>
                <w:fitText w:val="69" w:id="-1436265207"/>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5207"/>
                <w14:textFill>
                  <w14:solidFill>
                    <w14:srgbClr w14:val="000000">
                      <w14:alpha w14:val="100000"/>
                    </w14:srgbClr>
                  </w14:solidFill>
                </w14:textFill>
              </w:rPr>
              <w:t xml:space="preserve">　</w:t>
            </w:r>
            <w:r w:rsidR="00053B18">
              <w:rPr>
                <w:rFonts w:cs="Calibri"/>
                <w:szCs w:val="20"/>
                <w:vertAlign w:val="superscript"/>
              </w:rPr>
              <w:t>5</w:t>
            </w:r>
          </w:p>
        </w:tc>
      </w:tr>
      <w:tr w:rsidR="00540F22" w:rsidRPr="008312ED" w14:paraId="0B286B1F" w14:textId="77777777" w:rsidTr="003D711D">
        <w:tc>
          <w:tcPr>
            <w:tcW w:w="5000" w:type="pct"/>
            <w:gridSpan w:val="7"/>
            <w:shd w:val="clear" w:color="auto" w:fill="auto"/>
            <w:vAlign w:val="center"/>
          </w:tcPr>
          <w:p w14:paraId="5A6260CC" w14:textId="77777777" w:rsidR="00540F22" w:rsidRPr="008312ED" w:rsidRDefault="00540F22" w:rsidP="003D711D">
            <w:pPr>
              <w:pStyle w:val="TableText0"/>
              <w:rPr>
                <w:b/>
                <w:bCs w:val="0"/>
              </w:rPr>
            </w:pPr>
            <w:r w:rsidRPr="008312ED">
              <w:rPr>
                <w:b/>
                <w:bCs w:val="0"/>
              </w:rPr>
              <w:t xml:space="preserve">Net financial implications – Sapropterin </w:t>
            </w:r>
          </w:p>
        </w:tc>
      </w:tr>
      <w:tr w:rsidR="00540F22" w:rsidRPr="008312ED" w14:paraId="3A74CFED" w14:textId="77777777" w:rsidTr="003D711D">
        <w:tc>
          <w:tcPr>
            <w:tcW w:w="1116" w:type="pct"/>
            <w:shd w:val="clear" w:color="auto" w:fill="auto"/>
            <w:vAlign w:val="center"/>
          </w:tcPr>
          <w:p w14:paraId="28A24527" w14:textId="77777777" w:rsidR="00540F22" w:rsidRPr="008312ED" w:rsidRDefault="00540F22" w:rsidP="003D711D">
            <w:pPr>
              <w:pStyle w:val="TableText0"/>
              <w:rPr>
                <w:sz w:val="19"/>
                <w:szCs w:val="19"/>
              </w:rPr>
            </w:pPr>
            <w:r w:rsidRPr="008312ED">
              <w:rPr>
                <w:szCs w:val="20"/>
              </w:rPr>
              <w:t>Net cost to Government without RSA</w:t>
            </w:r>
          </w:p>
        </w:tc>
        <w:tc>
          <w:tcPr>
            <w:tcW w:w="647" w:type="pct"/>
            <w:shd w:val="clear" w:color="auto" w:fill="auto"/>
            <w:vAlign w:val="center"/>
          </w:tcPr>
          <w:p w14:paraId="7443A82E" w14:textId="583BD6B4"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70" w:id="-1436265206"/>
                <w14:textFill>
                  <w14:solidFill>
                    <w14:srgbClr w14:val="000000">
                      <w14:alpha w14:val="100000"/>
                    </w14:srgbClr>
                  </w14:solidFill>
                </w14:textFill>
              </w:rPr>
              <w:t xml:space="preserve">　</w:t>
            </w:r>
            <w:r w:rsidR="00EC6944" w:rsidRPr="00EC6944">
              <w:rPr>
                <w:color w:val="000000"/>
                <w:w w:val="15"/>
                <w:szCs w:val="20"/>
                <w:shd w:val="solid" w:color="000000" w:fill="000000"/>
                <w:fitText w:val="70" w:id="-1436265206"/>
                <w14:textFill>
                  <w14:solidFill>
                    <w14:srgbClr w14:val="000000">
                      <w14:alpha w14:val="100000"/>
                    </w14:srgbClr>
                  </w14:solidFill>
                </w14:textFill>
              </w:rPr>
              <w:t>|</w:t>
            </w:r>
            <w:r w:rsidR="00EC6944" w:rsidRPr="00EC6944">
              <w:rPr>
                <w:rFonts w:hint="eastAsia"/>
                <w:color w:val="000000"/>
                <w:spacing w:val="4"/>
                <w:w w:val="15"/>
                <w:szCs w:val="20"/>
                <w:shd w:val="solid" w:color="000000" w:fill="000000"/>
                <w:fitText w:val="70" w:id="-1436265206"/>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6297E3B2" w14:textId="6B7A9FF3"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05"/>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05"/>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05"/>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78070E95" w14:textId="349F7EF9"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04"/>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04"/>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04"/>
                <w14:textFill>
                  <w14:solidFill>
                    <w14:srgbClr w14:val="000000">
                      <w14:alpha w14:val="100000"/>
                    </w14:srgbClr>
                  </w14:solidFill>
                </w14:textFill>
              </w:rPr>
              <w:t xml:space="preserve">　</w:t>
            </w:r>
            <w:r w:rsidR="00053B18">
              <w:rPr>
                <w:rFonts w:cs="Calibri"/>
                <w:szCs w:val="20"/>
                <w:vertAlign w:val="superscript"/>
              </w:rPr>
              <w:t>6</w:t>
            </w:r>
          </w:p>
        </w:tc>
        <w:tc>
          <w:tcPr>
            <w:tcW w:w="647" w:type="pct"/>
            <w:shd w:val="clear" w:color="auto" w:fill="auto"/>
            <w:vAlign w:val="center"/>
          </w:tcPr>
          <w:p w14:paraId="41C7720D" w14:textId="5EC5DD3A"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70" w:id="-1436265203"/>
                <w14:textFill>
                  <w14:solidFill>
                    <w14:srgbClr w14:val="000000">
                      <w14:alpha w14:val="100000"/>
                    </w14:srgbClr>
                  </w14:solidFill>
                </w14:textFill>
              </w:rPr>
              <w:t xml:space="preserve">　</w:t>
            </w:r>
            <w:r w:rsidR="00EC6944" w:rsidRPr="00EC6944">
              <w:rPr>
                <w:color w:val="000000"/>
                <w:w w:val="15"/>
                <w:szCs w:val="20"/>
                <w:shd w:val="solid" w:color="000000" w:fill="000000"/>
                <w:fitText w:val="70" w:id="-1436265203"/>
                <w14:textFill>
                  <w14:solidFill>
                    <w14:srgbClr w14:val="000000">
                      <w14:alpha w14:val="100000"/>
                    </w14:srgbClr>
                  </w14:solidFill>
                </w14:textFill>
              </w:rPr>
              <w:t>|</w:t>
            </w:r>
            <w:r w:rsidR="00EC6944" w:rsidRPr="00EC6944">
              <w:rPr>
                <w:rFonts w:hint="eastAsia"/>
                <w:color w:val="000000"/>
                <w:spacing w:val="4"/>
                <w:w w:val="15"/>
                <w:szCs w:val="20"/>
                <w:shd w:val="solid" w:color="000000" w:fill="000000"/>
                <w:fitText w:val="70" w:id="-1436265203"/>
                <w14:textFill>
                  <w14:solidFill>
                    <w14:srgbClr w14:val="000000">
                      <w14:alpha w14:val="100000"/>
                    </w14:srgbClr>
                  </w14:solidFill>
                </w14:textFill>
              </w:rPr>
              <w:t xml:space="preserve">　</w:t>
            </w:r>
            <w:r w:rsidR="00053B18">
              <w:rPr>
                <w:rFonts w:cs="Calibri"/>
                <w:szCs w:val="20"/>
                <w:vertAlign w:val="superscript"/>
              </w:rPr>
              <w:t>6</w:t>
            </w:r>
          </w:p>
        </w:tc>
        <w:tc>
          <w:tcPr>
            <w:tcW w:w="647" w:type="pct"/>
            <w:shd w:val="clear" w:color="auto" w:fill="auto"/>
            <w:vAlign w:val="center"/>
          </w:tcPr>
          <w:p w14:paraId="1B6F2362" w14:textId="5A661216"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02"/>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02"/>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02"/>
                <w14:textFill>
                  <w14:solidFill>
                    <w14:srgbClr w14:val="000000">
                      <w14:alpha w14:val="100000"/>
                    </w14:srgbClr>
                  </w14:solidFill>
                </w14:textFill>
              </w:rPr>
              <w:t xml:space="preserve">　</w:t>
            </w:r>
            <w:r w:rsidR="00053B18">
              <w:rPr>
                <w:rFonts w:cs="Calibri"/>
                <w:szCs w:val="20"/>
                <w:vertAlign w:val="superscript"/>
              </w:rPr>
              <w:t>6</w:t>
            </w:r>
          </w:p>
        </w:tc>
        <w:tc>
          <w:tcPr>
            <w:tcW w:w="649" w:type="pct"/>
            <w:vAlign w:val="center"/>
          </w:tcPr>
          <w:p w14:paraId="11AD2518" w14:textId="198D3D7F"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01"/>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01"/>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01"/>
                <w14:textFill>
                  <w14:solidFill>
                    <w14:srgbClr w14:val="000000">
                      <w14:alpha w14:val="100000"/>
                    </w14:srgbClr>
                  </w14:solidFill>
                </w14:textFill>
              </w:rPr>
              <w:t xml:space="preserve">　</w:t>
            </w:r>
            <w:r w:rsidR="00053B18">
              <w:rPr>
                <w:rFonts w:cs="Calibri"/>
                <w:szCs w:val="20"/>
                <w:vertAlign w:val="superscript"/>
              </w:rPr>
              <w:t>6</w:t>
            </w:r>
          </w:p>
        </w:tc>
      </w:tr>
      <w:tr w:rsidR="00540F22" w:rsidRPr="008312ED" w14:paraId="50325A53" w14:textId="77777777" w:rsidTr="003D711D">
        <w:tc>
          <w:tcPr>
            <w:tcW w:w="1116" w:type="pct"/>
            <w:shd w:val="clear" w:color="auto" w:fill="auto"/>
            <w:vAlign w:val="center"/>
          </w:tcPr>
          <w:p w14:paraId="2E599881" w14:textId="77777777" w:rsidR="00540F22" w:rsidRPr="008312ED" w:rsidRDefault="00540F22" w:rsidP="003D711D">
            <w:pPr>
              <w:pStyle w:val="TableText0"/>
              <w:rPr>
                <w:sz w:val="19"/>
                <w:szCs w:val="19"/>
              </w:rPr>
            </w:pPr>
            <w:r w:rsidRPr="008312ED">
              <w:rPr>
                <w:szCs w:val="20"/>
              </w:rPr>
              <w:t>Net cost to Government with RSA</w:t>
            </w:r>
          </w:p>
        </w:tc>
        <w:tc>
          <w:tcPr>
            <w:tcW w:w="647" w:type="pct"/>
            <w:shd w:val="clear" w:color="auto" w:fill="auto"/>
            <w:vAlign w:val="center"/>
          </w:tcPr>
          <w:p w14:paraId="3E3C6BCC" w14:textId="53BB1B2C"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70" w:id="-1436265200"/>
                <w14:textFill>
                  <w14:solidFill>
                    <w14:srgbClr w14:val="000000">
                      <w14:alpha w14:val="100000"/>
                    </w14:srgbClr>
                  </w14:solidFill>
                </w14:textFill>
              </w:rPr>
              <w:t xml:space="preserve">　</w:t>
            </w:r>
            <w:r w:rsidR="00EC6944" w:rsidRPr="00EC6944">
              <w:rPr>
                <w:color w:val="000000"/>
                <w:w w:val="15"/>
                <w:szCs w:val="20"/>
                <w:shd w:val="solid" w:color="000000" w:fill="000000"/>
                <w:fitText w:val="70" w:id="-1436265200"/>
                <w14:textFill>
                  <w14:solidFill>
                    <w14:srgbClr w14:val="000000">
                      <w14:alpha w14:val="100000"/>
                    </w14:srgbClr>
                  </w14:solidFill>
                </w14:textFill>
              </w:rPr>
              <w:t>|</w:t>
            </w:r>
            <w:r w:rsidR="00EC6944" w:rsidRPr="00EC6944">
              <w:rPr>
                <w:rFonts w:hint="eastAsia"/>
                <w:color w:val="000000"/>
                <w:spacing w:val="4"/>
                <w:w w:val="15"/>
                <w:szCs w:val="20"/>
                <w:shd w:val="solid" w:color="000000" w:fill="000000"/>
                <w:fitText w:val="70" w:id="-1436265200"/>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2F005045" w14:textId="324EA007"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16"/>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16"/>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16"/>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3A1434C5" w14:textId="05170E5F"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5215"/>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5215"/>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5215"/>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34392AE8" w14:textId="2E7CB3CA"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70" w:id="-1436264960"/>
                <w14:textFill>
                  <w14:solidFill>
                    <w14:srgbClr w14:val="000000">
                      <w14:alpha w14:val="100000"/>
                    </w14:srgbClr>
                  </w14:solidFill>
                </w14:textFill>
              </w:rPr>
              <w:t xml:space="preserve">　</w:t>
            </w:r>
            <w:r w:rsidR="00EC6944" w:rsidRPr="00EC6944">
              <w:rPr>
                <w:color w:val="000000"/>
                <w:w w:val="15"/>
                <w:szCs w:val="20"/>
                <w:shd w:val="solid" w:color="000000" w:fill="000000"/>
                <w:fitText w:val="70" w:id="-1436264960"/>
                <w14:textFill>
                  <w14:solidFill>
                    <w14:srgbClr w14:val="000000">
                      <w14:alpha w14:val="100000"/>
                    </w14:srgbClr>
                  </w14:solidFill>
                </w14:textFill>
              </w:rPr>
              <w:t>|</w:t>
            </w:r>
            <w:r w:rsidR="00EC6944" w:rsidRPr="00EC6944">
              <w:rPr>
                <w:rFonts w:hint="eastAsia"/>
                <w:color w:val="000000"/>
                <w:spacing w:val="4"/>
                <w:w w:val="15"/>
                <w:szCs w:val="20"/>
                <w:shd w:val="solid" w:color="000000" w:fill="000000"/>
                <w:fitText w:val="70" w:id="-1436264960"/>
                <w14:textFill>
                  <w14:solidFill>
                    <w14:srgbClr w14:val="000000">
                      <w14:alpha w14:val="100000"/>
                    </w14:srgbClr>
                  </w14:solidFill>
                </w14:textFill>
              </w:rPr>
              <w:t xml:space="preserve">　</w:t>
            </w:r>
            <w:r w:rsidR="00053B18">
              <w:rPr>
                <w:rFonts w:cs="Calibri"/>
                <w:szCs w:val="20"/>
                <w:vertAlign w:val="superscript"/>
              </w:rPr>
              <w:t>4</w:t>
            </w:r>
          </w:p>
        </w:tc>
        <w:tc>
          <w:tcPr>
            <w:tcW w:w="647" w:type="pct"/>
            <w:shd w:val="clear" w:color="auto" w:fill="auto"/>
            <w:vAlign w:val="center"/>
          </w:tcPr>
          <w:p w14:paraId="102FC8BF" w14:textId="54D01AD8"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4959"/>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4959"/>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4959"/>
                <w14:textFill>
                  <w14:solidFill>
                    <w14:srgbClr w14:val="000000">
                      <w14:alpha w14:val="100000"/>
                    </w14:srgbClr>
                  </w14:solidFill>
                </w14:textFill>
              </w:rPr>
              <w:t xml:space="preserve">　</w:t>
            </w:r>
            <w:r w:rsidR="00053B18">
              <w:rPr>
                <w:rFonts w:cs="Calibri"/>
                <w:szCs w:val="20"/>
                <w:vertAlign w:val="superscript"/>
              </w:rPr>
              <w:t>4</w:t>
            </w:r>
          </w:p>
        </w:tc>
        <w:tc>
          <w:tcPr>
            <w:tcW w:w="649" w:type="pct"/>
            <w:vAlign w:val="center"/>
          </w:tcPr>
          <w:p w14:paraId="1434FF49" w14:textId="56418F80" w:rsidR="00540F22" w:rsidRPr="008312ED" w:rsidRDefault="00540F22" w:rsidP="003D711D">
            <w:pPr>
              <w:pStyle w:val="TableText0"/>
              <w:jc w:val="center"/>
            </w:pPr>
            <w:r w:rsidRPr="008312ED">
              <w:rPr>
                <w:szCs w:val="20"/>
              </w:rPr>
              <w:t>$</w:t>
            </w:r>
            <w:r w:rsidR="00EC6944" w:rsidRPr="00EC6944">
              <w:rPr>
                <w:rFonts w:hint="eastAsia"/>
                <w:color w:val="000000"/>
                <w:w w:val="15"/>
                <w:szCs w:val="20"/>
                <w:shd w:val="solid" w:color="000000" w:fill="000000"/>
                <w:fitText w:val="69" w:id="-1436264958"/>
                <w14:textFill>
                  <w14:solidFill>
                    <w14:srgbClr w14:val="000000">
                      <w14:alpha w14:val="100000"/>
                    </w14:srgbClr>
                  </w14:solidFill>
                </w14:textFill>
              </w:rPr>
              <w:t xml:space="preserve">　</w:t>
            </w:r>
            <w:r w:rsidR="00EC6944" w:rsidRPr="00EC6944">
              <w:rPr>
                <w:color w:val="000000"/>
                <w:w w:val="15"/>
                <w:szCs w:val="20"/>
                <w:shd w:val="solid" w:color="000000" w:fill="000000"/>
                <w:fitText w:val="69" w:id="-1436264958"/>
                <w14:textFill>
                  <w14:solidFill>
                    <w14:srgbClr w14:val="000000">
                      <w14:alpha w14:val="100000"/>
                    </w14:srgbClr>
                  </w14:solidFill>
                </w14:textFill>
              </w:rPr>
              <w:t>|</w:t>
            </w:r>
            <w:r w:rsidR="00EC6944" w:rsidRPr="00EC6944">
              <w:rPr>
                <w:rFonts w:hint="eastAsia"/>
                <w:color w:val="000000"/>
                <w:spacing w:val="3"/>
                <w:w w:val="15"/>
                <w:szCs w:val="20"/>
                <w:shd w:val="solid" w:color="000000" w:fill="000000"/>
                <w:fitText w:val="69" w:id="-1436264958"/>
                <w14:textFill>
                  <w14:solidFill>
                    <w14:srgbClr w14:val="000000">
                      <w14:alpha w14:val="100000"/>
                    </w14:srgbClr>
                  </w14:solidFill>
                </w14:textFill>
              </w:rPr>
              <w:t xml:space="preserve">　</w:t>
            </w:r>
            <w:r w:rsidR="00053B18">
              <w:rPr>
                <w:rFonts w:cs="Calibri"/>
                <w:szCs w:val="20"/>
                <w:vertAlign w:val="superscript"/>
              </w:rPr>
              <w:t>6</w:t>
            </w:r>
          </w:p>
        </w:tc>
      </w:tr>
      <w:tr w:rsidR="00540F22" w:rsidRPr="008312ED" w14:paraId="01F045E2" w14:textId="77777777" w:rsidTr="003D711D">
        <w:tc>
          <w:tcPr>
            <w:tcW w:w="5000" w:type="pct"/>
            <w:gridSpan w:val="7"/>
            <w:shd w:val="clear" w:color="auto" w:fill="auto"/>
            <w:vAlign w:val="center"/>
          </w:tcPr>
          <w:p w14:paraId="36C014F2" w14:textId="77777777" w:rsidR="00540F22" w:rsidRPr="008312ED" w:rsidRDefault="00540F22" w:rsidP="003D711D">
            <w:pPr>
              <w:pStyle w:val="TableText0"/>
              <w:rPr>
                <w:b/>
                <w:bCs w:val="0"/>
              </w:rPr>
            </w:pPr>
            <w:r w:rsidRPr="008312ED">
              <w:rPr>
                <w:b/>
                <w:bCs w:val="0"/>
              </w:rPr>
              <w:t xml:space="preserve">Net financial implications – Pegvaliase plus sapropterin </w:t>
            </w:r>
          </w:p>
        </w:tc>
      </w:tr>
      <w:tr w:rsidR="00540F22" w:rsidRPr="008312ED" w14:paraId="344F7096" w14:textId="77777777" w:rsidTr="003D711D">
        <w:tc>
          <w:tcPr>
            <w:tcW w:w="1116" w:type="pct"/>
            <w:shd w:val="clear" w:color="auto" w:fill="auto"/>
            <w:vAlign w:val="center"/>
          </w:tcPr>
          <w:p w14:paraId="79B5AAE4" w14:textId="77777777" w:rsidR="00540F22" w:rsidRPr="008312ED" w:rsidRDefault="00540F22" w:rsidP="003D711D">
            <w:pPr>
              <w:pStyle w:val="TableText0"/>
              <w:rPr>
                <w:sz w:val="19"/>
                <w:szCs w:val="19"/>
              </w:rPr>
            </w:pPr>
            <w:r w:rsidRPr="008312ED">
              <w:rPr>
                <w:szCs w:val="20"/>
              </w:rPr>
              <w:t>Net cost to Government without sapropterin RSA</w:t>
            </w:r>
          </w:p>
        </w:tc>
        <w:tc>
          <w:tcPr>
            <w:tcW w:w="647" w:type="pct"/>
            <w:shd w:val="clear" w:color="auto" w:fill="auto"/>
            <w:vAlign w:val="center"/>
          </w:tcPr>
          <w:p w14:paraId="4969EB16" w14:textId="3FC58AB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4957"/>
                <w14:textFill>
                  <w14:solidFill>
                    <w14:srgbClr w14:val="000000">
                      <w14:alpha w14:val="100000"/>
                    </w14:srgbClr>
                  </w14:solidFill>
                </w14:textFill>
              </w:rPr>
              <w:t xml:space="preserve">　</w:t>
            </w:r>
            <w:r w:rsidR="00EC6944" w:rsidRPr="00EC6944">
              <w:rPr>
                <w:color w:val="000000"/>
                <w:w w:val="15"/>
                <w:shd w:val="solid" w:color="000000" w:fill="000000"/>
                <w:fitText w:val="70" w:id="-1436264957"/>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4957"/>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7F6C77F1" w14:textId="4A1B7F00"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56"/>
                <w14:textFill>
                  <w14:solidFill>
                    <w14:srgbClr w14:val="000000">
                      <w14:alpha w14:val="100000"/>
                    </w14:srgbClr>
                  </w14:solidFill>
                </w14:textFill>
              </w:rPr>
              <w:t xml:space="preserve">　</w:t>
            </w:r>
            <w:r w:rsidR="00EC6944" w:rsidRPr="00EC6944">
              <w:rPr>
                <w:color w:val="000000"/>
                <w:w w:val="15"/>
                <w:shd w:val="solid" w:color="000000" w:fill="000000"/>
                <w:fitText w:val="69" w:id="-1436264956"/>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56"/>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7F42474B" w14:textId="60AA62DC"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55"/>
                <w14:textFill>
                  <w14:solidFill>
                    <w14:srgbClr w14:val="000000">
                      <w14:alpha w14:val="100000"/>
                    </w14:srgbClr>
                  </w14:solidFill>
                </w14:textFill>
              </w:rPr>
              <w:t xml:space="preserve">　</w:t>
            </w:r>
            <w:r w:rsidR="00EC6944" w:rsidRPr="00EC6944">
              <w:rPr>
                <w:color w:val="000000"/>
                <w:w w:val="15"/>
                <w:shd w:val="solid" w:color="000000" w:fill="000000"/>
                <w:fitText w:val="69" w:id="-1436264955"/>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55"/>
                <w14:textFill>
                  <w14:solidFill>
                    <w14:srgbClr w14:val="000000">
                      <w14:alpha w14:val="100000"/>
                    </w14:srgbClr>
                  </w14:solidFill>
                </w14:textFill>
              </w:rPr>
              <w:t xml:space="preserve">　</w:t>
            </w:r>
            <w:r w:rsidR="00053B18">
              <w:rPr>
                <w:rFonts w:cs="Calibri"/>
                <w:szCs w:val="20"/>
                <w:vertAlign w:val="superscript"/>
              </w:rPr>
              <w:t>7</w:t>
            </w:r>
          </w:p>
        </w:tc>
        <w:tc>
          <w:tcPr>
            <w:tcW w:w="647" w:type="pct"/>
            <w:shd w:val="clear" w:color="auto" w:fill="auto"/>
            <w:vAlign w:val="center"/>
          </w:tcPr>
          <w:p w14:paraId="2CB5F412" w14:textId="3283EBD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4954"/>
                <w14:textFill>
                  <w14:solidFill>
                    <w14:srgbClr w14:val="000000">
                      <w14:alpha w14:val="100000"/>
                    </w14:srgbClr>
                  </w14:solidFill>
                </w14:textFill>
              </w:rPr>
              <w:t xml:space="preserve">　</w:t>
            </w:r>
            <w:r w:rsidR="00EC6944" w:rsidRPr="00EC6944">
              <w:rPr>
                <w:color w:val="000000"/>
                <w:w w:val="15"/>
                <w:shd w:val="solid" w:color="000000" w:fill="000000"/>
                <w:fitText w:val="70" w:id="-1436264954"/>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4954"/>
                <w14:textFill>
                  <w14:solidFill>
                    <w14:srgbClr w14:val="000000">
                      <w14:alpha w14:val="100000"/>
                    </w14:srgbClr>
                  </w14:solidFill>
                </w14:textFill>
              </w:rPr>
              <w:t xml:space="preserve">　</w:t>
            </w:r>
            <w:r w:rsidR="00053B18">
              <w:rPr>
                <w:rFonts w:cs="Calibri"/>
                <w:szCs w:val="20"/>
                <w:vertAlign w:val="superscript"/>
              </w:rPr>
              <w:t>7</w:t>
            </w:r>
          </w:p>
        </w:tc>
        <w:tc>
          <w:tcPr>
            <w:tcW w:w="647" w:type="pct"/>
            <w:shd w:val="clear" w:color="auto" w:fill="auto"/>
            <w:vAlign w:val="center"/>
          </w:tcPr>
          <w:p w14:paraId="5B6118B3" w14:textId="69AEC41B"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53"/>
                <w14:textFill>
                  <w14:solidFill>
                    <w14:srgbClr w14:val="000000">
                      <w14:alpha w14:val="100000"/>
                    </w14:srgbClr>
                  </w14:solidFill>
                </w14:textFill>
              </w:rPr>
              <w:t xml:space="preserve">　</w:t>
            </w:r>
            <w:r w:rsidR="00EC6944" w:rsidRPr="00EC6944">
              <w:rPr>
                <w:color w:val="000000"/>
                <w:w w:val="15"/>
                <w:shd w:val="solid" w:color="000000" w:fill="000000"/>
                <w:fitText w:val="69" w:id="-1436264953"/>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53"/>
                <w14:textFill>
                  <w14:solidFill>
                    <w14:srgbClr w14:val="000000">
                      <w14:alpha w14:val="100000"/>
                    </w14:srgbClr>
                  </w14:solidFill>
                </w14:textFill>
              </w:rPr>
              <w:t xml:space="preserve">　</w:t>
            </w:r>
            <w:r w:rsidR="00053B18">
              <w:rPr>
                <w:rFonts w:cs="Calibri"/>
                <w:szCs w:val="20"/>
                <w:vertAlign w:val="superscript"/>
              </w:rPr>
              <w:t>8</w:t>
            </w:r>
          </w:p>
        </w:tc>
        <w:tc>
          <w:tcPr>
            <w:tcW w:w="649" w:type="pct"/>
            <w:vAlign w:val="center"/>
          </w:tcPr>
          <w:p w14:paraId="36FD73C7" w14:textId="4AC1E951"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52"/>
                <w14:textFill>
                  <w14:solidFill>
                    <w14:srgbClr w14:val="000000">
                      <w14:alpha w14:val="100000"/>
                    </w14:srgbClr>
                  </w14:solidFill>
                </w14:textFill>
              </w:rPr>
              <w:t xml:space="preserve">　</w:t>
            </w:r>
            <w:r w:rsidR="00EC6944" w:rsidRPr="00EC6944">
              <w:rPr>
                <w:color w:val="000000"/>
                <w:w w:val="15"/>
                <w:shd w:val="solid" w:color="000000" w:fill="000000"/>
                <w:fitText w:val="69" w:id="-1436264952"/>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52"/>
                <w14:textFill>
                  <w14:solidFill>
                    <w14:srgbClr w14:val="000000">
                      <w14:alpha w14:val="100000"/>
                    </w14:srgbClr>
                  </w14:solidFill>
                </w14:textFill>
              </w:rPr>
              <w:t xml:space="preserve">　</w:t>
            </w:r>
            <w:r w:rsidR="00053B18">
              <w:rPr>
                <w:rFonts w:cs="Calibri"/>
                <w:szCs w:val="20"/>
                <w:vertAlign w:val="superscript"/>
              </w:rPr>
              <w:t>8</w:t>
            </w:r>
          </w:p>
        </w:tc>
      </w:tr>
      <w:tr w:rsidR="00540F22" w:rsidRPr="008312ED" w14:paraId="5630569F" w14:textId="77777777" w:rsidTr="003D711D">
        <w:tc>
          <w:tcPr>
            <w:tcW w:w="1116" w:type="pct"/>
            <w:shd w:val="clear" w:color="auto" w:fill="auto"/>
            <w:vAlign w:val="center"/>
          </w:tcPr>
          <w:p w14:paraId="669EF56B" w14:textId="77777777" w:rsidR="00540F22" w:rsidRPr="008312ED" w:rsidRDefault="00540F22" w:rsidP="003D711D">
            <w:pPr>
              <w:pStyle w:val="TableText0"/>
              <w:rPr>
                <w:sz w:val="19"/>
                <w:szCs w:val="19"/>
              </w:rPr>
            </w:pPr>
            <w:r w:rsidRPr="008312ED">
              <w:rPr>
                <w:szCs w:val="20"/>
              </w:rPr>
              <w:t>Net cost to Government with sapropterin RSA</w:t>
            </w:r>
          </w:p>
        </w:tc>
        <w:tc>
          <w:tcPr>
            <w:tcW w:w="647" w:type="pct"/>
            <w:shd w:val="clear" w:color="auto" w:fill="auto"/>
            <w:vAlign w:val="center"/>
          </w:tcPr>
          <w:p w14:paraId="7B39FC49" w14:textId="7FB43131"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4951"/>
                <w14:textFill>
                  <w14:solidFill>
                    <w14:srgbClr w14:val="000000">
                      <w14:alpha w14:val="100000"/>
                    </w14:srgbClr>
                  </w14:solidFill>
                </w14:textFill>
              </w:rPr>
              <w:t xml:space="preserve">　</w:t>
            </w:r>
            <w:r w:rsidR="00EC6944" w:rsidRPr="00EC6944">
              <w:rPr>
                <w:color w:val="000000"/>
                <w:w w:val="15"/>
                <w:shd w:val="solid" w:color="000000" w:fill="000000"/>
                <w:fitText w:val="70" w:id="-1436264951"/>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4951"/>
                <w14:textFill>
                  <w14:solidFill>
                    <w14:srgbClr w14:val="000000">
                      <w14:alpha w14:val="100000"/>
                    </w14:srgbClr>
                  </w14:solidFill>
                </w14:textFill>
              </w:rPr>
              <w:t xml:space="preserve">　</w:t>
            </w:r>
            <w:r w:rsidR="00C548F6">
              <w:rPr>
                <w:rFonts w:cs="Calibri"/>
                <w:b/>
                <w:vertAlign w:val="superscript"/>
              </w:rPr>
              <w:t>3</w:t>
            </w:r>
          </w:p>
        </w:tc>
        <w:tc>
          <w:tcPr>
            <w:tcW w:w="647" w:type="pct"/>
            <w:shd w:val="clear" w:color="auto" w:fill="auto"/>
            <w:vAlign w:val="center"/>
          </w:tcPr>
          <w:p w14:paraId="7A90645E" w14:textId="03DE55A4"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50"/>
                <w14:textFill>
                  <w14:solidFill>
                    <w14:srgbClr w14:val="000000">
                      <w14:alpha w14:val="100000"/>
                    </w14:srgbClr>
                  </w14:solidFill>
                </w14:textFill>
              </w:rPr>
              <w:t xml:space="preserve">　</w:t>
            </w:r>
            <w:r w:rsidR="00EC6944" w:rsidRPr="00EC6944">
              <w:rPr>
                <w:color w:val="000000"/>
                <w:w w:val="15"/>
                <w:shd w:val="solid" w:color="000000" w:fill="000000"/>
                <w:fitText w:val="69" w:id="-1436264950"/>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50"/>
                <w14:textFill>
                  <w14:solidFill>
                    <w14:srgbClr w14:val="000000">
                      <w14:alpha w14:val="100000"/>
                    </w14:srgbClr>
                  </w14:solidFill>
                </w14:textFill>
              </w:rPr>
              <w:t xml:space="preserve">　</w:t>
            </w:r>
            <w:r w:rsidR="00053B18">
              <w:rPr>
                <w:rFonts w:cs="Calibri"/>
                <w:szCs w:val="20"/>
                <w:vertAlign w:val="superscript"/>
              </w:rPr>
              <w:t>5</w:t>
            </w:r>
          </w:p>
        </w:tc>
        <w:tc>
          <w:tcPr>
            <w:tcW w:w="647" w:type="pct"/>
            <w:shd w:val="clear" w:color="auto" w:fill="auto"/>
            <w:vAlign w:val="center"/>
          </w:tcPr>
          <w:p w14:paraId="10676110" w14:textId="20C65BA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49"/>
                <w14:textFill>
                  <w14:solidFill>
                    <w14:srgbClr w14:val="000000">
                      <w14:alpha w14:val="100000"/>
                    </w14:srgbClr>
                  </w14:solidFill>
                </w14:textFill>
              </w:rPr>
              <w:t xml:space="preserve">　</w:t>
            </w:r>
            <w:r w:rsidR="00EC6944" w:rsidRPr="00EC6944">
              <w:rPr>
                <w:color w:val="000000"/>
                <w:w w:val="15"/>
                <w:shd w:val="solid" w:color="000000" w:fill="000000"/>
                <w:fitText w:val="69" w:id="-1436264949"/>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49"/>
                <w14:textFill>
                  <w14:solidFill>
                    <w14:srgbClr w14:val="000000">
                      <w14:alpha w14:val="100000"/>
                    </w14:srgbClr>
                  </w14:solidFill>
                </w14:textFill>
              </w:rPr>
              <w:t xml:space="preserve">　</w:t>
            </w:r>
            <w:r w:rsidR="00053B18">
              <w:rPr>
                <w:rFonts w:cs="Calibri"/>
                <w:szCs w:val="20"/>
                <w:vertAlign w:val="superscript"/>
              </w:rPr>
              <w:t>7</w:t>
            </w:r>
          </w:p>
        </w:tc>
        <w:tc>
          <w:tcPr>
            <w:tcW w:w="647" w:type="pct"/>
            <w:shd w:val="clear" w:color="auto" w:fill="auto"/>
            <w:vAlign w:val="center"/>
          </w:tcPr>
          <w:p w14:paraId="6903607A" w14:textId="0D4190D7"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70" w:id="-1436264948"/>
                <w14:textFill>
                  <w14:solidFill>
                    <w14:srgbClr w14:val="000000">
                      <w14:alpha w14:val="100000"/>
                    </w14:srgbClr>
                  </w14:solidFill>
                </w14:textFill>
              </w:rPr>
              <w:t xml:space="preserve">　</w:t>
            </w:r>
            <w:r w:rsidR="00EC6944" w:rsidRPr="00EC6944">
              <w:rPr>
                <w:color w:val="000000"/>
                <w:w w:val="15"/>
                <w:shd w:val="solid" w:color="000000" w:fill="000000"/>
                <w:fitText w:val="70" w:id="-1436264948"/>
                <w14:textFill>
                  <w14:solidFill>
                    <w14:srgbClr w14:val="000000">
                      <w14:alpha w14:val="100000"/>
                    </w14:srgbClr>
                  </w14:solidFill>
                </w14:textFill>
              </w:rPr>
              <w:t>|</w:t>
            </w:r>
            <w:r w:rsidR="00EC6944" w:rsidRPr="00EC6944">
              <w:rPr>
                <w:rFonts w:hint="eastAsia"/>
                <w:color w:val="000000"/>
                <w:spacing w:val="4"/>
                <w:w w:val="15"/>
                <w:shd w:val="solid" w:color="000000" w:fill="000000"/>
                <w:fitText w:val="70" w:id="-1436264948"/>
                <w14:textFill>
                  <w14:solidFill>
                    <w14:srgbClr w14:val="000000">
                      <w14:alpha w14:val="100000"/>
                    </w14:srgbClr>
                  </w14:solidFill>
                </w14:textFill>
              </w:rPr>
              <w:t xml:space="preserve">　</w:t>
            </w:r>
            <w:r w:rsidR="00053B18">
              <w:rPr>
                <w:rFonts w:cs="Calibri"/>
                <w:szCs w:val="20"/>
                <w:vertAlign w:val="superscript"/>
              </w:rPr>
              <w:t>7</w:t>
            </w:r>
          </w:p>
        </w:tc>
        <w:tc>
          <w:tcPr>
            <w:tcW w:w="647" w:type="pct"/>
            <w:shd w:val="clear" w:color="auto" w:fill="auto"/>
            <w:vAlign w:val="center"/>
          </w:tcPr>
          <w:p w14:paraId="419914F7" w14:textId="5CD61D93"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47"/>
                <w14:textFill>
                  <w14:solidFill>
                    <w14:srgbClr w14:val="000000">
                      <w14:alpha w14:val="100000"/>
                    </w14:srgbClr>
                  </w14:solidFill>
                </w14:textFill>
              </w:rPr>
              <w:t xml:space="preserve">　</w:t>
            </w:r>
            <w:r w:rsidR="00EC6944" w:rsidRPr="00EC6944">
              <w:rPr>
                <w:color w:val="000000"/>
                <w:w w:val="15"/>
                <w:shd w:val="solid" w:color="000000" w:fill="000000"/>
                <w:fitText w:val="69" w:id="-1436264947"/>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47"/>
                <w14:textFill>
                  <w14:solidFill>
                    <w14:srgbClr w14:val="000000">
                      <w14:alpha w14:val="100000"/>
                    </w14:srgbClr>
                  </w14:solidFill>
                </w14:textFill>
              </w:rPr>
              <w:t xml:space="preserve">　</w:t>
            </w:r>
            <w:r w:rsidR="00053B18">
              <w:rPr>
                <w:rFonts w:cs="Calibri"/>
                <w:szCs w:val="20"/>
                <w:vertAlign w:val="superscript"/>
              </w:rPr>
              <w:t>7</w:t>
            </w:r>
          </w:p>
        </w:tc>
        <w:tc>
          <w:tcPr>
            <w:tcW w:w="649" w:type="pct"/>
            <w:vAlign w:val="center"/>
          </w:tcPr>
          <w:p w14:paraId="28C6301B" w14:textId="712842D7" w:rsidR="00540F22" w:rsidRPr="008312ED" w:rsidRDefault="00540F22" w:rsidP="003D711D">
            <w:pPr>
              <w:pStyle w:val="TableText0"/>
              <w:jc w:val="center"/>
            </w:pPr>
            <w:r w:rsidRPr="008312ED">
              <w:t>$</w:t>
            </w:r>
            <w:r w:rsidR="00EC6944" w:rsidRPr="00EC6944">
              <w:rPr>
                <w:rFonts w:hint="eastAsia"/>
                <w:color w:val="000000"/>
                <w:w w:val="15"/>
                <w:shd w:val="solid" w:color="000000" w:fill="000000"/>
                <w:fitText w:val="69" w:id="-1436264946"/>
                <w14:textFill>
                  <w14:solidFill>
                    <w14:srgbClr w14:val="000000">
                      <w14:alpha w14:val="100000"/>
                    </w14:srgbClr>
                  </w14:solidFill>
                </w14:textFill>
              </w:rPr>
              <w:t xml:space="preserve">　</w:t>
            </w:r>
            <w:r w:rsidR="00EC6944" w:rsidRPr="00EC6944">
              <w:rPr>
                <w:color w:val="000000"/>
                <w:w w:val="15"/>
                <w:shd w:val="solid" w:color="000000" w:fill="000000"/>
                <w:fitText w:val="69" w:id="-1436264946"/>
                <w14:textFill>
                  <w14:solidFill>
                    <w14:srgbClr w14:val="000000">
                      <w14:alpha w14:val="100000"/>
                    </w14:srgbClr>
                  </w14:solidFill>
                </w14:textFill>
              </w:rPr>
              <w:t>|</w:t>
            </w:r>
            <w:r w:rsidR="00EC6944" w:rsidRPr="00EC6944">
              <w:rPr>
                <w:rFonts w:hint="eastAsia"/>
                <w:color w:val="000000"/>
                <w:spacing w:val="3"/>
                <w:w w:val="15"/>
                <w:shd w:val="solid" w:color="000000" w:fill="000000"/>
                <w:fitText w:val="69" w:id="-1436264946"/>
                <w14:textFill>
                  <w14:solidFill>
                    <w14:srgbClr w14:val="000000">
                      <w14:alpha w14:val="100000"/>
                    </w14:srgbClr>
                  </w14:solidFill>
                </w14:textFill>
              </w:rPr>
              <w:t xml:space="preserve">　</w:t>
            </w:r>
            <w:r w:rsidR="00053B18">
              <w:rPr>
                <w:rFonts w:cs="Calibri"/>
                <w:szCs w:val="20"/>
                <w:vertAlign w:val="superscript"/>
              </w:rPr>
              <w:t>7</w:t>
            </w:r>
          </w:p>
        </w:tc>
      </w:tr>
    </w:tbl>
    <w:p w14:paraId="1777F14C" w14:textId="55DF158C" w:rsidR="00540F22" w:rsidRDefault="00540F22" w:rsidP="00540F22">
      <w:pPr>
        <w:pStyle w:val="TableFigureFooter"/>
        <w:keepNext/>
        <w:keepLines/>
        <w:spacing w:after="240"/>
      </w:pPr>
      <w:r w:rsidRPr="008312ED">
        <w:t>Source: Section 4 of the submission</w:t>
      </w:r>
    </w:p>
    <w:p w14:paraId="43C1BED1" w14:textId="77777777" w:rsidR="00C548F6" w:rsidRPr="00CC64AE" w:rsidRDefault="00C548F6" w:rsidP="00C548F6">
      <w:pPr>
        <w:pStyle w:val="TableFigureFooter"/>
        <w:keepNext/>
        <w:spacing w:after="0"/>
        <w:contextualSpacing w:val="0"/>
        <w:rPr>
          <w:i/>
        </w:rPr>
      </w:pPr>
      <w:r w:rsidRPr="00CC64AE">
        <w:rPr>
          <w:i/>
        </w:rPr>
        <w:t>The redacted values correspond to the following ranges:</w:t>
      </w:r>
    </w:p>
    <w:p w14:paraId="7AC22985" w14:textId="39395DCE" w:rsidR="00C548F6" w:rsidRPr="00281DAB" w:rsidRDefault="00C548F6" w:rsidP="00C548F6">
      <w:pPr>
        <w:pStyle w:val="TableFigureFooter"/>
        <w:keepNext/>
        <w:spacing w:after="0"/>
        <w:contextualSpacing w:val="0"/>
      </w:pPr>
      <w:r w:rsidRPr="00CC64AE">
        <w:rPr>
          <w:i/>
          <w:szCs w:val="18"/>
          <w:vertAlign w:val="superscript"/>
        </w:rPr>
        <w:t>1</w:t>
      </w:r>
      <w:r w:rsidRPr="00CC64AE">
        <w:rPr>
          <w:i/>
          <w:szCs w:val="18"/>
        </w:rPr>
        <w:t xml:space="preserve"> </w:t>
      </w:r>
      <w:r w:rsidR="00053B18" w:rsidRPr="00DA23EE">
        <w:rPr>
          <w:i/>
          <w:szCs w:val="18"/>
        </w:rPr>
        <w:t>&lt; 500</w:t>
      </w:r>
      <w:r w:rsidR="00053B18">
        <w:rPr>
          <w:i/>
          <w:szCs w:val="18"/>
        </w:rPr>
        <w:t xml:space="preserve"> </w:t>
      </w:r>
    </w:p>
    <w:p w14:paraId="05BFCC1B" w14:textId="68D08844" w:rsidR="00C548F6" w:rsidRDefault="00C548F6" w:rsidP="00C548F6">
      <w:pPr>
        <w:pStyle w:val="TableFigureFooter"/>
        <w:keepNext/>
        <w:spacing w:after="0"/>
        <w:contextualSpacing w:val="0"/>
        <w:rPr>
          <w:i/>
          <w:iCs/>
        </w:rPr>
      </w:pPr>
      <w:r w:rsidRPr="00CC64AE">
        <w:rPr>
          <w:i/>
          <w:szCs w:val="18"/>
          <w:vertAlign w:val="superscript"/>
        </w:rPr>
        <w:t>2</w:t>
      </w:r>
      <w:r w:rsidRPr="00CC64AE">
        <w:rPr>
          <w:i/>
          <w:szCs w:val="18"/>
        </w:rPr>
        <w:t xml:space="preserve"> </w:t>
      </w:r>
      <w:r w:rsidR="00053B18">
        <w:rPr>
          <w:i/>
          <w:szCs w:val="18"/>
        </w:rPr>
        <w:t>500</w:t>
      </w:r>
      <w:r w:rsidR="00053B18" w:rsidRPr="00DA23EE">
        <w:rPr>
          <w:i/>
          <w:szCs w:val="18"/>
        </w:rPr>
        <w:t> to &lt; 5,000</w:t>
      </w:r>
    </w:p>
    <w:p w14:paraId="5BD6818D" w14:textId="41F67DBE" w:rsidR="00C548F6" w:rsidRPr="00CC64AE" w:rsidRDefault="00C548F6" w:rsidP="00C548F6">
      <w:pPr>
        <w:rPr>
          <w:rFonts w:ascii="Arial Narrow" w:hAnsi="Arial Narrow"/>
          <w:i/>
          <w:sz w:val="18"/>
          <w:szCs w:val="18"/>
        </w:rPr>
      </w:pPr>
      <w:r w:rsidRPr="00CC64AE">
        <w:rPr>
          <w:rFonts w:ascii="Arial Narrow" w:hAnsi="Arial Narrow"/>
          <w:i/>
          <w:sz w:val="18"/>
          <w:szCs w:val="18"/>
          <w:vertAlign w:val="superscript"/>
        </w:rPr>
        <w:t xml:space="preserve">3 </w:t>
      </w:r>
      <w:bookmarkStart w:id="95" w:name="_Hlk113025009"/>
      <w:r w:rsidR="00053B18" w:rsidRPr="00CC64AE">
        <w:rPr>
          <w:rFonts w:ascii="Arial Narrow" w:hAnsi="Arial Narrow"/>
          <w:i/>
          <w:sz w:val="18"/>
          <w:szCs w:val="18"/>
        </w:rPr>
        <w:t>$30 million to &lt;$40 million</w:t>
      </w:r>
      <w:bookmarkEnd w:id="95"/>
    </w:p>
    <w:p w14:paraId="4F34DFC7" w14:textId="281FB1C7" w:rsidR="00C548F6" w:rsidRPr="00CC64AE" w:rsidRDefault="00C548F6" w:rsidP="00C548F6">
      <w:pPr>
        <w:rPr>
          <w:rFonts w:ascii="Arial Narrow" w:hAnsi="Arial Narrow"/>
          <w:i/>
          <w:sz w:val="18"/>
          <w:szCs w:val="18"/>
        </w:rPr>
      </w:pPr>
      <w:r w:rsidRPr="00CC64AE">
        <w:rPr>
          <w:rFonts w:ascii="Arial Narrow" w:hAnsi="Arial Narrow"/>
          <w:i/>
          <w:sz w:val="18"/>
          <w:szCs w:val="18"/>
          <w:vertAlign w:val="superscript"/>
        </w:rPr>
        <w:t xml:space="preserve">4 </w:t>
      </w:r>
      <w:r w:rsidR="00053B18" w:rsidRPr="00CC64AE">
        <w:rPr>
          <w:rFonts w:ascii="Arial Narrow" w:hAnsi="Arial Narrow"/>
          <w:i/>
          <w:sz w:val="18"/>
          <w:szCs w:val="18"/>
        </w:rPr>
        <w:t>$0 to &lt;$10 million</w:t>
      </w:r>
    </w:p>
    <w:p w14:paraId="3A79C22A" w14:textId="0B0281D8" w:rsidR="00C548F6" w:rsidRPr="00CC64AE" w:rsidRDefault="00C548F6" w:rsidP="00C548F6">
      <w:pPr>
        <w:rPr>
          <w:rFonts w:ascii="Arial Narrow" w:hAnsi="Arial Narrow"/>
          <w:i/>
          <w:sz w:val="18"/>
          <w:szCs w:val="18"/>
        </w:rPr>
      </w:pPr>
      <w:r w:rsidRPr="00CC64AE">
        <w:rPr>
          <w:rFonts w:ascii="Arial Narrow" w:hAnsi="Arial Narrow"/>
          <w:i/>
          <w:sz w:val="18"/>
          <w:szCs w:val="18"/>
          <w:vertAlign w:val="superscript"/>
        </w:rPr>
        <w:t>5</w:t>
      </w:r>
      <w:r w:rsidRPr="00CC64AE">
        <w:rPr>
          <w:rFonts w:ascii="Arial Narrow" w:hAnsi="Arial Narrow"/>
          <w:i/>
          <w:sz w:val="18"/>
          <w:szCs w:val="18"/>
        </w:rPr>
        <w:t xml:space="preserve"> </w:t>
      </w:r>
      <w:r w:rsidR="00053B18" w:rsidRPr="00CC64AE">
        <w:rPr>
          <w:rFonts w:ascii="Arial Narrow" w:hAnsi="Arial Narrow"/>
          <w:i/>
          <w:sz w:val="18"/>
          <w:szCs w:val="18"/>
        </w:rPr>
        <w:t>$40 million to &lt;$50 million</w:t>
      </w:r>
    </w:p>
    <w:p w14:paraId="6C1A9C2C" w14:textId="037E3BAC" w:rsidR="00C548F6" w:rsidRPr="00CC64AE" w:rsidRDefault="00C548F6" w:rsidP="00C548F6">
      <w:pPr>
        <w:rPr>
          <w:rFonts w:ascii="Arial Narrow" w:hAnsi="Arial Narrow"/>
          <w:i/>
          <w:sz w:val="18"/>
          <w:szCs w:val="18"/>
        </w:rPr>
      </w:pPr>
      <w:r w:rsidRPr="00CC64AE">
        <w:rPr>
          <w:rFonts w:ascii="Arial Narrow" w:hAnsi="Arial Narrow"/>
          <w:i/>
          <w:sz w:val="18"/>
          <w:szCs w:val="18"/>
          <w:vertAlign w:val="superscript"/>
        </w:rPr>
        <w:t xml:space="preserve">6 </w:t>
      </w:r>
      <w:r w:rsidR="00053B18" w:rsidRPr="00CC64AE">
        <w:rPr>
          <w:rFonts w:ascii="Arial Narrow" w:hAnsi="Arial Narrow"/>
          <w:i/>
          <w:sz w:val="18"/>
          <w:szCs w:val="18"/>
        </w:rPr>
        <w:t>$10 million to &lt;$20 million</w:t>
      </w:r>
    </w:p>
    <w:p w14:paraId="53E638CC" w14:textId="2EAD284E" w:rsidR="00C548F6" w:rsidRPr="00CC64AE" w:rsidRDefault="00C548F6" w:rsidP="00C548F6">
      <w:pPr>
        <w:rPr>
          <w:rFonts w:ascii="Arial Narrow" w:hAnsi="Arial Narrow"/>
          <w:i/>
          <w:sz w:val="18"/>
          <w:szCs w:val="18"/>
          <w:vertAlign w:val="superscript"/>
        </w:rPr>
      </w:pPr>
      <w:r w:rsidRPr="00CC64AE">
        <w:rPr>
          <w:rFonts w:ascii="Arial Narrow" w:hAnsi="Arial Narrow"/>
          <w:i/>
          <w:sz w:val="18"/>
          <w:szCs w:val="18"/>
          <w:vertAlign w:val="superscript"/>
        </w:rPr>
        <w:t xml:space="preserve">7 </w:t>
      </w:r>
      <w:r w:rsidR="00053B18" w:rsidRPr="00CC64AE">
        <w:rPr>
          <w:rFonts w:ascii="Arial Narrow" w:hAnsi="Arial Narrow"/>
          <w:i/>
          <w:sz w:val="18"/>
          <w:szCs w:val="18"/>
        </w:rPr>
        <w:t xml:space="preserve">$50 million to &lt;$60 million </w:t>
      </w:r>
    </w:p>
    <w:p w14:paraId="4B78DB9C" w14:textId="002CB144" w:rsidR="00C548F6" w:rsidRPr="00CC64AE" w:rsidRDefault="00C548F6" w:rsidP="00053B18">
      <w:pPr>
        <w:rPr>
          <w:rFonts w:ascii="Arial Narrow" w:hAnsi="Arial Narrow"/>
          <w:i/>
          <w:sz w:val="18"/>
          <w:szCs w:val="18"/>
        </w:rPr>
      </w:pPr>
      <w:r w:rsidRPr="00CC64AE">
        <w:rPr>
          <w:rFonts w:ascii="Arial Narrow" w:hAnsi="Arial Narrow"/>
          <w:sz w:val="18"/>
          <w:szCs w:val="18"/>
          <w:vertAlign w:val="superscript"/>
        </w:rPr>
        <w:t xml:space="preserve">8 </w:t>
      </w:r>
      <w:r w:rsidR="00053B18" w:rsidRPr="00CC64AE">
        <w:rPr>
          <w:rFonts w:ascii="Arial Narrow" w:hAnsi="Arial Narrow"/>
          <w:i/>
          <w:sz w:val="18"/>
          <w:szCs w:val="18"/>
        </w:rPr>
        <w:t>$60 million to &lt;$70 million</w:t>
      </w:r>
      <w:r w:rsidR="00053B18" w:rsidRPr="00CC64AE">
        <w:rPr>
          <w:rFonts w:ascii="Arial Narrow" w:hAnsi="Arial Narrow"/>
          <w:sz w:val="18"/>
          <w:szCs w:val="18"/>
          <w:vertAlign w:val="superscript"/>
        </w:rPr>
        <w:t xml:space="preserve"> </w:t>
      </w:r>
    </w:p>
    <w:p w14:paraId="6A4A72A0" w14:textId="77777777" w:rsidR="00C548F6" w:rsidRPr="008312ED" w:rsidRDefault="00C548F6" w:rsidP="00053B18">
      <w:pPr>
        <w:pStyle w:val="TableFigureFooter"/>
        <w:keepNext/>
        <w:keepLines/>
        <w:spacing w:after="0"/>
        <w:rPr>
          <w:rStyle w:val="CommentReference"/>
        </w:rPr>
      </w:pPr>
    </w:p>
    <w:p w14:paraId="6F70BAC9" w14:textId="51BFD594" w:rsidR="00540F22" w:rsidRPr="008312ED" w:rsidRDefault="00540F22" w:rsidP="00540F22">
      <w:pPr>
        <w:pStyle w:val="3-BodyText"/>
      </w:pPr>
      <w:r w:rsidRPr="008312ED">
        <w:t xml:space="preserve">The </w:t>
      </w:r>
      <w:r w:rsidR="00417CFE">
        <w:t xml:space="preserve">submission estimated that the </w:t>
      </w:r>
      <w:r w:rsidRPr="008312ED">
        <w:t xml:space="preserve">total cost to the PBS of listing pegvaliase </w:t>
      </w:r>
      <w:r w:rsidR="00417CFE">
        <w:t>would</w:t>
      </w:r>
      <w:r w:rsidRPr="008312ED">
        <w:t xml:space="preserve"> be </w:t>
      </w:r>
      <w:r w:rsidR="00053B18" w:rsidRPr="00053B18">
        <w:rPr>
          <w:iCs/>
        </w:rPr>
        <w:t>$30 million to &lt;</w:t>
      </w:r>
      <w:r w:rsidR="00021095">
        <w:rPr>
          <w:iCs/>
        </w:rPr>
        <w:t> </w:t>
      </w:r>
      <w:r w:rsidR="00053B18" w:rsidRPr="00053B18">
        <w:rPr>
          <w:iCs/>
        </w:rPr>
        <w:t>$40 million</w:t>
      </w:r>
      <w:r w:rsidR="00053B18" w:rsidRPr="00053B18" w:rsidDel="00053B18">
        <w:t xml:space="preserve"> </w:t>
      </w:r>
      <w:r w:rsidR="00F67DA3">
        <w:t xml:space="preserve">in </w:t>
      </w:r>
      <w:r w:rsidR="008A2983">
        <w:t>Y</w:t>
      </w:r>
      <w:r w:rsidR="00F67DA3">
        <w:t xml:space="preserve">ear 1, increasing to </w:t>
      </w:r>
      <w:r w:rsidR="00053B18" w:rsidRPr="00053B18">
        <w:t>$40 million to &lt;</w:t>
      </w:r>
      <w:r w:rsidR="00021095">
        <w:t> </w:t>
      </w:r>
      <w:r w:rsidR="00053B18" w:rsidRPr="00053B18">
        <w:t>$50 million</w:t>
      </w:r>
      <w:r w:rsidR="00053B18" w:rsidRPr="00053B18" w:rsidDel="00053B18">
        <w:t xml:space="preserve"> </w:t>
      </w:r>
      <w:r w:rsidRPr="008312ED">
        <w:t xml:space="preserve">in Year 6, and a total of </w:t>
      </w:r>
      <w:r w:rsidR="00053B18" w:rsidRPr="00053B18">
        <w:t>$200 million to &lt;</w:t>
      </w:r>
      <w:r w:rsidR="00021095">
        <w:t> </w:t>
      </w:r>
      <w:r w:rsidR="00053B18" w:rsidRPr="00053B18">
        <w:t>$300 million</w:t>
      </w:r>
      <w:r w:rsidR="00053B18">
        <w:t xml:space="preserve"> </w:t>
      </w:r>
      <w:r w:rsidRPr="008312ED">
        <w:t>in the first 6 years of listing.</w:t>
      </w:r>
    </w:p>
    <w:p w14:paraId="5E2AF517" w14:textId="038C2F5D" w:rsidR="00540F22" w:rsidRDefault="00540F22" w:rsidP="00540F22">
      <w:pPr>
        <w:pStyle w:val="3-BodyText"/>
        <w:spacing w:after="240"/>
      </w:pPr>
      <w:r w:rsidRPr="00540F22">
        <w:t>There is potential for use of pegvaliase outside the requested restriction in all patients (regardless of sapropterin responsiveness), given the positioning of pegvaliase as a third-line therapy may not be clinically justified</w:t>
      </w:r>
      <w:r w:rsidR="00C737A3">
        <w:t xml:space="preserve"> and </w:t>
      </w:r>
      <w:r w:rsidR="0020741D">
        <w:t xml:space="preserve">given that </w:t>
      </w:r>
      <w:r w:rsidR="00C737A3">
        <w:t>patients, healthcare providers and patient organisations were not supportive of this approach</w:t>
      </w:r>
      <w:r w:rsidRPr="00540F22">
        <w:t>. This would lead to an overall increase in the expenditure as the estimated cost per year of maintenance with pegvaliase ($</w:t>
      </w:r>
      <w:r w:rsidR="00EC6944" w:rsidRPr="00A25F6C">
        <w:rPr>
          <w:color w:val="000000"/>
          <w:w w:val="15"/>
          <w:shd w:val="solid" w:color="000000" w:fill="000000"/>
          <w:fitText w:val="-20" w:id="-1436264945"/>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45"/>
          <w14:textFill>
            <w14:solidFill>
              <w14:srgbClr w14:val="000000">
                <w14:alpha w14:val="100000"/>
              </w14:srgbClr>
            </w14:solidFill>
          </w14:textFill>
        </w:rPr>
        <w:t>|</w:t>
      </w:r>
      <w:r w:rsidRPr="00540F22">
        <w:t>) was substantially higher than the estimated cost per year of maintenance with sapropterin ($</w:t>
      </w:r>
      <w:r w:rsidR="00EC6944" w:rsidRPr="00A25F6C">
        <w:rPr>
          <w:color w:val="000000"/>
          <w:w w:val="15"/>
          <w:shd w:val="solid" w:color="000000" w:fill="000000"/>
          <w:fitText w:val="-20" w:id="-1436264944"/>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44"/>
          <w14:textFill>
            <w14:solidFill>
              <w14:srgbClr w14:val="000000">
                <w14:alpha w14:val="100000"/>
              </w14:srgbClr>
            </w14:solidFill>
          </w14:textFill>
        </w:rPr>
        <w:t>|</w:t>
      </w:r>
      <w:r w:rsidR="008A2983">
        <w:t xml:space="preserve"> at the price requested by the sponsor</w:t>
      </w:r>
      <w:r w:rsidRPr="00540F22">
        <w:t xml:space="preserve">). </w:t>
      </w:r>
    </w:p>
    <w:p w14:paraId="757061F5" w14:textId="70066EE1" w:rsidR="00B31AEB" w:rsidRPr="00694CC1" w:rsidRDefault="00B31AEB" w:rsidP="00B31AEB">
      <w:pPr>
        <w:pStyle w:val="4-SubsectionHeading"/>
        <w:rPr>
          <w:iCs/>
        </w:rPr>
      </w:pPr>
      <w:r w:rsidRPr="00694CC1">
        <w:rPr>
          <w:iCs/>
        </w:rPr>
        <w:t>Financial Management – Risk Sharing Arrangements</w:t>
      </w:r>
      <w:bookmarkEnd w:id="89"/>
      <w:bookmarkEnd w:id="90"/>
      <w:bookmarkEnd w:id="91"/>
    </w:p>
    <w:p w14:paraId="1E684C2B" w14:textId="00E4DC2C" w:rsidR="00B31AEB" w:rsidRPr="00AE2F09" w:rsidRDefault="00B31AEB" w:rsidP="00B31AEB">
      <w:pPr>
        <w:pStyle w:val="3-BodyText"/>
      </w:pPr>
      <w:r w:rsidRPr="00AE2F09">
        <w:t xml:space="preserve">The submission did not propose a risk sharing arrangement (RSA) for pegvaliase. </w:t>
      </w:r>
    </w:p>
    <w:p w14:paraId="736ADBAA" w14:textId="395A8BEF" w:rsidR="00B31AEB" w:rsidRDefault="00B31AEB" w:rsidP="00B31AEB">
      <w:pPr>
        <w:pStyle w:val="3-BodyText"/>
      </w:pPr>
      <w:r w:rsidRPr="00AE2F09">
        <w:t xml:space="preserve">The existing RSA for sapropterin is based </w:t>
      </w:r>
      <w:r w:rsidRPr="005D1692">
        <w:t xml:space="preserve">on financial estimates that assume the sponsor would rebate </w:t>
      </w:r>
      <w:r w:rsidR="00EC6944" w:rsidRPr="00A25F6C">
        <w:rPr>
          <w:color w:val="000000"/>
          <w:w w:val="15"/>
          <w:shd w:val="solid" w:color="000000" w:fill="000000"/>
          <w:fitText w:val="-20" w:id="-1436264960"/>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60"/>
          <w14:textFill>
            <w14:solidFill>
              <w14:srgbClr w14:val="000000">
                <w14:alpha w14:val="100000"/>
              </w14:srgbClr>
            </w14:solidFill>
          </w14:textFill>
        </w:rPr>
        <w:t>|</w:t>
      </w:r>
      <w:r w:rsidRPr="005D1692">
        <w:t xml:space="preserve">% of the cost to the PBS of all sapropterin used for initial responsiveness testing (and applying a maximum patient body weight of </w:t>
      </w:r>
      <w:r w:rsidR="00EC6944" w:rsidRPr="00A25F6C">
        <w:rPr>
          <w:color w:val="000000"/>
          <w:w w:val="15"/>
          <w:shd w:val="solid" w:color="000000" w:fill="000000"/>
          <w:fitText w:val="-20" w:id="-1436264959"/>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59"/>
          <w14:textFill>
            <w14:solidFill>
              <w14:srgbClr w14:val="000000">
                <w14:alpha w14:val="100000"/>
              </w14:srgbClr>
            </w14:solidFill>
          </w14:textFill>
        </w:rPr>
        <w:t>|</w:t>
      </w:r>
      <w:r w:rsidRPr="005D1692">
        <w:t xml:space="preserve"> kg). No corresponding rebate for responsiveness testing was proposed for pegvaliase, noting the responsiveness testing period is significantly longer for pegvaliase tha</w:t>
      </w:r>
      <w:r w:rsidR="0020741D" w:rsidRPr="005D1692">
        <w:t>n</w:t>
      </w:r>
      <w:r w:rsidRPr="005D1692">
        <w:t xml:space="preserve"> it is for sapropterin (up to two years versus seven days, respectively). </w:t>
      </w:r>
    </w:p>
    <w:p w14:paraId="5F7B0305" w14:textId="77777777" w:rsidR="000764C2" w:rsidRPr="00C33D30" w:rsidRDefault="000764C2" w:rsidP="000764C2">
      <w:pPr>
        <w:ind w:firstLine="709"/>
        <w:rPr>
          <w:rFonts w:asciiTheme="minorHAnsi" w:hAnsiTheme="minorHAnsi"/>
          <w:i/>
        </w:rPr>
      </w:pPr>
      <w:r w:rsidRPr="00C33D30">
        <w:rPr>
          <w:rFonts w:asciiTheme="minorHAnsi" w:hAnsiTheme="minorHAnsi"/>
          <w:i/>
        </w:rPr>
        <w:t>For more detail on PBAC’s view, see section 7 PBAC outcome.</w:t>
      </w:r>
    </w:p>
    <w:p w14:paraId="73C33F4A" w14:textId="77777777" w:rsidR="00FA4068" w:rsidRPr="0090150D" w:rsidRDefault="00FA4068" w:rsidP="00021095">
      <w:pPr>
        <w:pStyle w:val="2-SectionHeading"/>
      </w:pPr>
      <w:bookmarkStart w:id="96" w:name="_Hlk76381249"/>
      <w:bookmarkStart w:id="97" w:name="_Hlk76377955"/>
      <w:r w:rsidRPr="0090150D">
        <w:t>PBAC Outcome</w:t>
      </w:r>
    </w:p>
    <w:p w14:paraId="38C2DC41" w14:textId="7D32418A" w:rsidR="007A577C" w:rsidRPr="007A577C" w:rsidRDefault="007A577C" w:rsidP="007A577C">
      <w:pPr>
        <w:pStyle w:val="3-BodyText"/>
        <w:rPr>
          <w:rFonts w:ascii="Calibri" w:hAnsi="Calibri" w:cs="Calibri"/>
          <w:sz w:val="22"/>
          <w:szCs w:val="22"/>
        </w:rPr>
      </w:pPr>
      <w:r>
        <w:t xml:space="preserve">The PBAC </w:t>
      </w:r>
      <w:r w:rsidRPr="007A577C">
        <w:t>did not recommend</w:t>
      </w:r>
      <w:r>
        <w:t xml:space="preserve"> pegvaliase for the treatment of HPA due to PKU in patients aged 16 years and over who are not responsive to sapropterin. </w:t>
      </w:r>
      <w:r w:rsidR="00C70792" w:rsidRPr="009E6EDF">
        <w:rPr>
          <w:lang w:val="en-GB" w:eastAsia="en-US"/>
        </w:rPr>
        <w:t xml:space="preserve">The PBAC considered </w:t>
      </w:r>
      <w:r w:rsidR="00C70792" w:rsidRPr="00EF4F95">
        <w:rPr>
          <w:bCs/>
        </w:rPr>
        <w:t>there was a high clinical need in a small patient populatio</w:t>
      </w:r>
      <w:r w:rsidR="00C70792">
        <w:rPr>
          <w:bCs/>
        </w:rPr>
        <w:t>n</w:t>
      </w:r>
      <w:r w:rsidR="00D878C2">
        <w:rPr>
          <w:bCs/>
        </w:rPr>
        <w:t>, but that</w:t>
      </w:r>
      <w:r w:rsidR="00795E24">
        <w:t xml:space="preserve"> the sponsor’s proposal to restrict use to patients who are not responsive to sapropterin was inequitable and not clinically appropriate. The </w:t>
      </w:r>
      <w:r>
        <w:t xml:space="preserve">PBAC </w:t>
      </w:r>
      <w:r w:rsidR="00795E24">
        <w:t xml:space="preserve">also </w:t>
      </w:r>
      <w:r>
        <w:t xml:space="preserve">considered the magnitude of the benefit of pegvaliase was unclear, </w:t>
      </w:r>
      <w:r w:rsidR="00795E24">
        <w:t xml:space="preserve">and that </w:t>
      </w:r>
      <w:r>
        <w:t>the cos</w:t>
      </w:r>
      <w:r w:rsidR="00742FA7">
        <w:t>t</w:t>
      </w:r>
      <w:r>
        <w:noBreakHyphen/>
        <w:t xml:space="preserve">effectiveness was uncertain and the ICER was exceptionally high at the price proposed. </w:t>
      </w:r>
    </w:p>
    <w:p w14:paraId="63982170" w14:textId="10C56D88" w:rsidR="00F12BB1" w:rsidRDefault="00F12BB1" w:rsidP="00F12BB1">
      <w:pPr>
        <w:pStyle w:val="3-BodyText"/>
        <w:rPr>
          <w:rFonts w:eastAsia="Calibri"/>
          <w:iCs/>
        </w:rPr>
      </w:pPr>
      <w:r>
        <w:rPr>
          <w:lang w:val="en-GB" w:eastAsia="en-US"/>
        </w:rPr>
        <w:t>The PBAC acknowledged the meaningful consumer support and engagement with regards to the submissions for sapropterin and pegvaliase (Item 6.09, which was also considered at the July 2022 PBAC meeting), including a meeting with patient and health professional representatives held prior to the PBAC meeting. In addition, consultation with patients, health professionals and representative organisations assisted in consideration of the appropriate clinical place for sapropterin and pegvaliase.</w:t>
      </w:r>
    </w:p>
    <w:p w14:paraId="7E973A80" w14:textId="6646BCA6" w:rsidR="00F12BB1" w:rsidRDefault="00F12BB1" w:rsidP="00F12BB1">
      <w:pPr>
        <w:pStyle w:val="3-BodyText"/>
        <w:rPr>
          <w:rFonts w:eastAsia="Calibri"/>
        </w:rPr>
      </w:pPr>
      <w:r>
        <w:rPr>
          <w:rFonts w:eastAsia="Calibri"/>
        </w:rPr>
        <w:t xml:space="preserve">The consumer input outlined the burden of current management, noting that compliance to the very onerous Phe-restricted diet is unsustainable for many patients, especially in adulthood, and frequently does not reduce blood Phe to an acceptable level. </w:t>
      </w:r>
      <w:r>
        <w:t xml:space="preserve">Patients reported that increased protein intake was an important outcome, enabling intake of a broader range of foods and alleviating the substantial quality of life burden associated with a severely low protein diet. </w:t>
      </w:r>
      <w:r w:rsidR="00C70792" w:rsidRPr="00AA0272">
        <w:rPr>
          <w:rFonts w:eastAsia="Calibri"/>
          <w:iCs/>
        </w:rPr>
        <w:t xml:space="preserve">In addition, patients and healthcare professionals described the neuropsychiatric symptoms associated with high </w:t>
      </w:r>
      <w:r w:rsidR="00C70792">
        <w:rPr>
          <w:rFonts w:eastAsia="Calibri"/>
          <w:iCs/>
        </w:rPr>
        <w:t>Phe</w:t>
      </w:r>
      <w:r w:rsidR="00C70792" w:rsidRPr="00AA0272">
        <w:rPr>
          <w:rFonts w:eastAsia="Calibri"/>
          <w:iCs/>
        </w:rPr>
        <w:t xml:space="preserve"> levels</w:t>
      </w:r>
      <w:r w:rsidR="00C70792">
        <w:rPr>
          <w:rFonts w:eastAsia="Calibri"/>
          <w:iCs/>
        </w:rPr>
        <w:t xml:space="preserve"> including</w:t>
      </w:r>
      <w:r w:rsidR="00C70792" w:rsidRPr="00AA0272">
        <w:rPr>
          <w:rFonts w:eastAsia="Calibri"/>
          <w:iCs/>
        </w:rPr>
        <w:t xml:space="preserve"> psychosocial aspects, </w:t>
      </w:r>
      <w:r w:rsidR="00C70792">
        <w:rPr>
          <w:rFonts w:eastAsia="Calibri"/>
          <w:iCs/>
        </w:rPr>
        <w:t xml:space="preserve">impacts on </w:t>
      </w:r>
      <w:r w:rsidR="00C70792" w:rsidRPr="00AA0272">
        <w:rPr>
          <w:rFonts w:eastAsia="Calibri"/>
          <w:iCs/>
        </w:rPr>
        <w:t xml:space="preserve">cognitive function </w:t>
      </w:r>
      <w:r w:rsidR="00C70792">
        <w:rPr>
          <w:rFonts w:eastAsia="Calibri"/>
          <w:iCs/>
        </w:rPr>
        <w:t>and the ability to manage</w:t>
      </w:r>
      <w:r w:rsidR="00C70792" w:rsidRPr="00AA0272">
        <w:rPr>
          <w:rFonts w:eastAsia="Calibri"/>
          <w:iCs/>
        </w:rPr>
        <w:t xml:space="preserve"> self-care and tasks on a daily basis</w:t>
      </w:r>
      <w:r w:rsidR="00C70792">
        <w:rPr>
          <w:rFonts w:eastAsia="Calibri"/>
          <w:iCs/>
        </w:rPr>
        <w:t xml:space="preserve">. </w:t>
      </w:r>
      <w:r>
        <w:rPr>
          <w:rFonts w:eastAsia="Calibri"/>
        </w:rPr>
        <w:t xml:space="preserve">Clinicians stated that the benefits of reducing blood Phe levels in adults are significant and meaningful, with depression and anxiety scores improved and working memory and cognitive function substantially improved or returned over the longer term. </w:t>
      </w:r>
      <w:r>
        <w:rPr>
          <w:lang w:val="en-GB" w:eastAsia="en-US"/>
        </w:rPr>
        <w:t>Clinicians also highlighted that there is evidence that patients experience reversible changes in white matter indicative of neurodegenerative effects of raised blood Phe levels.</w:t>
      </w:r>
    </w:p>
    <w:p w14:paraId="7C3E6662" w14:textId="52DD48AC" w:rsidR="00703F7B" w:rsidRPr="001957D7" w:rsidRDefault="00703F7B" w:rsidP="00E628EE">
      <w:pPr>
        <w:pStyle w:val="3-BodyText"/>
        <w:rPr>
          <w:rFonts w:eastAsia="Calibri"/>
          <w:iCs/>
        </w:rPr>
      </w:pPr>
      <w:bookmarkStart w:id="98" w:name="_Ref110495900"/>
      <w:r w:rsidRPr="001957D7">
        <w:rPr>
          <w:lang w:val="en-GB" w:eastAsia="en-US"/>
        </w:rPr>
        <w:t xml:space="preserve">The PBAC noted that many consumers, healthcare professionals and patient organisations </w:t>
      </w:r>
      <w:r w:rsidR="00F97539" w:rsidRPr="001957D7">
        <w:rPr>
          <w:lang w:val="en-GB" w:eastAsia="en-US"/>
        </w:rPr>
        <w:t xml:space="preserve">considered that the </w:t>
      </w:r>
      <w:r w:rsidRPr="001957D7">
        <w:rPr>
          <w:lang w:val="en-GB" w:eastAsia="en-US"/>
        </w:rPr>
        <w:t>sponsor’s proposed clinical place for pegvaliase</w:t>
      </w:r>
      <w:r w:rsidR="00F97539" w:rsidRPr="001957D7">
        <w:rPr>
          <w:lang w:val="en-GB" w:eastAsia="en-US"/>
        </w:rPr>
        <w:t xml:space="preserve">, which was </w:t>
      </w:r>
      <w:r w:rsidRPr="001957D7">
        <w:rPr>
          <w:lang w:val="en-GB" w:eastAsia="en-US"/>
        </w:rPr>
        <w:t xml:space="preserve">in </w:t>
      </w:r>
      <w:r w:rsidR="00F97539" w:rsidRPr="001957D7">
        <w:rPr>
          <w:lang w:val="en-GB" w:eastAsia="en-US"/>
        </w:rPr>
        <w:t>sapropterin non-responders (i.e.</w:t>
      </w:r>
      <w:r w:rsidR="00D9648C">
        <w:rPr>
          <w:lang w:val="en-GB" w:eastAsia="en-US"/>
        </w:rPr>
        <w:t>,</w:t>
      </w:r>
      <w:r w:rsidR="00F97539" w:rsidRPr="001957D7">
        <w:rPr>
          <w:lang w:val="en-GB" w:eastAsia="en-US"/>
        </w:rPr>
        <w:t xml:space="preserve"> patients </w:t>
      </w:r>
      <w:r w:rsidRPr="001957D7">
        <w:rPr>
          <w:lang w:val="en-GB" w:eastAsia="en-US"/>
        </w:rPr>
        <w:t>who do not meet the criteria for response to sapropterin</w:t>
      </w:r>
      <w:r w:rsidR="00F97539" w:rsidRPr="001957D7">
        <w:rPr>
          <w:lang w:val="en-GB" w:eastAsia="en-US"/>
        </w:rPr>
        <w:t>)</w:t>
      </w:r>
      <w:r w:rsidRPr="001957D7">
        <w:rPr>
          <w:lang w:val="en-GB" w:eastAsia="en-US"/>
        </w:rPr>
        <w:t xml:space="preserve">, </w:t>
      </w:r>
      <w:r w:rsidR="00F97539" w:rsidRPr="001957D7">
        <w:rPr>
          <w:lang w:val="en-GB" w:eastAsia="en-US"/>
        </w:rPr>
        <w:t>was not appropriate. Consumers outlined that it was potentially inequitable as it would exclude some patients who may benefit from pegvaliase (e.g.</w:t>
      </w:r>
      <w:r w:rsidR="00D9648C">
        <w:rPr>
          <w:lang w:val="en-GB" w:eastAsia="en-US"/>
        </w:rPr>
        <w:t>,</w:t>
      </w:r>
      <w:r w:rsidR="00F97539" w:rsidRPr="001957D7">
        <w:rPr>
          <w:lang w:val="en-GB" w:eastAsia="en-US"/>
        </w:rPr>
        <w:t xml:space="preserve"> patients who are responding sub-optimally to sapropterin). Further, the PBAC considered that </w:t>
      </w:r>
      <w:r w:rsidR="00CF6864" w:rsidRPr="001957D7">
        <w:rPr>
          <w:lang w:val="en-GB" w:eastAsia="en-US"/>
        </w:rPr>
        <w:t xml:space="preserve">it was </w:t>
      </w:r>
      <w:r w:rsidR="00CF6864" w:rsidRPr="00CF6864">
        <w:t>inconsistent with the clinical evidence</w:t>
      </w:r>
      <w:r w:rsidR="00D878C2">
        <w:t xml:space="preserve"> </w:t>
      </w:r>
      <w:r w:rsidR="001957D7">
        <w:t>a</w:t>
      </w:r>
      <w:r w:rsidR="00CF6864" w:rsidRPr="00CF6864">
        <w:t xml:space="preserve">nd was </w:t>
      </w:r>
      <w:r w:rsidR="001957D7">
        <w:t>not clinically appropriate noting that l</w:t>
      </w:r>
      <w:r w:rsidR="00CF6864" w:rsidRPr="00CF6864">
        <w:t>imited exploratory subgroup analyses suggested that sapropterin responder-status was not a treatment effect modifier</w:t>
      </w:r>
      <w:r w:rsidRPr="00CF6864">
        <w:t xml:space="preserve"> (see paragraph </w:t>
      </w:r>
      <w:r w:rsidRPr="00CF6864">
        <w:fldChar w:fldCharType="begin"/>
      </w:r>
      <w:r w:rsidRPr="00CF6864">
        <w:instrText xml:space="preserve"> REF _Ref110244556 \r \h </w:instrText>
      </w:r>
      <w:r w:rsidR="00CF6864" w:rsidRPr="00CF6864">
        <w:instrText xml:space="preserve"> \* MERGEFORMAT </w:instrText>
      </w:r>
      <w:r w:rsidRPr="00CF6864">
        <w:fldChar w:fldCharType="separate"/>
      </w:r>
      <w:r w:rsidR="001162C8">
        <w:t>6.41</w:t>
      </w:r>
      <w:r w:rsidRPr="00CF6864">
        <w:fldChar w:fldCharType="end"/>
      </w:r>
      <w:r w:rsidRPr="00CF6864">
        <w:t xml:space="preserve">). </w:t>
      </w:r>
      <w:bookmarkEnd w:id="98"/>
      <w:r w:rsidR="001957D7">
        <w:t xml:space="preserve">Overall, the PBAC considered that </w:t>
      </w:r>
      <w:r w:rsidR="001957D7" w:rsidRPr="001957D7">
        <w:t>sponsor’s propos</w:t>
      </w:r>
      <w:r w:rsidR="001957D7">
        <w:t xml:space="preserve">al to restrict pegvaliase to </w:t>
      </w:r>
      <w:r w:rsidR="001957D7" w:rsidRPr="001957D7">
        <w:t>sapropterin non-responders was not appropriate</w:t>
      </w:r>
      <w:r w:rsidR="009E4D96">
        <w:t>.</w:t>
      </w:r>
    </w:p>
    <w:p w14:paraId="741B9896" w14:textId="25DFD19C" w:rsidR="0032741D" w:rsidRDefault="0032741D" w:rsidP="001162C8">
      <w:pPr>
        <w:pStyle w:val="3-BodyText"/>
        <w:snapToGrid w:val="0"/>
      </w:pPr>
      <w:r w:rsidRPr="00AE2F09">
        <w:t>The proposed restriction define</w:t>
      </w:r>
      <w:r w:rsidR="00CF6864">
        <w:t>d</w:t>
      </w:r>
      <w:r w:rsidRPr="00AE2F09">
        <w:t xml:space="preserve"> a</w:t>
      </w:r>
      <w:r w:rsidRPr="0032741D">
        <w:rPr>
          <w:rFonts w:cstheme="minorHAnsi"/>
        </w:rPr>
        <w:t xml:space="preserve"> response to pegvaliase as either: (a) blood-Phe &lt; 360</w:t>
      </w:r>
      <w:r w:rsidR="00021095">
        <w:rPr>
          <w:rFonts w:cstheme="minorHAnsi"/>
        </w:rPr>
        <w:t> </w:t>
      </w:r>
      <w:r w:rsidRPr="0032741D">
        <w:rPr>
          <w:rFonts w:cstheme="minorHAnsi"/>
        </w:rPr>
        <w:t>µmol/L; or (b) the achievement of a clinically meaningful reduction from pegvaliase-naïve baseline in the ADHD</w:t>
      </w:r>
      <w:r w:rsidRPr="0032741D">
        <w:rPr>
          <w:rFonts w:cstheme="minorHAnsi"/>
        </w:rPr>
        <w:noBreakHyphen/>
        <w:t>RS.</w:t>
      </w:r>
      <w:r>
        <w:rPr>
          <w:rFonts w:cstheme="minorHAnsi"/>
        </w:rPr>
        <w:t xml:space="preserve"> </w:t>
      </w:r>
      <w:r w:rsidR="00D878C2">
        <w:rPr>
          <w:rFonts w:cstheme="minorHAnsi"/>
        </w:rPr>
        <w:t>T</w:t>
      </w:r>
      <w:r w:rsidR="00D878C2">
        <w:t>he PBAC considered that it may not be appropriate to assess initial response based on a single blood-Phe &lt;</w:t>
      </w:r>
      <w:r w:rsidR="00021095">
        <w:t> 360 </w:t>
      </w:r>
      <w:r w:rsidR="00D878C2" w:rsidRPr="0032741D">
        <w:rPr>
          <w:rFonts w:cstheme="minorHAnsi"/>
        </w:rPr>
        <w:t>µ</w:t>
      </w:r>
      <w:r w:rsidR="00D878C2">
        <w:t>mol/L measurement as Phe levels can fluctuate from day-to-day</w:t>
      </w:r>
      <w:r w:rsidR="001B1676">
        <w:t xml:space="preserve"> and in response to variation in </w:t>
      </w:r>
      <w:r w:rsidR="00A832CC">
        <w:t>dietary Phe intake</w:t>
      </w:r>
      <w:r w:rsidR="00D878C2">
        <w:t>. Additionally, t</w:t>
      </w:r>
      <w:r>
        <w:rPr>
          <w:rFonts w:cstheme="minorHAnsi"/>
        </w:rPr>
        <w:t xml:space="preserve">he PBAC </w:t>
      </w:r>
      <w:r w:rsidR="0061593C">
        <w:rPr>
          <w:rFonts w:cstheme="minorHAnsi"/>
        </w:rPr>
        <w:t xml:space="preserve">noted that </w:t>
      </w:r>
      <w:r w:rsidR="0061593C">
        <w:t>the submission did not provide any comparative clinical data to support a claim of superiority in ADHD</w:t>
      </w:r>
      <w:r w:rsidR="00D878C2">
        <w:noBreakHyphen/>
      </w:r>
      <w:r w:rsidR="0061593C">
        <w:t>RS inattention subscale score</w:t>
      </w:r>
      <w:r w:rsidR="0061593C">
        <w:rPr>
          <w:iCs/>
        </w:rPr>
        <w:t>.</w:t>
      </w:r>
      <w:r w:rsidRPr="0032741D">
        <w:rPr>
          <w:iCs/>
        </w:rPr>
        <w:t xml:space="preserve"> </w:t>
      </w:r>
      <w:r w:rsidR="00D878C2">
        <w:t xml:space="preserve">The PBAC noted that </w:t>
      </w:r>
      <w:r w:rsidR="00D878C2" w:rsidRPr="00D878C2">
        <w:t xml:space="preserve">consumers and clinicians had outlined that </w:t>
      </w:r>
      <w:r w:rsidR="00D878C2">
        <w:t xml:space="preserve">other </w:t>
      </w:r>
      <w:r w:rsidR="00D878C2" w:rsidRPr="00D878C2">
        <w:t>factors may also be important markers of a meaningful improvement for patients, such as protein tolerance/dietary Phe intake, quality of life and an assessment as to how well a patient is managing with their current regimen.</w:t>
      </w:r>
      <w:r w:rsidR="00D878C2">
        <w:t xml:space="preserve"> Overall, the PBAC considered that the most appropriate response criteria for pegvaliase remained unclear.</w:t>
      </w:r>
    </w:p>
    <w:p w14:paraId="22048DA9" w14:textId="77777777" w:rsidR="00B41FFB" w:rsidRDefault="00B41FFB" w:rsidP="001162C8">
      <w:pPr>
        <w:pStyle w:val="3-BodyText"/>
        <w:snapToGrid w:val="0"/>
        <w:rPr>
          <w:color w:val="000000" w:themeColor="text1"/>
        </w:rPr>
      </w:pPr>
      <w:r>
        <w:t>The PBAC considered that</w:t>
      </w:r>
      <w:r w:rsidR="00296632">
        <w:t xml:space="preserve"> the nominated comparator,</w:t>
      </w:r>
      <w:r>
        <w:t xml:space="preserve"> </w:t>
      </w:r>
      <w:r w:rsidR="00CF6864">
        <w:t xml:space="preserve">a </w:t>
      </w:r>
      <w:r>
        <w:t>Phe-restricted diet alone</w:t>
      </w:r>
      <w:r w:rsidR="00296632">
        <w:t>,</w:t>
      </w:r>
      <w:r>
        <w:t xml:space="preserve"> was</w:t>
      </w:r>
      <w:r w:rsidR="003E0C81">
        <w:t xml:space="preserve"> an</w:t>
      </w:r>
      <w:r>
        <w:t xml:space="preserve"> appropriate comparator</w:t>
      </w:r>
      <w:r w:rsidR="00465D63">
        <w:t xml:space="preserve"> in the context of the restriction proposed by the submission</w:t>
      </w:r>
      <w:r>
        <w:t xml:space="preserve">. </w:t>
      </w:r>
      <w:r w:rsidR="00465D63">
        <w:t>However, t</w:t>
      </w:r>
      <w:r w:rsidR="003E0C81">
        <w:t xml:space="preserve">he PBAC considered </w:t>
      </w:r>
      <w:r w:rsidR="003E0C81">
        <w:rPr>
          <w:color w:val="000000" w:themeColor="text1"/>
        </w:rPr>
        <w:t xml:space="preserve">that sapropterin </w:t>
      </w:r>
      <w:r w:rsidR="00465D63">
        <w:rPr>
          <w:color w:val="000000" w:themeColor="text1"/>
        </w:rPr>
        <w:t>was also</w:t>
      </w:r>
      <w:r w:rsidR="003E0C81">
        <w:rPr>
          <w:color w:val="000000" w:themeColor="text1"/>
        </w:rPr>
        <w:t xml:space="preserve"> a relevant comparator, given it had considered that </w:t>
      </w:r>
      <w:r>
        <w:rPr>
          <w:color w:val="000000" w:themeColor="text1"/>
        </w:rPr>
        <w:t xml:space="preserve">the </w:t>
      </w:r>
      <w:r w:rsidR="009E4D96">
        <w:rPr>
          <w:color w:val="000000" w:themeColor="text1"/>
        </w:rPr>
        <w:t xml:space="preserve">proposed </w:t>
      </w:r>
      <w:r>
        <w:rPr>
          <w:color w:val="000000" w:themeColor="text1"/>
        </w:rPr>
        <w:t xml:space="preserve">restriction of pegvaliase to sapropterin non-responders was </w:t>
      </w:r>
      <w:r w:rsidR="009E4D96">
        <w:rPr>
          <w:color w:val="000000" w:themeColor="text1"/>
        </w:rPr>
        <w:t>not</w:t>
      </w:r>
      <w:r>
        <w:rPr>
          <w:color w:val="000000" w:themeColor="text1"/>
        </w:rPr>
        <w:t xml:space="preserve"> appropriate. </w:t>
      </w:r>
      <w:r w:rsidR="00465D63">
        <w:rPr>
          <w:color w:val="000000" w:themeColor="text1"/>
        </w:rPr>
        <w:t>Further, t</w:t>
      </w:r>
      <w:r w:rsidR="00465D63">
        <w:t>he PBAC noted that for many patients, a major goal of treatment is relaxation of the strict diet. Consequently, pegvaliase may in practice, partly replace the Phe-restricted diet.</w:t>
      </w:r>
    </w:p>
    <w:p w14:paraId="3933C01C" w14:textId="7BBEB5F1" w:rsidR="00B41FFB" w:rsidRPr="00B41FFB" w:rsidRDefault="00B41FFB" w:rsidP="00B41FFB">
      <w:pPr>
        <w:pStyle w:val="3-BodyText"/>
        <w:rPr>
          <w:rFonts w:ascii="Calibri" w:hAnsi="Calibri"/>
        </w:rPr>
      </w:pPr>
      <w:bookmarkStart w:id="99" w:name="_Ref110594673"/>
      <w:r w:rsidRPr="00B41FFB">
        <w:t xml:space="preserve">The </w:t>
      </w:r>
      <w:r>
        <w:t xml:space="preserve">PBAC noted that the </w:t>
      </w:r>
      <w:r w:rsidRPr="00B41FFB">
        <w:t xml:space="preserve">submission presented an eight week randomised trial (PRISM 2 Part 2) comparing pegvaliase to placebo. The other clinical evidence </w:t>
      </w:r>
      <w:r>
        <w:t xml:space="preserve">presented </w:t>
      </w:r>
      <w:r w:rsidRPr="00B41FFB">
        <w:t>consisted of single-arm open label pegvaliase studies, a matched-cohort analysis without a common comparator arm, and a naïve indirect comparison.</w:t>
      </w:r>
      <w:r w:rsidR="00AC2BBE">
        <w:t xml:space="preserve"> The PBAC considered there was a very high level of uncertainty in the clinical evidence and comparative effectiveness estimates, and that the submission had likely overestimated the benefit and underestimated the comparative harms of pegvaliase because</w:t>
      </w:r>
      <w:r w:rsidR="003E0C81">
        <w:t>:</w:t>
      </w:r>
      <w:r w:rsidR="00AC2BBE">
        <w:t xml:space="preserve"> </w:t>
      </w:r>
      <w:r w:rsidR="003F2D6F">
        <w:t>1)</w:t>
      </w:r>
      <w:r w:rsidR="00F502C2">
        <w:t xml:space="preserve"> there was a high rate of attrition in </w:t>
      </w:r>
      <w:r w:rsidR="00457B16">
        <w:t xml:space="preserve">the </w:t>
      </w:r>
      <w:r w:rsidR="00F502C2">
        <w:t xml:space="preserve">PRISM </w:t>
      </w:r>
      <w:r w:rsidR="00457B16">
        <w:t>trials</w:t>
      </w:r>
      <w:r w:rsidR="00F502C2">
        <w:t xml:space="preserve">; and 2) </w:t>
      </w:r>
      <w:r w:rsidR="00AC2BBE">
        <w:t xml:space="preserve">PRISM 2 Part 2 only included patients who had received pegvaliase for a significant period of time and had achieved </w:t>
      </w:r>
      <w:r w:rsidR="00AC2BBE">
        <w:rPr>
          <w:rFonts w:cs="Calibri"/>
        </w:rPr>
        <w:t>≥ </w:t>
      </w:r>
      <w:r w:rsidR="00AC2BBE">
        <w:t>20% reduction in blood-Phe</w:t>
      </w:r>
      <w:r w:rsidR="00F502C2">
        <w:t xml:space="preserve">. As </w:t>
      </w:r>
      <w:r w:rsidR="00AC2BBE">
        <w:t xml:space="preserve">such </w:t>
      </w:r>
      <w:r w:rsidR="00F502C2">
        <w:t>the clinical data reflected</w:t>
      </w:r>
      <w:r w:rsidR="00AC2BBE">
        <w:t xml:space="preserve"> patients who already had a degree of responsiveness and tolerability to pegvaliase.</w:t>
      </w:r>
      <w:bookmarkEnd w:id="99"/>
    </w:p>
    <w:p w14:paraId="0BF14F18" w14:textId="1F1AC1E4" w:rsidR="00B41FFB" w:rsidRPr="00B41FFB" w:rsidRDefault="00B41FFB" w:rsidP="00B41FFB">
      <w:pPr>
        <w:pStyle w:val="3-BodyText"/>
        <w:rPr>
          <w:rFonts w:ascii="Calibri" w:hAnsi="Calibri"/>
        </w:rPr>
      </w:pPr>
      <w:r w:rsidRPr="00B41FFB">
        <w:t xml:space="preserve">The </w:t>
      </w:r>
      <w:r w:rsidR="00AC2BBE">
        <w:t>PBAC</w:t>
      </w:r>
      <w:r w:rsidRPr="00B41FFB">
        <w:t xml:space="preserve"> considered that while pegvaliase </w:t>
      </w:r>
      <w:r w:rsidR="00AC2BBE">
        <w:t xml:space="preserve">appears to be </w:t>
      </w:r>
      <w:r w:rsidRPr="00B41FFB">
        <w:t>effective at reducing blood Phe</w:t>
      </w:r>
      <w:r w:rsidR="00AC2BBE">
        <w:noBreakHyphen/>
      </w:r>
      <w:r w:rsidRPr="00B41FFB">
        <w:t>levels, the magnitude of the incremental benefit could not be reliably estimated and was likely overestimated by the submission due to the poor quality and methodological limitations of the clinical evidence. </w:t>
      </w:r>
    </w:p>
    <w:p w14:paraId="3A58A7E9" w14:textId="1ED79A70" w:rsidR="00446959" w:rsidRPr="006E3775" w:rsidRDefault="00446959" w:rsidP="00E628EE">
      <w:pPr>
        <w:widowControl w:val="0"/>
        <w:numPr>
          <w:ilvl w:val="1"/>
          <w:numId w:val="1"/>
        </w:numPr>
        <w:spacing w:after="120"/>
        <w:rPr>
          <w:rFonts w:asciiTheme="minorHAnsi" w:hAnsiTheme="minorHAnsi"/>
          <w:snapToGrid w:val="0"/>
          <w:lang w:val="en-GB"/>
        </w:rPr>
      </w:pPr>
      <w:r>
        <w:t xml:space="preserve">The PBAC considered that the supportive evidence from the literature suggests that a reduction in blood-Phe is plausibly related to a reduction in neuropsychiatric symptoms though this difference was difficult to quantify. </w:t>
      </w:r>
      <w:r w:rsidR="006E3775">
        <w:t>Overall, t</w:t>
      </w:r>
      <w:r w:rsidR="00532F35">
        <w:t>he PBAC considered that the benefit from pegvaliase in terms of patient-relevant outcomes such executive functioning was not well-</w:t>
      </w:r>
      <w:r w:rsidR="006E3775">
        <w:t>demonstrated in the clinical dat</w:t>
      </w:r>
      <w:r w:rsidR="00532F35">
        <w:t>a.</w:t>
      </w:r>
      <w:r w:rsidR="006E3775">
        <w:t xml:space="preserve"> T</w:t>
      </w:r>
      <w:r>
        <w:t xml:space="preserve">he PBAC considered </w:t>
      </w:r>
      <w:r w:rsidR="001513A9">
        <w:t>that</w:t>
      </w:r>
      <w:r w:rsidR="00532F35">
        <w:t>, while</w:t>
      </w:r>
      <w:r w:rsidR="001513A9">
        <w:t xml:space="preserve"> </w:t>
      </w:r>
      <w:r w:rsidR="00532F35" w:rsidRPr="00532F35">
        <w:t xml:space="preserve">consumer input assisted in establishing the benefit </w:t>
      </w:r>
      <w:r w:rsidR="006E3775">
        <w:t xml:space="preserve">of lowering </w:t>
      </w:r>
      <w:r w:rsidR="006E3775" w:rsidRPr="00532F35">
        <w:t>blood</w:t>
      </w:r>
      <w:r w:rsidR="006E3775">
        <w:t>-</w:t>
      </w:r>
      <w:r w:rsidR="006E3775" w:rsidRPr="00532F35">
        <w:t>Phe</w:t>
      </w:r>
      <w:r w:rsidR="006E3775">
        <w:t xml:space="preserve"> levels</w:t>
      </w:r>
      <w:r w:rsidR="006E3775" w:rsidRPr="00532F35">
        <w:t xml:space="preserve"> </w:t>
      </w:r>
      <w:r w:rsidR="006E3775">
        <w:t>in</w:t>
      </w:r>
      <w:r w:rsidR="00532F35" w:rsidRPr="00532F35">
        <w:t xml:space="preserve"> adult patients</w:t>
      </w:r>
      <w:r w:rsidR="006E3775">
        <w:t xml:space="preserve">, the degree of benefit </w:t>
      </w:r>
      <w:r w:rsidR="00D53E73">
        <w:t xml:space="preserve">with pegvaliase </w:t>
      </w:r>
      <w:r w:rsidR="006E3775">
        <w:t xml:space="preserve">remained uncertain </w:t>
      </w:r>
      <w:r w:rsidR="00D53E73">
        <w:t>given the available clinical data</w:t>
      </w:r>
      <w:r w:rsidR="001513A9">
        <w:t xml:space="preserve">. </w:t>
      </w:r>
    </w:p>
    <w:p w14:paraId="461BF503" w14:textId="044DFB23" w:rsidR="001513A9" w:rsidRPr="00AB44D5" w:rsidRDefault="001513A9" w:rsidP="00AB44D5">
      <w:pPr>
        <w:pStyle w:val="3-BodyText"/>
      </w:pPr>
      <w:r>
        <w:t>Th</w:t>
      </w:r>
      <w:r w:rsidR="00AB44D5">
        <w:t>e PBAC considered the</w:t>
      </w:r>
      <w:r>
        <w:t xml:space="preserve"> claim </w:t>
      </w:r>
      <w:r w:rsidR="00AB44D5">
        <w:t xml:space="preserve">of inferior safety compared with </w:t>
      </w:r>
      <w:r w:rsidR="00457B16">
        <w:t xml:space="preserve">a </w:t>
      </w:r>
      <w:r w:rsidR="00AB44D5">
        <w:t xml:space="preserve">Phe-restricted diet alone </w:t>
      </w:r>
      <w:r>
        <w:t xml:space="preserve">was supported, however given the lack of longer-term comparative data the magnitude of the difference over a longer treatment period was uncertain. </w:t>
      </w:r>
      <w:r w:rsidR="00AB44D5">
        <w:t xml:space="preserve">Further, the PBAC noted that patients who discontinued pegvaliase due to </w:t>
      </w:r>
      <w:r w:rsidR="00E13286">
        <w:t xml:space="preserve">intolerance to therapy </w:t>
      </w:r>
      <w:r w:rsidR="00AB44D5">
        <w:t>in PRISM 1 or PRISM 2 Part 1 were not included in PRISM 2 Part 2 and therefore the AE rates presented in the submission, particularly those relating to its immunogenicity (e.g.</w:t>
      </w:r>
      <w:r w:rsidR="00D9648C">
        <w:t>,</w:t>
      </w:r>
      <w:r w:rsidR="00AB44D5">
        <w:t xml:space="preserve"> anaphylaxis, hypersensitivity, generalised skin reaction) are likely to underestimate the true burden of AEs for pegvaliase.</w:t>
      </w:r>
    </w:p>
    <w:p w14:paraId="1EA9E66A" w14:textId="2C1031A9" w:rsidR="00AB44D5" w:rsidRPr="00AB44D5" w:rsidRDefault="00AB44D5" w:rsidP="00B624C3">
      <w:pPr>
        <w:pStyle w:val="3-BodyText"/>
      </w:pPr>
      <w:r>
        <w:t xml:space="preserve">The PBAC noted that </w:t>
      </w:r>
      <w:r w:rsidRPr="00AB44D5">
        <w:t>the ESC considered the economic model was highly uncertain and not informative for decision-making purposes</w:t>
      </w:r>
      <w:r>
        <w:t xml:space="preserve">. </w:t>
      </w:r>
      <w:r w:rsidR="00343B65">
        <w:t xml:space="preserve">The </w:t>
      </w:r>
      <w:r w:rsidRPr="00AB44D5">
        <w:t xml:space="preserve">ESC considered that the </w:t>
      </w:r>
      <w:r w:rsidR="00465D63">
        <w:t xml:space="preserve">complex </w:t>
      </w:r>
      <w:r w:rsidRPr="00AB44D5">
        <w:t>approach, extrapolated over a 100 year time horizon, meant the limitations of the clinical data (e.g.</w:t>
      </w:r>
      <w:r w:rsidR="00D9648C">
        <w:t>,</w:t>
      </w:r>
      <w:r w:rsidRPr="00AB44D5">
        <w:t xml:space="preserve"> the low sample sizes and wide variances) were magnified.</w:t>
      </w:r>
      <w:r w:rsidR="00B624C3">
        <w:t xml:space="preserve"> The PBAC</w:t>
      </w:r>
      <w:r w:rsidR="00343B65">
        <w:t xml:space="preserve"> also noted the ESC’s advice that</w:t>
      </w:r>
      <w:r w:rsidR="00B624C3">
        <w:t xml:space="preserve"> there were a number </w:t>
      </w:r>
      <w:r w:rsidR="00550432">
        <w:t xml:space="preserve">of other </w:t>
      </w:r>
      <w:r w:rsidR="00B624C3">
        <w:t>areas of the model that increased uncertainty and appeared to overestimate the ICER:</w:t>
      </w:r>
    </w:p>
    <w:p w14:paraId="7F8542F1" w14:textId="23495486" w:rsidR="00B624C3" w:rsidRDefault="00343B65" w:rsidP="00742FA7">
      <w:pPr>
        <w:pStyle w:val="Bulletpoints"/>
        <w:ind w:left="1134"/>
      </w:pPr>
      <w:r>
        <w:t>The r</w:t>
      </w:r>
      <w:r w:rsidR="00AB44D5" w:rsidRPr="00AB44D5">
        <w:t xml:space="preserve">egression equations used to estimate blood-Phe levels </w:t>
      </w:r>
      <w:r w:rsidR="00C87B1B">
        <w:t xml:space="preserve">over time </w:t>
      </w:r>
      <w:r w:rsidR="00AB44D5" w:rsidRPr="00AB44D5">
        <w:t xml:space="preserve">in the pegvaliase arm had poor model fit </w:t>
      </w:r>
      <w:r w:rsidR="00B624C3">
        <w:t>and were not well-justified.</w:t>
      </w:r>
    </w:p>
    <w:p w14:paraId="3109DA91" w14:textId="77777777" w:rsidR="00B624C3" w:rsidRDefault="00AB44D5" w:rsidP="00742FA7">
      <w:pPr>
        <w:pStyle w:val="Bulletpoints"/>
        <w:ind w:left="1134"/>
      </w:pPr>
      <w:r w:rsidRPr="00AB44D5">
        <w:t>The model assumed patients treated with a Phe-restricted diet were unable to achieve a response, which was inconsistent with the clinical evidence provided.</w:t>
      </w:r>
    </w:p>
    <w:p w14:paraId="09C34976" w14:textId="58E10798" w:rsidR="00B624C3" w:rsidRDefault="00B624C3" w:rsidP="00742FA7">
      <w:pPr>
        <w:pStyle w:val="Bulletpoints"/>
        <w:ind w:left="1134"/>
      </w:pPr>
      <w:r>
        <w:t>U</w:t>
      </w:r>
      <w:r w:rsidRPr="00AB44D5">
        <w:t>tilities were less conservative than those applied in the March 2018 sapropterin submission</w:t>
      </w:r>
      <w:r w:rsidR="00343B65">
        <w:t>, which favoured pegvaliase. Further,</w:t>
      </w:r>
      <w:r>
        <w:t xml:space="preserve"> i</w:t>
      </w:r>
      <w:r w:rsidR="00AB44D5" w:rsidRPr="00AB44D5">
        <w:t xml:space="preserve">t was unclear if the health states from the TTO study adequately aligned with the specific Phe values used in the model. </w:t>
      </w:r>
    </w:p>
    <w:p w14:paraId="18528477" w14:textId="504C79ED" w:rsidR="00AB44D5" w:rsidRPr="00AB44D5" w:rsidRDefault="00AB44D5" w:rsidP="00742FA7">
      <w:pPr>
        <w:pStyle w:val="Bulletpoints"/>
        <w:ind w:left="1134"/>
      </w:pPr>
      <w:r w:rsidRPr="00AB44D5">
        <w:t xml:space="preserve">The pegvaliase dose </w:t>
      </w:r>
      <w:r w:rsidR="00B624C3">
        <w:t xml:space="preserve">was underestimated compared with </w:t>
      </w:r>
      <w:r w:rsidRPr="00AB44D5">
        <w:t>clinical practice</w:t>
      </w:r>
      <w:r w:rsidR="00343B65">
        <w:t xml:space="preserve"> </w:t>
      </w:r>
      <w:r w:rsidR="00343B65" w:rsidRPr="00343B65">
        <w:rPr>
          <w:iCs/>
        </w:rPr>
        <w:t>(due to the use of study data that included a titration period, which was extrapolated over a lifetime).</w:t>
      </w:r>
      <w:r w:rsidRPr="00343B65">
        <w:rPr>
          <w:iCs/>
        </w:rPr>
        <w:t xml:space="preserve"> </w:t>
      </w:r>
    </w:p>
    <w:p w14:paraId="70A4B9CE" w14:textId="26987602" w:rsidR="00742FA7" w:rsidRPr="00021095" w:rsidRDefault="00AB44D5">
      <w:pPr>
        <w:pStyle w:val="3-BodyText"/>
        <w:rPr>
          <w:rFonts w:ascii="Calibri" w:hAnsi="Calibri" w:cs="Calibri"/>
          <w:sz w:val="22"/>
          <w:szCs w:val="22"/>
        </w:rPr>
      </w:pPr>
      <w:r w:rsidRPr="00AB44D5">
        <w:t xml:space="preserve">The </w:t>
      </w:r>
      <w:r w:rsidR="00B624C3">
        <w:t xml:space="preserve">PBAC noted that the </w:t>
      </w:r>
      <w:r w:rsidRPr="00AB44D5">
        <w:t xml:space="preserve">ICER of </w:t>
      </w:r>
      <w:r w:rsidR="00021095" w:rsidRPr="00021095">
        <w:t>$655,000 to &lt;</w:t>
      </w:r>
      <w:r w:rsidR="00021095">
        <w:t> </w:t>
      </w:r>
      <w:r w:rsidR="00021095" w:rsidRPr="00021095">
        <w:t>$755,000</w:t>
      </w:r>
      <w:r w:rsidRPr="00AB44D5">
        <w:t>/QALY was substantially higher than the ICER</w:t>
      </w:r>
      <w:r w:rsidR="00B624C3">
        <w:t xml:space="preserve"> </w:t>
      </w:r>
      <w:r w:rsidR="00A472A0">
        <w:t xml:space="preserve">that had previously been calculated </w:t>
      </w:r>
      <w:r w:rsidR="00B624C3">
        <w:t xml:space="preserve">for sapropterin </w:t>
      </w:r>
      <w:r w:rsidR="00A472A0">
        <w:t>in</w:t>
      </w:r>
      <w:r w:rsidRPr="00AB44D5">
        <w:t xml:space="preserve"> adults with non-maternal PKU (</w:t>
      </w:r>
      <w:r w:rsidR="00021095" w:rsidRPr="00021095">
        <w:t>$355,000 to &lt; $455,000</w:t>
      </w:r>
      <w:r w:rsidRPr="00AB44D5">
        <w:t>/QALY), which the PBAC previously considered was not cost-effective (para 7.3, sapropterin</w:t>
      </w:r>
      <w:r w:rsidR="00550432">
        <w:t xml:space="preserve"> PSD,</w:t>
      </w:r>
      <w:r w:rsidRPr="00AB44D5">
        <w:t xml:space="preserve"> November 2020 </w:t>
      </w:r>
      <w:r w:rsidR="00550432">
        <w:t>PBAC meeting</w:t>
      </w:r>
      <w:r w:rsidRPr="00AB44D5">
        <w:t>).</w:t>
      </w:r>
      <w:r w:rsidR="00742FA7">
        <w:t xml:space="preserve"> </w:t>
      </w:r>
      <w:r w:rsidR="00532F35">
        <w:t xml:space="preserve">The PBAC also noted the proposed cost per patient per year for </w:t>
      </w:r>
      <w:r w:rsidR="00E628EE">
        <w:t xml:space="preserve">pegvaliase </w:t>
      </w:r>
      <w:r w:rsidR="00532F35">
        <w:t>was substantially higher than proposed</w:t>
      </w:r>
      <w:r w:rsidR="00E628EE">
        <w:t xml:space="preserve"> (although not accepted by the PBAC)</w:t>
      </w:r>
      <w:r w:rsidR="00532F35">
        <w:t xml:space="preserve"> for sapropterin ($</w:t>
      </w:r>
      <w:r w:rsidR="00EC6944" w:rsidRPr="00A25F6C">
        <w:rPr>
          <w:color w:val="000000"/>
          <w:w w:val="15"/>
          <w:shd w:val="solid" w:color="000000" w:fill="000000"/>
          <w:fitText w:val="-20" w:id="-1436264958"/>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58"/>
          <w14:textFill>
            <w14:solidFill>
              <w14:srgbClr w14:val="000000">
                <w14:alpha w14:val="100000"/>
              </w14:srgbClr>
            </w14:solidFill>
          </w14:textFill>
        </w:rPr>
        <w:t>|</w:t>
      </w:r>
      <w:r w:rsidR="00532F35">
        <w:t xml:space="preserve"> versus $</w:t>
      </w:r>
      <w:r w:rsidR="00EC6944" w:rsidRPr="00A25F6C">
        <w:rPr>
          <w:color w:val="000000"/>
          <w:w w:val="15"/>
          <w:shd w:val="solid" w:color="000000" w:fill="000000"/>
          <w:fitText w:val="-20" w:id="-1436264957"/>
          <w14:textFill>
            <w14:solidFill>
              <w14:srgbClr w14:val="000000">
                <w14:alpha w14:val="100000"/>
              </w14:srgbClr>
            </w14:solidFill>
          </w14:textFill>
        </w:rPr>
        <w:t xml:space="preserve">|  </w:t>
      </w:r>
      <w:r w:rsidR="00EC6944" w:rsidRPr="00A25F6C">
        <w:rPr>
          <w:color w:val="000000"/>
          <w:spacing w:val="-69"/>
          <w:w w:val="15"/>
          <w:shd w:val="solid" w:color="000000" w:fill="000000"/>
          <w:fitText w:val="-20" w:id="-1436264957"/>
          <w14:textFill>
            <w14:solidFill>
              <w14:srgbClr w14:val="000000">
                <w14:alpha w14:val="100000"/>
              </w14:srgbClr>
            </w14:solidFill>
          </w14:textFill>
        </w:rPr>
        <w:t>|</w:t>
      </w:r>
      <w:r w:rsidR="00532F35">
        <w:t xml:space="preserve">). </w:t>
      </w:r>
      <w:r w:rsidR="00742FA7">
        <w:t>The PBAC considered the cost</w:t>
      </w:r>
      <w:r w:rsidR="00742FA7">
        <w:noBreakHyphen/>
        <w:t>effectiveness was uncertain and the ICER was exceptionally high at the price proposed.</w:t>
      </w:r>
      <w:r w:rsidR="00457B16">
        <w:t xml:space="preserve"> </w:t>
      </w:r>
      <w:r w:rsidR="00465D63">
        <w:t>The PBAC considered that the ICER for pegvaliase should be no higher than</w:t>
      </w:r>
      <w:r w:rsidR="00CE457B">
        <w:t xml:space="preserve"> that accepted for sapropterin for initiation in adult patients.</w:t>
      </w:r>
    </w:p>
    <w:p w14:paraId="425053CF" w14:textId="49DA9F1E" w:rsidR="00DC3D8F" w:rsidRPr="00DC3D8F" w:rsidRDefault="00BF3926" w:rsidP="001162C8">
      <w:pPr>
        <w:pStyle w:val="3-BodyText"/>
        <w:snapToGrid w:val="0"/>
      </w:pPr>
      <w:r>
        <w:t>The PBAC noted that the financial estimates were based on pegvaliase</w:t>
      </w:r>
      <w:r w:rsidR="00417CFE">
        <w:t xml:space="preserve"> </w:t>
      </w:r>
      <w:r w:rsidR="00DC3D8F">
        <w:t xml:space="preserve">use </w:t>
      </w:r>
      <w:r w:rsidR="00417CFE">
        <w:t>be</w:t>
      </w:r>
      <w:r w:rsidR="00DC3D8F">
        <w:t>ing</w:t>
      </w:r>
      <w:r w:rsidR="00417CFE">
        <w:t xml:space="preserve"> restricted to </w:t>
      </w:r>
      <w:r>
        <w:t>sapropterin non-responders only</w:t>
      </w:r>
      <w:r w:rsidR="00DC3D8F">
        <w:t xml:space="preserve">, which the PBAC considered was inappropriate (paragraph </w:t>
      </w:r>
      <w:r w:rsidR="00DC3D8F">
        <w:fldChar w:fldCharType="begin"/>
      </w:r>
      <w:r w:rsidR="00DC3D8F">
        <w:instrText xml:space="preserve"> REF _Ref110495900 \r \h </w:instrText>
      </w:r>
      <w:r w:rsidR="00DC3D8F">
        <w:fldChar w:fldCharType="separate"/>
      </w:r>
      <w:r w:rsidR="001162C8">
        <w:t>7.4</w:t>
      </w:r>
      <w:r w:rsidR="00DC3D8F">
        <w:fldChar w:fldCharType="end"/>
      </w:r>
      <w:r w:rsidR="00DC3D8F">
        <w:t>)</w:t>
      </w:r>
      <w:r>
        <w:t xml:space="preserve">. </w:t>
      </w:r>
      <w:r w:rsidR="00742FA7">
        <w:rPr>
          <w:lang w:val="en-GB"/>
        </w:rPr>
        <w:t xml:space="preserve">The PBAC </w:t>
      </w:r>
      <w:r w:rsidR="00DC3D8F">
        <w:rPr>
          <w:lang w:val="en-GB"/>
        </w:rPr>
        <w:t xml:space="preserve">noted that </w:t>
      </w:r>
      <w:r w:rsidR="00083F03">
        <w:rPr>
          <w:lang w:val="en-GB"/>
        </w:rPr>
        <w:t>a broader restriction</w:t>
      </w:r>
      <w:r w:rsidR="00DC3D8F">
        <w:rPr>
          <w:lang w:val="en-GB"/>
        </w:rPr>
        <w:t xml:space="preserve"> (</w:t>
      </w:r>
      <w:r w:rsidR="00083F03">
        <w:rPr>
          <w:lang w:val="en-GB"/>
        </w:rPr>
        <w:t>allowing use in</w:t>
      </w:r>
      <w:r w:rsidR="00DC3D8F">
        <w:rPr>
          <w:lang w:val="en-GB"/>
        </w:rPr>
        <w:t xml:space="preserve"> patients regardless of sapropterin responsiveness) would increase</w:t>
      </w:r>
      <w:r w:rsidR="00083F03">
        <w:rPr>
          <w:lang w:val="en-GB"/>
        </w:rPr>
        <w:t xml:space="preserve"> the</w:t>
      </w:r>
      <w:r w:rsidR="00DC3D8F">
        <w:rPr>
          <w:lang w:val="en-GB"/>
        </w:rPr>
        <w:t xml:space="preserve"> utilisation estimates. The PBAC considered that the proportion of </w:t>
      </w:r>
      <w:r w:rsidR="00DC3D8F" w:rsidRPr="00DC3D8F">
        <w:rPr>
          <w:lang w:val="en-GB"/>
        </w:rPr>
        <w:t xml:space="preserve">adult PKU population </w:t>
      </w:r>
      <w:r w:rsidR="00DC3D8F">
        <w:rPr>
          <w:lang w:val="en-GB"/>
        </w:rPr>
        <w:t xml:space="preserve">who </w:t>
      </w:r>
      <w:r w:rsidR="00DC3D8F" w:rsidRPr="00DC3D8F">
        <w:rPr>
          <w:lang w:val="en-GB"/>
        </w:rPr>
        <w:t>are under routine follow-up at metabolic clinics</w:t>
      </w:r>
      <w:r w:rsidR="00DC3D8F">
        <w:rPr>
          <w:lang w:val="en-GB"/>
        </w:rPr>
        <w:t xml:space="preserve"> was likely overestimated, noting that for sapropterin it had </w:t>
      </w:r>
      <w:r w:rsidR="00A472A0">
        <w:rPr>
          <w:lang w:val="en-GB"/>
        </w:rPr>
        <w:t>consider</w:t>
      </w:r>
      <w:r w:rsidR="00DC3D8F">
        <w:rPr>
          <w:lang w:val="en-GB"/>
        </w:rPr>
        <w:t xml:space="preserve">ed that this proportion should be </w:t>
      </w:r>
      <w:r w:rsidR="00DC3D8F" w:rsidRPr="00136BA4">
        <w:rPr>
          <w:iCs/>
        </w:rPr>
        <w:t>reduce</w:t>
      </w:r>
      <w:r w:rsidR="00DC3D8F">
        <w:rPr>
          <w:iCs/>
        </w:rPr>
        <w:t>d</w:t>
      </w:r>
      <w:r w:rsidR="00DC3D8F" w:rsidRPr="00136BA4">
        <w:rPr>
          <w:iCs/>
        </w:rPr>
        <w:t xml:space="preserve"> from 70% to 55%.</w:t>
      </w:r>
      <w:r w:rsidR="00DC3D8F" w:rsidRPr="00DC3D8F">
        <w:t xml:space="preserve"> </w:t>
      </w:r>
      <w:r w:rsidR="00083F03">
        <w:rPr>
          <w:iCs/>
        </w:rPr>
        <w:t xml:space="preserve">The PBAC also considered that the uptake rates were uncertain and may have been overestimated </w:t>
      </w:r>
      <w:r w:rsidR="009B1896">
        <w:rPr>
          <w:iCs/>
        </w:rPr>
        <w:t xml:space="preserve">given that </w:t>
      </w:r>
      <w:r w:rsidR="009B1896" w:rsidRPr="009B1896">
        <w:rPr>
          <w:iCs/>
        </w:rPr>
        <w:t xml:space="preserve">access to pegvaliase </w:t>
      </w:r>
      <w:r w:rsidR="009456BD">
        <w:rPr>
          <w:iCs/>
        </w:rPr>
        <w:t>may</w:t>
      </w:r>
      <w:r w:rsidR="009B1896" w:rsidRPr="009B1896">
        <w:rPr>
          <w:iCs/>
        </w:rPr>
        <w:t xml:space="preserve"> be constrained by the availability of metabolic clinics </w:t>
      </w:r>
      <w:r w:rsidR="009B1896">
        <w:rPr>
          <w:iCs/>
        </w:rPr>
        <w:t xml:space="preserve">(as outlined in paragraph </w:t>
      </w:r>
      <w:r w:rsidR="009B1896">
        <w:fldChar w:fldCharType="begin"/>
      </w:r>
      <w:r w:rsidR="009B1896">
        <w:instrText xml:space="preserve"> REF _Ref110585567 \r \h </w:instrText>
      </w:r>
      <w:r w:rsidR="009B1896">
        <w:fldChar w:fldCharType="separate"/>
      </w:r>
      <w:r w:rsidR="001162C8">
        <w:t>6.15</w:t>
      </w:r>
      <w:r w:rsidR="009B1896">
        <w:fldChar w:fldCharType="end"/>
      </w:r>
      <w:r w:rsidR="009B1896">
        <w:t>)</w:t>
      </w:r>
      <w:r w:rsidR="00083F03">
        <w:rPr>
          <w:iCs/>
        </w:rPr>
        <w:t xml:space="preserve">. </w:t>
      </w:r>
    </w:p>
    <w:p w14:paraId="7EC2D6FE" w14:textId="32BC2B4E" w:rsidR="00CE457B" w:rsidRPr="00CE457B" w:rsidRDefault="00CE457B" w:rsidP="00E628EE">
      <w:pPr>
        <w:pStyle w:val="3-BodyText"/>
        <w:widowControl w:val="0"/>
        <w:rPr>
          <w:bCs/>
          <w:lang w:val="en-GB"/>
        </w:rPr>
      </w:pPr>
      <w:r w:rsidRPr="00CE457B">
        <w:t xml:space="preserve">The PBAC considered </w:t>
      </w:r>
      <w:r>
        <w:t xml:space="preserve">that </w:t>
      </w:r>
      <w:r w:rsidRPr="00CE457B">
        <w:t xml:space="preserve">any resubmission for pegvaliase should not restrict access based </w:t>
      </w:r>
      <w:r w:rsidR="00A472A0">
        <w:t xml:space="preserve">on </w:t>
      </w:r>
      <w:r w:rsidRPr="00CE457B">
        <w:t xml:space="preserve">prior response to </w:t>
      </w:r>
      <w:r>
        <w:t>sapropterin</w:t>
      </w:r>
      <w:r w:rsidRPr="00CE457B">
        <w:t xml:space="preserve"> and hence </w:t>
      </w:r>
      <w:r>
        <w:t>sapropterin</w:t>
      </w:r>
      <w:r w:rsidRPr="00CE457B">
        <w:t xml:space="preserve"> should be included as a comparator. </w:t>
      </w:r>
    </w:p>
    <w:p w14:paraId="23EC36D6" w14:textId="03661867" w:rsidR="00FA4068" w:rsidRPr="00083F03" w:rsidRDefault="00FA4068" w:rsidP="00E628EE">
      <w:pPr>
        <w:pStyle w:val="3-BodyText"/>
        <w:widowControl w:val="0"/>
        <w:rPr>
          <w:bCs/>
          <w:lang w:val="en-GB"/>
        </w:rPr>
      </w:pPr>
      <w:r w:rsidRPr="00083F03">
        <w:rPr>
          <w:lang w:val="en-GB"/>
        </w:rPr>
        <w:t xml:space="preserve">The PBAC </w:t>
      </w:r>
      <w:r w:rsidR="00083F03" w:rsidRPr="00083F03">
        <w:rPr>
          <w:lang w:val="en-GB"/>
        </w:rPr>
        <w:t xml:space="preserve">noted that </w:t>
      </w:r>
      <w:r w:rsidR="00083F03">
        <w:rPr>
          <w:lang w:val="en-GB"/>
        </w:rPr>
        <w:t>a</w:t>
      </w:r>
      <w:r w:rsidRPr="00083F03">
        <w:rPr>
          <w:bCs/>
          <w:lang w:val="en-GB"/>
        </w:rPr>
        <w:t xml:space="preserve"> resubmission </w:t>
      </w:r>
      <w:r w:rsidR="00083F03">
        <w:rPr>
          <w:bCs/>
          <w:lang w:val="en-GB"/>
        </w:rPr>
        <w:t xml:space="preserve">for pegvaliase </w:t>
      </w:r>
      <w:r w:rsidRPr="00083F03">
        <w:rPr>
          <w:bCs/>
          <w:lang w:val="en-GB"/>
        </w:rPr>
        <w:t>may be lodged at any future standard due date for PBAC submissions using the standard re-entry pathway.</w:t>
      </w:r>
    </w:p>
    <w:p w14:paraId="096F3D4D" w14:textId="445C8BC4" w:rsidR="00FA4068" w:rsidRDefault="00FA4068" w:rsidP="007A577C">
      <w:pPr>
        <w:widowControl w:val="0"/>
        <w:numPr>
          <w:ilvl w:val="1"/>
          <w:numId w:val="1"/>
        </w:numPr>
        <w:spacing w:after="120"/>
        <w:rPr>
          <w:rFonts w:asciiTheme="minorHAnsi" w:hAnsiTheme="minorHAnsi"/>
          <w:bCs/>
          <w:i/>
          <w:snapToGrid w:val="0"/>
          <w:lang w:val="en-GB"/>
        </w:rPr>
      </w:pPr>
      <w:r w:rsidRPr="00525B39">
        <w:rPr>
          <w:rFonts w:asciiTheme="minorHAnsi" w:hAnsiTheme="minorHAnsi"/>
          <w:bCs/>
          <w:snapToGrid w:val="0"/>
          <w:lang w:val="en-GB"/>
        </w:rPr>
        <w:t xml:space="preserve">The PBAC noted that this submission is eligible for an Independent Review. </w:t>
      </w:r>
    </w:p>
    <w:p w14:paraId="14DBF82A" w14:textId="77777777" w:rsidR="00FA4068" w:rsidRPr="00525B39" w:rsidRDefault="00FA4068" w:rsidP="00FA4068">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55CC1070" w14:textId="5FE435E0" w:rsidR="00FA4068" w:rsidRPr="00525B39" w:rsidRDefault="00FA4068" w:rsidP="00FA4068">
      <w:pPr>
        <w:rPr>
          <w:rFonts w:asciiTheme="minorHAnsi" w:hAnsiTheme="minorHAnsi"/>
          <w:bCs/>
          <w:snapToGrid w:val="0"/>
          <w:lang w:val="en-GB"/>
        </w:rPr>
      </w:pPr>
      <w:r>
        <w:rPr>
          <w:rFonts w:asciiTheme="minorHAnsi" w:hAnsiTheme="minorHAnsi"/>
          <w:bCs/>
          <w:snapToGrid w:val="0"/>
          <w:lang w:val="en-GB"/>
        </w:rPr>
        <w:t>Not recommended</w:t>
      </w:r>
    </w:p>
    <w:p w14:paraId="109F86D6" w14:textId="77777777" w:rsidR="00FA4068" w:rsidRPr="00525B39" w:rsidRDefault="00FA4068" w:rsidP="00FA4068">
      <w:pPr>
        <w:widowControl w:val="0"/>
        <w:rPr>
          <w:rFonts w:asciiTheme="minorHAnsi" w:hAnsiTheme="minorHAnsi"/>
          <w:b/>
          <w:bCs/>
          <w:snapToGrid w:val="0"/>
        </w:rPr>
      </w:pPr>
    </w:p>
    <w:p w14:paraId="3A70EB18" w14:textId="484173EA" w:rsidR="00021095" w:rsidRPr="00021095" w:rsidRDefault="00021095" w:rsidP="00021095">
      <w:pPr>
        <w:pStyle w:val="2-SectionHeading"/>
      </w:pPr>
      <w:bookmarkStart w:id="100" w:name="_Hlk112834232"/>
      <w:bookmarkEnd w:id="96"/>
      <w:bookmarkEnd w:id="97"/>
      <w:r w:rsidRPr="00021095">
        <w:t>Context for Decision</w:t>
      </w:r>
    </w:p>
    <w:p w14:paraId="18F7C246" w14:textId="77777777" w:rsidR="00021095" w:rsidRPr="00A25F6C" w:rsidRDefault="00021095" w:rsidP="00A25F6C">
      <w:pPr>
        <w:pStyle w:val="3-BodyText"/>
        <w:widowControl w:val="0"/>
        <w:numPr>
          <w:ilvl w:val="0"/>
          <w:numId w:val="0"/>
        </w:numPr>
        <w:ind w:left="720"/>
        <w:rPr>
          <w:lang w:val="en-GB"/>
        </w:rPr>
      </w:pPr>
      <w:r w:rsidRPr="00A25F6C">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3E4C700" w14:textId="13BF7413" w:rsidR="00021095" w:rsidRPr="00021095" w:rsidRDefault="00021095" w:rsidP="00021095">
      <w:pPr>
        <w:pStyle w:val="2-SectionHeading"/>
      </w:pPr>
      <w:r w:rsidRPr="00021095">
        <w:t>Sponsor’s Comment</w:t>
      </w:r>
    </w:p>
    <w:bookmarkEnd w:id="100"/>
    <w:p w14:paraId="78446C9E" w14:textId="77777777" w:rsidR="00C14D9A" w:rsidRPr="00E73650" w:rsidRDefault="00C14D9A" w:rsidP="00A25F6C">
      <w:pPr>
        <w:pStyle w:val="3-BodyText"/>
        <w:widowControl w:val="0"/>
        <w:numPr>
          <w:ilvl w:val="0"/>
          <w:numId w:val="0"/>
        </w:numPr>
        <w:ind w:left="720"/>
        <w:rPr>
          <w:rFonts w:cstheme="minorHAnsi"/>
        </w:rPr>
      </w:pPr>
      <w:r w:rsidRPr="00A25F6C">
        <w:rPr>
          <w:lang w:val="en-GB"/>
        </w:rPr>
        <w:t>BioMarin thanks the PBAC for acknowledging the high clinical need in this small patient population, and looks forward to working with the PBAC to identify the appropriate place for pegvaliase in the treatment of PKU, so that it can be made available on the PBS</w:t>
      </w:r>
      <w:r w:rsidRPr="00E73650">
        <w:rPr>
          <w:rFonts w:cstheme="minorHAnsi"/>
        </w:rPr>
        <w:t>.</w:t>
      </w:r>
    </w:p>
    <w:p w14:paraId="79E0E8CE" w14:textId="512E2E0A" w:rsidR="00083F03" w:rsidRDefault="00083F03" w:rsidP="00AE2F09">
      <w:pPr>
        <w:jc w:val="left"/>
        <w:rPr>
          <w:rFonts w:asciiTheme="minorHAnsi" w:hAnsiTheme="minorHAnsi"/>
          <w:snapToGrid w:val="0"/>
        </w:rPr>
      </w:pPr>
    </w:p>
    <w:p w14:paraId="1014E327" w14:textId="7BBA1E1F" w:rsidR="00CE457B" w:rsidRDefault="00CE457B" w:rsidP="00AE2F09">
      <w:pPr>
        <w:jc w:val="left"/>
        <w:rPr>
          <w:rFonts w:asciiTheme="minorHAnsi" w:hAnsiTheme="minorHAnsi"/>
          <w:snapToGrid w:val="0"/>
        </w:rPr>
      </w:pPr>
    </w:p>
    <w:sectPr w:rsidR="00CE457B" w:rsidSect="00AE2F09">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EC0C1" w14:textId="77777777" w:rsidR="00BA5D09" w:rsidRDefault="00BA5D09" w:rsidP="00124A51">
      <w:r>
        <w:separator/>
      </w:r>
    </w:p>
    <w:p w14:paraId="34B59D42" w14:textId="77777777" w:rsidR="00BA5D09" w:rsidRDefault="00BA5D09"/>
  </w:endnote>
  <w:endnote w:type="continuationSeparator" w:id="0">
    <w:p w14:paraId="68D68172" w14:textId="77777777" w:rsidR="00BA5D09" w:rsidRDefault="00BA5D09" w:rsidP="00124A51">
      <w:r>
        <w:continuationSeparator/>
      </w:r>
    </w:p>
    <w:p w14:paraId="0830E86E" w14:textId="77777777" w:rsidR="00BA5D09" w:rsidRDefault="00BA5D09"/>
  </w:endnote>
  <w:endnote w:type="continuationNotice" w:id="1">
    <w:p w14:paraId="6BDB6FCC" w14:textId="77777777" w:rsidR="00BA5D09" w:rsidRDefault="00BA5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81726" w14:textId="77777777" w:rsidR="00390141" w:rsidRDefault="003901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8F29C" w14:textId="54B39523" w:rsidR="00B75228" w:rsidRDefault="00B75228">
    <w:pPr>
      <w:pStyle w:val="Footer"/>
    </w:pPr>
  </w:p>
  <w:p w14:paraId="10F6021A" w14:textId="2A36B7EA" w:rsidR="00B75228" w:rsidRPr="000764C2" w:rsidRDefault="00B75228" w:rsidP="00694CC1">
    <w:pPr>
      <w:pStyle w:val="Footer"/>
      <w:jc w:val="center"/>
      <w:rPr>
        <w:b/>
        <w:bCs/>
      </w:rPr>
    </w:pPr>
    <w:r w:rsidRPr="000764C2">
      <w:rPr>
        <w:b/>
        <w:bCs/>
      </w:rPr>
      <w:fldChar w:fldCharType="begin"/>
    </w:r>
    <w:r w:rsidRPr="000764C2">
      <w:rPr>
        <w:b/>
        <w:bCs/>
      </w:rPr>
      <w:instrText xml:space="preserve"> PAGE   \* MERGEFORMAT </w:instrText>
    </w:r>
    <w:r w:rsidRPr="000764C2">
      <w:rPr>
        <w:b/>
        <w:bCs/>
      </w:rPr>
      <w:fldChar w:fldCharType="separate"/>
    </w:r>
    <w:r w:rsidRPr="000764C2">
      <w:rPr>
        <w:b/>
        <w:bCs/>
        <w:noProof/>
      </w:rPr>
      <w:t>1</w:t>
    </w:r>
    <w:r w:rsidRPr="000764C2">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1AA5D" w14:textId="77777777" w:rsidR="00390141" w:rsidRDefault="00390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F3495" w14:textId="77777777" w:rsidR="00BA5D09" w:rsidRDefault="00BA5D09" w:rsidP="00124A51">
      <w:r>
        <w:separator/>
      </w:r>
    </w:p>
    <w:p w14:paraId="28A13051" w14:textId="77777777" w:rsidR="00BA5D09" w:rsidRDefault="00BA5D09"/>
  </w:footnote>
  <w:footnote w:type="continuationSeparator" w:id="0">
    <w:p w14:paraId="5BFD464F" w14:textId="77777777" w:rsidR="00BA5D09" w:rsidRDefault="00BA5D09" w:rsidP="00124A51">
      <w:r>
        <w:continuationSeparator/>
      </w:r>
    </w:p>
    <w:p w14:paraId="1E7F3791" w14:textId="77777777" w:rsidR="00BA5D09" w:rsidRDefault="00BA5D09"/>
  </w:footnote>
  <w:footnote w:type="continuationNotice" w:id="1">
    <w:p w14:paraId="7C0390B4" w14:textId="77777777" w:rsidR="00BA5D09" w:rsidRDefault="00BA5D09"/>
  </w:footnote>
  <w:footnote w:id="2">
    <w:p w14:paraId="1E7BCDD2" w14:textId="16B70DA4" w:rsidR="00B75228" w:rsidRPr="00323799" w:rsidRDefault="00B75228">
      <w:pPr>
        <w:pStyle w:val="FootnoteText"/>
        <w:rPr>
          <w:rFonts w:ascii="Arial Narrow" w:hAnsi="Arial Narrow"/>
        </w:rPr>
      </w:pPr>
      <w:r w:rsidRPr="00323799">
        <w:rPr>
          <w:rStyle w:val="FootnoteReference"/>
          <w:rFonts w:ascii="Arial Narrow" w:hAnsi="Arial Narrow"/>
        </w:rPr>
        <w:footnoteRef/>
      </w:r>
      <w:r w:rsidRPr="00323799">
        <w:rPr>
          <w:rFonts w:ascii="Arial Narrow" w:hAnsi="Arial Narrow"/>
        </w:rPr>
        <w:t xml:space="preserve"> Longo N, Dimmock D, Levy H, et al. Evidence- and consensus-based recommendations for the use of pegvaliase in adults with phenylketonuria. Genet Med. 2019;</w:t>
      </w:r>
      <w:r>
        <w:rPr>
          <w:rFonts w:ascii="Arial Narrow" w:hAnsi="Arial Narrow"/>
        </w:rPr>
        <w:t xml:space="preserve"> </w:t>
      </w:r>
      <w:r w:rsidRPr="00323799">
        <w:rPr>
          <w:rFonts w:ascii="Arial Narrow" w:hAnsi="Arial Narrow"/>
        </w:rPr>
        <w:t>21(8):1851-1867. doi:10.1038/s41436-018-0403-z</w:t>
      </w:r>
    </w:p>
  </w:footnote>
  <w:footnote w:id="3">
    <w:p w14:paraId="085557E6" w14:textId="77777777" w:rsidR="00B75228" w:rsidRPr="00EA0FD7" w:rsidRDefault="00B75228" w:rsidP="00993840">
      <w:pPr>
        <w:pStyle w:val="FootnoteText"/>
        <w:rPr>
          <w:rFonts w:asciiTheme="minorHAnsi" w:hAnsiTheme="minorHAnsi" w:cstheme="minorHAnsi"/>
        </w:rPr>
      </w:pPr>
      <w:r w:rsidRPr="00EA0FD7">
        <w:rPr>
          <w:rStyle w:val="FootnoteReference"/>
          <w:rFonts w:asciiTheme="minorHAnsi" w:hAnsiTheme="minorHAnsi" w:cstheme="minorHAnsi"/>
        </w:rPr>
        <w:footnoteRef/>
      </w:r>
      <w:r w:rsidRPr="00EA0FD7">
        <w:rPr>
          <w:rFonts w:asciiTheme="minorHAnsi" w:hAnsiTheme="minorHAnsi" w:cstheme="minorHAnsi"/>
        </w:rPr>
        <w:t xml:space="preserve"> </w:t>
      </w:r>
      <w:r w:rsidRPr="00EA0FD7">
        <w:rPr>
          <w:rFonts w:asciiTheme="minorHAnsi" w:hAnsiTheme="minorHAnsi" w:cstheme="minorHAnsi"/>
          <w:color w:val="212121"/>
          <w:shd w:val="clear" w:color="auto" w:fill="FFFFFF"/>
        </w:rPr>
        <w:t>Burgess NM, Kelso W, Malpas CB, Winton-Brown T, Fazio T, Panetta J, De Jong G, Neath J, Atherton S, Velakoulis D, Walterfang M. The effect of improved dietary control on cognitive and psychiatric functioning in adults with phenylketonuria: the ReDAPT study. Orphanet J Rare Dis. 2021 Jan 18;16(1):35. doi: 10.1186/s13023-020-01668-2. PMID: 33461585; PMCID: PMC7814424.</w:t>
      </w:r>
    </w:p>
  </w:footnote>
  <w:footnote w:id="4">
    <w:p w14:paraId="4D19C2A8" w14:textId="77777777" w:rsidR="00B75228" w:rsidRDefault="00B75228" w:rsidP="00993840">
      <w:pPr>
        <w:pStyle w:val="FootnoteText"/>
      </w:pPr>
      <w:r w:rsidRPr="00EA0FD7">
        <w:rPr>
          <w:rStyle w:val="FootnoteReference"/>
          <w:rFonts w:asciiTheme="minorHAnsi" w:hAnsiTheme="minorHAnsi" w:cstheme="minorHAnsi"/>
        </w:rPr>
        <w:footnoteRef/>
      </w:r>
      <w:r w:rsidRPr="00EA0FD7">
        <w:rPr>
          <w:rFonts w:asciiTheme="minorHAnsi" w:hAnsiTheme="minorHAnsi" w:cstheme="minorHAnsi"/>
        </w:rPr>
        <w:t xml:space="preserve"> </w:t>
      </w:r>
      <w:r w:rsidRPr="00EA0FD7">
        <w:rPr>
          <w:rFonts w:asciiTheme="minorHAnsi" w:hAnsiTheme="minorHAnsi" w:cstheme="minorHAnsi"/>
          <w:color w:val="212121"/>
          <w:shd w:val="clear" w:color="auto" w:fill="FFFFFF"/>
        </w:rPr>
        <w:t>Anderson PJ, Leuzzi V. White matter pathology in phenylketonuria. Mol Genet Metab. 2010;99 Suppl 1:S3-9. doi: 10.1016/j.ymgme.2009.10.005. PMID: 20123467.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4E6F" w14:textId="74919620" w:rsidR="00390141" w:rsidRDefault="00390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0AB46" w14:textId="0780DA14" w:rsidR="00B75228" w:rsidRPr="000764C2" w:rsidRDefault="00390141">
    <w:pPr>
      <w:pStyle w:val="Header"/>
      <w:rPr>
        <w:i/>
        <w:iCs/>
      </w:rPr>
    </w:pPr>
    <w:r>
      <w:rPr>
        <w:i/>
        <w:iCs/>
      </w:rPr>
      <w:t>Public Summary Document</w:t>
    </w:r>
    <w:r w:rsidR="00B75228">
      <w:rPr>
        <w:i/>
        <w:iCs/>
      </w:rPr>
      <w:t xml:space="preserve"> </w:t>
    </w:r>
    <w:r w:rsidR="00B75228" w:rsidRPr="000764C2">
      <w:rPr>
        <w:i/>
        <w:iCs/>
      </w:rPr>
      <w:t>– July 2022 PBAC Meeting</w:t>
    </w:r>
  </w:p>
  <w:p w14:paraId="5E83BD6D" w14:textId="77777777" w:rsidR="00B75228" w:rsidRDefault="00B7522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C5F3C" w14:textId="42ECAB89" w:rsidR="00390141" w:rsidRDefault="00390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1E19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2D2A9F"/>
    <w:multiLevelType w:val="hybridMultilevel"/>
    <w:tmpl w:val="1AB4EA90"/>
    <w:lvl w:ilvl="0" w:tplc="13EEF51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523E1D"/>
    <w:multiLevelType w:val="hybridMultilevel"/>
    <w:tmpl w:val="6FFEE5A4"/>
    <w:lvl w:ilvl="0" w:tplc="B9E061DA">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B219F8"/>
    <w:multiLevelType w:val="hybridMultilevel"/>
    <w:tmpl w:val="90C8D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3AF1E46"/>
    <w:multiLevelType w:val="hybridMultilevel"/>
    <w:tmpl w:val="5B44C00E"/>
    <w:lvl w:ilvl="0" w:tplc="3A2C0AB0">
      <w:numFmt w:val="bullet"/>
      <w:lvlText w:val="-"/>
      <w:lvlJc w:val="left"/>
      <w:pPr>
        <w:ind w:left="1440" w:hanging="360"/>
      </w:pPr>
      <w:rPr>
        <w:rFonts w:ascii="Calibri" w:eastAsiaTheme="minorHAnsi" w:hAnsi="Calibri" w:cs="Calibri" w:hint="default"/>
        <w: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1C59F5"/>
    <w:multiLevelType w:val="hybridMultilevel"/>
    <w:tmpl w:val="7C3CA5E6"/>
    <w:lvl w:ilvl="0" w:tplc="0C09000F">
      <w:start w:val="1"/>
      <w:numFmt w:val="decimal"/>
      <w:lvlText w:val="%1."/>
      <w:lvlJc w:val="left"/>
      <w:pPr>
        <w:ind w:left="1080" w:hanging="72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D5768E"/>
    <w:multiLevelType w:val="hybridMultilevel"/>
    <w:tmpl w:val="4A1EF0D0"/>
    <w:lvl w:ilvl="0" w:tplc="0C09000F">
      <w:start w:val="1"/>
      <w:numFmt w:val="decimal"/>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360B14DF"/>
    <w:multiLevelType w:val="hybridMultilevel"/>
    <w:tmpl w:val="A188837E"/>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DA6AB0"/>
    <w:multiLevelType w:val="hybridMultilevel"/>
    <w:tmpl w:val="81A29AE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51200359"/>
    <w:multiLevelType w:val="hybridMultilevel"/>
    <w:tmpl w:val="3CEA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ACD36E8"/>
    <w:multiLevelType w:val="hybridMultilevel"/>
    <w:tmpl w:val="4018668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15D5A3C"/>
    <w:multiLevelType w:val="hybridMultilevel"/>
    <w:tmpl w:val="42FADC60"/>
    <w:lvl w:ilvl="0" w:tplc="59C08DA4">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65A2FB1"/>
    <w:multiLevelType w:val="hybridMultilevel"/>
    <w:tmpl w:val="86E2F3A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922BBE"/>
    <w:multiLevelType w:val="hybridMultilevel"/>
    <w:tmpl w:val="11D4788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5"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14"/>
  </w:num>
  <w:num w:numId="4">
    <w:abstractNumId w:val="0"/>
  </w:num>
  <w:num w:numId="5">
    <w:abstractNumId w:val="23"/>
  </w:num>
  <w:num w:numId="6">
    <w:abstractNumId w:val="15"/>
  </w:num>
  <w:num w:numId="7">
    <w:abstractNumId w:val="24"/>
  </w:num>
  <w:num w:numId="8">
    <w:abstractNumId w:val="25"/>
  </w:num>
  <w:num w:numId="9">
    <w:abstractNumId w:val="18"/>
  </w:num>
  <w:num w:numId="10">
    <w:abstractNumId w:val="4"/>
  </w:num>
  <w:num w:numId="11">
    <w:abstractNumId w:val="16"/>
  </w:num>
  <w:num w:numId="12">
    <w:abstractNumId w:val="12"/>
  </w:num>
  <w:num w:numId="13">
    <w:abstractNumId w:val="7"/>
  </w:num>
  <w:num w:numId="14">
    <w:abstractNumId w:val="9"/>
  </w:num>
  <w:num w:numId="15">
    <w:abstractNumId w:val="11"/>
  </w:num>
  <w:num w:numId="16">
    <w:abstractNumId w:val="22"/>
  </w:num>
  <w:num w:numId="17">
    <w:abstractNumId w:val="5"/>
  </w:num>
  <w:num w:numId="18">
    <w:abstractNumId w:val="17"/>
  </w:num>
  <w:num w:numId="19">
    <w:abstractNumId w:val="3"/>
  </w:num>
  <w:num w:numId="20">
    <w:abstractNumId w:val="1"/>
  </w:num>
  <w:num w:numId="21">
    <w:abstractNumId w:val="8"/>
  </w:num>
  <w:num w:numId="22">
    <w:abstractNumId w:val="10"/>
  </w:num>
  <w:num w:numId="23">
    <w:abstractNumId w:val="6"/>
  </w:num>
  <w:num w:numId="24">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3"/>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0"/>
  </w:num>
  <w:num w:numId="30">
    <w:abstractNumId w:val="25"/>
  </w:num>
  <w:num w:numId="31">
    <w:abstractNumId w:val="14"/>
  </w:num>
  <w:num w:numId="32">
    <w:abstractNumId w:val="22"/>
  </w:num>
  <w:num w:numId="33">
    <w:abstractNumId w:val="23"/>
  </w:num>
  <w:num w:numId="34">
    <w:abstractNumId w:val="2"/>
  </w:num>
  <w:num w:numId="35">
    <w:abstractNumId w:val="21"/>
  </w:num>
  <w:num w:numId="36">
    <w:abstractNumId w:val="13"/>
  </w:num>
  <w:num w:numId="37">
    <w:abstractNumId w:val="13"/>
  </w:num>
  <w:num w:numId="38">
    <w:abstractNumId w:val="13"/>
  </w:num>
  <w:num w:numId="39">
    <w:abstractNumId w:val="23"/>
  </w:num>
  <w:num w:numId="40">
    <w:abstractNumId w:val="23"/>
  </w:num>
  <w:num w:numId="41">
    <w:abstractNumId w:val="23"/>
  </w:num>
  <w:num w:numId="42">
    <w:abstractNumId w:val="23"/>
  </w:num>
  <w:num w:numId="43">
    <w:abstractNumId w:val="23"/>
  </w:num>
  <w:num w:numId="44">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1B"/>
    <w:rsid w:val="00000B09"/>
    <w:rsid w:val="00000CFD"/>
    <w:rsid w:val="0000110B"/>
    <w:rsid w:val="0000116C"/>
    <w:rsid w:val="00001459"/>
    <w:rsid w:val="000021F9"/>
    <w:rsid w:val="00002285"/>
    <w:rsid w:val="00002C2D"/>
    <w:rsid w:val="00003499"/>
    <w:rsid w:val="0000364B"/>
    <w:rsid w:val="00003694"/>
    <w:rsid w:val="00003758"/>
    <w:rsid w:val="00003767"/>
    <w:rsid w:val="000039B7"/>
    <w:rsid w:val="00003B3B"/>
    <w:rsid w:val="00004279"/>
    <w:rsid w:val="00005101"/>
    <w:rsid w:val="000053DB"/>
    <w:rsid w:val="000059F8"/>
    <w:rsid w:val="00005A52"/>
    <w:rsid w:val="00005F21"/>
    <w:rsid w:val="0000639A"/>
    <w:rsid w:val="00006486"/>
    <w:rsid w:val="000066B5"/>
    <w:rsid w:val="000101AA"/>
    <w:rsid w:val="0001148F"/>
    <w:rsid w:val="0001181C"/>
    <w:rsid w:val="00011EAC"/>
    <w:rsid w:val="00012B33"/>
    <w:rsid w:val="0001304E"/>
    <w:rsid w:val="00013247"/>
    <w:rsid w:val="00013429"/>
    <w:rsid w:val="000137D5"/>
    <w:rsid w:val="000139BD"/>
    <w:rsid w:val="00013B15"/>
    <w:rsid w:val="00013B4F"/>
    <w:rsid w:val="000151BE"/>
    <w:rsid w:val="0001535C"/>
    <w:rsid w:val="000155AE"/>
    <w:rsid w:val="00015886"/>
    <w:rsid w:val="00015AD3"/>
    <w:rsid w:val="00015B35"/>
    <w:rsid w:val="00015DC8"/>
    <w:rsid w:val="000162EF"/>
    <w:rsid w:val="0001633F"/>
    <w:rsid w:val="000170FA"/>
    <w:rsid w:val="0001799D"/>
    <w:rsid w:val="00017B56"/>
    <w:rsid w:val="00017B6D"/>
    <w:rsid w:val="00020500"/>
    <w:rsid w:val="00020784"/>
    <w:rsid w:val="000207C9"/>
    <w:rsid w:val="00021095"/>
    <w:rsid w:val="00021354"/>
    <w:rsid w:val="00021AE9"/>
    <w:rsid w:val="00021C91"/>
    <w:rsid w:val="00021E4C"/>
    <w:rsid w:val="0002225F"/>
    <w:rsid w:val="00022285"/>
    <w:rsid w:val="00022C39"/>
    <w:rsid w:val="00023763"/>
    <w:rsid w:val="00023A4A"/>
    <w:rsid w:val="00024689"/>
    <w:rsid w:val="00025A74"/>
    <w:rsid w:val="0002706B"/>
    <w:rsid w:val="000274B8"/>
    <w:rsid w:val="00030624"/>
    <w:rsid w:val="00030811"/>
    <w:rsid w:val="000312CE"/>
    <w:rsid w:val="00031C1C"/>
    <w:rsid w:val="00031F4E"/>
    <w:rsid w:val="000321AA"/>
    <w:rsid w:val="0003280C"/>
    <w:rsid w:val="00032B60"/>
    <w:rsid w:val="00032B7F"/>
    <w:rsid w:val="00032DDD"/>
    <w:rsid w:val="0003360C"/>
    <w:rsid w:val="00033638"/>
    <w:rsid w:val="00033863"/>
    <w:rsid w:val="000338D7"/>
    <w:rsid w:val="00033E0E"/>
    <w:rsid w:val="00035AD2"/>
    <w:rsid w:val="00035DC0"/>
    <w:rsid w:val="00036829"/>
    <w:rsid w:val="00036898"/>
    <w:rsid w:val="00036BC8"/>
    <w:rsid w:val="0003728B"/>
    <w:rsid w:val="000375DA"/>
    <w:rsid w:val="0003761C"/>
    <w:rsid w:val="00040512"/>
    <w:rsid w:val="00040895"/>
    <w:rsid w:val="00040BCD"/>
    <w:rsid w:val="00040D66"/>
    <w:rsid w:val="00040EF6"/>
    <w:rsid w:val="00041462"/>
    <w:rsid w:val="000416D4"/>
    <w:rsid w:val="00041C78"/>
    <w:rsid w:val="000423F4"/>
    <w:rsid w:val="000425D7"/>
    <w:rsid w:val="000432BB"/>
    <w:rsid w:val="000435EE"/>
    <w:rsid w:val="00043C37"/>
    <w:rsid w:val="00044D23"/>
    <w:rsid w:val="00044DFA"/>
    <w:rsid w:val="00045017"/>
    <w:rsid w:val="00045A2B"/>
    <w:rsid w:val="00045A92"/>
    <w:rsid w:val="00045C68"/>
    <w:rsid w:val="00045CEC"/>
    <w:rsid w:val="00045FBF"/>
    <w:rsid w:val="0004698F"/>
    <w:rsid w:val="000469F1"/>
    <w:rsid w:val="00046AD9"/>
    <w:rsid w:val="00047261"/>
    <w:rsid w:val="0004736F"/>
    <w:rsid w:val="00047581"/>
    <w:rsid w:val="000476E9"/>
    <w:rsid w:val="00047B50"/>
    <w:rsid w:val="000501E0"/>
    <w:rsid w:val="0005164E"/>
    <w:rsid w:val="0005165C"/>
    <w:rsid w:val="00051CE7"/>
    <w:rsid w:val="0005270A"/>
    <w:rsid w:val="00052D11"/>
    <w:rsid w:val="00052E67"/>
    <w:rsid w:val="00053241"/>
    <w:rsid w:val="00053698"/>
    <w:rsid w:val="0005370A"/>
    <w:rsid w:val="000539D0"/>
    <w:rsid w:val="00053B18"/>
    <w:rsid w:val="00054621"/>
    <w:rsid w:val="000546D7"/>
    <w:rsid w:val="0005486F"/>
    <w:rsid w:val="00054D7A"/>
    <w:rsid w:val="00054E94"/>
    <w:rsid w:val="00055503"/>
    <w:rsid w:val="0005662C"/>
    <w:rsid w:val="00056ECF"/>
    <w:rsid w:val="00057169"/>
    <w:rsid w:val="00057538"/>
    <w:rsid w:val="000575BA"/>
    <w:rsid w:val="00057647"/>
    <w:rsid w:val="00057B29"/>
    <w:rsid w:val="000600A6"/>
    <w:rsid w:val="000600D1"/>
    <w:rsid w:val="00060226"/>
    <w:rsid w:val="000604DF"/>
    <w:rsid w:val="00061054"/>
    <w:rsid w:val="00061208"/>
    <w:rsid w:val="00063108"/>
    <w:rsid w:val="00064566"/>
    <w:rsid w:val="00064701"/>
    <w:rsid w:val="0006472B"/>
    <w:rsid w:val="00064A7A"/>
    <w:rsid w:val="00064AE6"/>
    <w:rsid w:val="000652A4"/>
    <w:rsid w:val="000653B5"/>
    <w:rsid w:val="00065501"/>
    <w:rsid w:val="000658B5"/>
    <w:rsid w:val="00065C83"/>
    <w:rsid w:val="000662AC"/>
    <w:rsid w:val="00066360"/>
    <w:rsid w:val="000665C1"/>
    <w:rsid w:val="00066693"/>
    <w:rsid w:val="000667DF"/>
    <w:rsid w:val="00066AF8"/>
    <w:rsid w:val="000676E7"/>
    <w:rsid w:val="00067824"/>
    <w:rsid w:val="00067A3E"/>
    <w:rsid w:val="00067BB5"/>
    <w:rsid w:val="00070627"/>
    <w:rsid w:val="00070CD0"/>
    <w:rsid w:val="00071248"/>
    <w:rsid w:val="00071F69"/>
    <w:rsid w:val="000720B9"/>
    <w:rsid w:val="00072661"/>
    <w:rsid w:val="000727D3"/>
    <w:rsid w:val="00072A8F"/>
    <w:rsid w:val="00072B91"/>
    <w:rsid w:val="0007310A"/>
    <w:rsid w:val="0007330B"/>
    <w:rsid w:val="000737F7"/>
    <w:rsid w:val="00074022"/>
    <w:rsid w:val="00074811"/>
    <w:rsid w:val="00074EEC"/>
    <w:rsid w:val="000750B7"/>
    <w:rsid w:val="000755DA"/>
    <w:rsid w:val="00075862"/>
    <w:rsid w:val="00075C69"/>
    <w:rsid w:val="000764C2"/>
    <w:rsid w:val="0007672F"/>
    <w:rsid w:val="00076B54"/>
    <w:rsid w:val="00076F93"/>
    <w:rsid w:val="00077066"/>
    <w:rsid w:val="000774F0"/>
    <w:rsid w:val="000777AF"/>
    <w:rsid w:val="000802E5"/>
    <w:rsid w:val="00080582"/>
    <w:rsid w:val="00080909"/>
    <w:rsid w:val="000812CA"/>
    <w:rsid w:val="000812F8"/>
    <w:rsid w:val="00081866"/>
    <w:rsid w:val="00081CEE"/>
    <w:rsid w:val="00081E63"/>
    <w:rsid w:val="0008258D"/>
    <w:rsid w:val="00082710"/>
    <w:rsid w:val="00083E99"/>
    <w:rsid w:val="00083F03"/>
    <w:rsid w:val="0008412E"/>
    <w:rsid w:val="00084F27"/>
    <w:rsid w:val="00084FA8"/>
    <w:rsid w:val="00085136"/>
    <w:rsid w:val="000856C5"/>
    <w:rsid w:val="00085C31"/>
    <w:rsid w:val="000863EA"/>
    <w:rsid w:val="0008693F"/>
    <w:rsid w:val="00087B43"/>
    <w:rsid w:val="000902D9"/>
    <w:rsid w:val="00090C7E"/>
    <w:rsid w:val="000915D7"/>
    <w:rsid w:val="00091DB8"/>
    <w:rsid w:val="00091E44"/>
    <w:rsid w:val="00092051"/>
    <w:rsid w:val="00092490"/>
    <w:rsid w:val="00092600"/>
    <w:rsid w:val="0009262B"/>
    <w:rsid w:val="0009267C"/>
    <w:rsid w:val="000929EB"/>
    <w:rsid w:val="00092FDC"/>
    <w:rsid w:val="00093310"/>
    <w:rsid w:val="000933B9"/>
    <w:rsid w:val="00094054"/>
    <w:rsid w:val="0009438C"/>
    <w:rsid w:val="0009441F"/>
    <w:rsid w:val="0009445C"/>
    <w:rsid w:val="00094D5D"/>
    <w:rsid w:val="00095200"/>
    <w:rsid w:val="000954A0"/>
    <w:rsid w:val="00095BB0"/>
    <w:rsid w:val="00095FE5"/>
    <w:rsid w:val="00096284"/>
    <w:rsid w:val="00096695"/>
    <w:rsid w:val="000968A3"/>
    <w:rsid w:val="00096DBC"/>
    <w:rsid w:val="00097708"/>
    <w:rsid w:val="000A06C6"/>
    <w:rsid w:val="000A12C0"/>
    <w:rsid w:val="000A1675"/>
    <w:rsid w:val="000A1840"/>
    <w:rsid w:val="000A1BC0"/>
    <w:rsid w:val="000A200F"/>
    <w:rsid w:val="000A20D3"/>
    <w:rsid w:val="000A22EF"/>
    <w:rsid w:val="000A3069"/>
    <w:rsid w:val="000A393A"/>
    <w:rsid w:val="000A40DE"/>
    <w:rsid w:val="000A4592"/>
    <w:rsid w:val="000A4EB8"/>
    <w:rsid w:val="000A5136"/>
    <w:rsid w:val="000A56C1"/>
    <w:rsid w:val="000A6039"/>
    <w:rsid w:val="000A60A7"/>
    <w:rsid w:val="000A620E"/>
    <w:rsid w:val="000A68BD"/>
    <w:rsid w:val="000A6F0D"/>
    <w:rsid w:val="000A70BE"/>
    <w:rsid w:val="000A7286"/>
    <w:rsid w:val="000A7453"/>
    <w:rsid w:val="000A77DF"/>
    <w:rsid w:val="000A7C1F"/>
    <w:rsid w:val="000A7D08"/>
    <w:rsid w:val="000B0121"/>
    <w:rsid w:val="000B0193"/>
    <w:rsid w:val="000B0333"/>
    <w:rsid w:val="000B0349"/>
    <w:rsid w:val="000B050A"/>
    <w:rsid w:val="000B0670"/>
    <w:rsid w:val="000B0E75"/>
    <w:rsid w:val="000B1421"/>
    <w:rsid w:val="000B1B22"/>
    <w:rsid w:val="000B276E"/>
    <w:rsid w:val="000B299F"/>
    <w:rsid w:val="000B2DCB"/>
    <w:rsid w:val="000B3E7E"/>
    <w:rsid w:val="000B4FE1"/>
    <w:rsid w:val="000B5562"/>
    <w:rsid w:val="000B5A27"/>
    <w:rsid w:val="000B5CE0"/>
    <w:rsid w:val="000B61FB"/>
    <w:rsid w:val="000B6CAC"/>
    <w:rsid w:val="000B713F"/>
    <w:rsid w:val="000B7612"/>
    <w:rsid w:val="000B76D7"/>
    <w:rsid w:val="000B78AE"/>
    <w:rsid w:val="000B7E5F"/>
    <w:rsid w:val="000C008A"/>
    <w:rsid w:val="000C0821"/>
    <w:rsid w:val="000C12CA"/>
    <w:rsid w:val="000C16CE"/>
    <w:rsid w:val="000C1784"/>
    <w:rsid w:val="000C28A4"/>
    <w:rsid w:val="000C3DF9"/>
    <w:rsid w:val="000C3FE4"/>
    <w:rsid w:val="000C4DD6"/>
    <w:rsid w:val="000C5B61"/>
    <w:rsid w:val="000C5C86"/>
    <w:rsid w:val="000C5E49"/>
    <w:rsid w:val="000C6180"/>
    <w:rsid w:val="000C6713"/>
    <w:rsid w:val="000C7167"/>
    <w:rsid w:val="000C7298"/>
    <w:rsid w:val="000C7749"/>
    <w:rsid w:val="000C7DB6"/>
    <w:rsid w:val="000D0070"/>
    <w:rsid w:val="000D08AD"/>
    <w:rsid w:val="000D0F10"/>
    <w:rsid w:val="000D186A"/>
    <w:rsid w:val="000D1B19"/>
    <w:rsid w:val="000D1BFC"/>
    <w:rsid w:val="000D1D5D"/>
    <w:rsid w:val="000D22D4"/>
    <w:rsid w:val="000D281A"/>
    <w:rsid w:val="000D2848"/>
    <w:rsid w:val="000D29E6"/>
    <w:rsid w:val="000D2B39"/>
    <w:rsid w:val="000D3163"/>
    <w:rsid w:val="000D326A"/>
    <w:rsid w:val="000D3522"/>
    <w:rsid w:val="000D4312"/>
    <w:rsid w:val="000D475C"/>
    <w:rsid w:val="000D4F15"/>
    <w:rsid w:val="000D4F31"/>
    <w:rsid w:val="000D51FB"/>
    <w:rsid w:val="000D559A"/>
    <w:rsid w:val="000D6049"/>
    <w:rsid w:val="000D65EB"/>
    <w:rsid w:val="000D665F"/>
    <w:rsid w:val="000D69F1"/>
    <w:rsid w:val="000D6FF1"/>
    <w:rsid w:val="000D7432"/>
    <w:rsid w:val="000D75FD"/>
    <w:rsid w:val="000D77DE"/>
    <w:rsid w:val="000D799C"/>
    <w:rsid w:val="000D7B34"/>
    <w:rsid w:val="000D7EDD"/>
    <w:rsid w:val="000E0640"/>
    <w:rsid w:val="000E067A"/>
    <w:rsid w:val="000E0E20"/>
    <w:rsid w:val="000E135D"/>
    <w:rsid w:val="000E17E5"/>
    <w:rsid w:val="000E1977"/>
    <w:rsid w:val="000E1ACE"/>
    <w:rsid w:val="000E1F2F"/>
    <w:rsid w:val="000E2322"/>
    <w:rsid w:val="000E2341"/>
    <w:rsid w:val="000E26D4"/>
    <w:rsid w:val="000E2F3A"/>
    <w:rsid w:val="000E32D3"/>
    <w:rsid w:val="000E43FE"/>
    <w:rsid w:val="000E6CCB"/>
    <w:rsid w:val="000E6F32"/>
    <w:rsid w:val="000E7E40"/>
    <w:rsid w:val="000F00BA"/>
    <w:rsid w:val="000F0A17"/>
    <w:rsid w:val="000F0B8E"/>
    <w:rsid w:val="000F0BEE"/>
    <w:rsid w:val="000F1099"/>
    <w:rsid w:val="000F12DD"/>
    <w:rsid w:val="000F1BD5"/>
    <w:rsid w:val="000F1E12"/>
    <w:rsid w:val="000F2107"/>
    <w:rsid w:val="000F2386"/>
    <w:rsid w:val="000F24F1"/>
    <w:rsid w:val="000F2C1B"/>
    <w:rsid w:val="000F316A"/>
    <w:rsid w:val="000F3C74"/>
    <w:rsid w:val="000F3D4C"/>
    <w:rsid w:val="000F49F6"/>
    <w:rsid w:val="000F4BB8"/>
    <w:rsid w:val="000F4FA9"/>
    <w:rsid w:val="000F521E"/>
    <w:rsid w:val="000F53FB"/>
    <w:rsid w:val="000F63FD"/>
    <w:rsid w:val="000F6553"/>
    <w:rsid w:val="000F6F53"/>
    <w:rsid w:val="000F7127"/>
    <w:rsid w:val="000F715E"/>
    <w:rsid w:val="000F7184"/>
    <w:rsid w:val="000F72CC"/>
    <w:rsid w:val="000F75CD"/>
    <w:rsid w:val="000F7B54"/>
    <w:rsid w:val="000F7D04"/>
    <w:rsid w:val="001002D5"/>
    <w:rsid w:val="00100939"/>
    <w:rsid w:val="00100E89"/>
    <w:rsid w:val="00100EAB"/>
    <w:rsid w:val="00100F8A"/>
    <w:rsid w:val="00100F8E"/>
    <w:rsid w:val="00100FF7"/>
    <w:rsid w:val="001010D1"/>
    <w:rsid w:val="00101235"/>
    <w:rsid w:val="00101B4A"/>
    <w:rsid w:val="00101CA3"/>
    <w:rsid w:val="001025A1"/>
    <w:rsid w:val="001032A4"/>
    <w:rsid w:val="0010362A"/>
    <w:rsid w:val="001037F2"/>
    <w:rsid w:val="00103B1F"/>
    <w:rsid w:val="00103B52"/>
    <w:rsid w:val="00103B91"/>
    <w:rsid w:val="00103C1E"/>
    <w:rsid w:val="00103F24"/>
    <w:rsid w:val="001044A4"/>
    <w:rsid w:val="0010452E"/>
    <w:rsid w:val="001052E9"/>
    <w:rsid w:val="0010549C"/>
    <w:rsid w:val="0010549F"/>
    <w:rsid w:val="00105894"/>
    <w:rsid w:val="00105AE2"/>
    <w:rsid w:val="001060C6"/>
    <w:rsid w:val="0010634D"/>
    <w:rsid w:val="001063B0"/>
    <w:rsid w:val="001067DD"/>
    <w:rsid w:val="00106B80"/>
    <w:rsid w:val="00106C9C"/>
    <w:rsid w:val="00106E79"/>
    <w:rsid w:val="00107811"/>
    <w:rsid w:val="00107C57"/>
    <w:rsid w:val="00107DDA"/>
    <w:rsid w:val="00110140"/>
    <w:rsid w:val="0011032E"/>
    <w:rsid w:val="00110A65"/>
    <w:rsid w:val="001110AF"/>
    <w:rsid w:val="00112908"/>
    <w:rsid w:val="001130A1"/>
    <w:rsid w:val="0011348B"/>
    <w:rsid w:val="001134F5"/>
    <w:rsid w:val="00113653"/>
    <w:rsid w:val="00113D63"/>
    <w:rsid w:val="001141ED"/>
    <w:rsid w:val="001142B6"/>
    <w:rsid w:val="00114460"/>
    <w:rsid w:val="0011453F"/>
    <w:rsid w:val="00114A20"/>
    <w:rsid w:val="00115982"/>
    <w:rsid w:val="00115E88"/>
    <w:rsid w:val="001162C8"/>
    <w:rsid w:val="00116A6A"/>
    <w:rsid w:val="00116AFA"/>
    <w:rsid w:val="00116C53"/>
    <w:rsid w:val="00116EF5"/>
    <w:rsid w:val="0011733F"/>
    <w:rsid w:val="001179CE"/>
    <w:rsid w:val="00117D09"/>
    <w:rsid w:val="00117D87"/>
    <w:rsid w:val="001208FE"/>
    <w:rsid w:val="00120BDD"/>
    <w:rsid w:val="00121160"/>
    <w:rsid w:val="00121799"/>
    <w:rsid w:val="0012216A"/>
    <w:rsid w:val="001222FC"/>
    <w:rsid w:val="001227E7"/>
    <w:rsid w:val="00122C69"/>
    <w:rsid w:val="00122F46"/>
    <w:rsid w:val="00123902"/>
    <w:rsid w:val="00124250"/>
    <w:rsid w:val="001245D1"/>
    <w:rsid w:val="00124A51"/>
    <w:rsid w:val="00124D53"/>
    <w:rsid w:val="001250D6"/>
    <w:rsid w:val="00125718"/>
    <w:rsid w:val="00126284"/>
    <w:rsid w:val="0012634B"/>
    <w:rsid w:val="001264D1"/>
    <w:rsid w:val="00126512"/>
    <w:rsid w:val="00126621"/>
    <w:rsid w:val="00126761"/>
    <w:rsid w:val="00126B1D"/>
    <w:rsid w:val="00126B34"/>
    <w:rsid w:val="00126CDC"/>
    <w:rsid w:val="00126F91"/>
    <w:rsid w:val="001272D8"/>
    <w:rsid w:val="00127838"/>
    <w:rsid w:val="001279AD"/>
    <w:rsid w:val="00127A78"/>
    <w:rsid w:val="00127C50"/>
    <w:rsid w:val="00127D77"/>
    <w:rsid w:val="00127D7E"/>
    <w:rsid w:val="00127DFB"/>
    <w:rsid w:val="001301E9"/>
    <w:rsid w:val="00131068"/>
    <w:rsid w:val="00131785"/>
    <w:rsid w:val="00131D62"/>
    <w:rsid w:val="00131D82"/>
    <w:rsid w:val="0013210B"/>
    <w:rsid w:val="00132B22"/>
    <w:rsid w:val="001333C6"/>
    <w:rsid w:val="00133D36"/>
    <w:rsid w:val="00133D70"/>
    <w:rsid w:val="00134DBA"/>
    <w:rsid w:val="00134DD3"/>
    <w:rsid w:val="00134F53"/>
    <w:rsid w:val="0013517B"/>
    <w:rsid w:val="00135E7C"/>
    <w:rsid w:val="0013617B"/>
    <w:rsid w:val="00136C48"/>
    <w:rsid w:val="001371DE"/>
    <w:rsid w:val="00137645"/>
    <w:rsid w:val="00137A7A"/>
    <w:rsid w:val="0014015A"/>
    <w:rsid w:val="00140E99"/>
    <w:rsid w:val="0014155A"/>
    <w:rsid w:val="00142190"/>
    <w:rsid w:val="00142985"/>
    <w:rsid w:val="00142F77"/>
    <w:rsid w:val="001432EA"/>
    <w:rsid w:val="001438DC"/>
    <w:rsid w:val="00143DB8"/>
    <w:rsid w:val="00143F53"/>
    <w:rsid w:val="00143F67"/>
    <w:rsid w:val="0014410E"/>
    <w:rsid w:val="0014427B"/>
    <w:rsid w:val="00144302"/>
    <w:rsid w:val="0014492D"/>
    <w:rsid w:val="0014534F"/>
    <w:rsid w:val="00145540"/>
    <w:rsid w:val="00145654"/>
    <w:rsid w:val="001456B0"/>
    <w:rsid w:val="00145CA7"/>
    <w:rsid w:val="00146122"/>
    <w:rsid w:val="00146D57"/>
    <w:rsid w:val="001470AB"/>
    <w:rsid w:val="0014729B"/>
    <w:rsid w:val="00147476"/>
    <w:rsid w:val="0014769A"/>
    <w:rsid w:val="001506D2"/>
    <w:rsid w:val="00150F4F"/>
    <w:rsid w:val="001513A9"/>
    <w:rsid w:val="001513D3"/>
    <w:rsid w:val="0015183A"/>
    <w:rsid w:val="00151B3B"/>
    <w:rsid w:val="00151B94"/>
    <w:rsid w:val="00151CFB"/>
    <w:rsid w:val="00151D30"/>
    <w:rsid w:val="00152C81"/>
    <w:rsid w:val="00153DDB"/>
    <w:rsid w:val="00153DF2"/>
    <w:rsid w:val="00153E68"/>
    <w:rsid w:val="00154F1D"/>
    <w:rsid w:val="00155C67"/>
    <w:rsid w:val="00155F99"/>
    <w:rsid w:val="00156F8F"/>
    <w:rsid w:val="00157130"/>
    <w:rsid w:val="001576B1"/>
    <w:rsid w:val="00157E27"/>
    <w:rsid w:val="0016047B"/>
    <w:rsid w:val="0016059C"/>
    <w:rsid w:val="00160602"/>
    <w:rsid w:val="00160A4C"/>
    <w:rsid w:val="00161016"/>
    <w:rsid w:val="00161044"/>
    <w:rsid w:val="00161473"/>
    <w:rsid w:val="0016163D"/>
    <w:rsid w:val="00161741"/>
    <w:rsid w:val="00161B80"/>
    <w:rsid w:val="00161D02"/>
    <w:rsid w:val="00162649"/>
    <w:rsid w:val="00162844"/>
    <w:rsid w:val="001628B7"/>
    <w:rsid w:val="00162913"/>
    <w:rsid w:val="0016324C"/>
    <w:rsid w:val="00163357"/>
    <w:rsid w:val="00163EFF"/>
    <w:rsid w:val="00163F66"/>
    <w:rsid w:val="001655EC"/>
    <w:rsid w:val="0016567E"/>
    <w:rsid w:val="001661FB"/>
    <w:rsid w:val="001666A4"/>
    <w:rsid w:val="001671A0"/>
    <w:rsid w:val="00167669"/>
    <w:rsid w:val="0016767F"/>
    <w:rsid w:val="00170649"/>
    <w:rsid w:val="00170F28"/>
    <w:rsid w:val="00171874"/>
    <w:rsid w:val="00171CB9"/>
    <w:rsid w:val="001727FE"/>
    <w:rsid w:val="00172D3E"/>
    <w:rsid w:val="00172E9C"/>
    <w:rsid w:val="00173565"/>
    <w:rsid w:val="001735F3"/>
    <w:rsid w:val="00173B07"/>
    <w:rsid w:val="00174781"/>
    <w:rsid w:val="00174DD1"/>
    <w:rsid w:val="00174E17"/>
    <w:rsid w:val="001750D9"/>
    <w:rsid w:val="00175144"/>
    <w:rsid w:val="001751FA"/>
    <w:rsid w:val="00175213"/>
    <w:rsid w:val="00175511"/>
    <w:rsid w:val="0017553C"/>
    <w:rsid w:val="0017588C"/>
    <w:rsid w:val="00175F0E"/>
    <w:rsid w:val="00176341"/>
    <w:rsid w:val="001769E3"/>
    <w:rsid w:val="00176E06"/>
    <w:rsid w:val="001777B5"/>
    <w:rsid w:val="00177B28"/>
    <w:rsid w:val="00177C60"/>
    <w:rsid w:val="00180B1C"/>
    <w:rsid w:val="00180F0B"/>
    <w:rsid w:val="00181D9C"/>
    <w:rsid w:val="00181E69"/>
    <w:rsid w:val="00181F22"/>
    <w:rsid w:val="00184B0E"/>
    <w:rsid w:val="00184B47"/>
    <w:rsid w:val="00185B29"/>
    <w:rsid w:val="0018677B"/>
    <w:rsid w:val="00186901"/>
    <w:rsid w:val="001874C2"/>
    <w:rsid w:val="0018752F"/>
    <w:rsid w:val="0018762F"/>
    <w:rsid w:val="00187934"/>
    <w:rsid w:val="00187936"/>
    <w:rsid w:val="00187D27"/>
    <w:rsid w:val="001909FD"/>
    <w:rsid w:val="00190B71"/>
    <w:rsid w:val="001910D4"/>
    <w:rsid w:val="00191139"/>
    <w:rsid w:val="00191634"/>
    <w:rsid w:val="00191722"/>
    <w:rsid w:val="00191870"/>
    <w:rsid w:val="00192A1A"/>
    <w:rsid w:val="00192A6B"/>
    <w:rsid w:val="00192B9E"/>
    <w:rsid w:val="00193838"/>
    <w:rsid w:val="00194AD8"/>
    <w:rsid w:val="00194D84"/>
    <w:rsid w:val="00194FDF"/>
    <w:rsid w:val="00195222"/>
    <w:rsid w:val="001952F0"/>
    <w:rsid w:val="001957D7"/>
    <w:rsid w:val="00195EBC"/>
    <w:rsid w:val="00196004"/>
    <w:rsid w:val="0019637A"/>
    <w:rsid w:val="0019669B"/>
    <w:rsid w:val="00196B23"/>
    <w:rsid w:val="001973CC"/>
    <w:rsid w:val="001975D8"/>
    <w:rsid w:val="001977C9"/>
    <w:rsid w:val="00197950"/>
    <w:rsid w:val="00197996"/>
    <w:rsid w:val="001A077C"/>
    <w:rsid w:val="001A07A8"/>
    <w:rsid w:val="001A0A26"/>
    <w:rsid w:val="001A1712"/>
    <w:rsid w:val="001A178E"/>
    <w:rsid w:val="001A197B"/>
    <w:rsid w:val="001A1C39"/>
    <w:rsid w:val="001A1E5E"/>
    <w:rsid w:val="001A2111"/>
    <w:rsid w:val="001A2202"/>
    <w:rsid w:val="001A2A77"/>
    <w:rsid w:val="001A2D30"/>
    <w:rsid w:val="001A2FA0"/>
    <w:rsid w:val="001A43FA"/>
    <w:rsid w:val="001A462E"/>
    <w:rsid w:val="001A47C5"/>
    <w:rsid w:val="001A5609"/>
    <w:rsid w:val="001A59FB"/>
    <w:rsid w:val="001A5C09"/>
    <w:rsid w:val="001A5E9E"/>
    <w:rsid w:val="001A6354"/>
    <w:rsid w:val="001A6366"/>
    <w:rsid w:val="001A681E"/>
    <w:rsid w:val="001A6A71"/>
    <w:rsid w:val="001A74F1"/>
    <w:rsid w:val="001A750E"/>
    <w:rsid w:val="001A7AE8"/>
    <w:rsid w:val="001A7B46"/>
    <w:rsid w:val="001A7D2E"/>
    <w:rsid w:val="001B0055"/>
    <w:rsid w:val="001B0237"/>
    <w:rsid w:val="001B028B"/>
    <w:rsid w:val="001B0E1F"/>
    <w:rsid w:val="001B1676"/>
    <w:rsid w:val="001B1A74"/>
    <w:rsid w:val="001B1DB8"/>
    <w:rsid w:val="001B1F0D"/>
    <w:rsid w:val="001B204E"/>
    <w:rsid w:val="001B21C7"/>
    <w:rsid w:val="001B2372"/>
    <w:rsid w:val="001B243A"/>
    <w:rsid w:val="001B24AB"/>
    <w:rsid w:val="001B3443"/>
    <w:rsid w:val="001B3B71"/>
    <w:rsid w:val="001B41E5"/>
    <w:rsid w:val="001B43AE"/>
    <w:rsid w:val="001B456D"/>
    <w:rsid w:val="001B4694"/>
    <w:rsid w:val="001B46CC"/>
    <w:rsid w:val="001B4D20"/>
    <w:rsid w:val="001B5383"/>
    <w:rsid w:val="001B5A2A"/>
    <w:rsid w:val="001B5AB7"/>
    <w:rsid w:val="001B5E8E"/>
    <w:rsid w:val="001B5F0A"/>
    <w:rsid w:val="001B62FD"/>
    <w:rsid w:val="001B6403"/>
    <w:rsid w:val="001B640E"/>
    <w:rsid w:val="001B7FCA"/>
    <w:rsid w:val="001C0D60"/>
    <w:rsid w:val="001C1029"/>
    <w:rsid w:val="001C13AB"/>
    <w:rsid w:val="001C1BFF"/>
    <w:rsid w:val="001C2633"/>
    <w:rsid w:val="001C289B"/>
    <w:rsid w:val="001C2A9B"/>
    <w:rsid w:val="001C3099"/>
    <w:rsid w:val="001C34A0"/>
    <w:rsid w:val="001C362D"/>
    <w:rsid w:val="001C380C"/>
    <w:rsid w:val="001C3817"/>
    <w:rsid w:val="001C3AE6"/>
    <w:rsid w:val="001C3E6E"/>
    <w:rsid w:val="001C3FF4"/>
    <w:rsid w:val="001C4082"/>
    <w:rsid w:val="001C4299"/>
    <w:rsid w:val="001C450A"/>
    <w:rsid w:val="001C470C"/>
    <w:rsid w:val="001C4874"/>
    <w:rsid w:val="001C496E"/>
    <w:rsid w:val="001C560B"/>
    <w:rsid w:val="001C56D9"/>
    <w:rsid w:val="001C5A52"/>
    <w:rsid w:val="001C5F94"/>
    <w:rsid w:val="001C6224"/>
    <w:rsid w:val="001C6A92"/>
    <w:rsid w:val="001C6E66"/>
    <w:rsid w:val="001C6F97"/>
    <w:rsid w:val="001C79D8"/>
    <w:rsid w:val="001C7A45"/>
    <w:rsid w:val="001C7A87"/>
    <w:rsid w:val="001D0FDF"/>
    <w:rsid w:val="001D1100"/>
    <w:rsid w:val="001D1136"/>
    <w:rsid w:val="001D1391"/>
    <w:rsid w:val="001D1CDE"/>
    <w:rsid w:val="001D2567"/>
    <w:rsid w:val="001D25D7"/>
    <w:rsid w:val="001D2A89"/>
    <w:rsid w:val="001D3112"/>
    <w:rsid w:val="001D3283"/>
    <w:rsid w:val="001D331E"/>
    <w:rsid w:val="001D3694"/>
    <w:rsid w:val="001D3884"/>
    <w:rsid w:val="001D38D2"/>
    <w:rsid w:val="001D3F22"/>
    <w:rsid w:val="001D4FA4"/>
    <w:rsid w:val="001D50B2"/>
    <w:rsid w:val="001D6901"/>
    <w:rsid w:val="001D7346"/>
    <w:rsid w:val="001D7645"/>
    <w:rsid w:val="001E06ED"/>
    <w:rsid w:val="001E1627"/>
    <w:rsid w:val="001E1B54"/>
    <w:rsid w:val="001E1DBC"/>
    <w:rsid w:val="001E1E86"/>
    <w:rsid w:val="001E1EBF"/>
    <w:rsid w:val="001E1FBA"/>
    <w:rsid w:val="001E22E2"/>
    <w:rsid w:val="001E238E"/>
    <w:rsid w:val="001E2483"/>
    <w:rsid w:val="001E2B1E"/>
    <w:rsid w:val="001E2CFF"/>
    <w:rsid w:val="001E2F24"/>
    <w:rsid w:val="001E30D4"/>
    <w:rsid w:val="001E340B"/>
    <w:rsid w:val="001E34DF"/>
    <w:rsid w:val="001E3708"/>
    <w:rsid w:val="001E3CFC"/>
    <w:rsid w:val="001E3F07"/>
    <w:rsid w:val="001E3F6A"/>
    <w:rsid w:val="001E471A"/>
    <w:rsid w:val="001E4970"/>
    <w:rsid w:val="001E4983"/>
    <w:rsid w:val="001E4FAC"/>
    <w:rsid w:val="001E5175"/>
    <w:rsid w:val="001E52EB"/>
    <w:rsid w:val="001E61AC"/>
    <w:rsid w:val="001E61D2"/>
    <w:rsid w:val="001E6C2D"/>
    <w:rsid w:val="001E740C"/>
    <w:rsid w:val="001E7438"/>
    <w:rsid w:val="001E76C0"/>
    <w:rsid w:val="001E7E27"/>
    <w:rsid w:val="001F01A0"/>
    <w:rsid w:val="001F0912"/>
    <w:rsid w:val="001F0A63"/>
    <w:rsid w:val="001F0BEC"/>
    <w:rsid w:val="001F1172"/>
    <w:rsid w:val="001F1235"/>
    <w:rsid w:val="001F1CB3"/>
    <w:rsid w:val="001F1CB4"/>
    <w:rsid w:val="001F2405"/>
    <w:rsid w:val="001F24D7"/>
    <w:rsid w:val="001F38B5"/>
    <w:rsid w:val="001F4081"/>
    <w:rsid w:val="001F4671"/>
    <w:rsid w:val="001F582D"/>
    <w:rsid w:val="001F5A21"/>
    <w:rsid w:val="001F5B9B"/>
    <w:rsid w:val="001F64DE"/>
    <w:rsid w:val="001F70E5"/>
    <w:rsid w:val="001F7199"/>
    <w:rsid w:val="001F7361"/>
    <w:rsid w:val="001F767E"/>
    <w:rsid w:val="001F785F"/>
    <w:rsid w:val="001F7FEC"/>
    <w:rsid w:val="002001B1"/>
    <w:rsid w:val="00200827"/>
    <w:rsid w:val="002011B0"/>
    <w:rsid w:val="00201406"/>
    <w:rsid w:val="002015A7"/>
    <w:rsid w:val="00202B4A"/>
    <w:rsid w:val="00202FF8"/>
    <w:rsid w:val="00203181"/>
    <w:rsid w:val="00203783"/>
    <w:rsid w:val="00203856"/>
    <w:rsid w:val="0020385F"/>
    <w:rsid w:val="00203BF0"/>
    <w:rsid w:val="00203F4F"/>
    <w:rsid w:val="00204E88"/>
    <w:rsid w:val="00205395"/>
    <w:rsid w:val="002056BA"/>
    <w:rsid w:val="00205787"/>
    <w:rsid w:val="002058CC"/>
    <w:rsid w:val="002063C1"/>
    <w:rsid w:val="002068A0"/>
    <w:rsid w:val="00207021"/>
    <w:rsid w:val="0020732F"/>
    <w:rsid w:val="0020741D"/>
    <w:rsid w:val="00207562"/>
    <w:rsid w:val="002075A1"/>
    <w:rsid w:val="00207988"/>
    <w:rsid w:val="00207A98"/>
    <w:rsid w:val="00207CB1"/>
    <w:rsid w:val="00207D00"/>
    <w:rsid w:val="00207D9F"/>
    <w:rsid w:val="00210280"/>
    <w:rsid w:val="002105C1"/>
    <w:rsid w:val="002106B5"/>
    <w:rsid w:val="002107A9"/>
    <w:rsid w:val="0021087E"/>
    <w:rsid w:val="00211BEE"/>
    <w:rsid w:val="00211DFA"/>
    <w:rsid w:val="002122C2"/>
    <w:rsid w:val="002124B7"/>
    <w:rsid w:val="00212522"/>
    <w:rsid w:val="00212A2F"/>
    <w:rsid w:val="00212D90"/>
    <w:rsid w:val="00212E9F"/>
    <w:rsid w:val="00213352"/>
    <w:rsid w:val="0021335F"/>
    <w:rsid w:val="00213932"/>
    <w:rsid w:val="00213984"/>
    <w:rsid w:val="00213C6A"/>
    <w:rsid w:val="00213EF5"/>
    <w:rsid w:val="00214D52"/>
    <w:rsid w:val="00214D8A"/>
    <w:rsid w:val="00214FA2"/>
    <w:rsid w:val="00215008"/>
    <w:rsid w:val="002154FE"/>
    <w:rsid w:val="00215946"/>
    <w:rsid w:val="00215A51"/>
    <w:rsid w:val="00215BE5"/>
    <w:rsid w:val="00215F3C"/>
    <w:rsid w:val="00216BF5"/>
    <w:rsid w:val="00217BDE"/>
    <w:rsid w:val="00217FA4"/>
    <w:rsid w:val="0022021F"/>
    <w:rsid w:val="002202E5"/>
    <w:rsid w:val="00220D15"/>
    <w:rsid w:val="0022102E"/>
    <w:rsid w:val="00221AA5"/>
    <w:rsid w:val="0022203F"/>
    <w:rsid w:val="0022243E"/>
    <w:rsid w:val="00222DCB"/>
    <w:rsid w:val="002233A4"/>
    <w:rsid w:val="00223562"/>
    <w:rsid w:val="002236D3"/>
    <w:rsid w:val="00223B49"/>
    <w:rsid w:val="00223D5A"/>
    <w:rsid w:val="002240E6"/>
    <w:rsid w:val="00224192"/>
    <w:rsid w:val="00224209"/>
    <w:rsid w:val="002246E5"/>
    <w:rsid w:val="0022477E"/>
    <w:rsid w:val="002249FC"/>
    <w:rsid w:val="00224B4F"/>
    <w:rsid w:val="00224DD4"/>
    <w:rsid w:val="0022500F"/>
    <w:rsid w:val="0022550A"/>
    <w:rsid w:val="002258B6"/>
    <w:rsid w:val="00226157"/>
    <w:rsid w:val="00226635"/>
    <w:rsid w:val="002269C3"/>
    <w:rsid w:val="00227525"/>
    <w:rsid w:val="002278A0"/>
    <w:rsid w:val="00227C61"/>
    <w:rsid w:val="00227E55"/>
    <w:rsid w:val="0023063E"/>
    <w:rsid w:val="002309CC"/>
    <w:rsid w:val="00230B5A"/>
    <w:rsid w:val="0023209F"/>
    <w:rsid w:val="002322BB"/>
    <w:rsid w:val="0023248F"/>
    <w:rsid w:val="00232747"/>
    <w:rsid w:val="00232AE2"/>
    <w:rsid w:val="00232B7B"/>
    <w:rsid w:val="00232D1A"/>
    <w:rsid w:val="00233A27"/>
    <w:rsid w:val="00233A4B"/>
    <w:rsid w:val="00233C01"/>
    <w:rsid w:val="0023410A"/>
    <w:rsid w:val="0023413C"/>
    <w:rsid w:val="002346F0"/>
    <w:rsid w:val="0023499B"/>
    <w:rsid w:val="0023629D"/>
    <w:rsid w:val="00236693"/>
    <w:rsid w:val="002369C2"/>
    <w:rsid w:val="00236B97"/>
    <w:rsid w:val="00236E23"/>
    <w:rsid w:val="0023708E"/>
    <w:rsid w:val="002370A4"/>
    <w:rsid w:val="00237255"/>
    <w:rsid w:val="002373B4"/>
    <w:rsid w:val="00237DCA"/>
    <w:rsid w:val="0024051A"/>
    <w:rsid w:val="00240EDC"/>
    <w:rsid w:val="00241644"/>
    <w:rsid w:val="00241672"/>
    <w:rsid w:val="00241E13"/>
    <w:rsid w:val="002420FB"/>
    <w:rsid w:val="00242227"/>
    <w:rsid w:val="002424AF"/>
    <w:rsid w:val="00242B58"/>
    <w:rsid w:val="00242D87"/>
    <w:rsid w:val="00242EC5"/>
    <w:rsid w:val="0024319A"/>
    <w:rsid w:val="00243816"/>
    <w:rsid w:val="002439DC"/>
    <w:rsid w:val="00243E34"/>
    <w:rsid w:val="00244095"/>
    <w:rsid w:val="002441D2"/>
    <w:rsid w:val="00244D29"/>
    <w:rsid w:val="00244DC8"/>
    <w:rsid w:val="00244F90"/>
    <w:rsid w:val="002458BA"/>
    <w:rsid w:val="00245CE9"/>
    <w:rsid w:val="0024636C"/>
    <w:rsid w:val="0024671E"/>
    <w:rsid w:val="00246743"/>
    <w:rsid w:val="00246CFA"/>
    <w:rsid w:val="00246D5C"/>
    <w:rsid w:val="002475FB"/>
    <w:rsid w:val="00247925"/>
    <w:rsid w:val="00250660"/>
    <w:rsid w:val="00250BA4"/>
    <w:rsid w:val="00251006"/>
    <w:rsid w:val="00251801"/>
    <w:rsid w:val="00251858"/>
    <w:rsid w:val="00251A68"/>
    <w:rsid w:val="00251AB1"/>
    <w:rsid w:val="00251C18"/>
    <w:rsid w:val="002524D5"/>
    <w:rsid w:val="00252A17"/>
    <w:rsid w:val="00252FAD"/>
    <w:rsid w:val="0025320D"/>
    <w:rsid w:val="002532F4"/>
    <w:rsid w:val="00253308"/>
    <w:rsid w:val="00253B1D"/>
    <w:rsid w:val="0025419F"/>
    <w:rsid w:val="002541DE"/>
    <w:rsid w:val="002542BE"/>
    <w:rsid w:val="0025451A"/>
    <w:rsid w:val="00254863"/>
    <w:rsid w:val="00254DCF"/>
    <w:rsid w:val="00254E02"/>
    <w:rsid w:val="00254E6B"/>
    <w:rsid w:val="0025534B"/>
    <w:rsid w:val="0025546A"/>
    <w:rsid w:val="00255BB7"/>
    <w:rsid w:val="00257541"/>
    <w:rsid w:val="0025755F"/>
    <w:rsid w:val="00257A39"/>
    <w:rsid w:val="00257AC4"/>
    <w:rsid w:val="00260319"/>
    <w:rsid w:val="00261852"/>
    <w:rsid w:val="00261B6A"/>
    <w:rsid w:val="00261EEF"/>
    <w:rsid w:val="00261F6D"/>
    <w:rsid w:val="0026276C"/>
    <w:rsid w:val="00262A1A"/>
    <w:rsid w:val="00262A87"/>
    <w:rsid w:val="00263364"/>
    <w:rsid w:val="00263500"/>
    <w:rsid w:val="00263D2B"/>
    <w:rsid w:val="0026410B"/>
    <w:rsid w:val="002645C7"/>
    <w:rsid w:val="00264CB7"/>
    <w:rsid w:val="00264D26"/>
    <w:rsid w:val="00265214"/>
    <w:rsid w:val="00265446"/>
    <w:rsid w:val="00265B16"/>
    <w:rsid w:val="0026639B"/>
    <w:rsid w:val="00266ECE"/>
    <w:rsid w:val="00267122"/>
    <w:rsid w:val="0026753C"/>
    <w:rsid w:val="00267642"/>
    <w:rsid w:val="00267AEA"/>
    <w:rsid w:val="00267EBC"/>
    <w:rsid w:val="002700E6"/>
    <w:rsid w:val="00270B6F"/>
    <w:rsid w:val="00270C1F"/>
    <w:rsid w:val="00271706"/>
    <w:rsid w:val="00271AC4"/>
    <w:rsid w:val="00271AC6"/>
    <w:rsid w:val="0027294B"/>
    <w:rsid w:val="00273100"/>
    <w:rsid w:val="00273EB4"/>
    <w:rsid w:val="0027406B"/>
    <w:rsid w:val="002740C9"/>
    <w:rsid w:val="002745C0"/>
    <w:rsid w:val="00274682"/>
    <w:rsid w:val="00274D25"/>
    <w:rsid w:val="00275283"/>
    <w:rsid w:val="002756DE"/>
    <w:rsid w:val="00275C5A"/>
    <w:rsid w:val="00275E33"/>
    <w:rsid w:val="0027633D"/>
    <w:rsid w:val="002765FD"/>
    <w:rsid w:val="0027662F"/>
    <w:rsid w:val="002766AC"/>
    <w:rsid w:val="0027749A"/>
    <w:rsid w:val="00280483"/>
    <w:rsid w:val="0028080D"/>
    <w:rsid w:val="00280933"/>
    <w:rsid w:val="00281014"/>
    <w:rsid w:val="002814B4"/>
    <w:rsid w:val="002817E8"/>
    <w:rsid w:val="00281D1E"/>
    <w:rsid w:val="00282389"/>
    <w:rsid w:val="00282B8F"/>
    <w:rsid w:val="00282C7B"/>
    <w:rsid w:val="0028309C"/>
    <w:rsid w:val="0028324C"/>
    <w:rsid w:val="00283321"/>
    <w:rsid w:val="002838B7"/>
    <w:rsid w:val="002845A1"/>
    <w:rsid w:val="00284E37"/>
    <w:rsid w:val="00285907"/>
    <w:rsid w:val="00285E15"/>
    <w:rsid w:val="002865AD"/>
    <w:rsid w:val="0028665D"/>
    <w:rsid w:val="00286BA1"/>
    <w:rsid w:val="0028727E"/>
    <w:rsid w:val="00287D45"/>
    <w:rsid w:val="002903C0"/>
    <w:rsid w:val="002903C2"/>
    <w:rsid w:val="002908D2"/>
    <w:rsid w:val="00291044"/>
    <w:rsid w:val="00291565"/>
    <w:rsid w:val="00291900"/>
    <w:rsid w:val="00291A9A"/>
    <w:rsid w:val="00291F85"/>
    <w:rsid w:val="002936F3"/>
    <w:rsid w:val="00293C61"/>
    <w:rsid w:val="00293EA4"/>
    <w:rsid w:val="00293EA5"/>
    <w:rsid w:val="0029467C"/>
    <w:rsid w:val="00294DD6"/>
    <w:rsid w:val="002950F4"/>
    <w:rsid w:val="0029513E"/>
    <w:rsid w:val="00296229"/>
    <w:rsid w:val="00296632"/>
    <w:rsid w:val="00296F44"/>
    <w:rsid w:val="00297139"/>
    <w:rsid w:val="002979E5"/>
    <w:rsid w:val="00297C0D"/>
    <w:rsid w:val="002A0538"/>
    <w:rsid w:val="002A0BBC"/>
    <w:rsid w:val="002A12EB"/>
    <w:rsid w:val="002A14AB"/>
    <w:rsid w:val="002A156D"/>
    <w:rsid w:val="002A2072"/>
    <w:rsid w:val="002A25AE"/>
    <w:rsid w:val="002A2A22"/>
    <w:rsid w:val="002A2A47"/>
    <w:rsid w:val="002A2ADC"/>
    <w:rsid w:val="002A2ADE"/>
    <w:rsid w:val="002A2F50"/>
    <w:rsid w:val="002A2F9F"/>
    <w:rsid w:val="002A30B6"/>
    <w:rsid w:val="002A3AC3"/>
    <w:rsid w:val="002A40AD"/>
    <w:rsid w:val="002A41CD"/>
    <w:rsid w:val="002A42C3"/>
    <w:rsid w:val="002A502C"/>
    <w:rsid w:val="002A5714"/>
    <w:rsid w:val="002A5B58"/>
    <w:rsid w:val="002A5E5F"/>
    <w:rsid w:val="002A5FF8"/>
    <w:rsid w:val="002A617C"/>
    <w:rsid w:val="002A6745"/>
    <w:rsid w:val="002A72A1"/>
    <w:rsid w:val="002A7484"/>
    <w:rsid w:val="002A77BD"/>
    <w:rsid w:val="002B047B"/>
    <w:rsid w:val="002B05A1"/>
    <w:rsid w:val="002B09A4"/>
    <w:rsid w:val="002B0F69"/>
    <w:rsid w:val="002B10FA"/>
    <w:rsid w:val="002B17E9"/>
    <w:rsid w:val="002B1C19"/>
    <w:rsid w:val="002B1C1F"/>
    <w:rsid w:val="002B257C"/>
    <w:rsid w:val="002B2627"/>
    <w:rsid w:val="002B2AB3"/>
    <w:rsid w:val="002B2B50"/>
    <w:rsid w:val="002B363A"/>
    <w:rsid w:val="002B3D8E"/>
    <w:rsid w:val="002B3DD4"/>
    <w:rsid w:val="002B3E89"/>
    <w:rsid w:val="002B400A"/>
    <w:rsid w:val="002B4282"/>
    <w:rsid w:val="002B432F"/>
    <w:rsid w:val="002B46A0"/>
    <w:rsid w:val="002B5C91"/>
    <w:rsid w:val="002B62B3"/>
    <w:rsid w:val="002B6667"/>
    <w:rsid w:val="002B6754"/>
    <w:rsid w:val="002B6CCE"/>
    <w:rsid w:val="002B6FE5"/>
    <w:rsid w:val="002B7C9B"/>
    <w:rsid w:val="002B7E24"/>
    <w:rsid w:val="002C0C3F"/>
    <w:rsid w:val="002C0E81"/>
    <w:rsid w:val="002C1AD9"/>
    <w:rsid w:val="002C1D9E"/>
    <w:rsid w:val="002C2510"/>
    <w:rsid w:val="002C271F"/>
    <w:rsid w:val="002C2775"/>
    <w:rsid w:val="002C27C1"/>
    <w:rsid w:val="002C2810"/>
    <w:rsid w:val="002C2996"/>
    <w:rsid w:val="002C2CE0"/>
    <w:rsid w:val="002C3655"/>
    <w:rsid w:val="002C366F"/>
    <w:rsid w:val="002C3A18"/>
    <w:rsid w:val="002C4575"/>
    <w:rsid w:val="002C5099"/>
    <w:rsid w:val="002C5213"/>
    <w:rsid w:val="002C5889"/>
    <w:rsid w:val="002C6063"/>
    <w:rsid w:val="002C70D0"/>
    <w:rsid w:val="002C71CE"/>
    <w:rsid w:val="002C7B41"/>
    <w:rsid w:val="002D03E9"/>
    <w:rsid w:val="002D04CF"/>
    <w:rsid w:val="002D08F8"/>
    <w:rsid w:val="002D0BC9"/>
    <w:rsid w:val="002D0D6F"/>
    <w:rsid w:val="002D0DF7"/>
    <w:rsid w:val="002D2978"/>
    <w:rsid w:val="002D3514"/>
    <w:rsid w:val="002D3865"/>
    <w:rsid w:val="002D387A"/>
    <w:rsid w:val="002D3A3E"/>
    <w:rsid w:val="002D4218"/>
    <w:rsid w:val="002D45DF"/>
    <w:rsid w:val="002D4EF9"/>
    <w:rsid w:val="002D5537"/>
    <w:rsid w:val="002D5563"/>
    <w:rsid w:val="002D577C"/>
    <w:rsid w:val="002D6331"/>
    <w:rsid w:val="002D69C8"/>
    <w:rsid w:val="002D6B15"/>
    <w:rsid w:val="002D6B64"/>
    <w:rsid w:val="002D72B1"/>
    <w:rsid w:val="002D7F5F"/>
    <w:rsid w:val="002E0DAE"/>
    <w:rsid w:val="002E0E1B"/>
    <w:rsid w:val="002E1071"/>
    <w:rsid w:val="002E14AF"/>
    <w:rsid w:val="002E15B9"/>
    <w:rsid w:val="002E1763"/>
    <w:rsid w:val="002E1784"/>
    <w:rsid w:val="002E18C2"/>
    <w:rsid w:val="002E1CEC"/>
    <w:rsid w:val="002E1F2E"/>
    <w:rsid w:val="002E2044"/>
    <w:rsid w:val="002E2158"/>
    <w:rsid w:val="002E2507"/>
    <w:rsid w:val="002E2D6C"/>
    <w:rsid w:val="002E3302"/>
    <w:rsid w:val="002E4722"/>
    <w:rsid w:val="002E4AA3"/>
    <w:rsid w:val="002E4AEF"/>
    <w:rsid w:val="002E4F02"/>
    <w:rsid w:val="002E516C"/>
    <w:rsid w:val="002E51C8"/>
    <w:rsid w:val="002E56D9"/>
    <w:rsid w:val="002E6059"/>
    <w:rsid w:val="002E7579"/>
    <w:rsid w:val="002E7722"/>
    <w:rsid w:val="002E77F2"/>
    <w:rsid w:val="002E7991"/>
    <w:rsid w:val="002E7FAF"/>
    <w:rsid w:val="002F07BA"/>
    <w:rsid w:val="002F0DA9"/>
    <w:rsid w:val="002F0EF2"/>
    <w:rsid w:val="002F1014"/>
    <w:rsid w:val="002F14A1"/>
    <w:rsid w:val="002F1952"/>
    <w:rsid w:val="002F1A74"/>
    <w:rsid w:val="002F1ACA"/>
    <w:rsid w:val="002F1B77"/>
    <w:rsid w:val="002F1E13"/>
    <w:rsid w:val="002F3410"/>
    <w:rsid w:val="002F3AA5"/>
    <w:rsid w:val="002F3F00"/>
    <w:rsid w:val="002F41CD"/>
    <w:rsid w:val="002F4386"/>
    <w:rsid w:val="002F46A9"/>
    <w:rsid w:val="002F48F7"/>
    <w:rsid w:val="002F554F"/>
    <w:rsid w:val="002F621D"/>
    <w:rsid w:val="002F643C"/>
    <w:rsid w:val="002F6903"/>
    <w:rsid w:val="002F6F53"/>
    <w:rsid w:val="002F71C0"/>
    <w:rsid w:val="002F74F1"/>
    <w:rsid w:val="002F7563"/>
    <w:rsid w:val="002F7CCA"/>
    <w:rsid w:val="00300472"/>
    <w:rsid w:val="00301017"/>
    <w:rsid w:val="0030155F"/>
    <w:rsid w:val="003015B7"/>
    <w:rsid w:val="00301AA5"/>
    <w:rsid w:val="00301F78"/>
    <w:rsid w:val="00302120"/>
    <w:rsid w:val="00302975"/>
    <w:rsid w:val="00302C98"/>
    <w:rsid w:val="003036A4"/>
    <w:rsid w:val="00303909"/>
    <w:rsid w:val="00303EB8"/>
    <w:rsid w:val="003052D9"/>
    <w:rsid w:val="0030549C"/>
    <w:rsid w:val="0030587B"/>
    <w:rsid w:val="00305E79"/>
    <w:rsid w:val="003061D9"/>
    <w:rsid w:val="0030635B"/>
    <w:rsid w:val="0030655E"/>
    <w:rsid w:val="003069D1"/>
    <w:rsid w:val="00306D98"/>
    <w:rsid w:val="00306ECD"/>
    <w:rsid w:val="00306F34"/>
    <w:rsid w:val="00306F61"/>
    <w:rsid w:val="0030720D"/>
    <w:rsid w:val="0030759D"/>
    <w:rsid w:val="0030786C"/>
    <w:rsid w:val="00307E70"/>
    <w:rsid w:val="0031031A"/>
    <w:rsid w:val="00310981"/>
    <w:rsid w:val="0031108F"/>
    <w:rsid w:val="0031152E"/>
    <w:rsid w:val="003117B7"/>
    <w:rsid w:val="003118C2"/>
    <w:rsid w:val="00311DFA"/>
    <w:rsid w:val="003120F9"/>
    <w:rsid w:val="00312117"/>
    <w:rsid w:val="003124D9"/>
    <w:rsid w:val="00312594"/>
    <w:rsid w:val="00312645"/>
    <w:rsid w:val="00312FE6"/>
    <w:rsid w:val="0031302D"/>
    <w:rsid w:val="00313181"/>
    <w:rsid w:val="00313C3E"/>
    <w:rsid w:val="00313DAE"/>
    <w:rsid w:val="0031465C"/>
    <w:rsid w:val="00314FF2"/>
    <w:rsid w:val="00315047"/>
    <w:rsid w:val="00315498"/>
    <w:rsid w:val="00315B37"/>
    <w:rsid w:val="00316237"/>
    <w:rsid w:val="0031632B"/>
    <w:rsid w:val="00316474"/>
    <w:rsid w:val="00316644"/>
    <w:rsid w:val="00316B60"/>
    <w:rsid w:val="00316BF7"/>
    <w:rsid w:val="00316C36"/>
    <w:rsid w:val="00316D66"/>
    <w:rsid w:val="00317538"/>
    <w:rsid w:val="00317B69"/>
    <w:rsid w:val="0032045A"/>
    <w:rsid w:val="00320BDD"/>
    <w:rsid w:val="00320F07"/>
    <w:rsid w:val="00321296"/>
    <w:rsid w:val="00321A9E"/>
    <w:rsid w:val="00321CE2"/>
    <w:rsid w:val="00321DA6"/>
    <w:rsid w:val="00322107"/>
    <w:rsid w:val="00322355"/>
    <w:rsid w:val="00322846"/>
    <w:rsid w:val="003236F6"/>
    <w:rsid w:val="00323799"/>
    <w:rsid w:val="003237CA"/>
    <w:rsid w:val="00323BC8"/>
    <w:rsid w:val="00324C21"/>
    <w:rsid w:val="0032577A"/>
    <w:rsid w:val="00325D4A"/>
    <w:rsid w:val="00325DDE"/>
    <w:rsid w:val="00326563"/>
    <w:rsid w:val="003268AA"/>
    <w:rsid w:val="00326DA7"/>
    <w:rsid w:val="00327019"/>
    <w:rsid w:val="003270E4"/>
    <w:rsid w:val="0032741D"/>
    <w:rsid w:val="00327443"/>
    <w:rsid w:val="00327B7A"/>
    <w:rsid w:val="0033024A"/>
    <w:rsid w:val="00330DAA"/>
    <w:rsid w:val="00330F5C"/>
    <w:rsid w:val="00330FB0"/>
    <w:rsid w:val="003313E4"/>
    <w:rsid w:val="003317DE"/>
    <w:rsid w:val="003318FB"/>
    <w:rsid w:val="003319A3"/>
    <w:rsid w:val="0033208F"/>
    <w:rsid w:val="0033223F"/>
    <w:rsid w:val="00332A07"/>
    <w:rsid w:val="00334783"/>
    <w:rsid w:val="0033584A"/>
    <w:rsid w:val="00335B29"/>
    <w:rsid w:val="0033612F"/>
    <w:rsid w:val="003366C9"/>
    <w:rsid w:val="003368AA"/>
    <w:rsid w:val="003371B0"/>
    <w:rsid w:val="00337463"/>
    <w:rsid w:val="003374A0"/>
    <w:rsid w:val="00337574"/>
    <w:rsid w:val="00337EE0"/>
    <w:rsid w:val="00337EE7"/>
    <w:rsid w:val="00337F02"/>
    <w:rsid w:val="00340AC9"/>
    <w:rsid w:val="00340D1C"/>
    <w:rsid w:val="00340DF1"/>
    <w:rsid w:val="003410E3"/>
    <w:rsid w:val="003414E4"/>
    <w:rsid w:val="003414F3"/>
    <w:rsid w:val="00341C5A"/>
    <w:rsid w:val="0034234C"/>
    <w:rsid w:val="00342B5A"/>
    <w:rsid w:val="00342CFC"/>
    <w:rsid w:val="003433C2"/>
    <w:rsid w:val="003435B5"/>
    <w:rsid w:val="00343B65"/>
    <w:rsid w:val="003449F5"/>
    <w:rsid w:val="00345458"/>
    <w:rsid w:val="003454BF"/>
    <w:rsid w:val="00345AA5"/>
    <w:rsid w:val="00345CC7"/>
    <w:rsid w:val="00345D6C"/>
    <w:rsid w:val="003462FD"/>
    <w:rsid w:val="003464E7"/>
    <w:rsid w:val="00346637"/>
    <w:rsid w:val="003472EB"/>
    <w:rsid w:val="0035002A"/>
    <w:rsid w:val="003506A2"/>
    <w:rsid w:val="003507B4"/>
    <w:rsid w:val="003517F9"/>
    <w:rsid w:val="003518FD"/>
    <w:rsid w:val="00351BA9"/>
    <w:rsid w:val="00352050"/>
    <w:rsid w:val="00352274"/>
    <w:rsid w:val="00353207"/>
    <w:rsid w:val="00353EA2"/>
    <w:rsid w:val="00354304"/>
    <w:rsid w:val="00354747"/>
    <w:rsid w:val="00354E83"/>
    <w:rsid w:val="00354F64"/>
    <w:rsid w:val="00355BB1"/>
    <w:rsid w:val="00356100"/>
    <w:rsid w:val="0035620E"/>
    <w:rsid w:val="00356AA5"/>
    <w:rsid w:val="00356F54"/>
    <w:rsid w:val="00357734"/>
    <w:rsid w:val="00357825"/>
    <w:rsid w:val="00357CE4"/>
    <w:rsid w:val="00357F19"/>
    <w:rsid w:val="00360345"/>
    <w:rsid w:val="00360693"/>
    <w:rsid w:val="00361A05"/>
    <w:rsid w:val="003624C4"/>
    <w:rsid w:val="00363B00"/>
    <w:rsid w:val="0036421C"/>
    <w:rsid w:val="003642D6"/>
    <w:rsid w:val="003643DD"/>
    <w:rsid w:val="00365387"/>
    <w:rsid w:val="003654AC"/>
    <w:rsid w:val="003658DF"/>
    <w:rsid w:val="003666DE"/>
    <w:rsid w:val="00366AB3"/>
    <w:rsid w:val="00366F23"/>
    <w:rsid w:val="00366F2C"/>
    <w:rsid w:val="003670AD"/>
    <w:rsid w:val="00367817"/>
    <w:rsid w:val="00367855"/>
    <w:rsid w:val="00370419"/>
    <w:rsid w:val="003704C6"/>
    <w:rsid w:val="00370DF6"/>
    <w:rsid w:val="003710CF"/>
    <w:rsid w:val="00371E2B"/>
    <w:rsid w:val="003721C0"/>
    <w:rsid w:val="00372B94"/>
    <w:rsid w:val="0037358A"/>
    <w:rsid w:val="00373B86"/>
    <w:rsid w:val="00374900"/>
    <w:rsid w:val="00374B57"/>
    <w:rsid w:val="00374C81"/>
    <w:rsid w:val="00374CB8"/>
    <w:rsid w:val="003750F6"/>
    <w:rsid w:val="00375526"/>
    <w:rsid w:val="00375B63"/>
    <w:rsid w:val="00375D13"/>
    <w:rsid w:val="003760FC"/>
    <w:rsid w:val="00376162"/>
    <w:rsid w:val="00376356"/>
    <w:rsid w:val="0037783F"/>
    <w:rsid w:val="00377A21"/>
    <w:rsid w:val="00377F33"/>
    <w:rsid w:val="00380BB1"/>
    <w:rsid w:val="00381041"/>
    <w:rsid w:val="00382500"/>
    <w:rsid w:val="00382818"/>
    <w:rsid w:val="003828E0"/>
    <w:rsid w:val="00382EE2"/>
    <w:rsid w:val="0038365C"/>
    <w:rsid w:val="0038369B"/>
    <w:rsid w:val="00383B78"/>
    <w:rsid w:val="00383E53"/>
    <w:rsid w:val="00384384"/>
    <w:rsid w:val="003848E6"/>
    <w:rsid w:val="00384C40"/>
    <w:rsid w:val="00385001"/>
    <w:rsid w:val="00385A9D"/>
    <w:rsid w:val="00385B0E"/>
    <w:rsid w:val="0038631D"/>
    <w:rsid w:val="00386A70"/>
    <w:rsid w:val="00386D0D"/>
    <w:rsid w:val="003874DF"/>
    <w:rsid w:val="00390141"/>
    <w:rsid w:val="003902B1"/>
    <w:rsid w:val="00390A04"/>
    <w:rsid w:val="00390D63"/>
    <w:rsid w:val="00391293"/>
    <w:rsid w:val="0039179C"/>
    <w:rsid w:val="0039228C"/>
    <w:rsid w:val="003935C8"/>
    <w:rsid w:val="00393D2A"/>
    <w:rsid w:val="00394662"/>
    <w:rsid w:val="003953AD"/>
    <w:rsid w:val="00395845"/>
    <w:rsid w:val="00395C3B"/>
    <w:rsid w:val="00395D3A"/>
    <w:rsid w:val="0039629B"/>
    <w:rsid w:val="00396382"/>
    <w:rsid w:val="00396896"/>
    <w:rsid w:val="00396FD0"/>
    <w:rsid w:val="00397650"/>
    <w:rsid w:val="00397AE9"/>
    <w:rsid w:val="003A0D2F"/>
    <w:rsid w:val="003A1778"/>
    <w:rsid w:val="003A1A7A"/>
    <w:rsid w:val="003A1E41"/>
    <w:rsid w:val="003A1FB5"/>
    <w:rsid w:val="003A2346"/>
    <w:rsid w:val="003A2392"/>
    <w:rsid w:val="003A2831"/>
    <w:rsid w:val="003A2902"/>
    <w:rsid w:val="003A2CC0"/>
    <w:rsid w:val="003A2F58"/>
    <w:rsid w:val="003A3359"/>
    <w:rsid w:val="003A3AC4"/>
    <w:rsid w:val="003A3CB6"/>
    <w:rsid w:val="003A3ED1"/>
    <w:rsid w:val="003A41CF"/>
    <w:rsid w:val="003A43DD"/>
    <w:rsid w:val="003A445F"/>
    <w:rsid w:val="003A44DB"/>
    <w:rsid w:val="003A4959"/>
    <w:rsid w:val="003A4F60"/>
    <w:rsid w:val="003A4F96"/>
    <w:rsid w:val="003A504C"/>
    <w:rsid w:val="003A5219"/>
    <w:rsid w:val="003A55A0"/>
    <w:rsid w:val="003A5790"/>
    <w:rsid w:val="003A6E27"/>
    <w:rsid w:val="003A6F7B"/>
    <w:rsid w:val="003A796E"/>
    <w:rsid w:val="003B0162"/>
    <w:rsid w:val="003B0F97"/>
    <w:rsid w:val="003B16C6"/>
    <w:rsid w:val="003B1FAA"/>
    <w:rsid w:val="003B26A2"/>
    <w:rsid w:val="003B2A33"/>
    <w:rsid w:val="003B3022"/>
    <w:rsid w:val="003B3673"/>
    <w:rsid w:val="003B37ED"/>
    <w:rsid w:val="003B3971"/>
    <w:rsid w:val="003B3FA7"/>
    <w:rsid w:val="003B4C46"/>
    <w:rsid w:val="003B516A"/>
    <w:rsid w:val="003B51BA"/>
    <w:rsid w:val="003B51C1"/>
    <w:rsid w:val="003B55D1"/>
    <w:rsid w:val="003B5A67"/>
    <w:rsid w:val="003B5B61"/>
    <w:rsid w:val="003B5E12"/>
    <w:rsid w:val="003B60FA"/>
    <w:rsid w:val="003B7571"/>
    <w:rsid w:val="003B77D6"/>
    <w:rsid w:val="003C004E"/>
    <w:rsid w:val="003C0195"/>
    <w:rsid w:val="003C022C"/>
    <w:rsid w:val="003C084B"/>
    <w:rsid w:val="003C09A2"/>
    <w:rsid w:val="003C10D2"/>
    <w:rsid w:val="003C1654"/>
    <w:rsid w:val="003C197E"/>
    <w:rsid w:val="003C220A"/>
    <w:rsid w:val="003C2962"/>
    <w:rsid w:val="003C29E1"/>
    <w:rsid w:val="003C2BE3"/>
    <w:rsid w:val="003C3615"/>
    <w:rsid w:val="003C419A"/>
    <w:rsid w:val="003C45BB"/>
    <w:rsid w:val="003C4967"/>
    <w:rsid w:val="003C4B3D"/>
    <w:rsid w:val="003C4EEA"/>
    <w:rsid w:val="003C54F5"/>
    <w:rsid w:val="003C5542"/>
    <w:rsid w:val="003C5D86"/>
    <w:rsid w:val="003C6451"/>
    <w:rsid w:val="003C6636"/>
    <w:rsid w:val="003C68ED"/>
    <w:rsid w:val="003C76B6"/>
    <w:rsid w:val="003C7B7A"/>
    <w:rsid w:val="003C7D16"/>
    <w:rsid w:val="003C7D19"/>
    <w:rsid w:val="003C7D2F"/>
    <w:rsid w:val="003D0B42"/>
    <w:rsid w:val="003D10EE"/>
    <w:rsid w:val="003D1468"/>
    <w:rsid w:val="003D1828"/>
    <w:rsid w:val="003D1980"/>
    <w:rsid w:val="003D1C53"/>
    <w:rsid w:val="003D1DE4"/>
    <w:rsid w:val="003D1E9A"/>
    <w:rsid w:val="003D2422"/>
    <w:rsid w:val="003D2586"/>
    <w:rsid w:val="003D39A1"/>
    <w:rsid w:val="003D3EBA"/>
    <w:rsid w:val="003D3EEC"/>
    <w:rsid w:val="003D3FBF"/>
    <w:rsid w:val="003D40AE"/>
    <w:rsid w:val="003D4439"/>
    <w:rsid w:val="003D493E"/>
    <w:rsid w:val="003D4A30"/>
    <w:rsid w:val="003D4A81"/>
    <w:rsid w:val="003D4B78"/>
    <w:rsid w:val="003D4C33"/>
    <w:rsid w:val="003D5943"/>
    <w:rsid w:val="003D5AA6"/>
    <w:rsid w:val="003D63E8"/>
    <w:rsid w:val="003D649B"/>
    <w:rsid w:val="003D7108"/>
    <w:rsid w:val="003D711D"/>
    <w:rsid w:val="003D7452"/>
    <w:rsid w:val="003D79BB"/>
    <w:rsid w:val="003D7C98"/>
    <w:rsid w:val="003D7D9D"/>
    <w:rsid w:val="003E0543"/>
    <w:rsid w:val="003E081D"/>
    <w:rsid w:val="003E09E2"/>
    <w:rsid w:val="003E0BC4"/>
    <w:rsid w:val="003E0C81"/>
    <w:rsid w:val="003E0F82"/>
    <w:rsid w:val="003E141D"/>
    <w:rsid w:val="003E15E1"/>
    <w:rsid w:val="003E1AE8"/>
    <w:rsid w:val="003E1C05"/>
    <w:rsid w:val="003E284F"/>
    <w:rsid w:val="003E29E3"/>
    <w:rsid w:val="003E2AC1"/>
    <w:rsid w:val="003E2F6D"/>
    <w:rsid w:val="003E3173"/>
    <w:rsid w:val="003E3719"/>
    <w:rsid w:val="003E398F"/>
    <w:rsid w:val="003E39C2"/>
    <w:rsid w:val="003E3ECD"/>
    <w:rsid w:val="003E4176"/>
    <w:rsid w:val="003E47E4"/>
    <w:rsid w:val="003E494E"/>
    <w:rsid w:val="003E4B15"/>
    <w:rsid w:val="003E515E"/>
    <w:rsid w:val="003E5165"/>
    <w:rsid w:val="003E51E5"/>
    <w:rsid w:val="003E55D7"/>
    <w:rsid w:val="003E63E2"/>
    <w:rsid w:val="003E6CC9"/>
    <w:rsid w:val="003E737E"/>
    <w:rsid w:val="003E749E"/>
    <w:rsid w:val="003F02D3"/>
    <w:rsid w:val="003F0A07"/>
    <w:rsid w:val="003F0C96"/>
    <w:rsid w:val="003F1CBA"/>
    <w:rsid w:val="003F22FC"/>
    <w:rsid w:val="003F2697"/>
    <w:rsid w:val="003F29E5"/>
    <w:rsid w:val="003F2BC6"/>
    <w:rsid w:val="003F2D6F"/>
    <w:rsid w:val="003F2FED"/>
    <w:rsid w:val="003F3678"/>
    <w:rsid w:val="003F371D"/>
    <w:rsid w:val="003F372F"/>
    <w:rsid w:val="003F3991"/>
    <w:rsid w:val="003F40FB"/>
    <w:rsid w:val="003F4156"/>
    <w:rsid w:val="003F487A"/>
    <w:rsid w:val="003F489B"/>
    <w:rsid w:val="003F48E0"/>
    <w:rsid w:val="003F4AAF"/>
    <w:rsid w:val="003F531A"/>
    <w:rsid w:val="003F5ADF"/>
    <w:rsid w:val="003F5D36"/>
    <w:rsid w:val="003F6E36"/>
    <w:rsid w:val="003F6F86"/>
    <w:rsid w:val="003F7D0A"/>
    <w:rsid w:val="00400140"/>
    <w:rsid w:val="0040017E"/>
    <w:rsid w:val="00400B29"/>
    <w:rsid w:val="00400C58"/>
    <w:rsid w:val="00401392"/>
    <w:rsid w:val="0040141C"/>
    <w:rsid w:val="00401511"/>
    <w:rsid w:val="004018B6"/>
    <w:rsid w:val="00401BA4"/>
    <w:rsid w:val="004024D6"/>
    <w:rsid w:val="00402880"/>
    <w:rsid w:val="004033AA"/>
    <w:rsid w:val="004033BD"/>
    <w:rsid w:val="00403D27"/>
    <w:rsid w:val="00403F55"/>
    <w:rsid w:val="00404074"/>
    <w:rsid w:val="0040470C"/>
    <w:rsid w:val="0040504B"/>
    <w:rsid w:val="004055C6"/>
    <w:rsid w:val="004059F4"/>
    <w:rsid w:val="0040663E"/>
    <w:rsid w:val="0040768E"/>
    <w:rsid w:val="00407B60"/>
    <w:rsid w:val="00407F56"/>
    <w:rsid w:val="00407FE5"/>
    <w:rsid w:val="004101B0"/>
    <w:rsid w:val="00410326"/>
    <w:rsid w:val="00410708"/>
    <w:rsid w:val="00410B85"/>
    <w:rsid w:val="00410DF9"/>
    <w:rsid w:val="00410EC7"/>
    <w:rsid w:val="004117AF"/>
    <w:rsid w:val="00411A49"/>
    <w:rsid w:val="00411B39"/>
    <w:rsid w:val="00411DCB"/>
    <w:rsid w:val="00412681"/>
    <w:rsid w:val="004127A7"/>
    <w:rsid w:val="00413324"/>
    <w:rsid w:val="00413A1E"/>
    <w:rsid w:val="00413E39"/>
    <w:rsid w:val="00413EC6"/>
    <w:rsid w:val="004140A0"/>
    <w:rsid w:val="004143DE"/>
    <w:rsid w:val="00414476"/>
    <w:rsid w:val="00414C2E"/>
    <w:rsid w:val="00414D10"/>
    <w:rsid w:val="00414ED5"/>
    <w:rsid w:val="00414F42"/>
    <w:rsid w:val="00414FD3"/>
    <w:rsid w:val="004151CF"/>
    <w:rsid w:val="00415C6F"/>
    <w:rsid w:val="00416295"/>
    <w:rsid w:val="00416364"/>
    <w:rsid w:val="004164E7"/>
    <w:rsid w:val="00416974"/>
    <w:rsid w:val="00417572"/>
    <w:rsid w:val="00417645"/>
    <w:rsid w:val="00417968"/>
    <w:rsid w:val="00417CFE"/>
    <w:rsid w:val="00417ED9"/>
    <w:rsid w:val="0042047F"/>
    <w:rsid w:val="00420AA6"/>
    <w:rsid w:val="00420B9F"/>
    <w:rsid w:val="00421450"/>
    <w:rsid w:val="0042192C"/>
    <w:rsid w:val="004220F8"/>
    <w:rsid w:val="00422260"/>
    <w:rsid w:val="00422F0C"/>
    <w:rsid w:val="004232CF"/>
    <w:rsid w:val="00423B08"/>
    <w:rsid w:val="00423C66"/>
    <w:rsid w:val="00424124"/>
    <w:rsid w:val="0042413F"/>
    <w:rsid w:val="004245C3"/>
    <w:rsid w:val="00424D27"/>
    <w:rsid w:val="004261FA"/>
    <w:rsid w:val="0042671E"/>
    <w:rsid w:val="00426B98"/>
    <w:rsid w:val="00426EB0"/>
    <w:rsid w:val="00427967"/>
    <w:rsid w:val="00427B85"/>
    <w:rsid w:val="00430420"/>
    <w:rsid w:val="004305E7"/>
    <w:rsid w:val="00430BC1"/>
    <w:rsid w:val="00430BDF"/>
    <w:rsid w:val="004311DA"/>
    <w:rsid w:val="00431439"/>
    <w:rsid w:val="00431494"/>
    <w:rsid w:val="004319F8"/>
    <w:rsid w:val="00431B43"/>
    <w:rsid w:val="00431E55"/>
    <w:rsid w:val="00431F7D"/>
    <w:rsid w:val="004321F6"/>
    <w:rsid w:val="00432D50"/>
    <w:rsid w:val="00433044"/>
    <w:rsid w:val="00434088"/>
    <w:rsid w:val="0043454C"/>
    <w:rsid w:val="0043467D"/>
    <w:rsid w:val="00434891"/>
    <w:rsid w:val="00434A7F"/>
    <w:rsid w:val="00434C36"/>
    <w:rsid w:val="00434F82"/>
    <w:rsid w:val="004351C4"/>
    <w:rsid w:val="00435A01"/>
    <w:rsid w:val="00435B53"/>
    <w:rsid w:val="00437163"/>
    <w:rsid w:val="004375B9"/>
    <w:rsid w:val="004377CD"/>
    <w:rsid w:val="00437A5F"/>
    <w:rsid w:val="00440082"/>
    <w:rsid w:val="004407F5"/>
    <w:rsid w:val="00440FB4"/>
    <w:rsid w:val="004410B6"/>
    <w:rsid w:val="00441AF2"/>
    <w:rsid w:val="00441D00"/>
    <w:rsid w:val="00441F9F"/>
    <w:rsid w:val="004421A4"/>
    <w:rsid w:val="00442443"/>
    <w:rsid w:val="004428D0"/>
    <w:rsid w:val="00442B26"/>
    <w:rsid w:val="00442D70"/>
    <w:rsid w:val="00442F32"/>
    <w:rsid w:val="00443154"/>
    <w:rsid w:val="00443FE6"/>
    <w:rsid w:val="00444185"/>
    <w:rsid w:val="004443A7"/>
    <w:rsid w:val="00444401"/>
    <w:rsid w:val="0044442C"/>
    <w:rsid w:val="004457A7"/>
    <w:rsid w:val="00445941"/>
    <w:rsid w:val="004460C0"/>
    <w:rsid w:val="004464EB"/>
    <w:rsid w:val="00446959"/>
    <w:rsid w:val="00447613"/>
    <w:rsid w:val="00447D26"/>
    <w:rsid w:val="00447DFA"/>
    <w:rsid w:val="00447DFC"/>
    <w:rsid w:val="0045016B"/>
    <w:rsid w:val="0045080B"/>
    <w:rsid w:val="00451037"/>
    <w:rsid w:val="00451611"/>
    <w:rsid w:val="00451AAA"/>
    <w:rsid w:val="00451B74"/>
    <w:rsid w:val="0045292C"/>
    <w:rsid w:val="004531A2"/>
    <w:rsid w:val="004534A5"/>
    <w:rsid w:val="00453A04"/>
    <w:rsid w:val="00453EFD"/>
    <w:rsid w:val="0045479D"/>
    <w:rsid w:val="00454952"/>
    <w:rsid w:val="004550FF"/>
    <w:rsid w:val="00455545"/>
    <w:rsid w:val="00455A5A"/>
    <w:rsid w:val="00455D45"/>
    <w:rsid w:val="00455DE8"/>
    <w:rsid w:val="00455F11"/>
    <w:rsid w:val="00455F2C"/>
    <w:rsid w:val="0045728C"/>
    <w:rsid w:val="004577D6"/>
    <w:rsid w:val="00457B16"/>
    <w:rsid w:val="004602CA"/>
    <w:rsid w:val="004603C6"/>
    <w:rsid w:val="004614AF"/>
    <w:rsid w:val="0046182E"/>
    <w:rsid w:val="00461A7C"/>
    <w:rsid w:val="00461BF0"/>
    <w:rsid w:val="00461D6C"/>
    <w:rsid w:val="00461E90"/>
    <w:rsid w:val="0046278E"/>
    <w:rsid w:val="00462930"/>
    <w:rsid w:val="00462BB3"/>
    <w:rsid w:val="00463EB8"/>
    <w:rsid w:val="00463F79"/>
    <w:rsid w:val="00464499"/>
    <w:rsid w:val="00464595"/>
    <w:rsid w:val="00464624"/>
    <w:rsid w:val="00464E0D"/>
    <w:rsid w:val="00464EE8"/>
    <w:rsid w:val="0046505B"/>
    <w:rsid w:val="004652F4"/>
    <w:rsid w:val="004655DE"/>
    <w:rsid w:val="004658B5"/>
    <w:rsid w:val="00465B32"/>
    <w:rsid w:val="00465BBB"/>
    <w:rsid w:val="00465D63"/>
    <w:rsid w:val="00465E08"/>
    <w:rsid w:val="004662C3"/>
    <w:rsid w:val="00466775"/>
    <w:rsid w:val="0046725A"/>
    <w:rsid w:val="00467590"/>
    <w:rsid w:val="0046765F"/>
    <w:rsid w:val="00467BA2"/>
    <w:rsid w:val="004700D6"/>
    <w:rsid w:val="00471CBF"/>
    <w:rsid w:val="00471CC8"/>
    <w:rsid w:val="00471EA5"/>
    <w:rsid w:val="004727E7"/>
    <w:rsid w:val="00472A79"/>
    <w:rsid w:val="00472F31"/>
    <w:rsid w:val="00473185"/>
    <w:rsid w:val="004731DB"/>
    <w:rsid w:val="00473228"/>
    <w:rsid w:val="0047378B"/>
    <w:rsid w:val="00473912"/>
    <w:rsid w:val="00473B97"/>
    <w:rsid w:val="00473D9F"/>
    <w:rsid w:val="00473F19"/>
    <w:rsid w:val="004745CB"/>
    <w:rsid w:val="004750DD"/>
    <w:rsid w:val="0047542A"/>
    <w:rsid w:val="004758F1"/>
    <w:rsid w:val="00475B6B"/>
    <w:rsid w:val="00475E22"/>
    <w:rsid w:val="00476049"/>
    <w:rsid w:val="0047610E"/>
    <w:rsid w:val="00476218"/>
    <w:rsid w:val="00476AFB"/>
    <w:rsid w:val="00476DE6"/>
    <w:rsid w:val="0047706B"/>
    <w:rsid w:val="00477620"/>
    <w:rsid w:val="00477CE3"/>
    <w:rsid w:val="00477EF8"/>
    <w:rsid w:val="004800C8"/>
    <w:rsid w:val="0048088E"/>
    <w:rsid w:val="00480EC8"/>
    <w:rsid w:val="00480F2B"/>
    <w:rsid w:val="00480FE7"/>
    <w:rsid w:val="0048180D"/>
    <w:rsid w:val="00482102"/>
    <w:rsid w:val="00482720"/>
    <w:rsid w:val="0048287D"/>
    <w:rsid w:val="00482DED"/>
    <w:rsid w:val="00482E3E"/>
    <w:rsid w:val="004833E8"/>
    <w:rsid w:val="00483489"/>
    <w:rsid w:val="004835E7"/>
    <w:rsid w:val="00483785"/>
    <w:rsid w:val="00483E7D"/>
    <w:rsid w:val="004844A9"/>
    <w:rsid w:val="004845B2"/>
    <w:rsid w:val="00484C64"/>
    <w:rsid w:val="00484E99"/>
    <w:rsid w:val="00484F78"/>
    <w:rsid w:val="00485205"/>
    <w:rsid w:val="004852B1"/>
    <w:rsid w:val="004855F4"/>
    <w:rsid w:val="00485AE4"/>
    <w:rsid w:val="00485F6F"/>
    <w:rsid w:val="004867E2"/>
    <w:rsid w:val="00486F8D"/>
    <w:rsid w:val="004879B9"/>
    <w:rsid w:val="00487CE0"/>
    <w:rsid w:val="00487DBB"/>
    <w:rsid w:val="00487E86"/>
    <w:rsid w:val="004900AC"/>
    <w:rsid w:val="00490B17"/>
    <w:rsid w:val="0049169E"/>
    <w:rsid w:val="004918E9"/>
    <w:rsid w:val="00491A27"/>
    <w:rsid w:val="00491B3A"/>
    <w:rsid w:val="00491E37"/>
    <w:rsid w:val="0049299A"/>
    <w:rsid w:val="00492CFD"/>
    <w:rsid w:val="00492EB4"/>
    <w:rsid w:val="004930E3"/>
    <w:rsid w:val="00493B27"/>
    <w:rsid w:val="00494207"/>
    <w:rsid w:val="004946FD"/>
    <w:rsid w:val="00494DD5"/>
    <w:rsid w:val="004951FF"/>
    <w:rsid w:val="00495DA3"/>
    <w:rsid w:val="004962D2"/>
    <w:rsid w:val="0049681F"/>
    <w:rsid w:val="00497259"/>
    <w:rsid w:val="00497351"/>
    <w:rsid w:val="00497D62"/>
    <w:rsid w:val="004A003A"/>
    <w:rsid w:val="004A0074"/>
    <w:rsid w:val="004A096B"/>
    <w:rsid w:val="004A0D3E"/>
    <w:rsid w:val="004A0DA1"/>
    <w:rsid w:val="004A12D2"/>
    <w:rsid w:val="004A13D6"/>
    <w:rsid w:val="004A15CC"/>
    <w:rsid w:val="004A197D"/>
    <w:rsid w:val="004A22D3"/>
    <w:rsid w:val="004A2423"/>
    <w:rsid w:val="004A2DA9"/>
    <w:rsid w:val="004A3518"/>
    <w:rsid w:val="004A3C1E"/>
    <w:rsid w:val="004A404B"/>
    <w:rsid w:val="004A42FE"/>
    <w:rsid w:val="004A495D"/>
    <w:rsid w:val="004A4978"/>
    <w:rsid w:val="004A4B77"/>
    <w:rsid w:val="004A52E9"/>
    <w:rsid w:val="004A5992"/>
    <w:rsid w:val="004A6040"/>
    <w:rsid w:val="004A6256"/>
    <w:rsid w:val="004A6597"/>
    <w:rsid w:val="004A67F6"/>
    <w:rsid w:val="004A6A07"/>
    <w:rsid w:val="004A6B84"/>
    <w:rsid w:val="004A6D44"/>
    <w:rsid w:val="004A6DE4"/>
    <w:rsid w:val="004A717A"/>
    <w:rsid w:val="004A74CE"/>
    <w:rsid w:val="004A7848"/>
    <w:rsid w:val="004B0160"/>
    <w:rsid w:val="004B1CB4"/>
    <w:rsid w:val="004B1D2E"/>
    <w:rsid w:val="004B1F6E"/>
    <w:rsid w:val="004B2D53"/>
    <w:rsid w:val="004B2F18"/>
    <w:rsid w:val="004B3318"/>
    <w:rsid w:val="004B3DDB"/>
    <w:rsid w:val="004B437A"/>
    <w:rsid w:val="004B43A2"/>
    <w:rsid w:val="004B44FD"/>
    <w:rsid w:val="004B504D"/>
    <w:rsid w:val="004B5192"/>
    <w:rsid w:val="004B5915"/>
    <w:rsid w:val="004B5CFC"/>
    <w:rsid w:val="004B6F79"/>
    <w:rsid w:val="004B7127"/>
    <w:rsid w:val="004B7327"/>
    <w:rsid w:val="004B75D4"/>
    <w:rsid w:val="004B774D"/>
    <w:rsid w:val="004C25C8"/>
    <w:rsid w:val="004C314A"/>
    <w:rsid w:val="004C31A8"/>
    <w:rsid w:val="004C3279"/>
    <w:rsid w:val="004C3B0C"/>
    <w:rsid w:val="004C3EAE"/>
    <w:rsid w:val="004C44BC"/>
    <w:rsid w:val="004C4641"/>
    <w:rsid w:val="004C4A7F"/>
    <w:rsid w:val="004C4AED"/>
    <w:rsid w:val="004C4B4C"/>
    <w:rsid w:val="004C4BB5"/>
    <w:rsid w:val="004C4E64"/>
    <w:rsid w:val="004C60C6"/>
    <w:rsid w:val="004C62AF"/>
    <w:rsid w:val="004C66F1"/>
    <w:rsid w:val="004C695F"/>
    <w:rsid w:val="004C70B6"/>
    <w:rsid w:val="004D03D3"/>
    <w:rsid w:val="004D03DC"/>
    <w:rsid w:val="004D0545"/>
    <w:rsid w:val="004D055E"/>
    <w:rsid w:val="004D08B5"/>
    <w:rsid w:val="004D08D1"/>
    <w:rsid w:val="004D0BFA"/>
    <w:rsid w:val="004D0D5F"/>
    <w:rsid w:val="004D0E36"/>
    <w:rsid w:val="004D1015"/>
    <w:rsid w:val="004D215D"/>
    <w:rsid w:val="004D2605"/>
    <w:rsid w:val="004D2C2D"/>
    <w:rsid w:val="004D2EF8"/>
    <w:rsid w:val="004D34CD"/>
    <w:rsid w:val="004D3CA0"/>
    <w:rsid w:val="004D405F"/>
    <w:rsid w:val="004D4410"/>
    <w:rsid w:val="004D47EC"/>
    <w:rsid w:val="004D4A4F"/>
    <w:rsid w:val="004D4EE2"/>
    <w:rsid w:val="004D5256"/>
    <w:rsid w:val="004D5740"/>
    <w:rsid w:val="004D5C85"/>
    <w:rsid w:val="004D5FA5"/>
    <w:rsid w:val="004D69B5"/>
    <w:rsid w:val="004D6B4A"/>
    <w:rsid w:val="004D6F82"/>
    <w:rsid w:val="004D71C2"/>
    <w:rsid w:val="004D7227"/>
    <w:rsid w:val="004D7DC5"/>
    <w:rsid w:val="004E06D6"/>
    <w:rsid w:val="004E0983"/>
    <w:rsid w:val="004E0E7F"/>
    <w:rsid w:val="004E0EB8"/>
    <w:rsid w:val="004E0F89"/>
    <w:rsid w:val="004E1412"/>
    <w:rsid w:val="004E166F"/>
    <w:rsid w:val="004E18E9"/>
    <w:rsid w:val="004E1E19"/>
    <w:rsid w:val="004E2ADC"/>
    <w:rsid w:val="004E378C"/>
    <w:rsid w:val="004E38C1"/>
    <w:rsid w:val="004E43B2"/>
    <w:rsid w:val="004E4AFA"/>
    <w:rsid w:val="004E4D3A"/>
    <w:rsid w:val="004E5104"/>
    <w:rsid w:val="004E5345"/>
    <w:rsid w:val="004E561D"/>
    <w:rsid w:val="004E5AF6"/>
    <w:rsid w:val="004E5FAE"/>
    <w:rsid w:val="004E673A"/>
    <w:rsid w:val="004E6995"/>
    <w:rsid w:val="004E7CA3"/>
    <w:rsid w:val="004E7F84"/>
    <w:rsid w:val="004F0211"/>
    <w:rsid w:val="004F0B7F"/>
    <w:rsid w:val="004F0DBC"/>
    <w:rsid w:val="004F112F"/>
    <w:rsid w:val="004F157C"/>
    <w:rsid w:val="004F1D02"/>
    <w:rsid w:val="004F25C8"/>
    <w:rsid w:val="004F2679"/>
    <w:rsid w:val="004F2723"/>
    <w:rsid w:val="004F2F21"/>
    <w:rsid w:val="004F3DE5"/>
    <w:rsid w:val="004F4056"/>
    <w:rsid w:val="004F4EFD"/>
    <w:rsid w:val="004F4FB0"/>
    <w:rsid w:val="004F50D6"/>
    <w:rsid w:val="004F5CAE"/>
    <w:rsid w:val="004F5E95"/>
    <w:rsid w:val="004F5F63"/>
    <w:rsid w:val="004F662C"/>
    <w:rsid w:val="004F6913"/>
    <w:rsid w:val="004F6995"/>
    <w:rsid w:val="004F7865"/>
    <w:rsid w:val="004F7DEB"/>
    <w:rsid w:val="00500F14"/>
    <w:rsid w:val="00501163"/>
    <w:rsid w:val="0050174E"/>
    <w:rsid w:val="0050177C"/>
    <w:rsid w:val="00501854"/>
    <w:rsid w:val="0050219B"/>
    <w:rsid w:val="0050235C"/>
    <w:rsid w:val="00502758"/>
    <w:rsid w:val="005036C7"/>
    <w:rsid w:val="00503781"/>
    <w:rsid w:val="00503F17"/>
    <w:rsid w:val="0050488A"/>
    <w:rsid w:val="005049D5"/>
    <w:rsid w:val="005051F8"/>
    <w:rsid w:val="0050568A"/>
    <w:rsid w:val="00505ABB"/>
    <w:rsid w:val="00505E5E"/>
    <w:rsid w:val="00505E97"/>
    <w:rsid w:val="00505F60"/>
    <w:rsid w:val="005060AE"/>
    <w:rsid w:val="0050678F"/>
    <w:rsid w:val="00506928"/>
    <w:rsid w:val="00506AF9"/>
    <w:rsid w:val="00507333"/>
    <w:rsid w:val="00507680"/>
    <w:rsid w:val="0050779C"/>
    <w:rsid w:val="005077EF"/>
    <w:rsid w:val="00507C19"/>
    <w:rsid w:val="00507D49"/>
    <w:rsid w:val="005103F2"/>
    <w:rsid w:val="00510B78"/>
    <w:rsid w:val="00511AD5"/>
    <w:rsid w:val="00511DC7"/>
    <w:rsid w:val="005128A5"/>
    <w:rsid w:val="005129F8"/>
    <w:rsid w:val="0051327A"/>
    <w:rsid w:val="00513716"/>
    <w:rsid w:val="00513A72"/>
    <w:rsid w:val="00514150"/>
    <w:rsid w:val="005142C5"/>
    <w:rsid w:val="00514440"/>
    <w:rsid w:val="00514D40"/>
    <w:rsid w:val="00514F03"/>
    <w:rsid w:val="00514FAA"/>
    <w:rsid w:val="0051501B"/>
    <w:rsid w:val="005152B5"/>
    <w:rsid w:val="00515ADE"/>
    <w:rsid w:val="00515BF3"/>
    <w:rsid w:val="00516DD7"/>
    <w:rsid w:val="00516ED8"/>
    <w:rsid w:val="00516FD8"/>
    <w:rsid w:val="00517BE8"/>
    <w:rsid w:val="00517EB4"/>
    <w:rsid w:val="00517F20"/>
    <w:rsid w:val="0052084E"/>
    <w:rsid w:val="00520955"/>
    <w:rsid w:val="00520E13"/>
    <w:rsid w:val="0052123C"/>
    <w:rsid w:val="00521319"/>
    <w:rsid w:val="005216CE"/>
    <w:rsid w:val="00521C8B"/>
    <w:rsid w:val="005224BE"/>
    <w:rsid w:val="00522BC8"/>
    <w:rsid w:val="00523185"/>
    <w:rsid w:val="00523429"/>
    <w:rsid w:val="0052346C"/>
    <w:rsid w:val="0052363B"/>
    <w:rsid w:val="00523AEF"/>
    <w:rsid w:val="00523C28"/>
    <w:rsid w:val="005240B2"/>
    <w:rsid w:val="005241A4"/>
    <w:rsid w:val="005245C7"/>
    <w:rsid w:val="005255B0"/>
    <w:rsid w:val="005257E5"/>
    <w:rsid w:val="00525A01"/>
    <w:rsid w:val="00525A68"/>
    <w:rsid w:val="00525B9A"/>
    <w:rsid w:val="00525F41"/>
    <w:rsid w:val="005279A2"/>
    <w:rsid w:val="0053039F"/>
    <w:rsid w:val="0053047B"/>
    <w:rsid w:val="005309FB"/>
    <w:rsid w:val="00531017"/>
    <w:rsid w:val="0053176B"/>
    <w:rsid w:val="00531950"/>
    <w:rsid w:val="00531D5D"/>
    <w:rsid w:val="00532613"/>
    <w:rsid w:val="00532751"/>
    <w:rsid w:val="00532ADC"/>
    <w:rsid w:val="00532F35"/>
    <w:rsid w:val="00533A13"/>
    <w:rsid w:val="00533D8A"/>
    <w:rsid w:val="00534571"/>
    <w:rsid w:val="00536146"/>
    <w:rsid w:val="00536EEF"/>
    <w:rsid w:val="00536F42"/>
    <w:rsid w:val="0053704B"/>
    <w:rsid w:val="00537182"/>
    <w:rsid w:val="00537947"/>
    <w:rsid w:val="0054062A"/>
    <w:rsid w:val="0054084D"/>
    <w:rsid w:val="00540F22"/>
    <w:rsid w:val="00541393"/>
    <w:rsid w:val="005417AD"/>
    <w:rsid w:val="0054195F"/>
    <w:rsid w:val="00541B84"/>
    <w:rsid w:val="00541CBD"/>
    <w:rsid w:val="00541CFD"/>
    <w:rsid w:val="00541EDD"/>
    <w:rsid w:val="005424EF"/>
    <w:rsid w:val="00542515"/>
    <w:rsid w:val="0054263E"/>
    <w:rsid w:val="00542743"/>
    <w:rsid w:val="00542886"/>
    <w:rsid w:val="00542C2D"/>
    <w:rsid w:val="00542F6D"/>
    <w:rsid w:val="00543308"/>
    <w:rsid w:val="00543F51"/>
    <w:rsid w:val="00543F9A"/>
    <w:rsid w:val="00544B3F"/>
    <w:rsid w:val="00544C73"/>
    <w:rsid w:val="005453F8"/>
    <w:rsid w:val="005454D4"/>
    <w:rsid w:val="0054586E"/>
    <w:rsid w:val="0054654C"/>
    <w:rsid w:val="00546841"/>
    <w:rsid w:val="005469C1"/>
    <w:rsid w:val="00547509"/>
    <w:rsid w:val="00547672"/>
    <w:rsid w:val="005478BD"/>
    <w:rsid w:val="005479E3"/>
    <w:rsid w:val="00547FF3"/>
    <w:rsid w:val="00550432"/>
    <w:rsid w:val="005507D2"/>
    <w:rsid w:val="005509FD"/>
    <w:rsid w:val="00550EEF"/>
    <w:rsid w:val="0055121B"/>
    <w:rsid w:val="005517C1"/>
    <w:rsid w:val="005517F5"/>
    <w:rsid w:val="00551985"/>
    <w:rsid w:val="00551ED5"/>
    <w:rsid w:val="00551FF0"/>
    <w:rsid w:val="00552418"/>
    <w:rsid w:val="00552BD3"/>
    <w:rsid w:val="00553113"/>
    <w:rsid w:val="005532A0"/>
    <w:rsid w:val="005534A7"/>
    <w:rsid w:val="00553F3D"/>
    <w:rsid w:val="00553F6C"/>
    <w:rsid w:val="00554315"/>
    <w:rsid w:val="00554B44"/>
    <w:rsid w:val="00554BDE"/>
    <w:rsid w:val="00554C46"/>
    <w:rsid w:val="00554D4C"/>
    <w:rsid w:val="00554D96"/>
    <w:rsid w:val="00555109"/>
    <w:rsid w:val="005557B4"/>
    <w:rsid w:val="00555C4E"/>
    <w:rsid w:val="00556A68"/>
    <w:rsid w:val="00556B35"/>
    <w:rsid w:val="0055741A"/>
    <w:rsid w:val="005575E2"/>
    <w:rsid w:val="00557725"/>
    <w:rsid w:val="005611B7"/>
    <w:rsid w:val="005618D4"/>
    <w:rsid w:val="00561F6A"/>
    <w:rsid w:val="00562637"/>
    <w:rsid w:val="00562871"/>
    <w:rsid w:val="0056359E"/>
    <w:rsid w:val="005641DF"/>
    <w:rsid w:val="00564399"/>
    <w:rsid w:val="005647B9"/>
    <w:rsid w:val="00565A65"/>
    <w:rsid w:val="00565C86"/>
    <w:rsid w:val="00565DF0"/>
    <w:rsid w:val="00565F26"/>
    <w:rsid w:val="005661DD"/>
    <w:rsid w:val="00566946"/>
    <w:rsid w:val="0056696F"/>
    <w:rsid w:val="0056706D"/>
    <w:rsid w:val="00567794"/>
    <w:rsid w:val="005679D2"/>
    <w:rsid w:val="00567A5B"/>
    <w:rsid w:val="005701C6"/>
    <w:rsid w:val="0057095F"/>
    <w:rsid w:val="00570C59"/>
    <w:rsid w:val="0057118B"/>
    <w:rsid w:val="005712A1"/>
    <w:rsid w:val="00571598"/>
    <w:rsid w:val="005715B0"/>
    <w:rsid w:val="0057173C"/>
    <w:rsid w:val="00571B24"/>
    <w:rsid w:val="00572269"/>
    <w:rsid w:val="0057244A"/>
    <w:rsid w:val="005724D5"/>
    <w:rsid w:val="00572839"/>
    <w:rsid w:val="0057294F"/>
    <w:rsid w:val="00572F26"/>
    <w:rsid w:val="0057306C"/>
    <w:rsid w:val="00573425"/>
    <w:rsid w:val="0057364B"/>
    <w:rsid w:val="005736EC"/>
    <w:rsid w:val="00573903"/>
    <w:rsid w:val="00574015"/>
    <w:rsid w:val="00574127"/>
    <w:rsid w:val="00574460"/>
    <w:rsid w:val="005746B6"/>
    <w:rsid w:val="00574B1F"/>
    <w:rsid w:val="005750C5"/>
    <w:rsid w:val="00575152"/>
    <w:rsid w:val="005752C1"/>
    <w:rsid w:val="005752DE"/>
    <w:rsid w:val="005759CD"/>
    <w:rsid w:val="00575D8D"/>
    <w:rsid w:val="00576972"/>
    <w:rsid w:val="00576A73"/>
    <w:rsid w:val="00576B8A"/>
    <w:rsid w:val="00576F2D"/>
    <w:rsid w:val="0057729E"/>
    <w:rsid w:val="0057731D"/>
    <w:rsid w:val="005778B6"/>
    <w:rsid w:val="00577D4B"/>
    <w:rsid w:val="00577EC1"/>
    <w:rsid w:val="00581A37"/>
    <w:rsid w:val="00581B09"/>
    <w:rsid w:val="005825D9"/>
    <w:rsid w:val="00582A9A"/>
    <w:rsid w:val="00582CC7"/>
    <w:rsid w:val="005830BD"/>
    <w:rsid w:val="0058321F"/>
    <w:rsid w:val="005835BE"/>
    <w:rsid w:val="00583699"/>
    <w:rsid w:val="00583AAA"/>
    <w:rsid w:val="0058405A"/>
    <w:rsid w:val="00584659"/>
    <w:rsid w:val="00585361"/>
    <w:rsid w:val="00585662"/>
    <w:rsid w:val="00585891"/>
    <w:rsid w:val="00585CDD"/>
    <w:rsid w:val="00585D6E"/>
    <w:rsid w:val="0058610A"/>
    <w:rsid w:val="00586B1D"/>
    <w:rsid w:val="00587058"/>
    <w:rsid w:val="00587B9B"/>
    <w:rsid w:val="00587BAA"/>
    <w:rsid w:val="00587D08"/>
    <w:rsid w:val="005903B1"/>
    <w:rsid w:val="005915BE"/>
    <w:rsid w:val="005916CF"/>
    <w:rsid w:val="00591957"/>
    <w:rsid w:val="0059250C"/>
    <w:rsid w:val="0059256C"/>
    <w:rsid w:val="00592880"/>
    <w:rsid w:val="00592BC6"/>
    <w:rsid w:val="00593110"/>
    <w:rsid w:val="00593572"/>
    <w:rsid w:val="005936B0"/>
    <w:rsid w:val="005938E2"/>
    <w:rsid w:val="00594242"/>
    <w:rsid w:val="005956FF"/>
    <w:rsid w:val="00595778"/>
    <w:rsid w:val="0059601D"/>
    <w:rsid w:val="005965FF"/>
    <w:rsid w:val="005967D8"/>
    <w:rsid w:val="00596938"/>
    <w:rsid w:val="00596E6C"/>
    <w:rsid w:val="00596E9F"/>
    <w:rsid w:val="00596F1E"/>
    <w:rsid w:val="00597854"/>
    <w:rsid w:val="00597BF9"/>
    <w:rsid w:val="00597D9F"/>
    <w:rsid w:val="005A068C"/>
    <w:rsid w:val="005A1492"/>
    <w:rsid w:val="005A16C5"/>
    <w:rsid w:val="005A27B6"/>
    <w:rsid w:val="005A29C4"/>
    <w:rsid w:val="005A2B33"/>
    <w:rsid w:val="005A309A"/>
    <w:rsid w:val="005A364A"/>
    <w:rsid w:val="005A373D"/>
    <w:rsid w:val="005A4A1C"/>
    <w:rsid w:val="005A4E5D"/>
    <w:rsid w:val="005A6E1C"/>
    <w:rsid w:val="005A7129"/>
    <w:rsid w:val="005A7E41"/>
    <w:rsid w:val="005B03AE"/>
    <w:rsid w:val="005B0B58"/>
    <w:rsid w:val="005B12C6"/>
    <w:rsid w:val="005B1C3A"/>
    <w:rsid w:val="005B21F9"/>
    <w:rsid w:val="005B2667"/>
    <w:rsid w:val="005B3317"/>
    <w:rsid w:val="005B3590"/>
    <w:rsid w:val="005B3766"/>
    <w:rsid w:val="005B3DF0"/>
    <w:rsid w:val="005B3F56"/>
    <w:rsid w:val="005B4674"/>
    <w:rsid w:val="005B4E53"/>
    <w:rsid w:val="005B50D3"/>
    <w:rsid w:val="005B51BC"/>
    <w:rsid w:val="005B5857"/>
    <w:rsid w:val="005B6890"/>
    <w:rsid w:val="005B6D69"/>
    <w:rsid w:val="005B79AA"/>
    <w:rsid w:val="005C07D7"/>
    <w:rsid w:val="005C116F"/>
    <w:rsid w:val="005C1882"/>
    <w:rsid w:val="005C19C4"/>
    <w:rsid w:val="005C1B83"/>
    <w:rsid w:val="005C25FF"/>
    <w:rsid w:val="005C2D55"/>
    <w:rsid w:val="005C2E84"/>
    <w:rsid w:val="005C346B"/>
    <w:rsid w:val="005C3C2C"/>
    <w:rsid w:val="005C3C3D"/>
    <w:rsid w:val="005C3E9B"/>
    <w:rsid w:val="005C3EC9"/>
    <w:rsid w:val="005C44BE"/>
    <w:rsid w:val="005C4779"/>
    <w:rsid w:val="005C48C6"/>
    <w:rsid w:val="005C4A08"/>
    <w:rsid w:val="005C50F2"/>
    <w:rsid w:val="005C5506"/>
    <w:rsid w:val="005C64A2"/>
    <w:rsid w:val="005C660E"/>
    <w:rsid w:val="005C6793"/>
    <w:rsid w:val="005C6F4F"/>
    <w:rsid w:val="005C79C7"/>
    <w:rsid w:val="005C7B44"/>
    <w:rsid w:val="005C7BC3"/>
    <w:rsid w:val="005D00D7"/>
    <w:rsid w:val="005D0283"/>
    <w:rsid w:val="005D044D"/>
    <w:rsid w:val="005D0490"/>
    <w:rsid w:val="005D0ABD"/>
    <w:rsid w:val="005D1692"/>
    <w:rsid w:val="005D18AD"/>
    <w:rsid w:val="005D23D4"/>
    <w:rsid w:val="005D26B4"/>
    <w:rsid w:val="005D3517"/>
    <w:rsid w:val="005D39B7"/>
    <w:rsid w:val="005D4117"/>
    <w:rsid w:val="005D4147"/>
    <w:rsid w:val="005D530A"/>
    <w:rsid w:val="005D5644"/>
    <w:rsid w:val="005D59A0"/>
    <w:rsid w:val="005D5B8D"/>
    <w:rsid w:val="005D63D8"/>
    <w:rsid w:val="005D7652"/>
    <w:rsid w:val="005D77A4"/>
    <w:rsid w:val="005E0B12"/>
    <w:rsid w:val="005E0FAC"/>
    <w:rsid w:val="005E179D"/>
    <w:rsid w:val="005E1DE2"/>
    <w:rsid w:val="005E2C66"/>
    <w:rsid w:val="005E34D6"/>
    <w:rsid w:val="005E4CF9"/>
    <w:rsid w:val="005E517D"/>
    <w:rsid w:val="005E5838"/>
    <w:rsid w:val="005E585A"/>
    <w:rsid w:val="005E5872"/>
    <w:rsid w:val="005E5DC0"/>
    <w:rsid w:val="005E62DF"/>
    <w:rsid w:val="005E6790"/>
    <w:rsid w:val="005E6C84"/>
    <w:rsid w:val="005E6CBC"/>
    <w:rsid w:val="005E7264"/>
    <w:rsid w:val="005E72FF"/>
    <w:rsid w:val="005E73C0"/>
    <w:rsid w:val="005E7665"/>
    <w:rsid w:val="005E7F10"/>
    <w:rsid w:val="005F031B"/>
    <w:rsid w:val="005F1205"/>
    <w:rsid w:val="005F120A"/>
    <w:rsid w:val="005F1858"/>
    <w:rsid w:val="005F1BC5"/>
    <w:rsid w:val="005F220C"/>
    <w:rsid w:val="005F241F"/>
    <w:rsid w:val="005F247E"/>
    <w:rsid w:val="005F2706"/>
    <w:rsid w:val="005F2BBC"/>
    <w:rsid w:val="005F2FFD"/>
    <w:rsid w:val="005F313E"/>
    <w:rsid w:val="005F3432"/>
    <w:rsid w:val="005F4549"/>
    <w:rsid w:val="005F54F0"/>
    <w:rsid w:val="005F5811"/>
    <w:rsid w:val="005F691D"/>
    <w:rsid w:val="005F6A8F"/>
    <w:rsid w:val="005F6ACE"/>
    <w:rsid w:val="005F6B01"/>
    <w:rsid w:val="005F6BB7"/>
    <w:rsid w:val="005F7588"/>
    <w:rsid w:val="005F79E1"/>
    <w:rsid w:val="005F7C40"/>
    <w:rsid w:val="005F7C85"/>
    <w:rsid w:val="00600AD9"/>
    <w:rsid w:val="00600F02"/>
    <w:rsid w:val="00601356"/>
    <w:rsid w:val="006015DD"/>
    <w:rsid w:val="006017EC"/>
    <w:rsid w:val="006029A4"/>
    <w:rsid w:val="0060341A"/>
    <w:rsid w:val="006036A2"/>
    <w:rsid w:val="00603DB9"/>
    <w:rsid w:val="006040BA"/>
    <w:rsid w:val="00604430"/>
    <w:rsid w:val="006050C2"/>
    <w:rsid w:val="006055C9"/>
    <w:rsid w:val="006057AF"/>
    <w:rsid w:val="00606017"/>
    <w:rsid w:val="00606189"/>
    <w:rsid w:val="00606640"/>
    <w:rsid w:val="00606863"/>
    <w:rsid w:val="00606C5E"/>
    <w:rsid w:val="00606FBA"/>
    <w:rsid w:val="00607091"/>
    <w:rsid w:val="006070B5"/>
    <w:rsid w:val="00607435"/>
    <w:rsid w:val="00607583"/>
    <w:rsid w:val="00607669"/>
    <w:rsid w:val="006076F4"/>
    <w:rsid w:val="00607A18"/>
    <w:rsid w:val="00607AFD"/>
    <w:rsid w:val="00610618"/>
    <w:rsid w:val="00610AA9"/>
    <w:rsid w:val="00611000"/>
    <w:rsid w:val="0061135C"/>
    <w:rsid w:val="0061186A"/>
    <w:rsid w:val="00611A50"/>
    <w:rsid w:val="00611BDF"/>
    <w:rsid w:val="006122E4"/>
    <w:rsid w:val="00612344"/>
    <w:rsid w:val="006126B3"/>
    <w:rsid w:val="00612C9F"/>
    <w:rsid w:val="00612F97"/>
    <w:rsid w:val="0061345D"/>
    <w:rsid w:val="00614839"/>
    <w:rsid w:val="0061496C"/>
    <w:rsid w:val="00614A49"/>
    <w:rsid w:val="00614F0A"/>
    <w:rsid w:val="00614FCB"/>
    <w:rsid w:val="0061549B"/>
    <w:rsid w:val="0061593C"/>
    <w:rsid w:val="00616802"/>
    <w:rsid w:val="00617D22"/>
    <w:rsid w:val="00617E12"/>
    <w:rsid w:val="00620896"/>
    <w:rsid w:val="00620C25"/>
    <w:rsid w:val="00620DB2"/>
    <w:rsid w:val="006210A6"/>
    <w:rsid w:val="00621477"/>
    <w:rsid w:val="00621AC3"/>
    <w:rsid w:val="00621ADA"/>
    <w:rsid w:val="00621B50"/>
    <w:rsid w:val="00622C55"/>
    <w:rsid w:val="00623546"/>
    <w:rsid w:val="00623F7B"/>
    <w:rsid w:val="006259FF"/>
    <w:rsid w:val="006260D0"/>
    <w:rsid w:val="006263FE"/>
    <w:rsid w:val="00626569"/>
    <w:rsid w:val="00626945"/>
    <w:rsid w:val="006273A3"/>
    <w:rsid w:val="00627CD3"/>
    <w:rsid w:val="006301BC"/>
    <w:rsid w:val="006303A9"/>
    <w:rsid w:val="0063158F"/>
    <w:rsid w:val="00631663"/>
    <w:rsid w:val="006319A3"/>
    <w:rsid w:val="00631D2C"/>
    <w:rsid w:val="00631D6B"/>
    <w:rsid w:val="00632183"/>
    <w:rsid w:val="006323F3"/>
    <w:rsid w:val="00632682"/>
    <w:rsid w:val="006326EF"/>
    <w:rsid w:val="006328D3"/>
    <w:rsid w:val="00632AB1"/>
    <w:rsid w:val="00632E93"/>
    <w:rsid w:val="006330A1"/>
    <w:rsid w:val="006330B8"/>
    <w:rsid w:val="00633CEB"/>
    <w:rsid w:val="00633FE8"/>
    <w:rsid w:val="0063479F"/>
    <w:rsid w:val="00634B07"/>
    <w:rsid w:val="00634E5C"/>
    <w:rsid w:val="006353F0"/>
    <w:rsid w:val="006357B5"/>
    <w:rsid w:val="00635998"/>
    <w:rsid w:val="006364A1"/>
    <w:rsid w:val="00636642"/>
    <w:rsid w:val="0063678E"/>
    <w:rsid w:val="00636994"/>
    <w:rsid w:val="00637BFD"/>
    <w:rsid w:val="00637D4C"/>
    <w:rsid w:val="00640297"/>
    <w:rsid w:val="00640939"/>
    <w:rsid w:val="00640F07"/>
    <w:rsid w:val="0064116F"/>
    <w:rsid w:val="006411BD"/>
    <w:rsid w:val="00641313"/>
    <w:rsid w:val="00641C4E"/>
    <w:rsid w:val="00641C9D"/>
    <w:rsid w:val="00641CE8"/>
    <w:rsid w:val="00641D68"/>
    <w:rsid w:val="00641FB3"/>
    <w:rsid w:val="00642117"/>
    <w:rsid w:val="006421C3"/>
    <w:rsid w:val="00642B80"/>
    <w:rsid w:val="00642BBF"/>
    <w:rsid w:val="00642C10"/>
    <w:rsid w:val="00642D14"/>
    <w:rsid w:val="0064434C"/>
    <w:rsid w:val="0064439C"/>
    <w:rsid w:val="00644C5A"/>
    <w:rsid w:val="00645094"/>
    <w:rsid w:val="006452C0"/>
    <w:rsid w:val="006452C7"/>
    <w:rsid w:val="006453B4"/>
    <w:rsid w:val="00645817"/>
    <w:rsid w:val="00646807"/>
    <w:rsid w:val="00646EBC"/>
    <w:rsid w:val="006471CC"/>
    <w:rsid w:val="0064787F"/>
    <w:rsid w:val="00647A29"/>
    <w:rsid w:val="00647D9E"/>
    <w:rsid w:val="0065005A"/>
    <w:rsid w:val="006500A2"/>
    <w:rsid w:val="0065079F"/>
    <w:rsid w:val="00650984"/>
    <w:rsid w:val="00651B0F"/>
    <w:rsid w:val="00651CD1"/>
    <w:rsid w:val="00651DEA"/>
    <w:rsid w:val="0065233C"/>
    <w:rsid w:val="00652992"/>
    <w:rsid w:val="00652A28"/>
    <w:rsid w:val="006530F8"/>
    <w:rsid w:val="0065379F"/>
    <w:rsid w:val="00653847"/>
    <w:rsid w:val="00654062"/>
    <w:rsid w:val="00654180"/>
    <w:rsid w:val="006545B3"/>
    <w:rsid w:val="0065474F"/>
    <w:rsid w:val="0065492C"/>
    <w:rsid w:val="00654B76"/>
    <w:rsid w:val="00656188"/>
    <w:rsid w:val="0065715A"/>
    <w:rsid w:val="00657926"/>
    <w:rsid w:val="00657FE5"/>
    <w:rsid w:val="00660838"/>
    <w:rsid w:val="00660BDF"/>
    <w:rsid w:val="00660F68"/>
    <w:rsid w:val="006610F1"/>
    <w:rsid w:val="00661619"/>
    <w:rsid w:val="00661B0C"/>
    <w:rsid w:val="00661C6B"/>
    <w:rsid w:val="00662599"/>
    <w:rsid w:val="006628E3"/>
    <w:rsid w:val="006631F0"/>
    <w:rsid w:val="006635BC"/>
    <w:rsid w:val="00663ABD"/>
    <w:rsid w:val="00663CFD"/>
    <w:rsid w:val="00663DE2"/>
    <w:rsid w:val="00664A77"/>
    <w:rsid w:val="00664DFF"/>
    <w:rsid w:val="006651E9"/>
    <w:rsid w:val="006653AC"/>
    <w:rsid w:val="00665734"/>
    <w:rsid w:val="00665BB2"/>
    <w:rsid w:val="00665D21"/>
    <w:rsid w:val="00666726"/>
    <w:rsid w:val="0066678E"/>
    <w:rsid w:val="00667342"/>
    <w:rsid w:val="006676C6"/>
    <w:rsid w:val="00667ABE"/>
    <w:rsid w:val="00667CB2"/>
    <w:rsid w:val="00667DB6"/>
    <w:rsid w:val="00667FCB"/>
    <w:rsid w:val="00670200"/>
    <w:rsid w:val="00670B18"/>
    <w:rsid w:val="00670FC0"/>
    <w:rsid w:val="00671004"/>
    <w:rsid w:val="0067109A"/>
    <w:rsid w:val="006712E9"/>
    <w:rsid w:val="006712EB"/>
    <w:rsid w:val="0067141E"/>
    <w:rsid w:val="00671AD5"/>
    <w:rsid w:val="00671DFA"/>
    <w:rsid w:val="00671F86"/>
    <w:rsid w:val="00671FA9"/>
    <w:rsid w:val="006721F1"/>
    <w:rsid w:val="00672563"/>
    <w:rsid w:val="006725A2"/>
    <w:rsid w:val="00672636"/>
    <w:rsid w:val="00672646"/>
    <w:rsid w:val="00672649"/>
    <w:rsid w:val="0067277C"/>
    <w:rsid w:val="006729F2"/>
    <w:rsid w:val="00672C75"/>
    <w:rsid w:val="006731B5"/>
    <w:rsid w:val="006736CC"/>
    <w:rsid w:val="00673B05"/>
    <w:rsid w:val="00673C43"/>
    <w:rsid w:val="00673CD0"/>
    <w:rsid w:val="00674203"/>
    <w:rsid w:val="006744B0"/>
    <w:rsid w:val="00674E42"/>
    <w:rsid w:val="006755F4"/>
    <w:rsid w:val="006759BB"/>
    <w:rsid w:val="00675E13"/>
    <w:rsid w:val="006763CB"/>
    <w:rsid w:val="00677068"/>
    <w:rsid w:val="00680365"/>
    <w:rsid w:val="006805CA"/>
    <w:rsid w:val="00680F67"/>
    <w:rsid w:val="006813F8"/>
    <w:rsid w:val="00681B50"/>
    <w:rsid w:val="00681F2D"/>
    <w:rsid w:val="00682112"/>
    <w:rsid w:val="0068223C"/>
    <w:rsid w:val="00682BA6"/>
    <w:rsid w:val="00682FB7"/>
    <w:rsid w:val="00683AB9"/>
    <w:rsid w:val="00683D0B"/>
    <w:rsid w:val="00684BE6"/>
    <w:rsid w:val="00684D05"/>
    <w:rsid w:val="00684D7F"/>
    <w:rsid w:val="00686957"/>
    <w:rsid w:val="00686B5E"/>
    <w:rsid w:val="00686D2C"/>
    <w:rsid w:val="00686E5D"/>
    <w:rsid w:val="00686FEF"/>
    <w:rsid w:val="006872BA"/>
    <w:rsid w:val="00687394"/>
    <w:rsid w:val="006874D0"/>
    <w:rsid w:val="0069026F"/>
    <w:rsid w:val="0069061C"/>
    <w:rsid w:val="00690795"/>
    <w:rsid w:val="00690D7A"/>
    <w:rsid w:val="00690D94"/>
    <w:rsid w:val="00691648"/>
    <w:rsid w:val="006917D7"/>
    <w:rsid w:val="00691AC9"/>
    <w:rsid w:val="00691AE3"/>
    <w:rsid w:val="006920D6"/>
    <w:rsid w:val="00692B8D"/>
    <w:rsid w:val="00692D69"/>
    <w:rsid w:val="00692F75"/>
    <w:rsid w:val="00692FF1"/>
    <w:rsid w:val="006934FE"/>
    <w:rsid w:val="00693867"/>
    <w:rsid w:val="00693AE7"/>
    <w:rsid w:val="00694159"/>
    <w:rsid w:val="0069434C"/>
    <w:rsid w:val="00694CC1"/>
    <w:rsid w:val="00694F44"/>
    <w:rsid w:val="00695283"/>
    <w:rsid w:val="006952FC"/>
    <w:rsid w:val="0069592E"/>
    <w:rsid w:val="00695F3C"/>
    <w:rsid w:val="006960DB"/>
    <w:rsid w:val="0069633D"/>
    <w:rsid w:val="0069652F"/>
    <w:rsid w:val="00696670"/>
    <w:rsid w:val="00696819"/>
    <w:rsid w:val="00696849"/>
    <w:rsid w:val="0069687E"/>
    <w:rsid w:val="00696D1F"/>
    <w:rsid w:val="00696E41"/>
    <w:rsid w:val="00696F51"/>
    <w:rsid w:val="00696FAF"/>
    <w:rsid w:val="006979A5"/>
    <w:rsid w:val="00697BCB"/>
    <w:rsid w:val="006A0744"/>
    <w:rsid w:val="006A075C"/>
    <w:rsid w:val="006A0A25"/>
    <w:rsid w:val="006A105C"/>
    <w:rsid w:val="006A108D"/>
    <w:rsid w:val="006A1F2C"/>
    <w:rsid w:val="006A23DE"/>
    <w:rsid w:val="006A28CF"/>
    <w:rsid w:val="006A3166"/>
    <w:rsid w:val="006A383F"/>
    <w:rsid w:val="006A40C7"/>
    <w:rsid w:val="006A410D"/>
    <w:rsid w:val="006A42F4"/>
    <w:rsid w:val="006A4412"/>
    <w:rsid w:val="006A4689"/>
    <w:rsid w:val="006A4E00"/>
    <w:rsid w:val="006A53C2"/>
    <w:rsid w:val="006A559E"/>
    <w:rsid w:val="006A579A"/>
    <w:rsid w:val="006A57FA"/>
    <w:rsid w:val="006A612C"/>
    <w:rsid w:val="006A6891"/>
    <w:rsid w:val="006A6B99"/>
    <w:rsid w:val="006A6D69"/>
    <w:rsid w:val="006A6EAD"/>
    <w:rsid w:val="006A6F6A"/>
    <w:rsid w:val="006A736D"/>
    <w:rsid w:val="006A74C5"/>
    <w:rsid w:val="006A7572"/>
    <w:rsid w:val="006A75BC"/>
    <w:rsid w:val="006A7883"/>
    <w:rsid w:val="006A78A0"/>
    <w:rsid w:val="006A7BCE"/>
    <w:rsid w:val="006A7D5D"/>
    <w:rsid w:val="006A7E5F"/>
    <w:rsid w:val="006B0EB3"/>
    <w:rsid w:val="006B1478"/>
    <w:rsid w:val="006B1654"/>
    <w:rsid w:val="006B261B"/>
    <w:rsid w:val="006B2C90"/>
    <w:rsid w:val="006B2D14"/>
    <w:rsid w:val="006B30B6"/>
    <w:rsid w:val="006B35DA"/>
    <w:rsid w:val="006B35E6"/>
    <w:rsid w:val="006B3736"/>
    <w:rsid w:val="006B465A"/>
    <w:rsid w:val="006B4AEB"/>
    <w:rsid w:val="006B4B18"/>
    <w:rsid w:val="006B50AA"/>
    <w:rsid w:val="006B5295"/>
    <w:rsid w:val="006B543F"/>
    <w:rsid w:val="006B597A"/>
    <w:rsid w:val="006B5C30"/>
    <w:rsid w:val="006B5DAC"/>
    <w:rsid w:val="006B6261"/>
    <w:rsid w:val="006B671B"/>
    <w:rsid w:val="006B6DD0"/>
    <w:rsid w:val="006B795D"/>
    <w:rsid w:val="006B7978"/>
    <w:rsid w:val="006B7CD7"/>
    <w:rsid w:val="006B7F8F"/>
    <w:rsid w:val="006C0399"/>
    <w:rsid w:val="006C0C24"/>
    <w:rsid w:val="006C1BCF"/>
    <w:rsid w:val="006C2A8E"/>
    <w:rsid w:val="006C30D9"/>
    <w:rsid w:val="006C3255"/>
    <w:rsid w:val="006C3523"/>
    <w:rsid w:val="006C3E38"/>
    <w:rsid w:val="006C3F26"/>
    <w:rsid w:val="006C458A"/>
    <w:rsid w:val="006C4D06"/>
    <w:rsid w:val="006C5DF2"/>
    <w:rsid w:val="006C66CA"/>
    <w:rsid w:val="006C6771"/>
    <w:rsid w:val="006C6857"/>
    <w:rsid w:val="006C6B05"/>
    <w:rsid w:val="006C6BBF"/>
    <w:rsid w:val="006C74F7"/>
    <w:rsid w:val="006C762D"/>
    <w:rsid w:val="006C7F63"/>
    <w:rsid w:val="006D02D6"/>
    <w:rsid w:val="006D0D17"/>
    <w:rsid w:val="006D1299"/>
    <w:rsid w:val="006D1DED"/>
    <w:rsid w:val="006D2019"/>
    <w:rsid w:val="006D3A34"/>
    <w:rsid w:val="006D3C7D"/>
    <w:rsid w:val="006D4088"/>
    <w:rsid w:val="006D445E"/>
    <w:rsid w:val="006D4659"/>
    <w:rsid w:val="006D4D7D"/>
    <w:rsid w:val="006D4EA5"/>
    <w:rsid w:val="006D4F17"/>
    <w:rsid w:val="006D54C3"/>
    <w:rsid w:val="006D5926"/>
    <w:rsid w:val="006D5D5F"/>
    <w:rsid w:val="006D609D"/>
    <w:rsid w:val="006D65EC"/>
    <w:rsid w:val="006D68FB"/>
    <w:rsid w:val="006D7627"/>
    <w:rsid w:val="006D76EF"/>
    <w:rsid w:val="006E0A24"/>
    <w:rsid w:val="006E1522"/>
    <w:rsid w:val="006E1C43"/>
    <w:rsid w:val="006E2317"/>
    <w:rsid w:val="006E2717"/>
    <w:rsid w:val="006E27B2"/>
    <w:rsid w:val="006E2868"/>
    <w:rsid w:val="006E2D71"/>
    <w:rsid w:val="006E3775"/>
    <w:rsid w:val="006E3FD2"/>
    <w:rsid w:val="006E4F38"/>
    <w:rsid w:val="006E565E"/>
    <w:rsid w:val="006E57D8"/>
    <w:rsid w:val="006E591D"/>
    <w:rsid w:val="006E5BF9"/>
    <w:rsid w:val="006E6EBA"/>
    <w:rsid w:val="006E7D03"/>
    <w:rsid w:val="006F00AD"/>
    <w:rsid w:val="006F05FB"/>
    <w:rsid w:val="006F0F67"/>
    <w:rsid w:val="006F107B"/>
    <w:rsid w:val="006F11B0"/>
    <w:rsid w:val="006F18F3"/>
    <w:rsid w:val="006F1E2B"/>
    <w:rsid w:val="006F245F"/>
    <w:rsid w:val="006F2B9E"/>
    <w:rsid w:val="006F306C"/>
    <w:rsid w:val="006F35D9"/>
    <w:rsid w:val="006F3FF1"/>
    <w:rsid w:val="006F419F"/>
    <w:rsid w:val="006F4506"/>
    <w:rsid w:val="006F465B"/>
    <w:rsid w:val="006F4F09"/>
    <w:rsid w:val="006F4F0F"/>
    <w:rsid w:val="006F56DA"/>
    <w:rsid w:val="006F5703"/>
    <w:rsid w:val="006F63A5"/>
    <w:rsid w:val="006F76D1"/>
    <w:rsid w:val="006F771E"/>
    <w:rsid w:val="006F7D4D"/>
    <w:rsid w:val="007006F2"/>
    <w:rsid w:val="007009DD"/>
    <w:rsid w:val="007009E0"/>
    <w:rsid w:val="0070142B"/>
    <w:rsid w:val="007018A8"/>
    <w:rsid w:val="00702107"/>
    <w:rsid w:val="00702400"/>
    <w:rsid w:val="00702500"/>
    <w:rsid w:val="0070276E"/>
    <w:rsid w:val="00702BD1"/>
    <w:rsid w:val="00702EED"/>
    <w:rsid w:val="00702F8F"/>
    <w:rsid w:val="007033D8"/>
    <w:rsid w:val="00703D17"/>
    <w:rsid w:val="00703F7B"/>
    <w:rsid w:val="007045FF"/>
    <w:rsid w:val="007053D8"/>
    <w:rsid w:val="00706801"/>
    <w:rsid w:val="00706EFA"/>
    <w:rsid w:val="007071A9"/>
    <w:rsid w:val="00707257"/>
    <w:rsid w:val="00707325"/>
    <w:rsid w:val="00707364"/>
    <w:rsid w:val="007078A2"/>
    <w:rsid w:val="007079FC"/>
    <w:rsid w:val="00707B12"/>
    <w:rsid w:val="00707D0F"/>
    <w:rsid w:val="00707D9C"/>
    <w:rsid w:val="007100B7"/>
    <w:rsid w:val="007101C6"/>
    <w:rsid w:val="00710C48"/>
    <w:rsid w:val="00711A36"/>
    <w:rsid w:val="00711E5F"/>
    <w:rsid w:val="007121E0"/>
    <w:rsid w:val="007130FE"/>
    <w:rsid w:val="007131A3"/>
    <w:rsid w:val="007135D2"/>
    <w:rsid w:val="00713B8A"/>
    <w:rsid w:val="00714433"/>
    <w:rsid w:val="007147EE"/>
    <w:rsid w:val="007149BA"/>
    <w:rsid w:val="00714C26"/>
    <w:rsid w:val="0071529C"/>
    <w:rsid w:val="00715482"/>
    <w:rsid w:val="0071588A"/>
    <w:rsid w:val="007170DA"/>
    <w:rsid w:val="007172AD"/>
    <w:rsid w:val="00720801"/>
    <w:rsid w:val="00720A01"/>
    <w:rsid w:val="00721D15"/>
    <w:rsid w:val="00721D22"/>
    <w:rsid w:val="007222BB"/>
    <w:rsid w:val="00722A36"/>
    <w:rsid w:val="00722B1B"/>
    <w:rsid w:val="00722C10"/>
    <w:rsid w:val="00722C3D"/>
    <w:rsid w:val="00722E02"/>
    <w:rsid w:val="00722EE6"/>
    <w:rsid w:val="0072304D"/>
    <w:rsid w:val="00723114"/>
    <w:rsid w:val="00723EA1"/>
    <w:rsid w:val="0072416F"/>
    <w:rsid w:val="00724796"/>
    <w:rsid w:val="00724804"/>
    <w:rsid w:val="00724893"/>
    <w:rsid w:val="007249CE"/>
    <w:rsid w:val="0072515F"/>
    <w:rsid w:val="00725889"/>
    <w:rsid w:val="00726174"/>
    <w:rsid w:val="00726240"/>
    <w:rsid w:val="007264BE"/>
    <w:rsid w:val="0072671B"/>
    <w:rsid w:val="00726BDB"/>
    <w:rsid w:val="00726C7D"/>
    <w:rsid w:val="00726E8A"/>
    <w:rsid w:val="0072701B"/>
    <w:rsid w:val="007274E8"/>
    <w:rsid w:val="007276B4"/>
    <w:rsid w:val="00727C94"/>
    <w:rsid w:val="00727EA6"/>
    <w:rsid w:val="00727F28"/>
    <w:rsid w:val="007302B8"/>
    <w:rsid w:val="00730468"/>
    <w:rsid w:val="007313D8"/>
    <w:rsid w:val="00731B0A"/>
    <w:rsid w:val="00731EAE"/>
    <w:rsid w:val="00732208"/>
    <w:rsid w:val="00732729"/>
    <w:rsid w:val="0073291E"/>
    <w:rsid w:val="00732EC7"/>
    <w:rsid w:val="00733073"/>
    <w:rsid w:val="00733251"/>
    <w:rsid w:val="007332BC"/>
    <w:rsid w:val="0073352B"/>
    <w:rsid w:val="007336F4"/>
    <w:rsid w:val="00733AEB"/>
    <w:rsid w:val="00733BA9"/>
    <w:rsid w:val="007344B0"/>
    <w:rsid w:val="007344D7"/>
    <w:rsid w:val="007345E7"/>
    <w:rsid w:val="00735033"/>
    <w:rsid w:val="00735328"/>
    <w:rsid w:val="0073685B"/>
    <w:rsid w:val="00736A86"/>
    <w:rsid w:val="007370EB"/>
    <w:rsid w:val="00737239"/>
    <w:rsid w:val="007373DB"/>
    <w:rsid w:val="00737AB7"/>
    <w:rsid w:val="00737B66"/>
    <w:rsid w:val="007404B4"/>
    <w:rsid w:val="00740B9C"/>
    <w:rsid w:val="00740C25"/>
    <w:rsid w:val="0074166A"/>
    <w:rsid w:val="00742C60"/>
    <w:rsid w:val="00742CD3"/>
    <w:rsid w:val="00742DA2"/>
    <w:rsid w:val="00742FA7"/>
    <w:rsid w:val="0074399E"/>
    <w:rsid w:val="00743FC5"/>
    <w:rsid w:val="007440FC"/>
    <w:rsid w:val="00744572"/>
    <w:rsid w:val="007449BF"/>
    <w:rsid w:val="00746653"/>
    <w:rsid w:val="00746BC0"/>
    <w:rsid w:val="00746F79"/>
    <w:rsid w:val="007478D6"/>
    <w:rsid w:val="007500C3"/>
    <w:rsid w:val="007507B4"/>
    <w:rsid w:val="00750B07"/>
    <w:rsid w:val="00750B79"/>
    <w:rsid w:val="007510B4"/>
    <w:rsid w:val="00751D5F"/>
    <w:rsid w:val="00751D8A"/>
    <w:rsid w:val="00752142"/>
    <w:rsid w:val="007523F9"/>
    <w:rsid w:val="00752750"/>
    <w:rsid w:val="00752C8C"/>
    <w:rsid w:val="00752E53"/>
    <w:rsid w:val="00753021"/>
    <w:rsid w:val="0075357E"/>
    <w:rsid w:val="00754846"/>
    <w:rsid w:val="00754B39"/>
    <w:rsid w:val="00754C64"/>
    <w:rsid w:val="00755AA3"/>
    <w:rsid w:val="007567CA"/>
    <w:rsid w:val="0075701A"/>
    <w:rsid w:val="007573E8"/>
    <w:rsid w:val="007604BB"/>
    <w:rsid w:val="007608BD"/>
    <w:rsid w:val="00760C4E"/>
    <w:rsid w:val="00760F9E"/>
    <w:rsid w:val="007617A8"/>
    <w:rsid w:val="00761ABC"/>
    <w:rsid w:val="007627BE"/>
    <w:rsid w:val="00762911"/>
    <w:rsid w:val="00762A90"/>
    <w:rsid w:val="00763804"/>
    <w:rsid w:val="00764101"/>
    <w:rsid w:val="0076443C"/>
    <w:rsid w:val="0076451C"/>
    <w:rsid w:val="0076455F"/>
    <w:rsid w:val="007647CC"/>
    <w:rsid w:val="00764F03"/>
    <w:rsid w:val="007651A1"/>
    <w:rsid w:val="00765323"/>
    <w:rsid w:val="00765A03"/>
    <w:rsid w:val="00765B1A"/>
    <w:rsid w:val="00765C51"/>
    <w:rsid w:val="00765CDA"/>
    <w:rsid w:val="00766077"/>
    <w:rsid w:val="0076671E"/>
    <w:rsid w:val="0076672D"/>
    <w:rsid w:val="00766899"/>
    <w:rsid w:val="00766AE4"/>
    <w:rsid w:val="00766F13"/>
    <w:rsid w:val="00766F98"/>
    <w:rsid w:val="007674A7"/>
    <w:rsid w:val="00767525"/>
    <w:rsid w:val="00767B1D"/>
    <w:rsid w:val="00767BAB"/>
    <w:rsid w:val="00770C20"/>
    <w:rsid w:val="00770ED3"/>
    <w:rsid w:val="00771FB7"/>
    <w:rsid w:val="007724F2"/>
    <w:rsid w:val="00773439"/>
    <w:rsid w:val="00773A3F"/>
    <w:rsid w:val="00774213"/>
    <w:rsid w:val="00774575"/>
    <w:rsid w:val="007746D3"/>
    <w:rsid w:val="00774844"/>
    <w:rsid w:val="00774AF7"/>
    <w:rsid w:val="007752EE"/>
    <w:rsid w:val="00776333"/>
    <w:rsid w:val="00777335"/>
    <w:rsid w:val="0078021B"/>
    <w:rsid w:val="00780E43"/>
    <w:rsid w:val="00781923"/>
    <w:rsid w:val="00781D07"/>
    <w:rsid w:val="00782086"/>
    <w:rsid w:val="00782496"/>
    <w:rsid w:val="00782567"/>
    <w:rsid w:val="007825EC"/>
    <w:rsid w:val="007826CC"/>
    <w:rsid w:val="00783312"/>
    <w:rsid w:val="00783486"/>
    <w:rsid w:val="00783F58"/>
    <w:rsid w:val="007843F2"/>
    <w:rsid w:val="00784BD0"/>
    <w:rsid w:val="00785185"/>
    <w:rsid w:val="00785220"/>
    <w:rsid w:val="00785308"/>
    <w:rsid w:val="00785A9F"/>
    <w:rsid w:val="00785BB0"/>
    <w:rsid w:val="00786101"/>
    <w:rsid w:val="0078623F"/>
    <w:rsid w:val="0078716B"/>
    <w:rsid w:val="0078767C"/>
    <w:rsid w:val="00787690"/>
    <w:rsid w:val="0079005D"/>
    <w:rsid w:val="0079078F"/>
    <w:rsid w:val="007916AB"/>
    <w:rsid w:val="0079201A"/>
    <w:rsid w:val="007925DF"/>
    <w:rsid w:val="007926B8"/>
    <w:rsid w:val="00792808"/>
    <w:rsid w:val="0079293C"/>
    <w:rsid w:val="0079342B"/>
    <w:rsid w:val="00793903"/>
    <w:rsid w:val="00793DDE"/>
    <w:rsid w:val="00794570"/>
    <w:rsid w:val="00794806"/>
    <w:rsid w:val="0079544D"/>
    <w:rsid w:val="007957A9"/>
    <w:rsid w:val="00795E24"/>
    <w:rsid w:val="00796929"/>
    <w:rsid w:val="00796951"/>
    <w:rsid w:val="007977A6"/>
    <w:rsid w:val="007977B4"/>
    <w:rsid w:val="007A06AE"/>
    <w:rsid w:val="007A0893"/>
    <w:rsid w:val="007A08AA"/>
    <w:rsid w:val="007A0A12"/>
    <w:rsid w:val="007A0E70"/>
    <w:rsid w:val="007A132D"/>
    <w:rsid w:val="007A1345"/>
    <w:rsid w:val="007A139D"/>
    <w:rsid w:val="007A16A9"/>
    <w:rsid w:val="007A1B53"/>
    <w:rsid w:val="007A1FB1"/>
    <w:rsid w:val="007A28AA"/>
    <w:rsid w:val="007A2DDB"/>
    <w:rsid w:val="007A2F37"/>
    <w:rsid w:val="007A3783"/>
    <w:rsid w:val="007A3CCD"/>
    <w:rsid w:val="007A4644"/>
    <w:rsid w:val="007A482D"/>
    <w:rsid w:val="007A577C"/>
    <w:rsid w:val="007A70BA"/>
    <w:rsid w:val="007A70E7"/>
    <w:rsid w:val="007A761D"/>
    <w:rsid w:val="007A7A1F"/>
    <w:rsid w:val="007A7A4F"/>
    <w:rsid w:val="007B05CC"/>
    <w:rsid w:val="007B0D68"/>
    <w:rsid w:val="007B0F19"/>
    <w:rsid w:val="007B1092"/>
    <w:rsid w:val="007B10F3"/>
    <w:rsid w:val="007B17B1"/>
    <w:rsid w:val="007B251D"/>
    <w:rsid w:val="007B27C8"/>
    <w:rsid w:val="007B2986"/>
    <w:rsid w:val="007B299F"/>
    <w:rsid w:val="007B29CC"/>
    <w:rsid w:val="007B33BF"/>
    <w:rsid w:val="007B4F58"/>
    <w:rsid w:val="007B528D"/>
    <w:rsid w:val="007B53FA"/>
    <w:rsid w:val="007B63CA"/>
    <w:rsid w:val="007B679B"/>
    <w:rsid w:val="007B698E"/>
    <w:rsid w:val="007B7005"/>
    <w:rsid w:val="007B70F9"/>
    <w:rsid w:val="007B7429"/>
    <w:rsid w:val="007B77D1"/>
    <w:rsid w:val="007B7A06"/>
    <w:rsid w:val="007B7ED5"/>
    <w:rsid w:val="007C07C7"/>
    <w:rsid w:val="007C09A1"/>
    <w:rsid w:val="007C0B8D"/>
    <w:rsid w:val="007C0DA5"/>
    <w:rsid w:val="007C11ED"/>
    <w:rsid w:val="007C17DC"/>
    <w:rsid w:val="007C1CD9"/>
    <w:rsid w:val="007C2357"/>
    <w:rsid w:val="007C29D8"/>
    <w:rsid w:val="007C32EF"/>
    <w:rsid w:val="007C3450"/>
    <w:rsid w:val="007C361D"/>
    <w:rsid w:val="007C3867"/>
    <w:rsid w:val="007C3C35"/>
    <w:rsid w:val="007C3D67"/>
    <w:rsid w:val="007C4983"/>
    <w:rsid w:val="007C4B84"/>
    <w:rsid w:val="007C589F"/>
    <w:rsid w:val="007C6D0B"/>
    <w:rsid w:val="007C6D4A"/>
    <w:rsid w:val="007C6EA3"/>
    <w:rsid w:val="007C6F69"/>
    <w:rsid w:val="007C6FA0"/>
    <w:rsid w:val="007C70FF"/>
    <w:rsid w:val="007C7C25"/>
    <w:rsid w:val="007D002A"/>
    <w:rsid w:val="007D004F"/>
    <w:rsid w:val="007D01F2"/>
    <w:rsid w:val="007D038F"/>
    <w:rsid w:val="007D0639"/>
    <w:rsid w:val="007D0B38"/>
    <w:rsid w:val="007D0CA0"/>
    <w:rsid w:val="007D1CB5"/>
    <w:rsid w:val="007D2623"/>
    <w:rsid w:val="007D2C80"/>
    <w:rsid w:val="007D2F63"/>
    <w:rsid w:val="007D32AB"/>
    <w:rsid w:val="007D3958"/>
    <w:rsid w:val="007D3F0F"/>
    <w:rsid w:val="007D41F7"/>
    <w:rsid w:val="007D4E84"/>
    <w:rsid w:val="007D530E"/>
    <w:rsid w:val="007D5440"/>
    <w:rsid w:val="007D5615"/>
    <w:rsid w:val="007D5A23"/>
    <w:rsid w:val="007D69EB"/>
    <w:rsid w:val="007D6F55"/>
    <w:rsid w:val="007D73C7"/>
    <w:rsid w:val="007D7477"/>
    <w:rsid w:val="007D7AC4"/>
    <w:rsid w:val="007E0542"/>
    <w:rsid w:val="007E0CE4"/>
    <w:rsid w:val="007E128F"/>
    <w:rsid w:val="007E1975"/>
    <w:rsid w:val="007E28BC"/>
    <w:rsid w:val="007E2E3E"/>
    <w:rsid w:val="007E2E5C"/>
    <w:rsid w:val="007E3008"/>
    <w:rsid w:val="007E43E9"/>
    <w:rsid w:val="007E4B05"/>
    <w:rsid w:val="007E5621"/>
    <w:rsid w:val="007E5778"/>
    <w:rsid w:val="007E5DE4"/>
    <w:rsid w:val="007E6AAF"/>
    <w:rsid w:val="007E6E76"/>
    <w:rsid w:val="007E6ED6"/>
    <w:rsid w:val="007E7AF7"/>
    <w:rsid w:val="007F02F5"/>
    <w:rsid w:val="007F1017"/>
    <w:rsid w:val="007F1420"/>
    <w:rsid w:val="007F2195"/>
    <w:rsid w:val="007F2EE2"/>
    <w:rsid w:val="007F354E"/>
    <w:rsid w:val="007F3920"/>
    <w:rsid w:val="007F492B"/>
    <w:rsid w:val="007F4A3F"/>
    <w:rsid w:val="007F4A61"/>
    <w:rsid w:val="007F4E0A"/>
    <w:rsid w:val="007F5179"/>
    <w:rsid w:val="007F5255"/>
    <w:rsid w:val="007F56CC"/>
    <w:rsid w:val="007F61C2"/>
    <w:rsid w:val="007F6230"/>
    <w:rsid w:val="007F6BD9"/>
    <w:rsid w:val="007F7150"/>
    <w:rsid w:val="007F73D2"/>
    <w:rsid w:val="007F7CB7"/>
    <w:rsid w:val="007F7E4C"/>
    <w:rsid w:val="0080031C"/>
    <w:rsid w:val="00800650"/>
    <w:rsid w:val="00800796"/>
    <w:rsid w:val="00800C91"/>
    <w:rsid w:val="0080122B"/>
    <w:rsid w:val="00801B0B"/>
    <w:rsid w:val="0080259B"/>
    <w:rsid w:val="00802682"/>
    <w:rsid w:val="00803446"/>
    <w:rsid w:val="0080391F"/>
    <w:rsid w:val="00803BF3"/>
    <w:rsid w:val="00803D87"/>
    <w:rsid w:val="00803F07"/>
    <w:rsid w:val="00805142"/>
    <w:rsid w:val="0080514F"/>
    <w:rsid w:val="00805196"/>
    <w:rsid w:val="0080537B"/>
    <w:rsid w:val="00805FCE"/>
    <w:rsid w:val="00805FE4"/>
    <w:rsid w:val="008065B6"/>
    <w:rsid w:val="00806DDB"/>
    <w:rsid w:val="00807A8B"/>
    <w:rsid w:val="00807BAA"/>
    <w:rsid w:val="00807C98"/>
    <w:rsid w:val="00810B24"/>
    <w:rsid w:val="00811383"/>
    <w:rsid w:val="00811419"/>
    <w:rsid w:val="00811D6E"/>
    <w:rsid w:val="00811FC3"/>
    <w:rsid w:val="00812149"/>
    <w:rsid w:val="00812665"/>
    <w:rsid w:val="00812871"/>
    <w:rsid w:val="00812A4B"/>
    <w:rsid w:val="00812CAC"/>
    <w:rsid w:val="00814455"/>
    <w:rsid w:val="00814A39"/>
    <w:rsid w:val="00814A8B"/>
    <w:rsid w:val="00815A38"/>
    <w:rsid w:val="00816146"/>
    <w:rsid w:val="00816361"/>
    <w:rsid w:val="00816380"/>
    <w:rsid w:val="008166EF"/>
    <w:rsid w:val="00816A6B"/>
    <w:rsid w:val="00816C06"/>
    <w:rsid w:val="00816FEF"/>
    <w:rsid w:val="008176B3"/>
    <w:rsid w:val="00817DAA"/>
    <w:rsid w:val="00820A8C"/>
    <w:rsid w:val="00820E6B"/>
    <w:rsid w:val="00820FA9"/>
    <w:rsid w:val="008215FB"/>
    <w:rsid w:val="008216A2"/>
    <w:rsid w:val="008218D3"/>
    <w:rsid w:val="0082198A"/>
    <w:rsid w:val="008222DA"/>
    <w:rsid w:val="00822F4D"/>
    <w:rsid w:val="008230D5"/>
    <w:rsid w:val="00823174"/>
    <w:rsid w:val="008237C1"/>
    <w:rsid w:val="00823C8F"/>
    <w:rsid w:val="00824183"/>
    <w:rsid w:val="00824964"/>
    <w:rsid w:val="00824BBF"/>
    <w:rsid w:val="00825078"/>
    <w:rsid w:val="0082525C"/>
    <w:rsid w:val="008253B5"/>
    <w:rsid w:val="00825751"/>
    <w:rsid w:val="00825783"/>
    <w:rsid w:val="00825A05"/>
    <w:rsid w:val="008264EB"/>
    <w:rsid w:val="00826921"/>
    <w:rsid w:val="00826CE9"/>
    <w:rsid w:val="00826E20"/>
    <w:rsid w:val="00826F33"/>
    <w:rsid w:val="00827402"/>
    <w:rsid w:val="0082770D"/>
    <w:rsid w:val="008278F6"/>
    <w:rsid w:val="008312ED"/>
    <w:rsid w:val="0083138B"/>
    <w:rsid w:val="00832716"/>
    <w:rsid w:val="008330E6"/>
    <w:rsid w:val="008331A1"/>
    <w:rsid w:val="00833B05"/>
    <w:rsid w:val="00834B8E"/>
    <w:rsid w:val="00834DC8"/>
    <w:rsid w:val="00835460"/>
    <w:rsid w:val="00835631"/>
    <w:rsid w:val="00835763"/>
    <w:rsid w:val="0083623E"/>
    <w:rsid w:val="008362B4"/>
    <w:rsid w:val="00836304"/>
    <w:rsid w:val="00836453"/>
    <w:rsid w:val="0083673E"/>
    <w:rsid w:val="0083674D"/>
    <w:rsid w:val="00837C3C"/>
    <w:rsid w:val="00837E64"/>
    <w:rsid w:val="00840CA2"/>
    <w:rsid w:val="00840E4A"/>
    <w:rsid w:val="00840F06"/>
    <w:rsid w:val="0084120A"/>
    <w:rsid w:val="00841443"/>
    <w:rsid w:val="00841A12"/>
    <w:rsid w:val="00841A45"/>
    <w:rsid w:val="0084237C"/>
    <w:rsid w:val="0084239E"/>
    <w:rsid w:val="00842C11"/>
    <w:rsid w:val="008430A3"/>
    <w:rsid w:val="0084374F"/>
    <w:rsid w:val="00843924"/>
    <w:rsid w:val="0084392E"/>
    <w:rsid w:val="00843B56"/>
    <w:rsid w:val="008443A6"/>
    <w:rsid w:val="00844986"/>
    <w:rsid w:val="00844A22"/>
    <w:rsid w:val="008454C7"/>
    <w:rsid w:val="00845731"/>
    <w:rsid w:val="008464E4"/>
    <w:rsid w:val="00846F70"/>
    <w:rsid w:val="008470CE"/>
    <w:rsid w:val="0084713A"/>
    <w:rsid w:val="0084739C"/>
    <w:rsid w:val="00847703"/>
    <w:rsid w:val="00847DF5"/>
    <w:rsid w:val="00847E44"/>
    <w:rsid w:val="00850063"/>
    <w:rsid w:val="008501A8"/>
    <w:rsid w:val="0085069F"/>
    <w:rsid w:val="008516BE"/>
    <w:rsid w:val="008516EA"/>
    <w:rsid w:val="00851701"/>
    <w:rsid w:val="00851FE7"/>
    <w:rsid w:val="0085309D"/>
    <w:rsid w:val="008534B5"/>
    <w:rsid w:val="00853570"/>
    <w:rsid w:val="00853785"/>
    <w:rsid w:val="00853DA7"/>
    <w:rsid w:val="00853E9C"/>
    <w:rsid w:val="00854383"/>
    <w:rsid w:val="00854E45"/>
    <w:rsid w:val="00854FC6"/>
    <w:rsid w:val="008554D3"/>
    <w:rsid w:val="008559B2"/>
    <w:rsid w:val="008559BD"/>
    <w:rsid w:val="00855EEE"/>
    <w:rsid w:val="00856897"/>
    <w:rsid w:val="0085690E"/>
    <w:rsid w:val="00856E9A"/>
    <w:rsid w:val="00856F9D"/>
    <w:rsid w:val="0085701D"/>
    <w:rsid w:val="00857428"/>
    <w:rsid w:val="0085768C"/>
    <w:rsid w:val="008577FB"/>
    <w:rsid w:val="00860663"/>
    <w:rsid w:val="0086075D"/>
    <w:rsid w:val="00861177"/>
    <w:rsid w:val="008617D6"/>
    <w:rsid w:val="008621D6"/>
    <w:rsid w:val="00862502"/>
    <w:rsid w:val="00862551"/>
    <w:rsid w:val="0086264C"/>
    <w:rsid w:val="00862CC1"/>
    <w:rsid w:val="00863012"/>
    <w:rsid w:val="0086319D"/>
    <w:rsid w:val="0086347D"/>
    <w:rsid w:val="0086365B"/>
    <w:rsid w:val="008639C0"/>
    <w:rsid w:val="00863E84"/>
    <w:rsid w:val="00864170"/>
    <w:rsid w:val="00864781"/>
    <w:rsid w:val="00864F2B"/>
    <w:rsid w:val="00865000"/>
    <w:rsid w:val="008652E6"/>
    <w:rsid w:val="008653EF"/>
    <w:rsid w:val="0086545C"/>
    <w:rsid w:val="008656DD"/>
    <w:rsid w:val="008660D4"/>
    <w:rsid w:val="00866FD6"/>
    <w:rsid w:val="00867636"/>
    <w:rsid w:val="0086767E"/>
    <w:rsid w:val="00867CD5"/>
    <w:rsid w:val="00867DD2"/>
    <w:rsid w:val="008701E1"/>
    <w:rsid w:val="00870CCA"/>
    <w:rsid w:val="00871072"/>
    <w:rsid w:val="00871EAB"/>
    <w:rsid w:val="00871FA9"/>
    <w:rsid w:val="00871FB4"/>
    <w:rsid w:val="00872124"/>
    <w:rsid w:val="008728E9"/>
    <w:rsid w:val="0087298F"/>
    <w:rsid w:val="008733A3"/>
    <w:rsid w:val="00873E68"/>
    <w:rsid w:val="00874A61"/>
    <w:rsid w:val="0087511C"/>
    <w:rsid w:val="008755C0"/>
    <w:rsid w:val="00875925"/>
    <w:rsid w:val="00875ECE"/>
    <w:rsid w:val="00876024"/>
    <w:rsid w:val="0087680D"/>
    <w:rsid w:val="00876DF8"/>
    <w:rsid w:val="008776D5"/>
    <w:rsid w:val="00877C6D"/>
    <w:rsid w:val="00880327"/>
    <w:rsid w:val="00880805"/>
    <w:rsid w:val="00880A7B"/>
    <w:rsid w:val="00880ACD"/>
    <w:rsid w:val="00880D03"/>
    <w:rsid w:val="00880DE0"/>
    <w:rsid w:val="0088279A"/>
    <w:rsid w:val="00882874"/>
    <w:rsid w:val="00882B32"/>
    <w:rsid w:val="00882E3C"/>
    <w:rsid w:val="008835EB"/>
    <w:rsid w:val="00883787"/>
    <w:rsid w:val="008837D9"/>
    <w:rsid w:val="008839A0"/>
    <w:rsid w:val="00883C95"/>
    <w:rsid w:val="00884040"/>
    <w:rsid w:val="00884847"/>
    <w:rsid w:val="00884ED3"/>
    <w:rsid w:val="008854F1"/>
    <w:rsid w:val="008855E4"/>
    <w:rsid w:val="00885F44"/>
    <w:rsid w:val="00885F54"/>
    <w:rsid w:val="0088693E"/>
    <w:rsid w:val="00886CD2"/>
    <w:rsid w:val="00887AE5"/>
    <w:rsid w:val="00890479"/>
    <w:rsid w:val="00890AEF"/>
    <w:rsid w:val="0089117E"/>
    <w:rsid w:val="00891844"/>
    <w:rsid w:val="00891975"/>
    <w:rsid w:val="00891A5E"/>
    <w:rsid w:val="00891E6F"/>
    <w:rsid w:val="00891E8C"/>
    <w:rsid w:val="0089275D"/>
    <w:rsid w:val="00892A36"/>
    <w:rsid w:val="00893239"/>
    <w:rsid w:val="00893327"/>
    <w:rsid w:val="008934FE"/>
    <w:rsid w:val="008936A1"/>
    <w:rsid w:val="00893A56"/>
    <w:rsid w:val="00893DFE"/>
    <w:rsid w:val="00894489"/>
    <w:rsid w:val="0089449C"/>
    <w:rsid w:val="008954FB"/>
    <w:rsid w:val="00895876"/>
    <w:rsid w:val="00895C89"/>
    <w:rsid w:val="00895E39"/>
    <w:rsid w:val="008963A5"/>
    <w:rsid w:val="00896442"/>
    <w:rsid w:val="00896625"/>
    <w:rsid w:val="00896D5D"/>
    <w:rsid w:val="008A00D1"/>
    <w:rsid w:val="008A01D9"/>
    <w:rsid w:val="008A063C"/>
    <w:rsid w:val="008A1813"/>
    <w:rsid w:val="008A203D"/>
    <w:rsid w:val="008A2369"/>
    <w:rsid w:val="008A2983"/>
    <w:rsid w:val="008A3363"/>
    <w:rsid w:val="008A3371"/>
    <w:rsid w:val="008A3741"/>
    <w:rsid w:val="008A3A35"/>
    <w:rsid w:val="008A3C3E"/>
    <w:rsid w:val="008A4359"/>
    <w:rsid w:val="008A472A"/>
    <w:rsid w:val="008A4979"/>
    <w:rsid w:val="008A4E55"/>
    <w:rsid w:val="008A59C1"/>
    <w:rsid w:val="008A5D40"/>
    <w:rsid w:val="008A5F9A"/>
    <w:rsid w:val="008A61E0"/>
    <w:rsid w:val="008A6AEB"/>
    <w:rsid w:val="008A6F26"/>
    <w:rsid w:val="008A74D1"/>
    <w:rsid w:val="008A79DE"/>
    <w:rsid w:val="008A7A90"/>
    <w:rsid w:val="008A7E4E"/>
    <w:rsid w:val="008B05D7"/>
    <w:rsid w:val="008B100E"/>
    <w:rsid w:val="008B118E"/>
    <w:rsid w:val="008B1757"/>
    <w:rsid w:val="008B1C49"/>
    <w:rsid w:val="008B240D"/>
    <w:rsid w:val="008B30CF"/>
    <w:rsid w:val="008B39D5"/>
    <w:rsid w:val="008B3E16"/>
    <w:rsid w:val="008B4F43"/>
    <w:rsid w:val="008B5555"/>
    <w:rsid w:val="008B5DC0"/>
    <w:rsid w:val="008B5E21"/>
    <w:rsid w:val="008B69A2"/>
    <w:rsid w:val="008B7992"/>
    <w:rsid w:val="008B7D7E"/>
    <w:rsid w:val="008B7E81"/>
    <w:rsid w:val="008C0644"/>
    <w:rsid w:val="008C0975"/>
    <w:rsid w:val="008C14C7"/>
    <w:rsid w:val="008C17C5"/>
    <w:rsid w:val="008C29BB"/>
    <w:rsid w:val="008C2D1B"/>
    <w:rsid w:val="008C3F03"/>
    <w:rsid w:val="008C5610"/>
    <w:rsid w:val="008C5739"/>
    <w:rsid w:val="008C5DAA"/>
    <w:rsid w:val="008C6787"/>
    <w:rsid w:val="008C6CB6"/>
    <w:rsid w:val="008C77E1"/>
    <w:rsid w:val="008C7ECB"/>
    <w:rsid w:val="008D02D3"/>
    <w:rsid w:val="008D16B3"/>
    <w:rsid w:val="008D192C"/>
    <w:rsid w:val="008D1D6C"/>
    <w:rsid w:val="008D2005"/>
    <w:rsid w:val="008D2292"/>
    <w:rsid w:val="008D2368"/>
    <w:rsid w:val="008D2375"/>
    <w:rsid w:val="008D2E1F"/>
    <w:rsid w:val="008D2FDD"/>
    <w:rsid w:val="008D38AD"/>
    <w:rsid w:val="008D3B86"/>
    <w:rsid w:val="008D3F48"/>
    <w:rsid w:val="008D4755"/>
    <w:rsid w:val="008D4772"/>
    <w:rsid w:val="008D47CC"/>
    <w:rsid w:val="008D4C3D"/>
    <w:rsid w:val="008D4D87"/>
    <w:rsid w:val="008D581F"/>
    <w:rsid w:val="008D59D4"/>
    <w:rsid w:val="008D5C47"/>
    <w:rsid w:val="008D61EC"/>
    <w:rsid w:val="008D6276"/>
    <w:rsid w:val="008D62E0"/>
    <w:rsid w:val="008D6697"/>
    <w:rsid w:val="008D72D8"/>
    <w:rsid w:val="008D7364"/>
    <w:rsid w:val="008D743C"/>
    <w:rsid w:val="008D78BC"/>
    <w:rsid w:val="008E03BE"/>
    <w:rsid w:val="008E0531"/>
    <w:rsid w:val="008E09FC"/>
    <w:rsid w:val="008E0AA6"/>
    <w:rsid w:val="008E0C1B"/>
    <w:rsid w:val="008E0D3C"/>
    <w:rsid w:val="008E1270"/>
    <w:rsid w:val="008E13D2"/>
    <w:rsid w:val="008E1B9E"/>
    <w:rsid w:val="008E1CC6"/>
    <w:rsid w:val="008E1F98"/>
    <w:rsid w:val="008E20C0"/>
    <w:rsid w:val="008E26FD"/>
    <w:rsid w:val="008E3078"/>
    <w:rsid w:val="008E30EE"/>
    <w:rsid w:val="008E3551"/>
    <w:rsid w:val="008E385C"/>
    <w:rsid w:val="008E3956"/>
    <w:rsid w:val="008E3A49"/>
    <w:rsid w:val="008E3C37"/>
    <w:rsid w:val="008E4A1B"/>
    <w:rsid w:val="008E4DC4"/>
    <w:rsid w:val="008E55AB"/>
    <w:rsid w:val="008E5B80"/>
    <w:rsid w:val="008E5DDC"/>
    <w:rsid w:val="008E5E5A"/>
    <w:rsid w:val="008E645E"/>
    <w:rsid w:val="008E6653"/>
    <w:rsid w:val="008E7BDA"/>
    <w:rsid w:val="008F06B8"/>
    <w:rsid w:val="008F0CDD"/>
    <w:rsid w:val="008F120A"/>
    <w:rsid w:val="008F1DF1"/>
    <w:rsid w:val="008F27E0"/>
    <w:rsid w:val="008F286E"/>
    <w:rsid w:val="008F2B78"/>
    <w:rsid w:val="008F3570"/>
    <w:rsid w:val="008F39A3"/>
    <w:rsid w:val="008F3C95"/>
    <w:rsid w:val="008F4055"/>
    <w:rsid w:val="008F40A0"/>
    <w:rsid w:val="008F48EB"/>
    <w:rsid w:val="008F4F0B"/>
    <w:rsid w:val="008F5DD9"/>
    <w:rsid w:val="008F6EF5"/>
    <w:rsid w:val="008F71EA"/>
    <w:rsid w:val="009005E7"/>
    <w:rsid w:val="00900625"/>
    <w:rsid w:val="00900AFA"/>
    <w:rsid w:val="00901C02"/>
    <w:rsid w:val="00901EEB"/>
    <w:rsid w:val="00902466"/>
    <w:rsid w:val="009026E8"/>
    <w:rsid w:val="00902D08"/>
    <w:rsid w:val="00903278"/>
    <w:rsid w:val="00903725"/>
    <w:rsid w:val="009046C4"/>
    <w:rsid w:val="00904F79"/>
    <w:rsid w:val="00905B06"/>
    <w:rsid w:val="00905B0E"/>
    <w:rsid w:val="00905FBC"/>
    <w:rsid w:val="009062A5"/>
    <w:rsid w:val="0090637D"/>
    <w:rsid w:val="00906C98"/>
    <w:rsid w:val="009070E5"/>
    <w:rsid w:val="009077B0"/>
    <w:rsid w:val="00907AF1"/>
    <w:rsid w:val="00907CF7"/>
    <w:rsid w:val="00907EC4"/>
    <w:rsid w:val="00907F55"/>
    <w:rsid w:val="00910301"/>
    <w:rsid w:val="009109D5"/>
    <w:rsid w:val="00910E40"/>
    <w:rsid w:val="00910FA7"/>
    <w:rsid w:val="00911272"/>
    <w:rsid w:val="0091178D"/>
    <w:rsid w:val="009119D8"/>
    <w:rsid w:val="00911E60"/>
    <w:rsid w:val="009121A8"/>
    <w:rsid w:val="00912AF6"/>
    <w:rsid w:val="009135D6"/>
    <w:rsid w:val="009135DD"/>
    <w:rsid w:val="0091361E"/>
    <w:rsid w:val="00913888"/>
    <w:rsid w:val="0091399F"/>
    <w:rsid w:val="00913D33"/>
    <w:rsid w:val="00914C77"/>
    <w:rsid w:val="009150B4"/>
    <w:rsid w:val="009163E8"/>
    <w:rsid w:val="00916549"/>
    <w:rsid w:val="0091659B"/>
    <w:rsid w:val="009168E4"/>
    <w:rsid w:val="009169EF"/>
    <w:rsid w:val="00916E5E"/>
    <w:rsid w:val="009177DD"/>
    <w:rsid w:val="0092000A"/>
    <w:rsid w:val="0092017C"/>
    <w:rsid w:val="00920DF6"/>
    <w:rsid w:val="009213E8"/>
    <w:rsid w:val="0092194D"/>
    <w:rsid w:val="00921ACB"/>
    <w:rsid w:val="00921AF3"/>
    <w:rsid w:val="0092276C"/>
    <w:rsid w:val="00922C08"/>
    <w:rsid w:val="00922E34"/>
    <w:rsid w:val="00923117"/>
    <w:rsid w:val="009234EA"/>
    <w:rsid w:val="0092369B"/>
    <w:rsid w:val="00923BF4"/>
    <w:rsid w:val="009243B7"/>
    <w:rsid w:val="009244CA"/>
    <w:rsid w:val="009247EF"/>
    <w:rsid w:val="00924929"/>
    <w:rsid w:val="00925C32"/>
    <w:rsid w:val="00925CC5"/>
    <w:rsid w:val="00925E07"/>
    <w:rsid w:val="00926389"/>
    <w:rsid w:val="009263B0"/>
    <w:rsid w:val="00926452"/>
    <w:rsid w:val="00926AA3"/>
    <w:rsid w:val="0092701F"/>
    <w:rsid w:val="00927AEB"/>
    <w:rsid w:val="00927F49"/>
    <w:rsid w:val="0093053B"/>
    <w:rsid w:val="0093056D"/>
    <w:rsid w:val="00930726"/>
    <w:rsid w:val="00930791"/>
    <w:rsid w:val="009307FB"/>
    <w:rsid w:val="00931171"/>
    <w:rsid w:val="009316B6"/>
    <w:rsid w:val="0093216A"/>
    <w:rsid w:val="00932885"/>
    <w:rsid w:val="00933646"/>
    <w:rsid w:val="00934988"/>
    <w:rsid w:val="009354DF"/>
    <w:rsid w:val="009356EE"/>
    <w:rsid w:val="00935EB5"/>
    <w:rsid w:val="00935F5A"/>
    <w:rsid w:val="0093698F"/>
    <w:rsid w:val="00936B96"/>
    <w:rsid w:val="00936CC6"/>
    <w:rsid w:val="00937089"/>
    <w:rsid w:val="00937095"/>
    <w:rsid w:val="009373F8"/>
    <w:rsid w:val="00937565"/>
    <w:rsid w:val="009377D0"/>
    <w:rsid w:val="00937CED"/>
    <w:rsid w:val="00940C30"/>
    <w:rsid w:val="00941508"/>
    <w:rsid w:val="00941790"/>
    <w:rsid w:val="00941A9A"/>
    <w:rsid w:val="00941EC2"/>
    <w:rsid w:val="0094229D"/>
    <w:rsid w:val="009428F0"/>
    <w:rsid w:val="009438DC"/>
    <w:rsid w:val="00944823"/>
    <w:rsid w:val="00944898"/>
    <w:rsid w:val="00944F8A"/>
    <w:rsid w:val="009454BD"/>
    <w:rsid w:val="009456BD"/>
    <w:rsid w:val="009459D9"/>
    <w:rsid w:val="00945D3E"/>
    <w:rsid w:val="00946018"/>
    <w:rsid w:val="00946053"/>
    <w:rsid w:val="0094623F"/>
    <w:rsid w:val="00946290"/>
    <w:rsid w:val="009465B5"/>
    <w:rsid w:val="0094699E"/>
    <w:rsid w:val="00946AD0"/>
    <w:rsid w:val="009472B5"/>
    <w:rsid w:val="00947822"/>
    <w:rsid w:val="00947A3A"/>
    <w:rsid w:val="00947D25"/>
    <w:rsid w:val="00950377"/>
    <w:rsid w:val="00950BD0"/>
    <w:rsid w:val="009510A2"/>
    <w:rsid w:val="009511C2"/>
    <w:rsid w:val="009513C9"/>
    <w:rsid w:val="009516B6"/>
    <w:rsid w:val="00951E94"/>
    <w:rsid w:val="00952018"/>
    <w:rsid w:val="009520CD"/>
    <w:rsid w:val="009524A3"/>
    <w:rsid w:val="00952941"/>
    <w:rsid w:val="00953257"/>
    <w:rsid w:val="00953E1E"/>
    <w:rsid w:val="00953E5B"/>
    <w:rsid w:val="0095474C"/>
    <w:rsid w:val="00954797"/>
    <w:rsid w:val="009548EB"/>
    <w:rsid w:val="0095496D"/>
    <w:rsid w:val="00955E81"/>
    <w:rsid w:val="00956066"/>
    <w:rsid w:val="009562E3"/>
    <w:rsid w:val="009567B6"/>
    <w:rsid w:val="00956AB0"/>
    <w:rsid w:val="00956D89"/>
    <w:rsid w:val="009570CC"/>
    <w:rsid w:val="00957228"/>
    <w:rsid w:val="0095736A"/>
    <w:rsid w:val="00960745"/>
    <w:rsid w:val="00960C4B"/>
    <w:rsid w:val="00960C80"/>
    <w:rsid w:val="00960CF5"/>
    <w:rsid w:val="009616DB"/>
    <w:rsid w:val="00962CB9"/>
    <w:rsid w:val="00963020"/>
    <w:rsid w:val="00963518"/>
    <w:rsid w:val="0096387C"/>
    <w:rsid w:val="00964032"/>
    <w:rsid w:val="009640CB"/>
    <w:rsid w:val="009641D9"/>
    <w:rsid w:val="00964312"/>
    <w:rsid w:val="009649B6"/>
    <w:rsid w:val="00964AFB"/>
    <w:rsid w:val="00964C59"/>
    <w:rsid w:val="00964C96"/>
    <w:rsid w:val="00964D27"/>
    <w:rsid w:val="009651AD"/>
    <w:rsid w:val="00965311"/>
    <w:rsid w:val="00965B8A"/>
    <w:rsid w:val="00965C54"/>
    <w:rsid w:val="00966033"/>
    <w:rsid w:val="00966300"/>
    <w:rsid w:val="009664B1"/>
    <w:rsid w:val="00966A75"/>
    <w:rsid w:val="009705E1"/>
    <w:rsid w:val="0097067A"/>
    <w:rsid w:val="0097071E"/>
    <w:rsid w:val="0097071F"/>
    <w:rsid w:val="00970921"/>
    <w:rsid w:val="00970B16"/>
    <w:rsid w:val="00970CEF"/>
    <w:rsid w:val="00970EF5"/>
    <w:rsid w:val="009714F7"/>
    <w:rsid w:val="009717AC"/>
    <w:rsid w:val="00971C54"/>
    <w:rsid w:val="009724E7"/>
    <w:rsid w:val="00972A2D"/>
    <w:rsid w:val="00972BAB"/>
    <w:rsid w:val="00972D64"/>
    <w:rsid w:val="00972EC0"/>
    <w:rsid w:val="00973418"/>
    <w:rsid w:val="009739A7"/>
    <w:rsid w:val="00973FD8"/>
    <w:rsid w:val="00974657"/>
    <w:rsid w:val="00974B64"/>
    <w:rsid w:val="009751C1"/>
    <w:rsid w:val="00975309"/>
    <w:rsid w:val="00975442"/>
    <w:rsid w:val="00975656"/>
    <w:rsid w:val="00975BB8"/>
    <w:rsid w:val="00975BF7"/>
    <w:rsid w:val="009772C1"/>
    <w:rsid w:val="009777FB"/>
    <w:rsid w:val="00981178"/>
    <w:rsid w:val="009811F1"/>
    <w:rsid w:val="00981344"/>
    <w:rsid w:val="00981574"/>
    <w:rsid w:val="00983E57"/>
    <w:rsid w:val="00984269"/>
    <w:rsid w:val="00984AF2"/>
    <w:rsid w:val="00984C4C"/>
    <w:rsid w:val="009854CD"/>
    <w:rsid w:val="00985719"/>
    <w:rsid w:val="00985DE2"/>
    <w:rsid w:val="009863F7"/>
    <w:rsid w:val="0098675D"/>
    <w:rsid w:val="00987935"/>
    <w:rsid w:val="00987AD1"/>
    <w:rsid w:val="009908A2"/>
    <w:rsid w:val="00990D46"/>
    <w:rsid w:val="0099132C"/>
    <w:rsid w:val="009919DE"/>
    <w:rsid w:val="00991F0C"/>
    <w:rsid w:val="00992533"/>
    <w:rsid w:val="009926E0"/>
    <w:rsid w:val="009927E1"/>
    <w:rsid w:val="009932F7"/>
    <w:rsid w:val="00993840"/>
    <w:rsid w:val="00993B35"/>
    <w:rsid w:val="0099451E"/>
    <w:rsid w:val="00995192"/>
    <w:rsid w:val="009951BA"/>
    <w:rsid w:val="00995769"/>
    <w:rsid w:val="0099585F"/>
    <w:rsid w:val="00995C71"/>
    <w:rsid w:val="00996B1A"/>
    <w:rsid w:val="009A07FC"/>
    <w:rsid w:val="009A09B9"/>
    <w:rsid w:val="009A13D1"/>
    <w:rsid w:val="009A199E"/>
    <w:rsid w:val="009A1F8D"/>
    <w:rsid w:val="009A2BDA"/>
    <w:rsid w:val="009A2CD1"/>
    <w:rsid w:val="009A2DCC"/>
    <w:rsid w:val="009A2EC3"/>
    <w:rsid w:val="009A3815"/>
    <w:rsid w:val="009A3A10"/>
    <w:rsid w:val="009A4876"/>
    <w:rsid w:val="009A4AA6"/>
    <w:rsid w:val="009A5ABC"/>
    <w:rsid w:val="009A6839"/>
    <w:rsid w:val="009A6853"/>
    <w:rsid w:val="009A6C5E"/>
    <w:rsid w:val="009A6D38"/>
    <w:rsid w:val="009A6D44"/>
    <w:rsid w:val="009A72A4"/>
    <w:rsid w:val="009A7EB1"/>
    <w:rsid w:val="009A7F10"/>
    <w:rsid w:val="009B081F"/>
    <w:rsid w:val="009B0CAB"/>
    <w:rsid w:val="009B10A5"/>
    <w:rsid w:val="009B13F3"/>
    <w:rsid w:val="009B175D"/>
    <w:rsid w:val="009B1896"/>
    <w:rsid w:val="009B1C9C"/>
    <w:rsid w:val="009B1CD7"/>
    <w:rsid w:val="009B1EEC"/>
    <w:rsid w:val="009B2276"/>
    <w:rsid w:val="009B22A9"/>
    <w:rsid w:val="009B25AD"/>
    <w:rsid w:val="009B36A7"/>
    <w:rsid w:val="009B3798"/>
    <w:rsid w:val="009B3C07"/>
    <w:rsid w:val="009B3E26"/>
    <w:rsid w:val="009B41BF"/>
    <w:rsid w:val="009B4205"/>
    <w:rsid w:val="009B4559"/>
    <w:rsid w:val="009B467B"/>
    <w:rsid w:val="009B4A36"/>
    <w:rsid w:val="009B4ACB"/>
    <w:rsid w:val="009B50AA"/>
    <w:rsid w:val="009B5FB6"/>
    <w:rsid w:val="009B64BA"/>
    <w:rsid w:val="009B71C4"/>
    <w:rsid w:val="009B72BD"/>
    <w:rsid w:val="009B73E4"/>
    <w:rsid w:val="009B74B0"/>
    <w:rsid w:val="009B75AE"/>
    <w:rsid w:val="009B7F5A"/>
    <w:rsid w:val="009C0936"/>
    <w:rsid w:val="009C10CF"/>
    <w:rsid w:val="009C11A6"/>
    <w:rsid w:val="009C175B"/>
    <w:rsid w:val="009C1D44"/>
    <w:rsid w:val="009C1EC6"/>
    <w:rsid w:val="009C23E6"/>
    <w:rsid w:val="009C294A"/>
    <w:rsid w:val="009C2A75"/>
    <w:rsid w:val="009C3470"/>
    <w:rsid w:val="009C3706"/>
    <w:rsid w:val="009C3987"/>
    <w:rsid w:val="009C3A3A"/>
    <w:rsid w:val="009C3FB2"/>
    <w:rsid w:val="009C562B"/>
    <w:rsid w:val="009C6AAF"/>
    <w:rsid w:val="009C6CEA"/>
    <w:rsid w:val="009C744C"/>
    <w:rsid w:val="009C74DF"/>
    <w:rsid w:val="009C7B85"/>
    <w:rsid w:val="009C7E0C"/>
    <w:rsid w:val="009D0254"/>
    <w:rsid w:val="009D053E"/>
    <w:rsid w:val="009D0626"/>
    <w:rsid w:val="009D0973"/>
    <w:rsid w:val="009D0A09"/>
    <w:rsid w:val="009D1762"/>
    <w:rsid w:val="009D1A64"/>
    <w:rsid w:val="009D1C02"/>
    <w:rsid w:val="009D1EAF"/>
    <w:rsid w:val="009D2165"/>
    <w:rsid w:val="009D2C0A"/>
    <w:rsid w:val="009D2F34"/>
    <w:rsid w:val="009D30C0"/>
    <w:rsid w:val="009D399B"/>
    <w:rsid w:val="009D3B40"/>
    <w:rsid w:val="009D4041"/>
    <w:rsid w:val="009D4A32"/>
    <w:rsid w:val="009D4C27"/>
    <w:rsid w:val="009D4F2A"/>
    <w:rsid w:val="009D5B91"/>
    <w:rsid w:val="009D5C71"/>
    <w:rsid w:val="009D623D"/>
    <w:rsid w:val="009D65A8"/>
    <w:rsid w:val="009D6CC4"/>
    <w:rsid w:val="009D6F64"/>
    <w:rsid w:val="009D6F6B"/>
    <w:rsid w:val="009D726D"/>
    <w:rsid w:val="009D792E"/>
    <w:rsid w:val="009D7A99"/>
    <w:rsid w:val="009E031A"/>
    <w:rsid w:val="009E031E"/>
    <w:rsid w:val="009E0518"/>
    <w:rsid w:val="009E0DFE"/>
    <w:rsid w:val="009E2524"/>
    <w:rsid w:val="009E28D3"/>
    <w:rsid w:val="009E31F6"/>
    <w:rsid w:val="009E3727"/>
    <w:rsid w:val="009E3B5D"/>
    <w:rsid w:val="009E3CB2"/>
    <w:rsid w:val="009E4BCF"/>
    <w:rsid w:val="009E4C07"/>
    <w:rsid w:val="009E4D96"/>
    <w:rsid w:val="009E4FE0"/>
    <w:rsid w:val="009E5255"/>
    <w:rsid w:val="009E5702"/>
    <w:rsid w:val="009E5D14"/>
    <w:rsid w:val="009E5E08"/>
    <w:rsid w:val="009E6495"/>
    <w:rsid w:val="009E6620"/>
    <w:rsid w:val="009E66A7"/>
    <w:rsid w:val="009E6A92"/>
    <w:rsid w:val="009E70C7"/>
    <w:rsid w:val="009E7245"/>
    <w:rsid w:val="009E79BF"/>
    <w:rsid w:val="009E7A42"/>
    <w:rsid w:val="009F029E"/>
    <w:rsid w:val="009F0699"/>
    <w:rsid w:val="009F174E"/>
    <w:rsid w:val="009F197D"/>
    <w:rsid w:val="009F2127"/>
    <w:rsid w:val="009F23FC"/>
    <w:rsid w:val="009F24F6"/>
    <w:rsid w:val="009F27C7"/>
    <w:rsid w:val="009F2DCD"/>
    <w:rsid w:val="009F2E1D"/>
    <w:rsid w:val="009F2E36"/>
    <w:rsid w:val="009F2F5E"/>
    <w:rsid w:val="009F363E"/>
    <w:rsid w:val="009F4121"/>
    <w:rsid w:val="009F44E2"/>
    <w:rsid w:val="009F4569"/>
    <w:rsid w:val="009F6070"/>
    <w:rsid w:val="009F667C"/>
    <w:rsid w:val="009F6B59"/>
    <w:rsid w:val="009F705E"/>
    <w:rsid w:val="009F7290"/>
    <w:rsid w:val="009F72AE"/>
    <w:rsid w:val="009F7F94"/>
    <w:rsid w:val="00A00A9A"/>
    <w:rsid w:val="00A01184"/>
    <w:rsid w:val="00A01460"/>
    <w:rsid w:val="00A01F3C"/>
    <w:rsid w:val="00A02247"/>
    <w:rsid w:val="00A02297"/>
    <w:rsid w:val="00A032DA"/>
    <w:rsid w:val="00A037AF"/>
    <w:rsid w:val="00A037C2"/>
    <w:rsid w:val="00A03D43"/>
    <w:rsid w:val="00A03E6D"/>
    <w:rsid w:val="00A03E96"/>
    <w:rsid w:val="00A04380"/>
    <w:rsid w:val="00A043EE"/>
    <w:rsid w:val="00A04C13"/>
    <w:rsid w:val="00A04EDF"/>
    <w:rsid w:val="00A05472"/>
    <w:rsid w:val="00A0549D"/>
    <w:rsid w:val="00A05527"/>
    <w:rsid w:val="00A05C32"/>
    <w:rsid w:val="00A0653F"/>
    <w:rsid w:val="00A067C5"/>
    <w:rsid w:val="00A06D51"/>
    <w:rsid w:val="00A06EDA"/>
    <w:rsid w:val="00A07458"/>
    <w:rsid w:val="00A10571"/>
    <w:rsid w:val="00A10587"/>
    <w:rsid w:val="00A106D1"/>
    <w:rsid w:val="00A11AB1"/>
    <w:rsid w:val="00A11CD0"/>
    <w:rsid w:val="00A1281F"/>
    <w:rsid w:val="00A13948"/>
    <w:rsid w:val="00A14DAF"/>
    <w:rsid w:val="00A14E96"/>
    <w:rsid w:val="00A14F11"/>
    <w:rsid w:val="00A14F1D"/>
    <w:rsid w:val="00A15154"/>
    <w:rsid w:val="00A1555B"/>
    <w:rsid w:val="00A155C5"/>
    <w:rsid w:val="00A15906"/>
    <w:rsid w:val="00A15D90"/>
    <w:rsid w:val="00A16337"/>
    <w:rsid w:val="00A16465"/>
    <w:rsid w:val="00A16881"/>
    <w:rsid w:val="00A16888"/>
    <w:rsid w:val="00A16AD8"/>
    <w:rsid w:val="00A1747E"/>
    <w:rsid w:val="00A1761F"/>
    <w:rsid w:val="00A177CA"/>
    <w:rsid w:val="00A17830"/>
    <w:rsid w:val="00A17C2A"/>
    <w:rsid w:val="00A200AB"/>
    <w:rsid w:val="00A2058B"/>
    <w:rsid w:val="00A20B2D"/>
    <w:rsid w:val="00A20BDC"/>
    <w:rsid w:val="00A2112D"/>
    <w:rsid w:val="00A217B2"/>
    <w:rsid w:val="00A218F3"/>
    <w:rsid w:val="00A21C95"/>
    <w:rsid w:val="00A21CF3"/>
    <w:rsid w:val="00A22EAE"/>
    <w:rsid w:val="00A232ED"/>
    <w:rsid w:val="00A233D4"/>
    <w:rsid w:val="00A23531"/>
    <w:rsid w:val="00A235B2"/>
    <w:rsid w:val="00A23B0A"/>
    <w:rsid w:val="00A24813"/>
    <w:rsid w:val="00A249AA"/>
    <w:rsid w:val="00A2523F"/>
    <w:rsid w:val="00A25A63"/>
    <w:rsid w:val="00A25BE3"/>
    <w:rsid w:val="00A25F6C"/>
    <w:rsid w:val="00A263A6"/>
    <w:rsid w:val="00A2642D"/>
    <w:rsid w:val="00A26712"/>
    <w:rsid w:val="00A267D9"/>
    <w:rsid w:val="00A26BB2"/>
    <w:rsid w:val="00A27AEC"/>
    <w:rsid w:val="00A30661"/>
    <w:rsid w:val="00A30761"/>
    <w:rsid w:val="00A3095B"/>
    <w:rsid w:val="00A30E81"/>
    <w:rsid w:val="00A30F4F"/>
    <w:rsid w:val="00A31009"/>
    <w:rsid w:val="00A3120D"/>
    <w:rsid w:val="00A3207E"/>
    <w:rsid w:val="00A320DB"/>
    <w:rsid w:val="00A3240C"/>
    <w:rsid w:val="00A32951"/>
    <w:rsid w:val="00A32A19"/>
    <w:rsid w:val="00A32DB3"/>
    <w:rsid w:val="00A32F94"/>
    <w:rsid w:val="00A332AF"/>
    <w:rsid w:val="00A3337D"/>
    <w:rsid w:val="00A338E9"/>
    <w:rsid w:val="00A33B1E"/>
    <w:rsid w:val="00A33D69"/>
    <w:rsid w:val="00A34578"/>
    <w:rsid w:val="00A3488B"/>
    <w:rsid w:val="00A349F1"/>
    <w:rsid w:val="00A34F2E"/>
    <w:rsid w:val="00A35AC2"/>
    <w:rsid w:val="00A35D16"/>
    <w:rsid w:val="00A35FFE"/>
    <w:rsid w:val="00A3613C"/>
    <w:rsid w:val="00A370A0"/>
    <w:rsid w:val="00A37679"/>
    <w:rsid w:val="00A3793D"/>
    <w:rsid w:val="00A37A21"/>
    <w:rsid w:val="00A37BCD"/>
    <w:rsid w:val="00A40519"/>
    <w:rsid w:val="00A408ED"/>
    <w:rsid w:val="00A409BB"/>
    <w:rsid w:val="00A40DD3"/>
    <w:rsid w:val="00A41542"/>
    <w:rsid w:val="00A41689"/>
    <w:rsid w:val="00A41930"/>
    <w:rsid w:val="00A4215F"/>
    <w:rsid w:val="00A422A9"/>
    <w:rsid w:val="00A42592"/>
    <w:rsid w:val="00A43C59"/>
    <w:rsid w:val="00A45B2B"/>
    <w:rsid w:val="00A45E14"/>
    <w:rsid w:val="00A4645E"/>
    <w:rsid w:val="00A472A0"/>
    <w:rsid w:val="00A47994"/>
    <w:rsid w:val="00A50038"/>
    <w:rsid w:val="00A50039"/>
    <w:rsid w:val="00A50075"/>
    <w:rsid w:val="00A50B42"/>
    <w:rsid w:val="00A50ECD"/>
    <w:rsid w:val="00A518F3"/>
    <w:rsid w:val="00A51C50"/>
    <w:rsid w:val="00A521E4"/>
    <w:rsid w:val="00A52729"/>
    <w:rsid w:val="00A529B5"/>
    <w:rsid w:val="00A53675"/>
    <w:rsid w:val="00A53E1D"/>
    <w:rsid w:val="00A549CD"/>
    <w:rsid w:val="00A54AF6"/>
    <w:rsid w:val="00A54EAC"/>
    <w:rsid w:val="00A55062"/>
    <w:rsid w:val="00A55254"/>
    <w:rsid w:val="00A55AB7"/>
    <w:rsid w:val="00A55CB3"/>
    <w:rsid w:val="00A55FB6"/>
    <w:rsid w:val="00A561ED"/>
    <w:rsid w:val="00A564D7"/>
    <w:rsid w:val="00A56503"/>
    <w:rsid w:val="00A56635"/>
    <w:rsid w:val="00A5664E"/>
    <w:rsid w:val="00A56B6A"/>
    <w:rsid w:val="00A576E0"/>
    <w:rsid w:val="00A578DC"/>
    <w:rsid w:val="00A6009D"/>
    <w:rsid w:val="00A60299"/>
    <w:rsid w:val="00A611A1"/>
    <w:rsid w:val="00A61AD6"/>
    <w:rsid w:val="00A61DBF"/>
    <w:rsid w:val="00A61FFB"/>
    <w:rsid w:val="00A62711"/>
    <w:rsid w:val="00A62A23"/>
    <w:rsid w:val="00A62B8C"/>
    <w:rsid w:val="00A62E91"/>
    <w:rsid w:val="00A6305F"/>
    <w:rsid w:val="00A63DE1"/>
    <w:rsid w:val="00A640E2"/>
    <w:rsid w:val="00A6421F"/>
    <w:rsid w:val="00A64C3E"/>
    <w:rsid w:val="00A64CB9"/>
    <w:rsid w:val="00A64D65"/>
    <w:rsid w:val="00A65939"/>
    <w:rsid w:val="00A66D41"/>
    <w:rsid w:val="00A67132"/>
    <w:rsid w:val="00A67199"/>
    <w:rsid w:val="00A6725B"/>
    <w:rsid w:val="00A677AC"/>
    <w:rsid w:val="00A705AF"/>
    <w:rsid w:val="00A70605"/>
    <w:rsid w:val="00A7099A"/>
    <w:rsid w:val="00A70A9F"/>
    <w:rsid w:val="00A70F1E"/>
    <w:rsid w:val="00A71BAE"/>
    <w:rsid w:val="00A72B4D"/>
    <w:rsid w:val="00A73134"/>
    <w:rsid w:val="00A731E0"/>
    <w:rsid w:val="00A734C6"/>
    <w:rsid w:val="00A73582"/>
    <w:rsid w:val="00A746C7"/>
    <w:rsid w:val="00A74CF5"/>
    <w:rsid w:val="00A75404"/>
    <w:rsid w:val="00A75925"/>
    <w:rsid w:val="00A75A73"/>
    <w:rsid w:val="00A75B8D"/>
    <w:rsid w:val="00A76001"/>
    <w:rsid w:val="00A76100"/>
    <w:rsid w:val="00A76749"/>
    <w:rsid w:val="00A76761"/>
    <w:rsid w:val="00A76B89"/>
    <w:rsid w:val="00A77144"/>
    <w:rsid w:val="00A77565"/>
    <w:rsid w:val="00A777B2"/>
    <w:rsid w:val="00A77945"/>
    <w:rsid w:val="00A779BE"/>
    <w:rsid w:val="00A779CB"/>
    <w:rsid w:val="00A80A22"/>
    <w:rsid w:val="00A81140"/>
    <w:rsid w:val="00A82029"/>
    <w:rsid w:val="00A824E3"/>
    <w:rsid w:val="00A825D4"/>
    <w:rsid w:val="00A828F6"/>
    <w:rsid w:val="00A82B73"/>
    <w:rsid w:val="00A82D14"/>
    <w:rsid w:val="00A82E8C"/>
    <w:rsid w:val="00A831B1"/>
    <w:rsid w:val="00A83297"/>
    <w:rsid w:val="00A832CC"/>
    <w:rsid w:val="00A83699"/>
    <w:rsid w:val="00A83729"/>
    <w:rsid w:val="00A83FA0"/>
    <w:rsid w:val="00A844C0"/>
    <w:rsid w:val="00A84C81"/>
    <w:rsid w:val="00A84D7A"/>
    <w:rsid w:val="00A84E02"/>
    <w:rsid w:val="00A858C9"/>
    <w:rsid w:val="00A85B0C"/>
    <w:rsid w:val="00A8661E"/>
    <w:rsid w:val="00A86650"/>
    <w:rsid w:val="00A86E8B"/>
    <w:rsid w:val="00A87164"/>
    <w:rsid w:val="00A878A2"/>
    <w:rsid w:val="00A87B98"/>
    <w:rsid w:val="00A87C7A"/>
    <w:rsid w:val="00A9043F"/>
    <w:rsid w:val="00A9064F"/>
    <w:rsid w:val="00A911C8"/>
    <w:rsid w:val="00A91C74"/>
    <w:rsid w:val="00A9203D"/>
    <w:rsid w:val="00A92CEA"/>
    <w:rsid w:val="00A93072"/>
    <w:rsid w:val="00A9334A"/>
    <w:rsid w:val="00A9366B"/>
    <w:rsid w:val="00A93861"/>
    <w:rsid w:val="00A938BD"/>
    <w:rsid w:val="00A93953"/>
    <w:rsid w:val="00A93AF0"/>
    <w:rsid w:val="00A93B5B"/>
    <w:rsid w:val="00A93CCB"/>
    <w:rsid w:val="00A95856"/>
    <w:rsid w:val="00A959D8"/>
    <w:rsid w:val="00A9628F"/>
    <w:rsid w:val="00A972D6"/>
    <w:rsid w:val="00A9740F"/>
    <w:rsid w:val="00A97A94"/>
    <w:rsid w:val="00A97F8B"/>
    <w:rsid w:val="00AA08B7"/>
    <w:rsid w:val="00AA08FE"/>
    <w:rsid w:val="00AA113D"/>
    <w:rsid w:val="00AA1364"/>
    <w:rsid w:val="00AA13F5"/>
    <w:rsid w:val="00AA17BA"/>
    <w:rsid w:val="00AA1C00"/>
    <w:rsid w:val="00AA1CD3"/>
    <w:rsid w:val="00AA1E39"/>
    <w:rsid w:val="00AA1F89"/>
    <w:rsid w:val="00AA211C"/>
    <w:rsid w:val="00AA219E"/>
    <w:rsid w:val="00AA23D6"/>
    <w:rsid w:val="00AA2595"/>
    <w:rsid w:val="00AA25A0"/>
    <w:rsid w:val="00AA2630"/>
    <w:rsid w:val="00AA3142"/>
    <w:rsid w:val="00AA315F"/>
    <w:rsid w:val="00AA36D8"/>
    <w:rsid w:val="00AA3748"/>
    <w:rsid w:val="00AA379B"/>
    <w:rsid w:val="00AA3DF3"/>
    <w:rsid w:val="00AA4958"/>
    <w:rsid w:val="00AA4BB5"/>
    <w:rsid w:val="00AA54F5"/>
    <w:rsid w:val="00AA58E5"/>
    <w:rsid w:val="00AA5AD8"/>
    <w:rsid w:val="00AA5D8D"/>
    <w:rsid w:val="00AA6918"/>
    <w:rsid w:val="00AA6BD5"/>
    <w:rsid w:val="00AA6BD8"/>
    <w:rsid w:val="00AA6C7D"/>
    <w:rsid w:val="00AA6E74"/>
    <w:rsid w:val="00AA6F18"/>
    <w:rsid w:val="00AA7065"/>
    <w:rsid w:val="00AA7D82"/>
    <w:rsid w:val="00AA7FD6"/>
    <w:rsid w:val="00AB0117"/>
    <w:rsid w:val="00AB042A"/>
    <w:rsid w:val="00AB173B"/>
    <w:rsid w:val="00AB19EF"/>
    <w:rsid w:val="00AB238B"/>
    <w:rsid w:val="00AB2606"/>
    <w:rsid w:val="00AB28F3"/>
    <w:rsid w:val="00AB2D34"/>
    <w:rsid w:val="00AB3050"/>
    <w:rsid w:val="00AB320C"/>
    <w:rsid w:val="00AB3430"/>
    <w:rsid w:val="00AB3656"/>
    <w:rsid w:val="00AB36F7"/>
    <w:rsid w:val="00AB37B9"/>
    <w:rsid w:val="00AB42F9"/>
    <w:rsid w:val="00AB44D5"/>
    <w:rsid w:val="00AB4A61"/>
    <w:rsid w:val="00AB4AD1"/>
    <w:rsid w:val="00AB54F4"/>
    <w:rsid w:val="00AB5CD3"/>
    <w:rsid w:val="00AB5E07"/>
    <w:rsid w:val="00AB5E2F"/>
    <w:rsid w:val="00AB5EAB"/>
    <w:rsid w:val="00AB5ECE"/>
    <w:rsid w:val="00AB6315"/>
    <w:rsid w:val="00AB63DF"/>
    <w:rsid w:val="00AB6832"/>
    <w:rsid w:val="00AB7452"/>
    <w:rsid w:val="00AB7480"/>
    <w:rsid w:val="00AB76D6"/>
    <w:rsid w:val="00AB78E3"/>
    <w:rsid w:val="00AB7CDC"/>
    <w:rsid w:val="00AB7CFA"/>
    <w:rsid w:val="00AC035C"/>
    <w:rsid w:val="00AC0880"/>
    <w:rsid w:val="00AC13EF"/>
    <w:rsid w:val="00AC1C14"/>
    <w:rsid w:val="00AC242E"/>
    <w:rsid w:val="00AC2697"/>
    <w:rsid w:val="00AC2BBE"/>
    <w:rsid w:val="00AC2C98"/>
    <w:rsid w:val="00AC3590"/>
    <w:rsid w:val="00AC3EC5"/>
    <w:rsid w:val="00AC4258"/>
    <w:rsid w:val="00AC4F74"/>
    <w:rsid w:val="00AC5B48"/>
    <w:rsid w:val="00AC6295"/>
    <w:rsid w:val="00AC6765"/>
    <w:rsid w:val="00AC6802"/>
    <w:rsid w:val="00AC6A92"/>
    <w:rsid w:val="00AC76AE"/>
    <w:rsid w:val="00AD0780"/>
    <w:rsid w:val="00AD08AE"/>
    <w:rsid w:val="00AD0C1D"/>
    <w:rsid w:val="00AD1450"/>
    <w:rsid w:val="00AD1908"/>
    <w:rsid w:val="00AD19BE"/>
    <w:rsid w:val="00AD1A3A"/>
    <w:rsid w:val="00AD1C05"/>
    <w:rsid w:val="00AD1DF5"/>
    <w:rsid w:val="00AD1E12"/>
    <w:rsid w:val="00AD1FDD"/>
    <w:rsid w:val="00AD21A2"/>
    <w:rsid w:val="00AD3074"/>
    <w:rsid w:val="00AD352D"/>
    <w:rsid w:val="00AD3813"/>
    <w:rsid w:val="00AD3B62"/>
    <w:rsid w:val="00AD4693"/>
    <w:rsid w:val="00AD46C5"/>
    <w:rsid w:val="00AD50E2"/>
    <w:rsid w:val="00AD526E"/>
    <w:rsid w:val="00AD595F"/>
    <w:rsid w:val="00AD5A4A"/>
    <w:rsid w:val="00AD5B98"/>
    <w:rsid w:val="00AD6502"/>
    <w:rsid w:val="00AD67A4"/>
    <w:rsid w:val="00AD757A"/>
    <w:rsid w:val="00AD7902"/>
    <w:rsid w:val="00AD7EB1"/>
    <w:rsid w:val="00AE0475"/>
    <w:rsid w:val="00AE0695"/>
    <w:rsid w:val="00AE15A6"/>
    <w:rsid w:val="00AE2BA4"/>
    <w:rsid w:val="00AE2D9F"/>
    <w:rsid w:val="00AE2F09"/>
    <w:rsid w:val="00AE3167"/>
    <w:rsid w:val="00AE3172"/>
    <w:rsid w:val="00AE370E"/>
    <w:rsid w:val="00AE38B9"/>
    <w:rsid w:val="00AE3E7E"/>
    <w:rsid w:val="00AE450B"/>
    <w:rsid w:val="00AE4F7F"/>
    <w:rsid w:val="00AE510E"/>
    <w:rsid w:val="00AE5160"/>
    <w:rsid w:val="00AE557F"/>
    <w:rsid w:val="00AE69B0"/>
    <w:rsid w:val="00AE6A6F"/>
    <w:rsid w:val="00AE6E93"/>
    <w:rsid w:val="00AF1315"/>
    <w:rsid w:val="00AF19BF"/>
    <w:rsid w:val="00AF2283"/>
    <w:rsid w:val="00AF2B6D"/>
    <w:rsid w:val="00AF2DC3"/>
    <w:rsid w:val="00AF3118"/>
    <w:rsid w:val="00AF35EE"/>
    <w:rsid w:val="00AF4197"/>
    <w:rsid w:val="00AF4816"/>
    <w:rsid w:val="00AF4F27"/>
    <w:rsid w:val="00AF59C7"/>
    <w:rsid w:val="00AF5C45"/>
    <w:rsid w:val="00AF6A00"/>
    <w:rsid w:val="00AF6DF5"/>
    <w:rsid w:val="00AF75CB"/>
    <w:rsid w:val="00AF7D0C"/>
    <w:rsid w:val="00B0020A"/>
    <w:rsid w:val="00B00298"/>
    <w:rsid w:val="00B0076E"/>
    <w:rsid w:val="00B00E7C"/>
    <w:rsid w:val="00B011CC"/>
    <w:rsid w:val="00B0123A"/>
    <w:rsid w:val="00B032BC"/>
    <w:rsid w:val="00B033E5"/>
    <w:rsid w:val="00B03494"/>
    <w:rsid w:val="00B038F7"/>
    <w:rsid w:val="00B03A63"/>
    <w:rsid w:val="00B04921"/>
    <w:rsid w:val="00B04A40"/>
    <w:rsid w:val="00B0522E"/>
    <w:rsid w:val="00B05334"/>
    <w:rsid w:val="00B05438"/>
    <w:rsid w:val="00B10AEA"/>
    <w:rsid w:val="00B10E5B"/>
    <w:rsid w:val="00B10FED"/>
    <w:rsid w:val="00B11018"/>
    <w:rsid w:val="00B131B4"/>
    <w:rsid w:val="00B13DB6"/>
    <w:rsid w:val="00B13E0A"/>
    <w:rsid w:val="00B13E71"/>
    <w:rsid w:val="00B14851"/>
    <w:rsid w:val="00B14905"/>
    <w:rsid w:val="00B15193"/>
    <w:rsid w:val="00B15503"/>
    <w:rsid w:val="00B15C4D"/>
    <w:rsid w:val="00B1649C"/>
    <w:rsid w:val="00B1684A"/>
    <w:rsid w:val="00B16A72"/>
    <w:rsid w:val="00B16B2E"/>
    <w:rsid w:val="00B16C60"/>
    <w:rsid w:val="00B17DA4"/>
    <w:rsid w:val="00B17E9D"/>
    <w:rsid w:val="00B201A4"/>
    <w:rsid w:val="00B201D1"/>
    <w:rsid w:val="00B2041D"/>
    <w:rsid w:val="00B20480"/>
    <w:rsid w:val="00B2108E"/>
    <w:rsid w:val="00B21262"/>
    <w:rsid w:val="00B213A6"/>
    <w:rsid w:val="00B213E0"/>
    <w:rsid w:val="00B21B3E"/>
    <w:rsid w:val="00B21C86"/>
    <w:rsid w:val="00B22054"/>
    <w:rsid w:val="00B2250B"/>
    <w:rsid w:val="00B2255F"/>
    <w:rsid w:val="00B235B0"/>
    <w:rsid w:val="00B24821"/>
    <w:rsid w:val="00B24DF6"/>
    <w:rsid w:val="00B254CD"/>
    <w:rsid w:val="00B261FE"/>
    <w:rsid w:val="00B26575"/>
    <w:rsid w:val="00B26649"/>
    <w:rsid w:val="00B26710"/>
    <w:rsid w:val="00B27C4D"/>
    <w:rsid w:val="00B27DCB"/>
    <w:rsid w:val="00B27F06"/>
    <w:rsid w:val="00B30151"/>
    <w:rsid w:val="00B30AF6"/>
    <w:rsid w:val="00B30B22"/>
    <w:rsid w:val="00B312A6"/>
    <w:rsid w:val="00B31AEB"/>
    <w:rsid w:val="00B31EE2"/>
    <w:rsid w:val="00B32304"/>
    <w:rsid w:val="00B323DB"/>
    <w:rsid w:val="00B326B4"/>
    <w:rsid w:val="00B3285D"/>
    <w:rsid w:val="00B32923"/>
    <w:rsid w:val="00B32EA0"/>
    <w:rsid w:val="00B32F5C"/>
    <w:rsid w:val="00B335DA"/>
    <w:rsid w:val="00B33B2D"/>
    <w:rsid w:val="00B34034"/>
    <w:rsid w:val="00B34413"/>
    <w:rsid w:val="00B34608"/>
    <w:rsid w:val="00B34F3B"/>
    <w:rsid w:val="00B34FE2"/>
    <w:rsid w:val="00B35166"/>
    <w:rsid w:val="00B3518C"/>
    <w:rsid w:val="00B357D8"/>
    <w:rsid w:val="00B36068"/>
    <w:rsid w:val="00B360F4"/>
    <w:rsid w:val="00B3661B"/>
    <w:rsid w:val="00B3682C"/>
    <w:rsid w:val="00B36A00"/>
    <w:rsid w:val="00B37BFC"/>
    <w:rsid w:val="00B40358"/>
    <w:rsid w:val="00B40611"/>
    <w:rsid w:val="00B41156"/>
    <w:rsid w:val="00B41614"/>
    <w:rsid w:val="00B41A1F"/>
    <w:rsid w:val="00B41D60"/>
    <w:rsid w:val="00B41FFB"/>
    <w:rsid w:val="00B422E3"/>
    <w:rsid w:val="00B422EF"/>
    <w:rsid w:val="00B4238C"/>
    <w:rsid w:val="00B425BC"/>
    <w:rsid w:val="00B426CF"/>
    <w:rsid w:val="00B42752"/>
    <w:rsid w:val="00B42851"/>
    <w:rsid w:val="00B42F80"/>
    <w:rsid w:val="00B4310E"/>
    <w:rsid w:val="00B431FF"/>
    <w:rsid w:val="00B435CB"/>
    <w:rsid w:val="00B43B36"/>
    <w:rsid w:val="00B43D48"/>
    <w:rsid w:val="00B4436B"/>
    <w:rsid w:val="00B4468B"/>
    <w:rsid w:val="00B44E88"/>
    <w:rsid w:val="00B45277"/>
    <w:rsid w:val="00B4531D"/>
    <w:rsid w:val="00B45364"/>
    <w:rsid w:val="00B45A67"/>
    <w:rsid w:val="00B45AF4"/>
    <w:rsid w:val="00B45DF4"/>
    <w:rsid w:val="00B45E55"/>
    <w:rsid w:val="00B467EF"/>
    <w:rsid w:val="00B46F2B"/>
    <w:rsid w:val="00B4727B"/>
    <w:rsid w:val="00B474CE"/>
    <w:rsid w:val="00B505C8"/>
    <w:rsid w:val="00B50686"/>
    <w:rsid w:val="00B508E4"/>
    <w:rsid w:val="00B5091C"/>
    <w:rsid w:val="00B50DB8"/>
    <w:rsid w:val="00B50ED6"/>
    <w:rsid w:val="00B51295"/>
    <w:rsid w:val="00B513A9"/>
    <w:rsid w:val="00B51807"/>
    <w:rsid w:val="00B51E24"/>
    <w:rsid w:val="00B52208"/>
    <w:rsid w:val="00B52CDE"/>
    <w:rsid w:val="00B531C8"/>
    <w:rsid w:val="00B5346F"/>
    <w:rsid w:val="00B53654"/>
    <w:rsid w:val="00B53905"/>
    <w:rsid w:val="00B53C91"/>
    <w:rsid w:val="00B53C9B"/>
    <w:rsid w:val="00B54078"/>
    <w:rsid w:val="00B545E7"/>
    <w:rsid w:val="00B54B5B"/>
    <w:rsid w:val="00B55158"/>
    <w:rsid w:val="00B55597"/>
    <w:rsid w:val="00B5559D"/>
    <w:rsid w:val="00B5562E"/>
    <w:rsid w:val="00B55862"/>
    <w:rsid w:val="00B55D65"/>
    <w:rsid w:val="00B55DE0"/>
    <w:rsid w:val="00B56716"/>
    <w:rsid w:val="00B569E4"/>
    <w:rsid w:val="00B56B78"/>
    <w:rsid w:val="00B57000"/>
    <w:rsid w:val="00B603AC"/>
    <w:rsid w:val="00B60939"/>
    <w:rsid w:val="00B60AFD"/>
    <w:rsid w:val="00B60BE5"/>
    <w:rsid w:val="00B60F6B"/>
    <w:rsid w:val="00B612E5"/>
    <w:rsid w:val="00B6196F"/>
    <w:rsid w:val="00B61B07"/>
    <w:rsid w:val="00B624C3"/>
    <w:rsid w:val="00B62715"/>
    <w:rsid w:val="00B63695"/>
    <w:rsid w:val="00B63E95"/>
    <w:rsid w:val="00B64852"/>
    <w:rsid w:val="00B65172"/>
    <w:rsid w:val="00B65611"/>
    <w:rsid w:val="00B6651B"/>
    <w:rsid w:val="00B66CD4"/>
    <w:rsid w:val="00B67213"/>
    <w:rsid w:val="00B702E7"/>
    <w:rsid w:val="00B709EA"/>
    <w:rsid w:val="00B70E8E"/>
    <w:rsid w:val="00B71290"/>
    <w:rsid w:val="00B716CA"/>
    <w:rsid w:val="00B721FE"/>
    <w:rsid w:val="00B72460"/>
    <w:rsid w:val="00B73CC6"/>
    <w:rsid w:val="00B741AA"/>
    <w:rsid w:val="00B742FC"/>
    <w:rsid w:val="00B743AC"/>
    <w:rsid w:val="00B749C7"/>
    <w:rsid w:val="00B74EBA"/>
    <w:rsid w:val="00B75120"/>
    <w:rsid w:val="00B75228"/>
    <w:rsid w:val="00B761FD"/>
    <w:rsid w:val="00B763FC"/>
    <w:rsid w:val="00B76C92"/>
    <w:rsid w:val="00B76D84"/>
    <w:rsid w:val="00B773C4"/>
    <w:rsid w:val="00B7759C"/>
    <w:rsid w:val="00B777D6"/>
    <w:rsid w:val="00B77802"/>
    <w:rsid w:val="00B80BEF"/>
    <w:rsid w:val="00B81207"/>
    <w:rsid w:val="00B8123A"/>
    <w:rsid w:val="00B818A4"/>
    <w:rsid w:val="00B81F31"/>
    <w:rsid w:val="00B82353"/>
    <w:rsid w:val="00B82DE4"/>
    <w:rsid w:val="00B82E1F"/>
    <w:rsid w:val="00B82E7E"/>
    <w:rsid w:val="00B83BE3"/>
    <w:rsid w:val="00B83C04"/>
    <w:rsid w:val="00B83E88"/>
    <w:rsid w:val="00B8405B"/>
    <w:rsid w:val="00B84117"/>
    <w:rsid w:val="00B844D1"/>
    <w:rsid w:val="00B85376"/>
    <w:rsid w:val="00B858F0"/>
    <w:rsid w:val="00B85AA2"/>
    <w:rsid w:val="00B85D7E"/>
    <w:rsid w:val="00B86319"/>
    <w:rsid w:val="00B8649C"/>
    <w:rsid w:val="00B86856"/>
    <w:rsid w:val="00B8695D"/>
    <w:rsid w:val="00B8719D"/>
    <w:rsid w:val="00B87908"/>
    <w:rsid w:val="00B87AF6"/>
    <w:rsid w:val="00B87CAC"/>
    <w:rsid w:val="00B87F0A"/>
    <w:rsid w:val="00B87FEC"/>
    <w:rsid w:val="00B901B9"/>
    <w:rsid w:val="00B908B1"/>
    <w:rsid w:val="00B908D1"/>
    <w:rsid w:val="00B909B0"/>
    <w:rsid w:val="00B90FFC"/>
    <w:rsid w:val="00B91062"/>
    <w:rsid w:val="00B91148"/>
    <w:rsid w:val="00B914AB"/>
    <w:rsid w:val="00B91953"/>
    <w:rsid w:val="00B92281"/>
    <w:rsid w:val="00B92871"/>
    <w:rsid w:val="00B92D0B"/>
    <w:rsid w:val="00B9384B"/>
    <w:rsid w:val="00B93DCE"/>
    <w:rsid w:val="00B93E9E"/>
    <w:rsid w:val="00B94945"/>
    <w:rsid w:val="00B94A46"/>
    <w:rsid w:val="00B94DD6"/>
    <w:rsid w:val="00B953FF"/>
    <w:rsid w:val="00B9569D"/>
    <w:rsid w:val="00B95DA5"/>
    <w:rsid w:val="00B965CB"/>
    <w:rsid w:val="00B96A54"/>
    <w:rsid w:val="00B96A92"/>
    <w:rsid w:val="00B96C8D"/>
    <w:rsid w:val="00B96D70"/>
    <w:rsid w:val="00B96F08"/>
    <w:rsid w:val="00BA03BB"/>
    <w:rsid w:val="00BA03F5"/>
    <w:rsid w:val="00BA1187"/>
    <w:rsid w:val="00BA1562"/>
    <w:rsid w:val="00BA16E1"/>
    <w:rsid w:val="00BA2C2F"/>
    <w:rsid w:val="00BA2DCD"/>
    <w:rsid w:val="00BA322D"/>
    <w:rsid w:val="00BA3274"/>
    <w:rsid w:val="00BA379E"/>
    <w:rsid w:val="00BA4522"/>
    <w:rsid w:val="00BA4AA0"/>
    <w:rsid w:val="00BA4D82"/>
    <w:rsid w:val="00BA50A3"/>
    <w:rsid w:val="00BA5473"/>
    <w:rsid w:val="00BA5D09"/>
    <w:rsid w:val="00BA5E71"/>
    <w:rsid w:val="00BA626F"/>
    <w:rsid w:val="00BA63FA"/>
    <w:rsid w:val="00BA69B1"/>
    <w:rsid w:val="00BA6AF0"/>
    <w:rsid w:val="00BA77D0"/>
    <w:rsid w:val="00BB009D"/>
    <w:rsid w:val="00BB00B3"/>
    <w:rsid w:val="00BB048C"/>
    <w:rsid w:val="00BB0BDD"/>
    <w:rsid w:val="00BB128C"/>
    <w:rsid w:val="00BB14F7"/>
    <w:rsid w:val="00BB176C"/>
    <w:rsid w:val="00BB1E2E"/>
    <w:rsid w:val="00BB2830"/>
    <w:rsid w:val="00BB2A73"/>
    <w:rsid w:val="00BB2E9A"/>
    <w:rsid w:val="00BB3A45"/>
    <w:rsid w:val="00BB3C14"/>
    <w:rsid w:val="00BB3DEA"/>
    <w:rsid w:val="00BB4ACC"/>
    <w:rsid w:val="00BB4AF9"/>
    <w:rsid w:val="00BB4ED8"/>
    <w:rsid w:val="00BB5048"/>
    <w:rsid w:val="00BB505D"/>
    <w:rsid w:val="00BB57A9"/>
    <w:rsid w:val="00BB60AB"/>
    <w:rsid w:val="00BB6116"/>
    <w:rsid w:val="00BB617F"/>
    <w:rsid w:val="00BB61C6"/>
    <w:rsid w:val="00BB65C8"/>
    <w:rsid w:val="00BB6BFE"/>
    <w:rsid w:val="00BB703E"/>
    <w:rsid w:val="00BB732D"/>
    <w:rsid w:val="00BB7405"/>
    <w:rsid w:val="00BB7A6B"/>
    <w:rsid w:val="00BC0396"/>
    <w:rsid w:val="00BC20FE"/>
    <w:rsid w:val="00BC2139"/>
    <w:rsid w:val="00BC23E7"/>
    <w:rsid w:val="00BC3631"/>
    <w:rsid w:val="00BC3A32"/>
    <w:rsid w:val="00BC3E6C"/>
    <w:rsid w:val="00BC48AF"/>
    <w:rsid w:val="00BC4CF4"/>
    <w:rsid w:val="00BC56F9"/>
    <w:rsid w:val="00BC591F"/>
    <w:rsid w:val="00BC65D7"/>
    <w:rsid w:val="00BC690A"/>
    <w:rsid w:val="00BC6D23"/>
    <w:rsid w:val="00BC7874"/>
    <w:rsid w:val="00BC78E2"/>
    <w:rsid w:val="00BC7A2F"/>
    <w:rsid w:val="00BC7BE9"/>
    <w:rsid w:val="00BC7D6D"/>
    <w:rsid w:val="00BC7F95"/>
    <w:rsid w:val="00BD0375"/>
    <w:rsid w:val="00BD124F"/>
    <w:rsid w:val="00BD1A67"/>
    <w:rsid w:val="00BD1B2A"/>
    <w:rsid w:val="00BD1C29"/>
    <w:rsid w:val="00BD1D89"/>
    <w:rsid w:val="00BD2108"/>
    <w:rsid w:val="00BD23A0"/>
    <w:rsid w:val="00BD2524"/>
    <w:rsid w:val="00BD2576"/>
    <w:rsid w:val="00BD263E"/>
    <w:rsid w:val="00BD2907"/>
    <w:rsid w:val="00BD3CA7"/>
    <w:rsid w:val="00BD3E3C"/>
    <w:rsid w:val="00BD412C"/>
    <w:rsid w:val="00BD591E"/>
    <w:rsid w:val="00BD5D44"/>
    <w:rsid w:val="00BD62CE"/>
    <w:rsid w:val="00BD68A3"/>
    <w:rsid w:val="00BD6938"/>
    <w:rsid w:val="00BD6CBA"/>
    <w:rsid w:val="00BD6CF3"/>
    <w:rsid w:val="00BE01ED"/>
    <w:rsid w:val="00BE0431"/>
    <w:rsid w:val="00BE0728"/>
    <w:rsid w:val="00BE0DF1"/>
    <w:rsid w:val="00BE0ECA"/>
    <w:rsid w:val="00BE0FDB"/>
    <w:rsid w:val="00BE12AF"/>
    <w:rsid w:val="00BE1478"/>
    <w:rsid w:val="00BE16E3"/>
    <w:rsid w:val="00BE1AE7"/>
    <w:rsid w:val="00BE1C45"/>
    <w:rsid w:val="00BE2180"/>
    <w:rsid w:val="00BE21F2"/>
    <w:rsid w:val="00BE2599"/>
    <w:rsid w:val="00BE2619"/>
    <w:rsid w:val="00BE2A19"/>
    <w:rsid w:val="00BE2C9D"/>
    <w:rsid w:val="00BE38A5"/>
    <w:rsid w:val="00BE3C7A"/>
    <w:rsid w:val="00BE4275"/>
    <w:rsid w:val="00BE467E"/>
    <w:rsid w:val="00BE48A5"/>
    <w:rsid w:val="00BE4BF1"/>
    <w:rsid w:val="00BE4CFF"/>
    <w:rsid w:val="00BE528D"/>
    <w:rsid w:val="00BE54F2"/>
    <w:rsid w:val="00BE5886"/>
    <w:rsid w:val="00BE6241"/>
    <w:rsid w:val="00BE6FEB"/>
    <w:rsid w:val="00BE7047"/>
    <w:rsid w:val="00BE7120"/>
    <w:rsid w:val="00BE7737"/>
    <w:rsid w:val="00BE7D3A"/>
    <w:rsid w:val="00BF0270"/>
    <w:rsid w:val="00BF06AE"/>
    <w:rsid w:val="00BF0F95"/>
    <w:rsid w:val="00BF1081"/>
    <w:rsid w:val="00BF1399"/>
    <w:rsid w:val="00BF1C9A"/>
    <w:rsid w:val="00BF202D"/>
    <w:rsid w:val="00BF2433"/>
    <w:rsid w:val="00BF2FF9"/>
    <w:rsid w:val="00BF3926"/>
    <w:rsid w:val="00BF4442"/>
    <w:rsid w:val="00BF4655"/>
    <w:rsid w:val="00BF48F1"/>
    <w:rsid w:val="00BF4D07"/>
    <w:rsid w:val="00BF4DBE"/>
    <w:rsid w:val="00BF5253"/>
    <w:rsid w:val="00BF57BE"/>
    <w:rsid w:val="00BF600A"/>
    <w:rsid w:val="00BF6101"/>
    <w:rsid w:val="00BF611E"/>
    <w:rsid w:val="00BF61C9"/>
    <w:rsid w:val="00BF6C94"/>
    <w:rsid w:val="00BF6CA1"/>
    <w:rsid w:val="00BF741F"/>
    <w:rsid w:val="00BF74A7"/>
    <w:rsid w:val="00C00323"/>
    <w:rsid w:val="00C00424"/>
    <w:rsid w:val="00C00684"/>
    <w:rsid w:val="00C008CB"/>
    <w:rsid w:val="00C00E28"/>
    <w:rsid w:val="00C01786"/>
    <w:rsid w:val="00C01FD2"/>
    <w:rsid w:val="00C0251E"/>
    <w:rsid w:val="00C02915"/>
    <w:rsid w:val="00C02C6F"/>
    <w:rsid w:val="00C03151"/>
    <w:rsid w:val="00C03B4B"/>
    <w:rsid w:val="00C03C1A"/>
    <w:rsid w:val="00C03EB4"/>
    <w:rsid w:val="00C04ACB"/>
    <w:rsid w:val="00C0555A"/>
    <w:rsid w:val="00C05A69"/>
    <w:rsid w:val="00C05D76"/>
    <w:rsid w:val="00C0601D"/>
    <w:rsid w:val="00C10017"/>
    <w:rsid w:val="00C10024"/>
    <w:rsid w:val="00C10783"/>
    <w:rsid w:val="00C1179F"/>
    <w:rsid w:val="00C11D2F"/>
    <w:rsid w:val="00C12400"/>
    <w:rsid w:val="00C127D3"/>
    <w:rsid w:val="00C12C14"/>
    <w:rsid w:val="00C12C59"/>
    <w:rsid w:val="00C1334C"/>
    <w:rsid w:val="00C140DB"/>
    <w:rsid w:val="00C14D9A"/>
    <w:rsid w:val="00C152A0"/>
    <w:rsid w:val="00C15315"/>
    <w:rsid w:val="00C157F5"/>
    <w:rsid w:val="00C159A1"/>
    <w:rsid w:val="00C15A51"/>
    <w:rsid w:val="00C15D3D"/>
    <w:rsid w:val="00C15F04"/>
    <w:rsid w:val="00C16A2F"/>
    <w:rsid w:val="00C16F5D"/>
    <w:rsid w:val="00C172B9"/>
    <w:rsid w:val="00C17883"/>
    <w:rsid w:val="00C179B3"/>
    <w:rsid w:val="00C17A31"/>
    <w:rsid w:val="00C17CE6"/>
    <w:rsid w:val="00C17E3F"/>
    <w:rsid w:val="00C200AA"/>
    <w:rsid w:val="00C20382"/>
    <w:rsid w:val="00C207D2"/>
    <w:rsid w:val="00C20DDC"/>
    <w:rsid w:val="00C212D0"/>
    <w:rsid w:val="00C215BB"/>
    <w:rsid w:val="00C2197B"/>
    <w:rsid w:val="00C21F04"/>
    <w:rsid w:val="00C237ED"/>
    <w:rsid w:val="00C23B69"/>
    <w:rsid w:val="00C2412E"/>
    <w:rsid w:val="00C24632"/>
    <w:rsid w:val="00C24EE7"/>
    <w:rsid w:val="00C25418"/>
    <w:rsid w:val="00C2576A"/>
    <w:rsid w:val="00C25CC2"/>
    <w:rsid w:val="00C25D9C"/>
    <w:rsid w:val="00C264CD"/>
    <w:rsid w:val="00C26EF8"/>
    <w:rsid w:val="00C26F7C"/>
    <w:rsid w:val="00C27407"/>
    <w:rsid w:val="00C274D6"/>
    <w:rsid w:val="00C27751"/>
    <w:rsid w:val="00C2778B"/>
    <w:rsid w:val="00C27795"/>
    <w:rsid w:val="00C27E99"/>
    <w:rsid w:val="00C30067"/>
    <w:rsid w:val="00C306F4"/>
    <w:rsid w:val="00C307D0"/>
    <w:rsid w:val="00C30E14"/>
    <w:rsid w:val="00C30E75"/>
    <w:rsid w:val="00C31649"/>
    <w:rsid w:val="00C3166D"/>
    <w:rsid w:val="00C31ACC"/>
    <w:rsid w:val="00C32E2D"/>
    <w:rsid w:val="00C33320"/>
    <w:rsid w:val="00C337EB"/>
    <w:rsid w:val="00C3434C"/>
    <w:rsid w:val="00C3456C"/>
    <w:rsid w:val="00C34F3E"/>
    <w:rsid w:val="00C362A8"/>
    <w:rsid w:val="00C36BBE"/>
    <w:rsid w:val="00C40335"/>
    <w:rsid w:val="00C40385"/>
    <w:rsid w:val="00C4047E"/>
    <w:rsid w:val="00C40C26"/>
    <w:rsid w:val="00C41523"/>
    <w:rsid w:val="00C41600"/>
    <w:rsid w:val="00C41768"/>
    <w:rsid w:val="00C4195E"/>
    <w:rsid w:val="00C4206A"/>
    <w:rsid w:val="00C421F6"/>
    <w:rsid w:val="00C42C6D"/>
    <w:rsid w:val="00C42DE1"/>
    <w:rsid w:val="00C4457E"/>
    <w:rsid w:val="00C44C22"/>
    <w:rsid w:val="00C44E8F"/>
    <w:rsid w:val="00C45492"/>
    <w:rsid w:val="00C464C3"/>
    <w:rsid w:val="00C4692B"/>
    <w:rsid w:val="00C46EC9"/>
    <w:rsid w:val="00C475AA"/>
    <w:rsid w:val="00C47865"/>
    <w:rsid w:val="00C506F7"/>
    <w:rsid w:val="00C5091F"/>
    <w:rsid w:val="00C509D2"/>
    <w:rsid w:val="00C50F20"/>
    <w:rsid w:val="00C51D15"/>
    <w:rsid w:val="00C51E14"/>
    <w:rsid w:val="00C52137"/>
    <w:rsid w:val="00C52728"/>
    <w:rsid w:val="00C528FB"/>
    <w:rsid w:val="00C52D1E"/>
    <w:rsid w:val="00C53026"/>
    <w:rsid w:val="00C537CA"/>
    <w:rsid w:val="00C53C98"/>
    <w:rsid w:val="00C545BE"/>
    <w:rsid w:val="00C548F6"/>
    <w:rsid w:val="00C56FCF"/>
    <w:rsid w:val="00C571AF"/>
    <w:rsid w:val="00C5726F"/>
    <w:rsid w:val="00C57397"/>
    <w:rsid w:val="00C57A55"/>
    <w:rsid w:val="00C57B4E"/>
    <w:rsid w:val="00C57B6C"/>
    <w:rsid w:val="00C60463"/>
    <w:rsid w:val="00C61144"/>
    <w:rsid w:val="00C620EE"/>
    <w:rsid w:val="00C620F6"/>
    <w:rsid w:val="00C626F3"/>
    <w:rsid w:val="00C628A6"/>
    <w:rsid w:val="00C628AE"/>
    <w:rsid w:val="00C63379"/>
    <w:rsid w:val="00C63E1E"/>
    <w:rsid w:val="00C64344"/>
    <w:rsid w:val="00C64421"/>
    <w:rsid w:val="00C648BA"/>
    <w:rsid w:val="00C649CE"/>
    <w:rsid w:val="00C64D00"/>
    <w:rsid w:val="00C65108"/>
    <w:rsid w:val="00C65576"/>
    <w:rsid w:val="00C65A3D"/>
    <w:rsid w:val="00C6609D"/>
    <w:rsid w:val="00C66165"/>
    <w:rsid w:val="00C66579"/>
    <w:rsid w:val="00C6686F"/>
    <w:rsid w:val="00C66AAF"/>
    <w:rsid w:val="00C67CA8"/>
    <w:rsid w:val="00C7060A"/>
    <w:rsid w:val="00C70792"/>
    <w:rsid w:val="00C7151A"/>
    <w:rsid w:val="00C717E3"/>
    <w:rsid w:val="00C71F60"/>
    <w:rsid w:val="00C72241"/>
    <w:rsid w:val="00C737A3"/>
    <w:rsid w:val="00C738AB"/>
    <w:rsid w:val="00C73D8A"/>
    <w:rsid w:val="00C746BC"/>
    <w:rsid w:val="00C74CAA"/>
    <w:rsid w:val="00C750C8"/>
    <w:rsid w:val="00C7560F"/>
    <w:rsid w:val="00C7674F"/>
    <w:rsid w:val="00C76ECF"/>
    <w:rsid w:val="00C76FAB"/>
    <w:rsid w:val="00C774B3"/>
    <w:rsid w:val="00C77D61"/>
    <w:rsid w:val="00C77F71"/>
    <w:rsid w:val="00C8010F"/>
    <w:rsid w:val="00C80A0E"/>
    <w:rsid w:val="00C814CA"/>
    <w:rsid w:val="00C8150A"/>
    <w:rsid w:val="00C815FF"/>
    <w:rsid w:val="00C81EDD"/>
    <w:rsid w:val="00C8204A"/>
    <w:rsid w:val="00C8213F"/>
    <w:rsid w:val="00C82A9F"/>
    <w:rsid w:val="00C82D7B"/>
    <w:rsid w:val="00C83486"/>
    <w:rsid w:val="00C8381F"/>
    <w:rsid w:val="00C83A93"/>
    <w:rsid w:val="00C84163"/>
    <w:rsid w:val="00C8429B"/>
    <w:rsid w:val="00C8481C"/>
    <w:rsid w:val="00C84D31"/>
    <w:rsid w:val="00C84E50"/>
    <w:rsid w:val="00C84F9C"/>
    <w:rsid w:val="00C85154"/>
    <w:rsid w:val="00C8523F"/>
    <w:rsid w:val="00C85591"/>
    <w:rsid w:val="00C857BC"/>
    <w:rsid w:val="00C866CC"/>
    <w:rsid w:val="00C87606"/>
    <w:rsid w:val="00C878A3"/>
    <w:rsid w:val="00C8797A"/>
    <w:rsid w:val="00C87A5C"/>
    <w:rsid w:val="00C87B1B"/>
    <w:rsid w:val="00C87E84"/>
    <w:rsid w:val="00C900B8"/>
    <w:rsid w:val="00C90C71"/>
    <w:rsid w:val="00C91DA3"/>
    <w:rsid w:val="00C91DBB"/>
    <w:rsid w:val="00C91DFF"/>
    <w:rsid w:val="00C91FD1"/>
    <w:rsid w:val="00C92643"/>
    <w:rsid w:val="00C92C77"/>
    <w:rsid w:val="00C92EE9"/>
    <w:rsid w:val="00C931CF"/>
    <w:rsid w:val="00C938CF"/>
    <w:rsid w:val="00C94053"/>
    <w:rsid w:val="00C9430F"/>
    <w:rsid w:val="00C944AF"/>
    <w:rsid w:val="00C944CD"/>
    <w:rsid w:val="00C9460E"/>
    <w:rsid w:val="00C94A63"/>
    <w:rsid w:val="00C94BA2"/>
    <w:rsid w:val="00C95D82"/>
    <w:rsid w:val="00C95E79"/>
    <w:rsid w:val="00C9624D"/>
    <w:rsid w:val="00C969DA"/>
    <w:rsid w:val="00C96EF6"/>
    <w:rsid w:val="00C9775E"/>
    <w:rsid w:val="00C97804"/>
    <w:rsid w:val="00C97866"/>
    <w:rsid w:val="00C97BF0"/>
    <w:rsid w:val="00C97E20"/>
    <w:rsid w:val="00CA00BA"/>
    <w:rsid w:val="00CA0175"/>
    <w:rsid w:val="00CA0471"/>
    <w:rsid w:val="00CA1159"/>
    <w:rsid w:val="00CA1499"/>
    <w:rsid w:val="00CA163F"/>
    <w:rsid w:val="00CA1733"/>
    <w:rsid w:val="00CA17D4"/>
    <w:rsid w:val="00CA1F4E"/>
    <w:rsid w:val="00CA218D"/>
    <w:rsid w:val="00CA2C77"/>
    <w:rsid w:val="00CA310F"/>
    <w:rsid w:val="00CA438C"/>
    <w:rsid w:val="00CA444F"/>
    <w:rsid w:val="00CA4B49"/>
    <w:rsid w:val="00CA4BD5"/>
    <w:rsid w:val="00CA4C43"/>
    <w:rsid w:val="00CA4EC9"/>
    <w:rsid w:val="00CA5245"/>
    <w:rsid w:val="00CA6792"/>
    <w:rsid w:val="00CA692C"/>
    <w:rsid w:val="00CA6F41"/>
    <w:rsid w:val="00CA71F4"/>
    <w:rsid w:val="00CA75DC"/>
    <w:rsid w:val="00CA78DA"/>
    <w:rsid w:val="00CA7B09"/>
    <w:rsid w:val="00CB0092"/>
    <w:rsid w:val="00CB12A5"/>
    <w:rsid w:val="00CB14C6"/>
    <w:rsid w:val="00CB16FB"/>
    <w:rsid w:val="00CB1CAC"/>
    <w:rsid w:val="00CB2F2A"/>
    <w:rsid w:val="00CB3585"/>
    <w:rsid w:val="00CB3E18"/>
    <w:rsid w:val="00CB41E7"/>
    <w:rsid w:val="00CB50D6"/>
    <w:rsid w:val="00CB514B"/>
    <w:rsid w:val="00CB53D5"/>
    <w:rsid w:val="00CB5A58"/>
    <w:rsid w:val="00CB5B1A"/>
    <w:rsid w:val="00CB6077"/>
    <w:rsid w:val="00CB610A"/>
    <w:rsid w:val="00CB6164"/>
    <w:rsid w:val="00CB64C1"/>
    <w:rsid w:val="00CB6B22"/>
    <w:rsid w:val="00CB7466"/>
    <w:rsid w:val="00CB7F5F"/>
    <w:rsid w:val="00CB7FAF"/>
    <w:rsid w:val="00CC09BE"/>
    <w:rsid w:val="00CC0D3B"/>
    <w:rsid w:val="00CC1567"/>
    <w:rsid w:val="00CC16BC"/>
    <w:rsid w:val="00CC1B39"/>
    <w:rsid w:val="00CC1E7B"/>
    <w:rsid w:val="00CC23D1"/>
    <w:rsid w:val="00CC23ED"/>
    <w:rsid w:val="00CC250F"/>
    <w:rsid w:val="00CC2D36"/>
    <w:rsid w:val="00CC33CC"/>
    <w:rsid w:val="00CC33FB"/>
    <w:rsid w:val="00CC35EA"/>
    <w:rsid w:val="00CC3848"/>
    <w:rsid w:val="00CC3DC5"/>
    <w:rsid w:val="00CC4715"/>
    <w:rsid w:val="00CC4E96"/>
    <w:rsid w:val="00CC67A0"/>
    <w:rsid w:val="00CC6B1E"/>
    <w:rsid w:val="00CC6B2C"/>
    <w:rsid w:val="00CC6BB8"/>
    <w:rsid w:val="00CC7570"/>
    <w:rsid w:val="00CD0420"/>
    <w:rsid w:val="00CD0477"/>
    <w:rsid w:val="00CD3628"/>
    <w:rsid w:val="00CD367C"/>
    <w:rsid w:val="00CD3AD0"/>
    <w:rsid w:val="00CD3F77"/>
    <w:rsid w:val="00CD40EF"/>
    <w:rsid w:val="00CD4124"/>
    <w:rsid w:val="00CD461C"/>
    <w:rsid w:val="00CD5368"/>
    <w:rsid w:val="00CD5D21"/>
    <w:rsid w:val="00CD5D51"/>
    <w:rsid w:val="00CD5E75"/>
    <w:rsid w:val="00CD6ADC"/>
    <w:rsid w:val="00CD6CF7"/>
    <w:rsid w:val="00CD7193"/>
    <w:rsid w:val="00CE14DD"/>
    <w:rsid w:val="00CE16BE"/>
    <w:rsid w:val="00CE21CC"/>
    <w:rsid w:val="00CE2AE5"/>
    <w:rsid w:val="00CE36CE"/>
    <w:rsid w:val="00CE38C8"/>
    <w:rsid w:val="00CE39AA"/>
    <w:rsid w:val="00CE4269"/>
    <w:rsid w:val="00CE457B"/>
    <w:rsid w:val="00CE5536"/>
    <w:rsid w:val="00CE57FF"/>
    <w:rsid w:val="00CE5B96"/>
    <w:rsid w:val="00CE5C27"/>
    <w:rsid w:val="00CE5D45"/>
    <w:rsid w:val="00CE6274"/>
    <w:rsid w:val="00CE62F9"/>
    <w:rsid w:val="00CE65FB"/>
    <w:rsid w:val="00CE77B6"/>
    <w:rsid w:val="00CF0B3C"/>
    <w:rsid w:val="00CF123A"/>
    <w:rsid w:val="00CF165B"/>
    <w:rsid w:val="00CF17DD"/>
    <w:rsid w:val="00CF282A"/>
    <w:rsid w:val="00CF2B8D"/>
    <w:rsid w:val="00CF2D0B"/>
    <w:rsid w:val="00CF30AC"/>
    <w:rsid w:val="00CF3938"/>
    <w:rsid w:val="00CF3EA0"/>
    <w:rsid w:val="00CF456B"/>
    <w:rsid w:val="00CF4772"/>
    <w:rsid w:val="00CF477F"/>
    <w:rsid w:val="00CF4B0B"/>
    <w:rsid w:val="00CF4D07"/>
    <w:rsid w:val="00CF511D"/>
    <w:rsid w:val="00CF5979"/>
    <w:rsid w:val="00CF5A22"/>
    <w:rsid w:val="00CF66D8"/>
    <w:rsid w:val="00CF6864"/>
    <w:rsid w:val="00CF68AC"/>
    <w:rsid w:val="00CF6C12"/>
    <w:rsid w:val="00CF7233"/>
    <w:rsid w:val="00CF78C4"/>
    <w:rsid w:val="00CF7CFE"/>
    <w:rsid w:val="00D003E8"/>
    <w:rsid w:val="00D004CA"/>
    <w:rsid w:val="00D00D96"/>
    <w:rsid w:val="00D00FA4"/>
    <w:rsid w:val="00D00FD5"/>
    <w:rsid w:val="00D012DD"/>
    <w:rsid w:val="00D0156F"/>
    <w:rsid w:val="00D0181E"/>
    <w:rsid w:val="00D0191A"/>
    <w:rsid w:val="00D0262E"/>
    <w:rsid w:val="00D02A50"/>
    <w:rsid w:val="00D030DB"/>
    <w:rsid w:val="00D039B3"/>
    <w:rsid w:val="00D03F22"/>
    <w:rsid w:val="00D0435C"/>
    <w:rsid w:val="00D0435E"/>
    <w:rsid w:val="00D0460E"/>
    <w:rsid w:val="00D0495A"/>
    <w:rsid w:val="00D05E3D"/>
    <w:rsid w:val="00D06139"/>
    <w:rsid w:val="00D06408"/>
    <w:rsid w:val="00D06FFB"/>
    <w:rsid w:val="00D077E5"/>
    <w:rsid w:val="00D07C9A"/>
    <w:rsid w:val="00D07CEC"/>
    <w:rsid w:val="00D07DAC"/>
    <w:rsid w:val="00D10072"/>
    <w:rsid w:val="00D101E9"/>
    <w:rsid w:val="00D10504"/>
    <w:rsid w:val="00D10A0F"/>
    <w:rsid w:val="00D110BD"/>
    <w:rsid w:val="00D120FF"/>
    <w:rsid w:val="00D124F8"/>
    <w:rsid w:val="00D12BF3"/>
    <w:rsid w:val="00D12FDF"/>
    <w:rsid w:val="00D13598"/>
    <w:rsid w:val="00D13675"/>
    <w:rsid w:val="00D13732"/>
    <w:rsid w:val="00D13C83"/>
    <w:rsid w:val="00D141E1"/>
    <w:rsid w:val="00D145F7"/>
    <w:rsid w:val="00D149EB"/>
    <w:rsid w:val="00D14BD9"/>
    <w:rsid w:val="00D15314"/>
    <w:rsid w:val="00D15C60"/>
    <w:rsid w:val="00D15E06"/>
    <w:rsid w:val="00D16DFD"/>
    <w:rsid w:val="00D17326"/>
    <w:rsid w:val="00D1794A"/>
    <w:rsid w:val="00D17D6C"/>
    <w:rsid w:val="00D2015E"/>
    <w:rsid w:val="00D210C1"/>
    <w:rsid w:val="00D21143"/>
    <w:rsid w:val="00D2155B"/>
    <w:rsid w:val="00D218B8"/>
    <w:rsid w:val="00D21B47"/>
    <w:rsid w:val="00D21D9F"/>
    <w:rsid w:val="00D2235C"/>
    <w:rsid w:val="00D22AF5"/>
    <w:rsid w:val="00D22BCB"/>
    <w:rsid w:val="00D22E8E"/>
    <w:rsid w:val="00D22EB0"/>
    <w:rsid w:val="00D23897"/>
    <w:rsid w:val="00D239D1"/>
    <w:rsid w:val="00D23D11"/>
    <w:rsid w:val="00D24040"/>
    <w:rsid w:val="00D24174"/>
    <w:rsid w:val="00D244B6"/>
    <w:rsid w:val="00D2469C"/>
    <w:rsid w:val="00D2597C"/>
    <w:rsid w:val="00D26251"/>
    <w:rsid w:val="00D2754D"/>
    <w:rsid w:val="00D27B27"/>
    <w:rsid w:val="00D27B2D"/>
    <w:rsid w:val="00D27DB0"/>
    <w:rsid w:val="00D27FFE"/>
    <w:rsid w:val="00D3083F"/>
    <w:rsid w:val="00D32051"/>
    <w:rsid w:val="00D32712"/>
    <w:rsid w:val="00D32AB0"/>
    <w:rsid w:val="00D32BCB"/>
    <w:rsid w:val="00D32E65"/>
    <w:rsid w:val="00D33AA6"/>
    <w:rsid w:val="00D33BE9"/>
    <w:rsid w:val="00D33F93"/>
    <w:rsid w:val="00D34DC9"/>
    <w:rsid w:val="00D35307"/>
    <w:rsid w:val="00D357FF"/>
    <w:rsid w:val="00D35F7D"/>
    <w:rsid w:val="00D366EF"/>
    <w:rsid w:val="00D36EB0"/>
    <w:rsid w:val="00D37BB9"/>
    <w:rsid w:val="00D40272"/>
    <w:rsid w:val="00D409B6"/>
    <w:rsid w:val="00D411C2"/>
    <w:rsid w:val="00D41418"/>
    <w:rsid w:val="00D417CB"/>
    <w:rsid w:val="00D41E35"/>
    <w:rsid w:val="00D423ED"/>
    <w:rsid w:val="00D4245C"/>
    <w:rsid w:val="00D424C7"/>
    <w:rsid w:val="00D42E54"/>
    <w:rsid w:val="00D43179"/>
    <w:rsid w:val="00D43B2A"/>
    <w:rsid w:val="00D43CF8"/>
    <w:rsid w:val="00D43D83"/>
    <w:rsid w:val="00D4423E"/>
    <w:rsid w:val="00D45110"/>
    <w:rsid w:val="00D45E06"/>
    <w:rsid w:val="00D45E4B"/>
    <w:rsid w:val="00D4626B"/>
    <w:rsid w:val="00D46754"/>
    <w:rsid w:val="00D4743B"/>
    <w:rsid w:val="00D47575"/>
    <w:rsid w:val="00D47AFA"/>
    <w:rsid w:val="00D5075D"/>
    <w:rsid w:val="00D507E5"/>
    <w:rsid w:val="00D518C7"/>
    <w:rsid w:val="00D51CDC"/>
    <w:rsid w:val="00D5243B"/>
    <w:rsid w:val="00D533EC"/>
    <w:rsid w:val="00D538AD"/>
    <w:rsid w:val="00D53E73"/>
    <w:rsid w:val="00D54BC6"/>
    <w:rsid w:val="00D54D1A"/>
    <w:rsid w:val="00D54D28"/>
    <w:rsid w:val="00D55553"/>
    <w:rsid w:val="00D56A95"/>
    <w:rsid w:val="00D57368"/>
    <w:rsid w:val="00D5791C"/>
    <w:rsid w:val="00D57AD1"/>
    <w:rsid w:val="00D6041A"/>
    <w:rsid w:val="00D605F8"/>
    <w:rsid w:val="00D60638"/>
    <w:rsid w:val="00D62A88"/>
    <w:rsid w:val="00D63A13"/>
    <w:rsid w:val="00D644C1"/>
    <w:rsid w:val="00D645B6"/>
    <w:rsid w:val="00D64C7B"/>
    <w:rsid w:val="00D65016"/>
    <w:rsid w:val="00D65AFE"/>
    <w:rsid w:val="00D662BF"/>
    <w:rsid w:val="00D66DEC"/>
    <w:rsid w:val="00D67123"/>
    <w:rsid w:val="00D6743D"/>
    <w:rsid w:val="00D6799C"/>
    <w:rsid w:val="00D70A1C"/>
    <w:rsid w:val="00D70DC2"/>
    <w:rsid w:val="00D70F07"/>
    <w:rsid w:val="00D70F16"/>
    <w:rsid w:val="00D71257"/>
    <w:rsid w:val="00D7173C"/>
    <w:rsid w:val="00D7192D"/>
    <w:rsid w:val="00D72146"/>
    <w:rsid w:val="00D725C1"/>
    <w:rsid w:val="00D72A36"/>
    <w:rsid w:val="00D72F05"/>
    <w:rsid w:val="00D72F57"/>
    <w:rsid w:val="00D72F9F"/>
    <w:rsid w:val="00D74536"/>
    <w:rsid w:val="00D74D24"/>
    <w:rsid w:val="00D7627B"/>
    <w:rsid w:val="00D76A44"/>
    <w:rsid w:val="00D76DFE"/>
    <w:rsid w:val="00D76E4E"/>
    <w:rsid w:val="00D778FE"/>
    <w:rsid w:val="00D77DAF"/>
    <w:rsid w:val="00D80532"/>
    <w:rsid w:val="00D80616"/>
    <w:rsid w:val="00D8123B"/>
    <w:rsid w:val="00D815EF"/>
    <w:rsid w:val="00D81A75"/>
    <w:rsid w:val="00D81BDD"/>
    <w:rsid w:val="00D81D6C"/>
    <w:rsid w:val="00D81F26"/>
    <w:rsid w:val="00D8201E"/>
    <w:rsid w:val="00D82473"/>
    <w:rsid w:val="00D82F44"/>
    <w:rsid w:val="00D837C4"/>
    <w:rsid w:val="00D84497"/>
    <w:rsid w:val="00D852A0"/>
    <w:rsid w:val="00D85803"/>
    <w:rsid w:val="00D85A5B"/>
    <w:rsid w:val="00D86231"/>
    <w:rsid w:val="00D8720F"/>
    <w:rsid w:val="00D87563"/>
    <w:rsid w:val="00D878C2"/>
    <w:rsid w:val="00D87AE2"/>
    <w:rsid w:val="00D90BE8"/>
    <w:rsid w:val="00D90C78"/>
    <w:rsid w:val="00D90E21"/>
    <w:rsid w:val="00D90E7E"/>
    <w:rsid w:val="00D912C9"/>
    <w:rsid w:val="00D91431"/>
    <w:rsid w:val="00D91923"/>
    <w:rsid w:val="00D92A24"/>
    <w:rsid w:val="00D93753"/>
    <w:rsid w:val="00D93857"/>
    <w:rsid w:val="00D93B8B"/>
    <w:rsid w:val="00D93FD0"/>
    <w:rsid w:val="00D94A9B"/>
    <w:rsid w:val="00D954DB"/>
    <w:rsid w:val="00D957FE"/>
    <w:rsid w:val="00D95C5D"/>
    <w:rsid w:val="00D95E38"/>
    <w:rsid w:val="00D95E68"/>
    <w:rsid w:val="00D95E72"/>
    <w:rsid w:val="00D9611D"/>
    <w:rsid w:val="00D9648C"/>
    <w:rsid w:val="00D9680A"/>
    <w:rsid w:val="00D97328"/>
    <w:rsid w:val="00D97A16"/>
    <w:rsid w:val="00D97D2A"/>
    <w:rsid w:val="00DA0099"/>
    <w:rsid w:val="00DA06D1"/>
    <w:rsid w:val="00DA06F8"/>
    <w:rsid w:val="00DA09D3"/>
    <w:rsid w:val="00DA1798"/>
    <w:rsid w:val="00DA1CAF"/>
    <w:rsid w:val="00DA1F06"/>
    <w:rsid w:val="00DA23EE"/>
    <w:rsid w:val="00DA2BA1"/>
    <w:rsid w:val="00DA3167"/>
    <w:rsid w:val="00DA35BB"/>
    <w:rsid w:val="00DA3A87"/>
    <w:rsid w:val="00DA3D75"/>
    <w:rsid w:val="00DA3D8C"/>
    <w:rsid w:val="00DA3E24"/>
    <w:rsid w:val="00DA4103"/>
    <w:rsid w:val="00DA41CC"/>
    <w:rsid w:val="00DA4266"/>
    <w:rsid w:val="00DA43A0"/>
    <w:rsid w:val="00DA4689"/>
    <w:rsid w:val="00DA4C4A"/>
    <w:rsid w:val="00DA4DC3"/>
    <w:rsid w:val="00DA50A4"/>
    <w:rsid w:val="00DA5635"/>
    <w:rsid w:val="00DA5B89"/>
    <w:rsid w:val="00DA5CFB"/>
    <w:rsid w:val="00DA7173"/>
    <w:rsid w:val="00DA7580"/>
    <w:rsid w:val="00DA77A5"/>
    <w:rsid w:val="00DB00B2"/>
    <w:rsid w:val="00DB022E"/>
    <w:rsid w:val="00DB04FC"/>
    <w:rsid w:val="00DB0640"/>
    <w:rsid w:val="00DB09F9"/>
    <w:rsid w:val="00DB0B1B"/>
    <w:rsid w:val="00DB0E89"/>
    <w:rsid w:val="00DB11D1"/>
    <w:rsid w:val="00DB14D8"/>
    <w:rsid w:val="00DB15FD"/>
    <w:rsid w:val="00DB1E87"/>
    <w:rsid w:val="00DB22D2"/>
    <w:rsid w:val="00DB281C"/>
    <w:rsid w:val="00DB2914"/>
    <w:rsid w:val="00DB3DBF"/>
    <w:rsid w:val="00DB3E4C"/>
    <w:rsid w:val="00DB3EAB"/>
    <w:rsid w:val="00DB4046"/>
    <w:rsid w:val="00DB4518"/>
    <w:rsid w:val="00DB484F"/>
    <w:rsid w:val="00DB4996"/>
    <w:rsid w:val="00DB4CBA"/>
    <w:rsid w:val="00DB4CE4"/>
    <w:rsid w:val="00DB5266"/>
    <w:rsid w:val="00DB59FD"/>
    <w:rsid w:val="00DB5D31"/>
    <w:rsid w:val="00DB647B"/>
    <w:rsid w:val="00DB6592"/>
    <w:rsid w:val="00DB6643"/>
    <w:rsid w:val="00DB67D7"/>
    <w:rsid w:val="00DB692B"/>
    <w:rsid w:val="00DB7BED"/>
    <w:rsid w:val="00DB7EBE"/>
    <w:rsid w:val="00DB7F9A"/>
    <w:rsid w:val="00DC035E"/>
    <w:rsid w:val="00DC04F6"/>
    <w:rsid w:val="00DC04FC"/>
    <w:rsid w:val="00DC0690"/>
    <w:rsid w:val="00DC07C6"/>
    <w:rsid w:val="00DC0C82"/>
    <w:rsid w:val="00DC1D65"/>
    <w:rsid w:val="00DC2447"/>
    <w:rsid w:val="00DC27A5"/>
    <w:rsid w:val="00DC3041"/>
    <w:rsid w:val="00DC336B"/>
    <w:rsid w:val="00DC3AFE"/>
    <w:rsid w:val="00DC3C57"/>
    <w:rsid w:val="00DC3D75"/>
    <w:rsid w:val="00DC3D8F"/>
    <w:rsid w:val="00DC3EFE"/>
    <w:rsid w:val="00DC4F07"/>
    <w:rsid w:val="00DC4F3F"/>
    <w:rsid w:val="00DC5156"/>
    <w:rsid w:val="00DC51EE"/>
    <w:rsid w:val="00DC53D8"/>
    <w:rsid w:val="00DC5501"/>
    <w:rsid w:val="00DC5589"/>
    <w:rsid w:val="00DC595E"/>
    <w:rsid w:val="00DC6CDF"/>
    <w:rsid w:val="00DC7154"/>
    <w:rsid w:val="00DC757E"/>
    <w:rsid w:val="00DC7CC4"/>
    <w:rsid w:val="00DC7E8A"/>
    <w:rsid w:val="00DD004A"/>
    <w:rsid w:val="00DD024D"/>
    <w:rsid w:val="00DD06B7"/>
    <w:rsid w:val="00DD0700"/>
    <w:rsid w:val="00DD081B"/>
    <w:rsid w:val="00DD0F78"/>
    <w:rsid w:val="00DD12EA"/>
    <w:rsid w:val="00DD1D3C"/>
    <w:rsid w:val="00DD240D"/>
    <w:rsid w:val="00DD2552"/>
    <w:rsid w:val="00DD273C"/>
    <w:rsid w:val="00DD3568"/>
    <w:rsid w:val="00DD378C"/>
    <w:rsid w:val="00DD3BE5"/>
    <w:rsid w:val="00DD3E43"/>
    <w:rsid w:val="00DD3F28"/>
    <w:rsid w:val="00DD41F1"/>
    <w:rsid w:val="00DD4537"/>
    <w:rsid w:val="00DD46B3"/>
    <w:rsid w:val="00DD470C"/>
    <w:rsid w:val="00DD4798"/>
    <w:rsid w:val="00DD4E15"/>
    <w:rsid w:val="00DD5A84"/>
    <w:rsid w:val="00DD6116"/>
    <w:rsid w:val="00DD6CAD"/>
    <w:rsid w:val="00DD7068"/>
    <w:rsid w:val="00DD7073"/>
    <w:rsid w:val="00DD76DF"/>
    <w:rsid w:val="00DE072C"/>
    <w:rsid w:val="00DE0EA5"/>
    <w:rsid w:val="00DE1237"/>
    <w:rsid w:val="00DE15AD"/>
    <w:rsid w:val="00DE1EA9"/>
    <w:rsid w:val="00DE2304"/>
    <w:rsid w:val="00DE3138"/>
    <w:rsid w:val="00DE3313"/>
    <w:rsid w:val="00DE33A8"/>
    <w:rsid w:val="00DE354E"/>
    <w:rsid w:val="00DE37F8"/>
    <w:rsid w:val="00DE467E"/>
    <w:rsid w:val="00DE49B1"/>
    <w:rsid w:val="00DE4FCB"/>
    <w:rsid w:val="00DE52DE"/>
    <w:rsid w:val="00DE5D07"/>
    <w:rsid w:val="00DE5DB6"/>
    <w:rsid w:val="00DE684A"/>
    <w:rsid w:val="00DE6BD0"/>
    <w:rsid w:val="00DE7110"/>
    <w:rsid w:val="00DE72A7"/>
    <w:rsid w:val="00DE7660"/>
    <w:rsid w:val="00DE77FC"/>
    <w:rsid w:val="00DE7832"/>
    <w:rsid w:val="00DF05F1"/>
    <w:rsid w:val="00DF0692"/>
    <w:rsid w:val="00DF0978"/>
    <w:rsid w:val="00DF0A61"/>
    <w:rsid w:val="00DF1223"/>
    <w:rsid w:val="00DF12A8"/>
    <w:rsid w:val="00DF17B2"/>
    <w:rsid w:val="00DF18FC"/>
    <w:rsid w:val="00DF2255"/>
    <w:rsid w:val="00DF247A"/>
    <w:rsid w:val="00DF30C0"/>
    <w:rsid w:val="00DF3145"/>
    <w:rsid w:val="00DF3746"/>
    <w:rsid w:val="00DF4C3E"/>
    <w:rsid w:val="00DF5D2B"/>
    <w:rsid w:val="00DF5D7F"/>
    <w:rsid w:val="00DF5ECC"/>
    <w:rsid w:val="00DF6154"/>
    <w:rsid w:val="00DF63B2"/>
    <w:rsid w:val="00DF6435"/>
    <w:rsid w:val="00DF663C"/>
    <w:rsid w:val="00DF6CAC"/>
    <w:rsid w:val="00DF6F85"/>
    <w:rsid w:val="00DF72DF"/>
    <w:rsid w:val="00DF76B1"/>
    <w:rsid w:val="00E00158"/>
    <w:rsid w:val="00E00C34"/>
    <w:rsid w:val="00E00E8E"/>
    <w:rsid w:val="00E0305A"/>
    <w:rsid w:val="00E03789"/>
    <w:rsid w:val="00E043D9"/>
    <w:rsid w:val="00E04717"/>
    <w:rsid w:val="00E04B40"/>
    <w:rsid w:val="00E05392"/>
    <w:rsid w:val="00E05630"/>
    <w:rsid w:val="00E0656A"/>
    <w:rsid w:val="00E069AC"/>
    <w:rsid w:val="00E06DBB"/>
    <w:rsid w:val="00E06E5E"/>
    <w:rsid w:val="00E06F55"/>
    <w:rsid w:val="00E07A0D"/>
    <w:rsid w:val="00E07A3F"/>
    <w:rsid w:val="00E07DC4"/>
    <w:rsid w:val="00E07ED7"/>
    <w:rsid w:val="00E10149"/>
    <w:rsid w:val="00E1102B"/>
    <w:rsid w:val="00E11340"/>
    <w:rsid w:val="00E11C89"/>
    <w:rsid w:val="00E11CF4"/>
    <w:rsid w:val="00E12259"/>
    <w:rsid w:val="00E122A1"/>
    <w:rsid w:val="00E12B58"/>
    <w:rsid w:val="00E12DD3"/>
    <w:rsid w:val="00E13160"/>
    <w:rsid w:val="00E13286"/>
    <w:rsid w:val="00E13469"/>
    <w:rsid w:val="00E13E75"/>
    <w:rsid w:val="00E14133"/>
    <w:rsid w:val="00E147D3"/>
    <w:rsid w:val="00E1508F"/>
    <w:rsid w:val="00E1580B"/>
    <w:rsid w:val="00E16372"/>
    <w:rsid w:val="00E163AA"/>
    <w:rsid w:val="00E1675A"/>
    <w:rsid w:val="00E16D8C"/>
    <w:rsid w:val="00E16E6D"/>
    <w:rsid w:val="00E20276"/>
    <w:rsid w:val="00E20480"/>
    <w:rsid w:val="00E20CA8"/>
    <w:rsid w:val="00E20E4D"/>
    <w:rsid w:val="00E20ED6"/>
    <w:rsid w:val="00E210C7"/>
    <w:rsid w:val="00E2115E"/>
    <w:rsid w:val="00E21358"/>
    <w:rsid w:val="00E21682"/>
    <w:rsid w:val="00E21885"/>
    <w:rsid w:val="00E21E16"/>
    <w:rsid w:val="00E21E3B"/>
    <w:rsid w:val="00E2249B"/>
    <w:rsid w:val="00E22A0D"/>
    <w:rsid w:val="00E23871"/>
    <w:rsid w:val="00E239BE"/>
    <w:rsid w:val="00E24264"/>
    <w:rsid w:val="00E244CC"/>
    <w:rsid w:val="00E244F6"/>
    <w:rsid w:val="00E248F1"/>
    <w:rsid w:val="00E24AC0"/>
    <w:rsid w:val="00E24E9E"/>
    <w:rsid w:val="00E25A34"/>
    <w:rsid w:val="00E25F4F"/>
    <w:rsid w:val="00E2618E"/>
    <w:rsid w:val="00E26728"/>
    <w:rsid w:val="00E2763A"/>
    <w:rsid w:val="00E2771E"/>
    <w:rsid w:val="00E27AF2"/>
    <w:rsid w:val="00E27BAB"/>
    <w:rsid w:val="00E311EF"/>
    <w:rsid w:val="00E31FD6"/>
    <w:rsid w:val="00E32180"/>
    <w:rsid w:val="00E32389"/>
    <w:rsid w:val="00E328EA"/>
    <w:rsid w:val="00E3297E"/>
    <w:rsid w:val="00E3299D"/>
    <w:rsid w:val="00E331F3"/>
    <w:rsid w:val="00E3362B"/>
    <w:rsid w:val="00E336CE"/>
    <w:rsid w:val="00E33CED"/>
    <w:rsid w:val="00E34282"/>
    <w:rsid w:val="00E34948"/>
    <w:rsid w:val="00E34ADC"/>
    <w:rsid w:val="00E36FCE"/>
    <w:rsid w:val="00E3709F"/>
    <w:rsid w:val="00E3725F"/>
    <w:rsid w:val="00E37569"/>
    <w:rsid w:val="00E37806"/>
    <w:rsid w:val="00E37E6C"/>
    <w:rsid w:val="00E37F91"/>
    <w:rsid w:val="00E401B2"/>
    <w:rsid w:val="00E40512"/>
    <w:rsid w:val="00E405DD"/>
    <w:rsid w:val="00E4134C"/>
    <w:rsid w:val="00E41E30"/>
    <w:rsid w:val="00E42549"/>
    <w:rsid w:val="00E42F73"/>
    <w:rsid w:val="00E43CBB"/>
    <w:rsid w:val="00E43D70"/>
    <w:rsid w:val="00E44743"/>
    <w:rsid w:val="00E44ACF"/>
    <w:rsid w:val="00E44E3F"/>
    <w:rsid w:val="00E44F43"/>
    <w:rsid w:val="00E45745"/>
    <w:rsid w:val="00E46008"/>
    <w:rsid w:val="00E466F3"/>
    <w:rsid w:val="00E46AF4"/>
    <w:rsid w:val="00E46D20"/>
    <w:rsid w:val="00E47136"/>
    <w:rsid w:val="00E475E5"/>
    <w:rsid w:val="00E47A91"/>
    <w:rsid w:val="00E47B2C"/>
    <w:rsid w:val="00E47E03"/>
    <w:rsid w:val="00E47E6D"/>
    <w:rsid w:val="00E47EA6"/>
    <w:rsid w:val="00E50562"/>
    <w:rsid w:val="00E505B6"/>
    <w:rsid w:val="00E505BA"/>
    <w:rsid w:val="00E50931"/>
    <w:rsid w:val="00E50AE5"/>
    <w:rsid w:val="00E51560"/>
    <w:rsid w:val="00E51686"/>
    <w:rsid w:val="00E51765"/>
    <w:rsid w:val="00E51906"/>
    <w:rsid w:val="00E51928"/>
    <w:rsid w:val="00E51A86"/>
    <w:rsid w:val="00E525A4"/>
    <w:rsid w:val="00E52A6B"/>
    <w:rsid w:val="00E52D36"/>
    <w:rsid w:val="00E53FC8"/>
    <w:rsid w:val="00E53FE7"/>
    <w:rsid w:val="00E542A3"/>
    <w:rsid w:val="00E542E8"/>
    <w:rsid w:val="00E54347"/>
    <w:rsid w:val="00E5437D"/>
    <w:rsid w:val="00E54A73"/>
    <w:rsid w:val="00E55424"/>
    <w:rsid w:val="00E55646"/>
    <w:rsid w:val="00E55915"/>
    <w:rsid w:val="00E55BB5"/>
    <w:rsid w:val="00E55BCA"/>
    <w:rsid w:val="00E56329"/>
    <w:rsid w:val="00E567F5"/>
    <w:rsid w:val="00E56BCF"/>
    <w:rsid w:val="00E57302"/>
    <w:rsid w:val="00E57CB1"/>
    <w:rsid w:val="00E57F34"/>
    <w:rsid w:val="00E601E9"/>
    <w:rsid w:val="00E60337"/>
    <w:rsid w:val="00E60C19"/>
    <w:rsid w:val="00E61323"/>
    <w:rsid w:val="00E62124"/>
    <w:rsid w:val="00E628EE"/>
    <w:rsid w:val="00E631C3"/>
    <w:rsid w:val="00E634EB"/>
    <w:rsid w:val="00E644C8"/>
    <w:rsid w:val="00E6472A"/>
    <w:rsid w:val="00E64980"/>
    <w:rsid w:val="00E64B4E"/>
    <w:rsid w:val="00E65A87"/>
    <w:rsid w:val="00E65E79"/>
    <w:rsid w:val="00E666C9"/>
    <w:rsid w:val="00E66834"/>
    <w:rsid w:val="00E66BA2"/>
    <w:rsid w:val="00E66DEF"/>
    <w:rsid w:val="00E67416"/>
    <w:rsid w:val="00E6785C"/>
    <w:rsid w:val="00E703EA"/>
    <w:rsid w:val="00E705D2"/>
    <w:rsid w:val="00E716B0"/>
    <w:rsid w:val="00E718B6"/>
    <w:rsid w:val="00E720E0"/>
    <w:rsid w:val="00E723BA"/>
    <w:rsid w:val="00E7334E"/>
    <w:rsid w:val="00E73581"/>
    <w:rsid w:val="00E73650"/>
    <w:rsid w:val="00E742FC"/>
    <w:rsid w:val="00E74A47"/>
    <w:rsid w:val="00E74A63"/>
    <w:rsid w:val="00E74D82"/>
    <w:rsid w:val="00E7533D"/>
    <w:rsid w:val="00E75EC7"/>
    <w:rsid w:val="00E76512"/>
    <w:rsid w:val="00E769FC"/>
    <w:rsid w:val="00E76E68"/>
    <w:rsid w:val="00E770A7"/>
    <w:rsid w:val="00E773FC"/>
    <w:rsid w:val="00E774FF"/>
    <w:rsid w:val="00E775A6"/>
    <w:rsid w:val="00E77B60"/>
    <w:rsid w:val="00E77FEB"/>
    <w:rsid w:val="00E80600"/>
    <w:rsid w:val="00E80CCE"/>
    <w:rsid w:val="00E80D2B"/>
    <w:rsid w:val="00E81269"/>
    <w:rsid w:val="00E8169B"/>
    <w:rsid w:val="00E81999"/>
    <w:rsid w:val="00E81B01"/>
    <w:rsid w:val="00E81E0B"/>
    <w:rsid w:val="00E82BD4"/>
    <w:rsid w:val="00E82DC3"/>
    <w:rsid w:val="00E82F2B"/>
    <w:rsid w:val="00E83027"/>
    <w:rsid w:val="00E832E2"/>
    <w:rsid w:val="00E83353"/>
    <w:rsid w:val="00E833F7"/>
    <w:rsid w:val="00E83BDF"/>
    <w:rsid w:val="00E83BE6"/>
    <w:rsid w:val="00E84800"/>
    <w:rsid w:val="00E849FD"/>
    <w:rsid w:val="00E85A11"/>
    <w:rsid w:val="00E85B09"/>
    <w:rsid w:val="00E85CAF"/>
    <w:rsid w:val="00E86CB6"/>
    <w:rsid w:val="00E87535"/>
    <w:rsid w:val="00E87948"/>
    <w:rsid w:val="00E87A1D"/>
    <w:rsid w:val="00E900C2"/>
    <w:rsid w:val="00E90771"/>
    <w:rsid w:val="00E90942"/>
    <w:rsid w:val="00E9094A"/>
    <w:rsid w:val="00E90C34"/>
    <w:rsid w:val="00E90C80"/>
    <w:rsid w:val="00E90D3C"/>
    <w:rsid w:val="00E90F5A"/>
    <w:rsid w:val="00E9121F"/>
    <w:rsid w:val="00E912B4"/>
    <w:rsid w:val="00E91404"/>
    <w:rsid w:val="00E91D35"/>
    <w:rsid w:val="00E92015"/>
    <w:rsid w:val="00E926A5"/>
    <w:rsid w:val="00E935A4"/>
    <w:rsid w:val="00E935B4"/>
    <w:rsid w:val="00E9444B"/>
    <w:rsid w:val="00E94BE5"/>
    <w:rsid w:val="00E94D0A"/>
    <w:rsid w:val="00E9513B"/>
    <w:rsid w:val="00E95A1E"/>
    <w:rsid w:val="00E95BA5"/>
    <w:rsid w:val="00E95DBC"/>
    <w:rsid w:val="00E961F4"/>
    <w:rsid w:val="00E96DE1"/>
    <w:rsid w:val="00E97883"/>
    <w:rsid w:val="00E978A7"/>
    <w:rsid w:val="00E97B00"/>
    <w:rsid w:val="00E97C7E"/>
    <w:rsid w:val="00E97DD2"/>
    <w:rsid w:val="00E97E84"/>
    <w:rsid w:val="00E97F24"/>
    <w:rsid w:val="00E97FB1"/>
    <w:rsid w:val="00EA09C6"/>
    <w:rsid w:val="00EA09FF"/>
    <w:rsid w:val="00EA11A4"/>
    <w:rsid w:val="00EA147B"/>
    <w:rsid w:val="00EA16A2"/>
    <w:rsid w:val="00EA17C3"/>
    <w:rsid w:val="00EA1FEA"/>
    <w:rsid w:val="00EA227F"/>
    <w:rsid w:val="00EA2AB4"/>
    <w:rsid w:val="00EA2CAA"/>
    <w:rsid w:val="00EA3864"/>
    <w:rsid w:val="00EA3A1A"/>
    <w:rsid w:val="00EA413D"/>
    <w:rsid w:val="00EA44EB"/>
    <w:rsid w:val="00EA4F60"/>
    <w:rsid w:val="00EA4FFA"/>
    <w:rsid w:val="00EA51F2"/>
    <w:rsid w:val="00EA54A2"/>
    <w:rsid w:val="00EA5EC7"/>
    <w:rsid w:val="00EA6846"/>
    <w:rsid w:val="00EA706B"/>
    <w:rsid w:val="00EA71D3"/>
    <w:rsid w:val="00EA7773"/>
    <w:rsid w:val="00EA7992"/>
    <w:rsid w:val="00EA7F1C"/>
    <w:rsid w:val="00EB0205"/>
    <w:rsid w:val="00EB099C"/>
    <w:rsid w:val="00EB1303"/>
    <w:rsid w:val="00EB1381"/>
    <w:rsid w:val="00EB1384"/>
    <w:rsid w:val="00EB15B6"/>
    <w:rsid w:val="00EB1D25"/>
    <w:rsid w:val="00EB2591"/>
    <w:rsid w:val="00EB25E6"/>
    <w:rsid w:val="00EB2878"/>
    <w:rsid w:val="00EB322D"/>
    <w:rsid w:val="00EB34A4"/>
    <w:rsid w:val="00EB3D06"/>
    <w:rsid w:val="00EB40DC"/>
    <w:rsid w:val="00EB436F"/>
    <w:rsid w:val="00EB4406"/>
    <w:rsid w:val="00EB459A"/>
    <w:rsid w:val="00EB4903"/>
    <w:rsid w:val="00EB4916"/>
    <w:rsid w:val="00EB4D76"/>
    <w:rsid w:val="00EB504E"/>
    <w:rsid w:val="00EB522C"/>
    <w:rsid w:val="00EB588B"/>
    <w:rsid w:val="00EB60CF"/>
    <w:rsid w:val="00EB6E9B"/>
    <w:rsid w:val="00EB767F"/>
    <w:rsid w:val="00EC00C9"/>
    <w:rsid w:val="00EC0BAC"/>
    <w:rsid w:val="00EC0DD9"/>
    <w:rsid w:val="00EC10E2"/>
    <w:rsid w:val="00EC1235"/>
    <w:rsid w:val="00EC19D3"/>
    <w:rsid w:val="00EC1B90"/>
    <w:rsid w:val="00EC1BDD"/>
    <w:rsid w:val="00EC21EC"/>
    <w:rsid w:val="00EC2649"/>
    <w:rsid w:val="00EC28DF"/>
    <w:rsid w:val="00EC2EED"/>
    <w:rsid w:val="00EC31ED"/>
    <w:rsid w:val="00EC3BBC"/>
    <w:rsid w:val="00EC44DF"/>
    <w:rsid w:val="00EC455E"/>
    <w:rsid w:val="00EC502D"/>
    <w:rsid w:val="00EC5452"/>
    <w:rsid w:val="00EC5836"/>
    <w:rsid w:val="00EC5A40"/>
    <w:rsid w:val="00EC688C"/>
    <w:rsid w:val="00EC6944"/>
    <w:rsid w:val="00EC69B6"/>
    <w:rsid w:val="00EC6CBB"/>
    <w:rsid w:val="00EC71F8"/>
    <w:rsid w:val="00EC7A87"/>
    <w:rsid w:val="00EC7AEB"/>
    <w:rsid w:val="00EC7D75"/>
    <w:rsid w:val="00ED102C"/>
    <w:rsid w:val="00ED16A9"/>
    <w:rsid w:val="00ED1EFC"/>
    <w:rsid w:val="00ED2030"/>
    <w:rsid w:val="00ED2926"/>
    <w:rsid w:val="00ED2E80"/>
    <w:rsid w:val="00ED302E"/>
    <w:rsid w:val="00ED536E"/>
    <w:rsid w:val="00ED550A"/>
    <w:rsid w:val="00ED5712"/>
    <w:rsid w:val="00ED57EA"/>
    <w:rsid w:val="00ED5BD4"/>
    <w:rsid w:val="00ED619D"/>
    <w:rsid w:val="00ED7557"/>
    <w:rsid w:val="00EE07BB"/>
    <w:rsid w:val="00EE07D3"/>
    <w:rsid w:val="00EE0A03"/>
    <w:rsid w:val="00EE1996"/>
    <w:rsid w:val="00EE1C01"/>
    <w:rsid w:val="00EE22AF"/>
    <w:rsid w:val="00EE25FC"/>
    <w:rsid w:val="00EE2AA2"/>
    <w:rsid w:val="00EE2E5C"/>
    <w:rsid w:val="00EE3A73"/>
    <w:rsid w:val="00EE41A5"/>
    <w:rsid w:val="00EE48F7"/>
    <w:rsid w:val="00EE4E18"/>
    <w:rsid w:val="00EE4EAD"/>
    <w:rsid w:val="00EE52D3"/>
    <w:rsid w:val="00EE551F"/>
    <w:rsid w:val="00EE57B8"/>
    <w:rsid w:val="00EE634A"/>
    <w:rsid w:val="00EE63FD"/>
    <w:rsid w:val="00EF0115"/>
    <w:rsid w:val="00EF0171"/>
    <w:rsid w:val="00EF063E"/>
    <w:rsid w:val="00EF0896"/>
    <w:rsid w:val="00EF1380"/>
    <w:rsid w:val="00EF16A4"/>
    <w:rsid w:val="00EF1B25"/>
    <w:rsid w:val="00EF1DA0"/>
    <w:rsid w:val="00EF1F5E"/>
    <w:rsid w:val="00EF212E"/>
    <w:rsid w:val="00EF2EAB"/>
    <w:rsid w:val="00EF32B1"/>
    <w:rsid w:val="00EF3607"/>
    <w:rsid w:val="00EF3DD2"/>
    <w:rsid w:val="00EF4747"/>
    <w:rsid w:val="00EF4BF8"/>
    <w:rsid w:val="00EF5223"/>
    <w:rsid w:val="00EF5F4C"/>
    <w:rsid w:val="00EF62E5"/>
    <w:rsid w:val="00EF6B23"/>
    <w:rsid w:val="00EF6D5B"/>
    <w:rsid w:val="00EF7198"/>
    <w:rsid w:val="00EF722C"/>
    <w:rsid w:val="00EF75F8"/>
    <w:rsid w:val="00EF7684"/>
    <w:rsid w:val="00EF7ACE"/>
    <w:rsid w:val="00F0003A"/>
    <w:rsid w:val="00F006FF"/>
    <w:rsid w:val="00F0176F"/>
    <w:rsid w:val="00F019B0"/>
    <w:rsid w:val="00F02237"/>
    <w:rsid w:val="00F02253"/>
    <w:rsid w:val="00F022A8"/>
    <w:rsid w:val="00F0248D"/>
    <w:rsid w:val="00F02FFC"/>
    <w:rsid w:val="00F030DE"/>
    <w:rsid w:val="00F03504"/>
    <w:rsid w:val="00F03BBC"/>
    <w:rsid w:val="00F03C2E"/>
    <w:rsid w:val="00F048E8"/>
    <w:rsid w:val="00F04A66"/>
    <w:rsid w:val="00F04B4B"/>
    <w:rsid w:val="00F0516C"/>
    <w:rsid w:val="00F0532D"/>
    <w:rsid w:val="00F06458"/>
    <w:rsid w:val="00F067A2"/>
    <w:rsid w:val="00F069A0"/>
    <w:rsid w:val="00F0705E"/>
    <w:rsid w:val="00F07165"/>
    <w:rsid w:val="00F07319"/>
    <w:rsid w:val="00F07733"/>
    <w:rsid w:val="00F07813"/>
    <w:rsid w:val="00F07B9E"/>
    <w:rsid w:val="00F07CB2"/>
    <w:rsid w:val="00F07D69"/>
    <w:rsid w:val="00F07FD1"/>
    <w:rsid w:val="00F101EA"/>
    <w:rsid w:val="00F103C6"/>
    <w:rsid w:val="00F105AB"/>
    <w:rsid w:val="00F10695"/>
    <w:rsid w:val="00F109CC"/>
    <w:rsid w:val="00F10F40"/>
    <w:rsid w:val="00F11137"/>
    <w:rsid w:val="00F1116F"/>
    <w:rsid w:val="00F117AA"/>
    <w:rsid w:val="00F118A0"/>
    <w:rsid w:val="00F1263A"/>
    <w:rsid w:val="00F1277C"/>
    <w:rsid w:val="00F12780"/>
    <w:rsid w:val="00F12BB1"/>
    <w:rsid w:val="00F136F4"/>
    <w:rsid w:val="00F137DA"/>
    <w:rsid w:val="00F13841"/>
    <w:rsid w:val="00F140B4"/>
    <w:rsid w:val="00F14777"/>
    <w:rsid w:val="00F154D3"/>
    <w:rsid w:val="00F155F5"/>
    <w:rsid w:val="00F15821"/>
    <w:rsid w:val="00F15B50"/>
    <w:rsid w:val="00F15B77"/>
    <w:rsid w:val="00F15F85"/>
    <w:rsid w:val="00F1628C"/>
    <w:rsid w:val="00F16619"/>
    <w:rsid w:val="00F1675C"/>
    <w:rsid w:val="00F168D3"/>
    <w:rsid w:val="00F1693D"/>
    <w:rsid w:val="00F175D0"/>
    <w:rsid w:val="00F175D9"/>
    <w:rsid w:val="00F17BCB"/>
    <w:rsid w:val="00F17E0D"/>
    <w:rsid w:val="00F17EEF"/>
    <w:rsid w:val="00F202AA"/>
    <w:rsid w:val="00F20383"/>
    <w:rsid w:val="00F20394"/>
    <w:rsid w:val="00F20A73"/>
    <w:rsid w:val="00F20B52"/>
    <w:rsid w:val="00F21878"/>
    <w:rsid w:val="00F22F2A"/>
    <w:rsid w:val="00F23E36"/>
    <w:rsid w:val="00F24276"/>
    <w:rsid w:val="00F24586"/>
    <w:rsid w:val="00F2464F"/>
    <w:rsid w:val="00F24837"/>
    <w:rsid w:val="00F2513E"/>
    <w:rsid w:val="00F2538D"/>
    <w:rsid w:val="00F255CB"/>
    <w:rsid w:val="00F2575E"/>
    <w:rsid w:val="00F2575F"/>
    <w:rsid w:val="00F25B32"/>
    <w:rsid w:val="00F2628A"/>
    <w:rsid w:val="00F26429"/>
    <w:rsid w:val="00F266C3"/>
    <w:rsid w:val="00F266CE"/>
    <w:rsid w:val="00F266DF"/>
    <w:rsid w:val="00F27565"/>
    <w:rsid w:val="00F27BDD"/>
    <w:rsid w:val="00F27C04"/>
    <w:rsid w:val="00F302B5"/>
    <w:rsid w:val="00F30929"/>
    <w:rsid w:val="00F30DEA"/>
    <w:rsid w:val="00F30E62"/>
    <w:rsid w:val="00F310D4"/>
    <w:rsid w:val="00F3129F"/>
    <w:rsid w:val="00F31717"/>
    <w:rsid w:val="00F31D5A"/>
    <w:rsid w:val="00F32076"/>
    <w:rsid w:val="00F325BF"/>
    <w:rsid w:val="00F3269C"/>
    <w:rsid w:val="00F329A4"/>
    <w:rsid w:val="00F32F89"/>
    <w:rsid w:val="00F3306C"/>
    <w:rsid w:val="00F33975"/>
    <w:rsid w:val="00F33DE9"/>
    <w:rsid w:val="00F35E6D"/>
    <w:rsid w:val="00F3619A"/>
    <w:rsid w:val="00F3624D"/>
    <w:rsid w:val="00F36F5A"/>
    <w:rsid w:val="00F37126"/>
    <w:rsid w:val="00F37249"/>
    <w:rsid w:val="00F37A56"/>
    <w:rsid w:val="00F37F7E"/>
    <w:rsid w:val="00F40036"/>
    <w:rsid w:val="00F40AAA"/>
    <w:rsid w:val="00F40B1E"/>
    <w:rsid w:val="00F40BA7"/>
    <w:rsid w:val="00F40EB0"/>
    <w:rsid w:val="00F40F9D"/>
    <w:rsid w:val="00F4128C"/>
    <w:rsid w:val="00F41ACD"/>
    <w:rsid w:val="00F42458"/>
    <w:rsid w:val="00F4264A"/>
    <w:rsid w:val="00F4275A"/>
    <w:rsid w:val="00F42D2B"/>
    <w:rsid w:val="00F43408"/>
    <w:rsid w:val="00F4367D"/>
    <w:rsid w:val="00F4383B"/>
    <w:rsid w:val="00F44F63"/>
    <w:rsid w:val="00F45FBB"/>
    <w:rsid w:val="00F460E1"/>
    <w:rsid w:val="00F46A5D"/>
    <w:rsid w:val="00F46CB6"/>
    <w:rsid w:val="00F470F0"/>
    <w:rsid w:val="00F4756D"/>
    <w:rsid w:val="00F47DD9"/>
    <w:rsid w:val="00F47DE8"/>
    <w:rsid w:val="00F47ECE"/>
    <w:rsid w:val="00F47F23"/>
    <w:rsid w:val="00F502C2"/>
    <w:rsid w:val="00F5092D"/>
    <w:rsid w:val="00F51184"/>
    <w:rsid w:val="00F512DE"/>
    <w:rsid w:val="00F519FA"/>
    <w:rsid w:val="00F52363"/>
    <w:rsid w:val="00F52911"/>
    <w:rsid w:val="00F52C71"/>
    <w:rsid w:val="00F52D12"/>
    <w:rsid w:val="00F53563"/>
    <w:rsid w:val="00F53567"/>
    <w:rsid w:val="00F53599"/>
    <w:rsid w:val="00F5371D"/>
    <w:rsid w:val="00F542C1"/>
    <w:rsid w:val="00F54F79"/>
    <w:rsid w:val="00F54F8A"/>
    <w:rsid w:val="00F54FDC"/>
    <w:rsid w:val="00F55E73"/>
    <w:rsid w:val="00F55EDA"/>
    <w:rsid w:val="00F5622D"/>
    <w:rsid w:val="00F563C6"/>
    <w:rsid w:val="00F56991"/>
    <w:rsid w:val="00F56C80"/>
    <w:rsid w:val="00F56DB3"/>
    <w:rsid w:val="00F57012"/>
    <w:rsid w:val="00F5713F"/>
    <w:rsid w:val="00F57FDB"/>
    <w:rsid w:val="00F60092"/>
    <w:rsid w:val="00F600DD"/>
    <w:rsid w:val="00F60F1A"/>
    <w:rsid w:val="00F61C18"/>
    <w:rsid w:val="00F62583"/>
    <w:rsid w:val="00F62E52"/>
    <w:rsid w:val="00F63FFA"/>
    <w:rsid w:val="00F643B7"/>
    <w:rsid w:val="00F64DFA"/>
    <w:rsid w:val="00F6536A"/>
    <w:rsid w:val="00F657AA"/>
    <w:rsid w:val="00F658FA"/>
    <w:rsid w:val="00F65CB8"/>
    <w:rsid w:val="00F65F4B"/>
    <w:rsid w:val="00F65FC5"/>
    <w:rsid w:val="00F664F0"/>
    <w:rsid w:val="00F67A69"/>
    <w:rsid w:val="00F67DA3"/>
    <w:rsid w:val="00F7011D"/>
    <w:rsid w:val="00F70161"/>
    <w:rsid w:val="00F70BFF"/>
    <w:rsid w:val="00F70C9D"/>
    <w:rsid w:val="00F719F3"/>
    <w:rsid w:val="00F719F4"/>
    <w:rsid w:val="00F727E5"/>
    <w:rsid w:val="00F72B41"/>
    <w:rsid w:val="00F72F98"/>
    <w:rsid w:val="00F732A9"/>
    <w:rsid w:val="00F7331C"/>
    <w:rsid w:val="00F733E0"/>
    <w:rsid w:val="00F73B8C"/>
    <w:rsid w:val="00F7436F"/>
    <w:rsid w:val="00F74CD9"/>
    <w:rsid w:val="00F74FBD"/>
    <w:rsid w:val="00F7519B"/>
    <w:rsid w:val="00F75992"/>
    <w:rsid w:val="00F75C0F"/>
    <w:rsid w:val="00F75DF4"/>
    <w:rsid w:val="00F7643F"/>
    <w:rsid w:val="00F76C1A"/>
    <w:rsid w:val="00F774D7"/>
    <w:rsid w:val="00F7759B"/>
    <w:rsid w:val="00F802AF"/>
    <w:rsid w:val="00F80A7B"/>
    <w:rsid w:val="00F80E5D"/>
    <w:rsid w:val="00F80FBC"/>
    <w:rsid w:val="00F81656"/>
    <w:rsid w:val="00F81A03"/>
    <w:rsid w:val="00F81D73"/>
    <w:rsid w:val="00F81E78"/>
    <w:rsid w:val="00F825EB"/>
    <w:rsid w:val="00F829BA"/>
    <w:rsid w:val="00F83645"/>
    <w:rsid w:val="00F844E0"/>
    <w:rsid w:val="00F84719"/>
    <w:rsid w:val="00F851CE"/>
    <w:rsid w:val="00F85923"/>
    <w:rsid w:val="00F8639C"/>
    <w:rsid w:val="00F863BC"/>
    <w:rsid w:val="00F86C33"/>
    <w:rsid w:val="00F86C88"/>
    <w:rsid w:val="00F86DC0"/>
    <w:rsid w:val="00F86DC4"/>
    <w:rsid w:val="00F87058"/>
    <w:rsid w:val="00F870EF"/>
    <w:rsid w:val="00F871A1"/>
    <w:rsid w:val="00F87373"/>
    <w:rsid w:val="00F87B2B"/>
    <w:rsid w:val="00F87F59"/>
    <w:rsid w:val="00F90162"/>
    <w:rsid w:val="00F9024D"/>
    <w:rsid w:val="00F90CC5"/>
    <w:rsid w:val="00F90EA5"/>
    <w:rsid w:val="00F91219"/>
    <w:rsid w:val="00F917A7"/>
    <w:rsid w:val="00F9181D"/>
    <w:rsid w:val="00F91A85"/>
    <w:rsid w:val="00F92444"/>
    <w:rsid w:val="00F92A47"/>
    <w:rsid w:val="00F92D69"/>
    <w:rsid w:val="00F93238"/>
    <w:rsid w:val="00F93594"/>
    <w:rsid w:val="00F9393E"/>
    <w:rsid w:val="00F93B7D"/>
    <w:rsid w:val="00F93CB3"/>
    <w:rsid w:val="00F949C4"/>
    <w:rsid w:val="00F94BDD"/>
    <w:rsid w:val="00F94C2E"/>
    <w:rsid w:val="00F94D20"/>
    <w:rsid w:val="00F94F61"/>
    <w:rsid w:val="00F95061"/>
    <w:rsid w:val="00F96C7C"/>
    <w:rsid w:val="00F96FD0"/>
    <w:rsid w:val="00F97539"/>
    <w:rsid w:val="00F979F3"/>
    <w:rsid w:val="00F97A78"/>
    <w:rsid w:val="00F97A9A"/>
    <w:rsid w:val="00FA03CC"/>
    <w:rsid w:val="00FA0B20"/>
    <w:rsid w:val="00FA0FE4"/>
    <w:rsid w:val="00FA18D6"/>
    <w:rsid w:val="00FA1C28"/>
    <w:rsid w:val="00FA1E70"/>
    <w:rsid w:val="00FA24E7"/>
    <w:rsid w:val="00FA2AC8"/>
    <w:rsid w:val="00FA2BE8"/>
    <w:rsid w:val="00FA301B"/>
    <w:rsid w:val="00FA3872"/>
    <w:rsid w:val="00FA3EE2"/>
    <w:rsid w:val="00FA4068"/>
    <w:rsid w:val="00FA448E"/>
    <w:rsid w:val="00FA45AA"/>
    <w:rsid w:val="00FA487C"/>
    <w:rsid w:val="00FA4CA8"/>
    <w:rsid w:val="00FA5196"/>
    <w:rsid w:val="00FA52ED"/>
    <w:rsid w:val="00FA5352"/>
    <w:rsid w:val="00FA53A6"/>
    <w:rsid w:val="00FA59C5"/>
    <w:rsid w:val="00FA5AC0"/>
    <w:rsid w:val="00FA5EBC"/>
    <w:rsid w:val="00FA5EE6"/>
    <w:rsid w:val="00FA5FA7"/>
    <w:rsid w:val="00FA61CE"/>
    <w:rsid w:val="00FA645D"/>
    <w:rsid w:val="00FA65C6"/>
    <w:rsid w:val="00FA6BA9"/>
    <w:rsid w:val="00FA6CCA"/>
    <w:rsid w:val="00FA6F6D"/>
    <w:rsid w:val="00FA70E5"/>
    <w:rsid w:val="00FA782E"/>
    <w:rsid w:val="00FA78D0"/>
    <w:rsid w:val="00FA7910"/>
    <w:rsid w:val="00FA7956"/>
    <w:rsid w:val="00FA7CF4"/>
    <w:rsid w:val="00FB0DA4"/>
    <w:rsid w:val="00FB0E99"/>
    <w:rsid w:val="00FB105F"/>
    <w:rsid w:val="00FB13E9"/>
    <w:rsid w:val="00FB1663"/>
    <w:rsid w:val="00FB2FCB"/>
    <w:rsid w:val="00FB303D"/>
    <w:rsid w:val="00FB3223"/>
    <w:rsid w:val="00FB3257"/>
    <w:rsid w:val="00FB39C1"/>
    <w:rsid w:val="00FB4EAB"/>
    <w:rsid w:val="00FB5217"/>
    <w:rsid w:val="00FB52B7"/>
    <w:rsid w:val="00FB5B83"/>
    <w:rsid w:val="00FB618E"/>
    <w:rsid w:val="00FB6204"/>
    <w:rsid w:val="00FB6721"/>
    <w:rsid w:val="00FB7123"/>
    <w:rsid w:val="00FB7927"/>
    <w:rsid w:val="00FB7AA1"/>
    <w:rsid w:val="00FB7C55"/>
    <w:rsid w:val="00FC05E7"/>
    <w:rsid w:val="00FC087F"/>
    <w:rsid w:val="00FC0DA0"/>
    <w:rsid w:val="00FC1062"/>
    <w:rsid w:val="00FC1074"/>
    <w:rsid w:val="00FC14FD"/>
    <w:rsid w:val="00FC1884"/>
    <w:rsid w:val="00FC1AC3"/>
    <w:rsid w:val="00FC2BDF"/>
    <w:rsid w:val="00FC2FBB"/>
    <w:rsid w:val="00FC31F6"/>
    <w:rsid w:val="00FC34F8"/>
    <w:rsid w:val="00FC3509"/>
    <w:rsid w:val="00FC371D"/>
    <w:rsid w:val="00FC3D09"/>
    <w:rsid w:val="00FC459B"/>
    <w:rsid w:val="00FC520E"/>
    <w:rsid w:val="00FC56CC"/>
    <w:rsid w:val="00FC5C17"/>
    <w:rsid w:val="00FC5DCE"/>
    <w:rsid w:val="00FC5F0B"/>
    <w:rsid w:val="00FC5F8B"/>
    <w:rsid w:val="00FC610E"/>
    <w:rsid w:val="00FC62C3"/>
    <w:rsid w:val="00FC6CC7"/>
    <w:rsid w:val="00FC7272"/>
    <w:rsid w:val="00FC734C"/>
    <w:rsid w:val="00FC7559"/>
    <w:rsid w:val="00FC7CB2"/>
    <w:rsid w:val="00FD04F3"/>
    <w:rsid w:val="00FD0529"/>
    <w:rsid w:val="00FD0602"/>
    <w:rsid w:val="00FD0858"/>
    <w:rsid w:val="00FD143A"/>
    <w:rsid w:val="00FD16BB"/>
    <w:rsid w:val="00FD1991"/>
    <w:rsid w:val="00FD1D5F"/>
    <w:rsid w:val="00FD20FC"/>
    <w:rsid w:val="00FD2100"/>
    <w:rsid w:val="00FD2306"/>
    <w:rsid w:val="00FD2A24"/>
    <w:rsid w:val="00FD3CB8"/>
    <w:rsid w:val="00FD436C"/>
    <w:rsid w:val="00FD446D"/>
    <w:rsid w:val="00FD48B6"/>
    <w:rsid w:val="00FD4CDF"/>
    <w:rsid w:val="00FD4DCE"/>
    <w:rsid w:val="00FD4F2C"/>
    <w:rsid w:val="00FD53EC"/>
    <w:rsid w:val="00FD55E5"/>
    <w:rsid w:val="00FD6394"/>
    <w:rsid w:val="00FD7C2E"/>
    <w:rsid w:val="00FD7CD0"/>
    <w:rsid w:val="00FE0025"/>
    <w:rsid w:val="00FE06FF"/>
    <w:rsid w:val="00FE0CB5"/>
    <w:rsid w:val="00FE0E62"/>
    <w:rsid w:val="00FE0E6C"/>
    <w:rsid w:val="00FE0E85"/>
    <w:rsid w:val="00FE0EA5"/>
    <w:rsid w:val="00FE1371"/>
    <w:rsid w:val="00FE1CDC"/>
    <w:rsid w:val="00FE2072"/>
    <w:rsid w:val="00FE278B"/>
    <w:rsid w:val="00FE2E16"/>
    <w:rsid w:val="00FE3246"/>
    <w:rsid w:val="00FE39F0"/>
    <w:rsid w:val="00FE3B7E"/>
    <w:rsid w:val="00FE3CDB"/>
    <w:rsid w:val="00FE4C71"/>
    <w:rsid w:val="00FE4E76"/>
    <w:rsid w:val="00FE4F8B"/>
    <w:rsid w:val="00FE52CD"/>
    <w:rsid w:val="00FE6C56"/>
    <w:rsid w:val="00FE6EE5"/>
    <w:rsid w:val="00FE70C3"/>
    <w:rsid w:val="00FE757B"/>
    <w:rsid w:val="00FE7791"/>
    <w:rsid w:val="00FF0250"/>
    <w:rsid w:val="00FF05C8"/>
    <w:rsid w:val="00FF080D"/>
    <w:rsid w:val="00FF0916"/>
    <w:rsid w:val="00FF189C"/>
    <w:rsid w:val="00FF1AB2"/>
    <w:rsid w:val="00FF25AC"/>
    <w:rsid w:val="00FF29D0"/>
    <w:rsid w:val="00FF2AD9"/>
    <w:rsid w:val="00FF359F"/>
    <w:rsid w:val="00FF3DCF"/>
    <w:rsid w:val="00FF3DE7"/>
    <w:rsid w:val="00FF492C"/>
    <w:rsid w:val="00FF4A21"/>
    <w:rsid w:val="00FF4DB0"/>
    <w:rsid w:val="00FF5AA3"/>
    <w:rsid w:val="00FF5AD8"/>
    <w:rsid w:val="00FF5D61"/>
    <w:rsid w:val="00FF699A"/>
    <w:rsid w:val="00FF72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5FBF"/>
    <w:pPr>
      <w:jc w:val="both"/>
    </w:pPr>
    <w:rPr>
      <w:rFonts w:ascii="Calibri" w:hAnsi="Calibri" w:cs="Arial"/>
      <w:sz w:val="24"/>
      <w:szCs w:val="24"/>
    </w:rPr>
  </w:style>
  <w:style w:type="paragraph" w:styleId="Heading1">
    <w:name w:val="heading 1"/>
    <w:basedOn w:val="Normal"/>
    <w:next w:val="Normal"/>
    <w:uiPriority w:val="1"/>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L,Bullet Point,Bulletr List Paragraph"/>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Tableheading0">
    <w:name w:val="Table heading"/>
    <w:basedOn w:val="Normal"/>
    <w:qFormat/>
    <w:rsid w:val="00414FD3"/>
    <w:pPr>
      <w:widowControl w:val="0"/>
      <w:tabs>
        <w:tab w:val="left" w:pos="316"/>
        <w:tab w:val="left" w:pos="416"/>
        <w:tab w:val="left" w:pos="442"/>
        <w:tab w:val="left" w:pos="582"/>
      </w:tabs>
      <w:jc w:val="center"/>
    </w:pPr>
    <w:rPr>
      <w:rFonts w:eastAsia="Calibri"/>
      <w:b/>
      <w:sz w:val="20"/>
      <w:szCs w:val="20"/>
    </w:rPr>
  </w:style>
  <w:style w:type="paragraph" w:customStyle="1" w:styleId="Tablefooter0">
    <w:name w:val="Table footer"/>
    <w:basedOn w:val="Normal"/>
    <w:qFormat/>
    <w:rsid w:val="00414FD3"/>
    <w:rPr>
      <w:rFonts w:eastAsiaTheme="minorHAnsi" w:cstheme="minorBidi"/>
      <w:sz w:val="18"/>
      <w:szCs w:val="22"/>
      <w:lang w:eastAsia="en-US"/>
    </w:rPr>
  </w:style>
  <w:style w:type="paragraph" w:styleId="FootnoteText">
    <w:name w:val="footnote text"/>
    <w:basedOn w:val="Normal"/>
    <w:link w:val="FootnoteTextChar"/>
    <w:semiHidden/>
    <w:unhideWhenUsed/>
    <w:rsid w:val="00F36F5A"/>
    <w:rPr>
      <w:sz w:val="20"/>
      <w:szCs w:val="20"/>
    </w:rPr>
  </w:style>
  <w:style w:type="character" w:customStyle="1" w:styleId="FootnoteTextChar">
    <w:name w:val="Footnote Text Char"/>
    <w:basedOn w:val="DefaultParagraphFont"/>
    <w:link w:val="FootnoteText"/>
    <w:semiHidden/>
    <w:rsid w:val="00F36F5A"/>
    <w:rPr>
      <w:rFonts w:ascii="Calibri" w:hAnsi="Calibri" w:cs="Arial"/>
    </w:rPr>
  </w:style>
  <w:style w:type="character" w:styleId="FootnoteReference">
    <w:name w:val="footnote reference"/>
    <w:basedOn w:val="DefaultParagraphFont"/>
    <w:semiHidden/>
    <w:unhideWhenUsed/>
    <w:rsid w:val="00F36F5A"/>
    <w:rPr>
      <w:vertAlign w:val="superscript"/>
    </w:rPr>
  </w:style>
  <w:style w:type="character" w:styleId="UnresolvedMention">
    <w:name w:val="Unresolved Mention"/>
    <w:basedOn w:val="DefaultParagraphFont"/>
    <w:uiPriority w:val="99"/>
    <w:semiHidden/>
    <w:unhideWhenUsed/>
    <w:rsid w:val="00F36F5A"/>
    <w:rPr>
      <w:color w:val="605E5C"/>
      <w:shd w:val="clear" w:color="auto" w:fill="E1DFDD"/>
    </w:rPr>
  </w:style>
  <w:style w:type="character" w:styleId="PlaceholderText">
    <w:name w:val="Placeholder Text"/>
    <w:basedOn w:val="DefaultParagraphFont"/>
    <w:uiPriority w:val="99"/>
    <w:semiHidden/>
    <w:rsid w:val="00935EB5"/>
    <w:rPr>
      <w:color w:val="808080"/>
    </w:rPr>
  </w:style>
  <w:style w:type="paragraph" w:customStyle="1" w:styleId="Source">
    <w:name w:val="Source"/>
    <w:basedOn w:val="Normal"/>
    <w:link w:val="SourceChar"/>
    <w:qFormat/>
    <w:rsid w:val="00935EB5"/>
    <w:rPr>
      <w:rFonts w:asciiTheme="minorHAnsi" w:eastAsiaTheme="minorHAnsi" w:hAnsiTheme="minorHAnsi" w:cstheme="minorBidi"/>
      <w:sz w:val="18"/>
      <w:szCs w:val="18"/>
      <w:lang w:eastAsia="en-US"/>
    </w:rPr>
  </w:style>
  <w:style w:type="character" w:customStyle="1" w:styleId="SourceChar">
    <w:name w:val="Source Char"/>
    <w:basedOn w:val="DefaultParagraphFont"/>
    <w:link w:val="Source"/>
    <w:rsid w:val="00935EB5"/>
    <w:rPr>
      <w:rFonts w:asciiTheme="minorHAnsi" w:eastAsiaTheme="minorHAnsi" w:hAnsiTheme="minorHAnsi" w:cstheme="minorBidi"/>
      <w:sz w:val="18"/>
      <w:szCs w:val="18"/>
      <w:lang w:eastAsia="en-US"/>
    </w:rPr>
  </w:style>
  <w:style w:type="paragraph" w:customStyle="1" w:styleId="Tab1table">
    <w:name w:val="Tab1 table"/>
    <w:basedOn w:val="Normal"/>
    <w:rsid w:val="00935EB5"/>
    <w:pPr>
      <w:widowControl w:val="0"/>
      <w:tabs>
        <w:tab w:val="left" w:pos="416"/>
        <w:tab w:val="left" w:pos="582"/>
      </w:tabs>
      <w:ind w:left="283"/>
      <w:contextualSpacing/>
      <w:jc w:val="left"/>
    </w:pPr>
    <w:rPr>
      <w:rFonts w:cs="Times New Roman"/>
      <w:sz w:val="20"/>
      <w:szCs w:val="20"/>
    </w:rPr>
  </w:style>
  <w:style w:type="paragraph" w:customStyle="1" w:styleId="Tablecentre">
    <w:name w:val="Table centre"/>
    <w:basedOn w:val="Tabletext"/>
    <w:qFormat/>
    <w:rsid w:val="00935EB5"/>
    <w:pPr>
      <w:widowControl w:val="0"/>
      <w:jc w:val="center"/>
    </w:pPr>
    <w:rPr>
      <w:rFonts w:ascii="Calibri" w:eastAsia="Calibri" w:hAnsi="Calibri" w:cs="Arial"/>
      <w:snapToGrid/>
      <w:szCs w:val="20"/>
    </w:rPr>
  </w:style>
  <w:style w:type="paragraph" w:customStyle="1" w:styleId="Btable">
    <w:name w:val="B table"/>
    <w:basedOn w:val="Normal"/>
    <w:rsid w:val="00935EB5"/>
    <w:pPr>
      <w:widowControl w:val="0"/>
      <w:tabs>
        <w:tab w:val="left" w:pos="316"/>
        <w:tab w:val="left" w:pos="416"/>
        <w:tab w:val="left" w:pos="442"/>
        <w:tab w:val="left" w:pos="582"/>
      </w:tabs>
      <w:jc w:val="left"/>
    </w:pPr>
    <w:rPr>
      <w:rFonts w:eastAsia="Calibri"/>
      <w:b/>
      <w:sz w:val="20"/>
      <w:szCs w:val="20"/>
    </w:rPr>
  </w:style>
  <w:style w:type="character" w:customStyle="1" w:styleId="tr-noteoutcomecolor">
    <w:name w:val="tr-note_outcome_color"/>
    <w:basedOn w:val="DefaultParagraphFont"/>
    <w:rsid w:val="00935EB5"/>
  </w:style>
  <w:style w:type="table" w:customStyle="1" w:styleId="TableGrid17">
    <w:name w:val="Table Grid17"/>
    <w:basedOn w:val="TableNormal"/>
    <w:next w:val="TableGrid"/>
    <w:uiPriority w:val="59"/>
    <w:rsid w:val="00935E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935EB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table" w:customStyle="1" w:styleId="TableGrid8">
    <w:name w:val="Table Grid8"/>
    <w:basedOn w:val="TableNormal"/>
    <w:next w:val="TableGrid"/>
    <w:rsid w:val="00935EB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935EB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SyneviNormal">
    <w:name w:val="Synevi Normal"/>
    <w:basedOn w:val="Normal"/>
    <w:link w:val="SyneviNormalChar"/>
    <w:qFormat/>
    <w:rsid w:val="00C82A9F"/>
    <w:pPr>
      <w:spacing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C82A9F"/>
    <w:rPr>
      <w:rFonts w:asciiTheme="minorHAnsi" w:hAnsiTheme="minorHAnsi"/>
      <w:sz w:val="22"/>
      <w:lang w:val="en-US" w:eastAsia="en-US"/>
    </w:rPr>
  </w:style>
  <w:style w:type="paragraph" w:customStyle="1" w:styleId="Sources">
    <w:name w:val="Sources"/>
    <w:basedOn w:val="Normal"/>
    <w:qFormat/>
    <w:rsid w:val="00C82A9F"/>
    <w:rPr>
      <w:rFonts w:eastAsiaTheme="minorHAnsi" w:cstheme="minorBidi"/>
      <w:sz w:val="18"/>
      <w:szCs w:val="22"/>
      <w:lang w:eastAsia="en-US"/>
    </w:rPr>
  </w:style>
  <w:style w:type="table" w:styleId="TableWeb2">
    <w:name w:val="Table Web 2"/>
    <w:basedOn w:val="TableNormal"/>
    <w:rsid w:val="00C82A9F"/>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2A9F"/>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82A9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4B3318"/>
    <w:pPr>
      <w:autoSpaceDE w:val="0"/>
      <w:autoSpaceDN w:val="0"/>
      <w:adjustRightInd w:val="0"/>
    </w:pPr>
    <w:rPr>
      <w:rFonts w:ascii="Cambria" w:hAnsi="Cambria" w:cs="Cambria"/>
      <w:color w:val="000000"/>
      <w:sz w:val="24"/>
      <w:szCs w:val="24"/>
    </w:rPr>
  </w:style>
  <w:style w:type="paragraph" w:customStyle="1" w:styleId="Btabletext">
    <w:name w:val="B table text"/>
    <w:basedOn w:val="Tabletext"/>
    <w:next w:val="Tabletext"/>
    <w:qFormat/>
    <w:rsid w:val="00201406"/>
    <w:pPr>
      <w:tabs>
        <w:tab w:val="left" w:pos="416"/>
        <w:tab w:val="left" w:pos="582"/>
      </w:tabs>
      <w:contextualSpacing/>
      <w:jc w:val="both"/>
    </w:pPr>
    <w:rPr>
      <w:rFonts w:asciiTheme="minorHAnsi" w:eastAsia="Calibri" w:hAnsiTheme="minorHAnsi"/>
      <w:b/>
      <w:bCs/>
      <w:snapToGrid/>
      <w:szCs w:val="20"/>
      <w:lang w:eastAsia="en-US"/>
    </w:rPr>
  </w:style>
  <w:style w:type="table" w:customStyle="1" w:styleId="AZTable">
    <w:name w:val="AZ Table"/>
    <w:basedOn w:val="TableNormal"/>
    <w:uiPriority w:val="99"/>
    <w:rsid w:val="00201406"/>
    <w:rPr>
      <w:rFonts w:ascii="Calibri" w:eastAsiaTheme="minorHAns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3-SubsectionHeading">
    <w:name w:val="3-Subsection Heading"/>
    <w:basedOn w:val="Heading2"/>
    <w:next w:val="Normal"/>
    <w:link w:val="3-SubsectionHeadingChar"/>
    <w:qFormat/>
    <w:rsid w:val="000764C2"/>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0764C2"/>
    <w:rPr>
      <w:rFonts w:asciiTheme="minorHAnsi" w:eastAsiaTheme="majorEastAsia" w:hAnsiTheme="minorHAnsi" w:cstheme="majorBidi"/>
      <w:b/>
      <w:i/>
      <w:snapToGrid/>
      <w:spacing w:val="5"/>
      <w:kern w:val="28"/>
      <w:sz w:val="28"/>
      <w:szCs w:val="36"/>
      <w:lang w:eastAsia="en-US"/>
    </w:rPr>
  </w:style>
  <w:style w:type="paragraph" w:customStyle="1" w:styleId="paragraph">
    <w:name w:val="paragraph"/>
    <w:basedOn w:val="Normal"/>
    <w:rsid w:val="00E74A47"/>
    <w:pPr>
      <w:spacing w:before="100" w:beforeAutospacing="1" w:after="100" w:afterAutospacing="1"/>
      <w:jc w:val="left"/>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540">
      <w:bodyDiv w:val="1"/>
      <w:marLeft w:val="0"/>
      <w:marRight w:val="0"/>
      <w:marTop w:val="0"/>
      <w:marBottom w:val="0"/>
      <w:divBdr>
        <w:top w:val="none" w:sz="0" w:space="0" w:color="auto"/>
        <w:left w:val="none" w:sz="0" w:space="0" w:color="auto"/>
        <w:bottom w:val="none" w:sz="0" w:space="0" w:color="auto"/>
        <w:right w:val="none" w:sz="0" w:space="0" w:color="auto"/>
      </w:divBdr>
    </w:div>
    <w:div w:id="18045868">
      <w:bodyDiv w:val="1"/>
      <w:marLeft w:val="0"/>
      <w:marRight w:val="0"/>
      <w:marTop w:val="0"/>
      <w:marBottom w:val="0"/>
      <w:divBdr>
        <w:top w:val="none" w:sz="0" w:space="0" w:color="auto"/>
        <w:left w:val="none" w:sz="0" w:space="0" w:color="auto"/>
        <w:bottom w:val="none" w:sz="0" w:space="0" w:color="auto"/>
        <w:right w:val="none" w:sz="0" w:space="0" w:color="auto"/>
      </w:divBdr>
    </w:div>
    <w:div w:id="27340032">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5964851">
      <w:bodyDiv w:val="1"/>
      <w:marLeft w:val="0"/>
      <w:marRight w:val="0"/>
      <w:marTop w:val="0"/>
      <w:marBottom w:val="0"/>
      <w:divBdr>
        <w:top w:val="none" w:sz="0" w:space="0" w:color="auto"/>
        <w:left w:val="none" w:sz="0" w:space="0" w:color="auto"/>
        <w:bottom w:val="none" w:sz="0" w:space="0" w:color="auto"/>
        <w:right w:val="none" w:sz="0" w:space="0" w:color="auto"/>
      </w:divBdr>
    </w:div>
    <w:div w:id="355889021">
      <w:bodyDiv w:val="1"/>
      <w:marLeft w:val="0"/>
      <w:marRight w:val="0"/>
      <w:marTop w:val="0"/>
      <w:marBottom w:val="0"/>
      <w:divBdr>
        <w:top w:val="none" w:sz="0" w:space="0" w:color="auto"/>
        <w:left w:val="none" w:sz="0" w:space="0" w:color="auto"/>
        <w:bottom w:val="none" w:sz="0" w:space="0" w:color="auto"/>
        <w:right w:val="none" w:sz="0" w:space="0" w:color="auto"/>
      </w:divBdr>
    </w:div>
    <w:div w:id="565847661">
      <w:bodyDiv w:val="1"/>
      <w:marLeft w:val="0"/>
      <w:marRight w:val="0"/>
      <w:marTop w:val="0"/>
      <w:marBottom w:val="0"/>
      <w:divBdr>
        <w:top w:val="none" w:sz="0" w:space="0" w:color="auto"/>
        <w:left w:val="none" w:sz="0" w:space="0" w:color="auto"/>
        <w:bottom w:val="none" w:sz="0" w:space="0" w:color="auto"/>
        <w:right w:val="none" w:sz="0" w:space="0" w:color="auto"/>
      </w:divBdr>
    </w:div>
    <w:div w:id="665743726">
      <w:bodyDiv w:val="1"/>
      <w:marLeft w:val="0"/>
      <w:marRight w:val="0"/>
      <w:marTop w:val="0"/>
      <w:marBottom w:val="0"/>
      <w:divBdr>
        <w:top w:val="none" w:sz="0" w:space="0" w:color="auto"/>
        <w:left w:val="none" w:sz="0" w:space="0" w:color="auto"/>
        <w:bottom w:val="none" w:sz="0" w:space="0" w:color="auto"/>
        <w:right w:val="none" w:sz="0" w:space="0" w:color="auto"/>
      </w:divBdr>
    </w:div>
    <w:div w:id="695423642">
      <w:bodyDiv w:val="1"/>
      <w:marLeft w:val="0"/>
      <w:marRight w:val="0"/>
      <w:marTop w:val="0"/>
      <w:marBottom w:val="0"/>
      <w:divBdr>
        <w:top w:val="none" w:sz="0" w:space="0" w:color="auto"/>
        <w:left w:val="none" w:sz="0" w:space="0" w:color="auto"/>
        <w:bottom w:val="none" w:sz="0" w:space="0" w:color="auto"/>
        <w:right w:val="none" w:sz="0" w:space="0" w:color="auto"/>
      </w:divBdr>
    </w:div>
    <w:div w:id="718821307">
      <w:bodyDiv w:val="1"/>
      <w:marLeft w:val="0"/>
      <w:marRight w:val="0"/>
      <w:marTop w:val="0"/>
      <w:marBottom w:val="0"/>
      <w:divBdr>
        <w:top w:val="none" w:sz="0" w:space="0" w:color="auto"/>
        <w:left w:val="none" w:sz="0" w:space="0" w:color="auto"/>
        <w:bottom w:val="none" w:sz="0" w:space="0" w:color="auto"/>
        <w:right w:val="none" w:sz="0" w:space="0" w:color="auto"/>
      </w:divBdr>
    </w:div>
    <w:div w:id="790903485">
      <w:bodyDiv w:val="1"/>
      <w:marLeft w:val="0"/>
      <w:marRight w:val="0"/>
      <w:marTop w:val="0"/>
      <w:marBottom w:val="0"/>
      <w:divBdr>
        <w:top w:val="none" w:sz="0" w:space="0" w:color="auto"/>
        <w:left w:val="none" w:sz="0" w:space="0" w:color="auto"/>
        <w:bottom w:val="none" w:sz="0" w:space="0" w:color="auto"/>
        <w:right w:val="none" w:sz="0" w:space="0" w:color="auto"/>
      </w:divBdr>
    </w:div>
    <w:div w:id="854804486">
      <w:bodyDiv w:val="1"/>
      <w:marLeft w:val="0"/>
      <w:marRight w:val="0"/>
      <w:marTop w:val="0"/>
      <w:marBottom w:val="0"/>
      <w:divBdr>
        <w:top w:val="none" w:sz="0" w:space="0" w:color="auto"/>
        <w:left w:val="none" w:sz="0" w:space="0" w:color="auto"/>
        <w:bottom w:val="none" w:sz="0" w:space="0" w:color="auto"/>
        <w:right w:val="none" w:sz="0" w:space="0" w:color="auto"/>
      </w:divBdr>
    </w:div>
    <w:div w:id="970283807">
      <w:bodyDiv w:val="1"/>
      <w:marLeft w:val="0"/>
      <w:marRight w:val="0"/>
      <w:marTop w:val="0"/>
      <w:marBottom w:val="0"/>
      <w:divBdr>
        <w:top w:val="none" w:sz="0" w:space="0" w:color="auto"/>
        <w:left w:val="none" w:sz="0" w:space="0" w:color="auto"/>
        <w:bottom w:val="none" w:sz="0" w:space="0" w:color="auto"/>
        <w:right w:val="none" w:sz="0" w:space="0" w:color="auto"/>
      </w:divBdr>
    </w:div>
    <w:div w:id="971594337">
      <w:bodyDiv w:val="1"/>
      <w:marLeft w:val="0"/>
      <w:marRight w:val="0"/>
      <w:marTop w:val="0"/>
      <w:marBottom w:val="0"/>
      <w:divBdr>
        <w:top w:val="none" w:sz="0" w:space="0" w:color="auto"/>
        <w:left w:val="none" w:sz="0" w:space="0" w:color="auto"/>
        <w:bottom w:val="none" w:sz="0" w:space="0" w:color="auto"/>
        <w:right w:val="none" w:sz="0" w:space="0" w:color="auto"/>
      </w:divBdr>
    </w:div>
    <w:div w:id="983582854">
      <w:bodyDiv w:val="1"/>
      <w:marLeft w:val="0"/>
      <w:marRight w:val="0"/>
      <w:marTop w:val="0"/>
      <w:marBottom w:val="0"/>
      <w:divBdr>
        <w:top w:val="none" w:sz="0" w:space="0" w:color="auto"/>
        <w:left w:val="none" w:sz="0" w:space="0" w:color="auto"/>
        <w:bottom w:val="none" w:sz="0" w:space="0" w:color="auto"/>
        <w:right w:val="none" w:sz="0" w:space="0" w:color="auto"/>
      </w:divBdr>
    </w:div>
    <w:div w:id="987898611">
      <w:bodyDiv w:val="1"/>
      <w:marLeft w:val="0"/>
      <w:marRight w:val="0"/>
      <w:marTop w:val="0"/>
      <w:marBottom w:val="0"/>
      <w:divBdr>
        <w:top w:val="none" w:sz="0" w:space="0" w:color="auto"/>
        <w:left w:val="none" w:sz="0" w:space="0" w:color="auto"/>
        <w:bottom w:val="none" w:sz="0" w:space="0" w:color="auto"/>
        <w:right w:val="none" w:sz="0" w:space="0" w:color="auto"/>
      </w:divBdr>
    </w:div>
    <w:div w:id="1060790145">
      <w:bodyDiv w:val="1"/>
      <w:marLeft w:val="0"/>
      <w:marRight w:val="0"/>
      <w:marTop w:val="0"/>
      <w:marBottom w:val="0"/>
      <w:divBdr>
        <w:top w:val="none" w:sz="0" w:space="0" w:color="auto"/>
        <w:left w:val="none" w:sz="0" w:space="0" w:color="auto"/>
        <w:bottom w:val="none" w:sz="0" w:space="0" w:color="auto"/>
        <w:right w:val="none" w:sz="0" w:space="0" w:color="auto"/>
      </w:divBdr>
    </w:div>
    <w:div w:id="1061557112">
      <w:bodyDiv w:val="1"/>
      <w:marLeft w:val="0"/>
      <w:marRight w:val="0"/>
      <w:marTop w:val="0"/>
      <w:marBottom w:val="0"/>
      <w:divBdr>
        <w:top w:val="none" w:sz="0" w:space="0" w:color="auto"/>
        <w:left w:val="none" w:sz="0" w:space="0" w:color="auto"/>
        <w:bottom w:val="none" w:sz="0" w:space="0" w:color="auto"/>
        <w:right w:val="none" w:sz="0" w:space="0" w:color="auto"/>
      </w:divBdr>
    </w:div>
    <w:div w:id="111197715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3116">
      <w:bodyDiv w:val="1"/>
      <w:marLeft w:val="0"/>
      <w:marRight w:val="0"/>
      <w:marTop w:val="0"/>
      <w:marBottom w:val="0"/>
      <w:divBdr>
        <w:top w:val="none" w:sz="0" w:space="0" w:color="auto"/>
        <w:left w:val="none" w:sz="0" w:space="0" w:color="auto"/>
        <w:bottom w:val="none" w:sz="0" w:space="0" w:color="auto"/>
        <w:right w:val="none" w:sz="0" w:space="0" w:color="auto"/>
      </w:divBdr>
      <w:divsChild>
        <w:div w:id="416443935">
          <w:marLeft w:val="1080"/>
          <w:marRight w:val="0"/>
          <w:marTop w:val="100"/>
          <w:marBottom w:val="0"/>
          <w:divBdr>
            <w:top w:val="none" w:sz="0" w:space="0" w:color="auto"/>
            <w:left w:val="none" w:sz="0" w:space="0" w:color="auto"/>
            <w:bottom w:val="none" w:sz="0" w:space="0" w:color="auto"/>
            <w:right w:val="none" w:sz="0" w:space="0" w:color="auto"/>
          </w:divBdr>
        </w:div>
        <w:div w:id="1432432909">
          <w:marLeft w:val="1080"/>
          <w:marRight w:val="0"/>
          <w:marTop w:val="100"/>
          <w:marBottom w:val="0"/>
          <w:divBdr>
            <w:top w:val="none" w:sz="0" w:space="0" w:color="auto"/>
            <w:left w:val="none" w:sz="0" w:space="0" w:color="auto"/>
            <w:bottom w:val="none" w:sz="0" w:space="0" w:color="auto"/>
            <w:right w:val="none" w:sz="0" w:space="0" w:color="auto"/>
          </w:divBdr>
        </w:div>
      </w:divsChild>
    </w:div>
    <w:div w:id="1271015545">
      <w:bodyDiv w:val="1"/>
      <w:marLeft w:val="0"/>
      <w:marRight w:val="0"/>
      <w:marTop w:val="0"/>
      <w:marBottom w:val="0"/>
      <w:divBdr>
        <w:top w:val="none" w:sz="0" w:space="0" w:color="auto"/>
        <w:left w:val="none" w:sz="0" w:space="0" w:color="auto"/>
        <w:bottom w:val="none" w:sz="0" w:space="0" w:color="auto"/>
        <w:right w:val="none" w:sz="0" w:space="0" w:color="auto"/>
      </w:divBdr>
    </w:div>
    <w:div w:id="1321693216">
      <w:bodyDiv w:val="1"/>
      <w:marLeft w:val="0"/>
      <w:marRight w:val="0"/>
      <w:marTop w:val="0"/>
      <w:marBottom w:val="0"/>
      <w:divBdr>
        <w:top w:val="none" w:sz="0" w:space="0" w:color="auto"/>
        <w:left w:val="none" w:sz="0" w:space="0" w:color="auto"/>
        <w:bottom w:val="none" w:sz="0" w:space="0" w:color="auto"/>
        <w:right w:val="none" w:sz="0" w:space="0" w:color="auto"/>
      </w:divBdr>
    </w:div>
    <w:div w:id="1536307590">
      <w:bodyDiv w:val="1"/>
      <w:marLeft w:val="0"/>
      <w:marRight w:val="0"/>
      <w:marTop w:val="0"/>
      <w:marBottom w:val="0"/>
      <w:divBdr>
        <w:top w:val="none" w:sz="0" w:space="0" w:color="auto"/>
        <w:left w:val="none" w:sz="0" w:space="0" w:color="auto"/>
        <w:bottom w:val="none" w:sz="0" w:space="0" w:color="auto"/>
        <w:right w:val="none" w:sz="0" w:space="0" w:color="auto"/>
      </w:divBdr>
    </w:div>
    <w:div w:id="1678342644">
      <w:bodyDiv w:val="1"/>
      <w:marLeft w:val="0"/>
      <w:marRight w:val="0"/>
      <w:marTop w:val="0"/>
      <w:marBottom w:val="0"/>
      <w:divBdr>
        <w:top w:val="none" w:sz="0" w:space="0" w:color="auto"/>
        <w:left w:val="none" w:sz="0" w:space="0" w:color="auto"/>
        <w:bottom w:val="none" w:sz="0" w:space="0" w:color="auto"/>
        <w:right w:val="none" w:sz="0" w:space="0" w:color="auto"/>
      </w:divBdr>
    </w:div>
    <w:div w:id="1847287700">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0794596">
      <w:bodyDiv w:val="1"/>
      <w:marLeft w:val="0"/>
      <w:marRight w:val="0"/>
      <w:marTop w:val="0"/>
      <w:marBottom w:val="0"/>
      <w:divBdr>
        <w:top w:val="none" w:sz="0" w:space="0" w:color="auto"/>
        <w:left w:val="none" w:sz="0" w:space="0" w:color="auto"/>
        <w:bottom w:val="none" w:sz="0" w:space="0" w:color="auto"/>
        <w:right w:val="none" w:sz="0" w:space="0" w:color="auto"/>
      </w:divBdr>
    </w:div>
    <w:div w:id="2049331250">
      <w:bodyDiv w:val="1"/>
      <w:marLeft w:val="0"/>
      <w:marRight w:val="0"/>
      <w:marTop w:val="0"/>
      <w:marBottom w:val="0"/>
      <w:divBdr>
        <w:top w:val="none" w:sz="0" w:space="0" w:color="auto"/>
        <w:left w:val="none" w:sz="0" w:space="0" w:color="auto"/>
        <w:bottom w:val="none" w:sz="0" w:space="0" w:color="auto"/>
        <w:right w:val="none" w:sz="0" w:space="0" w:color="auto"/>
      </w:divBdr>
    </w:div>
    <w:div w:id="2073262761">
      <w:bodyDiv w:val="1"/>
      <w:marLeft w:val="0"/>
      <w:marRight w:val="0"/>
      <w:marTop w:val="0"/>
      <w:marBottom w:val="0"/>
      <w:divBdr>
        <w:top w:val="none" w:sz="0" w:space="0" w:color="auto"/>
        <w:left w:val="none" w:sz="0" w:space="0" w:color="auto"/>
        <w:bottom w:val="none" w:sz="0" w:space="0" w:color="auto"/>
        <w:right w:val="none" w:sz="0" w:space="0" w:color="auto"/>
      </w:divBdr>
    </w:div>
    <w:div w:id="2086873853">
      <w:bodyDiv w:val="1"/>
      <w:marLeft w:val="0"/>
      <w:marRight w:val="0"/>
      <w:marTop w:val="0"/>
      <w:marBottom w:val="0"/>
      <w:divBdr>
        <w:top w:val="none" w:sz="0" w:space="0" w:color="auto"/>
        <w:left w:val="none" w:sz="0" w:space="0" w:color="auto"/>
        <w:bottom w:val="none" w:sz="0" w:space="0" w:color="auto"/>
        <w:right w:val="none" w:sz="0" w:space="0" w:color="auto"/>
      </w:divBdr>
    </w:div>
    <w:div w:id="2112891376">
      <w:bodyDiv w:val="1"/>
      <w:marLeft w:val="0"/>
      <w:marRight w:val="0"/>
      <w:marTop w:val="0"/>
      <w:marBottom w:val="0"/>
      <w:divBdr>
        <w:top w:val="none" w:sz="0" w:space="0" w:color="auto"/>
        <w:left w:val="none" w:sz="0" w:space="0" w:color="auto"/>
        <w:bottom w:val="none" w:sz="0" w:space="0" w:color="auto"/>
        <w:right w:val="none" w:sz="0" w:space="0" w:color="auto"/>
      </w:divBdr>
    </w:div>
    <w:div w:id="2126582181">
      <w:bodyDiv w:val="1"/>
      <w:marLeft w:val="0"/>
      <w:marRight w:val="0"/>
      <w:marTop w:val="0"/>
      <w:marBottom w:val="0"/>
      <w:divBdr>
        <w:top w:val="none" w:sz="0" w:space="0" w:color="auto"/>
        <w:left w:val="none" w:sz="0" w:space="0" w:color="auto"/>
        <w:bottom w:val="none" w:sz="0" w:space="0" w:color="auto"/>
        <w:right w:val="none" w:sz="0" w:space="0" w:color="auto"/>
      </w:divBdr>
    </w:div>
    <w:div w:id="214415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3834-B124-42AB-B831-752AB4C97B7B}">
  <ds:schemaRefs>
    <ds:schemaRef ds:uri="http://schemas.openxmlformats.org/officeDocument/2006/bibliography"/>
  </ds:schemaRefs>
</ds:datastoreItem>
</file>

<file path=docMetadata/LabelInfo.xml><?xml version="1.0" encoding="utf-8"?>
<clbl:labelList xmlns:clbl="http://schemas.microsoft.com/office/2020/mipLabelMetadata">
  <clbl:label id="{cfb47f1f-2c8f-4e85-a121-5f8dcdaeecec}" enabled="1" method="Privileged" siteId="{30615e74-f8fc-4c90-9bc8-cee5666a8b8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17804</Words>
  <Characters>101485</Characters>
  <Application>Microsoft Office Word</Application>
  <DocSecurity>0</DocSecurity>
  <Lines>845</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2022-10-24T01:10:00Z</dcterms:created>
  <dcterms:modified xsi:type="dcterms:W3CDTF">2022-10-24T01:10:00Z</dcterms:modified>
</cp:coreProperties>
</file>