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4E505" w14:textId="15BE56C8" w:rsidR="00E84CAF" w:rsidRPr="00E050AF" w:rsidRDefault="00E84CAF" w:rsidP="00317B24">
      <w:pPr>
        <w:pStyle w:val="OutlineHeading1"/>
        <w:tabs>
          <w:tab w:val="left" w:pos="993"/>
        </w:tabs>
        <w:spacing w:before="0" w:after="0" w:line="240" w:lineRule="auto"/>
        <w:rPr>
          <w:rFonts w:cstheme="minorHAnsi"/>
          <w:sz w:val="36"/>
          <w:szCs w:val="36"/>
        </w:rPr>
      </w:pPr>
      <w:bookmarkStart w:id="0" w:name="_Toc22897637"/>
      <w:bookmarkStart w:id="1" w:name="_Toc22898843"/>
      <w:r w:rsidRPr="00E050AF">
        <w:rPr>
          <w:rFonts w:cstheme="minorHAnsi"/>
          <w:sz w:val="36"/>
          <w:szCs w:val="36"/>
        </w:rPr>
        <w:t>6.07</w:t>
      </w:r>
      <w:r w:rsidR="00317B24" w:rsidRPr="00E050AF">
        <w:rPr>
          <w:rFonts w:cstheme="minorHAnsi"/>
          <w:sz w:val="36"/>
          <w:szCs w:val="36"/>
        </w:rPr>
        <w:tab/>
      </w:r>
      <w:r w:rsidRPr="00E050AF">
        <w:rPr>
          <w:rFonts w:cstheme="minorHAnsi"/>
          <w:sz w:val="36"/>
          <w:szCs w:val="36"/>
        </w:rPr>
        <w:t>OLAPARIB</w:t>
      </w:r>
    </w:p>
    <w:p w14:paraId="5FAA6464" w14:textId="629C68A5" w:rsidR="00E84CAF" w:rsidRPr="00E050AF" w:rsidRDefault="00E84CAF" w:rsidP="00317B24">
      <w:pPr>
        <w:pStyle w:val="OutlineHeading1"/>
        <w:spacing w:before="0" w:after="0" w:line="240" w:lineRule="auto"/>
        <w:ind w:left="993"/>
        <w:rPr>
          <w:rFonts w:cstheme="minorHAnsi"/>
          <w:sz w:val="36"/>
          <w:szCs w:val="36"/>
        </w:rPr>
      </w:pPr>
      <w:r w:rsidRPr="00E050AF">
        <w:rPr>
          <w:rFonts w:cstheme="minorHAnsi"/>
          <w:sz w:val="36"/>
          <w:szCs w:val="36"/>
        </w:rPr>
        <w:t>Tablet 100</w:t>
      </w:r>
      <w:r w:rsidR="0082557D" w:rsidRPr="00E050AF">
        <w:rPr>
          <w:rFonts w:cstheme="minorHAnsi"/>
          <w:sz w:val="36"/>
          <w:szCs w:val="36"/>
        </w:rPr>
        <w:t> </w:t>
      </w:r>
      <w:r w:rsidRPr="00E050AF">
        <w:rPr>
          <w:rFonts w:cstheme="minorHAnsi"/>
          <w:sz w:val="36"/>
          <w:szCs w:val="36"/>
        </w:rPr>
        <w:t>mg, Tablet 150</w:t>
      </w:r>
      <w:r w:rsidR="0082557D" w:rsidRPr="00E050AF">
        <w:rPr>
          <w:rFonts w:cstheme="minorHAnsi"/>
          <w:sz w:val="36"/>
          <w:szCs w:val="36"/>
        </w:rPr>
        <w:t> </w:t>
      </w:r>
      <w:r w:rsidRPr="00E050AF">
        <w:rPr>
          <w:rFonts w:cstheme="minorHAnsi"/>
          <w:sz w:val="36"/>
          <w:szCs w:val="36"/>
        </w:rPr>
        <w:t>mg</w:t>
      </w:r>
    </w:p>
    <w:p w14:paraId="331AB058" w14:textId="26C5A687" w:rsidR="00AB0726" w:rsidRPr="00E050AF" w:rsidDel="00971E91" w:rsidRDefault="00E84CAF" w:rsidP="00317B24">
      <w:pPr>
        <w:pStyle w:val="OutlineHeading1"/>
        <w:spacing w:before="0" w:after="0" w:line="240" w:lineRule="auto"/>
        <w:ind w:left="273" w:firstLine="720"/>
        <w:rPr>
          <w:rFonts w:cstheme="minorHAnsi"/>
          <w:sz w:val="36"/>
          <w:szCs w:val="36"/>
        </w:rPr>
      </w:pPr>
      <w:r w:rsidRPr="00E050AF" w:rsidDel="00971E91">
        <w:rPr>
          <w:rFonts w:cstheme="minorHAnsi"/>
          <w:sz w:val="36"/>
          <w:szCs w:val="36"/>
        </w:rPr>
        <w:t>Lynparza®</w:t>
      </w:r>
    </w:p>
    <w:p w14:paraId="151194F4" w14:textId="5FFF1085" w:rsidR="00E84CAF" w:rsidRPr="00E050AF" w:rsidRDefault="00E84CAF" w:rsidP="00317B24">
      <w:pPr>
        <w:pStyle w:val="OutlineHeading1"/>
        <w:spacing w:before="0" w:after="0" w:line="240" w:lineRule="auto"/>
        <w:ind w:left="273" w:firstLine="720"/>
        <w:rPr>
          <w:rFonts w:cstheme="minorHAnsi"/>
          <w:sz w:val="36"/>
          <w:szCs w:val="36"/>
        </w:rPr>
      </w:pPr>
      <w:r w:rsidRPr="00E050AF">
        <w:rPr>
          <w:rFonts w:cstheme="minorHAnsi"/>
          <w:sz w:val="36"/>
          <w:szCs w:val="36"/>
        </w:rPr>
        <w:t>AstraZeneca Pty Ltd</w:t>
      </w:r>
    </w:p>
    <w:p w14:paraId="04F360E8" w14:textId="77777777" w:rsidR="00F17982" w:rsidRPr="00E050AF" w:rsidRDefault="00F17982" w:rsidP="0050432A">
      <w:pPr>
        <w:pStyle w:val="3-BodyText"/>
        <w:spacing w:after="0"/>
      </w:pPr>
      <w:bookmarkStart w:id="2" w:name="_Hlk106274743"/>
      <w:bookmarkStart w:id="3" w:name="_Toc492317071"/>
      <w:bookmarkEnd w:id="0"/>
      <w:bookmarkEnd w:id="1"/>
      <w:bookmarkEnd w:id="2"/>
    </w:p>
    <w:p w14:paraId="6B1070E8" w14:textId="3BA49AE6" w:rsidR="00AB43EA" w:rsidRPr="00E050AF" w:rsidRDefault="00AB43EA" w:rsidP="003C7731">
      <w:pPr>
        <w:pStyle w:val="PBACESHeading1"/>
        <w:numPr>
          <w:ilvl w:val="0"/>
          <w:numId w:val="25"/>
        </w:numPr>
      </w:pPr>
      <w:bookmarkStart w:id="4" w:name="_Toc413139271"/>
      <w:bookmarkStart w:id="5" w:name="_Toc100693614"/>
      <w:bookmarkStart w:id="6" w:name="_Toc103581566"/>
      <w:bookmarkStart w:id="7" w:name="_Toc103775854"/>
      <w:bookmarkEnd w:id="3"/>
      <w:r w:rsidRPr="00E050AF">
        <w:t>Purpose of submission</w:t>
      </w:r>
      <w:bookmarkEnd w:id="4"/>
      <w:bookmarkEnd w:id="5"/>
      <w:bookmarkEnd w:id="6"/>
      <w:bookmarkEnd w:id="7"/>
    </w:p>
    <w:p w14:paraId="70C85C21" w14:textId="1386A857" w:rsidR="00AB43EA" w:rsidRPr="00E050AF" w:rsidRDefault="00793774" w:rsidP="009D3CDF">
      <w:pPr>
        <w:pStyle w:val="ListParagraph"/>
        <w:numPr>
          <w:ilvl w:val="4"/>
          <w:numId w:val="8"/>
        </w:numPr>
        <w:rPr>
          <w:color w:val="auto"/>
        </w:rPr>
      </w:pPr>
      <w:r w:rsidRPr="00E050AF">
        <w:t xml:space="preserve">A </w:t>
      </w:r>
      <w:r w:rsidR="00AB43EA" w:rsidRPr="00E050AF">
        <w:t>Category 1 integrated codependent submission request</w:t>
      </w:r>
      <w:r w:rsidRPr="00E050AF">
        <w:t>ing</w:t>
      </w:r>
      <w:r w:rsidR="00AB43EA" w:rsidRPr="00E050AF">
        <w:t xml:space="preserve"> MBS listing of homologous recombination deficiency (HRD) testing and General Schedule Authority</w:t>
      </w:r>
      <w:r w:rsidRPr="00E050AF">
        <w:t xml:space="preserve"> </w:t>
      </w:r>
      <w:r w:rsidR="00AB43EA" w:rsidRPr="00E050AF">
        <w:t xml:space="preserve">PBS listing of olaparib for use in combination with bevacizumab </w:t>
      </w:r>
      <w:r w:rsidR="00AB43EA" w:rsidRPr="00E050AF">
        <w:rPr>
          <w:color w:val="auto"/>
        </w:rPr>
        <w:t xml:space="preserve">for maintenance therapy in patients with newly diagnosed advanced epithelial ovarian, fallopian tube or primary peritoneal cancer that is both HRD positive </w:t>
      </w:r>
      <w:r w:rsidR="00022B43" w:rsidRPr="00E050AF">
        <w:rPr>
          <w:rFonts w:cstheme="minorHAnsi"/>
          <w:szCs w:val="24"/>
        </w:rPr>
        <w:t>and breast cancer gene (</w:t>
      </w:r>
      <w:r w:rsidR="00CF529A" w:rsidRPr="00E050AF">
        <w:rPr>
          <w:i/>
          <w:iCs/>
          <w:color w:val="auto"/>
        </w:rPr>
        <w:t>BRCA</w:t>
      </w:r>
      <w:r w:rsidR="00022B43" w:rsidRPr="00E050AF">
        <w:rPr>
          <w:color w:val="auto"/>
        </w:rPr>
        <w:t>) wild type (</w:t>
      </w:r>
      <w:r w:rsidR="00AB43EA" w:rsidRPr="00E050AF">
        <w:rPr>
          <w:color w:val="auto"/>
        </w:rPr>
        <w:t>w</w:t>
      </w:r>
      <w:r w:rsidR="00022B43" w:rsidRPr="00E050AF">
        <w:rPr>
          <w:color w:val="auto"/>
        </w:rPr>
        <w:t>t)</w:t>
      </w:r>
      <w:r w:rsidR="00AB43EA" w:rsidRPr="00E050AF">
        <w:rPr>
          <w:color w:val="auto"/>
        </w:rPr>
        <w:t>.</w:t>
      </w:r>
      <w:r w:rsidR="00022B43" w:rsidRPr="00E050AF">
        <w:rPr>
          <w:color w:val="auto"/>
        </w:rPr>
        <w:t xml:space="preserve"> Population referred to as HRD positive </w:t>
      </w:r>
      <w:r w:rsidR="00CF529A" w:rsidRPr="00E050AF">
        <w:rPr>
          <w:i/>
          <w:iCs/>
          <w:color w:val="auto"/>
        </w:rPr>
        <w:t>BRCA</w:t>
      </w:r>
      <w:r w:rsidR="00022B43" w:rsidRPr="00E050AF">
        <w:rPr>
          <w:color w:val="auto"/>
        </w:rPr>
        <w:t>wt herein.</w:t>
      </w:r>
    </w:p>
    <w:p w14:paraId="48648A69" w14:textId="4AE4FEDE" w:rsidR="00F12971" w:rsidRPr="00E050AF" w:rsidRDefault="00AB43EA" w:rsidP="009D3CDF">
      <w:pPr>
        <w:pStyle w:val="ListParagraph"/>
        <w:numPr>
          <w:ilvl w:val="4"/>
          <w:numId w:val="8"/>
        </w:numPr>
        <w:rPr>
          <w:color w:val="auto"/>
        </w:rPr>
      </w:pPr>
      <w:r w:rsidRPr="00E050AF">
        <w:rPr>
          <w:color w:val="auto"/>
        </w:rPr>
        <w:t xml:space="preserve">Listing was requested on the basis of a cost-effectiveness analysis </w:t>
      </w:r>
      <w:r w:rsidRPr="00E050AF">
        <w:t>versus placebo plus bevacizumab. Watch and wait (i.e. placebo) was presented as a supplementary comparator, comprising 10% of the base case scenario</w:t>
      </w:r>
      <w:r w:rsidRPr="00E050AF">
        <w:rPr>
          <w:color w:val="auto"/>
        </w:rPr>
        <w:t>.</w:t>
      </w:r>
    </w:p>
    <w:p w14:paraId="365CDF96" w14:textId="0AACFE9B" w:rsidR="00AB43EA" w:rsidRPr="00E050AF" w:rsidRDefault="00573AD3" w:rsidP="00A354B6">
      <w:pPr>
        <w:pStyle w:val="TableBodyHeading-H54"/>
        <w:rPr>
          <w:lang w:val="en-AU"/>
        </w:rPr>
      </w:pPr>
      <w:r w:rsidRPr="00E050AF">
        <w:rPr>
          <w:rStyle w:val="CommentReference"/>
          <w:b/>
          <w:szCs w:val="20"/>
          <w:lang w:val="en-AU"/>
        </w:rPr>
        <w:lastRenderedPageBreak/>
        <w:t xml:space="preserve">Table </w:t>
      </w:r>
      <w:r w:rsidRPr="00E050AF">
        <w:rPr>
          <w:rStyle w:val="CommentReference"/>
          <w:b/>
          <w:szCs w:val="20"/>
          <w:lang w:val="en-AU"/>
        </w:rPr>
        <w:fldChar w:fldCharType="begin"/>
      </w:r>
      <w:r w:rsidRPr="00E050AF">
        <w:rPr>
          <w:rStyle w:val="CommentReference"/>
          <w:b/>
          <w:szCs w:val="20"/>
          <w:lang w:val="en-AU"/>
        </w:rPr>
        <w:instrText xml:space="preserve"> SEQ Table \* ARABIC </w:instrText>
      </w:r>
      <w:r w:rsidRPr="00E050AF">
        <w:rPr>
          <w:rStyle w:val="CommentReference"/>
          <w:b/>
          <w:szCs w:val="20"/>
          <w:lang w:val="en-AU"/>
        </w:rPr>
        <w:fldChar w:fldCharType="separate"/>
      </w:r>
      <w:r w:rsidR="00E050AF" w:rsidRPr="00E050AF">
        <w:rPr>
          <w:rStyle w:val="CommentReference"/>
          <w:b/>
          <w:szCs w:val="20"/>
          <w:lang w:val="en-AU"/>
        </w:rPr>
        <w:t>1</w:t>
      </w:r>
      <w:r w:rsidRPr="00E050AF">
        <w:rPr>
          <w:rStyle w:val="CommentReference"/>
          <w:b/>
          <w:szCs w:val="20"/>
          <w:lang w:val="en-AU"/>
        </w:rPr>
        <w:fldChar w:fldCharType="end"/>
      </w:r>
      <w:r w:rsidR="00750ABD" w:rsidRPr="00E050AF">
        <w:rPr>
          <w:lang w:val="en-AU"/>
        </w:rPr>
        <w:tab/>
      </w:r>
      <w:r w:rsidR="00AB43EA" w:rsidRPr="00E050AF">
        <w:rPr>
          <w:lang w:val="en-AU"/>
        </w:rPr>
        <w:t>Key components of the clinical issue addressed by the submission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745"/>
      </w:tblGrid>
      <w:tr w:rsidR="00AB43EA" w:rsidRPr="00E050AF" w14:paraId="4B7DEA26" w14:textId="77777777" w:rsidTr="2E36BEBC">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shd w:val="clear" w:color="auto" w:fill="auto"/>
            <w:hideMark/>
          </w:tcPr>
          <w:p w14:paraId="23FA43C7" w14:textId="77777777" w:rsidR="00AB43EA" w:rsidRPr="00E050AF" w:rsidRDefault="00AB43EA">
            <w:pPr>
              <w:pStyle w:val="TableText"/>
              <w:keepNext/>
              <w:keepLines/>
              <w:rPr>
                <w:lang w:val="en-AU"/>
              </w:rPr>
            </w:pPr>
            <w:r w:rsidRPr="00E050AF">
              <w:rPr>
                <w:lang w:val="en-AU"/>
              </w:rPr>
              <w:t>Component</w:t>
            </w:r>
          </w:p>
        </w:tc>
        <w:tc>
          <w:tcPr>
            <w:tcW w:w="7745" w:type="dxa"/>
            <w:tcBorders>
              <w:top w:val="single" w:sz="4" w:space="0" w:color="auto"/>
              <w:left w:val="single" w:sz="4" w:space="0" w:color="auto"/>
              <w:bottom w:val="single" w:sz="4" w:space="0" w:color="auto"/>
              <w:right w:val="single" w:sz="4" w:space="0" w:color="auto"/>
            </w:tcBorders>
            <w:shd w:val="clear" w:color="auto" w:fill="auto"/>
            <w:hideMark/>
          </w:tcPr>
          <w:p w14:paraId="5306EB4E" w14:textId="77777777" w:rsidR="00AB43EA" w:rsidRPr="00E050AF" w:rsidRDefault="00AB43EA">
            <w:pPr>
              <w:pStyle w:val="TableText"/>
              <w:keepNext/>
              <w:keepLines/>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Description</w:t>
            </w:r>
          </w:p>
        </w:tc>
      </w:tr>
      <w:tr w:rsidR="006D599F" w:rsidRPr="00E050AF" w14:paraId="24C5041E" w14:textId="77777777" w:rsidTr="2E36BEBC">
        <w:trPr>
          <w:cantSplit/>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hideMark/>
          </w:tcPr>
          <w:p w14:paraId="388C9357" w14:textId="77777777" w:rsidR="006D599F" w:rsidRPr="00E050AF" w:rsidRDefault="006D599F" w:rsidP="006D599F">
            <w:pPr>
              <w:pStyle w:val="TableText"/>
              <w:keepNext/>
              <w:keepLines/>
              <w:rPr>
                <w:lang w:val="en-AU"/>
              </w:rPr>
            </w:pPr>
            <w:r w:rsidRPr="00E050AF">
              <w:rPr>
                <w:lang w:val="en-AU"/>
              </w:rPr>
              <w:t>Test population</w:t>
            </w:r>
          </w:p>
        </w:tc>
        <w:tc>
          <w:tcPr>
            <w:tcW w:w="7745" w:type="dxa"/>
            <w:tcBorders>
              <w:top w:val="single" w:sz="4" w:space="0" w:color="auto"/>
              <w:left w:val="single" w:sz="4" w:space="0" w:color="auto"/>
              <w:bottom w:val="single" w:sz="4" w:space="0" w:color="auto"/>
              <w:right w:val="single" w:sz="4" w:space="0" w:color="auto"/>
            </w:tcBorders>
            <w:hideMark/>
          </w:tcPr>
          <w:p w14:paraId="03FD3ACA" w14:textId="5C8F0DBC" w:rsidR="006D599F" w:rsidRPr="00E050AF" w:rsidRDefault="006D599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Patient with newly diagnosed, advanced (FIGO stage III-IV) high-grade epithelial ovarian, fallopian tube or primary peritoneal cancer.</w:t>
            </w:r>
          </w:p>
        </w:tc>
      </w:tr>
      <w:tr w:rsidR="006D599F" w:rsidRPr="00E050AF" w14:paraId="19021FA7" w14:textId="77777777" w:rsidTr="2E36BEBC">
        <w:trPr>
          <w:cantSplit/>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hideMark/>
          </w:tcPr>
          <w:p w14:paraId="353BB73C" w14:textId="77777777" w:rsidR="006D599F" w:rsidRPr="00E050AF" w:rsidRDefault="006D599F" w:rsidP="006D599F">
            <w:pPr>
              <w:pStyle w:val="TableText"/>
              <w:keepNext/>
              <w:keepLines/>
              <w:rPr>
                <w:lang w:val="en-AU"/>
              </w:rPr>
            </w:pPr>
            <w:r w:rsidRPr="00E050AF">
              <w:rPr>
                <w:lang w:val="en-AU"/>
              </w:rPr>
              <w:t>Treatment population</w:t>
            </w:r>
          </w:p>
        </w:tc>
        <w:tc>
          <w:tcPr>
            <w:tcW w:w="7745" w:type="dxa"/>
            <w:tcBorders>
              <w:top w:val="single" w:sz="4" w:space="0" w:color="auto"/>
              <w:left w:val="single" w:sz="4" w:space="0" w:color="auto"/>
              <w:bottom w:val="single" w:sz="4" w:space="0" w:color="auto"/>
              <w:right w:val="single" w:sz="4" w:space="0" w:color="auto"/>
            </w:tcBorders>
            <w:hideMark/>
          </w:tcPr>
          <w:p w14:paraId="4EF14573" w14:textId="71392D31" w:rsidR="006D599F" w:rsidRPr="00E050AF" w:rsidRDefault="006D599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Patient with newly diagnosed, advanced (FIGO stage III-IV) high-grade epithelial ovarian, fallopian tube or primary peritoneal cancer who are in response (complete or partial) to first-line platinum-based chemotherapy and found to have HRD positive and </w:t>
            </w:r>
            <w:r w:rsidR="00CF529A" w:rsidRPr="00E050AF">
              <w:rPr>
                <w:i/>
                <w:iCs/>
                <w:lang w:val="en-AU"/>
              </w:rPr>
              <w:t>BRCA</w:t>
            </w:r>
            <w:r w:rsidRPr="00E050AF">
              <w:rPr>
                <w:lang w:val="en-AU"/>
              </w:rPr>
              <w:t xml:space="preserve"> pathogenic variant negative status.</w:t>
            </w:r>
          </w:p>
        </w:tc>
      </w:tr>
      <w:tr w:rsidR="006D599F" w:rsidRPr="00E050AF" w14:paraId="060AA8BC" w14:textId="77777777" w:rsidTr="2E36BEBC">
        <w:trPr>
          <w:cantSplit/>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hideMark/>
          </w:tcPr>
          <w:p w14:paraId="0184F91A" w14:textId="77777777" w:rsidR="006D599F" w:rsidRPr="00E050AF" w:rsidRDefault="006D599F" w:rsidP="006D599F">
            <w:pPr>
              <w:pStyle w:val="TableText"/>
              <w:keepNext/>
              <w:keepLines/>
              <w:rPr>
                <w:lang w:val="en-AU"/>
              </w:rPr>
            </w:pPr>
            <w:r w:rsidRPr="00E050AF">
              <w:rPr>
                <w:lang w:val="en-AU"/>
              </w:rPr>
              <w:t>Intervention</w:t>
            </w:r>
          </w:p>
        </w:tc>
        <w:tc>
          <w:tcPr>
            <w:tcW w:w="7745" w:type="dxa"/>
            <w:tcBorders>
              <w:top w:val="single" w:sz="4" w:space="0" w:color="auto"/>
              <w:left w:val="single" w:sz="4" w:space="0" w:color="auto"/>
              <w:bottom w:val="single" w:sz="4" w:space="0" w:color="auto"/>
              <w:right w:val="single" w:sz="4" w:space="0" w:color="auto"/>
            </w:tcBorders>
            <w:hideMark/>
          </w:tcPr>
          <w:p w14:paraId="3901D4B4" w14:textId="0A19649E" w:rsidR="006D599F" w:rsidRPr="00E050AF" w:rsidRDefault="006D599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Test of tumour tissue to determine HRD status</w:t>
            </w:r>
            <w:r w:rsidR="003B330F" w:rsidRPr="00E050AF">
              <w:rPr>
                <w:lang w:val="en-AU"/>
              </w:rPr>
              <w:t xml:space="preserve"> (</w:t>
            </w:r>
            <w:r w:rsidR="002653CF" w:rsidRPr="00E050AF">
              <w:rPr>
                <w:lang w:val="en-AU"/>
              </w:rPr>
              <w:t>i.e.</w:t>
            </w:r>
            <w:r w:rsidR="003B330F" w:rsidRPr="00E050AF">
              <w:rPr>
                <w:lang w:val="en-AU"/>
              </w:rPr>
              <w:t xml:space="preserve"> both </w:t>
            </w:r>
            <w:r w:rsidR="00CF529A" w:rsidRPr="00E050AF">
              <w:rPr>
                <w:i/>
                <w:iCs/>
                <w:lang w:val="en-AU"/>
              </w:rPr>
              <w:t>BRCA</w:t>
            </w:r>
            <w:r w:rsidR="003B330F" w:rsidRPr="00E050AF">
              <w:rPr>
                <w:lang w:val="en-AU"/>
              </w:rPr>
              <w:t xml:space="preserve"> status and genomic instability status)</w:t>
            </w:r>
            <w:r w:rsidRPr="00E050AF">
              <w:rPr>
                <w:lang w:val="en-AU"/>
              </w:rPr>
              <w:t>.</w:t>
            </w:r>
          </w:p>
          <w:p w14:paraId="6B21E586" w14:textId="0E6F3A7F" w:rsidR="0007043F" w:rsidRPr="00E050AF" w:rsidRDefault="0007043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The proposed test is the SOPHiA Genetics HRD assay.</w:t>
            </w:r>
          </w:p>
          <w:p w14:paraId="1649D163" w14:textId="4B51514E" w:rsidR="006D599F" w:rsidRPr="00E050AF" w:rsidRDefault="734346A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2E36BEBC">
              <w:rPr>
                <w:lang w:val="en-AU"/>
              </w:rPr>
              <w:t xml:space="preserve">If HRD positive </w:t>
            </w:r>
            <w:r w:rsidR="2297C670" w:rsidRPr="2E36BEBC">
              <w:rPr>
                <w:i/>
                <w:iCs/>
                <w:lang w:val="en-AU"/>
              </w:rPr>
              <w:t>BRCA</w:t>
            </w:r>
            <w:r w:rsidRPr="2E36BEBC">
              <w:rPr>
                <w:lang w:val="en-AU"/>
              </w:rPr>
              <w:t>wt</w:t>
            </w:r>
            <w:r w:rsidR="655EDDD7" w:rsidRPr="2E36BEBC">
              <w:rPr>
                <w:lang w:val="en-AU"/>
              </w:rPr>
              <w:t>,</w:t>
            </w:r>
            <w:r w:rsidRPr="2E36BEBC">
              <w:rPr>
                <w:lang w:val="en-AU"/>
              </w:rPr>
              <w:t xml:space="preserve"> patient can receive olaparib </w:t>
            </w:r>
            <w:r w:rsidR="3A03CCA2" w:rsidRPr="2E36BEBC">
              <w:rPr>
                <w:lang w:val="en-AU"/>
              </w:rPr>
              <w:t>(300</w:t>
            </w:r>
            <w:r w:rsidR="31C8D11B" w:rsidRPr="2E36BEBC">
              <w:rPr>
                <w:lang w:val="en-AU"/>
              </w:rPr>
              <w:t> </w:t>
            </w:r>
            <w:r w:rsidR="3A03CCA2" w:rsidRPr="2E36BEBC">
              <w:rPr>
                <w:lang w:val="en-AU"/>
              </w:rPr>
              <w:t xml:space="preserve">mg twice daily, up to 24 months) </w:t>
            </w:r>
            <w:r w:rsidRPr="2E36BEBC">
              <w:rPr>
                <w:lang w:val="en-AU"/>
              </w:rPr>
              <w:t>+ bevacizumab</w:t>
            </w:r>
            <w:r w:rsidR="3A03CCA2" w:rsidRPr="2E36BEBC">
              <w:rPr>
                <w:lang w:val="en-AU"/>
              </w:rPr>
              <w:t xml:space="preserve"> (15</w:t>
            </w:r>
            <w:r w:rsidR="31C8D11B" w:rsidRPr="2E36BEBC">
              <w:rPr>
                <w:lang w:val="en-AU"/>
              </w:rPr>
              <w:t> </w:t>
            </w:r>
            <w:r w:rsidR="3A03CCA2" w:rsidRPr="2E36BEBC">
              <w:rPr>
                <w:lang w:val="en-AU"/>
              </w:rPr>
              <w:t>mg/kg</w:t>
            </w:r>
            <w:r w:rsidR="652709AD" w:rsidRPr="2E36BEBC">
              <w:rPr>
                <w:lang w:val="en-AU"/>
              </w:rPr>
              <w:t xml:space="preserve"> every 3 weeks for up to 22 cycles/15 months)</w:t>
            </w:r>
            <w:r w:rsidRPr="2E36BEBC">
              <w:rPr>
                <w:lang w:val="en-AU"/>
              </w:rPr>
              <w:t>.</w:t>
            </w:r>
          </w:p>
          <w:p w14:paraId="28F28E32" w14:textId="4FB86072" w:rsidR="006D599F" w:rsidRPr="00E050AF" w:rsidRDefault="734346A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2E36BEBC">
              <w:rPr>
                <w:lang w:val="en-AU"/>
              </w:rPr>
              <w:t xml:space="preserve">If HRD negative </w:t>
            </w:r>
            <w:r w:rsidR="2297C670" w:rsidRPr="2E36BEBC">
              <w:rPr>
                <w:i/>
                <w:iCs/>
                <w:lang w:val="en-AU"/>
              </w:rPr>
              <w:t>BRCA</w:t>
            </w:r>
            <w:r w:rsidRPr="2E36BEBC">
              <w:rPr>
                <w:lang w:val="en-AU"/>
              </w:rPr>
              <w:t>wt, patient can receive bevacizumab</w:t>
            </w:r>
            <w:r w:rsidR="28B0E6E3" w:rsidRPr="2E36BEBC">
              <w:rPr>
                <w:lang w:val="en-AU"/>
              </w:rPr>
              <w:t xml:space="preserve"> </w:t>
            </w:r>
            <w:r w:rsidR="652709AD" w:rsidRPr="2E36BEBC">
              <w:rPr>
                <w:lang w:val="en-AU"/>
              </w:rPr>
              <w:t>(15</w:t>
            </w:r>
            <w:r w:rsidR="31C8D11B" w:rsidRPr="2E36BEBC">
              <w:rPr>
                <w:lang w:val="en-AU"/>
              </w:rPr>
              <w:t> </w:t>
            </w:r>
            <w:r w:rsidR="652709AD" w:rsidRPr="2E36BEBC">
              <w:rPr>
                <w:lang w:val="en-AU"/>
              </w:rPr>
              <w:t>mg/kg every 3 weeks for up to 22 cycles/15 months).</w:t>
            </w:r>
            <w:r w:rsidRPr="2E36BEBC">
              <w:rPr>
                <w:lang w:val="en-AU"/>
              </w:rPr>
              <w:t xml:space="preserve"> OR watch </w:t>
            </w:r>
            <w:r w:rsidR="5E29FF7A" w:rsidRPr="2E36BEBC">
              <w:rPr>
                <w:lang w:val="en-AU"/>
              </w:rPr>
              <w:t xml:space="preserve">and </w:t>
            </w:r>
            <w:r w:rsidRPr="2E36BEBC">
              <w:rPr>
                <w:lang w:val="en-AU"/>
              </w:rPr>
              <w:t>wait (i.e. placebo).</w:t>
            </w:r>
          </w:p>
          <w:p w14:paraId="2AAB3B32" w14:textId="7BFC5CE4" w:rsidR="0066395F" w:rsidRPr="00E050AF" w:rsidRDefault="006D599F" w:rsidP="005D4037">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If </w:t>
            </w:r>
            <w:r w:rsidR="00CF529A" w:rsidRPr="00E050AF">
              <w:rPr>
                <w:i/>
                <w:iCs/>
                <w:lang w:val="en-AU"/>
              </w:rPr>
              <w:t>BRCA</w:t>
            </w:r>
            <w:r w:rsidRPr="00E050AF">
              <w:rPr>
                <w:lang w:val="en-AU"/>
              </w:rPr>
              <w:t>m, patient can receive olaparib monotherapy</w:t>
            </w:r>
            <w:r w:rsidR="0051183C" w:rsidRPr="00E050AF">
              <w:rPr>
                <w:lang w:val="en-AU"/>
              </w:rPr>
              <w:t xml:space="preserve"> (300</w:t>
            </w:r>
            <w:r w:rsidR="0082557D" w:rsidRPr="00E050AF">
              <w:rPr>
                <w:lang w:val="en-AU"/>
              </w:rPr>
              <w:t> </w:t>
            </w:r>
            <w:r w:rsidR="0051183C" w:rsidRPr="00E050AF">
              <w:rPr>
                <w:lang w:val="en-AU"/>
              </w:rPr>
              <w:t>mg twice daily, up to 24 months)</w:t>
            </w:r>
            <w:r w:rsidR="0082557D" w:rsidRPr="00E050AF">
              <w:rPr>
                <w:lang w:val="en-AU"/>
              </w:rPr>
              <w:t>.</w:t>
            </w:r>
          </w:p>
        </w:tc>
      </w:tr>
      <w:tr w:rsidR="006D599F" w:rsidRPr="00E050AF" w14:paraId="3D4054B4" w14:textId="77777777" w:rsidTr="2E36BEBC">
        <w:trPr>
          <w:cantSplit/>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hideMark/>
          </w:tcPr>
          <w:p w14:paraId="61F7F748" w14:textId="77777777" w:rsidR="006D599F" w:rsidRPr="00E050AF" w:rsidRDefault="006D599F" w:rsidP="006D599F">
            <w:pPr>
              <w:pStyle w:val="TableText"/>
              <w:keepNext/>
              <w:keepLines/>
              <w:rPr>
                <w:lang w:val="en-AU"/>
              </w:rPr>
            </w:pPr>
            <w:r w:rsidRPr="00E050AF">
              <w:rPr>
                <w:lang w:val="en-AU"/>
              </w:rPr>
              <w:t>Comparator</w:t>
            </w:r>
          </w:p>
        </w:tc>
        <w:tc>
          <w:tcPr>
            <w:tcW w:w="7745" w:type="dxa"/>
            <w:tcBorders>
              <w:top w:val="single" w:sz="4" w:space="0" w:color="auto"/>
              <w:left w:val="single" w:sz="4" w:space="0" w:color="auto"/>
              <w:bottom w:val="single" w:sz="4" w:space="0" w:color="auto"/>
              <w:right w:val="single" w:sz="4" w:space="0" w:color="auto"/>
            </w:tcBorders>
            <w:hideMark/>
          </w:tcPr>
          <w:p w14:paraId="1014243D" w14:textId="14A6C62B" w:rsidR="006D599F" w:rsidRPr="00E050AF" w:rsidRDefault="009A4020"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Test of tumour tissue to determine </w:t>
            </w:r>
            <w:r w:rsidR="00CF529A" w:rsidRPr="00E050AF">
              <w:rPr>
                <w:i/>
                <w:iCs/>
                <w:lang w:val="en-AU"/>
              </w:rPr>
              <w:t>BRCA</w:t>
            </w:r>
            <w:r w:rsidRPr="00E050AF">
              <w:rPr>
                <w:lang w:val="en-AU"/>
              </w:rPr>
              <w:t xml:space="preserve"> status only. </w:t>
            </w:r>
            <w:r w:rsidR="00CF529A" w:rsidRPr="00E050AF">
              <w:rPr>
                <w:i/>
                <w:iCs/>
                <w:lang w:val="en-AU"/>
              </w:rPr>
              <w:t>BRCA</w:t>
            </w:r>
            <w:r w:rsidR="006D599F" w:rsidRPr="00E050AF">
              <w:rPr>
                <w:lang w:val="en-AU"/>
              </w:rPr>
              <w:t xml:space="preserve"> testing via NGS is the reference standard for </w:t>
            </w:r>
            <w:r w:rsidR="00CF529A" w:rsidRPr="00E050AF">
              <w:rPr>
                <w:i/>
                <w:iCs/>
                <w:lang w:val="en-AU"/>
              </w:rPr>
              <w:t>BRCA</w:t>
            </w:r>
            <w:r w:rsidR="006D599F" w:rsidRPr="00E050AF">
              <w:rPr>
                <w:i/>
                <w:iCs/>
                <w:lang w:val="en-AU"/>
              </w:rPr>
              <w:t xml:space="preserve"> </w:t>
            </w:r>
            <w:r w:rsidR="006D599F" w:rsidRPr="00E050AF">
              <w:rPr>
                <w:lang w:val="en-AU"/>
              </w:rPr>
              <w:t xml:space="preserve">testing with HRD tests. The Myriad myChoice </w:t>
            </w:r>
            <w:r w:rsidR="00E44FF4" w:rsidRPr="00E050AF">
              <w:rPr>
                <w:lang w:val="en-AU"/>
              </w:rPr>
              <w:t>CDx</w:t>
            </w:r>
            <w:r w:rsidR="00EF2A10" w:rsidRPr="00E050AF">
              <w:rPr>
                <w:lang w:val="en-AU"/>
              </w:rPr>
              <w:t xml:space="preserve"> </w:t>
            </w:r>
            <w:r w:rsidR="006D599F" w:rsidRPr="00E050AF">
              <w:rPr>
                <w:lang w:val="en-AU"/>
              </w:rPr>
              <w:t xml:space="preserve">test </w:t>
            </w:r>
            <w:r w:rsidR="00E44FF4" w:rsidRPr="00E050AF">
              <w:rPr>
                <w:lang w:val="en-AU"/>
              </w:rPr>
              <w:t>wa</w:t>
            </w:r>
            <w:r w:rsidR="006D599F" w:rsidRPr="00E050AF">
              <w:rPr>
                <w:lang w:val="en-AU"/>
              </w:rPr>
              <w:t>s the clinical utility standard</w:t>
            </w:r>
            <w:r w:rsidR="001417BD" w:rsidRPr="00E050AF">
              <w:rPr>
                <w:lang w:val="en-AU"/>
              </w:rPr>
              <w:t xml:space="preserve"> </w:t>
            </w:r>
            <w:r w:rsidR="00392478" w:rsidRPr="00E050AF">
              <w:rPr>
                <w:lang w:val="en-AU"/>
              </w:rPr>
              <w:t>nominated in the submission^</w:t>
            </w:r>
            <w:r w:rsidR="0007043F" w:rsidRPr="00E050AF">
              <w:rPr>
                <w:lang w:val="en-AU"/>
              </w:rPr>
              <w:t>.</w:t>
            </w:r>
            <w:r w:rsidR="006D599F" w:rsidRPr="00E050AF">
              <w:rPr>
                <w:lang w:val="en-AU"/>
              </w:rPr>
              <w:t xml:space="preserve"> </w:t>
            </w:r>
            <w:r w:rsidR="0007043F" w:rsidRPr="00E050AF">
              <w:rPr>
                <w:lang w:val="en-AU"/>
              </w:rPr>
              <w:t>The Myriad myChoice HRD Plus test was used in the PAOLA</w:t>
            </w:r>
            <w:r w:rsidR="0007043F" w:rsidRPr="00E050AF">
              <w:rPr>
                <w:lang w:val="en-AU"/>
              </w:rPr>
              <w:noBreakHyphen/>
              <w:t>1 trial</w:t>
            </w:r>
          </w:p>
          <w:p w14:paraId="00D66DD6" w14:textId="08434364" w:rsidR="006D599F" w:rsidRPr="00E050AF" w:rsidRDefault="006D599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Bevacizumab monotherapy as maintenance following platinum-based chemotherapy is the predominant comparator for this population and this submission. Watch and wait (i.e. placebo) as a supplementary comparator</w:t>
            </w:r>
            <w:r w:rsidR="003F5E95" w:rsidRPr="00E050AF">
              <w:rPr>
                <w:lang w:val="en-AU"/>
              </w:rPr>
              <w:t>.</w:t>
            </w:r>
          </w:p>
        </w:tc>
      </w:tr>
      <w:tr w:rsidR="006D599F" w:rsidRPr="00E050AF" w14:paraId="790ED527" w14:textId="77777777" w:rsidTr="2E36BEBC">
        <w:trPr>
          <w:cantSplit/>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hideMark/>
          </w:tcPr>
          <w:p w14:paraId="67FE4C70" w14:textId="77777777" w:rsidR="006D599F" w:rsidRPr="00E050AF" w:rsidRDefault="006D599F" w:rsidP="006D599F">
            <w:pPr>
              <w:pStyle w:val="TableText"/>
              <w:keepNext/>
              <w:keepLines/>
              <w:rPr>
                <w:lang w:val="en-AU"/>
              </w:rPr>
            </w:pPr>
            <w:r w:rsidRPr="00E050AF">
              <w:rPr>
                <w:lang w:val="en-AU"/>
              </w:rPr>
              <w:t>Outcomes</w:t>
            </w:r>
          </w:p>
        </w:tc>
        <w:tc>
          <w:tcPr>
            <w:tcW w:w="7745" w:type="dxa"/>
            <w:tcBorders>
              <w:top w:val="single" w:sz="4" w:space="0" w:color="auto"/>
              <w:left w:val="single" w:sz="4" w:space="0" w:color="auto"/>
              <w:bottom w:val="single" w:sz="4" w:space="0" w:color="auto"/>
              <w:right w:val="single" w:sz="4" w:space="0" w:color="auto"/>
            </w:tcBorders>
            <w:hideMark/>
          </w:tcPr>
          <w:p w14:paraId="21C76232" w14:textId="2FBBFABA" w:rsidR="006D599F" w:rsidRPr="00E050AF" w:rsidRDefault="006D599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PFS, PFS2, OS, quality of life, safety and tolerability for olaparib plus bevacizumab vs bevacizumab monotherapy</w:t>
            </w:r>
          </w:p>
        </w:tc>
      </w:tr>
      <w:tr w:rsidR="006D599F" w:rsidRPr="00E050AF" w14:paraId="6D99FF6C" w14:textId="77777777" w:rsidTr="2E36BEBC">
        <w:trPr>
          <w:cantSplit/>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left w:val="single" w:sz="4" w:space="0" w:color="auto"/>
              <w:bottom w:val="single" w:sz="4" w:space="0" w:color="auto"/>
              <w:right w:val="single" w:sz="4" w:space="0" w:color="auto"/>
            </w:tcBorders>
            <w:vAlign w:val="center"/>
            <w:hideMark/>
          </w:tcPr>
          <w:p w14:paraId="491433D3" w14:textId="77777777" w:rsidR="006D599F" w:rsidRPr="00E050AF" w:rsidRDefault="006D599F" w:rsidP="006D599F">
            <w:pPr>
              <w:pStyle w:val="TableText"/>
              <w:keepNext/>
              <w:keepLines/>
              <w:rPr>
                <w:lang w:val="en-AU"/>
              </w:rPr>
            </w:pPr>
            <w:r w:rsidRPr="00E050AF">
              <w:rPr>
                <w:lang w:val="en-AU"/>
              </w:rPr>
              <w:t>Clinical claim</w:t>
            </w:r>
          </w:p>
        </w:tc>
        <w:tc>
          <w:tcPr>
            <w:tcW w:w="7745" w:type="dxa"/>
            <w:tcBorders>
              <w:top w:val="single" w:sz="4" w:space="0" w:color="auto"/>
              <w:left w:val="single" w:sz="4" w:space="0" w:color="auto"/>
              <w:bottom w:val="single" w:sz="4" w:space="0" w:color="auto"/>
              <w:right w:val="single" w:sz="4" w:space="0" w:color="auto"/>
            </w:tcBorders>
            <w:hideMark/>
          </w:tcPr>
          <w:p w14:paraId="27150CD5" w14:textId="4601D6EC" w:rsidR="006D599F" w:rsidRPr="00E050AF" w:rsidRDefault="006D599F" w:rsidP="006D599F">
            <w:pPr>
              <w:pStyle w:val="TableText"/>
              <w:keepNext/>
              <w:keepLines/>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In patients with advanced (FIGO stage III-IV) high-grade epithelial ovarian, fallopian tube or primary peritoneal cancer who are in response (complete or partial) to first-line platinum-based positive chemotherapy, HRD testing to determine HRD+ </w:t>
            </w:r>
            <w:r w:rsidR="00CF529A" w:rsidRPr="00E050AF">
              <w:rPr>
                <w:i/>
                <w:iCs/>
                <w:lang w:val="en-AU"/>
              </w:rPr>
              <w:t>BRCA</w:t>
            </w:r>
            <w:r w:rsidRPr="00E050AF">
              <w:rPr>
                <w:lang w:val="en-AU"/>
              </w:rPr>
              <w:t xml:space="preserve">wt and eligibility to access olaparib in combination with bevacizumab is more effective than bevacizumab alone at improving PFS; and no worse in terms of safety. </w:t>
            </w:r>
          </w:p>
        </w:tc>
      </w:tr>
    </w:tbl>
    <w:p w14:paraId="47E8CD57" w14:textId="563BB633" w:rsidR="00AB43EA" w:rsidRPr="00E050AF" w:rsidRDefault="00CF529A" w:rsidP="00AB43EA">
      <w:pPr>
        <w:pStyle w:val="TableFooter"/>
        <w:keepNext/>
        <w:keepLines/>
      </w:pPr>
      <w:r w:rsidRPr="00E050AF">
        <w:rPr>
          <w:i/>
          <w:iCs/>
        </w:rPr>
        <w:t>BRCA</w:t>
      </w:r>
      <w:r w:rsidR="00AB43EA" w:rsidRPr="00E050AF">
        <w:t xml:space="preserve"> = breast cancer gene; </w:t>
      </w:r>
      <w:bookmarkStart w:id="8" w:name="_Hlk110595325"/>
      <w:r w:rsidRPr="00E050AF">
        <w:rPr>
          <w:i/>
          <w:iCs/>
        </w:rPr>
        <w:t>BRCA</w:t>
      </w:r>
      <w:r w:rsidR="00AB43EA" w:rsidRPr="00E050AF">
        <w:t>m</w:t>
      </w:r>
      <w:r w:rsidR="00AB43EA" w:rsidRPr="00E050AF">
        <w:rPr>
          <w:iCs/>
        </w:rPr>
        <w:t xml:space="preserve"> </w:t>
      </w:r>
      <w:r w:rsidR="00AB43EA" w:rsidRPr="00E050AF">
        <w:t>= breast cancer gene mutation;</w:t>
      </w:r>
      <w:r w:rsidR="00AB43EA" w:rsidRPr="00E050AF">
        <w:rPr>
          <w:i/>
          <w:iCs/>
        </w:rPr>
        <w:t xml:space="preserve"> </w:t>
      </w:r>
      <w:r w:rsidRPr="00E050AF">
        <w:rPr>
          <w:i/>
          <w:iCs/>
        </w:rPr>
        <w:t>BRCA</w:t>
      </w:r>
      <w:r w:rsidR="00AB43EA" w:rsidRPr="00E050AF">
        <w:t xml:space="preserve">wt = breast cancer gene wild type; </w:t>
      </w:r>
      <w:bookmarkEnd w:id="8"/>
      <w:r w:rsidR="00AB43EA" w:rsidRPr="00E050AF">
        <w:t xml:space="preserve">FIGO = International Federation of </w:t>
      </w:r>
      <w:r w:rsidR="0026468B" w:rsidRPr="00E050AF">
        <w:t>Gynaecology</w:t>
      </w:r>
      <w:r w:rsidR="00AB43EA" w:rsidRPr="00E050AF">
        <w:t xml:space="preserve"> and Obstetrics; HRD = homologous recombination deficiency; </w:t>
      </w:r>
      <w:r w:rsidR="005F4EB6" w:rsidRPr="00E050AF">
        <w:rPr>
          <w:lang w:eastAsia="zh-CN"/>
        </w:rPr>
        <w:t>NGS = next-generation sequencing;</w:t>
      </w:r>
      <w:r w:rsidR="005F4EB6" w:rsidRPr="00E050AF">
        <w:t xml:space="preserve"> </w:t>
      </w:r>
      <w:r w:rsidR="00AB43EA" w:rsidRPr="00E050AF">
        <w:t xml:space="preserve">OS = overall survival; PFS = progression free survival; </w:t>
      </w:r>
      <w:bookmarkStart w:id="9" w:name="_Hlk110595456"/>
      <w:r w:rsidR="00AB43EA" w:rsidRPr="00E050AF">
        <w:t>PFS2 = time from randomisation to second progression or death</w:t>
      </w:r>
      <w:bookmarkEnd w:id="9"/>
    </w:p>
    <w:p w14:paraId="2537407E" w14:textId="28C03525" w:rsidR="00392478" w:rsidRPr="00E050AF" w:rsidRDefault="00392478" w:rsidP="00AB43EA">
      <w:pPr>
        <w:pStyle w:val="TableFooter"/>
        <w:keepNext/>
        <w:keepLines/>
      </w:pPr>
      <w:r w:rsidRPr="00E050AF">
        <w:t xml:space="preserve">^ The clinical utility standard, as per the definition in the MSAC Guidelines, </w:t>
      </w:r>
      <w:r w:rsidR="0051183C" w:rsidRPr="00E050AF">
        <w:t>should be</w:t>
      </w:r>
      <w:r w:rsidRPr="00E050AF">
        <w:t xml:space="preserve"> the Myriad myChoice HRD plus test – the test used in the PAOLA-1 trial (based on the protocol and CSR).</w:t>
      </w:r>
    </w:p>
    <w:p w14:paraId="491A6D3A" w14:textId="77777777" w:rsidR="00AB43EA" w:rsidRPr="00E050AF" w:rsidRDefault="00AB43EA" w:rsidP="0082557D">
      <w:pPr>
        <w:pStyle w:val="TableFooter"/>
      </w:pPr>
      <w:r w:rsidRPr="00E050AF">
        <w:t>Source: Table 1.2, p23 of the submission</w:t>
      </w:r>
    </w:p>
    <w:p w14:paraId="0530D215" w14:textId="05429A2C" w:rsidR="00FB5146" w:rsidRPr="00E050AF" w:rsidRDefault="2AF48F0D" w:rsidP="00FB5146">
      <w:pPr>
        <w:pStyle w:val="ListParagraph"/>
        <w:numPr>
          <w:ilvl w:val="4"/>
          <w:numId w:val="8"/>
        </w:numPr>
        <w:rPr>
          <w:color w:val="auto"/>
        </w:rPr>
      </w:pPr>
      <w:bookmarkStart w:id="10" w:name="_Hlk109066194"/>
      <w:r w:rsidRPr="2E36BEBC">
        <w:rPr>
          <w:color w:val="auto"/>
        </w:rPr>
        <w:t>The submission proposed that testing of tumours to identify HRD (</w:t>
      </w:r>
      <w:r w:rsidR="2297C670" w:rsidRPr="2E36BEBC">
        <w:rPr>
          <w:i/>
          <w:iCs/>
          <w:color w:val="auto"/>
        </w:rPr>
        <w:t>BRCA</w:t>
      </w:r>
      <w:r w:rsidRPr="2E36BEBC">
        <w:rPr>
          <w:color w:val="auto"/>
        </w:rPr>
        <w:t xml:space="preserve"> and </w:t>
      </w:r>
      <w:r w:rsidR="7A971A8F" w:rsidRPr="2E36BEBC">
        <w:rPr>
          <w:color w:val="auto"/>
        </w:rPr>
        <w:t>genomic instability (</w:t>
      </w:r>
      <w:r w:rsidRPr="2E36BEBC">
        <w:rPr>
          <w:color w:val="auto"/>
        </w:rPr>
        <w:t>GI</w:t>
      </w:r>
      <w:r w:rsidR="7A971A8F" w:rsidRPr="2E36BEBC">
        <w:rPr>
          <w:color w:val="auto"/>
        </w:rPr>
        <w:t>)</w:t>
      </w:r>
      <w:r w:rsidRPr="2E36BEBC">
        <w:rPr>
          <w:color w:val="auto"/>
        </w:rPr>
        <w:t xml:space="preserve">) status should occur at diagnosis as part of routine diagnostic work-up for women with advanced (FIGO stage III-IV) high-grade epithelial ovarian, fallopian tube or primary peritoneal cancer. Tumour tissue for HRD testing would be collected during diagnostic biopsy or cytoreductive surgery. While the submission noted that testing at diagnosis rather than after response to first-line platinum-based chemotherapy avoids treatment delay and ensures the most efficient testing sequence of tumour tissue testing, this also leads to unnecessary testing and increases the total cost of testing as patients who do not respond to </w:t>
      </w:r>
      <w:r w:rsidR="1932C2B5" w:rsidRPr="2E36BEBC">
        <w:rPr>
          <w:color w:val="auto"/>
        </w:rPr>
        <w:t>platinum-based</w:t>
      </w:r>
      <w:r w:rsidRPr="2E36BEBC">
        <w:rPr>
          <w:color w:val="auto"/>
        </w:rPr>
        <w:t xml:space="preserve"> chemotherapy would not have been eligible for maintenance therapy with olaparib irrespective of HRD or </w:t>
      </w:r>
      <w:r w:rsidR="2297C670" w:rsidRPr="2E36BEBC">
        <w:rPr>
          <w:i/>
          <w:iCs/>
          <w:color w:val="auto"/>
        </w:rPr>
        <w:t>BRCA</w:t>
      </w:r>
      <w:r w:rsidRPr="2E36BEBC">
        <w:rPr>
          <w:color w:val="auto"/>
        </w:rPr>
        <w:t xml:space="preserve"> status.</w:t>
      </w:r>
      <w:r w:rsidR="7D518512" w:rsidRPr="2E36BEBC">
        <w:rPr>
          <w:color w:val="auto"/>
        </w:rPr>
        <w:t xml:space="preserve"> PASC has nominated alternative populations for testing and the </w:t>
      </w:r>
      <w:r w:rsidR="1DACF633" w:rsidRPr="2E36BEBC">
        <w:rPr>
          <w:color w:val="auto"/>
        </w:rPr>
        <w:t xml:space="preserve">economic and financial estimates were </w:t>
      </w:r>
      <w:r w:rsidR="7D518512" w:rsidRPr="2E36BEBC">
        <w:rPr>
          <w:color w:val="auto"/>
        </w:rPr>
        <w:t>explored in sensitivity analyses.</w:t>
      </w:r>
      <w:bookmarkEnd w:id="10"/>
    </w:p>
    <w:p w14:paraId="48A6473F" w14:textId="24595746" w:rsidR="00AB43EA" w:rsidRPr="00E050AF" w:rsidRDefault="00AB43EA" w:rsidP="003C7731">
      <w:pPr>
        <w:pStyle w:val="PBACESHeading1"/>
        <w:numPr>
          <w:ilvl w:val="0"/>
          <w:numId w:val="25"/>
        </w:numPr>
      </w:pPr>
      <w:bookmarkStart w:id="11" w:name="_Toc487029150"/>
      <w:bookmarkStart w:id="12" w:name="_Toc100693615"/>
      <w:bookmarkStart w:id="13" w:name="_Toc103581567"/>
      <w:bookmarkStart w:id="14" w:name="_Toc103775855"/>
      <w:r w:rsidRPr="00E050AF">
        <w:lastRenderedPageBreak/>
        <w:t>Background</w:t>
      </w:r>
      <w:bookmarkEnd w:id="11"/>
      <w:bookmarkEnd w:id="12"/>
      <w:bookmarkEnd w:id="13"/>
      <w:bookmarkEnd w:id="14"/>
    </w:p>
    <w:p w14:paraId="2E08186D" w14:textId="4DD7737A" w:rsidR="00AB43EA" w:rsidRPr="00E050AF" w:rsidRDefault="00AB43EA" w:rsidP="009D3CDF">
      <w:pPr>
        <w:pStyle w:val="PBACESHeading2"/>
        <w:numPr>
          <w:ilvl w:val="2"/>
          <w:numId w:val="8"/>
        </w:numPr>
        <w:ind w:left="0" w:firstLine="0"/>
      </w:pPr>
      <w:bookmarkStart w:id="15" w:name="_Toc100693616"/>
      <w:bookmarkStart w:id="16" w:name="_Toc103581568"/>
      <w:bookmarkStart w:id="17" w:name="_Toc103775856"/>
      <w:r w:rsidRPr="00E050AF">
        <w:t>Registration status</w:t>
      </w:r>
      <w:bookmarkEnd w:id="15"/>
      <w:bookmarkEnd w:id="16"/>
      <w:bookmarkEnd w:id="17"/>
    </w:p>
    <w:p w14:paraId="079DCD97" w14:textId="1B84A21F" w:rsidR="00AB43EA" w:rsidRPr="00E050AF" w:rsidRDefault="00AB43EA" w:rsidP="009D3CDF">
      <w:pPr>
        <w:pStyle w:val="ListParagraph"/>
        <w:numPr>
          <w:ilvl w:val="4"/>
          <w:numId w:val="8"/>
        </w:numPr>
        <w:rPr>
          <w:color w:val="auto"/>
        </w:rPr>
      </w:pPr>
      <w:r w:rsidRPr="00E050AF">
        <w:rPr>
          <w:color w:val="auto"/>
        </w:rPr>
        <w:t>Olaparib was TGA registered on 10 March 2021 for the following indication:</w:t>
      </w:r>
    </w:p>
    <w:p w14:paraId="4BE4D1FA" w14:textId="2FF4D198" w:rsidR="00AB43EA" w:rsidRPr="00E050AF" w:rsidRDefault="00AB43EA" w:rsidP="00AB43EA">
      <w:pPr>
        <w:pStyle w:val="ListParagraph"/>
        <w:numPr>
          <w:ilvl w:val="0"/>
          <w:numId w:val="0"/>
        </w:numPr>
        <w:ind w:left="720"/>
        <w:rPr>
          <w:color w:val="auto"/>
        </w:rPr>
      </w:pPr>
      <w:r w:rsidRPr="00E050AF">
        <w:t xml:space="preserve">Olaparib in combination with bevacizumab is indicated for the maintenance treatment of adult patients with advanced epithelial ovarian, fallopian tube or primary peritoneal cancer who are in complete or partial response to first-line platinum-based </w:t>
      </w:r>
      <w:r w:rsidRPr="00E050AF">
        <w:rPr>
          <w:color w:val="auto"/>
        </w:rPr>
        <w:t>chemotherapy and whose cancer is associated with homologous recombination deficiency (HRD)-positive status defined by either:</w:t>
      </w:r>
    </w:p>
    <w:p w14:paraId="24583F89" w14:textId="0B3F2190" w:rsidR="00AB43EA" w:rsidRPr="00E050AF" w:rsidRDefault="00AB43EA" w:rsidP="00A213F1">
      <w:pPr>
        <w:pStyle w:val="MainBodyBulletPoint"/>
        <w:numPr>
          <w:ilvl w:val="0"/>
          <w:numId w:val="17"/>
        </w:numPr>
        <w:spacing w:after="0"/>
        <w:ind w:left="1077" w:hanging="357"/>
      </w:pPr>
      <w:r w:rsidRPr="00E050AF">
        <w:t xml:space="preserve">a deleterious or suspected deleterious </w:t>
      </w:r>
      <w:r w:rsidR="00CF529A" w:rsidRPr="00E050AF">
        <w:rPr>
          <w:i/>
          <w:iCs/>
        </w:rPr>
        <w:t>BRCA</w:t>
      </w:r>
      <w:r w:rsidRPr="00E050AF">
        <w:t xml:space="preserve"> mutation (germline or somatic), and/or</w:t>
      </w:r>
    </w:p>
    <w:p w14:paraId="688A2AD5" w14:textId="5E1992B4" w:rsidR="00AB43EA" w:rsidRPr="00E050AF" w:rsidRDefault="00AB43EA" w:rsidP="009D3CDF">
      <w:pPr>
        <w:pStyle w:val="MainBodyBulletPoint"/>
        <w:numPr>
          <w:ilvl w:val="0"/>
          <w:numId w:val="17"/>
        </w:numPr>
        <w:ind w:left="1080"/>
      </w:pPr>
      <w:r w:rsidRPr="00E050AF">
        <w:t>genomic instability</w:t>
      </w:r>
      <w:r w:rsidR="004877A5" w:rsidRPr="00E050AF">
        <w:t>.</w:t>
      </w:r>
    </w:p>
    <w:p w14:paraId="179A12D6" w14:textId="77777777" w:rsidR="00AB43EA" w:rsidRPr="00E050AF" w:rsidRDefault="00AB43EA" w:rsidP="00AB43EA">
      <w:pPr>
        <w:pStyle w:val="Bullet"/>
        <w:numPr>
          <w:ilvl w:val="0"/>
          <w:numId w:val="0"/>
        </w:numPr>
        <w:ind w:left="709"/>
        <w:rPr>
          <w:color w:val="000000" w:themeColor="text1"/>
          <w:sz w:val="24"/>
        </w:rPr>
      </w:pPr>
      <w:r w:rsidRPr="00E050AF">
        <w:rPr>
          <w:color w:val="000000" w:themeColor="text1"/>
          <w:sz w:val="24"/>
        </w:rPr>
        <w:t>HRD status should be determined by an experienced laboratory using a validated test method.</w:t>
      </w:r>
    </w:p>
    <w:p w14:paraId="0CD14CF9" w14:textId="3CE0DF0A" w:rsidR="00AB43EA" w:rsidRPr="00E050AF" w:rsidRDefault="00AB43EA" w:rsidP="009D3CDF">
      <w:pPr>
        <w:pStyle w:val="ListParagraph"/>
        <w:numPr>
          <w:ilvl w:val="4"/>
          <w:numId w:val="8"/>
        </w:numPr>
        <w:rPr>
          <w:color w:val="auto"/>
        </w:rPr>
      </w:pPr>
      <w:r w:rsidRPr="00E050AF">
        <w:rPr>
          <w:color w:val="auto"/>
        </w:rPr>
        <w:t xml:space="preserve">The proposed HRD test is not registered in Australia, although there are Australian laboratories that offer </w:t>
      </w:r>
      <w:r w:rsidR="00CF529A" w:rsidRPr="00E050AF">
        <w:rPr>
          <w:i/>
          <w:iCs/>
          <w:color w:val="auto"/>
        </w:rPr>
        <w:t>BRCA</w:t>
      </w:r>
      <w:r w:rsidRPr="00E050AF">
        <w:rPr>
          <w:color w:val="auto"/>
        </w:rPr>
        <w:t xml:space="preserve"> pathogenic variant tests on a commercial basis.</w:t>
      </w:r>
    </w:p>
    <w:p w14:paraId="5482ACE5" w14:textId="469B2D0C" w:rsidR="00AB43EA" w:rsidRPr="00E050AF" w:rsidRDefault="00AB43EA" w:rsidP="009D3CDF">
      <w:pPr>
        <w:pStyle w:val="PBACESHeading2"/>
        <w:numPr>
          <w:ilvl w:val="2"/>
          <w:numId w:val="8"/>
        </w:numPr>
        <w:ind w:left="0" w:firstLine="0"/>
      </w:pPr>
      <w:bookmarkStart w:id="18" w:name="_Toc492317094"/>
      <w:bookmarkStart w:id="19" w:name="_Toc100693617"/>
      <w:bookmarkStart w:id="20" w:name="_Toc103581569"/>
      <w:bookmarkStart w:id="21" w:name="_Toc103775857"/>
      <w:r w:rsidRPr="00E050AF">
        <w:t>Previous PBAC consideration</w:t>
      </w:r>
      <w:bookmarkEnd w:id="18"/>
      <w:bookmarkEnd w:id="19"/>
      <w:bookmarkEnd w:id="20"/>
      <w:bookmarkEnd w:id="21"/>
    </w:p>
    <w:p w14:paraId="342FAF20" w14:textId="5C52C796" w:rsidR="00AB43EA" w:rsidRPr="00E050AF" w:rsidRDefault="00AB43EA" w:rsidP="009D3CDF">
      <w:pPr>
        <w:pStyle w:val="ListParagraph"/>
        <w:numPr>
          <w:ilvl w:val="4"/>
          <w:numId w:val="8"/>
        </w:numPr>
        <w:rPr>
          <w:color w:val="auto"/>
        </w:rPr>
      </w:pPr>
      <w:r w:rsidRPr="00E050AF">
        <w:rPr>
          <w:color w:val="auto"/>
        </w:rPr>
        <w:t xml:space="preserve">The requested listing of olaparib plus bevacizumab for the treatment of high grade </w:t>
      </w:r>
      <w:r w:rsidR="000764A7" w:rsidRPr="00E050AF">
        <w:rPr>
          <w:color w:val="auto"/>
        </w:rPr>
        <w:t xml:space="preserve">epithelial </w:t>
      </w:r>
      <w:r w:rsidRPr="00E050AF">
        <w:rPr>
          <w:color w:val="auto"/>
        </w:rPr>
        <w:t>ovarian cancer (</w:t>
      </w:r>
      <w:r w:rsidR="000764A7" w:rsidRPr="00E050AF">
        <w:rPr>
          <w:color w:val="auto"/>
        </w:rPr>
        <w:t>HGEOC</w:t>
      </w:r>
      <w:r w:rsidRPr="00E050AF">
        <w:rPr>
          <w:color w:val="auto"/>
        </w:rPr>
        <w:t>) has not been previously considered by the PBAC.</w:t>
      </w:r>
    </w:p>
    <w:p w14:paraId="245E219D" w14:textId="350E472D" w:rsidR="00AB43EA" w:rsidRPr="00E050AF" w:rsidRDefault="00AB43EA" w:rsidP="009D3CDF">
      <w:pPr>
        <w:pStyle w:val="ListParagraph"/>
        <w:numPr>
          <w:ilvl w:val="4"/>
          <w:numId w:val="8"/>
        </w:numPr>
        <w:rPr>
          <w:color w:val="auto"/>
        </w:rPr>
      </w:pPr>
      <w:r w:rsidRPr="00E050AF">
        <w:rPr>
          <w:color w:val="auto"/>
        </w:rPr>
        <w:t xml:space="preserve">In February 2017 olaparib was first listed on the PBS (Items 11034R and 11050N) as maintenance treatment for patients with platinum sensitive, relapsed high grade ovarian, fallopian tube or primary peritoneal cancer who have a germline </w:t>
      </w:r>
      <w:r w:rsidR="00CF529A" w:rsidRPr="00E050AF">
        <w:rPr>
          <w:i/>
          <w:iCs/>
          <w:color w:val="auto"/>
        </w:rPr>
        <w:t>BRCA</w:t>
      </w:r>
      <w:r w:rsidRPr="00E050AF">
        <w:rPr>
          <w:i/>
          <w:color w:val="auto"/>
        </w:rPr>
        <w:t xml:space="preserve">1/2 </w:t>
      </w:r>
      <w:r w:rsidRPr="00E050AF">
        <w:rPr>
          <w:color w:val="auto"/>
        </w:rPr>
        <w:t xml:space="preserve">gene mutation (codependent MSAC/PBAC Application 1380). The detection of germline </w:t>
      </w:r>
      <w:r w:rsidR="00CF529A" w:rsidRPr="00E050AF">
        <w:rPr>
          <w:i/>
          <w:iCs/>
          <w:color w:val="auto"/>
        </w:rPr>
        <w:t>BRCA</w:t>
      </w:r>
      <w:r w:rsidRPr="00E050AF">
        <w:rPr>
          <w:i/>
          <w:iCs/>
          <w:color w:val="auto"/>
        </w:rPr>
        <w:t>1/2</w:t>
      </w:r>
      <w:r w:rsidRPr="00E050AF">
        <w:rPr>
          <w:color w:val="auto"/>
        </w:rPr>
        <w:t xml:space="preserve"> gene mutations (MBS Item 73295) in patients with platinum sensitive, relapsed </w:t>
      </w:r>
      <w:r w:rsidR="005E47F9" w:rsidRPr="00E050AF">
        <w:rPr>
          <w:color w:val="auto"/>
        </w:rPr>
        <w:t>high grade serous ovarian cancer (</w:t>
      </w:r>
      <w:r w:rsidRPr="00E050AF">
        <w:rPr>
          <w:color w:val="auto"/>
        </w:rPr>
        <w:t>HGSOC</w:t>
      </w:r>
      <w:r w:rsidR="005E47F9" w:rsidRPr="00E050AF">
        <w:rPr>
          <w:color w:val="auto"/>
        </w:rPr>
        <w:t>)</w:t>
      </w:r>
      <w:r w:rsidRPr="00E050AF">
        <w:rPr>
          <w:color w:val="auto"/>
        </w:rPr>
        <w:t xml:space="preserve"> </w:t>
      </w:r>
      <w:r w:rsidR="00D26BB7" w:rsidRPr="00E050AF">
        <w:rPr>
          <w:color w:val="auto"/>
        </w:rPr>
        <w:t xml:space="preserve">or HGEOC </w:t>
      </w:r>
      <w:r w:rsidRPr="00E050AF">
        <w:rPr>
          <w:color w:val="auto"/>
        </w:rPr>
        <w:t>was listed on the MBS to determine eligibility for PBS treatment with olaparib.</w:t>
      </w:r>
    </w:p>
    <w:p w14:paraId="4A3C4659" w14:textId="03DD16A1" w:rsidR="00AB43EA" w:rsidRPr="00E050AF" w:rsidRDefault="00AB43EA" w:rsidP="009D3CDF">
      <w:pPr>
        <w:pStyle w:val="ListParagraph"/>
        <w:numPr>
          <w:ilvl w:val="4"/>
          <w:numId w:val="8"/>
        </w:numPr>
        <w:rPr>
          <w:color w:val="auto"/>
        </w:rPr>
      </w:pPr>
      <w:r w:rsidRPr="00E050AF">
        <w:rPr>
          <w:color w:val="auto"/>
        </w:rPr>
        <w:t xml:space="preserve">The PBS listing of olaparib for the treatment of germline </w:t>
      </w:r>
      <w:r w:rsidR="006A0154" w:rsidRPr="00E050AF">
        <w:t>breast cancer gene mutation</w:t>
      </w:r>
      <w:r w:rsidR="006A0154" w:rsidRPr="00E050AF">
        <w:rPr>
          <w:color w:val="auto"/>
        </w:rPr>
        <w:t xml:space="preserve"> (</w:t>
      </w:r>
      <w:r w:rsidR="00CF529A" w:rsidRPr="00E050AF">
        <w:rPr>
          <w:i/>
          <w:iCs/>
          <w:color w:val="auto"/>
        </w:rPr>
        <w:t>BRCA</w:t>
      </w:r>
      <w:r w:rsidRPr="00E050AF">
        <w:rPr>
          <w:color w:val="auto"/>
        </w:rPr>
        <w:t>m</w:t>
      </w:r>
      <w:r w:rsidR="006A0154" w:rsidRPr="00E050AF">
        <w:rPr>
          <w:color w:val="auto"/>
        </w:rPr>
        <w:t>)</w:t>
      </w:r>
      <w:r w:rsidRPr="00E050AF">
        <w:rPr>
          <w:color w:val="auto"/>
        </w:rPr>
        <w:t xml:space="preserve"> platinum-sensitive recurrent HGSOC </w:t>
      </w:r>
      <w:r w:rsidR="00D26BB7" w:rsidRPr="00E050AF">
        <w:rPr>
          <w:color w:val="auto"/>
        </w:rPr>
        <w:t xml:space="preserve">or HGEOC </w:t>
      </w:r>
      <w:r w:rsidRPr="00E050AF">
        <w:rPr>
          <w:color w:val="auto"/>
        </w:rPr>
        <w:t xml:space="preserve">was extended to include somatic </w:t>
      </w:r>
      <w:r w:rsidR="00CF529A" w:rsidRPr="00E050AF">
        <w:rPr>
          <w:i/>
          <w:iCs/>
          <w:color w:val="auto"/>
        </w:rPr>
        <w:t>BRCA</w:t>
      </w:r>
      <w:r w:rsidRPr="00E050AF">
        <w:rPr>
          <w:color w:val="auto"/>
        </w:rPr>
        <w:t xml:space="preserve"> mutated patients and testing of tumour tissue to detect </w:t>
      </w:r>
      <w:r w:rsidR="00CF529A" w:rsidRPr="00E050AF">
        <w:rPr>
          <w:i/>
          <w:iCs/>
          <w:color w:val="auto"/>
        </w:rPr>
        <w:t>BRCA</w:t>
      </w:r>
      <w:r w:rsidRPr="00E050AF">
        <w:rPr>
          <w:color w:val="auto"/>
        </w:rPr>
        <w:t xml:space="preserve"> (germline and somatic) mutation was MBS listed (item 73301) in August 2020.</w:t>
      </w:r>
    </w:p>
    <w:p w14:paraId="056394A9" w14:textId="6B35CCAC" w:rsidR="00AB43EA" w:rsidRPr="00E050AF" w:rsidRDefault="00AB43EA" w:rsidP="009D3CDF">
      <w:pPr>
        <w:pStyle w:val="ListParagraph"/>
        <w:numPr>
          <w:ilvl w:val="4"/>
          <w:numId w:val="8"/>
        </w:numPr>
        <w:rPr>
          <w:color w:val="auto"/>
        </w:rPr>
      </w:pPr>
      <w:r w:rsidRPr="00E050AF">
        <w:rPr>
          <w:color w:val="auto"/>
        </w:rPr>
        <w:t xml:space="preserve">In November 2020 olaparib was PBS listed for patients newly diagnosed with </w:t>
      </w:r>
      <w:r w:rsidR="00CF529A" w:rsidRPr="00E050AF">
        <w:rPr>
          <w:i/>
          <w:iCs/>
          <w:color w:val="auto"/>
        </w:rPr>
        <w:t>BRCA</w:t>
      </w:r>
      <w:r w:rsidRPr="00E050AF">
        <w:rPr>
          <w:color w:val="auto"/>
        </w:rPr>
        <w:t>m advanced HG</w:t>
      </w:r>
      <w:r w:rsidR="00D26BB7" w:rsidRPr="00E050AF">
        <w:rPr>
          <w:color w:val="auto"/>
        </w:rPr>
        <w:t>E</w:t>
      </w:r>
      <w:r w:rsidRPr="00E050AF">
        <w:rPr>
          <w:color w:val="auto"/>
        </w:rPr>
        <w:t>OC.</w:t>
      </w:r>
    </w:p>
    <w:p w14:paraId="584AC014" w14:textId="69C00B83" w:rsidR="00AB43EA" w:rsidRPr="00E050AF" w:rsidRDefault="00AB43EA" w:rsidP="009D3CDF">
      <w:pPr>
        <w:pStyle w:val="ListParagraph"/>
        <w:numPr>
          <w:ilvl w:val="4"/>
          <w:numId w:val="8"/>
        </w:numPr>
        <w:rPr>
          <w:color w:val="auto"/>
        </w:rPr>
      </w:pPr>
      <w:r w:rsidRPr="00E050AF">
        <w:rPr>
          <w:color w:val="auto"/>
        </w:rPr>
        <w:t>MSAC ha</w:t>
      </w:r>
      <w:r w:rsidR="009A4020" w:rsidRPr="00E050AF">
        <w:rPr>
          <w:color w:val="auto"/>
        </w:rPr>
        <w:t>s</w:t>
      </w:r>
      <w:r w:rsidRPr="00E050AF">
        <w:rPr>
          <w:color w:val="auto"/>
        </w:rPr>
        <w:t xml:space="preserve"> not previously considered HRD testing to allow access to treatment for ovarian cancer or for any other indication.</w:t>
      </w:r>
    </w:p>
    <w:p w14:paraId="1F0ADFD3" w14:textId="77777777" w:rsidR="00990564" w:rsidRPr="00E050AF" w:rsidRDefault="00990564" w:rsidP="00990564">
      <w:pPr>
        <w:ind w:firstLine="709"/>
        <w:rPr>
          <w:i/>
        </w:rPr>
      </w:pPr>
      <w:bookmarkStart w:id="22" w:name="_Hlk76375324"/>
      <w:r w:rsidRPr="00E050AF">
        <w:rPr>
          <w:i/>
        </w:rPr>
        <w:t>For more detail on PBAC’s view, see section 7 PBAC outcome.</w:t>
      </w:r>
    </w:p>
    <w:p w14:paraId="46B7B14E" w14:textId="2EBEEAA6" w:rsidR="00AB43EA" w:rsidRPr="00E050AF" w:rsidRDefault="00AB43EA" w:rsidP="003C7731">
      <w:pPr>
        <w:pStyle w:val="PBACESHeading1"/>
        <w:numPr>
          <w:ilvl w:val="0"/>
          <w:numId w:val="25"/>
        </w:numPr>
      </w:pPr>
      <w:bookmarkStart w:id="23" w:name="_Toc100693618"/>
      <w:bookmarkStart w:id="24" w:name="_Toc103581570"/>
      <w:bookmarkStart w:id="25" w:name="_Toc103775858"/>
      <w:bookmarkEnd w:id="22"/>
      <w:r w:rsidRPr="00E050AF">
        <w:lastRenderedPageBreak/>
        <w:t>Requested listing</w:t>
      </w:r>
      <w:bookmarkStart w:id="26" w:name="_Toc476306884"/>
      <w:bookmarkEnd w:id="23"/>
      <w:bookmarkEnd w:id="24"/>
      <w:bookmarkEnd w:id="25"/>
    </w:p>
    <w:p w14:paraId="6D3CB267" w14:textId="28AF6F2C" w:rsidR="003923B9" w:rsidRPr="00E050AF" w:rsidRDefault="003923B9" w:rsidP="003923B9">
      <w:pPr>
        <w:pStyle w:val="ListParagraph"/>
      </w:pPr>
      <w:r w:rsidRPr="00E050AF">
        <w:rPr>
          <w:rFonts w:cstheme="minorHAnsi"/>
          <w:iCs/>
        </w:rPr>
        <w:t>Suggestions and additions proposed by the Secretariat are added in italics and suggested deletions are crossed out with strikethrough.</w:t>
      </w:r>
    </w:p>
    <w:tbl>
      <w:tblPr>
        <w:tblStyle w:val="AZTable"/>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Caption w:val="Proposed PBS listing"/>
      </w:tblPr>
      <w:tblGrid>
        <w:gridCol w:w="1495"/>
        <w:gridCol w:w="1215"/>
        <w:gridCol w:w="984"/>
        <w:gridCol w:w="984"/>
        <w:gridCol w:w="821"/>
        <w:gridCol w:w="946"/>
        <w:gridCol w:w="903"/>
        <w:gridCol w:w="1678"/>
      </w:tblGrid>
      <w:tr w:rsidR="00AB43EA" w:rsidRPr="00E050AF" w14:paraId="62681C6A" w14:textId="77777777" w:rsidTr="009B119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4" w:type="pct"/>
            <w:tcBorders>
              <w:top w:val="single" w:sz="4" w:space="0" w:color="auto"/>
              <w:left w:val="nil"/>
              <w:bottom w:val="single" w:sz="4" w:space="0" w:color="auto"/>
              <w:right w:val="nil"/>
            </w:tcBorders>
            <w:hideMark/>
          </w:tcPr>
          <w:p w14:paraId="1019E8B6" w14:textId="77777777" w:rsidR="00AB43EA" w:rsidRPr="00E050AF" w:rsidRDefault="00AB43EA">
            <w:pPr>
              <w:pStyle w:val="TableRowHeader"/>
              <w:keepNext/>
              <w:widowControl/>
            </w:pPr>
            <w:r w:rsidRPr="00E050AF">
              <w:t>Proposed PBS listing</w:t>
            </w:r>
          </w:p>
        </w:tc>
        <w:tc>
          <w:tcPr>
            <w:tcW w:w="689" w:type="pct"/>
            <w:tcBorders>
              <w:top w:val="single" w:sz="4" w:space="0" w:color="auto"/>
              <w:left w:val="nil"/>
              <w:bottom w:val="single" w:sz="4" w:space="0" w:color="auto"/>
              <w:right w:val="nil"/>
            </w:tcBorders>
            <w:hideMark/>
          </w:tcPr>
          <w:p w14:paraId="4D014CC2" w14:textId="77777777" w:rsidR="00AB43EA" w:rsidRPr="00E050AF" w:rsidRDefault="00AB43EA">
            <w:pPr>
              <w:pStyle w:val="TableRowHeader"/>
              <w:keepNext/>
              <w:widowControl/>
              <w:cnfStyle w:val="100000000000" w:firstRow="1" w:lastRow="0" w:firstColumn="0" w:lastColumn="0" w:oddVBand="0" w:evenVBand="0" w:oddHBand="0" w:evenHBand="0" w:firstRowFirstColumn="0" w:firstRowLastColumn="0" w:lastRowFirstColumn="0" w:lastRowLastColumn="0"/>
            </w:pPr>
            <w:r w:rsidRPr="00E050AF">
              <w:t>Form &amp; strength</w:t>
            </w:r>
          </w:p>
        </w:tc>
        <w:tc>
          <w:tcPr>
            <w:tcW w:w="528" w:type="pct"/>
            <w:tcBorders>
              <w:top w:val="single" w:sz="4" w:space="0" w:color="auto"/>
              <w:left w:val="nil"/>
              <w:bottom w:val="single" w:sz="4" w:space="0" w:color="auto"/>
              <w:right w:val="nil"/>
            </w:tcBorders>
            <w:hideMark/>
          </w:tcPr>
          <w:p w14:paraId="45EA829F" w14:textId="77777777" w:rsidR="00AB43EA" w:rsidRPr="00E050AF" w:rsidRDefault="00AB43EA">
            <w:pPr>
              <w:pStyle w:val="TableRowHeader"/>
              <w:keepNext/>
              <w:widowControl/>
              <w:cnfStyle w:val="100000000000" w:firstRow="1" w:lastRow="0" w:firstColumn="0" w:lastColumn="0" w:oddVBand="0" w:evenVBand="0" w:oddHBand="0" w:evenHBand="0" w:firstRowFirstColumn="0" w:firstRowLastColumn="0" w:lastRowFirstColumn="0" w:lastRowLastColumn="0"/>
            </w:pPr>
            <w:r w:rsidRPr="00E050AF">
              <w:t>Maximum quantity (packs)</w:t>
            </w:r>
          </w:p>
        </w:tc>
        <w:tc>
          <w:tcPr>
            <w:tcW w:w="529" w:type="pct"/>
            <w:tcBorders>
              <w:top w:val="single" w:sz="4" w:space="0" w:color="auto"/>
              <w:left w:val="nil"/>
              <w:bottom w:val="single" w:sz="4" w:space="0" w:color="auto"/>
              <w:right w:val="nil"/>
            </w:tcBorders>
            <w:hideMark/>
          </w:tcPr>
          <w:p w14:paraId="50A1E6ED" w14:textId="77777777" w:rsidR="00AB43EA" w:rsidRPr="00E050AF" w:rsidRDefault="00AB43EA">
            <w:pPr>
              <w:pStyle w:val="TableRowHeader"/>
              <w:keepNext/>
              <w:widowControl/>
              <w:cnfStyle w:val="100000000000" w:firstRow="1" w:lastRow="0" w:firstColumn="0" w:lastColumn="0" w:oddVBand="0" w:evenVBand="0" w:oddHBand="0" w:evenHBand="0" w:firstRowFirstColumn="0" w:firstRowLastColumn="0" w:lastRowFirstColumn="0" w:lastRowLastColumn="0"/>
            </w:pPr>
            <w:r w:rsidRPr="00E050AF">
              <w:t>Maximum quantity (units)</w:t>
            </w:r>
          </w:p>
        </w:tc>
        <w:tc>
          <w:tcPr>
            <w:tcW w:w="434" w:type="pct"/>
            <w:tcBorders>
              <w:top w:val="single" w:sz="4" w:space="0" w:color="auto"/>
              <w:left w:val="nil"/>
              <w:bottom w:val="single" w:sz="4" w:space="0" w:color="auto"/>
              <w:right w:val="nil"/>
            </w:tcBorders>
            <w:hideMark/>
          </w:tcPr>
          <w:p w14:paraId="6E24F1C7" w14:textId="77777777" w:rsidR="00AB43EA" w:rsidRPr="00E050AF" w:rsidRDefault="00AB43EA">
            <w:pPr>
              <w:pStyle w:val="TableRowHeader"/>
              <w:keepNext/>
              <w:widowControl/>
              <w:cnfStyle w:val="100000000000" w:firstRow="1" w:lastRow="0" w:firstColumn="0" w:lastColumn="0" w:oddVBand="0" w:evenVBand="0" w:oddHBand="0" w:evenHBand="0" w:firstRowFirstColumn="0" w:firstRowLastColumn="0" w:lastRowFirstColumn="0" w:lastRowLastColumn="0"/>
            </w:pPr>
            <w:r w:rsidRPr="00E050AF">
              <w:t>No. of repeats</w:t>
            </w:r>
          </w:p>
        </w:tc>
        <w:tc>
          <w:tcPr>
            <w:tcW w:w="514" w:type="pct"/>
            <w:tcBorders>
              <w:top w:val="single" w:sz="4" w:space="0" w:color="auto"/>
              <w:left w:val="nil"/>
              <w:bottom w:val="single" w:sz="4" w:space="0" w:color="auto"/>
              <w:right w:val="nil"/>
            </w:tcBorders>
            <w:hideMark/>
          </w:tcPr>
          <w:p w14:paraId="1A5C5DC6" w14:textId="77777777" w:rsidR="00AB43EA" w:rsidRPr="00E050AF" w:rsidRDefault="00AB43EA">
            <w:pPr>
              <w:pStyle w:val="TableRowHeader"/>
              <w:keepNext/>
              <w:widowControl/>
              <w:cnfStyle w:val="100000000000" w:firstRow="1" w:lastRow="0" w:firstColumn="0" w:lastColumn="0" w:oddVBand="0" w:evenVBand="0" w:oddHBand="0" w:evenHBand="0" w:firstRowFirstColumn="0" w:firstRowLastColumn="0" w:lastRowFirstColumn="0" w:lastRowLastColumn="0"/>
            </w:pPr>
            <w:r w:rsidRPr="00E050AF">
              <w:t>DPMQ- Public</w:t>
            </w:r>
          </w:p>
        </w:tc>
        <w:tc>
          <w:tcPr>
            <w:tcW w:w="514" w:type="pct"/>
            <w:tcBorders>
              <w:top w:val="single" w:sz="4" w:space="0" w:color="auto"/>
              <w:left w:val="nil"/>
              <w:bottom w:val="single" w:sz="4" w:space="0" w:color="auto"/>
              <w:right w:val="nil"/>
            </w:tcBorders>
            <w:hideMark/>
          </w:tcPr>
          <w:p w14:paraId="64863FC8" w14:textId="77777777" w:rsidR="00AB43EA" w:rsidRPr="00E050AF" w:rsidRDefault="00AB43EA">
            <w:pPr>
              <w:pStyle w:val="TableRowHeader"/>
              <w:keepNext/>
              <w:widowControl/>
              <w:cnfStyle w:val="100000000000" w:firstRow="1" w:lastRow="0" w:firstColumn="0" w:lastColumn="0" w:oddVBand="0" w:evenVBand="0" w:oddHBand="0" w:evenHBand="0" w:firstRowFirstColumn="0" w:firstRowLastColumn="0" w:lastRowFirstColumn="0" w:lastRowLastColumn="0"/>
            </w:pPr>
            <w:r w:rsidRPr="00E050AF">
              <w:t>DPMQ - Effective</w:t>
            </w:r>
          </w:p>
        </w:tc>
        <w:tc>
          <w:tcPr>
            <w:tcW w:w="947" w:type="pct"/>
            <w:tcBorders>
              <w:top w:val="single" w:sz="4" w:space="0" w:color="auto"/>
              <w:left w:val="nil"/>
              <w:bottom w:val="single" w:sz="4" w:space="0" w:color="auto"/>
              <w:right w:val="nil"/>
            </w:tcBorders>
            <w:hideMark/>
          </w:tcPr>
          <w:p w14:paraId="0D49C71B" w14:textId="77777777" w:rsidR="00AB43EA" w:rsidRPr="00E050AF" w:rsidRDefault="00AB43EA">
            <w:pPr>
              <w:pStyle w:val="TableRowHeader"/>
              <w:keepNext/>
              <w:widowControl/>
              <w:cnfStyle w:val="100000000000" w:firstRow="1" w:lastRow="0" w:firstColumn="0" w:lastColumn="0" w:oddVBand="0" w:evenVBand="0" w:oddHBand="0" w:evenHBand="0" w:firstRowFirstColumn="0" w:firstRowLastColumn="0" w:lastRowFirstColumn="0" w:lastRowLastColumn="0"/>
            </w:pPr>
            <w:r w:rsidRPr="00E050AF">
              <w:t>Proprietary name and manufacturer</w:t>
            </w:r>
          </w:p>
        </w:tc>
      </w:tr>
      <w:tr w:rsidR="00AB43EA" w:rsidRPr="00E050AF" w14:paraId="2497A251" w14:textId="77777777" w:rsidTr="009B1190">
        <w:tc>
          <w:tcPr>
            <w:cnfStyle w:val="001000000000" w:firstRow="0" w:lastRow="0" w:firstColumn="1" w:lastColumn="0" w:oddVBand="0" w:evenVBand="0" w:oddHBand="0" w:evenHBand="0" w:firstRowFirstColumn="0" w:firstRowLastColumn="0" w:lastRowFirstColumn="0" w:lastRowLastColumn="0"/>
            <w:tcW w:w="844" w:type="pct"/>
            <w:tcBorders>
              <w:top w:val="single" w:sz="4" w:space="0" w:color="auto"/>
              <w:left w:val="nil"/>
              <w:bottom w:val="nil"/>
              <w:right w:val="nil"/>
            </w:tcBorders>
            <w:vAlign w:val="center"/>
            <w:hideMark/>
          </w:tcPr>
          <w:p w14:paraId="4F1704E5" w14:textId="77777777" w:rsidR="00AB43EA" w:rsidRPr="00E050AF" w:rsidRDefault="00AB43EA">
            <w:pPr>
              <w:pStyle w:val="TableText"/>
              <w:keepNext/>
              <w:widowControl/>
              <w:jc w:val="center"/>
            </w:pPr>
            <w:r w:rsidRPr="00E050AF">
              <w:t>Olaparib</w:t>
            </w:r>
          </w:p>
          <w:p w14:paraId="41239EBB" w14:textId="77777777" w:rsidR="00AB43EA" w:rsidRPr="00E050AF" w:rsidRDefault="00AB43EA">
            <w:pPr>
              <w:pStyle w:val="TableText"/>
              <w:keepNext/>
              <w:widowControl/>
              <w:jc w:val="center"/>
            </w:pPr>
            <w:r w:rsidRPr="00E050AF">
              <w:t>Initial treatment</w:t>
            </w:r>
          </w:p>
        </w:tc>
        <w:tc>
          <w:tcPr>
            <w:tcW w:w="689" w:type="pct"/>
            <w:tcBorders>
              <w:top w:val="single" w:sz="4" w:space="0" w:color="auto"/>
              <w:left w:val="nil"/>
              <w:bottom w:val="nil"/>
              <w:right w:val="nil"/>
            </w:tcBorders>
            <w:vAlign w:val="center"/>
            <w:hideMark/>
          </w:tcPr>
          <w:p w14:paraId="0E8D4819"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Tablets,</w:t>
            </w:r>
          </w:p>
          <w:p w14:paraId="5D13AA97"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150 mg,</w:t>
            </w:r>
          </w:p>
          <w:p w14:paraId="568455F2"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100 mg</w:t>
            </w:r>
          </w:p>
        </w:tc>
        <w:tc>
          <w:tcPr>
            <w:tcW w:w="528" w:type="pct"/>
            <w:tcBorders>
              <w:top w:val="single" w:sz="4" w:space="0" w:color="auto"/>
              <w:left w:val="nil"/>
              <w:bottom w:val="nil"/>
              <w:right w:val="nil"/>
            </w:tcBorders>
            <w:vAlign w:val="center"/>
            <w:hideMark/>
          </w:tcPr>
          <w:p w14:paraId="2DE1FEC1"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2</w:t>
            </w:r>
          </w:p>
        </w:tc>
        <w:tc>
          <w:tcPr>
            <w:tcW w:w="529" w:type="pct"/>
            <w:tcBorders>
              <w:top w:val="single" w:sz="4" w:space="0" w:color="auto"/>
              <w:left w:val="nil"/>
              <w:bottom w:val="nil"/>
              <w:right w:val="nil"/>
            </w:tcBorders>
            <w:vAlign w:val="center"/>
            <w:hideMark/>
          </w:tcPr>
          <w:p w14:paraId="51F703C9" w14:textId="024A9B61" w:rsidR="00AB43EA" w:rsidRPr="00E050AF" w:rsidRDefault="00FE696F">
            <w:pPr>
              <w:pStyle w:val="TableText"/>
              <w:keepNext/>
              <w:widowControl/>
              <w:jc w:val="center"/>
              <w:cnfStyle w:val="000000000000" w:firstRow="0" w:lastRow="0" w:firstColumn="0" w:lastColumn="0" w:oddVBand="0" w:evenVBand="0" w:oddHBand="0" w:evenHBand="0" w:firstRowFirstColumn="0" w:firstRowLastColumn="0" w:lastRowFirstColumn="0" w:lastRowLastColumn="0"/>
              <w:rPr>
                <w:i/>
                <w:iCs/>
              </w:rPr>
            </w:pPr>
            <w:r w:rsidRPr="00E050AF">
              <w:rPr>
                <w:i/>
                <w:iCs/>
              </w:rPr>
              <w:t>112</w:t>
            </w:r>
          </w:p>
        </w:tc>
        <w:tc>
          <w:tcPr>
            <w:tcW w:w="434" w:type="pct"/>
            <w:tcBorders>
              <w:top w:val="single" w:sz="4" w:space="0" w:color="auto"/>
              <w:left w:val="nil"/>
              <w:bottom w:val="nil"/>
              <w:right w:val="nil"/>
            </w:tcBorders>
            <w:vAlign w:val="center"/>
            <w:hideMark/>
          </w:tcPr>
          <w:p w14:paraId="0C590F6A"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rPr>
                <w:i/>
                <w:iCs/>
              </w:rPr>
            </w:pPr>
            <w:r w:rsidRPr="00E050AF">
              <w:rPr>
                <w:i/>
                <w:iCs/>
              </w:rPr>
              <w:t>2</w:t>
            </w:r>
          </w:p>
        </w:tc>
        <w:tc>
          <w:tcPr>
            <w:tcW w:w="514" w:type="pct"/>
            <w:tcBorders>
              <w:top w:val="single" w:sz="4" w:space="0" w:color="auto"/>
              <w:left w:val="nil"/>
              <w:bottom w:val="nil"/>
              <w:right w:val="nil"/>
            </w:tcBorders>
            <w:vAlign w:val="center"/>
            <w:hideMark/>
          </w:tcPr>
          <w:p w14:paraId="4FB0FD5E"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$6,630.72</w:t>
            </w:r>
          </w:p>
        </w:tc>
        <w:tc>
          <w:tcPr>
            <w:tcW w:w="514" w:type="pct"/>
            <w:tcBorders>
              <w:top w:val="single" w:sz="4" w:space="0" w:color="auto"/>
              <w:left w:val="nil"/>
              <w:bottom w:val="nil"/>
              <w:right w:val="nil"/>
            </w:tcBorders>
            <w:vAlign w:val="center"/>
            <w:hideMark/>
          </w:tcPr>
          <w:p w14:paraId="53F4F143" w14:textId="512B0F15"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color w:val="000000"/>
                <w:spacing w:val="161"/>
                <w:shd w:val="solid" w:color="000000" w:fill="000000"/>
                <w:fitText w:val="254" w:id="-1435752192"/>
                <w14:textFill>
                  <w14:solidFill>
                    <w14:srgbClr w14:val="000000">
                      <w14:alpha w14:val="100000"/>
                    </w14:srgbClr>
                  </w14:solidFill>
                </w14:textFill>
              </w:rPr>
              <w:t>|</w:t>
            </w:r>
            <w:r w:rsidR="00602B47" w:rsidRPr="00602B47">
              <w:rPr>
                <w:color w:val="000000"/>
                <w:shd w:val="solid" w:color="000000" w:fill="000000"/>
                <w:fitText w:val="254" w:id="-1435752192"/>
                <w14:textFill>
                  <w14:solidFill>
                    <w14:srgbClr w14:val="000000">
                      <w14:alpha w14:val="100000"/>
                    </w14:srgbClr>
                  </w14:solidFill>
                </w14:textFill>
              </w:rPr>
              <w:t>|</w:t>
            </w:r>
          </w:p>
        </w:tc>
        <w:tc>
          <w:tcPr>
            <w:tcW w:w="947" w:type="pct"/>
            <w:tcBorders>
              <w:top w:val="single" w:sz="4" w:space="0" w:color="auto"/>
              <w:left w:val="nil"/>
              <w:bottom w:val="nil"/>
              <w:right w:val="nil"/>
            </w:tcBorders>
            <w:vAlign w:val="center"/>
            <w:hideMark/>
          </w:tcPr>
          <w:p w14:paraId="76D889AD"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LYNPARZA®</w:t>
            </w:r>
          </w:p>
          <w:p w14:paraId="6C26B917"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AstraZeneca Pty Ltd</w:t>
            </w:r>
          </w:p>
        </w:tc>
      </w:tr>
      <w:tr w:rsidR="00AB43EA" w:rsidRPr="00E050AF" w14:paraId="49F04A9A" w14:textId="77777777" w:rsidTr="009B1190">
        <w:tc>
          <w:tcPr>
            <w:cnfStyle w:val="001000000000" w:firstRow="0" w:lastRow="0" w:firstColumn="1" w:lastColumn="0" w:oddVBand="0" w:evenVBand="0" w:oddHBand="0" w:evenHBand="0" w:firstRowFirstColumn="0" w:firstRowLastColumn="0" w:lastRowFirstColumn="0" w:lastRowLastColumn="0"/>
            <w:tcW w:w="844" w:type="pct"/>
            <w:tcBorders>
              <w:top w:val="nil"/>
              <w:left w:val="nil"/>
              <w:bottom w:val="single" w:sz="4" w:space="0" w:color="auto"/>
              <w:right w:val="nil"/>
            </w:tcBorders>
            <w:vAlign w:val="center"/>
            <w:hideMark/>
          </w:tcPr>
          <w:p w14:paraId="683AB3BF" w14:textId="77777777" w:rsidR="00AB43EA" w:rsidRPr="00E050AF" w:rsidRDefault="00AB43EA">
            <w:pPr>
              <w:pStyle w:val="TableText"/>
              <w:keepNext/>
              <w:widowControl/>
              <w:jc w:val="center"/>
            </w:pPr>
            <w:r w:rsidRPr="00E050AF">
              <w:t>Olaparib</w:t>
            </w:r>
          </w:p>
          <w:p w14:paraId="2F0E9AAD" w14:textId="77777777" w:rsidR="00AB43EA" w:rsidRPr="00E050AF" w:rsidRDefault="00AB43EA">
            <w:pPr>
              <w:pStyle w:val="TableText"/>
              <w:keepNext/>
              <w:widowControl/>
              <w:jc w:val="center"/>
            </w:pPr>
            <w:r w:rsidRPr="00E050AF">
              <w:t>Continuing treatment</w:t>
            </w:r>
          </w:p>
        </w:tc>
        <w:tc>
          <w:tcPr>
            <w:tcW w:w="689" w:type="pct"/>
            <w:tcBorders>
              <w:top w:val="nil"/>
              <w:left w:val="nil"/>
              <w:bottom w:val="single" w:sz="4" w:space="0" w:color="auto"/>
              <w:right w:val="nil"/>
            </w:tcBorders>
            <w:vAlign w:val="center"/>
            <w:hideMark/>
          </w:tcPr>
          <w:p w14:paraId="5E50B517"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Tablets,</w:t>
            </w:r>
          </w:p>
          <w:p w14:paraId="59400FD1"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150 mg,</w:t>
            </w:r>
          </w:p>
          <w:p w14:paraId="09ABA450"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100 mg</w:t>
            </w:r>
          </w:p>
        </w:tc>
        <w:tc>
          <w:tcPr>
            <w:tcW w:w="528" w:type="pct"/>
            <w:tcBorders>
              <w:top w:val="nil"/>
              <w:left w:val="nil"/>
              <w:bottom w:val="single" w:sz="4" w:space="0" w:color="auto"/>
              <w:right w:val="nil"/>
            </w:tcBorders>
            <w:vAlign w:val="center"/>
            <w:hideMark/>
          </w:tcPr>
          <w:p w14:paraId="18CB4D4F"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2</w:t>
            </w:r>
          </w:p>
        </w:tc>
        <w:tc>
          <w:tcPr>
            <w:tcW w:w="529" w:type="pct"/>
            <w:tcBorders>
              <w:top w:val="nil"/>
              <w:left w:val="nil"/>
              <w:bottom w:val="single" w:sz="4" w:space="0" w:color="auto"/>
              <w:right w:val="nil"/>
            </w:tcBorders>
            <w:vAlign w:val="center"/>
            <w:hideMark/>
          </w:tcPr>
          <w:p w14:paraId="4A6184AC" w14:textId="03378A25" w:rsidR="00AB43EA" w:rsidRPr="00E050AF" w:rsidRDefault="00FE696F">
            <w:pPr>
              <w:pStyle w:val="TableText"/>
              <w:keepNext/>
              <w:widowControl/>
              <w:jc w:val="center"/>
              <w:cnfStyle w:val="000000000000" w:firstRow="0" w:lastRow="0" w:firstColumn="0" w:lastColumn="0" w:oddVBand="0" w:evenVBand="0" w:oddHBand="0" w:evenHBand="0" w:firstRowFirstColumn="0" w:firstRowLastColumn="0" w:lastRowFirstColumn="0" w:lastRowLastColumn="0"/>
              <w:rPr>
                <w:i/>
                <w:iCs/>
              </w:rPr>
            </w:pPr>
            <w:r w:rsidRPr="00E050AF">
              <w:rPr>
                <w:i/>
                <w:iCs/>
              </w:rPr>
              <w:t>112</w:t>
            </w:r>
          </w:p>
        </w:tc>
        <w:tc>
          <w:tcPr>
            <w:tcW w:w="434" w:type="pct"/>
            <w:tcBorders>
              <w:top w:val="nil"/>
              <w:left w:val="nil"/>
              <w:bottom w:val="single" w:sz="4" w:space="0" w:color="auto"/>
              <w:right w:val="nil"/>
            </w:tcBorders>
            <w:vAlign w:val="center"/>
            <w:hideMark/>
          </w:tcPr>
          <w:p w14:paraId="1A2BA470" w14:textId="2359C1DB" w:rsidR="00AB43EA" w:rsidRPr="00E050AF" w:rsidRDefault="008B7C3C">
            <w:pPr>
              <w:pStyle w:val="TableText"/>
              <w:keepNext/>
              <w:widowControl/>
              <w:jc w:val="center"/>
              <w:cnfStyle w:val="000000000000" w:firstRow="0" w:lastRow="0" w:firstColumn="0" w:lastColumn="0" w:oddVBand="0" w:evenVBand="0" w:oddHBand="0" w:evenHBand="0" w:firstRowFirstColumn="0" w:firstRowLastColumn="0" w:lastRowFirstColumn="0" w:lastRowLastColumn="0"/>
              <w:rPr>
                <w:i/>
                <w:iCs/>
                <w:strike/>
              </w:rPr>
            </w:pPr>
            <w:r w:rsidRPr="00E050AF">
              <w:rPr>
                <w:i/>
                <w:iCs/>
              </w:rPr>
              <w:t>5</w:t>
            </w:r>
          </w:p>
        </w:tc>
        <w:tc>
          <w:tcPr>
            <w:tcW w:w="514" w:type="pct"/>
            <w:tcBorders>
              <w:top w:val="nil"/>
              <w:left w:val="nil"/>
              <w:bottom w:val="single" w:sz="4" w:space="0" w:color="auto"/>
              <w:right w:val="nil"/>
            </w:tcBorders>
            <w:vAlign w:val="center"/>
            <w:hideMark/>
          </w:tcPr>
          <w:p w14:paraId="17500A06"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$6,630.72</w:t>
            </w:r>
          </w:p>
        </w:tc>
        <w:tc>
          <w:tcPr>
            <w:tcW w:w="514" w:type="pct"/>
            <w:tcBorders>
              <w:top w:val="nil"/>
              <w:left w:val="nil"/>
              <w:bottom w:val="single" w:sz="4" w:space="0" w:color="auto"/>
              <w:right w:val="nil"/>
            </w:tcBorders>
            <w:vAlign w:val="center"/>
            <w:hideMark/>
          </w:tcPr>
          <w:p w14:paraId="749D3788" w14:textId="7AF07FFF"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color w:val="000000"/>
                <w:spacing w:val="161"/>
                <w:shd w:val="solid" w:color="000000" w:fill="000000"/>
                <w:fitText w:val="254" w:id="-1435752191"/>
                <w14:textFill>
                  <w14:solidFill>
                    <w14:srgbClr w14:val="000000">
                      <w14:alpha w14:val="100000"/>
                    </w14:srgbClr>
                  </w14:solidFill>
                </w14:textFill>
              </w:rPr>
              <w:t>|</w:t>
            </w:r>
            <w:r w:rsidR="00602B47" w:rsidRPr="00602B47">
              <w:rPr>
                <w:color w:val="000000"/>
                <w:shd w:val="solid" w:color="000000" w:fill="000000"/>
                <w:fitText w:val="254" w:id="-1435752191"/>
                <w14:textFill>
                  <w14:solidFill>
                    <w14:srgbClr w14:val="000000">
                      <w14:alpha w14:val="100000"/>
                    </w14:srgbClr>
                  </w14:solidFill>
                </w14:textFill>
              </w:rPr>
              <w:t>|</w:t>
            </w:r>
          </w:p>
        </w:tc>
        <w:tc>
          <w:tcPr>
            <w:tcW w:w="947" w:type="pct"/>
            <w:tcBorders>
              <w:top w:val="nil"/>
              <w:left w:val="nil"/>
              <w:bottom w:val="single" w:sz="4" w:space="0" w:color="auto"/>
              <w:right w:val="nil"/>
            </w:tcBorders>
            <w:vAlign w:val="center"/>
            <w:hideMark/>
          </w:tcPr>
          <w:p w14:paraId="4E6854D1"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LYNPARZA®</w:t>
            </w:r>
          </w:p>
          <w:p w14:paraId="138AABDF" w14:textId="77777777" w:rsidR="00AB43EA" w:rsidRPr="00E050AF" w:rsidRDefault="00AB43EA">
            <w:pPr>
              <w:pStyle w:val="TableText"/>
              <w:keepNext/>
              <w:widowControl/>
              <w:jc w:val="center"/>
              <w:cnfStyle w:val="000000000000" w:firstRow="0" w:lastRow="0" w:firstColumn="0" w:lastColumn="0" w:oddVBand="0" w:evenVBand="0" w:oddHBand="0" w:evenHBand="0" w:firstRowFirstColumn="0" w:firstRowLastColumn="0" w:lastRowFirstColumn="0" w:lastRowLastColumn="0"/>
            </w:pPr>
            <w:r w:rsidRPr="00E050AF">
              <w:t>AstraZeneca Pty Ltd</w:t>
            </w:r>
          </w:p>
        </w:tc>
      </w:tr>
    </w:tbl>
    <w:tbl>
      <w:tblPr>
        <w:tblW w:w="5000" w:type="pct"/>
        <w:tblInd w:w="23" w:type="dxa"/>
        <w:tblCellMar>
          <w:left w:w="28" w:type="dxa"/>
          <w:right w:w="28" w:type="dxa"/>
        </w:tblCellMar>
        <w:tblLook w:val="04A0" w:firstRow="1" w:lastRow="0" w:firstColumn="1" w:lastColumn="0" w:noHBand="0" w:noVBand="1"/>
        <w:tblCaption w:val="Proposed PBS listing"/>
      </w:tblPr>
      <w:tblGrid>
        <w:gridCol w:w="1504"/>
        <w:gridCol w:w="7512"/>
      </w:tblGrid>
      <w:tr w:rsidR="00AB43EA" w:rsidRPr="00E050AF" w14:paraId="4319EA87" w14:textId="77777777" w:rsidTr="003923B9">
        <w:trPr>
          <w:trHeight w:val="20"/>
        </w:trPr>
        <w:tc>
          <w:tcPr>
            <w:tcW w:w="834" w:type="pct"/>
            <w:tcBorders>
              <w:left w:val="single" w:sz="4" w:space="0" w:color="auto"/>
              <w:bottom w:val="single" w:sz="4" w:space="0" w:color="auto"/>
              <w:right w:val="single" w:sz="4" w:space="0" w:color="auto"/>
            </w:tcBorders>
          </w:tcPr>
          <w:p w14:paraId="226ABF74" w14:textId="4FC5DDB9" w:rsidR="00AB43EA" w:rsidRPr="00E050AF" w:rsidRDefault="00AB43EA">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Category / Program</w:t>
            </w:r>
          </w:p>
        </w:tc>
        <w:tc>
          <w:tcPr>
            <w:tcW w:w="4166" w:type="pct"/>
            <w:tcBorders>
              <w:left w:val="single" w:sz="4" w:space="0" w:color="auto"/>
              <w:bottom w:val="single" w:sz="4" w:space="0" w:color="auto"/>
              <w:right w:val="single" w:sz="4" w:space="0" w:color="auto"/>
            </w:tcBorders>
          </w:tcPr>
          <w:p w14:paraId="743F7FE2" w14:textId="36FE2B0A"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Section 85 – General Schedule</w:t>
            </w:r>
          </w:p>
        </w:tc>
      </w:tr>
      <w:tr w:rsidR="00AB43EA" w:rsidRPr="00E050AF" w14:paraId="35A55E60"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54470666" w14:textId="4A0B9491" w:rsidR="00AB43EA" w:rsidRPr="00E050AF" w:rsidRDefault="00AB43EA">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Prescriber type</w:t>
            </w:r>
          </w:p>
        </w:tc>
        <w:tc>
          <w:tcPr>
            <w:tcW w:w="4166" w:type="pct"/>
            <w:tcBorders>
              <w:top w:val="single" w:sz="4" w:space="0" w:color="auto"/>
              <w:left w:val="single" w:sz="4" w:space="0" w:color="auto"/>
              <w:bottom w:val="single" w:sz="4" w:space="0" w:color="auto"/>
              <w:right w:val="single" w:sz="4" w:space="0" w:color="auto"/>
            </w:tcBorders>
          </w:tcPr>
          <w:p w14:paraId="43CD4A3A" w14:textId="2EFD64AA" w:rsidR="00AB43EA" w:rsidRPr="00E050AF" w:rsidRDefault="00AB43EA">
            <w:pPr>
              <w:pStyle w:val="TableText"/>
              <w:spacing w:line="256" w:lineRule="auto"/>
              <w:rPr>
                <w:rFonts w:eastAsia="Times New Roman" w:cs="Times New Roman"/>
                <w:snapToGrid w:val="0"/>
                <w:color w:val="000000"/>
                <w:szCs w:val="24"/>
                <w:lang w:eastAsia="en-AU"/>
              </w:rPr>
            </w:pPr>
            <w:r w:rsidRPr="00E050AF">
              <w:fldChar w:fldCharType="begin">
                <w:ffData>
                  <w:name w:val="Check1"/>
                  <w:enabled/>
                  <w:calcOnExit w:val="0"/>
                  <w:checkBox>
                    <w:sizeAuto/>
                    <w:default w:val="1"/>
                  </w:checkBox>
                </w:ffData>
              </w:fldChar>
            </w:r>
            <w:r w:rsidRPr="00E050AF">
              <w:rPr>
                <w:rFonts w:eastAsia="Times New Roman" w:cs="Times New Roman"/>
                <w:snapToGrid w:val="0"/>
                <w:color w:val="000000"/>
                <w:szCs w:val="24"/>
                <w:lang w:eastAsia="en-AU"/>
              </w:rPr>
              <w:instrText xml:space="preserve"> FORMCHECKBOX </w:instrText>
            </w:r>
            <w:r w:rsidR="003973FA">
              <w:fldChar w:fldCharType="separate"/>
            </w:r>
            <w:r w:rsidRPr="00E050AF">
              <w:fldChar w:fldCharType="end"/>
            </w:r>
            <w:r w:rsidRPr="00E050AF">
              <w:rPr>
                <w:rFonts w:eastAsia="Times New Roman" w:cs="Times New Roman"/>
                <w:snapToGrid w:val="0"/>
                <w:color w:val="000000"/>
                <w:szCs w:val="24"/>
                <w:lang w:eastAsia="en-AU"/>
              </w:rPr>
              <w:t xml:space="preserve"> Medical Practitioners </w:t>
            </w:r>
          </w:p>
        </w:tc>
      </w:tr>
      <w:tr w:rsidR="00AB43EA" w:rsidRPr="00E050AF" w14:paraId="4FB49CD0"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24225168" w14:textId="320108C7" w:rsidR="00AB43EA" w:rsidRPr="00E050AF" w:rsidRDefault="00AB43EA">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Condition</w:t>
            </w:r>
          </w:p>
        </w:tc>
        <w:tc>
          <w:tcPr>
            <w:tcW w:w="4166" w:type="pct"/>
            <w:tcBorders>
              <w:top w:val="single" w:sz="4" w:space="0" w:color="auto"/>
              <w:left w:val="single" w:sz="4" w:space="0" w:color="auto"/>
              <w:bottom w:val="single" w:sz="4" w:space="0" w:color="auto"/>
              <w:right w:val="single" w:sz="4" w:space="0" w:color="auto"/>
            </w:tcBorders>
          </w:tcPr>
          <w:p w14:paraId="5399D607" w14:textId="394F4B1A"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High grade stage III/IV epithelial ovarian, fallopian tube or primary peritoneal cancer</w:t>
            </w:r>
          </w:p>
        </w:tc>
      </w:tr>
      <w:tr w:rsidR="00AB43EA" w:rsidRPr="00E050AF" w14:paraId="4CCB5D09"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5EF0C255" w14:textId="66C2177C" w:rsidR="00AB43EA" w:rsidRPr="00E050AF" w:rsidRDefault="00AB43EA">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PBS Indication</w:t>
            </w:r>
          </w:p>
        </w:tc>
        <w:tc>
          <w:tcPr>
            <w:tcW w:w="4166" w:type="pct"/>
            <w:tcBorders>
              <w:top w:val="single" w:sz="4" w:space="0" w:color="auto"/>
              <w:left w:val="single" w:sz="4" w:space="0" w:color="auto"/>
              <w:bottom w:val="single" w:sz="4" w:space="0" w:color="auto"/>
              <w:right w:val="single" w:sz="4" w:space="0" w:color="auto"/>
            </w:tcBorders>
          </w:tcPr>
          <w:p w14:paraId="555C30DC" w14:textId="485101E2"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High grade stage III/IV epithelial ovarian, fallopian tube or primary peritoneal cancer</w:t>
            </w:r>
          </w:p>
        </w:tc>
      </w:tr>
      <w:tr w:rsidR="00AB43EA" w:rsidRPr="00E050AF" w14:paraId="29C0E638"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30BCF870" w14:textId="47D5FB61" w:rsidR="00AB43EA" w:rsidRPr="00E050AF" w:rsidRDefault="00AB43EA">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Treatment phase</w:t>
            </w:r>
          </w:p>
        </w:tc>
        <w:tc>
          <w:tcPr>
            <w:tcW w:w="4166" w:type="pct"/>
            <w:tcBorders>
              <w:top w:val="single" w:sz="4" w:space="0" w:color="auto"/>
              <w:left w:val="single" w:sz="4" w:space="0" w:color="auto"/>
              <w:bottom w:val="single" w:sz="4" w:space="0" w:color="auto"/>
              <w:right w:val="single" w:sz="4" w:space="0" w:color="auto"/>
            </w:tcBorders>
          </w:tcPr>
          <w:p w14:paraId="5C93B62E" w14:textId="3F0BEED3"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Initial treatment – first line treatment</w:t>
            </w:r>
          </w:p>
        </w:tc>
      </w:tr>
      <w:tr w:rsidR="00AB43EA" w:rsidRPr="00E050AF" w14:paraId="36B19F6A"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684CAE36" w14:textId="7BF811E6" w:rsidR="00AB43EA" w:rsidRPr="00E050AF" w:rsidRDefault="00AB43EA">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Restriction</w:t>
            </w:r>
          </w:p>
        </w:tc>
        <w:tc>
          <w:tcPr>
            <w:tcW w:w="4166" w:type="pct"/>
            <w:tcBorders>
              <w:top w:val="single" w:sz="4" w:space="0" w:color="auto"/>
              <w:left w:val="single" w:sz="4" w:space="0" w:color="auto"/>
              <w:bottom w:val="single" w:sz="4" w:space="0" w:color="auto"/>
              <w:right w:val="single" w:sz="4" w:space="0" w:color="auto"/>
            </w:tcBorders>
          </w:tcPr>
          <w:p w14:paraId="60C42C7A" w14:textId="253EA5E3" w:rsidR="00AB43EA" w:rsidRPr="00E050AF" w:rsidRDefault="00AB43EA">
            <w:pPr>
              <w:pStyle w:val="TableText"/>
              <w:spacing w:line="256" w:lineRule="auto"/>
              <w:rPr>
                <w:rFonts w:eastAsia="Times New Roman" w:cs="Times New Roman"/>
                <w:snapToGrid w:val="0"/>
                <w:color w:val="000000"/>
                <w:szCs w:val="24"/>
                <w:lang w:eastAsia="en-AU"/>
              </w:rPr>
            </w:pPr>
            <w:r w:rsidRPr="00E050AF">
              <w:fldChar w:fldCharType="begin">
                <w:ffData>
                  <w:name w:val="Check1"/>
                  <w:enabled/>
                  <w:calcOnExit w:val="0"/>
                  <w:checkBox>
                    <w:sizeAuto/>
                    <w:default w:val="1"/>
                  </w:checkBox>
                </w:ffData>
              </w:fldChar>
            </w:r>
            <w:r w:rsidRPr="00E050AF">
              <w:rPr>
                <w:rFonts w:eastAsia="Times New Roman" w:cs="Times New Roman"/>
                <w:snapToGrid w:val="0"/>
                <w:color w:val="000000"/>
                <w:szCs w:val="24"/>
                <w:lang w:eastAsia="en-AU"/>
              </w:rPr>
              <w:instrText xml:space="preserve"> FORMCHECKBOX </w:instrText>
            </w:r>
            <w:r w:rsidR="003973FA">
              <w:fldChar w:fldCharType="separate"/>
            </w:r>
            <w:r w:rsidRPr="00E050AF">
              <w:fldChar w:fldCharType="end"/>
            </w:r>
            <w:r w:rsidRPr="00E050AF">
              <w:rPr>
                <w:rFonts w:eastAsia="Times New Roman" w:cs="Times New Roman"/>
                <w:snapToGrid w:val="0"/>
                <w:color w:val="000000"/>
                <w:szCs w:val="24"/>
                <w:lang w:eastAsia="en-AU"/>
              </w:rPr>
              <w:t xml:space="preserve"> Authority Required – Telephone </w:t>
            </w:r>
          </w:p>
          <w:p w14:paraId="60EB1C82" w14:textId="74DA7644" w:rsidR="00AB43EA" w:rsidRPr="00E050AF" w:rsidRDefault="00AB43EA">
            <w:pPr>
              <w:pStyle w:val="TableText"/>
              <w:spacing w:line="256" w:lineRule="auto"/>
              <w:rPr>
                <w:rFonts w:eastAsia="Times New Roman" w:cs="Times New Roman"/>
                <w:snapToGrid w:val="0"/>
                <w:color w:val="000000"/>
                <w:szCs w:val="24"/>
                <w:lang w:eastAsia="en-AU"/>
              </w:rPr>
            </w:pPr>
            <w:r w:rsidRPr="00E050AF">
              <w:fldChar w:fldCharType="begin">
                <w:ffData>
                  <w:name w:val=""/>
                  <w:enabled/>
                  <w:calcOnExit w:val="0"/>
                  <w:checkBox>
                    <w:sizeAuto/>
                    <w:default w:val="1"/>
                  </w:checkBox>
                </w:ffData>
              </w:fldChar>
            </w:r>
            <w:r w:rsidRPr="00E050AF">
              <w:rPr>
                <w:rFonts w:eastAsia="Times New Roman" w:cs="Times New Roman"/>
                <w:snapToGrid w:val="0"/>
                <w:color w:val="000000"/>
                <w:szCs w:val="24"/>
                <w:lang w:eastAsia="en-AU"/>
              </w:rPr>
              <w:instrText xml:space="preserve"> FORMCHECKBOX </w:instrText>
            </w:r>
            <w:r w:rsidR="003973FA">
              <w:fldChar w:fldCharType="separate"/>
            </w:r>
            <w:r w:rsidRPr="00E050AF">
              <w:fldChar w:fldCharType="end"/>
            </w:r>
            <w:r w:rsidRPr="00E050AF">
              <w:rPr>
                <w:rFonts w:eastAsia="Times New Roman" w:cs="Times New Roman"/>
                <w:snapToGrid w:val="0"/>
                <w:color w:val="000000"/>
                <w:szCs w:val="24"/>
                <w:lang w:eastAsia="en-AU"/>
              </w:rPr>
              <w:t xml:space="preserve"> Authority Required – Electronic</w:t>
            </w:r>
          </w:p>
        </w:tc>
      </w:tr>
      <w:tr w:rsidR="00AB43EA" w:rsidRPr="00E050AF" w14:paraId="39088D73"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573D6678" w14:textId="627D9478" w:rsidR="00AB43EA" w:rsidRPr="00E050AF" w:rsidRDefault="00AB43EA">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Clinical criteria</w:t>
            </w:r>
          </w:p>
        </w:tc>
        <w:tc>
          <w:tcPr>
            <w:tcW w:w="4166" w:type="pct"/>
            <w:tcBorders>
              <w:top w:val="single" w:sz="4" w:space="0" w:color="auto"/>
              <w:left w:val="single" w:sz="4" w:space="0" w:color="auto"/>
              <w:bottom w:val="single" w:sz="4" w:space="0" w:color="auto"/>
              <w:right w:val="single" w:sz="4" w:space="0" w:color="auto"/>
            </w:tcBorders>
          </w:tcPr>
          <w:p w14:paraId="6990F5F0" w14:textId="30B4F49A"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 xml:space="preserve">The condition must be associated with homologous recombination deficiency (HRD) positive status defined by genomic instability </w:t>
            </w:r>
          </w:p>
          <w:p w14:paraId="7937EB0D" w14:textId="2F8F12D4"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AND</w:t>
            </w:r>
          </w:p>
          <w:p w14:paraId="71413D04" w14:textId="077E1069"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 xml:space="preserve">The condition must not be associated with a class 4 or 5 </w:t>
            </w:r>
            <w:r w:rsidR="00CF529A" w:rsidRPr="00E050AF">
              <w:rPr>
                <w:rFonts w:eastAsia="Times New Roman" w:cs="Times New Roman"/>
                <w:i/>
                <w:iCs/>
                <w:snapToGrid w:val="0"/>
                <w:color w:val="000000"/>
                <w:szCs w:val="24"/>
                <w:lang w:eastAsia="en-AU"/>
              </w:rPr>
              <w:t>BRCA</w:t>
            </w:r>
            <w:r w:rsidRPr="00E050AF">
              <w:rPr>
                <w:rFonts w:eastAsia="Times New Roman" w:cs="Times New Roman"/>
                <w:i/>
                <w:iCs/>
                <w:snapToGrid w:val="0"/>
                <w:color w:val="000000"/>
                <w:szCs w:val="24"/>
                <w:lang w:eastAsia="en-AU"/>
              </w:rPr>
              <w:t>1</w:t>
            </w:r>
            <w:r w:rsidRPr="00E050AF">
              <w:rPr>
                <w:rFonts w:eastAsia="Times New Roman" w:cs="Times New Roman"/>
                <w:snapToGrid w:val="0"/>
                <w:color w:val="000000"/>
                <w:szCs w:val="24"/>
                <w:lang w:eastAsia="en-AU"/>
              </w:rPr>
              <w:t xml:space="preserve"> or </w:t>
            </w:r>
            <w:r w:rsidR="00CF529A" w:rsidRPr="00E050AF">
              <w:rPr>
                <w:rFonts w:eastAsia="Times New Roman" w:cs="Times New Roman"/>
                <w:i/>
                <w:iCs/>
                <w:snapToGrid w:val="0"/>
                <w:color w:val="000000"/>
                <w:szCs w:val="24"/>
                <w:lang w:eastAsia="en-AU"/>
              </w:rPr>
              <w:t>BRCA</w:t>
            </w:r>
            <w:r w:rsidRPr="00E050AF">
              <w:rPr>
                <w:rFonts w:eastAsia="Times New Roman" w:cs="Times New Roman"/>
                <w:i/>
                <w:iCs/>
                <w:snapToGrid w:val="0"/>
                <w:color w:val="000000"/>
                <w:szCs w:val="24"/>
                <w:lang w:eastAsia="en-AU"/>
              </w:rPr>
              <w:t>2</w:t>
            </w:r>
            <w:r w:rsidRPr="00E050AF">
              <w:rPr>
                <w:rFonts w:eastAsia="Times New Roman" w:cs="Times New Roman"/>
                <w:snapToGrid w:val="0"/>
                <w:color w:val="000000"/>
                <w:szCs w:val="24"/>
                <w:lang w:eastAsia="en-AU"/>
              </w:rPr>
              <w:t xml:space="preserve"> </w:t>
            </w:r>
            <w:r w:rsidRPr="00E050AF">
              <w:rPr>
                <w:rFonts w:eastAsia="Times New Roman" w:cs="Times New Roman"/>
                <w:strike/>
                <w:snapToGrid w:val="0"/>
                <w:color w:val="000000"/>
                <w:szCs w:val="24"/>
                <w:lang w:eastAsia="en-AU"/>
              </w:rPr>
              <w:t>gene mutation</w:t>
            </w:r>
            <w:r w:rsidR="00C34FB3" w:rsidRPr="00E050AF">
              <w:rPr>
                <w:rFonts w:eastAsia="Times New Roman" w:cs="Times New Roman"/>
                <w:strike/>
                <w:snapToGrid w:val="0"/>
                <w:color w:val="000000"/>
                <w:szCs w:val="24"/>
                <w:lang w:eastAsia="en-AU"/>
              </w:rPr>
              <w:t xml:space="preserve"> </w:t>
            </w:r>
            <w:r w:rsidR="00C34FB3" w:rsidRPr="00E050AF">
              <w:rPr>
                <w:rFonts w:eastAsia="Times New Roman" w:cs="Times New Roman"/>
                <w:i/>
                <w:iCs/>
                <w:snapToGrid w:val="0"/>
                <w:color w:val="000000"/>
                <w:szCs w:val="24"/>
                <w:lang w:eastAsia="en-AU"/>
              </w:rPr>
              <w:t>pathological variant</w:t>
            </w:r>
          </w:p>
          <w:p w14:paraId="6ECEC6D9" w14:textId="6006800B"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AND</w:t>
            </w:r>
          </w:p>
          <w:p w14:paraId="0DAF718A" w14:textId="4AF922FA"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Patient must be in partial or complete response to the immediately preceding platinum-based chemotherapy regimen prior to commencing treatment with this drug for this condition,</w:t>
            </w:r>
          </w:p>
          <w:p w14:paraId="1EA3749B" w14:textId="21334257" w:rsidR="00AB43EA" w:rsidRPr="00E050AF" w:rsidRDefault="00AB43EA">
            <w:pPr>
              <w:pStyle w:val="TableText"/>
              <w:spacing w:line="256" w:lineRule="auto"/>
              <w:rPr>
                <w:rFonts w:eastAsia="Times New Roman" w:cs="Times New Roman"/>
                <w:strike/>
                <w:snapToGrid w:val="0"/>
                <w:color w:val="000000"/>
                <w:szCs w:val="24"/>
                <w:lang w:eastAsia="en-AU"/>
              </w:rPr>
            </w:pPr>
            <w:r w:rsidRPr="00E050AF">
              <w:rPr>
                <w:rFonts w:eastAsia="Times New Roman" w:cs="Times New Roman"/>
                <w:strike/>
                <w:snapToGrid w:val="0"/>
                <w:color w:val="000000"/>
                <w:szCs w:val="24"/>
                <w:lang w:eastAsia="en-AU"/>
              </w:rPr>
              <w:t>AND</w:t>
            </w:r>
          </w:p>
          <w:p w14:paraId="7FBD1DFE" w14:textId="409EEB2C" w:rsidR="00AB43EA" w:rsidRPr="00E050AF" w:rsidRDefault="00AB43EA">
            <w:pPr>
              <w:pStyle w:val="TableText"/>
              <w:spacing w:line="256" w:lineRule="auto"/>
              <w:rPr>
                <w:rFonts w:eastAsia="Times New Roman" w:cs="Times New Roman"/>
                <w:strike/>
                <w:snapToGrid w:val="0"/>
                <w:color w:val="000000"/>
                <w:szCs w:val="24"/>
                <w:lang w:eastAsia="en-AU"/>
              </w:rPr>
            </w:pPr>
            <w:r w:rsidRPr="00E050AF">
              <w:rPr>
                <w:rFonts w:eastAsia="Times New Roman" w:cs="Times New Roman"/>
                <w:strike/>
                <w:snapToGrid w:val="0"/>
                <w:color w:val="000000"/>
                <w:szCs w:val="24"/>
                <w:lang w:eastAsia="en-AU"/>
              </w:rPr>
              <w:t>Treatment must</w:t>
            </w:r>
            <w:r w:rsidR="00B8205E" w:rsidRPr="00E050AF">
              <w:rPr>
                <w:rFonts w:eastAsia="Times New Roman" w:cs="Times New Roman"/>
                <w:strike/>
                <w:snapToGrid w:val="0"/>
                <w:color w:val="000000"/>
                <w:szCs w:val="24"/>
                <w:lang w:eastAsia="en-AU"/>
              </w:rPr>
              <w:t xml:space="preserve"> </w:t>
            </w:r>
            <w:r w:rsidRPr="00E050AF">
              <w:rPr>
                <w:rFonts w:eastAsia="Times New Roman" w:cs="Times New Roman"/>
                <w:strike/>
                <w:snapToGrid w:val="0"/>
                <w:color w:val="000000"/>
                <w:szCs w:val="24"/>
                <w:lang w:eastAsia="en-AU"/>
              </w:rPr>
              <w:t>commence in combination with bevacizumab</w:t>
            </w:r>
          </w:p>
          <w:p w14:paraId="1534A89D" w14:textId="737148F7"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AND</w:t>
            </w:r>
          </w:p>
          <w:p w14:paraId="203554F2" w14:textId="5C090E7C" w:rsidR="00AB43EA" w:rsidRPr="00E050AF" w:rsidRDefault="00AB43EA">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Patient must not have previously received PBS-subsidised treatment with this drug for this condition</w:t>
            </w:r>
          </w:p>
        </w:tc>
      </w:tr>
      <w:tr w:rsidR="00AB43EA" w:rsidRPr="00E050AF" w14:paraId="55D10744"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18273DD6" w14:textId="018722B4" w:rsidR="00AB43EA" w:rsidRPr="00E050AF" w:rsidRDefault="00AB43EA">
            <w:pPr>
              <w:pStyle w:val="TableText"/>
              <w:spacing w:line="256" w:lineRule="auto"/>
              <w:rPr>
                <w:rFonts w:eastAsia="Times New Roman" w:cs="Times New Roman"/>
                <w:strike/>
                <w:snapToGrid w:val="0"/>
                <w:szCs w:val="24"/>
                <w:lang w:eastAsia="en-AU"/>
              </w:rPr>
            </w:pPr>
            <w:r w:rsidRPr="00E050AF">
              <w:rPr>
                <w:rFonts w:eastAsia="Times New Roman" w:cs="Times New Roman"/>
                <w:strike/>
                <w:snapToGrid w:val="0"/>
                <w:szCs w:val="24"/>
                <w:lang w:eastAsia="en-AU"/>
              </w:rPr>
              <w:t>Prescriber Instructions</w:t>
            </w:r>
          </w:p>
        </w:tc>
        <w:tc>
          <w:tcPr>
            <w:tcW w:w="4166" w:type="pct"/>
            <w:tcBorders>
              <w:top w:val="single" w:sz="4" w:space="0" w:color="auto"/>
              <w:left w:val="single" w:sz="4" w:space="0" w:color="auto"/>
              <w:bottom w:val="single" w:sz="4" w:space="0" w:color="auto"/>
              <w:right w:val="single" w:sz="4" w:space="0" w:color="auto"/>
            </w:tcBorders>
          </w:tcPr>
          <w:p w14:paraId="347BF20A" w14:textId="2B8C5636" w:rsidR="00AB43EA" w:rsidRPr="00E050AF" w:rsidRDefault="00AB43EA">
            <w:pPr>
              <w:pStyle w:val="TableText"/>
              <w:spacing w:line="256" w:lineRule="auto"/>
              <w:rPr>
                <w:rFonts w:eastAsia="Times New Roman" w:cs="Times New Roman"/>
                <w:strike/>
                <w:snapToGrid w:val="0"/>
                <w:color w:val="000000"/>
                <w:szCs w:val="24"/>
                <w:lang w:eastAsia="en-AU"/>
              </w:rPr>
            </w:pPr>
            <w:r w:rsidRPr="00E050AF">
              <w:rPr>
                <w:rFonts w:eastAsia="Times New Roman" w:cs="Times New Roman"/>
                <w:strike/>
                <w:snapToGrid w:val="0"/>
                <w:color w:val="000000"/>
                <w:szCs w:val="24"/>
                <w:lang w:eastAsia="en-AU"/>
              </w:rPr>
              <w:t>A response (complete or partial) to the platinum-based chemotherapy regimen is to be assessed using either Gynaecologic Cancer InterGroup (GCIC) or Response Evaluation in Solid Tumours (RECIST) guidelines.</w:t>
            </w:r>
          </w:p>
          <w:p w14:paraId="1201456C" w14:textId="41D41DC7" w:rsidR="00AB43EA" w:rsidRPr="00E050AF" w:rsidRDefault="00AB43EA">
            <w:pPr>
              <w:pStyle w:val="TableText"/>
              <w:spacing w:line="256" w:lineRule="auto"/>
              <w:rPr>
                <w:rFonts w:eastAsia="Times New Roman" w:cs="Times New Roman"/>
                <w:strike/>
                <w:snapToGrid w:val="0"/>
                <w:color w:val="000000"/>
                <w:szCs w:val="24"/>
                <w:lang w:eastAsia="en-AU"/>
              </w:rPr>
            </w:pPr>
            <w:r w:rsidRPr="00E050AF">
              <w:rPr>
                <w:rFonts w:eastAsia="Times New Roman" w:cs="Times New Roman"/>
                <w:strike/>
                <w:snapToGrid w:val="0"/>
                <w:color w:val="000000"/>
                <w:szCs w:val="24"/>
                <w:lang w:eastAsia="en-AU"/>
              </w:rPr>
              <w:t xml:space="preserve">Evidence of genomic instability derived through a validated HRD assay. </w:t>
            </w:r>
          </w:p>
        </w:tc>
      </w:tr>
      <w:tr w:rsidR="007E428B" w:rsidRPr="00E050AF" w14:paraId="2183EA7B"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5A979119" w14:textId="0F05DCCB" w:rsidR="007E428B" w:rsidRPr="00E050AF" w:rsidRDefault="007E428B">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Prescriber Instructions</w:t>
            </w:r>
          </w:p>
        </w:tc>
        <w:tc>
          <w:tcPr>
            <w:tcW w:w="4166" w:type="pct"/>
            <w:tcBorders>
              <w:top w:val="single" w:sz="4" w:space="0" w:color="auto"/>
              <w:left w:val="single" w:sz="4" w:space="0" w:color="auto"/>
              <w:bottom w:val="single" w:sz="4" w:space="0" w:color="auto"/>
              <w:right w:val="single" w:sz="4" w:space="0" w:color="auto"/>
            </w:tcBorders>
          </w:tcPr>
          <w:p w14:paraId="731848BF" w14:textId="1091AAFF" w:rsidR="007E428B" w:rsidRPr="00E050AF" w:rsidRDefault="007E428B" w:rsidP="007E428B">
            <w:pPr>
              <w:spacing w:before="0"/>
              <w:ind w:left="-57"/>
              <w:jc w:val="left"/>
              <w:textAlignment w:val="baseline"/>
              <w:rPr>
                <w:rFonts w:ascii="Arial Narrow" w:hAnsi="Arial Narrow"/>
                <w:i/>
                <w:iCs/>
                <w:sz w:val="20"/>
                <w:lang w:bidi="en-US"/>
              </w:rPr>
            </w:pPr>
            <w:r w:rsidRPr="00E050AF">
              <w:rPr>
                <w:rFonts w:ascii="Arial Narrow" w:hAnsi="Arial Narrow"/>
                <w:i/>
                <w:iCs/>
                <w:sz w:val="20"/>
              </w:rPr>
              <w:t>Evidence of a BRCA1 or BRCA2 gene mutation must be derived through [TBC,</w:t>
            </w:r>
            <w:r w:rsidRPr="00E050AF">
              <w:rPr>
                <w:rFonts w:ascii="Arial Narrow" w:hAnsi="Arial Narrow"/>
                <w:i/>
                <w:iCs/>
                <w:sz w:val="20"/>
                <w:lang w:bidi="en-US"/>
              </w:rPr>
              <w:t xml:space="preserve"> further detail required</w:t>
            </w:r>
            <w:r w:rsidR="00291C37" w:rsidRPr="00E050AF">
              <w:rPr>
                <w:rFonts w:ascii="Arial Narrow" w:hAnsi="Arial Narrow"/>
                <w:i/>
                <w:iCs/>
                <w:sz w:val="20"/>
                <w:lang w:bidi="en-US"/>
              </w:rPr>
              <w:t xml:space="preserve"> see below</w:t>
            </w:r>
            <w:r w:rsidRPr="00E050AF">
              <w:rPr>
                <w:rFonts w:ascii="Arial Narrow" w:hAnsi="Arial Narrow"/>
                <w:i/>
                <w:iCs/>
                <w:sz w:val="20"/>
                <w:lang w:bidi="en-US"/>
              </w:rPr>
              <w:t>]</w:t>
            </w:r>
            <w:r w:rsidRPr="00E050AF">
              <w:rPr>
                <w:rFonts w:ascii="Arial Narrow" w:hAnsi="Arial Narrow"/>
                <w:i/>
                <w:iCs/>
                <w:sz w:val="20"/>
              </w:rPr>
              <w:t xml:space="preserve">, </w:t>
            </w:r>
            <w:r w:rsidRPr="00E050AF">
              <w:rPr>
                <w:rFonts w:ascii="Arial Narrow" w:hAnsi="Arial Narrow"/>
                <w:i/>
                <w:iCs/>
                <w:strike/>
                <w:sz w:val="20"/>
              </w:rPr>
              <w:t xml:space="preserve">germline or somatic mutation testing. </w:t>
            </w:r>
          </w:p>
          <w:p w14:paraId="03A6652C" w14:textId="2BB0CBA8" w:rsidR="007E428B" w:rsidRPr="00E050AF" w:rsidRDefault="007E428B" w:rsidP="007E428B">
            <w:pPr>
              <w:spacing w:before="0"/>
              <w:jc w:val="left"/>
              <w:rPr>
                <w:i/>
                <w:iCs/>
                <w:sz w:val="20"/>
              </w:rPr>
            </w:pPr>
            <w:r w:rsidRPr="00E050AF">
              <w:rPr>
                <w:rFonts w:ascii="Arial Narrow" w:hAnsi="Arial Narrow"/>
                <w:sz w:val="20"/>
                <w:lang w:bidi="en-US"/>
              </w:rPr>
              <w:t>Evidence of genomic instability must be derived through a validated HRD assay</w:t>
            </w:r>
            <w:r w:rsidRPr="00E050AF">
              <w:rPr>
                <w:i/>
                <w:iCs/>
                <w:sz w:val="20"/>
              </w:rPr>
              <w:t xml:space="preserve"> </w:t>
            </w:r>
            <w:r w:rsidRPr="00E050AF">
              <w:rPr>
                <w:rFonts w:ascii="Arial Narrow" w:hAnsi="Arial Narrow"/>
                <w:i/>
                <w:iCs/>
                <w:sz w:val="20"/>
                <w:lang w:bidi="en-US"/>
              </w:rPr>
              <w:t>where HRD positive status is defined as a Genomic Instability Score (GIS) exceeding 42 using the Myriad myChoice HRD Plus assay or an assay and score threshold that has been validated against this standard.</w:t>
            </w:r>
          </w:p>
        </w:tc>
      </w:tr>
      <w:tr w:rsidR="007E428B" w:rsidRPr="00E050AF" w14:paraId="49ED59BF"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0F9FB26F" w14:textId="42F056D9" w:rsidR="007E428B" w:rsidRPr="00E050AF" w:rsidRDefault="007E428B">
            <w:pPr>
              <w:pStyle w:val="TableText"/>
              <w:spacing w:line="256" w:lineRule="auto"/>
              <w:rPr>
                <w:rFonts w:eastAsia="Times New Roman" w:cs="Times New Roman"/>
                <w:i/>
                <w:iCs/>
                <w:snapToGrid w:val="0"/>
                <w:szCs w:val="24"/>
                <w:lang w:eastAsia="en-AU"/>
              </w:rPr>
            </w:pPr>
            <w:r w:rsidRPr="00E050AF">
              <w:rPr>
                <w:i/>
                <w:iCs/>
              </w:rPr>
              <w:t>Administrative Advice</w:t>
            </w:r>
          </w:p>
        </w:tc>
        <w:tc>
          <w:tcPr>
            <w:tcW w:w="4166" w:type="pct"/>
            <w:tcBorders>
              <w:top w:val="single" w:sz="4" w:space="0" w:color="auto"/>
              <w:left w:val="single" w:sz="4" w:space="0" w:color="auto"/>
              <w:bottom w:val="single" w:sz="4" w:space="0" w:color="auto"/>
              <w:right w:val="single" w:sz="4" w:space="0" w:color="auto"/>
            </w:tcBorders>
          </w:tcPr>
          <w:p w14:paraId="7C8D0B09" w14:textId="7ABC774F" w:rsidR="007E428B" w:rsidRPr="00E050AF" w:rsidRDefault="007E428B" w:rsidP="007E428B">
            <w:pPr>
              <w:spacing w:before="0"/>
              <w:jc w:val="left"/>
              <w:rPr>
                <w:rFonts w:ascii="Arial Narrow" w:hAnsi="Arial Narrow"/>
                <w:i/>
                <w:iCs/>
                <w:sz w:val="20"/>
                <w:lang w:bidi="en-US"/>
              </w:rPr>
            </w:pPr>
            <w:r w:rsidRPr="00E050AF">
              <w:rPr>
                <w:rFonts w:ascii="Arial Narrow" w:hAnsi="Arial Narrow"/>
                <w:i/>
                <w:iCs/>
                <w:sz w:val="20"/>
              </w:rPr>
              <w:t>Applications for authorisation under this restriction may be made in real time using the Online PBS Authorities system (see www.servicesaustralia.gov.au/HPOS) or by telephone by contacting Services Australia on 1800 888 333.</w:t>
            </w:r>
          </w:p>
        </w:tc>
      </w:tr>
      <w:tr w:rsidR="007E428B" w:rsidRPr="00E050AF" w14:paraId="6A51013D" w14:textId="77777777" w:rsidTr="007E428B">
        <w:trPr>
          <w:trHeight w:val="20"/>
        </w:trPr>
        <w:tc>
          <w:tcPr>
            <w:tcW w:w="834" w:type="pct"/>
            <w:tcBorders>
              <w:top w:val="single" w:sz="4" w:space="0" w:color="auto"/>
              <w:left w:val="single" w:sz="4" w:space="0" w:color="auto"/>
              <w:bottom w:val="single" w:sz="4" w:space="0" w:color="auto"/>
              <w:right w:val="single" w:sz="4" w:space="0" w:color="auto"/>
            </w:tcBorders>
          </w:tcPr>
          <w:p w14:paraId="08DF31BF" w14:textId="140B9650" w:rsidR="007E428B" w:rsidRPr="00E050AF" w:rsidRDefault="007E428B" w:rsidP="007E428B">
            <w:pPr>
              <w:pStyle w:val="TableText"/>
              <w:spacing w:line="256" w:lineRule="auto"/>
            </w:pPr>
            <w:r w:rsidRPr="00E050AF">
              <w:t>Administrative Advice</w:t>
            </w:r>
          </w:p>
        </w:tc>
        <w:tc>
          <w:tcPr>
            <w:tcW w:w="4166" w:type="pct"/>
            <w:tcBorders>
              <w:top w:val="single" w:sz="4" w:space="0" w:color="auto"/>
              <w:left w:val="single" w:sz="4" w:space="0" w:color="auto"/>
              <w:bottom w:val="single" w:sz="4" w:space="0" w:color="auto"/>
              <w:right w:val="single" w:sz="4" w:space="0" w:color="auto"/>
            </w:tcBorders>
            <w:vAlign w:val="center"/>
          </w:tcPr>
          <w:p w14:paraId="75842A20" w14:textId="1B922AA5" w:rsidR="007E428B" w:rsidRPr="00E050AF" w:rsidRDefault="007E428B" w:rsidP="007E428B">
            <w:pPr>
              <w:spacing w:before="0"/>
              <w:jc w:val="left"/>
              <w:rPr>
                <w:rFonts w:ascii="Arial Narrow" w:hAnsi="Arial Narrow"/>
                <w:sz w:val="20"/>
              </w:rPr>
            </w:pPr>
            <w:r w:rsidRPr="00E050AF">
              <w:rPr>
                <w:rFonts w:ascii="Arial Narrow" w:hAnsi="Arial Narrow"/>
                <w:sz w:val="20"/>
              </w:rPr>
              <w:t>Special Pricing Arrangements apply</w:t>
            </w:r>
          </w:p>
        </w:tc>
      </w:tr>
      <w:tr w:rsidR="007E428B" w:rsidRPr="00E050AF" w14:paraId="0577F315"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4F109D09" w14:textId="3704CED9" w:rsidR="007E428B" w:rsidRPr="00E050AF" w:rsidRDefault="007E428B" w:rsidP="007E428B">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Treatment phase</w:t>
            </w:r>
          </w:p>
        </w:tc>
        <w:tc>
          <w:tcPr>
            <w:tcW w:w="4166" w:type="pct"/>
            <w:tcBorders>
              <w:top w:val="single" w:sz="4" w:space="0" w:color="auto"/>
              <w:left w:val="single" w:sz="4" w:space="0" w:color="auto"/>
              <w:bottom w:val="single" w:sz="4" w:space="0" w:color="auto"/>
              <w:right w:val="single" w:sz="4" w:space="0" w:color="auto"/>
            </w:tcBorders>
          </w:tcPr>
          <w:p w14:paraId="4B653A3C" w14:textId="31EB9D78" w:rsidR="007E428B" w:rsidRPr="00E050AF" w:rsidRDefault="007E428B" w:rsidP="007E428B">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Continuing treatment – first line treatment</w:t>
            </w:r>
          </w:p>
        </w:tc>
      </w:tr>
      <w:tr w:rsidR="007E428B" w:rsidRPr="00E050AF" w14:paraId="20F5CB63"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65B51397" w14:textId="36040835" w:rsidR="007E428B" w:rsidRPr="00E050AF" w:rsidRDefault="007E428B" w:rsidP="007E428B">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Clinical criteria</w:t>
            </w:r>
          </w:p>
        </w:tc>
        <w:tc>
          <w:tcPr>
            <w:tcW w:w="4166" w:type="pct"/>
            <w:tcBorders>
              <w:top w:val="single" w:sz="4" w:space="0" w:color="auto"/>
              <w:left w:val="single" w:sz="4" w:space="0" w:color="auto"/>
              <w:bottom w:val="single" w:sz="4" w:space="0" w:color="auto"/>
              <w:right w:val="single" w:sz="4" w:space="0" w:color="auto"/>
            </w:tcBorders>
          </w:tcPr>
          <w:p w14:paraId="6EBD7313" w14:textId="277A1BC5" w:rsidR="007E428B" w:rsidRPr="00E050AF" w:rsidRDefault="007E428B" w:rsidP="007E428B">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Patient must have received previous PBS-subsidised treatment with this drug as first line maintenance therapy for this condition</w:t>
            </w:r>
          </w:p>
          <w:p w14:paraId="74F49D54" w14:textId="0B7D9392" w:rsidR="007E428B" w:rsidRPr="00E050AF" w:rsidRDefault="007E428B" w:rsidP="007E428B">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lastRenderedPageBreak/>
              <w:t>AND</w:t>
            </w:r>
          </w:p>
          <w:p w14:paraId="6744A26A" w14:textId="5FBE2D94" w:rsidR="007E428B" w:rsidRPr="00E050AF" w:rsidRDefault="007E428B" w:rsidP="007E428B">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Patient must not have developed disease progression while receiving treatment with this drug for this condition</w:t>
            </w:r>
          </w:p>
          <w:p w14:paraId="4F17A2EF" w14:textId="544636E2" w:rsidR="007E428B" w:rsidRPr="00E050AF" w:rsidRDefault="007E428B" w:rsidP="007E428B">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AND</w:t>
            </w:r>
          </w:p>
          <w:p w14:paraId="58D29047" w14:textId="24B45A97" w:rsidR="007E428B" w:rsidRPr="00E050AF" w:rsidRDefault="007E428B" w:rsidP="007E428B">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Treatment with olaparib must not exceed a total of 24 months of combined non-PBS subsidised and PBS-subsidised treatment for patients who are in complete response.</w:t>
            </w:r>
          </w:p>
        </w:tc>
      </w:tr>
      <w:tr w:rsidR="008B7C3C" w:rsidRPr="00E050AF" w14:paraId="26A41413"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3C933E92" w14:textId="2B7E3E3E" w:rsidR="008B7C3C" w:rsidRPr="00E050AF" w:rsidRDefault="008B7C3C" w:rsidP="008B7C3C">
            <w:pPr>
              <w:pStyle w:val="TableText"/>
              <w:spacing w:line="256" w:lineRule="auto"/>
              <w:rPr>
                <w:rFonts w:eastAsia="Times New Roman" w:cs="Times New Roman"/>
                <w:i/>
                <w:iCs/>
                <w:snapToGrid w:val="0"/>
                <w:szCs w:val="24"/>
                <w:lang w:eastAsia="en-AU"/>
              </w:rPr>
            </w:pPr>
            <w:r w:rsidRPr="00E050AF">
              <w:rPr>
                <w:i/>
                <w:iCs/>
              </w:rPr>
              <w:lastRenderedPageBreak/>
              <w:t>Administrative Advice</w:t>
            </w:r>
          </w:p>
        </w:tc>
        <w:tc>
          <w:tcPr>
            <w:tcW w:w="4166" w:type="pct"/>
            <w:tcBorders>
              <w:top w:val="single" w:sz="4" w:space="0" w:color="auto"/>
              <w:left w:val="single" w:sz="4" w:space="0" w:color="auto"/>
              <w:bottom w:val="single" w:sz="4" w:space="0" w:color="auto"/>
              <w:right w:val="single" w:sz="4" w:space="0" w:color="auto"/>
            </w:tcBorders>
          </w:tcPr>
          <w:p w14:paraId="77D44D3D" w14:textId="2526A68B" w:rsidR="008B7C3C" w:rsidRPr="00E050AF" w:rsidRDefault="008B7C3C" w:rsidP="008B7C3C">
            <w:pPr>
              <w:pStyle w:val="TableText"/>
              <w:spacing w:line="256" w:lineRule="auto"/>
              <w:rPr>
                <w:rFonts w:eastAsia="Times New Roman" w:cs="Times New Roman"/>
                <w:i/>
                <w:iCs/>
                <w:snapToGrid w:val="0"/>
                <w:color w:val="000000"/>
                <w:szCs w:val="24"/>
                <w:lang w:eastAsia="en-AU"/>
              </w:rPr>
            </w:pPr>
            <w:r w:rsidRPr="00E050AF">
              <w:rPr>
                <w:i/>
                <w:iCs/>
              </w:rPr>
              <w:t>Applications for authorisation under this restriction may be made in real time using the Online PBS Authorities system (see www.servicesaustralia.gov.au/HPOS) or by telephone by contacting Services Australia on 1800 888 333.</w:t>
            </w:r>
          </w:p>
        </w:tc>
      </w:tr>
      <w:tr w:rsidR="008B7C3C" w:rsidRPr="00E050AF" w14:paraId="5D2420E2" w14:textId="77777777" w:rsidTr="003923B9">
        <w:trPr>
          <w:trHeight w:val="20"/>
        </w:trPr>
        <w:tc>
          <w:tcPr>
            <w:tcW w:w="834" w:type="pct"/>
            <w:tcBorders>
              <w:top w:val="single" w:sz="4" w:space="0" w:color="auto"/>
              <w:left w:val="single" w:sz="4" w:space="0" w:color="auto"/>
              <w:bottom w:val="single" w:sz="4" w:space="0" w:color="auto"/>
              <w:right w:val="single" w:sz="4" w:space="0" w:color="auto"/>
            </w:tcBorders>
          </w:tcPr>
          <w:p w14:paraId="10885568" w14:textId="5EF59DE1" w:rsidR="008B7C3C" w:rsidRPr="00E050AF" w:rsidRDefault="008B7C3C" w:rsidP="008B7C3C">
            <w:pPr>
              <w:pStyle w:val="TableText"/>
              <w:spacing w:line="256" w:lineRule="auto"/>
              <w:rPr>
                <w:rFonts w:eastAsia="Times New Roman" w:cs="Times New Roman"/>
                <w:snapToGrid w:val="0"/>
                <w:szCs w:val="24"/>
                <w:lang w:eastAsia="en-AU"/>
              </w:rPr>
            </w:pPr>
            <w:r w:rsidRPr="00E050AF">
              <w:rPr>
                <w:rFonts w:eastAsia="Times New Roman" w:cs="Times New Roman"/>
                <w:snapToGrid w:val="0"/>
                <w:szCs w:val="24"/>
                <w:lang w:eastAsia="en-AU"/>
              </w:rPr>
              <w:t>Administrative Advice</w:t>
            </w:r>
          </w:p>
        </w:tc>
        <w:tc>
          <w:tcPr>
            <w:tcW w:w="4166" w:type="pct"/>
            <w:tcBorders>
              <w:top w:val="single" w:sz="4" w:space="0" w:color="auto"/>
              <w:left w:val="single" w:sz="4" w:space="0" w:color="auto"/>
              <w:bottom w:val="single" w:sz="4" w:space="0" w:color="auto"/>
              <w:right w:val="single" w:sz="4" w:space="0" w:color="auto"/>
            </w:tcBorders>
            <w:vAlign w:val="center"/>
          </w:tcPr>
          <w:p w14:paraId="353569AF" w14:textId="53BB9951" w:rsidR="008B7C3C" w:rsidRPr="00E050AF" w:rsidRDefault="008B7C3C" w:rsidP="008B7C3C">
            <w:pPr>
              <w:pStyle w:val="TableText"/>
              <w:spacing w:line="256" w:lineRule="auto"/>
              <w:rPr>
                <w:rFonts w:eastAsia="Times New Roman" w:cs="Times New Roman"/>
                <w:snapToGrid w:val="0"/>
                <w:color w:val="000000"/>
                <w:szCs w:val="24"/>
                <w:lang w:eastAsia="en-AU"/>
              </w:rPr>
            </w:pPr>
            <w:r w:rsidRPr="00E050AF">
              <w:rPr>
                <w:rFonts w:eastAsia="Times New Roman" w:cs="Times New Roman"/>
                <w:snapToGrid w:val="0"/>
                <w:color w:val="000000"/>
                <w:szCs w:val="24"/>
                <w:lang w:eastAsia="en-AU"/>
              </w:rPr>
              <w:t>Special Pricing Arrangements apply</w:t>
            </w:r>
          </w:p>
        </w:tc>
      </w:tr>
    </w:tbl>
    <w:p w14:paraId="08754596" w14:textId="667DB8EE" w:rsidR="008C1265" w:rsidRPr="00E050AF" w:rsidRDefault="008C1265" w:rsidP="008C1265">
      <w:pPr>
        <w:pStyle w:val="ListParagraph"/>
        <w:numPr>
          <w:ilvl w:val="4"/>
          <w:numId w:val="8"/>
        </w:numPr>
        <w:rPr>
          <w:iCs/>
          <w:color w:val="auto"/>
        </w:rPr>
      </w:pPr>
      <w:r w:rsidRPr="00E050AF">
        <w:rPr>
          <w:color w:val="auto"/>
        </w:rPr>
        <w:t xml:space="preserve">The requested DPMQ (published and effective) included the 5% five-year anniversary statutory price reduction applied to the ex-manufacturer price of olaparib from 1 April 2022. The sponsor proposed a special pricing arrangement (SPA). The requested effective price for olaparib represents a </w:t>
      </w:r>
      <w:r w:rsidR="00602B47" w:rsidRPr="003973FA">
        <w:rPr>
          <w:color w:val="000000"/>
          <w:w w:val="15"/>
          <w:shd w:val="solid" w:color="000000" w:fill="000000"/>
          <w:fitText w:val="-20" w:id="-1435752190"/>
          <w14:textFill>
            <w14:solidFill>
              <w14:srgbClr w14:val="000000">
                <w14:alpha w14:val="100000"/>
              </w14:srgbClr>
            </w14:solidFill>
          </w14:textFill>
        </w:rPr>
        <w:t xml:space="preserve">|  </w:t>
      </w:r>
      <w:r w:rsidR="00602B47" w:rsidRPr="003973FA">
        <w:rPr>
          <w:color w:val="000000"/>
          <w:spacing w:val="-69"/>
          <w:w w:val="15"/>
          <w:shd w:val="solid" w:color="000000" w:fill="000000"/>
          <w:fitText w:val="-20" w:id="-1435752190"/>
          <w14:textFill>
            <w14:solidFill>
              <w14:srgbClr w14:val="000000">
                <w14:alpha w14:val="100000"/>
              </w14:srgbClr>
            </w14:solidFill>
          </w14:textFill>
        </w:rPr>
        <w:t>|</w:t>
      </w:r>
      <w:r w:rsidRPr="00E050AF">
        <w:rPr>
          <w:color w:val="auto"/>
        </w:rPr>
        <w:t>% rebate on the published DPMQ and is consistent with the existing SPA for olaparib.</w:t>
      </w:r>
    </w:p>
    <w:p w14:paraId="4E0E74CA" w14:textId="48CBBB8B" w:rsidR="00AB43EA" w:rsidRPr="00E050AF" w:rsidRDefault="00AB43EA" w:rsidP="009D3CDF">
      <w:pPr>
        <w:pStyle w:val="ListParagraph"/>
        <w:numPr>
          <w:ilvl w:val="4"/>
          <w:numId w:val="8"/>
        </w:numPr>
        <w:rPr>
          <w:color w:val="auto"/>
        </w:rPr>
      </w:pPr>
      <w:r w:rsidRPr="00E050AF">
        <w:rPr>
          <w:color w:val="auto"/>
        </w:rPr>
        <w:t>The recommended dose of olaparib is 300</w:t>
      </w:r>
      <w:r w:rsidR="0082557D" w:rsidRPr="00E050AF">
        <w:rPr>
          <w:color w:val="auto"/>
        </w:rPr>
        <w:t> </w:t>
      </w:r>
      <w:r w:rsidRPr="00E050AF">
        <w:rPr>
          <w:color w:val="auto"/>
        </w:rPr>
        <w:t>mg (two 150</w:t>
      </w:r>
      <w:r w:rsidR="0082557D" w:rsidRPr="00E050AF">
        <w:rPr>
          <w:color w:val="auto"/>
        </w:rPr>
        <w:t> </w:t>
      </w:r>
      <w:r w:rsidRPr="00E050AF">
        <w:rPr>
          <w:color w:val="auto"/>
        </w:rPr>
        <w:t>mg tablets) taken orally, twice daily, equivalent to a total daily dose of 600</w:t>
      </w:r>
      <w:r w:rsidR="0082557D" w:rsidRPr="00E050AF">
        <w:rPr>
          <w:color w:val="auto"/>
        </w:rPr>
        <w:t> </w:t>
      </w:r>
      <w:r w:rsidRPr="00E050AF">
        <w:rPr>
          <w:color w:val="auto"/>
        </w:rPr>
        <w:t>mg. Each pack contains 56 tablets, with a supply quantity of two packs corresponding to 28 days of treatment at the recommended daily dose. A 100</w:t>
      </w:r>
      <w:r w:rsidR="0082557D" w:rsidRPr="00E050AF">
        <w:rPr>
          <w:color w:val="auto"/>
        </w:rPr>
        <w:t> </w:t>
      </w:r>
      <w:r w:rsidRPr="00E050AF">
        <w:rPr>
          <w:color w:val="auto"/>
        </w:rPr>
        <w:t>mg tablet is also available should dose reductions be required.</w:t>
      </w:r>
    </w:p>
    <w:p w14:paraId="324A6C20" w14:textId="77777777" w:rsidR="00C34FB3" w:rsidRPr="00E050AF" w:rsidRDefault="00C34FB3" w:rsidP="00C34FB3">
      <w:pPr>
        <w:pStyle w:val="ListParagraph"/>
        <w:numPr>
          <w:ilvl w:val="4"/>
          <w:numId w:val="8"/>
        </w:numPr>
        <w:rPr>
          <w:color w:val="auto"/>
        </w:rPr>
      </w:pPr>
      <w:r w:rsidRPr="00E050AF">
        <w:rPr>
          <w:color w:val="auto"/>
        </w:rPr>
        <w:t xml:space="preserve">To use more contemporary language, it is recommended that the second clinical criterion be modified to “The condition must not be associated with a class 4 or 5 </w:t>
      </w:r>
      <w:r w:rsidRPr="00E050AF">
        <w:rPr>
          <w:i/>
          <w:iCs/>
          <w:color w:val="auto"/>
        </w:rPr>
        <w:t>BRCA1</w:t>
      </w:r>
      <w:r w:rsidRPr="00E050AF">
        <w:rPr>
          <w:color w:val="auto"/>
        </w:rPr>
        <w:t xml:space="preserve"> or </w:t>
      </w:r>
      <w:r w:rsidRPr="00E050AF">
        <w:rPr>
          <w:i/>
          <w:iCs/>
          <w:color w:val="auto"/>
        </w:rPr>
        <w:t>BRCA2</w:t>
      </w:r>
      <w:r w:rsidRPr="00E050AF">
        <w:rPr>
          <w:color w:val="auto"/>
        </w:rPr>
        <w:t xml:space="preserve"> pathogenic variant”.</w:t>
      </w:r>
    </w:p>
    <w:p w14:paraId="65B33D06" w14:textId="59915BF7" w:rsidR="008B7C3C" w:rsidRPr="00E050AF" w:rsidRDefault="00AB43EA" w:rsidP="008B7C3C">
      <w:pPr>
        <w:pStyle w:val="ListParagraph"/>
        <w:numPr>
          <w:ilvl w:val="4"/>
          <w:numId w:val="8"/>
        </w:numPr>
      </w:pPr>
      <w:r w:rsidRPr="00E050AF">
        <w:rPr>
          <w:color w:val="auto"/>
        </w:rPr>
        <w:t>The proposed PBS listing includes a maximum quantity of two 56</w:t>
      </w:r>
      <w:r w:rsidR="00D1571D" w:rsidRPr="00E050AF">
        <w:rPr>
          <w:color w:val="auto"/>
        </w:rPr>
        <w:t xml:space="preserve"> </w:t>
      </w:r>
      <w:r w:rsidRPr="00E050AF">
        <w:rPr>
          <w:color w:val="auto"/>
        </w:rPr>
        <w:t xml:space="preserve">tablet packs (28 days of treatment) and 6 repeats for continuing treatment, allowing for approximately seven months of treatment per script. The current olaparib PBS-listing for ovarian cancer allows a maximum quantity (packs) of two, maximum quantity (units) of 112 and two repeats (initial listing) or five repeats (continuing treatment). </w:t>
      </w:r>
      <w:r w:rsidR="008B7C3C" w:rsidRPr="00E050AF">
        <w:t xml:space="preserve">The number of repeats should be kept consistent with the current listing of olaparib for first line maintenance treatment of </w:t>
      </w:r>
      <w:r w:rsidR="008B7C3C" w:rsidRPr="00E050AF">
        <w:rPr>
          <w:i/>
          <w:iCs/>
        </w:rPr>
        <w:t>BRCA</w:t>
      </w:r>
      <w:r w:rsidR="008B7C3C" w:rsidRPr="00E050AF">
        <w:t>m ovarian cancer</w:t>
      </w:r>
      <w:r w:rsidR="00D1571D" w:rsidRPr="00E050AF">
        <w:t>.</w:t>
      </w:r>
    </w:p>
    <w:p w14:paraId="2794AE69" w14:textId="05F56390" w:rsidR="00FA758D" w:rsidRPr="00E050AF" w:rsidRDefault="00FA758D" w:rsidP="009D3CDF">
      <w:pPr>
        <w:pStyle w:val="ListParagraph"/>
        <w:numPr>
          <w:ilvl w:val="4"/>
          <w:numId w:val="8"/>
        </w:numPr>
        <w:rPr>
          <w:color w:val="auto"/>
        </w:rPr>
      </w:pPr>
      <w:r w:rsidRPr="00E050AF">
        <w:rPr>
          <w:color w:val="auto"/>
        </w:rPr>
        <w:t xml:space="preserve">The requested stopping rule that treatment with olaparib not exceed a total of 24 months of combined non-PBS subsidised and PBS-subsidised </w:t>
      </w:r>
      <w:r w:rsidR="0048385B" w:rsidRPr="00E050AF">
        <w:rPr>
          <w:color w:val="auto"/>
        </w:rPr>
        <w:t xml:space="preserve">for patients in complete response </w:t>
      </w:r>
      <w:r w:rsidRPr="00E050AF">
        <w:rPr>
          <w:color w:val="auto"/>
        </w:rPr>
        <w:t xml:space="preserve">is in line with PAOLA-1 </w:t>
      </w:r>
      <w:r w:rsidR="00C9371C" w:rsidRPr="00E050AF">
        <w:rPr>
          <w:color w:val="auto"/>
        </w:rPr>
        <w:t>where the maximum duration of study treatment was 24 months</w:t>
      </w:r>
      <w:r w:rsidR="008C1265" w:rsidRPr="00E050AF">
        <w:rPr>
          <w:color w:val="auto"/>
        </w:rPr>
        <w:t xml:space="preserve"> </w:t>
      </w:r>
      <w:r w:rsidR="008C1265" w:rsidRPr="00E050AF">
        <w:rPr>
          <w:iCs/>
          <w:color w:val="auto"/>
        </w:rPr>
        <w:t>and with the Australian PI which states: “Patients with a complete response (no radiological evidence of disease) at 2 years should stop treatment. Patients with evidence of disease at 2 years, who in the opinion of the treating physician can derive further benefit from continuous Lynparza treatment, can be treated beyond 2 years”</w:t>
      </w:r>
      <w:r w:rsidRPr="00E050AF">
        <w:rPr>
          <w:iCs/>
          <w:color w:val="auto"/>
        </w:rPr>
        <w:t>.</w:t>
      </w:r>
    </w:p>
    <w:p w14:paraId="3EF95968" w14:textId="19D95954" w:rsidR="00157B84" w:rsidRPr="00E050AF" w:rsidRDefault="00AB43EA" w:rsidP="009D3CDF">
      <w:pPr>
        <w:pStyle w:val="ListParagraph"/>
        <w:numPr>
          <w:ilvl w:val="4"/>
          <w:numId w:val="8"/>
        </w:numPr>
        <w:rPr>
          <w:color w:val="auto"/>
        </w:rPr>
      </w:pPr>
      <w:r w:rsidRPr="00E050AF">
        <w:rPr>
          <w:color w:val="auto"/>
        </w:rPr>
        <w:t xml:space="preserve">While the requested PBS-listing </w:t>
      </w:r>
      <w:r w:rsidR="00157B84" w:rsidRPr="00E050AF">
        <w:rPr>
          <w:color w:val="auto"/>
        </w:rPr>
        <w:t>was</w:t>
      </w:r>
      <w:r w:rsidRPr="00E050AF">
        <w:rPr>
          <w:color w:val="auto"/>
        </w:rPr>
        <w:t xml:space="preserve"> </w:t>
      </w:r>
      <w:r w:rsidR="00157B84" w:rsidRPr="00E050AF">
        <w:rPr>
          <w:color w:val="auto"/>
        </w:rPr>
        <w:t>aligned</w:t>
      </w:r>
      <w:r w:rsidR="00BE492A" w:rsidRPr="00E050AF">
        <w:rPr>
          <w:color w:val="auto"/>
        </w:rPr>
        <w:t xml:space="preserve"> with</w:t>
      </w:r>
      <w:r w:rsidR="00157B84" w:rsidRPr="00E050AF">
        <w:rPr>
          <w:color w:val="auto"/>
        </w:rPr>
        <w:t xml:space="preserve"> </w:t>
      </w:r>
      <w:r w:rsidRPr="00E050AF">
        <w:rPr>
          <w:color w:val="auto"/>
        </w:rPr>
        <w:t xml:space="preserve">the registered TGA indication, the submission requested that the clinical criteria for initial treatment not explicitly prohibit patients who have not used bevacizumab concurrently with their first-line platinum-based chemotherapy, despite the inclusion criteria for PAOLA-1 stating that </w:t>
      </w:r>
      <w:r w:rsidRPr="00E050AF">
        <w:rPr>
          <w:color w:val="auto"/>
        </w:rPr>
        <w:lastRenderedPageBreak/>
        <w:t xml:space="preserve">patients must have received a minimum of three cycles of bevacizumab in combination with the last three cycles of chemotherapy. </w:t>
      </w:r>
      <w:r w:rsidR="00157B84" w:rsidRPr="00E050AF">
        <w:rPr>
          <w:color w:val="auto"/>
        </w:rPr>
        <w:t xml:space="preserve">It was unclear whether the use of bevacizumab alongside platinum-based chemotherapy in first line treatment would affect the efficacy of any maintenance therapy. </w:t>
      </w:r>
      <w:r w:rsidR="00F402E3" w:rsidRPr="00E050AF">
        <w:rPr>
          <w:color w:val="auto"/>
        </w:rPr>
        <w:t xml:space="preserve">All </w:t>
      </w:r>
      <w:r w:rsidR="00157B84" w:rsidRPr="00E050AF">
        <w:rPr>
          <w:color w:val="auto"/>
        </w:rPr>
        <w:t>patients enrolled in PAOLA</w:t>
      </w:r>
      <w:r w:rsidR="008C1265" w:rsidRPr="00E050AF">
        <w:rPr>
          <w:color w:val="auto"/>
        </w:rPr>
        <w:noBreakHyphen/>
      </w:r>
      <w:r w:rsidR="00157B84" w:rsidRPr="00E050AF">
        <w:rPr>
          <w:color w:val="auto"/>
        </w:rPr>
        <w:t>1 receive</w:t>
      </w:r>
      <w:r w:rsidR="00F402E3" w:rsidRPr="00E050AF">
        <w:rPr>
          <w:color w:val="auto"/>
        </w:rPr>
        <w:t>d</w:t>
      </w:r>
      <w:r w:rsidR="00157B84" w:rsidRPr="00E050AF">
        <w:rPr>
          <w:color w:val="auto"/>
        </w:rPr>
        <w:t xml:space="preserve"> prior treatment with bevacizumab</w:t>
      </w:r>
      <w:r w:rsidR="00F402E3" w:rsidRPr="00E050AF">
        <w:rPr>
          <w:color w:val="auto"/>
        </w:rPr>
        <w:t xml:space="preserve"> alongside platinum-based chemotherapy</w:t>
      </w:r>
      <w:r w:rsidR="00157B84" w:rsidRPr="00E050AF">
        <w:rPr>
          <w:color w:val="auto"/>
        </w:rPr>
        <w:t>.</w:t>
      </w:r>
    </w:p>
    <w:p w14:paraId="3DFDD8AD" w14:textId="5E7D1D78" w:rsidR="002A38C8" w:rsidRPr="00E050AF" w:rsidRDefault="00AB43EA" w:rsidP="00A354B6">
      <w:pPr>
        <w:pStyle w:val="ListParagraph"/>
        <w:numPr>
          <w:ilvl w:val="4"/>
          <w:numId w:val="8"/>
        </w:numPr>
      </w:pPr>
      <w:bookmarkStart w:id="27" w:name="_Ref101300652"/>
      <w:r w:rsidRPr="00E050AF">
        <w:t>While the current submission is not seeking listing of olaparib plus bevacizumab in</w:t>
      </w:r>
      <w:r w:rsidRPr="00E050AF">
        <w:rPr>
          <w:i/>
          <w:iCs/>
        </w:rPr>
        <w:t xml:space="preserve"> </w:t>
      </w:r>
      <w:r w:rsidR="00CF529A" w:rsidRPr="00E050AF">
        <w:rPr>
          <w:i/>
          <w:iCs/>
        </w:rPr>
        <w:t>BRCA</w:t>
      </w:r>
      <w:r w:rsidRPr="00E050AF">
        <w:t>m patients</w:t>
      </w:r>
      <w:r w:rsidR="001A651E" w:rsidRPr="00E050AF">
        <w:t xml:space="preserve"> (i.e. the </w:t>
      </w:r>
      <w:r w:rsidR="00A5112D" w:rsidRPr="00E050AF">
        <w:t>other subgroup in the HRD positive population)</w:t>
      </w:r>
      <w:r w:rsidRPr="00E050AF">
        <w:t>, the exclusion of these patients from treatment may not be adequately justified given that</w:t>
      </w:r>
      <w:r w:rsidR="000C55AF" w:rsidRPr="00E050AF">
        <w:t xml:space="preserve"> p</w:t>
      </w:r>
      <w:bookmarkEnd w:id="27"/>
      <w:r w:rsidRPr="00E050AF">
        <w:t xml:space="preserve">ost-hoc analysis of results from PAOLA-1 showed that in the HRD positive subgroup, </w:t>
      </w:r>
      <w:r w:rsidR="00CF529A" w:rsidRPr="00E050AF">
        <w:rPr>
          <w:i/>
          <w:iCs/>
        </w:rPr>
        <w:t>BRCA</w:t>
      </w:r>
      <w:r w:rsidRPr="00E050AF">
        <w:t xml:space="preserve"> status was not a treatment effect modifier (interaction modifier p = 0.5173)</w:t>
      </w:r>
      <w:r w:rsidR="000C55AF" w:rsidRPr="00E050AF">
        <w:t>.</w:t>
      </w:r>
      <w:bookmarkStart w:id="28" w:name="_Ref109156930"/>
      <w:bookmarkStart w:id="29" w:name="_Ref109160168"/>
      <w:r w:rsidR="000C55AF" w:rsidRPr="00E050AF">
        <w:rPr>
          <w:color w:val="auto"/>
        </w:rPr>
        <w:t xml:space="preserve"> </w:t>
      </w:r>
      <w:r w:rsidR="002A38C8" w:rsidRPr="00E050AF">
        <w:rPr>
          <w:color w:val="auto"/>
        </w:rPr>
        <w:t>The pre</w:t>
      </w:r>
      <w:r w:rsidR="000C55AF" w:rsidRPr="00E050AF">
        <w:rPr>
          <w:color w:val="auto"/>
        </w:rPr>
        <w:noBreakHyphen/>
      </w:r>
      <w:r w:rsidR="002A38C8" w:rsidRPr="00E050AF">
        <w:rPr>
          <w:color w:val="auto"/>
        </w:rPr>
        <w:t xml:space="preserve">PBAC response stated that the rationale for exclusion of the HRD+ </w:t>
      </w:r>
      <w:r w:rsidR="002A38C8" w:rsidRPr="00E050AF">
        <w:rPr>
          <w:i/>
          <w:iCs/>
          <w:color w:val="auto"/>
        </w:rPr>
        <w:t>BRCA</w:t>
      </w:r>
      <w:r w:rsidR="002A38C8" w:rsidRPr="00E050AF">
        <w:rPr>
          <w:color w:val="auto"/>
        </w:rPr>
        <w:t xml:space="preserve">m subgroup was that patients identified as </w:t>
      </w:r>
      <w:r w:rsidR="002A38C8" w:rsidRPr="00E050AF">
        <w:rPr>
          <w:i/>
          <w:iCs/>
          <w:color w:val="auto"/>
        </w:rPr>
        <w:t>BRCA</w:t>
      </w:r>
      <w:r w:rsidR="002A38C8" w:rsidRPr="00E050AF">
        <w:rPr>
          <w:color w:val="auto"/>
        </w:rPr>
        <w:t xml:space="preserve">m positive will continue to be treated with the current standard of care, namely olaparib monotherapy. However, in contrast it was also stated that a minority of </w:t>
      </w:r>
      <w:r w:rsidR="002A38C8" w:rsidRPr="00E050AF">
        <w:rPr>
          <w:i/>
          <w:iCs/>
          <w:color w:val="auto"/>
        </w:rPr>
        <w:t>BRCA</w:t>
      </w:r>
      <w:r w:rsidR="002A38C8" w:rsidRPr="00E050AF">
        <w:rPr>
          <w:color w:val="auto"/>
        </w:rPr>
        <w:t>m patients would be treated with olaparib+bevacizumab instead of olaparib monotherapy.</w:t>
      </w:r>
    </w:p>
    <w:p w14:paraId="421719DE" w14:textId="699D8739" w:rsidR="009B6BAE" w:rsidRPr="00E050AF" w:rsidRDefault="000C55AF" w:rsidP="00A354B6">
      <w:pPr>
        <w:pStyle w:val="ListParagraph"/>
        <w:numPr>
          <w:ilvl w:val="4"/>
          <w:numId w:val="8"/>
        </w:numPr>
      </w:pPr>
      <w:r w:rsidRPr="00E050AF">
        <w:rPr>
          <w:iCs/>
          <w:color w:val="auto"/>
        </w:rPr>
        <w:t xml:space="preserve">The ESCs noted that NCCN guidelines allow for the use of olaparib either with or without bevacizumab in </w:t>
      </w:r>
      <w:r w:rsidRPr="00E050AF">
        <w:rPr>
          <w:i/>
          <w:color w:val="auto"/>
        </w:rPr>
        <w:t>BRCA</w:t>
      </w:r>
      <w:r w:rsidRPr="00E050AF">
        <w:rPr>
          <w:iCs/>
          <w:color w:val="auto"/>
        </w:rPr>
        <w:t xml:space="preserve">m patients. However, the ESCs considered that Australian clinicians are unlikely to treat </w:t>
      </w:r>
      <w:r w:rsidRPr="00E050AF">
        <w:rPr>
          <w:i/>
          <w:color w:val="auto"/>
        </w:rPr>
        <w:t>BRCA</w:t>
      </w:r>
      <w:r w:rsidRPr="00E050AF">
        <w:rPr>
          <w:iCs/>
          <w:color w:val="auto"/>
        </w:rPr>
        <w:t xml:space="preserve">m patients in the first line setting with bevacizumab in combination with olaparib because the additional benefit of bevacizumab is likely to be small and given bevacizumab is now unrestricted it can be given in later lines. </w:t>
      </w:r>
      <w:r w:rsidR="002A38C8" w:rsidRPr="00E050AF">
        <w:rPr>
          <w:color w:val="auto"/>
        </w:rPr>
        <w:t>T</w:t>
      </w:r>
      <w:r w:rsidR="002A38C8" w:rsidRPr="00E050AF">
        <w:rPr>
          <w:iCs/>
          <w:color w:val="auto"/>
        </w:rPr>
        <w:t xml:space="preserve">he PBAC considered </w:t>
      </w:r>
      <w:r w:rsidR="00CC3705" w:rsidRPr="00E050AF">
        <w:rPr>
          <w:color w:val="auto"/>
        </w:rPr>
        <w:t xml:space="preserve">that the decision of whether to use concomitant bevacizumab or not should be determined by clinical factors, separate to </w:t>
      </w:r>
      <w:r w:rsidR="00CC3705" w:rsidRPr="00E050AF">
        <w:rPr>
          <w:i/>
          <w:iCs/>
          <w:color w:val="auto"/>
        </w:rPr>
        <w:t>BRCA</w:t>
      </w:r>
      <w:r w:rsidR="00CC3705" w:rsidRPr="00E050AF">
        <w:rPr>
          <w:color w:val="auto"/>
        </w:rPr>
        <w:t xml:space="preserve">/HRD status and that </w:t>
      </w:r>
      <w:r w:rsidR="002A38C8" w:rsidRPr="00E050AF">
        <w:rPr>
          <w:iCs/>
          <w:color w:val="auto"/>
        </w:rPr>
        <w:t xml:space="preserve">it would be appropriate to amend the PBS listings for first line PARPi in the </w:t>
      </w:r>
      <w:r w:rsidR="002A38C8" w:rsidRPr="00E050AF">
        <w:rPr>
          <w:i/>
          <w:color w:val="auto"/>
        </w:rPr>
        <w:t>BRCA</w:t>
      </w:r>
      <w:r w:rsidR="002A38C8" w:rsidRPr="00E050AF">
        <w:rPr>
          <w:iCs/>
          <w:color w:val="auto"/>
        </w:rPr>
        <w:t>m population to allow combination use with bevacizum</w:t>
      </w:r>
      <w:r w:rsidR="00EF1C51" w:rsidRPr="00E050AF">
        <w:rPr>
          <w:iCs/>
          <w:color w:val="auto"/>
        </w:rPr>
        <w:t>a</w:t>
      </w:r>
      <w:r w:rsidR="002A38C8" w:rsidRPr="00E050AF">
        <w:rPr>
          <w:iCs/>
          <w:color w:val="auto"/>
        </w:rPr>
        <w:t xml:space="preserve">b (noting that niraparib was recommended in March 2022 </w:t>
      </w:r>
      <w:r w:rsidR="00D44016" w:rsidRPr="00E050AF">
        <w:rPr>
          <w:iCs/>
          <w:color w:val="auto"/>
        </w:rPr>
        <w:t>but</w:t>
      </w:r>
      <w:r w:rsidR="002A38C8" w:rsidRPr="00E050AF">
        <w:rPr>
          <w:iCs/>
          <w:color w:val="auto"/>
        </w:rPr>
        <w:t xml:space="preserve"> was not yet PBS listed</w:t>
      </w:r>
      <w:r w:rsidR="00BB5D2E" w:rsidRPr="00E050AF">
        <w:rPr>
          <w:iCs/>
          <w:color w:val="auto"/>
        </w:rPr>
        <w:t xml:space="preserve"> at the time of the PBAC’s July 2022 meeting</w:t>
      </w:r>
      <w:r w:rsidR="002A38C8" w:rsidRPr="00E050AF">
        <w:rPr>
          <w:iCs/>
          <w:color w:val="auto"/>
        </w:rPr>
        <w:t>).</w:t>
      </w:r>
    </w:p>
    <w:p w14:paraId="2D70AF90" w14:textId="48783E15" w:rsidR="002A38C8" w:rsidRPr="00E050AF" w:rsidRDefault="00CC3705" w:rsidP="00A354B6">
      <w:pPr>
        <w:pStyle w:val="ListParagraph"/>
        <w:numPr>
          <w:ilvl w:val="4"/>
          <w:numId w:val="8"/>
        </w:numPr>
      </w:pPr>
      <w:r w:rsidRPr="00E050AF">
        <w:t>Additionally, t</w:t>
      </w:r>
      <w:r w:rsidR="009B6BAE" w:rsidRPr="00E050AF">
        <w:t xml:space="preserve">he PBAC noted that </w:t>
      </w:r>
      <w:r w:rsidRPr="00E050AF">
        <w:t xml:space="preserve">there is </w:t>
      </w:r>
      <w:r w:rsidR="009B6BAE" w:rsidRPr="00E050AF">
        <w:t xml:space="preserve">evidence of benefit for treatment with a PARPi alone in </w:t>
      </w:r>
      <w:r w:rsidR="00DB0D00" w:rsidRPr="00E050AF">
        <w:t xml:space="preserve">HRD+ </w:t>
      </w:r>
      <w:r w:rsidRPr="00E050AF">
        <w:rPr>
          <w:i/>
          <w:iCs/>
        </w:rPr>
        <w:t>BRCA</w:t>
      </w:r>
      <w:r w:rsidR="00EF1C51" w:rsidRPr="00E050AF">
        <w:t>wt</w:t>
      </w:r>
      <w:r w:rsidR="009B6BAE" w:rsidRPr="00E050AF">
        <w:t xml:space="preserve"> tumours (from the PRIMA </w:t>
      </w:r>
      <w:r w:rsidR="00DB0D00" w:rsidRPr="00E050AF">
        <w:t xml:space="preserve">and VELIA </w:t>
      </w:r>
      <w:r w:rsidR="009B6BAE" w:rsidRPr="00E050AF">
        <w:t>trial</w:t>
      </w:r>
      <w:r w:rsidR="00DB0D00" w:rsidRPr="00E050AF">
        <w:t>s</w:t>
      </w:r>
      <w:r w:rsidR="009B6BAE" w:rsidRPr="00E050AF">
        <w:t xml:space="preserve">), </w:t>
      </w:r>
      <w:r w:rsidRPr="00E050AF">
        <w:t xml:space="preserve">which </w:t>
      </w:r>
      <w:r w:rsidR="009B6BAE" w:rsidRPr="00E050AF">
        <w:t xml:space="preserve">suggested that there is likely to be little benefit from the addition of bevacizumab to a PARPi. The PBAC therefore considered that it was not </w:t>
      </w:r>
      <w:r w:rsidR="009B6BAE" w:rsidRPr="00E050AF">
        <w:rPr>
          <w:color w:val="auto"/>
        </w:rPr>
        <w:t xml:space="preserve">clinically appropriate for the PBS listing </w:t>
      </w:r>
      <w:r w:rsidRPr="00E050AF">
        <w:rPr>
          <w:color w:val="auto"/>
        </w:rPr>
        <w:t xml:space="preserve">for HRD+ ovarian cancer </w:t>
      </w:r>
      <w:r w:rsidR="009B6BAE" w:rsidRPr="00E050AF">
        <w:rPr>
          <w:color w:val="auto"/>
        </w:rPr>
        <w:t xml:space="preserve">to mandate use of bevacizumab with PARPi and </w:t>
      </w:r>
      <w:r w:rsidRPr="00E050AF">
        <w:rPr>
          <w:color w:val="auto"/>
        </w:rPr>
        <w:t xml:space="preserve">the decision of whether to use concomitant bevacizumab or not </w:t>
      </w:r>
      <w:r w:rsidR="00D44016" w:rsidRPr="00E050AF">
        <w:rPr>
          <w:color w:val="auto"/>
        </w:rPr>
        <w:t xml:space="preserve">for HRD+ patients </w:t>
      </w:r>
      <w:r w:rsidRPr="00E050AF">
        <w:rPr>
          <w:color w:val="auto"/>
        </w:rPr>
        <w:t>should be determined by clinical factors</w:t>
      </w:r>
      <w:r w:rsidR="00D44016" w:rsidRPr="00E050AF">
        <w:rPr>
          <w:color w:val="auto"/>
        </w:rPr>
        <w:t>,</w:t>
      </w:r>
      <w:r w:rsidRPr="00E050AF">
        <w:rPr>
          <w:color w:val="auto"/>
        </w:rPr>
        <w:t xml:space="preserve"> as in the </w:t>
      </w:r>
      <w:r w:rsidRPr="00E050AF">
        <w:rPr>
          <w:i/>
          <w:iCs/>
          <w:color w:val="auto"/>
        </w:rPr>
        <w:t>BRCA</w:t>
      </w:r>
      <w:r w:rsidRPr="00E050AF">
        <w:rPr>
          <w:color w:val="auto"/>
        </w:rPr>
        <w:t>m population.</w:t>
      </w:r>
    </w:p>
    <w:p w14:paraId="766F96A5" w14:textId="6B233C89" w:rsidR="00BD3F15" w:rsidRPr="00E050AF" w:rsidRDefault="00BD3F15" w:rsidP="00A354B6">
      <w:pPr>
        <w:pStyle w:val="ListParagraph"/>
        <w:numPr>
          <w:ilvl w:val="4"/>
          <w:numId w:val="8"/>
        </w:numPr>
        <w:rPr>
          <w:color w:val="auto"/>
        </w:rPr>
      </w:pPr>
      <w:bookmarkStart w:id="30" w:name="_Ref109066484"/>
      <w:bookmarkEnd w:id="28"/>
      <w:bookmarkEnd w:id="29"/>
      <w:r w:rsidRPr="00E050AF">
        <w:t xml:space="preserve">The </w:t>
      </w:r>
      <w:r w:rsidR="00491548" w:rsidRPr="00E050AF">
        <w:t xml:space="preserve">proposed </w:t>
      </w:r>
      <w:r w:rsidRPr="00E050AF">
        <w:t xml:space="preserve">HRD test </w:t>
      </w:r>
      <w:r w:rsidR="00491548" w:rsidRPr="00E050AF">
        <w:t xml:space="preserve">includes </w:t>
      </w:r>
      <w:r w:rsidRPr="00E050AF">
        <w:t xml:space="preserve">a gene signature of genomic instability, </w:t>
      </w:r>
      <w:r w:rsidR="0020651B" w:rsidRPr="00E050AF">
        <w:t xml:space="preserve">which </w:t>
      </w:r>
      <w:r w:rsidRPr="00E050AF">
        <w:t>generat</w:t>
      </w:r>
      <w:r w:rsidR="0020651B" w:rsidRPr="00E050AF">
        <w:t>es</w:t>
      </w:r>
      <w:r w:rsidRPr="00E050AF">
        <w:t xml:space="preserve"> scores on a scale rather than </w:t>
      </w:r>
      <w:r w:rsidR="0020651B" w:rsidRPr="00E050AF">
        <w:t xml:space="preserve">providing </w:t>
      </w:r>
      <w:r w:rsidRPr="00E050AF">
        <w:t xml:space="preserve">a </w:t>
      </w:r>
      <w:r w:rsidR="0020651B" w:rsidRPr="00E050AF">
        <w:t>dichotomous</w:t>
      </w:r>
      <w:r w:rsidRPr="00E050AF">
        <w:t xml:space="preserve"> detection </w:t>
      </w:r>
      <w:r w:rsidR="00C34FB3" w:rsidRPr="00E050AF">
        <w:t xml:space="preserve">(or not) </w:t>
      </w:r>
      <w:r w:rsidRPr="00E050AF">
        <w:t xml:space="preserve">of a pathogenic variation. In order to dichotomise </w:t>
      </w:r>
      <w:r w:rsidR="0020651B" w:rsidRPr="00E050AF">
        <w:t xml:space="preserve">a gene signature score </w:t>
      </w:r>
      <w:r w:rsidRPr="00E050AF">
        <w:t xml:space="preserve">to a positive result </w:t>
      </w:r>
      <w:r w:rsidR="0020651B" w:rsidRPr="00E050AF">
        <w:t xml:space="preserve">or </w:t>
      </w:r>
      <w:r w:rsidRPr="00E050AF">
        <w:t>a negative</w:t>
      </w:r>
      <w:r w:rsidR="0020651B" w:rsidRPr="00E050AF">
        <w:t xml:space="preserve"> result</w:t>
      </w:r>
      <w:r w:rsidRPr="00E050AF">
        <w:t xml:space="preserve">, a threshold </w:t>
      </w:r>
      <w:r w:rsidR="0020651B" w:rsidRPr="00E050AF">
        <w:t xml:space="preserve">also </w:t>
      </w:r>
      <w:r w:rsidRPr="00E050AF">
        <w:t xml:space="preserve">needs to be defined. </w:t>
      </w:r>
      <w:r w:rsidR="00C34FB3" w:rsidRPr="00E050AF">
        <w:t xml:space="preserve">The PBAC expressed a preference for stating the specific threshold of genomic instability within the PBS restriction criteria that would demonstrate HRD positivity for the purposes of eligibility for olaparib and requested MSAC advice regarding the threshold that should be used to define HRD positivity for determining PARPi eligibility with reference to the </w:t>
      </w:r>
      <w:r w:rsidR="00C34FB3" w:rsidRPr="00E050AF">
        <w:lastRenderedPageBreak/>
        <w:t xml:space="preserve">clinical utility standard. </w:t>
      </w:r>
      <w:r w:rsidR="00C34FB3" w:rsidRPr="00E050AF">
        <w:rPr>
          <w:color w:val="auto"/>
        </w:rPr>
        <w:t>The PBAC noted that</w:t>
      </w:r>
      <w:r w:rsidR="0020651B" w:rsidRPr="00E050AF">
        <w:rPr>
          <w:color w:val="auto"/>
        </w:rPr>
        <w:t xml:space="preserve"> </w:t>
      </w:r>
      <w:r w:rsidR="00C34FB3" w:rsidRPr="00E050AF">
        <w:rPr>
          <w:color w:val="auto"/>
        </w:rPr>
        <w:t xml:space="preserve">stating the threshold would allow a clear </w:t>
      </w:r>
      <w:r w:rsidR="0020651B" w:rsidRPr="00E050AF">
        <w:rPr>
          <w:color w:val="auto"/>
        </w:rPr>
        <w:t>definition of HRD positive status</w:t>
      </w:r>
      <w:r w:rsidR="00C34FB3" w:rsidRPr="00E050AF">
        <w:rPr>
          <w:color w:val="auto"/>
        </w:rPr>
        <w:t>, but considered that the restriction should also</w:t>
      </w:r>
      <w:r w:rsidR="0020651B" w:rsidRPr="00E050AF">
        <w:rPr>
          <w:color w:val="auto"/>
        </w:rPr>
        <w:t xml:space="preserve"> allow alternative assays to be used once they have established their ability to identify the same patients as eligible for the proposed therapy or not.</w:t>
      </w:r>
      <w:bookmarkEnd w:id="30"/>
    </w:p>
    <w:p w14:paraId="7558C336" w14:textId="7608DC68" w:rsidR="002A38C8" w:rsidRPr="00E050AF" w:rsidRDefault="002A38C8" w:rsidP="002A38C8">
      <w:pPr>
        <w:pStyle w:val="ListParagraph"/>
        <w:numPr>
          <w:ilvl w:val="4"/>
          <w:numId w:val="8"/>
        </w:numPr>
        <w:rPr>
          <w:color w:val="auto"/>
        </w:rPr>
      </w:pPr>
      <w:r w:rsidRPr="00E050AF">
        <w:rPr>
          <w:color w:val="auto"/>
        </w:rPr>
        <w:t xml:space="preserve">The submission stated that the sponsor is intending to provide compassionate access to first line olaparib plus bevacizumab maintenance treatment for patients who meet the proposed PBS criteria and assumed that </w:t>
      </w:r>
      <w:r w:rsidR="00851F3E">
        <w:rPr>
          <w:color w:val="auto"/>
        </w:rPr>
        <w:t>&lt; 500</w:t>
      </w:r>
      <w:r w:rsidR="00851F3E" w:rsidRPr="00E050AF">
        <w:rPr>
          <w:color w:val="auto"/>
        </w:rPr>
        <w:t xml:space="preserve"> </w:t>
      </w:r>
      <w:r w:rsidRPr="00E050AF">
        <w:rPr>
          <w:color w:val="auto"/>
        </w:rPr>
        <w:t>patients will be grandfathered onto the PBS once olaparib plus bevacizumab is recommended. It was unclear how the HRD status of these grandfathered patients would be determined (given that there is currently no approved HRD test in Australia) and whether it would satisfy the instruction of “Evidence of genomic instability derived through a validated HRD assay.” No separate PBS criteria was proposed by the submission for grandfathered patients.</w:t>
      </w:r>
    </w:p>
    <w:p w14:paraId="4A8C58E9" w14:textId="77777777" w:rsidR="00990564" w:rsidRPr="00E050AF" w:rsidRDefault="00990564" w:rsidP="00990564">
      <w:pPr>
        <w:ind w:firstLine="709"/>
        <w:rPr>
          <w:i/>
        </w:rPr>
      </w:pPr>
      <w:r w:rsidRPr="00E050AF">
        <w:rPr>
          <w:i/>
        </w:rPr>
        <w:t>For more detail on PBAC’s view, see section 7 PBAC outcome.</w:t>
      </w:r>
    </w:p>
    <w:p w14:paraId="2EC0F77C" w14:textId="1EBBA89E" w:rsidR="00AB43EA" w:rsidRPr="00E050AF" w:rsidRDefault="00AB43EA" w:rsidP="003C7731">
      <w:pPr>
        <w:pStyle w:val="PBACESHeading1"/>
        <w:numPr>
          <w:ilvl w:val="0"/>
          <w:numId w:val="25"/>
        </w:numPr>
      </w:pPr>
      <w:bookmarkStart w:id="31" w:name="_Toc100693619"/>
      <w:bookmarkStart w:id="32" w:name="_Toc103581571"/>
      <w:bookmarkStart w:id="33" w:name="_Toc103775859"/>
      <w:r w:rsidRPr="00E050AF">
        <w:t>Population and disease</w:t>
      </w:r>
      <w:bookmarkStart w:id="34" w:name="_Toc413139275"/>
      <w:bookmarkEnd w:id="26"/>
      <w:bookmarkEnd w:id="31"/>
      <w:bookmarkEnd w:id="32"/>
      <w:bookmarkEnd w:id="33"/>
    </w:p>
    <w:p w14:paraId="3BE31595" w14:textId="01B5C388" w:rsidR="00AB43EA" w:rsidRPr="00E050AF" w:rsidRDefault="00AB43EA" w:rsidP="009D3CDF">
      <w:pPr>
        <w:pStyle w:val="ListParagraph"/>
        <w:numPr>
          <w:ilvl w:val="4"/>
          <w:numId w:val="8"/>
        </w:numPr>
      </w:pPr>
      <w:r w:rsidRPr="00E050AF">
        <w:t xml:space="preserve">The majority (84%) of ovarian cancers are classified as epithelial cancers. Epithelial tumours are grouped by histology into five main sub-types with HGSOC by far the most common (82%). HGSOC has a high prevalence of HRD with approximately 50% of epithelial ovarian carcinomas estimated to exhibit defective DNA repair by HRD (Konstantinopoulos 2015). Germline </w:t>
      </w:r>
      <w:r w:rsidR="00CF529A" w:rsidRPr="00E050AF">
        <w:rPr>
          <w:i/>
          <w:iCs/>
        </w:rPr>
        <w:t>BRCA</w:t>
      </w:r>
      <w:r w:rsidRPr="00E050AF">
        <w:rPr>
          <w:i/>
          <w:iCs/>
        </w:rPr>
        <w:t>1</w:t>
      </w:r>
      <w:r w:rsidRPr="00E050AF">
        <w:t xml:space="preserve"> and </w:t>
      </w:r>
      <w:r w:rsidR="00CF529A" w:rsidRPr="00E050AF">
        <w:rPr>
          <w:i/>
          <w:iCs/>
        </w:rPr>
        <w:t>BRCA</w:t>
      </w:r>
      <w:r w:rsidRPr="00E050AF">
        <w:rPr>
          <w:i/>
          <w:iCs/>
        </w:rPr>
        <w:t>2</w:t>
      </w:r>
      <w:r w:rsidRPr="00E050AF">
        <w:t xml:space="preserve"> pathogenic variants are the most well-known HRD aetiology, others include somatic </w:t>
      </w:r>
      <w:r w:rsidR="00CF529A" w:rsidRPr="00E050AF">
        <w:rPr>
          <w:i/>
          <w:iCs/>
        </w:rPr>
        <w:t>BRCA</w:t>
      </w:r>
      <w:r w:rsidRPr="00E050AF">
        <w:rPr>
          <w:i/>
          <w:iCs/>
        </w:rPr>
        <w:t>1</w:t>
      </w:r>
      <w:r w:rsidRPr="00E050AF">
        <w:t xml:space="preserve"> or </w:t>
      </w:r>
      <w:r w:rsidR="00CF529A" w:rsidRPr="00E050AF">
        <w:rPr>
          <w:i/>
          <w:iCs/>
        </w:rPr>
        <w:t>BRCA</w:t>
      </w:r>
      <w:r w:rsidRPr="00E050AF">
        <w:rPr>
          <w:i/>
          <w:iCs/>
        </w:rPr>
        <w:t>2</w:t>
      </w:r>
      <w:r w:rsidRPr="00E050AF">
        <w:t xml:space="preserve"> </w:t>
      </w:r>
      <w:r w:rsidR="006C52EE" w:rsidRPr="00E050AF">
        <w:t>pathogenic</w:t>
      </w:r>
      <w:r w:rsidRPr="00E050AF">
        <w:t xml:space="preserve"> variants and germline and somatic </w:t>
      </w:r>
      <w:r w:rsidR="006C52EE" w:rsidRPr="00E050AF">
        <w:t>pathogenic</w:t>
      </w:r>
      <w:r w:rsidRPr="00E050AF">
        <w:t xml:space="preserve"> variants in other genes related to HRD (Bonadio 2018).</w:t>
      </w:r>
    </w:p>
    <w:p w14:paraId="1B530EAC" w14:textId="01BEC0E3" w:rsidR="00303C61" w:rsidRPr="00E050AF" w:rsidRDefault="00AB43EA" w:rsidP="00DE268E">
      <w:pPr>
        <w:pStyle w:val="ListParagraph"/>
        <w:numPr>
          <w:ilvl w:val="4"/>
          <w:numId w:val="8"/>
        </w:numPr>
      </w:pPr>
      <w:r w:rsidRPr="00E050AF">
        <w:t xml:space="preserve">The target population </w:t>
      </w:r>
      <w:r w:rsidR="003B330F" w:rsidRPr="00E050AF">
        <w:t>is</w:t>
      </w:r>
      <w:r w:rsidRPr="00E050AF">
        <w:t xml:space="preserve"> the subgroup of patients with </w:t>
      </w:r>
      <w:r w:rsidR="00D26BB7" w:rsidRPr="00E050AF">
        <w:t xml:space="preserve">HGEOC </w:t>
      </w:r>
      <w:r w:rsidRPr="00E050AF">
        <w:t>whose tumours are HRD positive</w:t>
      </w:r>
      <w:r w:rsidRPr="00E050AF">
        <w:rPr>
          <w:i/>
          <w:iCs/>
        </w:rPr>
        <w:t xml:space="preserve"> </w:t>
      </w:r>
      <w:r w:rsidR="00CF529A" w:rsidRPr="00E050AF">
        <w:rPr>
          <w:i/>
          <w:iCs/>
        </w:rPr>
        <w:t>BRCA</w:t>
      </w:r>
      <w:r w:rsidRPr="00E050AF">
        <w:rPr>
          <w:i/>
          <w:iCs/>
        </w:rPr>
        <w:t>wt</w:t>
      </w:r>
      <w:r w:rsidRPr="00E050AF">
        <w:t xml:space="preserve">. The proposed HRD test, which determines both </w:t>
      </w:r>
      <w:r w:rsidR="00CF529A" w:rsidRPr="00E050AF">
        <w:rPr>
          <w:i/>
          <w:iCs/>
        </w:rPr>
        <w:t>BRCA</w:t>
      </w:r>
      <w:r w:rsidRPr="00E050AF">
        <w:t xml:space="preserve"> and </w:t>
      </w:r>
      <w:r w:rsidR="00874A6C" w:rsidRPr="00E050AF">
        <w:t xml:space="preserve">HRD </w:t>
      </w:r>
      <w:r w:rsidRPr="00E050AF">
        <w:t>status, allows identification of these patients.</w:t>
      </w:r>
    </w:p>
    <w:p w14:paraId="20898D92" w14:textId="41F07ACD" w:rsidR="00DA2390" w:rsidRPr="00E050AF" w:rsidRDefault="00DA2390" w:rsidP="009D3CDF">
      <w:pPr>
        <w:pStyle w:val="ListParagraph"/>
        <w:numPr>
          <w:ilvl w:val="4"/>
          <w:numId w:val="8"/>
        </w:numPr>
      </w:pPr>
      <w:r w:rsidRPr="00E050AF">
        <w:t xml:space="preserve">HRD is a phenotype that is characterised by the inability of a cell to effectively repair DNA double-strand breaks using the homologous recombination repair (HRR) pathway. Alterations in these genes </w:t>
      </w:r>
      <w:r w:rsidR="00770B49" w:rsidRPr="00E050AF">
        <w:t>(</w:t>
      </w:r>
      <w:r w:rsidR="00C44955" w:rsidRPr="00E050AF">
        <w:t xml:space="preserve">including </w:t>
      </w:r>
      <w:r w:rsidR="00CF529A" w:rsidRPr="00E050AF">
        <w:rPr>
          <w:i/>
          <w:iCs/>
        </w:rPr>
        <w:t>BRCA</w:t>
      </w:r>
      <w:r w:rsidR="00770B49" w:rsidRPr="00E050AF">
        <w:t xml:space="preserve">) </w:t>
      </w:r>
      <w:r w:rsidRPr="00E050AF">
        <w:t>have been deemed “causes” of HRD (</w:t>
      </w:r>
      <w:r w:rsidR="002653CF" w:rsidRPr="00E050AF">
        <w:t>e.g.</w:t>
      </w:r>
      <w:r w:rsidRPr="00E050AF">
        <w:t xml:space="preserve"> genetic events and epigenetic events). This can result in an impaired HRR pathway, which can be assessed by probing the genome for evidence of genomic instability (</w:t>
      </w:r>
      <w:r w:rsidR="002653CF" w:rsidRPr="00E050AF">
        <w:t>e.g.</w:t>
      </w:r>
      <w:r w:rsidRPr="00E050AF">
        <w:t xml:space="preserve"> chromosomal instability and other genomic signatures). Loss-of-function genes involved in this pathway can sensitise tumours to poly(adenosine diphosphate [ADP]-ribose) polymerase (PARP) inhibitors and platinum-based chemotherapy, which target the destruction of cancer cells by working in concert with HRD through synthetic lethality. A key current challenge is that there is no standardized method to define, measure, and report HR status using diagnostics in the clinical setting (Stewart 2022).</w:t>
      </w:r>
    </w:p>
    <w:p w14:paraId="2F52D506" w14:textId="575B3168" w:rsidR="00874A6C" w:rsidRPr="00E050AF" w:rsidRDefault="00874A6C" w:rsidP="009D3CDF">
      <w:pPr>
        <w:pStyle w:val="ListParagraph"/>
        <w:numPr>
          <w:ilvl w:val="4"/>
          <w:numId w:val="8"/>
        </w:numPr>
      </w:pPr>
      <w:r w:rsidRPr="00E050AF">
        <w:lastRenderedPageBreak/>
        <w:t xml:space="preserve">HRD positive status was defined in the submission as having either tumour </w:t>
      </w:r>
      <w:r w:rsidR="00CF529A" w:rsidRPr="00E050AF">
        <w:rPr>
          <w:i/>
          <w:iCs/>
        </w:rPr>
        <w:t>BRCA</w:t>
      </w:r>
      <w:r w:rsidRPr="00E050AF">
        <w:rPr>
          <w:i/>
          <w:iCs/>
        </w:rPr>
        <w:t>1/2</w:t>
      </w:r>
      <w:r w:rsidRPr="00E050AF">
        <w:t xml:space="preserve"> mutation(s) (</w:t>
      </w:r>
      <w:r w:rsidR="00CF529A" w:rsidRPr="00E050AF">
        <w:rPr>
          <w:i/>
          <w:iCs/>
        </w:rPr>
        <w:t>BRCA</w:t>
      </w:r>
      <w:r w:rsidRPr="00E050AF">
        <w:t>m) or positive GIS Status (≥42</w:t>
      </w:r>
      <w:r w:rsidR="00796954" w:rsidRPr="00E050AF">
        <w:t xml:space="preserve"> using the Myriad myChoice HRD plus</w:t>
      </w:r>
      <w:r w:rsidR="00DA2390" w:rsidRPr="00E050AF">
        <w:t xml:space="preserve"> assay</w:t>
      </w:r>
      <w:r w:rsidRPr="00E050AF">
        <w:t xml:space="preserve">). Given this relationship, GIS positivity implies HRD positivity and they are therefore used interchangeably at times. The terminology ‘HRD positive’ has been used </w:t>
      </w:r>
      <w:r w:rsidR="00EE758F" w:rsidRPr="00E050AF">
        <w:t xml:space="preserve">herein </w:t>
      </w:r>
      <w:r w:rsidRPr="00E050AF">
        <w:t>to allow consistency as it has previously been used by the PBAC (</w:t>
      </w:r>
      <w:r w:rsidR="002653CF" w:rsidRPr="00E050AF">
        <w:t>e.g.</w:t>
      </w:r>
      <w:r w:rsidRPr="00E050AF">
        <w:t xml:space="preserve"> niraparib </w:t>
      </w:r>
      <w:r w:rsidR="00E53822">
        <w:t>public summary document (</w:t>
      </w:r>
      <w:r w:rsidRPr="00E050AF">
        <w:t>PS</w:t>
      </w:r>
      <w:r w:rsidR="00E53822">
        <w:t>D)</w:t>
      </w:r>
      <w:r w:rsidRPr="00E050AF">
        <w:t>, PBAC Meeting March 2021).</w:t>
      </w:r>
      <w:r w:rsidR="006A2300" w:rsidRPr="00E050AF">
        <w:rPr>
          <w:iCs/>
        </w:rPr>
        <w:t xml:space="preserve"> </w:t>
      </w:r>
      <w:r w:rsidR="00C007E1" w:rsidRPr="00E050AF">
        <w:t xml:space="preserve">However, the term ‘GIS threshold’ has been used </w:t>
      </w:r>
      <w:r w:rsidR="00EE758F" w:rsidRPr="00E050AF">
        <w:t>herein</w:t>
      </w:r>
      <w:r w:rsidR="00C007E1" w:rsidRPr="00E050AF">
        <w:t xml:space="preserve"> rather than ‘HRD threshold’ when describing specific threshold criteria, as GIS threshold is a more accurate description what is being measured </w:t>
      </w:r>
      <w:r w:rsidR="002653CF" w:rsidRPr="00E050AF">
        <w:t>i.e.</w:t>
      </w:r>
      <w:r w:rsidR="00C007E1" w:rsidRPr="00E050AF">
        <w:t xml:space="preserve"> the genomic instability.</w:t>
      </w:r>
    </w:p>
    <w:p w14:paraId="03EFEEBD" w14:textId="1896D811" w:rsidR="00AB43EA" w:rsidRPr="00E050AF" w:rsidRDefault="00AB43EA" w:rsidP="009D3CDF">
      <w:pPr>
        <w:pStyle w:val="ListParagraph"/>
        <w:numPr>
          <w:ilvl w:val="4"/>
          <w:numId w:val="8"/>
        </w:numPr>
        <w:rPr>
          <w:color w:val="auto"/>
        </w:rPr>
      </w:pPr>
      <w:r w:rsidRPr="00E050AF">
        <w:rPr>
          <w:color w:val="auto"/>
        </w:rPr>
        <w:t>The submission proposed that testing of tumours to identify HRD (</w:t>
      </w:r>
      <w:r w:rsidR="00CF529A" w:rsidRPr="00E050AF">
        <w:rPr>
          <w:i/>
          <w:iCs/>
          <w:color w:val="auto"/>
        </w:rPr>
        <w:t>BRCA</w:t>
      </w:r>
      <w:r w:rsidRPr="00E050AF">
        <w:rPr>
          <w:color w:val="auto"/>
        </w:rPr>
        <w:t xml:space="preserve"> and GI) status should occur once per primary tumour diagnosis, as part of routine diagnostic work-up for women with advanced (FIGO stage III-IV) high-grade epithelial ovarian, fallopian tube or primary peritoneal cancer. Tumour tissue for HRD testing would be collected during diagnostic biopsy or cytoreductive surgery.</w:t>
      </w:r>
    </w:p>
    <w:p w14:paraId="64F5ABC3" w14:textId="77777777" w:rsidR="00C47DC3" w:rsidRPr="00E050AF" w:rsidRDefault="00C47DC3" w:rsidP="00C47DC3">
      <w:pPr>
        <w:pStyle w:val="ListParagraph"/>
        <w:numPr>
          <w:ilvl w:val="4"/>
          <w:numId w:val="8"/>
        </w:numPr>
        <w:rPr>
          <w:color w:val="auto"/>
        </w:rPr>
      </w:pPr>
      <w:r w:rsidRPr="00E050AF">
        <w:rPr>
          <w:color w:val="auto"/>
        </w:rPr>
        <w:t>Olaparib is an orally active inhibitor of human poly (ADP-ribose) polymerase (PARP) enzymes, PARP-1, PARP-2, and PARP-3. When olaparib is bound to the active site of DNA-associated PARP it prevents the dissociation of PARP and traps it on the DNA, thus blocking repair and leading to tumour cell death.</w:t>
      </w:r>
    </w:p>
    <w:p w14:paraId="26A67E16" w14:textId="407387C5" w:rsidR="00AB43EA" w:rsidRPr="00E050AF" w:rsidRDefault="00AB43EA" w:rsidP="009D3CDF">
      <w:pPr>
        <w:pStyle w:val="ListParagraph"/>
        <w:numPr>
          <w:ilvl w:val="4"/>
          <w:numId w:val="8"/>
        </w:numPr>
        <w:rPr>
          <w:color w:val="auto"/>
        </w:rPr>
      </w:pPr>
      <w:r w:rsidRPr="00E050AF">
        <w:rPr>
          <w:color w:val="auto"/>
        </w:rPr>
        <w:t xml:space="preserve">The submission requested use of olaparib in combination with bevacizumab as maintenance therapy after response to first line platinum-based chemotherapy </w:t>
      </w:r>
      <w:r w:rsidR="002466E9" w:rsidRPr="00E050AF">
        <w:rPr>
          <w:color w:val="auto"/>
        </w:rPr>
        <w:t xml:space="preserve">(with or without bevacizumab) </w:t>
      </w:r>
      <w:r w:rsidRPr="00E050AF">
        <w:rPr>
          <w:color w:val="auto"/>
        </w:rPr>
        <w:t xml:space="preserve">in patients who are HRD positive and </w:t>
      </w:r>
      <w:r w:rsidR="00CF529A" w:rsidRPr="00E050AF">
        <w:rPr>
          <w:i/>
          <w:iCs/>
          <w:color w:val="auto"/>
        </w:rPr>
        <w:t>BRCA</w:t>
      </w:r>
      <w:r w:rsidRPr="00E050AF">
        <w:rPr>
          <w:color w:val="auto"/>
        </w:rPr>
        <w:t xml:space="preserve">wt. Patients who are HRD positive </w:t>
      </w:r>
      <w:r w:rsidR="00CF529A" w:rsidRPr="00E050AF">
        <w:rPr>
          <w:i/>
          <w:iCs/>
          <w:color w:val="auto"/>
        </w:rPr>
        <w:t>BRCA</w:t>
      </w:r>
      <w:r w:rsidRPr="00E050AF">
        <w:rPr>
          <w:color w:val="auto"/>
        </w:rPr>
        <w:t>m are eligible for olaparib monotherapy treatment under the existing PBS listing. Patients who test HRD negative would not be eligible to receive olaparib and are likely to</w:t>
      </w:r>
      <w:r w:rsidR="00654F5E" w:rsidRPr="00E050AF">
        <w:rPr>
          <w:color w:val="auto"/>
        </w:rPr>
        <w:t xml:space="preserve"> receive bevacizumab monotherapy.</w:t>
      </w:r>
      <w:r w:rsidR="00D57B49" w:rsidRPr="00E050AF">
        <w:rPr>
          <w:iCs/>
          <w:color w:val="auto"/>
        </w:rPr>
        <w:t xml:space="preserve"> The ESC</w:t>
      </w:r>
      <w:r w:rsidR="004A1A2E" w:rsidRPr="00E050AF">
        <w:rPr>
          <w:iCs/>
          <w:color w:val="auto"/>
        </w:rPr>
        <w:t>s</w:t>
      </w:r>
      <w:r w:rsidR="00D57B49" w:rsidRPr="00E050AF">
        <w:rPr>
          <w:iCs/>
          <w:color w:val="auto"/>
        </w:rPr>
        <w:t xml:space="preserve"> considered that a significant proportion of these patients would not receive bevacizumab and that ‘watch and wait’ was a relevant comparator for these patients.</w:t>
      </w:r>
    </w:p>
    <w:p w14:paraId="18759C84" w14:textId="754F45D2" w:rsidR="00AB43EA" w:rsidRPr="00E050AF" w:rsidRDefault="00AB43EA" w:rsidP="00D57B49">
      <w:pPr>
        <w:pStyle w:val="ListParagraph"/>
        <w:numPr>
          <w:ilvl w:val="4"/>
          <w:numId w:val="8"/>
        </w:numPr>
        <w:rPr>
          <w:color w:val="auto"/>
        </w:rPr>
      </w:pPr>
      <w:r w:rsidRPr="00E050AF">
        <w:rPr>
          <w:color w:val="auto"/>
        </w:rPr>
        <w:t xml:space="preserve">The submission noted that </w:t>
      </w:r>
      <w:r w:rsidR="00654F5E" w:rsidRPr="00E050AF">
        <w:rPr>
          <w:color w:val="auto"/>
        </w:rPr>
        <w:t xml:space="preserve">testing at diagnosis rather than after response to first-line platinum-based chemotherapy avoids treatment delay and ensures the most efficient testing sequence of tumour tissue testing. However, this also leads to unnecessary testing </w:t>
      </w:r>
      <w:r w:rsidRPr="00E050AF">
        <w:t xml:space="preserve">and increases the total cost of testing as patients who do not respond to platinum-based chemotherapy would not have been eligible for maintenance therapy with olaparib irrespective of HRD or </w:t>
      </w:r>
      <w:r w:rsidR="00CF529A" w:rsidRPr="00E050AF">
        <w:rPr>
          <w:i/>
          <w:iCs/>
        </w:rPr>
        <w:t>BRCA</w:t>
      </w:r>
      <w:r w:rsidRPr="00E050AF">
        <w:t xml:space="preserve"> status.</w:t>
      </w:r>
      <w:r w:rsidR="00D57B49" w:rsidRPr="00E050AF">
        <w:t xml:space="preserve"> </w:t>
      </w:r>
      <w:r w:rsidR="00D57B49" w:rsidRPr="00E050AF">
        <w:rPr>
          <w:iCs/>
        </w:rPr>
        <w:t>The ESC</w:t>
      </w:r>
      <w:r w:rsidR="004A1A2E" w:rsidRPr="00E050AF">
        <w:rPr>
          <w:iCs/>
        </w:rPr>
        <w:t>s</w:t>
      </w:r>
      <w:r w:rsidR="00D57B49" w:rsidRPr="00E050AF">
        <w:rPr>
          <w:iCs/>
        </w:rPr>
        <w:t xml:space="preserve"> considered that most patients (</w:t>
      </w:r>
      <w:r w:rsidR="00EE758F" w:rsidRPr="00E050AF">
        <w:rPr>
          <w:iCs/>
        </w:rPr>
        <w:t xml:space="preserve">around </w:t>
      </w:r>
      <w:r w:rsidR="00D57B49" w:rsidRPr="00E050AF">
        <w:rPr>
          <w:iCs/>
        </w:rPr>
        <w:t>70-80%</w:t>
      </w:r>
      <w:r w:rsidR="00EE758F" w:rsidRPr="00E050AF">
        <w:rPr>
          <w:iCs/>
        </w:rPr>
        <w:t xml:space="preserve"> based on clinical experience</w:t>
      </w:r>
      <w:r w:rsidR="00D57B49" w:rsidRPr="00E050AF">
        <w:rPr>
          <w:iCs/>
        </w:rPr>
        <w:t>), will respond to platinum-based chemotherapy, and supported offering the test to all patients at diagnosis rather than after response to first-line platinum-based chemotherapy.</w:t>
      </w:r>
    </w:p>
    <w:p w14:paraId="11B5A319" w14:textId="14AC9E00" w:rsidR="00921E47" w:rsidRPr="00E050AF" w:rsidRDefault="00990564" w:rsidP="00990564">
      <w:pPr>
        <w:ind w:firstLine="709"/>
        <w:rPr>
          <w:i/>
        </w:rPr>
      </w:pPr>
      <w:r w:rsidRPr="00E050AF">
        <w:rPr>
          <w:i/>
        </w:rPr>
        <w:t>For more detail on PBAC’s view, see section 7 PBAC outcome.</w:t>
      </w:r>
    </w:p>
    <w:p w14:paraId="34679BDE" w14:textId="296E3847" w:rsidR="00AB43EA" w:rsidRPr="00E050AF" w:rsidRDefault="00AB43EA" w:rsidP="003C7731">
      <w:pPr>
        <w:pStyle w:val="PBACESHeading1"/>
        <w:numPr>
          <w:ilvl w:val="0"/>
          <w:numId w:val="25"/>
        </w:numPr>
      </w:pPr>
      <w:bookmarkStart w:id="35" w:name="_Toc100693620"/>
      <w:bookmarkStart w:id="36" w:name="_Toc103581572"/>
      <w:bookmarkStart w:id="37" w:name="_Toc103775860"/>
      <w:r w:rsidRPr="00E050AF">
        <w:t>Comparator</w:t>
      </w:r>
      <w:bookmarkEnd w:id="34"/>
      <w:bookmarkEnd w:id="35"/>
      <w:bookmarkEnd w:id="36"/>
      <w:bookmarkEnd w:id="37"/>
    </w:p>
    <w:p w14:paraId="05D3610E" w14:textId="77470F7C" w:rsidR="00AB43EA" w:rsidRPr="00E050AF" w:rsidRDefault="00AB43EA" w:rsidP="009D3CDF">
      <w:pPr>
        <w:pStyle w:val="ListParagraph"/>
        <w:numPr>
          <w:ilvl w:val="4"/>
          <w:numId w:val="8"/>
        </w:numPr>
        <w:rPr>
          <w:color w:val="auto"/>
        </w:rPr>
      </w:pPr>
      <w:r w:rsidRPr="00E050AF">
        <w:rPr>
          <w:color w:val="auto"/>
        </w:rPr>
        <w:t>The submission appropriately nominated bevacizumab as the main comparator for the proposed drug regimen.</w:t>
      </w:r>
      <w:r w:rsidRPr="00E050AF">
        <w:rPr>
          <w:iCs/>
          <w:color w:val="auto"/>
        </w:rPr>
        <w:t xml:space="preserve"> </w:t>
      </w:r>
      <w:r w:rsidRPr="00E050AF">
        <w:rPr>
          <w:color w:val="auto"/>
        </w:rPr>
        <w:t xml:space="preserve">Routine surveillance ‘watch and wait’ (i.e. placebo) was </w:t>
      </w:r>
      <w:r w:rsidRPr="00E050AF">
        <w:rPr>
          <w:color w:val="auto"/>
        </w:rPr>
        <w:lastRenderedPageBreak/>
        <w:t>nominated as a supplementary comparator</w:t>
      </w:r>
      <w:r w:rsidR="008352BE" w:rsidRPr="00E050AF">
        <w:rPr>
          <w:color w:val="auto"/>
        </w:rPr>
        <w:t xml:space="preserve"> (</w:t>
      </w:r>
      <w:r w:rsidR="00BB3021" w:rsidRPr="00E050AF">
        <w:rPr>
          <w:color w:val="auto"/>
        </w:rPr>
        <w:t>in</w:t>
      </w:r>
      <w:r w:rsidR="008352BE" w:rsidRPr="00E050AF">
        <w:rPr>
          <w:color w:val="auto"/>
        </w:rPr>
        <w:t xml:space="preserve"> approximately </w:t>
      </w:r>
      <w:bookmarkStart w:id="38" w:name="_Hlk105706562"/>
      <w:r w:rsidR="00654F5E" w:rsidRPr="00E050AF">
        <w:rPr>
          <w:color w:val="auto"/>
        </w:rPr>
        <w:t xml:space="preserve">10% </w:t>
      </w:r>
      <w:bookmarkEnd w:id="38"/>
      <w:r w:rsidR="00654F5E" w:rsidRPr="00E050AF">
        <w:rPr>
          <w:color w:val="auto"/>
        </w:rPr>
        <w:t>of the population</w:t>
      </w:r>
      <w:r w:rsidR="008352BE" w:rsidRPr="00E050AF">
        <w:rPr>
          <w:color w:val="auto"/>
        </w:rPr>
        <w:t>)</w:t>
      </w:r>
      <w:r w:rsidR="00E34729" w:rsidRPr="00E050AF">
        <w:rPr>
          <w:color w:val="auto"/>
        </w:rPr>
        <w:t>.</w:t>
      </w:r>
      <w:r w:rsidR="0044446B" w:rsidRPr="00E050AF">
        <w:rPr>
          <w:color w:val="auto"/>
        </w:rPr>
        <w:t xml:space="preserve"> </w:t>
      </w:r>
      <w:r w:rsidR="00034DFC" w:rsidRPr="00E050AF">
        <w:rPr>
          <w:iCs/>
          <w:color w:val="auto"/>
        </w:rPr>
        <w:t xml:space="preserve">The </w:t>
      </w:r>
      <w:r w:rsidR="00406BDC" w:rsidRPr="00E050AF">
        <w:rPr>
          <w:iCs/>
          <w:color w:val="auto"/>
        </w:rPr>
        <w:t xml:space="preserve">PBAC agreed with the ESCs </w:t>
      </w:r>
      <w:r w:rsidR="00034DFC" w:rsidRPr="00E050AF">
        <w:rPr>
          <w:iCs/>
          <w:color w:val="auto"/>
        </w:rPr>
        <w:t>that ‘watch and wait’ is a relevant comparator for a significant proportion of patients, particularly now that bevacizumab is unrestricted and may therefore be used in later lines.</w:t>
      </w:r>
    </w:p>
    <w:p w14:paraId="3A42A2DD" w14:textId="28AE64E3" w:rsidR="00406BDC" w:rsidRPr="00E050AF" w:rsidRDefault="00BB3021" w:rsidP="00A354B6">
      <w:pPr>
        <w:pStyle w:val="ListParagraph"/>
        <w:numPr>
          <w:ilvl w:val="4"/>
          <w:numId w:val="8"/>
        </w:numPr>
        <w:rPr>
          <w:color w:val="auto"/>
        </w:rPr>
      </w:pPr>
      <w:r w:rsidRPr="00E050AF">
        <w:rPr>
          <w:color w:val="auto"/>
        </w:rPr>
        <w:t>During</w:t>
      </w:r>
      <w:r w:rsidRPr="00E050AF">
        <w:rPr>
          <w:szCs w:val="20"/>
        </w:rPr>
        <w:t xml:space="preserve"> </w:t>
      </w:r>
      <w:r w:rsidR="00EC36FA" w:rsidRPr="00E050AF">
        <w:rPr>
          <w:szCs w:val="20"/>
        </w:rPr>
        <w:t xml:space="preserve">its </w:t>
      </w:r>
      <w:r w:rsidRPr="00E050AF">
        <w:rPr>
          <w:szCs w:val="20"/>
        </w:rPr>
        <w:t>consideration of niraparib for the treatment of newly diagnosed HGEOC in patients who are in response to platinum-based chemotherapy</w:t>
      </w:r>
      <w:r w:rsidR="0024711F" w:rsidRPr="00E050AF">
        <w:rPr>
          <w:szCs w:val="20"/>
        </w:rPr>
        <w:t>,</w:t>
      </w:r>
      <w:r w:rsidRPr="00E050AF">
        <w:rPr>
          <w:szCs w:val="20"/>
        </w:rPr>
        <w:t xml:space="preserve"> the PBAC (paragraph 5.1, p</w:t>
      </w:r>
      <w:r w:rsidR="000670F2" w:rsidRPr="00E050AF">
        <w:rPr>
          <w:szCs w:val="20"/>
        </w:rPr>
        <w:t>7</w:t>
      </w:r>
      <w:r w:rsidRPr="00E050AF">
        <w:rPr>
          <w:szCs w:val="20"/>
        </w:rPr>
        <w:t xml:space="preserve">, niraparib </w:t>
      </w:r>
      <w:r w:rsidR="000670F2" w:rsidRPr="00E050AF">
        <w:rPr>
          <w:szCs w:val="20"/>
        </w:rPr>
        <w:t>PSD</w:t>
      </w:r>
      <w:r w:rsidR="003614C5" w:rsidRPr="00E050AF">
        <w:rPr>
          <w:szCs w:val="20"/>
        </w:rPr>
        <w:t xml:space="preserve">, </w:t>
      </w:r>
      <w:r w:rsidR="000670F2" w:rsidRPr="00E050AF">
        <w:rPr>
          <w:szCs w:val="20"/>
        </w:rPr>
        <w:t>July 2021</w:t>
      </w:r>
      <w:r w:rsidR="000077D6" w:rsidRPr="00E050AF">
        <w:rPr>
          <w:szCs w:val="20"/>
        </w:rPr>
        <w:t xml:space="preserve"> PBAC meeting</w:t>
      </w:r>
      <w:r w:rsidRPr="00E050AF">
        <w:rPr>
          <w:szCs w:val="20"/>
        </w:rPr>
        <w:t xml:space="preserve">) </w:t>
      </w:r>
      <w:r w:rsidRPr="00E050AF">
        <w:rPr>
          <w:color w:val="auto"/>
        </w:rPr>
        <w:t xml:space="preserve">accepted that the appropriate comparator for </w:t>
      </w:r>
      <w:r w:rsidR="003614C5" w:rsidRPr="00E050AF">
        <w:rPr>
          <w:color w:val="auto"/>
        </w:rPr>
        <w:t xml:space="preserve">niraparib monotherapy in </w:t>
      </w:r>
      <w:r w:rsidRPr="00E050AF">
        <w:rPr>
          <w:color w:val="auto"/>
        </w:rPr>
        <w:t>non-</w:t>
      </w:r>
      <w:r w:rsidR="00CF529A" w:rsidRPr="00E050AF">
        <w:rPr>
          <w:i/>
          <w:iCs/>
          <w:color w:val="auto"/>
        </w:rPr>
        <w:t>BRCA</w:t>
      </w:r>
      <w:r w:rsidRPr="00E050AF">
        <w:rPr>
          <w:color w:val="auto"/>
        </w:rPr>
        <w:t xml:space="preserve">m patients is either bevacizumab or no active treatment (standard medical management, SMM). </w:t>
      </w:r>
      <w:r w:rsidR="00CB141E" w:rsidRPr="00E050AF">
        <w:rPr>
          <w:color w:val="auto"/>
        </w:rPr>
        <w:t>F</w:t>
      </w:r>
      <w:r w:rsidRPr="00E050AF">
        <w:rPr>
          <w:color w:val="auto"/>
        </w:rPr>
        <w:t>or non-</w:t>
      </w:r>
      <w:r w:rsidR="00CF529A" w:rsidRPr="00E050AF">
        <w:rPr>
          <w:i/>
          <w:iCs/>
          <w:color w:val="auto"/>
        </w:rPr>
        <w:t>BRCA</w:t>
      </w:r>
      <w:r w:rsidRPr="00E050AF">
        <w:rPr>
          <w:color w:val="auto"/>
        </w:rPr>
        <w:t>m patients, bevacizumab maintenance therapy, following front-line bevacizumab plus chemotherapy, is the only active maintenance treatment available</w:t>
      </w:r>
      <w:r w:rsidR="007045D0" w:rsidRPr="00E050AF">
        <w:rPr>
          <w:color w:val="auto"/>
        </w:rPr>
        <w:t>, but there may also be some non-</w:t>
      </w:r>
      <w:r w:rsidR="00CF529A" w:rsidRPr="00E050AF">
        <w:rPr>
          <w:i/>
          <w:iCs/>
          <w:color w:val="auto"/>
        </w:rPr>
        <w:t>BRCA</w:t>
      </w:r>
      <w:r w:rsidR="007045D0" w:rsidRPr="00E050AF">
        <w:rPr>
          <w:color w:val="auto"/>
        </w:rPr>
        <w:t>m patients eligible for, but not treated with bevacizumab due to risk/benefit considerations (</w:t>
      </w:r>
      <w:r w:rsidR="007045D0" w:rsidRPr="00E050AF">
        <w:t>paragraph 7.4, niraparib PSD, July 2021 PBAC meeting</w:t>
      </w:r>
      <w:r w:rsidR="007045D0" w:rsidRPr="00E050AF">
        <w:rPr>
          <w:color w:val="auto"/>
        </w:rPr>
        <w:t>).</w:t>
      </w:r>
    </w:p>
    <w:p w14:paraId="4CD2557F" w14:textId="22AEB346" w:rsidR="00AB43EA" w:rsidRPr="00E050AF" w:rsidRDefault="00AB43EA" w:rsidP="00A354B6">
      <w:pPr>
        <w:pStyle w:val="ListParagraph"/>
        <w:numPr>
          <w:ilvl w:val="4"/>
          <w:numId w:val="8"/>
        </w:numPr>
      </w:pPr>
      <w:r w:rsidRPr="00E050AF">
        <w:t xml:space="preserve">Currently tumour </w:t>
      </w:r>
      <w:r w:rsidR="00CF529A" w:rsidRPr="00E050AF">
        <w:rPr>
          <w:i/>
          <w:iCs/>
        </w:rPr>
        <w:t>BRCA</w:t>
      </w:r>
      <w:r w:rsidRPr="00E050AF">
        <w:t xml:space="preserve"> testing is MBS funded under MBS item 73301 upon diagnosis of advanced ovarian cancer. This test was nominated by the submission as the main comparator to the proposed test as the submission proposed that the HRD test will replace the existing tumour </w:t>
      </w:r>
      <w:r w:rsidR="00CF529A" w:rsidRPr="00E050AF">
        <w:rPr>
          <w:i/>
          <w:iCs/>
        </w:rPr>
        <w:t>BRCA</w:t>
      </w:r>
      <w:r w:rsidRPr="00E050AF">
        <w:t xml:space="preserve"> test, given that the HRD test will provide both </w:t>
      </w:r>
      <w:r w:rsidR="00CF529A" w:rsidRPr="00E050AF">
        <w:rPr>
          <w:i/>
          <w:iCs/>
        </w:rPr>
        <w:t>BRCA</w:t>
      </w:r>
      <w:r w:rsidRPr="00E050AF">
        <w:t xml:space="preserve"> and GI status.</w:t>
      </w:r>
    </w:p>
    <w:p w14:paraId="3C26BB42" w14:textId="380DE057" w:rsidR="00AB43EA" w:rsidRPr="00E050AF" w:rsidRDefault="00AB43EA" w:rsidP="003C7731">
      <w:pPr>
        <w:pStyle w:val="PBACESHeading1"/>
        <w:numPr>
          <w:ilvl w:val="0"/>
          <w:numId w:val="25"/>
        </w:numPr>
      </w:pPr>
      <w:bookmarkStart w:id="39" w:name="_Toc100693622"/>
      <w:bookmarkStart w:id="40" w:name="_Toc103581574"/>
      <w:bookmarkStart w:id="41" w:name="_Toc103775861"/>
      <w:r w:rsidRPr="00E050AF">
        <w:t>Overview of the evidence base</w:t>
      </w:r>
      <w:bookmarkEnd w:id="39"/>
      <w:bookmarkEnd w:id="40"/>
      <w:bookmarkEnd w:id="41"/>
    </w:p>
    <w:p w14:paraId="34EAAFD0" w14:textId="08614816" w:rsidR="00AB43EA" w:rsidRPr="00E050AF" w:rsidRDefault="00AB43EA" w:rsidP="009D3CDF">
      <w:pPr>
        <w:pStyle w:val="ListParagraph"/>
        <w:numPr>
          <w:ilvl w:val="4"/>
          <w:numId w:val="8"/>
        </w:numPr>
        <w:rPr>
          <w:rStyle w:val="InstructionalTextChar"/>
          <w:color w:val="auto"/>
        </w:rPr>
      </w:pPr>
      <w:r w:rsidRPr="00E050AF">
        <w:rPr>
          <w:rStyle w:val="InstructionalTextChar"/>
          <w:color w:val="auto"/>
        </w:rPr>
        <w:t>The submission present</w:t>
      </w:r>
      <w:r w:rsidR="00703BAE" w:rsidRPr="00E050AF">
        <w:rPr>
          <w:rStyle w:val="InstructionalTextChar"/>
          <w:color w:val="auto"/>
        </w:rPr>
        <w:t>ed</w:t>
      </w:r>
      <w:r w:rsidRPr="00E050AF">
        <w:rPr>
          <w:rStyle w:val="InstructionalTextChar"/>
          <w:color w:val="auto"/>
        </w:rPr>
        <w:t xml:space="preserve"> </w:t>
      </w:r>
      <w:r w:rsidR="002F543D" w:rsidRPr="00E050AF">
        <w:t xml:space="preserve">a linked </w:t>
      </w:r>
      <w:r w:rsidR="002F543D" w:rsidRPr="00E050AF">
        <w:rPr>
          <w:rStyle w:val="InstructionalTextChar"/>
          <w:color w:val="auto"/>
        </w:rPr>
        <w:t>evidence approach</w:t>
      </w:r>
      <w:r w:rsidRPr="00E050AF">
        <w:rPr>
          <w:rStyle w:val="InstructionalTextChar"/>
          <w:color w:val="auto"/>
        </w:rPr>
        <w:t xml:space="preserve"> to support the contention that patients with </w:t>
      </w:r>
      <w:r w:rsidR="006E51C4" w:rsidRPr="00E050AF">
        <w:rPr>
          <w:rStyle w:val="InstructionalTextChar"/>
          <w:color w:val="auto"/>
        </w:rPr>
        <w:t xml:space="preserve">HGEOC </w:t>
      </w:r>
      <w:r w:rsidRPr="00E050AF">
        <w:rPr>
          <w:rStyle w:val="InstructionalTextChar"/>
          <w:color w:val="auto"/>
        </w:rPr>
        <w:t xml:space="preserve">whose tumours are HRD positive </w:t>
      </w:r>
      <w:r w:rsidR="00CF529A" w:rsidRPr="00E050AF">
        <w:rPr>
          <w:rStyle w:val="InstructionalTextChar"/>
          <w:i/>
          <w:iCs/>
          <w:color w:val="auto"/>
        </w:rPr>
        <w:t>BRCA</w:t>
      </w:r>
      <w:r w:rsidRPr="00E050AF">
        <w:rPr>
          <w:rStyle w:val="InstructionalTextChar"/>
          <w:color w:val="auto"/>
        </w:rPr>
        <w:t xml:space="preserve">wt </w:t>
      </w:r>
      <w:r w:rsidR="00FE6C35" w:rsidRPr="00E050AF">
        <w:rPr>
          <w:rStyle w:val="InstructionalTextChar"/>
          <w:color w:val="auto"/>
        </w:rPr>
        <w:t xml:space="preserve">who respond to first line chemotherapy (with or without concurrent bevacizumab) </w:t>
      </w:r>
      <w:r w:rsidRPr="00E050AF">
        <w:rPr>
          <w:rStyle w:val="InstructionalTextChar"/>
          <w:color w:val="auto"/>
        </w:rPr>
        <w:t xml:space="preserve">will derive benefit from </w:t>
      </w:r>
      <w:r w:rsidR="00FE6C35" w:rsidRPr="00E050AF">
        <w:rPr>
          <w:rStyle w:val="InstructionalTextChar"/>
          <w:color w:val="auto"/>
        </w:rPr>
        <w:t xml:space="preserve">maintenance </w:t>
      </w:r>
      <w:r w:rsidRPr="00E050AF">
        <w:rPr>
          <w:rStyle w:val="InstructionalTextChar"/>
          <w:color w:val="auto"/>
        </w:rPr>
        <w:t>treatment with olaparib plus bevacizumab.</w:t>
      </w:r>
    </w:p>
    <w:p w14:paraId="2A679A6D" w14:textId="4DDCD918" w:rsidR="00AB43EA" w:rsidRPr="00E050AF" w:rsidRDefault="00AB43EA" w:rsidP="009D3CDF">
      <w:pPr>
        <w:pStyle w:val="ListParagraph"/>
        <w:numPr>
          <w:ilvl w:val="4"/>
          <w:numId w:val="8"/>
        </w:numPr>
        <w:rPr>
          <w:rStyle w:val="InstructionalTextChar"/>
          <w:color w:val="auto"/>
        </w:rPr>
      </w:pPr>
      <w:r w:rsidRPr="00E050AF">
        <w:rPr>
          <w:rStyle w:val="InstructionalTextChar"/>
          <w:color w:val="auto"/>
        </w:rPr>
        <w:t xml:space="preserve">A randomised controlled trial of olaparib plus bevacizumab versus bevacizumab (PAOLA-1) was presented in the submission </w:t>
      </w:r>
      <w:r w:rsidR="00556F21" w:rsidRPr="00E050AF">
        <w:rPr>
          <w:rStyle w:val="InstructionalTextChar"/>
          <w:color w:val="auto"/>
        </w:rPr>
        <w:t xml:space="preserve">in which </w:t>
      </w:r>
      <w:r w:rsidR="00C46017" w:rsidRPr="00E050AF">
        <w:rPr>
          <w:rStyle w:val="InstructionalTextChar"/>
          <w:color w:val="auto"/>
        </w:rPr>
        <w:t xml:space="preserve">all randomised </w:t>
      </w:r>
      <w:r w:rsidRPr="00E050AF">
        <w:rPr>
          <w:rStyle w:val="InstructionalTextChar"/>
          <w:color w:val="auto"/>
        </w:rPr>
        <w:t xml:space="preserve">patients </w:t>
      </w:r>
      <w:r w:rsidR="00FE4ADC" w:rsidRPr="00E050AF">
        <w:rPr>
          <w:rStyle w:val="InstructionalTextChar"/>
          <w:color w:val="auto"/>
        </w:rPr>
        <w:t xml:space="preserve">were </w:t>
      </w:r>
      <w:r w:rsidR="00C46017" w:rsidRPr="00E050AF">
        <w:rPr>
          <w:rStyle w:val="InstructionalTextChar"/>
          <w:color w:val="auto"/>
        </w:rPr>
        <w:t xml:space="preserve">stratified based on tumour </w:t>
      </w:r>
      <w:r w:rsidR="00CF529A" w:rsidRPr="00E050AF">
        <w:rPr>
          <w:rStyle w:val="InstructionalTextChar"/>
          <w:i/>
          <w:iCs/>
          <w:color w:val="auto"/>
        </w:rPr>
        <w:t>BRCA</w:t>
      </w:r>
      <w:r w:rsidR="00C46017" w:rsidRPr="00E050AF">
        <w:rPr>
          <w:rStyle w:val="InstructionalTextChar"/>
          <w:color w:val="auto"/>
        </w:rPr>
        <w:t xml:space="preserve"> status</w:t>
      </w:r>
      <w:r w:rsidR="00CF49DA" w:rsidRPr="00E050AF">
        <w:rPr>
          <w:rStyle w:val="InstructionalTextChar"/>
          <w:color w:val="auto"/>
        </w:rPr>
        <w:t xml:space="preserve">, with </w:t>
      </w:r>
      <w:r w:rsidR="00C46017" w:rsidRPr="00E050AF">
        <w:rPr>
          <w:rStyle w:val="InstructionalTextChar"/>
          <w:color w:val="auto"/>
        </w:rPr>
        <w:t>GI</w:t>
      </w:r>
      <w:r w:rsidR="00CF49DA" w:rsidRPr="00E050AF">
        <w:rPr>
          <w:rStyle w:val="InstructionalTextChar"/>
          <w:color w:val="auto"/>
        </w:rPr>
        <w:t>/HRD</w:t>
      </w:r>
      <w:r w:rsidRPr="00E050AF">
        <w:rPr>
          <w:rStyle w:val="InstructionalTextChar"/>
          <w:color w:val="auto"/>
        </w:rPr>
        <w:t xml:space="preserve"> status determined</w:t>
      </w:r>
      <w:r w:rsidR="00C46017" w:rsidRPr="00E050AF">
        <w:rPr>
          <w:rStyle w:val="InstructionalTextChar"/>
          <w:color w:val="auto"/>
        </w:rPr>
        <w:t xml:space="preserve"> </w:t>
      </w:r>
      <w:r w:rsidR="00CF49DA" w:rsidRPr="00E050AF">
        <w:rPr>
          <w:rStyle w:val="InstructionalTextChar"/>
          <w:color w:val="auto"/>
        </w:rPr>
        <w:t xml:space="preserve">post randomisation using archive samples and </w:t>
      </w:r>
      <w:r w:rsidR="00C46017" w:rsidRPr="00E050AF">
        <w:rPr>
          <w:rStyle w:val="InstructionalTextChar"/>
          <w:color w:val="auto"/>
        </w:rPr>
        <w:t>the Myriad myChoice HRD Plus assay</w:t>
      </w:r>
      <w:r w:rsidRPr="00E050AF">
        <w:rPr>
          <w:rStyle w:val="InstructionalTextChar"/>
          <w:color w:val="auto"/>
        </w:rPr>
        <w:t xml:space="preserve">. </w:t>
      </w:r>
      <w:r w:rsidR="001909D8" w:rsidRPr="00E050AF">
        <w:rPr>
          <w:rStyle w:val="InstructionalTextChar"/>
          <w:color w:val="auto"/>
        </w:rPr>
        <w:t>A</w:t>
      </w:r>
      <w:r w:rsidRPr="00E050AF">
        <w:rPr>
          <w:rStyle w:val="InstructionalTextChar"/>
          <w:color w:val="auto"/>
        </w:rPr>
        <w:t xml:space="preserve"> direct evidence approach could not be used as the method used to test HRD status (and </w:t>
      </w:r>
      <w:r w:rsidR="00CF529A" w:rsidRPr="00E050AF">
        <w:rPr>
          <w:rStyle w:val="InstructionalTextChar"/>
          <w:i/>
          <w:iCs/>
          <w:color w:val="auto"/>
        </w:rPr>
        <w:t>BRCA</w:t>
      </w:r>
      <w:r w:rsidRPr="00E050AF">
        <w:rPr>
          <w:rStyle w:val="InstructionalTextChar"/>
          <w:color w:val="auto"/>
        </w:rPr>
        <w:t xml:space="preserve"> status) in the clinical trial was different to the proposed test to be used in Australia (which will be carried out at the </w:t>
      </w:r>
      <w:r w:rsidR="00602B47" w:rsidRPr="003973FA">
        <w:rPr>
          <w:rStyle w:val="InstructionalTextChar"/>
          <w:color w:val="000000"/>
          <w:w w:val="15"/>
          <w:shd w:val="solid" w:color="000000" w:fill="000000"/>
          <w:fitText w:val="-20" w:id="-1435752189"/>
          <w14:textFill>
            <w14:solidFill>
              <w14:srgbClr w14:val="000000">
                <w14:alpha w14:val="100000"/>
              </w14:srgbClr>
            </w14:solidFill>
          </w14:textFill>
        </w:rPr>
        <w:t xml:space="preserve">|  </w:t>
      </w:r>
      <w:r w:rsidR="00602B47" w:rsidRPr="003973FA">
        <w:rPr>
          <w:rStyle w:val="InstructionalTextChar"/>
          <w:color w:val="000000"/>
          <w:spacing w:val="-69"/>
          <w:w w:val="15"/>
          <w:shd w:val="solid" w:color="000000" w:fill="000000"/>
          <w:fitText w:val="-20" w:id="-1435752189"/>
          <w14:textFill>
            <w14:solidFill>
              <w14:srgbClr w14:val="000000">
                <w14:alpha w14:val="100000"/>
              </w14:srgbClr>
            </w14:solidFill>
          </w14:textFill>
        </w:rPr>
        <w:t>|</w:t>
      </w:r>
      <w:r w:rsidR="001909D8" w:rsidRPr="00E050AF">
        <w:rPr>
          <w:rStyle w:val="InstructionalTextChar"/>
          <w:color w:val="auto"/>
        </w:rPr>
        <w:t xml:space="preserve"> </w:t>
      </w:r>
      <w:r w:rsidRPr="00E050AF">
        <w:rPr>
          <w:rStyle w:val="InstructionalTextChar"/>
          <w:color w:val="auto"/>
        </w:rPr>
        <w:t>using a test by SOPHiA Genetics</w:t>
      </w:r>
      <w:r w:rsidR="001909D8" w:rsidRPr="00E050AF">
        <w:rPr>
          <w:rStyle w:val="InstructionalTextChar"/>
          <w:color w:val="auto"/>
        </w:rPr>
        <w:t>, referred to as the SOPHiA assay herein</w:t>
      </w:r>
      <w:r w:rsidRPr="00E050AF">
        <w:rPr>
          <w:rStyle w:val="InstructionalTextChar"/>
          <w:color w:val="auto"/>
        </w:rPr>
        <w:t>). Instead, the evidence presented included:</w:t>
      </w:r>
    </w:p>
    <w:p w14:paraId="639C1599" w14:textId="32F5F5FC" w:rsidR="00AB43EA" w:rsidRPr="00E050AF" w:rsidRDefault="00AB43EA" w:rsidP="003C7731">
      <w:pPr>
        <w:pStyle w:val="ListParagraph"/>
        <w:numPr>
          <w:ilvl w:val="4"/>
          <w:numId w:val="26"/>
        </w:numPr>
        <w:ind w:left="1134"/>
        <w:rPr>
          <w:rStyle w:val="InstructionalTextChar"/>
          <w:color w:val="auto"/>
        </w:rPr>
      </w:pPr>
      <w:r w:rsidRPr="00E050AF">
        <w:rPr>
          <w:rStyle w:val="InstructionalTextChar"/>
          <w:color w:val="auto"/>
        </w:rPr>
        <w:t>Validation of the SOPHiA assay against the Myri</w:t>
      </w:r>
      <w:r w:rsidR="00312809" w:rsidRPr="00E050AF">
        <w:rPr>
          <w:rStyle w:val="InstructionalTextChar"/>
          <w:color w:val="auto"/>
        </w:rPr>
        <w:t>a</w:t>
      </w:r>
      <w:r w:rsidRPr="00E050AF">
        <w:rPr>
          <w:rStyle w:val="InstructionalTextChar"/>
          <w:color w:val="auto"/>
        </w:rPr>
        <w:t>d myChoice</w:t>
      </w:r>
      <w:r w:rsidR="001417BD" w:rsidRPr="00E050AF">
        <w:rPr>
          <w:rStyle w:val="InstructionalTextChar"/>
          <w:color w:val="auto"/>
        </w:rPr>
        <w:t xml:space="preserve"> CDx</w:t>
      </w:r>
      <w:r w:rsidRPr="00E050AF">
        <w:rPr>
          <w:rStyle w:val="InstructionalTextChar"/>
          <w:color w:val="auto"/>
        </w:rPr>
        <w:t xml:space="preserve"> assay in detection of </w:t>
      </w:r>
      <w:r w:rsidR="00CF529A" w:rsidRPr="00E050AF">
        <w:rPr>
          <w:rStyle w:val="InstructionalTextChar"/>
          <w:i/>
          <w:iCs/>
          <w:color w:val="auto"/>
        </w:rPr>
        <w:t>BRCA</w:t>
      </w:r>
      <w:r w:rsidRPr="00E050AF">
        <w:rPr>
          <w:rStyle w:val="InstructionalTextChar"/>
          <w:color w:val="auto"/>
        </w:rPr>
        <w:t xml:space="preserve"> and GI as well as detection of HRD status</w:t>
      </w:r>
      <w:r w:rsidR="003653E5" w:rsidRPr="00E050AF">
        <w:rPr>
          <w:rStyle w:val="InstructionalTextChar"/>
          <w:color w:val="auto"/>
        </w:rPr>
        <w:t>. The Myriad myChoice CDx assay used for this validation is a different test to the Myriad myChoice HRD Plus assay used in PAOLA-1</w:t>
      </w:r>
      <w:r w:rsidR="00406BDC" w:rsidRPr="00E050AF">
        <w:rPr>
          <w:rStyle w:val="InstructionalTextChar"/>
          <w:color w:val="auto"/>
        </w:rPr>
        <w:t>.</w:t>
      </w:r>
    </w:p>
    <w:p w14:paraId="75F56BCA" w14:textId="20EA9C37" w:rsidR="00AB43EA" w:rsidRPr="00E050AF" w:rsidRDefault="00AB43EA" w:rsidP="003C7731">
      <w:pPr>
        <w:pStyle w:val="ListParagraph"/>
        <w:numPr>
          <w:ilvl w:val="4"/>
          <w:numId w:val="26"/>
        </w:numPr>
        <w:ind w:left="1134"/>
        <w:rPr>
          <w:rStyle w:val="InstructionalTextChar"/>
          <w:color w:val="auto"/>
        </w:rPr>
      </w:pPr>
      <w:r w:rsidRPr="00E050AF">
        <w:rPr>
          <w:rStyle w:val="InstructionalTextChar"/>
          <w:color w:val="auto"/>
        </w:rPr>
        <w:t xml:space="preserve">Accuracy and performance of Myriad </w:t>
      </w:r>
      <w:r w:rsidR="003653E5" w:rsidRPr="00E050AF">
        <w:rPr>
          <w:rStyle w:val="InstructionalTextChar"/>
          <w:color w:val="auto"/>
        </w:rPr>
        <w:t>CDx and Myriad myChoice HRD plus</w:t>
      </w:r>
      <w:r w:rsidRPr="00E050AF">
        <w:rPr>
          <w:rStyle w:val="InstructionalTextChar"/>
          <w:color w:val="auto"/>
        </w:rPr>
        <w:t xml:space="preserve"> assay</w:t>
      </w:r>
      <w:r w:rsidR="001417BD" w:rsidRPr="00E050AF">
        <w:rPr>
          <w:rStyle w:val="InstructionalTextChar"/>
          <w:color w:val="auto"/>
        </w:rPr>
        <w:t>s</w:t>
      </w:r>
      <w:r w:rsidRPr="00E050AF">
        <w:rPr>
          <w:rStyle w:val="InstructionalTextChar"/>
          <w:color w:val="auto"/>
        </w:rPr>
        <w:t xml:space="preserve"> compared to NGS and the Foundation Medicine T5 panel in detection of </w:t>
      </w:r>
      <w:r w:rsidR="00CF529A" w:rsidRPr="00E050AF">
        <w:rPr>
          <w:rStyle w:val="InstructionalTextChar"/>
          <w:i/>
          <w:iCs/>
          <w:color w:val="auto"/>
        </w:rPr>
        <w:t>BRCA</w:t>
      </w:r>
      <w:r w:rsidRPr="00E050AF">
        <w:rPr>
          <w:rStyle w:val="InstructionalTextChar"/>
          <w:color w:val="auto"/>
        </w:rPr>
        <w:t xml:space="preserve"> and GI as well as detection of HRD status</w:t>
      </w:r>
      <w:r w:rsidR="00406BDC" w:rsidRPr="00E050AF">
        <w:rPr>
          <w:rStyle w:val="InstructionalTextChar"/>
          <w:color w:val="auto"/>
        </w:rPr>
        <w:t>.</w:t>
      </w:r>
    </w:p>
    <w:p w14:paraId="63352316" w14:textId="3C144B77" w:rsidR="00AB43EA" w:rsidRPr="00E050AF" w:rsidRDefault="00AB43EA" w:rsidP="003C7731">
      <w:pPr>
        <w:pStyle w:val="ListParagraph"/>
        <w:numPr>
          <w:ilvl w:val="4"/>
          <w:numId w:val="26"/>
        </w:numPr>
        <w:ind w:left="1134"/>
        <w:rPr>
          <w:rStyle w:val="InstructionalTextChar"/>
          <w:color w:val="auto"/>
        </w:rPr>
      </w:pPr>
      <w:r w:rsidRPr="00E050AF">
        <w:rPr>
          <w:rStyle w:val="InstructionalTextChar"/>
          <w:color w:val="auto"/>
        </w:rPr>
        <w:lastRenderedPageBreak/>
        <w:t xml:space="preserve">Longitudinal performance of Myriad </w:t>
      </w:r>
      <w:r w:rsidR="003653E5" w:rsidRPr="00E050AF">
        <w:rPr>
          <w:rStyle w:val="InstructionalTextChar"/>
          <w:color w:val="auto"/>
        </w:rPr>
        <w:t xml:space="preserve">CDx and Myriad myChoice HRD plus </w:t>
      </w:r>
      <w:r w:rsidRPr="00E050AF">
        <w:rPr>
          <w:rStyle w:val="InstructionalTextChar"/>
          <w:color w:val="auto"/>
        </w:rPr>
        <w:t>assay</w:t>
      </w:r>
      <w:r w:rsidR="00EF7FC7" w:rsidRPr="00E050AF">
        <w:rPr>
          <w:rStyle w:val="InstructionalTextChar"/>
          <w:color w:val="auto"/>
        </w:rPr>
        <w:t>s</w:t>
      </w:r>
      <w:r w:rsidRPr="00E050AF">
        <w:rPr>
          <w:rStyle w:val="InstructionalTextChar"/>
          <w:color w:val="auto"/>
        </w:rPr>
        <w:t xml:space="preserve">, considering the response of PARP inhibitors in HRD positive </w:t>
      </w:r>
      <w:r w:rsidR="00CF529A" w:rsidRPr="00E050AF">
        <w:rPr>
          <w:rStyle w:val="InstructionalTextChar"/>
          <w:i/>
          <w:iCs/>
          <w:color w:val="auto"/>
        </w:rPr>
        <w:t>BRCA</w:t>
      </w:r>
      <w:r w:rsidRPr="00E050AF">
        <w:rPr>
          <w:rStyle w:val="InstructionalTextChar"/>
          <w:color w:val="auto"/>
        </w:rPr>
        <w:t>wt patients compared to HRD negative patients.</w:t>
      </w:r>
    </w:p>
    <w:p w14:paraId="088FE2D4" w14:textId="195651D9" w:rsidR="00AB43EA" w:rsidRPr="00E050AF" w:rsidRDefault="00A354B6" w:rsidP="00A354B6">
      <w:pPr>
        <w:pStyle w:val="TableBodyHeading-H54"/>
        <w:rPr>
          <w:lang w:val="en-AU"/>
        </w:rPr>
      </w:pPr>
      <w:r w:rsidRPr="00E050AF">
        <w:rPr>
          <w:rStyle w:val="CommentReference"/>
          <w:b/>
          <w:szCs w:val="20"/>
          <w:lang w:val="en-AU"/>
        </w:rPr>
        <w:t xml:space="preserve">Table </w:t>
      </w:r>
      <w:r w:rsidRPr="00E050AF">
        <w:rPr>
          <w:rStyle w:val="CommentReference"/>
          <w:b/>
          <w:szCs w:val="20"/>
          <w:lang w:val="en-AU"/>
        </w:rPr>
        <w:fldChar w:fldCharType="begin"/>
      </w:r>
      <w:r w:rsidRPr="00E050AF">
        <w:rPr>
          <w:rStyle w:val="CommentReference"/>
          <w:b/>
          <w:szCs w:val="20"/>
          <w:lang w:val="en-AU"/>
        </w:rPr>
        <w:instrText xml:space="preserve"> SEQ Table \* ARABIC </w:instrText>
      </w:r>
      <w:r w:rsidRPr="00E050AF">
        <w:rPr>
          <w:rStyle w:val="CommentReference"/>
          <w:b/>
          <w:szCs w:val="20"/>
          <w:lang w:val="en-AU"/>
        </w:rPr>
        <w:fldChar w:fldCharType="separate"/>
      </w:r>
      <w:r w:rsidR="00E050AF" w:rsidRPr="00E050AF">
        <w:rPr>
          <w:rStyle w:val="CommentReference"/>
          <w:b/>
          <w:szCs w:val="20"/>
          <w:lang w:val="en-AU"/>
        </w:rPr>
        <w:t>2</w:t>
      </w:r>
      <w:r w:rsidRPr="00E050AF">
        <w:rPr>
          <w:rStyle w:val="CommentReference"/>
          <w:b/>
          <w:szCs w:val="20"/>
          <w:lang w:val="en-AU"/>
        </w:rPr>
        <w:fldChar w:fldCharType="end"/>
      </w:r>
      <w:r w:rsidR="00AB43EA" w:rsidRPr="00E050AF">
        <w:rPr>
          <w:lang w:val="en-AU"/>
        </w:rPr>
        <w:tab/>
        <w:t>Summary of the linked evidence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the linked evidence approach"/>
      </w:tblPr>
      <w:tblGrid>
        <w:gridCol w:w="1414"/>
        <w:gridCol w:w="5105"/>
        <w:gridCol w:w="2497"/>
      </w:tblGrid>
      <w:tr w:rsidR="00AB43EA" w:rsidRPr="00E050AF" w14:paraId="0F04991E" w14:textId="77777777" w:rsidTr="2E36BEBC">
        <w:tc>
          <w:tcPr>
            <w:tcW w:w="784" w:type="pct"/>
            <w:tcBorders>
              <w:top w:val="single" w:sz="4" w:space="0" w:color="auto"/>
              <w:left w:val="single" w:sz="4" w:space="0" w:color="auto"/>
              <w:bottom w:val="single" w:sz="4" w:space="0" w:color="auto"/>
              <w:right w:val="single" w:sz="4" w:space="0" w:color="auto"/>
            </w:tcBorders>
            <w:vAlign w:val="center"/>
          </w:tcPr>
          <w:p w14:paraId="12FD9EB5" w14:textId="77777777" w:rsidR="00AB43EA" w:rsidRPr="00E050AF" w:rsidRDefault="00AB43EA" w:rsidP="002653CF">
            <w:pPr>
              <w:pStyle w:val="TableText"/>
              <w:keepNext/>
              <w:keepLines/>
              <w:spacing w:line="256" w:lineRule="auto"/>
              <w:rPr>
                <w:b/>
              </w:rPr>
            </w:pPr>
          </w:p>
        </w:tc>
        <w:tc>
          <w:tcPr>
            <w:tcW w:w="2831" w:type="pct"/>
            <w:tcBorders>
              <w:top w:val="single" w:sz="4" w:space="0" w:color="auto"/>
              <w:left w:val="single" w:sz="4" w:space="0" w:color="auto"/>
              <w:bottom w:val="single" w:sz="4" w:space="0" w:color="auto"/>
              <w:right w:val="single" w:sz="4" w:space="0" w:color="auto"/>
            </w:tcBorders>
            <w:vAlign w:val="center"/>
            <w:hideMark/>
          </w:tcPr>
          <w:p w14:paraId="26BE485E" w14:textId="77777777" w:rsidR="00AB43EA" w:rsidRPr="00E050AF" w:rsidRDefault="00AB43EA" w:rsidP="002653CF">
            <w:pPr>
              <w:pStyle w:val="TableText"/>
              <w:keepNext/>
              <w:keepLines/>
              <w:spacing w:line="256" w:lineRule="auto"/>
              <w:jc w:val="center"/>
              <w:rPr>
                <w:b/>
              </w:rPr>
            </w:pPr>
            <w:r w:rsidRPr="00E050AF">
              <w:rPr>
                <w:b/>
              </w:rPr>
              <w:t>Type of evidence supplied</w:t>
            </w:r>
          </w:p>
        </w:tc>
        <w:tc>
          <w:tcPr>
            <w:tcW w:w="1386" w:type="pct"/>
            <w:tcBorders>
              <w:top w:val="single" w:sz="4" w:space="0" w:color="auto"/>
              <w:left w:val="single" w:sz="4" w:space="0" w:color="auto"/>
              <w:bottom w:val="single" w:sz="4" w:space="0" w:color="auto"/>
              <w:right w:val="single" w:sz="4" w:space="0" w:color="auto"/>
            </w:tcBorders>
            <w:vAlign w:val="center"/>
            <w:hideMark/>
          </w:tcPr>
          <w:p w14:paraId="6CEB03FB" w14:textId="77777777" w:rsidR="00AB43EA" w:rsidRPr="00E050AF" w:rsidRDefault="00AB43EA" w:rsidP="002653CF">
            <w:pPr>
              <w:pStyle w:val="TableText"/>
              <w:keepNext/>
              <w:keepLines/>
              <w:spacing w:line="256" w:lineRule="auto"/>
              <w:jc w:val="center"/>
              <w:rPr>
                <w:b/>
              </w:rPr>
            </w:pPr>
            <w:r w:rsidRPr="00E050AF">
              <w:rPr>
                <w:b/>
              </w:rPr>
              <w:t>Extent of evidence supplied</w:t>
            </w:r>
          </w:p>
        </w:tc>
      </w:tr>
      <w:tr w:rsidR="00AB43EA" w:rsidRPr="00E050AF" w14:paraId="582D2099" w14:textId="77777777" w:rsidTr="2E36BEBC">
        <w:tc>
          <w:tcPr>
            <w:tcW w:w="784" w:type="pct"/>
            <w:tcBorders>
              <w:top w:val="single" w:sz="4" w:space="0" w:color="auto"/>
              <w:left w:val="single" w:sz="4" w:space="0" w:color="auto"/>
              <w:bottom w:val="single" w:sz="4" w:space="0" w:color="auto"/>
              <w:right w:val="single" w:sz="4" w:space="0" w:color="auto"/>
            </w:tcBorders>
            <w:vAlign w:val="center"/>
            <w:hideMark/>
          </w:tcPr>
          <w:p w14:paraId="3E72BAC9" w14:textId="77777777" w:rsidR="00AB43EA" w:rsidRPr="00E050AF" w:rsidRDefault="00AB43EA" w:rsidP="002653CF">
            <w:pPr>
              <w:pStyle w:val="TableText"/>
              <w:keepNext/>
              <w:keepLines/>
              <w:spacing w:line="256" w:lineRule="auto"/>
            </w:pPr>
            <w:r w:rsidRPr="00E050AF">
              <w:t>Accuracy and performance of the test (cross-sectional accuracy)</w:t>
            </w:r>
          </w:p>
        </w:tc>
        <w:tc>
          <w:tcPr>
            <w:tcW w:w="2831" w:type="pct"/>
            <w:tcBorders>
              <w:top w:val="single" w:sz="4" w:space="0" w:color="auto"/>
              <w:left w:val="single" w:sz="4" w:space="0" w:color="auto"/>
              <w:bottom w:val="single" w:sz="4" w:space="0" w:color="auto"/>
              <w:right w:val="single" w:sz="4" w:space="0" w:color="auto"/>
            </w:tcBorders>
            <w:vAlign w:val="center"/>
            <w:hideMark/>
          </w:tcPr>
          <w:p w14:paraId="52749546" w14:textId="655101C8" w:rsidR="00AB43EA" w:rsidRPr="00E050AF" w:rsidRDefault="64BA8DA0" w:rsidP="002653CF">
            <w:pPr>
              <w:pStyle w:val="TableBodyText-H54"/>
              <w:keepLines/>
              <w:spacing w:before="0" w:after="0" w:line="240" w:lineRule="auto"/>
              <w:jc w:val="both"/>
              <w:rPr>
                <w:rFonts w:cs="Arial"/>
                <w:lang w:val="en-AU"/>
              </w:rPr>
            </w:pPr>
            <w:r w:rsidRPr="2E36BEBC">
              <w:rPr>
                <w:rFonts w:cs="Arial"/>
                <w:lang w:val="en-AU"/>
              </w:rPr>
              <w:t xml:space="preserve">The </w:t>
            </w:r>
            <w:r w:rsidR="00602B47" w:rsidRPr="00602B47">
              <w:rPr>
                <w:rFonts w:cs="Arial"/>
                <w:spacing w:val="9"/>
                <w:shd w:val="solid" w:color="000000" w:fill="000000"/>
                <w:fitText w:val="311" w:id="-1435752188"/>
                <w:lang w:val="en-AU"/>
                <w14:textFill>
                  <w14:solidFill>
                    <w14:schemeClr w14:val="tx1">
                      <w14:alpha w14:val="100000"/>
                    </w14:schemeClr>
                  </w14:solidFill>
                </w14:textFill>
              </w:rPr>
              <w:t>||  |</w:t>
            </w:r>
            <w:r w:rsidR="00602B47" w:rsidRPr="00602B47">
              <w:rPr>
                <w:rFonts w:cs="Arial"/>
                <w:spacing w:val="5"/>
                <w:shd w:val="solid" w:color="000000" w:fill="000000"/>
                <w:fitText w:val="311" w:id="-1435752188"/>
                <w:lang w:val="en-AU"/>
                <w14:textFill>
                  <w14:solidFill>
                    <w14:schemeClr w14:val="tx1">
                      <w14:alpha w14:val="100000"/>
                    </w14:schemeClr>
                  </w14:solidFill>
                </w14:textFill>
              </w:rPr>
              <w:t>|</w:t>
            </w:r>
            <w:r w:rsidRPr="2E36BEBC">
              <w:rPr>
                <w:rFonts w:cs="Arial"/>
                <w:lang w:val="en-AU"/>
              </w:rPr>
              <w:t xml:space="preserve"> validation study aimed to evaluate concordance between Myriad myChoice CDx and the </w:t>
            </w:r>
            <w:r w:rsidR="00602B47" w:rsidRPr="00602B47">
              <w:rPr>
                <w:rFonts w:cs="Arial"/>
                <w:spacing w:val="9"/>
                <w:shd w:val="solid" w:color="000000" w:fill="000000"/>
                <w:fitText w:val="311" w:id="-1435752187"/>
                <w:lang w:val="en-AU"/>
                <w14:textFill>
                  <w14:solidFill>
                    <w14:schemeClr w14:val="tx1">
                      <w14:alpha w14:val="100000"/>
                    </w14:schemeClr>
                  </w14:solidFill>
                </w14:textFill>
              </w:rPr>
              <w:t>||  |</w:t>
            </w:r>
            <w:r w:rsidR="00602B47" w:rsidRPr="00602B47">
              <w:rPr>
                <w:rFonts w:cs="Arial"/>
                <w:spacing w:val="5"/>
                <w:shd w:val="solid" w:color="000000" w:fill="000000"/>
                <w:fitText w:val="311" w:id="-1435752187"/>
                <w:lang w:val="en-AU"/>
                <w14:textFill>
                  <w14:solidFill>
                    <w14:schemeClr w14:val="tx1">
                      <w14:alpha w14:val="100000"/>
                    </w14:schemeClr>
                  </w14:solidFill>
                </w14:textFill>
              </w:rPr>
              <w:t>|</w:t>
            </w:r>
            <w:r w:rsidRPr="2E36BEBC">
              <w:rPr>
                <w:rFonts w:cs="Arial"/>
                <w:lang w:val="en-AU"/>
              </w:rPr>
              <w:t xml:space="preserve"> test based on the SOPHiA assay.</w:t>
            </w:r>
            <w:r w:rsidR="46B48CE0" w:rsidRPr="2E36BEBC">
              <w:rPr>
                <w:rFonts w:cs="Arial"/>
                <w:lang w:val="en-AU"/>
              </w:rPr>
              <w:t xml:space="preserve"> </w:t>
            </w:r>
            <w:r w:rsidR="2AF48F0D" w:rsidRPr="2E36BEBC">
              <w:rPr>
                <w:lang w:val="en-AU"/>
              </w:rPr>
              <w:t xml:space="preserve">PAOLA-1 (n=806) </w:t>
            </w:r>
            <w:r w:rsidR="2AF48F0D" w:rsidRPr="2E36BEBC">
              <w:rPr>
                <w:rFonts w:cs="Arial"/>
                <w:lang w:val="en-AU"/>
              </w:rPr>
              <w:t xml:space="preserve">used Myriad myChoice </w:t>
            </w:r>
            <w:r w:rsidR="599F60E2" w:rsidRPr="2E36BEBC">
              <w:rPr>
                <w:rFonts w:cs="Arial"/>
                <w:lang w:val="en-AU"/>
              </w:rPr>
              <w:t xml:space="preserve">HRD plus </w:t>
            </w:r>
            <w:r w:rsidR="2AF48F0D" w:rsidRPr="2E36BEBC">
              <w:rPr>
                <w:rFonts w:cs="Arial"/>
                <w:lang w:val="en-AU"/>
              </w:rPr>
              <w:t xml:space="preserve">with a threshold of ≥42 to determine HRD positivity. Similarly, the FDA 2019 study investigated Myriad myChoice </w:t>
            </w:r>
            <w:r w:rsidR="599F60E2" w:rsidRPr="2E36BEBC">
              <w:rPr>
                <w:rFonts w:cs="Arial"/>
                <w:lang w:val="en-AU"/>
              </w:rPr>
              <w:t xml:space="preserve">CDx </w:t>
            </w:r>
            <w:r w:rsidR="2AF48F0D" w:rsidRPr="2E36BEBC">
              <w:rPr>
                <w:rFonts w:cs="Arial"/>
                <w:lang w:val="en-AU"/>
              </w:rPr>
              <w:t>for determining HRD status in patients with advanced ovarian cancer. Both studies compared to NGS testing.</w:t>
            </w:r>
            <w:r w:rsidRPr="2E36BEBC">
              <w:rPr>
                <w:lang w:val="en-AU"/>
              </w:rPr>
              <w:t xml:space="preserve"> O</w:t>
            </w:r>
            <w:r w:rsidRPr="2E36BEBC">
              <w:rPr>
                <w:rFonts w:cs="Arial"/>
                <w:lang w:val="en-AU"/>
              </w:rPr>
              <w:t xml:space="preserve">ne additional study (the Myriad myChoice® CDx PLUS Technical Specifications) </w:t>
            </w:r>
            <w:r w:rsidR="4C674502" w:rsidRPr="2E36BEBC">
              <w:rPr>
                <w:rFonts w:cs="Arial"/>
                <w:lang w:val="en-AU"/>
              </w:rPr>
              <w:t>identified during evaluation compared Myriad myChoice CDx with Myriad myChoice HRD plus</w:t>
            </w:r>
          </w:p>
          <w:p w14:paraId="64397E69" w14:textId="719FE9DF" w:rsidR="00AB43EA" w:rsidRPr="00E050AF" w:rsidRDefault="00AB43EA" w:rsidP="002653CF">
            <w:pPr>
              <w:pStyle w:val="TableBodyText-H54"/>
              <w:keepLines/>
              <w:spacing w:before="0" w:after="0" w:line="240" w:lineRule="auto"/>
              <w:jc w:val="both"/>
              <w:rPr>
                <w:lang w:val="en-AU"/>
              </w:rPr>
            </w:pPr>
            <w:r w:rsidRPr="00E050AF">
              <w:rPr>
                <w:rFonts w:cs="Arial"/>
                <w:lang w:val="en-AU"/>
              </w:rPr>
              <w:t xml:space="preserve">Hodson 2018 evaluated Myriad tumour </w:t>
            </w:r>
            <w:r w:rsidR="00CF529A" w:rsidRPr="00E050AF">
              <w:rPr>
                <w:rFonts w:cs="Arial"/>
                <w:i/>
                <w:iCs/>
                <w:lang w:val="en-AU"/>
              </w:rPr>
              <w:t>BRCA</w:t>
            </w:r>
            <w:r w:rsidRPr="00E050AF">
              <w:rPr>
                <w:rFonts w:cs="Arial"/>
                <w:lang w:val="en-AU"/>
              </w:rPr>
              <w:t xml:space="preserve"> assay for aiding in the determination of HRD status in patients with </w:t>
            </w:r>
            <w:r w:rsidR="00D26BB7" w:rsidRPr="00E050AF">
              <w:rPr>
                <w:rFonts w:cs="Arial"/>
                <w:lang w:val="en-AU"/>
              </w:rPr>
              <w:t>HGEOC</w:t>
            </w:r>
            <w:r w:rsidRPr="00E050AF">
              <w:rPr>
                <w:rFonts w:cs="Arial"/>
                <w:lang w:val="en-AU"/>
              </w:rPr>
              <w:t xml:space="preserve"> and compared to the </w:t>
            </w:r>
            <w:r w:rsidRPr="00E050AF">
              <w:rPr>
                <w:lang w:val="en-AU"/>
              </w:rPr>
              <w:t>Foundation Medicine T5 panel.</w:t>
            </w:r>
          </w:p>
        </w:tc>
        <w:tc>
          <w:tcPr>
            <w:tcW w:w="1386" w:type="pct"/>
            <w:tcBorders>
              <w:top w:val="single" w:sz="4" w:space="0" w:color="auto"/>
              <w:left w:val="single" w:sz="4" w:space="0" w:color="auto"/>
              <w:bottom w:val="single" w:sz="4" w:space="0" w:color="auto"/>
              <w:right w:val="single" w:sz="4" w:space="0" w:color="auto"/>
            </w:tcBorders>
            <w:vAlign w:val="center"/>
            <w:hideMark/>
          </w:tcPr>
          <w:p w14:paraId="35BB4EB5" w14:textId="75465FF7" w:rsidR="005442BC" w:rsidRPr="00E050AF" w:rsidRDefault="005442BC" w:rsidP="002653CF">
            <w:pPr>
              <w:pStyle w:val="TableText"/>
              <w:keepNext/>
              <w:keepLines/>
              <w:jc w:val="center"/>
            </w:pPr>
            <w:r w:rsidRPr="00E050AF">
              <w:rPr>
                <w:i/>
                <w:iCs/>
              </w:rPr>
              <w:t>k=</w:t>
            </w:r>
            <w:r w:rsidRPr="00E050AF">
              <w:rPr>
                <w:vertAlign w:val="superscript"/>
              </w:rPr>
              <w:t>a</w:t>
            </w:r>
            <w:r w:rsidR="00AB782B" w:rsidRPr="00E050AF">
              <w:tab/>
            </w:r>
            <w:r w:rsidRPr="00E050AF">
              <w:rPr>
                <w:vertAlign w:val="superscript"/>
              </w:rPr>
              <w:t xml:space="preserve"> </w:t>
            </w:r>
            <w:r w:rsidRPr="00E050AF">
              <w:t>n=1,246</w:t>
            </w:r>
          </w:p>
          <w:p w14:paraId="6DC7416E" w14:textId="77777777" w:rsidR="005442BC" w:rsidRPr="00E050AF" w:rsidRDefault="005442BC" w:rsidP="002653CF">
            <w:pPr>
              <w:pStyle w:val="TableText"/>
              <w:keepNext/>
              <w:keepLines/>
              <w:jc w:val="center"/>
            </w:pPr>
          </w:p>
          <w:p w14:paraId="10260456" w14:textId="77777777" w:rsidR="005442BC" w:rsidRPr="00E050AF" w:rsidRDefault="005442BC" w:rsidP="002653CF">
            <w:pPr>
              <w:pStyle w:val="TableText"/>
              <w:keepNext/>
              <w:keepLines/>
              <w:jc w:val="center"/>
            </w:pPr>
            <w:r w:rsidRPr="00E050AF">
              <w:t xml:space="preserve">and </w:t>
            </w:r>
          </w:p>
          <w:p w14:paraId="1D8115F6" w14:textId="77777777" w:rsidR="005442BC" w:rsidRPr="00E050AF" w:rsidRDefault="005442BC" w:rsidP="002653CF">
            <w:pPr>
              <w:pStyle w:val="TableText"/>
              <w:keepNext/>
              <w:keepLines/>
              <w:jc w:val="center"/>
            </w:pPr>
          </w:p>
          <w:p w14:paraId="7C34331D" w14:textId="77777777" w:rsidR="005442BC" w:rsidRPr="00E050AF" w:rsidRDefault="005442BC" w:rsidP="002653CF">
            <w:pPr>
              <w:pStyle w:val="TableText"/>
              <w:keepNext/>
              <w:keepLines/>
              <w:jc w:val="center"/>
            </w:pPr>
            <w:r w:rsidRPr="00E050AF">
              <w:t>SOPHiA validation:</w:t>
            </w:r>
          </w:p>
          <w:p w14:paraId="0CB35E16" w14:textId="1EC671B3" w:rsidR="00CE2D6D" w:rsidRPr="00E050AF" w:rsidRDefault="005442BC" w:rsidP="002653CF">
            <w:pPr>
              <w:pStyle w:val="TableText"/>
              <w:keepNext/>
              <w:keepLines/>
              <w:spacing w:line="256" w:lineRule="auto"/>
              <w:jc w:val="center"/>
            </w:pPr>
            <w:r w:rsidRPr="00E050AF">
              <w:t>k=1</w:t>
            </w:r>
            <w:r w:rsidRPr="00E050AF">
              <w:tab/>
              <w:t>n=78</w:t>
            </w:r>
          </w:p>
        </w:tc>
      </w:tr>
      <w:tr w:rsidR="00AB43EA" w:rsidRPr="00E050AF" w14:paraId="3444C855" w14:textId="77777777" w:rsidTr="2E36BEBC">
        <w:tc>
          <w:tcPr>
            <w:tcW w:w="784" w:type="pct"/>
            <w:tcBorders>
              <w:top w:val="single" w:sz="4" w:space="0" w:color="auto"/>
              <w:left w:val="single" w:sz="4" w:space="0" w:color="auto"/>
              <w:bottom w:val="single" w:sz="4" w:space="0" w:color="auto"/>
              <w:right w:val="single" w:sz="4" w:space="0" w:color="auto"/>
            </w:tcBorders>
            <w:vAlign w:val="center"/>
            <w:hideMark/>
          </w:tcPr>
          <w:p w14:paraId="564866AC" w14:textId="77777777" w:rsidR="00AB43EA" w:rsidRPr="00E050AF" w:rsidRDefault="00AB43EA" w:rsidP="002653CF">
            <w:pPr>
              <w:pStyle w:val="TableText"/>
              <w:keepNext/>
              <w:keepLines/>
              <w:spacing w:line="256" w:lineRule="auto"/>
            </w:pPr>
            <w:r w:rsidRPr="00E050AF">
              <w:t>Prognostic evidence (longitudinal accuracy)</w:t>
            </w:r>
          </w:p>
        </w:tc>
        <w:tc>
          <w:tcPr>
            <w:tcW w:w="2831" w:type="pct"/>
            <w:tcBorders>
              <w:top w:val="single" w:sz="4" w:space="0" w:color="auto"/>
              <w:left w:val="single" w:sz="4" w:space="0" w:color="auto"/>
              <w:bottom w:val="single" w:sz="4" w:space="0" w:color="auto"/>
              <w:right w:val="single" w:sz="4" w:space="0" w:color="auto"/>
            </w:tcBorders>
            <w:vAlign w:val="center"/>
            <w:hideMark/>
          </w:tcPr>
          <w:p w14:paraId="3297AD33" w14:textId="5DF05D4D" w:rsidR="00AB43EA" w:rsidRPr="00E050AF" w:rsidRDefault="00AB43EA" w:rsidP="002653CF">
            <w:pPr>
              <w:pStyle w:val="TableBodyText-H54"/>
              <w:keepLines/>
              <w:spacing w:before="0" w:after="0" w:line="240" w:lineRule="auto"/>
              <w:jc w:val="both"/>
              <w:rPr>
                <w:lang w:val="en-AU"/>
              </w:rPr>
            </w:pPr>
            <w:r w:rsidRPr="00E050AF">
              <w:rPr>
                <w:lang w:val="en-AU"/>
              </w:rPr>
              <w:t>Longitudinal accuracy was assessed in the four trials (PAOLA-1, Coleman 2017, Coleman 2019, Gonzalez-Martin 2019) for the purpose of investigating clinical response to a PARP inhibitor (i.e. PFS, OS)</w:t>
            </w:r>
            <w:r w:rsidR="00DA2A1D" w:rsidRPr="00E050AF">
              <w:rPr>
                <w:lang w:val="en-AU"/>
              </w:rPr>
              <w:t>.</w:t>
            </w:r>
          </w:p>
          <w:p w14:paraId="7FDC59C3" w14:textId="69382DEF" w:rsidR="00AB43EA" w:rsidRPr="00E050AF" w:rsidRDefault="00AB43EA" w:rsidP="002653CF">
            <w:pPr>
              <w:pStyle w:val="TableBodyText-H54"/>
              <w:keepLines/>
              <w:spacing w:before="0" w:after="0" w:line="240" w:lineRule="auto"/>
              <w:jc w:val="both"/>
              <w:rPr>
                <w:lang w:val="en-AU"/>
              </w:rPr>
            </w:pPr>
            <w:r w:rsidRPr="00E050AF">
              <w:rPr>
                <w:lang w:val="en-AU"/>
              </w:rPr>
              <w:t>Three studies used the Myriad myChoice® assay and one study used the Foundation Medicine assay to identify patients with HRD tumours</w:t>
            </w:r>
            <w:r w:rsidR="00DA2A1D" w:rsidRPr="00E050AF">
              <w:rPr>
                <w:lang w:val="en-AU"/>
              </w:rPr>
              <w:t>.</w:t>
            </w:r>
          </w:p>
        </w:tc>
        <w:tc>
          <w:tcPr>
            <w:tcW w:w="1386" w:type="pct"/>
            <w:tcBorders>
              <w:top w:val="single" w:sz="4" w:space="0" w:color="auto"/>
              <w:left w:val="single" w:sz="4" w:space="0" w:color="auto"/>
              <w:bottom w:val="single" w:sz="4" w:space="0" w:color="auto"/>
              <w:right w:val="single" w:sz="4" w:space="0" w:color="auto"/>
            </w:tcBorders>
            <w:vAlign w:val="center"/>
            <w:hideMark/>
          </w:tcPr>
          <w:p w14:paraId="436C7EAF" w14:textId="3E6B394F" w:rsidR="00AB43EA" w:rsidRPr="00E050AF" w:rsidRDefault="00AB43EA" w:rsidP="002653CF">
            <w:pPr>
              <w:pStyle w:val="TableText"/>
              <w:keepNext/>
              <w:keepLines/>
              <w:spacing w:line="256" w:lineRule="auto"/>
              <w:jc w:val="center"/>
            </w:pPr>
            <w:r w:rsidRPr="00E050AF">
              <w:t>k=4</w:t>
            </w:r>
            <w:r w:rsidRPr="00E050AF">
              <w:rPr>
                <w:vertAlign w:val="superscript"/>
              </w:rPr>
              <w:t xml:space="preserve"> a</w:t>
            </w:r>
            <w:r w:rsidRPr="00E050AF">
              <w:tab/>
              <w:t>n=3,243</w:t>
            </w:r>
          </w:p>
        </w:tc>
      </w:tr>
      <w:tr w:rsidR="00AB43EA" w:rsidRPr="00E050AF" w14:paraId="04C94089" w14:textId="77777777" w:rsidTr="2E36BEBC">
        <w:tc>
          <w:tcPr>
            <w:tcW w:w="784" w:type="pct"/>
            <w:tcBorders>
              <w:top w:val="single" w:sz="4" w:space="0" w:color="auto"/>
              <w:left w:val="single" w:sz="4" w:space="0" w:color="auto"/>
              <w:bottom w:val="single" w:sz="4" w:space="0" w:color="auto"/>
              <w:right w:val="single" w:sz="4" w:space="0" w:color="auto"/>
            </w:tcBorders>
            <w:vAlign w:val="center"/>
            <w:hideMark/>
          </w:tcPr>
          <w:p w14:paraId="4DC626AA" w14:textId="77777777" w:rsidR="00AB43EA" w:rsidRPr="00E050AF" w:rsidRDefault="00AB43EA" w:rsidP="002653CF">
            <w:pPr>
              <w:pStyle w:val="TableText"/>
              <w:keepNext/>
              <w:keepLines/>
              <w:spacing w:line="256" w:lineRule="auto"/>
            </w:pPr>
            <w:r w:rsidRPr="00E050AF">
              <w:t xml:space="preserve">Change in patient management </w:t>
            </w:r>
          </w:p>
        </w:tc>
        <w:tc>
          <w:tcPr>
            <w:tcW w:w="2831" w:type="pct"/>
            <w:tcBorders>
              <w:top w:val="single" w:sz="4" w:space="0" w:color="auto"/>
              <w:left w:val="single" w:sz="4" w:space="0" w:color="auto"/>
              <w:bottom w:val="single" w:sz="4" w:space="0" w:color="auto"/>
              <w:right w:val="single" w:sz="4" w:space="0" w:color="auto"/>
            </w:tcBorders>
            <w:vAlign w:val="center"/>
            <w:hideMark/>
          </w:tcPr>
          <w:p w14:paraId="45C63407" w14:textId="77777777" w:rsidR="00AB43EA" w:rsidRPr="00E050AF" w:rsidRDefault="00AB43EA" w:rsidP="002653CF">
            <w:pPr>
              <w:pStyle w:val="TableText"/>
              <w:keepNext/>
              <w:keepLines/>
              <w:spacing w:line="256" w:lineRule="auto"/>
              <w:jc w:val="both"/>
              <w:rPr>
                <w:iCs/>
              </w:rPr>
            </w:pPr>
            <w:r w:rsidRPr="00E050AF">
              <w:rPr>
                <w:iCs/>
              </w:rPr>
              <w:t>Not explicitly assessed.</w:t>
            </w:r>
          </w:p>
          <w:p w14:paraId="6B03A41B" w14:textId="575EF56B" w:rsidR="00AB43EA" w:rsidRPr="00E050AF" w:rsidRDefault="00AB43EA" w:rsidP="002653CF">
            <w:pPr>
              <w:pStyle w:val="TableText"/>
              <w:keepNext/>
              <w:keepLines/>
              <w:spacing w:line="256" w:lineRule="auto"/>
              <w:jc w:val="both"/>
            </w:pPr>
            <w:r w:rsidRPr="00E050AF">
              <w:t xml:space="preserve">The SOPHiA assay to be used at the </w:t>
            </w:r>
            <w:r w:rsidR="00602B47" w:rsidRPr="00602B47">
              <w:rPr>
                <w:color w:val="000000"/>
                <w:spacing w:val="8"/>
                <w:shd w:val="solid" w:color="000000" w:fill="000000"/>
                <w:fitText w:val="304" w:id="-1435752186"/>
                <w14:textFill>
                  <w14:solidFill>
                    <w14:srgbClr w14:val="000000">
                      <w14:alpha w14:val="100000"/>
                    </w14:srgbClr>
                  </w14:solidFill>
                </w14:textFill>
              </w:rPr>
              <w:t>||  |</w:t>
            </w:r>
            <w:r w:rsidR="00602B47" w:rsidRPr="00602B47">
              <w:rPr>
                <w:color w:val="000000"/>
                <w:spacing w:val="3"/>
                <w:shd w:val="solid" w:color="000000" w:fill="000000"/>
                <w:fitText w:val="304" w:id="-1435752186"/>
                <w14:textFill>
                  <w14:solidFill>
                    <w14:srgbClr w14:val="000000">
                      <w14:alpha w14:val="100000"/>
                    </w14:srgbClr>
                  </w14:solidFill>
                </w14:textFill>
              </w:rPr>
              <w:t>|</w:t>
            </w:r>
            <w:r w:rsidRPr="00E050AF">
              <w:t xml:space="preserve"> is being validated vs Myriad myChoice® using the </w:t>
            </w:r>
            <w:r w:rsidR="00E41B4B" w:rsidRPr="00E050AF">
              <w:t>GIS threshold</w:t>
            </w:r>
            <w:r w:rsidRPr="00E050AF">
              <w:t xml:space="preserve"> in PAOLA-1 (42). Patients designated as HRD positive </w:t>
            </w:r>
            <w:r w:rsidR="00CF529A" w:rsidRPr="00E050AF">
              <w:rPr>
                <w:i/>
                <w:iCs/>
              </w:rPr>
              <w:t>BRCA</w:t>
            </w:r>
            <w:r w:rsidRPr="00E050AF">
              <w:t>wt would be eligible for olaparib + bevacizumab treatment.</w:t>
            </w:r>
          </w:p>
        </w:tc>
        <w:tc>
          <w:tcPr>
            <w:tcW w:w="1386" w:type="pct"/>
            <w:tcBorders>
              <w:top w:val="single" w:sz="4" w:space="0" w:color="auto"/>
              <w:left w:val="single" w:sz="4" w:space="0" w:color="auto"/>
              <w:bottom w:val="single" w:sz="4" w:space="0" w:color="auto"/>
              <w:right w:val="single" w:sz="4" w:space="0" w:color="auto"/>
            </w:tcBorders>
            <w:vAlign w:val="center"/>
            <w:hideMark/>
          </w:tcPr>
          <w:p w14:paraId="05BB7D79" w14:textId="50922464" w:rsidR="00AB43EA" w:rsidRPr="00E050AF" w:rsidRDefault="00AB43EA" w:rsidP="002653CF">
            <w:pPr>
              <w:pStyle w:val="TableText"/>
              <w:keepNext/>
              <w:keepLines/>
              <w:spacing w:line="256" w:lineRule="auto"/>
              <w:jc w:val="center"/>
            </w:pPr>
            <w:r w:rsidRPr="00E050AF">
              <w:t>k=0</w:t>
            </w:r>
            <w:r w:rsidRPr="00E050AF">
              <w:tab/>
              <w:t>n=0</w:t>
            </w:r>
          </w:p>
        </w:tc>
      </w:tr>
      <w:tr w:rsidR="00AB43EA" w:rsidRPr="00E050AF" w14:paraId="101E8ABA" w14:textId="77777777" w:rsidTr="2E36BEBC">
        <w:tc>
          <w:tcPr>
            <w:tcW w:w="784" w:type="pct"/>
            <w:tcBorders>
              <w:top w:val="nil"/>
              <w:left w:val="single" w:sz="4" w:space="0" w:color="auto"/>
              <w:bottom w:val="single" w:sz="4" w:space="0" w:color="auto"/>
              <w:right w:val="single" w:sz="4" w:space="0" w:color="auto"/>
            </w:tcBorders>
            <w:vAlign w:val="center"/>
            <w:hideMark/>
          </w:tcPr>
          <w:p w14:paraId="0024556A" w14:textId="77777777" w:rsidR="00AB43EA" w:rsidRPr="00E050AF" w:rsidRDefault="00AB43EA" w:rsidP="002653CF">
            <w:pPr>
              <w:pStyle w:val="TableText"/>
              <w:keepNext/>
              <w:keepLines/>
              <w:spacing w:line="256" w:lineRule="auto"/>
            </w:pPr>
            <w:r w:rsidRPr="00E050AF">
              <w:t xml:space="preserve">Predictive effect (treatment effect variation) </w:t>
            </w:r>
          </w:p>
        </w:tc>
        <w:tc>
          <w:tcPr>
            <w:tcW w:w="2831" w:type="pct"/>
            <w:tcBorders>
              <w:top w:val="nil"/>
              <w:left w:val="single" w:sz="4" w:space="0" w:color="auto"/>
              <w:bottom w:val="single" w:sz="4" w:space="0" w:color="auto"/>
              <w:right w:val="single" w:sz="4" w:space="0" w:color="auto"/>
            </w:tcBorders>
            <w:vAlign w:val="center"/>
            <w:hideMark/>
          </w:tcPr>
          <w:p w14:paraId="0CED775D" w14:textId="77777777" w:rsidR="00AB43EA" w:rsidRPr="00E050AF" w:rsidRDefault="00AB43EA" w:rsidP="002653CF">
            <w:pPr>
              <w:pStyle w:val="TableBodyText-H54"/>
              <w:keepLines/>
              <w:spacing w:before="0" w:after="0" w:line="240" w:lineRule="auto"/>
              <w:jc w:val="both"/>
              <w:rPr>
                <w:color w:val="auto"/>
                <w:lang w:val="en-AU"/>
              </w:rPr>
            </w:pPr>
            <w:r w:rsidRPr="00E050AF">
              <w:rPr>
                <w:color w:val="auto"/>
                <w:lang w:val="en-AU"/>
              </w:rPr>
              <w:t>Based on PAOLA-1 using primary endpoint PFS (investigator assessed).</w:t>
            </w:r>
          </w:p>
          <w:p w14:paraId="0D08D294" w14:textId="58752656" w:rsidR="00AB43EA" w:rsidRPr="00E050AF" w:rsidRDefault="00AB43EA" w:rsidP="002653CF">
            <w:pPr>
              <w:pStyle w:val="TableText"/>
              <w:keepNext/>
              <w:keepLines/>
              <w:spacing w:line="256" w:lineRule="auto"/>
              <w:jc w:val="both"/>
            </w:pPr>
            <w:r w:rsidRPr="00E050AF">
              <w:t xml:space="preserve">Analysis of PAOLA-1 subgroups </w:t>
            </w:r>
            <w:r w:rsidRPr="00E050AF">
              <w:rPr>
                <w:rStyle w:val="TableBodyText-H54Char"/>
                <w:rFonts w:eastAsiaTheme="minorHAnsi"/>
                <w:lang w:val="en-AU"/>
              </w:rPr>
              <w:t>conducted</w:t>
            </w:r>
            <w:r w:rsidRPr="00E050AF">
              <w:t xml:space="preserve"> (based on HRD and </w:t>
            </w:r>
            <w:r w:rsidR="00CF529A" w:rsidRPr="00E050AF">
              <w:rPr>
                <w:i/>
                <w:iCs/>
              </w:rPr>
              <w:t>BRCA</w:t>
            </w:r>
            <w:r w:rsidRPr="00E050AF">
              <w:t xml:space="preserve"> status, </w:t>
            </w:r>
            <w:r w:rsidRPr="00E050AF">
              <w:rPr>
                <w:rStyle w:val="TableBodyText-H54Char"/>
                <w:rFonts w:eastAsiaTheme="minorHAnsi"/>
                <w:lang w:val="en-AU"/>
              </w:rPr>
              <w:t xml:space="preserve">including HRD positive </w:t>
            </w:r>
            <w:r w:rsidR="00CF529A" w:rsidRPr="00E050AF">
              <w:rPr>
                <w:rStyle w:val="TableBodyText-H54Char"/>
                <w:rFonts w:eastAsiaTheme="minorHAnsi"/>
                <w:i/>
                <w:iCs/>
                <w:lang w:val="en-AU"/>
              </w:rPr>
              <w:t>BRCA</w:t>
            </w:r>
            <w:r w:rsidRPr="00E050AF">
              <w:rPr>
                <w:rStyle w:val="TableBodyText-H54Char"/>
                <w:rFonts w:eastAsiaTheme="minorHAnsi"/>
                <w:lang w:val="en-AU"/>
              </w:rPr>
              <w:t>wt).</w:t>
            </w:r>
          </w:p>
        </w:tc>
        <w:tc>
          <w:tcPr>
            <w:tcW w:w="1386" w:type="pct"/>
            <w:tcBorders>
              <w:top w:val="nil"/>
              <w:left w:val="single" w:sz="4" w:space="0" w:color="auto"/>
              <w:bottom w:val="single" w:sz="4" w:space="0" w:color="auto"/>
              <w:right w:val="single" w:sz="4" w:space="0" w:color="auto"/>
            </w:tcBorders>
            <w:vAlign w:val="center"/>
            <w:hideMark/>
          </w:tcPr>
          <w:p w14:paraId="26832491" w14:textId="17691AC4" w:rsidR="00AB43EA" w:rsidRPr="00E050AF" w:rsidRDefault="00AB43EA" w:rsidP="002653CF">
            <w:pPr>
              <w:pStyle w:val="TableText"/>
              <w:keepNext/>
              <w:keepLines/>
              <w:spacing w:line="256" w:lineRule="auto"/>
              <w:jc w:val="center"/>
            </w:pPr>
            <w:r w:rsidRPr="00E050AF">
              <w:t>k=1</w:t>
            </w:r>
            <w:r w:rsidRPr="00E050AF">
              <w:tab/>
              <w:t>n=806</w:t>
            </w:r>
          </w:p>
        </w:tc>
      </w:tr>
    </w:tbl>
    <w:p w14:paraId="7EBCA90E" w14:textId="77777777" w:rsidR="00AB43EA" w:rsidRPr="00E050AF" w:rsidRDefault="00AB43EA" w:rsidP="002653CF">
      <w:pPr>
        <w:pStyle w:val="TableFooter"/>
        <w:keepNext/>
        <w:keepLines/>
      </w:pPr>
      <w:r w:rsidRPr="00E050AF">
        <w:rPr>
          <w:vertAlign w:val="superscript"/>
        </w:rPr>
        <w:t>a</w:t>
      </w:r>
      <w:r w:rsidRPr="00E050AF">
        <w:t xml:space="preserve"> PAOLA-1 included for both accuracy and performance and for prognostic evidence</w:t>
      </w:r>
    </w:p>
    <w:p w14:paraId="26AE73BA" w14:textId="0974231F" w:rsidR="00AB43EA" w:rsidRPr="00E050AF" w:rsidRDefault="00AB43EA" w:rsidP="002653CF">
      <w:pPr>
        <w:pStyle w:val="TableFooter"/>
        <w:keepNext/>
        <w:keepLines/>
      </w:pPr>
      <w:r w:rsidRPr="00E050AF">
        <w:t xml:space="preserve">n=number of patients; </w:t>
      </w:r>
      <w:r w:rsidR="00CF529A" w:rsidRPr="00E050AF">
        <w:rPr>
          <w:i/>
          <w:iCs/>
        </w:rPr>
        <w:t>BRCA</w:t>
      </w:r>
      <w:r w:rsidRPr="00E050AF">
        <w:t xml:space="preserve">wt = breast cancer gene wild type; k=number of studies; </w:t>
      </w:r>
      <w:r w:rsidR="00D26BB7" w:rsidRPr="00E050AF">
        <w:t>HGEOC</w:t>
      </w:r>
      <w:r w:rsidRPr="00E050AF">
        <w:t xml:space="preserve"> = high grade </w:t>
      </w:r>
      <w:r w:rsidR="00A26BFD" w:rsidRPr="00E050AF">
        <w:t>epithelial</w:t>
      </w:r>
      <w:r w:rsidR="0001200B" w:rsidRPr="00E050AF">
        <w:t xml:space="preserve"> </w:t>
      </w:r>
      <w:r w:rsidRPr="00E050AF">
        <w:t xml:space="preserve">ovarian cancer; HRD = homologous recombination deficiency; </w:t>
      </w:r>
      <w:r w:rsidRPr="00E050AF">
        <w:rPr>
          <w:lang w:eastAsia="zh-CN"/>
        </w:rPr>
        <w:t>NGS = next-generation sequencing;</w:t>
      </w:r>
      <w:r w:rsidRPr="00E050AF">
        <w:t xml:space="preserve"> </w:t>
      </w:r>
      <w:r w:rsidR="00602B47" w:rsidRPr="00602B47">
        <w:rPr>
          <w:color w:val="000000"/>
          <w:spacing w:val="38"/>
          <w:shd w:val="solid" w:color="000000" w:fill="000000"/>
          <w:fitText w:val="273" w:id="-1435752185"/>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85"/>
          <w14:textFill>
            <w14:solidFill>
              <w14:srgbClr w14:val="000000">
                <w14:alpha w14:val="100000"/>
              </w14:srgbClr>
            </w14:solidFill>
          </w14:textFill>
        </w:rPr>
        <w:t>|</w:t>
      </w:r>
      <w:r w:rsidRPr="00E050AF">
        <w:t xml:space="preserve"> = </w:t>
      </w:r>
      <w:r w:rsidR="00602B47" w:rsidRPr="00602B47">
        <w:rPr>
          <w:color w:val="000000"/>
          <w:spacing w:val="38"/>
          <w:shd w:val="solid" w:color="000000" w:fill="000000"/>
          <w:fitText w:val="273" w:id="-1435752184"/>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84"/>
          <w14:textFill>
            <w14:solidFill>
              <w14:srgbClr w14:val="000000">
                <w14:alpha w14:val="100000"/>
              </w14:srgbClr>
            </w14:solidFill>
          </w14:textFill>
        </w:rPr>
        <w:t>|</w:t>
      </w:r>
      <w:r w:rsidR="00520340" w:rsidRPr="00520340">
        <w:t xml:space="preserve"> </w:t>
      </w:r>
      <w:r w:rsidR="00602B47" w:rsidRPr="00602B47">
        <w:rPr>
          <w:color w:val="000000"/>
          <w:spacing w:val="9"/>
          <w:shd w:val="solid" w:color="000000" w:fill="000000"/>
          <w:fitText w:val="281" w:id="-1435752183"/>
          <w14:textFill>
            <w14:solidFill>
              <w14:srgbClr w14:val="000000">
                <w14:alpha w14:val="100000"/>
              </w14:srgbClr>
            </w14:solidFill>
          </w14:textFill>
        </w:rPr>
        <w:t>||  |</w:t>
      </w:r>
      <w:r w:rsidR="00602B47" w:rsidRPr="00602B47">
        <w:rPr>
          <w:color w:val="000000"/>
          <w:spacing w:val="1"/>
          <w:shd w:val="solid" w:color="000000" w:fill="000000"/>
          <w:fitText w:val="281" w:id="-1435752183"/>
          <w14:textFill>
            <w14:solidFill>
              <w14:srgbClr w14:val="000000">
                <w14:alpha w14:val="100000"/>
              </w14:srgbClr>
            </w14:solidFill>
          </w14:textFill>
        </w:rPr>
        <w:t>|</w:t>
      </w:r>
      <w:r w:rsidR="00520340" w:rsidRPr="00520340">
        <w:t xml:space="preserve"> </w:t>
      </w:r>
      <w:r w:rsidR="00602B47" w:rsidRPr="00602B47">
        <w:rPr>
          <w:color w:val="000000"/>
          <w:spacing w:val="40"/>
          <w:shd w:val="solid" w:color="000000" w:fill="000000"/>
          <w:fitText w:val="280" w:id="-1435752182"/>
          <w14:textFill>
            <w14:solidFill>
              <w14:srgbClr w14:val="000000">
                <w14:alpha w14:val="100000"/>
              </w14:srgbClr>
            </w14:solidFill>
          </w14:textFill>
        </w:rPr>
        <w:t xml:space="preserve">|  </w:t>
      </w:r>
      <w:r w:rsidR="00602B47" w:rsidRPr="00602B47">
        <w:rPr>
          <w:color w:val="000000"/>
          <w:spacing w:val="2"/>
          <w:shd w:val="solid" w:color="000000" w:fill="000000"/>
          <w:fitText w:val="280" w:id="-1435752182"/>
          <w14:textFill>
            <w14:solidFill>
              <w14:srgbClr w14:val="000000">
                <w14:alpha w14:val="100000"/>
              </w14:srgbClr>
            </w14:solidFill>
          </w14:textFill>
        </w:rPr>
        <w:t>|</w:t>
      </w:r>
      <w:r w:rsidR="00520340" w:rsidRPr="00520340">
        <w:t xml:space="preserve"> </w:t>
      </w:r>
      <w:r w:rsidR="00602B47" w:rsidRPr="00602B47">
        <w:rPr>
          <w:color w:val="000000"/>
          <w:spacing w:val="38"/>
          <w:shd w:val="solid" w:color="000000" w:fill="000000"/>
          <w:fitText w:val="273" w:id="-1435752181"/>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81"/>
          <w14:textFill>
            <w14:solidFill>
              <w14:srgbClr w14:val="000000">
                <w14:alpha w14:val="100000"/>
              </w14:srgbClr>
            </w14:solidFill>
          </w14:textFill>
        </w:rPr>
        <w:t>|</w:t>
      </w:r>
      <w:r w:rsidRPr="00E050AF">
        <w:t>; PFS = progression free survival</w:t>
      </w:r>
      <w:r w:rsidR="00A67AE9" w:rsidRPr="00E050AF">
        <w:t>.</w:t>
      </w:r>
      <w:r w:rsidRPr="00E050AF">
        <w:t xml:space="preserve"> </w:t>
      </w:r>
    </w:p>
    <w:p w14:paraId="0D9A60F1" w14:textId="77777777" w:rsidR="00AB43EA" w:rsidRPr="00E050AF" w:rsidRDefault="00AB43EA" w:rsidP="002653CF">
      <w:pPr>
        <w:pStyle w:val="TableFooter"/>
        <w:keepLines/>
      </w:pPr>
      <w:r w:rsidRPr="00E050AF">
        <w:t>Source: Constructed during evaluation.</w:t>
      </w:r>
    </w:p>
    <w:p w14:paraId="7685C421" w14:textId="561DD206" w:rsidR="00AB43EA" w:rsidRPr="00E050AF" w:rsidRDefault="00AB43EA" w:rsidP="009D3CDF">
      <w:pPr>
        <w:pStyle w:val="ListParagraph"/>
        <w:numPr>
          <w:ilvl w:val="4"/>
          <w:numId w:val="8"/>
        </w:numPr>
        <w:rPr>
          <w:color w:val="auto"/>
        </w:rPr>
      </w:pPr>
      <w:r w:rsidRPr="00E050AF">
        <w:rPr>
          <w:color w:val="auto"/>
        </w:rPr>
        <w:t xml:space="preserve">The data available to inform the comparisons of PARP inhibitor efficacy in biomarker positive and negative patients are summarised in </w:t>
      </w:r>
      <w:r w:rsidR="00E6031A" w:rsidRPr="00E050AF">
        <w:rPr>
          <w:color w:val="auto"/>
        </w:rPr>
        <w:t>Table 3.</w:t>
      </w:r>
    </w:p>
    <w:p w14:paraId="04C22A3E" w14:textId="52A08DBD" w:rsidR="00AB43EA" w:rsidRPr="00E050AF" w:rsidRDefault="00A354B6" w:rsidP="00A354B6">
      <w:pPr>
        <w:pStyle w:val="TableBodyHeading-H54"/>
        <w:rPr>
          <w:lang w:val="en-AU"/>
        </w:rPr>
      </w:pPr>
      <w:bookmarkStart w:id="42" w:name="_Ref101119281"/>
      <w:r w:rsidRPr="00E050AF">
        <w:rPr>
          <w:rStyle w:val="CommentReference"/>
          <w:b/>
          <w:szCs w:val="20"/>
          <w:lang w:val="en-AU"/>
        </w:rPr>
        <w:t xml:space="preserve">Table </w:t>
      </w:r>
      <w:r w:rsidRPr="00E050AF">
        <w:rPr>
          <w:rStyle w:val="CommentReference"/>
          <w:b/>
          <w:szCs w:val="20"/>
          <w:lang w:val="en-AU"/>
        </w:rPr>
        <w:fldChar w:fldCharType="begin"/>
      </w:r>
      <w:r w:rsidRPr="00E050AF">
        <w:rPr>
          <w:rStyle w:val="CommentReference"/>
          <w:b/>
          <w:szCs w:val="20"/>
          <w:lang w:val="en-AU"/>
        </w:rPr>
        <w:instrText xml:space="preserve"> SEQ Table \* ARABIC </w:instrText>
      </w:r>
      <w:r w:rsidRPr="00E050AF">
        <w:rPr>
          <w:rStyle w:val="CommentReference"/>
          <w:b/>
          <w:szCs w:val="20"/>
          <w:lang w:val="en-AU"/>
        </w:rPr>
        <w:fldChar w:fldCharType="separate"/>
      </w:r>
      <w:r w:rsidR="00E050AF" w:rsidRPr="00E050AF">
        <w:rPr>
          <w:rStyle w:val="CommentReference"/>
          <w:b/>
          <w:szCs w:val="20"/>
          <w:lang w:val="en-AU"/>
        </w:rPr>
        <w:t>3</w:t>
      </w:r>
      <w:r w:rsidRPr="00E050AF">
        <w:rPr>
          <w:rStyle w:val="CommentReference"/>
          <w:b/>
          <w:szCs w:val="20"/>
          <w:lang w:val="en-AU"/>
        </w:rPr>
        <w:fldChar w:fldCharType="end"/>
      </w:r>
      <w:r w:rsidR="00AB43EA" w:rsidRPr="00E050AF">
        <w:rPr>
          <w:lang w:val="en-AU"/>
        </w:rPr>
        <w:tab/>
        <w:t>Data availability to inform comparisons</w:t>
      </w:r>
      <w:bookmarkEnd w:id="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Table 3 Data availability to inform comparisons"/>
      </w:tblPr>
      <w:tblGrid>
        <w:gridCol w:w="2193"/>
        <w:gridCol w:w="3134"/>
        <w:gridCol w:w="3689"/>
      </w:tblGrid>
      <w:tr w:rsidR="00AB43EA" w:rsidRPr="00E050AF" w14:paraId="000CF1D6" w14:textId="77777777" w:rsidTr="00AB43EA">
        <w:tc>
          <w:tcPr>
            <w:tcW w:w="1216" w:type="pct"/>
            <w:tcBorders>
              <w:top w:val="single" w:sz="4" w:space="0" w:color="000000"/>
              <w:left w:val="single" w:sz="4" w:space="0" w:color="000000"/>
              <w:bottom w:val="single" w:sz="4" w:space="0" w:color="000000"/>
              <w:right w:val="single" w:sz="4" w:space="0" w:color="000000"/>
            </w:tcBorders>
          </w:tcPr>
          <w:p w14:paraId="27DB3091" w14:textId="77777777" w:rsidR="00AB43EA" w:rsidRPr="00E050AF" w:rsidRDefault="00AB43EA" w:rsidP="00312809">
            <w:pPr>
              <w:pStyle w:val="TableText"/>
              <w:keepNext/>
              <w:keepLines/>
              <w:spacing w:line="256" w:lineRule="auto"/>
            </w:pPr>
          </w:p>
        </w:tc>
        <w:tc>
          <w:tcPr>
            <w:tcW w:w="1738" w:type="pct"/>
            <w:tcBorders>
              <w:top w:val="single" w:sz="4" w:space="0" w:color="000000"/>
              <w:left w:val="single" w:sz="4" w:space="0" w:color="000000"/>
              <w:bottom w:val="single" w:sz="4" w:space="0" w:color="000000"/>
              <w:right w:val="single" w:sz="4" w:space="0" w:color="000000"/>
            </w:tcBorders>
            <w:hideMark/>
          </w:tcPr>
          <w:p w14:paraId="1EE2EC51" w14:textId="77777777" w:rsidR="00AB43EA" w:rsidRPr="00E050AF" w:rsidRDefault="00AB43EA" w:rsidP="00312809">
            <w:pPr>
              <w:pStyle w:val="TableText"/>
              <w:keepNext/>
              <w:keepLines/>
              <w:spacing w:line="256" w:lineRule="auto"/>
              <w:jc w:val="center"/>
              <w:rPr>
                <w:b/>
              </w:rPr>
            </w:pPr>
            <w:r w:rsidRPr="00E050AF">
              <w:rPr>
                <w:b/>
              </w:rPr>
              <w:t>Olaparib + bevacizumab</w:t>
            </w:r>
          </w:p>
        </w:tc>
        <w:tc>
          <w:tcPr>
            <w:tcW w:w="2046" w:type="pct"/>
            <w:tcBorders>
              <w:top w:val="single" w:sz="4" w:space="0" w:color="000000"/>
              <w:left w:val="single" w:sz="4" w:space="0" w:color="000000"/>
              <w:bottom w:val="single" w:sz="4" w:space="0" w:color="000000"/>
              <w:right w:val="single" w:sz="4" w:space="0" w:color="000000"/>
            </w:tcBorders>
            <w:hideMark/>
          </w:tcPr>
          <w:p w14:paraId="02909767" w14:textId="77777777" w:rsidR="00AB43EA" w:rsidRPr="00E050AF" w:rsidRDefault="00AB43EA" w:rsidP="00312809">
            <w:pPr>
              <w:pStyle w:val="TableText"/>
              <w:keepNext/>
              <w:keepLines/>
              <w:spacing w:line="256" w:lineRule="auto"/>
              <w:jc w:val="center"/>
              <w:rPr>
                <w:b/>
              </w:rPr>
            </w:pPr>
            <w:r w:rsidRPr="00E050AF">
              <w:rPr>
                <w:b/>
              </w:rPr>
              <w:t>Bevacizumab</w:t>
            </w:r>
          </w:p>
        </w:tc>
      </w:tr>
      <w:tr w:rsidR="00AB43EA" w:rsidRPr="00E050AF" w14:paraId="17357331" w14:textId="77777777" w:rsidTr="00AB43EA">
        <w:tc>
          <w:tcPr>
            <w:tcW w:w="1216" w:type="pct"/>
            <w:tcBorders>
              <w:top w:val="single" w:sz="4" w:space="0" w:color="000000"/>
              <w:left w:val="single" w:sz="4" w:space="0" w:color="000000"/>
              <w:bottom w:val="single" w:sz="4" w:space="0" w:color="000000"/>
              <w:right w:val="single" w:sz="4" w:space="0" w:color="000000"/>
            </w:tcBorders>
            <w:hideMark/>
          </w:tcPr>
          <w:p w14:paraId="0BA640B1" w14:textId="77777777" w:rsidR="00AB43EA" w:rsidRPr="00E050AF" w:rsidRDefault="00AB43EA" w:rsidP="00312809">
            <w:pPr>
              <w:pStyle w:val="TableText"/>
              <w:keepNext/>
              <w:keepLines/>
              <w:spacing w:line="256" w:lineRule="auto"/>
            </w:pPr>
            <w:r w:rsidRPr="00E050AF">
              <w:t>Biomarker test positive</w:t>
            </w:r>
          </w:p>
        </w:tc>
        <w:tc>
          <w:tcPr>
            <w:tcW w:w="1738" w:type="pct"/>
            <w:tcBorders>
              <w:top w:val="single" w:sz="4" w:space="0" w:color="000000"/>
              <w:left w:val="single" w:sz="4" w:space="0" w:color="000000"/>
              <w:bottom w:val="single" w:sz="4" w:space="0" w:color="000000"/>
              <w:right w:val="single" w:sz="4" w:space="0" w:color="000000"/>
            </w:tcBorders>
            <w:hideMark/>
          </w:tcPr>
          <w:p w14:paraId="040C7547" w14:textId="77777777" w:rsidR="00AB43EA" w:rsidRPr="00E050AF" w:rsidRDefault="00AB43EA" w:rsidP="00312809">
            <w:pPr>
              <w:pStyle w:val="TableText"/>
              <w:keepNext/>
              <w:keepLines/>
              <w:spacing w:line="256" w:lineRule="auto"/>
              <w:jc w:val="center"/>
            </w:pPr>
            <w:r w:rsidRPr="00E050AF">
              <w:t>PAOLA-1</w:t>
            </w:r>
          </w:p>
        </w:tc>
        <w:tc>
          <w:tcPr>
            <w:tcW w:w="2046" w:type="pct"/>
            <w:tcBorders>
              <w:top w:val="single" w:sz="4" w:space="0" w:color="000000"/>
              <w:left w:val="single" w:sz="4" w:space="0" w:color="000000"/>
              <w:bottom w:val="single" w:sz="4" w:space="0" w:color="000000"/>
              <w:right w:val="single" w:sz="4" w:space="0" w:color="000000"/>
            </w:tcBorders>
            <w:hideMark/>
          </w:tcPr>
          <w:p w14:paraId="6CFBE963" w14:textId="77777777" w:rsidR="00AB43EA" w:rsidRPr="00E050AF" w:rsidRDefault="00AB43EA" w:rsidP="00312809">
            <w:pPr>
              <w:pStyle w:val="TableText"/>
              <w:keepNext/>
              <w:keepLines/>
              <w:spacing w:line="256" w:lineRule="auto"/>
              <w:jc w:val="center"/>
            </w:pPr>
            <w:r w:rsidRPr="00E050AF">
              <w:t>PAOLA-1</w:t>
            </w:r>
          </w:p>
        </w:tc>
      </w:tr>
      <w:tr w:rsidR="00AB43EA" w:rsidRPr="00E050AF" w14:paraId="1D7AC90E" w14:textId="77777777" w:rsidTr="00AB43EA">
        <w:tc>
          <w:tcPr>
            <w:tcW w:w="1216" w:type="pct"/>
            <w:tcBorders>
              <w:top w:val="single" w:sz="4" w:space="0" w:color="000000"/>
              <w:left w:val="single" w:sz="4" w:space="0" w:color="000000"/>
              <w:bottom w:val="single" w:sz="4" w:space="0" w:color="000000"/>
              <w:right w:val="single" w:sz="4" w:space="0" w:color="000000"/>
            </w:tcBorders>
            <w:hideMark/>
          </w:tcPr>
          <w:p w14:paraId="7890D02D" w14:textId="77777777" w:rsidR="00AB43EA" w:rsidRPr="00E050AF" w:rsidRDefault="00AB43EA" w:rsidP="00312809">
            <w:pPr>
              <w:pStyle w:val="TableText"/>
              <w:keepNext/>
              <w:keepLines/>
              <w:spacing w:line="256" w:lineRule="auto"/>
            </w:pPr>
            <w:r w:rsidRPr="00E050AF">
              <w:t>Biomarker test negative</w:t>
            </w:r>
            <w:r w:rsidRPr="00E050AF">
              <w:rPr>
                <w:b/>
              </w:rPr>
              <w:t xml:space="preserve"> </w:t>
            </w:r>
          </w:p>
        </w:tc>
        <w:tc>
          <w:tcPr>
            <w:tcW w:w="1738" w:type="pct"/>
            <w:tcBorders>
              <w:top w:val="single" w:sz="4" w:space="0" w:color="000000"/>
              <w:left w:val="single" w:sz="4" w:space="0" w:color="000000"/>
              <w:bottom w:val="single" w:sz="4" w:space="0" w:color="000000"/>
              <w:right w:val="single" w:sz="4" w:space="0" w:color="000000"/>
            </w:tcBorders>
            <w:hideMark/>
          </w:tcPr>
          <w:p w14:paraId="668F4315" w14:textId="77777777" w:rsidR="00AB43EA" w:rsidRPr="00E050AF" w:rsidRDefault="00AB43EA" w:rsidP="00312809">
            <w:pPr>
              <w:pStyle w:val="TableText"/>
              <w:keepNext/>
              <w:keepLines/>
              <w:spacing w:line="256" w:lineRule="auto"/>
              <w:jc w:val="center"/>
            </w:pPr>
            <w:r w:rsidRPr="00E050AF">
              <w:t>PAOLA-1</w:t>
            </w:r>
          </w:p>
        </w:tc>
        <w:tc>
          <w:tcPr>
            <w:tcW w:w="2046" w:type="pct"/>
            <w:tcBorders>
              <w:top w:val="single" w:sz="4" w:space="0" w:color="000000"/>
              <w:left w:val="single" w:sz="4" w:space="0" w:color="000000"/>
              <w:bottom w:val="single" w:sz="4" w:space="0" w:color="000000"/>
              <w:right w:val="single" w:sz="4" w:space="0" w:color="000000"/>
            </w:tcBorders>
            <w:hideMark/>
          </w:tcPr>
          <w:p w14:paraId="210D7CD5" w14:textId="77777777" w:rsidR="00AB43EA" w:rsidRPr="00E050AF" w:rsidRDefault="00AB43EA" w:rsidP="00312809">
            <w:pPr>
              <w:pStyle w:val="TableText"/>
              <w:keepNext/>
              <w:keepLines/>
              <w:spacing w:line="256" w:lineRule="auto"/>
              <w:jc w:val="center"/>
            </w:pPr>
            <w:r w:rsidRPr="00E050AF">
              <w:t>PAOLA-1</w:t>
            </w:r>
          </w:p>
        </w:tc>
      </w:tr>
    </w:tbl>
    <w:p w14:paraId="0A7FD11E" w14:textId="31E7EE81" w:rsidR="00AB43EA" w:rsidRPr="00E050AF" w:rsidRDefault="00CF529A" w:rsidP="00312809">
      <w:pPr>
        <w:pStyle w:val="TableFooter"/>
        <w:keepNext/>
        <w:keepLines/>
      </w:pPr>
      <w:r w:rsidRPr="00E050AF">
        <w:rPr>
          <w:i/>
          <w:iCs/>
        </w:rPr>
        <w:t>BRCA</w:t>
      </w:r>
      <w:r w:rsidR="00AB43EA" w:rsidRPr="00E050AF">
        <w:t xml:space="preserve"> = breast cancer gene; HRD = homologous recombination deficiency; NGS = next-generation sequencing; </w:t>
      </w:r>
      <w:r w:rsidR="00602B47" w:rsidRPr="00602B47">
        <w:rPr>
          <w:color w:val="000000"/>
          <w:spacing w:val="38"/>
          <w:shd w:val="solid" w:color="000000" w:fill="000000"/>
          <w:fitText w:val="273" w:id="-1435752180"/>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80"/>
          <w14:textFill>
            <w14:solidFill>
              <w14:srgbClr w14:val="000000">
                <w14:alpha w14:val="100000"/>
              </w14:srgbClr>
            </w14:solidFill>
          </w14:textFill>
        </w:rPr>
        <w:t>|</w:t>
      </w:r>
      <w:r w:rsidR="00AB43EA" w:rsidRPr="00E050AF">
        <w:t xml:space="preserve"> = </w:t>
      </w:r>
      <w:r w:rsidR="00602B47" w:rsidRPr="00602B47">
        <w:rPr>
          <w:color w:val="000000"/>
          <w:spacing w:val="9"/>
          <w:shd w:val="solid" w:color="000000" w:fill="000000"/>
          <w:fitText w:val="281" w:id="-1435752179"/>
          <w14:textFill>
            <w14:solidFill>
              <w14:srgbClr w14:val="000000">
                <w14:alpha w14:val="100000"/>
              </w14:srgbClr>
            </w14:solidFill>
          </w14:textFill>
        </w:rPr>
        <w:t>||  |</w:t>
      </w:r>
      <w:r w:rsidR="00602B47" w:rsidRPr="00602B47">
        <w:rPr>
          <w:color w:val="000000"/>
          <w:spacing w:val="1"/>
          <w:shd w:val="solid" w:color="000000" w:fill="000000"/>
          <w:fitText w:val="281" w:id="-1435752179"/>
          <w14:textFill>
            <w14:solidFill>
              <w14:srgbClr w14:val="000000">
                <w14:alpha w14:val="100000"/>
              </w14:srgbClr>
            </w14:solidFill>
          </w14:textFill>
        </w:rPr>
        <w:t>|</w:t>
      </w:r>
      <w:r w:rsidR="00520340" w:rsidRPr="00520340">
        <w:t xml:space="preserve"> </w:t>
      </w:r>
      <w:r w:rsidR="00602B47" w:rsidRPr="00602B47">
        <w:rPr>
          <w:color w:val="000000"/>
          <w:spacing w:val="38"/>
          <w:shd w:val="solid" w:color="000000" w:fill="000000"/>
          <w:fitText w:val="273" w:id="-1435752178"/>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78"/>
          <w14:textFill>
            <w14:solidFill>
              <w14:srgbClr w14:val="000000">
                <w14:alpha w14:val="100000"/>
              </w14:srgbClr>
            </w14:solidFill>
          </w14:textFill>
        </w:rPr>
        <w:t>|</w:t>
      </w:r>
      <w:r w:rsidR="00520340" w:rsidRPr="00520340">
        <w:t xml:space="preserve"> </w:t>
      </w:r>
      <w:r w:rsidR="00602B47" w:rsidRPr="00602B47">
        <w:rPr>
          <w:color w:val="000000"/>
          <w:spacing w:val="38"/>
          <w:shd w:val="solid" w:color="000000" w:fill="000000"/>
          <w:fitText w:val="273" w:id="-1435752177"/>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77"/>
          <w14:textFill>
            <w14:solidFill>
              <w14:srgbClr w14:val="000000">
                <w14:alpha w14:val="100000"/>
              </w14:srgbClr>
            </w14:solidFill>
          </w14:textFill>
        </w:rPr>
        <w:t>|</w:t>
      </w:r>
      <w:r w:rsidR="00520340" w:rsidRPr="00520340">
        <w:t xml:space="preserve"> </w:t>
      </w:r>
      <w:r w:rsidR="00602B47" w:rsidRPr="00602B47">
        <w:rPr>
          <w:color w:val="000000"/>
          <w:spacing w:val="38"/>
          <w:shd w:val="solid" w:color="000000" w:fill="000000"/>
          <w:fitText w:val="273" w:id="-1435752176"/>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76"/>
          <w14:textFill>
            <w14:solidFill>
              <w14:srgbClr w14:val="000000">
                <w14:alpha w14:val="100000"/>
              </w14:srgbClr>
            </w14:solidFill>
          </w14:textFill>
        </w:rPr>
        <w:t>|</w:t>
      </w:r>
    </w:p>
    <w:p w14:paraId="648613C2" w14:textId="77777777" w:rsidR="00AB43EA" w:rsidRPr="00E050AF" w:rsidRDefault="00AB43EA" w:rsidP="002017CD">
      <w:pPr>
        <w:pStyle w:val="TableFooter"/>
      </w:pPr>
      <w:r w:rsidRPr="00E050AF">
        <w:t>Source: Constructed during evaluation</w:t>
      </w:r>
    </w:p>
    <w:p w14:paraId="06B0EB99" w14:textId="77777777" w:rsidR="00AB43EA" w:rsidRPr="00E050AF" w:rsidRDefault="00AB43EA" w:rsidP="009D3CDF">
      <w:pPr>
        <w:pStyle w:val="ListParagraph"/>
        <w:numPr>
          <w:ilvl w:val="4"/>
          <w:numId w:val="8"/>
        </w:numPr>
        <w:rPr>
          <w:color w:val="auto"/>
        </w:rPr>
      </w:pPr>
      <w:r w:rsidRPr="00E050AF">
        <w:rPr>
          <w:color w:val="auto"/>
        </w:rPr>
        <w:t>The figure below provides a pictorial representation of the evidentiary chain of evidence available for the codependent submission.</w:t>
      </w:r>
    </w:p>
    <w:p w14:paraId="6E97706E" w14:textId="16114E8F" w:rsidR="00656189" w:rsidRPr="001F3B35" w:rsidRDefault="00AB43EA" w:rsidP="001F3B35">
      <w:pPr>
        <w:pStyle w:val="TableBodyHeading-H54"/>
        <w:rPr>
          <w:lang w:val="en-AU"/>
        </w:rPr>
      </w:pPr>
      <w:bookmarkStart w:id="43" w:name="_Hlk105936902"/>
      <w:r w:rsidRPr="00E050AF">
        <w:rPr>
          <w:lang w:val="en-AU"/>
        </w:rPr>
        <w:lastRenderedPageBreak/>
        <w:t xml:space="preserve">Figure </w:t>
      </w:r>
      <w:r w:rsidR="007E0933" w:rsidRPr="00E050AF">
        <w:rPr>
          <w:lang w:val="en-AU"/>
        </w:rPr>
        <w:fldChar w:fldCharType="begin"/>
      </w:r>
      <w:r w:rsidR="007E0933" w:rsidRPr="00E050AF">
        <w:rPr>
          <w:lang w:val="en-AU"/>
        </w:rPr>
        <w:instrText xml:space="preserve"> SEQ Figure_PBAC. \* ARABIC </w:instrText>
      </w:r>
      <w:r w:rsidR="007E0933" w:rsidRPr="00E050AF">
        <w:rPr>
          <w:lang w:val="en-AU"/>
        </w:rPr>
        <w:fldChar w:fldCharType="separate"/>
      </w:r>
      <w:r w:rsidR="00E050AF" w:rsidRPr="00E050AF">
        <w:rPr>
          <w:lang w:val="en-AU"/>
        </w:rPr>
        <w:t>1</w:t>
      </w:r>
      <w:r w:rsidR="007E0933" w:rsidRPr="00E050AF">
        <w:rPr>
          <w:lang w:val="en-AU"/>
        </w:rPr>
        <w:fldChar w:fldCharType="end"/>
      </w:r>
      <w:r w:rsidR="0007550F" w:rsidRPr="00E050AF">
        <w:rPr>
          <w:lang w:val="en-AU"/>
        </w:rPr>
        <w:tab/>
      </w:r>
      <w:r w:rsidRPr="00E050AF">
        <w:rPr>
          <w:lang w:val="en-AU"/>
        </w:rPr>
        <w:t>Illustration of the evidentiary chain of the codependent submission</w:t>
      </w:r>
      <w:bookmarkEnd w:id="43"/>
    </w:p>
    <w:p w14:paraId="4C720B24" w14:textId="72E731A4" w:rsidR="00DA3D08" w:rsidRDefault="00DA3D08" w:rsidP="00FC3969">
      <w:pPr>
        <w:pStyle w:val="TableFooter"/>
        <w:keepNext/>
      </w:pPr>
      <w:r>
        <w:rPr>
          <w:noProof/>
        </w:rPr>
        <w:drawing>
          <wp:inline distT="0" distB="0" distL="0" distR="0" wp14:anchorId="2A686281" wp14:editId="08D05B80">
            <wp:extent cx="5760933" cy="4284000"/>
            <wp:effectExtent l="0" t="0" r="0" b="2540"/>
            <wp:docPr id="4" name="Picture 4" descr="Figure 1 Illustration of the evidentiary chain of the codependent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1 Illustration of the evidentiary chain of the codependent submission"/>
                    <pic:cNvPicPr/>
                  </pic:nvPicPr>
                  <pic:blipFill>
                    <a:blip r:embed="rId8"/>
                    <a:stretch>
                      <a:fillRect/>
                    </a:stretch>
                  </pic:blipFill>
                  <pic:spPr>
                    <a:xfrm>
                      <a:off x="0" y="0"/>
                      <a:ext cx="5760933" cy="4284000"/>
                    </a:xfrm>
                    <a:prstGeom prst="rect">
                      <a:avLst/>
                    </a:prstGeom>
                  </pic:spPr>
                </pic:pic>
              </a:graphicData>
            </a:graphic>
          </wp:inline>
        </w:drawing>
      </w:r>
    </w:p>
    <w:p w14:paraId="411125E1" w14:textId="7B000FFB" w:rsidR="00AB43EA" w:rsidRPr="00E050AF" w:rsidRDefault="00AB43EA" w:rsidP="00FC3969">
      <w:pPr>
        <w:pStyle w:val="TableFooter"/>
        <w:keepNext/>
      </w:pPr>
      <w:r w:rsidRPr="00E050AF">
        <w:t>Source: constructed during evaluation</w:t>
      </w:r>
    </w:p>
    <w:p w14:paraId="49E6FE62" w14:textId="07DACDA3" w:rsidR="00AB43EA" w:rsidRPr="00E050AF" w:rsidRDefault="00CF529A" w:rsidP="00AB43EA">
      <w:pPr>
        <w:pStyle w:val="TableFooter"/>
      </w:pPr>
      <w:r w:rsidRPr="00E050AF">
        <w:rPr>
          <w:i/>
          <w:iCs/>
        </w:rPr>
        <w:t>BRCA</w:t>
      </w:r>
      <w:r w:rsidR="00AB43EA" w:rsidRPr="00E050AF">
        <w:t xml:space="preserve"> = Breast Cancer Gene; </w:t>
      </w:r>
      <w:r w:rsidRPr="00E050AF">
        <w:rPr>
          <w:i/>
          <w:iCs/>
        </w:rPr>
        <w:t>BRCA</w:t>
      </w:r>
      <w:r w:rsidR="00AB43EA" w:rsidRPr="00E050AF">
        <w:t xml:space="preserve">m = </w:t>
      </w:r>
      <w:r w:rsidRPr="00E050AF">
        <w:rPr>
          <w:i/>
          <w:iCs/>
        </w:rPr>
        <w:t>BRCA</w:t>
      </w:r>
      <w:r w:rsidR="00AB43EA" w:rsidRPr="00E050AF">
        <w:t xml:space="preserve"> mutation; </w:t>
      </w:r>
      <w:r w:rsidRPr="00E050AF">
        <w:rPr>
          <w:i/>
          <w:iCs/>
        </w:rPr>
        <w:t>BRCA</w:t>
      </w:r>
      <w:r w:rsidR="00AB43EA" w:rsidRPr="00E050AF">
        <w:t xml:space="preserve">wt = </w:t>
      </w:r>
      <w:r w:rsidRPr="00E050AF">
        <w:rPr>
          <w:i/>
          <w:iCs/>
        </w:rPr>
        <w:t>BRCA</w:t>
      </w:r>
      <w:r w:rsidR="00AB43EA" w:rsidRPr="00E050AF">
        <w:t xml:space="preserve"> wild type; HRD = homologous repair deficiency; NGS = Next Generation Sequencing; </w:t>
      </w:r>
      <w:r w:rsidR="00602B47" w:rsidRPr="00602B47">
        <w:rPr>
          <w:color w:val="000000"/>
          <w:spacing w:val="37"/>
          <w:shd w:val="solid" w:color="000000" w:fill="000000"/>
          <w:fitText w:val="272" w:id="-1435752192"/>
          <w14:textFill>
            <w14:solidFill>
              <w14:srgbClr w14:val="000000">
                <w14:alpha w14:val="100000"/>
              </w14:srgbClr>
            </w14:solidFill>
          </w14:textFill>
        </w:rPr>
        <w:t xml:space="preserve">|  </w:t>
      </w:r>
      <w:r w:rsidR="00602B47" w:rsidRPr="00602B47">
        <w:rPr>
          <w:color w:val="000000"/>
          <w:spacing w:val="3"/>
          <w:shd w:val="solid" w:color="000000" w:fill="000000"/>
          <w:fitText w:val="272" w:id="-1435752192"/>
          <w14:textFill>
            <w14:solidFill>
              <w14:srgbClr w14:val="000000">
                <w14:alpha w14:val="100000"/>
              </w14:srgbClr>
            </w14:solidFill>
          </w14:textFill>
        </w:rPr>
        <w:t>|</w:t>
      </w:r>
      <w:r w:rsidR="00AB43EA" w:rsidRPr="00E050AF">
        <w:t xml:space="preserve"> = </w:t>
      </w:r>
      <w:r w:rsidR="00602B47" w:rsidRPr="00602B47">
        <w:rPr>
          <w:color w:val="000000"/>
          <w:spacing w:val="37"/>
          <w:shd w:val="solid" w:color="000000" w:fill="000000"/>
          <w:fitText w:val="272" w:id="-1435752191"/>
          <w14:textFill>
            <w14:solidFill>
              <w14:srgbClr w14:val="000000">
                <w14:alpha w14:val="100000"/>
              </w14:srgbClr>
            </w14:solidFill>
          </w14:textFill>
        </w:rPr>
        <w:t xml:space="preserve">|  </w:t>
      </w:r>
      <w:r w:rsidR="00602B47" w:rsidRPr="00602B47">
        <w:rPr>
          <w:color w:val="000000"/>
          <w:spacing w:val="3"/>
          <w:shd w:val="solid" w:color="000000" w:fill="000000"/>
          <w:fitText w:val="272" w:id="-1435752191"/>
          <w14:textFill>
            <w14:solidFill>
              <w14:srgbClr w14:val="000000">
                <w14:alpha w14:val="100000"/>
              </w14:srgbClr>
            </w14:solidFill>
          </w14:textFill>
        </w:rPr>
        <w:t>|</w:t>
      </w:r>
      <w:r w:rsidR="00520340" w:rsidRPr="00520340">
        <w:t xml:space="preserve"> </w:t>
      </w:r>
      <w:r w:rsidR="00602B47" w:rsidRPr="00602B47">
        <w:rPr>
          <w:color w:val="000000"/>
          <w:spacing w:val="38"/>
          <w:shd w:val="solid" w:color="000000" w:fill="000000"/>
          <w:fitText w:val="273" w:id="-1435752190"/>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90"/>
          <w14:textFill>
            <w14:solidFill>
              <w14:srgbClr w14:val="000000">
                <w14:alpha w14:val="100000"/>
              </w14:srgbClr>
            </w14:solidFill>
          </w14:textFill>
        </w:rPr>
        <w:t>|</w:t>
      </w:r>
      <w:r w:rsidR="00520340" w:rsidRPr="00520340">
        <w:t xml:space="preserve"> </w:t>
      </w:r>
      <w:r w:rsidR="00602B47" w:rsidRPr="00602B47">
        <w:rPr>
          <w:color w:val="000000"/>
          <w:spacing w:val="38"/>
          <w:shd w:val="solid" w:color="000000" w:fill="000000"/>
          <w:fitText w:val="273" w:id="-1435752189"/>
          <w14:textFill>
            <w14:solidFill>
              <w14:srgbClr w14:val="000000">
                <w14:alpha w14:val="100000"/>
              </w14:srgbClr>
            </w14:solidFill>
          </w14:textFill>
        </w:rPr>
        <w:t xml:space="preserve">|  </w:t>
      </w:r>
      <w:r w:rsidR="00602B47" w:rsidRPr="00602B47">
        <w:rPr>
          <w:color w:val="000000"/>
          <w:spacing w:val="1"/>
          <w:shd w:val="solid" w:color="000000" w:fill="000000"/>
          <w:fitText w:val="273" w:id="-1435752189"/>
          <w14:textFill>
            <w14:solidFill>
              <w14:srgbClr w14:val="000000">
                <w14:alpha w14:val="100000"/>
              </w14:srgbClr>
            </w14:solidFill>
          </w14:textFill>
        </w:rPr>
        <w:t>|</w:t>
      </w:r>
      <w:r w:rsidR="00520340" w:rsidRPr="00520340">
        <w:t xml:space="preserve"> </w:t>
      </w:r>
      <w:r w:rsidR="00602B47" w:rsidRPr="00602B47">
        <w:rPr>
          <w:color w:val="000000"/>
          <w:spacing w:val="37"/>
          <w:shd w:val="solid" w:color="000000" w:fill="000000"/>
          <w:fitText w:val="272" w:id="-1435752188"/>
          <w14:textFill>
            <w14:solidFill>
              <w14:srgbClr w14:val="000000">
                <w14:alpha w14:val="100000"/>
              </w14:srgbClr>
            </w14:solidFill>
          </w14:textFill>
        </w:rPr>
        <w:t xml:space="preserve">|  </w:t>
      </w:r>
      <w:r w:rsidR="00602B47" w:rsidRPr="00602B47">
        <w:rPr>
          <w:color w:val="000000"/>
          <w:spacing w:val="3"/>
          <w:shd w:val="solid" w:color="000000" w:fill="000000"/>
          <w:fitText w:val="272" w:id="-1435752188"/>
          <w14:textFill>
            <w14:solidFill>
              <w14:srgbClr w14:val="000000">
                <w14:alpha w14:val="100000"/>
              </w14:srgbClr>
            </w14:solidFill>
          </w14:textFill>
        </w:rPr>
        <w:t>|</w:t>
      </w:r>
    </w:p>
    <w:p w14:paraId="0D4BAB56" w14:textId="77777777" w:rsidR="006E6027" w:rsidRPr="00E050AF" w:rsidRDefault="006E6027" w:rsidP="006E6027">
      <w:pPr>
        <w:pStyle w:val="PBACESHeading2"/>
        <w:numPr>
          <w:ilvl w:val="2"/>
          <w:numId w:val="8"/>
        </w:numPr>
        <w:ind w:left="0" w:firstLine="0"/>
      </w:pPr>
      <w:bookmarkStart w:id="44" w:name="_Hlk76375935"/>
      <w:r w:rsidRPr="00E050AF">
        <w:t>Sponsor hearing</w:t>
      </w:r>
    </w:p>
    <w:p w14:paraId="6766F221" w14:textId="3812A014" w:rsidR="006E03A2" w:rsidRPr="00E050AF" w:rsidRDefault="0012791D" w:rsidP="0012791D">
      <w:pPr>
        <w:pStyle w:val="ListParagraph"/>
        <w:numPr>
          <w:ilvl w:val="4"/>
          <w:numId w:val="8"/>
        </w:numPr>
        <w:rPr>
          <w:color w:val="auto"/>
        </w:rPr>
      </w:pPr>
      <w:bookmarkStart w:id="45" w:name="_Hlk76382586"/>
      <w:r w:rsidRPr="00E050AF">
        <w:rPr>
          <w:color w:val="auto"/>
        </w:rPr>
        <w:t xml:space="preserve">The sponsor requested a hearing for this item. The </w:t>
      </w:r>
      <w:r w:rsidR="006E03A2" w:rsidRPr="00E050AF">
        <w:rPr>
          <w:color w:val="auto"/>
        </w:rPr>
        <w:t xml:space="preserve">three speakers </w:t>
      </w:r>
      <w:r w:rsidR="003C6D73" w:rsidRPr="00E050AF">
        <w:rPr>
          <w:color w:val="auto"/>
        </w:rPr>
        <w:t xml:space="preserve">discussed the submission from the perspective of an expert pathologist, scientist and medical oncologist. It was noted that treatment guidelines recommend HRD testing </w:t>
      </w:r>
      <w:r w:rsidR="00406BDC" w:rsidRPr="00E050AF">
        <w:rPr>
          <w:color w:val="auto"/>
        </w:rPr>
        <w:t>to determine</w:t>
      </w:r>
      <w:r w:rsidR="003C6D73" w:rsidRPr="00E050AF">
        <w:rPr>
          <w:color w:val="auto"/>
        </w:rPr>
        <w:t xml:space="preserve"> </w:t>
      </w:r>
      <w:r w:rsidR="00406BDC" w:rsidRPr="00E050AF">
        <w:rPr>
          <w:color w:val="auto"/>
        </w:rPr>
        <w:t xml:space="preserve">whether </w:t>
      </w:r>
      <w:r w:rsidR="003C6D73" w:rsidRPr="00E050AF">
        <w:rPr>
          <w:color w:val="auto"/>
        </w:rPr>
        <w:t xml:space="preserve">maintenance </w:t>
      </w:r>
      <w:r w:rsidR="00406BDC" w:rsidRPr="00E050AF">
        <w:rPr>
          <w:color w:val="auto"/>
        </w:rPr>
        <w:t xml:space="preserve">treatment with a </w:t>
      </w:r>
      <w:r w:rsidR="003C6D73" w:rsidRPr="00E050AF">
        <w:rPr>
          <w:color w:val="auto"/>
        </w:rPr>
        <w:t>PARPi</w:t>
      </w:r>
      <w:r w:rsidR="00406BDC" w:rsidRPr="00E050AF">
        <w:rPr>
          <w:color w:val="auto"/>
        </w:rPr>
        <w:t xml:space="preserve"> is appropriate</w:t>
      </w:r>
      <w:r w:rsidR="003C6D73" w:rsidRPr="00E050AF">
        <w:rPr>
          <w:color w:val="auto"/>
        </w:rPr>
        <w:t xml:space="preserve">, and that HRD testing is </w:t>
      </w:r>
      <w:r w:rsidRPr="00E050AF">
        <w:rPr>
          <w:color w:val="auto"/>
        </w:rPr>
        <w:t xml:space="preserve">considered </w:t>
      </w:r>
      <w:r w:rsidR="003C6D73" w:rsidRPr="00E050AF">
        <w:rPr>
          <w:color w:val="auto"/>
        </w:rPr>
        <w:t xml:space="preserve">effective </w:t>
      </w:r>
      <w:r w:rsidRPr="00E050AF">
        <w:rPr>
          <w:color w:val="auto"/>
        </w:rPr>
        <w:t>in</w:t>
      </w:r>
      <w:r w:rsidR="003C6D73" w:rsidRPr="00E050AF">
        <w:rPr>
          <w:color w:val="auto"/>
        </w:rPr>
        <w:t xml:space="preserve"> identify</w:t>
      </w:r>
      <w:r w:rsidRPr="00E050AF">
        <w:rPr>
          <w:color w:val="auto"/>
        </w:rPr>
        <w:t>ing</w:t>
      </w:r>
      <w:r w:rsidR="003C6D73" w:rsidRPr="00E050AF">
        <w:rPr>
          <w:color w:val="auto"/>
        </w:rPr>
        <w:t xml:space="preserve"> patients who will benefit from treatment. It was stated that patients with HRD</w:t>
      </w:r>
      <w:r w:rsidR="00CF2838" w:rsidRPr="00E050AF">
        <w:rPr>
          <w:color w:val="auto"/>
        </w:rPr>
        <w:t xml:space="preserve"> negative</w:t>
      </w:r>
      <w:r w:rsidR="003C6D73" w:rsidRPr="00E050AF">
        <w:rPr>
          <w:color w:val="auto"/>
        </w:rPr>
        <w:t xml:space="preserve"> tumours are unlikely to benefit from PARPi, and this is expected to be 50% </w:t>
      </w:r>
      <w:r w:rsidRPr="00E050AF">
        <w:rPr>
          <w:color w:val="auto"/>
        </w:rPr>
        <w:t xml:space="preserve">of </w:t>
      </w:r>
      <w:r w:rsidR="003C6D73" w:rsidRPr="00E050AF">
        <w:rPr>
          <w:color w:val="auto"/>
        </w:rPr>
        <w:t xml:space="preserve">patients. The PBAC considered that the hearing was informative as it provided </w:t>
      </w:r>
      <w:r w:rsidRPr="00E050AF">
        <w:rPr>
          <w:color w:val="auto"/>
        </w:rPr>
        <w:t xml:space="preserve">useful context </w:t>
      </w:r>
      <w:r w:rsidR="009F34B1" w:rsidRPr="00E050AF">
        <w:rPr>
          <w:color w:val="auto"/>
        </w:rPr>
        <w:t>regarding the proposed test and PBS</w:t>
      </w:r>
      <w:r w:rsidRPr="00E050AF">
        <w:rPr>
          <w:color w:val="auto"/>
        </w:rPr>
        <w:t xml:space="preserve"> listing</w:t>
      </w:r>
      <w:r w:rsidR="009F34B1" w:rsidRPr="00E050AF">
        <w:rPr>
          <w:color w:val="auto"/>
        </w:rPr>
        <w:t xml:space="preserve"> from three relevant perspectives</w:t>
      </w:r>
      <w:r w:rsidRPr="00E050AF">
        <w:rPr>
          <w:color w:val="auto"/>
        </w:rPr>
        <w:t>.</w:t>
      </w:r>
    </w:p>
    <w:bookmarkEnd w:id="45"/>
    <w:p w14:paraId="60681860" w14:textId="77777777" w:rsidR="006E6027" w:rsidRPr="00E050AF" w:rsidRDefault="006E6027" w:rsidP="006E6027">
      <w:pPr>
        <w:pStyle w:val="PBACESHeading2"/>
        <w:numPr>
          <w:ilvl w:val="2"/>
          <w:numId w:val="8"/>
        </w:numPr>
        <w:ind w:left="0" w:firstLine="0"/>
      </w:pPr>
      <w:r w:rsidRPr="00E050AF">
        <w:t>Consumer comments</w:t>
      </w:r>
    </w:p>
    <w:p w14:paraId="679788CE" w14:textId="406EC428" w:rsidR="004B55F8" w:rsidRPr="00E050AF" w:rsidRDefault="004B55F8" w:rsidP="004B55F8">
      <w:pPr>
        <w:pStyle w:val="ListParagraph"/>
        <w:numPr>
          <w:ilvl w:val="4"/>
          <w:numId w:val="8"/>
        </w:numPr>
        <w:rPr>
          <w:color w:val="auto"/>
        </w:rPr>
      </w:pPr>
      <w:bookmarkStart w:id="46" w:name="_Hlk76382618"/>
      <w:r w:rsidRPr="00E050AF">
        <w:rPr>
          <w:color w:val="auto"/>
        </w:rPr>
        <w:t xml:space="preserve">The PBAC noted and welcomed input from one patient support organisation (Ovarian Cancer Australia) in support of the olaparib submission. </w:t>
      </w:r>
      <w:r w:rsidR="00BA708E" w:rsidRPr="00E050AF">
        <w:rPr>
          <w:color w:val="auto"/>
        </w:rPr>
        <w:t xml:space="preserve">The comments noted that ovarian cancer is the sixth most common cause of death from cancer in females, and </w:t>
      </w:r>
      <w:r w:rsidR="00BA708E" w:rsidRPr="00E050AF">
        <w:rPr>
          <w:color w:val="auto"/>
        </w:rPr>
        <w:lastRenderedPageBreak/>
        <w:t xml:space="preserve">the deadliest gynaecological cancer. Many patients experience anxiety and depression related to the fear of recurrence. </w:t>
      </w:r>
      <w:r w:rsidRPr="00E050AF">
        <w:rPr>
          <w:color w:val="auto"/>
        </w:rPr>
        <w:t>The comments noted that a number of patients were self-funding olaparib, with a high financial burden or were unable to access treatment due to the high cost.</w:t>
      </w:r>
    </w:p>
    <w:p w14:paraId="3B68380E" w14:textId="74681343" w:rsidR="004B55F8" w:rsidRPr="00E050AF" w:rsidRDefault="004B55F8" w:rsidP="004B55F8">
      <w:pPr>
        <w:pStyle w:val="ListParagraph"/>
        <w:numPr>
          <w:ilvl w:val="4"/>
          <w:numId w:val="8"/>
        </w:numPr>
        <w:rPr>
          <w:color w:val="auto"/>
        </w:rPr>
      </w:pPr>
      <w:r w:rsidRPr="00E050AF">
        <w:rPr>
          <w:color w:val="auto"/>
        </w:rPr>
        <w:t xml:space="preserve">The PBAC noted and welcomed input from </w:t>
      </w:r>
      <w:r w:rsidR="00BA708E" w:rsidRPr="00E050AF">
        <w:rPr>
          <w:color w:val="auto"/>
        </w:rPr>
        <w:t>3</w:t>
      </w:r>
      <w:r w:rsidRPr="00E050AF">
        <w:rPr>
          <w:color w:val="auto"/>
        </w:rPr>
        <w:t xml:space="preserve"> consumers via the Consumer Comments facility on the PBS website</w:t>
      </w:r>
      <w:r w:rsidR="00BA708E" w:rsidRPr="00E050AF">
        <w:rPr>
          <w:color w:val="auto"/>
        </w:rPr>
        <w:t xml:space="preserve"> which supported the proposed listing of olaparib</w:t>
      </w:r>
      <w:r w:rsidRPr="00E050AF">
        <w:rPr>
          <w:color w:val="auto"/>
        </w:rPr>
        <w:t xml:space="preserve">. </w:t>
      </w:r>
      <w:r w:rsidR="00BA708E" w:rsidRPr="00E050AF">
        <w:rPr>
          <w:color w:val="auto"/>
        </w:rPr>
        <w:t xml:space="preserve">The individuals </w:t>
      </w:r>
      <w:r w:rsidR="00C040F7" w:rsidRPr="00E050AF">
        <w:rPr>
          <w:color w:val="auto"/>
        </w:rPr>
        <w:t>expressed</w:t>
      </w:r>
      <w:r w:rsidRPr="00E050AF">
        <w:rPr>
          <w:color w:val="auto"/>
        </w:rPr>
        <w:t xml:space="preserve"> that treatment in the first line setting may delay or prevent recurrence</w:t>
      </w:r>
      <w:r w:rsidR="00BA708E" w:rsidRPr="00E050AF">
        <w:rPr>
          <w:color w:val="auto"/>
        </w:rPr>
        <w:t xml:space="preserve"> and has potential to prolong life</w:t>
      </w:r>
      <w:r w:rsidRPr="00E050AF">
        <w:rPr>
          <w:color w:val="auto"/>
        </w:rPr>
        <w:t>.</w:t>
      </w:r>
    </w:p>
    <w:p w14:paraId="283B362C" w14:textId="52B9BA03" w:rsidR="004B55F8" w:rsidRPr="00E050AF" w:rsidRDefault="004B55F8" w:rsidP="004B55F8">
      <w:pPr>
        <w:pStyle w:val="ListParagraph"/>
        <w:numPr>
          <w:ilvl w:val="4"/>
          <w:numId w:val="8"/>
        </w:numPr>
        <w:rPr>
          <w:color w:val="auto"/>
        </w:rPr>
      </w:pPr>
      <w:r w:rsidRPr="00E050AF">
        <w:rPr>
          <w:color w:val="auto"/>
        </w:rPr>
        <w:t xml:space="preserve">The Medical Oncology Group of Australia (MOGA) expressed its strong support for the olaparib submission, categorising it as one of the therapies of “highest priority for PBS listing” on the basis of the </w:t>
      </w:r>
      <w:r w:rsidR="00BA708E" w:rsidRPr="00E050AF">
        <w:rPr>
          <w:color w:val="auto"/>
        </w:rPr>
        <w:t>PAOLA-</w:t>
      </w:r>
      <w:r w:rsidRPr="00E050AF">
        <w:rPr>
          <w:color w:val="auto"/>
        </w:rPr>
        <w:t xml:space="preserve">1 trial. The PBAC noted that the MOGA presented a European Society for Medical Oncology Magnitude of Clinical Benefit Scale (ESMO-MCBS) for </w:t>
      </w:r>
      <w:r w:rsidR="00BA708E" w:rsidRPr="00E050AF">
        <w:rPr>
          <w:color w:val="auto"/>
        </w:rPr>
        <w:t>olaparib plus bevacizumab</w:t>
      </w:r>
      <w:r w:rsidRPr="00E050AF">
        <w:rPr>
          <w:color w:val="auto"/>
        </w:rPr>
        <w:t xml:space="preserve">, </w:t>
      </w:r>
      <w:r w:rsidR="00BA708E" w:rsidRPr="00E050AF">
        <w:rPr>
          <w:color w:val="auto"/>
        </w:rPr>
        <w:t xml:space="preserve">of </w:t>
      </w:r>
      <w:r w:rsidRPr="00E050AF">
        <w:rPr>
          <w:color w:val="auto"/>
        </w:rPr>
        <w:t xml:space="preserve">4 (out of a maximum of 5, where 5 and 4 represent the grades with substantial improvement), based on a comparison with </w:t>
      </w:r>
      <w:r w:rsidR="00BA708E" w:rsidRPr="00E050AF">
        <w:rPr>
          <w:color w:val="auto"/>
        </w:rPr>
        <w:t>be</w:t>
      </w:r>
      <w:r w:rsidR="00406BDC" w:rsidRPr="00E050AF">
        <w:rPr>
          <w:color w:val="auto"/>
        </w:rPr>
        <w:t>v</w:t>
      </w:r>
      <w:r w:rsidR="00BA708E" w:rsidRPr="00E050AF">
        <w:rPr>
          <w:color w:val="auto"/>
        </w:rPr>
        <w:t>acizumab alone</w:t>
      </w:r>
      <w:r w:rsidRPr="00E050AF">
        <w:rPr>
          <w:color w:val="auto"/>
        </w:rPr>
        <w:t xml:space="preserve">. The PBAC noted that MOGA upgraded the ESMO-MCBS score to 4 on the basis of a </w:t>
      </w:r>
      <w:r w:rsidR="00A3049C" w:rsidRPr="00E050AF">
        <w:rPr>
          <w:color w:val="auto"/>
        </w:rPr>
        <w:t xml:space="preserve">long term </w:t>
      </w:r>
      <w:r w:rsidRPr="00E050AF">
        <w:rPr>
          <w:color w:val="auto"/>
        </w:rPr>
        <w:t>PFS difference &gt;10% at 2 years and a plateau of the PFS curve in the treatment arm.</w:t>
      </w:r>
    </w:p>
    <w:p w14:paraId="040894AE" w14:textId="3A21D869" w:rsidR="006E6027" w:rsidRPr="00E050AF" w:rsidRDefault="006E6027" w:rsidP="006E6027">
      <w:pPr>
        <w:pStyle w:val="PBACESHeading2"/>
        <w:numPr>
          <w:ilvl w:val="0"/>
          <w:numId w:val="0"/>
        </w:numPr>
      </w:pPr>
      <w:bookmarkStart w:id="47" w:name="_Toc100693623"/>
      <w:bookmarkStart w:id="48" w:name="_Toc103581575"/>
      <w:bookmarkStart w:id="49" w:name="_Toc103775862"/>
      <w:bookmarkEnd w:id="44"/>
      <w:bookmarkEnd w:id="46"/>
      <w:r w:rsidRPr="00E050AF">
        <w:t>Clinical trials</w:t>
      </w:r>
      <w:bookmarkEnd w:id="47"/>
      <w:bookmarkEnd w:id="48"/>
      <w:bookmarkEnd w:id="49"/>
    </w:p>
    <w:p w14:paraId="7147D8DC" w14:textId="77C41570" w:rsidR="00AB43EA" w:rsidRPr="00E050AF" w:rsidRDefault="00AB43EA" w:rsidP="009D3CDF">
      <w:pPr>
        <w:pStyle w:val="ListParagraph"/>
        <w:numPr>
          <w:ilvl w:val="4"/>
          <w:numId w:val="8"/>
        </w:numPr>
      </w:pPr>
      <w:r w:rsidRPr="00E050AF">
        <w:t>The submission was based on one head-to-head trial comparing olaparib plus bevacizumab to placebo plus bevacizumab (n=806), PAOLA-1.</w:t>
      </w:r>
    </w:p>
    <w:p w14:paraId="6C576542" w14:textId="2A53C2DE" w:rsidR="00AB43EA" w:rsidRPr="00E050AF" w:rsidRDefault="00AB43EA" w:rsidP="009D3CDF">
      <w:pPr>
        <w:pStyle w:val="ListParagraph"/>
        <w:numPr>
          <w:ilvl w:val="4"/>
          <w:numId w:val="8"/>
        </w:numPr>
        <w:rPr>
          <w:color w:val="auto"/>
        </w:rPr>
      </w:pPr>
      <w:r w:rsidRPr="00E050AF">
        <w:rPr>
          <w:color w:val="auto"/>
        </w:rPr>
        <w:t xml:space="preserve">PAOLA-1 is a phase 3 randomised controlled trial (RCT) that was conducted to evaluate maintenance treatment of olaparib plus bevacizumab compared to placebo plus bevacizumab, in patients with newly diagnosed </w:t>
      </w:r>
      <w:r w:rsidR="00D26BB7" w:rsidRPr="00E050AF">
        <w:rPr>
          <w:color w:val="auto"/>
        </w:rPr>
        <w:t>HGEOC</w:t>
      </w:r>
      <w:r w:rsidRPr="00E050AF">
        <w:rPr>
          <w:color w:val="auto"/>
        </w:rPr>
        <w:t xml:space="preserve"> who </w:t>
      </w:r>
      <w:r w:rsidR="00A07F83" w:rsidRPr="00E050AF">
        <w:rPr>
          <w:color w:val="auto"/>
        </w:rPr>
        <w:t xml:space="preserve">responded to treatment with </w:t>
      </w:r>
      <w:r w:rsidRPr="00E050AF">
        <w:rPr>
          <w:color w:val="auto"/>
        </w:rPr>
        <w:t xml:space="preserve">chemotherapy plus bevacizumab, regardless of tumour </w:t>
      </w:r>
      <w:r w:rsidR="00CF529A" w:rsidRPr="00E050AF">
        <w:rPr>
          <w:i/>
          <w:iCs/>
          <w:color w:val="auto"/>
        </w:rPr>
        <w:t>BRCA</w:t>
      </w:r>
      <w:r w:rsidRPr="00E050AF">
        <w:rPr>
          <w:color w:val="auto"/>
        </w:rPr>
        <w:t xml:space="preserve">m status. </w:t>
      </w:r>
      <w:r w:rsidR="000D56FD" w:rsidRPr="00E050AF">
        <w:rPr>
          <w:color w:val="auto"/>
        </w:rPr>
        <w:t>The submission claimed that</w:t>
      </w:r>
      <w:r w:rsidRPr="00E050AF">
        <w:rPr>
          <w:color w:val="auto"/>
        </w:rPr>
        <w:t xml:space="preserve"> the risk of bias for </w:t>
      </w:r>
      <w:r w:rsidR="00406BDC" w:rsidRPr="00E050AF">
        <w:rPr>
          <w:color w:val="auto"/>
        </w:rPr>
        <w:t xml:space="preserve">the </w:t>
      </w:r>
      <w:r w:rsidRPr="00E050AF">
        <w:rPr>
          <w:color w:val="auto"/>
        </w:rPr>
        <w:t>PAOLA-1 trial is considered low.</w:t>
      </w:r>
      <w:r w:rsidR="000D56FD" w:rsidRPr="00E050AF">
        <w:rPr>
          <w:color w:val="auto"/>
        </w:rPr>
        <w:t xml:space="preserve"> This was reasonable when considering the ITT population</w:t>
      </w:r>
      <w:r w:rsidR="00BF69E2" w:rsidRPr="00E050AF">
        <w:rPr>
          <w:color w:val="auto"/>
        </w:rPr>
        <w:t>,</w:t>
      </w:r>
      <w:r w:rsidR="000D56FD" w:rsidRPr="00E050AF">
        <w:rPr>
          <w:color w:val="auto"/>
        </w:rPr>
        <w:t xml:space="preserve"> however the use of what were effectively post hoc HRD subgroups (as they were determined post randomisation nearly three years after enrolment began) introduced a high risk of selection bias.</w:t>
      </w:r>
    </w:p>
    <w:p w14:paraId="4646FBAB" w14:textId="191E4CC2" w:rsidR="00AB43EA" w:rsidRPr="00E050AF" w:rsidRDefault="00AB43EA" w:rsidP="009D3CDF">
      <w:pPr>
        <w:pStyle w:val="ListParagraph"/>
        <w:numPr>
          <w:ilvl w:val="4"/>
          <w:numId w:val="8"/>
        </w:numPr>
      </w:pPr>
      <w:r w:rsidRPr="00E050AF">
        <w:t>Details of the trials</w:t>
      </w:r>
      <w:r w:rsidR="007F75C0" w:rsidRPr="00E050AF">
        <w:t>, including key publications</w:t>
      </w:r>
      <w:r w:rsidRPr="00E050AF">
        <w:t xml:space="preserve"> presented in the submission are provided in the table below.</w:t>
      </w:r>
    </w:p>
    <w:p w14:paraId="2C31B28D" w14:textId="110111E3" w:rsidR="00AB43EA" w:rsidRPr="00E050AF" w:rsidRDefault="00A354B6" w:rsidP="00A354B6">
      <w:pPr>
        <w:pStyle w:val="TableBodyHeading-H54"/>
        <w:rPr>
          <w:lang w:val="en-AU"/>
        </w:rPr>
      </w:pPr>
      <w:r w:rsidRPr="00E050AF">
        <w:rPr>
          <w:rStyle w:val="CommentReference"/>
          <w:b/>
          <w:szCs w:val="20"/>
          <w:lang w:val="en-AU"/>
        </w:rPr>
        <w:lastRenderedPageBreak/>
        <w:t xml:space="preserve">Table </w:t>
      </w:r>
      <w:r w:rsidRPr="00E050AF">
        <w:rPr>
          <w:rStyle w:val="CommentReference"/>
          <w:b/>
          <w:szCs w:val="20"/>
          <w:lang w:val="en-AU"/>
        </w:rPr>
        <w:fldChar w:fldCharType="begin"/>
      </w:r>
      <w:r w:rsidRPr="00E050AF">
        <w:rPr>
          <w:rStyle w:val="CommentReference"/>
          <w:b/>
          <w:szCs w:val="20"/>
          <w:lang w:val="en-AU"/>
        </w:rPr>
        <w:instrText xml:space="preserve"> SEQ Table \* ARABIC </w:instrText>
      </w:r>
      <w:r w:rsidRPr="00E050AF">
        <w:rPr>
          <w:rStyle w:val="CommentReference"/>
          <w:b/>
          <w:szCs w:val="20"/>
          <w:lang w:val="en-AU"/>
        </w:rPr>
        <w:fldChar w:fldCharType="separate"/>
      </w:r>
      <w:r w:rsidR="00E050AF" w:rsidRPr="00E050AF">
        <w:rPr>
          <w:rStyle w:val="CommentReference"/>
          <w:b/>
          <w:szCs w:val="20"/>
          <w:lang w:val="en-AU"/>
        </w:rPr>
        <w:t>4</w:t>
      </w:r>
      <w:r w:rsidRPr="00E050AF">
        <w:rPr>
          <w:rStyle w:val="CommentReference"/>
          <w:b/>
          <w:szCs w:val="20"/>
          <w:lang w:val="en-AU"/>
        </w:rPr>
        <w:fldChar w:fldCharType="end"/>
      </w:r>
      <w:r w:rsidR="00AB43EA" w:rsidRPr="00E050AF">
        <w:rPr>
          <w:lang w:val="en-AU"/>
        </w:rPr>
        <w:tab/>
        <w:t>Trials and associated reports presented in the submission</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1E0" w:firstRow="1" w:lastRow="1" w:firstColumn="1" w:lastColumn="1" w:noHBand="0" w:noVBand="0"/>
        <w:tblCaption w:val="Table 4 Trials and associated reports presented in the submission"/>
      </w:tblPr>
      <w:tblGrid>
        <w:gridCol w:w="1123"/>
        <w:gridCol w:w="6102"/>
        <w:gridCol w:w="1791"/>
      </w:tblGrid>
      <w:tr w:rsidR="00AB43EA" w:rsidRPr="00E050AF" w14:paraId="2A05E8C4" w14:textId="77777777" w:rsidTr="006E3CB0">
        <w:trPr>
          <w:tblHeader/>
        </w:trPr>
        <w:tc>
          <w:tcPr>
            <w:tcW w:w="0" w:type="auto"/>
            <w:tcBorders>
              <w:top w:val="single" w:sz="4" w:space="0" w:color="auto"/>
              <w:left w:val="single" w:sz="4" w:space="0" w:color="auto"/>
              <w:bottom w:val="single" w:sz="4" w:space="0" w:color="auto"/>
              <w:right w:val="single" w:sz="4" w:space="0" w:color="auto"/>
            </w:tcBorders>
            <w:vAlign w:val="center"/>
            <w:hideMark/>
          </w:tcPr>
          <w:p w14:paraId="099BA67D" w14:textId="77777777" w:rsidR="00AB43EA" w:rsidRPr="00E050AF" w:rsidRDefault="00AB43EA" w:rsidP="00A20643">
            <w:pPr>
              <w:pStyle w:val="TableRowHeader"/>
              <w:keepNext/>
              <w:keepLines/>
              <w:spacing w:line="256" w:lineRule="auto"/>
              <w:jc w:val="left"/>
            </w:pPr>
            <w:r w:rsidRPr="00E050AF">
              <w:t>Trial ID</w:t>
            </w:r>
          </w:p>
        </w:tc>
        <w:tc>
          <w:tcPr>
            <w:tcW w:w="6102" w:type="dxa"/>
            <w:tcBorders>
              <w:top w:val="single" w:sz="4" w:space="0" w:color="auto"/>
              <w:left w:val="single" w:sz="4" w:space="0" w:color="auto"/>
              <w:bottom w:val="single" w:sz="4" w:space="0" w:color="auto"/>
              <w:right w:val="single" w:sz="4" w:space="0" w:color="auto"/>
            </w:tcBorders>
            <w:vAlign w:val="bottom"/>
            <w:hideMark/>
          </w:tcPr>
          <w:p w14:paraId="334EC607" w14:textId="77777777" w:rsidR="00AB43EA" w:rsidRPr="00E050AF" w:rsidRDefault="00AB43EA" w:rsidP="00A20643">
            <w:pPr>
              <w:pStyle w:val="TableRowHeader"/>
              <w:keepNext/>
              <w:keepLines/>
              <w:spacing w:line="256" w:lineRule="auto"/>
            </w:pPr>
            <w:r w:rsidRPr="00E050AF">
              <w:t>Protocol title/ Publication title</w:t>
            </w:r>
          </w:p>
        </w:tc>
        <w:tc>
          <w:tcPr>
            <w:tcW w:w="1791" w:type="dxa"/>
            <w:tcBorders>
              <w:top w:val="single" w:sz="4" w:space="0" w:color="auto"/>
              <w:left w:val="single" w:sz="4" w:space="0" w:color="auto"/>
              <w:bottom w:val="single" w:sz="4" w:space="0" w:color="auto"/>
              <w:right w:val="single" w:sz="4" w:space="0" w:color="auto"/>
            </w:tcBorders>
            <w:vAlign w:val="bottom"/>
            <w:hideMark/>
          </w:tcPr>
          <w:p w14:paraId="700FD25B" w14:textId="77777777" w:rsidR="00AB43EA" w:rsidRPr="00E050AF" w:rsidRDefault="00AB43EA" w:rsidP="00A20643">
            <w:pPr>
              <w:pStyle w:val="TableRowHeader"/>
              <w:keepNext/>
              <w:keepLines/>
              <w:spacing w:line="256" w:lineRule="auto"/>
            </w:pPr>
            <w:r w:rsidRPr="00E050AF">
              <w:t>Publication citation</w:t>
            </w:r>
          </w:p>
        </w:tc>
      </w:tr>
      <w:tr w:rsidR="00AB43EA" w:rsidRPr="00E050AF" w14:paraId="30255BE9" w14:textId="77777777" w:rsidTr="006E3CB0">
        <w:tc>
          <w:tcPr>
            <w:tcW w:w="0" w:type="auto"/>
            <w:gridSpan w:val="3"/>
            <w:tcBorders>
              <w:top w:val="single" w:sz="4" w:space="0" w:color="auto"/>
              <w:left w:val="single" w:sz="4" w:space="0" w:color="auto"/>
              <w:bottom w:val="single" w:sz="4" w:space="0" w:color="auto"/>
              <w:right w:val="single" w:sz="4" w:space="0" w:color="auto"/>
            </w:tcBorders>
            <w:hideMark/>
          </w:tcPr>
          <w:p w14:paraId="3FBF7CD9" w14:textId="77777777" w:rsidR="00AB43EA" w:rsidRPr="00E050AF" w:rsidRDefault="00AB43EA" w:rsidP="00A20643">
            <w:pPr>
              <w:pStyle w:val="TableText"/>
              <w:keepNext/>
              <w:keepLines/>
              <w:spacing w:line="256" w:lineRule="auto"/>
            </w:pPr>
            <w:r w:rsidRPr="00E050AF">
              <w:t>Direct randomised trial</w:t>
            </w:r>
          </w:p>
        </w:tc>
      </w:tr>
      <w:tr w:rsidR="001F3B35" w:rsidRPr="00E050AF" w14:paraId="608C89D2" w14:textId="77777777" w:rsidTr="005C53D3">
        <w:tc>
          <w:tcPr>
            <w:tcW w:w="0" w:type="auto"/>
            <w:vMerge w:val="restart"/>
            <w:tcBorders>
              <w:top w:val="nil"/>
              <w:left w:val="single" w:sz="4" w:space="0" w:color="auto"/>
              <w:right w:val="single" w:sz="4" w:space="0" w:color="auto"/>
            </w:tcBorders>
            <w:vAlign w:val="center"/>
          </w:tcPr>
          <w:p w14:paraId="5BD075CB" w14:textId="77777777" w:rsidR="001F3B35" w:rsidRPr="00E050AF" w:rsidRDefault="001F3B35" w:rsidP="00A20643">
            <w:pPr>
              <w:pStyle w:val="TableText"/>
              <w:keepNext/>
              <w:keepLines/>
              <w:spacing w:line="256" w:lineRule="auto"/>
              <w:rPr>
                <w:lang w:eastAsia="zh-CN"/>
              </w:rPr>
            </w:pPr>
            <w:r w:rsidRPr="00E050AF">
              <w:rPr>
                <w:lang w:eastAsia="zh-CN"/>
              </w:rPr>
              <w:t>PAOLA-1</w:t>
            </w:r>
          </w:p>
          <w:p w14:paraId="591ACD75" w14:textId="6743CB01" w:rsidR="001F3B35" w:rsidRPr="00E050AF" w:rsidRDefault="001F3B35" w:rsidP="00A20643">
            <w:pPr>
              <w:pStyle w:val="TableText"/>
              <w:keepNext/>
              <w:keepLines/>
              <w:spacing w:line="256" w:lineRule="auto"/>
            </w:pPr>
            <w:r w:rsidRPr="00E050AF">
              <w:rPr>
                <w:lang w:eastAsia="zh-CN"/>
              </w:rPr>
              <w:t>NCT02477644</w:t>
            </w:r>
          </w:p>
        </w:tc>
        <w:tc>
          <w:tcPr>
            <w:tcW w:w="6102" w:type="dxa"/>
            <w:tcBorders>
              <w:top w:val="nil"/>
              <w:left w:val="single" w:sz="4" w:space="0" w:color="auto"/>
              <w:bottom w:val="single" w:sz="4" w:space="0" w:color="auto"/>
              <w:right w:val="single" w:sz="4" w:space="0" w:color="auto"/>
            </w:tcBorders>
            <w:vAlign w:val="center"/>
            <w:hideMark/>
          </w:tcPr>
          <w:p w14:paraId="7448F903" w14:textId="46870066" w:rsidR="001F3B35" w:rsidRPr="00E050AF" w:rsidRDefault="001F3B35" w:rsidP="006E3CB0">
            <w:pPr>
              <w:pStyle w:val="TableText"/>
              <w:keepNext/>
              <w:keepLines/>
              <w:spacing w:line="256" w:lineRule="auto"/>
              <w:jc w:val="both"/>
            </w:pPr>
            <w:r w:rsidRPr="00E050AF">
              <w:rPr>
                <w:lang w:eastAsia="zh-CN"/>
              </w:rPr>
              <w:t>Harter P, Mouret-Reynier MA, Pignata S, Cropet C, Gonzalez-Martin A, Bogner G, et al. Efficacy of maintenance olaparib plus bevacizumab according to clinical risk in patients with newly diagnosed, advanced ovarian cancer in the phase III PAOLA-1/ENGOT-ov25 trial.</w:t>
            </w:r>
          </w:p>
        </w:tc>
        <w:tc>
          <w:tcPr>
            <w:tcW w:w="1791" w:type="dxa"/>
            <w:tcBorders>
              <w:top w:val="nil"/>
              <w:left w:val="single" w:sz="4" w:space="0" w:color="auto"/>
              <w:bottom w:val="single" w:sz="4" w:space="0" w:color="auto"/>
              <w:right w:val="single" w:sz="4" w:space="0" w:color="auto"/>
            </w:tcBorders>
            <w:vAlign w:val="center"/>
            <w:hideMark/>
          </w:tcPr>
          <w:p w14:paraId="2E85DD6E" w14:textId="7CF8FA1B" w:rsidR="001F3B35" w:rsidRPr="00E050AF" w:rsidRDefault="001F3B35" w:rsidP="00A20643">
            <w:pPr>
              <w:pStyle w:val="TableText"/>
              <w:keepNext/>
              <w:keepLines/>
              <w:spacing w:line="256" w:lineRule="auto"/>
              <w:jc w:val="center"/>
            </w:pPr>
            <w:r w:rsidRPr="00E050AF">
              <w:rPr>
                <w:lang w:eastAsia="zh-CN"/>
              </w:rPr>
              <w:t>Gynecologic Oncology. 2022;164(2):254-64.</w:t>
            </w:r>
          </w:p>
        </w:tc>
      </w:tr>
      <w:tr w:rsidR="001F3B35" w:rsidRPr="00E050AF" w14:paraId="622F2F69" w14:textId="77777777" w:rsidTr="005C53D3">
        <w:tc>
          <w:tcPr>
            <w:tcW w:w="0" w:type="auto"/>
            <w:vMerge/>
            <w:tcBorders>
              <w:left w:val="single" w:sz="4" w:space="0" w:color="auto"/>
              <w:right w:val="single" w:sz="4" w:space="0" w:color="auto"/>
            </w:tcBorders>
          </w:tcPr>
          <w:p w14:paraId="3FE7BF55" w14:textId="19D00159" w:rsidR="001F3B35" w:rsidRPr="00E050AF" w:rsidRDefault="001F3B35" w:rsidP="00A20643">
            <w:pPr>
              <w:pStyle w:val="TableText"/>
              <w:keepNext/>
              <w:keepLines/>
              <w:spacing w:line="256" w:lineRule="auto"/>
            </w:pPr>
          </w:p>
        </w:tc>
        <w:tc>
          <w:tcPr>
            <w:tcW w:w="6102" w:type="dxa"/>
            <w:tcBorders>
              <w:top w:val="single" w:sz="4" w:space="0" w:color="auto"/>
              <w:left w:val="single" w:sz="4" w:space="0" w:color="auto"/>
              <w:bottom w:val="single" w:sz="4" w:space="0" w:color="auto"/>
              <w:right w:val="single" w:sz="4" w:space="0" w:color="auto"/>
            </w:tcBorders>
            <w:vAlign w:val="center"/>
            <w:hideMark/>
          </w:tcPr>
          <w:p w14:paraId="38A3E9E9" w14:textId="44271389" w:rsidR="001F3B35" w:rsidRPr="00E050AF" w:rsidRDefault="001F3B35" w:rsidP="006E3CB0">
            <w:pPr>
              <w:pStyle w:val="TableText"/>
              <w:keepNext/>
              <w:keepLines/>
              <w:spacing w:line="256" w:lineRule="auto"/>
              <w:jc w:val="both"/>
            </w:pPr>
            <w:r w:rsidRPr="00E050AF">
              <w:rPr>
                <w:lang w:eastAsia="zh-CN"/>
              </w:rPr>
              <w:t>Ray-Coquard I, Pautier P, Pignata S, Perol D, Gonzalez-Martin A, Berger R, et al. Olaparib plus Bevacizumab as First-Line Maintenance in Ovarian Cancer.</w:t>
            </w:r>
          </w:p>
        </w:tc>
        <w:tc>
          <w:tcPr>
            <w:tcW w:w="1791" w:type="dxa"/>
            <w:tcBorders>
              <w:top w:val="single" w:sz="4" w:space="0" w:color="auto"/>
              <w:left w:val="single" w:sz="4" w:space="0" w:color="auto"/>
              <w:bottom w:val="single" w:sz="4" w:space="0" w:color="auto"/>
              <w:right w:val="single" w:sz="4" w:space="0" w:color="auto"/>
            </w:tcBorders>
            <w:vAlign w:val="center"/>
            <w:hideMark/>
          </w:tcPr>
          <w:p w14:paraId="035154CF" w14:textId="450D7D22" w:rsidR="001F3B35" w:rsidRPr="00E050AF" w:rsidRDefault="001F3B35" w:rsidP="00A20643">
            <w:pPr>
              <w:pStyle w:val="TableText"/>
              <w:keepNext/>
              <w:keepLines/>
              <w:spacing w:line="256" w:lineRule="auto"/>
              <w:jc w:val="center"/>
            </w:pPr>
            <w:r w:rsidRPr="00E050AF">
              <w:rPr>
                <w:lang w:eastAsia="zh-CN"/>
              </w:rPr>
              <w:t>New England Journal of Medicine. 019;381(25):2416-28.</w:t>
            </w:r>
          </w:p>
        </w:tc>
      </w:tr>
      <w:tr w:rsidR="001F3B35" w:rsidRPr="00E050AF" w14:paraId="040C18FB" w14:textId="77777777" w:rsidTr="005C53D3">
        <w:tc>
          <w:tcPr>
            <w:tcW w:w="0" w:type="auto"/>
            <w:vMerge/>
            <w:tcBorders>
              <w:left w:val="single" w:sz="4" w:space="0" w:color="auto"/>
              <w:right w:val="single" w:sz="4" w:space="0" w:color="auto"/>
            </w:tcBorders>
          </w:tcPr>
          <w:p w14:paraId="473AC16A" w14:textId="1ABEC789" w:rsidR="001F3B35" w:rsidRPr="00E050AF" w:rsidRDefault="001F3B35" w:rsidP="00A20643">
            <w:pPr>
              <w:pStyle w:val="TableText"/>
              <w:keepNext/>
              <w:keepLines/>
              <w:spacing w:line="256" w:lineRule="auto"/>
            </w:pPr>
          </w:p>
        </w:tc>
        <w:tc>
          <w:tcPr>
            <w:tcW w:w="6102" w:type="dxa"/>
            <w:tcBorders>
              <w:top w:val="single" w:sz="4" w:space="0" w:color="auto"/>
              <w:left w:val="single" w:sz="4" w:space="0" w:color="auto"/>
              <w:bottom w:val="single" w:sz="4" w:space="0" w:color="auto"/>
              <w:right w:val="single" w:sz="4" w:space="0" w:color="auto"/>
            </w:tcBorders>
            <w:vAlign w:val="center"/>
          </w:tcPr>
          <w:p w14:paraId="6246B230" w14:textId="4669D0FA" w:rsidR="001F3B35" w:rsidRPr="00E050AF" w:rsidRDefault="001F3B35" w:rsidP="006E3CB0">
            <w:pPr>
              <w:pStyle w:val="TableText"/>
              <w:keepNext/>
              <w:keepLines/>
              <w:jc w:val="both"/>
              <w:rPr>
                <w:lang w:eastAsia="zh-CN"/>
              </w:rPr>
            </w:pPr>
            <w:r w:rsidRPr="00E050AF">
              <w:rPr>
                <w:lang w:eastAsia="zh-CN"/>
              </w:rPr>
              <w:t>Randomized, Double-Blind, Phase III Trial of Olaparib vs. Placebo in Patients with Advanced FIGO Stage IIIB – IV High Grade Serous or Endometrioid Ovarian, Fallopian Tube, or Peritoneal Cancer treated with standard First Line Treatment,</w:t>
            </w:r>
          </w:p>
          <w:p w14:paraId="341ACA10" w14:textId="6482ED9F" w:rsidR="001F3B35" w:rsidRPr="00E050AF" w:rsidRDefault="001F3B35" w:rsidP="006E3CB0">
            <w:pPr>
              <w:pStyle w:val="TableText"/>
              <w:keepNext/>
              <w:keepLines/>
              <w:spacing w:line="256" w:lineRule="auto"/>
              <w:jc w:val="both"/>
            </w:pPr>
            <w:r w:rsidRPr="00E050AF">
              <w:rPr>
                <w:lang w:eastAsia="zh-CN"/>
              </w:rPr>
              <w:t>Combining Platinum-Taxane Chemotherapy and Bevacizumab Concurrent with Chemotherapy and in Maintenance (PAOLA-1)</w:t>
            </w:r>
          </w:p>
        </w:tc>
        <w:tc>
          <w:tcPr>
            <w:tcW w:w="1791" w:type="dxa"/>
            <w:tcBorders>
              <w:top w:val="single" w:sz="4" w:space="0" w:color="auto"/>
              <w:left w:val="single" w:sz="4" w:space="0" w:color="auto"/>
              <w:bottom w:val="single" w:sz="4" w:space="0" w:color="auto"/>
              <w:right w:val="single" w:sz="4" w:space="0" w:color="auto"/>
            </w:tcBorders>
            <w:vAlign w:val="center"/>
          </w:tcPr>
          <w:p w14:paraId="17AA870F" w14:textId="359040F8" w:rsidR="001F3B35" w:rsidRPr="00E050AF" w:rsidRDefault="001F3B35" w:rsidP="00A20643">
            <w:pPr>
              <w:pStyle w:val="TableText"/>
              <w:keepNext/>
              <w:keepLines/>
              <w:spacing w:line="256" w:lineRule="auto"/>
              <w:jc w:val="center"/>
              <w:rPr>
                <w:lang w:eastAsia="zh-CN"/>
              </w:rPr>
            </w:pPr>
            <w:r w:rsidRPr="00E050AF">
              <w:rPr>
                <w:lang w:eastAsia="zh-CN"/>
              </w:rPr>
              <w:t>Clinical Study Report 30 October 2019</w:t>
            </w:r>
          </w:p>
        </w:tc>
      </w:tr>
      <w:tr w:rsidR="001F3B35" w:rsidRPr="00E050AF" w14:paraId="7ABCDAA4" w14:textId="77777777" w:rsidTr="005C53D3">
        <w:tc>
          <w:tcPr>
            <w:tcW w:w="0" w:type="auto"/>
            <w:vMerge/>
            <w:tcBorders>
              <w:left w:val="single" w:sz="4" w:space="0" w:color="auto"/>
              <w:bottom w:val="single" w:sz="4" w:space="0" w:color="auto"/>
              <w:right w:val="single" w:sz="4" w:space="0" w:color="auto"/>
            </w:tcBorders>
          </w:tcPr>
          <w:p w14:paraId="5F270716" w14:textId="77777777" w:rsidR="001F3B35" w:rsidRPr="00E050AF" w:rsidRDefault="001F3B35" w:rsidP="00A20643">
            <w:pPr>
              <w:pStyle w:val="TableText"/>
              <w:keepNext/>
              <w:keepLines/>
              <w:spacing w:line="256" w:lineRule="auto"/>
            </w:pPr>
          </w:p>
        </w:tc>
        <w:tc>
          <w:tcPr>
            <w:tcW w:w="6102" w:type="dxa"/>
            <w:tcBorders>
              <w:top w:val="single" w:sz="4" w:space="0" w:color="auto"/>
              <w:left w:val="single" w:sz="4" w:space="0" w:color="auto"/>
              <w:bottom w:val="single" w:sz="4" w:space="0" w:color="auto"/>
              <w:right w:val="single" w:sz="4" w:space="0" w:color="auto"/>
            </w:tcBorders>
            <w:vAlign w:val="center"/>
          </w:tcPr>
          <w:p w14:paraId="123ED6DD" w14:textId="5E1CD9FA" w:rsidR="001F3B35" w:rsidRPr="00E050AF" w:rsidRDefault="001F3B35" w:rsidP="006E3CB0">
            <w:pPr>
              <w:pStyle w:val="TableText"/>
              <w:keepNext/>
              <w:keepLines/>
              <w:jc w:val="both"/>
              <w:rPr>
                <w:lang w:eastAsia="zh-CN"/>
              </w:rPr>
            </w:pPr>
            <w:r w:rsidRPr="00E050AF">
              <w:rPr>
                <w:lang w:eastAsia="zh-CN"/>
              </w:rPr>
              <w:t>Randomized, Double-Blind, Phase III Trial of Olaparib vs. Placebo in Patients with Advanced FIGO Stage IIIB – IV High Grade Serous or Endometrioid Ovarian, Fallopian Tube, or Peritoneal Cancer Treated with Standard First Line Treatment,</w:t>
            </w:r>
          </w:p>
          <w:p w14:paraId="7747AFC7" w14:textId="107B4447" w:rsidR="001F3B35" w:rsidRPr="00E050AF" w:rsidRDefault="001F3B35" w:rsidP="006E3CB0">
            <w:pPr>
              <w:pStyle w:val="TableText"/>
              <w:keepNext/>
              <w:keepLines/>
              <w:jc w:val="both"/>
            </w:pPr>
            <w:r w:rsidRPr="00E050AF">
              <w:rPr>
                <w:lang w:eastAsia="zh-CN"/>
              </w:rPr>
              <w:t>Combining Platinum-Taxane Chemotherapy and Bevacizumab Concurrent with Chemotherapy and in Maintenance (PAOLA-1) Final PFS2 Analysis and Safety Update</w:t>
            </w:r>
          </w:p>
        </w:tc>
        <w:tc>
          <w:tcPr>
            <w:tcW w:w="1791" w:type="dxa"/>
            <w:tcBorders>
              <w:top w:val="single" w:sz="4" w:space="0" w:color="auto"/>
              <w:left w:val="single" w:sz="4" w:space="0" w:color="auto"/>
              <w:bottom w:val="single" w:sz="4" w:space="0" w:color="auto"/>
              <w:right w:val="single" w:sz="4" w:space="0" w:color="auto"/>
            </w:tcBorders>
            <w:vAlign w:val="center"/>
          </w:tcPr>
          <w:p w14:paraId="142F6EDD" w14:textId="3E76A34B" w:rsidR="001F3B35" w:rsidRPr="00E050AF" w:rsidRDefault="001F3B35" w:rsidP="00A20643">
            <w:pPr>
              <w:pStyle w:val="TableText"/>
              <w:keepNext/>
              <w:keepLines/>
              <w:spacing w:line="256" w:lineRule="auto"/>
              <w:jc w:val="center"/>
            </w:pPr>
            <w:r w:rsidRPr="00E050AF">
              <w:rPr>
                <w:lang w:eastAsia="zh-CN"/>
              </w:rPr>
              <w:t>Clinical Study Report 27 November 2020</w:t>
            </w:r>
          </w:p>
        </w:tc>
      </w:tr>
    </w:tbl>
    <w:p w14:paraId="3D96CC83" w14:textId="77777777" w:rsidR="00AB43EA" w:rsidRPr="00E050AF" w:rsidRDefault="00AB43EA" w:rsidP="00FC3969">
      <w:pPr>
        <w:pStyle w:val="TableFooter"/>
      </w:pPr>
      <w:r w:rsidRPr="00E050AF">
        <w:t>Source: Table 2.58, p137 of the submission</w:t>
      </w:r>
    </w:p>
    <w:p w14:paraId="5D308572" w14:textId="0E5FF947" w:rsidR="00AB43EA" w:rsidRPr="00E050AF" w:rsidRDefault="00AB43EA" w:rsidP="009D3CDF">
      <w:pPr>
        <w:pStyle w:val="ListParagraph"/>
        <w:numPr>
          <w:ilvl w:val="4"/>
          <w:numId w:val="8"/>
        </w:numPr>
        <w:rPr>
          <w:color w:val="auto"/>
        </w:rPr>
      </w:pPr>
      <w:r w:rsidRPr="00E050AF">
        <w:rPr>
          <w:color w:val="auto"/>
        </w:rPr>
        <w:t>The key features of the direct randomised trial are summarised in the table below.</w:t>
      </w:r>
    </w:p>
    <w:p w14:paraId="297C47AC" w14:textId="55568DA2" w:rsidR="00AB43EA" w:rsidRPr="00E050AF" w:rsidRDefault="00A354B6" w:rsidP="00A354B6">
      <w:pPr>
        <w:pStyle w:val="TableBodyHeading-H54"/>
        <w:rPr>
          <w:lang w:val="en-AU"/>
        </w:rPr>
      </w:pPr>
      <w:r w:rsidRPr="00E050AF">
        <w:rPr>
          <w:rStyle w:val="CommentReference"/>
          <w:b/>
          <w:szCs w:val="20"/>
          <w:lang w:val="en-AU"/>
        </w:rPr>
        <w:t xml:space="preserve">Table </w:t>
      </w:r>
      <w:r w:rsidRPr="00E050AF">
        <w:rPr>
          <w:rStyle w:val="CommentReference"/>
          <w:b/>
          <w:szCs w:val="20"/>
          <w:lang w:val="en-AU"/>
        </w:rPr>
        <w:fldChar w:fldCharType="begin"/>
      </w:r>
      <w:r w:rsidRPr="00E050AF">
        <w:rPr>
          <w:rStyle w:val="CommentReference"/>
          <w:b/>
          <w:szCs w:val="20"/>
          <w:lang w:val="en-AU"/>
        </w:rPr>
        <w:instrText xml:space="preserve"> SEQ Table \* ARABIC </w:instrText>
      </w:r>
      <w:r w:rsidRPr="00E050AF">
        <w:rPr>
          <w:rStyle w:val="CommentReference"/>
          <w:b/>
          <w:szCs w:val="20"/>
          <w:lang w:val="en-AU"/>
        </w:rPr>
        <w:fldChar w:fldCharType="separate"/>
      </w:r>
      <w:r w:rsidR="00E050AF" w:rsidRPr="00E050AF">
        <w:rPr>
          <w:rStyle w:val="CommentReference"/>
          <w:b/>
          <w:szCs w:val="20"/>
          <w:lang w:val="en-AU"/>
        </w:rPr>
        <w:t>5</w:t>
      </w:r>
      <w:r w:rsidRPr="00E050AF">
        <w:rPr>
          <w:rStyle w:val="CommentReference"/>
          <w:b/>
          <w:szCs w:val="20"/>
          <w:lang w:val="en-AU"/>
        </w:rPr>
        <w:fldChar w:fldCharType="end"/>
      </w:r>
      <w:r w:rsidR="00AB43EA" w:rsidRPr="00E050AF">
        <w:rPr>
          <w:lang w:val="en-AU"/>
        </w:rPr>
        <w:tab/>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5 Key features of the included evidence"/>
      </w:tblPr>
      <w:tblGrid>
        <w:gridCol w:w="845"/>
        <w:gridCol w:w="708"/>
        <w:gridCol w:w="1277"/>
        <w:gridCol w:w="3657"/>
        <w:gridCol w:w="1205"/>
        <w:gridCol w:w="1324"/>
      </w:tblGrid>
      <w:tr w:rsidR="00AB43EA" w:rsidRPr="00E050AF" w14:paraId="1B181B39" w14:textId="77777777" w:rsidTr="006E3CB0">
        <w:tc>
          <w:tcPr>
            <w:tcW w:w="469" w:type="pct"/>
            <w:tcBorders>
              <w:top w:val="single" w:sz="4" w:space="0" w:color="auto"/>
              <w:left w:val="single" w:sz="4" w:space="0" w:color="auto"/>
              <w:bottom w:val="single" w:sz="4" w:space="0" w:color="auto"/>
              <w:right w:val="single" w:sz="4" w:space="0" w:color="auto"/>
            </w:tcBorders>
            <w:vAlign w:val="center"/>
            <w:hideMark/>
          </w:tcPr>
          <w:p w14:paraId="1FD6627C" w14:textId="77777777" w:rsidR="00AB43EA" w:rsidRPr="00E050AF" w:rsidRDefault="00AB43EA" w:rsidP="00A213F1">
            <w:pPr>
              <w:pStyle w:val="TableText"/>
              <w:keepNext/>
              <w:keepLines/>
              <w:spacing w:line="256" w:lineRule="auto"/>
              <w:rPr>
                <w:b/>
              </w:rPr>
            </w:pPr>
            <w:r w:rsidRPr="00E050AF">
              <w:rPr>
                <w:b/>
              </w:rPr>
              <w:t>Trial</w:t>
            </w:r>
          </w:p>
        </w:tc>
        <w:tc>
          <w:tcPr>
            <w:tcW w:w="393" w:type="pct"/>
            <w:tcBorders>
              <w:top w:val="single" w:sz="4" w:space="0" w:color="auto"/>
              <w:left w:val="single" w:sz="4" w:space="0" w:color="auto"/>
              <w:bottom w:val="single" w:sz="4" w:space="0" w:color="auto"/>
              <w:right w:val="single" w:sz="4" w:space="0" w:color="auto"/>
            </w:tcBorders>
            <w:vAlign w:val="center"/>
            <w:hideMark/>
          </w:tcPr>
          <w:p w14:paraId="7E8CF015" w14:textId="77777777" w:rsidR="00AB43EA" w:rsidRPr="00E050AF" w:rsidRDefault="00AB43EA" w:rsidP="00A213F1">
            <w:pPr>
              <w:pStyle w:val="TableText"/>
              <w:keepNext/>
              <w:keepLines/>
              <w:spacing w:line="256" w:lineRule="auto"/>
              <w:jc w:val="center"/>
              <w:rPr>
                <w:b/>
              </w:rPr>
            </w:pPr>
            <w:r w:rsidRPr="00E050AF">
              <w:rPr>
                <w:b/>
              </w:rPr>
              <w:t>N</w:t>
            </w:r>
          </w:p>
        </w:tc>
        <w:tc>
          <w:tcPr>
            <w:tcW w:w="708" w:type="pct"/>
            <w:tcBorders>
              <w:top w:val="single" w:sz="4" w:space="0" w:color="auto"/>
              <w:left w:val="single" w:sz="4" w:space="0" w:color="auto"/>
              <w:bottom w:val="single" w:sz="4" w:space="0" w:color="auto"/>
              <w:right w:val="single" w:sz="4" w:space="0" w:color="auto"/>
            </w:tcBorders>
            <w:vAlign w:val="center"/>
            <w:hideMark/>
          </w:tcPr>
          <w:p w14:paraId="7FE348F1" w14:textId="77777777" w:rsidR="00AB43EA" w:rsidRPr="00E050AF" w:rsidRDefault="00AB43EA" w:rsidP="00A213F1">
            <w:pPr>
              <w:pStyle w:val="TableText"/>
              <w:keepNext/>
              <w:keepLines/>
              <w:spacing w:line="256" w:lineRule="auto"/>
              <w:jc w:val="center"/>
              <w:rPr>
                <w:b/>
              </w:rPr>
            </w:pPr>
            <w:r w:rsidRPr="00E050AF">
              <w:rPr>
                <w:b/>
              </w:rPr>
              <w:t>Design/ duration</w:t>
            </w:r>
          </w:p>
        </w:tc>
        <w:tc>
          <w:tcPr>
            <w:tcW w:w="2028" w:type="pct"/>
            <w:tcBorders>
              <w:top w:val="single" w:sz="4" w:space="0" w:color="auto"/>
              <w:left w:val="single" w:sz="4" w:space="0" w:color="auto"/>
              <w:bottom w:val="single" w:sz="4" w:space="0" w:color="auto"/>
              <w:right w:val="single" w:sz="4" w:space="0" w:color="auto"/>
            </w:tcBorders>
            <w:vAlign w:val="center"/>
            <w:hideMark/>
          </w:tcPr>
          <w:p w14:paraId="4D72345F" w14:textId="77777777" w:rsidR="00AB43EA" w:rsidRPr="00E050AF" w:rsidRDefault="00AB43EA" w:rsidP="00A213F1">
            <w:pPr>
              <w:pStyle w:val="TableText"/>
              <w:keepNext/>
              <w:keepLines/>
              <w:spacing w:line="256" w:lineRule="auto"/>
              <w:jc w:val="center"/>
              <w:rPr>
                <w:b/>
              </w:rPr>
            </w:pPr>
            <w:r w:rsidRPr="00E050AF">
              <w:rPr>
                <w:b/>
              </w:rPr>
              <w:t>Patient population</w:t>
            </w:r>
          </w:p>
        </w:tc>
        <w:tc>
          <w:tcPr>
            <w:tcW w:w="668" w:type="pct"/>
            <w:tcBorders>
              <w:top w:val="single" w:sz="4" w:space="0" w:color="auto"/>
              <w:left w:val="single" w:sz="4" w:space="0" w:color="auto"/>
              <w:bottom w:val="single" w:sz="4" w:space="0" w:color="auto"/>
              <w:right w:val="single" w:sz="4" w:space="0" w:color="auto"/>
            </w:tcBorders>
            <w:vAlign w:val="center"/>
            <w:hideMark/>
          </w:tcPr>
          <w:p w14:paraId="314FECDD" w14:textId="77777777" w:rsidR="00AB43EA" w:rsidRPr="00E050AF" w:rsidRDefault="00AB43EA" w:rsidP="00A213F1">
            <w:pPr>
              <w:pStyle w:val="TableText"/>
              <w:keepNext/>
              <w:keepLines/>
              <w:spacing w:line="256" w:lineRule="auto"/>
              <w:jc w:val="center"/>
              <w:rPr>
                <w:b/>
              </w:rPr>
            </w:pPr>
            <w:r w:rsidRPr="00E050AF">
              <w:rPr>
                <w:b/>
              </w:rPr>
              <w:t>Outcomes</w:t>
            </w:r>
          </w:p>
        </w:tc>
        <w:tc>
          <w:tcPr>
            <w:tcW w:w="735" w:type="pct"/>
            <w:tcBorders>
              <w:top w:val="single" w:sz="4" w:space="0" w:color="auto"/>
              <w:left w:val="single" w:sz="4" w:space="0" w:color="auto"/>
              <w:bottom w:val="single" w:sz="4" w:space="0" w:color="auto"/>
              <w:right w:val="single" w:sz="4" w:space="0" w:color="auto"/>
            </w:tcBorders>
            <w:vAlign w:val="center"/>
            <w:hideMark/>
          </w:tcPr>
          <w:p w14:paraId="623EB7A5" w14:textId="77777777" w:rsidR="00AB43EA" w:rsidRPr="00E050AF" w:rsidRDefault="00AB43EA" w:rsidP="00A213F1">
            <w:pPr>
              <w:pStyle w:val="TableText"/>
              <w:keepNext/>
              <w:keepLines/>
              <w:spacing w:line="256" w:lineRule="auto"/>
              <w:jc w:val="center"/>
              <w:rPr>
                <w:b/>
              </w:rPr>
            </w:pPr>
            <w:r w:rsidRPr="00E050AF">
              <w:rPr>
                <w:b/>
              </w:rPr>
              <w:t>Use in modelled evaluation</w:t>
            </w:r>
          </w:p>
        </w:tc>
      </w:tr>
      <w:tr w:rsidR="00AB43EA" w:rsidRPr="00E050AF" w14:paraId="60DD88EC" w14:textId="77777777" w:rsidTr="006E3CB0">
        <w:tc>
          <w:tcPr>
            <w:tcW w:w="469" w:type="pct"/>
            <w:tcBorders>
              <w:top w:val="single" w:sz="4" w:space="0" w:color="auto"/>
              <w:left w:val="single" w:sz="4" w:space="0" w:color="auto"/>
              <w:bottom w:val="single" w:sz="4" w:space="0" w:color="auto"/>
              <w:right w:val="single" w:sz="4" w:space="0" w:color="auto"/>
            </w:tcBorders>
            <w:vAlign w:val="center"/>
            <w:hideMark/>
          </w:tcPr>
          <w:p w14:paraId="5B85C72A" w14:textId="77777777" w:rsidR="00AB43EA" w:rsidRPr="00E050AF" w:rsidRDefault="00AB43EA" w:rsidP="00A213F1">
            <w:pPr>
              <w:pStyle w:val="TableText"/>
              <w:keepNext/>
              <w:keepLines/>
              <w:spacing w:line="256" w:lineRule="auto"/>
            </w:pPr>
            <w:r w:rsidRPr="00E050AF">
              <w:t>PAOLA-1</w:t>
            </w:r>
          </w:p>
        </w:tc>
        <w:tc>
          <w:tcPr>
            <w:tcW w:w="393" w:type="pct"/>
            <w:tcBorders>
              <w:top w:val="single" w:sz="4" w:space="0" w:color="auto"/>
              <w:left w:val="single" w:sz="4" w:space="0" w:color="auto"/>
              <w:bottom w:val="single" w:sz="4" w:space="0" w:color="auto"/>
              <w:right w:val="single" w:sz="4" w:space="0" w:color="auto"/>
            </w:tcBorders>
            <w:vAlign w:val="center"/>
            <w:hideMark/>
          </w:tcPr>
          <w:p w14:paraId="36367F3C" w14:textId="77777777" w:rsidR="00AB43EA" w:rsidRPr="00E050AF" w:rsidRDefault="00AB43EA" w:rsidP="00A213F1">
            <w:pPr>
              <w:pStyle w:val="TableText"/>
              <w:keepNext/>
              <w:keepLines/>
              <w:spacing w:line="256" w:lineRule="auto"/>
              <w:jc w:val="center"/>
            </w:pPr>
            <w:r w:rsidRPr="00E050AF">
              <w:t>806</w:t>
            </w:r>
          </w:p>
        </w:tc>
        <w:tc>
          <w:tcPr>
            <w:tcW w:w="708" w:type="pct"/>
            <w:tcBorders>
              <w:top w:val="single" w:sz="4" w:space="0" w:color="auto"/>
              <w:left w:val="single" w:sz="4" w:space="0" w:color="auto"/>
              <w:bottom w:val="single" w:sz="4" w:space="0" w:color="auto"/>
              <w:right w:val="single" w:sz="4" w:space="0" w:color="auto"/>
            </w:tcBorders>
            <w:vAlign w:val="center"/>
            <w:hideMark/>
          </w:tcPr>
          <w:p w14:paraId="63BBE6A1" w14:textId="77777777" w:rsidR="00AB43EA" w:rsidRPr="00E050AF" w:rsidRDefault="00AB43EA" w:rsidP="00A213F1">
            <w:pPr>
              <w:pStyle w:val="TableText"/>
              <w:keepNext/>
              <w:keepLines/>
              <w:spacing w:line="256" w:lineRule="auto"/>
              <w:jc w:val="center"/>
            </w:pPr>
            <w:r w:rsidRPr="00E050AF">
              <w:t>R, DB, MC</w:t>
            </w:r>
          </w:p>
          <w:p w14:paraId="3A8B936B" w14:textId="77777777" w:rsidR="00AB43EA" w:rsidRPr="00E050AF" w:rsidRDefault="00AB43EA" w:rsidP="00A213F1">
            <w:pPr>
              <w:pStyle w:val="TableText"/>
              <w:keepNext/>
              <w:keepLines/>
              <w:spacing w:line="256" w:lineRule="auto"/>
              <w:jc w:val="center"/>
              <w:rPr>
                <w:highlight w:val="yellow"/>
              </w:rPr>
            </w:pPr>
            <w:r w:rsidRPr="00E050AF">
              <w:t>Maximum duration of study treatment: 2 years</w:t>
            </w:r>
          </w:p>
        </w:tc>
        <w:tc>
          <w:tcPr>
            <w:tcW w:w="2028" w:type="pct"/>
            <w:tcBorders>
              <w:top w:val="single" w:sz="4" w:space="0" w:color="auto"/>
              <w:left w:val="single" w:sz="4" w:space="0" w:color="auto"/>
              <w:bottom w:val="single" w:sz="4" w:space="0" w:color="auto"/>
              <w:right w:val="single" w:sz="4" w:space="0" w:color="auto"/>
            </w:tcBorders>
            <w:vAlign w:val="center"/>
            <w:hideMark/>
          </w:tcPr>
          <w:p w14:paraId="17A33D0D" w14:textId="77777777" w:rsidR="00AB43EA" w:rsidRPr="00E050AF" w:rsidRDefault="00AB43EA" w:rsidP="00A213F1">
            <w:pPr>
              <w:pStyle w:val="TableText"/>
              <w:keepNext/>
              <w:keepLines/>
              <w:spacing w:line="256" w:lineRule="auto"/>
              <w:jc w:val="center"/>
            </w:pPr>
            <w:r w:rsidRPr="00E050AF">
              <w:t>Patients with newly diagnosed advanced (FIGO stage IIIB-IV) high-grade serous or endometrioid ovarian, fallopian tube or peritoneal cancer who were in response following first-line treatment with platinum-taxane chemotherapy plus bevacizumab and for whom bevacizumab maintenance was planned.</w:t>
            </w:r>
          </w:p>
        </w:tc>
        <w:tc>
          <w:tcPr>
            <w:tcW w:w="668" w:type="pct"/>
            <w:tcBorders>
              <w:top w:val="single" w:sz="4" w:space="0" w:color="auto"/>
              <w:left w:val="single" w:sz="4" w:space="0" w:color="auto"/>
              <w:bottom w:val="single" w:sz="4" w:space="0" w:color="auto"/>
              <w:right w:val="single" w:sz="4" w:space="0" w:color="auto"/>
            </w:tcBorders>
            <w:vAlign w:val="center"/>
            <w:hideMark/>
          </w:tcPr>
          <w:p w14:paraId="48F9B5D5" w14:textId="6A868107" w:rsidR="00213D83" w:rsidRPr="00E050AF" w:rsidRDefault="00C64E3A" w:rsidP="00A213F1">
            <w:pPr>
              <w:pStyle w:val="TableText"/>
              <w:keepNext/>
              <w:keepLines/>
              <w:spacing w:line="256" w:lineRule="auto"/>
              <w:jc w:val="center"/>
            </w:pPr>
            <w:r w:rsidRPr="00E050AF">
              <w:t>Primary</w:t>
            </w:r>
            <w:r w:rsidR="00213D83" w:rsidRPr="00E050AF">
              <w:t xml:space="preserve">: </w:t>
            </w:r>
            <w:r w:rsidR="00AB43EA" w:rsidRPr="00E050AF">
              <w:t>PFS</w:t>
            </w:r>
          </w:p>
          <w:p w14:paraId="515B031C" w14:textId="77777777" w:rsidR="00213D83" w:rsidRPr="00E050AF" w:rsidRDefault="00213D83" w:rsidP="00A213F1">
            <w:pPr>
              <w:pStyle w:val="TableText"/>
              <w:keepNext/>
              <w:keepLines/>
              <w:spacing w:line="256" w:lineRule="auto"/>
              <w:jc w:val="center"/>
            </w:pPr>
          </w:p>
          <w:p w14:paraId="6C69D2A5" w14:textId="10D7FC60" w:rsidR="00AB43EA" w:rsidRPr="00E050AF" w:rsidRDefault="00AB43EA" w:rsidP="00A213F1">
            <w:pPr>
              <w:pStyle w:val="TableText"/>
              <w:keepNext/>
              <w:keepLines/>
              <w:spacing w:line="256" w:lineRule="auto"/>
              <w:jc w:val="center"/>
            </w:pPr>
            <w:r w:rsidRPr="00E050AF">
              <w:t xml:space="preserve"> </w:t>
            </w:r>
            <w:r w:rsidR="00213D83" w:rsidRPr="00E050AF">
              <w:t xml:space="preserve">Secondary: </w:t>
            </w:r>
            <w:r w:rsidRPr="00E050AF">
              <w:t>PFS2, OS, safety, HRQoL</w:t>
            </w:r>
          </w:p>
        </w:tc>
        <w:tc>
          <w:tcPr>
            <w:tcW w:w="735" w:type="pct"/>
            <w:tcBorders>
              <w:top w:val="single" w:sz="4" w:space="0" w:color="auto"/>
              <w:left w:val="single" w:sz="4" w:space="0" w:color="auto"/>
              <w:bottom w:val="single" w:sz="4" w:space="0" w:color="auto"/>
              <w:right w:val="single" w:sz="4" w:space="0" w:color="auto"/>
            </w:tcBorders>
            <w:vAlign w:val="center"/>
            <w:hideMark/>
          </w:tcPr>
          <w:p w14:paraId="32C2E340" w14:textId="77777777" w:rsidR="00AB43EA" w:rsidRPr="00E050AF" w:rsidRDefault="00AB43EA" w:rsidP="00A213F1">
            <w:pPr>
              <w:pStyle w:val="TableText"/>
              <w:keepNext/>
              <w:keepLines/>
              <w:spacing w:line="256" w:lineRule="auto"/>
              <w:jc w:val="center"/>
            </w:pPr>
            <w:r w:rsidRPr="00E050AF">
              <w:t>PFS</w:t>
            </w:r>
          </w:p>
          <w:p w14:paraId="7994E9E2" w14:textId="77777777" w:rsidR="00AB43EA" w:rsidRPr="00E050AF" w:rsidRDefault="00AB43EA" w:rsidP="00A213F1">
            <w:pPr>
              <w:pStyle w:val="TableText"/>
              <w:keepNext/>
              <w:keepLines/>
              <w:spacing w:line="256" w:lineRule="auto"/>
              <w:jc w:val="center"/>
            </w:pPr>
            <w:r w:rsidRPr="00E050AF">
              <w:t>HRQoL (PFS health state only)</w:t>
            </w:r>
          </w:p>
        </w:tc>
      </w:tr>
    </w:tbl>
    <w:p w14:paraId="2DDAAF76" w14:textId="475E08F4" w:rsidR="00AB43EA" w:rsidRPr="00E050AF" w:rsidRDefault="00AB43EA" w:rsidP="00A213F1">
      <w:pPr>
        <w:pStyle w:val="TableFooter"/>
        <w:keepNext/>
        <w:keepLines/>
      </w:pPr>
      <w:r w:rsidRPr="00E050AF">
        <w:t xml:space="preserve">DB = double blind; </w:t>
      </w:r>
      <w:r w:rsidRPr="00E050AF">
        <w:rPr>
          <w:lang w:eastAsia="zh-CN"/>
        </w:rPr>
        <w:t xml:space="preserve">FIGO = International Federation of </w:t>
      </w:r>
      <w:r w:rsidR="00C64E3A" w:rsidRPr="00E050AF">
        <w:rPr>
          <w:lang w:eastAsia="zh-CN"/>
        </w:rPr>
        <w:t>Gynaecology</w:t>
      </w:r>
      <w:r w:rsidRPr="00E050AF">
        <w:rPr>
          <w:lang w:eastAsia="zh-CN"/>
        </w:rPr>
        <w:t xml:space="preserve"> and Obstetrics; ; HRQoL = health-related quality of life; </w:t>
      </w:r>
      <w:r w:rsidRPr="00E050AF">
        <w:t>MC = multi-centre; OS = overall survival; PFS = progression-free survival; PFS2 = time to second progression</w:t>
      </w:r>
      <w:r w:rsidR="00621150" w:rsidRPr="00E050AF">
        <w:t xml:space="preserve"> or death</w:t>
      </w:r>
      <w:r w:rsidRPr="00E050AF">
        <w:t xml:space="preserve">; R = randomised. </w:t>
      </w:r>
    </w:p>
    <w:p w14:paraId="398A00A8" w14:textId="77777777" w:rsidR="00AB43EA" w:rsidRPr="00E050AF" w:rsidRDefault="00AB43EA" w:rsidP="00FC3969">
      <w:pPr>
        <w:pStyle w:val="TableFooter"/>
      </w:pPr>
      <w:r w:rsidRPr="00E050AF">
        <w:t>Source: Constructed during evaluation using Figure 2C.3.1, p117 of the submission.</w:t>
      </w:r>
    </w:p>
    <w:p w14:paraId="7E480F1C" w14:textId="6305F36F" w:rsidR="00AB43EA" w:rsidRPr="00E050AF" w:rsidRDefault="00AB43EA" w:rsidP="00AB43EA">
      <w:pPr>
        <w:pStyle w:val="PBACESHeading2"/>
        <w:numPr>
          <w:ilvl w:val="0"/>
          <w:numId w:val="0"/>
        </w:numPr>
      </w:pPr>
      <w:bookmarkStart w:id="50" w:name="_Toc100693624"/>
      <w:bookmarkStart w:id="51" w:name="_Toc103581576"/>
      <w:bookmarkStart w:id="52" w:name="_Toc103775863"/>
      <w:bookmarkStart w:id="53" w:name="_Hlk103686287"/>
      <w:r w:rsidRPr="00E050AF">
        <w:t>Comparative effectiveness</w:t>
      </w:r>
      <w:bookmarkEnd w:id="50"/>
      <w:bookmarkEnd w:id="51"/>
      <w:bookmarkEnd w:id="52"/>
    </w:p>
    <w:p w14:paraId="1B4F9CD0" w14:textId="7EF58AC9" w:rsidR="00490E20" w:rsidRPr="00E050AF" w:rsidRDefault="00A7005E" w:rsidP="009D3CDF">
      <w:pPr>
        <w:pStyle w:val="ListParagraph"/>
        <w:numPr>
          <w:ilvl w:val="4"/>
          <w:numId w:val="8"/>
        </w:numPr>
        <w:rPr>
          <w:iCs/>
        </w:rPr>
      </w:pPr>
      <w:bookmarkStart w:id="54" w:name="_Ref101313126"/>
      <w:bookmarkEnd w:id="53"/>
      <w:r w:rsidRPr="00E050AF">
        <w:t xml:space="preserve">The sixth protocol amendment of PAOLA-1 </w:t>
      </w:r>
      <w:r w:rsidR="00CE441F" w:rsidRPr="00E050AF">
        <w:t>dated</w:t>
      </w:r>
      <w:r w:rsidRPr="00E050AF">
        <w:t xml:space="preserve"> 03 October 2018 (more than three years after the trial was initiated and after the last patient has been recruited) was made to expand the ‘pre-planned’ subgroup analysis of efficacy to include HRD status, which was determined post randomisation. </w:t>
      </w:r>
      <w:r w:rsidR="006E3CB0" w:rsidRPr="00E050AF">
        <w:t>T</w:t>
      </w:r>
      <w:r w:rsidRPr="00E050AF">
        <w:t>he CSR note</w:t>
      </w:r>
      <w:r w:rsidR="004F57D5" w:rsidRPr="00E050AF">
        <w:t>d</w:t>
      </w:r>
      <w:r w:rsidRPr="00E050AF">
        <w:t xml:space="preserve"> that the subgroup analyses of PFS were just exploratory outcomes and no statistical adjustments were made to account for the inclusion of subgroups</w:t>
      </w:r>
      <w:r w:rsidR="004F57D5" w:rsidRPr="00E050AF">
        <w:t>.</w:t>
      </w:r>
      <w:r w:rsidRPr="00E050AF">
        <w:t xml:space="preserve"> </w:t>
      </w:r>
      <w:r w:rsidR="00723EE5" w:rsidRPr="00E050AF">
        <w:t xml:space="preserve">Including the stratification factors, </w:t>
      </w:r>
      <w:r w:rsidRPr="00E050AF">
        <w:t xml:space="preserve">28 subgroups were considered, with 10 subgroups relating to </w:t>
      </w:r>
      <w:r w:rsidR="00CF529A" w:rsidRPr="00E050AF">
        <w:rPr>
          <w:i/>
          <w:iCs/>
        </w:rPr>
        <w:t>BRCA</w:t>
      </w:r>
      <w:r w:rsidRPr="00E050AF">
        <w:t xml:space="preserve"> and HRD status based on the Myriad myChoice </w:t>
      </w:r>
      <w:r w:rsidR="00EF7FC7" w:rsidRPr="00E050AF">
        <w:t xml:space="preserve">HRD plus </w:t>
      </w:r>
      <w:r w:rsidRPr="00E050AF">
        <w:t>testing</w:t>
      </w:r>
      <w:r w:rsidR="00DE268E" w:rsidRPr="00E050AF">
        <w:t>.</w:t>
      </w:r>
      <w:r w:rsidR="00723EE5" w:rsidRPr="00E050AF">
        <w:t xml:space="preserve"> A</w:t>
      </w:r>
      <w:r w:rsidRPr="00E050AF">
        <w:t xml:space="preserve"> finding of significance from such an approach may not be methodologically appropriate and the results from HRD subgroups likely carried a high risk of bias.</w:t>
      </w:r>
      <w:r w:rsidR="00E00109" w:rsidRPr="00E050AF">
        <w:t xml:space="preserve"> All subgroup results from PAOLA-1 should </w:t>
      </w:r>
      <w:r w:rsidR="00E00109" w:rsidRPr="00E050AF">
        <w:lastRenderedPageBreak/>
        <w:t>be interpreted with caution.</w:t>
      </w:r>
      <w:bookmarkEnd w:id="54"/>
      <w:r w:rsidR="00E00109" w:rsidRPr="00E050AF">
        <w:rPr>
          <w:iCs/>
        </w:rPr>
        <w:t xml:space="preserve"> </w:t>
      </w:r>
      <w:r w:rsidR="00DA6F00" w:rsidRPr="00E050AF">
        <w:rPr>
          <w:iCs/>
        </w:rPr>
        <w:t>The ESC</w:t>
      </w:r>
      <w:r w:rsidR="004A1A2E" w:rsidRPr="00E050AF">
        <w:rPr>
          <w:iCs/>
        </w:rPr>
        <w:t>s</w:t>
      </w:r>
      <w:r w:rsidR="00DA6F00" w:rsidRPr="00E050AF">
        <w:rPr>
          <w:iCs/>
        </w:rPr>
        <w:t xml:space="preserve"> considered </w:t>
      </w:r>
      <w:r w:rsidR="00817290" w:rsidRPr="00E050AF">
        <w:rPr>
          <w:iCs/>
        </w:rPr>
        <w:t xml:space="preserve">it reasonable to accept there was a clinical benefit associated with addition of olaparib in HRD+ </w:t>
      </w:r>
      <w:r w:rsidR="00CF529A" w:rsidRPr="00E050AF">
        <w:rPr>
          <w:i/>
        </w:rPr>
        <w:t>BRCA</w:t>
      </w:r>
      <w:r w:rsidR="00817290" w:rsidRPr="00E050AF">
        <w:rPr>
          <w:iCs/>
        </w:rPr>
        <w:t xml:space="preserve">wt patients based on PAOLA-1, however </w:t>
      </w:r>
      <w:r w:rsidR="00DA6F00" w:rsidRPr="00E050AF">
        <w:rPr>
          <w:iCs/>
        </w:rPr>
        <w:t xml:space="preserve">the </w:t>
      </w:r>
      <w:r w:rsidR="00817290" w:rsidRPr="00E050AF">
        <w:rPr>
          <w:iCs/>
        </w:rPr>
        <w:t xml:space="preserve">magnitude of benefit for the proposed PBS population remained uncertain due to reliance on </w:t>
      </w:r>
      <w:r w:rsidR="00DA6F00" w:rsidRPr="00E050AF">
        <w:rPr>
          <w:iCs/>
        </w:rPr>
        <w:t>exploratory subgroup analyses</w:t>
      </w:r>
      <w:r w:rsidR="00817290" w:rsidRPr="00E050AF">
        <w:rPr>
          <w:iCs/>
        </w:rPr>
        <w:t>.</w:t>
      </w:r>
    </w:p>
    <w:p w14:paraId="2D789C76" w14:textId="720AF7B1" w:rsidR="00AB43EA" w:rsidRPr="00E050AF" w:rsidRDefault="00BF69E2" w:rsidP="009D3CDF">
      <w:pPr>
        <w:pStyle w:val="ListParagraph"/>
        <w:numPr>
          <w:ilvl w:val="4"/>
          <w:numId w:val="8"/>
        </w:numPr>
      </w:pPr>
      <w:r w:rsidRPr="00E050AF">
        <w:t>R</w:t>
      </w:r>
      <w:r w:rsidR="004772C2" w:rsidRPr="00E050AF">
        <w:t xml:space="preserve">esults </w:t>
      </w:r>
      <w:r w:rsidRPr="00E050AF">
        <w:t xml:space="preserve">from two data cuts </w:t>
      </w:r>
      <w:r w:rsidR="004772C2" w:rsidRPr="00E050AF">
        <w:t>were presented</w:t>
      </w:r>
      <w:r w:rsidR="00213B65" w:rsidRPr="00E050AF">
        <w:t>:</w:t>
      </w:r>
      <w:r w:rsidR="004772C2" w:rsidRPr="00E050AF">
        <w:t xml:space="preserve"> one set of results from </w:t>
      </w:r>
      <w:r w:rsidR="005E785B" w:rsidRPr="00E050AF">
        <w:t xml:space="preserve">data cut-off 1 (DCO1) with a median follow up </w:t>
      </w:r>
      <w:r w:rsidR="00456603" w:rsidRPr="00E050AF">
        <w:t xml:space="preserve">for PFS </w:t>
      </w:r>
      <w:r w:rsidR="003B27F3" w:rsidRPr="00E050AF">
        <w:t>of 22.7 in the olaparib</w:t>
      </w:r>
      <w:r w:rsidR="00EF365F" w:rsidRPr="00E050AF">
        <w:t xml:space="preserve"> plus </w:t>
      </w:r>
      <w:r w:rsidR="003B27F3" w:rsidRPr="00E050AF">
        <w:t>bevacizumab a</w:t>
      </w:r>
      <w:r w:rsidR="00213B65" w:rsidRPr="00E050AF">
        <w:t>rm</w:t>
      </w:r>
      <w:r w:rsidR="003B27F3" w:rsidRPr="00E050AF">
        <w:t xml:space="preserve"> </w:t>
      </w:r>
      <w:r w:rsidR="00213B65" w:rsidRPr="00E050AF">
        <w:t xml:space="preserve">and 24.0 months in the </w:t>
      </w:r>
      <w:r w:rsidR="003B27F3" w:rsidRPr="00E050AF">
        <w:t>placebo</w:t>
      </w:r>
      <w:r w:rsidR="00EF365F" w:rsidRPr="00E050AF">
        <w:t xml:space="preserve"> plus </w:t>
      </w:r>
      <w:r w:rsidR="003B27F3" w:rsidRPr="00E050AF">
        <w:t xml:space="preserve">bevacizumab arm, and one set of results from data cut-off 2 (DCO2) </w:t>
      </w:r>
      <w:r w:rsidR="00636063" w:rsidRPr="00E050AF">
        <w:t xml:space="preserve">with a median </w:t>
      </w:r>
      <w:r w:rsidR="00456603" w:rsidRPr="00E050AF">
        <w:t xml:space="preserve">follow up for PFS of </w:t>
      </w:r>
      <w:r w:rsidR="00B93080" w:rsidRPr="00E050AF">
        <w:t xml:space="preserve">35.5 </w:t>
      </w:r>
      <w:r w:rsidR="00213B65" w:rsidRPr="00E050AF">
        <w:t xml:space="preserve">(OS of 38.5) in the olaparib plus bevacizumab arm </w:t>
      </w:r>
      <w:r w:rsidR="00B93080" w:rsidRPr="00E050AF">
        <w:t xml:space="preserve">and 36.5 months </w:t>
      </w:r>
      <w:r w:rsidR="00EF365F" w:rsidRPr="00E050AF">
        <w:t>(</w:t>
      </w:r>
      <w:r w:rsidR="00213B65" w:rsidRPr="00E050AF">
        <w:t>OS of</w:t>
      </w:r>
      <w:r w:rsidR="005B50DF" w:rsidRPr="00E050AF">
        <w:t xml:space="preserve"> 38.2 months</w:t>
      </w:r>
      <w:r w:rsidR="00EF365F" w:rsidRPr="00E050AF">
        <w:t>)</w:t>
      </w:r>
      <w:r w:rsidR="005B50DF" w:rsidRPr="00E050AF">
        <w:t xml:space="preserve"> </w:t>
      </w:r>
      <w:r w:rsidR="00213B65" w:rsidRPr="00E050AF">
        <w:t xml:space="preserve">in the placebo </w:t>
      </w:r>
      <w:r w:rsidR="00EF365F" w:rsidRPr="00E050AF">
        <w:t xml:space="preserve">plus </w:t>
      </w:r>
      <w:r w:rsidR="005B50DF" w:rsidRPr="00E050AF">
        <w:t xml:space="preserve">bevacizumab arms. </w:t>
      </w:r>
      <w:r w:rsidR="00AB43EA" w:rsidRPr="00E050AF">
        <w:t>A summary of the trial results for PFS, conditional on biomarker status is provided in the table below.</w:t>
      </w:r>
    </w:p>
    <w:p w14:paraId="071714F1" w14:textId="3B8D0B65" w:rsidR="00AB43EA" w:rsidRPr="00E050AF" w:rsidRDefault="00A354B6" w:rsidP="00A354B6">
      <w:pPr>
        <w:pStyle w:val="TableBodyHeading-H54"/>
        <w:keepLines/>
        <w:rPr>
          <w:lang w:val="en-AU"/>
        </w:rPr>
      </w:pPr>
      <w:bookmarkStart w:id="55" w:name="_Ref110426075"/>
      <w:bookmarkStart w:id="56" w:name="_Toc487029168"/>
      <w:bookmarkStart w:id="57" w:name="_Toc433202796"/>
      <w:r w:rsidRPr="00E050AF">
        <w:rPr>
          <w:rStyle w:val="CommentReference"/>
          <w:b/>
          <w:szCs w:val="20"/>
          <w:lang w:val="en-AU"/>
        </w:rPr>
        <w:lastRenderedPageBreak/>
        <w:t xml:space="preserve">Table </w:t>
      </w:r>
      <w:r w:rsidRPr="00E050AF">
        <w:rPr>
          <w:rStyle w:val="CommentReference"/>
          <w:b/>
          <w:szCs w:val="20"/>
          <w:lang w:val="en-AU"/>
        </w:rPr>
        <w:fldChar w:fldCharType="begin"/>
      </w:r>
      <w:r w:rsidRPr="00E050AF">
        <w:rPr>
          <w:rStyle w:val="CommentReference"/>
          <w:b/>
          <w:szCs w:val="20"/>
          <w:lang w:val="en-AU"/>
        </w:rPr>
        <w:instrText xml:space="preserve"> SEQ Table \* ARABIC </w:instrText>
      </w:r>
      <w:r w:rsidRPr="00E050AF">
        <w:rPr>
          <w:rStyle w:val="CommentReference"/>
          <w:b/>
          <w:szCs w:val="20"/>
          <w:lang w:val="en-AU"/>
        </w:rPr>
        <w:fldChar w:fldCharType="separate"/>
      </w:r>
      <w:r w:rsidR="00E050AF" w:rsidRPr="00E050AF">
        <w:rPr>
          <w:rStyle w:val="CommentReference"/>
          <w:b/>
          <w:szCs w:val="20"/>
          <w:lang w:val="en-AU"/>
        </w:rPr>
        <w:t>6</w:t>
      </w:r>
      <w:r w:rsidRPr="00E050AF">
        <w:rPr>
          <w:rStyle w:val="CommentReference"/>
          <w:b/>
          <w:szCs w:val="20"/>
          <w:lang w:val="en-AU"/>
        </w:rPr>
        <w:fldChar w:fldCharType="end"/>
      </w:r>
      <w:bookmarkEnd w:id="55"/>
      <w:r w:rsidR="00AB43EA" w:rsidRPr="00E050AF">
        <w:rPr>
          <w:lang w:val="en-AU"/>
        </w:rPr>
        <w:tab/>
        <w:t>PFS results for retrospectively HRD-stratified population treated with either olaparib plus bevacizumab or placebo plus bevacizumab</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PFS results for retrospectively HRD-stratified population treated with either olaparib plus bevacizumab or placebo plus bevacizumab"/>
      </w:tblPr>
      <w:tblGrid>
        <w:gridCol w:w="2093"/>
        <w:gridCol w:w="2268"/>
        <w:gridCol w:w="2268"/>
        <w:gridCol w:w="2387"/>
      </w:tblGrid>
      <w:tr w:rsidR="00AB43EA" w:rsidRPr="00E050AF" w14:paraId="1DA4F3DC" w14:textId="77777777" w:rsidTr="007A7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shd w:val="clear" w:color="auto" w:fill="auto"/>
          </w:tcPr>
          <w:p w14:paraId="1B8B0C43" w14:textId="77777777" w:rsidR="00AB43EA" w:rsidRPr="00E050AF" w:rsidRDefault="00AB43EA" w:rsidP="00A354B6">
            <w:pPr>
              <w:pStyle w:val="TableBodyText-H54"/>
              <w:keepLines/>
              <w:spacing w:before="0" w:after="0" w:line="240" w:lineRule="auto"/>
              <w:jc w:val="center"/>
              <w:rPr>
                <w:b w:val="0"/>
                <w:bCs/>
                <w:lang w:val="en-AU" w:eastAsia="zh-CN"/>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0622E59" w14:textId="77777777" w:rsidR="00AB43EA" w:rsidRPr="00E050AF" w:rsidRDefault="00AB43EA" w:rsidP="00A354B6">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Ola + beva</w:t>
            </w:r>
          </w:p>
          <w:p w14:paraId="1198D52A" w14:textId="77777777" w:rsidR="00AB43EA" w:rsidRPr="00E050AF" w:rsidRDefault="00AB43EA" w:rsidP="00A354B6">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N=537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F367504" w14:textId="77777777" w:rsidR="00AB43EA" w:rsidRPr="00E050AF" w:rsidRDefault="00AB43EA" w:rsidP="00A354B6">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Pbo + beva</w:t>
            </w:r>
          </w:p>
          <w:p w14:paraId="5733DC3D" w14:textId="77777777" w:rsidR="00AB43EA" w:rsidRPr="00E050AF" w:rsidRDefault="00AB43EA" w:rsidP="00A354B6">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N=269</w:t>
            </w:r>
          </w:p>
        </w:tc>
        <w:tc>
          <w:tcPr>
            <w:tcW w:w="2387" w:type="dxa"/>
            <w:tcBorders>
              <w:top w:val="single" w:sz="4" w:space="0" w:color="auto"/>
              <w:left w:val="single" w:sz="4" w:space="0" w:color="auto"/>
              <w:bottom w:val="single" w:sz="4" w:space="0" w:color="auto"/>
              <w:right w:val="single" w:sz="4" w:space="0" w:color="auto"/>
            </w:tcBorders>
            <w:shd w:val="clear" w:color="auto" w:fill="auto"/>
            <w:hideMark/>
          </w:tcPr>
          <w:p w14:paraId="7B94FC6E" w14:textId="77777777" w:rsidR="00AB43EA" w:rsidRPr="00E050AF" w:rsidRDefault="00AB43EA" w:rsidP="00A354B6">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HR for disease progression or death (95% CI)</w:t>
            </w:r>
          </w:p>
        </w:tc>
      </w:tr>
      <w:tr w:rsidR="00AB43EA" w:rsidRPr="00E050AF" w14:paraId="203ADF7C"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5C2C07FA" w14:textId="7877B065"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D</w:t>
            </w:r>
            <w:r w:rsidR="002A0B40" w:rsidRPr="00E050AF">
              <w:rPr>
                <w:b/>
                <w:bCs/>
                <w:lang w:val="en-AU" w:eastAsia="zh-CN"/>
              </w:rPr>
              <w:t xml:space="preserve">ata </w:t>
            </w:r>
            <w:r w:rsidR="00E3361B" w:rsidRPr="00E050AF">
              <w:rPr>
                <w:b/>
                <w:bCs/>
                <w:lang w:val="en-AU" w:eastAsia="zh-CN"/>
              </w:rPr>
              <w:t>c</w:t>
            </w:r>
            <w:r w:rsidR="002A0B40" w:rsidRPr="00E050AF">
              <w:rPr>
                <w:b/>
                <w:bCs/>
                <w:lang w:val="en-AU" w:eastAsia="zh-CN"/>
              </w:rPr>
              <w:t xml:space="preserve">ut-off </w:t>
            </w:r>
            <w:r w:rsidRPr="00E050AF">
              <w:rPr>
                <w:b/>
                <w:bCs/>
                <w:lang w:val="en-AU" w:eastAsia="zh-CN"/>
              </w:rPr>
              <w:t>1</w:t>
            </w:r>
          </w:p>
        </w:tc>
      </w:tr>
      <w:tr w:rsidR="00AE1606" w:rsidRPr="00E050AF" w14:paraId="325C0C51" w14:textId="77777777" w:rsidTr="00B47F4D">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7F491949" w14:textId="77777777" w:rsidR="00AE1606" w:rsidRPr="00E050AF" w:rsidRDefault="00AE1606" w:rsidP="00A354B6">
            <w:pPr>
              <w:pStyle w:val="TableBodyText-H54"/>
              <w:keepLines/>
              <w:spacing w:before="0" w:after="0" w:line="240" w:lineRule="auto"/>
              <w:rPr>
                <w:b/>
                <w:bCs/>
                <w:lang w:val="en-AU" w:eastAsia="zh-CN"/>
              </w:rPr>
            </w:pPr>
            <w:r w:rsidRPr="00E050AF">
              <w:rPr>
                <w:b/>
                <w:bCs/>
                <w:lang w:val="en-AU" w:eastAsia="zh-CN"/>
              </w:rPr>
              <w:t>FAS</w:t>
            </w:r>
          </w:p>
        </w:tc>
      </w:tr>
      <w:tr w:rsidR="00AE1606" w:rsidRPr="00E050AF" w14:paraId="5746F469" w14:textId="77777777" w:rsidTr="00B47F4D">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10515094" w14:textId="77777777" w:rsidR="00AE1606" w:rsidRPr="00E050AF" w:rsidRDefault="00AE1606"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1A8CE661" w14:textId="77777777" w:rsidR="00AE1606" w:rsidRPr="00E050AF" w:rsidRDefault="00AE1606"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22.1 months</w:t>
            </w:r>
          </w:p>
        </w:tc>
        <w:tc>
          <w:tcPr>
            <w:tcW w:w="2268" w:type="dxa"/>
            <w:tcBorders>
              <w:top w:val="single" w:sz="4" w:space="0" w:color="auto"/>
              <w:left w:val="single" w:sz="4" w:space="0" w:color="auto"/>
              <w:bottom w:val="single" w:sz="4" w:space="0" w:color="auto"/>
              <w:right w:val="single" w:sz="4" w:space="0" w:color="auto"/>
            </w:tcBorders>
            <w:hideMark/>
          </w:tcPr>
          <w:p w14:paraId="2A6EDBF3" w14:textId="77777777" w:rsidR="00AE1606" w:rsidRPr="00E050AF" w:rsidRDefault="00AE1606"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16.6 months</w:t>
            </w:r>
          </w:p>
        </w:tc>
        <w:tc>
          <w:tcPr>
            <w:tcW w:w="2387" w:type="dxa"/>
            <w:tcBorders>
              <w:top w:val="single" w:sz="4" w:space="0" w:color="auto"/>
              <w:left w:val="single" w:sz="4" w:space="0" w:color="auto"/>
              <w:bottom w:val="single" w:sz="4" w:space="0" w:color="auto"/>
              <w:right w:val="single" w:sz="4" w:space="0" w:color="auto"/>
            </w:tcBorders>
            <w:hideMark/>
          </w:tcPr>
          <w:p w14:paraId="79F8C267" w14:textId="77777777" w:rsidR="00AE1606" w:rsidRPr="00E050AF" w:rsidRDefault="00AE1606"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0.59 (0.49, 0.72)</w:t>
            </w:r>
          </w:p>
        </w:tc>
      </w:tr>
      <w:tr w:rsidR="00AE1606" w:rsidRPr="00E050AF" w14:paraId="26CB7B1A" w14:textId="77777777" w:rsidTr="00B47F4D">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581B37E2" w14:textId="77777777" w:rsidR="00AE1606" w:rsidRPr="00E050AF" w:rsidRDefault="00AE1606"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273BCDD7" w14:textId="77777777" w:rsidR="00AE1606" w:rsidRPr="00E050AF" w:rsidRDefault="00AE1606"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280/537 (52.1)</w:t>
            </w:r>
          </w:p>
        </w:tc>
        <w:tc>
          <w:tcPr>
            <w:tcW w:w="2268" w:type="dxa"/>
            <w:tcBorders>
              <w:top w:val="single" w:sz="4" w:space="0" w:color="auto"/>
              <w:left w:val="single" w:sz="4" w:space="0" w:color="auto"/>
              <w:bottom w:val="single" w:sz="4" w:space="0" w:color="auto"/>
              <w:right w:val="single" w:sz="4" w:space="0" w:color="auto"/>
            </w:tcBorders>
            <w:hideMark/>
          </w:tcPr>
          <w:p w14:paraId="3C548ACC" w14:textId="77777777" w:rsidR="00AE1606" w:rsidRPr="00E050AF" w:rsidRDefault="00AE1606"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194/269 (72.1)</w:t>
            </w:r>
          </w:p>
        </w:tc>
        <w:tc>
          <w:tcPr>
            <w:tcW w:w="2387" w:type="dxa"/>
            <w:tcBorders>
              <w:top w:val="single" w:sz="4" w:space="0" w:color="auto"/>
              <w:left w:val="single" w:sz="4" w:space="0" w:color="auto"/>
              <w:bottom w:val="single" w:sz="4" w:space="0" w:color="auto"/>
              <w:right w:val="single" w:sz="4" w:space="0" w:color="auto"/>
            </w:tcBorders>
          </w:tcPr>
          <w:p w14:paraId="125D77D9" w14:textId="77777777" w:rsidR="00AE1606" w:rsidRPr="00E050AF" w:rsidRDefault="00AE1606"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4054E1FD"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0D9C4D79" w14:textId="1209946B"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 xml:space="preserve">HRD positive </w:t>
            </w:r>
            <w:r w:rsidR="00CF529A" w:rsidRPr="00E050AF">
              <w:rPr>
                <w:b/>
                <w:bCs/>
                <w:i/>
                <w:iCs/>
                <w:lang w:val="en-AU" w:eastAsia="zh-CN"/>
              </w:rPr>
              <w:t>BRCA</w:t>
            </w:r>
            <w:r w:rsidRPr="00E050AF">
              <w:rPr>
                <w:b/>
                <w:bCs/>
                <w:lang w:val="en-AU" w:eastAsia="zh-CN"/>
              </w:rPr>
              <w:t>wt (subgroup of interest)</w:t>
            </w:r>
          </w:p>
        </w:tc>
      </w:tr>
      <w:tr w:rsidR="00AB43EA" w:rsidRPr="00E050AF" w14:paraId="022CCC5A"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136E883F"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126D8A7E"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28.1 months</w:t>
            </w:r>
          </w:p>
        </w:tc>
        <w:tc>
          <w:tcPr>
            <w:tcW w:w="2268" w:type="dxa"/>
            <w:tcBorders>
              <w:top w:val="single" w:sz="4" w:space="0" w:color="auto"/>
              <w:left w:val="single" w:sz="4" w:space="0" w:color="auto"/>
              <w:bottom w:val="single" w:sz="4" w:space="0" w:color="auto"/>
              <w:right w:val="single" w:sz="4" w:space="0" w:color="auto"/>
            </w:tcBorders>
            <w:hideMark/>
          </w:tcPr>
          <w:p w14:paraId="0F66C0B2"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16.6 months</w:t>
            </w:r>
          </w:p>
        </w:tc>
        <w:tc>
          <w:tcPr>
            <w:tcW w:w="2387" w:type="dxa"/>
            <w:tcBorders>
              <w:top w:val="single" w:sz="4" w:space="0" w:color="auto"/>
              <w:left w:val="single" w:sz="4" w:space="0" w:color="auto"/>
              <w:bottom w:val="single" w:sz="4" w:space="0" w:color="auto"/>
              <w:right w:val="single" w:sz="4" w:space="0" w:color="auto"/>
            </w:tcBorders>
            <w:hideMark/>
          </w:tcPr>
          <w:p w14:paraId="73FB13A0" w14:textId="3FA50B50"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0.43 (0.28,</w:t>
            </w:r>
            <w:r w:rsidR="00EA02A7" w:rsidRPr="00E050AF">
              <w:rPr>
                <w:b/>
                <w:bCs/>
                <w:lang w:val="en-AU" w:eastAsia="zh-CN"/>
              </w:rPr>
              <w:t xml:space="preserve"> </w:t>
            </w:r>
            <w:r w:rsidRPr="00E050AF">
              <w:rPr>
                <w:b/>
                <w:bCs/>
                <w:lang w:val="en-AU" w:eastAsia="zh-CN"/>
              </w:rPr>
              <w:t>0.66)</w:t>
            </w:r>
          </w:p>
        </w:tc>
      </w:tr>
      <w:tr w:rsidR="00AB43EA" w:rsidRPr="00E050AF" w14:paraId="58E904A8"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0BA8497A"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52178A50"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43/97 (44.3)</w:t>
            </w:r>
          </w:p>
        </w:tc>
        <w:tc>
          <w:tcPr>
            <w:tcW w:w="2268" w:type="dxa"/>
            <w:tcBorders>
              <w:top w:val="single" w:sz="4" w:space="0" w:color="auto"/>
              <w:left w:val="single" w:sz="4" w:space="0" w:color="auto"/>
              <w:bottom w:val="single" w:sz="4" w:space="0" w:color="auto"/>
              <w:right w:val="single" w:sz="4" w:space="0" w:color="auto"/>
            </w:tcBorders>
            <w:hideMark/>
          </w:tcPr>
          <w:p w14:paraId="6C220A59"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40/55 (72.7)</w:t>
            </w:r>
          </w:p>
        </w:tc>
        <w:tc>
          <w:tcPr>
            <w:tcW w:w="2387" w:type="dxa"/>
            <w:tcBorders>
              <w:top w:val="single" w:sz="4" w:space="0" w:color="auto"/>
              <w:left w:val="single" w:sz="4" w:space="0" w:color="auto"/>
              <w:bottom w:val="single" w:sz="4" w:space="0" w:color="auto"/>
              <w:right w:val="single" w:sz="4" w:space="0" w:color="auto"/>
            </w:tcBorders>
          </w:tcPr>
          <w:p w14:paraId="70F3ED71"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5839A8BB"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582D2D8F" w14:textId="77777777"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HRD positive tumours</w:t>
            </w:r>
            <w:r w:rsidRPr="00E050AF">
              <w:rPr>
                <w:vertAlign w:val="superscript"/>
                <w:lang w:val="en-AU" w:eastAsia="zh-CN"/>
              </w:rPr>
              <w:t>a</w:t>
            </w:r>
          </w:p>
        </w:tc>
      </w:tr>
      <w:tr w:rsidR="00AB43EA" w:rsidRPr="00E050AF" w14:paraId="6A6DDC2B"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370AE959"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38A6C5E3"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37.2 months</w:t>
            </w:r>
          </w:p>
        </w:tc>
        <w:tc>
          <w:tcPr>
            <w:tcW w:w="2268" w:type="dxa"/>
            <w:tcBorders>
              <w:top w:val="single" w:sz="4" w:space="0" w:color="auto"/>
              <w:left w:val="single" w:sz="4" w:space="0" w:color="auto"/>
              <w:bottom w:val="single" w:sz="4" w:space="0" w:color="auto"/>
              <w:right w:val="single" w:sz="4" w:space="0" w:color="auto"/>
            </w:tcBorders>
            <w:hideMark/>
          </w:tcPr>
          <w:p w14:paraId="71026509"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17.7 months</w:t>
            </w:r>
          </w:p>
        </w:tc>
        <w:tc>
          <w:tcPr>
            <w:tcW w:w="2387" w:type="dxa"/>
            <w:tcBorders>
              <w:top w:val="single" w:sz="4" w:space="0" w:color="auto"/>
              <w:left w:val="single" w:sz="4" w:space="0" w:color="auto"/>
              <w:bottom w:val="single" w:sz="4" w:space="0" w:color="auto"/>
              <w:right w:val="single" w:sz="4" w:space="0" w:color="auto"/>
            </w:tcBorders>
            <w:hideMark/>
          </w:tcPr>
          <w:p w14:paraId="03EB06BB" w14:textId="39AFC784"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0.33 (0.25,</w:t>
            </w:r>
            <w:r w:rsidR="00EA02A7" w:rsidRPr="00E050AF">
              <w:rPr>
                <w:b/>
                <w:bCs/>
                <w:lang w:val="en-AU" w:eastAsia="zh-CN"/>
              </w:rPr>
              <w:t xml:space="preserve"> </w:t>
            </w:r>
            <w:r w:rsidRPr="00E050AF">
              <w:rPr>
                <w:b/>
                <w:bCs/>
                <w:lang w:val="en-AU" w:eastAsia="zh-CN"/>
              </w:rPr>
              <w:t>0.45)</w:t>
            </w:r>
          </w:p>
        </w:tc>
      </w:tr>
      <w:tr w:rsidR="00AB43EA" w:rsidRPr="00E050AF" w14:paraId="217F1953"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13A44C38"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210CB7B8"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87/255 (34.1)</w:t>
            </w:r>
          </w:p>
        </w:tc>
        <w:tc>
          <w:tcPr>
            <w:tcW w:w="2268" w:type="dxa"/>
            <w:tcBorders>
              <w:top w:val="single" w:sz="4" w:space="0" w:color="auto"/>
              <w:left w:val="single" w:sz="4" w:space="0" w:color="auto"/>
              <w:bottom w:val="single" w:sz="4" w:space="0" w:color="auto"/>
              <w:right w:val="single" w:sz="4" w:space="0" w:color="auto"/>
            </w:tcBorders>
            <w:hideMark/>
          </w:tcPr>
          <w:p w14:paraId="7FF0CA3B"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92/132 (69.7)</w:t>
            </w:r>
          </w:p>
        </w:tc>
        <w:tc>
          <w:tcPr>
            <w:tcW w:w="2387" w:type="dxa"/>
            <w:tcBorders>
              <w:top w:val="single" w:sz="4" w:space="0" w:color="auto"/>
              <w:left w:val="single" w:sz="4" w:space="0" w:color="auto"/>
              <w:bottom w:val="single" w:sz="4" w:space="0" w:color="auto"/>
              <w:right w:val="single" w:sz="4" w:space="0" w:color="auto"/>
            </w:tcBorders>
          </w:tcPr>
          <w:p w14:paraId="538B4912"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77F4A771"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23FB3A34" w14:textId="77777777"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HRD negative tumours</w:t>
            </w:r>
          </w:p>
        </w:tc>
      </w:tr>
      <w:tr w:rsidR="00AB43EA" w:rsidRPr="00E050AF" w14:paraId="12962D83" w14:textId="77777777" w:rsidTr="00AB43EA">
        <w:trPr>
          <w:trHeight w:val="7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7FC88FFC"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4C48B327"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16.6 months</w:t>
            </w:r>
          </w:p>
        </w:tc>
        <w:tc>
          <w:tcPr>
            <w:tcW w:w="2268" w:type="dxa"/>
            <w:tcBorders>
              <w:top w:val="single" w:sz="4" w:space="0" w:color="auto"/>
              <w:left w:val="single" w:sz="4" w:space="0" w:color="auto"/>
              <w:bottom w:val="single" w:sz="4" w:space="0" w:color="auto"/>
              <w:right w:val="single" w:sz="4" w:space="0" w:color="auto"/>
            </w:tcBorders>
            <w:hideMark/>
          </w:tcPr>
          <w:p w14:paraId="1C0DBBB5"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16.2 months</w:t>
            </w:r>
          </w:p>
        </w:tc>
        <w:tc>
          <w:tcPr>
            <w:tcW w:w="2387" w:type="dxa"/>
            <w:tcBorders>
              <w:top w:val="single" w:sz="4" w:space="0" w:color="auto"/>
              <w:left w:val="single" w:sz="4" w:space="0" w:color="auto"/>
              <w:bottom w:val="single" w:sz="4" w:space="0" w:color="auto"/>
              <w:right w:val="single" w:sz="4" w:space="0" w:color="auto"/>
            </w:tcBorders>
            <w:hideMark/>
          </w:tcPr>
          <w:p w14:paraId="55E6CEBE" w14:textId="2785E96C"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1.00 (0.75,</w:t>
            </w:r>
            <w:r w:rsidR="00EA02A7" w:rsidRPr="00E050AF">
              <w:rPr>
                <w:lang w:val="en-AU" w:eastAsia="zh-CN"/>
              </w:rPr>
              <w:t xml:space="preserve"> </w:t>
            </w:r>
            <w:r w:rsidRPr="00E050AF">
              <w:rPr>
                <w:lang w:val="en-AU" w:eastAsia="zh-CN"/>
              </w:rPr>
              <w:t>1.35)</w:t>
            </w:r>
          </w:p>
        </w:tc>
      </w:tr>
      <w:tr w:rsidR="00AB43EA" w:rsidRPr="00E050AF" w14:paraId="445C49CD"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265CAFF1"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4CD6709D"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145/192 (75.5)</w:t>
            </w:r>
          </w:p>
        </w:tc>
        <w:tc>
          <w:tcPr>
            <w:tcW w:w="2268" w:type="dxa"/>
            <w:tcBorders>
              <w:top w:val="single" w:sz="4" w:space="0" w:color="auto"/>
              <w:left w:val="single" w:sz="4" w:space="0" w:color="auto"/>
              <w:bottom w:val="single" w:sz="4" w:space="0" w:color="auto"/>
              <w:right w:val="single" w:sz="4" w:space="0" w:color="auto"/>
            </w:tcBorders>
            <w:hideMark/>
          </w:tcPr>
          <w:p w14:paraId="59AB1C7D"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66/85 (77.6)</w:t>
            </w:r>
          </w:p>
        </w:tc>
        <w:tc>
          <w:tcPr>
            <w:tcW w:w="2387" w:type="dxa"/>
            <w:tcBorders>
              <w:top w:val="single" w:sz="4" w:space="0" w:color="auto"/>
              <w:left w:val="single" w:sz="4" w:space="0" w:color="auto"/>
              <w:bottom w:val="single" w:sz="4" w:space="0" w:color="auto"/>
              <w:right w:val="single" w:sz="4" w:space="0" w:color="auto"/>
            </w:tcBorders>
          </w:tcPr>
          <w:p w14:paraId="1470BF01"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38299BC5"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23881F68" w14:textId="4FCB33FD"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 xml:space="preserve">Tumour </w:t>
            </w:r>
            <w:r w:rsidR="00275200" w:rsidRPr="00E050AF">
              <w:rPr>
                <w:b/>
                <w:bCs/>
                <w:i/>
                <w:lang w:val="en-AU" w:eastAsia="zh-CN"/>
              </w:rPr>
              <w:t>BRCA</w:t>
            </w:r>
            <w:r w:rsidRPr="00E050AF">
              <w:rPr>
                <w:b/>
                <w:bCs/>
                <w:lang w:val="en-AU" w:eastAsia="zh-CN"/>
              </w:rPr>
              <w:t>m</w:t>
            </w:r>
          </w:p>
        </w:tc>
      </w:tr>
      <w:tr w:rsidR="00AB43EA" w:rsidRPr="00E050AF" w14:paraId="005F5FBE"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2F4996E1"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352E0610"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37.2 months</w:t>
            </w:r>
          </w:p>
        </w:tc>
        <w:tc>
          <w:tcPr>
            <w:tcW w:w="2268" w:type="dxa"/>
            <w:tcBorders>
              <w:top w:val="single" w:sz="4" w:space="0" w:color="auto"/>
              <w:left w:val="single" w:sz="4" w:space="0" w:color="auto"/>
              <w:bottom w:val="single" w:sz="4" w:space="0" w:color="auto"/>
              <w:right w:val="single" w:sz="4" w:space="0" w:color="auto"/>
            </w:tcBorders>
            <w:hideMark/>
          </w:tcPr>
          <w:p w14:paraId="41AB62DD"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18.8 months</w:t>
            </w:r>
          </w:p>
        </w:tc>
        <w:tc>
          <w:tcPr>
            <w:tcW w:w="2387" w:type="dxa"/>
            <w:tcBorders>
              <w:top w:val="single" w:sz="4" w:space="0" w:color="auto"/>
              <w:left w:val="single" w:sz="4" w:space="0" w:color="auto"/>
              <w:bottom w:val="single" w:sz="4" w:space="0" w:color="auto"/>
              <w:right w:val="single" w:sz="4" w:space="0" w:color="auto"/>
            </w:tcBorders>
            <w:hideMark/>
          </w:tcPr>
          <w:p w14:paraId="66FC83F6" w14:textId="57589F3D"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0.28 (0.19,</w:t>
            </w:r>
            <w:r w:rsidR="00EA02A7" w:rsidRPr="00E050AF">
              <w:rPr>
                <w:b/>
                <w:bCs/>
                <w:lang w:val="en-AU" w:eastAsia="zh-CN"/>
              </w:rPr>
              <w:t xml:space="preserve"> </w:t>
            </w:r>
            <w:r w:rsidRPr="00E050AF">
              <w:rPr>
                <w:b/>
                <w:bCs/>
                <w:lang w:val="en-AU" w:eastAsia="zh-CN"/>
              </w:rPr>
              <w:t>0.42)</w:t>
            </w:r>
          </w:p>
        </w:tc>
      </w:tr>
      <w:tr w:rsidR="00AB43EA" w:rsidRPr="00E050AF" w14:paraId="3254DB30"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65E8BAA9"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2C4DDFE8"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44/158 (27.8)</w:t>
            </w:r>
          </w:p>
        </w:tc>
        <w:tc>
          <w:tcPr>
            <w:tcW w:w="2268" w:type="dxa"/>
            <w:tcBorders>
              <w:top w:val="single" w:sz="4" w:space="0" w:color="auto"/>
              <w:left w:val="single" w:sz="4" w:space="0" w:color="auto"/>
              <w:bottom w:val="single" w:sz="4" w:space="0" w:color="auto"/>
              <w:right w:val="single" w:sz="4" w:space="0" w:color="auto"/>
            </w:tcBorders>
            <w:hideMark/>
          </w:tcPr>
          <w:p w14:paraId="42938878"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52/77 (67.5)</w:t>
            </w:r>
          </w:p>
        </w:tc>
        <w:tc>
          <w:tcPr>
            <w:tcW w:w="2387" w:type="dxa"/>
            <w:tcBorders>
              <w:top w:val="single" w:sz="4" w:space="0" w:color="auto"/>
              <w:left w:val="single" w:sz="4" w:space="0" w:color="auto"/>
              <w:bottom w:val="single" w:sz="4" w:space="0" w:color="auto"/>
              <w:right w:val="single" w:sz="4" w:space="0" w:color="auto"/>
            </w:tcBorders>
          </w:tcPr>
          <w:p w14:paraId="30E73E7C"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7759899B"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7C69867E" w14:textId="3C402A9F"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 xml:space="preserve">Tumour </w:t>
            </w:r>
            <w:r w:rsidR="00275200" w:rsidRPr="00E050AF">
              <w:rPr>
                <w:b/>
                <w:bCs/>
                <w:i/>
                <w:lang w:val="en-AU" w:eastAsia="zh-CN"/>
              </w:rPr>
              <w:t>BRCA</w:t>
            </w:r>
            <w:r w:rsidRPr="00E050AF">
              <w:rPr>
                <w:b/>
                <w:bCs/>
                <w:lang w:val="en-AU" w:eastAsia="zh-CN"/>
              </w:rPr>
              <w:t>wt</w:t>
            </w:r>
          </w:p>
        </w:tc>
      </w:tr>
      <w:tr w:rsidR="00AB43EA" w:rsidRPr="00E050AF" w14:paraId="7D879F57"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4100E6A3"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5A9CC146"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18.2 months</w:t>
            </w:r>
          </w:p>
        </w:tc>
        <w:tc>
          <w:tcPr>
            <w:tcW w:w="2268" w:type="dxa"/>
            <w:tcBorders>
              <w:top w:val="single" w:sz="4" w:space="0" w:color="auto"/>
              <w:left w:val="single" w:sz="4" w:space="0" w:color="auto"/>
              <w:bottom w:val="single" w:sz="4" w:space="0" w:color="auto"/>
              <w:right w:val="single" w:sz="4" w:space="0" w:color="auto"/>
            </w:tcBorders>
            <w:hideMark/>
          </w:tcPr>
          <w:p w14:paraId="4AAF6DE6"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16.4 months</w:t>
            </w:r>
          </w:p>
        </w:tc>
        <w:tc>
          <w:tcPr>
            <w:tcW w:w="2387" w:type="dxa"/>
            <w:tcBorders>
              <w:top w:val="single" w:sz="4" w:space="0" w:color="auto"/>
              <w:left w:val="single" w:sz="4" w:space="0" w:color="auto"/>
              <w:bottom w:val="single" w:sz="4" w:space="0" w:color="auto"/>
              <w:right w:val="single" w:sz="4" w:space="0" w:color="auto"/>
            </w:tcBorders>
            <w:hideMark/>
          </w:tcPr>
          <w:p w14:paraId="4717F7BB"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0.77 (0.62, 0.96)</w:t>
            </w:r>
          </w:p>
        </w:tc>
      </w:tr>
      <w:tr w:rsidR="00AB43EA" w:rsidRPr="00E050AF" w14:paraId="65CDE7CE"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56F8C7B6"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21127BBE"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223/346 (64.5)</w:t>
            </w:r>
          </w:p>
        </w:tc>
        <w:tc>
          <w:tcPr>
            <w:tcW w:w="2268" w:type="dxa"/>
            <w:tcBorders>
              <w:top w:val="single" w:sz="4" w:space="0" w:color="auto"/>
              <w:left w:val="single" w:sz="4" w:space="0" w:color="auto"/>
              <w:bottom w:val="single" w:sz="4" w:space="0" w:color="auto"/>
              <w:right w:val="single" w:sz="4" w:space="0" w:color="auto"/>
            </w:tcBorders>
            <w:hideMark/>
          </w:tcPr>
          <w:p w14:paraId="5D21EDB5"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130/174 (74.7)</w:t>
            </w:r>
          </w:p>
        </w:tc>
        <w:tc>
          <w:tcPr>
            <w:tcW w:w="2387" w:type="dxa"/>
            <w:tcBorders>
              <w:top w:val="single" w:sz="4" w:space="0" w:color="auto"/>
              <w:left w:val="single" w:sz="4" w:space="0" w:color="auto"/>
              <w:bottom w:val="single" w:sz="4" w:space="0" w:color="auto"/>
              <w:right w:val="single" w:sz="4" w:space="0" w:color="auto"/>
            </w:tcBorders>
          </w:tcPr>
          <w:p w14:paraId="79A90FBE"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42F570DD"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2742A660" w14:textId="77777777"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HRD unknown</w:t>
            </w:r>
          </w:p>
        </w:tc>
      </w:tr>
      <w:tr w:rsidR="00AB43EA" w:rsidRPr="00E050AF" w14:paraId="5A1D99D9"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5CF7ACC5"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24ABDD48"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w:t>
            </w:r>
          </w:p>
        </w:tc>
        <w:tc>
          <w:tcPr>
            <w:tcW w:w="2268" w:type="dxa"/>
            <w:tcBorders>
              <w:top w:val="single" w:sz="4" w:space="0" w:color="auto"/>
              <w:left w:val="single" w:sz="4" w:space="0" w:color="auto"/>
              <w:bottom w:val="single" w:sz="4" w:space="0" w:color="auto"/>
              <w:right w:val="single" w:sz="4" w:space="0" w:color="auto"/>
            </w:tcBorders>
            <w:hideMark/>
          </w:tcPr>
          <w:p w14:paraId="7054D338"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w:t>
            </w:r>
          </w:p>
        </w:tc>
        <w:tc>
          <w:tcPr>
            <w:tcW w:w="2387" w:type="dxa"/>
            <w:tcBorders>
              <w:top w:val="single" w:sz="4" w:space="0" w:color="auto"/>
              <w:left w:val="single" w:sz="4" w:space="0" w:color="auto"/>
              <w:bottom w:val="single" w:sz="4" w:space="0" w:color="auto"/>
              <w:right w:val="single" w:sz="4" w:space="0" w:color="auto"/>
            </w:tcBorders>
            <w:hideMark/>
          </w:tcPr>
          <w:p w14:paraId="0137F0CD"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0.71 (0.46, 1.10)</w:t>
            </w:r>
          </w:p>
        </w:tc>
      </w:tr>
      <w:tr w:rsidR="00AB43EA" w:rsidRPr="00E050AF" w14:paraId="48E5467C"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3CA40E92" w14:textId="77777777" w:rsidR="00AB43EA" w:rsidRPr="00E050AF" w:rsidRDefault="00AB43EA"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7CCFDC30"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NR/90</w:t>
            </w:r>
          </w:p>
        </w:tc>
        <w:tc>
          <w:tcPr>
            <w:tcW w:w="2268" w:type="dxa"/>
            <w:tcBorders>
              <w:top w:val="single" w:sz="4" w:space="0" w:color="auto"/>
              <w:left w:val="single" w:sz="4" w:space="0" w:color="auto"/>
              <w:bottom w:val="single" w:sz="4" w:space="0" w:color="auto"/>
              <w:right w:val="single" w:sz="4" w:space="0" w:color="auto"/>
            </w:tcBorders>
            <w:hideMark/>
          </w:tcPr>
          <w:p w14:paraId="4D3F25E2"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NR/52</w:t>
            </w:r>
          </w:p>
        </w:tc>
        <w:tc>
          <w:tcPr>
            <w:tcW w:w="2387" w:type="dxa"/>
            <w:tcBorders>
              <w:top w:val="single" w:sz="4" w:space="0" w:color="auto"/>
              <w:left w:val="single" w:sz="4" w:space="0" w:color="auto"/>
              <w:bottom w:val="single" w:sz="4" w:space="0" w:color="auto"/>
              <w:right w:val="single" w:sz="4" w:space="0" w:color="auto"/>
            </w:tcBorders>
          </w:tcPr>
          <w:p w14:paraId="0A9D201A" w14:textId="77777777" w:rsidR="00AB43EA" w:rsidRPr="00E050AF" w:rsidRDefault="00AB43EA"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58B15861"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1ECDD000" w14:textId="22B70ABB" w:rsidR="00AB43EA" w:rsidRPr="00E050AF" w:rsidRDefault="00AB43EA" w:rsidP="00A354B6">
            <w:pPr>
              <w:pStyle w:val="TableBodyText-H54"/>
              <w:keepLines/>
              <w:spacing w:before="0" w:after="0" w:line="240" w:lineRule="auto"/>
              <w:rPr>
                <w:b/>
                <w:bCs/>
                <w:lang w:val="en-AU" w:eastAsia="zh-CN"/>
              </w:rPr>
            </w:pPr>
            <w:r w:rsidRPr="00E050AF">
              <w:rPr>
                <w:b/>
                <w:bCs/>
                <w:lang w:val="en-AU" w:eastAsia="zh-CN"/>
              </w:rPr>
              <w:t>D</w:t>
            </w:r>
            <w:r w:rsidR="009A0E77" w:rsidRPr="00E050AF">
              <w:rPr>
                <w:b/>
                <w:bCs/>
                <w:lang w:val="en-AU" w:eastAsia="zh-CN"/>
              </w:rPr>
              <w:t xml:space="preserve">ata </w:t>
            </w:r>
            <w:r w:rsidR="00E3361B" w:rsidRPr="00E050AF">
              <w:rPr>
                <w:b/>
                <w:bCs/>
                <w:lang w:val="en-AU" w:eastAsia="zh-CN"/>
              </w:rPr>
              <w:t>c</w:t>
            </w:r>
            <w:r w:rsidR="009A0E77" w:rsidRPr="00E050AF">
              <w:rPr>
                <w:b/>
                <w:bCs/>
                <w:lang w:val="en-AU" w:eastAsia="zh-CN"/>
              </w:rPr>
              <w:t xml:space="preserve">ut-off </w:t>
            </w:r>
            <w:r w:rsidRPr="00E050AF">
              <w:rPr>
                <w:b/>
                <w:bCs/>
                <w:lang w:val="en-AU" w:eastAsia="zh-CN"/>
              </w:rPr>
              <w:t>2</w:t>
            </w:r>
          </w:p>
        </w:tc>
      </w:tr>
      <w:tr w:rsidR="00BB523C" w:rsidRPr="00E050AF" w14:paraId="40970128" w14:textId="77777777" w:rsidTr="00BB523C">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tcPr>
          <w:p w14:paraId="26986CEA" w14:textId="3014C63B" w:rsidR="00BB523C" w:rsidRPr="00E050AF" w:rsidRDefault="00BB523C" w:rsidP="00A354B6">
            <w:pPr>
              <w:pStyle w:val="TableBodyText-H54"/>
              <w:keepLines/>
              <w:spacing w:before="0" w:after="0" w:line="240" w:lineRule="auto"/>
              <w:rPr>
                <w:b/>
                <w:bCs/>
                <w:lang w:val="en-AU" w:eastAsia="zh-CN"/>
              </w:rPr>
            </w:pPr>
            <w:r w:rsidRPr="00E050AF">
              <w:rPr>
                <w:b/>
                <w:bCs/>
                <w:lang w:val="en-AU" w:eastAsia="zh-CN"/>
              </w:rPr>
              <w:t>All HRD tested population</w:t>
            </w:r>
            <w:r w:rsidR="0015199B" w:rsidRPr="00E050AF">
              <w:rPr>
                <w:b/>
                <w:bCs/>
                <w:vertAlign w:val="superscript"/>
                <w:lang w:val="en-AU" w:eastAsia="zh-CN"/>
              </w:rPr>
              <w:t>b</w:t>
            </w:r>
          </w:p>
        </w:tc>
      </w:tr>
      <w:tr w:rsidR="0006427B" w:rsidRPr="00E050AF" w14:paraId="1A6B29AC"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tcPr>
          <w:p w14:paraId="2D2C6050" w14:textId="0FEB4946" w:rsidR="0006427B" w:rsidRPr="00E050AF" w:rsidRDefault="0006427B" w:rsidP="00A354B6">
            <w:pPr>
              <w:pStyle w:val="TableBodyText-H54"/>
              <w:keepLines/>
              <w:spacing w:before="0" w:after="0" w:line="240" w:lineRule="auto"/>
              <w:rPr>
                <w:lang w:val="en-AU" w:eastAsia="zh-CN"/>
              </w:rPr>
            </w:pPr>
            <w:r w:rsidRPr="00E050AF">
              <w:rPr>
                <w:lang w:val="en-AU" w:eastAsia="zh-CN"/>
              </w:rPr>
              <w:t xml:space="preserve">  Median PFS (95% CI)</w:t>
            </w:r>
          </w:p>
        </w:tc>
        <w:tc>
          <w:tcPr>
            <w:tcW w:w="2268" w:type="dxa"/>
            <w:tcBorders>
              <w:top w:val="single" w:sz="4" w:space="0" w:color="auto"/>
              <w:left w:val="single" w:sz="4" w:space="0" w:color="auto"/>
              <w:bottom w:val="single" w:sz="4" w:space="0" w:color="auto"/>
              <w:right w:val="single" w:sz="4" w:space="0" w:color="auto"/>
            </w:tcBorders>
          </w:tcPr>
          <w:p w14:paraId="1A779AA8" w14:textId="26455F42" w:rsidR="0006427B" w:rsidRPr="00E050AF" w:rsidRDefault="0006427B"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23.1 months (22.0,27.4)</w:t>
            </w:r>
          </w:p>
        </w:tc>
        <w:tc>
          <w:tcPr>
            <w:tcW w:w="2268" w:type="dxa"/>
            <w:tcBorders>
              <w:top w:val="single" w:sz="4" w:space="0" w:color="auto"/>
              <w:left w:val="single" w:sz="4" w:space="0" w:color="auto"/>
              <w:bottom w:val="single" w:sz="4" w:space="0" w:color="auto"/>
              <w:right w:val="single" w:sz="4" w:space="0" w:color="auto"/>
            </w:tcBorders>
          </w:tcPr>
          <w:p w14:paraId="7974DE58" w14:textId="75B5D380" w:rsidR="0006427B" w:rsidRPr="00E050AF" w:rsidRDefault="0006427B"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16.7 months (15.8,18.8)</w:t>
            </w:r>
          </w:p>
        </w:tc>
        <w:tc>
          <w:tcPr>
            <w:tcW w:w="2387" w:type="dxa"/>
            <w:tcBorders>
              <w:top w:val="single" w:sz="4" w:space="0" w:color="auto"/>
              <w:left w:val="single" w:sz="4" w:space="0" w:color="auto"/>
              <w:bottom w:val="single" w:sz="4" w:space="0" w:color="auto"/>
              <w:right w:val="single" w:sz="4" w:space="0" w:color="auto"/>
            </w:tcBorders>
          </w:tcPr>
          <w:p w14:paraId="1382C278" w14:textId="535E3EE4" w:rsidR="0006427B" w:rsidRPr="00E050AF" w:rsidRDefault="0006427B"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0.62 (0.51,0.75)</w:t>
            </w:r>
          </w:p>
        </w:tc>
      </w:tr>
      <w:tr w:rsidR="0006427B" w:rsidRPr="00E050AF" w14:paraId="442849EC"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tcPr>
          <w:p w14:paraId="1C2A682E" w14:textId="5066C8F0" w:rsidR="0006427B" w:rsidRPr="00E050AF" w:rsidRDefault="0006427B"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tcPr>
          <w:p w14:paraId="21EB6522" w14:textId="423E20C8" w:rsidR="0006427B" w:rsidRPr="00E050AF" w:rsidRDefault="0006427B"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276/447 (61.7)</w:t>
            </w:r>
          </w:p>
        </w:tc>
        <w:tc>
          <w:tcPr>
            <w:tcW w:w="2268" w:type="dxa"/>
            <w:tcBorders>
              <w:top w:val="single" w:sz="4" w:space="0" w:color="auto"/>
              <w:left w:val="single" w:sz="4" w:space="0" w:color="auto"/>
              <w:bottom w:val="single" w:sz="4" w:space="0" w:color="auto"/>
              <w:right w:val="single" w:sz="4" w:space="0" w:color="auto"/>
            </w:tcBorders>
          </w:tcPr>
          <w:p w14:paraId="5E939A93" w14:textId="166396C0" w:rsidR="0006427B" w:rsidRPr="00E050AF" w:rsidRDefault="0006427B"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172/217 (79.3)</w:t>
            </w:r>
          </w:p>
        </w:tc>
        <w:tc>
          <w:tcPr>
            <w:tcW w:w="2387" w:type="dxa"/>
            <w:tcBorders>
              <w:top w:val="single" w:sz="4" w:space="0" w:color="auto"/>
              <w:left w:val="single" w:sz="4" w:space="0" w:color="auto"/>
              <w:bottom w:val="single" w:sz="4" w:space="0" w:color="auto"/>
              <w:right w:val="single" w:sz="4" w:space="0" w:color="auto"/>
            </w:tcBorders>
          </w:tcPr>
          <w:p w14:paraId="5F9DCF58" w14:textId="059AFC8D" w:rsidR="0006427B" w:rsidRPr="00E050AF" w:rsidRDefault="0006427B"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r>
      <w:tr w:rsidR="00BB523C" w:rsidRPr="00E050AF" w14:paraId="2C44B4F3" w14:textId="77777777" w:rsidTr="00B47F4D">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tcPr>
          <w:p w14:paraId="1B1FC13B" w14:textId="6D8FEBD0" w:rsidR="00BB523C" w:rsidRPr="00E050AF" w:rsidRDefault="00BB523C" w:rsidP="00A354B6">
            <w:pPr>
              <w:pStyle w:val="TableBodyText-H54"/>
              <w:keepLines/>
              <w:spacing w:before="0" w:after="0" w:line="240" w:lineRule="auto"/>
              <w:rPr>
                <w:b/>
                <w:bCs/>
                <w:lang w:val="en-AU" w:eastAsia="zh-CN"/>
              </w:rPr>
            </w:pPr>
            <w:r w:rsidRPr="00E050AF">
              <w:rPr>
                <w:b/>
                <w:bCs/>
                <w:lang w:val="en-AU" w:eastAsia="zh-CN"/>
              </w:rPr>
              <w:t xml:space="preserve">HRD positive </w:t>
            </w:r>
            <w:r w:rsidR="00CF529A" w:rsidRPr="00E050AF">
              <w:rPr>
                <w:b/>
                <w:bCs/>
                <w:i/>
                <w:iCs/>
                <w:lang w:val="en-AU" w:eastAsia="zh-CN"/>
              </w:rPr>
              <w:t>BRCA</w:t>
            </w:r>
            <w:r w:rsidRPr="00E050AF">
              <w:rPr>
                <w:b/>
                <w:bCs/>
                <w:lang w:val="en-AU" w:eastAsia="zh-CN"/>
              </w:rPr>
              <w:t>wt (subgroup of interest)</w:t>
            </w:r>
          </w:p>
        </w:tc>
      </w:tr>
      <w:tr w:rsidR="00BB523C" w:rsidRPr="00E050AF" w14:paraId="45EFA5BE"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7C14458D" w14:textId="77777777" w:rsidR="00BB523C" w:rsidRPr="00E050AF" w:rsidRDefault="00BB523C"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30BD3340"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30.0 months</w:t>
            </w:r>
          </w:p>
        </w:tc>
        <w:tc>
          <w:tcPr>
            <w:tcW w:w="2268" w:type="dxa"/>
            <w:tcBorders>
              <w:top w:val="single" w:sz="4" w:space="0" w:color="auto"/>
              <w:left w:val="single" w:sz="4" w:space="0" w:color="auto"/>
              <w:bottom w:val="single" w:sz="4" w:space="0" w:color="auto"/>
              <w:right w:val="single" w:sz="4" w:space="0" w:color="auto"/>
            </w:tcBorders>
            <w:hideMark/>
          </w:tcPr>
          <w:p w14:paraId="6563EFFF"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16.6 months</w:t>
            </w:r>
          </w:p>
        </w:tc>
        <w:tc>
          <w:tcPr>
            <w:tcW w:w="2387" w:type="dxa"/>
            <w:tcBorders>
              <w:top w:val="single" w:sz="4" w:space="0" w:color="auto"/>
              <w:left w:val="single" w:sz="4" w:space="0" w:color="auto"/>
              <w:bottom w:val="single" w:sz="4" w:space="0" w:color="auto"/>
              <w:right w:val="single" w:sz="4" w:space="0" w:color="auto"/>
            </w:tcBorders>
            <w:hideMark/>
          </w:tcPr>
          <w:p w14:paraId="45FAE9FF" w14:textId="238A71E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0.44 (0.29, 0.66)</w:t>
            </w:r>
          </w:p>
        </w:tc>
      </w:tr>
      <w:tr w:rsidR="00BB523C" w:rsidRPr="00E050AF" w14:paraId="1495AC9A"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15B63627" w14:textId="77777777" w:rsidR="00BB523C" w:rsidRPr="00E050AF" w:rsidRDefault="00BB523C"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0A483EA1"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51/97 (52.6)</w:t>
            </w:r>
          </w:p>
        </w:tc>
        <w:tc>
          <w:tcPr>
            <w:tcW w:w="2268" w:type="dxa"/>
            <w:tcBorders>
              <w:top w:val="single" w:sz="4" w:space="0" w:color="auto"/>
              <w:left w:val="single" w:sz="4" w:space="0" w:color="auto"/>
              <w:bottom w:val="single" w:sz="4" w:space="0" w:color="auto"/>
              <w:right w:val="single" w:sz="4" w:space="0" w:color="auto"/>
            </w:tcBorders>
            <w:hideMark/>
          </w:tcPr>
          <w:p w14:paraId="10974C68"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45/55 (81.8)</w:t>
            </w:r>
          </w:p>
        </w:tc>
        <w:tc>
          <w:tcPr>
            <w:tcW w:w="2387" w:type="dxa"/>
            <w:tcBorders>
              <w:top w:val="single" w:sz="4" w:space="0" w:color="auto"/>
              <w:left w:val="single" w:sz="4" w:space="0" w:color="auto"/>
              <w:bottom w:val="single" w:sz="4" w:space="0" w:color="auto"/>
              <w:right w:val="single" w:sz="4" w:space="0" w:color="auto"/>
            </w:tcBorders>
          </w:tcPr>
          <w:p w14:paraId="175AE1D0"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BB523C" w:rsidRPr="00E050AF" w14:paraId="43BEDC90" w14:textId="77777777" w:rsidTr="00AB43EA">
        <w:tc>
          <w:tcPr>
            <w:cnfStyle w:val="001000000000" w:firstRow="0" w:lastRow="0" w:firstColumn="1" w:lastColumn="0" w:oddVBand="0" w:evenVBand="0" w:oddHBand="0" w:evenHBand="0" w:firstRowFirstColumn="0" w:firstRowLastColumn="0" w:lastRowFirstColumn="0" w:lastRowLastColumn="0"/>
            <w:tcW w:w="9016" w:type="dxa"/>
            <w:gridSpan w:val="4"/>
            <w:tcBorders>
              <w:top w:val="single" w:sz="4" w:space="0" w:color="auto"/>
              <w:left w:val="single" w:sz="4" w:space="0" w:color="auto"/>
              <w:bottom w:val="single" w:sz="4" w:space="0" w:color="auto"/>
              <w:right w:val="single" w:sz="4" w:space="0" w:color="auto"/>
            </w:tcBorders>
            <w:hideMark/>
          </w:tcPr>
          <w:p w14:paraId="4D0B40B9" w14:textId="77777777" w:rsidR="00BB523C" w:rsidRPr="00E050AF" w:rsidRDefault="00BB523C" w:rsidP="00A354B6">
            <w:pPr>
              <w:pStyle w:val="TableBodyText-H54"/>
              <w:keepLines/>
              <w:spacing w:before="0" w:after="0" w:line="240" w:lineRule="auto"/>
              <w:rPr>
                <w:b/>
                <w:bCs/>
                <w:lang w:val="en-AU" w:eastAsia="zh-CN"/>
              </w:rPr>
            </w:pPr>
            <w:r w:rsidRPr="00E050AF">
              <w:rPr>
                <w:b/>
                <w:bCs/>
                <w:lang w:val="en-AU" w:eastAsia="zh-CN"/>
              </w:rPr>
              <w:t>HRD positive</w:t>
            </w:r>
          </w:p>
        </w:tc>
      </w:tr>
      <w:tr w:rsidR="00BB523C" w:rsidRPr="00E050AF" w14:paraId="20E5583C"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0C20549C" w14:textId="77777777" w:rsidR="00BB523C" w:rsidRPr="00E050AF" w:rsidRDefault="00BB523C" w:rsidP="00A354B6">
            <w:pPr>
              <w:pStyle w:val="TableBodyText-H54"/>
              <w:keepLines/>
              <w:spacing w:before="0" w:after="0" w:line="240" w:lineRule="auto"/>
              <w:rPr>
                <w:lang w:val="en-AU" w:eastAsia="zh-CN"/>
              </w:rPr>
            </w:pPr>
            <w:r w:rsidRPr="00E050AF">
              <w:rPr>
                <w:lang w:val="en-AU" w:eastAsia="zh-CN"/>
              </w:rPr>
              <w:t xml:space="preserve">  Median PFS</w:t>
            </w:r>
          </w:p>
        </w:tc>
        <w:tc>
          <w:tcPr>
            <w:tcW w:w="2268" w:type="dxa"/>
            <w:tcBorders>
              <w:top w:val="single" w:sz="4" w:space="0" w:color="auto"/>
              <w:left w:val="single" w:sz="4" w:space="0" w:color="auto"/>
              <w:bottom w:val="single" w:sz="4" w:space="0" w:color="auto"/>
              <w:right w:val="single" w:sz="4" w:space="0" w:color="auto"/>
            </w:tcBorders>
            <w:hideMark/>
          </w:tcPr>
          <w:p w14:paraId="4F5AA569"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42.6 months</w:t>
            </w:r>
          </w:p>
        </w:tc>
        <w:tc>
          <w:tcPr>
            <w:tcW w:w="2268" w:type="dxa"/>
            <w:tcBorders>
              <w:top w:val="single" w:sz="4" w:space="0" w:color="auto"/>
              <w:left w:val="single" w:sz="4" w:space="0" w:color="auto"/>
              <w:bottom w:val="single" w:sz="4" w:space="0" w:color="auto"/>
              <w:right w:val="single" w:sz="4" w:space="0" w:color="auto"/>
            </w:tcBorders>
            <w:hideMark/>
          </w:tcPr>
          <w:p w14:paraId="63888496"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17.6 months</w:t>
            </w:r>
          </w:p>
        </w:tc>
        <w:tc>
          <w:tcPr>
            <w:tcW w:w="2387" w:type="dxa"/>
            <w:tcBorders>
              <w:top w:val="single" w:sz="4" w:space="0" w:color="auto"/>
              <w:left w:val="single" w:sz="4" w:space="0" w:color="auto"/>
              <w:bottom w:val="single" w:sz="4" w:space="0" w:color="auto"/>
              <w:right w:val="single" w:sz="4" w:space="0" w:color="auto"/>
            </w:tcBorders>
            <w:hideMark/>
          </w:tcPr>
          <w:p w14:paraId="0753475C" w14:textId="11405E06"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0.38 (0.29, 0.50)</w:t>
            </w:r>
          </w:p>
        </w:tc>
      </w:tr>
      <w:tr w:rsidR="00BB523C" w:rsidRPr="00E050AF" w14:paraId="1DDB265B" w14:textId="77777777" w:rsidTr="00AB43EA">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bottom w:val="single" w:sz="4" w:space="0" w:color="auto"/>
              <w:right w:val="single" w:sz="4" w:space="0" w:color="auto"/>
            </w:tcBorders>
            <w:hideMark/>
          </w:tcPr>
          <w:p w14:paraId="1976B809" w14:textId="77777777" w:rsidR="00BB523C" w:rsidRPr="00E050AF" w:rsidRDefault="00BB523C" w:rsidP="00A354B6">
            <w:pPr>
              <w:pStyle w:val="TableBodyText-H54"/>
              <w:keepLines/>
              <w:spacing w:before="0" w:after="0" w:line="240" w:lineRule="auto"/>
              <w:rPr>
                <w:lang w:val="en-AU" w:eastAsia="zh-CN"/>
              </w:rPr>
            </w:pPr>
            <w:r w:rsidRPr="00E050AF">
              <w:rPr>
                <w:lang w:val="en-AU" w:eastAsia="zh-CN"/>
              </w:rPr>
              <w:t xml:space="preserve">  Events, n/N (%)</w:t>
            </w:r>
          </w:p>
        </w:tc>
        <w:tc>
          <w:tcPr>
            <w:tcW w:w="2268" w:type="dxa"/>
            <w:tcBorders>
              <w:top w:val="single" w:sz="4" w:space="0" w:color="auto"/>
              <w:left w:val="single" w:sz="4" w:space="0" w:color="auto"/>
              <w:bottom w:val="single" w:sz="4" w:space="0" w:color="auto"/>
              <w:right w:val="single" w:sz="4" w:space="0" w:color="auto"/>
            </w:tcBorders>
            <w:hideMark/>
          </w:tcPr>
          <w:p w14:paraId="7A7EFA9F"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115/255 (45.1)</w:t>
            </w:r>
          </w:p>
        </w:tc>
        <w:tc>
          <w:tcPr>
            <w:tcW w:w="2268" w:type="dxa"/>
            <w:tcBorders>
              <w:top w:val="single" w:sz="4" w:space="0" w:color="auto"/>
              <w:left w:val="single" w:sz="4" w:space="0" w:color="auto"/>
              <w:bottom w:val="single" w:sz="4" w:space="0" w:color="auto"/>
              <w:right w:val="single" w:sz="4" w:space="0" w:color="auto"/>
            </w:tcBorders>
            <w:hideMark/>
          </w:tcPr>
          <w:p w14:paraId="74619F4B"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100/132 (75.8)</w:t>
            </w:r>
          </w:p>
        </w:tc>
        <w:tc>
          <w:tcPr>
            <w:tcW w:w="2387" w:type="dxa"/>
            <w:tcBorders>
              <w:top w:val="single" w:sz="4" w:space="0" w:color="auto"/>
              <w:left w:val="single" w:sz="4" w:space="0" w:color="auto"/>
              <w:bottom w:val="single" w:sz="4" w:space="0" w:color="auto"/>
              <w:right w:val="single" w:sz="4" w:space="0" w:color="auto"/>
            </w:tcBorders>
          </w:tcPr>
          <w:p w14:paraId="6028F20F" w14:textId="77777777" w:rsidR="00BB523C" w:rsidRPr="00E050AF" w:rsidRDefault="00BB523C" w:rsidP="00A354B6">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bl>
    <w:p w14:paraId="77D7C01D" w14:textId="316E6C46" w:rsidR="00AB43EA" w:rsidRPr="00E050AF" w:rsidRDefault="00AB43EA" w:rsidP="00E678C4">
      <w:pPr>
        <w:pStyle w:val="TableFooter"/>
        <w:keepNext/>
        <w:keepLines/>
      </w:pPr>
      <w:r w:rsidRPr="00E050AF">
        <w:t xml:space="preserve">Beva = bevacizumab; </w:t>
      </w:r>
      <w:r w:rsidR="00CF529A" w:rsidRPr="00E050AF">
        <w:rPr>
          <w:i/>
          <w:iCs/>
        </w:rPr>
        <w:t>BRCA</w:t>
      </w:r>
      <w:r w:rsidRPr="00E050AF">
        <w:t xml:space="preserve">m = breast cancer gene mutation; </w:t>
      </w:r>
      <w:r w:rsidR="00CF529A" w:rsidRPr="00E050AF">
        <w:rPr>
          <w:i/>
          <w:iCs/>
        </w:rPr>
        <w:t>BRCA</w:t>
      </w:r>
      <w:r w:rsidRPr="00E050AF">
        <w:t>wt = breast cancer gene wild type; FAS = full analysis set; HR = hazard ratio; HRD = homologous recombination deficiency; Ola = olaparib; Pbo = placebo</w:t>
      </w:r>
      <w:r w:rsidR="00A67AE9" w:rsidRPr="00E050AF">
        <w:t>; PFS = progression-free survival.</w:t>
      </w:r>
    </w:p>
    <w:p w14:paraId="2AF21225" w14:textId="4C568C08" w:rsidR="00AB43EA" w:rsidRPr="00E050AF" w:rsidRDefault="00AB43EA" w:rsidP="00E678C4">
      <w:pPr>
        <w:pStyle w:val="TableFooter"/>
        <w:keepNext/>
        <w:keepLines/>
      </w:pPr>
      <w:r w:rsidRPr="00E050AF">
        <w:rPr>
          <w:vertAlign w:val="superscript"/>
        </w:rPr>
        <w:t>a</w:t>
      </w:r>
      <w:r w:rsidRPr="00E050AF">
        <w:t xml:space="preserve"> Includes patients with tumour </w:t>
      </w:r>
      <w:r w:rsidR="00CF529A" w:rsidRPr="00E050AF">
        <w:rPr>
          <w:i/>
          <w:iCs/>
        </w:rPr>
        <w:t>BRCA</w:t>
      </w:r>
      <w:r w:rsidRPr="00E050AF">
        <w:t>m.</w:t>
      </w:r>
    </w:p>
    <w:p w14:paraId="07FEFBC4" w14:textId="441FC5AB" w:rsidR="00AB43EA" w:rsidRPr="00E050AF" w:rsidRDefault="0015199B" w:rsidP="00E678C4">
      <w:pPr>
        <w:pStyle w:val="TableFooter"/>
        <w:keepNext/>
        <w:keepLines/>
        <w:rPr>
          <w:lang w:eastAsia="zh-CN"/>
        </w:rPr>
      </w:pPr>
      <w:r w:rsidRPr="00E050AF">
        <w:rPr>
          <w:vertAlign w:val="superscript"/>
          <w:lang w:eastAsia="zh-CN"/>
        </w:rPr>
        <w:t>b</w:t>
      </w:r>
      <w:r w:rsidR="00AB43EA" w:rsidRPr="00E050AF">
        <w:rPr>
          <w:vertAlign w:val="superscript"/>
          <w:lang w:eastAsia="zh-CN"/>
        </w:rPr>
        <w:t xml:space="preserve"> </w:t>
      </w:r>
      <w:r w:rsidR="00AB43EA" w:rsidRPr="00E050AF">
        <w:rPr>
          <w:lang w:eastAsia="zh-CN"/>
        </w:rPr>
        <w:t>All HRD tested patients constituted 82% of the overall PAOLA-1 population.</w:t>
      </w:r>
    </w:p>
    <w:p w14:paraId="0210D3BC" w14:textId="77777777" w:rsidR="00AB43EA" w:rsidRPr="00E050AF" w:rsidRDefault="00AB43EA" w:rsidP="00E678C4">
      <w:pPr>
        <w:pStyle w:val="TableFooter"/>
        <w:keepNext/>
        <w:keepLines/>
        <w:rPr>
          <w:lang w:eastAsia="zh-CN"/>
        </w:rPr>
      </w:pPr>
      <w:r w:rsidRPr="00E050AF">
        <w:rPr>
          <w:lang w:eastAsia="zh-CN"/>
        </w:rPr>
        <w:t>Bold text indicates statistically significant differences between treatment groups.</w:t>
      </w:r>
    </w:p>
    <w:p w14:paraId="5A977F94" w14:textId="77777777" w:rsidR="00AB43EA" w:rsidRPr="00E050AF" w:rsidRDefault="00AB43EA" w:rsidP="002017CD">
      <w:pPr>
        <w:pStyle w:val="TableFooter"/>
        <w:rPr>
          <w:lang w:eastAsia="zh-CN"/>
        </w:rPr>
      </w:pPr>
      <w:r w:rsidRPr="00E050AF">
        <w:rPr>
          <w:lang w:eastAsia="zh-CN"/>
        </w:rPr>
        <w:t>Source: Tables 2.70, 2.83 and 2.84, p162 and 164 of the submission, Table 38, p142 of the CSR, Table 2, p12 1658 ratified PICO.</w:t>
      </w:r>
    </w:p>
    <w:p w14:paraId="01063806" w14:textId="10BDD239" w:rsidR="00AB43EA" w:rsidRPr="00E050AF" w:rsidRDefault="00AB43EA" w:rsidP="009D3CDF">
      <w:pPr>
        <w:pStyle w:val="ListParagraph"/>
        <w:numPr>
          <w:ilvl w:val="4"/>
          <w:numId w:val="8"/>
        </w:numPr>
        <w:rPr>
          <w:color w:val="auto"/>
        </w:rPr>
      </w:pPr>
      <w:r w:rsidRPr="00E050AF">
        <w:rPr>
          <w:color w:val="auto"/>
        </w:rPr>
        <w:t>In all randomised patients, olaparib plus bevacizumab demonstrated a statistically significant improvement in investigator assessed PFS compared with placebo plus bevacizumab, with a 41% reduction in risk of disease progression or death (stratified HR: 0.59; 95% CI 0.49-0.72; p&lt;0.0001). In comparison, in the</w:t>
      </w:r>
      <w:r w:rsidR="004B2157" w:rsidRPr="00E050AF">
        <w:rPr>
          <w:color w:val="auto"/>
        </w:rPr>
        <w:t xml:space="preserve"> </w:t>
      </w:r>
      <w:r w:rsidRPr="00E050AF">
        <w:rPr>
          <w:color w:val="auto"/>
        </w:rPr>
        <w:t xml:space="preserve">HRD positive </w:t>
      </w:r>
      <w:r w:rsidR="00CF529A" w:rsidRPr="00E050AF">
        <w:rPr>
          <w:i/>
          <w:iCs/>
          <w:color w:val="auto"/>
        </w:rPr>
        <w:t>BRCA</w:t>
      </w:r>
      <w:r w:rsidRPr="00E050AF">
        <w:rPr>
          <w:color w:val="auto"/>
        </w:rPr>
        <w:t xml:space="preserve">wt </w:t>
      </w:r>
      <w:r w:rsidR="004B2157" w:rsidRPr="00E050AF">
        <w:rPr>
          <w:color w:val="auto"/>
        </w:rPr>
        <w:t xml:space="preserve">subgroup </w:t>
      </w:r>
      <w:r w:rsidRPr="00E050AF">
        <w:rPr>
          <w:color w:val="auto"/>
        </w:rPr>
        <w:t xml:space="preserve">patients randomised to olaparib plus bevacizumab had a 57% reduction in risk of disease progression or death (HR 0.43; 95% CI 0.28,0.66) compared to patients randomised to placebo plus bevacizumab. Similar results were seen for patients with HRD positive </w:t>
      </w:r>
      <w:r w:rsidR="00CF529A" w:rsidRPr="00E050AF">
        <w:rPr>
          <w:i/>
          <w:iCs/>
          <w:color w:val="auto"/>
        </w:rPr>
        <w:t>BRCA</w:t>
      </w:r>
      <w:r w:rsidRPr="00E050AF">
        <w:rPr>
          <w:color w:val="auto"/>
        </w:rPr>
        <w:t xml:space="preserve">m tumours (PFS HR = 0.33; 95% CI 0.25,0.45). The submission noted </w:t>
      </w:r>
      <w:r w:rsidRPr="00E050AF">
        <w:rPr>
          <w:color w:val="auto"/>
        </w:rPr>
        <w:lastRenderedPageBreak/>
        <w:t xml:space="preserve">that this indicated that the treatment effect in the overall HRD positive population was not driven by the tumour </w:t>
      </w:r>
      <w:r w:rsidR="00CF529A" w:rsidRPr="00E050AF">
        <w:rPr>
          <w:i/>
          <w:iCs/>
          <w:color w:val="auto"/>
        </w:rPr>
        <w:t>BRCA</w:t>
      </w:r>
      <w:r w:rsidRPr="00E050AF">
        <w:rPr>
          <w:color w:val="auto"/>
        </w:rPr>
        <w:t>m population alone.</w:t>
      </w:r>
    </w:p>
    <w:p w14:paraId="6CCE0F06" w14:textId="63868C97" w:rsidR="004B2157" w:rsidRPr="00E050AF" w:rsidRDefault="00D467A5" w:rsidP="009D3CDF">
      <w:pPr>
        <w:pStyle w:val="ListParagraph"/>
        <w:numPr>
          <w:ilvl w:val="4"/>
          <w:numId w:val="8"/>
        </w:numPr>
        <w:rPr>
          <w:iCs/>
          <w:color w:val="auto"/>
        </w:rPr>
      </w:pPr>
      <w:r w:rsidRPr="00E050AF">
        <w:rPr>
          <w:iCs/>
          <w:color w:val="auto"/>
        </w:rPr>
        <w:t>T</w:t>
      </w:r>
      <w:r w:rsidR="00914B1D" w:rsidRPr="00E050AF">
        <w:rPr>
          <w:iCs/>
          <w:color w:val="auto"/>
        </w:rPr>
        <w:t>he ESC</w:t>
      </w:r>
      <w:r w:rsidR="004A1A2E" w:rsidRPr="00E050AF">
        <w:rPr>
          <w:iCs/>
          <w:color w:val="auto"/>
        </w:rPr>
        <w:t>s</w:t>
      </w:r>
      <w:r w:rsidR="00914B1D" w:rsidRPr="00E050AF">
        <w:rPr>
          <w:iCs/>
          <w:color w:val="auto"/>
        </w:rPr>
        <w:t xml:space="preserve"> noted </w:t>
      </w:r>
      <w:r w:rsidRPr="00E050AF">
        <w:rPr>
          <w:iCs/>
          <w:color w:val="auto"/>
        </w:rPr>
        <w:t xml:space="preserve">that </w:t>
      </w:r>
      <w:r w:rsidR="00914B1D" w:rsidRPr="00E050AF">
        <w:rPr>
          <w:iCs/>
          <w:color w:val="auto"/>
        </w:rPr>
        <w:t xml:space="preserve">the PFS HR for the HRD positive subgroup (including </w:t>
      </w:r>
      <w:r w:rsidR="00CF529A" w:rsidRPr="00E050AF">
        <w:rPr>
          <w:i/>
          <w:color w:val="auto"/>
        </w:rPr>
        <w:t>BRCA</w:t>
      </w:r>
      <w:r w:rsidR="00914B1D" w:rsidRPr="00E050AF">
        <w:rPr>
          <w:iCs/>
          <w:color w:val="auto"/>
        </w:rPr>
        <w:t xml:space="preserve">m) </w:t>
      </w:r>
      <w:r w:rsidRPr="00E050AF">
        <w:rPr>
          <w:iCs/>
          <w:color w:val="auto"/>
        </w:rPr>
        <w:t xml:space="preserve">was </w:t>
      </w:r>
      <w:r w:rsidR="00914B1D" w:rsidRPr="00E050AF">
        <w:rPr>
          <w:iCs/>
          <w:color w:val="auto"/>
        </w:rPr>
        <w:t xml:space="preserve">similar to </w:t>
      </w:r>
      <w:r w:rsidRPr="00E050AF">
        <w:rPr>
          <w:iCs/>
          <w:color w:val="auto"/>
        </w:rPr>
        <w:t>that</w:t>
      </w:r>
      <w:r w:rsidR="00914B1D" w:rsidRPr="00E050AF">
        <w:rPr>
          <w:iCs/>
          <w:color w:val="auto"/>
        </w:rPr>
        <w:t xml:space="preserve"> </w:t>
      </w:r>
      <w:r w:rsidRPr="00E050AF">
        <w:rPr>
          <w:iCs/>
          <w:color w:val="auto"/>
        </w:rPr>
        <w:t>for</w:t>
      </w:r>
      <w:r w:rsidR="00914B1D" w:rsidRPr="00E050AF">
        <w:rPr>
          <w:iCs/>
          <w:color w:val="auto"/>
        </w:rPr>
        <w:t xml:space="preserve"> the </w:t>
      </w:r>
      <w:r w:rsidR="00CF529A" w:rsidRPr="00E050AF">
        <w:rPr>
          <w:i/>
          <w:color w:val="auto"/>
        </w:rPr>
        <w:t>BRCA</w:t>
      </w:r>
      <w:r w:rsidR="00914B1D" w:rsidRPr="00E050AF">
        <w:rPr>
          <w:iCs/>
          <w:color w:val="auto"/>
        </w:rPr>
        <w:t>m subgroup (</w:t>
      </w:r>
      <w:r w:rsidR="00914B1D" w:rsidRPr="00E050AF">
        <w:rPr>
          <w:iCs/>
          <w:lang w:eastAsia="zh-CN"/>
        </w:rPr>
        <w:t>0.33; 95% CI 0.25, 0.45 vs 0.28; 95% CI 0.19, 0.42)</w:t>
      </w:r>
      <w:r w:rsidR="00962752" w:rsidRPr="00E050AF">
        <w:rPr>
          <w:iCs/>
          <w:lang w:eastAsia="zh-CN"/>
        </w:rPr>
        <w:t>, w</w:t>
      </w:r>
      <w:r w:rsidRPr="00E050AF">
        <w:rPr>
          <w:iCs/>
          <w:lang w:eastAsia="zh-CN"/>
        </w:rPr>
        <w:t>hile</w:t>
      </w:r>
      <w:r w:rsidRPr="00E050AF">
        <w:rPr>
          <w:iCs/>
          <w:color w:val="auto"/>
        </w:rPr>
        <w:t xml:space="preserve"> t</w:t>
      </w:r>
      <w:r w:rsidR="00914B1D" w:rsidRPr="00E050AF">
        <w:rPr>
          <w:iCs/>
          <w:lang w:eastAsia="zh-CN"/>
        </w:rPr>
        <w:t xml:space="preserve">he </w:t>
      </w:r>
      <w:r w:rsidRPr="00E050AF">
        <w:rPr>
          <w:iCs/>
          <w:lang w:eastAsia="zh-CN"/>
        </w:rPr>
        <w:t>PFS HR for the proposed PBS population</w:t>
      </w:r>
      <w:r w:rsidR="004B2157" w:rsidRPr="00E050AF">
        <w:rPr>
          <w:iCs/>
          <w:lang w:eastAsia="zh-CN"/>
        </w:rPr>
        <w:t xml:space="preserve"> (</w:t>
      </w:r>
      <w:r w:rsidR="00914B1D" w:rsidRPr="00E050AF">
        <w:rPr>
          <w:iCs/>
          <w:lang w:eastAsia="zh-CN"/>
        </w:rPr>
        <w:t xml:space="preserve">HRD positive </w:t>
      </w:r>
      <w:r w:rsidR="00CF529A" w:rsidRPr="00E050AF">
        <w:rPr>
          <w:i/>
          <w:lang w:eastAsia="zh-CN"/>
        </w:rPr>
        <w:t>BRCA</w:t>
      </w:r>
      <w:r w:rsidR="00914B1D" w:rsidRPr="00E050AF">
        <w:rPr>
          <w:iCs/>
          <w:lang w:eastAsia="zh-CN"/>
        </w:rPr>
        <w:t>wt subgroup</w:t>
      </w:r>
      <w:r w:rsidR="004B2157" w:rsidRPr="00E050AF">
        <w:rPr>
          <w:iCs/>
          <w:lang w:eastAsia="zh-CN"/>
        </w:rPr>
        <w:t>)</w:t>
      </w:r>
      <w:r w:rsidR="00914B1D" w:rsidRPr="00E050AF">
        <w:rPr>
          <w:iCs/>
          <w:lang w:eastAsia="zh-CN"/>
        </w:rPr>
        <w:t xml:space="preserve"> was less favourable (PFS HR 0.43; 95% CI 0.28, 0.66)</w:t>
      </w:r>
      <w:r w:rsidRPr="00E050AF">
        <w:rPr>
          <w:iCs/>
          <w:lang w:eastAsia="zh-CN"/>
        </w:rPr>
        <w:t>.</w:t>
      </w:r>
      <w:r w:rsidR="00854E1C" w:rsidRPr="00E050AF">
        <w:rPr>
          <w:iCs/>
          <w:lang w:eastAsia="zh-CN"/>
        </w:rPr>
        <w:t xml:space="preserve"> The ESCs considered that </w:t>
      </w:r>
      <w:r w:rsidR="008B24A9" w:rsidRPr="00E050AF">
        <w:rPr>
          <w:iCs/>
          <w:lang w:eastAsia="zh-CN"/>
        </w:rPr>
        <w:t xml:space="preserve">patients in the HRD positive </w:t>
      </w:r>
      <w:r w:rsidR="008B24A9" w:rsidRPr="00E050AF">
        <w:rPr>
          <w:i/>
          <w:lang w:eastAsia="zh-CN"/>
        </w:rPr>
        <w:t>BRCA</w:t>
      </w:r>
      <w:r w:rsidR="008B24A9" w:rsidRPr="00E050AF">
        <w:rPr>
          <w:iCs/>
          <w:lang w:eastAsia="zh-CN"/>
        </w:rPr>
        <w:t xml:space="preserve">wt subgroup clearly benefit from treatment with olaparib, however </w:t>
      </w:r>
      <w:r w:rsidR="00854E1C" w:rsidRPr="00E050AF">
        <w:rPr>
          <w:iCs/>
          <w:lang w:eastAsia="zh-CN"/>
        </w:rPr>
        <w:t xml:space="preserve">the subgroup analyses suggested that the benefit for patients with HRD positive </w:t>
      </w:r>
      <w:r w:rsidR="00854E1C" w:rsidRPr="00E050AF">
        <w:rPr>
          <w:i/>
          <w:lang w:eastAsia="zh-CN"/>
        </w:rPr>
        <w:t>BRCA</w:t>
      </w:r>
      <w:r w:rsidR="00854E1C" w:rsidRPr="00E050AF">
        <w:rPr>
          <w:iCs/>
          <w:lang w:eastAsia="zh-CN"/>
        </w:rPr>
        <w:t xml:space="preserve">wt tumours </w:t>
      </w:r>
      <w:r w:rsidR="008B24A9" w:rsidRPr="00E050AF">
        <w:rPr>
          <w:iCs/>
          <w:lang w:eastAsia="zh-CN"/>
        </w:rPr>
        <w:t>may be</w:t>
      </w:r>
      <w:r w:rsidR="00854E1C" w:rsidRPr="00E050AF">
        <w:rPr>
          <w:iCs/>
          <w:lang w:eastAsia="zh-CN"/>
        </w:rPr>
        <w:t xml:space="preserve"> less than the benefit for patients with </w:t>
      </w:r>
      <w:r w:rsidR="00854E1C" w:rsidRPr="00E050AF">
        <w:rPr>
          <w:i/>
          <w:lang w:eastAsia="zh-CN"/>
        </w:rPr>
        <w:t>BRCA</w:t>
      </w:r>
      <w:r w:rsidR="00854E1C" w:rsidRPr="00E050AF">
        <w:rPr>
          <w:iCs/>
          <w:lang w:eastAsia="zh-CN"/>
        </w:rPr>
        <w:t>m tumours.</w:t>
      </w:r>
    </w:p>
    <w:p w14:paraId="637D69A9" w14:textId="0639B0B0" w:rsidR="003977A5" w:rsidRPr="00E050AF" w:rsidRDefault="00AB43EA" w:rsidP="009D3CDF">
      <w:pPr>
        <w:pStyle w:val="ListParagraph"/>
        <w:numPr>
          <w:ilvl w:val="4"/>
          <w:numId w:val="8"/>
        </w:numPr>
        <w:rPr>
          <w:color w:val="auto"/>
        </w:rPr>
      </w:pPr>
      <w:r w:rsidRPr="00E050AF">
        <w:rPr>
          <w:color w:val="auto"/>
        </w:rPr>
        <w:t>In contrast, treatment with olaparib plus bevacizumab did not result in any benefit in terms of PFS in patients with HRD negative tumours (HR 1.00; 95% CI 0.75,</w:t>
      </w:r>
      <w:r w:rsidR="00962752" w:rsidRPr="00E050AF">
        <w:rPr>
          <w:color w:val="auto"/>
        </w:rPr>
        <w:t xml:space="preserve"> </w:t>
      </w:r>
      <w:r w:rsidRPr="00E050AF">
        <w:rPr>
          <w:color w:val="auto"/>
        </w:rPr>
        <w:t xml:space="preserve">1.35) compared with bevacizumab alone. The submission stated that this demonstrates that HRD status is predictive of response to olaparib treatment when used in combination with bevacizumab for patients with </w:t>
      </w:r>
      <w:r w:rsidR="000D37E7" w:rsidRPr="00E050AF">
        <w:rPr>
          <w:color w:val="auto"/>
        </w:rPr>
        <w:t>HGEOC</w:t>
      </w:r>
      <w:r w:rsidRPr="00E050AF">
        <w:rPr>
          <w:color w:val="auto"/>
        </w:rPr>
        <w:t>.</w:t>
      </w:r>
      <w:r w:rsidRPr="00E050AF">
        <w:rPr>
          <w:iCs/>
          <w:color w:val="auto"/>
        </w:rPr>
        <w:t xml:space="preserve"> </w:t>
      </w:r>
      <w:r w:rsidRPr="00E050AF">
        <w:rPr>
          <w:color w:val="auto"/>
        </w:rPr>
        <w:t>Test</w:t>
      </w:r>
      <w:r w:rsidR="00992BF6" w:rsidRPr="00E050AF">
        <w:rPr>
          <w:color w:val="auto"/>
        </w:rPr>
        <w:t>s</w:t>
      </w:r>
      <w:r w:rsidRPr="00E050AF">
        <w:rPr>
          <w:color w:val="auto"/>
        </w:rPr>
        <w:t xml:space="preserve"> for interaction by HRD status, and for </w:t>
      </w:r>
      <w:r w:rsidR="00AC1A3B" w:rsidRPr="00E050AF">
        <w:rPr>
          <w:color w:val="auto"/>
        </w:rPr>
        <w:t xml:space="preserve">the </w:t>
      </w:r>
      <w:r w:rsidRPr="00E050AF">
        <w:rPr>
          <w:color w:val="auto"/>
        </w:rPr>
        <w:t xml:space="preserve">HRD positive </w:t>
      </w:r>
      <w:r w:rsidR="00CF529A" w:rsidRPr="00E050AF">
        <w:rPr>
          <w:i/>
          <w:iCs/>
          <w:color w:val="auto"/>
        </w:rPr>
        <w:t>BRCA</w:t>
      </w:r>
      <w:r w:rsidRPr="00E050AF">
        <w:rPr>
          <w:color w:val="auto"/>
        </w:rPr>
        <w:t xml:space="preserve">wt </w:t>
      </w:r>
      <w:r w:rsidR="00AC1A3B" w:rsidRPr="00E050AF">
        <w:rPr>
          <w:color w:val="auto"/>
        </w:rPr>
        <w:t xml:space="preserve">subpopulation </w:t>
      </w:r>
      <w:r w:rsidRPr="00E050AF">
        <w:rPr>
          <w:color w:val="auto"/>
        </w:rPr>
        <w:t>were not provided by the submission to support this claim</w:t>
      </w:r>
      <w:r w:rsidR="002770B3" w:rsidRPr="00E050AF">
        <w:rPr>
          <w:color w:val="auto"/>
        </w:rPr>
        <w:t xml:space="preserve"> and as such it was not clear if </w:t>
      </w:r>
      <w:r w:rsidR="00C10775" w:rsidRPr="00E050AF">
        <w:rPr>
          <w:color w:val="auto"/>
        </w:rPr>
        <w:t xml:space="preserve">HRD status or if being HRD positive </w:t>
      </w:r>
      <w:r w:rsidR="00CF529A" w:rsidRPr="00E050AF">
        <w:rPr>
          <w:i/>
          <w:iCs/>
          <w:color w:val="auto"/>
        </w:rPr>
        <w:t>BRCA</w:t>
      </w:r>
      <w:r w:rsidR="00C10775" w:rsidRPr="00E050AF">
        <w:rPr>
          <w:color w:val="auto"/>
        </w:rPr>
        <w:t xml:space="preserve">wt was an effect modifier in PAOLA-1 despite the </w:t>
      </w:r>
      <w:r w:rsidR="00425A8F" w:rsidRPr="00E050AF">
        <w:rPr>
          <w:color w:val="auto"/>
        </w:rPr>
        <w:t>difference in the magnitude of PFS HR reported</w:t>
      </w:r>
      <w:r w:rsidRPr="00E050AF">
        <w:rPr>
          <w:color w:val="auto"/>
        </w:rPr>
        <w:t xml:space="preserve">. No results </w:t>
      </w:r>
      <w:r w:rsidR="005A7A60" w:rsidRPr="00E050AF">
        <w:rPr>
          <w:color w:val="auto"/>
        </w:rPr>
        <w:t xml:space="preserve">for </w:t>
      </w:r>
      <w:r w:rsidRPr="00E050AF">
        <w:rPr>
          <w:color w:val="auto"/>
        </w:rPr>
        <w:t xml:space="preserve">the complement subgroup to the HRD positive </w:t>
      </w:r>
      <w:r w:rsidR="00CF529A" w:rsidRPr="00E050AF">
        <w:rPr>
          <w:i/>
          <w:iCs/>
          <w:color w:val="auto"/>
        </w:rPr>
        <w:t>BRCA</w:t>
      </w:r>
      <w:r w:rsidRPr="00E050AF">
        <w:rPr>
          <w:color w:val="auto"/>
        </w:rPr>
        <w:t>wt subgroup were provided.</w:t>
      </w:r>
    </w:p>
    <w:p w14:paraId="30E0BB2A" w14:textId="1DAFD8C1" w:rsidR="00FB10F3" w:rsidRPr="00E050AF" w:rsidRDefault="00962752" w:rsidP="009D3CDF">
      <w:pPr>
        <w:pStyle w:val="ListParagraph"/>
        <w:numPr>
          <w:ilvl w:val="4"/>
          <w:numId w:val="8"/>
        </w:numPr>
        <w:rPr>
          <w:color w:val="auto"/>
        </w:rPr>
      </w:pPr>
      <w:r w:rsidRPr="00E050AF">
        <w:rPr>
          <w:color w:val="auto"/>
        </w:rPr>
        <w:t>N</w:t>
      </w:r>
      <w:r w:rsidR="00DD6ECC" w:rsidRPr="00E050AF">
        <w:rPr>
          <w:color w:val="auto"/>
        </w:rPr>
        <w:t xml:space="preserve">ot all studies </w:t>
      </w:r>
      <w:r w:rsidRPr="00E050AF">
        <w:rPr>
          <w:color w:val="auto"/>
        </w:rPr>
        <w:t xml:space="preserve">of PARP inhibitors </w:t>
      </w:r>
      <w:r w:rsidR="00DD6ECC" w:rsidRPr="00E050AF">
        <w:rPr>
          <w:color w:val="auto"/>
        </w:rPr>
        <w:t xml:space="preserve">supported the claim that HRD positivity was </w:t>
      </w:r>
      <w:r w:rsidR="00CF2838" w:rsidRPr="00E050AF">
        <w:rPr>
          <w:color w:val="auto"/>
        </w:rPr>
        <w:t xml:space="preserve">strongly </w:t>
      </w:r>
      <w:r w:rsidR="00DD6ECC" w:rsidRPr="00E050AF">
        <w:rPr>
          <w:color w:val="auto"/>
        </w:rPr>
        <w:t xml:space="preserve">correlated with improved PFS with treatment with PARP inhibitors, with PAOLA-1 reporting the largest difference between HRD positive </w:t>
      </w:r>
      <w:r w:rsidR="00CF529A" w:rsidRPr="00E050AF">
        <w:rPr>
          <w:i/>
          <w:iCs/>
          <w:color w:val="auto"/>
        </w:rPr>
        <w:t>BRCA</w:t>
      </w:r>
      <w:r w:rsidR="00DD6ECC" w:rsidRPr="00E050AF">
        <w:rPr>
          <w:color w:val="auto"/>
        </w:rPr>
        <w:t>wt (PFS HR = 0.43) and HRD negative patients (PFS HR = 1.00)</w:t>
      </w:r>
      <w:r w:rsidR="003977A5" w:rsidRPr="00E050AF">
        <w:rPr>
          <w:color w:val="auto"/>
        </w:rPr>
        <w:t>.</w:t>
      </w:r>
      <w:r w:rsidR="00DD6ECC" w:rsidRPr="00E050AF">
        <w:rPr>
          <w:color w:val="auto"/>
        </w:rPr>
        <w:t xml:space="preserve"> </w:t>
      </w:r>
      <w:r w:rsidR="00AC1A3B" w:rsidRPr="00E050AF">
        <w:t xml:space="preserve">Gonzalez-Martin 2019 </w:t>
      </w:r>
      <w:r w:rsidR="00AC1A3B" w:rsidRPr="00E050AF">
        <w:rPr>
          <w:color w:val="auto"/>
        </w:rPr>
        <w:t xml:space="preserve">(HRD positive </w:t>
      </w:r>
      <w:r w:rsidR="00CF529A" w:rsidRPr="00E050AF">
        <w:rPr>
          <w:i/>
          <w:iCs/>
          <w:color w:val="auto"/>
        </w:rPr>
        <w:t>BRCA</w:t>
      </w:r>
      <w:r w:rsidR="00AC1A3B" w:rsidRPr="00E050AF">
        <w:rPr>
          <w:color w:val="auto"/>
        </w:rPr>
        <w:t xml:space="preserve">wt PFS HR = 0.50; HRD negative HR = 0.68) </w:t>
      </w:r>
      <w:r w:rsidR="00AC1A3B" w:rsidRPr="00E050AF">
        <w:t xml:space="preserve">and Coleman 2017 </w:t>
      </w:r>
      <w:r w:rsidR="00AC1A3B" w:rsidRPr="00E050AF">
        <w:rPr>
          <w:color w:val="auto"/>
        </w:rPr>
        <w:t xml:space="preserve">(HRD positive </w:t>
      </w:r>
      <w:r w:rsidR="00CF529A" w:rsidRPr="00E050AF">
        <w:rPr>
          <w:i/>
          <w:iCs/>
          <w:color w:val="auto"/>
        </w:rPr>
        <w:t>BRCA</w:t>
      </w:r>
      <w:r w:rsidR="00AC1A3B" w:rsidRPr="00E050AF">
        <w:rPr>
          <w:color w:val="auto"/>
        </w:rPr>
        <w:t xml:space="preserve">wt PFS HR = 0.44; HRD negative HR = 0.58) </w:t>
      </w:r>
      <w:r w:rsidR="00AC1A3B" w:rsidRPr="00E050AF">
        <w:t>all reported smaller differences</w:t>
      </w:r>
      <w:r w:rsidR="003977A5" w:rsidRPr="00E050AF">
        <w:t xml:space="preserve"> between patients treated with a PARP inhibitor and placebo</w:t>
      </w:r>
      <w:r w:rsidR="00AC1A3B" w:rsidRPr="00E050AF">
        <w:t xml:space="preserve">. Both Gonzalez-Martin 2019 and Coleman 2017 reported a statistically significant </w:t>
      </w:r>
      <w:r w:rsidR="00AC1A3B" w:rsidRPr="00E050AF">
        <w:rPr>
          <w:color w:val="auto"/>
        </w:rPr>
        <w:t xml:space="preserve">improvement in PFS </w:t>
      </w:r>
      <w:r w:rsidR="00AC1A3B" w:rsidRPr="00E050AF">
        <w:t>for the HRD negative populations.</w:t>
      </w:r>
    </w:p>
    <w:p w14:paraId="4728C7FD" w14:textId="7E1B2A78" w:rsidR="00E70CBF" w:rsidRPr="00E050AF" w:rsidRDefault="00AC1A3B" w:rsidP="00E70CBF">
      <w:pPr>
        <w:pStyle w:val="ListParagraph"/>
        <w:numPr>
          <w:ilvl w:val="4"/>
          <w:numId w:val="8"/>
        </w:numPr>
        <w:rPr>
          <w:iCs/>
          <w:color w:val="auto"/>
        </w:rPr>
      </w:pPr>
      <w:r w:rsidRPr="00E050AF">
        <w:t>Additionally, no evidence on the longitudinal accuracy using OS, which was likely more clinically relevant, was provided. OS results were not statistically significantly different between patients treated with olaparib plus bevacizumab compared to bevacizumab monotherapy in PAOLA-1 (OS HR = 0.84, 95% CI 0.46, 1.52</w:t>
      </w:r>
      <w:r w:rsidR="00764F52" w:rsidRPr="00E050AF">
        <w:t xml:space="preserve"> for HRD+ </w:t>
      </w:r>
      <w:r w:rsidR="00764F52" w:rsidRPr="00E050AF">
        <w:rPr>
          <w:i/>
          <w:iCs/>
        </w:rPr>
        <w:t>BRCA</w:t>
      </w:r>
      <w:r w:rsidR="00764F52" w:rsidRPr="00E050AF">
        <w:t>wt patients</w:t>
      </w:r>
      <w:r w:rsidRPr="00E050AF">
        <w:t>) though the data is immature.</w:t>
      </w:r>
    </w:p>
    <w:p w14:paraId="1B2344D3" w14:textId="405FA0D1" w:rsidR="00AB43EA" w:rsidRPr="00E050AF" w:rsidRDefault="00AB43EA" w:rsidP="009D3CDF">
      <w:pPr>
        <w:pStyle w:val="ListParagraph"/>
        <w:numPr>
          <w:ilvl w:val="4"/>
          <w:numId w:val="8"/>
        </w:numPr>
        <w:rPr>
          <w:color w:val="auto"/>
        </w:rPr>
      </w:pPr>
      <w:r w:rsidRPr="00E050AF">
        <w:t xml:space="preserve">Kaplan Meier plots of PFS for the FAS and </w:t>
      </w:r>
      <w:r w:rsidR="00106289" w:rsidRPr="00E050AF">
        <w:t xml:space="preserve">various subgroup </w:t>
      </w:r>
      <w:r w:rsidRPr="00E050AF">
        <w:t>populations are provided in the figures below.</w:t>
      </w:r>
    </w:p>
    <w:p w14:paraId="331405C1" w14:textId="5A72D369" w:rsidR="00AB43EA" w:rsidRPr="00E050AF" w:rsidRDefault="00AB43EA" w:rsidP="00A354B6">
      <w:pPr>
        <w:pStyle w:val="TableBodyHeading-H54"/>
        <w:rPr>
          <w:lang w:val="en-AU"/>
        </w:rPr>
      </w:pPr>
      <w:r w:rsidRPr="00E050AF">
        <w:rPr>
          <w:lang w:val="en-AU"/>
        </w:rPr>
        <w:lastRenderedPageBreak/>
        <w:t xml:space="preserve">Figure </w:t>
      </w:r>
      <w:r w:rsidR="007E0933" w:rsidRPr="00E050AF">
        <w:rPr>
          <w:lang w:val="en-AU"/>
        </w:rPr>
        <w:fldChar w:fldCharType="begin"/>
      </w:r>
      <w:r w:rsidR="007E0933" w:rsidRPr="00E050AF">
        <w:rPr>
          <w:lang w:val="en-AU"/>
        </w:rPr>
        <w:instrText xml:space="preserve"> SEQ Figure_PBAC. \* ARABIC </w:instrText>
      </w:r>
      <w:r w:rsidR="007E0933" w:rsidRPr="00E050AF">
        <w:rPr>
          <w:lang w:val="en-AU"/>
        </w:rPr>
        <w:fldChar w:fldCharType="separate"/>
      </w:r>
      <w:r w:rsidR="00E050AF" w:rsidRPr="00E050AF">
        <w:rPr>
          <w:lang w:val="en-AU"/>
        </w:rPr>
        <w:t>2</w:t>
      </w:r>
      <w:r w:rsidR="007E0933" w:rsidRPr="00E050AF">
        <w:rPr>
          <w:lang w:val="en-AU"/>
        </w:rPr>
        <w:fldChar w:fldCharType="end"/>
      </w:r>
      <w:r w:rsidRPr="00E050AF">
        <w:rPr>
          <w:lang w:val="en-AU"/>
        </w:rPr>
        <w:tab/>
        <w:t>KM plot of investigator assessed PFS, FAS (DCO1)</w:t>
      </w:r>
    </w:p>
    <w:p w14:paraId="222D924F" w14:textId="13765237" w:rsidR="00AB43EA" w:rsidRPr="00E050AF" w:rsidRDefault="00AB43EA" w:rsidP="00A354B6">
      <w:pPr>
        <w:pStyle w:val="Caption"/>
      </w:pPr>
      <w:r w:rsidRPr="00E050AF">
        <w:rPr>
          <w:noProof/>
          <w:lang w:eastAsia="en-AU"/>
        </w:rPr>
        <w:drawing>
          <wp:inline distT="0" distB="0" distL="0" distR="0" wp14:anchorId="716FC566" wp14:editId="40F8EA09">
            <wp:extent cx="5731510" cy="2938780"/>
            <wp:effectExtent l="0" t="0" r="2540" b="0"/>
            <wp:docPr id="75" name="Picture 75" descr="Figure 2 KM plot of investigator assessed PFS, FAS (D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Figure 2 KM plot of investigator assessed PFS, FAS (DC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938780"/>
                    </a:xfrm>
                    <a:prstGeom prst="rect">
                      <a:avLst/>
                    </a:prstGeom>
                    <a:noFill/>
                    <a:ln>
                      <a:noFill/>
                    </a:ln>
                  </pic:spPr>
                </pic:pic>
              </a:graphicData>
            </a:graphic>
          </wp:inline>
        </w:drawing>
      </w:r>
    </w:p>
    <w:p w14:paraId="4952A855" w14:textId="77777777" w:rsidR="00AB43EA" w:rsidRPr="00E050AF" w:rsidRDefault="00AB43EA" w:rsidP="00FC3969">
      <w:pPr>
        <w:pStyle w:val="TableFooter"/>
        <w:keepNext/>
        <w:rPr>
          <w:lang w:eastAsia="zh-CN"/>
        </w:rPr>
      </w:pPr>
      <w:r w:rsidRPr="00E050AF">
        <w:rPr>
          <w:lang w:eastAsia="zh-CN"/>
        </w:rPr>
        <w:t>DCO1 = data cut-off 1; FAS = full analysis set; KM = Kaplan-Meier; PFS = progression-free survival</w:t>
      </w:r>
    </w:p>
    <w:p w14:paraId="0310913C" w14:textId="77777777" w:rsidR="00AB43EA" w:rsidRPr="00E050AF" w:rsidRDefault="00AB43EA" w:rsidP="00AB43EA">
      <w:pPr>
        <w:pStyle w:val="TableFooter"/>
        <w:rPr>
          <w:lang w:eastAsia="zh-CN"/>
        </w:rPr>
      </w:pPr>
      <w:r w:rsidRPr="00E050AF">
        <w:rPr>
          <w:lang w:eastAsia="zh-CN"/>
        </w:rPr>
        <w:t>Source: Figure 2.13, p163 of the submission</w:t>
      </w:r>
    </w:p>
    <w:p w14:paraId="2DA061CC" w14:textId="77777777" w:rsidR="00AB43EA" w:rsidRPr="00E050AF" w:rsidRDefault="00AB43EA" w:rsidP="00AB43EA">
      <w:pPr>
        <w:pStyle w:val="TableFooter"/>
      </w:pPr>
    </w:p>
    <w:p w14:paraId="7CD48F06" w14:textId="3CC26D55" w:rsidR="00AB43EA" w:rsidRPr="00E050AF" w:rsidRDefault="00AB43EA" w:rsidP="00A354B6">
      <w:pPr>
        <w:pStyle w:val="TableBodyHeading-H54"/>
        <w:rPr>
          <w:lang w:val="en-AU"/>
        </w:rPr>
      </w:pPr>
      <w:r w:rsidRPr="00E050AF">
        <w:rPr>
          <w:lang w:val="en-AU"/>
        </w:rPr>
        <w:t xml:space="preserve">Figure </w:t>
      </w:r>
      <w:r w:rsidR="007E0933" w:rsidRPr="00E050AF">
        <w:rPr>
          <w:lang w:val="en-AU"/>
        </w:rPr>
        <w:fldChar w:fldCharType="begin"/>
      </w:r>
      <w:r w:rsidR="007E0933" w:rsidRPr="00E050AF">
        <w:rPr>
          <w:lang w:val="en-AU"/>
        </w:rPr>
        <w:instrText xml:space="preserve"> SEQ Figure_PBAC. \* ARABIC </w:instrText>
      </w:r>
      <w:r w:rsidR="007E0933" w:rsidRPr="00E050AF">
        <w:rPr>
          <w:lang w:val="en-AU"/>
        </w:rPr>
        <w:fldChar w:fldCharType="separate"/>
      </w:r>
      <w:r w:rsidR="00E050AF" w:rsidRPr="00E050AF">
        <w:rPr>
          <w:lang w:val="en-AU"/>
        </w:rPr>
        <w:t>3</w:t>
      </w:r>
      <w:r w:rsidR="007E0933" w:rsidRPr="00E050AF">
        <w:rPr>
          <w:lang w:val="en-AU"/>
        </w:rPr>
        <w:fldChar w:fldCharType="end"/>
      </w:r>
      <w:r w:rsidRPr="00E050AF">
        <w:rPr>
          <w:lang w:val="en-AU"/>
        </w:rPr>
        <w:tab/>
        <w:t xml:space="preserve">KM estimates of PFS among patients with HRD positive </w:t>
      </w:r>
      <w:r w:rsidR="00CF529A" w:rsidRPr="00E050AF">
        <w:rPr>
          <w:i/>
          <w:lang w:val="en-AU"/>
        </w:rPr>
        <w:t>BRCA</w:t>
      </w:r>
      <w:r w:rsidRPr="00E050AF">
        <w:rPr>
          <w:lang w:val="en-AU"/>
        </w:rPr>
        <w:t>wt tumours (DCO1)</w:t>
      </w:r>
    </w:p>
    <w:p w14:paraId="017FC7B4" w14:textId="38B96D19" w:rsidR="00AB43EA" w:rsidRPr="00E050AF" w:rsidRDefault="00AB43EA" w:rsidP="00B13D45">
      <w:pPr>
        <w:jc w:val="right"/>
        <w:rPr>
          <w:b/>
          <w:bCs/>
        </w:rPr>
      </w:pPr>
      <w:r w:rsidRPr="00E050AF">
        <w:rPr>
          <w:noProof/>
          <w:lang w:eastAsia="en-AU"/>
        </w:rPr>
        <w:drawing>
          <wp:inline distT="0" distB="0" distL="0" distR="0" wp14:anchorId="67F4C533" wp14:editId="1285B1B4">
            <wp:extent cx="5495813" cy="3360935"/>
            <wp:effectExtent l="0" t="0" r="0" b="0"/>
            <wp:docPr id="74" name="Picture 74" descr="Figure 3 KM estimates of PFS among patients with HRD positive BRCAwt tumours (D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Figure 3 KM estimates of PFS among patients with HRD positive BRCAwt tumours (DCO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8784" cy="3368867"/>
                    </a:xfrm>
                    <a:prstGeom prst="rect">
                      <a:avLst/>
                    </a:prstGeom>
                    <a:noFill/>
                    <a:ln>
                      <a:noFill/>
                    </a:ln>
                  </pic:spPr>
                </pic:pic>
              </a:graphicData>
            </a:graphic>
          </wp:inline>
        </w:drawing>
      </w:r>
    </w:p>
    <w:p w14:paraId="1E1CF4DF" w14:textId="10232460" w:rsidR="00AB43EA" w:rsidRPr="00E050AF" w:rsidRDefault="00CF529A" w:rsidP="002017CD">
      <w:pPr>
        <w:pStyle w:val="TableFooter"/>
        <w:keepNext/>
        <w:rPr>
          <w:lang w:eastAsia="zh-CN"/>
        </w:rPr>
      </w:pPr>
      <w:r w:rsidRPr="00E050AF">
        <w:rPr>
          <w:i/>
          <w:iCs/>
          <w:lang w:eastAsia="zh-CN"/>
        </w:rPr>
        <w:t>BRCA</w:t>
      </w:r>
      <w:r w:rsidR="00AB43EA" w:rsidRPr="00E050AF">
        <w:rPr>
          <w:lang w:eastAsia="zh-CN"/>
        </w:rPr>
        <w:t xml:space="preserve">wt = breast cancer gene wild type; </w:t>
      </w:r>
      <w:r w:rsidR="00106289" w:rsidRPr="00E050AF">
        <w:rPr>
          <w:lang w:eastAsia="zh-CN"/>
        </w:rPr>
        <w:t xml:space="preserve">DCO1 = data cut-off 1; </w:t>
      </w:r>
      <w:r w:rsidR="00AB43EA" w:rsidRPr="00E050AF">
        <w:rPr>
          <w:lang w:eastAsia="zh-CN"/>
        </w:rPr>
        <w:t>HRD = homologous recombination deficiency; KM = Kaplan-Meier; PFS = progression-free survival</w:t>
      </w:r>
    </w:p>
    <w:p w14:paraId="57EAD67E" w14:textId="0FFCBABD" w:rsidR="00AB43EA" w:rsidRPr="00E050AF" w:rsidRDefault="00AB43EA" w:rsidP="002017CD">
      <w:pPr>
        <w:pStyle w:val="TableFooter"/>
        <w:rPr>
          <w:lang w:eastAsia="zh-CN"/>
        </w:rPr>
      </w:pPr>
      <w:r w:rsidRPr="00E050AF">
        <w:rPr>
          <w:lang w:eastAsia="zh-CN"/>
        </w:rPr>
        <w:t>Source: Figure 2.20, p184 of the submission</w:t>
      </w:r>
    </w:p>
    <w:p w14:paraId="6D94A027" w14:textId="77777777" w:rsidR="002017CD" w:rsidRPr="00E050AF" w:rsidRDefault="002017CD" w:rsidP="002017CD">
      <w:pPr>
        <w:pStyle w:val="TableFooter"/>
        <w:rPr>
          <w:lang w:eastAsia="zh-CN"/>
        </w:rPr>
      </w:pPr>
    </w:p>
    <w:p w14:paraId="402A3703" w14:textId="0BFC185F" w:rsidR="00AB43EA" w:rsidRPr="00E050AF" w:rsidRDefault="00AB43EA" w:rsidP="00AB43EA">
      <w:pPr>
        <w:pStyle w:val="TableHeading0"/>
      </w:pPr>
      <w:r w:rsidRPr="00E050AF">
        <w:lastRenderedPageBreak/>
        <w:t xml:space="preserve">Figure </w:t>
      </w:r>
      <w:r>
        <w:fldChar w:fldCharType="begin"/>
      </w:r>
      <w:r>
        <w:instrText>SEQ Figure_PBAC. \* ARABIC</w:instrText>
      </w:r>
      <w:r>
        <w:fldChar w:fldCharType="separate"/>
      </w:r>
      <w:r w:rsidR="00E050AF" w:rsidRPr="00E050AF">
        <w:t>4</w:t>
      </w:r>
      <w:r>
        <w:fldChar w:fldCharType="end"/>
      </w:r>
      <w:r w:rsidRPr="00E050AF">
        <w:tab/>
        <w:t xml:space="preserve">KM estimates of PFS among patients with HRD positive tumours, including patients with tumour </w:t>
      </w:r>
      <w:r w:rsidR="00CF529A" w:rsidRPr="00E050AF">
        <w:rPr>
          <w:i/>
          <w:iCs/>
        </w:rPr>
        <w:t>BRCA</w:t>
      </w:r>
      <w:r w:rsidRPr="00E050AF">
        <w:t>m (DCO1)</w:t>
      </w:r>
    </w:p>
    <w:p w14:paraId="2E8D4455" w14:textId="3C4DA505" w:rsidR="00AB43EA" w:rsidRPr="00E050AF" w:rsidRDefault="00AB43EA" w:rsidP="00AB43EA">
      <w:pPr>
        <w:rPr>
          <w:lang w:eastAsia="zh-CN"/>
        </w:rPr>
      </w:pPr>
      <w:r w:rsidRPr="00E050AF">
        <w:rPr>
          <w:noProof/>
          <w:lang w:eastAsia="en-AU"/>
        </w:rPr>
        <w:drawing>
          <wp:inline distT="0" distB="0" distL="0" distR="0" wp14:anchorId="343E2C24" wp14:editId="648D2A58">
            <wp:extent cx="5546785" cy="3306890"/>
            <wp:effectExtent l="0" t="0" r="0" b="8255"/>
            <wp:docPr id="73" name="Picture 73" descr="Figure 4 KM estimates of PFS among patients with HRD positive tumours, including patients with tumour BRCAm (D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Figure 4 KM estimates of PFS among patients with HRD positive tumours, including patients with tumour BRCAm (DCO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3002" cy="3310596"/>
                    </a:xfrm>
                    <a:prstGeom prst="rect">
                      <a:avLst/>
                    </a:prstGeom>
                    <a:noFill/>
                    <a:ln>
                      <a:noFill/>
                    </a:ln>
                  </pic:spPr>
                </pic:pic>
              </a:graphicData>
            </a:graphic>
          </wp:inline>
        </w:drawing>
      </w:r>
    </w:p>
    <w:p w14:paraId="7C834D56" w14:textId="721E7357" w:rsidR="00AB43EA" w:rsidRPr="00E050AF" w:rsidRDefault="00CF529A" w:rsidP="002017CD">
      <w:pPr>
        <w:pStyle w:val="TableFooter"/>
        <w:keepNext/>
      </w:pPr>
      <w:r w:rsidRPr="00E050AF">
        <w:rPr>
          <w:i/>
          <w:iCs/>
        </w:rPr>
        <w:t>BRCA</w:t>
      </w:r>
      <w:r w:rsidR="00AB43EA" w:rsidRPr="00E050AF">
        <w:t xml:space="preserve">m = breast cancer gene mutation; </w:t>
      </w:r>
      <w:r w:rsidR="00106289" w:rsidRPr="00E050AF">
        <w:rPr>
          <w:lang w:eastAsia="zh-CN"/>
        </w:rPr>
        <w:t xml:space="preserve">DCO1 = data cut-off 1; </w:t>
      </w:r>
      <w:r w:rsidR="00AB43EA" w:rsidRPr="00E050AF">
        <w:t>HRD = homologous recombination deficiency; KM = Kaplan-Meier; PFS = progression-free survival</w:t>
      </w:r>
    </w:p>
    <w:p w14:paraId="543AE1FD" w14:textId="6378CD71" w:rsidR="00AB43EA" w:rsidRPr="00E050AF" w:rsidRDefault="00AB43EA" w:rsidP="00AB43EA">
      <w:pPr>
        <w:pStyle w:val="TableFooter"/>
        <w:rPr>
          <w:lang w:eastAsia="zh-CN"/>
        </w:rPr>
      </w:pPr>
      <w:r w:rsidRPr="00E050AF">
        <w:rPr>
          <w:lang w:eastAsia="zh-CN"/>
        </w:rPr>
        <w:t>Source: Figure 2.21, p184 of the submission</w:t>
      </w:r>
    </w:p>
    <w:p w14:paraId="2C6E54FF" w14:textId="77777777" w:rsidR="002017CD" w:rsidRPr="00E050AF" w:rsidRDefault="002017CD" w:rsidP="00AB43EA">
      <w:pPr>
        <w:pStyle w:val="TableFooter"/>
        <w:rPr>
          <w:lang w:eastAsia="zh-CN"/>
        </w:rPr>
      </w:pPr>
    </w:p>
    <w:p w14:paraId="0037482A" w14:textId="503DCB31" w:rsidR="00AB43EA" w:rsidRPr="00E050AF" w:rsidRDefault="00AB43EA" w:rsidP="00A354B6">
      <w:pPr>
        <w:pStyle w:val="TableHeading0"/>
      </w:pPr>
      <w:r w:rsidRPr="00E050AF">
        <w:t xml:space="preserve">Figure </w:t>
      </w:r>
      <w:r>
        <w:fldChar w:fldCharType="begin"/>
      </w:r>
      <w:r>
        <w:instrText>SEQ Figure_PBAC. \* ARABIC</w:instrText>
      </w:r>
      <w:r>
        <w:fldChar w:fldCharType="separate"/>
      </w:r>
      <w:r w:rsidR="00E050AF" w:rsidRPr="00E050AF">
        <w:t>5</w:t>
      </w:r>
      <w:r>
        <w:fldChar w:fldCharType="end"/>
      </w:r>
      <w:r w:rsidRPr="00E050AF">
        <w:tab/>
        <w:t>KM estimates of PFS among patients with HRD negative tumours (DCO1)</w:t>
      </w:r>
    </w:p>
    <w:p w14:paraId="63D832B8" w14:textId="3F897DB0" w:rsidR="00AB43EA" w:rsidRPr="00E050AF" w:rsidRDefault="00AB43EA" w:rsidP="00AB43EA">
      <w:pPr>
        <w:rPr>
          <w:lang w:eastAsia="zh-CN"/>
        </w:rPr>
      </w:pPr>
      <w:r w:rsidRPr="00E050AF">
        <w:rPr>
          <w:noProof/>
          <w:lang w:eastAsia="en-AU"/>
        </w:rPr>
        <w:drawing>
          <wp:inline distT="0" distB="0" distL="0" distR="0" wp14:anchorId="50302929" wp14:editId="17A6013B">
            <wp:extent cx="5417389" cy="2757717"/>
            <wp:effectExtent l="0" t="0" r="0" b="5080"/>
            <wp:docPr id="72" name="Picture 72" descr="Figure 5 KM estimates of PFS among patients with HRD negative tumours (DC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descr="Figure 5 KM estimates of PFS among patients with HRD negative tumours (DCO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8390" cy="2763317"/>
                    </a:xfrm>
                    <a:prstGeom prst="rect">
                      <a:avLst/>
                    </a:prstGeom>
                    <a:noFill/>
                    <a:ln>
                      <a:noFill/>
                    </a:ln>
                  </pic:spPr>
                </pic:pic>
              </a:graphicData>
            </a:graphic>
          </wp:inline>
        </w:drawing>
      </w:r>
    </w:p>
    <w:p w14:paraId="781EB746" w14:textId="78BFA39B" w:rsidR="00AB43EA" w:rsidRPr="00E050AF" w:rsidRDefault="00106289" w:rsidP="00FC3969">
      <w:pPr>
        <w:pStyle w:val="TableFooter"/>
        <w:keepNext/>
        <w:rPr>
          <w:lang w:eastAsia="zh-CN"/>
        </w:rPr>
      </w:pPr>
      <w:r w:rsidRPr="00E050AF">
        <w:rPr>
          <w:lang w:eastAsia="zh-CN"/>
        </w:rPr>
        <w:t xml:space="preserve">DCO1 = data cut-off 1; </w:t>
      </w:r>
      <w:r w:rsidR="00AB43EA" w:rsidRPr="00E050AF">
        <w:rPr>
          <w:lang w:eastAsia="zh-CN"/>
        </w:rPr>
        <w:t>HRD = homologous recombination deficiency; KM = Kaplan-Meier; PFS = progression-free survival</w:t>
      </w:r>
    </w:p>
    <w:p w14:paraId="4D69FF60" w14:textId="77777777" w:rsidR="00AB43EA" w:rsidRPr="00E050AF" w:rsidRDefault="00AB43EA" w:rsidP="00AB43EA">
      <w:pPr>
        <w:pStyle w:val="TableFooter"/>
        <w:rPr>
          <w:lang w:eastAsia="zh-CN"/>
        </w:rPr>
      </w:pPr>
      <w:r w:rsidRPr="00E050AF">
        <w:rPr>
          <w:lang w:eastAsia="zh-CN"/>
        </w:rPr>
        <w:t>Source: Figure 2.22, p185 of the submission</w:t>
      </w:r>
    </w:p>
    <w:p w14:paraId="7676E4F5" w14:textId="1F083C13" w:rsidR="00AB43EA" w:rsidRPr="00E050AF" w:rsidRDefault="00764F52" w:rsidP="009D3CDF">
      <w:pPr>
        <w:pStyle w:val="ListParagraph"/>
        <w:numPr>
          <w:ilvl w:val="4"/>
          <w:numId w:val="8"/>
        </w:numPr>
        <w:rPr>
          <w:color w:val="auto"/>
        </w:rPr>
      </w:pPr>
      <w:r w:rsidRPr="00E050AF">
        <w:rPr>
          <w:color w:val="auto"/>
        </w:rPr>
        <w:lastRenderedPageBreak/>
        <w:t>T</w:t>
      </w:r>
      <w:r w:rsidR="00AB43EA" w:rsidRPr="00E050AF">
        <w:rPr>
          <w:color w:val="auto"/>
        </w:rPr>
        <w:t xml:space="preserve">he submission did not explicitly justify why a listing for the entire HRD positive subpopulation was not sought, and it may be unreasonable for patients with </w:t>
      </w:r>
      <w:r w:rsidR="00CF529A" w:rsidRPr="00E050AF">
        <w:rPr>
          <w:i/>
          <w:iCs/>
          <w:color w:val="auto"/>
        </w:rPr>
        <w:t>BRCA</w:t>
      </w:r>
      <w:r w:rsidR="00AB43EA" w:rsidRPr="00E050AF">
        <w:rPr>
          <w:color w:val="auto"/>
        </w:rPr>
        <w:t xml:space="preserve">m to be denied the opportunity to use olaparib plus bevacizumab given that PAOLA-1 has demonstrated that it was efficacious and there could be additional benefits from the addition of bevacizumab to </w:t>
      </w:r>
      <w:r w:rsidR="00027CB9" w:rsidRPr="00E050AF">
        <w:rPr>
          <w:color w:val="auto"/>
        </w:rPr>
        <w:t>olaparib for some patients</w:t>
      </w:r>
      <w:r w:rsidR="00AB43EA" w:rsidRPr="00E050AF">
        <w:rPr>
          <w:color w:val="auto"/>
        </w:rPr>
        <w:t>. Based on the MAIC of PAOLA-1 and SOLO1 presented by the submission, the landmark probability for PFS at 24 months for olaparib + bevacizumab was 82% compared to 73% for olaparib alone, though the adjusted PFS HR (0.71, 95%</w:t>
      </w:r>
      <w:r w:rsidR="00E050AF">
        <w:rPr>
          <w:color w:val="auto"/>
        </w:rPr>
        <w:t xml:space="preserve"> </w:t>
      </w:r>
      <w:r w:rsidR="00AB43EA" w:rsidRPr="00E050AF">
        <w:rPr>
          <w:color w:val="auto"/>
        </w:rPr>
        <w:t>CI 0.45, 1.09) was not statistically significantly different</w:t>
      </w:r>
      <w:r w:rsidR="00C872ED" w:rsidRPr="00E050AF">
        <w:rPr>
          <w:color w:val="auto"/>
        </w:rPr>
        <w:t>.</w:t>
      </w:r>
    </w:p>
    <w:p w14:paraId="734609F8" w14:textId="51B90036" w:rsidR="00805714" w:rsidRPr="00E050AF" w:rsidRDefault="002017CD" w:rsidP="009D3CDF">
      <w:pPr>
        <w:pStyle w:val="ListParagraph"/>
        <w:numPr>
          <w:ilvl w:val="4"/>
          <w:numId w:val="8"/>
        </w:numPr>
        <w:rPr>
          <w:color w:val="auto"/>
        </w:rPr>
      </w:pPr>
      <w:r w:rsidRPr="00E050AF">
        <w:rPr>
          <w:color w:val="auto"/>
        </w:rPr>
        <w:t>T</w:t>
      </w:r>
      <w:r w:rsidR="0026506A" w:rsidRPr="00E050AF">
        <w:rPr>
          <w:color w:val="auto"/>
        </w:rPr>
        <w:t xml:space="preserve">he MAIC used results from </w:t>
      </w:r>
      <w:r w:rsidR="00CF529A" w:rsidRPr="00E050AF">
        <w:rPr>
          <w:i/>
          <w:iCs/>
          <w:color w:val="auto"/>
        </w:rPr>
        <w:t>BRCA</w:t>
      </w:r>
      <w:r w:rsidR="0026506A" w:rsidRPr="00E050AF">
        <w:rPr>
          <w:color w:val="auto"/>
        </w:rPr>
        <w:t xml:space="preserve">m patients as classified with NGS as reported in Ray-Coquard 2019, and a MAIC using the results </w:t>
      </w:r>
      <w:r w:rsidR="00EF1401" w:rsidRPr="00E050AF">
        <w:rPr>
          <w:color w:val="auto"/>
        </w:rPr>
        <w:t xml:space="preserve">from </w:t>
      </w:r>
      <w:r w:rsidR="00CF529A" w:rsidRPr="00E050AF">
        <w:rPr>
          <w:i/>
          <w:iCs/>
          <w:color w:val="auto"/>
        </w:rPr>
        <w:t>BRCA</w:t>
      </w:r>
      <w:r w:rsidR="00EF1401" w:rsidRPr="00E050AF">
        <w:rPr>
          <w:color w:val="auto"/>
        </w:rPr>
        <w:t xml:space="preserve">m patients classified with Myriad myChoice may have led to different estimates, as </w:t>
      </w:r>
      <w:r w:rsidR="007102D9" w:rsidRPr="00E050AF">
        <w:rPr>
          <w:color w:val="auto"/>
        </w:rPr>
        <w:t xml:space="preserve">olaparib plus bevacizumab appeared to be nominally more effective when using Myriad myChoice (HR = 0.28) than Ray-Coquard 2019. </w:t>
      </w:r>
      <w:r w:rsidR="00335804" w:rsidRPr="00E050AF">
        <w:rPr>
          <w:color w:val="auto"/>
        </w:rPr>
        <w:t xml:space="preserve">However, </w:t>
      </w:r>
      <w:r w:rsidR="00C872ED" w:rsidRPr="00E050AF">
        <w:rPr>
          <w:color w:val="auto"/>
        </w:rPr>
        <w:t>this</w:t>
      </w:r>
      <w:r w:rsidR="00335804" w:rsidRPr="00E050AF">
        <w:rPr>
          <w:color w:val="auto"/>
        </w:rPr>
        <w:t xml:space="preserve"> highlights the </w:t>
      </w:r>
      <w:r w:rsidR="003C3049" w:rsidRPr="00E050AF">
        <w:rPr>
          <w:color w:val="auto"/>
        </w:rPr>
        <w:t>lack of robustness</w:t>
      </w:r>
      <w:r w:rsidR="00335804" w:rsidRPr="00E050AF">
        <w:rPr>
          <w:color w:val="auto"/>
        </w:rPr>
        <w:t xml:space="preserve"> of the data with regards to subgroup manipulation.</w:t>
      </w:r>
    </w:p>
    <w:p w14:paraId="4A3A7819" w14:textId="6203C025" w:rsidR="00AB43EA" w:rsidRPr="00E050AF" w:rsidRDefault="00AB43EA" w:rsidP="009D3CDF">
      <w:pPr>
        <w:pStyle w:val="ListParagraph"/>
        <w:numPr>
          <w:ilvl w:val="4"/>
          <w:numId w:val="8"/>
        </w:numPr>
      </w:pPr>
      <w:r w:rsidRPr="00E050AF">
        <w:t xml:space="preserve">At the final </w:t>
      </w:r>
      <w:r w:rsidR="00BD77A4" w:rsidRPr="00E050AF">
        <w:rPr>
          <w:szCs w:val="24"/>
        </w:rPr>
        <w:t>time to second progression (</w:t>
      </w:r>
      <w:r w:rsidRPr="00E050AF">
        <w:t>PFS2</w:t>
      </w:r>
      <w:r w:rsidR="00BD77A4" w:rsidRPr="00E050AF">
        <w:t>)</w:t>
      </w:r>
      <w:r w:rsidRPr="00E050AF">
        <w:t xml:space="preserve"> analysis (</w:t>
      </w:r>
      <w:r w:rsidR="00BD77A4" w:rsidRPr="00E050AF">
        <w:t xml:space="preserve">at </w:t>
      </w:r>
      <w:r w:rsidRPr="00E050AF">
        <w:t xml:space="preserve">DCO2), </w:t>
      </w:r>
      <w:r w:rsidR="00784F38" w:rsidRPr="00E050AF">
        <w:t xml:space="preserve">PFS2 </w:t>
      </w:r>
      <w:r w:rsidRPr="00E050AF">
        <w:t xml:space="preserve">data maturity had reached 52.6% (424 </w:t>
      </w:r>
      <w:r w:rsidR="00A4554D" w:rsidRPr="00E050AF">
        <w:t xml:space="preserve">PFS2 </w:t>
      </w:r>
      <w:r w:rsidRPr="00E050AF">
        <w:t>events/806 patients). A summary of the results for PFS2 is provided in the table below.</w:t>
      </w:r>
    </w:p>
    <w:p w14:paraId="401E42E7" w14:textId="63E6A4F5" w:rsidR="00AB43EA" w:rsidRPr="00E050AF" w:rsidRDefault="00A354B6" w:rsidP="00A354B6">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7</w:t>
      </w:r>
      <w:r w:rsidRPr="00E050AF">
        <w:rPr>
          <w:rStyle w:val="CommentReference"/>
          <w:b/>
          <w:szCs w:val="20"/>
        </w:rPr>
        <w:fldChar w:fldCharType="end"/>
      </w:r>
      <w:r w:rsidR="00AB43EA" w:rsidRPr="00E050AF">
        <w:tab/>
        <w:t>PAOLA-1 PFS2 results</w:t>
      </w:r>
      <w:r w:rsidR="00067AE2" w:rsidRPr="00E050AF">
        <w:t xml:space="preserve"> (DC</w:t>
      </w:r>
      <w:r w:rsidR="00750ABD" w:rsidRPr="00E050AF">
        <w:t>O</w:t>
      </w:r>
      <w:r w:rsidR="00067AE2" w:rsidRPr="00E050AF">
        <w:t>2)</w:t>
      </w:r>
      <w:r w:rsidR="00AB43EA" w:rsidRPr="00E050AF">
        <w:t xml:space="preserve"> </w:t>
      </w:r>
      <w:r w:rsidR="00AB43EA" w:rsidRPr="00E050AF">
        <w:rPr>
          <w:vertAlign w:val="superscript"/>
        </w:rPr>
        <w:t>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PAOLA-1 PFS2 results (DCO2) a"/>
      </w:tblPr>
      <w:tblGrid>
        <w:gridCol w:w="2405"/>
        <w:gridCol w:w="2203"/>
        <w:gridCol w:w="2204"/>
        <w:gridCol w:w="2204"/>
      </w:tblGrid>
      <w:tr w:rsidR="00AB43EA" w:rsidRPr="00E050AF" w14:paraId="71834908" w14:textId="77777777" w:rsidTr="007A7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shd w:val="clear" w:color="auto" w:fill="auto"/>
          </w:tcPr>
          <w:p w14:paraId="63F9805E" w14:textId="77777777" w:rsidR="00AB43EA" w:rsidRPr="00E050AF" w:rsidRDefault="00AB43EA">
            <w:pPr>
              <w:pStyle w:val="TableBodyText-H54"/>
              <w:spacing w:before="0" w:after="0" w:line="240" w:lineRule="auto"/>
              <w:jc w:val="center"/>
              <w:rPr>
                <w:b w:val="0"/>
                <w:bCs/>
                <w:lang w:val="en-AU" w:eastAsia="zh-CN"/>
              </w:rPr>
            </w:pPr>
          </w:p>
        </w:tc>
        <w:tc>
          <w:tcPr>
            <w:tcW w:w="2203" w:type="dxa"/>
            <w:tcBorders>
              <w:top w:val="single" w:sz="4" w:space="0" w:color="auto"/>
              <w:left w:val="single" w:sz="4" w:space="0" w:color="auto"/>
              <w:bottom w:val="single" w:sz="4" w:space="0" w:color="auto"/>
              <w:right w:val="single" w:sz="4" w:space="0" w:color="auto"/>
            </w:tcBorders>
            <w:shd w:val="clear" w:color="auto" w:fill="auto"/>
            <w:hideMark/>
          </w:tcPr>
          <w:p w14:paraId="75BE77ED"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Ola + beva</w:t>
            </w:r>
          </w:p>
        </w:tc>
        <w:tc>
          <w:tcPr>
            <w:tcW w:w="2204" w:type="dxa"/>
            <w:tcBorders>
              <w:top w:val="single" w:sz="4" w:space="0" w:color="auto"/>
              <w:left w:val="single" w:sz="4" w:space="0" w:color="auto"/>
              <w:bottom w:val="single" w:sz="4" w:space="0" w:color="auto"/>
              <w:right w:val="single" w:sz="4" w:space="0" w:color="auto"/>
            </w:tcBorders>
            <w:shd w:val="clear" w:color="auto" w:fill="auto"/>
            <w:hideMark/>
          </w:tcPr>
          <w:p w14:paraId="270BC0E0"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Pbo + beva</w:t>
            </w:r>
          </w:p>
        </w:tc>
        <w:tc>
          <w:tcPr>
            <w:tcW w:w="2204" w:type="dxa"/>
            <w:tcBorders>
              <w:top w:val="single" w:sz="4" w:space="0" w:color="auto"/>
              <w:left w:val="single" w:sz="4" w:space="0" w:color="auto"/>
              <w:bottom w:val="single" w:sz="4" w:space="0" w:color="auto"/>
              <w:right w:val="single" w:sz="4" w:space="0" w:color="auto"/>
            </w:tcBorders>
            <w:shd w:val="clear" w:color="auto" w:fill="auto"/>
            <w:hideMark/>
          </w:tcPr>
          <w:p w14:paraId="08F31BEF"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HR</w:t>
            </w:r>
            <w:r w:rsidRPr="00E050AF">
              <w:rPr>
                <w:bCs/>
                <w:vertAlign w:val="superscript"/>
                <w:lang w:val="en-AU" w:eastAsia="zh-CN"/>
              </w:rPr>
              <w:t>b</w:t>
            </w:r>
            <w:r w:rsidRPr="00E050AF">
              <w:rPr>
                <w:bCs/>
                <w:lang w:val="en-AU" w:eastAsia="zh-CN"/>
              </w:rPr>
              <w:t xml:space="preserve"> (95% CI)</w:t>
            </w:r>
          </w:p>
        </w:tc>
      </w:tr>
      <w:tr w:rsidR="00AB43EA" w:rsidRPr="00E050AF" w14:paraId="48ED7E2A"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2774F833" w14:textId="77777777" w:rsidR="00AB43EA" w:rsidRPr="00E050AF" w:rsidRDefault="00AB43EA">
            <w:pPr>
              <w:pStyle w:val="TableBodyText-H54"/>
              <w:spacing w:before="0" w:after="0" w:line="240" w:lineRule="auto"/>
              <w:rPr>
                <w:b/>
                <w:bCs/>
                <w:lang w:val="en-AU" w:eastAsia="zh-CN"/>
              </w:rPr>
            </w:pPr>
            <w:r w:rsidRPr="00E050AF">
              <w:rPr>
                <w:b/>
                <w:bCs/>
                <w:lang w:val="en-AU" w:eastAsia="zh-CN"/>
              </w:rPr>
              <w:t>FAS</w:t>
            </w:r>
          </w:p>
        </w:tc>
        <w:tc>
          <w:tcPr>
            <w:tcW w:w="2203" w:type="dxa"/>
            <w:tcBorders>
              <w:top w:val="single" w:sz="4" w:space="0" w:color="auto"/>
              <w:left w:val="single" w:sz="4" w:space="0" w:color="auto"/>
              <w:bottom w:val="single" w:sz="4" w:space="0" w:color="auto"/>
              <w:right w:val="single" w:sz="4" w:space="0" w:color="auto"/>
            </w:tcBorders>
          </w:tcPr>
          <w:p w14:paraId="4D6273E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c>
          <w:tcPr>
            <w:tcW w:w="2204" w:type="dxa"/>
            <w:tcBorders>
              <w:top w:val="single" w:sz="4" w:space="0" w:color="auto"/>
              <w:left w:val="single" w:sz="4" w:space="0" w:color="auto"/>
              <w:bottom w:val="single" w:sz="4" w:space="0" w:color="auto"/>
              <w:right w:val="single" w:sz="4" w:space="0" w:color="auto"/>
            </w:tcBorders>
          </w:tcPr>
          <w:p w14:paraId="5505214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c>
          <w:tcPr>
            <w:tcW w:w="2204" w:type="dxa"/>
            <w:tcBorders>
              <w:top w:val="single" w:sz="4" w:space="0" w:color="auto"/>
              <w:left w:val="single" w:sz="4" w:space="0" w:color="auto"/>
              <w:bottom w:val="single" w:sz="4" w:space="0" w:color="auto"/>
              <w:right w:val="single" w:sz="4" w:space="0" w:color="auto"/>
            </w:tcBorders>
          </w:tcPr>
          <w:p w14:paraId="40DBBCF9"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r>
      <w:tr w:rsidR="00AB43EA" w:rsidRPr="00E050AF" w14:paraId="29ABBA8B"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5A0DE5B3" w14:textId="77777777" w:rsidR="00AB43EA" w:rsidRPr="00E050AF" w:rsidRDefault="00AB43EA">
            <w:pPr>
              <w:pStyle w:val="TableBodyText-H54"/>
              <w:spacing w:before="0" w:after="0" w:line="240" w:lineRule="auto"/>
              <w:rPr>
                <w:lang w:val="en-AU" w:eastAsia="zh-CN"/>
              </w:rPr>
            </w:pPr>
            <w:r w:rsidRPr="00E050AF">
              <w:rPr>
                <w:lang w:val="en-AU" w:eastAsia="zh-CN"/>
              </w:rPr>
              <w:t xml:space="preserve">  Median PFS2 (95% CI)</w:t>
            </w:r>
          </w:p>
        </w:tc>
        <w:tc>
          <w:tcPr>
            <w:tcW w:w="2203" w:type="dxa"/>
            <w:tcBorders>
              <w:top w:val="single" w:sz="4" w:space="0" w:color="auto"/>
              <w:left w:val="single" w:sz="4" w:space="0" w:color="auto"/>
              <w:bottom w:val="single" w:sz="4" w:space="0" w:color="auto"/>
              <w:right w:val="single" w:sz="4" w:space="0" w:color="auto"/>
            </w:tcBorders>
            <w:hideMark/>
          </w:tcPr>
          <w:p w14:paraId="6231F910"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36.5 months (32.2,42.6)</w:t>
            </w:r>
          </w:p>
        </w:tc>
        <w:tc>
          <w:tcPr>
            <w:tcW w:w="2204" w:type="dxa"/>
            <w:tcBorders>
              <w:top w:val="single" w:sz="4" w:space="0" w:color="auto"/>
              <w:left w:val="single" w:sz="4" w:space="0" w:color="auto"/>
              <w:bottom w:val="single" w:sz="4" w:space="0" w:color="auto"/>
              <w:right w:val="single" w:sz="4" w:space="0" w:color="auto"/>
            </w:tcBorders>
            <w:hideMark/>
          </w:tcPr>
          <w:p w14:paraId="322CD060"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32.6 months (28.3,35.1)</w:t>
            </w:r>
          </w:p>
        </w:tc>
        <w:tc>
          <w:tcPr>
            <w:tcW w:w="2204" w:type="dxa"/>
            <w:tcBorders>
              <w:top w:val="single" w:sz="4" w:space="0" w:color="auto"/>
              <w:left w:val="single" w:sz="4" w:space="0" w:color="auto"/>
              <w:bottom w:val="single" w:sz="4" w:space="0" w:color="auto"/>
              <w:right w:val="single" w:sz="4" w:space="0" w:color="auto"/>
            </w:tcBorders>
            <w:hideMark/>
          </w:tcPr>
          <w:p w14:paraId="7C42CC7C"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0.78 (0.64, 0.95)</w:t>
            </w:r>
          </w:p>
        </w:tc>
      </w:tr>
      <w:tr w:rsidR="00AB43EA" w:rsidRPr="00E050AF" w14:paraId="59234D05"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3C2025F6" w14:textId="77777777" w:rsidR="00AB43EA" w:rsidRPr="00E050AF" w:rsidRDefault="00AB43EA">
            <w:pPr>
              <w:pStyle w:val="TableBodyText-H54"/>
              <w:spacing w:before="0" w:after="0" w:line="240" w:lineRule="auto"/>
              <w:rPr>
                <w:lang w:val="en-AU" w:eastAsia="zh-CN"/>
              </w:rPr>
            </w:pPr>
            <w:r w:rsidRPr="00E050AF">
              <w:rPr>
                <w:lang w:val="en-AU" w:eastAsia="zh-CN"/>
              </w:rPr>
              <w:t xml:space="preserve">  Events, n/N (%)</w:t>
            </w:r>
          </w:p>
        </w:tc>
        <w:tc>
          <w:tcPr>
            <w:tcW w:w="2203" w:type="dxa"/>
            <w:tcBorders>
              <w:top w:val="single" w:sz="4" w:space="0" w:color="auto"/>
              <w:left w:val="single" w:sz="4" w:space="0" w:color="auto"/>
              <w:bottom w:val="single" w:sz="4" w:space="0" w:color="auto"/>
              <w:right w:val="single" w:sz="4" w:space="0" w:color="auto"/>
            </w:tcBorders>
            <w:hideMark/>
          </w:tcPr>
          <w:p w14:paraId="385D2270"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260/537 (48.4)</w:t>
            </w:r>
          </w:p>
        </w:tc>
        <w:tc>
          <w:tcPr>
            <w:tcW w:w="2204" w:type="dxa"/>
            <w:tcBorders>
              <w:top w:val="single" w:sz="4" w:space="0" w:color="auto"/>
              <w:left w:val="single" w:sz="4" w:space="0" w:color="auto"/>
              <w:bottom w:val="single" w:sz="4" w:space="0" w:color="auto"/>
              <w:right w:val="single" w:sz="4" w:space="0" w:color="auto"/>
            </w:tcBorders>
            <w:hideMark/>
          </w:tcPr>
          <w:p w14:paraId="67FEF4E2"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164/269 (61.0)</w:t>
            </w:r>
          </w:p>
        </w:tc>
        <w:tc>
          <w:tcPr>
            <w:tcW w:w="2204" w:type="dxa"/>
            <w:tcBorders>
              <w:top w:val="single" w:sz="4" w:space="0" w:color="auto"/>
              <w:left w:val="single" w:sz="4" w:space="0" w:color="auto"/>
              <w:bottom w:val="single" w:sz="4" w:space="0" w:color="auto"/>
              <w:right w:val="single" w:sz="4" w:space="0" w:color="auto"/>
            </w:tcBorders>
          </w:tcPr>
          <w:p w14:paraId="3B0565E8"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0C09A767"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3A4EAD8E" w14:textId="2B36377E" w:rsidR="00AB43EA" w:rsidRPr="00E050AF" w:rsidRDefault="00AB43EA">
            <w:pPr>
              <w:pStyle w:val="TableBodyText-H54"/>
              <w:spacing w:before="0" w:after="0" w:line="240" w:lineRule="auto"/>
              <w:rPr>
                <w:b/>
                <w:bCs/>
                <w:lang w:val="en-AU" w:eastAsia="zh-CN"/>
              </w:rPr>
            </w:pPr>
            <w:r w:rsidRPr="00E050AF">
              <w:rPr>
                <w:b/>
                <w:bCs/>
                <w:lang w:val="en-AU" w:eastAsia="zh-CN"/>
              </w:rPr>
              <w:t xml:space="preserve">HRD positive </w:t>
            </w:r>
            <w:r w:rsidR="00CF529A" w:rsidRPr="00E050AF">
              <w:rPr>
                <w:b/>
                <w:bCs/>
                <w:i/>
                <w:iCs/>
                <w:lang w:val="en-AU" w:eastAsia="zh-CN"/>
              </w:rPr>
              <w:t>BRCA</w:t>
            </w:r>
            <w:r w:rsidRPr="00E050AF">
              <w:rPr>
                <w:b/>
                <w:bCs/>
                <w:lang w:val="en-AU" w:eastAsia="zh-CN"/>
              </w:rPr>
              <w:t>wt</w:t>
            </w:r>
          </w:p>
        </w:tc>
        <w:tc>
          <w:tcPr>
            <w:tcW w:w="2203" w:type="dxa"/>
            <w:tcBorders>
              <w:top w:val="single" w:sz="4" w:space="0" w:color="auto"/>
              <w:left w:val="single" w:sz="4" w:space="0" w:color="auto"/>
              <w:bottom w:val="single" w:sz="4" w:space="0" w:color="auto"/>
              <w:right w:val="single" w:sz="4" w:space="0" w:color="auto"/>
            </w:tcBorders>
          </w:tcPr>
          <w:p w14:paraId="7764FA4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c>
          <w:tcPr>
            <w:tcW w:w="2204" w:type="dxa"/>
            <w:tcBorders>
              <w:top w:val="single" w:sz="4" w:space="0" w:color="auto"/>
              <w:left w:val="single" w:sz="4" w:space="0" w:color="auto"/>
              <w:bottom w:val="single" w:sz="4" w:space="0" w:color="auto"/>
              <w:right w:val="single" w:sz="4" w:space="0" w:color="auto"/>
            </w:tcBorders>
          </w:tcPr>
          <w:p w14:paraId="77E2398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c>
          <w:tcPr>
            <w:tcW w:w="2204" w:type="dxa"/>
            <w:tcBorders>
              <w:top w:val="single" w:sz="4" w:space="0" w:color="auto"/>
              <w:left w:val="single" w:sz="4" w:space="0" w:color="auto"/>
              <w:bottom w:val="single" w:sz="4" w:space="0" w:color="auto"/>
              <w:right w:val="single" w:sz="4" w:space="0" w:color="auto"/>
            </w:tcBorders>
          </w:tcPr>
          <w:p w14:paraId="3CC5D1AD"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r>
      <w:tr w:rsidR="00AB43EA" w:rsidRPr="00E050AF" w14:paraId="1269B24A"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6967CDD1" w14:textId="77777777" w:rsidR="00AB43EA" w:rsidRPr="00E050AF" w:rsidRDefault="00AB43EA">
            <w:pPr>
              <w:pStyle w:val="TableBodyText-H54"/>
              <w:spacing w:before="0" w:after="0" w:line="240" w:lineRule="auto"/>
              <w:rPr>
                <w:lang w:val="en-AU" w:eastAsia="zh-CN"/>
              </w:rPr>
            </w:pPr>
            <w:r w:rsidRPr="00E050AF">
              <w:rPr>
                <w:lang w:val="en-AU" w:eastAsia="zh-CN"/>
              </w:rPr>
              <w:t xml:space="preserve">  Median PFS2 (95% CI)</w:t>
            </w:r>
          </w:p>
        </w:tc>
        <w:tc>
          <w:tcPr>
            <w:tcW w:w="2203" w:type="dxa"/>
            <w:tcBorders>
              <w:top w:val="single" w:sz="4" w:space="0" w:color="auto"/>
              <w:left w:val="single" w:sz="4" w:space="0" w:color="auto"/>
              <w:bottom w:val="single" w:sz="4" w:space="0" w:color="auto"/>
              <w:right w:val="single" w:sz="4" w:space="0" w:color="auto"/>
            </w:tcBorders>
            <w:hideMark/>
          </w:tcPr>
          <w:p w14:paraId="4E4FBBFE"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50.3 months (NR)</w:t>
            </w:r>
          </w:p>
        </w:tc>
        <w:tc>
          <w:tcPr>
            <w:tcW w:w="2204" w:type="dxa"/>
            <w:tcBorders>
              <w:top w:val="single" w:sz="4" w:space="0" w:color="auto"/>
              <w:left w:val="single" w:sz="4" w:space="0" w:color="auto"/>
              <w:bottom w:val="single" w:sz="4" w:space="0" w:color="auto"/>
              <w:right w:val="single" w:sz="4" w:space="0" w:color="auto"/>
            </w:tcBorders>
            <w:hideMark/>
          </w:tcPr>
          <w:p w14:paraId="63EBDCC8"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30.1 months (NR)</w:t>
            </w:r>
          </w:p>
        </w:tc>
        <w:tc>
          <w:tcPr>
            <w:tcW w:w="2204" w:type="dxa"/>
            <w:tcBorders>
              <w:top w:val="single" w:sz="4" w:space="0" w:color="auto"/>
              <w:left w:val="single" w:sz="4" w:space="0" w:color="auto"/>
              <w:bottom w:val="single" w:sz="4" w:space="0" w:color="auto"/>
              <w:right w:val="single" w:sz="4" w:space="0" w:color="auto"/>
            </w:tcBorders>
            <w:hideMark/>
          </w:tcPr>
          <w:p w14:paraId="6A81D8DE"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0.60 (0.38,0.96)</w:t>
            </w:r>
            <w:r w:rsidRPr="00E050AF">
              <w:rPr>
                <w:vertAlign w:val="superscript"/>
                <w:lang w:val="en-AU" w:eastAsia="zh-CN"/>
              </w:rPr>
              <w:t>c</w:t>
            </w:r>
          </w:p>
        </w:tc>
      </w:tr>
      <w:tr w:rsidR="00AB43EA" w:rsidRPr="00E050AF" w14:paraId="65C90904"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7BE97B19" w14:textId="77777777" w:rsidR="00AB43EA" w:rsidRPr="00E050AF" w:rsidRDefault="00AB43EA">
            <w:pPr>
              <w:pStyle w:val="TableBodyText-H54"/>
              <w:spacing w:before="0" w:after="0" w:line="240" w:lineRule="auto"/>
              <w:rPr>
                <w:lang w:val="en-AU" w:eastAsia="zh-CN"/>
              </w:rPr>
            </w:pPr>
            <w:r w:rsidRPr="00E050AF">
              <w:rPr>
                <w:lang w:val="en-AU" w:eastAsia="zh-CN"/>
              </w:rPr>
              <w:t xml:space="preserve">  Events, n/N (%)</w:t>
            </w:r>
          </w:p>
        </w:tc>
        <w:tc>
          <w:tcPr>
            <w:tcW w:w="2203" w:type="dxa"/>
            <w:tcBorders>
              <w:top w:val="single" w:sz="4" w:space="0" w:color="auto"/>
              <w:left w:val="single" w:sz="4" w:space="0" w:color="auto"/>
              <w:bottom w:val="single" w:sz="4" w:space="0" w:color="auto"/>
              <w:right w:val="single" w:sz="4" w:space="0" w:color="auto"/>
            </w:tcBorders>
            <w:hideMark/>
          </w:tcPr>
          <w:p w14:paraId="47247374"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41/97 (42.3)</w:t>
            </w:r>
          </w:p>
        </w:tc>
        <w:tc>
          <w:tcPr>
            <w:tcW w:w="2204" w:type="dxa"/>
            <w:tcBorders>
              <w:top w:val="single" w:sz="4" w:space="0" w:color="auto"/>
              <w:left w:val="single" w:sz="4" w:space="0" w:color="auto"/>
              <w:bottom w:val="single" w:sz="4" w:space="0" w:color="auto"/>
              <w:right w:val="single" w:sz="4" w:space="0" w:color="auto"/>
            </w:tcBorders>
            <w:hideMark/>
          </w:tcPr>
          <w:p w14:paraId="5C6E0F44"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33/55 (60.0)</w:t>
            </w:r>
          </w:p>
        </w:tc>
        <w:tc>
          <w:tcPr>
            <w:tcW w:w="2204" w:type="dxa"/>
            <w:tcBorders>
              <w:top w:val="single" w:sz="4" w:space="0" w:color="auto"/>
              <w:left w:val="single" w:sz="4" w:space="0" w:color="auto"/>
              <w:bottom w:val="single" w:sz="4" w:space="0" w:color="auto"/>
              <w:right w:val="single" w:sz="4" w:space="0" w:color="auto"/>
            </w:tcBorders>
          </w:tcPr>
          <w:p w14:paraId="054C93A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16B5F226"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6C6BC3C1" w14:textId="77777777" w:rsidR="00AB43EA" w:rsidRPr="00E050AF" w:rsidRDefault="00AB43EA">
            <w:pPr>
              <w:pStyle w:val="TableBodyText-H54"/>
              <w:spacing w:before="0" w:after="0" w:line="240" w:lineRule="auto"/>
              <w:rPr>
                <w:b/>
                <w:bCs/>
                <w:vertAlign w:val="superscript"/>
                <w:lang w:val="en-AU" w:eastAsia="zh-CN"/>
              </w:rPr>
            </w:pPr>
            <w:r w:rsidRPr="00E050AF">
              <w:rPr>
                <w:b/>
                <w:bCs/>
                <w:lang w:val="en-AU" w:eastAsia="zh-CN"/>
              </w:rPr>
              <w:t>HRD positive</w:t>
            </w:r>
          </w:p>
        </w:tc>
        <w:tc>
          <w:tcPr>
            <w:tcW w:w="2203" w:type="dxa"/>
            <w:tcBorders>
              <w:top w:val="single" w:sz="4" w:space="0" w:color="auto"/>
              <w:left w:val="single" w:sz="4" w:space="0" w:color="auto"/>
              <w:bottom w:val="single" w:sz="4" w:space="0" w:color="auto"/>
              <w:right w:val="single" w:sz="4" w:space="0" w:color="auto"/>
            </w:tcBorders>
          </w:tcPr>
          <w:p w14:paraId="7D41B321"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c>
          <w:tcPr>
            <w:tcW w:w="2204" w:type="dxa"/>
            <w:tcBorders>
              <w:top w:val="single" w:sz="4" w:space="0" w:color="auto"/>
              <w:left w:val="single" w:sz="4" w:space="0" w:color="auto"/>
              <w:bottom w:val="single" w:sz="4" w:space="0" w:color="auto"/>
              <w:right w:val="single" w:sz="4" w:space="0" w:color="auto"/>
            </w:tcBorders>
          </w:tcPr>
          <w:p w14:paraId="5C81E81B"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c>
          <w:tcPr>
            <w:tcW w:w="2204" w:type="dxa"/>
            <w:tcBorders>
              <w:top w:val="single" w:sz="4" w:space="0" w:color="auto"/>
              <w:left w:val="single" w:sz="4" w:space="0" w:color="auto"/>
              <w:bottom w:val="single" w:sz="4" w:space="0" w:color="auto"/>
              <w:right w:val="single" w:sz="4" w:space="0" w:color="auto"/>
            </w:tcBorders>
          </w:tcPr>
          <w:p w14:paraId="7EB23C08"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p>
        </w:tc>
      </w:tr>
      <w:tr w:rsidR="00AB43EA" w:rsidRPr="00E050AF" w14:paraId="2C6029DA"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5D175D5E" w14:textId="77777777" w:rsidR="00AB43EA" w:rsidRPr="00E050AF" w:rsidRDefault="00AB43EA">
            <w:pPr>
              <w:pStyle w:val="TableBodyText-H54"/>
              <w:spacing w:before="0" w:after="0" w:line="240" w:lineRule="auto"/>
              <w:rPr>
                <w:lang w:val="en-AU" w:eastAsia="zh-CN"/>
              </w:rPr>
            </w:pPr>
            <w:r w:rsidRPr="00E050AF">
              <w:rPr>
                <w:lang w:val="en-AU" w:eastAsia="zh-CN"/>
              </w:rPr>
              <w:t xml:space="preserve">  Median PFS2 (95% CI)</w:t>
            </w:r>
          </w:p>
        </w:tc>
        <w:tc>
          <w:tcPr>
            <w:tcW w:w="2203" w:type="dxa"/>
            <w:tcBorders>
              <w:top w:val="single" w:sz="4" w:space="0" w:color="auto"/>
              <w:left w:val="single" w:sz="4" w:space="0" w:color="auto"/>
              <w:bottom w:val="single" w:sz="4" w:space="0" w:color="auto"/>
              <w:right w:val="single" w:sz="4" w:space="0" w:color="auto"/>
            </w:tcBorders>
            <w:hideMark/>
          </w:tcPr>
          <w:p w14:paraId="6465B683" w14:textId="4CDB4579"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50.3 months (</w:t>
            </w:r>
            <w:r w:rsidR="005430BD" w:rsidRPr="00E050AF">
              <w:rPr>
                <w:lang w:val="en-AU" w:eastAsia="zh-CN"/>
              </w:rPr>
              <w:t>50.3, nr</w:t>
            </w:r>
            <w:r w:rsidRPr="00E050AF">
              <w:rPr>
                <w:lang w:val="en-AU" w:eastAsia="zh-CN"/>
              </w:rPr>
              <w:t>)</w:t>
            </w:r>
          </w:p>
        </w:tc>
        <w:tc>
          <w:tcPr>
            <w:tcW w:w="2204" w:type="dxa"/>
            <w:tcBorders>
              <w:top w:val="single" w:sz="4" w:space="0" w:color="auto"/>
              <w:left w:val="single" w:sz="4" w:space="0" w:color="auto"/>
              <w:bottom w:val="single" w:sz="4" w:space="0" w:color="auto"/>
              <w:right w:val="single" w:sz="4" w:space="0" w:color="auto"/>
            </w:tcBorders>
            <w:hideMark/>
          </w:tcPr>
          <w:p w14:paraId="2D17B7DA"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35.4 months (31.2,44.3)</w:t>
            </w:r>
          </w:p>
        </w:tc>
        <w:tc>
          <w:tcPr>
            <w:tcW w:w="2204" w:type="dxa"/>
            <w:tcBorders>
              <w:top w:val="single" w:sz="4" w:space="0" w:color="auto"/>
              <w:left w:val="single" w:sz="4" w:space="0" w:color="auto"/>
              <w:bottom w:val="single" w:sz="4" w:space="0" w:color="auto"/>
              <w:right w:val="single" w:sz="4" w:space="0" w:color="auto"/>
            </w:tcBorders>
            <w:hideMark/>
          </w:tcPr>
          <w:p w14:paraId="01F4EE21"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0.56 (0.41,0.77)</w:t>
            </w:r>
          </w:p>
        </w:tc>
      </w:tr>
      <w:tr w:rsidR="00AB43EA" w:rsidRPr="00E050AF" w14:paraId="2BC109C8" w14:textId="77777777" w:rsidTr="00AB43EA">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single" w:sz="4" w:space="0" w:color="auto"/>
              <w:bottom w:val="single" w:sz="4" w:space="0" w:color="auto"/>
              <w:right w:val="single" w:sz="4" w:space="0" w:color="auto"/>
            </w:tcBorders>
            <w:hideMark/>
          </w:tcPr>
          <w:p w14:paraId="00325D14" w14:textId="77777777" w:rsidR="00AB43EA" w:rsidRPr="00E050AF" w:rsidRDefault="00AB43EA">
            <w:pPr>
              <w:pStyle w:val="TableBodyText-H54"/>
              <w:spacing w:before="0" w:after="0" w:line="240" w:lineRule="auto"/>
              <w:rPr>
                <w:lang w:val="en-AU" w:eastAsia="zh-CN"/>
              </w:rPr>
            </w:pPr>
            <w:r w:rsidRPr="00E050AF">
              <w:rPr>
                <w:lang w:val="en-AU" w:eastAsia="zh-CN"/>
              </w:rPr>
              <w:t xml:space="preserve">  Events, n/N (%)</w:t>
            </w:r>
          </w:p>
        </w:tc>
        <w:tc>
          <w:tcPr>
            <w:tcW w:w="2203" w:type="dxa"/>
            <w:tcBorders>
              <w:top w:val="single" w:sz="4" w:space="0" w:color="auto"/>
              <w:left w:val="single" w:sz="4" w:space="0" w:color="auto"/>
              <w:bottom w:val="single" w:sz="4" w:space="0" w:color="auto"/>
              <w:right w:val="single" w:sz="4" w:space="0" w:color="auto"/>
            </w:tcBorders>
            <w:hideMark/>
          </w:tcPr>
          <w:p w14:paraId="27297A52"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65/255 (37.8)</w:t>
            </w:r>
          </w:p>
        </w:tc>
        <w:tc>
          <w:tcPr>
            <w:tcW w:w="2204" w:type="dxa"/>
            <w:tcBorders>
              <w:top w:val="single" w:sz="4" w:space="0" w:color="auto"/>
              <w:left w:val="single" w:sz="4" w:space="0" w:color="auto"/>
              <w:bottom w:val="single" w:sz="4" w:space="0" w:color="auto"/>
              <w:right w:val="single" w:sz="4" w:space="0" w:color="auto"/>
            </w:tcBorders>
            <w:hideMark/>
          </w:tcPr>
          <w:p w14:paraId="7D465C27"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70/132 (53.0)</w:t>
            </w:r>
          </w:p>
        </w:tc>
        <w:tc>
          <w:tcPr>
            <w:tcW w:w="2204" w:type="dxa"/>
            <w:tcBorders>
              <w:top w:val="single" w:sz="4" w:space="0" w:color="auto"/>
              <w:left w:val="single" w:sz="4" w:space="0" w:color="auto"/>
              <w:bottom w:val="single" w:sz="4" w:space="0" w:color="auto"/>
              <w:right w:val="single" w:sz="4" w:space="0" w:color="auto"/>
            </w:tcBorders>
          </w:tcPr>
          <w:p w14:paraId="0F4A2D85"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bl>
    <w:p w14:paraId="27A0F58E" w14:textId="59FB93FF" w:rsidR="00AB43EA" w:rsidRPr="00E050AF" w:rsidRDefault="00AB43EA" w:rsidP="00FF7304">
      <w:pPr>
        <w:pStyle w:val="TableFooter"/>
        <w:keepNext/>
        <w:keepLines/>
        <w:rPr>
          <w:lang w:eastAsia="zh-CN"/>
        </w:rPr>
      </w:pPr>
      <w:r w:rsidRPr="00E050AF">
        <w:rPr>
          <w:lang w:eastAsia="zh-CN"/>
        </w:rPr>
        <w:t xml:space="preserve">Beva = bevacizumab; </w:t>
      </w:r>
      <w:r w:rsidR="00CF529A" w:rsidRPr="00E050AF">
        <w:rPr>
          <w:i/>
          <w:iCs/>
          <w:lang w:eastAsia="zh-CN"/>
        </w:rPr>
        <w:t>BRCA</w:t>
      </w:r>
      <w:r w:rsidRPr="00E050AF">
        <w:rPr>
          <w:lang w:eastAsia="zh-CN"/>
        </w:rPr>
        <w:t xml:space="preserve">wt = breast cancer gene wild type; </w:t>
      </w:r>
      <w:bookmarkStart w:id="58" w:name="_Hlk102569638"/>
      <w:r w:rsidRPr="00E050AF">
        <w:rPr>
          <w:lang w:eastAsia="zh-CN"/>
        </w:rPr>
        <w:t xml:space="preserve">DCO2 = second data cut-off; </w:t>
      </w:r>
      <w:bookmarkEnd w:id="58"/>
      <w:r w:rsidRPr="00E050AF">
        <w:rPr>
          <w:lang w:eastAsia="zh-CN"/>
        </w:rPr>
        <w:t>FAS = full analysis set; HR =hazard ratio; HRD = homologous recombination deficiency; nr = not reached; NR = not reported; Ola = olaparib; Pbo = placebo</w:t>
      </w:r>
      <w:r w:rsidR="00FF7304" w:rsidRPr="00E050AF">
        <w:rPr>
          <w:lang w:eastAsia="zh-CN"/>
        </w:rPr>
        <w:t xml:space="preserve">; </w:t>
      </w:r>
      <w:r w:rsidR="00FF7304" w:rsidRPr="00E050AF">
        <w:t>PFS2 = time from randomisation to second progression or death</w:t>
      </w:r>
    </w:p>
    <w:p w14:paraId="64F90F64" w14:textId="693A28CC" w:rsidR="00AB43EA" w:rsidRPr="00E050AF" w:rsidRDefault="00AB43EA" w:rsidP="00FC3969">
      <w:pPr>
        <w:pStyle w:val="TableFooter"/>
        <w:keepNext/>
        <w:rPr>
          <w:lang w:eastAsia="zh-CN"/>
        </w:rPr>
      </w:pPr>
      <w:r w:rsidRPr="00E050AF">
        <w:rPr>
          <w:vertAlign w:val="superscript"/>
          <w:lang w:eastAsia="zh-CN"/>
        </w:rPr>
        <w:t>a</w:t>
      </w:r>
      <w:r w:rsidRPr="00E050AF">
        <w:rPr>
          <w:lang w:eastAsia="zh-CN"/>
        </w:rPr>
        <w:t xml:space="preserve"> Table 2.88, p189 of the submission referred to the source “PAOLA-1 CSR Addendum 1”. This reference was incomplete. </w:t>
      </w:r>
      <w:r w:rsidR="00FF7304" w:rsidRPr="00E050AF">
        <w:rPr>
          <w:lang w:eastAsia="zh-CN"/>
        </w:rPr>
        <w:t>Additional information was provided by the sponsor during the evaluation that allowed for verification of this data.</w:t>
      </w:r>
    </w:p>
    <w:p w14:paraId="7250FD3A" w14:textId="1F8AF540" w:rsidR="00AB43EA" w:rsidRPr="00E050AF" w:rsidRDefault="00AB43EA" w:rsidP="00FC3969">
      <w:pPr>
        <w:pStyle w:val="TableFooter"/>
        <w:keepNext/>
        <w:rPr>
          <w:lang w:eastAsia="zh-CN"/>
        </w:rPr>
      </w:pPr>
      <w:r w:rsidRPr="00E050AF">
        <w:rPr>
          <w:vertAlign w:val="superscript"/>
        </w:rPr>
        <w:t>b</w:t>
      </w:r>
      <w:r w:rsidRPr="00E050AF">
        <w:rPr>
          <w:lang w:eastAsia="zh-CN"/>
        </w:rPr>
        <w:t xml:space="preserve"> Estimated from a stratified Cox Proportional Hazards model stratified by first-line treatment outcome and tumour </w:t>
      </w:r>
      <w:r w:rsidR="00CF529A" w:rsidRPr="00E050AF">
        <w:rPr>
          <w:i/>
          <w:iCs/>
          <w:lang w:eastAsia="zh-CN"/>
        </w:rPr>
        <w:t>BRCA</w:t>
      </w:r>
      <w:r w:rsidRPr="00E050AF">
        <w:rPr>
          <w:lang w:eastAsia="zh-CN"/>
        </w:rPr>
        <w:t xml:space="preserve"> status</w:t>
      </w:r>
      <w:r w:rsidR="00FC3969" w:rsidRPr="00E050AF">
        <w:rPr>
          <w:lang w:eastAsia="zh-CN"/>
        </w:rPr>
        <w:t>.</w:t>
      </w:r>
    </w:p>
    <w:p w14:paraId="30EF582A" w14:textId="77777777" w:rsidR="00FC3969" w:rsidRPr="00E050AF" w:rsidRDefault="00AB43EA" w:rsidP="00FC3969">
      <w:pPr>
        <w:pStyle w:val="TableFooter"/>
        <w:keepNext/>
        <w:rPr>
          <w:lang w:eastAsia="zh-CN"/>
        </w:rPr>
      </w:pPr>
      <w:r w:rsidRPr="00E050AF">
        <w:rPr>
          <w:vertAlign w:val="superscript"/>
          <w:lang w:eastAsia="zh-CN"/>
        </w:rPr>
        <w:t>c</w:t>
      </w:r>
      <w:r w:rsidRPr="00E050AF">
        <w:rPr>
          <w:lang w:eastAsia="zh-CN"/>
        </w:rPr>
        <w:t xml:space="preserve"> While it was unclear from the submission why these results were not significant, the PAOLA-1 protocol (p19) stated that “a multiple testing procedure will be applied following a hierarchical testing strategy, PFS is tested first, PFS2 will be tested only if the null hypothesis for PFS is rejected, and then OS will be tested only if statistical significance is shown for PFS and PFS2."</w:t>
      </w:r>
    </w:p>
    <w:p w14:paraId="280F7C3A" w14:textId="69161AC6" w:rsidR="00AB43EA" w:rsidRPr="00E050AF" w:rsidRDefault="00FC3969" w:rsidP="00FC3969">
      <w:pPr>
        <w:pStyle w:val="TableFooter"/>
        <w:rPr>
          <w:lang w:eastAsia="zh-CN"/>
        </w:rPr>
      </w:pPr>
      <w:r w:rsidRPr="00E050AF">
        <w:rPr>
          <w:lang w:eastAsia="zh-CN"/>
        </w:rPr>
        <w:t>Source: Table 2.88, p189 of the submission, Table 26, p117 PAOLA-1 CSR and Table 5, p35 PAOLA-1 CSR Addendum 1.</w:t>
      </w:r>
    </w:p>
    <w:p w14:paraId="3C907107" w14:textId="737DCA07" w:rsidR="00AB43EA" w:rsidRPr="00E050AF" w:rsidRDefault="00AB43EA" w:rsidP="009D3CDF">
      <w:pPr>
        <w:pStyle w:val="ListParagraph"/>
        <w:numPr>
          <w:ilvl w:val="4"/>
          <w:numId w:val="8"/>
        </w:numPr>
      </w:pPr>
      <w:r w:rsidRPr="00E050AF">
        <w:t>A summary of the trial results for OS, conditional on biomarker status is provided in the table below.</w:t>
      </w:r>
    </w:p>
    <w:p w14:paraId="0C4CE500" w14:textId="705ABA74" w:rsidR="00AB43EA" w:rsidRPr="00E050AF" w:rsidRDefault="00A354B6" w:rsidP="00A354B6">
      <w:pPr>
        <w:pStyle w:val="TableHeading0"/>
      </w:pPr>
      <w:bookmarkStart w:id="59" w:name="_Ref110426078"/>
      <w:r w:rsidRPr="00E050AF">
        <w:rPr>
          <w:rStyle w:val="CommentReference"/>
          <w:b/>
          <w:szCs w:val="20"/>
        </w:rPr>
        <w:lastRenderedPageBreak/>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8</w:t>
      </w:r>
      <w:r w:rsidRPr="00E050AF">
        <w:rPr>
          <w:rStyle w:val="CommentReference"/>
          <w:b/>
          <w:szCs w:val="20"/>
        </w:rPr>
        <w:fldChar w:fldCharType="end"/>
      </w:r>
      <w:bookmarkEnd w:id="59"/>
      <w:r w:rsidR="00AB43EA" w:rsidRPr="00E050AF">
        <w:tab/>
        <w:t xml:space="preserve">PAOLA-1 OS according to tumour variant (DCO2) </w:t>
      </w:r>
      <w:r w:rsidR="00AB43EA" w:rsidRPr="00E050AF">
        <w:rPr>
          <w:vertAlign w:val="superscript"/>
        </w:rPr>
        <w:t>a</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PAOLA-1 OS according to tumour variant (DCO2) "/>
      </w:tblPr>
      <w:tblGrid>
        <w:gridCol w:w="2376"/>
        <w:gridCol w:w="2213"/>
        <w:gridCol w:w="2213"/>
        <w:gridCol w:w="2214"/>
      </w:tblGrid>
      <w:tr w:rsidR="00AB43EA" w:rsidRPr="00E050AF" w14:paraId="33857A96" w14:textId="77777777" w:rsidTr="007A7B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shd w:val="clear" w:color="auto" w:fill="auto"/>
          </w:tcPr>
          <w:p w14:paraId="7CF9E11A" w14:textId="77777777" w:rsidR="00AB43EA" w:rsidRPr="00E050AF" w:rsidRDefault="00AB43EA">
            <w:pPr>
              <w:pStyle w:val="TableBodyText-H54"/>
              <w:spacing w:before="0" w:after="0" w:line="240" w:lineRule="auto"/>
              <w:jc w:val="center"/>
              <w:rPr>
                <w:lang w:val="en-AU" w:eastAsia="zh-CN"/>
              </w:rPr>
            </w:pP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193D93D1"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eastAsia="zh-CN"/>
              </w:rPr>
            </w:pPr>
            <w:r w:rsidRPr="00E050AF">
              <w:rPr>
                <w:lang w:val="en-AU" w:eastAsia="zh-CN"/>
              </w:rPr>
              <w:t>Ola + beva</w:t>
            </w:r>
          </w:p>
        </w:tc>
        <w:tc>
          <w:tcPr>
            <w:tcW w:w="2213" w:type="dxa"/>
            <w:tcBorders>
              <w:top w:val="single" w:sz="4" w:space="0" w:color="auto"/>
              <w:left w:val="single" w:sz="4" w:space="0" w:color="auto"/>
              <w:bottom w:val="single" w:sz="4" w:space="0" w:color="auto"/>
              <w:right w:val="single" w:sz="4" w:space="0" w:color="auto"/>
            </w:tcBorders>
            <w:shd w:val="clear" w:color="auto" w:fill="auto"/>
            <w:hideMark/>
          </w:tcPr>
          <w:p w14:paraId="6A5C65A8"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eastAsia="zh-CN"/>
              </w:rPr>
            </w:pPr>
            <w:r w:rsidRPr="00E050AF">
              <w:rPr>
                <w:lang w:val="en-AU" w:eastAsia="zh-CN"/>
              </w:rPr>
              <w:t>Pbo + beva</w:t>
            </w:r>
            <w:r w:rsidRPr="00E050AF">
              <w:rPr>
                <w:b w:val="0"/>
                <w:bCs/>
                <w:vertAlign w:val="superscript"/>
                <w:lang w:val="en-AU" w:eastAsia="zh-CN"/>
              </w:rPr>
              <w:t>c</w:t>
            </w:r>
          </w:p>
        </w:tc>
        <w:tc>
          <w:tcPr>
            <w:tcW w:w="2214" w:type="dxa"/>
            <w:tcBorders>
              <w:top w:val="single" w:sz="4" w:space="0" w:color="auto"/>
              <w:left w:val="single" w:sz="4" w:space="0" w:color="auto"/>
              <w:bottom w:val="single" w:sz="4" w:space="0" w:color="auto"/>
              <w:right w:val="single" w:sz="4" w:space="0" w:color="auto"/>
            </w:tcBorders>
            <w:shd w:val="clear" w:color="auto" w:fill="auto"/>
            <w:hideMark/>
          </w:tcPr>
          <w:p w14:paraId="75B4C8BA"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eastAsia="zh-CN"/>
              </w:rPr>
            </w:pPr>
            <w:r w:rsidRPr="00E050AF">
              <w:rPr>
                <w:lang w:val="en-AU" w:eastAsia="zh-CN"/>
              </w:rPr>
              <w:t>HR</w:t>
            </w:r>
            <w:r w:rsidRPr="00E050AF">
              <w:rPr>
                <w:vertAlign w:val="superscript"/>
                <w:lang w:val="en-AU" w:eastAsia="zh-CN"/>
              </w:rPr>
              <w:t>b</w:t>
            </w:r>
            <w:r w:rsidRPr="00E050AF">
              <w:rPr>
                <w:lang w:val="en-AU" w:eastAsia="zh-CN"/>
              </w:rPr>
              <w:t xml:space="preserve"> (95% CI)</w:t>
            </w:r>
          </w:p>
        </w:tc>
      </w:tr>
      <w:tr w:rsidR="00AB43EA" w:rsidRPr="00E050AF" w14:paraId="6E96E724"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22BC9F71" w14:textId="77777777" w:rsidR="00AB43EA" w:rsidRPr="00E050AF" w:rsidRDefault="00AB43EA">
            <w:pPr>
              <w:pStyle w:val="TableBodyText-H54"/>
              <w:spacing w:before="0" w:after="0" w:line="240" w:lineRule="auto"/>
              <w:rPr>
                <w:b/>
                <w:lang w:val="en-AU" w:eastAsia="zh-CN"/>
              </w:rPr>
            </w:pPr>
            <w:r w:rsidRPr="00E050AF">
              <w:rPr>
                <w:b/>
                <w:lang w:val="en-AU" w:eastAsia="zh-CN"/>
              </w:rPr>
              <w:t>FAS</w:t>
            </w:r>
          </w:p>
        </w:tc>
        <w:tc>
          <w:tcPr>
            <w:tcW w:w="2213" w:type="dxa"/>
            <w:tcBorders>
              <w:top w:val="single" w:sz="4" w:space="0" w:color="auto"/>
              <w:left w:val="single" w:sz="4" w:space="0" w:color="auto"/>
              <w:bottom w:val="single" w:sz="4" w:space="0" w:color="auto"/>
              <w:right w:val="single" w:sz="4" w:space="0" w:color="auto"/>
            </w:tcBorders>
          </w:tcPr>
          <w:p w14:paraId="393D6873" w14:textId="77777777" w:rsidR="00AB43EA" w:rsidRPr="00E050AF" w:rsidRDefault="00AB43EA">
            <w:pPr>
              <w:pStyle w:val="TableBodyText-H54"/>
              <w:spacing w:before="0" w:after="0" w:line="240" w:lineRule="auto"/>
              <w:cnfStyle w:val="000000000000" w:firstRow="0" w:lastRow="0" w:firstColumn="0" w:lastColumn="0" w:oddVBand="0" w:evenVBand="0" w:oddHBand="0" w:evenHBand="0" w:firstRowFirstColumn="0" w:firstRowLastColumn="0" w:lastRowFirstColumn="0" w:lastRowLastColumn="0"/>
              <w:rPr>
                <w:lang w:val="en-AU" w:eastAsia="zh-CN"/>
              </w:rPr>
            </w:pPr>
          </w:p>
        </w:tc>
        <w:tc>
          <w:tcPr>
            <w:tcW w:w="2213" w:type="dxa"/>
            <w:tcBorders>
              <w:top w:val="single" w:sz="4" w:space="0" w:color="auto"/>
              <w:left w:val="single" w:sz="4" w:space="0" w:color="auto"/>
              <w:bottom w:val="single" w:sz="4" w:space="0" w:color="auto"/>
              <w:right w:val="single" w:sz="4" w:space="0" w:color="auto"/>
            </w:tcBorders>
          </w:tcPr>
          <w:p w14:paraId="03DCD8AD" w14:textId="77777777" w:rsidR="00AB43EA" w:rsidRPr="00E050AF" w:rsidRDefault="00AB43EA">
            <w:pPr>
              <w:pStyle w:val="TableBodyText-H54"/>
              <w:spacing w:before="0" w:after="0" w:line="240" w:lineRule="auto"/>
              <w:cnfStyle w:val="000000000000" w:firstRow="0" w:lastRow="0" w:firstColumn="0" w:lastColumn="0" w:oddVBand="0" w:evenVBand="0" w:oddHBand="0" w:evenHBand="0" w:firstRowFirstColumn="0" w:firstRowLastColumn="0" w:lastRowFirstColumn="0" w:lastRowLastColumn="0"/>
              <w:rPr>
                <w:lang w:val="en-AU" w:eastAsia="zh-CN"/>
              </w:rPr>
            </w:pPr>
          </w:p>
        </w:tc>
        <w:tc>
          <w:tcPr>
            <w:tcW w:w="2214" w:type="dxa"/>
            <w:tcBorders>
              <w:top w:val="single" w:sz="4" w:space="0" w:color="auto"/>
              <w:left w:val="single" w:sz="4" w:space="0" w:color="auto"/>
              <w:bottom w:val="single" w:sz="4" w:space="0" w:color="auto"/>
              <w:right w:val="single" w:sz="4" w:space="0" w:color="auto"/>
            </w:tcBorders>
          </w:tcPr>
          <w:p w14:paraId="4A71109B" w14:textId="77777777" w:rsidR="00AB43EA" w:rsidRPr="00E050AF" w:rsidRDefault="00AB43EA">
            <w:pPr>
              <w:pStyle w:val="TableBodyText-H54"/>
              <w:spacing w:before="0" w:after="0" w:line="240" w:lineRule="auto"/>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1D0028DA"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2E2E524E" w14:textId="77777777" w:rsidR="00AB43EA" w:rsidRPr="00E050AF" w:rsidRDefault="00AB43EA">
            <w:pPr>
              <w:pStyle w:val="TableBodyText-H54"/>
              <w:spacing w:before="0" w:after="0" w:line="240" w:lineRule="auto"/>
              <w:rPr>
                <w:lang w:val="en-AU" w:eastAsia="zh-CN"/>
              </w:rPr>
            </w:pPr>
            <w:r w:rsidRPr="00E050AF">
              <w:rPr>
                <w:lang w:val="en-AU" w:eastAsia="zh-CN"/>
              </w:rPr>
              <w:t xml:space="preserve">  Median OS</w:t>
            </w:r>
          </w:p>
        </w:tc>
        <w:tc>
          <w:tcPr>
            <w:tcW w:w="2213" w:type="dxa"/>
            <w:tcBorders>
              <w:top w:val="single" w:sz="4" w:space="0" w:color="auto"/>
              <w:left w:val="single" w:sz="4" w:space="0" w:color="auto"/>
              <w:bottom w:val="single" w:sz="4" w:space="0" w:color="auto"/>
              <w:right w:val="single" w:sz="4" w:space="0" w:color="auto"/>
            </w:tcBorders>
            <w:hideMark/>
          </w:tcPr>
          <w:p w14:paraId="4218487D"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w:t>
            </w:r>
          </w:p>
        </w:tc>
        <w:tc>
          <w:tcPr>
            <w:tcW w:w="2213" w:type="dxa"/>
            <w:tcBorders>
              <w:top w:val="single" w:sz="4" w:space="0" w:color="auto"/>
              <w:left w:val="single" w:sz="4" w:space="0" w:color="auto"/>
              <w:bottom w:val="single" w:sz="4" w:space="0" w:color="auto"/>
              <w:right w:val="single" w:sz="4" w:space="0" w:color="auto"/>
            </w:tcBorders>
            <w:hideMark/>
          </w:tcPr>
          <w:p w14:paraId="38A1A832" w14:textId="2E55D213"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45.8 (</w:t>
            </w:r>
            <w:r w:rsidR="005430BD" w:rsidRPr="00E050AF">
              <w:rPr>
                <w:lang w:val="en-AU" w:eastAsia="zh-CN"/>
              </w:rPr>
              <w:t>43.2, NR</w:t>
            </w:r>
            <w:r w:rsidRPr="00E050AF">
              <w:rPr>
                <w:lang w:val="en-AU" w:eastAsia="zh-CN"/>
              </w:rPr>
              <w:t>)</w:t>
            </w:r>
          </w:p>
        </w:tc>
        <w:tc>
          <w:tcPr>
            <w:tcW w:w="2214" w:type="dxa"/>
            <w:tcBorders>
              <w:top w:val="single" w:sz="4" w:space="0" w:color="auto"/>
              <w:left w:val="single" w:sz="4" w:space="0" w:color="auto"/>
              <w:bottom w:val="single" w:sz="4" w:space="0" w:color="auto"/>
              <w:right w:val="single" w:sz="4" w:space="0" w:color="auto"/>
            </w:tcBorders>
            <w:hideMark/>
          </w:tcPr>
          <w:p w14:paraId="2CBE5644"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0.93 (0.74,1.18)</w:t>
            </w:r>
          </w:p>
        </w:tc>
      </w:tr>
      <w:tr w:rsidR="00AB43EA" w:rsidRPr="00E050AF" w14:paraId="64698435"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2A2BE4E0" w14:textId="77777777" w:rsidR="00AB43EA" w:rsidRPr="00E050AF" w:rsidRDefault="00AB43EA">
            <w:pPr>
              <w:pStyle w:val="TableBodyText-H54"/>
              <w:spacing w:before="0" w:after="0" w:line="240" w:lineRule="auto"/>
              <w:rPr>
                <w:lang w:val="en-AU" w:eastAsia="zh-CN"/>
              </w:rPr>
            </w:pPr>
            <w:r w:rsidRPr="00E050AF">
              <w:rPr>
                <w:lang w:val="en-AU" w:eastAsia="zh-CN"/>
              </w:rPr>
              <w:t xml:space="preserve">  Events, n/N (%)</w:t>
            </w:r>
          </w:p>
        </w:tc>
        <w:tc>
          <w:tcPr>
            <w:tcW w:w="2213" w:type="dxa"/>
            <w:tcBorders>
              <w:top w:val="single" w:sz="4" w:space="0" w:color="auto"/>
              <w:left w:val="single" w:sz="4" w:space="0" w:color="auto"/>
              <w:bottom w:val="single" w:sz="4" w:space="0" w:color="auto"/>
              <w:right w:val="single" w:sz="4" w:space="0" w:color="auto"/>
            </w:tcBorders>
            <w:hideMark/>
          </w:tcPr>
          <w:p w14:paraId="70F82942"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195/537 (36.3)</w:t>
            </w:r>
          </w:p>
        </w:tc>
        <w:tc>
          <w:tcPr>
            <w:tcW w:w="2213" w:type="dxa"/>
            <w:tcBorders>
              <w:top w:val="single" w:sz="4" w:space="0" w:color="auto"/>
              <w:left w:val="single" w:sz="4" w:space="0" w:color="auto"/>
              <w:bottom w:val="single" w:sz="4" w:space="0" w:color="auto"/>
              <w:right w:val="single" w:sz="4" w:space="0" w:color="auto"/>
            </w:tcBorders>
            <w:hideMark/>
          </w:tcPr>
          <w:p w14:paraId="7B53B88B"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108/269 (40.1)</w:t>
            </w:r>
          </w:p>
        </w:tc>
        <w:tc>
          <w:tcPr>
            <w:tcW w:w="2214" w:type="dxa"/>
            <w:tcBorders>
              <w:top w:val="single" w:sz="4" w:space="0" w:color="auto"/>
              <w:left w:val="single" w:sz="4" w:space="0" w:color="auto"/>
              <w:bottom w:val="single" w:sz="4" w:space="0" w:color="auto"/>
              <w:right w:val="single" w:sz="4" w:space="0" w:color="auto"/>
            </w:tcBorders>
            <w:hideMark/>
          </w:tcPr>
          <w:p w14:paraId="55DB982B"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p=0.5631</w:t>
            </w:r>
          </w:p>
        </w:tc>
      </w:tr>
      <w:tr w:rsidR="00AB43EA" w:rsidRPr="00E050AF" w14:paraId="73C7EE4F"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3F01D63F" w14:textId="77777777" w:rsidR="00AB43EA" w:rsidRPr="00E050AF" w:rsidRDefault="00AB43EA">
            <w:pPr>
              <w:pStyle w:val="TableBodyText-H54"/>
              <w:spacing w:before="0" w:after="0" w:line="240" w:lineRule="auto"/>
              <w:rPr>
                <w:b/>
                <w:lang w:val="en-AU" w:eastAsia="zh-CN"/>
              </w:rPr>
            </w:pPr>
            <w:r w:rsidRPr="00E050AF">
              <w:rPr>
                <w:b/>
                <w:lang w:val="en-AU" w:eastAsia="zh-CN"/>
              </w:rPr>
              <w:t>ITT HRD tested population</w:t>
            </w:r>
          </w:p>
        </w:tc>
        <w:tc>
          <w:tcPr>
            <w:tcW w:w="2213" w:type="dxa"/>
            <w:tcBorders>
              <w:top w:val="single" w:sz="4" w:space="0" w:color="auto"/>
              <w:left w:val="single" w:sz="4" w:space="0" w:color="auto"/>
              <w:bottom w:val="single" w:sz="4" w:space="0" w:color="auto"/>
              <w:right w:val="single" w:sz="4" w:space="0" w:color="auto"/>
            </w:tcBorders>
          </w:tcPr>
          <w:p w14:paraId="4485056E"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c>
          <w:tcPr>
            <w:tcW w:w="2213" w:type="dxa"/>
            <w:tcBorders>
              <w:top w:val="single" w:sz="4" w:space="0" w:color="auto"/>
              <w:left w:val="single" w:sz="4" w:space="0" w:color="auto"/>
              <w:bottom w:val="single" w:sz="4" w:space="0" w:color="auto"/>
              <w:right w:val="single" w:sz="4" w:space="0" w:color="auto"/>
            </w:tcBorders>
          </w:tcPr>
          <w:p w14:paraId="3E2E1EE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c>
          <w:tcPr>
            <w:tcW w:w="2214" w:type="dxa"/>
            <w:tcBorders>
              <w:top w:val="single" w:sz="4" w:space="0" w:color="auto"/>
              <w:left w:val="single" w:sz="4" w:space="0" w:color="auto"/>
              <w:bottom w:val="single" w:sz="4" w:space="0" w:color="auto"/>
              <w:right w:val="single" w:sz="4" w:space="0" w:color="auto"/>
            </w:tcBorders>
          </w:tcPr>
          <w:p w14:paraId="0A6585BA"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27110280"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580E4050" w14:textId="77777777" w:rsidR="00AB43EA" w:rsidRPr="00E050AF" w:rsidRDefault="00AB43EA">
            <w:pPr>
              <w:pStyle w:val="TableBodyText-H54"/>
              <w:spacing w:before="0" w:after="0" w:line="240" w:lineRule="auto"/>
              <w:rPr>
                <w:lang w:val="en-AU" w:eastAsia="zh-CN"/>
              </w:rPr>
            </w:pPr>
            <w:r w:rsidRPr="00E050AF">
              <w:rPr>
                <w:lang w:val="en-AU" w:eastAsia="zh-CN"/>
              </w:rPr>
              <w:t xml:space="preserve">  Median OS</w:t>
            </w:r>
          </w:p>
        </w:tc>
        <w:tc>
          <w:tcPr>
            <w:tcW w:w="2213" w:type="dxa"/>
            <w:tcBorders>
              <w:top w:val="single" w:sz="4" w:space="0" w:color="auto"/>
              <w:left w:val="single" w:sz="4" w:space="0" w:color="auto"/>
              <w:bottom w:val="single" w:sz="4" w:space="0" w:color="auto"/>
              <w:right w:val="single" w:sz="4" w:space="0" w:color="auto"/>
            </w:tcBorders>
            <w:hideMark/>
          </w:tcPr>
          <w:p w14:paraId="35C62164"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w:t>
            </w:r>
          </w:p>
        </w:tc>
        <w:tc>
          <w:tcPr>
            <w:tcW w:w="2213" w:type="dxa"/>
            <w:tcBorders>
              <w:top w:val="single" w:sz="4" w:space="0" w:color="auto"/>
              <w:left w:val="single" w:sz="4" w:space="0" w:color="auto"/>
              <w:bottom w:val="single" w:sz="4" w:space="0" w:color="auto"/>
              <w:right w:val="single" w:sz="4" w:space="0" w:color="auto"/>
            </w:tcBorders>
            <w:hideMark/>
          </w:tcPr>
          <w:p w14:paraId="0CFBDB7D" w14:textId="1EF1E013"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45.8 (</w:t>
            </w:r>
            <w:r w:rsidR="005430BD" w:rsidRPr="00E050AF">
              <w:rPr>
                <w:lang w:val="en-AU" w:eastAsia="zh-CN"/>
              </w:rPr>
              <w:t>43.2, NR</w:t>
            </w:r>
            <w:r w:rsidRPr="00E050AF">
              <w:rPr>
                <w:lang w:val="en-AU" w:eastAsia="zh-CN"/>
              </w:rPr>
              <w:t>)</w:t>
            </w:r>
          </w:p>
        </w:tc>
        <w:tc>
          <w:tcPr>
            <w:tcW w:w="2214" w:type="dxa"/>
            <w:tcBorders>
              <w:top w:val="single" w:sz="4" w:space="0" w:color="auto"/>
              <w:left w:val="single" w:sz="4" w:space="0" w:color="auto"/>
              <w:bottom w:val="single" w:sz="4" w:space="0" w:color="auto"/>
              <w:right w:val="single" w:sz="4" w:space="0" w:color="auto"/>
            </w:tcBorders>
            <w:hideMark/>
          </w:tcPr>
          <w:p w14:paraId="351FFBF0"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0.91 (0.70,1.19)</w:t>
            </w:r>
          </w:p>
        </w:tc>
      </w:tr>
      <w:tr w:rsidR="00AB43EA" w:rsidRPr="00E050AF" w14:paraId="25119F45"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5299B9F2" w14:textId="77777777" w:rsidR="00AB43EA" w:rsidRPr="00E050AF" w:rsidRDefault="00AB43EA">
            <w:pPr>
              <w:pStyle w:val="TableBodyText-H54"/>
              <w:spacing w:before="0" w:after="0" w:line="240" w:lineRule="auto"/>
              <w:rPr>
                <w:lang w:val="en-AU" w:eastAsia="zh-CN"/>
              </w:rPr>
            </w:pPr>
            <w:r w:rsidRPr="00E050AF">
              <w:rPr>
                <w:lang w:val="en-AU" w:eastAsia="zh-CN"/>
              </w:rPr>
              <w:t xml:space="preserve">  Events, n/N (%)</w:t>
            </w:r>
          </w:p>
        </w:tc>
        <w:tc>
          <w:tcPr>
            <w:tcW w:w="2213" w:type="dxa"/>
            <w:tcBorders>
              <w:top w:val="single" w:sz="4" w:space="0" w:color="auto"/>
              <w:left w:val="single" w:sz="4" w:space="0" w:color="auto"/>
              <w:bottom w:val="single" w:sz="4" w:space="0" w:color="auto"/>
              <w:right w:val="single" w:sz="4" w:space="0" w:color="auto"/>
            </w:tcBorders>
            <w:hideMark/>
          </w:tcPr>
          <w:p w14:paraId="6E7F63C2"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156/447 (34.9)</w:t>
            </w:r>
          </w:p>
        </w:tc>
        <w:tc>
          <w:tcPr>
            <w:tcW w:w="2213" w:type="dxa"/>
            <w:tcBorders>
              <w:top w:val="single" w:sz="4" w:space="0" w:color="auto"/>
              <w:left w:val="single" w:sz="4" w:space="0" w:color="auto"/>
              <w:bottom w:val="single" w:sz="4" w:space="0" w:color="auto"/>
              <w:right w:val="single" w:sz="4" w:space="0" w:color="auto"/>
            </w:tcBorders>
            <w:hideMark/>
          </w:tcPr>
          <w:p w14:paraId="28230A6E"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86/217 (39.6)</w:t>
            </w:r>
          </w:p>
        </w:tc>
        <w:tc>
          <w:tcPr>
            <w:tcW w:w="2214" w:type="dxa"/>
            <w:tcBorders>
              <w:top w:val="single" w:sz="4" w:space="0" w:color="auto"/>
              <w:left w:val="single" w:sz="4" w:space="0" w:color="auto"/>
              <w:bottom w:val="single" w:sz="4" w:space="0" w:color="auto"/>
              <w:right w:val="single" w:sz="4" w:space="0" w:color="auto"/>
            </w:tcBorders>
            <w:hideMark/>
          </w:tcPr>
          <w:p w14:paraId="6353E8AA"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p=0.4833</w:t>
            </w:r>
          </w:p>
        </w:tc>
      </w:tr>
      <w:tr w:rsidR="00AB43EA" w:rsidRPr="00E050AF" w14:paraId="137E2C11"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3017E7EB" w14:textId="1F58BDA9" w:rsidR="00AB43EA" w:rsidRPr="00E050AF" w:rsidRDefault="00AB43EA">
            <w:pPr>
              <w:pStyle w:val="TableBodyText-H54"/>
              <w:spacing w:before="0" w:after="0" w:line="240" w:lineRule="auto"/>
              <w:rPr>
                <w:b/>
                <w:lang w:val="en-AU" w:eastAsia="zh-CN"/>
              </w:rPr>
            </w:pPr>
            <w:r w:rsidRPr="00E050AF">
              <w:rPr>
                <w:b/>
                <w:lang w:val="en-AU" w:eastAsia="zh-CN"/>
              </w:rPr>
              <w:t xml:space="preserve">HRD positive </w:t>
            </w:r>
            <w:r w:rsidR="00CF529A" w:rsidRPr="00E050AF">
              <w:rPr>
                <w:b/>
                <w:i/>
                <w:iCs/>
                <w:lang w:val="en-AU" w:eastAsia="zh-CN"/>
              </w:rPr>
              <w:t>BRCA</w:t>
            </w:r>
            <w:r w:rsidRPr="00E050AF">
              <w:rPr>
                <w:b/>
                <w:lang w:val="en-AU" w:eastAsia="zh-CN"/>
              </w:rPr>
              <w:t>wt</w:t>
            </w:r>
          </w:p>
        </w:tc>
        <w:tc>
          <w:tcPr>
            <w:tcW w:w="2213" w:type="dxa"/>
            <w:tcBorders>
              <w:top w:val="single" w:sz="4" w:space="0" w:color="auto"/>
              <w:left w:val="single" w:sz="4" w:space="0" w:color="auto"/>
              <w:bottom w:val="single" w:sz="4" w:space="0" w:color="auto"/>
              <w:right w:val="single" w:sz="4" w:space="0" w:color="auto"/>
            </w:tcBorders>
          </w:tcPr>
          <w:p w14:paraId="2028F1A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lang w:val="en-AU" w:eastAsia="zh-CN"/>
              </w:rPr>
            </w:pPr>
          </w:p>
        </w:tc>
        <w:tc>
          <w:tcPr>
            <w:tcW w:w="2213" w:type="dxa"/>
            <w:tcBorders>
              <w:top w:val="single" w:sz="4" w:space="0" w:color="auto"/>
              <w:left w:val="single" w:sz="4" w:space="0" w:color="auto"/>
              <w:bottom w:val="single" w:sz="4" w:space="0" w:color="auto"/>
              <w:right w:val="single" w:sz="4" w:space="0" w:color="auto"/>
            </w:tcBorders>
          </w:tcPr>
          <w:p w14:paraId="5DCB278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lang w:val="en-AU" w:eastAsia="zh-CN"/>
              </w:rPr>
            </w:pPr>
          </w:p>
        </w:tc>
        <w:tc>
          <w:tcPr>
            <w:tcW w:w="2214" w:type="dxa"/>
            <w:tcBorders>
              <w:top w:val="single" w:sz="4" w:space="0" w:color="auto"/>
              <w:left w:val="single" w:sz="4" w:space="0" w:color="auto"/>
              <w:bottom w:val="single" w:sz="4" w:space="0" w:color="auto"/>
              <w:right w:val="single" w:sz="4" w:space="0" w:color="auto"/>
            </w:tcBorders>
          </w:tcPr>
          <w:p w14:paraId="55B81EB0"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lang w:val="en-AU" w:eastAsia="zh-CN"/>
              </w:rPr>
            </w:pPr>
          </w:p>
        </w:tc>
      </w:tr>
      <w:tr w:rsidR="00AB43EA" w:rsidRPr="00E050AF" w14:paraId="0A3A60E5"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6A6D51C1" w14:textId="77777777" w:rsidR="00AB43EA" w:rsidRPr="00E050AF" w:rsidRDefault="00AB43EA">
            <w:pPr>
              <w:pStyle w:val="TableBodyText-H54"/>
              <w:spacing w:before="0" w:after="0" w:line="240" w:lineRule="auto"/>
              <w:rPr>
                <w:lang w:val="en-AU" w:eastAsia="zh-CN"/>
              </w:rPr>
            </w:pPr>
            <w:r w:rsidRPr="00E050AF">
              <w:rPr>
                <w:lang w:val="en-AU" w:eastAsia="zh-CN"/>
              </w:rPr>
              <w:t xml:space="preserve">  Median OS</w:t>
            </w:r>
          </w:p>
        </w:tc>
        <w:tc>
          <w:tcPr>
            <w:tcW w:w="2213" w:type="dxa"/>
            <w:tcBorders>
              <w:top w:val="single" w:sz="4" w:space="0" w:color="auto"/>
              <w:left w:val="single" w:sz="4" w:space="0" w:color="auto"/>
              <w:bottom w:val="single" w:sz="4" w:space="0" w:color="auto"/>
              <w:right w:val="single" w:sz="4" w:space="0" w:color="auto"/>
            </w:tcBorders>
            <w:hideMark/>
          </w:tcPr>
          <w:p w14:paraId="7EE6412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w:t>
            </w:r>
          </w:p>
        </w:tc>
        <w:tc>
          <w:tcPr>
            <w:tcW w:w="2213" w:type="dxa"/>
            <w:tcBorders>
              <w:top w:val="single" w:sz="4" w:space="0" w:color="auto"/>
              <w:left w:val="single" w:sz="4" w:space="0" w:color="auto"/>
              <w:bottom w:val="single" w:sz="4" w:space="0" w:color="auto"/>
              <w:right w:val="single" w:sz="4" w:space="0" w:color="auto"/>
            </w:tcBorders>
            <w:hideMark/>
          </w:tcPr>
          <w:p w14:paraId="625FB3BD"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45.8</w:t>
            </w:r>
          </w:p>
        </w:tc>
        <w:tc>
          <w:tcPr>
            <w:tcW w:w="2214" w:type="dxa"/>
            <w:tcBorders>
              <w:top w:val="single" w:sz="4" w:space="0" w:color="auto"/>
              <w:left w:val="single" w:sz="4" w:space="0" w:color="auto"/>
              <w:bottom w:val="single" w:sz="4" w:space="0" w:color="auto"/>
              <w:right w:val="single" w:sz="4" w:space="0" w:color="auto"/>
            </w:tcBorders>
            <w:hideMark/>
          </w:tcPr>
          <w:p w14:paraId="0C7F49AE"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0.84 (0.46,1.52)</w:t>
            </w:r>
          </w:p>
        </w:tc>
      </w:tr>
      <w:tr w:rsidR="00AB43EA" w:rsidRPr="00E050AF" w14:paraId="4F953D77"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7CA3EC02" w14:textId="77777777" w:rsidR="00AB43EA" w:rsidRPr="00E050AF" w:rsidRDefault="00AB43EA">
            <w:pPr>
              <w:pStyle w:val="TableBodyText-H54"/>
              <w:spacing w:before="0" w:after="0" w:line="240" w:lineRule="auto"/>
              <w:rPr>
                <w:lang w:val="en-AU" w:eastAsia="zh-CN"/>
              </w:rPr>
            </w:pPr>
            <w:r w:rsidRPr="00E050AF">
              <w:rPr>
                <w:lang w:val="en-AU" w:eastAsia="zh-CN"/>
              </w:rPr>
              <w:t xml:space="preserve">  Events, n/N (%)</w:t>
            </w:r>
          </w:p>
        </w:tc>
        <w:tc>
          <w:tcPr>
            <w:tcW w:w="2213" w:type="dxa"/>
            <w:tcBorders>
              <w:top w:val="single" w:sz="4" w:space="0" w:color="auto"/>
              <w:left w:val="single" w:sz="4" w:space="0" w:color="auto"/>
              <w:bottom w:val="single" w:sz="4" w:space="0" w:color="auto"/>
              <w:right w:val="single" w:sz="4" w:space="0" w:color="auto"/>
            </w:tcBorders>
            <w:hideMark/>
          </w:tcPr>
          <w:p w14:paraId="37A1F91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30/97 (30.9)</w:t>
            </w:r>
          </w:p>
        </w:tc>
        <w:tc>
          <w:tcPr>
            <w:tcW w:w="2213" w:type="dxa"/>
            <w:tcBorders>
              <w:top w:val="single" w:sz="4" w:space="0" w:color="auto"/>
              <w:left w:val="single" w:sz="4" w:space="0" w:color="auto"/>
              <w:bottom w:val="single" w:sz="4" w:space="0" w:color="auto"/>
              <w:right w:val="single" w:sz="4" w:space="0" w:color="auto"/>
            </w:tcBorders>
            <w:hideMark/>
          </w:tcPr>
          <w:p w14:paraId="5BDEDF6B"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19/55 (34.5)</w:t>
            </w:r>
          </w:p>
        </w:tc>
        <w:tc>
          <w:tcPr>
            <w:tcW w:w="2214" w:type="dxa"/>
            <w:tcBorders>
              <w:top w:val="single" w:sz="4" w:space="0" w:color="auto"/>
              <w:left w:val="single" w:sz="4" w:space="0" w:color="auto"/>
              <w:bottom w:val="single" w:sz="4" w:space="0" w:color="auto"/>
              <w:right w:val="single" w:sz="4" w:space="0" w:color="auto"/>
            </w:tcBorders>
          </w:tcPr>
          <w:p w14:paraId="102DFED0"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r w:rsidR="00AB43EA" w:rsidRPr="00E050AF" w14:paraId="7AA7CAC2"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2B63D825" w14:textId="77777777" w:rsidR="00AB43EA" w:rsidRPr="00E050AF" w:rsidRDefault="00AB43EA">
            <w:pPr>
              <w:pStyle w:val="TableBodyText-H54"/>
              <w:spacing w:before="0" w:after="0" w:line="240" w:lineRule="auto"/>
              <w:rPr>
                <w:b/>
                <w:vertAlign w:val="superscript"/>
                <w:lang w:val="en-AU" w:eastAsia="zh-CN"/>
              </w:rPr>
            </w:pPr>
            <w:r w:rsidRPr="00E050AF">
              <w:rPr>
                <w:b/>
                <w:lang w:val="en-AU" w:eastAsia="zh-CN"/>
              </w:rPr>
              <w:t>HRD positive</w:t>
            </w:r>
          </w:p>
        </w:tc>
        <w:tc>
          <w:tcPr>
            <w:tcW w:w="2213" w:type="dxa"/>
            <w:tcBorders>
              <w:top w:val="single" w:sz="4" w:space="0" w:color="auto"/>
              <w:left w:val="single" w:sz="4" w:space="0" w:color="auto"/>
              <w:bottom w:val="single" w:sz="4" w:space="0" w:color="auto"/>
              <w:right w:val="single" w:sz="4" w:space="0" w:color="auto"/>
            </w:tcBorders>
          </w:tcPr>
          <w:p w14:paraId="3067DC15"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lang w:val="en-AU" w:eastAsia="zh-CN"/>
              </w:rPr>
            </w:pPr>
          </w:p>
        </w:tc>
        <w:tc>
          <w:tcPr>
            <w:tcW w:w="2213" w:type="dxa"/>
            <w:tcBorders>
              <w:top w:val="single" w:sz="4" w:space="0" w:color="auto"/>
              <w:left w:val="single" w:sz="4" w:space="0" w:color="auto"/>
              <w:bottom w:val="single" w:sz="4" w:space="0" w:color="auto"/>
              <w:right w:val="single" w:sz="4" w:space="0" w:color="auto"/>
            </w:tcBorders>
          </w:tcPr>
          <w:p w14:paraId="1B72E6E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lang w:val="en-AU" w:eastAsia="zh-CN"/>
              </w:rPr>
            </w:pPr>
          </w:p>
        </w:tc>
        <w:tc>
          <w:tcPr>
            <w:tcW w:w="2214" w:type="dxa"/>
            <w:tcBorders>
              <w:top w:val="single" w:sz="4" w:space="0" w:color="auto"/>
              <w:left w:val="single" w:sz="4" w:space="0" w:color="auto"/>
              <w:bottom w:val="single" w:sz="4" w:space="0" w:color="auto"/>
              <w:right w:val="single" w:sz="4" w:space="0" w:color="auto"/>
            </w:tcBorders>
          </w:tcPr>
          <w:p w14:paraId="2210D428"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lang w:val="en-AU" w:eastAsia="zh-CN"/>
              </w:rPr>
            </w:pPr>
          </w:p>
        </w:tc>
      </w:tr>
      <w:tr w:rsidR="00AB43EA" w:rsidRPr="00E050AF" w14:paraId="2597A238"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121A7894" w14:textId="77777777" w:rsidR="00AB43EA" w:rsidRPr="00E050AF" w:rsidRDefault="00AB43EA">
            <w:pPr>
              <w:pStyle w:val="TableBodyText-H54"/>
              <w:spacing w:before="0" w:after="0" w:line="240" w:lineRule="auto"/>
              <w:rPr>
                <w:lang w:val="en-AU" w:eastAsia="zh-CN"/>
              </w:rPr>
            </w:pPr>
            <w:r w:rsidRPr="00E050AF">
              <w:rPr>
                <w:lang w:val="en-AU" w:eastAsia="zh-CN"/>
              </w:rPr>
              <w:t xml:space="preserve">  Median OS</w:t>
            </w:r>
          </w:p>
        </w:tc>
        <w:tc>
          <w:tcPr>
            <w:tcW w:w="2213" w:type="dxa"/>
            <w:tcBorders>
              <w:top w:val="single" w:sz="4" w:space="0" w:color="auto"/>
              <w:left w:val="single" w:sz="4" w:space="0" w:color="auto"/>
              <w:bottom w:val="single" w:sz="4" w:space="0" w:color="auto"/>
              <w:right w:val="single" w:sz="4" w:space="0" w:color="auto"/>
            </w:tcBorders>
            <w:hideMark/>
          </w:tcPr>
          <w:p w14:paraId="1C90823C"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w:t>
            </w:r>
          </w:p>
        </w:tc>
        <w:tc>
          <w:tcPr>
            <w:tcW w:w="2213" w:type="dxa"/>
            <w:tcBorders>
              <w:top w:val="single" w:sz="4" w:space="0" w:color="auto"/>
              <w:left w:val="single" w:sz="4" w:space="0" w:color="auto"/>
              <w:bottom w:val="single" w:sz="4" w:space="0" w:color="auto"/>
              <w:right w:val="single" w:sz="4" w:space="0" w:color="auto"/>
            </w:tcBorders>
            <w:hideMark/>
          </w:tcPr>
          <w:p w14:paraId="6EE101AC"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NR</w:t>
            </w:r>
          </w:p>
        </w:tc>
        <w:tc>
          <w:tcPr>
            <w:tcW w:w="2214" w:type="dxa"/>
            <w:tcBorders>
              <w:top w:val="single" w:sz="4" w:space="0" w:color="auto"/>
              <w:left w:val="single" w:sz="4" w:space="0" w:color="auto"/>
              <w:bottom w:val="single" w:sz="4" w:space="0" w:color="auto"/>
              <w:right w:val="single" w:sz="4" w:space="0" w:color="auto"/>
            </w:tcBorders>
            <w:hideMark/>
          </w:tcPr>
          <w:p w14:paraId="490A276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0.70 (0.47,1.04)</w:t>
            </w:r>
          </w:p>
        </w:tc>
      </w:tr>
      <w:tr w:rsidR="00AB43EA" w:rsidRPr="00E050AF" w14:paraId="27B90EE1" w14:textId="77777777" w:rsidTr="00AB43EA">
        <w:tc>
          <w:tcPr>
            <w:cnfStyle w:val="001000000000" w:firstRow="0" w:lastRow="0" w:firstColumn="1" w:lastColumn="0" w:oddVBand="0" w:evenVBand="0" w:oddHBand="0" w:evenHBand="0" w:firstRowFirstColumn="0" w:firstRowLastColumn="0" w:lastRowFirstColumn="0" w:lastRowLastColumn="0"/>
            <w:tcW w:w="2376" w:type="dxa"/>
            <w:tcBorders>
              <w:top w:val="single" w:sz="4" w:space="0" w:color="auto"/>
              <w:left w:val="single" w:sz="4" w:space="0" w:color="auto"/>
              <w:bottom w:val="single" w:sz="4" w:space="0" w:color="auto"/>
              <w:right w:val="single" w:sz="4" w:space="0" w:color="auto"/>
            </w:tcBorders>
            <w:hideMark/>
          </w:tcPr>
          <w:p w14:paraId="45371077" w14:textId="77777777" w:rsidR="00AB43EA" w:rsidRPr="00E050AF" w:rsidRDefault="00AB43EA">
            <w:pPr>
              <w:pStyle w:val="TableBodyText-H54"/>
              <w:spacing w:before="0" w:after="0" w:line="240" w:lineRule="auto"/>
              <w:rPr>
                <w:lang w:val="en-AU" w:eastAsia="zh-CN"/>
              </w:rPr>
            </w:pPr>
            <w:r w:rsidRPr="00E050AF">
              <w:rPr>
                <w:lang w:val="en-AU" w:eastAsia="zh-CN"/>
              </w:rPr>
              <w:t xml:space="preserve">  Events, n/N (%)</w:t>
            </w:r>
          </w:p>
        </w:tc>
        <w:tc>
          <w:tcPr>
            <w:tcW w:w="2213" w:type="dxa"/>
            <w:tcBorders>
              <w:top w:val="single" w:sz="4" w:space="0" w:color="auto"/>
              <w:left w:val="single" w:sz="4" w:space="0" w:color="auto"/>
              <w:bottom w:val="single" w:sz="4" w:space="0" w:color="auto"/>
              <w:right w:val="single" w:sz="4" w:space="0" w:color="auto"/>
            </w:tcBorders>
            <w:hideMark/>
          </w:tcPr>
          <w:p w14:paraId="6C7F8210"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61/255 (23.9)</w:t>
            </w:r>
          </w:p>
        </w:tc>
        <w:tc>
          <w:tcPr>
            <w:tcW w:w="2213" w:type="dxa"/>
            <w:tcBorders>
              <w:top w:val="single" w:sz="4" w:space="0" w:color="auto"/>
              <w:left w:val="single" w:sz="4" w:space="0" w:color="auto"/>
              <w:bottom w:val="single" w:sz="4" w:space="0" w:color="auto"/>
              <w:right w:val="single" w:sz="4" w:space="0" w:color="auto"/>
            </w:tcBorders>
            <w:hideMark/>
          </w:tcPr>
          <w:p w14:paraId="72ADA209"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42/132 (31.8)</w:t>
            </w:r>
          </w:p>
        </w:tc>
        <w:tc>
          <w:tcPr>
            <w:tcW w:w="2214" w:type="dxa"/>
            <w:tcBorders>
              <w:top w:val="single" w:sz="4" w:space="0" w:color="auto"/>
              <w:left w:val="single" w:sz="4" w:space="0" w:color="auto"/>
              <w:bottom w:val="single" w:sz="4" w:space="0" w:color="auto"/>
              <w:right w:val="single" w:sz="4" w:space="0" w:color="auto"/>
            </w:tcBorders>
          </w:tcPr>
          <w:p w14:paraId="0A2E27C9"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p>
        </w:tc>
      </w:tr>
    </w:tbl>
    <w:p w14:paraId="017CA4CF" w14:textId="049C9F48" w:rsidR="00AB43EA" w:rsidRPr="00E050AF" w:rsidRDefault="00AB43EA" w:rsidP="002017CD">
      <w:pPr>
        <w:pStyle w:val="TableFooter"/>
        <w:keepNext/>
      </w:pPr>
      <w:r w:rsidRPr="00E050AF">
        <w:t xml:space="preserve">Beva = bevacizumab; </w:t>
      </w:r>
      <w:r w:rsidR="00CF529A" w:rsidRPr="00E050AF">
        <w:rPr>
          <w:i/>
          <w:iCs/>
        </w:rPr>
        <w:t>BRCA</w:t>
      </w:r>
      <w:r w:rsidRPr="00E050AF">
        <w:t xml:space="preserve">wt = breast cancer gene wild type; </w:t>
      </w:r>
      <w:r w:rsidR="007425C4" w:rsidRPr="00E050AF">
        <w:rPr>
          <w:lang w:eastAsia="zh-CN"/>
        </w:rPr>
        <w:t xml:space="preserve">DCO2 = second data cut-off; </w:t>
      </w:r>
      <w:r w:rsidRPr="00E050AF">
        <w:t>FAS = full analysis set; HR = hazard ratio; HRD = homologous recombination deficiency; NR = not reached; Ola = olaparib; Pbo = placebo</w:t>
      </w:r>
      <w:r w:rsidR="00C50653" w:rsidRPr="00E050AF">
        <w:t>; OS = overall survival.</w:t>
      </w:r>
    </w:p>
    <w:p w14:paraId="0919EAE7" w14:textId="77777777" w:rsidR="00FC3969" w:rsidRPr="00E050AF" w:rsidRDefault="00AB43EA" w:rsidP="002017CD">
      <w:pPr>
        <w:pStyle w:val="TableFooter"/>
        <w:keepNext/>
        <w:rPr>
          <w:lang w:eastAsia="zh-CN"/>
        </w:rPr>
      </w:pPr>
      <w:r w:rsidRPr="00E050AF">
        <w:rPr>
          <w:vertAlign w:val="superscript"/>
        </w:rPr>
        <w:t>a</w:t>
      </w:r>
      <w:r w:rsidRPr="00E050AF">
        <w:t xml:space="preserve"> Table 2.90, p191 of the submission referred to the source “PAOLA-1 CSR Addendum 1”. This reference was incomplete. </w:t>
      </w:r>
      <w:r w:rsidR="00FF7304" w:rsidRPr="00E050AF">
        <w:rPr>
          <w:lang w:eastAsia="zh-CN"/>
        </w:rPr>
        <w:t xml:space="preserve">Additional information </w:t>
      </w:r>
      <w:r w:rsidR="00E83228" w:rsidRPr="00E050AF">
        <w:rPr>
          <w:lang w:eastAsia="zh-CN"/>
        </w:rPr>
        <w:t xml:space="preserve">(dated 27 April 2022) </w:t>
      </w:r>
      <w:r w:rsidR="00FF7304" w:rsidRPr="00E050AF">
        <w:rPr>
          <w:lang w:eastAsia="zh-CN"/>
        </w:rPr>
        <w:t>was provided by the sponsor during the evaluation that allowed for verification of this data.</w:t>
      </w:r>
    </w:p>
    <w:p w14:paraId="03AB1621" w14:textId="425556D7" w:rsidR="00AB43EA" w:rsidRPr="00E050AF" w:rsidRDefault="00AB43EA" w:rsidP="002017CD">
      <w:pPr>
        <w:pStyle w:val="TableFooter"/>
        <w:keepNext/>
      </w:pPr>
      <w:r w:rsidRPr="00E050AF">
        <w:rPr>
          <w:vertAlign w:val="superscript"/>
        </w:rPr>
        <w:t>b</w:t>
      </w:r>
      <w:r w:rsidRPr="00E050AF">
        <w:t xml:space="preserve"> Estimated from a stratified Cox Proportional Hazards model stratified by first-line treatment outcome and tumour </w:t>
      </w:r>
      <w:r w:rsidR="00CF529A" w:rsidRPr="00E050AF">
        <w:rPr>
          <w:i/>
          <w:iCs/>
        </w:rPr>
        <w:t>BRCA</w:t>
      </w:r>
      <w:r w:rsidRPr="00E050AF">
        <w:t xml:space="preserve"> status</w:t>
      </w:r>
      <w:r w:rsidR="00FC3969" w:rsidRPr="00E050AF">
        <w:t>.</w:t>
      </w:r>
    </w:p>
    <w:p w14:paraId="557C957D" w14:textId="3932700B" w:rsidR="00AB43EA" w:rsidRPr="00E050AF" w:rsidRDefault="00AB43EA" w:rsidP="002017CD">
      <w:pPr>
        <w:pStyle w:val="TableFooter"/>
        <w:keepNext/>
      </w:pPr>
      <w:r w:rsidRPr="00E050AF">
        <w:rPr>
          <w:vertAlign w:val="superscript"/>
        </w:rPr>
        <w:t>c</w:t>
      </w:r>
      <w:r w:rsidRPr="00E050AF">
        <w:t xml:space="preserve"> It was unclear how median OS could have been reached in the bevacizumab plus placebo arm already given that fewer than 50% of patients have died, and the reported median OS in the bevacizumab plus placebo arm was likely unreliable.</w:t>
      </w:r>
    </w:p>
    <w:p w14:paraId="3E8E5331" w14:textId="0E30CEDC" w:rsidR="00FA4F23" w:rsidRPr="00E050AF" w:rsidRDefault="00AB43EA" w:rsidP="00AB43EA">
      <w:pPr>
        <w:pStyle w:val="TableFooter"/>
      </w:pPr>
      <w:r w:rsidRPr="00E050AF">
        <w:t>Source: Tables 2.73 and 2.90, p167 and 191 of the submission</w:t>
      </w:r>
    </w:p>
    <w:p w14:paraId="6BDC9BA9" w14:textId="26B6DBBF" w:rsidR="00AB43EA" w:rsidRPr="00E050AF" w:rsidRDefault="00AB43EA" w:rsidP="009D3CDF">
      <w:pPr>
        <w:pStyle w:val="ListParagraph"/>
        <w:numPr>
          <w:ilvl w:val="4"/>
          <w:numId w:val="8"/>
        </w:numPr>
        <w:ind w:left="709"/>
        <w:rPr>
          <w:color w:val="auto"/>
        </w:rPr>
      </w:pPr>
      <w:r w:rsidRPr="00E050AF">
        <w:rPr>
          <w:color w:val="auto"/>
        </w:rPr>
        <w:t xml:space="preserve">The submission claimed that although OS results were not found to be statistically significantly different between the treatment arms (ITT OS HR = 0.93, 95% CI 0.74; 1.18, HRD positive </w:t>
      </w:r>
      <w:r w:rsidR="00CF529A" w:rsidRPr="00E050AF">
        <w:rPr>
          <w:i/>
          <w:iCs/>
          <w:color w:val="auto"/>
        </w:rPr>
        <w:t>BRCA</w:t>
      </w:r>
      <w:r w:rsidRPr="00E050AF">
        <w:rPr>
          <w:color w:val="auto"/>
        </w:rPr>
        <w:t>wt OS HR = 0.84, 95% CI 0.46, 1.52), the OS DC</w:t>
      </w:r>
      <w:r w:rsidR="00750ABD" w:rsidRPr="00E050AF">
        <w:rPr>
          <w:color w:val="auto"/>
        </w:rPr>
        <w:t>O</w:t>
      </w:r>
      <w:r w:rsidRPr="00E050AF">
        <w:rPr>
          <w:color w:val="auto"/>
        </w:rPr>
        <w:t xml:space="preserve">2 data was not yet mature (37.6% maturity). A final OS analysis is planned for when data reaches 60% maturity or after a 3-year duration of treatment from main PFS analysis, whichever occurs first. Subsequent communication with the sponsor </w:t>
      </w:r>
      <w:r w:rsidR="00E83228" w:rsidRPr="00E050AF">
        <w:rPr>
          <w:color w:val="auto"/>
        </w:rPr>
        <w:t xml:space="preserve">(dated 23 February 2022) </w:t>
      </w:r>
      <w:r w:rsidRPr="00E050AF">
        <w:rPr>
          <w:color w:val="auto"/>
        </w:rPr>
        <w:t>indicated that this update would be available in July 2022.</w:t>
      </w:r>
    </w:p>
    <w:p w14:paraId="3299F704" w14:textId="6710C3E2" w:rsidR="00817290" w:rsidRPr="00E050AF" w:rsidRDefault="00817290" w:rsidP="00674F26">
      <w:pPr>
        <w:pStyle w:val="ListParagraph"/>
        <w:numPr>
          <w:ilvl w:val="4"/>
          <w:numId w:val="8"/>
        </w:numPr>
        <w:ind w:left="709"/>
      </w:pPr>
      <w:r w:rsidRPr="00E050AF">
        <w:rPr>
          <w:color w:val="auto"/>
        </w:rPr>
        <w:t>T</w:t>
      </w:r>
      <w:r w:rsidR="00AB43EA" w:rsidRPr="00E050AF">
        <w:rPr>
          <w:color w:val="auto"/>
        </w:rPr>
        <w:t>he economic evaluation assume</w:t>
      </w:r>
      <w:r w:rsidRPr="00E050AF">
        <w:rPr>
          <w:color w:val="auto"/>
        </w:rPr>
        <w:t>d</w:t>
      </w:r>
      <w:r w:rsidR="00AB43EA" w:rsidRPr="00E050AF">
        <w:rPr>
          <w:color w:val="auto"/>
        </w:rPr>
        <w:t xml:space="preserve"> a</w:t>
      </w:r>
      <w:r w:rsidRPr="00E050AF">
        <w:rPr>
          <w:color w:val="auto"/>
        </w:rPr>
        <w:t xml:space="preserve"> substantial </w:t>
      </w:r>
      <w:r w:rsidR="007C751F" w:rsidRPr="00E050AF">
        <w:rPr>
          <w:color w:val="auto"/>
        </w:rPr>
        <w:t xml:space="preserve">survival benefit </w:t>
      </w:r>
      <w:r w:rsidR="00AB43EA" w:rsidRPr="00E050AF">
        <w:rPr>
          <w:color w:val="auto"/>
        </w:rPr>
        <w:t>for patients treated with olaparib plus bevacizumab compared to bevacizumab alone</w:t>
      </w:r>
      <w:r w:rsidR="007C751F" w:rsidRPr="00E050AF">
        <w:rPr>
          <w:color w:val="auto"/>
        </w:rPr>
        <w:t xml:space="preserve"> which may be overestimated (see paragraph</w:t>
      </w:r>
      <w:r w:rsidR="00764F52" w:rsidRPr="00E050AF">
        <w:rPr>
          <w:color w:val="auto"/>
        </w:rPr>
        <w:t xml:space="preserve"> </w:t>
      </w:r>
      <w:r w:rsidR="00B52A41" w:rsidRPr="00E050AF">
        <w:rPr>
          <w:color w:val="auto"/>
        </w:rPr>
        <w:fldChar w:fldCharType="begin"/>
      </w:r>
      <w:r w:rsidR="00B52A41" w:rsidRPr="00E050AF">
        <w:rPr>
          <w:color w:val="auto"/>
        </w:rPr>
        <w:instrText xml:space="preserve"> REF _Ref109722353 \r \h </w:instrText>
      </w:r>
      <w:r w:rsidR="00B52A41" w:rsidRPr="00E050AF">
        <w:rPr>
          <w:color w:val="auto"/>
        </w:rPr>
      </w:r>
      <w:r w:rsidR="00B52A41" w:rsidRPr="00E050AF">
        <w:rPr>
          <w:color w:val="auto"/>
        </w:rPr>
        <w:fldChar w:fldCharType="separate"/>
      </w:r>
      <w:r w:rsidR="00E050AF" w:rsidRPr="00E050AF">
        <w:rPr>
          <w:color w:val="auto"/>
        </w:rPr>
        <w:t>6.61</w:t>
      </w:r>
      <w:r w:rsidR="00B52A41" w:rsidRPr="00E050AF">
        <w:rPr>
          <w:color w:val="auto"/>
        </w:rPr>
        <w:fldChar w:fldCharType="end"/>
      </w:r>
      <w:r w:rsidR="00B52A41" w:rsidRPr="00E050AF">
        <w:rPr>
          <w:color w:val="auto"/>
        </w:rPr>
        <w:t>-</w:t>
      </w:r>
      <w:r w:rsidR="00B52A41" w:rsidRPr="00E050AF">
        <w:rPr>
          <w:color w:val="auto"/>
        </w:rPr>
        <w:fldChar w:fldCharType="begin"/>
      </w:r>
      <w:r w:rsidR="00B52A41" w:rsidRPr="00E050AF">
        <w:rPr>
          <w:color w:val="auto"/>
        </w:rPr>
        <w:instrText xml:space="preserve"> REF _Ref109722356 \r \h </w:instrText>
      </w:r>
      <w:r w:rsidR="00B52A41" w:rsidRPr="00E050AF">
        <w:rPr>
          <w:color w:val="auto"/>
        </w:rPr>
      </w:r>
      <w:r w:rsidR="00B52A41" w:rsidRPr="00E050AF">
        <w:rPr>
          <w:color w:val="auto"/>
        </w:rPr>
        <w:fldChar w:fldCharType="separate"/>
      </w:r>
      <w:r w:rsidR="00E050AF" w:rsidRPr="00E050AF">
        <w:rPr>
          <w:color w:val="auto"/>
        </w:rPr>
        <w:t>6.63</w:t>
      </w:r>
      <w:r w:rsidR="00B52A41" w:rsidRPr="00E050AF">
        <w:rPr>
          <w:color w:val="auto"/>
        </w:rPr>
        <w:fldChar w:fldCharType="end"/>
      </w:r>
      <w:r w:rsidR="007C751F" w:rsidRPr="00E050AF">
        <w:rPr>
          <w:color w:val="auto"/>
        </w:rPr>
        <w:t>)</w:t>
      </w:r>
      <w:r w:rsidR="00AB43EA" w:rsidRPr="00E050AF">
        <w:rPr>
          <w:color w:val="auto"/>
        </w:rPr>
        <w:t xml:space="preserve">. </w:t>
      </w:r>
      <w:r w:rsidR="0061754B" w:rsidRPr="00E050AF">
        <w:rPr>
          <w:iCs/>
          <w:color w:val="auto"/>
        </w:rPr>
        <w:t>The ESC</w:t>
      </w:r>
      <w:r w:rsidR="004A1A2E" w:rsidRPr="00E050AF">
        <w:rPr>
          <w:iCs/>
          <w:color w:val="auto"/>
        </w:rPr>
        <w:t>s</w:t>
      </w:r>
      <w:r w:rsidR="0061754B" w:rsidRPr="00E050AF">
        <w:rPr>
          <w:iCs/>
          <w:color w:val="auto"/>
        </w:rPr>
        <w:t xml:space="preserve"> considered that the large difference in survival assumed in economic model between groups was unsupported by evidence to date.</w:t>
      </w:r>
      <w:r w:rsidR="00674F26" w:rsidRPr="00E050AF">
        <w:rPr>
          <w:iCs/>
          <w:color w:val="auto"/>
        </w:rPr>
        <w:t xml:space="preserve"> </w:t>
      </w:r>
      <w:r w:rsidR="00674F26" w:rsidRPr="00E050AF">
        <w:rPr>
          <w:iCs/>
        </w:rPr>
        <w:t>The ESCs considered that even with more mature data the results for OS may remain statistically non-significant due to small numbers in the HRD+</w:t>
      </w:r>
      <w:r w:rsidR="00275200" w:rsidRPr="00E050AF">
        <w:rPr>
          <w:i/>
          <w:iCs/>
        </w:rPr>
        <w:t>BRCA</w:t>
      </w:r>
      <w:r w:rsidR="00674F26" w:rsidRPr="00E050AF">
        <w:rPr>
          <w:iCs/>
        </w:rPr>
        <w:t>wt subgroup.</w:t>
      </w:r>
      <w:r w:rsidR="008B24A9" w:rsidRPr="00E050AF">
        <w:rPr>
          <w:iCs/>
        </w:rPr>
        <w:t xml:space="preserve"> The ESCs also noted that subsequent </w:t>
      </w:r>
      <w:r w:rsidR="00B52A41" w:rsidRPr="00E050AF">
        <w:rPr>
          <w:iCs/>
        </w:rPr>
        <w:t xml:space="preserve">second line </w:t>
      </w:r>
      <w:r w:rsidR="008B24A9" w:rsidRPr="00E050AF">
        <w:rPr>
          <w:iCs/>
        </w:rPr>
        <w:t>PARPi use may reduce the OS benefit demonstrated for PAOLA-1 so the final analysis may not be particularly informative for OS.</w:t>
      </w:r>
    </w:p>
    <w:p w14:paraId="5B89A7E4" w14:textId="29D096E0" w:rsidR="00AB43EA" w:rsidRPr="00E050AF" w:rsidRDefault="00AB43EA" w:rsidP="009D3CDF">
      <w:pPr>
        <w:pStyle w:val="ListParagraph"/>
        <w:numPr>
          <w:ilvl w:val="4"/>
          <w:numId w:val="8"/>
        </w:numPr>
        <w:rPr>
          <w:color w:val="auto"/>
        </w:rPr>
      </w:pPr>
      <w:r w:rsidRPr="00E050AF">
        <w:t xml:space="preserve">Kaplan Meier plots of OS for the </w:t>
      </w:r>
      <w:r w:rsidR="00F10792" w:rsidRPr="00E050AF">
        <w:t xml:space="preserve">FAS and </w:t>
      </w:r>
      <w:r w:rsidR="00B52A41" w:rsidRPr="00E050AF">
        <w:t>HRD positive populations</w:t>
      </w:r>
      <w:r w:rsidRPr="00E050AF">
        <w:t xml:space="preserve"> are provided in the figures below.</w:t>
      </w:r>
    </w:p>
    <w:p w14:paraId="116DC451" w14:textId="7FEDCD83" w:rsidR="00F10792" w:rsidRPr="00E050AF" w:rsidRDefault="00F10792" w:rsidP="00F10792">
      <w:pPr>
        <w:pStyle w:val="TableHeading0"/>
      </w:pPr>
      <w:r w:rsidRPr="00E050AF">
        <w:lastRenderedPageBreak/>
        <w:t xml:space="preserve">Figure </w:t>
      </w:r>
      <w:r>
        <w:fldChar w:fldCharType="begin"/>
      </w:r>
      <w:r>
        <w:instrText>SEQ Figure_PBAC. \* ARABIC</w:instrText>
      </w:r>
      <w:r>
        <w:fldChar w:fldCharType="separate"/>
      </w:r>
      <w:r w:rsidR="00E050AF" w:rsidRPr="00E050AF">
        <w:t>6</w:t>
      </w:r>
      <w:r>
        <w:fldChar w:fldCharType="end"/>
      </w:r>
      <w:r w:rsidRPr="00E050AF">
        <w:tab/>
        <w:t>PAOLA-1 KM plot of OS, FAS (DC02)</w:t>
      </w:r>
    </w:p>
    <w:p w14:paraId="4BB53D16" w14:textId="77777777" w:rsidR="00F10792" w:rsidRPr="00E050AF" w:rsidRDefault="00F10792" w:rsidP="00F10792">
      <w:pPr>
        <w:spacing w:after="0"/>
      </w:pPr>
      <w:r w:rsidRPr="00E050AF">
        <w:rPr>
          <w:noProof/>
          <w:lang w:eastAsia="en-AU"/>
        </w:rPr>
        <w:drawing>
          <wp:inline distT="0" distB="0" distL="0" distR="0" wp14:anchorId="50B1B8DC" wp14:editId="64A7BDD7">
            <wp:extent cx="5702300" cy="3735070"/>
            <wp:effectExtent l="0" t="0" r="0" b="0"/>
            <wp:docPr id="70" name="Picture 70" descr="Figure 6 PAOLA-1 KM plot of OS, FAS (DC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descr="Figure 6 PAOLA-1 KM plot of OS, FAS (DC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2300" cy="3735070"/>
                    </a:xfrm>
                    <a:prstGeom prst="rect">
                      <a:avLst/>
                    </a:prstGeom>
                    <a:noFill/>
                    <a:ln>
                      <a:noFill/>
                    </a:ln>
                  </pic:spPr>
                </pic:pic>
              </a:graphicData>
            </a:graphic>
          </wp:inline>
        </w:drawing>
      </w:r>
    </w:p>
    <w:p w14:paraId="02F564F0" w14:textId="77777777" w:rsidR="00F10792" w:rsidRPr="00E050AF" w:rsidRDefault="00F10792" w:rsidP="00F10792">
      <w:pPr>
        <w:pStyle w:val="TableFooter"/>
        <w:keepNext/>
      </w:pPr>
      <w:r w:rsidRPr="00E050AF">
        <w:t xml:space="preserve">DCO2 = data cut-off 2; FAS = full analysis set; KM = Kaplan-Meier; OS = overall survival </w:t>
      </w:r>
    </w:p>
    <w:p w14:paraId="55449920" w14:textId="56F463EF" w:rsidR="00F90DFA" w:rsidRPr="00E050AF" w:rsidRDefault="00F10792" w:rsidP="00AB43EA">
      <w:pPr>
        <w:pStyle w:val="TableFooter"/>
      </w:pPr>
      <w:r w:rsidRPr="00E050AF">
        <w:t>Source: Figure 2.16, p167 of the submission</w:t>
      </w:r>
    </w:p>
    <w:p w14:paraId="78AA9B11" w14:textId="77777777" w:rsidR="00F10792" w:rsidRPr="00E050AF" w:rsidRDefault="00F10792" w:rsidP="00AB43EA">
      <w:pPr>
        <w:pStyle w:val="TableFooter"/>
      </w:pPr>
    </w:p>
    <w:p w14:paraId="3B924141" w14:textId="2C3FC331" w:rsidR="00AB43EA" w:rsidRPr="00E050AF" w:rsidRDefault="00AB43EA" w:rsidP="00A354B6">
      <w:pPr>
        <w:pStyle w:val="TableHeading0"/>
      </w:pPr>
      <w:bookmarkStart w:id="60" w:name="_Ref100927369"/>
      <w:r w:rsidRPr="00E050AF">
        <w:lastRenderedPageBreak/>
        <w:t xml:space="preserve">Figure </w:t>
      </w:r>
      <w:r>
        <w:fldChar w:fldCharType="begin"/>
      </w:r>
      <w:r>
        <w:instrText>SEQ Figure_PBAC. \* ARABIC</w:instrText>
      </w:r>
      <w:r>
        <w:fldChar w:fldCharType="separate"/>
      </w:r>
      <w:r w:rsidR="00E050AF" w:rsidRPr="00E050AF">
        <w:t>7</w:t>
      </w:r>
      <w:r>
        <w:fldChar w:fldCharType="end"/>
      </w:r>
      <w:bookmarkEnd w:id="60"/>
      <w:r w:rsidRPr="00E050AF">
        <w:tab/>
        <w:t xml:space="preserve">PAOLA-1 KM plot of OS, patients whose tumours are HRD positive </w:t>
      </w:r>
      <w:r w:rsidR="00CF529A" w:rsidRPr="00E050AF">
        <w:rPr>
          <w:i/>
        </w:rPr>
        <w:t>BRCA</w:t>
      </w:r>
      <w:r w:rsidRPr="00E050AF">
        <w:t>wt (DC</w:t>
      </w:r>
      <w:r w:rsidR="00750ABD" w:rsidRPr="00E050AF">
        <w:t>O</w:t>
      </w:r>
      <w:r w:rsidRPr="00E050AF">
        <w:t>2) with confidence intervals</w:t>
      </w:r>
    </w:p>
    <w:p w14:paraId="74DE4190" w14:textId="5066C269" w:rsidR="00AB43EA" w:rsidRPr="00E050AF" w:rsidRDefault="00AB43EA" w:rsidP="00A213F1">
      <w:pPr>
        <w:spacing w:after="0"/>
      </w:pPr>
      <w:r w:rsidRPr="00E050AF">
        <w:rPr>
          <w:noProof/>
          <w:lang w:eastAsia="en-AU"/>
        </w:rPr>
        <w:drawing>
          <wp:inline distT="0" distB="0" distL="0" distR="0" wp14:anchorId="1B30BA23" wp14:editId="1620BFEF">
            <wp:extent cx="4848225" cy="3880177"/>
            <wp:effectExtent l="0" t="0" r="0" b="6350"/>
            <wp:docPr id="69" name="Picture 69" descr="Figure 7 PAOLA-1 KM plot of OS, patients whose tumours are HRD positive BRCAwt (DCO2) with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Picture 69" descr="Figure 7 PAOLA-1 KM plot of OS, patients whose tumours are HRD positive BRCAwt (DCO2) with confidence intervals"/>
                    <pic:cNvPicPr>
                      <a:picLocks noChangeAspect="1" noChangeArrowheads="1"/>
                    </pic:cNvPicPr>
                  </pic:nvPicPr>
                  <pic:blipFill>
                    <a:blip r:embed="rId14" cstate="print">
                      <a:extLst>
                        <a:ext uri="{28A0092B-C50C-407E-A947-70E740481C1C}">
                          <a14:useLocalDpi xmlns:a14="http://schemas.microsoft.com/office/drawing/2010/main" val="0"/>
                        </a:ext>
                      </a:extLst>
                    </a:blip>
                    <a:srcRect t="10851" b="9157"/>
                    <a:stretch>
                      <a:fillRect/>
                    </a:stretch>
                  </pic:blipFill>
                  <pic:spPr bwMode="auto">
                    <a:xfrm>
                      <a:off x="0" y="0"/>
                      <a:ext cx="4860881" cy="3890306"/>
                    </a:xfrm>
                    <a:prstGeom prst="rect">
                      <a:avLst/>
                    </a:prstGeom>
                    <a:noFill/>
                    <a:ln>
                      <a:noFill/>
                    </a:ln>
                  </pic:spPr>
                </pic:pic>
              </a:graphicData>
            </a:graphic>
          </wp:inline>
        </w:drawing>
      </w:r>
    </w:p>
    <w:p w14:paraId="0D86212F" w14:textId="3A3BFAEE" w:rsidR="00AB43EA" w:rsidRPr="00E050AF" w:rsidRDefault="00CF529A" w:rsidP="002017CD">
      <w:pPr>
        <w:pStyle w:val="TableFooter"/>
        <w:keepNext/>
      </w:pPr>
      <w:r w:rsidRPr="00E050AF">
        <w:rPr>
          <w:i/>
          <w:iCs/>
        </w:rPr>
        <w:t>BRCA</w:t>
      </w:r>
      <w:r w:rsidR="00AB43EA" w:rsidRPr="00E050AF">
        <w:t>wt = breast cancer gene wild type; DCO2 = data cut-off 2; FAS = full analysis set; HRD = homologous recombination deficiency; KM = Kaplan-Meier; OS = overall survival</w:t>
      </w:r>
    </w:p>
    <w:p w14:paraId="2A166271" w14:textId="6FCAD3F3" w:rsidR="00F10792" w:rsidRPr="00E050AF" w:rsidRDefault="00F10792" w:rsidP="002017CD">
      <w:pPr>
        <w:pStyle w:val="TableFooter"/>
        <w:keepNext/>
      </w:pPr>
      <w:r w:rsidRPr="00E050AF">
        <w:t>Source: p5, Appendix 3.2 to the submission</w:t>
      </w:r>
    </w:p>
    <w:p w14:paraId="24489539" w14:textId="77777777" w:rsidR="00AB43EA" w:rsidRPr="00E050AF" w:rsidRDefault="00AB43EA" w:rsidP="00AB43EA">
      <w:pPr>
        <w:pStyle w:val="TableFooter"/>
      </w:pPr>
    </w:p>
    <w:p w14:paraId="54F57827" w14:textId="3BC5897E" w:rsidR="00AB43EA" w:rsidRPr="00E050AF" w:rsidRDefault="00AB43EA" w:rsidP="00AB43EA">
      <w:pPr>
        <w:pStyle w:val="TableFooter"/>
      </w:pPr>
    </w:p>
    <w:p w14:paraId="680F456F" w14:textId="0FD4624A" w:rsidR="00AB43EA" w:rsidRPr="00E050AF" w:rsidRDefault="00AB43EA" w:rsidP="00A354B6">
      <w:pPr>
        <w:pStyle w:val="TableHeading0"/>
      </w:pPr>
      <w:r w:rsidRPr="00E050AF">
        <w:lastRenderedPageBreak/>
        <w:t xml:space="preserve">Figure </w:t>
      </w:r>
      <w:r>
        <w:fldChar w:fldCharType="begin"/>
      </w:r>
      <w:r>
        <w:instrText>SEQ Figure_PBAC. \* ARABIC</w:instrText>
      </w:r>
      <w:r>
        <w:fldChar w:fldCharType="separate"/>
      </w:r>
      <w:r w:rsidR="00E050AF" w:rsidRPr="00E050AF">
        <w:t>8</w:t>
      </w:r>
      <w:r>
        <w:fldChar w:fldCharType="end"/>
      </w:r>
      <w:r w:rsidRPr="00E050AF">
        <w:tab/>
        <w:t>PAOLA-1 KM plot of OS in HRD positive population (DCO2)</w:t>
      </w:r>
    </w:p>
    <w:p w14:paraId="2CE7A84A" w14:textId="347894D0" w:rsidR="00AB43EA" w:rsidRPr="00E050AF" w:rsidRDefault="00AB43EA" w:rsidP="00A213F1">
      <w:pPr>
        <w:spacing w:before="0" w:after="0"/>
        <w:rPr>
          <w:u w:val="single"/>
        </w:rPr>
      </w:pPr>
      <w:r w:rsidRPr="00E050AF">
        <w:rPr>
          <w:noProof/>
          <w:lang w:eastAsia="en-AU"/>
        </w:rPr>
        <w:drawing>
          <wp:inline distT="0" distB="0" distL="0" distR="0" wp14:anchorId="355523BD" wp14:editId="5CD68972">
            <wp:extent cx="5731510" cy="3706495"/>
            <wp:effectExtent l="0" t="0" r="2540" b="8255"/>
            <wp:docPr id="66" name="Picture 66" descr="Figure 8 PAOLA-1 KM plot of OS in HRD positive population (DC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descr="Figure 8 PAOLA-1 KM plot of OS in HRD positive population (DC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3706495"/>
                    </a:xfrm>
                    <a:prstGeom prst="rect">
                      <a:avLst/>
                    </a:prstGeom>
                    <a:noFill/>
                    <a:ln>
                      <a:noFill/>
                    </a:ln>
                  </pic:spPr>
                </pic:pic>
              </a:graphicData>
            </a:graphic>
          </wp:inline>
        </w:drawing>
      </w:r>
    </w:p>
    <w:p w14:paraId="4E2FE71D" w14:textId="233F6E51" w:rsidR="00AB43EA" w:rsidRPr="00E050AF" w:rsidRDefault="00AB43EA" w:rsidP="002017CD">
      <w:pPr>
        <w:pStyle w:val="TableFooter"/>
        <w:keepNext/>
      </w:pPr>
      <w:r w:rsidRPr="00E050AF">
        <w:t>DCO2 = data cut-off 2; FAS = full analysis set;</w:t>
      </w:r>
      <w:r w:rsidR="00C50653" w:rsidRPr="00E050AF">
        <w:t xml:space="preserve"> HRD = homologous recombination deficiency;</w:t>
      </w:r>
      <w:r w:rsidRPr="00E050AF">
        <w:t xml:space="preserve"> KM = Kaplan-Meier; OS = overall survival</w:t>
      </w:r>
    </w:p>
    <w:p w14:paraId="1EC22146" w14:textId="57DDB6A6" w:rsidR="00AB43EA" w:rsidRPr="00E050AF" w:rsidRDefault="00AB43EA" w:rsidP="00AB43EA">
      <w:pPr>
        <w:pStyle w:val="TableFooter"/>
      </w:pPr>
      <w:r w:rsidRPr="00E050AF">
        <w:t>Source: Subsequent correspondence with sponsor (Figure 4, p4)</w:t>
      </w:r>
    </w:p>
    <w:p w14:paraId="188336D3" w14:textId="0F921601" w:rsidR="00AB43EA" w:rsidRPr="00E050AF" w:rsidRDefault="00AB43EA" w:rsidP="009D3CDF">
      <w:pPr>
        <w:pStyle w:val="ListParagraph"/>
        <w:numPr>
          <w:ilvl w:val="4"/>
          <w:numId w:val="8"/>
        </w:numPr>
        <w:rPr>
          <w:color w:val="auto"/>
        </w:rPr>
      </w:pPr>
      <w:r w:rsidRPr="00E050AF">
        <w:rPr>
          <w:color w:val="auto"/>
        </w:rPr>
        <w:t xml:space="preserve">As shown in </w:t>
      </w:r>
      <w:r w:rsidRPr="00E050AF">
        <w:fldChar w:fldCharType="begin"/>
      </w:r>
      <w:r w:rsidRPr="00E050AF">
        <w:rPr>
          <w:color w:val="auto"/>
        </w:rPr>
        <w:instrText xml:space="preserve"> REF _Ref100927369 \h  \* MERGEFORMAT </w:instrText>
      </w:r>
      <w:r w:rsidRPr="00E050AF">
        <w:fldChar w:fldCharType="separate"/>
      </w:r>
      <w:r w:rsidR="00E050AF" w:rsidRPr="00E050AF">
        <w:t>Figure 7</w:t>
      </w:r>
      <w:r w:rsidRPr="00E050AF">
        <w:fldChar w:fldCharType="end"/>
      </w:r>
      <w:r w:rsidRPr="00E050AF">
        <w:rPr>
          <w:color w:val="auto"/>
        </w:rPr>
        <w:t xml:space="preserve">, in the HRD positive </w:t>
      </w:r>
      <w:r w:rsidR="00CF529A" w:rsidRPr="00E050AF">
        <w:rPr>
          <w:i/>
          <w:iCs/>
          <w:color w:val="auto"/>
        </w:rPr>
        <w:t>BRCA</w:t>
      </w:r>
      <w:r w:rsidRPr="00E050AF">
        <w:rPr>
          <w:color w:val="auto"/>
        </w:rPr>
        <w:t>wt subgroup, the confidence interval</w:t>
      </w:r>
      <w:r w:rsidR="00654352" w:rsidRPr="00E050AF">
        <w:rPr>
          <w:color w:val="auto"/>
        </w:rPr>
        <w:t>s</w:t>
      </w:r>
      <w:r w:rsidRPr="00E050AF">
        <w:rPr>
          <w:color w:val="auto"/>
        </w:rPr>
        <w:t xml:space="preserve"> around the OS Kaplan-Meier curves were wide for both treatment arms (likely due to small sample sizes) and there was almost complete overlap of the confidence intervals between the two treatments. The OS curve for bevacizumab plus placebo experienced a steep drop at around 45 months, with fewer than 10 patients at risk (11 patients were at risk at 42 months and a few additional patients were subsequently censored before the drop)</w:t>
      </w:r>
      <w:r w:rsidR="00654352" w:rsidRPr="00E050AF">
        <w:rPr>
          <w:color w:val="auto"/>
        </w:rPr>
        <w:t xml:space="preserve">. </w:t>
      </w:r>
      <w:r w:rsidR="0063035E" w:rsidRPr="00E050AF">
        <w:rPr>
          <w:color w:val="auto"/>
        </w:rPr>
        <w:t>This resulted</w:t>
      </w:r>
      <w:r w:rsidRPr="00E050AF">
        <w:rPr>
          <w:color w:val="auto"/>
        </w:rPr>
        <w:t xml:space="preserve"> in the reported median OS of 45.8 months in the HRD positive </w:t>
      </w:r>
      <w:r w:rsidR="00CF529A" w:rsidRPr="00E050AF">
        <w:rPr>
          <w:i/>
          <w:iCs/>
          <w:color w:val="auto"/>
        </w:rPr>
        <w:t>BRCA</w:t>
      </w:r>
      <w:r w:rsidRPr="00E050AF">
        <w:rPr>
          <w:color w:val="auto"/>
        </w:rPr>
        <w:t>wt subgroup despite only 19/55 patients ha</w:t>
      </w:r>
      <w:r w:rsidR="00654352" w:rsidRPr="00E050AF">
        <w:rPr>
          <w:color w:val="auto"/>
        </w:rPr>
        <w:t>ving</w:t>
      </w:r>
      <w:r w:rsidRPr="00E050AF">
        <w:rPr>
          <w:color w:val="auto"/>
        </w:rPr>
        <w:t xml:space="preserve"> died</w:t>
      </w:r>
      <w:r w:rsidR="00714D51" w:rsidRPr="00E050AF">
        <w:rPr>
          <w:color w:val="auto"/>
        </w:rPr>
        <w:t xml:space="preserve"> and a median follow up of 38.2 months</w:t>
      </w:r>
      <w:r w:rsidRPr="00E050AF">
        <w:rPr>
          <w:color w:val="auto"/>
        </w:rPr>
        <w:t xml:space="preserve">. As such, the tail end of the OS Kaplan-Meier curve </w:t>
      </w:r>
      <w:r w:rsidR="00695649" w:rsidRPr="00E050AF">
        <w:rPr>
          <w:color w:val="auto"/>
        </w:rPr>
        <w:t xml:space="preserve">is unreliable for </w:t>
      </w:r>
      <w:r w:rsidRPr="00E050AF">
        <w:rPr>
          <w:color w:val="auto"/>
        </w:rPr>
        <w:t xml:space="preserve">extrapolation </w:t>
      </w:r>
      <w:r w:rsidR="00695649" w:rsidRPr="00E050AF">
        <w:rPr>
          <w:color w:val="auto"/>
        </w:rPr>
        <w:t xml:space="preserve">in </w:t>
      </w:r>
      <w:r w:rsidRPr="00E050AF">
        <w:rPr>
          <w:color w:val="auto"/>
        </w:rPr>
        <w:t xml:space="preserve">the economic evaluation </w:t>
      </w:r>
      <w:r w:rsidR="00695649" w:rsidRPr="00E050AF">
        <w:rPr>
          <w:color w:val="auto"/>
        </w:rPr>
        <w:t xml:space="preserve">and </w:t>
      </w:r>
      <w:r w:rsidRPr="00E050AF">
        <w:rPr>
          <w:color w:val="auto"/>
        </w:rPr>
        <w:t>the reported median OS for the bevacizumab plus placebo treatment arm</w:t>
      </w:r>
      <w:r w:rsidR="00695649" w:rsidRPr="00E050AF">
        <w:rPr>
          <w:color w:val="auto"/>
        </w:rPr>
        <w:t xml:space="preserve"> is likely to change with the later data cut</w:t>
      </w:r>
      <w:r w:rsidRPr="00E050AF">
        <w:rPr>
          <w:color w:val="auto"/>
        </w:rPr>
        <w:t>.</w:t>
      </w:r>
    </w:p>
    <w:p w14:paraId="6761CFD2" w14:textId="61432A8B" w:rsidR="0080178C" w:rsidRPr="00E050AF" w:rsidRDefault="00695649" w:rsidP="009D3CDF">
      <w:pPr>
        <w:pStyle w:val="ListParagraph"/>
        <w:numPr>
          <w:ilvl w:val="4"/>
          <w:numId w:val="8"/>
        </w:numPr>
        <w:rPr>
          <w:color w:val="auto"/>
        </w:rPr>
      </w:pPr>
      <w:r w:rsidRPr="00E050AF">
        <w:rPr>
          <w:color w:val="auto"/>
        </w:rPr>
        <w:t xml:space="preserve">The </w:t>
      </w:r>
      <w:r w:rsidR="00E53822">
        <w:rPr>
          <w:color w:val="auto"/>
        </w:rPr>
        <w:t>Pre-Sub Committee Response (</w:t>
      </w:r>
      <w:r w:rsidRPr="00E050AF">
        <w:rPr>
          <w:color w:val="auto"/>
        </w:rPr>
        <w:t>PSCR</w:t>
      </w:r>
      <w:r w:rsidR="00E53822">
        <w:rPr>
          <w:color w:val="auto"/>
        </w:rPr>
        <w:t>)</w:t>
      </w:r>
      <w:r w:rsidRPr="00E050AF">
        <w:rPr>
          <w:color w:val="auto"/>
        </w:rPr>
        <w:t xml:space="preserve"> </w:t>
      </w:r>
      <w:r w:rsidR="00AB43EA" w:rsidRPr="00E050AF">
        <w:rPr>
          <w:color w:val="auto"/>
        </w:rPr>
        <w:t xml:space="preserve">stated that the KM curve for OS for the complement of </w:t>
      </w:r>
      <w:r w:rsidR="00A213F1" w:rsidRPr="00E050AF">
        <w:rPr>
          <w:color w:val="auto"/>
        </w:rPr>
        <w:t xml:space="preserve">the requested </w:t>
      </w:r>
      <w:r w:rsidR="00AB43EA" w:rsidRPr="00E050AF">
        <w:rPr>
          <w:color w:val="auto"/>
        </w:rPr>
        <w:t xml:space="preserve">population </w:t>
      </w:r>
      <w:r w:rsidR="0080178C" w:rsidRPr="00E050AF">
        <w:rPr>
          <w:color w:val="auto"/>
        </w:rPr>
        <w:t>wa</w:t>
      </w:r>
      <w:r w:rsidRPr="00E050AF">
        <w:rPr>
          <w:color w:val="auto"/>
        </w:rPr>
        <w:t>s not available</w:t>
      </w:r>
      <w:r w:rsidR="00AB43EA" w:rsidRPr="00E050AF">
        <w:rPr>
          <w:color w:val="auto"/>
        </w:rPr>
        <w:t>.</w:t>
      </w:r>
    </w:p>
    <w:p w14:paraId="788B1904" w14:textId="1A1E7710" w:rsidR="00AB43EA" w:rsidRPr="00E050AF" w:rsidRDefault="0080178C" w:rsidP="009D3CDF">
      <w:pPr>
        <w:pStyle w:val="ListParagraph"/>
        <w:numPr>
          <w:ilvl w:val="4"/>
          <w:numId w:val="8"/>
        </w:numPr>
        <w:rPr>
          <w:color w:val="auto"/>
        </w:rPr>
      </w:pPr>
      <w:r w:rsidRPr="00E050AF">
        <w:rPr>
          <w:color w:val="auto"/>
        </w:rPr>
        <w:t>H</w:t>
      </w:r>
      <w:r w:rsidR="00AB43EA" w:rsidRPr="00E050AF">
        <w:rPr>
          <w:color w:val="auto"/>
        </w:rPr>
        <w:t xml:space="preserve">ealth-related quality of life (HRQoL) data was collected in PAOLA-1, </w:t>
      </w:r>
      <w:r w:rsidRPr="00E050AF">
        <w:rPr>
          <w:color w:val="auto"/>
        </w:rPr>
        <w:t xml:space="preserve">however, </w:t>
      </w:r>
      <w:r w:rsidR="00AB43EA" w:rsidRPr="00E050AF">
        <w:rPr>
          <w:color w:val="auto"/>
        </w:rPr>
        <w:t>no subgroup analyses were performed for the requested subpopulation. The model used the utility value derived from the ITT population in PAOLA-1 for the PFS health state but not for the progressed disease health state</w:t>
      </w:r>
      <w:r w:rsidR="002017CD" w:rsidRPr="00E050AF">
        <w:rPr>
          <w:color w:val="auto"/>
        </w:rPr>
        <w:t>.</w:t>
      </w:r>
    </w:p>
    <w:p w14:paraId="0B4BA944" w14:textId="04F9F7F0" w:rsidR="00AB43EA" w:rsidRPr="00E050AF" w:rsidRDefault="00AB43EA" w:rsidP="009D3CDF">
      <w:pPr>
        <w:pStyle w:val="PBACESHeading2"/>
        <w:numPr>
          <w:ilvl w:val="2"/>
          <w:numId w:val="8"/>
        </w:numPr>
        <w:ind w:left="0" w:firstLine="0"/>
      </w:pPr>
      <w:bookmarkStart w:id="61" w:name="_Toc100693625"/>
      <w:bookmarkStart w:id="62" w:name="_Toc103581577"/>
      <w:bookmarkStart w:id="63" w:name="_Toc103775864"/>
      <w:bookmarkStart w:id="64" w:name="_Hlk103686391"/>
      <w:bookmarkEnd w:id="56"/>
      <w:bookmarkEnd w:id="57"/>
      <w:r w:rsidRPr="00E050AF">
        <w:lastRenderedPageBreak/>
        <w:t>Comparative harms</w:t>
      </w:r>
      <w:bookmarkEnd w:id="61"/>
      <w:bookmarkEnd w:id="62"/>
      <w:bookmarkEnd w:id="63"/>
    </w:p>
    <w:bookmarkEnd w:id="64"/>
    <w:p w14:paraId="70A93E16" w14:textId="14B7413F" w:rsidR="00AB43EA" w:rsidRPr="00E050AF" w:rsidRDefault="2AF48F0D" w:rsidP="009D3CDF">
      <w:pPr>
        <w:pStyle w:val="ListParagraph"/>
        <w:numPr>
          <w:ilvl w:val="4"/>
          <w:numId w:val="8"/>
        </w:numPr>
        <w:rPr>
          <w:color w:val="auto"/>
        </w:rPr>
      </w:pPr>
      <w:r>
        <w:t xml:space="preserve">The submission did not present any safety data specifically for patients whose </w:t>
      </w:r>
      <w:r w:rsidR="024E0C9E">
        <w:t>HGEOC</w:t>
      </w:r>
      <w:r>
        <w:t xml:space="preserve"> tumours were HRD positive </w:t>
      </w:r>
      <w:r w:rsidR="2297C670" w:rsidRPr="2E36BEBC">
        <w:rPr>
          <w:i/>
          <w:iCs/>
        </w:rPr>
        <w:t>BRCA</w:t>
      </w:r>
      <w:r>
        <w:t xml:space="preserve">wt. </w:t>
      </w:r>
      <w:r w:rsidR="297C2563">
        <w:t xml:space="preserve">The </w:t>
      </w:r>
      <w:r w:rsidR="542FCC88">
        <w:t>PBAC agreed with the ESCs</w:t>
      </w:r>
      <w:r w:rsidR="297C2563">
        <w:t xml:space="preserve"> that it was reasonable to assume that the safety results for the overall population were applicable to the subgroup of interest (HRD positive </w:t>
      </w:r>
      <w:r w:rsidR="2297C670" w:rsidRPr="2E36BEBC">
        <w:rPr>
          <w:i/>
          <w:iCs/>
        </w:rPr>
        <w:t>BRCA</w:t>
      </w:r>
      <w:r w:rsidR="297C2563">
        <w:t>wt).</w:t>
      </w:r>
    </w:p>
    <w:p w14:paraId="27BFCE86" w14:textId="611BC386" w:rsidR="00AB43EA" w:rsidRPr="00E050AF" w:rsidRDefault="00AB43EA" w:rsidP="009D3CDF">
      <w:pPr>
        <w:pStyle w:val="ListParagraph"/>
        <w:numPr>
          <w:ilvl w:val="4"/>
          <w:numId w:val="8"/>
        </w:numPr>
        <w:rPr>
          <w:color w:val="auto"/>
        </w:rPr>
      </w:pPr>
      <w:r w:rsidRPr="00E050AF">
        <w:rPr>
          <w:color w:val="auto"/>
        </w:rPr>
        <w:t>The submission reported that most of the AEs reported in PAOLA-1 were non-serious and occurred within the first 28 days of treatment (439 [82.1%] patients in the olaparib plus bevacizumab arm and 186 [69.7%] patients in the placebo plus bevacizumab arm). In the olaparib plus bevacizumab arm, 97.9% (523/534) of patients reported any AE during the combination phase compared to 99.3% (531/535) in the overall study duration. Most AEs reported in the placebo plus bevacizumab arm occurred during the combination phase (95.5%, 255/267) when compared with the overall study duration (95.9%, 256/267).</w:t>
      </w:r>
    </w:p>
    <w:p w14:paraId="0462C054" w14:textId="17E71A83" w:rsidR="00AB43EA" w:rsidRPr="00E050AF" w:rsidRDefault="00AB43EA" w:rsidP="009D3CDF">
      <w:pPr>
        <w:pStyle w:val="ListParagraph"/>
        <w:numPr>
          <w:ilvl w:val="4"/>
          <w:numId w:val="8"/>
        </w:numPr>
        <w:rPr>
          <w:color w:val="auto"/>
        </w:rPr>
      </w:pPr>
      <w:r w:rsidRPr="00E050AF">
        <w:rPr>
          <w:color w:val="auto"/>
        </w:rPr>
        <w:t>The table below presents an overview of the number of patients who experienced at least one AE during PAOLA-1.</w:t>
      </w:r>
    </w:p>
    <w:p w14:paraId="5B78FB3B" w14:textId="0A861E9F" w:rsidR="00AB43EA" w:rsidRPr="00E050AF" w:rsidRDefault="00A354B6" w:rsidP="00A354B6">
      <w:pPr>
        <w:pStyle w:val="TableHeading0"/>
      </w:pPr>
      <w:bookmarkStart w:id="65" w:name="_Ref109855189"/>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9</w:t>
      </w:r>
      <w:r w:rsidRPr="00E050AF">
        <w:rPr>
          <w:rStyle w:val="CommentReference"/>
          <w:b/>
          <w:szCs w:val="20"/>
        </w:rPr>
        <w:fldChar w:fldCharType="end"/>
      </w:r>
      <w:bookmarkEnd w:id="65"/>
      <w:r w:rsidR="00750ABD" w:rsidRPr="00E050AF">
        <w:rPr>
          <w:rStyle w:val="CommentReference"/>
          <w:b/>
          <w:szCs w:val="20"/>
        </w:rPr>
        <w:tab/>
      </w:r>
      <w:r w:rsidR="00AB43EA" w:rsidRPr="00E050AF">
        <w:t>PAOLA-1 number (%) of patients who had at least one AE in any category, SAS (overall study duration)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PAOLA-1 number (%) of patients who had at least one AE in any category, SAS (overall study duration)"/>
      </w:tblPr>
      <w:tblGrid>
        <w:gridCol w:w="4106"/>
        <w:gridCol w:w="992"/>
        <w:gridCol w:w="994"/>
        <w:gridCol w:w="1417"/>
        <w:gridCol w:w="1507"/>
      </w:tblGrid>
      <w:tr w:rsidR="004335E3" w:rsidRPr="00E050AF" w14:paraId="61293176" w14:textId="69CF24AF" w:rsidTr="00E858A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277" w:type="pct"/>
            <w:shd w:val="clear" w:color="auto" w:fill="auto"/>
            <w:vAlign w:val="center"/>
          </w:tcPr>
          <w:p w14:paraId="756C3041" w14:textId="53916165" w:rsidR="004335E3" w:rsidRPr="00E050AF" w:rsidRDefault="004335E3" w:rsidP="00E858A3">
            <w:pPr>
              <w:pStyle w:val="TableBodyText-H54"/>
              <w:spacing w:before="0" w:after="0" w:line="240" w:lineRule="auto"/>
              <w:rPr>
                <w:b w:val="0"/>
                <w:bCs/>
                <w:lang w:val="en-AU" w:eastAsia="zh-CN"/>
              </w:rPr>
            </w:pPr>
            <w:r w:rsidRPr="00E050AF">
              <w:rPr>
                <w:bCs/>
                <w:lang w:val="en-AU" w:eastAsia="zh-CN"/>
              </w:rPr>
              <w:t>AE category, n (%)</w:t>
            </w:r>
          </w:p>
        </w:tc>
        <w:tc>
          <w:tcPr>
            <w:tcW w:w="550" w:type="pct"/>
            <w:shd w:val="clear" w:color="auto" w:fill="auto"/>
            <w:vAlign w:val="center"/>
          </w:tcPr>
          <w:p w14:paraId="52843216" w14:textId="60A9BB64" w:rsidR="004335E3" w:rsidRPr="00E050AF" w:rsidRDefault="004335E3" w:rsidP="00E858A3">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Ola + beva</w:t>
            </w:r>
          </w:p>
          <w:p w14:paraId="3482553A" w14:textId="5351A5BC" w:rsidR="004335E3" w:rsidRPr="00E050AF" w:rsidRDefault="004335E3" w:rsidP="00E858A3">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N=535</w:t>
            </w:r>
          </w:p>
        </w:tc>
        <w:tc>
          <w:tcPr>
            <w:tcW w:w="551" w:type="pct"/>
            <w:shd w:val="clear" w:color="auto" w:fill="auto"/>
            <w:vAlign w:val="center"/>
          </w:tcPr>
          <w:p w14:paraId="070C66BE" w14:textId="5E9A766F" w:rsidR="004335E3" w:rsidRPr="00E050AF" w:rsidRDefault="004335E3" w:rsidP="00E858A3">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Pbo + beva</w:t>
            </w:r>
          </w:p>
          <w:p w14:paraId="01CE443E" w14:textId="32F42822" w:rsidR="004335E3" w:rsidRPr="00E050AF" w:rsidRDefault="004335E3" w:rsidP="00E858A3">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N=267</w:t>
            </w:r>
          </w:p>
        </w:tc>
        <w:tc>
          <w:tcPr>
            <w:tcW w:w="786" w:type="pct"/>
            <w:shd w:val="clear" w:color="auto" w:fill="auto"/>
            <w:vAlign w:val="center"/>
          </w:tcPr>
          <w:p w14:paraId="611CC15C" w14:textId="3461CB40" w:rsidR="004335E3" w:rsidRPr="00E050AF" w:rsidRDefault="004335E3" w:rsidP="00E858A3">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lang w:val="en-AU" w:eastAsia="zh-CN"/>
              </w:rPr>
            </w:pPr>
            <w:r w:rsidRPr="00E050AF">
              <w:rPr>
                <w:bCs/>
                <w:lang w:val="en-AU" w:eastAsia="zh-CN"/>
              </w:rPr>
              <w:t>RR (95% CI)</w:t>
            </w:r>
          </w:p>
        </w:tc>
        <w:tc>
          <w:tcPr>
            <w:tcW w:w="836" w:type="pct"/>
            <w:shd w:val="clear" w:color="auto" w:fill="auto"/>
            <w:vAlign w:val="center"/>
          </w:tcPr>
          <w:p w14:paraId="2732C12A" w14:textId="102EADD3" w:rsidR="004335E3" w:rsidRPr="00E050AF" w:rsidRDefault="004335E3" w:rsidP="00E858A3">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lang w:val="en-AU" w:eastAsia="zh-CN"/>
              </w:rPr>
            </w:pPr>
            <w:r w:rsidRPr="00E050AF">
              <w:rPr>
                <w:bCs/>
                <w:lang w:val="en-AU" w:eastAsia="zh-CN"/>
              </w:rPr>
              <w:t>RD (95%CI)</w:t>
            </w:r>
          </w:p>
        </w:tc>
      </w:tr>
      <w:tr w:rsidR="004335E3" w:rsidRPr="00E050AF" w14:paraId="358D2A66" w14:textId="2870A0D6" w:rsidTr="00E858A3">
        <w:tc>
          <w:tcPr>
            <w:cnfStyle w:val="001000000000" w:firstRow="0" w:lastRow="0" w:firstColumn="1" w:lastColumn="0" w:oddVBand="0" w:evenVBand="0" w:oddHBand="0" w:evenHBand="0" w:firstRowFirstColumn="0" w:firstRowLastColumn="0" w:lastRowFirstColumn="0" w:lastRowLastColumn="0"/>
            <w:tcW w:w="2277" w:type="pct"/>
            <w:shd w:val="clear" w:color="auto" w:fill="auto"/>
          </w:tcPr>
          <w:p w14:paraId="045B6778" w14:textId="234C3430" w:rsidR="004335E3" w:rsidRPr="00E050AF" w:rsidRDefault="004335E3" w:rsidP="00E858A3">
            <w:pPr>
              <w:pStyle w:val="TableBodyText-H54"/>
              <w:spacing w:before="0" w:after="0" w:line="240" w:lineRule="auto"/>
              <w:rPr>
                <w:lang w:val="en-AU" w:eastAsia="zh-CN"/>
              </w:rPr>
            </w:pPr>
            <w:r w:rsidRPr="00E050AF">
              <w:rPr>
                <w:lang w:val="en-AU" w:eastAsia="zh-CN"/>
              </w:rPr>
              <w:t>Any AE</w:t>
            </w:r>
          </w:p>
        </w:tc>
        <w:tc>
          <w:tcPr>
            <w:tcW w:w="550" w:type="pct"/>
            <w:shd w:val="clear" w:color="auto" w:fill="auto"/>
            <w:vAlign w:val="center"/>
          </w:tcPr>
          <w:p w14:paraId="419D13C7" w14:textId="2F6871E8"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531 (99.3)</w:t>
            </w:r>
          </w:p>
        </w:tc>
        <w:tc>
          <w:tcPr>
            <w:tcW w:w="551" w:type="pct"/>
            <w:shd w:val="clear" w:color="auto" w:fill="auto"/>
            <w:vAlign w:val="center"/>
          </w:tcPr>
          <w:p w14:paraId="420C8113" w14:textId="2F458130"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256 (95.9)</w:t>
            </w:r>
          </w:p>
        </w:tc>
        <w:tc>
          <w:tcPr>
            <w:tcW w:w="786" w:type="pct"/>
            <w:vAlign w:val="center"/>
          </w:tcPr>
          <w:p w14:paraId="74C09030" w14:textId="13FC8991"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1.04 (1.01,1.07)</w:t>
            </w:r>
          </w:p>
        </w:tc>
        <w:tc>
          <w:tcPr>
            <w:tcW w:w="836" w:type="pct"/>
          </w:tcPr>
          <w:p w14:paraId="1A687CEC" w14:textId="6FE467D7"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3.4 (1.3, 6.5)</w:t>
            </w:r>
          </w:p>
        </w:tc>
      </w:tr>
      <w:tr w:rsidR="004335E3" w:rsidRPr="00E050AF" w14:paraId="61A8E93E" w14:textId="06715177" w:rsidTr="00E858A3">
        <w:tc>
          <w:tcPr>
            <w:cnfStyle w:val="001000000000" w:firstRow="0" w:lastRow="0" w:firstColumn="1" w:lastColumn="0" w:oddVBand="0" w:evenVBand="0" w:oddHBand="0" w:evenHBand="0" w:firstRowFirstColumn="0" w:firstRowLastColumn="0" w:lastRowFirstColumn="0" w:lastRowLastColumn="0"/>
            <w:tcW w:w="2277" w:type="pct"/>
            <w:shd w:val="clear" w:color="auto" w:fill="auto"/>
          </w:tcPr>
          <w:p w14:paraId="03A05B88" w14:textId="6AB93240" w:rsidR="004335E3" w:rsidRPr="00E050AF" w:rsidRDefault="004335E3" w:rsidP="00E858A3">
            <w:pPr>
              <w:pStyle w:val="TableBodyText-H54"/>
              <w:spacing w:before="0" w:after="0" w:line="240" w:lineRule="auto"/>
              <w:rPr>
                <w:lang w:val="en-AU" w:eastAsia="zh-CN"/>
              </w:rPr>
            </w:pPr>
            <w:bookmarkStart w:id="66" w:name="_Hlk103677087"/>
            <w:r w:rsidRPr="00E050AF">
              <w:rPr>
                <w:lang w:val="en-AU" w:eastAsia="zh-CN"/>
              </w:rPr>
              <w:t>Any AE of CTCAE Grade ≥3</w:t>
            </w:r>
          </w:p>
        </w:tc>
        <w:tc>
          <w:tcPr>
            <w:tcW w:w="550" w:type="pct"/>
            <w:shd w:val="clear" w:color="auto" w:fill="auto"/>
            <w:vAlign w:val="center"/>
          </w:tcPr>
          <w:p w14:paraId="39E42708" w14:textId="1B3B486D"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311 (58.1)</w:t>
            </w:r>
          </w:p>
        </w:tc>
        <w:tc>
          <w:tcPr>
            <w:tcW w:w="551" w:type="pct"/>
            <w:shd w:val="clear" w:color="auto" w:fill="auto"/>
            <w:vAlign w:val="center"/>
          </w:tcPr>
          <w:p w14:paraId="00BA2159" w14:textId="22ADEBAE"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137 (51.3)</w:t>
            </w:r>
          </w:p>
        </w:tc>
        <w:tc>
          <w:tcPr>
            <w:tcW w:w="786" w:type="pct"/>
            <w:vAlign w:val="center"/>
          </w:tcPr>
          <w:p w14:paraId="7F9DF2B9" w14:textId="3048DBA1"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1.13 (0.99,1.31)</w:t>
            </w:r>
          </w:p>
        </w:tc>
        <w:tc>
          <w:tcPr>
            <w:tcW w:w="836" w:type="pct"/>
          </w:tcPr>
          <w:p w14:paraId="6975A788" w14:textId="07DB62FE"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6.8 (-0.5, 14.1)</w:t>
            </w:r>
          </w:p>
        </w:tc>
      </w:tr>
      <w:bookmarkEnd w:id="66"/>
      <w:tr w:rsidR="004335E3" w:rsidRPr="00E050AF" w14:paraId="7E609A72" w14:textId="64C1E431" w:rsidTr="00E858A3">
        <w:tc>
          <w:tcPr>
            <w:cnfStyle w:val="001000000000" w:firstRow="0" w:lastRow="0" w:firstColumn="1" w:lastColumn="0" w:oddVBand="0" w:evenVBand="0" w:oddHBand="0" w:evenHBand="0" w:firstRowFirstColumn="0" w:firstRowLastColumn="0" w:lastRowFirstColumn="0" w:lastRowLastColumn="0"/>
            <w:tcW w:w="2277" w:type="pct"/>
            <w:shd w:val="clear" w:color="auto" w:fill="auto"/>
          </w:tcPr>
          <w:p w14:paraId="2808CB63" w14:textId="2432128F" w:rsidR="004335E3" w:rsidRPr="00E050AF" w:rsidRDefault="004335E3" w:rsidP="00E858A3">
            <w:pPr>
              <w:pStyle w:val="TableBodyText-H54"/>
              <w:spacing w:before="0" w:after="0" w:line="240" w:lineRule="auto"/>
              <w:rPr>
                <w:lang w:val="en-AU" w:eastAsia="zh-CN"/>
              </w:rPr>
            </w:pPr>
            <w:r w:rsidRPr="00E050AF">
              <w:rPr>
                <w:lang w:val="en-AU" w:eastAsia="zh-CN"/>
              </w:rPr>
              <w:t>Any AE with outcome = death</w:t>
            </w:r>
          </w:p>
        </w:tc>
        <w:tc>
          <w:tcPr>
            <w:tcW w:w="550" w:type="pct"/>
            <w:shd w:val="clear" w:color="auto" w:fill="auto"/>
            <w:vAlign w:val="center"/>
          </w:tcPr>
          <w:p w14:paraId="746F62F6" w14:textId="58901FEE"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 (0.2)</w:t>
            </w:r>
          </w:p>
        </w:tc>
        <w:tc>
          <w:tcPr>
            <w:tcW w:w="551" w:type="pct"/>
            <w:shd w:val="clear" w:color="auto" w:fill="auto"/>
            <w:vAlign w:val="center"/>
          </w:tcPr>
          <w:p w14:paraId="70347AF0" w14:textId="448616AA"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 (1.5)</w:t>
            </w:r>
          </w:p>
        </w:tc>
        <w:tc>
          <w:tcPr>
            <w:tcW w:w="786" w:type="pct"/>
            <w:vAlign w:val="center"/>
          </w:tcPr>
          <w:p w14:paraId="285D47E5" w14:textId="41941D75"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0.12 (0.02,0.83)</w:t>
            </w:r>
          </w:p>
        </w:tc>
        <w:tc>
          <w:tcPr>
            <w:tcW w:w="836" w:type="pct"/>
          </w:tcPr>
          <w:p w14:paraId="1D9BD5AA" w14:textId="73858811"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-1.3 (-3.6, -0.2)</w:t>
            </w:r>
          </w:p>
        </w:tc>
      </w:tr>
      <w:tr w:rsidR="004335E3" w:rsidRPr="00E050AF" w14:paraId="10D4DCA7" w14:textId="59F9309F" w:rsidTr="00E858A3">
        <w:tc>
          <w:tcPr>
            <w:cnfStyle w:val="001000000000" w:firstRow="0" w:lastRow="0" w:firstColumn="1" w:lastColumn="0" w:oddVBand="0" w:evenVBand="0" w:oddHBand="0" w:evenHBand="0" w:firstRowFirstColumn="0" w:firstRowLastColumn="0" w:lastRowFirstColumn="0" w:lastRowLastColumn="0"/>
            <w:tcW w:w="2277" w:type="pct"/>
            <w:shd w:val="clear" w:color="auto" w:fill="auto"/>
          </w:tcPr>
          <w:p w14:paraId="5B11F063" w14:textId="51819185" w:rsidR="004335E3" w:rsidRPr="00E050AF" w:rsidRDefault="004335E3" w:rsidP="00E858A3">
            <w:pPr>
              <w:pStyle w:val="TableBodyText-H54"/>
              <w:spacing w:before="0" w:after="0" w:line="240" w:lineRule="auto"/>
              <w:rPr>
                <w:lang w:val="en-AU" w:eastAsia="zh-CN"/>
              </w:rPr>
            </w:pPr>
            <w:r w:rsidRPr="00E050AF">
              <w:rPr>
                <w:lang w:val="en-AU" w:eastAsia="zh-CN"/>
              </w:rPr>
              <w:t>Any severe AE (including events with outcome = death)</w:t>
            </w:r>
          </w:p>
        </w:tc>
        <w:tc>
          <w:tcPr>
            <w:tcW w:w="550" w:type="pct"/>
            <w:shd w:val="clear" w:color="auto" w:fill="auto"/>
            <w:vAlign w:val="center"/>
          </w:tcPr>
          <w:p w14:paraId="5A3FF23C" w14:textId="2C3C3122"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168 (31.4)</w:t>
            </w:r>
          </w:p>
        </w:tc>
        <w:tc>
          <w:tcPr>
            <w:tcW w:w="551" w:type="pct"/>
            <w:shd w:val="clear" w:color="auto" w:fill="auto"/>
            <w:vAlign w:val="center"/>
          </w:tcPr>
          <w:p w14:paraId="623CD3B1" w14:textId="513A3768"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84 (31.5)</w:t>
            </w:r>
          </w:p>
        </w:tc>
        <w:tc>
          <w:tcPr>
            <w:tcW w:w="786" w:type="pct"/>
            <w:vAlign w:val="center"/>
          </w:tcPr>
          <w:p w14:paraId="52921CB8" w14:textId="7B033C3C"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1.00 (0.81,1.24)</w:t>
            </w:r>
          </w:p>
        </w:tc>
        <w:tc>
          <w:tcPr>
            <w:tcW w:w="836" w:type="pct"/>
            <w:vAlign w:val="center"/>
          </w:tcPr>
          <w:p w14:paraId="4A649C81" w14:textId="73352C80"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-0.1 (-2.0, 6.6)</w:t>
            </w:r>
          </w:p>
        </w:tc>
      </w:tr>
      <w:tr w:rsidR="004335E3" w:rsidRPr="00E050AF" w14:paraId="51F107B6" w14:textId="25544E97" w:rsidTr="00E858A3">
        <w:tc>
          <w:tcPr>
            <w:cnfStyle w:val="001000000000" w:firstRow="0" w:lastRow="0" w:firstColumn="1" w:lastColumn="0" w:oddVBand="0" w:evenVBand="0" w:oddHBand="0" w:evenHBand="0" w:firstRowFirstColumn="0" w:firstRowLastColumn="0" w:lastRowFirstColumn="0" w:lastRowLastColumn="0"/>
            <w:tcW w:w="2277" w:type="pct"/>
            <w:shd w:val="clear" w:color="auto" w:fill="auto"/>
          </w:tcPr>
          <w:p w14:paraId="5121B9B3" w14:textId="570A654E" w:rsidR="004335E3" w:rsidRPr="00E050AF" w:rsidRDefault="004335E3" w:rsidP="00E858A3">
            <w:pPr>
              <w:pStyle w:val="TableBodyText-H54"/>
              <w:spacing w:before="0" w:after="0" w:line="240" w:lineRule="auto"/>
              <w:rPr>
                <w:lang w:val="en-AU" w:eastAsia="zh-CN"/>
              </w:rPr>
            </w:pPr>
            <w:r w:rsidRPr="00E050AF">
              <w:rPr>
                <w:lang w:val="en-AU" w:eastAsia="zh-CN"/>
              </w:rPr>
              <w:t>Any AE leading to discontinuation of study treatment</w:t>
            </w:r>
          </w:p>
        </w:tc>
        <w:tc>
          <w:tcPr>
            <w:tcW w:w="550" w:type="pct"/>
            <w:shd w:val="clear" w:color="auto" w:fill="auto"/>
            <w:vAlign w:val="center"/>
          </w:tcPr>
          <w:p w14:paraId="15DDE95D" w14:textId="139245EB"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112</w:t>
            </w:r>
            <w:r w:rsidR="006311D1" w:rsidRPr="00E050AF">
              <w:rPr>
                <w:lang w:val="en-AU" w:eastAsia="zh-CN"/>
              </w:rPr>
              <w:t xml:space="preserve"> </w:t>
            </w:r>
            <w:r w:rsidRPr="00E050AF">
              <w:rPr>
                <w:lang w:val="en-AU" w:eastAsia="zh-CN"/>
              </w:rPr>
              <w:t>(20.9)</w:t>
            </w:r>
          </w:p>
        </w:tc>
        <w:tc>
          <w:tcPr>
            <w:tcW w:w="551" w:type="pct"/>
            <w:shd w:val="clear" w:color="auto" w:fill="auto"/>
            <w:vAlign w:val="center"/>
          </w:tcPr>
          <w:p w14:paraId="7D4E4662" w14:textId="6D6B2D64"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15 (5.6)</w:t>
            </w:r>
          </w:p>
        </w:tc>
        <w:tc>
          <w:tcPr>
            <w:tcW w:w="786" w:type="pct"/>
            <w:vAlign w:val="center"/>
          </w:tcPr>
          <w:p w14:paraId="3EEF273F" w14:textId="3572726B"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3.73 (2.25,6.25)</w:t>
            </w:r>
          </w:p>
        </w:tc>
        <w:tc>
          <w:tcPr>
            <w:tcW w:w="836" w:type="pct"/>
          </w:tcPr>
          <w:p w14:paraId="77C16949" w14:textId="3D3B41B3"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15.3 (10.7, 19.7)</w:t>
            </w:r>
          </w:p>
        </w:tc>
      </w:tr>
      <w:tr w:rsidR="004335E3" w:rsidRPr="00E050AF" w14:paraId="49426431" w14:textId="21407882" w:rsidTr="00E858A3">
        <w:tc>
          <w:tcPr>
            <w:cnfStyle w:val="001000000000" w:firstRow="0" w:lastRow="0" w:firstColumn="1" w:lastColumn="0" w:oddVBand="0" w:evenVBand="0" w:oddHBand="0" w:evenHBand="0" w:firstRowFirstColumn="0" w:firstRowLastColumn="0" w:lastRowFirstColumn="0" w:lastRowLastColumn="0"/>
            <w:tcW w:w="2277" w:type="pct"/>
            <w:shd w:val="clear" w:color="auto" w:fill="auto"/>
          </w:tcPr>
          <w:p w14:paraId="26C1A411" w14:textId="42BAD625" w:rsidR="004335E3" w:rsidRPr="00E050AF" w:rsidRDefault="004335E3" w:rsidP="00E858A3">
            <w:pPr>
              <w:pStyle w:val="TableBodyText-H54"/>
              <w:spacing w:before="0" w:after="0" w:line="240" w:lineRule="auto"/>
              <w:rPr>
                <w:lang w:val="en-AU" w:eastAsia="zh-CN"/>
              </w:rPr>
            </w:pPr>
            <w:r w:rsidRPr="00E050AF">
              <w:rPr>
                <w:lang w:val="en-AU" w:eastAsia="zh-CN"/>
              </w:rPr>
              <w:t>Any AE leading to dose reduction of study treatment</w:t>
            </w:r>
          </w:p>
        </w:tc>
        <w:tc>
          <w:tcPr>
            <w:tcW w:w="550" w:type="pct"/>
            <w:shd w:val="clear" w:color="auto" w:fill="auto"/>
            <w:vAlign w:val="center"/>
          </w:tcPr>
          <w:p w14:paraId="6DBFD692" w14:textId="2999DCA9"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223 (41.1)</w:t>
            </w:r>
          </w:p>
        </w:tc>
        <w:tc>
          <w:tcPr>
            <w:tcW w:w="551" w:type="pct"/>
            <w:shd w:val="clear" w:color="auto" w:fill="auto"/>
            <w:vAlign w:val="center"/>
          </w:tcPr>
          <w:p w14:paraId="73979A4B" w14:textId="02FC5C9A"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21 (7.9)</w:t>
            </w:r>
          </w:p>
        </w:tc>
        <w:tc>
          <w:tcPr>
            <w:tcW w:w="786" w:type="pct"/>
            <w:vAlign w:val="center"/>
          </w:tcPr>
          <w:p w14:paraId="1A0727CF" w14:textId="1077A1C7"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5.30 (3.51,8.11)</w:t>
            </w:r>
          </w:p>
        </w:tc>
        <w:tc>
          <w:tcPr>
            <w:tcW w:w="836" w:type="pct"/>
          </w:tcPr>
          <w:p w14:paraId="1F8EEDB8" w14:textId="288F6C74"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33.8 (28.3, 38.9)</w:t>
            </w:r>
          </w:p>
        </w:tc>
      </w:tr>
      <w:tr w:rsidR="004335E3" w:rsidRPr="00E050AF" w14:paraId="5E9FC14B" w14:textId="52D8C1D9" w:rsidTr="00E858A3">
        <w:tc>
          <w:tcPr>
            <w:cnfStyle w:val="001000000000" w:firstRow="0" w:lastRow="0" w:firstColumn="1" w:lastColumn="0" w:oddVBand="0" w:evenVBand="0" w:oddHBand="0" w:evenHBand="0" w:firstRowFirstColumn="0" w:firstRowLastColumn="0" w:lastRowFirstColumn="0" w:lastRowLastColumn="0"/>
            <w:tcW w:w="2277" w:type="pct"/>
            <w:shd w:val="clear" w:color="auto" w:fill="auto"/>
          </w:tcPr>
          <w:p w14:paraId="130A760F" w14:textId="7938F52E" w:rsidR="004335E3" w:rsidRPr="00E050AF" w:rsidRDefault="004335E3" w:rsidP="00E858A3">
            <w:pPr>
              <w:pStyle w:val="TableBodyText-H54"/>
              <w:spacing w:before="0" w:after="0" w:line="240" w:lineRule="auto"/>
              <w:rPr>
                <w:lang w:val="en-AU" w:eastAsia="zh-CN"/>
              </w:rPr>
            </w:pPr>
            <w:r w:rsidRPr="00E050AF">
              <w:rPr>
                <w:lang w:val="en-AU" w:eastAsia="zh-CN"/>
              </w:rPr>
              <w:t>Any AE leading to interruption of study treatment</w:t>
            </w:r>
          </w:p>
        </w:tc>
        <w:tc>
          <w:tcPr>
            <w:tcW w:w="550" w:type="pct"/>
            <w:shd w:val="clear" w:color="auto" w:fill="auto"/>
            <w:vAlign w:val="center"/>
          </w:tcPr>
          <w:p w14:paraId="135FD127" w14:textId="69822345"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290 (54.2)</w:t>
            </w:r>
          </w:p>
        </w:tc>
        <w:tc>
          <w:tcPr>
            <w:tcW w:w="551" w:type="pct"/>
            <w:shd w:val="clear" w:color="auto" w:fill="auto"/>
            <w:vAlign w:val="center"/>
          </w:tcPr>
          <w:p w14:paraId="5DE78561" w14:textId="71D95ABA"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65 (24.3)</w:t>
            </w:r>
          </w:p>
        </w:tc>
        <w:tc>
          <w:tcPr>
            <w:tcW w:w="786" w:type="pct"/>
            <w:vAlign w:val="center"/>
          </w:tcPr>
          <w:p w14:paraId="15F4CDA1" w14:textId="0940213D"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2.23 (1.79,3.23)</w:t>
            </w:r>
          </w:p>
        </w:tc>
        <w:tc>
          <w:tcPr>
            <w:tcW w:w="836" w:type="pct"/>
          </w:tcPr>
          <w:p w14:paraId="6B8168D6" w14:textId="697BF0FB" w:rsidR="004335E3" w:rsidRPr="00E050AF" w:rsidRDefault="004335E3" w:rsidP="00E858A3">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29.9 (23.0, 36.3)</w:t>
            </w:r>
          </w:p>
        </w:tc>
      </w:tr>
    </w:tbl>
    <w:p w14:paraId="3EA9EB29" w14:textId="4691011B" w:rsidR="00AB43EA" w:rsidRPr="00E050AF" w:rsidRDefault="00AB43EA" w:rsidP="002017CD">
      <w:pPr>
        <w:pStyle w:val="TableFooter"/>
        <w:keepNext/>
      </w:pPr>
      <w:r w:rsidRPr="00E050AF">
        <w:t xml:space="preserve">AE = adverse event; Beva =bevacizumab; CI = confidence interval; CTCAE =Common Terminology Criteria for Adverse Events; Ola = olaparib; Pbo = placebo; </w:t>
      </w:r>
      <w:r w:rsidR="00A27E57" w:rsidRPr="00E050AF">
        <w:t xml:space="preserve">RD = risk difference; </w:t>
      </w:r>
      <w:r w:rsidRPr="00E050AF">
        <w:t>RR = relative risk; SAS = safety analysis set</w:t>
      </w:r>
    </w:p>
    <w:p w14:paraId="17AF4EFA" w14:textId="55504681" w:rsidR="00AB43EA" w:rsidRPr="00E050AF" w:rsidRDefault="00756ACC" w:rsidP="002017CD">
      <w:pPr>
        <w:pStyle w:val="TableFooter"/>
        <w:keepNext/>
      </w:pPr>
      <w:r w:rsidRPr="00E050AF">
        <w:t>The values reported below are from the most recent CSR, from data cut-off 2 (DCO2). This differed to the submission, which reported AEs from data cut-off 1 (DCO1).</w:t>
      </w:r>
      <w:r w:rsidR="00ED43EE" w:rsidRPr="00E050AF">
        <w:t xml:space="preserve"> V</w:t>
      </w:r>
      <w:r w:rsidR="00AB43EA" w:rsidRPr="00E050AF">
        <w:t>alues in bold indicate statistically significant differences</w:t>
      </w:r>
    </w:p>
    <w:p w14:paraId="3B758072" w14:textId="323B1AC4" w:rsidR="00AB43EA" w:rsidRPr="00E050AF" w:rsidRDefault="00AB43EA" w:rsidP="00AB43EA">
      <w:pPr>
        <w:pStyle w:val="TableFooter"/>
      </w:pPr>
      <w:r w:rsidRPr="00E050AF">
        <w:t>Source: Table 2.75, p173 of the submission and calculated during evaluation using StatsDirect v3</w:t>
      </w:r>
    </w:p>
    <w:p w14:paraId="560F3853" w14:textId="384F6A4B" w:rsidR="00AB43EA" w:rsidRPr="00E050AF" w:rsidRDefault="00AB43EA" w:rsidP="009D3CDF">
      <w:pPr>
        <w:pStyle w:val="ListParagraph"/>
        <w:numPr>
          <w:ilvl w:val="4"/>
          <w:numId w:val="8"/>
        </w:numPr>
        <w:rPr>
          <w:iCs/>
        </w:rPr>
      </w:pPr>
      <w:r w:rsidRPr="00E050AF">
        <w:t xml:space="preserve">Overall, among patients in the safety population, there were generally more </w:t>
      </w:r>
      <w:r w:rsidR="0077348B" w:rsidRPr="00E050AF">
        <w:t>severe (</w:t>
      </w:r>
      <w:r w:rsidRPr="00E050AF">
        <w:t xml:space="preserve">Common Terminology Criteria for Adverse Events (CTCAE) grade </w:t>
      </w:r>
      <w:r w:rsidRPr="00E050AF">
        <w:rPr>
          <w:rFonts w:cs="Arial"/>
        </w:rPr>
        <w:t>≥</w:t>
      </w:r>
      <w:r w:rsidRPr="00E050AF">
        <w:t>3</w:t>
      </w:r>
      <w:r w:rsidR="008F09BF" w:rsidRPr="00E050AF">
        <w:t>) events</w:t>
      </w:r>
      <w:r w:rsidRPr="00E050AF">
        <w:t xml:space="preserve"> reported in the olaparib plus bevacizumab arm compared with the placebo plus bevacizumab arm.</w:t>
      </w:r>
      <w:r w:rsidR="000729D2" w:rsidRPr="00E050AF">
        <w:t xml:space="preserve"> Significantly more cases of anaemia, lymphopenia and fatigue were observed in the olaparib plus bevacizumab treatment arm compared to patients receiving placebo plus bevacizumab.</w:t>
      </w:r>
      <w:r w:rsidR="00870509" w:rsidRPr="00E050AF">
        <w:t xml:space="preserve"> </w:t>
      </w:r>
      <w:r w:rsidR="006311D1" w:rsidRPr="00E050AF">
        <w:t>H</w:t>
      </w:r>
      <w:r w:rsidR="00870509" w:rsidRPr="00E050AF">
        <w:t xml:space="preserve">ypertension (grade ≥3) was higher for patients in the placebo plus bevacizumab arm compared to the olaparib plus bevacizumab arm. The dose intensity of bevacizumab was similar in both </w:t>
      </w:r>
      <w:r w:rsidR="00EA56BD" w:rsidRPr="00E050AF">
        <w:t xml:space="preserve">arms </w:t>
      </w:r>
      <w:r w:rsidR="00870509" w:rsidRPr="00E050AF">
        <w:t xml:space="preserve">(mean 91.2% in olaparib plus bevacizumab arm, 90.5% in bevacizumab only arm) therefore it was unclear why there would be a statistically significant difference in both all grade and grades 3/4 hypertension events that favoured olaparib plus bevacizumab. </w:t>
      </w:r>
      <w:r w:rsidR="009707BA" w:rsidRPr="00E050AF">
        <w:t xml:space="preserve">Notably, there was no difference in the incidence of hypertension considered to be </w:t>
      </w:r>
      <w:r w:rsidR="00E62170" w:rsidRPr="00E050AF">
        <w:t>caused by the treatments received</w:t>
      </w:r>
      <w:r w:rsidR="00A213F1" w:rsidRPr="00E050AF">
        <w:t>.</w:t>
      </w:r>
    </w:p>
    <w:p w14:paraId="20F0BD7E" w14:textId="5A60D841" w:rsidR="00AB43EA" w:rsidRPr="00E050AF" w:rsidRDefault="00A354B6" w:rsidP="00A354B6">
      <w:pPr>
        <w:pStyle w:val="TableHeading0"/>
      </w:pPr>
      <w:r w:rsidRPr="00E050AF">
        <w:rPr>
          <w:rStyle w:val="CommentReference"/>
          <w:b/>
          <w:szCs w:val="20"/>
        </w:rPr>
        <w:lastRenderedPageBreak/>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10</w:t>
      </w:r>
      <w:r w:rsidRPr="00E050AF">
        <w:rPr>
          <w:rStyle w:val="CommentReference"/>
          <w:b/>
          <w:szCs w:val="20"/>
        </w:rPr>
        <w:fldChar w:fldCharType="end"/>
      </w:r>
      <w:r w:rsidR="00750ABD" w:rsidRPr="00E050AF">
        <w:rPr>
          <w:rStyle w:val="CommentReference"/>
          <w:b/>
          <w:szCs w:val="20"/>
        </w:rPr>
        <w:tab/>
      </w:r>
      <w:r w:rsidR="00AB43EA" w:rsidRPr="00E050AF">
        <w:t>PAOLA-1 severe AEs of Grade ≥3 by system class, SAS (overall study duration)</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PAOLA-1 severe AEs of Grade ≥3 by system class, SAS (overall study duration)"/>
      </w:tblPr>
      <w:tblGrid>
        <w:gridCol w:w="3681"/>
        <w:gridCol w:w="1135"/>
        <w:gridCol w:w="1134"/>
        <w:gridCol w:w="1560"/>
        <w:gridCol w:w="1506"/>
      </w:tblGrid>
      <w:tr w:rsidR="00F03925" w:rsidRPr="00E050AF" w14:paraId="281754D2" w14:textId="77777777" w:rsidTr="00F03925">
        <w:trPr>
          <w:cnfStyle w:val="100000000000" w:firstRow="1" w:lastRow="0" w:firstColumn="0" w:lastColumn="0" w:oddVBand="0" w:evenVBand="0" w:oddHBand="0" w:evenHBand="0" w:firstRowFirstColumn="0" w:firstRowLastColumn="0" w:lastRowFirstColumn="0" w:lastRowLastColumn="0"/>
          <w:trHeight w:val="58"/>
        </w:trPr>
        <w:tc>
          <w:tcPr>
            <w:cnfStyle w:val="001000000000" w:firstRow="0" w:lastRow="0" w:firstColumn="1" w:lastColumn="0" w:oddVBand="0" w:evenVBand="0" w:oddHBand="0" w:evenHBand="0" w:firstRowFirstColumn="0" w:firstRowLastColumn="0" w:lastRowFirstColumn="0" w:lastRowLastColumn="0"/>
            <w:tcW w:w="2041" w:type="pct"/>
            <w:shd w:val="clear" w:color="auto" w:fill="auto"/>
            <w:vAlign w:val="center"/>
          </w:tcPr>
          <w:p w14:paraId="071409DC" w14:textId="77777777" w:rsidR="00F03925" w:rsidRPr="00E050AF" w:rsidRDefault="00F03925" w:rsidP="00F03925">
            <w:pPr>
              <w:pStyle w:val="TableBodyText-H54"/>
              <w:keepLines/>
              <w:spacing w:before="0" w:after="0" w:line="240" w:lineRule="auto"/>
              <w:rPr>
                <w:bCs/>
                <w:lang w:val="en-AU" w:eastAsia="zh-CN"/>
              </w:rPr>
            </w:pPr>
            <w:r w:rsidRPr="00E050AF">
              <w:rPr>
                <w:bCs/>
                <w:lang w:val="en-AU" w:eastAsia="zh-CN"/>
              </w:rPr>
              <w:t>AE by system organ class &amp; preferred term, n (%)</w:t>
            </w:r>
          </w:p>
        </w:tc>
        <w:tc>
          <w:tcPr>
            <w:tcW w:w="629" w:type="pct"/>
            <w:shd w:val="clear" w:color="auto" w:fill="auto"/>
            <w:vAlign w:val="center"/>
          </w:tcPr>
          <w:p w14:paraId="26CAEA08" w14:textId="77777777" w:rsidR="00F03925" w:rsidRPr="00E050AF" w:rsidRDefault="00F03925" w:rsidP="00F03925">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Ola + beva</w:t>
            </w:r>
          </w:p>
          <w:p w14:paraId="5180F5B8" w14:textId="77777777" w:rsidR="00F03925" w:rsidRPr="00E050AF" w:rsidRDefault="00F03925" w:rsidP="00F03925">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N=535</w:t>
            </w:r>
          </w:p>
        </w:tc>
        <w:tc>
          <w:tcPr>
            <w:tcW w:w="629" w:type="pct"/>
            <w:shd w:val="clear" w:color="auto" w:fill="auto"/>
            <w:vAlign w:val="center"/>
          </w:tcPr>
          <w:p w14:paraId="5B5F7241" w14:textId="77777777" w:rsidR="00F03925" w:rsidRPr="00E050AF" w:rsidRDefault="00F03925" w:rsidP="00F03925">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Pbo + beva</w:t>
            </w:r>
          </w:p>
          <w:p w14:paraId="77AEFC5B" w14:textId="77777777" w:rsidR="00F03925" w:rsidRPr="00E050AF" w:rsidRDefault="00F03925" w:rsidP="00F03925">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 w:val="0"/>
                <w:bCs/>
                <w:lang w:val="en-AU" w:eastAsia="zh-CN"/>
              </w:rPr>
            </w:pPr>
            <w:r w:rsidRPr="00E050AF">
              <w:rPr>
                <w:bCs/>
                <w:lang w:val="en-AU" w:eastAsia="zh-CN"/>
              </w:rPr>
              <w:t>N=267</w:t>
            </w:r>
          </w:p>
        </w:tc>
        <w:tc>
          <w:tcPr>
            <w:tcW w:w="865" w:type="pct"/>
            <w:shd w:val="clear" w:color="auto" w:fill="auto"/>
            <w:vAlign w:val="center"/>
          </w:tcPr>
          <w:p w14:paraId="0F14199C" w14:textId="77777777" w:rsidR="00F03925" w:rsidRPr="00E050AF" w:rsidRDefault="00F03925" w:rsidP="00F03925">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lang w:val="en-AU" w:eastAsia="zh-CN"/>
              </w:rPr>
            </w:pPr>
            <w:r w:rsidRPr="00E050AF">
              <w:rPr>
                <w:bCs/>
                <w:lang w:val="en-AU" w:eastAsia="zh-CN"/>
              </w:rPr>
              <w:t>RR (95% CI)</w:t>
            </w:r>
          </w:p>
        </w:tc>
        <w:tc>
          <w:tcPr>
            <w:tcW w:w="835" w:type="pct"/>
            <w:shd w:val="clear" w:color="auto" w:fill="auto"/>
            <w:vAlign w:val="center"/>
          </w:tcPr>
          <w:p w14:paraId="1127348A" w14:textId="77777777" w:rsidR="00F03925" w:rsidRPr="00E050AF" w:rsidRDefault="00F03925" w:rsidP="00F03925">
            <w:pPr>
              <w:pStyle w:val="TableBodyText-H54"/>
              <w:keepLines/>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lang w:val="en-AU" w:eastAsia="zh-CN"/>
              </w:rPr>
            </w:pPr>
            <w:r w:rsidRPr="00E050AF">
              <w:rPr>
                <w:bCs/>
                <w:lang w:val="en-AU" w:eastAsia="zh-CN"/>
              </w:rPr>
              <w:t>RD (95%CI)</w:t>
            </w:r>
          </w:p>
        </w:tc>
      </w:tr>
      <w:tr w:rsidR="00F03925" w:rsidRPr="00E050AF" w14:paraId="006E5DBB"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221DC918" w14:textId="77777777" w:rsidR="00F03925" w:rsidRPr="00E050AF" w:rsidRDefault="00F03925" w:rsidP="00F03925">
            <w:pPr>
              <w:pStyle w:val="TableBodyText-H54"/>
              <w:keepLines/>
              <w:spacing w:before="0" w:after="0" w:line="240" w:lineRule="auto"/>
              <w:rPr>
                <w:lang w:val="en-AU" w:eastAsia="zh-CN"/>
              </w:rPr>
            </w:pPr>
            <w:bookmarkStart w:id="67" w:name="_Hlk103677097"/>
            <w:r w:rsidRPr="00E050AF">
              <w:rPr>
                <w:lang w:val="en-AU" w:eastAsia="zh-CN"/>
              </w:rPr>
              <w:t>Any AEs of CTCAE grade ≥3</w:t>
            </w:r>
          </w:p>
        </w:tc>
        <w:tc>
          <w:tcPr>
            <w:tcW w:w="629" w:type="pct"/>
            <w:shd w:val="clear" w:color="auto" w:fill="auto"/>
          </w:tcPr>
          <w:p w14:paraId="6BB85829"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311 (58.1)</w:t>
            </w:r>
          </w:p>
        </w:tc>
        <w:tc>
          <w:tcPr>
            <w:tcW w:w="629" w:type="pct"/>
            <w:shd w:val="clear" w:color="auto" w:fill="auto"/>
          </w:tcPr>
          <w:p w14:paraId="1A1B10D0" w14:textId="01097044"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w:t>
            </w:r>
            <w:r w:rsidR="006D2960" w:rsidRPr="00E050AF">
              <w:rPr>
                <w:lang w:val="en-AU" w:eastAsia="zh-CN"/>
              </w:rPr>
              <w:t>3</w:t>
            </w:r>
            <w:r w:rsidRPr="00E050AF">
              <w:rPr>
                <w:lang w:val="en-AU" w:eastAsia="zh-CN"/>
              </w:rPr>
              <w:t>7 (51.3)</w:t>
            </w:r>
          </w:p>
        </w:tc>
        <w:tc>
          <w:tcPr>
            <w:tcW w:w="865" w:type="pct"/>
          </w:tcPr>
          <w:p w14:paraId="1B60AF0A" w14:textId="20D7B6FF" w:rsidR="00F03925" w:rsidRPr="00E050AF" w:rsidRDefault="006D2960"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1.13 (0.99, 1.31)</w:t>
            </w:r>
          </w:p>
        </w:tc>
        <w:tc>
          <w:tcPr>
            <w:tcW w:w="835" w:type="pct"/>
          </w:tcPr>
          <w:p w14:paraId="6727E44D" w14:textId="49442DB2" w:rsidR="00F03925" w:rsidRPr="00E050AF" w:rsidRDefault="006D2960"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6.8 (-0.5, 14.1)</w:t>
            </w:r>
          </w:p>
        </w:tc>
      </w:tr>
      <w:bookmarkEnd w:id="67"/>
      <w:tr w:rsidR="00F03925" w:rsidRPr="00E050AF" w14:paraId="4D222BE4"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250E76CC" w14:textId="77777777" w:rsidR="00F03925" w:rsidRPr="00E050AF" w:rsidRDefault="00F03925" w:rsidP="00F03925">
            <w:pPr>
              <w:pStyle w:val="TableBodyText-H54"/>
              <w:keepLines/>
              <w:spacing w:before="0" w:after="0" w:line="240" w:lineRule="auto"/>
              <w:rPr>
                <w:lang w:val="en-AU" w:eastAsia="zh-CN"/>
              </w:rPr>
            </w:pPr>
            <w:r w:rsidRPr="00E050AF">
              <w:rPr>
                <w:lang w:val="en-AU" w:eastAsia="zh-CN"/>
              </w:rPr>
              <w:t>Blood and lymphatic system disorders</w:t>
            </w:r>
          </w:p>
        </w:tc>
        <w:tc>
          <w:tcPr>
            <w:tcW w:w="629" w:type="pct"/>
            <w:shd w:val="clear" w:color="auto" w:fill="auto"/>
          </w:tcPr>
          <w:p w14:paraId="36F03BDD"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141 (26.4)</w:t>
            </w:r>
          </w:p>
        </w:tc>
        <w:tc>
          <w:tcPr>
            <w:tcW w:w="629" w:type="pct"/>
            <w:shd w:val="clear" w:color="auto" w:fill="auto"/>
          </w:tcPr>
          <w:p w14:paraId="393564C4"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12 (4.5)</w:t>
            </w:r>
          </w:p>
        </w:tc>
        <w:tc>
          <w:tcPr>
            <w:tcW w:w="865" w:type="pct"/>
          </w:tcPr>
          <w:p w14:paraId="50677C55"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5.86 (3.36, 10.35)</w:t>
            </w:r>
          </w:p>
        </w:tc>
        <w:tc>
          <w:tcPr>
            <w:tcW w:w="835" w:type="pct"/>
          </w:tcPr>
          <w:p w14:paraId="2D19AD82"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21.9 (17.2, 26.3)</w:t>
            </w:r>
          </w:p>
        </w:tc>
      </w:tr>
      <w:tr w:rsidR="00F03925" w:rsidRPr="00E050AF" w14:paraId="0318533F"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32FAB799" w14:textId="77777777" w:rsidR="00F03925" w:rsidRPr="00E050AF" w:rsidRDefault="00F03925" w:rsidP="00F03925">
            <w:pPr>
              <w:pStyle w:val="TableBodyText-H54"/>
              <w:keepLines/>
              <w:spacing w:before="0" w:after="0" w:line="240" w:lineRule="auto"/>
              <w:rPr>
                <w:lang w:val="en-AU" w:eastAsia="zh-CN"/>
              </w:rPr>
            </w:pPr>
            <w:r w:rsidRPr="00E050AF">
              <w:rPr>
                <w:lang w:val="en-AU" w:eastAsia="zh-CN"/>
              </w:rPr>
              <w:t xml:space="preserve">  Anaemia</w:t>
            </w:r>
          </w:p>
        </w:tc>
        <w:tc>
          <w:tcPr>
            <w:tcW w:w="629" w:type="pct"/>
            <w:shd w:val="clear" w:color="auto" w:fill="auto"/>
          </w:tcPr>
          <w:p w14:paraId="57624664"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94 (17.6)</w:t>
            </w:r>
          </w:p>
        </w:tc>
        <w:tc>
          <w:tcPr>
            <w:tcW w:w="629" w:type="pct"/>
            <w:shd w:val="clear" w:color="auto" w:fill="auto"/>
          </w:tcPr>
          <w:p w14:paraId="7033540D"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 (0.4)</w:t>
            </w:r>
          </w:p>
        </w:tc>
        <w:tc>
          <w:tcPr>
            <w:tcW w:w="865" w:type="pct"/>
          </w:tcPr>
          <w:p w14:paraId="7C2C5BDF" w14:textId="68724285"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46.9</w:t>
            </w:r>
            <w:r w:rsidR="002222A6" w:rsidRPr="00E050AF">
              <w:rPr>
                <w:b/>
                <w:bCs/>
                <w:lang w:val="en-AU" w:eastAsia="zh-CN"/>
              </w:rPr>
              <w:t>1</w:t>
            </w:r>
            <w:r w:rsidRPr="00E050AF">
              <w:rPr>
                <w:b/>
                <w:bCs/>
                <w:lang w:val="en-AU" w:eastAsia="zh-CN"/>
              </w:rPr>
              <w:t xml:space="preserve"> (8.4, 267.3)</w:t>
            </w:r>
          </w:p>
        </w:tc>
        <w:tc>
          <w:tcPr>
            <w:tcW w:w="835" w:type="pct"/>
          </w:tcPr>
          <w:p w14:paraId="4CCD829B"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17.2 (14.0, 20.7)</w:t>
            </w:r>
          </w:p>
        </w:tc>
      </w:tr>
      <w:tr w:rsidR="00F03925" w:rsidRPr="00E050AF" w14:paraId="407C8273"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573E50AE" w14:textId="77777777" w:rsidR="00F03925" w:rsidRPr="00E050AF" w:rsidRDefault="00F03925" w:rsidP="00F03925">
            <w:pPr>
              <w:pStyle w:val="TableBodyText-H54"/>
              <w:keepLines/>
              <w:spacing w:before="0" w:after="0" w:line="240" w:lineRule="auto"/>
              <w:rPr>
                <w:lang w:val="en-AU" w:eastAsia="zh-CN"/>
              </w:rPr>
            </w:pPr>
            <w:r w:rsidRPr="00E050AF">
              <w:rPr>
                <w:lang w:val="en-AU" w:eastAsia="zh-CN"/>
              </w:rPr>
              <w:t xml:space="preserve">  Lymphopenia</w:t>
            </w:r>
          </w:p>
        </w:tc>
        <w:tc>
          <w:tcPr>
            <w:tcW w:w="629" w:type="pct"/>
            <w:shd w:val="clear" w:color="auto" w:fill="auto"/>
          </w:tcPr>
          <w:p w14:paraId="0CAA1748"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37 (6.9)</w:t>
            </w:r>
          </w:p>
        </w:tc>
        <w:tc>
          <w:tcPr>
            <w:tcW w:w="629" w:type="pct"/>
            <w:shd w:val="clear" w:color="auto" w:fill="auto"/>
          </w:tcPr>
          <w:p w14:paraId="744BD721"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 (1.1)</w:t>
            </w:r>
          </w:p>
        </w:tc>
        <w:tc>
          <w:tcPr>
            <w:tcW w:w="865" w:type="pct"/>
          </w:tcPr>
          <w:p w14:paraId="1C89131D"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6.16 (2.05, 18.73)</w:t>
            </w:r>
          </w:p>
        </w:tc>
        <w:tc>
          <w:tcPr>
            <w:tcW w:w="835" w:type="pct"/>
          </w:tcPr>
          <w:p w14:paraId="51AEF868"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5.8 (3.1, 8.4)</w:t>
            </w:r>
          </w:p>
        </w:tc>
      </w:tr>
      <w:tr w:rsidR="00F03925" w:rsidRPr="00E050AF" w14:paraId="11771602"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03A5595C" w14:textId="77777777" w:rsidR="00F03925" w:rsidRPr="00E050AF" w:rsidRDefault="00F03925" w:rsidP="00F03925">
            <w:pPr>
              <w:pStyle w:val="TableBodyText-H54"/>
              <w:keepLines/>
              <w:spacing w:before="0" w:after="0" w:line="240" w:lineRule="auto"/>
              <w:rPr>
                <w:lang w:val="en-AU" w:eastAsia="zh-CN"/>
              </w:rPr>
            </w:pPr>
            <w:r w:rsidRPr="00E050AF">
              <w:rPr>
                <w:lang w:val="en-AU" w:eastAsia="zh-CN"/>
              </w:rPr>
              <w:t>Vascular disorders</w:t>
            </w:r>
          </w:p>
        </w:tc>
        <w:tc>
          <w:tcPr>
            <w:tcW w:w="629" w:type="pct"/>
            <w:shd w:val="clear" w:color="auto" w:fill="auto"/>
          </w:tcPr>
          <w:p w14:paraId="7961E141"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108 (20.2)</w:t>
            </w:r>
          </w:p>
        </w:tc>
        <w:tc>
          <w:tcPr>
            <w:tcW w:w="629" w:type="pct"/>
            <w:shd w:val="clear" w:color="auto" w:fill="auto"/>
          </w:tcPr>
          <w:p w14:paraId="3B0B7BB7"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82 (30.7)</w:t>
            </w:r>
          </w:p>
        </w:tc>
        <w:tc>
          <w:tcPr>
            <w:tcW w:w="865" w:type="pct"/>
          </w:tcPr>
          <w:p w14:paraId="4295F41F"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0.66 (0.51, 0.84)</w:t>
            </w:r>
          </w:p>
        </w:tc>
        <w:tc>
          <w:tcPr>
            <w:tcW w:w="835" w:type="pct"/>
          </w:tcPr>
          <w:p w14:paraId="0DC31E89"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-10.5 (-17.2, -4.2)</w:t>
            </w:r>
          </w:p>
        </w:tc>
      </w:tr>
      <w:tr w:rsidR="00F03925" w:rsidRPr="00E050AF" w14:paraId="6397B402"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209412F6" w14:textId="77777777" w:rsidR="00F03925" w:rsidRPr="00E050AF" w:rsidRDefault="00F03925" w:rsidP="00F03925">
            <w:pPr>
              <w:pStyle w:val="TableBodyText-H54"/>
              <w:keepLines/>
              <w:spacing w:before="0" w:after="0" w:line="240" w:lineRule="auto"/>
              <w:rPr>
                <w:lang w:val="en-AU" w:eastAsia="zh-CN"/>
              </w:rPr>
            </w:pPr>
            <w:r w:rsidRPr="00E050AF">
              <w:rPr>
                <w:lang w:val="en-AU" w:eastAsia="zh-CN"/>
              </w:rPr>
              <w:t xml:space="preserve">  Hypertension</w:t>
            </w:r>
          </w:p>
        </w:tc>
        <w:tc>
          <w:tcPr>
            <w:tcW w:w="629" w:type="pct"/>
            <w:shd w:val="clear" w:color="auto" w:fill="auto"/>
          </w:tcPr>
          <w:p w14:paraId="6BA81EBD"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100 (18.7)</w:t>
            </w:r>
          </w:p>
        </w:tc>
        <w:tc>
          <w:tcPr>
            <w:tcW w:w="629" w:type="pct"/>
            <w:shd w:val="clear" w:color="auto" w:fill="auto"/>
          </w:tcPr>
          <w:p w14:paraId="2BB01B6B"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82 (30.7)</w:t>
            </w:r>
          </w:p>
        </w:tc>
        <w:tc>
          <w:tcPr>
            <w:tcW w:w="865" w:type="pct"/>
          </w:tcPr>
          <w:p w14:paraId="1E189AEF"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0.61 (0.47, 0.78)</w:t>
            </w:r>
          </w:p>
        </w:tc>
        <w:tc>
          <w:tcPr>
            <w:tcW w:w="835" w:type="pct"/>
          </w:tcPr>
          <w:p w14:paraId="30FC8C1B"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-12.0 (-18.6, -5.7)</w:t>
            </w:r>
          </w:p>
        </w:tc>
      </w:tr>
      <w:tr w:rsidR="00F03925" w:rsidRPr="00E050AF" w14:paraId="5CEA4C40"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3A17C22E" w14:textId="77777777" w:rsidR="00F03925" w:rsidRPr="00E050AF" w:rsidRDefault="00F03925" w:rsidP="00F03925">
            <w:pPr>
              <w:pStyle w:val="TableBodyText-H54"/>
              <w:keepLines/>
              <w:spacing w:before="0" w:after="0" w:line="240" w:lineRule="auto"/>
              <w:rPr>
                <w:lang w:val="en-AU" w:eastAsia="zh-CN"/>
              </w:rPr>
            </w:pPr>
            <w:r w:rsidRPr="00E050AF">
              <w:rPr>
                <w:lang w:val="en-AU" w:eastAsia="zh-CN"/>
              </w:rPr>
              <w:t>General disorders and administration site conditions</w:t>
            </w:r>
          </w:p>
        </w:tc>
        <w:tc>
          <w:tcPr>
            <w:tcW w:w="629" w:type="pct"/>
            <w:shd w:val="clear" w:color="auto" w:fill="auto"/>
            <w:vAlign w:val="center"/>
          </w:tcPr>
          <w:p w14:paraId="3C812691"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34 (6.4)</w:t>
            </w:r>
          </w:p>
        </w:tc>
        <w:tc>
          <w:tcPr>
            <w:tcW w:w="629" w:type="pct"/>
            <w:shd w:val="clear" w:color="auto" w:fill="auto"/>
            <w:vAlign w:val="center"/>
          </w:tcPr>
          <w:p w14:paraId="41B169EF"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8 (3.0)</w:t>
            </w:r>
          </w:p>
        </w:tc>
        <w:tc>
          <w:tcPr>
            <w:tcW w:w="865" w:type="pct"/>
            <w:vAlign w:val="center"/>
          </w:tcPr>
          <w:p w14:paraId="4E39C6D2"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2.12 (1.02, 4.46)</w:t>
            </w:r>
          </w:p>
        </w:tc>
        <w:tc>
          <w:tcPr>
            <w:tcW w:w="835" w:type="pct"/>
            <w:vAlign w:val="center"/>
          </w:tcPr>
          <w:p w14:paraId="198D4DB1"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3.4 (0.1, 6.2)</w:t>
            </w:r>
          </w:p>
        </w:tc>
      </w:tr>
      <w:tr w:rsidR="00F03925" w:rsidRPr="00E050AF" w14:paraId="74E5E231" w14:textId="77777777" w:rsidTr="00E858A3">
        <w:tc>
          <w:tcPr>
            <w:cnfStyle w:val="001000000000" w:firstRow="0" w:lastRow="0" w:firstColumn="1" w:lastColumn="0" w:oddVBand="0" w:evenVBand="0" w:oddHBand="0" w:evenHBand="0" w:firstRowFirstColumn="0" w:firstRowLastColumn="0" w:lastRowFirstColumn="0" w:lastRowLastColumn="0"/>
            <w:tcW w:w="2041" w:type="pct"/>
            <w:shd w:val="clear" w:color="auto" w:fill="auto"/>
          </w:tcPr>
          <w:p w14:paraId="237C21FF" w14:textId="77777777" w:rsidR="00F03925" w:rsidRPr="00E050AF" w:rsidRDefault="00F03925" w:rsidP="00F03925">
            <w:pPr>
              <w:pStyle w:val="TableBodyText-H54"/>
              <w:keepLines/>
              <w:spacing w:before="0" w:after="0" w:line="240" w:lineRule="auto"/>
              <w:rPr>
                <w:lang w:val="en-AU" w:eastAsia="zh-CN"/>
              </w:rPr>
            </w:pPr>
            <w:r w:rsidRPr="00E050AF">
              <w:rPr>
                <w:lang w:val="en-AU" w:eastAsia="zh-CN"/>
              </w:rPr>
              <w:t xml:space="preserve">  Fatigue</w:t>
            </w:r>
          </w:p>
        </w:tc>
        <w:tc>
          <w:tcPr>
            <w:tcW w:w="629" w:type="pct"/>
            <w:shd w:val="clear" w:color="auto" w:fill="auto"/>
          </w:tcPr>
          <w:p w14:paraId="6C30F8F1"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28 (5.2)</w:t>
            </w:r>
          </w:p>
        </w:tc>
        <w:tc>
          <w:tcPr>
            <w:tcW w:w="629" w:type="pct"/>
            <w:shd w:val="clear" w:color="auto" w:fill="auto"/>
          </w:tcPr>
          <w:p w14:paraId="2DCB366E"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eastAsia="zh-CN"/>
              </w:rPr>
            </w:pPr>
            <w:r w:rsidRPr="00E050AF">
              <w:rPr>
                <w:lang w:val="en-AU" w:eastAsia="zh-CN"/>
              </w:rPr>
              <w:t>4 (1.5)</w:t>
            </w:r>
          </w:p>
        </w:tc>
        <w:tc>
          <w:tcPr>
            <w:tcW w:w="865" w:type="pct"/>
          </w:tcPr>
          <w:p w14:paraId="67F3DD9E"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3.49 (1.30, 9.49)</w:t>
            </w:r>
          </w:p>
        </w:tc>
        <w:tc>
          <w:tcPr>
            <w:tcW w:w="835" w:type="pct"/>
          </w:tcPr>
          <w:p w14:paraId="1189F76E" w14:textId="77777777" w:rsidR="00F03925" w:rsidRPr="00E050AF" w:rsidRDefault="00F03925" w:rsidP="00F03925">
            <w:pPr>
              <w:pStyle w:val="TableBodyText-H54"/>
              <w:keepLines/>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eastAsia="zh-CN"/>
              </w:rPr>
            </w:pPr>
            <w:r w:rsidRPr="00E050AF">
              <w:rPr>
                <w:b/>
                <w:bCs/>
                <w:lang w:val="en-AU" w:eastAsia="zh-CN"/>
              </w:rPr>
              <w:t>3.7 (1.1, 6.2)</w:t>
            </w:r>
          </w:p>
        </w:tc>
      </w:tr>
    </w:tbl>
    <w:p w14:paraId="32236A96" w14:textId="507D63EC" w:rsidR="00F03925" w:rsidRPr="00E050AF" w:rsidRDefault="00F03925" w:rsidP="00F03925">
      <w:pPr>
        <w:pStyle w:val="TableFooter"/>
        <w:keepNext/>
        <w:keepLines/>
        <w:rPr>
          <w:szCs w:val="18"/>
          <w:lang w:eastAsia="zh-CN"/>
        </w:rPr>
      </w:pPr>
      <w:r w:rsidRPr="00E050AF">
        <w:rPr>
          <w:szCs w:val="18"/>
          <w:lang w:eastAsia="zh-CN"/>
        </w:rPr>
        <w:t xml:space="preserve">AE = adverse event; Beva = bevacizumab; CI = confidence interval; CTCAE = Common Terminology Criteria for Adverse Events; Ola = olaparib; Pbo = placebo; </w:t>
      </w:r>
      <w:r w:rsidR="00A27E57" w:rsidRPr="00E050AF">
        <w:rPr>
          <w:szCs w:val="18"/>
          <w:lang w:eastAsia="zh-CN"/>
        </w:rPr>
        <w:t xml:space="preserve">RD = risk difference; </w:t>
      </w:r>
      <w:r w:rsidRPr="00E050AF">
        <w:rPr>
          <w:szCs w:val="18"/>
          <w:lang w:eastAsia="zh-CN"/>
        </w:rPr>
        <w:t>RR = relative risk; SAS = safety analysis set</w:t>
      </w:r>
    </w:p>
    <w:p w14:paraId="13BCCED7" w14:textId="2CD06A98" w:rsidR="00F03925" w:rsidRPr="00E050AF" w:rsidRDefault="00ED43EE" w:rsidP="00F03925">
      <w:pPr>
        <w:pStyle w:val="TableFooter"/>
        <w:keepNext/>
        <w:keepLines/>
        <w:rPr>
          <w:szCs w:val="18"/>
          <w:lang w:eastAsia="zh-CN"/>
        </w:rPr>
      </w:pPr>
      <w:r w:rsidRPr="00E050AF">
        <w:rPr>
          <w:szCs w:val="18"/>
          <w:lang w:eastAsia="zh-CN"/>
        </w:rPr>
        <w:t>V</w:t>
      </w:r>
      <w:r w:rsidR="00F03925" w:rsidRPr="00E050AF">
        <w:rPr>
          <w:szCs w:val="18"/>
          <w:lang w:eastAsia="zh-CN"/>
        </w:rPr>
        <w:t>alues in bold indicate statistically significant differences</w:t>
      </w:r>
    </w:p>
    <w:p w14:paraId="4D57D97C" w14:textId="77777777" w:rsidR="00F03925" w:rsidRPr="00E050AF" w:rsidRDefault="00F03925" w:rsidP="00A110CB">
      <w:pPr>
        <w:pStyle w:val="TableFooter"/>
        <w:rPr>
          <w:szCs w:val="18"/>
          <w:lang w:eastAsia="zh-CN"/>
        </w:rPr>
      </w:pPr>
      <w:r w:rsidRPr="00E050AF">
        <w:rPr>
          <w:szCs w:val="18"/>
          <w:lang w:eastAsia="zh-CN"/>
        </w:rPr>
        <w:t>Source: Table 24 p65-66 PAOLA-1 CSR DCO2 and, calculated during evaluation using StatsDirect v3</w:t>
      </w:r>
    </w:p>
    <w:p w14:paraId="4E874436" w14:textId="526B5CF0" w:rsidR="00F63027" w:rsidRPr="00E050AF" w:rsidRDefault="00AB43EA" w:rsidP="009D3CDF">
      <w:pPr>
        <w:pStyle w:val="ListParagraph"/>
        <w:numPr>
          <w:ilvl w:val="4"/>
          <w:numId w:val="8"/>
        </w:numPr>
        <w:rPr>
          <w:szCs w:val="18"/>
        </w:rPr>
      </w:pPr>
      <w:r w:rsidRPr="00E050AF">
        <w:t>There was a statistically significantly higher (RR=1.38, 95% CI 1.26,</w:t>
      </w:r>
      <w:r w:rsidR="006D5730" w:rsidRPr="00E050AF">
        <w:t xml:space="preserve"> </w:t>
      </w:r>
      <w:r w:rsidRPr="00E050AF">
        <w:t xml:space="preserve">1.53) proportion of patients in the olaparib plus bevacizumab arm experiencing AEs (of any grade) potentially related to treatment compared to patients in the placebo plus bevacizumab arm (471/535 (88.0%) vs 170/267 (63.7%), respectively) in the </w:t>
      </w:r>
      <w:r w:rsidR="00A10A9E" w:rsidRPr="00E050AF">
        <w:t>safety analysis set (</w:t>
      </w:r>
      <w:r w:rsidRPr="00E050AF">
        <w:t>SAS</w:t>
      </w:r>
      <w:r w:rsidR="00A10A9E" w:rsidRPr="00E050AF">
        <w:t>)</w:t>
      </w:r>
      <w:r w:rsidRPr="00E050AF">
        <w:t xml:space="preserve"> population.</w:t>
      </w:r>
    </w:p>
    <w:p w14:paraId="14AA0163" w14:textId="7D740987" w:rsidR="00AB43EA" w:rsidRPr="00E050AF" w:rsidRDefault="2587E486" w:rsidP="009D3CDF">
      <w:pPr>
        <w:pStyle w:val="ListParagraph"/>
        <w:numPr>
          <w:ilvl w:val="4"/>
          <w:numId w:val="8"/>
        </w:numPr>
        <w:rPr>
          <w:color w:val="auto"/>
        </w:rPr>
      </w:pPr>
      <w:r w:rsidRPr="2E36BEBC">
        <w:rPr>
          <w:color w:val="auto"/>
        </w:rPr>
        <w:t>Safety d</w:t>
      </w:r>
      <w:r w:rsidR="709C69C9" w:rsidRPr="2E36BEBC">
        <w:rPr>
          <w:color w:val="auto"/>
        </w:rPr>
        <w:t xml:space="preserve">ata provided </w:t>
      </w:r>
      <w:r w:rsidR="2AF48F0D" w:rsidRPr="2E36BEBC">
        <w:rPr>
          <w:color w:val="auto"/>
        </w:rPr>
        <w:t>for the ITT population largely indicated that the safety outcomes for the two treatment arms were not statistically significant</w:t>
      </w:r>
      <w:r w:rsidR="7ACCA18C" w:rsidRPr="2E36BEBC">
        <w:rPr>
          <w:color w:val="auto"/>
        </w:rPr>
        <w:t>ly different</w:t>
      </w:r>
      <w:r w:rsidR="2AF48F0D" w:rsidRPr="2E36BEBC">
        <w:rPr>
          <w:color w:val="auto"/>
        </w:rPr>
        <w:t xml:space="preserve"> for the cumulative measures such as any AE or any AE of Grade ≥3; however more patients in the olaparib plus bevacizumab arm experienced AEs leading to discontinuation, dose reduction or interruption of study treatment. Additionally, patients receiving olaparib plus bevacizumab experienced higher rates of a number of individual AEs both for any grade and ≥Grade 3 (nausea, fatigue, anaemia and lymphopenia), while hypertension was the only AE found to occur more in patients receiving bevacizumab monotherapy (both any grade and Grade ≥3).</w:t>
      </w:r>
    </w:p>
    <w:p w14:paraId="5903DDF9" w14:textId="7BA64F40" w:rsidR="00AB43EA" w:rsidRPr="00E050AF" w:rsidRDefault="00AB43EA" w:rsidP="009D3CDF">
      <w:pPr>
        <w:pStyle w:val="ListParagraph"/>
        <w:numPr>
          <w:ilvl w:val="4"/>
          <w:numId w:val="8"/>
        </w:numPr>
        <w:rPr>
          <w:color w:val="auto"/>
        </w:rPr>
      </w:pPr>
      <w:r w:rsidRPr="00E050AF">
        <w:rPr>
          <w:color w:val="auto"/>
        </w:rPr>
        <w:t>Appropriately, the model incorporated frequencies of treatment-related AEs of Grade 3 or higher that occurred in greater than 1% of the study population based on data from the ITT PAOLA-1 population.</w:t>
      </w:r>
      <w:r w:rsidR="00870509" w:rsidRPr="00E050AF">
        <w:rPr>
          <w:color w:val="auto"/>
        </w:rPr>
        <w:t xml:space="preserve"> However</w:t>
      </w:r>
      <w:r w:rsidR="00A25912" w:rsidRPr="00E050AF">
        <w:rPr>
          <w:color w:val="auto"/>
        </w:rPr>
        <w:t>,</w:t>
      </w:r>
      <w:r w:rsidR="00870509" w:rsidRPr="00E050AF">
        <w:rPr>
          <w:color w:val="auto"/>
        </w:rPr>
        <w:t xml:space="preserve"> inappropriately</w:t>
      </w:r>
      <w:r w:rsidR="00A25912" w:rsidRPr="00E050AF">
        <w:rPr>
          <w:color w:val="auto"/>
        </w:rPr>
        <w:t>,</w:t>
      </w:r>
      <w:r w:rsidR="00870509" w:rsidRPr="00E050AF">
        <w:rPr>
          <w:color w:val="auto"/>
        </w:rPr>
        <w:t xml:space="preserve"> the </w:t>
      </w:r>
      <w:r w:rsidR="007F7130" w:rsidRPr="00E050AF">
        <w:rPr>
          <w:color w:val="auto"/>
        </w:rPr>
        <w:t xml:space="preserve">unexplained </w:t>
      </w:r>
      <w:r w:rsidR="00870509" w:rsidRPr="00E050AF">
        <w:rPr>
          <w:color w:val="auto"/>
        </w:rPr>
        <w:t>increase in grade 3/4 hypertension in the bevacizumab monotherapy arm was also modelled.</w:t>
      </w:r>
    </w:p>
    <w:p w14:paraId="564360C1" w14:textId="62D5C49F" w:rsidR="002C61E2" w:rsidRPr="00E050AF" w:rsidRDefault="002C61E2" w:rsidP="009D3CDF">
      <w:pPr>
        <w:pStyle w:val="ListParagraph"/>
        <w:numPr>
          <w:ilvl w:val="4"/>
          <w:numId w:val="8"/>
        </w:numPr>
        <w:rPr>
          <w:color w:val="auto"/>
        </w:rPr>
      </w:pPr>
      <w:r w:rsidRPr="00E050AF">
        <w:t xml:space="preserve">No safety data for olaparib plus bevacizumab versus watch and wait (placebo) </w:t>
      </w:r>
      <w:r w:rsidR="006B3435" w:rsidRPr="00E050AF">
        <w:t xml:space="preserve">were </w:t>
      </w:r>
      <w:r w:rsidRPr="00E050AF">
        <w:t xml:space="preserve">presented in the submission. When the PBAC evaluated the safety of olaparib monotherapy versus placebo </w:t>
      </w:r>
      <w:r w:rsidR="00D4680E" w:rsidRPr="00E050AF">
        <w:t xml:space="preserve">(paragraph 7.15, p 42, olaparib PSD, November 2019 PBAC Meeting) </w:t>
      </w:r>
      <w:r w:rsidR="006B3435" w:rsidRPr="00E050AF">
        <w:rPr>
          <w:color w:val="auto"/>
        </w:rPr>
        <w:t xml:space="preserve">it </w:t>
      </w:r>
      <w:r w:rsidR="00D4680E" w:rsidRPr="00E050AF">
        <w:rPr>
          <w:color w:val="auto"/>
        </w:rPr>
        <w:t>noted that olaparib has an inferior safety profile compared with placebo, particularly clinically-relevant anaemia of grade 3 or greater severity, which occurred in 21.2% of patients receiving olaparib and 1.5% of patients in the placebo arm. The PBAC considered that the safety profile of olaparib appears manageable but includes clinically important AEs, particularly as it is used as maintenance treatment.</w:t>
      </w:r>
    </w:p>
    <w:p w14:paraId="4E16D95B" w14:textId="5408940F" w:rsidR="00AB43EA" w:rsidRPr="00E050AF" w:rsidRDefault="00AB43EA" w:rsidP="001319D8">
      <w:pPr>
        <w:pStyle w:val="PBACESHeading2"/>
        <w:numPr>
          <w:ilvl w:val="0"/>
          <w:numId w:val="0"/>
        </w:numPr>
      </w:pPr>
      <w:bookmarkStart w:id="68" w:name="_Toc100693626"/>
      <w:bookmarkStart w:id="69" w:name="_Toc103581578"/>
      <w:bookmarkStart w:id="70" w:name="_Toc103775865"/>
      <w:r w:rsidRPr="00E050AF">
        <w:lastRenderedPageBreak/>
        <w:t>Benefits/ harms</w:t>
      </w:r>
      <w:bookmarkStart w:id="71" w:name="_Toc413139281"/>
      <w:bookmarkEnd w:id="68"/>
      <w:bookmarkEnd w:id="69"/>
      <w:bookmarkEnd w:id="70"/>
    </w:p>
    <w:p w14:paraId="5D9D69F3" w14:textId="416A3212" w:rsidR="00AB43EA" w:rsidRPr="00E050AF" w:rsidRDefault="00AB43EA" w:rsidP="009D3CDF">
      <w:pPr>
        <w:pStyle w:val="ListParagraph"/>
        <w:numPr>
          <w:ilvl w:val="4"/>
          <w:numId w:val="8"/>
        </w:numPr>
      </w:pPr>
      <w:r w:rsidRPr="00E050AF">
        <w:rPr>
          <w:color w:val="auto"/>
        </w:rPr>
        <w:t>A summary of the comparative benefits and harms for olaparib plus bevacizumab versus placebo plus bevacizumab is presented in the table below.</w:t>
      </w:r>
    </w:p>
    <w:p w14:paraId="48587A10" w14:textId="66E9CEEE" w:rsidR="005A75E4" w:rsidRPr="00E050AF" w:rsidRDefault="00A354B6" w:rsidP="00A354B6">
      <w:pPr>
        <w:pStyle w:val="TableHeading0"/>
        <w:rPr>
          <w:rStyle w:val="CommentReference"/>
          <w:b/>
        </w:rPr>
      </w:pPr>
      <w:bookmarkStart w:id="72" w:name="_Toc413139282"/>
      <w:bookmarkEnd w:id="71"/>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11</w:t>
      </w:r>
      <w:r w:rsidRPr="00E050AF">
        <w:rPr>
          <w:rStyle w:val="CommentReference"/>
          <w:b/>
          <w:szCs w:val="20"/>
        </w:rPr>
        <w:fldChar w:fldCharType="end"/>
      </w:r>
      <w:r w:rsidR="00BA6A9D" w:rsidRPr="00E050AF">
        <w:rPr>
          <w:rStyle w:val="CommentReference"/>
          <w:b/>
          <w:szCs w:val="20"/>
        </w:rPr>
        <w:t xml:space="preserve"> </w:t>
      </w:r>
      <w:r w:rsidR="005A75E4" w:rsidRPr="00E050AF">
        <w:tab/>
        <w:t>Summary of comparative benefits and harms for the HRD+</w:t>
      </w:r>
      <w:r w:rsidR="00CF529A" w:rsidRPr="00E050AF">
        <w:rPr>
          <w:i/>
        </w:rPr>
        <w:t>BRCA</w:t>
      </w:r>
      <w:r w:rsidR="005A75E4" w:rsidRPr="00E050AF">
        <w:t>wt subgroup in PAOLA-1</w:t>
      </w:r>
    </w:p>
    <w:tbl>
      <w:tblPr>
        <w:tblStyle w:val="ASDTable2"/>
        <w:tblW w:w="5000" w:type="pct"/>
        <w:tblLayout w:type="fixed"/>
        <w:tblCellMar>
          <w:left w:w="28" w:type="dxa"/>
          <w:right w:w="28" w:type="dxa"/>
        </w:tblCellMar>
        <w:tblLook w:val="04A0" w:firstRow="1" w:lastRow="0" w:firstColumn="1" w:lastColumn="0" w:noHBand="0" w:noVBand="1"/>
        <w:tblCaption w:val="Table 11  Summary of comparative benefits and harms for the HRD+BRCAwt subgroup in PAOLA-1"/>
      </w:tblPr>
      <w:tblGrid>
        <w:gridCol w:w="2689"/>
        <w:gridCol w:w="1702"/>
        <w:gridCol w:w="1700"/>
        <w:gridCol w:w="1560"/>
        <w:gridCol w:w="1365"/>
      </w:tblGrid>
      <w:tr w:rsidR="005A75E4" w:rsidRPr="00E050AF" w14:paraId="776BF605" w14:textId="77777777" w:rsidTr="005A75E4">
        <w:trPr>
          <w:trHeight w:val="866"/>
        </w:trPr>
        <w:tc>
          <w:tcPr>
            <w:tcW w:w="1491" w:type="pct"/>
            <w:tcBorders>
              <w:bottom w:val="single" w:sz="4" w:space="0" w:color="auto"/>
            </w:tcBorders>
            <w:shd w:val="clear" w:color="auto" w:fill="auto"/>
            <w:vAlign w:val="center"/>
          </w:tcPr>
          <w:p w14:paraId="054F860B" w14:textId="77777777" w:rsidR="005A75E4" w:rsidRPr="00E050AF" w:rsidRDefault="005A75E4" w:rsidP="009270BC">
            <w:pPr>
              <w:pStyle w:val="TableRowHeader"/>
              <w:keepNext/>
              <w:keepLines/>
              <w:rPr>
                <w:rFonts w:eastAsia="MS Gothic"/>
              </w:rPr>
            </w:pPr>
            <w:r w:rsidRPr="00E050AF">
              <w:rPr>
                <w:rFonts w:eastAsia="MS Gothic"/>
              </w:rPr>
              <w:t>Event</w:t>
            </w:r>
          </w:p>
        </w:tc>
        <w:tc>
          <w:tcPr>
            <w:tcW w:w="944" w:type="pct"/>
            <w:tcBorders>
              <w:bottom w:val="single" w:sz="4" w:space="0" w:color="auto"/>
            </w:tcBorders>
            <w:shd w:val="clear" w:color="auto" w:fill="auto"/>
            <w:vAlign w:val="center"/>
          </w:tcPr>
          <w:p w14:paraId="56D5F962" w14:textId="77777777" w:rsidR="005A75E4" w:rsidRPr="00E050AF" w:rsidRDefault="005A75E4" w:rsidP="009270BC">
            <w:pPr>
              <w:pStyle w:val="TableRowHeader"/>
              <w:keepNext/>
              <w:keepLines/>
            </w:pPr>
            <w:r w:rsidRPr="00E050AF">
              <w:t>Olaparib + bevacizumab</w:t>
            </w:r>
          </w:p>
          <w:p w14:paraId="69CD16F1" w14:textId="77777777" w:rsidR="005A75E4" w:rsidRPr="00E050AF" w:rsidRDefault="005A75E4" w:rsidP="009270BC">
            <w:pPr>
              <w:pStyle w:val="TableRowHeader"/>
              <w:keepNext/>
              <w:keepLines/>
              <w:rPr>
                <w:rFonts w:eastAsia="MS Gothic"/>
              </w:rPr>
            </w:pPr>
            <w:r w:rsidRPr="00E050AF">
              <w:t>n/N</w:t>
            </w:r>
          </w:p>
        </w:tc>
        <w:tc>
          <w:tcPr>
            <w:tcW w:w="943" w:type="pct"/>
            <w:tcBorders>
              <w:bottom w:val="single" w:sz="4" w:space="0" w:color="auto"/>
            </w:tcBorders>
            <w:shd w:val="clear" w:color="auto" w:fill="auto"/>
            <w:vAlign w:val="center"/>
          </w:tcPr>
          <w:p w14:paraId="7BF5FC6E" w14:textId="77777777" w:rsidR="005A75E4" w:rsidRPr="00E050AF" w:rsidRDefault="005A75E4" w:rsidP="009270BC">
            <w:pPr>
              <w:pStyle w:val="TableRowHeader"/>
              <w:keepNext/>
              <w:keepLines/>
            </w:pPr>
            <w:r w:rsidRPr="00E050AF">
              <w:t>Placebo + bevacizumab</w:t>
            </w:r>
          </w:p>
          <w:p w14:paraId="26E202D8" w14:textId="77777777" w:rsidR="005A75E4" w:rsidRPr="00E050AF" w:rsidRDefault="005A75E4" w:rsidP="009270BC">
            <w:pPr>
              <w:pStyle w:val="TableRowHeader"/>
              <w:keepNext/>
              <w:keepLines/>
              <w:rPr>
                <w:rFonts w:eastAsia="MS Gothic"/>
              </w:rPr>
            </w:pPr>
            <w:r w:rsidRPr="00E050AF">
              <w:rPr>
                <w:rFonts w:eastAsiaTheme="majorEastAsia"/>
              </w:rPr>
              <w:t>n/N</w:t>
            </w:r>
          </w:p>
        </w:tc>
        <w:tc>
          <w:tcPr>
            <w:tcW w:w="865" w:type="pct"/>
            <w:tcBorders>
              <w:bottom w:val="single" w:sz="4" w:space="0" w:color="auto"/>
            </w:tcBorders>
            <w:shd w:val="clear" w:color="auto" w:fill="auto"/>
            <w:vAlign w:val="center"/>
          </w:tcPr>
          <w:p w14:paraId="4793EE1D" w14:textId="77777777" w:rsidR="005A75E4" w:rsidRPr="00E050AF" w:rsidRDefault="005A75E4" w:rsidP="009270BC">
            <w:pPr>
              <w:pStyle w:val="TableRowHeader"/>
              <w:keepNext/>
              <w:keepLines/>
              <w:rPr>
                <w:rFonts w:eastAsia="MS Gothic"/>
              </w:rPr>
            </w:pPr>
            <w:r w:rsidRPr="00E050AF">
              <w:rPr>
                <w:rFonts w:eastAsia="MS Gothic"/>
              </w:rPr>
              <w:t>Absolute Difference</w:t>
            </w:r>
          </w:p>
        </w:tc>
        <w:tc>
          <w:tcPr>
            <w:tcW w:w="757" w:type="pct"/>
            <w:tcBorders>
              <w:bottom w:val="single" w:sz="4" w:space="0" w:color="auto"/>
            </w:tcBorders>
            <w:shd w:val="clear" w:color="auto" w:fill="auto"/>
            <w:vAlign w:val="center"/>
          </w:tcPr>
          <w:p w14:paraId="1122999E" w14:textId="77777777" w:rsidR="005A75E4" w:rsidRPr="00E050AF" w:rsidRDefault="005A75E4" w:rsidP="009270BC">
            <w:pPr>
              <w:pStyle w:val="TableRowHeader"/>
              <w:keepNext/>
              <w:keepLines/>
              <w:rPr>
                <w:rFonts w:eastAsia="MS Gothic"/>
              </w:rPr>
            </w:pPr>
            <w:r w:rsidRPr="00E050AF">
              <w:rPr>
                <w:rFonts w:eastAsia="MS Gothic"/>
              </w:rPr>
              <w:t>HR (95% CI)</w:t>
            </w:r>
          </w:p>
        </w:tc>
      </w:tr>
      <w:tr w:rsidR="005A75E4" w:rsidRPr="00E050AF" w14:paraId="7CCBCD87" w14:textId="77777777" w:rsidTr="005A75E4">
        <w:trPr>
          <w:trHeight w:val="336"/>
        </w:trPr>
        <w:tc>
          <w:tcPr>
            <w:tcW w:w="5000" w:type="pct"/>
            <w:gridSpan w:val="5"/>
            <w:tcBorders>
              <w:bottom w:val="single" w:sz="4" w:space="0" w:color="auto"/>
            </w:tcBorders>
            <w:shd w:val="clear" w:color="auto" w:fill="auto"/>
            <w:vAlign w:val="center"/>
          </w:tcPr>
          <w:p w14:paraId="03CA23CB" w14:textId="44CEBE3B" w:rsidR="005A75E4" w:rsidRPr="00E050AF" w:rsidRDefault="005A75E4" w:rsidP="009270BC">
            <w:pPr>
              <w:pStyle w:val="TableBodyText-H54"/>
              <w:keepLines/>
              <w:spacing w:before="0" w:after="0" w:line="240" w:lineRule="auto"/>
              <w:rPr>
                <w:rFonts w:eastAsia="MS Gothic"/>
                <w:b/>
                <w:bCs/>
                <w:lang w:val="en-AU"/>
              </w:rPr>
            </w:pPr>
            <w:r w:rsidRPr="00E050AF">
              <w:rPr>
                <w:rFonts w:eastAsia="MS Gothic"/>
                <w:b/>
                <w:bCs/>
                <w:lang w:val="en-AU"/>
              </w:rPr>
              <w:t>Progression free survival for HRD+</w:t>
            </w:r>
            <w:r w:rsidR="00CF529A" w:rsidRPr="00E050AF">
              <w:rPr>
                <w:rFonts w:eastAsia="MS Gothic"/>
                <w:b/>
                <w:bCs/>
                <w:i/>
                <w:iCs/>
                <w:lang w:val="en-AU"/>
              </w:rPr>
              <w:t>BRCA</w:t>
            </w:r>
            <w:r w:rsidRPr="00E050AF">
              <w:rPr>
                <w:rFonts w:eastAsia="MS Gothic"/>
                <w:b/>
                <w:bCs/>
                <w:lang w:val="en-AU"/>
              </w:rPr>
              <w:t>wt subgroup (median duration of follow up 36.4 months for olaparib + bevacizumab, 38.7 months for bevacizumab)</w:t>
            </w:r>
          </w:p>
        </w:tc>
      </w:tr>
      <w:tr w:rsidR="005A75E4" w:rsidRPr="00E050AF" w14:paraId="48F681D0" w14:textId="77777777" w:rsidTr="00415A9C">
        <w:trPr>
          <w:trHeight w:val="70"/>
        </w:trPr>
        <w:tc>
          <w:tcPr>
            <w:tcW w:w="1491" w:type="pct"/>
            <w:tcBorders>
              <w:bottom w:val="single" w:sz="4" w:space="0" w:color="auto"/>
              <w:right w:val="single" w:sz="4" w:space="0" w:color="auto"/>
            </w:tcBorders>
            <w:shd w:val="clear" w:color="auto" w:fill="auto"/>
            <w:vAlign w:val="center"/>
          </w:tcPr>
          <w:p w14:paraId="3198A962" w14:textId="76B207E6"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Progressed, n</w:t>
            </w:r>
            <w:r w:rsidR="00415A9C" w:rsidRPr="00E050AF">
              <w:rPr>
                <w:rFonts w:eastAsia="MS Gothic"/>
                <w:bCs/>
                <w:lang w:val="en-AU"/>
              </w:rPr>
              <w:t>/N</w:t>
            </w:r>
            <w:r w:rsidRPr="00E050AF">
              <w:rPr>
                <w:rFonts w:eastAsia="MS Gothic"/>
                <w:bCs/>
                <w:lang w:val="en-AU"/>
              </w:rPr>
              <w:t xml:space="preserve"> (%)</w:t>
            </w:r>
          </w:p>
        </w:tc>
        <w:tc>
          <w:tcPr>
            <w:tcW w:w="944" w:type="pct"/>
            <w:tcBorders>
              <w:left w:val="single" w:sz="4" w:space="0" w:color="auto"/>
              <w:bottom w:val="single" w:sz="4" w:space="0" w:color="auto"/>
              <w:right w:val="single" w:sz="4" w:space="0" w:color="auto"/>
            </w:tcBorders>
            <w:shd w:val="clear" w:color="auto" w:fill="auto"/>
            <w:vAlign w:val="center"/>
          </w:tcPr>
          <w:p w14:paraId="48A6D976"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51/97 (52.6)</w:t>
            </w:r>
          </w:p>
        </w:tc>
        <w:tc>
          <w:tcPr>
            <w:tcW w:w="943" w:type="pct"/>
            <w:tcBorders>
              <w:left w:val="single" w:sz="4" w:space="0" w:color="auto"/>
              <w:bottom w:val="single" w:sz="4" w:space="0" w:color="auto"/>
              <w:right w:val="single" w:sz="4" w:space="0" w:color="auto"/>
            </w:tcBorders>
            <w:shd w:val="clear" w:color="auto" w:fill="auto"/>
            <w:vAlign w:val="center"/>
          </w:tcPr>
          <w:p w14:paraId="43F15AEF"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45/55 (81.8)</w:t>
            </w:r>
          </w:p>
        </w:tc>
        <w:tc>
          <w:tcPr>
            <w:tcW w:w="865" w:type="pct"/>
            <w:tcBorders>
              <w:left w:val="single" w:sz="4" w:space="0" w:color="auto"/>
              <w:bottom w:val="single" w:sz="4" w:space="0" w:color="auto"/>
              <w:right w:val="single" w:sz="4" w:space="0" w:color="auto"/>
            </w:tcBorders>
            <w:shd w:val="clear" w:color="auto" w:fill="auto"/>
            <w:vAlign w:val="center"/>
          </w:tcPr>
          <w:p w14:paraId="1D3A5F37"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29.2%</w:t>
            </w:r>
          </w:p>
        </w:tc>
        <w:tc>
          <w:tcPr>
            <w:tcW w:w="757" w:type="pct"/>
            <w:tcBorders>
              <w:left w:val="single" w:sz="4" w:space="0" w:color="auto"/>
              <w:bottom w:val="nil"/>
            </w:tcBorders>
            <w:shd w:val="clear" w:color="auto" w:fill="auto"/>
            <w:vAlign w:val="center"/>
          </w:tcPr>
          <w:p w14:paraId="7940E0A1" w14:textId="5C8BF604"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0.44 (0.29, 0.66)</w:t>
            </w:r>
          </w:p>
        </w:tc>
      </w:tr>
      <w:tr w:rsidR="005A75E4" w:rsidRPr="00E050AF" w14:paraId="436E31A9" w14:textId="77777777" w:rsidTr="005A75E4">
        <w:trPr>
          <w:trHeight w:val="20"/>
        </w:trPr>
        <w:tc>
          <w:tcPr>
            <w:tcW w:w="1491" w:type="pct"/>
            <w:tcBorders>
              <w:bottom w:val="single" w:sz="4" w:space="0" w:color="auto"/>
              <w:right w:val="single" w:sz="4" w:space="0" w:color="auto"/>
            </w:tcBorders>
            <w:shd w:val="clear" w:color="auto" w:fill="auto"/>
            <w:vAlign w:val="center"/>
          </w:tcPr>
          <w:p w14:paraId="33DEF62F"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Median PFS months (95% CI)</w:t>
            </w:r>
          </w:p>
        </w:tc>
        <w:tc>
          <w:tcPr>
            <w:tcW w:w="944" w:type="pct"/>
            <w:tcBorders>
              <w:left w:val="single" w:sz="4" w:space="0" w:color="auto"/>
              <w:bottom w:val="single" w:sz="4" w:space="0" w:color="auto"/>
              <w:right w:val="single" w:sz="4" w:space="0" w:color="auto"/>
            </w:tcBorders>
            <w:shd w:val="clear" w:color="auto" w:fill="auto"/>
            <w:vAlign w:val="center"/>
          </w:tcPr>
          <w:p w14:paraId="0B9738F4"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30.0 (NR)</w:t>
            </w:r>
          </w:p>
        </w:tc>
        <w:tc>
          <w:tcPr>
            <w:tcW w:w="943" w:type="pct"/>
            <w:tcBorders>
              <w:left w:val="single" w:sz="4" w:space="0" w:color="auto"/>
              <w:bottom w:val="single" w:sz="4" w:space="0" w:color="auto"/>
              <w:right w:val="single" w:sz="4" w:space="0" w:color="auto"/>
            </w:tcBorders>
            <w:shd w:val="clear" w:color="auto" w:fill="auto"/>
            <w:vAlign w:val="center"/>
          </w:tcPr>
          <w:p w14:paraId="43708DE1"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16.6 (NR)</w:t>
            </w:r>
          </w:p>
        </w:tc>
        <w:tc>
          <w:tcPr>
            <w:tcW w:w="865" w:type="pct"/>
            <w:tcBorders>
              <w:left w:val="single" w:sz="4" w:space="0" w:color="auto"/>
              <w:bottom w:val="single" w:sz="4" w:space="0" w:color="auto"/>
              <w:right w:val="single" w:sz="4" w:space="0" w:color="auto"/>
            </w:tcBorders>
            <w:shd w:val="clear" w:color="auto" w:fill="auto"/>
            <w:vAlign w:val="center"/>
          </w:tcPr>
          <w:p w14:paraId="4FFFD524" w14:textId="53F7CDB0"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13.4 months</w:t>
            </w:r>
            <w:r w:rsidR="00415A9C" w:rsidRPr="00E050AF">
              <w:rPr>
                <w:rFonts w:eastAsia="MS Gothic"/>
                <w:bCs/>
                <w:lang w:val="en-AU"/>
              </w:rPr>
              <w:t xml:space="preserve"> (NR)</w:t>
            </w:r>
          </w:p>
        </w:tc>
        <w:tc>
          <w:tcPr>
            <w:tcW w:w="757" w:type="pct"/>
            <w:tcBorders>
              <w:top w:val="nil"/>
              <w:left w:val="single" w:sz="4" w:space="0" w:color="auto"/>
              <w:bottom w:val="nil"/>
            </w:tcBorders>
            <w:shd w:val="clear" w:color="auto" w:fill="auto"/>
            <w:vAlign w:val="center"/>
          </w:tcPr>
          <w:p w14:paraId="24A0AF34" w14:textId="63129FDE" w:rsidR="005A75E4" w:rsidRPr="00E050AF" w:rsidRDefault="00415A9C" w:rsidP="009270BC">
            <w:pPr>
              <w:pStyle w:val="TableBodyText-H54"/>
              <w:keepLines/>
              <w:spacing w:before="0" w:after="0" w:line="240" w:lineRule="auto"/>
              <w:jc w:val="center"/>
              <w:rPr>
                <w:rFonts w:eastAsia="MS Gothic"/>
                <w:bCs/>
                <w:lang w:val="en-AU"/>
              </w:rPr>
            </w:pPr>
            <w:r w:rsidRPr="00E050AF">
              <w:rPr>
                <w:rFonts w:eastAsia="MS Gothic"/>
                <w:bCs/>
                <w:lang w:val="en-AU"/>
              </w:rPr>
              <w:t>P=NR</w:t>
            </w:r>
          </w:p>
        </w:tc>
      </w:tr>
      <w:tr w:rsidR="005A75E4" w:rsidRPr="00E050AF" w14:paraId="43BDE6C2" w14:textId="77777777" w:rsidTr="005A75E4">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7573FD14"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Progression free at 12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DC0DC8D"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83.2</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ADA09D3"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68.5</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49B7E68D"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+14.7</w:t>
            </w:r>
          </w:p>
        </w:tc>
        <w:tc>
          <w:tcPr>
            <w:tcW w:w="757" w:type="pct"/>
            <w:tcBorders>
              <w:top w:val="nil"/>
              <w:left w:val="single" w:sz="4" w:space="0" w:color="auto"/>
              <w:bottom w:val="nil"/>
            </w:tcBorders>
            <w:shd w:val="clear" w:color="auto" w:fill="auto"/>
            <w:vAlign w:val="center"/>
          </w:tcPr>
          <w:p w14:paraId="2F1495A7" w14:textId="77777777" w:rsidR="005A75E4" w:rsidRPr="00E050AF" w:rsidRDefault="005A75E4" w:rsidP="009270BC">
            <w:pPr>
              <w:pStyle w:val="TableBodyText-H54"/>
              <w:keepLines/>
              <w:spacing w:before="0" w:after="0" w:line="240" w:lineRule="auto"/>
              <w:jc w:val="center"/>
              <w:rPr>
                <w:rFonts w:eastAsia="MS Gothic"/>
                <w:bCs/>
                <w:lang w:val="en-AU"/>
              </w:rPr>
            </w:pPr>
          </w:p>
        </w:tc>
      </w:tr>
      <w:tr w:rsidR="005A75E4" w:rsidRPr="00E050AF" w14:paraId="6734D6CC" w14:textId="77777777" w:rsidTr="005A75E4">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674A7811"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Progression free at 24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EED0AFB"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53.5</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6CAFAC0"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27.8</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44028119"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+25.7</w:t>
            </w:r>
          </w:p>
        </w:tc>
        <w:tc>
          <w:tcPr>
            <w:tcW w:w="757" w:type="pct"/>
            <w:tcBorders>
              <w:top w:val="nil"/>
              <w:left w:val="single" w:sz="4" w:space="0" w:color="auto"/>
              <w:bottom w:val="nil"/>
            </w:tcBorders>
            <w:shd w:val="clear" w:color="auto" w:fill="auto"/>
            <w:vAlign w:val="center"/>
          </w:tcPr>
          <w:p w14:paraId="2F1F84C2" w14:textId="77777777" w:rsidR="005A75E4" w:rsidRPr="00E050AF" w:rsidRDefault="005A75E4" w:rsidP="009270BC">
            <w:pPr>
              <w:pStyle w:val="TableBodyText-H54"/>
              <w:keepLines/>
              <w:spacing w:before="0" w:after="0" w:line="240" w:lineRule="auto"/>
              <w:jc w:val="center"/>
              <w:rPr>
                <w:rFonts w:eastAsia="MS Gothic"/>
                <w:bCs/>
                <w:lang w:val="en-AU"/>
              </w:rPr>
            </w:pPr>
          </w:p>
        </w:tc>
      </w:tr>
      <w:tr w:rsidR="005A75E4" w:rsidRPr="00E050AF" w14:paraId="43A10CF2" w14:textId="77777777" w:rsidTr="005A75E4">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71214585"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Progression free at 36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2474F15C"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47.6</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355C1B95"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20.4</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99AEFB5"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+27.2</w:t>
            </w:r>
          </w:p>
        </w:tc>
        <w:tc>
          <w:tcPr>
            <w:tcW w:w="757" w:type="pct"/>
            <w:tcBorders>
              <w:top w:val="nil"/>
              <w:left w:val="single" w:sz="4" w:space="0" w:color="auto"/>
              <w:bottom w:val="nil"/>
            </w:tcBorders>
            <w:shd w:val="clear" w:color="auto" w:fill="auto"/>
            <w:vAlign w:val="center"/>
          </w:tcPr>
          <w:p w14:paraId="37EABEA8" w14:textId="77777777" w:rsidR="005A75E4" w:rsidRPr="00E050AF" w:rsidRDefault="005A75E4" w:rsidP="009270BC">
            <w:pPr>
              <w:pStyle w:val="TableBodyText-H54"/>
              <w:keepLines/>
              <w:spacing w:before="0" w:after="0" w:line="240" w:lineRule="auto"/>
              <w:jc w:val="center"/>
              <w:rPr>
                <w:rFonts w:eastAsia="MS Gothic"/>
                <w:bCs/>
                <w:lang w:val="en-AU"/>
              </w:rPr>
            </w:pPr>
          </w:p>
        </w:tc>
      </w:tr>
      <w:tr w:rsidR="005A75E4" w:rsidRPr="00E050AF" w14:paraId="7FF23A2C" w14:textId="77777777" w:rsidTr="005A75E4">
        <w:trPr>
          <w:trHeight w:val="20"/>
        </w:trPr>
        <w:tc>
          <w:tcPr>
            <w:tcW w:w="1491" w:type="pct"/>
            <w:tcBorders>
              <w:top w:val="single" w:sz="4" w:space="0" w:color="auto"/>
              <w:bottom w:val="single" w:sz="4" w:space="0" w:color="auto"/>
              <w:right w:val="single" w:sz="4" w:space="0" w:color="auto"/>
            </w:tcBorders>
            <w:shd w:val="clear" w:color="auto" w:fill="auto"/>
            <w:vAlign w:val="center"/>
          </w:tcPr>
          <w:p w14:paraId="147A788F"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Progression free at 48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96FB4DB"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42.0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0D7A0429"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NR</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1CFE6121"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NA</w:t>
            </w:r>
          </w:p>
        </w:tc>
        <w:tc>
          <w:tcPr>
            <w:tcW w:w="757" w:type="pct"/>
            <w:tcBorders>
              <w:top w:val="nil"/>
              <w:left w:val="single" w:sz="4" w:space="0" w:color="auto"/>
              <w:bottom w:val="nil"/>
            </w:tcBorders>
            <w:shd w:val="clear" w:color="auto" w:fill="auto"/>
            <w:vAlign w:val="center"/>
          </w:tcPr>
          <w:p w14:paraId="65E0E65C" w14:textId="77777777" w:rsidR="005A75E4" w:rsidRPr="00E050AF" w:rsidRDefault="005A75E4" w:rsidP="009270BC">
            <w:pPr>
              <w:pStyle w:val="TableBodyText-H54"/>
              <w:keepLines/>
              <w:spacing w:before="0" w:after="0" w:line="240" w:lineRule="auto"/>
              <w:jc w:val="center"/>
              <w:rPr>
                <w:rFonts w:eastAsia="MS Gothic"/>
                <w:bCs/>
                <w:lang w:val="en-AU"/>
              </w:rPr>
            </w:pPr>
          </w:p>
        </w:tc>
      </w:tr>
      <w:tr w:rsidR="005A75E4" w:rsidRPr="00E050AF" w14:paraId="6C13EA8A" w14:textId="77777777" w:rsidTr="005A75E4">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AAEB9A0" w14:textId="4A64C1D6" w:rsidR="005A75E4" w:rsidRPr="00E050AF" w:rsidRDefault="005A75E4" w:rsidP="009270BC">
            <w:pPr>
              <w:pStyle w:val="TableBodyText-H54"/>
              <w:keepLines/>
              <w:spacing w:before="0" w:after="0" w:line="240" w:lineRule="auto"/>
              <w:rPr>
                <w:rFonts w:eastAsia="MS Gothic"/>
                <w:b/>
                <w:bCs/>
                <w:lang w:val="en-AU"/>
              </w:rPr>
            </w:pPr>
            <w:r w:rsidRPr="00E050AF">
              <w:rPr>
                <w:rFonts w:eastAsia="MS Gothic"/>
                <w:b/>
                <w:bCs/>
                <w:lang w:val="en-AU"/>
              </w:rPr>
              <w:t>Overall survival for HRD+</w:t>
            </w:r>
            <w:r w:rsidR="00CF529A" w:rsidRPr="00E050AF">
              <w:rPr>
                <w:rFonts w:eastAsia="MS Gothic"/>
                <w:b/>
                <w:bCs/>
                <w:i/>
                <w:iCs/>
                <w:lang w:val="en-AU"/>
              </w:rPr>
              <w:t>BRCA</w:t>
            </w:r>
            <w:r w:rsidRPr="00E050AF">
              <w:rPr>
                <w:rFonts w:eastAsia="MS Gothic"/>
                <w:b/>
                <w:bCs/>
                <w:lang w:val="en-AU"/>
              </w:rPr>
              <w:t>wt subgroup (median duration of follow up 39.5 months for olaparib + bevacizumab, 38.3 months for bevacizumab)</w:t>
            </w:r>
          </w:p>
        </w:tc>
      </w:tr>
      <w:tr w:rsidR="005A75E4" w:rsidRPr="00E050AF" w14:paraId="65FCE3E3" w14:textId="77777777" w:rsidTr="005A75E4">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5319B1E8"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Deaths, n/N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BCB0233"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30/97 (30.9%)</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56202E1A"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19/55 (34.5%)</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2B95718A"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3.6%</w:t>
            </w:r>
          </w:p>
        </w:tc>
        <w:tc>
          <w:tcPr>
            <w:tcW w:w="757" w:type="pct"/>
            <w:tcBorders>
              <w:top w:val="single" w:sz="4" w:space="0" w:color="auto"/>
              <w:left w:val="single" w:sz="4" w:space="0" w:color="auto"/>
              <w:bottom w:val="nil"/>
              <w:right w:val="single" w:sz="4" w:space="0" w:color="auto"/>
            </w:tcBorders>
            <w:shd w:val="clear" w:color="auto" w:fill="auto"/>
            <w:vAlign w:val="center"/>
          </w:tcPr>
          <w:p w14:paraId="4A7AD9A8" w14:textId="76A59EA3"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0.84 (0.46, 1.52)</w:t>
            </w:r>
          </w:p>
        </w:tc>
      </w:tr>
      <w:tr w:rsidR="005A75E4" w:rsidRPr="00E050AF" w14:paraId="74B6C14A" w14:textId="77777777" w:rsidTr="005A75E4">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31BF5DD9"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Median OS, months (95% CI)</w:t>
            </w:r>
            <w:r w:rsidRPr="00E050AF">
              <w:rPr>
                <w:vertAlign w:val="superscript"/>
                <w:lang w:val="en-AU"/>
              </w:rPr>
              <w:t xml:space="preserve">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5801444"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nr</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6D9644A6"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45.8 (NR)</w:t>
            </w:r>
            <w:r w:rsidRPr="00E050AF">
              <w:rPr>
                <w:vertAlign w:val="superscript"/>
                <w:lang w:val="en-AU"/>
              </w:rPr>
              <w:t xml:space="preserve"> a</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8D48D3D"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NA</w:t>
            </w:r>
          </w:p>
        </w:tc>
        <w:tc>
          <w:tcPr>
            <w:tcW w:w="757" w:type="pct"/>
            <w:tcBorders>
              <w:top w:val="nil"/>
              <w:left w:val="single" w:sz="4" w:space="0" w:color="auto"/>
              <w:bottom w:val="nil"/>
              <w:right w:val="single" w:sz="4" w:space="0" w:color="auto"/>
            </w:tcBorders>
            <w:shd w:val="clear" w:color="auto" w:fill="auto"/>
            <w:vAlign w:val="center"/>
          </w:tcPr>
          <w:p w14:paraId="4D3B3D98" w14:textId="5CB714CB" w:rsidR="005A75E4" w:rsidRPr="00E050AF" w:rsidRDefault="00415A9C" w:rsidP="009270BC">
            <w:pPr>
              <w:pStyle w:val="TableBodyText-H54"/>
              <w:keepLines/>
              <w:spacing w:before="0" w:after="0" w:line="240" w:lineRule="auto"/>
              <w:jc w:val="center"/>
              <w:rPr>
                <w:rFonts w:eastAsia="MS Gothic"/>
                <w:bCs/>
                <w:lang w:val="en-AU"/>
              </w:rPr>
            </w:pPr>
            <w:r w:rsidRPr="00E050AF">
              <w:rPr>
                <w:rFonts w:eastAsia="MS Gothic"/>
                <w:bCs/>
                <w:lang w:val="en-AU"/>
              </w:rPr>
              <w:t>P=NR</w:t>
            </w:r>
          </w:p>
        </w:tc>
      </w:tr>
      <w:tr w:rsidR="005A75E4" w:rsidRPr="00E050AF" w14:paraId="49C8F902" w14:textId="77777777" w:rsidTr="005A75E4">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22222241"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Alive at 12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288E086"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100.0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281A1E0B"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100.0</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0CFF49AA"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0</w:t>
            </w:r>
          </w:p>
        </w:tc>
        <w:tc>
          <w:tcPr>
            <w:tcW w:w="757" w:type="pct"/>
            <w:tcBorders>
              <w:top w:val="nil"/>
              <w:left w:val="single" w:sz="4" w:space="0" w:color="auto"/>
              <w:bottom w:val="nil"/>
              <w:right w:val="single" w:sz="4" w:space="0" w:color="auto"/>
            </w:tcBorders>
            <w:shd w:val="clear" w:color="auto" w:fill="auto"/>
            <w:vAlign w:val="center"/>
          </w:tcPr>
          <w:p w14:paraId="38B9C50B" w14:textId="77777777" w:rsidR="005A75E4" w:rsidRPr="00E050AF" w:rsidRDefault="005A75E4" w:rsidP="009270BC">
            <w:pPr>
              <w:pStyle w:val="TableBodyText-H54"/>
              <w:keepLines/>
              <w:spacing w:before="0" w:after="0" w:line="240" w:lineRule="auto"/>
              <w:jc w:val="center"/>
              <w:rPr>
                <w:rFonts w:eastAsia="MS Gothic"/>
                <w:bCs/>
                <w:lang w:val="en-AU"/>
              </w:rPr>
            </w:pPr>
          </w:p>
        </w:tc>
      </w:tr>
      <w:tr w:rsidR="005A75E4" w:rsidRPr="00E050AF" w14:paraId="7E17AFCE" w14:textId="77777777" w:rsidTr="005A75E4">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3E059C8A"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Alive at 24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85339AA"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86.3</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2BD81F4D"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81.1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1D35A038"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+5.2</w:t>
            </w:r>
          </w:p>
        </w:tc>
        <w:tc>
          <w:tcPr>
            <w:tcW w:w="757" w:type="pct"/>
            <w:tcBorders>
              <w:top w:val="nil"/>
              <w:left w:val="single" w:sz="4" w:space="0" w:color="auto"/>
              <w:bottom w:val="nil"/>
              <w:right w:val="single" w:sz="4" w:space="0" w:color="auto"/>
            </w:tcBorders>
            <w:shd w:val="clear" w:color="auto" w:fill="auto"/>
            <w:vAlign w:val="center"/>
          </w:tcPr>
          <w:p w14:paraId="2D50569E" w14:textId="77777777" w:rsidR="005A75E4" w:rsidRPr="00E050AF" w:rsidRDefault="005A75E4" w:rsidP="009270BC">
            <w:pPr>
              <w:pStyle w:val="TableBodyText-H54"/>
              <w:keepLines/>
              <w:spacing w:before="0" w:after="0" w:line="240" w:lineRule="auto"/>
              <w:jc w:val="center"/>
              <w:rPr>
                <w:rFonts w:eastAsia="MS Gothic"/>
                <w:bCs/>
                <w:lang w:val="en-AU"/>
              </w:rPr>
            </w:pPr>
          </w:p>
        </w:tc>
      </w:tr>
      <w:tr w:rsidR="005A75E4" w:rsidRPr="00E050AF" w14:paraId="63357F3B" w14:textId="77777777" w:rsidTr="005A75E4">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6DC06BD1"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Alive at 36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F5260B"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73.0</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1CC123E1"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69.3</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388A24D6"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+3.7</w:t>
            </w:r>
          </w:p>
        </w:tc>
        <w:tc>
          <w:tcPr>
            <w:tcW w:w="757" w:type="pct"/>
            <w:tcBorders>
              <w:top w:val="nil"/>
              <w:left w:val="single" w:sz="4" w:space="0" w:color="auto"/>
              <w:bottom w:val="nil"/>
              <w:right w:val="single" w:sz="4" w:space="0" w:color="auto"/>
            </w:tcBorders>
            <w:shd w:val="clear" w:color="auto" w:fill="auto"/>
            <w:vAlign w:val="center"/>
          </w:tcPr>
          <w:p w14:paraId="26B40521" w14:textId="77777777" w:rsidR="005A75E4" w:rsidRPr="00E050AF" w:rsidRDefault="005A75E4" w:rsidP="009270BC">
            <w:pPr>
              <w:pStyle w:val="TableBodyText-H54"/>
              <w:keepLines/>
              <w:spacing w:before="0" w:after="0" w:line="240" w:lineRule="auto"/>
              <w:jc w:val="center"/>
              <w:rPr>
                <w:rFonts w:eastAsia="MS Gothic"/>
                <w:bCs/>
                <w:lang w:val="en-AU"/>
              </w:rPr>
            </w:pPr>
          </w:p>
        </w:tc>
      </w:tr>
      <w:tr w:rsidR="005A75E4" w:rsidRPr="00E050AF" w14:paraId="6C9B1BF0" w14:textId="77777777" w:rsidTr="005A75E4">
        <w:trPr>
          <w:trHeight w:val="20"/>
        </w:trPr>
        <w:tc>
          <w:tcPr>
            <w:tcW w:w="1491" w:type="pct"/>
            <w:tcBorders>
              <w:top w:val="single" w:sz="4" w:space="0" w:color="auto"/>
              <w:left w:val="single" w:sz="4" w:space="0" w:color="auto"/>
              <w:bottom w:val="single" w:sz="4" w:space="0" w:color="auto"/>
              <w:right w:val="single" w:sz="4" w:space="0" w:color="auto"/>
            </w:tcBorders>
            <w:shd w:val="clear" w:color="auto" w:fill="auto"/>
            <w:vAlign w:val="center"/>
          </w:tcPr>
          <w:p w14:paraId="165ED5C6" w14:textId="77777777" w:rsidR="005A75E4" w:rsidRPr="00E050AF" w:rsidRDefault="005A75E4" w:rsidP="009270BC">
            <w:pPr>
              <w:pStyle w:val="TableBodyText-H54"/>
              <w:keepLines/>
              <w:spacing w:before="0" w:after="0" w:line="240" w:lineRule="auto"/>
              <w:rPr>
                <w:rFonts w:eastAsia="MS Gothic"/>
                <w:bCs/>
                <w:lang w:val="en-AU"/>
              </w:rPr>
            </w:pPr>
            <w:r w:rsidRPr="00E050AF">
              <w:rPr>
                <w:rFonts w:eastAsia="MS Gothic"/>
                <w:bCs/>
                <w:lang w:val="en-AU"/>
              </w:rPr>
              <w:t>Alive at 48 months (%)</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F3BD084"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62.7</w:t>
            </w:r>
          </w:p>
        </w:tc>
        <w:tc>
          <w:tcPr>
            <w:tcW w:w="943" w:type="pct"/>
            <w:tcBorders>
              <w:top w:val="single" w:sz="4" w:space="0" w:color="auto"/>
              <w:left w:val="single" w:sz="4" w:space="0" w:color="auto"/>
              <w:bottom w:val="single" w:sz="4" w:space="0" w:color="auto"/>
              <w:right w:val="single" w:sz="4" w:space="0" w:color="auto"/>
            </w:tcBorders>
            <w:shd w:val="clear" w:color="auto" w:fill="auto"/>
            <w:vAlign w:val="center"/>
          </w:tcPr>
          <w:p w14:paraId="44BB2BA6"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NR</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14:paraId="5B865505" w14:textId="77777777" w:rsidR="005A75E4" w:rsidRPr="00E050AF" w:rsidRDefault="005A75E4" w:rsidP="009270BC">
            <w:pPr>
              <w:pStyle w:val="TableBodyText-H54"/>
              <w:keepLines/>
              <w:spacing w:before="0" w:after="0" w:line="240" w:lineRule="auto"/>
              <w:jc w:val="center"/>
              <w:rPr>
                <w:rFonts w:eastAsia="MS Gothic"/>
                <w:bCs/>
                <w:lang w:val="en-AU"/>
              </w:rPr>
            </w:pPr>
            <w:r w:rsidRPr="00E050AF">
              <w:rPr>
                <w:rFonts w:eastAsia="MS Gothic"/>
                <w:bCs/>
                <w:lang w:val="en-AU"/>
              </w:rPr>
              <w:t>NA</w:t>
            </w:r>
          </w:p>
        </w:tc>
        <w:tc>
          <w:tcPr>
            <w:tcW w:w="757" w:type="pct"/>
            <w:tcBorders>
              <w:top w:val="nil"/>
              <w:left w:val="single" w:sz="4" w:space="0" w:color="auto"/>
              <w:bottom w:val="single" w:sz="4" w:space="0" w:color="auto"/>
              <w:right w:val="single" w:sz="4" w:space="0" w:color="auto"/>
            </w:tcBorders>
            <w:shd w:val="clear" w:color="auto" w:fill="auto"/>
            <w:vAlign w:val="center"/>
          </w:tcPr>
          <w:p w14:paraId="4B78993A" w14:textId="77777777" w:rsidR="005A75E4" w:rsidRPr="00E050AF" w:rsidRDefault="005A75E4" w:rsidP="009270BC">
            <w:pPr>
              <w:pStyle w:val="TableBodyText-H54"/>
              <w:keepLines/>
              <w:spacing w:before="0" w:after="0" w:line="240" w:lineRule="auto"/>
              <w:jc w:val="center"/>
              <w:rPr>
                <w:rFonts w:eastAsia="MS Gothic"/>
                <w:bCs/>
                <w:lang w:val="en-AU"/>
              </w:rPr>
            </w:pPr>
          </w:p>
        </w:tc>
      </w:tr>
    </w:tbl>
    <w:tbl>
      <w:tblPr>
        <w:tblW w:w="5000" w:type="pct"/>
        <w:tblCellMar>
          <w:left w:w="28" w:type="dxa"/>
          <w:right w:w="28" w:type="dxa"/>
        </w:tblCellMar>
        <w:tblLook w:val="04A0" w:firstRow="1" w:lastRow="0" w:firstColumn="1" w:lastColumn="0" w:noHBand="0" w:noVBand="1"/>
        <w:tblCaption w:val="Table 11  Summary of comparative benefits and harms for the HRD+BRCAwt subgroup in PAOLA-1"/>
      </w:tblPr>
      <w:tblGrid>
        <w:gridCol w:w="1205"/>
        <w:gridCol w:w="1087"/>
        <w:gridCol w:w="1089"/>
        <w:gridCol w:w="1717"/>
        <w:gridCol w:w="1417"/>
        <w:gridCol w:w="1300"/>
        <w:gridCol w:w="1201"/>
      </w:tblGrid>
      <w:tr w:rsidR="009270BC" w:rsidRPr="00E050AF" w14:paraId="3F4E8F7D" w14:textId="77777777" w:rsidTr="00707A54">
        <w:tc>
          <w:tcPr>
            <w:tcW w:w="5000" w:type="pct"/>
            <w:gridSpan w:val="7"/>
            <w:tcBorders>
              <w:top w:val="double" w:sz="4" w:space="0" w:color="auto"/>
              <w:left w:val="single" w:sz="4" w:space="0" w:color="auto"/>
              <w:bottom w:val="double" w:sz="4" w:space="0" w:color="auto"/>
              <w:right w:val="single" w:sz="4" w:space="0" w:color="auto"/>
            </w:tcBorders>
          </w:tcPr>
          <w:p w14:paraId="4668D8B6" w14:textId="2C14C5A6" w:rsidR="009270BC" w:rsidRPr="00E050AF" w:rsidRDefault="009270BC" w:rsidP="009270BC">
            <w:pPr>
              <w:pStyle w:val="In-tableHeading"/>
              <w:keepLines/>
              <w:spacing w:line="256" w:lineRule="auto"/>
              <w:rPr>
                <w:lang w:val="en-AU"/>
              </w:rPr>
            </w:pPr>
            <w:r w:rsidRPr="00E050AF">
              <w:rPr>
                <w:lang w:val="en-AU"/>
              </w:rPr>
              <w:t>Harms (Safety analysis set)</w:t>
            </w:r>
          </w:p>
        </w:tc>
      </w:tr>
      <w:tr w:rsidR="009270BC" w:rsidRPr="00E050AF" w14:paraId="2291C6E5" w14:textId="77777777" w:rsidTr="00707A54">
        <w:trPr>
          <w:trHeight w:val="70"/>
        </w:trPr>
        <w:tc>
          <w:tcPr>
            <w:tcW w:w="668" w:type="pct"/>
            <w:vMerge w:val="restart"/>
            <w:tcBorders>
              <w:top w:val="single" w:sz="4" w:space="0" w:color="auto"/>
              <w:left w:val="single" w:sz="4" w:space="0" w:color="auto"/>
              <w:bottom w:val="single" w:sz="4" w:space="0" w:color="auto"/>
              <w:right w:val="single" w:sz="4" w:space="0" w:color="auto"/>
            </w:tcBorders>
            <w:vAlign w:val="center"/>
          </w:tcPr>
          <w:p w14:paraId="43E3924A" w14:textId="77777777" w:rsidR="009270BC" w:rsidRPr="00E050AF" w:rsidRDefault="009270BC" w:rsidP="009270BC">
            <w:pPr>
              <w:pStyle w:val="In-tableHeading"/>
              <w:keepLines/>
              <w:spacing w:line="256" w:lineRule="auto"/>
              <w:rPr>
                <w:lang w:val="en-AU"/>
              </w:rPr>
            </w:pPr>
          </w:p>
        </w:tc>
        <w:tc>
          <w:tcPr>
            <w:tcW w:w="603" w:type="pct"/>
            <w:vMerge w:val="restart"/>
            <w:tcBorders>
              <w:top w:val="single" w:sz="4" w:space="0" w:color="auto"/>
              <w:left w:val="single" w:sz="4" w:space="0" w:color="auto"/>
              <w:bottom w:val="single" w:sz="4" w:space="0" w:color="auto"/>
              <w:right w:val="single" w:sz="4" w:space="0" w:color="auto"/>
            </w:tcBorders>
            <w:vAlign w:val="center"/>
            <w:hideMark/>
          </w:tcPr>
          <w:p w14:paraId="0C6FFF98" w14:textId="77777777" w:rsidR="009270BC" w:rsidRPr="00E050AF" w:rsidRDefault="009270BC" w:rsidP="009270BC">
            <w:pPr>
              <w:pStyle w:val="In-tableHeading"/>
              <w:keepLines/>
              <w:spacing w:line="256" w:lineRule="auto"/>
              <w:jc w:val="center"/>
              <w:rPr>
                <w:lang w:val="en-AU"/>
              </w:rPr>
            </w:pPr>
            <w:r w:rsidRPr="00E050AF">
              <w:rPr>
                <w:lang w:val="en-AU"/>
              </w:rPr>
              <w:t>Olaparib + bevacizumab</w:t>
            </w:r>
          </w:p>
          <w:p w14:paraId="3FAD3479" w14:textId="77777777" w:rsidR="009270BC" w:rsidRPr="00E050AF" w:rsidRDefault="009270BC" w:rsidP="009270BC">
            <w:pPr>
              <w:pStyle w:val="In-tableHeading"/>
              <w:keepLines/>
              <w:spacing w:line="256" w:lineRule="auto"/>
              <w:jc w:val="center"/>
              <w:rPr>
                <w:lang w:val="en-AU"/>
              </w:rPr>
            </w:pPr>
            <w:r w:rsidRPr="00E050AF">
              <w:rPr>
                <w:lang w:val="en-AU"/>
              </w:rPr>
              <w:t>n/N</w:t>
            </w:r>
          </w:p>
        </w:tc>
        <w:tc>
          <w:tcPr>
            <w:tcW w:w="604" w:type="pct"/>
            <w:vMerge w:val="restart"/>
            <w:tcBorders>
              <w:top w:val="single" w:sz="4" w:space="0" w:color="auto"/>
              <w:left w:val="single" w:sz="4" w:space="0" w:color="auto"/>
              <w:bottom w:val="single" w:sz="4" w:space="0" w:color="auto"/>
              <w:right w:val="single" w:sz="4" w:space="0" w:color="auto"/>
            </w:tcBorders>
            <w:vAlign w:val="center"/>
            <w:hideMark/>
          </w:tcPr>
          <w:p w14:paraId="72C2E005" w14:textId="77777777" w:rsidR="009270BC" w:rsidRPr="00E050AF" w:rsidRDefault="009270BC" w:rsidP="009270BC">
            <w:pPr>
              <w:pStyle w:val="In-tableHeading"/>
              <w:keepLines/>
              <w:spacing w:line="256" w:lineRule="auto"/>
              <w:jc w:val="center"/>
              <w:rPr>
                <w:lang w:val="en-AU"/>
              </w:rPr>
            </w:pPr>
            <w:r w:rsidRPr="00E050AF">
              <w:rPr>
                <w:lang w:val="en-AU"/>
              </w:rPr>
              <w:t>Placebo + bevacizumab</w:t>
            </w:r>
          </w:p>
          <w:p w14:paraId="39190665" w14:textId="77777777" w:rsidR="009270BC" w:rsidRPr="00E050AF" w:rsidRDefault="009270BC" w:rsidP="009270BC">
            <w:pPr>
              <w:pStyle w:val="In-tableHeading"/>
              <w:keepLines/>
              <w:spacing w:line="256" w:lineRule="auto"/>
              <w:jc w:val="center"/>
              <w:rPr>
                <w:lang w:val="en-AU"/>
              </w:rPr>
            </w:pPr>
            <w:r w:rsidRPr="00E050AF">
              <w:rPr>
                <w:lang w:val="en-AU"/>
              </w:rPr>
              <w:t>n/N</w:t>
            </w:r>
          </w:p>
        </w:tc>
        <w:tc>
          <w:tcPr>
            <w:tcW w:w="952" w:type="pct"/>
            <w:vMerge w:val="restart"/>
            <w:tcBorders>
              <w:top w:val="single" w:sz="4" w:space="0" w:color="auto"/>
              <w:left w:val="single" w:sz="4" w:space="0" w:color="auto"/>
              <w:right w:val="single" w:sz="4" w:space="0" w:color="auto"/>
            </w:tcBorders>
            <w:vAlign w:val="center"/>
          </w:tcPr>
          <w:p w14:paraId="10171DCC" w14:textId="77777777" w:rsidR="009270BC" w:rsidRPr="00E050AF" w:rsidRDefault="009270BC" w:rsidP="009270BC">
            <w:pPr>
              <w:pStyle w:val="In-tableHeading"/>
              <w:keepLines/>
              <w:spacing w:line="256" w:lineRule="auto"/>
              <w:jc w:val="center"/>
              <w:rPr>
                <w:lang w:val="en-AU"/>
              </w:rPr>
            </w:pPr>
            <w:r w:rsidRPr="00E050AF">
              <w:rPr>
                <w:lang w:val="en-AU"/>
              </w:rPr>
              <w:t>RR</w:t>
            </w:r>
          </w:p>
          <w:p w14:paraId="61DECB10" w14:textId="77777777" w:rsidR="009270BC" w:rsidRPr="00E050AF" w:rsidRDefault="009270BC" w:rsidP="009270BC">
            <w:pPr>
              <w:pStyle w:val="In-tableHeading"/>
              <w:keepLines/>
              <w:spacing w:line="256" w:lineRule="auto"/>
              <w:jc w:val="center"/>
              <w:rPr>
                <w:lang w:val="en-AU"/>
              </w:rPr>
            </w:pPr>
            <w:r w:rsidRPr="00E050AF">
              <w:rPr>
                <w:lang w:val="en-AU"/>
              </w:rPr>
              <w:t>(95% CI)</w:t>
            </w:r>
          </w:p>
        </w:tc>
        <w:tc>
          <w:tcPr>
            <w:tcW w:w="1507" w:type="pct"/>
            <w:gridSpan w:val="2"/>
            <w:tcBorders>
              <w:top w:val="single" w:sz="4" w:space="0" w:color="auto"/>
              <w:left w:val="single" w:sz="4" w:space="0" w:color="auto"/>
              <w:bottom w:val="single" w:sz="4" w:space="0" w:color="auto"/>
              <w:right w:val="single" w:sz="4" w:space="0" w:color="auto"/>
            </w:tcBorders>
            <w:vAlign w:val="center"/>
            <w:hideMark/>
          </w:tcPr>
          <w:p w14:paraId="3B21083E" w14:textId="77777777" w:rsidR="009270BC" w:rsidRPr="00E050AF" w:rsidRDefault="009270BC" w:rsidP="009270BC">
            <w:pPr>
              <w:pStyle w:val="In-tableHeading"/>
              <w:keepLines/>
              <w:spacing w:line="256" w:lineRule="auto"/>
              <w:jc w:val="center"/>
              <w:rPr>
                <w:lang w:val="en-AU"/>
              </w:rPr>
            </w:pPr>
            <w:r w:rsidRPr="00E050AF">
              <w:rPr>
                <w:lang w:val="en-AU"/>
              </w:rPr>
              <w:t>Event rate/100 patients</w:t>
            </w:r>
          </w:p>
        </w:tc>
        <w:tc>
          <w:tcPr>
            <w:tcW w:w="666" w:type="pct"/>
            <w:vMerge w:val="restart"/>
            <w:tcBorders>
              <w:top w:val="single" w:sz="4" w:space="0" w:color="auto"/>
              <w:left w:val="single" w:sz="4" w:space="0" w:color="auto"/>
              <w:bottom w:val="single" w:sz="4" w:space="0" w:color="auto"/>
              <w:right w:val="single" w:sz="4" w:space="0" w:color="auto"/>
            </w:tcBorders>
            <w:vAlign w:val="center"/>
            <w:hideMark/>
          </w:tcPr>
          <w:p w14:paraId="7D460DC8" w14:textId="77777777" w:rsidR="009270BC" w:rsidRPr="00E050AF" w:rsidRDefault="009270BC" w:rsidP="009270BC">
            <w:pPr>
              <w:pStyle w:val="In-tableHeading"/>
              <w:keepLines/>
              <w:jc w:val="center"/>
              <w:rPr>
                <w:lang w:val="en-AU"/>
              </w:rPr>
            </w:pPr>
            <w:r w:rsidRPr="00E050AF">
              <w:rPr>
                <w:lang w:val="en-AU"/>
              </w:rPr>
              <w:t>RD</w:t>
            </w:r>
          </w:p>
          <w:p w14:paraId="038BBB01" w14:textId="77777777" w:rsidR="009270BC" w:rsidRPr="00E050AF" w:rsidRDefault="009270BC" w:rsidP="009270BC">
            <w:pPr>
              <w:pStyle w:val="In-tableHeading"/>
              <w:keepLines/>
              <w:spacing w:line="256" w:lineRule="auto"/>
              <w:jc w:val="center"/>
              <w:rPr>
                <w:lang w:val="en-AU"/>
              </w:rPr>
            </w:pPr>
            <w:r w:rsidRPr="00E050AF">
              <w:rPr>
                <w:lang w:val="en-AU"/>
              </w:rPr>
              <w:t>(95% CI)</w:t>
            </w:r>
          </w:p>
        </w:tc>
      </w:tr>
      <w:tr w:rsidR="009270BC" w:rsidRPr="00E050AF" w14:paraId="20334BEF" w14:textId="77777777" w:rsidTr="00707A54">
        <w:trPr>
          <w:trHeight w:val="390"/>
        </w:trPr>
        <w:tc>
          <w:tcPr>
            <w:tcW w:w="668" w:type="pct"/>
            <w:vMerge/>
            <w:tcBorders>
              <w:top w:val="single" w:sz="4" w:space="0" w:color="auto"/>
              <w:left w:val="single" w:sz="4" w:space="0" w:color="auto"/>
              <w:bottom w:val="single" w:sz="4" w:space="0" w:color="auto"/>
              <w:right w:val="single" w:sz="4" w:space="0" w:color="auto"/>
            </w:tcBorders>
            <w:vAlign w:val="center"/>
            <w:hideMark/>
          </w:tcPr>
          <w:p w14:paraId="4D87F524" w14:textId="77777777" w:rsidR="009270BC" w:rsidRPr="00E050AF" w:rsidRDefault="009270BC" w:rsidP="009270BC">
            <w:pPr>
              <w:keepNext/>
              <w:keepLines/>
              <w:spacing w:before="0" w:after="0" w:line="256" w:lineRule="auto"/>
              <w:jc w:val="left"/>
              <w:rPr>
                <w:rFonts w:ascii="Arial Narrow" w:eastAsiaTheme="majorEastAsia" w:hAnsi="Arial Narrow" w:cs="Times New Roman"/>
                <w:b/>
                <w:sz w:val="20"/>
                <w:szCs w:val="24"/>
                <w:lang w:eastAsia="en-AU"/>
              </w:rPr>
            </w:pPr>
          </w:p>
        </w:tc>
        <w:tc>
          <w:tcPr>
            <w:tcW w:w="603" w:type="pct"/>
            <w:vMerge/>
            <w:tcBorders>
              <w:top w:val="single" w:sz="4" w:space="0" w:color="auto"/>
              <w:left w:val="single" w:sz="4" w:space="0" w:color="auto"/>
              <w:bottom w:val="single" w:sz="4" w:space="0" w:color="auto"/>
              <w:right w:val="single" w:sz="4" w:space="0" w:color="auto"/>
            </w:tcBorders>
            <w:vAlign w:val="center"/>
            <w:hideMark/>
          </w:tcPr>
          <w:p w14:paraId="73D43786" w14:textId="77777777" w:rsidR="009270BC" w:rsidRPr="00E050AF" w:rsidRDefault="009270BC" w:rsidP="009270BC">
            <w:pPr>
              <w:keepNext/>
              <w:keepLines/>
              <w:spacing w:before="0" w:after="0" w:line="256" w:lineRule="auto"/>
              <w:jc w:val="left"/>
              <w:rPr>
                <w:rFonts w:ascii="Arial Narrow" w:eastAsiaTheme="majorEastAsia" w:hAnsi="Arial Narrow" w:cs="Times New Roman"/>
                <w:b/>
                <w:sz w:val="20"/>
                <w:szCs w:val="24"/>
                <w:lang w:eastAsia="en-AU"/>
              </w:rPr>
            </w:pPr>
          </w:p>
        </w:tc>
        <w:tc>
          <w:tcPr>
            <w:tcW w:w="604" w:type="pct"/>
            <w:vMerge/>
            <w:tcBorders>
              <w:top w:val="single" w:sz="4" w:space="0" w:color="auto"/>
              <w:left w:val="single" w:sz="4" w:space="0" w:color="auto"/>
              <w:bottom w:val="single" w:sz="4" w:space="0" w:color="auto"/>
              <w:right w:val="single" w:sz="4" w:space="0" w:color="auto"/>
            </w:tcBorders>
            <w:vAlign w:val="center"/>
            <w:hideMark/>
          </w:tcPr>
          <w:p w14:paraId="2F62FA87" w14:textId="77777777" w:rsidR="009270BC" w:rsidRPr="00E050AF" w:rsidRDefault="009270BC" w:rsidP="009270BC">
            <w:pPr>
              <w:keepNext/>
              <w:keepLines/>
              <w:spacing w:before="0" w:after="0" w:line="256" w:lineRule="auto"/>
              <w:jc w:val="left"/>
              <w:rPr>
                <w:rFonts w:ascii="Arial Narrow" w:eastAsiaTheme="majorEastAsia" w:hAnsi="Arial Narrow" w:cs="Times New Roman"/>
                <w:b/>
                <w:sz w:val="20"/>
                <w:szCs w:val="24"/>
                <w:lang w:eastAsia="en-AU"/>
              </w:rPr>
            </w:pPr>
          </w:p>
        </w:tc>
        <w:tc>
          <w:tcPr>
            <w:tcW w:w="952" w:type="pct"/>
            <w:vMerge/>
            <w:tcBorders>
              <w:left w:val="single" w:sz="4" w:space="0" w:color="auto"/>
              <w:bottom w:val="single" w:sz="4" w:space="0" w:color="auto"/>
              <w:right w:val="single" w:sz="4" w:space="0" w:color="auto"/>
            </w:tcBorders>
          </w:tcPr>
          <w:p w14:paraId="0331E7C9" w14:textId="77777777" w:rsidR="009270BC" w:rsidRPr="00E050AF" w:rsidRDefault="009270BC" w:rsidP="009270BC">
            <w:pPr>
              <w:pStyle w:val="In-tableHeading"/>
              <w:keepLines/>
              <w:spacing w:line="256" w:lineRule="auto"/>
              <w:jc w:val="center"/>
              <w:rPr>
                <w:lang w:val="en-AU"/>
              </w:rPr>
            </w:pPr>
          </w:p>
        </w:tc>
        <w:tc>
          <w:tcPr>
            <w:tcW w:w="786" w:type="pct"/>
            <w:tcBorders>
              <w:top w:val="single" w:sz="4" w:space="0" w:color="auto"/>
              <w:left w:val="single" w:sz="4" w:space="0" w:color="auto"/>
              <w:bottom w:val="single" w:sz="4" w:space="0" w:color="auto"/>
              <w:right w:val="single" w:sz="4" w:space="0" w:color="auto"/>
            </w:tcBorders>
            <w:vAlign w:val="center"/>
            <w:hideMark/>
          </w:tcPr>
          <w:p w14:paraId="2C95BC39" w14:textId="77777777" w:rsidR="009270BC" w:rsidRPr="00E050AF" w:rsidRDefault="009270BC" w:rsidP="009270BC">
            <w:pPr>
              <w:pStyle w:val="In-tableHeading"/>
              <w:keepLines/>
              <w:spacing w:line="256" w:lineRule="auto"/>
              <w:jc w:val="center"/>
              <w:rPr>
                <w:lang w:val="en-AU"/>
              </w:rPr>
            </w:pPr>
            <w:r w:rsidRPr="00E050AF">
              <w:rPr>
                <w:lang w:val="en-AU"/>
              </w:rPr>
              <w:t>Olaparib + bevacizumab</w:t>
            </w:r>
          </w:p>
        </w:tc>
        <w:tc>
          <w:tcPr>
            <w:tcW w:w="721" w:type="pct"/>
            <w:tcBorders>
              <w:top w:val="single" w:sz="4" w:space="0" w:color="auto"/>
              <w:left w:val="single" w:sz="4" w:space="0" w:color="auto"/>
              <w:bottom w:val="single" w:sz="4" w:space="0" w:color="auto"/>
              <w:right w:val="single" w:sz="4" w:space="0" w:color="auto"/>
            </w:tcBorders>
            <w:vAlign w:val="center"/>
            <w:hideMark/>
          </w:tcPr>
          <w:p w14:paraId="0762A503" w14:textId="77777777" w:rsidR="009270BC" w:rsidRPr="00E050AF" w:rsidRDefault="009270BC" w:rsidP="009270BC">
            <w:pPr>
              <w:pStyle w:val="In-tableHeading"/>
              <w:keepLines/>
              <w:spacing w:line="256" w:lineRule="auto"/>
              <w:jc w:val="center"/>
              <w:rPr>
                <w:lang w:val="en-AU"/>
              </w:rPr>
            </w:pPr>
            <w:r w:rsidRPr="00E050AF">
              <w:rPr>
                <w:lang w:val="en-AU"/>
              </w:rPr>
              <w:t>Placebo + bevacizumab</w:t>
            </w:r>
          </w:p>
        </w:tc>
        <w:tc>
          <w:tcPr>
            <w:tcW w:w="666" w:type="pct"/>
            <w:vMerge/>
            <w:tcBorders>
              <w:top w:val="single" w:sz="4" w:space="0" w:color="auto"/>
              <w:left w:val="single" w:sz="4" w:space="0" w:color="auto"/>
              <w:bottom w:val="single" w:sz="4" w:space="0" w:color="auto"/>
              <w:right w:val="single" w:sz="4" w:space="0" w:color="auto"/>
            </w:tcBorders>
            <w:vAlign w:val="center"/>
            <w:hideMark/>
          </w:tcPr>
          <w:p w14:paraId="6E612773" w14:textId="77777777" w:rsidR="009270BC" w:rsidRPr="00E050AF" w:rsidRDefault="009270BC" w:rsidP="009270BC">
            <w:pPr>
              <w:keepNext/>
              <w:keepLines/>
              <w:spacing w:before="0" w:after="0" w:line="256" w:lineRule="auto"/>
              <w:jc w:val="left"/>
              <w:rPr>
                <w:rFonts w:ascii="Arial Narrow" w:eastAsiaTheme="majorEastAsia" w:hAnsi="Arial Narrow" w:cs="Times New Roman"/>
                <w:b/>
                <w:sz w:val="20"/>
                <w:szCs w:val="24"/>
                <w:lang w:eastAsia="en-AU"/>
              </w:rPr>
            </w:pPr>
          </w:p>
        </w:tc>
      </w:tr>
      <w:tr w:rsidR="009270BC" w:rsidRPr="00E050AF" w14:paraId="4C372429" w14:textId="77777777" w:rsidTr="00707A54">
        <w:tc>
          <w:tcPr>
            <w:tcW w:w="5000" w:type="pct"/>
            <w:gridSpan w:val="7"/>
            <w:tcBorders>
              <w:top w:val="single" w:sz="4" w:space="0" w:color="auto"/>
              <w:left w:val="single" w:sz="4" w:space="0" w:color="auto"/>
              <w:bottom w:val="single" w:sz="4" w:space="0" w:color="auto"/>
              <w:right w:val="single" w:sz="4" w:space="0" w:color="auto"/>
            </w:tcBorders>
          </w:tcPr>
          <w:p w14:paraId="6AF4CBB1" w14:textId="77777777" w:rsidR="009270BC" w:rsidRPr="00E050AF" w:rsidRDefault="009270BC" w:rsidP="009270BC">
            <w:pPr>
              <w:pStyle w:val="TableText"/>
              <w:keepNext/>
              <w:keepLines/>
              <w:spacing w:line="256" w:lineRule="auto"/>
              <w:rPr>
                <w:b/>
                <w:bCs/>
              </w:rPr>
            </w:pPr>
            <w:r w:rsidRPr="00E050AF">
              <w:rPr>
                <w:b/>
                <w:bCs/>
              </w:rPr>
              <w:t>Any casually related AE</w:t>
            </w:r>
          </w:p>
        </w:tc>
      </w:tr>
      <w:tr w:rsidR="009270BC" w:rsidRPr="00E050AF" w14:paraId="1C545E96" w14:textId="77777777" w:rsidTr="00707A54">
        <w:tc>
          <w:tcPr>
            <w:tcW w:w="668" w:type="pct"/>
            <w:tcBorders>
              <w:top w:val="single" w:sz="4" w:space="0" w:color="auto"/>
              <w:left w:val="single" w:sz="4" w:space="0" w:color="auto"/>
              <w:bottom w:val="single" w:sz="4" w:space="0" w:color="auto"/>
              <w:right w:val="single" w:sz="4" w:space="0" w:color="auto"/>
            </w:tcBorders>
          </w:tcPr>
          <w:p w14:paraId="7A73113B" w14:textId="77777777" w:rsidR="009270BC" w:rsidRPr="00E050AF" w:rsidRDefault="009270BC" w:rsidP="009270BC">
            <w:pPr>
              <w:pStyle w:val="TableText"/>
              <w:keepNext/>
              <w:keepLines/>
              <w:spacing w:line="256" w:lineRule="auto"/>
            </w:pPr>
            <w:r w:rsidRPr="00E050AF">
              <w:t>Nausea</w:t>
            </w:r>
          </w:p>
        </w:tc>
        <w:tc>
          <w:tcPr>
            <w:tcW w:w="603" w:type="pct"/>
            <w:tcBorders>
              <w:top w:val="single" w:sz="4" w:space="0" w:color="auto"/>
              <w:left w:val="single" w:sz="4" w:space="0" w:color="auto"/>
              <w:bottom w:val="single" w:sz="4" w:space="0" w:color="auto"/>
              <w:right w:val="single" w:sz="4" w:space="0" w:color="auto"/>
            </w:tcBorders>
            <w:vAlign w:val="center"/>
          </w:tcPr>
          <w:p w14:paraId="2B690A8F" w14:textId="77777777" w:rsidR="009270BC" w:rsidRPr="00E050AF" w:rsidRDefault="009270BC" w:rsidP="009270BC">
            <w:pPr>
              <w:pStyle w:val="TableText"/>
              <w:keepNext/>
              <w:keepLines/>
              <w:spacing w:line="256" w:lineRule="auto"/>
              <w:jc w:val="center"/>
            </w:pPr>
            <w:r w:rsidRPr="00E050AF">
              <w:t>269/535</w:t>
            </w:r>
          </w:p>
        </w:tc>
        <w:tc>
          <w:tcPr>
            <w:tcW w:w="604" w:type="pct"/>
            <w:tcBorders>
              <w:top w:val="single" w:sz="4" w:space="0" w:color="auto"/>
              <w:left w:val="single" w:sz="4" w:space="0" w:color="auto"/>
              <w:bottom w:val="single" w:sz="4" w:space="0" w:color="auto"/>
              <w:right w:val="single" w:sz="4" w:space="0" w:color="auto"/>
            </w:tcBorders>
            <w:vAlign w:val="center"/>
          </w:tcPr>
          <w:p w14:paraId="77C6C8D1" w14:textId="77777777" w:rsidR="009270BC" w:rsidRPr="00E050AF" w:rsidRDefault="009270BC" w:rsidP="009270BC">
            <w:pPr>
              <w:pStyle w:val="TableText"/>
              <w:keepNext/>
              <w:keepLines/>
              <w:spacing w:line="256" w:lineRule="auto"/>
              <w:jc w:val="center"/>
            </w:pPr>
            <w:r w:rsidRPr="00E050AF">
              <w:t>46/267</w:t>
            </w:r>
          </w:p>
        </w:tc>
        <w:tc>
          <w:tcPr>
            <w:tcW w:w="952" w:type="pct"/>
            <w:tcBorders>
              <w:top w:val="single" w:sz="4" w:space="0" w:color="auto"/>
              <w:left w:val="single" w:sz="4" w:space="0" w:color="auto"/>
              <w:bottom w:val="single" w:sz="4" w:space="0" w:color="auto"/>
              <w:right w:val="single" w:sz="4" w:space="0" w:color="auto"/>
            </w:tcBorders>
            <w:vAlign w:val="center"/>
          </w:tcPr>
          <w:p w14:paraId="2012F4F6" w14:textId="77777777" w:rsidR="009270BC" w:rsidRPr="00E050AF" w:rsidRDefault="009270BC" w:rsidP="009270BC">
            <w:pPr>
              <w:pStyle w:val="TableText"/>
              <w:keepNext/>
              <w:keepLines/>
              <w:spacing w:line="256" w:lineRule="auto"/>
              <w:jc w:val="center"/>
              <w:rPr>
                <w:b/>
                <w:bCs/>
              </w:rPr>
            </w:pPr>
            <w:r w:rsidRPr="00E050AF">
              <w:rPr>
                <w:b/>
                <w:bCs/>
              </w:rPr>
              <w:t>2.80 (2.15, 3.68)</w:t>
            </w:r>
          </w:p>
        </w:tc>
        <w:tc>
          <w:tcPr>
            <w:tcW w:w="786" w:type="pct"/>
            <w:tcBorders>
              <w:top w:val="single" w:sz="4" w:space="0" w:color="auto"/>
              <w:left w:val="single" w:sz="4" w:space="0" w:color="auto"/>
              <w:bottom w:val="single" w:sz="4" w:space="0" w:color="auto"/>
              <w:right w:val="single" w:sz="4" w:space="0" w:color="auto"/>
            </w:tcBorders>
            <w:vAlign w:val="center"/>
          </w:tcPr>
          <w:p w14:paraId="124C3EBD" w14:textId="77777777" w:rsidR="009270BC" w:rsidRPr="00E050AF" w:rsidRDefault="009270BC" w:rsidP="009270BC">
            <w:pPr>
              <w:pStyle w:val="TableText"/>
              <w:keepNext/>
              <w:keepLines/>
              <w:spacing w:line="256" w:lineRule="auto"/>
              <w:jc w:val="center"/>
            </w:pPr>
            <w:r w:rsidRPr="00E050AF">
              <w:t>50.3</w:t>
            </w:r>
          </w:p>
        </w:tc>
        <w:tc>
          <w:tcPr>
            <w:tcW w:w="721" w:type="pct"/>
            <w:tcBorders>
              <w:top w:val="single" w:sz="4" w:space="0" w:color="auto"/>
              <w:left w:val="single" w:sz="4" w:space="0" w:color="auto"/>
              <w:bottom w:val="single" w:sz="4" w:space="0" w:color="auto"/>
              <w:right w:val="single" w:sz="4" w:space="0" w:color="auto"/>
            </w:tcBorders>
            <w:vAlign w:val="center"/>
          </w:tcPr>
          <w:p w14:paraId="120F8313" w14:textId="77777777" w:rsidR="009270BC" w:rsidRPr="00E050AF" w:rsidRDefault="009270BC" w:rsidP="009270BC">
            <w:pPr>
              <w:pStyle w:val="TableText"/>
              <w:keepNext/>
              <w:keepLines/>
              <w:spacing w:line="256" w:lineRule="auto"/>
              <w:jc w:val="center"/>
            </w:pPr>
            <w:r w:rsidRPr="00E050AF">
              <w:t>18.0</w:t>
            </w:r>
          </w:p>
        </w:tc>
        <w:tc>
          <w:tcPr>
            <w:tcW w:w="666" w:type="pct"/>
            <w:tcBorders>
              <w:top w:val="single" w:sz="4" w:space="0" w:color="auto"/>
              <w:left w:val="single" w:sz="4" w:space="0" w:color="auto"/>
              <w:bottom w:val="single" w:sz="4" w:space="0" w:color="auto"/>
              <w:right w:val="single" w:sz="4" w:space="0" w:color="auto"/>
            </w:tcBorders>
            <w:vAlign w:val="center"/>
          </w:tcPr>
          <w:p w14:paraId="78241C08" w14:textId="77777777" w:rsidR="009270BC" w:rsidRPr="00E050AF" w:rsidRDefault="009270BC" w:rsidP="009270BC">
            <w:pPr>
              <w:pStyle w:val="TableText"/>
              <w:keepNext/>
              <w:keepLines/>
              <w:spacing w:line="256" w:lineRule="auto"/>
              <w:jc w:val="center"/>
            </w:pPr>
            <w:r w:rsidRPr="00E050AF">
              <w:t>32.3</w:t>
            </w:r>
          </w:p>
        </w:tc>
      </w:tr>
      <w:tr w:rsidR="009270BC" w:rsidRPr="00E050AF" w14:paraId="50F112AB" w14:textId="77777777" w:rsidTr="00707A54">
        <w:tc>
          <w:tcPr>
            <w:tcW w:w="668" w:type="pct"/>
            <w:tcBorders>
              <w:top w:val="single" w:sz="4" w:space="0" w:color="auto"/>
              <w:left w:val="single" w:sz="4" w:space="0" w:color="auto"/>
              <w:bottom w:val="single" w:sz="4" w:space="0" w:color="auto"/>
              <w:right w:val="single" w:sz="4" w:space="0" w:color="auto"/>
            </w:tcBorders>
          </w:tcPr>
          <w:p w14:paraId="6BBD67BF" w14:textId="77777777" w:rsidR="009270BC" w:rsidRPr="00E050AF" w:rsidRDefault="009270BC" w:rsidP="009270BC">
            <w:pPr>
              <w:pStyle w:val="TableText"/>
              <w:keepNext/>
              <w:keepLines/>
              <w:spacing w:line="256" w:lineRule="auto"/>
            </w:pPr>
            <w:r w:rsidRPr="00E050AF">
              <w:t>Vomiting</w:t>
            </w:r>
          </w:p>
        </w:tc>
        <w:tc>
          <w:tcPr>
            <w:tcW w:w="603" w:type="pct"/>
            <w:tcBorders>
              <w:top w:val="single" w:sz="4" w:space="0" w:color="auto"/>
              <w:left w:val="single" w:sz="4" w:space="0" w:color="auto"/>
              <w:bottom w:val="single" w:sz="4" w:space="0" w:color="auto"/>
              <w:right w:val="single" w:sz="4" w:space="0" w:color="auto"/>
            </w:tcBorders>
            <w:vAlign w:val="center"/>
          </w:tcPr>
          <w:p w14:paraId="5C42009F" w14:textId="77777777" w:rsidR="009270BC" w:rsidRPr="00E050AF" w:rsidRDefault="009270BC" w:rsidP="009270BC">
            <w:pPr>
              <w:pStyle w:val="TableText"/>
              <w:keepNext/>
              <w:keepLines/>
              <w:spacing w:line="256" w:lineRule="auto"/>
              <w:jc w:val="center"/>
            </w:pPr>
            <w:r w:rsidRPr="00E050AF">
              <w:rPr>
                <w:lang w:eastAsia="zh-CN"/>
              </w:rPr>
              <w:t>89/535</w:t>
            </w:r>
          </w:p>
        </w:tc>
        <w:tc>
          <w:tcPr>
            <w:tcW w:w="604" w:type="pct"/>
            <w:tcBorders>
              <w:top w:val="single" w:sz="4" w:space="0" w:color="auto"/>
              <w:left w:val="single" w:sz="4" w:space="0" w:color="auto"/>
              <w:bottom w:val="single" w:sz="4" w:space="0" w:color="auto"/>
              <w:right w:val="single" w:sz="4" w:space="0" w:color="auto"/>
            </w:tcBorders>
            <w:vAlign w:val="center"/>
          </w:tcPr>
          <w:p w14:paraId="6B1EC5E0" w14:textId="77777777" w:rsidR="009270BC" w:rsidRPr="00E050AF" w:rsidRDefault="009270BC" w:rsidP="009270BC">
            <w:pPr>
              <w:pStyle w:val="TableText"/>
              <w:keepNext/>
              <w:keepLines/>
              <w:spacing w:line="256" w:lineRule="auto"/>
              <w:jc w:val="center"/>
            </w:pPr>
            <w:r w:rsidRPr="00E050AF">
              <w:rPr>
                <w:lang w:eastAsia="zh-CN"/>
              </w:rPr>
              <w:t>13/267</w:t>
            </w:r>
          </w:p>
        </w:tc>
        <w:tc>
          <w:tcPr>
            <w:tcW w:w="952" w:type="pct"/>
            <w:tcBorders>
              <w:top w:val="single" w:sz="4" w:space="0" w:color="auto"/>
              <w:left w:val="single" w:sz="4" w:space="0" w:color="auto"/>
              <w:bottom w:val="single" w:sz="4" w:space="0" w:color="auto"/>
              <w:right w:val="single" w:sz="4" w:space="0" w:color="auto"/>
            </w:tcBorders>
            <w:vAlign w:val="center"/>
          </w:tcPr>
          <w:p w14:paraId="169A14B8" w14:textId="77777777" w:rsidR="009270BC" w:rsidRPr="00E050AF" w:rsidRDefault="009270BC" w:rsidP="009270BC">
            <w:pPr>
              <w:pStyle w:val="TableText"/>
              <w:keepNext/>
              <w:keepLines/>
              <w:spacing w:line="256" w:lineRule="auto"/>
              <w:jc w:val="center"/>
              <w:rPr>
                <w:b/>
                <w:bCs/>
              </w:rPr>
            </w:pPr>
            <w:r w:rsidRPr="00E050AF">
              <w:rPr>
                <w:b/>
                <w:bCs/>
                <w:lang w:eastAsia="zh-CN"/>
              </w:rPr>
              <w:t>3.42 (1.97,5.98)</w:t>
            </w:r>
          </w:p>
        </w:tc>
        <w:tc>
          <w:tcPr>
            <w:tcW w:w="786" w:type="pct"/>
            <w:tcBorders>
              <w:top w:val="single" w:sz="4" w:space="0" w:color="auto"/>
              <w:left w:val="single" w:sz="4" w:space="0" w:color="auto"/>
              <w:bottom w:val="single" w:sz="4" w:space="0" w:color="auto"/>
              <w:right w:val="single" w:sz="4" w:space="0" w:color="auto"/>
            </w:tcBorders>
            <w:vAlign w:val="center"/>
          </w:tcPr>
          <w:p w14:paraId="30199184" w14:textId="77777777" w:rsidR="009270BC" w:rsidRPr="00E050AF" w:rsidRDefault="009270BC" w:rsidP="009270BC">
            <w:pPr>
              <w:pStyle w:val="TableText"/>
              <w:keepNext/>
              <w:keepLines/>
              <w:spacing w:line="256" w:lineRule="auto"/>
              <w:jc w:val="center"/>
            </w:pPr>
            <w:r w:rsidRPr="00E050AF">
              <w:t>16.6</w:t>
            </w:r>
          </w:p>
        </w:tc>
        <w:tc>
          <w:tcPr>
            <w:tcW w:w="721" w:type="pct"/>
            <w:tcBorders>
              <w:top w:val="single" w:sz="4" w:space="0" w:color="auto"/>
              <w:left w:val="single" w:sz="4" w:space="0" w:color="auto"/>
              <w:bottom w:val="single" w:sz="4" w:space="0" w:color="auto"/>
              <w:right w:val="single" w:sz="4" w:space="0" w:color="auto"/>
            </w:tcBorders>
            <w:vAlign w:val="center"/>
          </w:tcPr>
          <w:p w14:paraId="5FF0310B" w14:textId="77777777" w:rsidR="009270BC" w:rsidRPr="00E050AF" w:rsidRDefault="009270BC" w:rsidP="009270BC">
            <w:pPr>
              <w:pStyle w:val="TableText"/>
              <w:keepNext/>
              <w:keepLines/>
              <w:spacing w:line="256" w:lineRule="auto"/>
              <w:jc w:val="center"/>
            </w:pPr>
            <w:r w:rsidRPr="00E050AF">
              <w:t>4.9</w:t>
            </w:r>
          </w:p>
        </w:tc>
        <w:tc>
          <w:tcPr>
            <w:tcW w:w="666" w:type="pct"/>
            <w:tcBorders>
              <w:top w:val="single" w:sz="4" w:space="0" w:color="auto"/>
              <w:left w:val="single" w:sz="4" w:space="0" w:color="auto"/>
              <w:bottom w:val="single" w:sz="4" w:space="0" w:color="auto"/>
              <w:right w:val="single" w:sz="4" w:space="0" w:color="auto"/>
            </w:tcBorders>
          </w:tcPr>
          <w:p w14:paraId="1C9666C3" w14:textId="77777777" w:rsidR="009270BC" w:rsidRPr="00E050AF" w:rsidRDefault="009270BC" w:rsidP="009270BC">
            <w:pPr>
              <w:pStyle w:val="TableText"/>
              <w:keepNext/>
              <w:keepLines/>
              <w:spacing w:line="256" w:lineRule="auto"/>
              <w:jc w:val="center"/>
            </w:pPr>
            <w:r w:rsidRPr="00E050AF">
              <w:t>11.8</w:t>
            </w:r>
          </w:p>
        </w:tc>
      </w:tr>
      <w:tr w:rsidR="009270BC" w:rsidRPr="00E050AF" w14:paraId="6BE545A8" w14:textId="77777777" w:rsidTr="00707A54">
        <w:tc>
          <w:tcPr>
            <w:tcW w:w="668" w:type="pct"/>
            <w:tcBorders>
              <w:top w:val="single" w:sz="4" w:space="0" w:color="auto"/>
              <w:left w:val="single" w:sz="4" w:space="0" w:color="auto"/>
              <w:bottom w:val="single" w:sz="4" w:space="0" w:color="auto"/>
              <w:right w:val="single" w:sz="4" w:space="0" w:color="auto"/>
            </w:tcBorders>
            <w:hideMark/>
          </w:tcPr>
          <w:p w14:paraId="4B65FD11" w14:textId="77777777" w:rsidR="009270BC" w:rsidRPr="00E050AF" w:rsidRDefault="009270BC" w:rsidP="009270BC">
            <w:pPr>
              <w:pStyle w:val="TableText"/>
              <w:keepNext/>
              <w:keepLines/>
              <w:spacing w:line="256" w:lineRule="auto"/>
            </w:pPr>
            <w:r w:rsidRPr="00E050AF">
              <w:t>Fatigue</w:t>
            </w:r>
          </w:p>
        </w:tc>
        <w:tc>
          <w:tcPr>
            <w:tcW w:w="603" w:type="pct"/>
            <w:tcBorders>
              <w:top w:val="single" w:sz="4" w:space="0" w:color="auto"/>
              <w:left w:val="single" w:sz="4" w:space="0" w:color="auto"/>
              <w:bottom w:val="single" w:sz="4" w:space="0" w:color="auto"/>
              <w:right w:val="single" w:sz="4" w:space="0" w:color="auto"/>
            </w:tcBorders>
            <w:vAlign w:val="center"/>
            <w:hideMark/>
          </w:tcPr>
          <w:p w14:paraId="22AA51F0" w14:textId="77777777" w:rsidR="009270BC" w:rsidRPr="00E050AF" w:rsidRDefault="009270BC" w:rsidP="009270BC">
            <w:pPr>
              <w:pStyle w:val="TableText"/>
              <w:keepNext/>
              <w:keepLines/>
              <w:spacing w:line="256" w:lineRule="auto"/>
              <w:jc w:val="center"/>
            </w:pPr>
            <w:r w:rsidRPr="00E050AF">
              <w:rPr>
                <w:lang w:eastAsia="zh-CN"/>
              </w:rPr>
              <w:t>252/535</w:t>
            </w:r>
          </w:p>
        </w:tc>
        <w:tc>
          <w:tcPr>
            <w:tcW w:w="604" w:type="pct"/>
            <w:tcBorders>
              <w:top w:val="single" w:sz="4" w:space="0" w:color="auto"/>
              <w:left w:val="single" w:sz="4" w:space="0" w:color="auto"/>
              <w:bottom w:val="single" w:sz="4" w:space="0" w:color="auto"/>
              <w:right w:val="single" w:sz="4" w:space="0" w:color="auto"/>
            </w:tcBorders>
            <w:vAlign w:val="center"/>
            <w:hideMark/>
          </w:tcPr>
          <w:p w14:paraId="7B163914" w14:textId="77777777" w:rsidR="009270BC" w:rsidRPr="00E050AF" w:rsidRDefault="009270BC" w:rsidP="009270BC">
            <w:pPr>
              <w:pStyle w:val="TableText"/>
              <w:keepNext/>
              <w:keepLines/>
              <w:spacing w:line="256" w:lineRule="auto"/>
              <w:jc w:val="center"/>
            </w:pPr>
            <w:r w:rsidRPr="00E050AF">
              <w:rPr>
                <w:lang w:eastAsia="zh-CN"/>
              </w:rPr>
              <w:t>68/267</w:t>
            </w:r>
          </w:p>
        </w:tc>
        <w:tc>
          <w:tcPr>
            <w:tcW w:w="952" w:type="pct"/>
            <w:tcBorders>
              <w:top w:val="single" w:sz="4" w:space="0" w:color="auto"/>
              <w:left w:val="single" w:sz="4" w:space="0" w:color="auto"/>
              <w:bottom w:val="single" w:sz="4" w:space="0" w:color="auto"/>
              <w:right w:val="single" w:sz="4" w:space="0" w:color="auto"/>
            </w:tcBorders>
            <w:vAlign w:val="center"/>
          </w:tcPr>
          <w:p w14:paraId="1E98ACC1" w14:textId="77777777" w:rsidR="009270BC" w:rsidRPr="00E050AF" w:rsidRDefault="009270BC" w:rsidP="009270BC">
            <w:pPr>
              <w:pStyle w:val="TableText"/>
              <w:keepNext/>
              <w:keepLines/>
              <w:spacing w:line="256" w:lineRule="auto"/>
              <w:jc w:val="center"/>
              <w:rPr>
                <w:b/>
                <w:bCs/>
              </w:rPr>
            </w:pPr>
            <w:r w:rsidRPr="00E050AF">
              <w:rPr>
                <w:b/>
                <w:bCs/>
                <w:lang w:eastAsia="zh-CN"/>
              </w:rPr>
              <w:t>1.84 (1.48,2.32)</w:t>
            </w:r>
          </w:p>
        </w:tc>
        <w:tc>
          <w:tcPr>
            <w:tcW w:w="786" w:type="pct"/>
            <w:tcBorders>
              <w:top w:val="single" w:sz="4" w:space="0" w:color="auto"/>
              <w:left w:val="single" w:sz="4" w:space="0" w:color="auto"/>
              <w:bottom w:val="single" w:sz="4" w:space="0" w:color="auto"/>
              <w:right w:val="single" w:sz="4" w:space="0" w:color="auto"/>
            </w:tcBorders>
            <w:vAlign w:val="center"/>
            <w:hideMark/>
          </w:tcPr>
          <w:p w14:paraId="62281E96" w14:textId="77777777" w:rsidR="009270BC" w:rsidRPr="00E050AF" w:rsidRDefault="009270BC" w:rsidP="009270BC">
            <w:pPr>
              <w:pStyle w:val="TableText"/>
              <w:keepNext/>
              <w:keepLines/>
              <w:spacing w:line="256" w:lineRule="auto"/>
              <w:jc w:val="center"/>
            </w:pPr>
            <w:r w:rsidRPr="00E050AF">
              <w:t>47.1</w:t>
            </w:r>
          </w:p>
        </w:tc>
        <w:tc>
          <w:tcPr>
            <w:tcW w:w="721" w:type="pct"/>
            <w:tcBorders>
              <w:top w:val="single" w:sz="4" w:space="0" w:color="auto"/>
              <w:left w:val="single" w:sz="4" w:space="0" w:color="auto"/>
              <w:bottom w:val="single" w:sz="4" w:space="0" w:color="auto"/>
              <w:right w:val="single" w:sz="4" w:space="0" w:color="auto"/>
            </w:tcBorders>
            <w:vAlign w:val="center"/>
            <w:hideMark/>
          </w:tcPr>
          <w:p w14:paraId="382A3C5B" w14:textId="77777777" w:rsidR="009270BC" w:rsidRPr="00E050AF" w:rsidRDefault="009270BC" w:rsidP="009270BC">
            <w:pPr>
              <w:pStyle w:val="TableText"/>
              <w:keepNext/>
              <w:keepLines/>
              <w:spacing w:line="256" w:lineRule="auto"/>
              <w:jc w:val="center"/>
            </w:pPr>
            <w:r w:rsidRPr="00E050AF">
              <w:t>25.5</w:t>
            </w:r>
          </w:p>
        </w:tc>
        <w:tc>
          <w:tcPr>
            <w:tcW w:w="666" w:type="pct"/>
            <w:tcBorders>
              <w:top w:val="single" w:sz="4" w:space="0" w:color="auto"/>
              <w:left w:val="single" w:sz="4" w:space="0" w:color="auto"/>
              <w:bottom w:val="single" w:sz="4" w:space="0" w:color="auto"/>
              <w:right w:val="single" w:sz="4" w:space="0" w:color="auto"/>
            </w:tcBorders>
          </w:tcPr>
          <w:p w14:paraId="475A3D0F" w14:textId="77777777" w:rsidR="009270BC" w:rsidRPr="00E050AF" w:rsidRDefault="009270BC" w:rsidP="009270BC">
            <w:pPr>
              <w:pStyle w:val="TableText"/>
              <w:keepNext/>
              <w:keepLines/>
              <w:spacing w:line="256" w:lineRule="auto"/>
              <w:jc w:val="center"/>
            </w:pPr>
            <w:r w:rsidRPr="00E050AF">
              <w:t>21.6</w:t>
            </w:r>
          </w:p>
        </w:tc>
      </w:tr>
      <w:tr w:rsidR="009270BC" w:rsidRPr="00E050AF" w14:paraId="7E4B0A04" w14:textId="77777777" w:rsidTr="00707A54">
        <w:tc>
          <w:tcPr>
            <w:tcW w:w="668" w:type="pct"/>
            <w:tcBorders>
              <w:top w:val="single" w:sz="4" w:space="0" w:color="auto"/>
              <w:left w:val="single" w:sz="4" w:space="0" w:color="auto"/>
              <w:bottom w:val="single" w:sz="4" w:space="0" w:color="auto"/>
              <w:right w:val="single" w:sz="4" w:space="0" w:color="auto"/>
            </w:tcBorders>
            <w:hideMark/>
          </w:tcPr>
          <w:p w14:paraId="55AE3CBC" w14:textId="77777777" w:rsidR="009270BC" w:rsidRPr="00E050AF" w:rsidRDefault="009270BC" w:rsidP="009270BC">
            <w:pPr>
              <w:pStyle w:val="TableText"/>
              <w:keepNext/>
              <w:keepLines/>
              <w:spacing w:line="256" w:lineRule="auto"/>
            </w:pPr>
            <w:r w:rsidRPr="00E050AF">
              <w:t>Anaemia</w:t>
            </w:r>
          </w:p>
        </w:tc>
        <w:tc>
          <w:tcPr>
            <w:tcW w:w="603" w:type="pct"/>
            <w:tcBorders>
              <w:top w:val="single" w:sz="4" w:space="0" w:color="auto"/>
              <w:left w:val="single" w:sz="4" w:space="0" w:color="auto"/>
              <w:bottom w:val="single" w:sz="4" w:space="0" w:color="auto"/>
              <w:right w:val="single" w:sz="4" w:space="0" w:color="auto"/>
            </w:tcBorders>
            <w:vAlign w:val="center"/>
            <w:hideMark/>
          </w:tcPr>
          <w:p w14:paraId="185CD822" w14:textId="77777777" w:rsidR="009270BC" w:rsidRPr="00E050AF" w:rsidRDefault="009270BC" w:rsidP="009270BC">
            <w:pPr>
              <w:pStyle w:val="TableText"/>
              <w:keepNext/>
              <w:keepLines/>
              <w:spacing w:line="256" w:lineRule="auto"/>
              <w:jc w:val="center"/>
            </w:pPr>
            <w:r w:rsidRPr="00E050AF">
              <w:rPr>
                <w:lang w:eastAsia="zh-CN"/>
              </w:rPr>
              <w:t>194/535</w:t>
            </w:r>
          </w:p>
        </w:tc>
        <w:tc>
          <w:tcPr>
            <w:tcW w:w="604" w:type="pct"/>
            <w:tcBorders>
              <w:top w:val="single" w:sz="4" w:space="0" w:color="auto"/>
              <w:left w:val="single" w:sz="4" w:space="0" w:color="auto"/>
              <w:bottom w:val="single" w:sz="4" w:space="0" w:color="auto"/>
              <w:right w:val="single" w:sz="4" w:space="0" w:color="auto"/>
            </w:tcBorders>
            <w:vAlign w:val="center"/>
            <w:hideMark/>
          </w:tcPr>
          <w:p w14:paraId="3CDC500B" w14:textId="77777777" w:rsidR="009270BC" w:rsidRPr="00E050AF" w:rsidRDefault="009270BC" w:rsidP="009270BC">
            <w:pPr>
              <w:pStyle w:val="TableText"/>
              <w:keepNext/>
              <w:keepLines/>
              <w:spacing w:line="256" w:lineRule="auto"/>
              <w:jc w:val="center"/>
            </w:pPr>
            <w:r w:rsidRPr="00E050AF">
              <w:rPr>
                <w:lang w:eastAsia="zh-CN"/>
              </w:rPr>
              <w:t>15/267</w:t>
            </w:r>
          </w:p>
        </w:tc>
        <w:tc>
          <w:tcPr>
            <w:tcW w:w="952" w:type="pct"/>
            <w:tcBorders>
              <w:top w:val="single" w:sz="4" w:space="0" w:color="auto"/>
              <w:left w:val="single" w:sz="4" w:space="0" w:color="auto"/>
              <w:bottom w:val="single" w:sz="4" w:space="0" w:color="auto"/>
              <w:right w:val="single" w:sz="4" w:space="0" w:color="auto"/>
            </w:tcBorders>
            <w:vAlign w:val="center"/>
          </w:tcPr>
          <w:p w14:paraId="6AF7789B" w14:textId="77777777" w:rsidR="009270BC" w:rsidRPr="00E050AF" w:rsidRDefault="009270BC" w:rsidP="009270BC">
            <w:pPr>
              <w:pStyle w:val="TableText"/>
              <w:keepNext/>
              <w:keepLines/>
              <w:spacing w:line="256" w:lineRule="auto"/>
              <w:jc w:val="center"/>
              <w:rPr>
                <w:b/>
                <w:bCs/>
              </w:rPr>
            </w:pPr>
            <w:r w:rsidRPr="00E050AF">
              <w:rPr>
                <w:b/>
                <w:bCs/>
                <w:lang w:eastAsia="zh-CN"/>
              </w:rPr>
              <w:t>6.45 (3.95,10.7)</w:t>
            </w:r>
          </w:p>
        </w:tc>
        <w:tc>
          <w:tcPr>
            <w:tcW w:w="786" w:type="pct"/>
            <w:tcBorders>
              <w:top w:val="single" w:sz="4" w:space="0" w:color="auto"/>
              <w:left w:val="single" w:sz="4" w:space="0" w:color="auto"/>
              <w:bottom w:val="single" w:sz="4" w:space="0" w:color="auto"/>
              <w:right w:val="single" w:sz="4" w:space="0" w:color="auto"/>
            </w:tcBorders>
            <w:vAlign w:val="center"/>
            <w:hideMark/>
          </w:tcPr>
          <w:p w14:paraId="32DABE82" w14:textId="77777777" w:rsidR="009270BC" w:rsidRPr="00E050AF" w:rsidRDefault="009270BC" w:rsidP="009270BC">
            <w:pPr>
              <w:pStyle w:val="TableText"/>
              <w:keepNext/>
              <w:keepLines/>
              <w:spacing w:line="256" w:lineRule="auto"/>
              <w:jc w:val="center"/>
            </w:pPr>
            <w:r w:rsidRPr="00E050AF">
              <w:t>36.3</w:t>
            </w:r>
          </w:p>
        </w:tc>
        <w:tc>
          <w:tcPr>
            <w:tcW w:w="721" w:type="pct"/>
            <w:tcBorders>
              <w:top w:val="single" w:sz="4" w:space="0" w:color="auto"/>
              <w:left w:val="single" w:sz="4" w:space="0" w:color="auto"/>
              <w:bottom w:val="single" w:sz="4" w:space="0" w:color="auto"/>
              <w:right w:val="single" w:sz="4" w:space="0" w:color="auto"/>
            </w:tcBorders>
            <w:vAlign w:val="center"/>
            <w:hideMark/>
          </w:tcPr>
          <w:p w14:paraId="0CCB3FCC" w14:textId="77777777" w:rsidR="009270BC" w:rsidRPr="00E050AF" w:rsidRDefault="009270BC" w:rsidP="009270BC">
            <w:pPr>
              <w:pStyle w:val="TableText"/>
              <w:keepNext/>
              <w:keepLines/>
              <w:spacing w:line="256" w:lineRule="auto"/>
              <w:jc w:val="center"/>
            </w:pPr>
            <w:r w:rsidRPr="00E050AF">
              <w:t>5.6</w:t>
            </w:r>
          </w:p>
        </w:tc>
        <w:tc>
          <w:tcPr>
            <w:tcW w:w="666" w:type="pct"/>
            <w:tcBorders>
              <w:top w:val="single" w:sz="4" w:space="0" w:color="auto"/>
              <w:left w:val="single" w:sz="4" w:space="0" w:color="auto"/>
              <w:bottom w:val="single" w:sz="4" w:space="0" w:color="auto"/>
              <w:right w:val="single" w:sz="4" w:space="0" w:color="auto"/>
            </w:tcBorders>
          </w:tcPr>
          <w:p w14:paraId="6C5B1BEB" w14:textId="77777777" w:rsidR="009270BC" w:rsidRPr="00E050AF" w:rsidRDefault="009270BC" w:rsidP="009270BC">
            <w:pPr>
              <w:pStyle w:val="TableText"/>
              <w:keepNext/>
              <w:keepLines/>
              <w:spacing w:line="256" w:lineRule="auto"/>
              <w:jc w:val="center"/>
            </w:pPr>
            <w:r w:rsidRPr="00E050AF">
              <w:t>30.6</w:t>
            </w:r>
          </w:p>
        </w:tc>
      </w:tr>
      <w:tr w:rsidR="009270BC" w:rsidRPr="00E050AF" w14:paraId="42437A95" w14:textId="77777777" w:rsidTr="00707A54">
        <w:tc>
          <w:tcPr>
            <w:tcW w:w="668" w:type="pct"/>
            <w:tcBorders>
              <w:top w:val="single" w:sz="4" w:space="0" w:color="auto"/>
              <w:left w:val="single" w:sz="4" w:space="0" w:color="auto"/>
              <w:bottom w:val="single" w:sz="4" w:space="0" w:color="auto"/>
              <w:right w:val="single" w:sz="4" w:space="0" w:color="auto"/>
            </w:tcBorders>
            <w:hideMark/>
          </w:tcPr>
          <w:p w14:paraId="1FCC4134" w14:textId="77777777" w:rsidR="009270BC" w:rsidRPr="00E050AF" w:rsidRDefault="009270BC" w:rsidP="009270BC">
            <w:pPr>
              <w:pStyle w:val="TableText"/>
              <w:keepNext/>
              <w:keepLines/>
              <w:spacing w:line="256" w:lineRule="auto"/>
            </w:pPr>
            <w:r w:rsidRPr="00E050AF">
              <w:t>Lymphopenia</w:t>
            </w:r>
          </w:p>
        </w:tc>
        <w:tc>
          <w:tcPr>
            <w:tcW w:w="603" w:type="pct"/>
            <w:tcBorders>
              <w:top w:val="single" w:sz="4" w:space="0" w:color="auto"/>
              <w:left w:val="single" w:sz="4" w:space="0" w:color="auto"/>
              <w:bottom w:val="single" w:sz="4" w:space="0" w:color="auto"/>
              <w:right w:val="single" w:sz="4" w:space="0" w:color="auto"/>
            </w:tcBorders>
            <w:vAlign w:val="center"/>
            <w:hideMark/>
          </w:tcPr>
          <w:p w14:paraId="79EE2434" w14:textId="77777777" w:rsidR="009270BC" w:rsidRPr="00E050AF" w:rsidRDefault="009270BC" w:rsidP="009270BC">
            <w:pPr>
              <w:pStyle w:val="TableText"/>
              <w:keepNext/>
              <w:keepLines/>
              <w:spacing w:line="256" w:lineRule="auto"/>
              <w:jc w:val="center"/>
            </w:pPr>
            <w:r w:rsidRPr="00E050AF">
              <w:rPr>
                <w:lang w:eastAsia="zh-CN"/>
              </w:rPr>
              <w:t>75/535</w:t>
            </w:r>
          </w:p>
        </w:tc>
        <w:tc>
          <w:tcPr>
            <w:tcW w:w="604" w:type="pct"/>
            <w:tcBorders>
              <w:top w:val="single" w:sz="4" w:space="0" w:color="auto"/>
              <w:left w:val="single" w:sz="4" w:space="0" w:color="auto"/>
              <w:bottom w:val="single" w:sz="4" w:space="0" w:color="auto"/>
              <w:right w:val="single" w:sz="4" w:space="0" w:color="auto"/>
            </w:tcBorders>
            <w:vAlign w:val="center"/>
            <w:hideMark/>
          </w:tcPr>
          <w:p w14:paraId="3FEFE78F" w14:textId="77777777" w:rsidR="009270BC" w:rsidRPr="00E050AF" w:rsidRDefault="009270BC" w:rsidP="009270BC">
            <w:pPr>
              <w:pStyle w:val="TableText"/>
              <w:keepNext/>
              <w:keepLines/>
              <w:spacing w:line="256" w:lineRule="auto"/>
              <w:jc w:val="center"/>
            </w:pPr>
            <w:r w:rsidRPr="00E050AF">
              <w:rPr>
                <w:lang w:eastAsia="zh-CN"/>
              </w:rPr>
              <w:t>13/267</w:t>
            </w:r>
          </w:p>
        </w:tc>
        <w:tc>
          <w:tcPr>
            <w:tcW w:w="952" w:type="pct"/>
            <w:tcBorders>
              <w:top w:val="single" w:sz="4" w:space="0" w:color="auto"/>
              <w:left w:val="single" w:sz="4" w:space="0" w:color="auto"/>
              <w:bottom w:val="single" w:sz="4" w:space="0" w:color="auto"/>
              <w:right w:val="single" w:sz="4" w:space="0" w:color="auto"/>
            </w:tcBorders>
            <w:vAlign w:val="center"/>
          </w:tcPr>
          <w:p w14:paraId="71933EC6" w14:textId="77777777" w:rsidR="009270BC" w:rsidRPr="00E050AF" w:rsidRDefault="009270BC" w:rsidP="009270BC">
            <w:pPr>
              <w:pStyle w:val="TableText"/>
              <w:keepNext/>
              <w:keepLines/>
              <w:spacing w:line="256" w:lineRule="auto"/>
              <w:jc w:val="center"/>
              <w:rPr>
                <w:b/>
                <w:bCs/>
              </w:rPr>
            </w:pPr>
            <w:r w:rsidRPr="00E050AF">
              <w:rPr>
                <w:b/>
                <w:bCs/>
                <w:lang w:eastAsia="zh-CN"/>
              </w:rPr>
              <w:t>2.88 (1.65,5.08)</w:t>
            </w:r>
          </w:p>
        </w:tc>
        <w:tc>
          <w:tcPr>
            <w:tcW w:w="786" w:type="pct"/>
            <w:tcBorders>
              <w:top w:val="single" w:sz="4" w:space="0" w:color="auto"/>
              <w:left w:val="single" w:sz="4" w:space="0" w:color="auto"/>
              <w:bottom w:val="single" w:sz="4" w:space="0" w:color="auto"/>
              <w:right w:val="single" w:sz="4" w:space="0" w:color="auto"/>
            </w:tcBorders>
            <w:vAlign w:val="center"/>
            <w:hideMark/>
          </w:tcPr>
          <w:p w14:paraId="38DC2C5D" w14:textId="77777777" w:rsidR="009270BC" w:rsidRPr="00E050AF" w:rsidRDefault="009270BC" w:rsidP="009270BC">
            <w:pPr>
              <w:pStyle w:val="TableText"/>
              <w:keepNext/>
              <w:keepLines/>
              <w:spacing w:line="256" w:lineRule="auto"/>
              <w:jc w:val="center"/>
            </w:pPr>
            <w:r w:rsidRPr="00E050AF">
              <w:t>14.0</w:t>
            </w:r>
          </w:p>
        </w:tc>
        <w:tc>
          <w:tcPr>
            <w:tcW w:w="721" w:type="pct"/>
            <w:tcBorders>
              <w:top w:val="single" w:sz="4" w:space="0" w:color="auto"/>
              <w:left w:val="single" w:sz="4" w:space="0" w:color="auto"/>
              <w:bottom w:val="single" w:sz="4" w:space="0" w:color="auto"/>
              <w:right w:val="single" w:sz="4" w:space="0" w:color="auto"/>
            </w:tcBorders>
            <w:vAlign w:val="center"/>
            <w:hideMark/>
          </w:tcPr>
          <w:p w14:paraId="719EBE21" w14:textId="77777777" w:rsidR="009270BC" w:rsidRPr="00E050AF" w:rsidRDefault="009270BC" w:rsidP="009270BC">
            <w:pPr>
              <w:pStyle w:val="TableText"/>
              <w:keepNext/>
              <w:keepLines/>
              <w:spacing w:line="256" w:lineRule="auto"/>
              <w:jc w:val="center"/>
            </w:pPr>
            <w:r w:rsidRPr="00E050AF">
              <w:t>4.9</w:t>
            </w:r>
          </w:p>
        </w:tc>
        <w:tc>
          <w:tcPr>
            <w:tcW w:w="666" w:type="pct"/>
            <w:tcBorders>
              <w:top w:val="single" w:sz="4" w:space="0" w:color="auto"/>
              <w:left w:val="single" w:sz="4" w:space="0" w:color="auto"/>
              <w:bottom w:val="single" w:sz="4" w:space="0" w:color="auto"/>
              <w:right w:val="single" w:sz="4" w:space="0" w:color="auto"/>
            </w:tcBorders>
          </w:tcPr>
          <w:p w14:paraId="71F0E9BA" w14:textId="77777777" w:rsidR="009270BC" w:rsidRPr="00E050AF" w:rsidRDefault="009270BC" w:rsidP="009270BC">
            <w:pPr>
              <w:pStyle w:val="TableText"/>
              <w:keepNext/>
              <w:keepLines/>
              <w:spacing w:line="256" w:lineRule="auto"/>
              <w:jc w:val="center"/>
            </w:pPr>
            <w:r w:rsidRPr="00E050AF">
              <w:t>9.2</w:t>
            </w:r>
          </w:p>
        </w:tc>
      </w:tr>
      <w:tr w:rsidR="009270BC" w:rsidRPr="00E050AF" w14:paraId="7D5A5741" w14:textId="77777777" w:rsidTr="00707A54">
        <w:tc>
          <w:tcPr>
            <w:tcW w:w="668" w:type="pct"/>
            <w:tcBorders>
              <w:top w:val="single" w:sz="4" w:space="0" w:color="auto"/>
              <w:left w:val="single" w:sz="4" w:space="0" w:color="auto"/>
              <w:bottom w:val="single" w:sz="4" w:space="0" w:color="auto"/>
              <w:right w:val="single" w:sz="4" w:space="0" w:color="auto"/>
            </w:tcBorders>
          </w:tcPr>
          <w:p w14:paraId="31C28344" w14:textId="77777777" w:rsidR="009270BC" w:rsidRPr="00E050AF" w:rsidRDefault="009270BC" w:rsidP="009270BC">
            <w:pPr>
              <w:pStyle w:val="TableText"/>
              <w:keepNext/>
              <w:keepLines/>
              <w:spacing w:line="256" w:lineRule="auto"/>
            </w:pPr>
            <w:r w:rsidRPr="00E050AF">
              <w:rPr>
                <w:lang w:eastAsia="zh-CN"/>
              </w:rPr>
              <w:t>Leukopenia</w:t>
            </w:r>
          </w:p>
        </w:tc>
        <w:tc>
          <w:tcPr>
            <w:tcW w:w="603" w:type="pct"/>
            <w:tcBorders>
              <w:top w:val="single" w:sz="4" w:space="0" w:color="auto"/>
              <w:left w:val="single" w:sz="4" w:space="0" w:color="auto"/>
              <w:bottom w:val="single" w:sz="4" w:space="0" w:color="auto"/>
              <w:right w:val="single" w:sz="4" w:space="0" w:color="auto"/>
            </w:tcBorders>
            <w:vAlign w:val="center"/>
          </w:tcPr>
          <w:p w14:paraId="0E329914" w14:textId="77777777" w:rsidR="009270BC" w:rsidRPr="00E050AF" w:rsidRDefault="009270BC" w:rsidP="009270BC">
            <w:pPr>
              <w:pStyle w:val="TableText"/>
              <w:keepNext/>
              <w:keepLines/>
              <w:spacing w:line="256" w:lineRule="auto"/>
              <w:jc w:val="center"/>
              <w:rPr>
                <w:lang w:eastAsia="zh-CN"/>
              </w:rPr>
            </w:pPr>
            <w:r w:rsidRPr="00E050AF">
              <w:rPr>
                <w:lang w:eastAsia="zh-CN"/>
              </w:rPr>
              <w:t>72/535</w:t>
            </w:r>
          </w:p>
        </w:tc>
        <w:tc>
          <w:tcPr>
            <w:tcW w:w="604" w:type="pct"/>
            <w:tcBorders>
              <w:top w:val="single" w:sz="4" w:space="0" w:color="auto"/>
              <w:left w:val="single" w:sz="4" w:space="0" w:color="auto"/>
              <w:bottom w:val="single" w:sz="4" w:space="0" w:color="auto"/>
              <w:right w:val="single" w:sz="4" w:space="0" w:color="auto"/>
            </w:tcBorders>
            <w:vAlign w:val="center"/>
          </w:tcPr>
          <w:p w14:paraId="462751C8" w14:textId="77777777" w:rsidR="009270BC" w:rsidRPr="00E050AF" w:rsidRDefault="009270BC" w:rsidP="009270BC">
            <w:pPr>
              <w:pStyle w:val="TableText"/>
              <w:keepNext/>
              <w:keepLines/>
              <w:spacing w:line="256" w:lineRule="auto"/>
              <w:jc w:val="center"/>
              <w:rPr>
                <w:lang w:eastAsia="zh-CN"/>
              </w:rPr>
            </w:pPr>
            <w:r w:rsidRPr="00E050AF">
              <w:rPr>
                <w:lang w:eastAsia="zh-CN"/>
              </w:rPr>
              <w:t>15 /267</w:t>
            </w:r>
          </w:p>
        </w:tc>
        <w:tc>
          <w:tcPr>
            <w:tcW w:w="952" w:type="pct"/>
            <w:tcBorders>
              <w:top w:val="single" w:sz="4" w:space="0" w:color="auto"/>
              <w:left w:val="single" w:sz="4" w:space="0" w:color="auto"/>
              <w:bottom w:val="single" w:sz="4" w:space="0" w:color="auto"/>
              <w:right w:val="single" w:sz="4" w:space="0" w:color="auto"/>
            </w:tcBorders>
            <w:vAlign w:val="center"/>
          </w:tcPr>
          <w:p w14:paraId="6D79445D" w14:textId="77777777" w:rsidR="009270BC" w:rsidRPr="00E050AF" w:rsidRDefault="009270BC" w:rsidP="009270BC">
            <w:pPr>
              <w:pStyle w:val="TableText"/>
              <w:keepNext/>
              <w:keepLines/>
              <w:spacing w:line="256" w:lineRule="auto"/>
              <w:jc w:val="center"/>
              <w:rPr>
                <w:b/>
                <w:bCs/>
                <w:lang w:eastAsia="zh-CN"/>
              </w:rPr>
            </w:pPr>
            <w:r w:rsidRPr="00E050AF">
              <w:rPr>
                <w:b/>
                <w:bCs/>
                <w:lang w:eastAsia="zh-CN"/>
              </w:rPr>
              <w:t>2.40 (1.42,4.09)</w:t>
            </w:r>
          </w:p>
        </w:tc>
        <w:tc>
          <w:tcPr>
            <w:tcW w:w="786" w:type="pct"/>
            <w:tcBorders>
              <w:top w:val="single" w:sz="4" w:space="0" w:color="auto"/>
              <w:left w:val="single" w:sz="4" w:space="0" w:color="auto"/>
              <w:bottom w:val="single" w:sz="4" w:space="0" w:color="auto"/>
              <w:right w:val="single" w:sz="4" w:space="0" w:color="auto"/>
            </w:tcBorders>
            <w:vAlign w:val="center"/>
          </w:tcPr>
          <w:p w14:paraId="60409467" w14:textId="77777777" w:rsidR="009270BC" w:rsidRPr="00E050AF" w:rsidRDefault="009270BC" w:rsidP="009270BC">
            <w:pPr>
              <w:pStyle w:val="TableText"/>
              <w:keepNext/>
              <w:keepLines/>
              <w:spacing w:line="256" w:lineRule="auto"/>
              <w:jc w:val="center"/>
            </w:pPr>
            <w:r w:rsidRPr="00E050AF">
              <w:t>13.5</w:t>
            </w:r>
          </w:p>
        </w:tc>
        <w:tc>
          <w:tcPr>
            <w:tcW w:w="721" w:type="pct"/>
            <w:tcBorders>
              <w:top w:val="single" w:sz="4" w:space="0" w:color="auto"/>
              <w:left w:val="single" w:sz="4" w:space="0" w:color="auto"/>
              <w:bottom w:val="single" w:sz="4" w:space="0" w:color="auto"/>
              <w:right w:val="single" w:sz="4" w:space="0" w:color="auto"/>
            </w:tcBorders>
            <w:vAlign w:val="center"/>
          </w:tcPr>
          <w:p w14:paraId="288A0D8F" w14:textId="77777777" w:rsidR="009270BC" w:rsidRPr="00E050AF" w:rsidRDefault="009270BC" w:rsidP="009270BC">
            <w:pPr>
              <w:pStyle w:val="TableText"/>
              <w:keepNext/>
              <w:keepLines/>
              <w:spacing w:line="256" w:lineRule="auto"/>
              <w:jc w:val="center"/>
            </w:pPr>
            <w:r w:rsidRPr="00E050AF">
              <w:t>5.6</w:t>
            </w:r>
          </w:p>
        </w:tc>
        <w:tc>
          <w:tcPr>
            <w:tcW w:w="666" w:type="pct"/>
            <w:tcBorders>
              <w:top w:val="single" w:sz="4" w:space="0" w:color="auto"/>
              <w:left w:val="single" w:sz="4" w:space="0" w:color="auto"/>
              <w:bottom w:val="single" w:sz="4" w:space="0" w:color="auto"/>
              <w:right w:val="single" w:sz="4" w:space="0" w:color="auto"/>
            </w:tcBorders>
          </w:tcPr>
          <w:p w14:paraId="5336EE21" w14:textId="77777777" w:rsidR="009270BC" w:rsidRPr="00E050AF" w:rsidRDefault="009270BC" w:rsidP="009270BC">
            <w:pPr>
              <w:pStyle w:val="TableText"/>
              <w:keepNext/>
              <w:keepLines/>
              <w:spacing w:line="256" w:lineRule="auto"/>
              <w:jc w:val="center"/>
            </w:pPr>
            <w:r w:rsidRPr="00E050AF">
              <w:t>7.8</w:t>
            </w:r>
          </w:p>
        </w:tc>
      </w:tr>
    </w:tbl>
    <w:p w14:paraId="158BA62C" w14:textId="390413A6" w:rsidR="005A75E4" w:rsidRPr="00E050AF" w:rsidRDefault="001D4824" w:rsidP="001D4824">
      <w:pPr>
        <w:pStyle w:val="TableFooter"/>
        <w:keepNext/>
      </w:pPr>
      <w:r w:rsidRPr="00E050AF">
        <w:rPr>
          <w:szCs w:val="18"/>
          <w:lang w:eastAsia="zh-CN"/>
        </w:rPr>
        <w:t xml:space="preserve">AE = adverse event; </w:t>
      </w:r>
      <w:r w:rsidR="00CF529A" w:rsidRPr="00E050AF">
        <w:rPr>
          <w:i/>
          <w:iCs/>
        </w:rPr>
        <w:t>BRCA</w:t>
      </w:r>
      <w:r w:rsidR="005A75E4" w:rsidRPr="00E050AF">
        <w:t>wt = breast cancer gene wild type; CTCAE = Common Terminology Criteria for Adverse Events; DC</w:t>
      </w:r>
      <w:r w:rsidR="00750ABD" w:rsidRPr="00E050AF">
        <w:t>O</w:t>
      </w:r>
      <w:r w:rsidR="005A75E4" w:rsidRPr="00E050AF">
        <w:t xml:space="preserve">1 = data cut off 1; FAS = full analysis set; HR = hazard ratio; HRD = homologous recombination deficiency; NA = not applicable; NR =not reported; nr = not reached; NS = not significant; </w:t>
      </w:r>
      <w:r w:rsidRPr="00E050AF">
        <w:t xml:space="preserve">PFS = progression free survival; OS = overall survival; RD = risk difference; </w:t>
      </w:r>
      <w:r w:rsidR="005A75E4" w:rsidRPr="00E050AF">
        <w:t xml:space="preserve">RR = </w:t>
      </w:r>
      <w:r w:rsidRPr="00E050AF">
        <w:t>relative risk</w:t>
      </w:r>
    </w:p>
    <w:p w14:paraId="2972B3B0" w14:textId="77777777" w:rsidR="005A75E4" w:rsidRPr="00E050AF" w:rsidRDefault="005A75E4" w:rsidP="009270BC">
      <w:pPr>
        <w:pStyle w:val="TableFooter"/>
        <w:keepNext/>
        <w:keepLines/>
      </w:pPr>
      <w:r w:rsidRPr="00E050AF">
        <w:rPr>
          <w:sz w:val="20"/>
          <w:vertAlign w:val="superscript"/>
        </w:rPr>
        <w:t>a</w:t>
      </w:r>
      <w:r w:rsidRPr="00E050AF">
        <w:t xml:space="preserve"> It was unclear how median OS could have been reached in the bevacizumab plus placebo arm given that fewer than 50% of patients had died, and the reported median OS in the bevacizumab plus placebo arm was likely unreliable.</w:t>
      </w:r>
    </w:p>
    <w:p w14:paraId="30642847" w14:textId="24FEFD22" w:rsidR="005A75E4" w:rsidRPr="00E050AF" w:rsidRDefault="005A75E4" w:rsidP="00FC3969">
      <w:pPr>
        <w:pStyle w:val="TableFooter"/>
      </w:pPr>
      <w:r w:rsidRPr="00E050AF">
        <w:t>Source: Tables 2.83, 2.84, 2.9, pages 181, 182, 189 of the submission, Tables 2500.1 and 2501.2.1 PAOLA CSR DC</w:t>
      </w:r>
      <w:r w:rsidR="00750ABD" w:rsidRPr="00E050AF">
        <w:t>O</w:t>
      </w:r>
      <w:r w:rsidRPr="00E050AF">
        <w:t>2 (data provided by sponsor during evaluation).</w:t>
      </w:r>
    </w:p>
    <w:p w14:paraId="388D01F0" w14:textId="7239736A" w:rsidR="00AB43EA" w:rsidRPr="00E050AF" w:rsidRDefault="00AB43EA" w:rsidP="009D3CDF">
      <w:pPr>
        <w:pStyle w:val="ListParagraph"/>
        <w:numPr>
          <w:ilvl w:val="4"/>
          <w:numId w:val="8"/>
        </w:numPr>
        <w:rPr>
          <w:color w:val="auto"/>
        </w:rPr>
      </w:pPr>
      <w:r w:rsidRPr="00E050AF">
        <w:t xml:space="preserve">On the basis of direct evidence presented by the submission, for every 100 patients with HRD positive </w:t>
      </w:r>
      <w:r w:rsidR="00CF529A" w:rsidRPr="00E050AF">
        <w:rPr>
          <w:i/>
          <w:iCs/>
        </w:rPr>
        <w:t>BRCA</w:t>
      </w:r>
      <w:r w:rsidRPr="00E050AF">
        <w:t xml:space="preserve">wt </w:t>
      </w:r>
      <w:r w:rsidR="000D37E7" w:rsidRPr="00E050AF">
        <w:t>HGEOC</w:t>
      </w:r>
      <w:r w:rsidRPr="00E050AF">
        <w:t xml:space="preserve"> treated with olap</w:t>
      </w:r>
      <w:r w:rsidR="002A4408" w:rsidRPr="00E050AF">
        <w:t>a</w:t>
      </w:r>
      <w:r w:rsidRPr="00E050AF">
        <w:t>rib plus bevacizumab in comparison with olap</w:t>
      </w:r>
      <w:r w:rsidR="002A4408" w:rsidRPr="00E050AF">
        <w:t>a</w:t>
      </w:r>
      <w:r w:rsidRPr="00E050AF">
        <w:t xml:space="preserve">rib plus </w:t>
      </w:r>
      <w:r w:rsidRPr="00E050AF">
        <w:rPr>
          <w:color w:val="auto"/>
        </w:rPr>
        <w:t>bevacizumab:</w:t>
      </w:r>
    </w:p>
    <w:p w14:paraId="14902962" w14:textId="54EEE366" w:rsidR="00AB43EA" w:rsidRPr="00E050AF" w:rsidRDefault="00AB43EA" w:rsidP="003C7731">
      <w:pPr>
        <w:pStyle w:val="ListParagraph"/>
        <w:numPr>
          <w:ilvl w:val="0"/>
          <w:numId w:val="27"/>
        </w:numPr>
        <w:spacing w:before="0" w:after="120"/>
      </w:pPr>
      <w:r w:rsidRPr="00E050AF">
        <w:t>Approximately 2</w:t>
      </w:r>
      <w:r w:rsidR="00313DA6" w:rsidRPr="00E050AF">
        <w:t>9</w:t>
      </w:r>
      <w:r w:rsidRPr="00E050AF">
        <w:t xml:space="preserve"> </w:t>
      </w:r>
      <w:r w:rsidR="00F040CA" w:rsidRPr="00E050AF">
        <w:t xml:space="preserve">fewer </w:t>
      </w:r>
      <w:r w:rsidRPr="00E050AF">
        <w:t xml:space="preserve">patients will </w:t>
      </w:r>
      <w:r w:rsidR="00F040CA" w:rsidRPr="00E050AF">
        <w:t xml:space="preserve">experience </w:t>
      </w:r>
      <w:r w:rsidRPr="00E050AF">
        <w:t>progression</w:t>
      </w:r>
      <w:r w:rsidR="00F040CA" w:rsidRPr="00E050AF">
        <w:t xml:space="preserve"> or death after </w:t>
      </w:r>
      <w:r w:rsidRPr="00E050AF">
        <w:t xml:space="preserve">approximately </w:t>
      </w:r>
      <w:r w:rsidR="00C0766F" w:rsidRPr="00E050AF">
        <w:t>36</w:t>
      </w:r>
      <w:r w:rsidRPr="00E050AF">
        <w:t xml:space="preserve"> months, however, there would be no demonstrated difference in overall survival after 38 months.</w:t>
      </w:r>
    </w:p>
    <w:p w14:paraId="79905C3B" w14:textId="0BB5DC15" w:rsidR="00AB43EA" w:rsidRPr="00E050AF" w:rsidRDefault="00AB43EA" w:rsidP="003C7731">
      <w:pPr>
        <w:pStyle w:val="ListParagraph"/>
        <w:numPr>
          <w:ilvl w:val="0"/>
          <w:numId w:val="27"/>
        </w:numPr>
        <w:spacing w:before="0" w:after="120"/>
      </w:pPr>
      <w:r w:rsidRPr="00E050AF">
        <w:lastRenderedPageBreak/>
        <w:t xml:space="preserve">Approximately </w:t>
      </w:r>
      <w:r w:rsidR="00C0766F" w:rsidRPr="00E050AF">
        <w:t>32</w:t>
      </w:r>
      <w:r w:rsidRPr="00E050AF">
        <w:t xml:space="preserve"> additional patients would </w:t>
      </w:r>
      <w:r w:rsidR="00C0766F" w:rsidRPr="00E050AF">
        <w:t>experience nausea</w:t>
      </w:r>
      <w:r w:rsidRPr="00E050AF">
        <w:t>.</w:t>
      </w:r>
    </w:p>
    <w:p w14:paraId="322F3626" w14:textId="1B12FCDF" w:rsidR="00AB43EA" w:rsidRPr="00E050AF" w:rsidRDefault="00AB43EA" w:rsidP="003C7731">
      <w:pPr>
        <w:pStyle w:val="ListParagraph"/>
        <w:numPr>
          <w:ilvl w:val="0"/>
          <w:numId w:val="27"/>
        </w:numPr>
        <w:spacing w:before="0" w:after="120"/>
      </w:pPr>
      <w:r w:rsidRPr="00E050AF">
        <w:t>Approximately 1</w:t>
      </w:r>
      <w:r w:rsidR="00C0766F" w:rsidRPr="00E050AF">
        <w:t>2</w:t>
      </w:r>
      <w:r w:rsidRPr="00E050AF">
        <w:t xml:space="preserve"> </w:t>
      </w:r>
      <w:r w:rsidR="00C0766F" w:rsidRPr="00E050AF">
        <w:t xml:space="preserve">additional </w:t>
      </w:r>
      <w:r w:rsidRPr="00E050AF">
        <w:t xml:space="preserve">patients would </w:t>
      </w:r>
      <w:r w:rsidR="00C0766F" w:rsidRPr="00E050AF">
        <w:t>experience vomiting</w:t>
      </w:r>
      <w:r w:rsidRPr="00E050AF">
        <w:t>.</w:t>
      </w:r>
    </w:p>
    <w:p w14:paraId="583D2D3D" w14:textId="77CD28DF" w:rsidR="00AB43EA" w:rsidRPr="00E050AF" w:rsidRDefault="00AB43EA" w:rsidP="003C7731">
      <w:pPr>
        <w:pStyle w:val="ListParagraph"/>
        <w:numPr>
          <w:ilvl w:val="0"/>
          <w:numId w:val="27"/>
        </w:numPr>
        <w:spacing w:before="0" w:after="120"/>
      </w:pPr>
      <w:r w:rsidRPr="00E050AF">
        <w:t xml:space="preserve">Approximately </w:t>
      </w:r>
      <w:r w:rsidR="00C0766F" w:rsidRPr="00E050AF">
        <w:t>22</w:t>
      </w:r>
      <w:r w:rsidRPr="00E050AF">
        <w:t xml:space="preserve"> additional patients would </w:t>
      </w:r>
      <w:r w:rsidR="00C0766F" w:rsidRPr="00E050AF">
        <w:t>experience fatigue</w:t>
      </w:r>
      <w:r w:rsidRPr="00E050AF">
        <w:t>.</w:t>
      </w:r>
    </w:p>
    <w:p w14:paraId="3DFD6A68" w14:textId="35DFB465" w:rsidR="00AB43EA" w:rsidRPr="00E050AF" w:rsidRDefault="00AB43EA" w:rsidP="003C7731">
      <w:pPr>
        <w:pStyle w:val="ListParagraph"/>
        <w:numPr>
          <w:ilvl w:val="0"/>
          <w:numId w:val="27"/>
        </w:numPr>
        <w:spacing w:before="0" w:after="120"/>
      </w:pPr>
      <w:r w:rsidRPr="00E050AF">
        <w:t xml:space="preserve">Approximately </w:t>
      </w:r>
      <w:r w:rsidR="00C0766F" w:rsidRPr="00E050AF">
        <w:t>31</w:t>
      </w:r>
      <w:r w:rsidRPr="00E050AF">
        <w:t xml:space="preserve"> additional patients would have </w:t>
      </w:r>
      <w:r w:rsidR="00C0766F" w:rsidRPr="00E050AF">
        <w:t>anaemia</w:t>
      </w:r>
      <w:r w:rsidRPr="00E050AF">
        <w:t>.</w:t>
      </w:r>
    </w:p>
    <w:p w14:paraId="621856F0" w14:textId="1DC1AEF4" w:rsidR="00C0766F" w:rsidRPr="00E050AF" w:rsidRDefault="00C0766F" w:rsidP="003C7731">
      <w:pPr>
        <w:pStyle w:val="ListParagraph"/>
        <w:numPr>
          <w:ilvl w:val="0"/>
          <w:numId w:val="27"/>
        </w:numPr>
        <w:spacing w:before="0" w:after="120"/>
      </w:pPr>
      <w:r w:rsidRPr="00E050AF">
        <w:t>Approximately 9 additional patients would have lymphopenia.</w:t>
      </w:r>
    </w:p>
    <w:p w14:paraId="2A6192D8" w14:textId="12826BD7" w:rsidR="00C0766F" w:rsidRPr="00E050AF" w:rsidRDefault="00C0766F" w:rsidP="003C7731">
      <w:pPr>
        <w:pStyle w:val="ListParagraph"/>
        <w:numPr>
          <w:ilvl w:val="0"/>
          <w:numId w:val="27"/>
        </w:numPr>
        <w:spacing w:before="0" w:after="120"/>
      </w:pPr>
      <w:r w:rsidRPr="00E050AF">
        <w:t xml:space="preserve">Approximately </w:t>
      </w:r>
      <w:r w:rsidR="00317416" w:rsidRPr="00E050AF">
        <w:t>8 additional patients would have leukopenia.</w:t>
      </w:r>
    </w:p>
    <w:p w14:paraId="47E98FE7" w14:textId="77777777" w:rsidR="00AB43EA" w:rsidRPr="00E050AF" w:rsidRDefault="00AB43EA" w:rsidP="009D3CDF">
      <w:pPr>
        <w:pStyle w:val="PBACESHeading2"/>
        <w:numPr>
          <w:ilvl w:val="2"/>
          <w:numId w:val="8"/>
        </w:numPr>
        <w:ind w:left="2160" w:hanging="2160"/>
      </w:pPr>
      <w:bookmarkStart w:id="73" w:name="_Toc100693627"/>
      <w:bookmarkStart w:id="74" w:name="_Toc103581579"/>
      <w:bookmarkStart w:id="75" w:name="_Toc103775866"/>
      <w:r w:rsidRPr="00E050AF">
        <w:t>Clinical claim</w:t>
      </w:r>
      <w:bookmarkEnd w:id="73"/>
      <w:bookmarkEnd w:id="74"/>
      <w:bookmarkEnd w:id="75"/>
    </w:p>
    <w:p w14:paraId="66426788" w14:textId="30962ADD" w:rsidR="00AB43EA" w:rsidRPr="00E050AF" w:rsidRDefault="00AB43EA" w:rsidP="009D3CDF">
      <w:pPr>
        <w:pStyle w:val="ListParagraph"/>
        <w:numPr>
          <w:ilvl w:val="4"/>
          <w:numId w:val="8"/>
        </w:numPr>
        <w:rPr>
          <w:color w:val="auto"/>
        </w:rPr>
      </w:pPr>
      <w:r w:rsidRPr="00E050AF">
        <w:rPr>
          <w:color w:val="auto"/>
        </w:rPr>
        <w:t xml:space="preserve">The submission described </w:t>
      </w:r>
      <w:r w:rsidRPr="00E050AF">
        <w:t xml:space="preserve">olaparib in combination with bevacizumab </w:t>
      </w:r>
      <w:r w:rsidRPr="00E050AF">
        <w:rPr>
          <w:color w:val="auto"/>
        </w:rPr>
        <w:t xml:space="preserve">as superior in terms of effectiveness compared to </w:t>
      </w:r>
      <w:r w:rsidRPr="00E050AF">
        <w:t xml:space="preserve">bevacizumab alone in patients with HRD positive </w:t>
      </w:r>
      <w:r w:rsidR="00CF529A" w:rsidRPr="00E050AF">
        <w:rPr>
          <w:i/>
          <w:iCs/>
        </w:rPr>
        <w:t>BRCA</w:t>
      </w:r>
      <w:r w:rsidRPr="00E050AF">
        <w:t>wt advanced (FIGO stage III-IV) high-grade epithelial ovarian, fallopian tube or primary peritoneal cancer who are in response (complete or partial) to first-line platinum-based positive chemotherapy</w:t>
      </w:r>
      <w:r w:rsidRPr="00E050AF">
        <w:rPr>
          <w:iCs/>
          <w:color w:val="auto"/>
        </w:rPr>
        <w:t xml:space="preserve">. While the PFS results demonstrated that olaparib plus bevacizumab was statistically significantly </w:t>
      </w:r>
      <w:r w:rsidR="006B3435" w:rsidRPr="00E050AF">
        <w:rPr>
          <w:iCs/>
          <w:color w:val="auto"/>
        </w:rPr>
        <w:t>superior to</w:t>
      </w:r>
      <w:r w:rsidRPr="00E050AF">
        <w:rPr>
          <w:iCs/>
          <w:color w:val="auto"/>
        </w:rPr>
        <w:t xml:space="preserve"> placebo plus bevacizumab in the requested patient population, the magnitude of this benefit may not be reliable as </w:t>
      </w:r>
      <w:r w:rsidR="006B3435" w:rsidRPr="00E050AF">
        <w:rPr>
          <w:iCs/>
          <w:color w:val="auto"/>
        </w:rPr>
        <w:t xml:space="preserve">it is based on exploratory </w:t>
      </w:r>
      <w:r w:rsidRPr="00E050AF">
        <w:rPr>
          <w:iCs/>
          <w:color w:val="auto"/>
        </w:rPr>
        <w:t>subgroup analyses. Moreover,</w:t>
      </w:r>
      <w:r w:rsidR="00631754" w:rsidRPr="00E050AF">
        <w:rPr>
          <w:iCs/>
          <w:color w:val="auto"/>
        </w:rPr>
        <w:t xml:space="preserve"> to date</w:t>
      </w:r>
      <w:r w:rsidRPr="00E050AF">
        <w:rPr>
          <w:iCs/>
          <w:color w:val="auto"/>
        </w:rPr>
        <w:t xml:space="preserve"> </w:t>
      </w:r>
      <w:r w:rsidR="00BC4271" w:rsidRPr="00E050AF">
        <w:rPr>
          <w:iCs/>
          <w:color w:val="auto"/>
        </w:rPr>
        <w:t xml:space="preserve">PAOLA-1 </w:t>
      </w:r>
      <w:r w:rsidR="00631754" w:rsidRPr="00E050AF">
        <w:rPr>
          <w:iCs/>
          <w:color w:val="auto"/>
        </w:rPr>
        <w:t xml:space="preserve">has </w:t>
      </w:r>
      <w:r w:rsidRPr="00E050AF">
        <w:rPr>
          <w:iCs/>
          <w:color w:val="auto"/>
        </w:rPr>
        <w:t>not demonstrate</w:t>
      </w:r>
      <w:r w:rsidR="00631754" w:rsidRPr="00E050AF">
        <w:rPr>
          <w:iCs/>
          <w:color w:val="auto"/>
        </w:rPr>
        <w:t>d</w:t>
      </w:r>
      <w:r w:rsidRPr="00E050AF">
        <w:rPr>
          <w:iCs/>
          <w:color w:val="auto"/>
        </w:rPr>
        <w:t xml:space="preserve"> a statistically significant </w:t>
      </w:r>
      <w:r w:rsidR="00BC4271" w:rsidRPr="00E050AF">
        <w:rPr>
          <w:iCs/>
          <w:color w:val="auto"/>
        </w:rPr>
        <w:t xml:space="preserve">OS </w:t>
      </w:r>
      <w:r w:rsidRPr="00E050AF">
        <w:rPr>
          <w:iCs/>
          <w:color w:val="auto"/>
        </w:rPr>
        <w:t>benefit</w:t>
      </w:r>
      <w:r w:rsidR="00BC4271" w:rsidRPr="00E050AF">
        <w:rPr>
          <w:iCs/>
          <w:color w:val="auto"/>
        </w:rPr>
        <w:t xml:space="preserve"> for olaparib plus bevacizumab</w:t>
      </w:r>
      <w:r w:rsidRPr="00E050AF">
        <w:rPr>
          <w:iCs/>
          <w:color w:val="auto"/>
        </w:rPr>
        <w:t>.</w:t>
      </w:r>
      <w:r w:rsidR="005D3EE9" w:rsidRPr="00E050AF">
        <w:rPr>
          <w:iCs/>
          <w:color w:val="auto"/>
        </w:rPr>
        <w:t xml:space="preserve"> </w:t>
      </w:r>
      <w:r w:rsidR="005D3EE9" w:rsidRPr="00E050AF">
        <w:rPr>
          <w:color w:val="auto"/>
        </w:rPr>
        <w:t>The ESC</w:t>
      </w:r>
      <w:r w:rsidR="006B3435" w:rsidRPr="00E050AF">
        <w:rPr>
          <w:color w:val="auto"/>
        </w:rPr>
        <w:t>s</w:t>
      </w:r>
      <w:r w:rsidR="005D3EE9" w:rsidRPr="00E050AF">
        <w:rPr>
          <w:color w:val="auto"/>
        </w:rPr>
        <w:t xml:space="preserve"> considered that PAOLA-1 demonstrated a PFS benefit</w:t>
      </w:r>
      <w:r w:rsidR="006B3435" w:rsidRPr="00E050AF">
        <w:rPr>
          <w:color w:val="auto"/>
        </w:rPr>
        <w:t xml:space="preserve"> f</w:t>
      </w:r>
      <w:r w:rsidR="00C60F40" w:rsidRPr="00E050AF">
        <w:rPr>
          <w:color w:val="auto"/>
        </w:rPr>
        <w:t>rom</w:t>
      </w:r>
      <w:r w:rsidR="006B3435" w:rsidRPr="00E050AF">
        <w:rPr>
          <w:color w:val="auto"/>
        </w:rPr>
        <w:t xml:space="preserve"> the addition of olaparib to bevacizumab</w:t>
      </w:r>
      <w:r w:rsidR="005D3EE9" w:rsidRPr="00E050AF">
        <w:rPr>
          <w:color w:val="auto"/>
        </w:rPr>
        <w:t xml:space="preserve">, however the </w:t>
      </w:r>
      <w:r w:rsidR="005D3EE9" w:rsidRPr="00E050AF">
        <w:rPr>
          <w:iCs/>
        </w:rPr>
        <w:t>magnitude of benefit for the proposed PBS population remained uncertain due to reliance on exploratory subgroup analyses.</w:t>
      </w:r>
    </w:p>
    <w:p w14:paraId="415EC406" w14:textId="67744259" w:rsidR="001319D8" w:rsidRPr="00E050AF" w:rsidRDefault="00AB43EA" w:rsidP="001319D8">
      <w:pPr>
        <w:pStyle w:val="ListParagraph"/>
        <w:numPr>
          <w:ilvl w:val="4"/>
          <w:numId w:val="8"/>
        </w:numPr>
        <w:rPr>
          <w:iCs/>
          <w:color w:val="auto"/>
        </w:rPr>
      </w:pPr>
      <w:r w:rsidRPr="00E050AF">
        <w:rPr>
          <w:color w:val="auto"/>
        </w:rPr>
        <w:t xml:space="preserve">The submission described </w:t>
      </w:r>
      <w:r w:rsidRPr="00E050AF">
        <w:rPr>
          <w:iCs/>
          <w:color w:val="auto"/>
        </w:rPr>
        <w:t>olaparib plus bevacizumab as non-inferior in terms of safety compared to bevacizumab alone</w:t>
      </w:r>
      <w:r w:rsidR="00A679EF" w:rsidRPr="00E050AF">
        <w:rPr>
          <w:color w:val="auto"/>
        </w:rPr>
        <w:t xml:space="preserve"> but</w:t>
      </w:r>
      <w:bookmarkStart w:id="76" w:name="_Hlk96628182"/>
      <w:r w:rsidRPr="00E050AF">
        <w:rPr>
          <w:color w:val="auto"/>
        </w:rPr>
        <w:t xml:space="preserve"> the submission also stated that compared to maintenance bevacizumab, the combination of olaparib plus bevacizumab has inferior but manageable safety (with respect to event rates). </w:t>
      </w:r>
      <w:r w:rsidR="006B3435" w:rsidRPr="00E050AF">
        <w:rPr>
          <w:iCs/>
          <w:color w:val="auto"/>
        </w:rPr>
        <w:t>The ESCs considered that the clinical claim that patients treated with olaparib plus bevacizumab are no worse in terms of safety than patients treated with bevacizumab alone was not reasonable and the addition of an active treatment (olaparib) to bevacizumab would lead to an increase in adverse events. The ESC</w:t>
      </w:r>
      <w:r w:rsidR="004A1A2E" w:rsidRPr="00E050AF">
        <w:rPr>
          <w:iCs/>
          <w:color w:val="auto"/>
        </w:rPr>
        <w:t>s</w:t>
      </w:r>
      <w:r w:rsidR="006B3435" w:rsidRPr="00E050AF">
        <w:rPr>
          <w:iCs/>
          <w:color w:val="auto"/>
        </w:rPr>
        <w:t xml:space="preserve"> considered a claim of inferior but manageable safety would better reflect the evidence provided.</w:t>
      </w:r>
    </w:p>
    <w:p w14:paraId="078BD8AB" w14:textId="363B449C" w:rsidR="001319D8" w:rsidRPr="00E050AF" w:rsidRDefault="001319D8" w:rsidP="001319D8">
      <w:pPr>
        <w:pStyle w:val="ListParagraph"/>
        <w:numPr>
          <w:ilvl w:val="4"/>
          <w:numId w:val="8"/>
        </w:numPr>
        <w:rPr>
          <w:iCs/>
          <w:color w:val="auto"/>
        </w:rPr>
      </w:pPr>
      <w:r w:rsidRPr="00E050AF">
        <w:rPr>
          <w:iCs/>
          <w:color w:val="auto"/>
        </w:rPr>
        <w:t xml:space="preserve">The PBAC considered that the claim of superior comparative effectiveness was adequately supported by the PFS data. The PBAC considered that this benefit was </w:t>
      </w:r>
      <w:r w:rsidR="00317B24" w:rsidRPr="00E050AF">
        <w:rPr>
          <w:iCs/>
          <w:color w:val="auto"/>
        </w:rPr>
        <w:t xml:space="preserve">likely to be </w:t>
      </w:r>
      <w:r w:rsidRPr="00E050AF">
        <w:rPr>
          <w:iCs/>
          <w:color w:val="auto"/>
        </w:rPr>
        <w:t>driven by olaparib, and it was unclear to what exten</w:t>
      </w:r>
      <w:r w:rsidR="00C60F40" w:rsidRPr="00E050AF">
        <w:rPr>
          <w:iCs/>
          <w:color w:val="auto"/>
        </w:rPr>
        <w:t>t</w:t>
      </w:r>
      <w:r w:rsidRPr="00E050AF">
        <w:rPr>
          <w:iCs/>
          <w:color w:val="auto"/>
        </w:rPr>
        <w:t xml:space="preserve"> bevacizumab contributed to the efficacy in the combination. Further</w:t>
      </w:r>
      <w:r w:rsidR="00C60F40" w:rsidRPr="00E050AF">
        <w:rPr>
          <w:iCs/>
          <w:color w:val="auto"/>
        </w:rPr>
        <w:t>,</w:t>
      </w:r>
      <w:r w:rsidRPr="00E050AF">
        <w:rPr>
          <w:iCs/>
          <w:color w:val="auto"/>
        </w:rPr>
        <w:t xml:space="preserve"> the PBAC noted that there is no evidence of a significant improvement in OS based on current data, however the OS</w:t>
      </w:r>
      <w:r w:rsidRPr="00E050AF">
        <w:t xml:space="preserve"> </w:t>
      </w:r>
      <w:r w:rsidRPr="00E050AF">
        <w:rPr>
          <w:iCs/>
          <w:color w:val="auto"/>
        </w:rPr>
        <w:t>data are immature.</w:t>
      </w:r>
    </w:p>
    <w:p w14:paraId="1C8ACBB6" w14:textId="1AC3DFFA" w:rsidR="00AB43EA" w:rsidRPr="00E050AF" w:rsidRDefault="001319D8" w:rsidP="001319D8">
      <w:pPr>
        <w:pStyle w:val="ListParagraph"/>
        <w:numPr>
          <w:ilvl w:val="4"/>
          <w:numId w:val="8"/>
        </w:numPr>
        <w:rPr>
          <w:iCs/>
          <w:color w:val="auto"/>
        </w:rPr>
      </w:pPr>
      <w:r w:rsidRPr="00E050AF">
        <w:rPr>
          <w:iCs/>
          <w:color w:val="auto"/>
        </w:rPr>
        <w:t>The PBAC considered that the combination of olaparib and bevacizumab had inferior safety in comparison with bevacizumab monotherapy.</w:t>
      </w:r>
    </w:p>
    <w:p w14:paraId="40F568AC" w14:textId="77777777" w:rsidR="00AB43EA" w:rsidRPr="00E050AF" w:rsidRDefault="00AB43EA" w:rsidP="009D3CDF">
      <w:pPr>
        <w:pStyle w:val="PBACESHeading2"/>
        <w:numPr>
          <w:ilvl w:val="2"/>
          <w:numId w:val="8"/>
        </w:numPr>
        <w:ind w:left="0" w:firstLine="0"/>
      </w:pPr>
      <w:bookmarkStart w:id="77" w:name="_Toc100693628"/>
      <w:bookmarkStart w:id="78" w:name="_Toc103581580"/>
      <w:bookmarkStart w:id="79" w:name="_Toc103775867"/>
      <w:bookmarkStart w:id="80" w:name="_Hlk103684273"/>
      <w:bookmarkEnd w:id="76"/>
      <w:r w:rsidRPr="00E050AF">
        <w:t>Claim of codependence</w:t>
      </w:r>
      <w:bookmarkEnd w:id="77"/>
      <w:bookmarkEnd w:id="78"/>
      <w:bookmarkEnd w:id="79"/>
    </w:p>
    <w:p w14:paraId="558A01BC" w14:textId="06768FD3" w:rsidR="00C84E75" w:rsidRPr="00E050AF" w:rsidRDefault="00C84E75" w:rsidP="009D3CDF">
      <w:pPr>
        <w:pStyle w:val="ListParagraph"/>
        <w:numPr>
          <w:ilvl w:val="4"/>
          <w:numId w:val="8"/>
        </w:numPr>
        <w:rPr>
          <w:iCs/>
          <w:color w:val="auto"/>
        </w:rPr>
      </w:pPr>
      <w:r w:rsidRPr="00E050AF">
        <w:rPr>
          <w:iCs/>
        </w:rPr>
        <w:t xml:space="preserve">While the codependency between HRD status and PARP inhibitors has not previously been accepted by MSAC and PBAC, they have both accepted that variation in the size of the </w:t>
      </w:r>
      <w:r w:rsidRPr="00E050AF">
        <w:rPr>
          <w:iCs/>
          <w:color w:val="auto"/>
        </w:rPr>
        <w:t>treatment effect of PARP inhibitor</w:t>
      </w:r>
      <w:r w:rsidR="00027CB9" w:rsidRPr="00E050AF">
        <w:rPr>
          <w:iCs/>
          <w:color w:val="auto"/>
        </w:rPr>
        <w:t>s</w:t>
      </w:r>
      <w:r w:rsidRPr="00E050AF">
        <w:rPr>
          <w:iCs/>
          <w:color w:val="auto"/>
        </w:rPr>
        <w:t xml:space="preserve"> is predicted by </w:t>
      </w:r>
      <w:r w:rsidR="00CF529A" w:rsidRPr="00E050AF">
        <w:rPr>
          <w:i/>
          <w:iCs/>
          <w:color w:val="auto"/>
        </w:rPr>
        <w:t>BRCA</w:t>
      </w:r>
      <w:r w:rsidRPr="00E050AF">
        <w:rPr>
          <w:i/>
          <w:color w:val="auto"/>
        </w:rPr>
        <w:t>1/2</w:t>
      </w:r>
      <w:r w:rsidRPr="00E050AF">
        <w:rPr>
          <w:iCs/>
          <w:color w:val="auto"/>
        </w:rPr>
        <w:t xml:space="preserve"> status as one HRD biomarker. This application raises a related codependency issue for MSAC and PBAC consideration: whether variation in the size of the treatment effect of the combination of olaparib and bevacizumab is predicted by the proposed combination of </w:t>
      </w:r>
      <w:r w:rsidR="00CF529A" w:rsidRPr="00E050AF">
        <w:rPr>
          <w:i/>
          <w:iCs/>
          <w:color w:val="auto"/>
        </w:rPr>
        <w:t>BRCA</w:t>
      </w:r>
      <w:r w:rsidRPr="00E050AF">
        <w:rPr>
          <w:i/>
          <w:color w:val="auto"/>
        </w:rPr>
        <w:t>1/2</w:t>
      </w:r>
      <w:r w:rsidRPr="00E050AF">
        <w:rPr>
          <w:iCs/>
          <w:color w:val="auto"/>
        </w:rPr>
        <w:t xml:space="preserve"> status and genomic instability</w:t>
      </w:r>
      <w:r w:rsidR="008E1094" w:rsidRPr="00E050AF">
        <w:rPr>
          <w:iCs/>
          <w:color w:val="auto"/>
        </w:rPr>
        <w:t>. I</w:t>
      </w:r>
      <w:r w:rsidRPr="00E050AF">
        <w:rPr>
          <w:iCs/>
          <w:color w:val="auto"/>
        </w:rPr>
        <w:t xml:space="preserve">f so, </w:t>
      </w:r>
      <w:r w:rsidR="008E1094" w:rsidRPr="00E050AF">
        <w:rPr>
          <w:iCs/>
          <w:color w:val="auto"/>
        </w:rPr>
        <w:t xml:space="preserve">the further issue is </w:t>
      </w:r>
      <w:r w:rsidRPr="00E050AF">
        <w:rPr>
          <w:iCs/>
          <w:color w:val="auto"/>
        </w:rPr>
        <w:t xml:space="preserve">whether this </w:t>
      </w:r>
      <w:r w:rsidR="008E1094" w:rsidRPr="00E050AF">
        <w:rPr>
          <w:iCs/>
          <w:color w:val="auto"/>
        </w:rPr>
        <w:t xml:space="preserve">predictive value </w:t>
      </w:r>
      <w:r w:rsidRPr="00E050AF">
        <w:rPr>
          <w:iCs/>
          <w:color w:val="auto"/>
        </w:rPr>
        <w:t xml:space="preserve">is sufficiently differentiated from the predictive value of </w:t>
      </w:r>
      <w:r w:rsidR="00CF529A" w:rsidRPr="00E050AF">
        <w:rPr>
          <w:i/>
          <w:iCs/>
          <w:color w:val="auto"/>
        </w:rPr>
        <w:t>BRCA</w:t>
      </w:r>
      <w:r w:rsidRPr="00E050AF">
        <w:rPr>
          <w:i/>
          <w:color w:val="auto"/>
        </w:rPr>
        <w:t>1/2</w:t>
      </w:r>
      <w:r w:rsidRPr="00E050AF">
        <w:rPr>
          <w:iCs/>
          <w:color w:val="auto"/>
        </w:rPr>
        <w:t xml:space="preserve"> status alone or by the predictive value of genomic instability alone.</w:t>
      </w:r>
    </w:p>
    <w:p w14:paraId="21BD5837" w14:textId="38A38C50" w:rsidR="00AB43EA" w:rsidRPr="00E050AF" w:rsidRDefault="00AB43EA" w:rsidP="009D3CDF">
      <w:pPr>
        <w:pStyle w:val="ListParagraph"/>
        <w:numPr>
          <w:ilvl w:val="4"/>
          <w:numId w:val="8"/>
        </w:numPr>
        <w:rPr>
          <w:iCs/>
          <w:color w:val="auto"/>
        </w:rPr>
      </w:pPr>
      <w:r w:rsidRPr="00E050AF">
        <w:rPr>
          <w:iCs/>
          <w:color w:val="auto"/>
        </w:rPr>
        <w:t>While the submission did not explicitly state that there is a biological plausibility for the use of PARP inhibitors for the treatment of HRD positive tumours</w:t>
      </w:r>
      <w:r w:rsidR="005E501B" w:rsidRPr="00E050AF">
        <w:rPr>
          <w:iCs/>
          <w:color w:val="auto"/>
        </w:rPr>
        <w:t xml:space="preserve"> </w:t>
      </w:r>
      <w:r w:rsidR="005E501B" w:rsidRPr="00E050AF">
        <w:rPr>
          <w:iCs/>
        </w:rPr>
        <w:t xml:space="preserve">the submission appears to make the underlying claim that, when using the combined HRD test, GI positive status has greater predictive value than </w:t>
      </w:r>
      <w:r w:rsidR="00CF529A" w:rsidRPr="00E050AF">
        <w:rPr>
          <w:i/>
          <w:iCs/>
        </w:rPr>
        <w:t>BRCA</w:t>
      </w:r>
      <w:r w:rsidR="005E501B" w:rsidRPr="00E050AF">
        <w:rPr>
          <w:iCs/>
        </w:rPr>
        <w:t xml:space="preserve"> status, because olaparib plus bevacizumab therapy has effectiveness in patients with GI positive </w:t>
      </w:r>
      <w:r w:rsidR="00CF529A" w:rsidRPr="00E050AF">
        <w:rPr>
          <w:i/>
          <w:iCs/>
        </w:rPr>
        <w:t>BRCA</w:t>
      </w:r>
      <w:r w:rsidR="005E501B" w:rsidRPr="00E050AF">
        <w:rPr>
          <w:iCs/>
        </w:rPr>
        <w:t>wt tumours</w:t>
      </w:r>
      <w:r w:rsidR="00E17B05" w:rsidRPr="00E050AF">
        <w:rPr>
          <w:iCs/>
        </w:rPr>
        <w:t xml:space="preserve"> that is</w:t>
      </w:r>
      <w:r w:rsidR="005E501B" w:rsidRPr="00E050AF">
        <w:rPr>
          <w:iCs/>
        </w:rPr>
        <w:t xml:space="preserve"> similar to </w:t>
      </w:r>
      <w:r w:rsidR="00E17B05" w:rsidRPr="00E050AF">
        <w:rPr>
          <w:iCs/>
        </w:rPr>
        <w:t xml:space="preserve">effectiveness in </w:t>
      </w:r>
      <w:r w:rsidR="00CF529A" w:rsidRPr="00E050AF">
        <w:rPr>
          <w:i/>
          <w:iCs/>
        </w:rPr>
        <w:t>BRCA</w:t>
      </w:r>
      <w:r w:rsidR="008A0373" w:rsidRPr="00E050AF">
        <w:rPr>
          <w:i/>
          <w:iCs/>
        </w:rPr>
        <w:t>m</w:t>
      </w:r>
      <w:r w:rsidR="005E501B" w:rsidRPr="00E050AF">
        <w:rPr>
          <w:iCs/>
        </w:rPr>
        <w:t xml:space="preserve"> </w:t>
      </w:r>
      <w:r w:rsidR="00E17B05" w:rsidRPr="00E050AF">
        <w:rPr>
          <w:iCs/>
        </w:rPr>
        <w:t>patients</w:t>
      </w:r>
      <w:r w:rsidR="005E501B" w:rsidRPr="00E050AF">
        <w:rPr>
          <w:iCs/>
        </w:rPr>
        <w:t>.</w:t>
      </w:r>
      <w:r w:rsidR="00FE0CF9" w:rsidRPr="00E050AF">
        <w:rPr>
          <w:iCs/>
        </w:rPr>
        <w:t xml:space="preserve"> B</w:t>
      </w:r>
      <w:r w:rsidR="00326469" w:rsidRPr="00E050AF">
        <w:rPr>
          <w:iCs/>
        </w:rPr>
        <w:t xml:space="preserve">ased on the results of Gonzalez-Martin 2019 </w:t>
      </w:r>
      <w:r w:rsidR="00830EDF" w:rsidRPr="00E050AF">
        <w:rPr>
          <w:iCs/>
        </w:rPr>
        <w:t>(niraparib</w:t>
      </w:r>
      <w:r w:rsidR="00AE474E" w:rsidRPr="00E050AF">
        <w:rPr>
          <w:iCs/>
        </w:rPr>
        <w:t xml:space="preserve">) </w:t>
      </w:r>
      <w:r w:rsidR="00326469" w:rsidRPr="00E050AF">
        <w:rPr>
          <w:iCs/>
        </w:rPr>
        <w:t>and Coleman 2017</w:t>
      </w:r>
      <w:r w:rsidR="00AE474E" w:rsidRPr="00E050AF">
        <w:rPr>
          <w:iCs/>
        </w:rPr>
        <w:t xml:space="preserve"> (rucaparib</w:t>
      </w:r>
      <w:r w:rsidR="009F37AD" w:rsidRPr="00E050AF">
        <w:rPr>
          <w:iCs/>
        </w:rPr>
        <w:t>)</w:t>
      </w:r>
      <w:r w:rsidR="00326469" w:rsidRPr="00E050AF">
        <w:rPr>
          <w:iCs/>
        </w:rPr>
        <w:t>, a class effect in ovarian cancer is not strongly supported</w:t>
      </w:r>
      <w:r w:rsidR="00E17B05" w:rsidRPr="00E050AF">
        <w:rPr>
          <w:iCs/>
        </w:rPr>
        <w:t xml:space="preserve">. </w:t>
      </w:r>
      <w:r w:rsidR="00675E30" w:rsidRPr="00E050AF">
        <w:rPr>
          <w:iCs/>
        </w:rPr>
        <w:t>R</w:t>
      </w:r>
      <w:r w:rsidR="00326469" w:rsidRPr="00E050AF">
        <w:rPr>
          <w:iCs/>
        </w:rPr>
        <w:t xml:space="preserve">esults for the HRD positive </w:t>
      </w:r>
      <w:r w:rsidR="00CF529A" w:rsidRPr="00E050AF">
        <w:rPr>
          <w:i/>
          <w:iCs/>
        </w:rPr>
        <w:t>BRCA</w:t>
      </w:r>
      <w:r w:rsidR="00326469" w:rsidRPr="00E050AF">
        <w:rPr>
          <w:iCs/>
        </w:rPr>
        <w:t xml:space="preserve">m, HRD positive </w:t>
      </w:r>
      <w:r w:rsidR="00CF529A" w:rsidRPr="00E050AF">
        <w:rPr>
          <w:i/>
          <w:iCs/>
        </w:rPr>
        <w:t>BRCA</w:t>
      </w:r>
      <w:r w:rsidR="00326469" w:rsidRPr="00E050AF">
        <w:rPr>
          <w:iCs/>
        </w:rPr>
        <w:t>wt and HRD negative subpopulations all indicate that PARP inhibitor use result</w:t>
      </w:r>
      <w:r w:rsidR="003229E3" w:rsidRPr="00E050AF">
        <w:rPr>
          <w:iCs/>
        </w:rPr>
        <w:t>ed</w:t>
      </w:r>
      <w:r w:rsidR="00326469" w:rsidRPr="00E050AF">
        <w:rPr>
          <w:iCs/>
        </w:rPr>
        <w:t xml:space="preserve"> in improved PFS, although </w:t>
      </w:r>
      <w:r w:rsidR="00674FB8" w:rsidRPr="00E050AF">
        <w:rPr>
          <w:iCs/>
        </w:rPr>
        <w:t>the magnitude of benefit varied.</w:t>
      </w:r>
      <w:r w:rsidR="00C5109D" w:rsidRPr="00E050AF">
        <w:rPr>
          <w:iCs/>
        </w:rPr>
        <w:t xml:space="preserve"> </w:t>
      </w:r>
      <w:r w:rsidR="00C5109D" w:rsidRPr="00E050AF">
        <w:t>The ESCs considered i</w:t>
      </w:r>
      <w:r w:rsidR="000B2883" w:rsidRPr="00E050AF">
        <w:t>t is unclear to what extent the variation in pivotal trial result</w:t>
      </w:r>
      <w:r w:rsidR="000B2883" w:rsidRPr="00E050AF">
        <w:rPr>
          <w:iCs/>
        </w:rPr>
        <w:t>s for PARP inhibitors (olaparib, niraparib and rucaparib) may be explained by differences in patient populations (due to different HRD testing protocols or thresholds), as compared with pharmacologic differences between the individual PARP inhibitors.</w:t>
      </w:r>
    </w:p>
    <w:p w14:paraId="13B2C1C8" w14:textId="3C795D21" w:rsidR="00AB43EA" w:rsidRPr="00E050AF" w:rsidRDefault="00AB43EA" w:rsidP="009D3CDF">
      <w:pPr>
        <w:pStyle w:val="PBACESHeading2"/>
        <w:numPr>
          <w:ilvl w:val="2"/>
          <w:numId w:val="8"/>
        </w:numPr>
        <w:ind w:left="0" w:firstLine="0"/>
      </w:pPr>
      <w:bookmarkStart w:id="81" w:name="_Toc100693629"/>
      <w:bookmarkStart w:id="82" w:name="_Toc103581581"/>
      <w:bookmarkStart w:id="83" w:name="_Toc103775868"/>
      <w:bookmarkEnd w:id="80"/>
      <w:r w:rsidRPr="00E050AF">
        <w:t>Economic analysis</w:t>
      </w:r>
      <w:bookmarkEnd w:id="72"/>
      <w:bookmarkEnd w:id="81"/>
      <w:bookmarkEnd w:id="82"/>
      <w:bookmarkEnd w:id="83"/>
    </w:p>
    <w:p w14:paraId="4BC0BEDE" w14:textId="3C2038A4" w:rsidR="00AB43EA" w:rsidRPr="00E050AF" w:rsidRDefault="00AB43EA" w:rsidP="009D3CDF">
      <w:pPr>
        <w:pStyle w:val="ListParagraph"/>
        <w:numPr>
          <w:ilvl w:val="4"/>
          <w:numId w:val="8"/>
        </w:numPr>
        <w:rPr>
          <w:color w:val="auto"/>
        </w:rPr>
      </w:pPr>
      <w:r w:rsidRPr="00E050AF">
        <w:rPr>
          <w:color w:val="auto"/>
        </w:rPr>
        <w:t xml:space="preserve">The submission presented a modelled economic evaluation, based on subgroup results from PAOLA-1. The basis of the economic evaluation was a cost effectiveness analysis (CEA) that compared the proposed scenario where all patients undergo HRD </w:t>
      </w:r>
      <w:r w:rsidR="002E5655" w:rsidRPr="00E050AF">
        <w:rPr>
          <w:color w:val="auto"/>
        </w:rPr>
        <w:t>(</w:t>
      </w:r>
      <w:r w:rsidR="00CF529A" w:rsidRPr="00E050AF">
        <w:rPr>
          <w:i/>
          <w:iCs/>
          <w:color w:val="auto"/>
        </w:rPr>
        <w:t>BRCA</w:t>
      </w:r>
      <w:r w:rsidR="002E5655" w:rsidRPr="00E050AF">
        <w:rPr>
          <w:color w:val="auto"/>
        </w:rPr>
        <w:t xml:space="preserve"> and GI) </w:t>
      </w:r>
      <w:r w:rsidRPr="00E050AF">
        <w:rPr>
          <w:color w:val="auto"/>
        </w:rPr>
        <w:t xml:space="preserve">testing vs the comparator/current scenario where patients receive </w:t>
      </w:r>
      <w:r w:rsidR="00CF529A" w:rsidRPr="00E050AF">
        <w:rPr>
          <w:i/>
          <w:iCs/>
          <w:color w:val="auto"/>
        </w:rPr>
        <w:t>BRCA</w:t>
      </w:r>
      <w:r w:rsidRPr="00E050AF">
        <w:rPr>
          <w:color w:val="auto"/>
        </w:rPr>
        <w:t xml:space="preserve"> testing only</w:t>
      </w:r>
      <w:r w:rsidR="00F8459A" w:rsidRPr="00E050AF">
        <w:rPr>
          <w:color w:val="auto"/>
        </w:rPr>
        <w:t>,</w:t>
      </w:r>
      <w:r w:rsidR="00A44F5F" w:rsidRPr="00E050AF">
        <w:rPr>
          <w:color w:val="auto"/>
        </w:rPr>
        <w:t xml:space="preserve"> with patients receiving either olaparib plus bevacizumab or bevacizumab monotherapy (or placebo </w:t>
      </w:r>
      <w:r w:rsidR="00F8459A" w:rsidRPr="00E050AF">
        <w:rPr>
          <w:color w:val="auto"/>
        </w:rPr>
        <w:t>instead of bevacizumab monotherapy in the supplementary analysis)</w:t>
      </w:r>
      <w:r w:rsidRPr="00E050AF">
        <w:rPr>
          <w:color w:val="auto"/>
        </w:rPr>
        <w:t>.</w:t>
      </w:r>
      <w:r w:rsidR="005E5747" w:rsidRPr="00E050AF">
        <w:rPr>
          <w:color w:val="auto"/>
        </w:rPr>
        <w:t xml:space="preserve"> The </w:t>
      </w:r>
      <w:r w:rsidR="00C47496" w:rsidRPr="00E050AF">
        <w:rPr>
          <w:color w:val="auto"/>
        </w:rPr>
        <w:t xml:space="preserve">base case </w:t>
      </w:r>
      <w:r w:rsidR="005E5747" w:rsidRPr="00E050AF">
        <w:rPr>
          <w:color w:val="auto"/>
        </w:rPr>
        <w:t>economic evaluation assumed that HRD testing (</w:t>
      </w:r>
      <w:r w:rsidR="005E5747" w:rsidRPr="00E050AF">
        <w:rPr>
          <w:i/>
          <w:color w:val="auto"/>
        </w:rPr>
        <w:t xml:space="preserve">BRCA </w:t>
      </w:r>
      <w:r w:rsidR="005E5747" w:rsidRPr="00E050AF">
        <w:rPr>
          <w:color w:val="auto"/>
        </w:rPr>
        <w:t>and GI in parallel) occurs upfront at diagnosis of advanced HGEOC.</w:t>
      </w:r>
    </w:p>
    <w:p w14:paraId="308843AC" w14:textId="633347EF" w:rsidR="00AE7658" w:rsidRPr="00E050AF" w:rsidRDefault="00265377" w:rsidP="00AE7658">
      <w:pPr>
        <w:pStyle w:val="ListParagraph"/>
        <w:numPr>
          <w:ilvl w:val="4"/>
          <w:numId w:val="8"/>
        </w:numPr>
        <w:rPr>
          <w:color w:val="auto"/>
        </w:rPr>
      </w:pPr>
      <w:r w:rsidRPr="00E050AF">
        <w:rPr>
          <w:color w:val="auto"/>
        </w:rPr>
        <w:t xml:space="preserve">An ICER based on the ITT population was not presented in the submission. </w:t>
      </w:r>
      <w:r w:rsidR="0067647F" w:rsidRPr="00E050AF">
        <w:rPr>
          <w:color w:val="auto"/>
        </w:rPr>
        <w:t xml:space="preserve">As the subgroup results in PAOLA-1 were exploratory, it </w:t>
      </w:r>
      <w:r w:rsidR="00854E1C" w:rsidRPr="00E050AF">
        <w:rPr>
          <w:color w:val="auto"/>
        </w:rPr>
        <w:t>may not be</w:t>
      </w:r>
      <w:r w:rsidR="0067647F" w:rsidRPr="00E050AF">
        <w:rPr>
          <w:color w:val="auto"/>
        </w:rPr>
        <w:t xml:space="preserve"> appropriate to use subgroup results to inform the </w:t>
      </w:r>
      <w:r w:rsidR="00854E1C" w:rsidRPr="00E050AF">
        <w:rPr>
          <w:color w:val="auto"/>
        </w:rPr>
        <w:t xml:space="preserve">base case </w:t>
      </w:r>
      <w:r w:rsidR="0067647F" w:rsidRPr="00E050AF">
        <w:rPr>
          <w:color w:val="auto"/>
        </w:rPr>
        <w:t>economic evaluation</w:t>
      </w:r>
      <w:r w:rsidR="00C55191" w:rsidRPr="00E050AF">
        <w:rPr>
          <w:color w:val="auto"/>
        </w:rPr>
        <w:t>. In addition, HRs varied somewhat depending on the</w:t>
      </w:r>
      <w:r w:rsidR="004D41EA" w:rsidRPr="00E050AF">
        <w:rPr>
          <w:color w:val="auto"/>
        </w:rPr>
        <w:t xml:space="preserve"> </w:t>
      </w:r>
      <w:r w:rsidR="00275200" w:rsidRPr="00E050AF">
        <w:rPr>
          <w:i/>
          <w:color w:val="auto"/>
        </w:rPr>
        <w:t>BRCA</w:t>
      </w:r>
      <w:r w:rsidR="004D41EA" w:rsidRPr="00E050AF">
        <w:rPr>
          <w:color w:val="auto"/>
        </w:rPr>
        <w:t xml:space="preserve"> and GI</w:t>
      </w:r>
      <w:r w:rsidR="00C55191" w:rsidRPr="00E050AF">
        <w:rPr>
          <w:color w:val="auto"/>
        </w:rPr>
        <w:t xml:space="preserve"> testing method</w:t>
      </w:r>
      <w:r w:rsidR="004D41EA" w:rsidRPr="00E050AF">
        <w:rPr>
          <w:color w:val="auto"/>
        </w:rPr>
        <w:t>s</w:t>
      </w:r>
      <w:r w:rsidR="00C55191" w:rsidRPr="00E050AF">
        <w:rPr>
          <w:color w:val="auto"/>
        </w:rPr>
        <w:t xml:space="preserve"> and thresholds applied in determining </w:t>
      </w:r>
      <w:r w:rsidR="00275200" w:rsidRPr="00E050AF">
        <w:rPr>
          <w:i/>
          <w:color w:val="auto"/>
        </w:rPr>
        <w:t>BRCA</w:t>
      </w:r>
      <w:r w:rsidR="00C55191" w:rsidRPr="00E050AF">
        <w:rPr>
          <w:color w:val="auto"/>
        </w:rPr>
        <w:t xml:space="preserve"> and HRD status</w:t>
      </w:r>
      <w:r w:rsidR="003D7214" w:rsidRPr="00E050AF">
        <w:rPr>
          <w:color w:val="auto"/>
        </w:rPr>
        <w:t>. T</w:t>
      </w:r>
      <w:r w:rsidR="00217D81" w:rsidRPr="00E050AF">
        <w:rPr>
          <w:color w:val="auto"/>
        </w:rPr>
        <w:t xml:space="preserve">he ESCs considered that </w:t>
      </w:r>
      <w:r w:rsidR="003D7214" w:rsidRPr="00E050AF">
        <w:rPr>
          <w:color w:val="auto"/>
        </w:rPr>
        <w:t xml:space="preserve">the lack of strong evidence for concordance between Myriad, Sophia and NGS testing for </w:t>
      </w:r>
      <w:r w:rsidR="00275200" w:rsidRPr="00E050AF">
        <w:rPr>
          <w:i/>
          <w:color w:val="auto"/>
        </w:rPr>
        <w:t>BRCA</w:t>
      </w:r>
      <w:r w:rsidR="003D7214" w:rsidRPr="00E050AF">
        <w:rPr>
          <w:color w:val="auto"/>
        </w:rPr>
        <w:t>m</w:t>
      </w:r>
      <w:r w:rsidR="00217D81" w:rsidRPr="00E050AF">
        <w:rPr>
          <w:color w:val="auto"/>
        </w:rPr>
        <w:t xml:space="preserve"> introduced substantial uncertainty into the modelled outcomes</w:t>
      </w:r>
      <w:r w:rsidR="00C55191" w:rsidRPr="00E050AF">
        <w:rPr>
          <w:color w:val="auto"/>
        </w:rPr>
        <w:t>.</w:t>
      </w:r>
    </w:p>
    <w:p w14:paraId="54E6905F" w14:textId="671F707B" w:rsidR="0067647F" w:rsidRPr="00E050AF" w:rsidRDefault="00AE7658" w:rsidP="00AE7658">
      <w:pPr>
        <w:pStyle w:val="ListParagraph"/>
        <w:numPr>
          <w:ilvl w:val="4"/>
          <w:numId w:val="8"/>
        </w:numPr>
      </w:pPr>
      <w:r w:rsidRPr="00E050AF">
        <w:rPr>
          <w:color w:val="auto"/>
        </w:rPr>
        <w:t>A time horizon of 20 years was nominated, extrapolated from a trial with median follow up of only 38 months, which introduced significant uncertainty with the extrapolated results. The PBAC previously noted that 20 years may be too long for the non-</w:t>
      </w:r>
      <w:r w:rsidRPr="00E050AF">
        <w:rPr>
          <w:i/>
          <w:iCs/>
          <w:color w:val="auto"/>
        </w:rPr>
        <w:t>BRCA</w:t>
      </w:r>
      <w:r w:rsidRPr="00E050AF">
        <w:rPr>
          <w:color w:val="auto"/>
        </w:rPr>
        <w:t xml:space="preserve">m population in the consideration of niraparib for the maintenance treatment of patients with FIGO Stage III-IV high grade epithelial ovarian cancer who are in response to platinum-based chemotherapy (paragraph 7.15, p43, niraparib PSD, July 2021 PBAC Meeting). </w:t>
      </w:r>
      <w:r w:rsidRPr="00E050AF">
        <w:t>The PSCR maintained that a 20-year time horizon was appropriate because this duration was needed to capture benefits for cured patients, and was supported on the basis that long term survival is likely to increase with introduction of PARPs. The PSCR also stated this would be consistent with the PBAC recommendation for olaparib monotherapy based on SOLO-1 (PBAC July 2020 meeting).</w:t>
      </w:r>
    </w:p>
    <w:p w14:paraId="3C672C3E" w14:textId="2712F3DE" w:rsidR="00AB43EA" w:rsidRPr="00E050AF" w:rsidRDefault="00AB43EA" w:rsidP="009D3CDF">
      <w:pPr>
        <w:pStyle w:val="ListParagraph"/>
        <w:numPr>
          <w:ilvl w:val="4"/>
          <w:numId w:val="8"/>
        </w:numPr>
        <w:rPr>
          <w:color w:val="auto"/>
        </w:rPr>
      </w:pPr>
      <w:r w:rsidRPr="00E050AF">
        <w:t>The table below summarises the key components of the economic evaluation.</w:t>
      </w:r>
    </w:p>
    <w:p w14:paraId="5D1923BC" w14:textId="4B367A71" w:rsidR="00AB43EA" w:rsidRPr="00E050AF" w:rsidRDefault="00A354B6" w:rsidP="00A354B6">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12</w:t>
      </w:r>
      <w:r w:rsidRPr="00E050AF">
        <w:rPr>
          <w:rStyle w:val="CommentReference"/>
          <w:b/>
          <w:szCs w:val="20"/>
        </w:rPr>
        <w:fldChar w:fldCharType="end"/>
      </w:r>
      <w:r w:rsidR="00BA6A9D" w:rsidRPr="00E050AF">
        <w:rPr>
          <w:rStyle w:val="CommentReference"/>
          <w:b/>
          <w:szCs w:val="20"/>
        </w:rPr>
        <w:t xml:space="preserve"> </w:t>
      </w:r>
      <w:r w:rsidR="00AB43EA" w:rsidRPr="00E050AF">
        <w:tab/>
        <w:t>Summary of model structure, key inputs and rationale</w:t>
      </w:r>
    </w:p>
    <w:tbl>
      <w:tblPr>
        <w:tblStyle w:val="AZTable1"/>
        <w:tblW w:w="0" w:type="auto"/>
        <w:tblLook w:val="04A0" w:firstRow="1" w:lastRow="0" w:firstColumn="1" w:lastColumn="0" w:noHBand="0" w:noVBand="1"/>
        <w:tblCaption w:val="Table 12  Summary of model structure, key inputs and rationale"/>
      </w:tblPr>
      <w:tblGrid>
        <w:gridCol w:w="1435"/>
        <w:gridCol w:w="3225"/>
        <w:gridCol w:w="4356"/>
      </w:tblGrid>
      <w:tr w:rsidR="00AB43EA" w:rsidRPr="00E050AF" w14:paraId="5A43013A" w14:textId="77777777" w:rsidTr="00A1591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hideMark/>
          </w:tcPr>
          <w:p w14:paraId="287CBBA4" w14:textId="77777777" w:rsidR="00AB43EA" w:rsidRPr="00E050AF" w:rsidRDefault="00AB43EA" w:rsidP="00FB1BFE">
            <w:pPr>
              <w:keepLines/>
              <w:widowControl w:val="0"/>
              <w:spacing w:before="0"/>
              <w:jc w:val="left"/>
              <w:rPr>
                <w:rFonts w:eastAsiaTheme="majorEastAsia" w:cs="Arial"/>
                <w:bCs/>
                <w:sz w:val="20"/>
                <w:szCs w:val="20"/>
                <w:lang w:eastAsia="en-AU" w:bidi="en-US"/>
              </w:rPr>
            </w:pPr>
            <w:r w:rsidRPr="00E050AF">
              <w:rPr>
                <w:rFonts w:eastAsiaTheme="majorEastAsia" w:cs="Arial"/>
                <w:bCs/>
                <w:sz w:val="20"/>
                <w:szCs w:val="20"/>
                <w:lang w:eastAsia="en-AU" w:bidi="en-US"/>
              </w:rPr>
              <w:t>Component</w:t>
            </w:r>
          </w:p>
        </w:tc>
        <w:tc>
          <w:tcPr>
            <w:tcW w:w="0" w:type="auto"/>
            <w:tcBorders>
              <w:top w:val="single" w:sz="4" w:space="0" w:color="auto"/>
              <w:left w:val="single" w:sz="4" w:space="0" w:color="auto"/>
              <w:bottom w:val="single" w:sz="4" w:space="0" w:color="auto"/>
              <w:right w:val="single" w:sz="4" w:space="0" w:color="auto"/>
            </w:tcBorders>
            <w:hideMark/>
          </w:tcPr>
          <w:p w14:paraId="54373BF9" w14:textId="77777777" w:rsidR="00AB43EA" w:rsidRPr="00E050AF" w:rsidRDefault="00AB43EA" w:rsidP="003C7B03">
            <w:pPr>
              <w:keepLines/>
              <w:widowControl w:val="0"/>
              <w:spacing w:before="0"/>
              <w:jc w:val="left"/>
              <w:cnfStyle w:val="100000000000" w:firstRow="1" w:lastRow="0" w:firstColumn="0" w:lastColumn="0" w:oddVBand="0" w:evenVBand="0" w:oddHBand="0" w:evenHBand="0" w:firstRowFirstColumn="0" w:firstRowLastColumn="0" w:lastRowFirstColumn="0" w:lastRowLastColumn="0"/>
              <w:rPr>
                <w:rFonts w:eastAsiaTheme="majorEastAsia" w:cs="Arial"/>
                <w:bCs/>
                <w:sz w:val="20"/>
                <w:szCs w:val="20"/>
                <w:lang w:eastAsia="en-AU" w:bidi="en-US"/>
              </w:rPr>
            </w:pPr>
            <w:r w:rsidRPr="00E050AF">
              <w:rPr>
                <w:rFonts w:eastAsiaTheme="majorEastAsia" w:cs="Arial"/>
                <w:bCs/>
                <w:sz w:val="20"/>
                <w:szCs w:val="20"/>
                <w:lang w:eastAsia="en-AU" w:bidi="en-US"/>
              </w:rPr>
              <w:t>Description</w:t>
            </w:r>
          </w:p>
        </w:tc>
        <w:tc>
          <w:tcPr>
            <w:tcW w:w="0" w:type="auto"/>
            <w:tcBorders>
              <w:top w:val="single" w:sz="4" w:space="0" w:color="auto"/>
              <w:left w:val="single" w:sz="4" w:space="0" w:color="auto"/>
              <w:bottom w:val="single" w:sz="4" w:space="0" w:color="auto"/>
              <w:right w:val="single" w:sz="4" w:space="0" w:color="auto"/>
            </w:tcBorders>
            <w:hideMark/>
          </w:tcPr>
          <w:p w14:paraId="66049E8A" w14:textId="77777777" w:rsidR="00AB43EA" w:rsidRPr="00E050AF" w:rsidRDefault="00AB43EA" w:rsidP="003C7B03">
            <w:pPr>
              <w:keepLines/>
              <w:widowControl w:val="0"/>
              <w:spacing w:before="0"/>
              <w:jc w:val="left"/>
              <w:cnfStyle w:val="100000000000" w:firstRow="1" w:lastRow="0" w:firstColumn="0" w:lastColumn="0" w:oddVBand="0" w:evenVBand="0" w:oddHBand="0" w:evenHBand="0" w:firstRowFirstColumn="0" w:firstRowLastColumn="0" w:lastRowFirstColumn="0" w:lastRowLastColumn="0"/>
              <w:rPr>
                <w:rFonts w:eastAsiaTheme="majorEastAsia" w:cs="Arial"/>
                <w:bCs/>
                <w:sz w:val="20"/>
                <w:szCs w:val="20"/>
                <w:lang w:eastAsia="en-AU" w:bidi="en-US"/>
              </w:rPr>
            </w:pPr>
            <w:r w:rsidRPr="00E050AF">
              <w:rPr>
                <w:rFonts w:eastAsiaTheme="majorEastAsia" w:cs="Arial"/>
                <w:bCs/>
                <w:sz w:val="20"/>
                <w:szCs w:val="20"/>
                <w:lang w:eastAsia="en-AU" w:bidi="en-US"/>
              </w:rPr>
              <w:t>Justification/comments</w:t>
            </w:r>
          </w:p>
        </w:tc>
      </w:tr>
      <w:tr w:rsidR="00AB43EA" w:rsidRPr="00E050AF" w14:paraId="79CFFBD0"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5792F9E4" w14:textId="77777777" w:rsidR="00AB43EA" w:rsidRPr="00E050AF" w:rsidRDefault="00AB43EA" w:rsidP="00FB1BFE">
            <w:pPr>
              <w:keepLines/>
              <w:widowControl w:val="0"/>
              <w:spacing w:before="0"/>
              <w:jc w:val="left"/>
              <w:rPr>
                <w:rFonts w:eastAsiaTheme="majorEastAsia" w:cs="Arial"/>
                <w:sz w:val="20"/>
                <w:szCs w:val="20"/>
                <w:lang w:bidi="en-US"/>
              </w:rPr>
            </w:pPr>
            <w:r w:rsidRPr="00E050AF">
              <w:rPr>
                <w:rFonts w:eastAsiaTheme="majorEastAsia" w:cs="Arial"/>
                <w:sz w:val="20"/>
                <w:szCs w:val="20"/>
                <w:lang w:bidi="en-US"/>
              </w:rPr>
              <w:t>Type(s) of analysis</w:t>
            </w:r>
          </w:p>
        </w:tc>
        <w:tc>
          <w:tcPr>
            <w:tcW w:w="0" w:type="auto"/>
            <w:tcBorders>
              <w:top w:val="single" w:sz="4" w:space="0" w:color="auto"/>
              <w:left w:val="single" w:sz="4" w:space="0" w:color="auto"/>
              <w:bottom w:val="single" w:sz="4" w:space="0" w:color="auto"/>
              <w:right w:val="single" w:sz="4" w:space="0" w:color="auto"/>
            </w:tcBorders>
            <w:vAlign w:val="center"/>
            <w:hideMark/>
          </w:tcPr>
          <w:p w14:paraId="3C898847" w14:textId="511D281D"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Cost-effectiveness analysis, cost-utility analysis</w:t>
            </w:r>
            <w:r w:rsidR="008C5ACD" w:rsidRPr="00E050AF">
              <w:rPr>
                <w:rFonts w:ascii="Arial Narrow" w:eastAsiaTheme="majorEastAsia" w:hAnsi="Arial Narrow" w:cs="Arial"/>
                <w:sz w:val="20"/>
                <w:szCs w:val="20"/>
                <w:lang w:bidi="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33DED94" w14:textId="77777777"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Appropriate.</w:t>
            </w:r>
          </w:p>
        </w:tc>
      </w:tr>
      <w:tr w:rsidR="00AB43EA" w:rsidRPr="00E050AF" w14:paraId="4131347F"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3AFC4B7B" w14:textId="77777777" w:rsidR="00AB43EA" w:rsidRPr="00E050AF" w:rsidRDefault="00AB43EA" w:rsidP="00FB1BFE">
            <w:pPr>
              <w:keepLines/>
              <w:widowControl w:val="0"/>
              <w:spacing w:before="0"/>
              <w:jc w:val="left"/>
              <w:rPr>
                <w:rFonts w:eastAsiaTheme="majorEastAsia" w:cs="Arial"/>
                <w:sz w:val="20"/>
                <w:szCs w:val="20"/>
                <w:lang w:bidi="en-US"/>
              </w:rPr>
            </w:pPr>
            <w:r w:rsidRPr="00E050AF">
              <w:rPr>
                <w:rFonts w:eastAsiaTheme="majorEastAsia" w:cs="Arial"/>
                <w:sz w:val="20"/>
                <w:szCs w:val="20"/>
                <w:lang w:bidi="en-US"/>
              </w:rPr>
              <w:t>Outcomes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BE89442" w14:textId="6698C277"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Progression-free years gained, life-years gained, quality-adjusted life</w:t>
            </w:r>
            <w:r w:rsidR="008C5ACD" w:rsidRPr="00E050AF">
              <w:rPr>
                <w:rFonts w:ascii="Arial Narrow" w:eastAsiaTheme="majorEastAsia" w:hAnsi="Arial Narrow" w:cs="Arial"/>
                <w:sz w:val="20"/>
                <w:szCs w:val="20"/>
                <w:lang w:bidi="en-US"/>
              </w:rPr>
              <w:t>-</w:t>
            </w:r>
            <w:r w:rsidRPr="00E050AF">
              <w:rPr>
                <w:rFonts w:ascii="Arial Narrow" w:eastAsiaTheme="majorEastAsia" w:hAnsi="Arial Narrow" w:cs="Arial"/>
                <w:sz w:val="20"/>
                <w:szCs w:val="20"/>
                <w:lang w:bidi="en-US"/>
              </w:rPr>
              <w:t>years gained</w:t>
            </w:r>
            <w:r w:rsidR="008C5ACD" w:rsidRPr="00E050AF">
              <w:rPr>
                <w:rFonts w:ascii="Arial Narrow" w:eastAsiaTheme="majorEastAsia" w:hAnsi="Arial Narrow" w:cs="Arial"/>
                <w:sz w:val="20"/>
                <w:szCs w:val="20"/>
                <w:lang w:bidi="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48C9B5E" w14:textId="77777777"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Appropriate.</w:t>
            </w:r>
          </w:p>
        </w:tc>
      </w:tr>
      <w:tr w:rsidR="00AB43EA" w:rsidRPr="00E050AF" w14:paraId="200ABE98"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17B7D3B1" w14:textId="77777777" w:rsidR="00AB43EA" w:rsidRPr="00E050AF" w:rsidRDefault="00AB43EA" w:rsidP="00FB1BFE">
            <w:pPr>
              <w:keepLines/>
              <w:widowControl w:val="0"/>
              <w:spacing w:before="0"/>
              <w:jc w:val="left"/>
              <w:rPr>
                <w:rFonts w:eastAsiaTheme="majorEastAsia" w:cs="Arial"/>
                <w:sz w:val="20"/>
                <w:szCs w:val="20"/>
                <w:lang w:bidi="en-US"/>
              </w:rPr>
            </w:pPr>
            <w:r w:rsidRPr="00E050AF">
              <w:rPr>
                <w:rFonts w:eastAsiaTheme="majorEastAsia" w:cs="Arial"/>
                <w:sz w:val="20"/>
                <w:szCs w:val="20"/>
                <w:lang w:bidi="en-US"/>
              </w:rPr>
              <w:t>Time horizon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240E1D4" w14:textId="77777777" w:rsidR="00AB43EA" w:rsidRPr="00E050AF" w:rsidRDefault="00AB43EA" w:rsidP="003C7B03">
            <w:pPr>
              <w:pStyle w:val="TableBodyText-H54"/>
              <w:keepNext w:val="0"/>
              <w:keepLines/>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lang w:val="en-AU" w:bidi="en-US"/>
              </w:rPr>
            </w:pPr>
            <w:r w:rsidRPr="00E050AF">
              <w:rPr>
                <w:rFonts w:eastAsiaTheme="majorEastAsia" w:cs="Arial"/>
                <w:color w:val="auto"/>
                <w:lang w:val="en-AU" w:bidi="en-US"/>
              </w:rPr>
              <w:t>20 years in the model base case vs a median follow-up duration of 38 months in PAOLA-1.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244228" w14:textId="1074A5F8" w:rsidR="00AB43EA" w:rsidRPr="00E050AF" w:rsidRDefault="00150690"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 xml:space="preserve">PBAC has previously noted 20 years may be too long in </w:t>
            </w:r>
            <w:r w:rsidR="00CF529A" w:rsidRPr="00E050AF">
              <w:rPr>
                <w:rFonts w:ascii="Arial Narrow" w:eastAsiaTheme="majorEastAsia" w:hAnsi="Arial Narrow" w:cs="Arial"/>
                <w:i/>
                <w:iCs/>
                <w:sz w:val="20"/>
                <w:szCs w:val="20"/>
                <w:lang w:bidi="en-US"/>
              </w:rPr>
              <w:t>BRCA</w:t>
            </w:r>
            <w:r w:rsidRPr="00E050AF">
              <w:rPr>
                <w:rFonts w:ascii="Arial Narrow" w:eastAsiaTheme="majorEastAsia" w:hAnsi="Arial Narrow" w:cs="Arial"/>
                <w:sz w:val="20"/>
                <w:szCs w:val="20"/>
                <w:lang w:bidi="en-US"/>
              </w:rPr>
              <w:t>wt ovarian cancer patients (paragraph 7.15, p43, niraparib PSD, July 2021 PBAC Meeting)</w:t>
            </w:r>
          </w:p>
        </w:tc>
      </w:tr>
      <w:tr w:rsidR="00AB43EA" w:rsidRPr="00E050AF" w14:paraId="25D45C18"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573E9154" w14:textId="1608CA14" w:rsidR="00AB43EA" w:rsidRPr="00E050AF" w:rsidRDefault="00AB43EA" w:rsidP="00FB1BFE">
            <w:pPr>
              <w:keepLines/>
              <w:widowControl w:val="0"/>
              <w:spacing w:before="0"/>
              <w:jc w:val="left"/>
              <w:rPr>
                <w:rFonts w:eastAsiaTheme="majorEastAsia" w:cs="Arial"/>
                <w:sz w:val="20"/>
                <w:szCs w:val="20"/>
                <w:lang w:bidi="en-US"/>
              </w:rPr>
            </w:pPr>
            <w:r w:rsidRPr="00E050AF">
              <w:rPr>
                <w:rFonts w:eastAsiaTheme="majorEastAsia" w:cs="Arial"/>
                <w:sz w:val="20"/>
                <w:szCs w:val="20"/>
                <w:lang w:bidi="en-US"/>
              </w:rPr>
              <w:t>Method used to generate results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65A21A1" w14:textId="7A16A0A1"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Partitioned survival analysis</w:t>
            </w:r>
            <w:r w:rsidR="008C5ACD" w:rsidRPr="00E050AF">
              <w:rPr>
                <w:rFonts w:ascii="Arial Narrow" w:eastAsiaTheme="majorEastAsia" w:hAnsi="Arial Narrow" w:cs="Arial"/>
                <w:sz w:val="20"/>
                <w:szCs w:val="20"/>
                <w:lang w:bidi="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1AC8D65D" w14:textId="598262D6" w:rsidR="00AB43EA" w:rsidRPr="00E050AF" w:rsidRDefault="00A90E26"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Reasonable</w:t>
            </w:r>
            <w:r w:rsidR="008C5ACD" w:rsidRPr="00E050AF">
              <w:rPr>
                <w:rFonts w:ascii="Arial Narrow" w:eastAsiaTheme="majorEastAsia" w:hAnsi="Arial Narrow" w:cs="Arial"/>
                <w:sz w:val="20"/>
                <w:szCs w:val="20"/>
                <w:lang w:bidi="en-US"/>
              </w:rPr>
              <w:t>.</w:t>
            </w:r>
          </w:p>
        </w:tc>
      </w:tr>
      <w:tr w:rsidR="00AB43EA" w:rsidRPr="00E050AF" w14:paraId="3E5F9F03"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5EDDC1EF" w14:textId="77777777" w:rsidR="00AB43EA" w:rsidRPr="00E050AF" w:rsidRDefault="00AB43EA" w:rsidP="00FB1BFE">
            <w:pPr>
              <w:keepLines/>
              <w:widowControl w:val="0"/>
              <w:spacing w:before="0"/>
              <w:jc w:val="left"/>
              <w:rPr>
                <w:rFonts w:eastAsiaTheme="majorEastAsia" w:cs="Arial"/>
                <w:sz w:val="20"/>
                <w:szCs w:val="20"/>
                <w:lang w:bidi="en-US"/>
              </w:rPr>
            </w:pPr>
            <w:r w:rsidRPr="00E050AF">
              <w:rPr>
                <w:rFonts w:eastAsiaTheme="majorEastAsia" w:cs="Arial"/>
                <w:sz w:val="20"/>
                <w:szCs w:val="20"/>
                <w:lang w:bidi="en-US"/>
              </w:rPr>
              <w:t>Health states</w:t>
            </w:r>
          </w:p>
        </w:tc>
        <w:tc>
          <w:tcPr>
            <w:tcW w:w="0" w:type="auto"/>
            <w:tcBorders>
              <w:top w:val="single" w:sz="4" w:space="0" w:color="auto"/>
              <w:left w:val="single" w:sz="4" w:space="0" w:color="auto"/>
              <w:bottom w:val="single" w:sz="4" w:space="0" w:color="auto"/>
              <w:right w:val="single" w:sz="4" w:space="0" w:color="auto"/>
            </w:tcBorders>
            <w:vAlign w:val="center"/>
            <w:hideMark/>
          </w:tcPr>
          <w:p w14:paraId="1DFFD658" w14:textId="1A0339C7"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Cured, PFS for uncured patients, progress</w:t>
            </w:r>
            <w:r w:rsidR="00861258" w:rsidRPr="00E050AF">
              <w:rPr>
                <w:rFonts w:ascii="Arial Narrow" w:eastAsiaTheme="majorEastAsia" w:hAnsi="Arial Narrow" w:cs="Arial"/>
                <w:sz w:val="20"/>
                <w:szCs w:val="20"/>
                <w:lang w:bidi="en-US"/>
              </w:rPr>
              <w:t>ed</w:t>
            </w:r>
            <w:r w:rsidRPr="00E050AF">
              <w:rPr>
                <w:rFonts w:ascii="Arial Narrow" w:eastAsiaTheme="majorEastAsia" w:hAnsi="Arial Narrow" w:cs="Arial"/>
                <w:sz w:val="20"/>
                <w:szCs w:val="20"/>
                <w:lang w:bidi="en-US"/>
              </w:rPr>
              <w:t xml:space="preserve"> disease, death</w:t>
            </w:r>
            <w:r w:rsidR="008C5ACD" w:rsidRPr="00E050AF">
              <w:rPr>
                <w:rFonts w:ascii="Arial Narrow" w:eastAsiaTheme="majorEastAsia" w:hAnsi="Arial Narrow" w:cs="Arial"/>
                <w:sz w:val="20"/>
                <w:szCs w:val="20"/>
                <w:lang w:bidi="en-US"/>
              </w:rPr>
              <w:t>.</w:t>
            </w:r>
          </w:p>
          <w:p w14:paraId="7C65D705" w14:textId="08CC4C4E" w:rsidR="00374012" w:rsidRPr="00E050AF" w:rsidRDefault="00374012"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Patients who enter the cured health state do not experience disease progression over the time horizon of the model and are subject to all-cause mortality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34674C36" w14:textId="660FC5BA"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 xml:space="preserve">The model did not include a health state for PFS2 (which was included in the olaparib in </w:t>
            </w:r>
            <w:r w:rsidR="00CF529A" w:rsidRPr="00E050AF">
              <w:rPr>
                <w:rFonts w:ascii="Arial Narrow" w:eastAsiaTheme="majorEastAsia" w:hAnsi="Arial Narrow" w:cs="Arial"/>
                <w:i/>
                <w:iCs/>
                <w:sz w:val="20"/>
                <w:szCs w:val="20"/>
                <w:lang w:bidi="en-US"/>
              </w:rPr>
              <w:t>BRCA</w:t>
            </w:r>
            <w:r w:rsidRPr="00E050AF">
              <w:rPr>
                <w:rFonts w:ascii="Arial Narrow" w:eastAsiaTheme="majorEastAsia" w:hAnsi="Arial Narrow" w:cs="Arial"/>
                <w:sz w:val="20"/>
                <w:szCs w:val="20"/>
                <w:lang w:bidi="en-US"/>
              </w:rPr>
              <w:t xml:space="preserve">m model), which </w:t>
            </w:r>
            <w:r w:rsidR="004668CA" w:rsidRPr="00E050AF">
              <w:rPr>
                <w:rFonts w:ascii="Arial Narrow" w:eastAsiaTheme="majorEastAsia" w:hAnsi="Arial Narrow" w:cs="Arial"/>
                <w:sz w:val="20"/>
                <w:szCs w:val="20"/>
                <w:lang w:bidi="en-US"/>
              </w:rPr>
              <w:t xml:space="preserve">may have </w:t>
            </w:r>
            <w:r w:rsidRPr="00E050AF">
              <w:rPr>
                <w:rFonts w:ascii="Arial Narrow" w:eastAsiaTheme="majorEastAsia" w:hAnsi="Arial Narrow" w:cs="Arial"/>
                <w:sz w:val="20"/>
                <w:szCs w:val="20"/>
                <w:lang w:bidi="en-US"/>
              </w:rPr>
              <w:t>favoured olaparib</w:t>
            </w:r>
            <w:r w:rsidR="004668CA" w:rsidRPr="00E050AF">
              <w:rPr>
                <w:rFonts w:ascii="Arial Narrow" w:eastAsiaTheme="majorEastAsia" w:hAnsi="Arial Narrow" w:cs="Arial"/>
                <w:sz w:val="20"/>
                <w:szCs w:val="20"/>
                <w:lang w:bidi="en-US"/>
              </w:rPr>
              <w:t xml:space="preserve"> plus bevacizumab</w:t>
            </w:r>
            <w:r w:rsidR="00861258" w:rsidRPr="00E050AF">
              <w:rPr>
                <w:rFonts w:ascii="Arial Narrow" w:eastAsiaTheme="majorEastAsia" w:hAnsi="Arial Narrow" w:cs="Arial"/>
                <w:sz w:val="20"/>
                <w:szCs w:val="20"/>
                <w:lang w:bidi="en-US"/>
              </w:rPr>
              <w:t xml:space="preserve"> due to underestimating progressed disease utility</w:t>
            </w:r>
            <w:r w:rsidR="00644918" w:rsidRPr="00E050AF">
              <w:rPr>
                <w:rFonts w:ascii="Arial Narrow" w:eastAsiaTheme="majorEastAsia" w:hAnsi="Arial Narrow" w:cs="Arial"/>
                <w:sz w:val="20"/>
                <w:szCs w:val="20"/>
                <w:lang w:bidi="en-US"/>
              </w:rPr>
              <w:t>.</w:t>
            </w:r>
          </w:p>
          <w:p w14:paraId="69F6DBEA" w14:textId="6C48743B" w:rsidR="00644918" w:rsidRPr="00E050AF" w:rsidRDefault="00674FB8"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B</w:t>
            </w:r>
            <w:r w:rsidR="00644918" w:rsidRPr="00E050AF">
              <w:rPr>
                <w:rFonts w:ascii="Arial Narrow" w:eastAsiaTheme="majorEastAsia" w:hAnsi="Arial Narrow" w:cs="Arial"/>
                <w:sz w:val="20"/>
                <w:szCs w:val="20"/>
                <w:lang w:bidi="en-US"/>
              </w:rPr>
              <w:t xml:space="preserve">oth olaparib monotherapy </w:t>
            </w:r>
            <w:r w:rsidR="007D3B2A" w:rsidRPr="00E050AF">
              <w:rPr>
                <w:rFonts w:ascii="Arial Narrow" w:eastAsiaTheme="majorEastAsia" w:hAnsi="Arial Narrow" w:cs="Arial"/>
                <w:sz w:val="20"/>
                <w:szCs w:val="20"/>
                <w:lang w:bidi="en-US"/>
              </w:rPr>
              <w:t xml:space="preserve">(July 2020) and niraparib monotherapy (July 2021) </w:t>
            </w:r>
            <w:r w:rsidRPr="00E050AF">
              <w:rPr>
                <w:rFonts w:ascii="Arial Narrow" w:eastAsiaTheme="majorEastAsia" w:hAnsi="Arial Narrow" w:cs="Arial"/>
                <w:sz w:val="20"/>
                <w:szCs w:val="20"/>
                <w:lang w:bidi="en-US"/>
              </w:rPr>
              <w:t xml:space="preserve">PBAC submissions </w:t>
            </w:r>
            <w:r w:rsidR="007D3B2A" w:rsidRPr="00E050AF">
              <w:rPr>
                <w:rFonts w:ascii="Arial Narrow" w:eastAsiaTheme="majorEastAsia" w:hAnsi="Arial Narrow" w:cs="Arial"/>
                <w:sz w:val="20"/>
                <w:szCs w:val="20"/>
                <w:lang w:bidi="en-US"/>
              </w:rPr>
              <w:t>for HGEOC included a ‘cured’ health state</w:t>
            </w:r>
            <w:r w:rsidRPr="00E050AF">
              <w:rPr>
                <w:rFonts w:ascii="Arial Narrow" w:eastAsiaTheme="majorEastAsia" w:hAnsi="Arial Narrow" w:cs="Arial"/>
                <w:sz w:val="20"/>
                <w:szCs w:val="20"/>
                <w:lang w:bidi="en-US"/>
              </w:rPr>
              <w:t>.</w:t>
            </w:r>
          </w:p>
        </w:tc>
      </w:tr>
      <w:tr w:rsidR="00AB43EA" w:rsidRPr="00E050AF" w14:paraId="4D913EC0"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75640B5B" w14:textId="77777777" w:rsidR="00AB43EA" w:rsidRPr="00E050AF" w:rsidRDefault="00AB43EA" w:rsidP="00FB1BFE">
            <w:pPr>
              <w:keepLines/>
              <w:widowControl w:val="0"/>
              <w:spacing w:before="0"/>
              <w:jc w:val="left"/>
              <w:rPr>
                <w:rFonts w:eastAsiaTheme="majorEastAsia" w:cs="Arial"/>
                <w:sz w:val="20"/>
                <w:szCs w:val="20"/>
                <w:lang w:bidi="en-US"/>
              </w:rPr>
            </w:pPr>
            <w:r w:rsidRPr="00E050AF">
              <w:rPr>
                <w:rFonts w:eastAsiaTheme="majorEastAsia" w:cs="Arial"/>
                <w:sz w:val="20"/>
                <w:szCs w:val="20"/>
                <w:lang w:bidi="en-US"/>
              </w:rPr>
              <w:t>Cycle length</w:t>
            </w:r>
          </w:p>
        </w:tc>
        <w:tc>
          <w:tcPr>
            <w:tcW w:w="0" w:type="auto"/>
            <w:tcBorders>
              <w:top w:val="single" w:sz="4" w:space="0" w:color="auto"/>
              <w:left w:val="single" w:sz="4" w:space="0" w:color="auto"/>
              <w:bottom w:val="single" w:sz="4" w:space="0" w:color="auto"/>
              <w:right w:val="single" w:sz="4" w:space="0" w:color="auto"/>
            </w:tcBorders>
            <w:vAlign w:val="center"/>
            <w:hideMark/>
          </w:tcPr>
          <w:p w14:paraId="1A149706" w14:textId="18AC6E71"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Monthly</w:t>
            </w:r>
            <w:r w:rsidR="008C5ACD" w:rsidRPr="00E050AF">
              <w:rPr>
                <w:rFonts w:ascii="Arial Narrow" w:eastAsiaTheme="majorEastAsia" w:hAnsi="Arial Narrow" w:cs="Arial"/>
                <w:sz w:val="20"/>
                <w:szCs w:val="20"/>
                <w:lang w:bidi="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22F2897D" w14:textId="2A15B560"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Reasonable</w:t>
            </w:r>
            <w:r w:rsidR="008C5ACD" w:rsidRPr="00E050AF">
              <w:rPr>
                <w:rFonts w:ascii="Arial Narrow" w:eastAsiaTheme="majorEastAsia" w:hAnsi="Arial Narrow" w:cs="Arial"/>
                <w:sz w:val="20"/>
                <w:szCs w:val="20"/>
                <w:lang w:bidi="en-US"/>
              </w:rPr>
              <w:t>.</w:t>
            </w:r>
          </w:p>
        </w:tc>
      </w:tr>
      <w:tr w:rsidR="00AB43EA" w:rsidRPr="00E050AF" w14:paraId="56B9FC86"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58212A62" w14:textId="77777777" w:rsidR="00AB43EA" w:rsidRPr="00E050AF" w:rsidRDefault="00AB43EA" w:rsidP="00FB1BFE">
            <w:pPr>
              <w:pStyle w:val="TableBodyText-H54"/>
              <w:keepNext w:val="0"/>
              <w:keepLines/>
              <w:spacing w:before="0" w:after="0" w:line="240" w:lineRule="auto"/>
              <w:rPr>
                <w:rFonts w:eastAsiaTheme="majorEastAsia"/>
                <w:lang w:val="en-AU" w:bidi="en-US"/>
              </w:rPr>
            </w:pPr>
            <w:r w:rsidRPr="00E050AF">
              <w:rPr>
                <w:rFonts w:eastAsiaTheme="majorEastAsia"/>
                <w:lang w:val="en-AU" w:bidi="en-US"/>
              </w:rPr>
              <w:t>Implications of false positive and false negative results</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3DB41" w14:textId="77777777" w:rsidR="00AB43EA" w:rsidRPr="00E050AF" w:rsidRDefault="00AB43EA" w:rsidP="003C7B03">
            <w:pPr>
              <w:pStyle w:val="TableBodyText-H54"/>
              <w:keepNext w:val="0"/>
              <w:keepLines/>
              <w:spacing w:before="0" w:after="0" w:line="240" w:lineRule="auto"/>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False negatives and false positives were considered in the structure of the testing component of the model for most patient populations.</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F0470" w14:textId="1DDBF2ED" w:rsidR="00C20515" w:rsidRPr="00E050AF" w:rsidRDefault="00AB43EA" w:rsidP="00C20515">
            <w:pPr>
              <w:pStyle w:val="TableBodyText-H54"/>
              <w:keepNext w:val="0"/>
              <w:keepLines/>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lang w:val="en-AU" w:bidi="en-US"/>
              </w:rPr>
            </w:pPr>
            <w:r w:rsidRPr="00E050AF">
              <w:rPr>
                <w:lang w:val="en-AU"/>
              </w:rPr>
              <w:t xml:space="preserve">The model did not consider the implications of false positives for the populations P5 (patients with </w:t>
            </w:r>
            <w:r w:rsidR="008A0373" w:rsidRPr="00E050AF">
              <w:rPr>
                <w:i/>
                <w:iCs/>
                <w:lang w:val="en-AU"/>
              </w:rPr>
              <w:t>BRCAm</w:t>
            </w:r>
            <w:r w:rsidR="008A0373" w:rsidRPr="00E050AF" w:rsidDel="008A0373">
              <w:rPr>
                <w:i/>
                <w:iCs/>
                <w:lang w:val="en-AU"/>
              </w:rPr>
              <w:t xml:space="preserve"> </w:t>
            </w:r>
            <w:r w:rsidRPr="00E050AF">
              <w:rPr>
                <w:lang w:val="en-AU"/>
              </w:rPr>
              <w:t xml:space="preserve">tumours who have HRD test) and C1 (patients with </w:t>
            </w:r>
            <w:r w:rsidR="008A0373" w:rsidRPr="00E050AF">
              <w:rPr>
                <w:i/>
                <w:iCs/>
                <w:lang w:val="en-AU"/>
              </w:rPr>
              <w:t>BRCA</w:t>
            </w:r>
            <w:r w:rsidR="008A0373" w:rsidRPr="00E050AF">
              <w:rPr>
                <w:lang w:val="en-AU"/>
              </w:rPr>
              <w:t>m</w:t>
            </w:r>
            <w:r w:rsidR="008A0373" w:rsidRPr="00E050AF" w:rsidDel="008A0373">
              <w:rPr>
                <w:iCs/>
                <w:lang w:val="en-AU"/>
              </w:rPr>
              <w:t xml:space="preserve"> </w:t>
            </w:r>
            <w:r w:rsidRPr="00E050AF">
              <w:rPr>
                <w:lang w:val="en-AU"/>
              </w:rPr>
              <w:t xml:space="preserve">tumours who have </w:t>
            </w:r>
            <w:r w:rsidR="00CF529A" w:rsidRPr="00E050AF">
              <w:rPr>
                <w:i/>
                <w:iCs/>
                <w:lang w:val="en-AU"/>
              </w:rPr>
              <w:t>BRCA</w:t>
            </w:r>
            <w:r w:rsidRPr="00E050AF">
              <w:rPr>
                <w:lang w:val="en-AU"/>
              </w:rPr>
              <w:t xml:space="preserve"> test only).</w:t>
            </w:r>
            <w:r w:rsidR="00E25A1F" w:rsidRPr="00E050AF">
              <w:rPr>
                <w:rFonts w:eastAsiaTheme="majorEastAsia" w:cs="Arial"/>
                <w:lang w:val="en-AU" w:bidi="en-US"/>
              </w:rPr>
              <w:t xml:space="preserve"> This led to the aggregate results being inaccurate though the incremental results </w:t>
            </w:r>
            <w:r w:rsidR="00C20515" w:rsidRPr="00E050AF">
              <w:rPr>
                <w:rFonts w:eastAsiaTheme="majorEastAsia" w:cs="Arial"/>
                <w:lang w:val="en-AU" w:bidi="en-US"/>
              </w:rPr>
              <w:t>are</w:t>
            </w:r>
            <w:r w:rsidR="00E25A1F" w:rsidRPr="00E050AF">
              <w:rPr>
                <w:rFonts w:eastAsiaTheme="majorEastAsia" w:cs="Arial"/>
                <w:lang w:val="en-AU" w:bidi="en-US"/>
              </w:rPr>
              <w:t xml:space="preserve"> correct</w:t>
            </w:r>
            <w:r w:rsidR="00C20515" w:rsidRPr="00E050AF">
              <w:rPr>
                <w:rFonts w:eastAsiaTheme="majorEastAsia" w:cs="Arial"/>
                <w:lang w:val="en-AU" w:bidi="en-US"/>
              </w:rPr>
              <w:t>,</w:t>
            </w:r>
            <w:r w:rsidR="00482A72" w:rsidRPr="00E050AF">
              <w:rPr>
                <w:rFonts w:eastAsiaTheme="majorEastAsia" w:cs="Arial"/>
                <w:lang w:val="en-AU" w:bidi="en-US"/>
              </w:rPr>
              <w:t xml:space="preserve"> assuming P5 and C1 cancel </w:t>
            </w:r>
            <w:r w:rsidR="0025444A" w:rsidRPr="00E050AF">
              <w:rPr>
                <w:rFonts w:eastAsiaTheme="majorEastAsia" w:cs="Arial"/>
                <w:lang w:val="en-AU" w:bidi="en-US"/>
              </w:rPr>
              <w:t xml:space="preserve">each other </w:t>
            </w:r>
            <w:r w:rsidR="00482A72" w:rsidRPr="00E050AF">
              <w:rPr>
                <w:rFonts w:eastAsiaTheme="majorEastAsia" w:cs="Arial"/>
                <w:lang w:val="en-AU" w:bidi="en-US"/>
              </w:rPr>
              <w:t>out</w:t>
            </w:r>
            <w:r w:rsidR="00C20515" w:rsidRPr="00E050AF">
              <w:rPr>
                <w:rFonts w:eastAsiaTheme="majorEastAsia" w:cs="Arial"/>
                <w:lang w:val="en-AU" w:bidi="en-US"/>
              </w:rPr>
              <w:t xml:space="preserve"> as stated by the submission</w:t>
            </w:r>
            <w:r w:rsidR="00E25A1F" w:rsidRPr="00E050AF">
              <w:rPr>
                <w:rFonts w:eastAsiaTheme="majorEastAsia" w:cs="Arial"/>
                <w:lang w:val="en-AU" w:bidi="en-US"/>
              </w:rPr>
              <w:t>.</w:t>
            </w:r>
          </w:p>
        </w:tc>
      </w:tr>
      <w:tr w:rsidR="00AB43EA" w:rsidRPr="00E050AF" w14:paraId="44534373" w14:textId="77777777" w:rsidTr="00A15917">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38199797" w14:textId="77777777" w:rsidR="00AB43EA" w:rsidRPr="00E050AF" w:rsidRDefault="00AB43EA" w:rsidP="00FB1BFE">
            <w:pPr>
              <w:keepLines/>
              <w:widowControl w:val="0"/>
              <w:spacing w:before="0"/>
              <w:jc w:val="left"/>
              <w:rPr>
                <w:rFonts w:eastAsiaTheme="majorEastAsia" w:cs="Arial"/>
                <w:sz w:val="20"/>
                <w:szCs w:val="20"/>
                <w:lang w:bidi="en-US"/>
              </w:rPr>
            </w:pPr>
            <w:r w:rsidRPr="00E050AF">
              <w:rPr>
                <w:rFonts w:eastAsiaTheme="majorEastAsia" w:cs="Arial"/>
                <w:sz w:val="20"/>
                <w:szCs w:val="20"/>
                <w:lang w:bidi="en-US"/>
              </w:rPr>
              <w:t>Transition probabilities</w:t>
            </w:r>
          </w:p>
        </w:tc>
        <w:tc>
          <w:tcPr>
            <w:tcW w:w="0" w:type="auto"/>
            <w:tcBorders>
              <w:top w:val="single" w:sz="4" w:space="0" w:color="auto"/>
              <w:left w:val="single" w:sz="4" w:space="0" w:color="auto"/>
              <w:bottom w:val="single" w:sz="4" w:space="0" w:color="auto"/>
              <w:right w:val="single" w:sz="4" w:space="0" w:color="auto"/>
            </w:tcBorders>
            <w:vAlign w:val="center"/>
            <w:hideMark/>
          </w:tcPr>
          <w:p w14:paraId="48D95FCF" w14:textId="77777777"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Cure fraction was estimated using parametric mixture cure models fitted directly to PFS data from PAOLA-1. Kaplan-Meier estimates for PFS and OS for uncured patients were based on data from PAOLA-1.</w:t>
            </w:r>
          </w:p>
          <w:p w14:paraId="563D6DE0" w14:textId="77777777"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For cured patients, the death rate is solely based on age-specific mortality based on Australian life tables.</w:t>
            </w:r>
          </w:p>
        </w:tc>
        <w:tc>
          <w:tcPr>
            <w:tcW w:w="0" w:type="auto"/>
            <w:tcBorders>
              <w:top w:val="single" w:sz="4" w:space="0" w:color="auto"/>
              <w:left w:val="single" w:sz="4" w:space="0" w:color="auto"/>
              <w:bottom w:val="single" w:sz="4" w:space="0" w:color="auto"/>
              <w:right w:val="single" w:sz="4" w:space="0" w:color="auto"/>
            </w:tcBorders>
            <w:vAlign w:val="center"/>
            <w:hideMark/>
          </w:tcPr>
          <w:p w14:paraId="2AD1F38F" w14:textId="07EAF38B" w:rsidR="001E72DF" w:rsidRPr="00E050AF" w:rsidRDefault="001E72DF"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The submission noted that the inclusion of a cure f</w:t>
            </w:r>
            <w:r w:rsidR="00071C39" w:rsidRPr="00E050AF">
              <w:rPr>
                <w:rFonts w:ascii="Arial Narrow" w:eastAsiaTheme="majorEastAsia" w:hAnsi="Arial Narrow" w:cs="Arial"/>
                <w:sz w:val="20"/>
                <w:szCs w:val="20"/>
                <w:lang w:bidi="en-US"/>
              </w:rPr>
              <w:t>r</w:t>
            </w:r>
            <w:r w:rsidRPr="00E050AF">
              <w:rPr>
                <w:rFonts w:ascii="Arial Narrow" w:eastAsiaTheme="majorEastAsia" w:hAnsi="Arial Narrow" w:cs="Arial"/>
                <w:sz w:val="20"/>
                <w:szCs w:val="20"/>
                <w:lang w:bidi="en-US"/>
              </w:rPr>
              <w:t xml:space="preserve">action </w:t>
            </w:r>
            <w:r w:rsidR="00EA529A" w:rsidRPr="00E050AF">
              <w:rPr>
                <w:rFonts w:ascii="Arial Narrow" w:eastAsiaTheme="majorEastAsia" w:hAnsi="Arial Narrow" w:cs="Arial"/>
                <w:sz w:val="20"/>
                <w:szCs w:val="20"/>
                <w:lang w:bidi="en-US"/>
              </w:rPr>
              <w:t>wa</w:t>
            </w:r>
            <w:r w:rsidRPr="00E050AF">
              <w:rPr>
                <w:rFonts w:ascii="Arial Narrow" w:eastAsiaTheme="majorEastAsia" w:hAnsi="Arial Narrow" w:cs="Arial"/>
                <w:sz w:val="20"/>
                <w:szCs w:val="20"/>
                <w:lang w:bidi="en-US"/>
              </w:rPr>
              <w:t xml:space="preserve">s consistent with the model presented for olaparib monotherapy </w:t>
            </w:r>
            <w:r w:rsidR="00EA529A" w:rsidRPr="00E050AF">
              <w:rPr>
                <w:rFonts w:ascii="Arial Narrow" w:eastAsiaTheme="majorEastAsia" w:hAnsi="Arial Narrow" w:cs="Arial"/>
                <w:sz w:val="20"/>
                <w:szCs w:val="20"/>
                <w:lang w:bidi="en-US"/>
              </w:rPr>
              <w:t xml:space="preserve">for the treatment of advanced HGEOC </w:t>
            </w:r>
            <w:r w:rsidRPr="00E050AF">
              <w:rPr>
                <w:rFonts w:ascii="Arial Narrow" w:eastAsiaTheme="majorEastAsia" w:hAnsi="Arial Narrow" w:cs="Arial"/>
                <w:sz w:val="20"/>
                <w:szCs w:val="20"/>
                <w:lang w:bidi="en-US"/>
              </w:rPr>
              <w:t xml:space="preserve">(July </w:t>
            </w:r>
            <w:r w:rsidR="00071C39" w:rsidRPr="00E050AF">
              <w:rPr>
                <w:rFonts w:ascii="Arial Narrow" w:eastAsiaTheme="majorEastAsia" w:hAnsi="Arial Narrow" w:cs="Arial"/>
                <w:sz w:val="20"/>
                <w:szCs w:val="20"/>
                <w:lang w:bidi="en-US"/>
              </w:rPr>
              <w:t xml:space="preserve">2020 </w:t>
            </w:r>
            <w:r w:rsidRPr="00E050AF">
              <w:rPr>
                <w:rFonts w:ascii="Arial Narrow" w:eastAsiaTheme="majorEastAsia" w:hAnsi="Arial Narrow" w:cs="Arial"/>
                <w:sz w:val="20"/>
                <w:szCs w:val="20"/>
                <w:lang w:bidi="en-US"/>
              </w:rPr>
              <w:t>PBAC Meeting).</w:t>
            </w:r>
          </w:p>
          <w:p w14:paraId="0DAD16E0" w14:textId="03E9ECF8" w:rsidR="00AB43EA" w:rsidRPr="00E050AF" w:rsidRDefault="00AB43EA" w:rsidP="003C7B03">
            <w:pPr>
              <w:keepLines/>
              <w:widowControl w:val="0"/>
              <w:spacing w:before="0"/>
              <w:jc w:val="left"/>
              <w:cnfStyle w:val="000000000000" w:firstRow="0" w:lastRow="0" w:firstColumn="0" w:lastColumn="0" w:oddVBand="0" w:evenVBand="0" w:oddHBand="0" w:evenHBand="0" w:firstRowFirstColumn="0" w:firstRowLastColumn="0" w:lastRowFirstColumn="0" w:lastRowLastColumn="0"/>
              <w:rPr>
                <w:rFonts w:ascii="Arial Narrow" w:eastAsiaTheme="majorEastAsia" w:hAnsi="Arial Narrow" w:cs="Arial"/>
                <w:sz w:val="20"/>
                <w:szCs w:val="20"/>
                <w:lang w:bidi="en-US"/>
              </w:rPr>
            </w:pPr>
            <w:r w:rsidRPr="00E050AF">
              <w:rPr>
                <w:rFonts w:ascii="Arial Narrow" w:eastAsiaTheme="majorEastAsia" w:hAnsi="Arial Narrow" w:cs="Arial"/>
                <w:sz w:val="20"/>
                <w:szCs w:val="20"/>
                <w:lang w:bidi="en-US"/>
              </w:rPr>
              <w:t xml:space="preserve">The choice of parametric function resulted in a cure fraction for patients who received olaparib plus bevacizumab that </w:t>
            </w:r>
            <w:r w:rsidR="00071C39" w:rsidRPr="00E050AF">
              <w:rPr>
                <w:rFonts w:ascii="Arial Narrow" w:eastAsiaTheme="majorEastAsia" w:hAnsi="Arial Narrow" w:cs="Arial"/>
                <w:sz w:val="20"/>
                <w:szCs w:val="20"/>
                <w:lang w:bidi="en-US"/>
              </w:rPr>
              <w:t>appears</w:t>
            </w:r>
            <w:r w:rsidRPr="00E050AF">
              <w:rPr>
                <w:rFonts w:ascii="Arial Narrow" w:eastAsiaTheme="majorEastAsia" w:hAnsi="Arial Narrow" w:cs="Arial"/>
                <w:sz w:val="20"/>
                <w:szCs w:val="20"/>
                <w:lang w:bidi="en-US"/>
              </w:rPr>
              <w:t xml:space="preserve"> overly optimistic (</w:t>
            </w:r>
            <w:r w:rsidRPr="00F2616B">
              <w:rPr>
                <w:rFonts w:ascii="Arial Narrow" w:eastAsiaTheme="majorEastAsia" w:hAnsi="Arial Narrow" w:cs="Arial"/>
                <w:sz w:val="20"/>
                <w:szCs w:val="20"/>
                <w:lang w:bidi="en-US"/>
              </w:rPr>
              <w:t>38.57%, compared to a cure fraction for the comparator of 6.63</w:t>
            </w:r>
            <w:r w:rsidRPr="00E050AF">
              <w:rPr>
                <w:rFonts w:ascii="Arial Narrow" w:eastAsiaTheme="majorEastAsia" w:hAnsi="Arial Narrow" w:cs="Arial"/>
                <w:sz w:val="20"/>
                <w:szCs w:val="20"/>
                <w:lang w:bidi="en-US"/>
              </w:rPr>
              <w:t xml:space="preserve">%). </w:t>
            </w:r>
            <w:r w:rsidR="00D410E4" w:rsidRPr="00E050AF">
              <w:rPr>
                <w:rFonts w:ascii="Arial Narrow" w:eastAsiaTheme="majorEastAsia" w:hAnsi="Arial Narrow" w:cs="Arial"/>
                <w:sz w:val="20"/>
                <w:szCs w:val="20"/>
                <w:lang w:bidi="en-US"/>
              </w:rPr>
              <w:t>The s</w:t>
            </w:r>
            <w:r w:rsidR="00731903" w:rsidRPr="00E050AF">
              <w:rPr>
                <w:rFonts w:ascii="Arial Narrow" w:eastAsiaTheme="majorEastAsia" w:hAnsi="Arial Narrow" w:cs="Arial"/>
                <w:sz w:val="20"/>
                <w:szCs w:val="20"/>
                <w:lang w:bidi="en-US"/>
              </w:rPr>
              <w:t xml:space="preserve">ubmission </w:t>
            </w:r>
            <w:r w:rsidR="00D410E4" w:rsidRPr="00E050AF">
              <w:rPr>
                <w:rFonts w:ascii="Arial Narrow" w:eastAsiaTheme="majorEastAsia" w:hAnsi="Arial Narrow" w:cs="Arial"/>
                <w:sz w:val="20"/>
                <w:szCs w:val="20"/>
                <w:lang w:bidi="en-US"/>
              </w:rPr>
              <w:t>applied</w:t>
            </w:r>
            <w:r w:rsidR="00731903" w:rsidRPr="00E050AF">
              <w:rPr>
                <w:rFonts w:ascii="Arial Narrow" w:eastAsiaTheme="majorEastAsia" w:hAnsi="Arial Narrow" w:cs="Arial"/>
                <w:sz w:val="20"/>
                <w:szCs w:val="20"/>
                <w:lang w:bidi="en-US"/>
              </w:rPr>
              <w:t xml:space="preserve"> the same extrapolation function to both arms, which ignored the best statistical fitting model (Weibull) for bevacizumab and favoured olaparib plus bevacizumab.</w:t>
            </w:r>
          </w:p>
        </w:tc>
      </w:tr>
      <w:tr w:rsidR="00AB43EA" w:rsidRPr="00E050AF" w14:paraId="2C496C4D" w14:textId="77777777" w:rsidTr="00A15917">
        <w:trPr>
          <w:trHeight w:val="160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hideMark/>
          </w:tcPr>
          <w:p w14:paraId="4A2DB0C5" w14:textId="77777777" w:rsidR="00AB43EA" w:rsidRPr="00E050AF" w:rsidRDefault="00AB43EA" w:rsidP="00FB1BFE">
            <w:pPr>
              <w:pStyle w:val="TableBodyText-H54"/>
              <w:keepNext w:val="0"/>
              <w:keepLines/>
              <w:spacing w:before="0" w:after="0" w:line="240" w:lineRule="auto"/>
              <w:rPr>
                <w:lang w:val="en-AU"/>
              </w:rPr>
            </w:pPr>
            <w:r w:rsidRPr="00E050AF">
              <w:rPr>
                <w:lang w:val="en-AU"/>
              </w:rPr>
              <w:t>Health related quality of life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356AC" w14:textId="20980AFA" w:rsidR="00AB43EA" w:rsidRPr="00E050AF" w:rsidRDefault="00AB43EA" w:rsidP="003C7B03">
            <w:pPr>
              <w:pStyle w:val="TableText"/>
              <w:keepLines/>
              <w:cnfStyle w:val="000000000000" w:firstRow="0" w:lastRow="0" w:firstColumn="0" w:lastColumn="0" w:oddVBand="0" w:evenVBand="0" w:oddHBand="0" w:evenHBand="0" w:firstRowFirstColumn="0" w:firstRowLastColumn="0" w:lastRowFirstColumn="0" w:lastRowLastColumn="0"/>
            </w:pPr>
            <w:r w:rsidRPr="00E050AF">
              <w:t>The following utilities were used in the model: progression-free = 0.765; progressed = 0.544; cured = 0.765</w:t>
            </w:r>
            <w:r w:rsidR="008C5ACD" w:rsidRPr="00E050AF">
              <w:t>.</w:t>
            </w:r>
          </w:p>
          <w:p w14:paraId="0D80EDE9" w14:textId="51B60CA1" w:rsidR="00AB43EA" w:rsidRPr="00E050AF" w:rsidRDefault="00AB43EA" w:rsidP="003C7B03">
            <w:pPr>
              <w:pStyle w:val="TableBodyText-H54"/>
              <w:keepNext w:val="0"/>
              <w:keepLines/>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lang w:val="en-AU" w:bidi="en-US"/>
              </w:rPr>
            </w:pPr>
            <w:r w:rsidRPr="00E050AF">
              <w:rPr>
                <w:lang w:val="en-AU"/>
              </w:rPr>
              <w:t>The progression-free utility value was derived from PAOLA-1 ITT population. The post-progression utility value was derived from an average of four published literature values</w:t>
            </w:r>
            <w:r w:rsidR="00C05D37" w:rsidRPr="00E050AF">
              <w:rPr>
                <w:lang w:val="en-AU"/>
              </w:rPr>
              <w:t xml:space="preserve"> (Havrilesky 2009, NICE TA 91, Greving 2009/Grann 1999 and Byrne 2018)</w:t>
            </w:r>
            <w:r w:rsidR="00471979" w:rsidRPr="00E050AF">
              <w:rPr>
                <w:lang w:val="en-AU"/>
              </w:rPr>
              <w:t>. Utility values for cured patients were assumed to be the same as the progression-free health state.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633CCED" w14:textId="4CD9CC56" w:rsidR="00853F68" w:rsidRPr="00E050AF" w:rsidRDefault="00AB43EA" w:rsidP="003C7B03">
            <w:pPr>
              <w:pStyle w:val="TableBodyText-H54"/>
              <w:keepNext w:val="0"/>
              <w:keepLines/>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lang w:val="en-AU" w:bidi="en-US"/>
              </w:rPr>
            </w:pPr>
            <w:r w:rsidRPr="00E050AF">
              <w:rPr>
                <w:rFonts w:eastAsiaTheme="majorEastAsia" w:cs="Arial"/>
                <w:lang w:val="en-AU" w:bidi="en-US"/>
              </w:rPr>
              <w:t>While the submission claimed that it was not possible to use EQ-5D data collected in PAOLA-1 to inform the utility score after progression due to the limited number of observations, it may have been more appropriate to consistently use utilities from PAOLA-1 rather than values from other publications</w:t>
            </w:r>
            <w:r w:rsidR="005E676E" w:rsidRPr="00E050AF">
              <w:rPr>
                <w:rFonts w:eastAsiaTheme="majorEastAsia" w:cs="Arial"/>
                <w:lang w:val="en-AU" w:bidi="en-US"/>
              </w:rPr>
              <w:t xml:space="preserve"> (</w:t>
            </w:r>
            <w:r w:rsidR="004E5CEA" w:rsidRPr="00E050AF">
              <w:rPr>
                <w:rFonts w:eastAsiaTheme="majorEastAsia" w:cs="Arial"/>
                <w:lang w:val="en-AU" w:bidi="en-US"/>
              </w:rPr>
              <w:t xml:space="preserve">see paragraphs </w:t>
            </w:r>
            <w:r w:rsidR="004E5CEA" w:rsidRPr="00E050AF">
              <w:rPr>
                <w:rFonts w:eastAsiaTheme="majorEastAsia" w:cs="Arial"/>
                <w:lang w:val="en-AU" w:bidi="en-US"/>
              </w:rPr>
              <w:fldChar w:fldCharType="begin"/>
            </w:r>
            <w:r w:rsidR="004E5CEA" w:rsidRPr="00E050AF">
              <w:rPr>
                <w:rFonts w:eastAsiaTheme="majorEastAsia" w:cs="Arial"/>
                <w:lang w:val="en-AU" w:bidi="en-US"/>
              </w:rPr>
              <w:instrText xml:space="preserve"> REF _Ref101314455 \r \h </w:instrText>
            </w:r>
            <w:r w:rsidR="003C7B03" w:rsidRPr="00E050AF">
              <w:rPr>
                <w:rFonts w:eastAsiaTheme="majorEastAsia" w:cs="Arial"/>
                <w:lang w:val="en-AU" w:bidi="en-US"/>
              </w:rPr>
              <w:instrText xml:space="preserve"> \* MERGEFORMAT </w:instrText>
            </w:r>
            <w:r w:rsidR="004E5CEA" w:rsidRPr="00E050AF">
              <w:rPr>
                <w:rFonts w:eastAsiaTheme="majorEastAsia" w:cs="Arial"/>
                <w:lang w:val="en-AU" w:bidi="en-US"/>
              </w:rPr>
            </w:r>
            <w:r w:rsidR="004E5CEA" w:rsidRPr="00E050AF">
              <w:rPr>
                <w:rFonts w:eastAsiaTheme="majorEastAsia" w:cs="Arial"/>
                <w:lang w:val="en-AU" w:bidi="en-US"/>
              </w:rPr>
              <w:fldChar w:fldCharType="separate"/>
            </w:r>
            <w:r w:rsidR="00E050AF" w:rsidRPr="00E050AF">
              <w:rPr>
                <w:rFonts w:eastAsiaTheme="majorEastAsia" w:cs="Arial"/>
                <w:lang w:val="en-AU" w:bidi="en-US"/>
              </w:rPr>
              <w:t>6.65</w:t>
            </w:r>
            <w:r w:rsidR="004E5CEA" w:rsidRPr="00E050AF">
              <w:rPr>
                <w:rFonts w:eastAsiaTheme="majorEastAsia" w:cs="Arial"/>
                <w:lang w:val="en-AU" w:bidi="en-US"/>
              </w:rPr>
              <w:fldChar w:fldCharType="end"/>
            </w:r>
            <w:r w:rsidR="004E5CEA" w:rsidRPr="00E050AF">
              <w:rPr>
                <w:rFonts w:eastAsiaTheme="majorEastAsia" w:cs="Arial"/>
                <w:lang w:val="en-AU" w:bidi="en-US"/>
              </w:rPr>
              <w:t xml:space="preserve"> and </w:t>
            </w:r>
            <w:r w:rsidR="004E5CEA" w:rsidRPr="00E050AF">
              <w:rPr>
                <w:rFonts w:eastAsiaTheme="majorEastAsia" w:cs="Arial"/>
                <w:lang w:val="en-AU" w:bidi="en-US"/>
              </w:rPr>
              <w:fldChar w:fldCharType="begin"/>
            </w:r>
            <w:r w:rsidR="004E5CEA" w:rsidRPr="00E050AF">
              <w:rPr>
                <w:rFonts w:eastAsiaTheme="majorEastAsia" w:cs="Arial"/>
                <w:lang w:val="en-AU" w:bidi="en-US"/>
              </w:rPr>
              <w:instrText xml:space="preserve"> REF _Ref101314457 \r \h </w:instrText>
            </w:r>
            <w:r w:rsidR="003C7B03" w:rsidRPr="00E050AF">
              <w:rPr>
                <w:rFonts w:eastAsiaTheme="majorEastAsia" w:cs="Arial"/>
                <w:lang w:val="en-AU" w:bidi="en-US"/>
              </w:rPr>
              <w:instrText xml:space="preserve"> \* MERGEFORMAT </w:instrText>
            </w:r>
            <w:r w:rsidR="004E5CEA" w:rsidRPr="00E050AF">
              <w:rPr>
                <w:rFonts w:eastAsiaTheme="majorEastAsia" w:cs="Arial"/>
                <w:lang w:val="en-AU" w:bidi="en-US"/>
              </w:rPr>
            </w:r>
            <w:r w:rsidR="004E5CEA" w:rsidRPr="00E050AF">
              <w:rPr>
                <w:rFonts w:eastAsiaTheme="majorEastAsia" w:cs="Arial"/>
                <w:lang w:val="en-AU" w:bidi="en-US"/>
              </w:rPr>
              <w:fldChar w:fldCharType="separate"/>
            </w:r>
            <w:r w:rsidR="00E050AF" w:rsidRPr="00E050AF">
              <w:rPr>
                <w:rFonts w:eastAsiaTheme="majorEastAsia" w:cs="Arial"/>
                <w:lang w:val="en-AU" w:bidi="en-US"/>
              </w:rPr>
              <w:t>6.67</w:t>
            </w:r>
            <w:r w:rsidR="004E5CEA" w:rsidRPr="00E050AF">
              <w:rPr>
                <w:rFonts w:eastAsiaTheme="majorEastAsia" w:cs="Arial"/>
                <w:lang w:val="en-AU" w:bidi="en-US"/>
              </w:rPr>
              <w:fldChar w:fldCharType="end"/>
            </w:r>
            <w:r w:rsidR="004E5CEA" w:rsidRPr="00E050AF">
              <w:rPr>
                <w:rFonts w:eastAsiaTheme="majorEastAsia" w:cs="Arial"/>
                <w:lang w:val="en-AU" w:bidi="en-US"/>
              </w:rPr>
              <w:t>)</w:t>
            </w:r>
            <w:r w:rsidR="00832B5D" w:rsidRPr="00E050AF">
              <w:rPr>
                <w:rFonts w:eastAsiaTheme="majorEastAsia" w:cs="Arial"/>
                <w:lang w:val="en-AU" w:bidi="en-US"/>
              </w:rPr>
              <w:t>.</w:t>
            </w:r>
          </w:p>
        </w:tc>
      </w:tr>
      <w:tr w:rsidR="003B511A" w:rsidRPr="00E050AF" w14:paraId="4AC7728E" w14:textId="77777777" w:rsidTr="00A15917">
        <w:trPr>
          <w:trHeight w:val="1603"/>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vAlign w:val="center"/>
          </w:tcPr>
          <w:p w14:paraId="03A5B3CB" w14:textId="099315E2" w:rsidR="003B511A" w:rsidRPr="00E050AF" w:rsidRDefault="003B511A" w:rsidP="00FB1BFE">
            <w:pPr>
              <w:pStyle w:val="TableBodyText-H54"/>
              <w:keepNext w:val="0"/>
              <w:keepLines/>
              <w:spacing w:before="0" w:after="0" w:line="240" w:lineRule="auto"/>
              <w:rPr>
                <w:lang w:val="en-AU"/>
              </w:rPr>
            </w:pPr>
            <w:r w:rsidRPr="00E050AF">
              <w:rPr>
                <w:lang w:val="en-AU"/>
              </w:rPr>
              <w:t>Adverse events</w:t>
            </w:r>
          </w:p>
        </w:tc>
        <w:tc>
          <w:tcPr>
            <w:tcW w:w="0" w:type="auto"/>
            <w:tcBorders>
              <w:top w:val="single" w:sz="4" w:space="0" w:color="auto"/>
              <w:left w:val="single" w:sz="4" w:space="0" w:color="auto"/>
              <w:bottom w:val="single" w:sz="4" w:space="0" w:color="auto"/>
              <w:right w:val="single" w:sz="4" w:space="0" w:color="auto"/>
            </w:tcBorders>
            <w:vAlign w:val="center"/>
          </w:tcPr>
          <w:p w14:paraId="06EF313D" w14:textId="6F17C28A" w:rsidR="003B511A" w:rsidRPr="00E050AF" w:rsidRDefault="003B511A" w:rsidP="003C7B03">
            <w:pPr>
              <w:pStyle w:val="TableText"/>
              <w:keepLines/>
              <w:cnfStyle w:val="000000000000" w:firstRow="0" w:lastRow="0" w:firstColumn="0" w:lastColumn="0" w:oddVBand="0" w:evenVBand="0" w:oddHBand="0" w:evenHBand="0" w:firstRowFirstColumn="0" w:firstRowLastColumn="0" w:lastRowFirstColumn="0" w:lastRowLastColumn="0"/>
            </w:pPr>
            <w:r w:rsidRPr="00E050AF">
              <w:t xml:space="preserve">AEs of Grade 3 or higher </w:t>
            </w:r>
            <w:r w:rsidR="00413882" w:rsidRPr="00E050AF">
              <w:t xml:space="preserve">from the PAOLA-1 </w:t>
            </w:r>
            <w:r w:rsidRPr="00E050AF">
              <w:t>that occurred in greater than 1% of the study population</w:t>
            </w:r>
            <w:r w:rsidR="00413882" w:rsidRPr="00E050AF">
              <w:t xml:space="preserve"> were incorporated i</w:t>
            </w:r>
            <w:r w:rsidRPr="00E050AF">
              <w:t>n</w:t>
            </w:r>
            <w:r w:rsidR="00413882" w:rsidRPr="00E050AF">
              <w:t>to</w:t>
            </w:r>
            <w:r w:rsidRPr="00E050AF">
              <w:t xml:space="preserve"> the model</w:t>
            </w:r>
            <w:r w:rsidR="00413882" w:rsidRPr="00E050AF">
              <w:t>.</w:t>
            </w:r>
            <w:r w:rsidRPr="00E050AF">
              <w:t xml:space="preserve"> </w:t>
            </w:r>
            <w:r w:rsidR="00413882" w:rsidRPr="00E050AF">
              <w:t>T</w:t>
            </w:r>
            <w:r w:rsidRPr="00E050AF">
              <w:t xml:space="preserve">he incidence of adverse events was based on the ITT PAOLA-1 population as it was considered by the submission </w:t>
            </w:r>
            <w:r w:rsidR="007E3B49" w:rsidRPr="00E050AF">
              <w:t xml:space="preserve">(p 251) </w:t>
            </w:r>
            <w:r w:rsidRPr="00E050AF">
              <w:t>to be unlikely that the incidence of AEs would differ between the subgroups</w:t>
            </w:r>
            <w:r w:rsidR="007E3B49" w:rsidRPr="00E050AF">
              <w:t>.</w:t>
            </w:r>
          </w:p>
        </w:tc>
        <w:tc>
          <w:tcPr>
            <w:tcW w:w="0" w:type="auto"/>
            <w:tcBorders>
              <w:top w:val="single" w:sz="4" w:space="0" w:color="auto"/>
              <w:left w:val="single" w:sz="4" w:space="0" w:color="auto"/>
              <w:bottom w:val="single" w:sz="4" w:space="0" w:color="auto"/>
              <w:right w:val="single" w:sz="4" w:space="0" w:color="auto"/>
            </w:tcBorders>
            <w:vAlign w:val="center"/>
          </w:tcPr>
          <w:p w14:paraId="5D278381" w14:textId="77777777" w:rsidR="003B511A" w:rsidRPr="00E050AF" w:rsidRDefault="003B511A" w:rsidP="003C7B03">
            <w:pPr>
              <w:pStyle w:val="TableBodyText-H54"/>
              <w:keepNext w:val="0"/>
              <w:keepLines/>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lang w:val="en-AU" w:bidi="en-US"/>
              </w:rPr>
            </w:pPr>
            <w:r w:rsidRPr="00E050AF">
              <w:rPr>
                <w:rFonts w:eastAsiaTheme="majorEastAsia" w:cs="Arial"/>
                <w:lang w:val="en-AU" w:bidi="en-US"/>
              </w:rPr>
              <w:t>No disutility was applied for any adverse events, and the incidence of adverse events was used only to inform costs</w:t>
            </w:r>
            <w:r w:rsidR="003210CB" w:rsidRPr="00E050AF">
              <w:rPr>
                <w:rFonts w:eastAsiaTheme="majorEastAsia" w:cs="Arial"/>
                <w:lang w:val="en-AU" w:bidi="en-US"/>
              </w:rPr>
              <w:t>.</w:t>
            </w:r>
          </w:p>
          <w:p w14:paraId="2140B75F" w14:textId="0846BCA9" w:rsidR="003210CB" w:rsidRPr="00E050AF" w:rsidRDefault="003210CB" w:rsidP="003C7B03">
            <w:pPr>
              <w:pStyle w:val="TableBodyText-H54"/>
              <w:keepNext w:val="0"/>
              <w:keepLines/>
              <w:spacing w:before="0" w:after="0" w:line="240" w:lineRule="auto"/>
              <w:cnfStyle w:val="000000000000" w:firstRow="0" w:lastRow="0" w:firstColumn="0" w:lastColumn="0" w:oddVBand="0" w:evenVBand="0" w:oddHBand="0" w:evenHBand="0" w:firstRowFirstColumn="0" w:firstRowLastColumn="0" w:lastRowFirstColumn="0" w:lastRowLastColumn="0"/>
              <w:rPr>
                <w:rFonts w:eastAsiaTheme="majorEastAsia" w:cs="Arial"/>
                <w:lang w:val="en-AU" w:bidi="en-US"/>
              </w:rPr>
            </w:pPr>
            <w:r w:rsidRPr="00E050AF">
              <w:rPr>
                <w:rFonts w:eastAsiaTheme="majorEastAsia" w:cs="Arial"/>
                <w:lang w:val="en-AU" w:bidi="en-US"/>
              </w:rPr>
              <w:t>The methods used to derive the unit costs were reasonable.</w:t>
            </w:r>
          </w:p>
        </w:tc>
      </w:tr>
    </w:tbl>
    <w:p w14:paraId="2B5A8739" w14:textId="088E17F1" w:rsidR="00AB43EA" w:rsidRPr="00E050AF" w:rsidRDefault="003D338F" w:rsidP="00FB1BFE">
      <w:pPr>
        <w:pStyle w:val="TableFooter"/>
        <w:keepLines/>
      </w:pPr>
      <w:r w:rsidRPr="00E050AF">
        <w:t xml:space="preserve">AE = adverse event; </w:t>
      </w:r>
      <w:r w:rsidR="00275200" w:rsidRPr="00E050AF">
        <w:rPr>
          <w:i/>
        </w:rPr>
        <w:t>BRCA</w:t>
      </w:r>
      <w:r w:rsidRPr="00E050AF">
        <w:t xml:space="preserve">m = breast cancer gene mutation; </w:t>
      </w:r>
      <w:bookmarkStart w:id="84" w:name="_Hlk110599101"/>
      <w:r w:rsidR="00275200" w:rsidRPr="00E050AF">
        <w:rPr>
          <w:i/>
        </w:rPr>
        <w:t>BRCA</w:t>
      </w:r>
      <w:r w:rsidRPr="00E050AF">
        <w:t xml:space="preserve">wt = breast cancer gene wild type; </w:t>
      </w:r>
      <w:bookmarkEnd w:id="84"/>
      <w:r w:rsidRPr="00E050AF">
        <w:t xml:space="preserve">EQ-5D = EuroQol five dimensions; HGEOC = high grade epithelial ovarian cancer; HRD = homologous recombination deficiency; ITT = intention to treat; OS = overall survival; PFS = progression free survival; PFS2 = time from randomisation to second progression or death; </w:t>
      </w:r>
      <w:r w:rsidR="00071C39" w:rsidRPr="00E050AF">
        <w:t>for description of P1-5 and C1-2 see Table 13.</w:t>
      </w:r>
    </w:p>
    <w:p w14:paraId="4B025492" w14:textId="3A7E1F98" w:rsidR="00AB43EA" w:rsidRPr="00E050AF" w:rsidRDefault="00AB43EA" w:rsidP="00FC3969">
      <w:pPr>
        <w:pStyle w:val="TableFooter"/>
      </w:pPr>
      <w:r w:rsidRPr="00E050AF">
        <w:t>Source: Table 3.2, p209 of the submission</w:t>
      </w:r>
      <w:r w:rsidR="0078142E" w:rsidRPr="00E050AF">
        <w:t xml:space="preserve"> </w:t>
      </w:r>
    </w:p>
    <w:p w14:paraId="33734E17" w14:textId="2A2B34B8" w:rsidR="00AB43EA" w:rsidRPr="00E050AF" w:rsidRDefault="00AB43EA" w:rsidP="009D3CDF">
      <w:pPr>
        <w:pStyle w:val="ListParagraph"/>
        <w:numPr>
          <w:ilvl w:val="4"/>
          <w:numId w:val="8"/>
        </w:numPr>
      </w:pPr>
      <w:r w:rsidRPr="00E050AF">
        <w:t xml:space="preserve">The model structure presented in the submission comprised a testing phase, relating to the determination of patient tumour HRD and </w:t>
      </w:r>
      <w:r w:rsidR="00CF529A" w:rsidRPr="00E050AF">
        <w:rPr>
          <w:i/>
          <w:iCs/>
        </w:rPr>
        <w:t>BRCA</w:t>
      </w:r>
      <w:r w:rsidRPr="00E050AF">
        <w:t xml:space="preserve"> status, and a maintenance treatment phase, as shown below. A total of seven patient groups were considered as shown below.</w:t>
      </w:r>
    </w:p>
    <w:p w14:paraId="69879528" w14:textId="2EA4C166" w:rsidR="00AB43EA" w:rsidRPr="00E050AF" w:rsidRDefault="00AA0B7C" w:rsidP="00A354B6">
      <w:pPr>
        <w:pStyle w:val="TableHeading0"/>
      </w:pPr>
      <w:r w:rsidRPr="00E050AF">
        <w:t xml:space="preserve">Figure </w:t>
      </w:r>
      <w:r>
        <w:fldChar w:fldCharType="begin"/>
      </w:r>
      <w:r>
        <w:instrText>SEQ Figure_PBAC. \* ARABIC</w:instrText>
      </w:r>
      <w:r>
        <w:fldChar w:fldCharType="separate"/>
      </w:r>
      <w:r w:rsidR="00E050AF" w:rsidRPr="00E050AF">
        <w:t>9</w:t>
      </w:r>
      <w:r>
        <w:fldChar w:fldCharType="end"/>
      </w:r>
      <w:r w:rsidR="00AB43EA" w:rsidRPr="00E050AF">
        <w:tab/>
        <w:t>Structure of testing component of the model</w:t>
      </w:r>
    </w:p>
    <w:p w14:paraId="11720057" w14:textId="0A61F75E" w:rsidR="00AB43EA" w:rsidRPr="00E050AF" w:rsidRDefault="005F519F" w:rsidP="00AB43EA">
      <w:r w:rsidRPr="00E050AF">
        <w:rPr>
          <w:noProof/>
        </w:rPr>
        <w:drawing>
          <wp:inline distT="0" distB="0" distL="0" distR="0" wp14:anchorId="1D88A35C" wp14:editId="167E308E">
            <wp:extent cx="5533200" cy="2214000"/>
            <wp:effectExtent l="0" t="0" r="0" b="0"/>
            <wp:docPr id="2" name="Picture 2" descr="Figure 9 Structure of testing component of the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9 Structure of testing component of the model"/>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5533200" cy="2214000"/>
                    </a:xfrm>
                    <a:prstGeom prst="rect">
                      <a:avLst/>
                    </a:prstGeom>
                    <a:noFill/>
                    <a:ln>
                      <a:noFill/>
                    </a:ln>
                    <a:extLst>
                      <a:ext uri="{53640926-AAD7-44D8-BBD7-CCE9431645EC}">
                        <a14:shadowObscured xmlns:a14="http://schemas.microsoft.com/office/drawing/2010/main"/>
                      </a:ext>
                    </a:extLst>
                  </pic:spPr>
                </pic:pic>
              </a:graphicData>
            </a:graphic>
          </wp:inline>
        </w:drawing>
      </w:r>
    </w:p>
    <w:p w14:paraId="5ABBAEDC" w14:textId="048B6100" w:rsidR="00CD5DA0" w:rsidRPr="00E050AF" w:rsidRDefault="00275200" w:rsidP="00A110CB">
      <w:pPr>
        <w:pStyle w:val="TableFooter"/>
        <w:keepNext/>
      </w:pPr>
      <w:bookmarkStart w:id="85" w:name="_Hlk110599035"/>
      <w:r w:rsidRPr="00E050AF">
        <w:rPr>
          <w:i/>
        </w:rPr>
        <w:t>BRCA</w:t>
      </w:r>
      <w:r w:rsidR="00CD5DA0" w:rsidRPr="00E050AF">
        <w:t xml:space="preserve"> = breast cancer gene; HRD = homologous recombination deficiency; BEVA = bevacizumab; PBO = placebo; ITT = intention to treat;</w:t>
      </w:r>
    </w:p>
    <w:p w14:paraId="49D6D1D0" w14:textId="77777777" w:rsidR="00CD5DA0" w:rsidRPr="00E050AF" w:rsidRDefault="00CD5DA0" w:rsidP="00CD5DA0">
      <w:pPr>
        <w:pStyle w:val="TableFooter"/>
        <w:keepLines/>
      </w:pPr>
      <w:r w:rsidRPr="00E050AF">
        <w:t>for description of P1-5 and C1-2 see Table 13.</w:t>
      </w:r>
    </w:p>
    <w:bookmarkEnd w:id="85"/>
    <w:p w14:paraId="5D83D728" w14:textId="39E3E767" w:rsidR="00AB43EA" w:rsidRPr="00E050AF" w:rsidRDefault="00AB43EA" w:rsidP="00A110CB">
      <w:pPr>
        <w:pStyle w:val="TableFooter"/>
        <w:keepNext/>
      </w:pPr>
      <w:r w:rsidRPr="00E050AF">
        <w:t>Note: HRD unknown are assumed to be combined with HRD</w:t>
      </w:r>
      <w:r w:rsidR="0025444A" w:rsidRPr="00E050AF">
        <w:t xml:space="preserve"> negative</w:t>
      </w:r>
      <w:r w:rsidRPr="00E050AF">
        <w:t>.</w:t>
      </w:r>
    </w:p>
    <w:p w14:paraId="25E1F34C" w14:textId="77777777" w:rsidR="00AB43EA" w:rsidRPr="00E050AF" w:rsidRDefault="00AB43EA" w:rsidP="00AB43EA">
      <w:pPr>
        <w:pStyle w:val="TableFooter"/>
      </w:pPr>
      <w:r w:rsidRPr="00E050AF">
        <w:t>Source: Figure 3.1, p217 of the submission.</w:t>
      </w:r>
    </w:p>
    <w:p w14:paraId="5C86B330" w14:textId="48A4D97A" w:rsidR="006905DC" w:rsidRPr="00E050AF" w:rsidRDefault="00AB43EA" w:rsidP="00BA6A9D">
      <w:pPr>
        <w:pStyle w:val="ListParagraph"/>
      </w:pPr>
      <w:r w:rsidRPr="00E050AF">
        <w:t>Details of the seven different patient groups presented in the model structure are shown in the following table.</w:t>
      </w:r>
    </w:p>
    <w:p w14:paraId="65845B92" w14:textId="5D487F83" w:rsidR="00AB43EA" w:rsidRPr="00E050AF" w:rsidRDefault="00A354B6" w:rsidP="00A354B6">
      <w:pPr>
        <w:pStyle w:val="TableHeading0"/>
      </w:pPr>
      <w:bookmarkStart w:id="86" w:name="_Ref109739037"/>
      <w:bookmarkStart w:id="87" w:name="_Ref101313017"/>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13</w:t>
      </w:r>
      <w:r w:rsidRPr="00E050AF">
        <w:rPr>
          <w:rStyle w:val="CommentReference"/>
          <w:b/>
          <w:szCs w:val="20"/>
        </w:rPr>
        <w:fldChar w:fldCharType="end"/>
      </w:r>
      <w:bookmarkEnd w:id="86"/>
      <w:bookmarkEnd w:id="87"/>
      <w:r w:rsidR="00BA6A9D" w:rsidRPr="00E050AF">
        <w:rPr>
          <w:rStyle w:val="CommentReference"/>
          <w:b/>
          <w:szCs w:val="20"/>
        </w:rPr>
        <w:t xml:space="preserve"> </w:t>
      </w:r>
      <w:r w:rsidR="00AB43EA" w:rsidRPr="00E050AF">
        <w:tab/>
        <w:t>Patient populations represented in the submission model structure</w:t>
      </w:r>
    </w:p>
    <w:tbl>
      <w:tblPr>
        <w:tblStyle w:val="TableGrid"/>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3  Patient populations represented in the submission model structure"/>
      </w:tblPr>
      <w:tblGrid>
        <w:gridCol w:w="988"/>
        <w:gridCol w:w="1439"/>
        <w:gridCol w:w="1963"/>
        <w:gridCol w:w="2835"/>
        <w:gridCol w:w="1842"/>
      </w:tblGrid>
      <w:tr w:rsidR="00AB43EA" w:rsidRPr="00E050AF" w14:paraId="596D7F43" w14:textId="77777777" w:rsidTr="000458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9E441" w14:textId="77777777" w:rsidR="00AB43EA" w:rsidRPr="00E050AF" w:rsidRDefault="00AB43EA">
            <w:pPr>
              <w:pStyle w:val="TableBodyText-H54"/>
              <w:spacing w:before="0" w:after="0" w:line="240" w:lineRule="auto"/>
              <w:rPr>
                <w:lang w:val="en-AU"/>
              </w:rPr>
            </w:pPr>
            <w:r w:rsidRPr="00E050AF">
              <w:rPr>
                <w:lang w:val="en-AU"/>
              </w:rPr>
              <w:t>Branch</w:t>
            </w:r>
          </w:p>
        </w:tc>
        <w:tc>
          <w:tcPr>
            <w:tcW w:w="1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7660E2"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Patient group in branch</w:t>
            </w:r>
          </w:p>
        </w:tc>
        <w:tc>
          <w:tcPr>
            <w:tcW w:w="1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FC50D"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Test result true/false</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73C72" w14:textId="43CF591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Maintenance treatment received</w:t>
            </w:r>
            <w:r w:rsidR="00D6721D" w:rsidRPr="00E050AF">
              <w:rPr>
                <w:lang w:val="en-AU"/>
              </w:rPr>
              <w:t xml:space="preserve"> (efficacy data source)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06A825" w14:textId="77777777" w:rsidR="00AB43EA" w:rsidRPr="00E050AF" w:rsidRDefault="00AB43EA">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Maintenance treatment that should be received</w:t>
            </w:r>
          </w:p>
        </w:tc>
      </w:tr>
      <w:tr w:rsidR="00AB43EA" w:rsidRPr="00E050AF" w14:paraId="5A29597F" w14:textId="77777777" w:rsidTr="000458A1">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hideMark/>
          </w:tcPr>
          <w:p w14:paraId="58B815CA" w14:textId="77777777" w:rsidR="00AB43EA" w:rsidRPr="00E050AF" w:rsidRDefault="00AB43EA">
            <w:pPr>
              <w:pStyle w:val="TableBodyText-H54"/>
              <w:spacing w:before="0" w:after="0" w:line="240" w:lineRule="auto"/>
              <w:rPr>
                <w:lang w:val="en-AU"/>
              </w:rPr>
            </w:pPr>
            <w:r w:rsidRPr="00E050AF">
              <w:rPr>
                <w:lang w:val="en-AU"/>
              </w:rPr>
              <w:t>P1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928C82A" w14:textId="3C208A0E"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HRD positive </w:t>
            </w:r>
            <w:r w:rsidR="00CF529A" w:rsidRPr="00E050AF">
              <w:rPr>
                <w:i/>
                <w:iCs/>
                <w:lang w:val="en-AU"/>
              </w:rPr>
              <w:t>BRCA</w:t>
            </w:r>
            <w:r w:rsidRPr="00E050AF">
              <w:rPr>
                <w:lang w:val="en-AU"/>
              </w:rPr>
              <w:t>wt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C93CEAC"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Test correctly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D6C6709" w14:textId="475D0D0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Ola + beva</w:t>
            </w:r>
            <w:r w:rsidR="00D6721D" w:rsidRPr="00E050AF">
              <w:rPr>
                <w:lang w:val="en-AU"/>
              </w:rPr>
              <w:t xml:space="preserve"> (</w:t>
            </w:r>
            <w:r w:rsidR="00AF7E0A" w:rsidRPr="00E050AF">
              <w:rPr>
                <w:lang w:val="en-AU"/>
              </w:rPr>
              <w:t xml:space="preserve">Ola </w:t>
            </w:r>
            <w:r w:rsidR="00467816" w:rsidRPr="00E050AF">
              <w:rPr>
                <w:lang w:val="en-AU"/>
              </w:rPr>
              <w:t xml:space="preserve">+ beva, </w:t>
            </w:r>
            <w:r w:rsidR="00D6721D" w:rsidRPr="00E050AF">
              <w:rPr>
                <w:lang w:val="en-AU"/>
              </w:rPr>
              <w:t xml:space="preserve">PAOLA-1 HRD + </w:t>
            </w:r>
            <w:r w:rsidR="00CF529A" w:rsidRPr="00E050AF">
              <w:rPr>
                <w:i/>
                <w:iCs/>
                <w:lang w:val="en-AU"/>
              </w:rPr>
              <w:t>BRCA</w:t>
            </w:r>
            <w:r w:rsidR="00D6721D" w:rsidRPr="00E050AF">
              <w:rPr>
                <w:lang w:val="en-AU"/>
              </w:rPr>
              <w:t>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2B9BA34" w14:textId="144804AD"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Ola + beva</w:t>
            </w:r>
          </w:p>
        </w:tc>
      </w:tr>
      <w:tr w:rsidR="00AB43EA" w:rsidRPr="00E050AF" w14:paraId="4E137B7D" w14:textId="77777777" w:rsidTr="000458A1">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hideMark/>
          </w:tcPr>
          <w:p w14:paraId="7F5B39AB" w14:textId="77777777" w:rsidR="00AB43EA" w:rsidRPr="00E050AF" w:rsidRDefault="00AB43EA">
            <w:pPr>
              <w:pStyle w:val="TableBodyText-H54"/>
              <w:spacing w:before="0" w:after="0" w:line="240" w:lineRule="auto"/>
              <w:rPr>
                <w:lang w:val="en-AU"/>
              </w:rPr>
            </w:pPr>
            <w:r w:rsidRPr="00E050AF">
              <w:rPr>
                <w:lang w:val="en-AU"/>
              </w:rPr>
              <w:t>P2</w:t>
            </w:r>
          </w:p>
        </w:tc>
        <w:tc>
          <w:tcPr>
            <w:tcW w:w="1439" w:type="dxa"/>
            <w:tcBorders>
              <w:top w:val="single" w:sz="4" w:space="0" w:color="auto"/>
              <w:left w:val="single" w:sz="4" w:space="0" w:color="auto"/>
              <w:bottom w:val="single" w:sz="4" w:space="0" w:color="auto"/>
              <w:right w:val="single" w:sz="4" w:space="0" w:color="auto"/>
            </w:tcBorders>
            <w:vAlign w:val="center"/>
            <w:hideMark/>
          </w:tcPr>
          <w:p w14:paraId="69C061D6" w14:textId="57C9B363"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HRD positive </w:t>
            </w:r>
            <w:r w:rsidR="00CF529A" w:rsidRPr="00E050AF">
              <w:rPr>
                <w:i/>
                <w:iCs/>
                <w:lang w:val="en-AU"/>
              </w:rPr>
              <w:t>BRCA</w:t>
            </w:r>
            <w:r w:rsidRPr="00E050AF">
              <w:rPr>
                <w:lang w:val="en-AU"/>
              </w:rPr>
              <w:t>wt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14762D61"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Test falsely (test HRD negative)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3B2C459" w14:textId="702F37A4"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Beva</w:t>
            </w:r>
            <w:r w:rsidR="00467816" w:rsidRPr="00E050AF">
              <w:rPr>
                <w:lang w:val="en-AU"/>
              </w:rPr>
              <w:t xml:space="preserve"> mono</w:t>
            </w:r>
            <w:r w:rsidRPr="00E050AF">
              <w:rPr>
                <w:lang w:val="en-AU"/>
              </w:rPr>
              <w:t xml:space="preserve"> (or placebo)</w:t>
            </w:r>
          </w:p>
          <w:p w14:paraId="14B7A587" w14:textId="0D826F6C" w:rsidR="00D6721D" w:rsidRPr="00E050AF" w:rsidRDefault="00D6721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w:t>
            </w:r>
            <w:r w:rsidR="00467816" w:rsidRPr="00E050AF">
              <w:rPr>
                <w:lang w:val="en-AU"/>
              </w:rPr>
              <w:t xml:space="preserve">Beva mono, </w:t>
            </w:r>
            <w:r w:rsidRPr="00E050AF">
              <w:rPr>
                <w:lang w:val="en-AU"/>
              </w:rPr>
              <w:t xml:space="preserve">PAOLA-1 </w:t>
            </w:r>
            <w:r w:rsidR="000458A1" w:rsidRPr="00E050AF">
              <w:rPr>
                <w:lang w:val="en-AU"/>
              </w:rPr>
              <w:t>ITT</w:t>
            </w:r>
            <w:r w:rsidR="000C56C5" w:rsidRPr="00E050AF">
              <w:rPr>
                <w:lang w:val="en-AU"/>
              </w:rPr>
              <w:t>)</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455E3DD" w14:textId="7F911735" w:rsidR="00AB43EA" w:rsidRPr="00E050AF" w:rsidRDefault="000458A1">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Ola + beva</w:t>
            </w:r>
          </w:p>
        </w:tc>
      </w:tr>
      <w:tr w:rsidR="00AB43EA" w:rsidRPr="00E050AF" w14:paraId="2602BBDC" w14:textId="77777777" w:rsidTr="000458A1">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hideMark/>
          </w:tcPr>
          <w:p w14:paraId="5C753AF5" w14:textId="77777777" w:rsidR="00AB43EA" w:rsidRPr="00E050AF" w:rsidRDefault="00AB43EA">
            <w:pPr>
              <w:pStyle w:val="TableBodyText-H54"/>
              <w:spacing w:before="0" w:after="0" w:line="240" w:lineRule="auto"/>
              <w:rPr>
                <w:lang w:val="en-AU"/>
              </w:rPr>
            </w:pPr>
            <w:r w:rsidRPr="00E050AF">
              <w:rPr>
                <w:lang w:val="en-AU"/>
              </w:rPr>
              <w:t>P3</w:t>
            </w:r>
          </w:p>
        </w:tc>
        <w:tc>
          <w:tcPr>
            <w:tcW w:w="1439" w:type="dxa"/>
            <w:tcBorders>
              <w:top w:val="single" w:sz="4" w:space="0" w:color="auto"/>
              <w:left w:val="single" w:sz="4" w:space="0" w:color="auto"/>
              <w:bottom w:val="single" w:sz="4" w:space="0" w:color="auto"/>
              <w:right w:val="single" w:sz="4" w:space="0" w:color="auto"/>
            </w:tcBorders>
            <w:vAlign w:val="center"/>
            <w:hideMark/>
          </w:tcPr>
          <w:p w14:paraId="1863ACF6"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HRD negative</w:t>
            </w:r>
          </w:p>
        </w:tc>
        <w:tc>
          <w:tcPr>
            <w:tcW w:w="1963" w:type="dxa"/>
            <w:tcBorders>
              <w:top w:val="single" w:sz="4" w:space="0" w:color="auto"/>
              <w:left w:val="single" w:sz="4" w:space="0" w:color="auto"/>
              <w:bottom w:val="single" w:sz="4" w:space="0" w:color="auto"/>
              <w:right w:val="single" w:sz="4" w:space="0" w:color="auto"/>
            </w:tcBorders>
            <w:vAlign w:val="center"/>
            <w:hideMark/>
          </w:tcPr>
          <w:p w14:paraId="42EF18A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Test falsely (test HRD positive)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992B7B4" w14:textId="6FF3C1BE"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vertAlign w:val="superscript"/>
                <w:lang w:val="en-AU"/>
              </w:rPr>
            </w:pPr>
            <w:r w:rsidRPr="00E050AF">
              <w:rPr>
                <w:lang w:val="en-AU"/>
              </w:rPr>
              <w:t>Ola</w:t>
            </w:r>
            <w:r w:rsidR="00467816" w:rsidRPr="00E050AF">
              <w:rPr>
                <w:lang w:val="en-AU"/>
              </w:rPr>
              <w:t xml:space="preserve"> </w:t>
            </w:r>
            <w:r w:rsidRPr="00E050AF">
              <w:rPr>
                <w:lang w:val="en-AU"/>
              </w:rPr>
              <w:t>+ beva</w:t>
            </w:r>
            <w:r w:rsidR="00467816" w:rsidRPr="00E050AF">
              <w:rPr>
                <w:lang w:val="en-AU"/>
              </w:rPr>
              <w:t xml:space="preserve"> (Beva mono, PAOLA-1 </w:t>
            </w:r>
            <w:r w:rsidR="00CF529A" w:rsidRPr="00E050AF">
              <w:rPr>
                <w:i/>
                <w:iCs/>
                <w:lang w:val="en-AU"/>
              </w:rPr>
              <w:t>BRCA</w:t>
            </w:r>
            <w:r w:rsidR="00467816" w:rsidRPr="00E050AF">
              <w:rPr>
                <w:lang w:val="en-AU"/>
              </w:rPr>
              <w:t>wt)</w:t>
            </w:r>
            <w:r w:rsidR="009E559D" w:rsidRPr="00E050AF">
              <w:rPr>
                <w:vertAlign w:val="superscript"/>
                <w:lang w:val="en-AU"/>
              </w:rPr>
              <w:t>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3C9E7531" w14:textId="592A8EE0"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Beva (or placebo)</w:t>
            </w:r>
          </w:p>
        </w:tc>
      </w:tr>
      <w:tr w:rsidR="00AB43EA" w:rsidRPr="00E050AF" w14:paraId="35680D56" w14:textId="77777777" w:rsidTr="000458A1">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hideMark/>
          </w:tcPr>
          <w:p w14:paraId="51ED9F58" w14:textId="77777777" w:rsidR="00AB43EA" w:rsidRPr="00E050AF" w:rsidRDefault="00AB43EA">
            <w:pPr>
              <w:pStyle w:val="TableBodyText-H54"/>
              <w:spacing w:before="0" w:after="0" w:line="240" w:lineRule="auto"/>
              <w:rPr>
                <w:lang w:val="en-AU"/>
              </w:rPr>
            </w:pPr>
            <w:r w:rsidRPr="00E050AF">
              <w:rPr>
                <w:lang w:val="en-AU"/>
              </w:rPr>
              <w:t>P4</w:t>
            </w:r>
          </w:p>
        </w:tc>
        <w:tc>
          <w:tcPr>
            <w:tcW w:w="1439" w:type="dxa"/>
            <w:tcBorders>
              <w:top w:val="single" w:sz="4" w:space="0" w:color="auto"/>
              <w:left w:val="single" w:sz="4" w:space="0" w:color="auto"/>
              <w:bottom w:val="single" w:sz="4" w:space="0" w:color="auto"/>
              <w:right w:val="single" w:sz="4" w:space="0" w:color="auto"/>
            </w:tcBorders>
            <w:vAlign w:val="center"/>
            <w:hideMark/>
          </w:tcPr>
          <w:p w14:paraId="2406C431"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HRD negative</w:t>
            </w:r>
          </w:p>
        </w:tc>
        <w:tc>
          <w:tcPr>
            <w:tcW w:w="1963" w:type="dxa"/>
            <w:tcBorders>
              <w:top w:val="single" w:sz="4" w:space="0" w:color="auto"/>
              <w:left w:val="single" w:sz="4" w:space="0" w:color="auto"/>
              <w:bottom w:val="single" w:sz="4" w:space="0" w:color="auto"/>
              <w:right w:val="single" w:sz="4" w:space="0" w:color="auto"/>
            </w:tcBorders>
            <w:vAlign w:val="center"/>
            <w:hideMark/>
          </w:tcPr>
          <w:p w14:paraId="32A161B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Test correctly</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DDC82D" w14:textId="16AAB53B"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Beva</w:t>
            </w:r>
            <w:r w:rsidR="00063CD9" w:rsidRPr="00E050AF">
              <w:rPr>
                <w:lang w:val="en-AU"/>
              </w:rPr>
              <w:t xml:space="preserve"> mono</w:t>
            </w:r>
            <w:r w:rsidRPr="00E050AF">
              <w:rPr>
                <w:lang w:val="en-AU"/>
              </w:rPr>
              <w:t xml:space="preserve"> (or placebo)</w:t>
            </w:r>
          </w:p>
          <w:p w14:paraId="742F9CF9" w14:textId="755C7BA0" w:rsidR="00063CD9" w:rsidRPr="00E050AF" w:rsidRDefault="00063CD9">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(Beva mono, PAOLA-1 </w:t>
            </w:r>
            <w:r w:rsidR="00CF529A" w:rsidRPr="00E050AF">
              <w:rPr>
                <w:i/>
                <w:iCs/>
                <w:lang w:val="en-AU"/>
              </w:rPr>
              <w:t>BRCA</w:t>
            </w:r>
            <w:r w:rsidRPr="00E050AF">
              <w:rPr>
                <w:lang w:val="en-AU"/>
              </w:rPr>
              <w:t>wt)</w:t>
            </w:r>
            <w:r w:rsidR="009E559D" w:rsidRPr="00E050AF">
              <w:rPr>
                <w:vertAlign w:val="superscript"/>
                <w:lang w:val="en-AU"/>
              </w:rPr>
              <w:t xml:space="preserve"> 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1A5EC53" w14:textId="695C8734"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Beva</w:t>
            </w:r>
            <w:r w:rsidR="000458A1" w:rsidRPr="00E050AF">
              <w:rPr>
                <w:lang w:val="en-AU"/>
              </w:rPr>
              <w:t xml:space="preserve"> </w:t>
            </w:r>
            <w:r w:rsidRPr="00E050AF">
              <w:rPr>
                <w:lang w:val="en-AU"/>
              </w:rPr>
              <w:t>(or placebo)</w:t>
            </w:r>
          </w:p>
        </w:tc>
      </w:tr>
      <w:tr w:rsidR="00AB43EA" w:rsidRPr="00E050AF" w14:paraId="0E0DDD65" w14:textId="77777777" w:rsidTr="000458A1">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hideMark/>
          </w:tcPr>
          <w:p w14:paraId="73D46645" w14:textId="77777777" w:rsidR="00AB43EA" w:rsidRPr="00E050AF" w:rsidRDefault="00AB43EA">
            <w:pPr>
              <w:pStyle w:val="TableBodyText-H54"/>
              <w:spacing w:before="0" w:after="0" w:line="240" w:lineRule="auto"/>
              <w:rPr>
                <w:lang w:val="en-AU"/>
              </w:rPr>
            </w:pPr>
            <w:r w:rsidRPr="00E050AF">
              <w:rPr>
                <w:lang w:val="en-AU"/>
              </w:rPr>
              <w:t>P5</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6645097" w14:textId="77FF8EA6" w:rsidR="00AB43EA" w:rsidRPr="00E050AF" w:rsidRDefault="00CF529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i/>
                <w:iCs/>
                <w:lang w:val="en-AU"/>
              </w:rPr>
              <w:t>BRCA</w:t>
            </w:r>
            <w:r w:rsidR="00AB43EA" w:rsidRPr="00E050AF">
              <w:rPr>
                <w:lang w:val="en-AU"/>
              </w:rPr>
              <w:t>m</w:t>
            </w:r>
          </w:p>
        </w:tc>
        <w:tc>
          <w:tcPr>
            <w:tcW w:w="1963" w:type="dxa"/>
            <w:tcBorders>
              <w:top w:val="single" w:sz="4" w:space="0" w:color="auto"/>
              <w:left w:val="single" w:sz="4" w:space="0" w:color="auto"/>
              <w:bottom w:val="single" w:sz="4" w:space="0" w:color="auto"/>
              <w:right w:val="single" w:sz="4" w:space="0" w:color="auto"/>
            </w:tcBorders>
            <w:vAlign w:val="center"/>
            <w:hideMark/>
          </w:tcPr>
          <w:p w14:paraId="41747D82"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FFB719" w14:textId="74683179"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Ola mono</w:t>
            </w:r>
            <w:r w:rsidR="000458A1" w:rsidRPr="00E050AF">
              <w:rPr>
                <w:lang w:val="en-AU"/>
              </w:rPr>
              <w:t xml:space="preserve">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69200FDF"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NR</w:t>
            </w:r>
          </w:p>
        </w:tc>
      </w:tr>
      <w:tr w:rsidR="00AB43EA" w:rsidRPr="00E050AF" w14:paraId="4C6929FE" w14:textId="77777777" w:rsidTr="000458A1">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hideMark/>
          </w:tcPr>
          <w:p w14:paraId="44F31713" w14:textId="77777777" w:rsidR="00AB43EA" w:rsidRPr="00E050AF" w:rsidRDefault="00AB43EA">
            <w:pPr>
              <w:pStyle w:val="TableBodyText-H54"/>
              <w:spacing w:before="0" w:after="0" w:line="240" w:lineRule="auto"/>
              <w:rPr>
                <w:lang w:val="en-AU"/>
              </w:rPr>
            </w:pPr>
            <w:r w:rsidRPr="00E050AF">
              <w:rPr>
                <w:lang w:val="en-AU"/>
              </w:rPr>
              <w:t>C1</w:t>
            </w:r>
          </w:p>
        </w:tc>
        <w:tc>
          <w:tcPr>
            <w:tcW w:w="1439" w:type="dxa"/>
            <w:tcBorders>
              <w:top w:val="single" w:sz="4" w:space="0" w:color="auto"/>
              <w:left w:val="single" w:sz="4" w:space="0" w:color="auto"/>
              <w:bottom w:val="single" w:sz="4" w:space="0" w:color="auto"/>
              <w:right w:val="single" w:sz="4" w:space="0" w:color="auto"/>
            </w:tcBorders>
            <w:vAlign w:val="center"/>
            <w:hideMark/>
          </w:tcPr>
          <w:p w14:paraId="3CC91443" w14:textId="22107B4E" w:rsidR="00AB43EA" w:rsidRPr="00E050AF" w:rsidRDefault="00CF529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i/>
                <w:iCs/>
                <w:lang w:val="en-AU"/>
              </w:rPr>
              <w:t>BRCA</w:t>
            </w:r>
            <w:r w:rsidR="00AB43EA" w:rsidRPr="00E050AF">
              <w:rPr>
                <w:lang w:val="en-AU"/>
              </w:rPr>
              <w:t>m</w:t>
            </w:r>
          </w:p>
        </w:tc>
        <w:tc>
          <w:tcPr>
            <w:tcW w:w="1963" w:type="dxa"/>
            <w:tcBorders>
              <w:top w:val="single" w:sz="4" w:space="0" w:color="auto"/>
              <w:left w:val="single" w:sz="4" w:space="0" w:color="auto"/>
              <w:bottom w:val="single" w:sz="4" w:space="0" w:color="auto"/>
              <w:right w:val="single" w:sz="4" w:space="0" w:color="auto"/>
            </w:tcBorders>
            <w:vAlign w:val="center"/>
            <w:hideMark/>
          </w:tcPr>
          <w:p w14:paraId="091B1873"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NR</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F85998A" w14:textId="3E4413CF"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Ola mono</w:t>
            </w:r>
            <w:r w:rsidR="000458A1" w:rsidRPr="00E050AF">
              <w:rPr>
                <w:lang w:val="en-AU"/>
              </w:rPr>
              <w:t xml:space="preserve"> (NR)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36031F3" w14:textId="77777777"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NR</w:t>
            </w:r>
          </w:p>
        </w:tc>
      </w:tr>
      <w:tr w:rsidR="00AB43EA" w:rsidRPr="00E050AF" w14:paraId="3A7C2AC5" w14:textId="77777777" w:rsidTr="000458A1">
        <w:tc>
          <w:tcPr>
            <w:cnfStyle w:val="001000000000" w:firstRow="0" w:lastRow="0" w:firstColumn="1" w:lastColumn="0" w:oddVBand="0" w:evenVBand="0" w:oddHBand="0" w:evenHBand="0" w:firstRowFirstColumn="0" w:firstRowLastColumn="0" w:lastRowFirstColumn="0" w:lastRowLastColumn="0"/>
            <w:tcW w:w="988" w:type="dxa"/>
            <w:tcBorders>
              <w:top w:val="single" w:sz="4" w:space="0" w:color="auto"/>
              <w:left w:val="single" w:sz="4" w:space="0" w:color="auto"/>
              <w:bottom w:val="single" w:sz="4" w:space="0" w:color="auto"/>
              <w:right w:val="single" w:sz="4" w:space="0" w:color="auto"/>
            </w:tcBorders>
            <w:vAlign w:val="center"/>
            <w:hideMark/>
          </w:tcPr>
          <w:p w14:paraId="797CD2B5" w14:textId="77777777" w:rsidR="00AB43EA" w:rsidRPr="00E050AF" w:rsidRDefault="00AB43EA">
            <w:pPr>
              <w:pStyle w:val="TableBodyText-H54"/>
              <w:spacing w:before="0" w:after="0" w:line="240" w:lineRule="auto"/>
              <w:rPr>
                <w:lang w:val="en-AU"/>
              </w:rPr>
            </w:pPr>
            <w:r w:rsidRPr="00E050AF">
              <w:rPr>
                <w:lang w:val="en-AU"/>
              </w:rPr>
              <w:t>C2</w:t>
            </w:r>
          </w:p>
        </w:tc>
        <w:tc>
          <w:tcPr>
            <w:tcW w:w="1439" w:type="dxa"/>
            <w:tcBorders>
              <w:top w:val="single" w:sz="4" w:space="0" w:color="auto"/>
              <w:left w:val="single" w:sz="4" w:space="0" w:color="auto"/>
              <w:bottom w:val="single" w:sz="4" w:space="0" w:color="auto"/>
              <w:right w:val="single" w:sz="4" w:space="0" w:color="auto"/>
            </w:tcBorders>
            <w:vAlign w:val="center"/>
            <w:hideMark/>
          </w:tcPr>
          <w:p w14:paraId="44AC5700" w14:textId="6D5722B2" w:rsidR="00AB43EA" w:rsidRPr="00E050AF" w:rsidRDefault="00CF529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i/>
                <w:iCs/>
                <w:lang w:val="en-AU"/>
              </w:rPr>
              <w:t>BRCA</w:t>
            </w:r>
            <w:r w:rsidR="00AB43EA" w:rsidRPr="00E050AF">
              <w:rPr>
                <w:lang w:val="en-AU"/>
              </w:rPr>
              <w:t>wt</w:t>
            </w:r>
          </w:p>
        </w:tc>
        <w:tc>
          <w:tcPr>
            <w:tcW w:w="1963" w:type="dxa"/>
            <w:tcBorders>
              <w:top w:val="single" w:sz="4" w:space="0" w:color="auto"/>
              <w:left w:val="single" w:sz="4" w:space="0" w:color="auto"/>
              <w:bottom w:val="single" w:sz="4" w:space="0" w:color="auto"/>
              <w:right w:val="single" w:sz="4" w:space="0" w:color="auto"/>
            </w:tcBorders>
            <w:vAlign w:val="center"/>
            <w:hideMark/>
          </w:tcPr>
          <w:p w14:paraId="22926E8C" w14:textId="63959328"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HRD positive </w:t>
            </w:r>
            <w:r w:rsidR="00CF529A" w:rsidRPr="00E050AF">
              <w:rPr>
                <w:i/>
                <w:iCs/>
                <w:lang w:val="en-AU"/>
              </w:rPr>
              <w:t>BRCA</w:t>
            </w:r>
            <w:r w:rsidRPr="00E050AF">
              <w:rPr>
                <w:lang w:val="en-AU"/>
              </w:rPr>
              <w:t xml:space="preserve">wt, HRD negative </w:t>
            </w:r>
            <w:r w:rsidR="00CF529A" w:rsidRPr="00E050AF">
              <w:rPr>
                <w:i/>
                <w:iCs/>
                <w:lang w:val="en-AU"/>
              </w:rPr>
              <w:t>BRCA</w:t>
            </w:r>
            <w:r w:rsidRPr="00E050AF">
              <w:rPr>
                <w:lang w:val="en-AU"/>
              </w:rPr>
              <w:t>wt</w:t>
            </w:r>
          </w:p>
        </w:tc>
        <w:tc>
          <w:tcPr>
            <w:tcW w:w="2835" w:type="dxa"/>
            <w:tcBorders>
              <w:top w:val="single" w:sz="4" w:space="0" w:color="auto"/>
              <w:left w:val="single" w:sz="4" w:space="0" w:color="auto"/>
              <w:bottom w:val="single" w:sz="4" w:space="0" w:color="auto"/>
              <w:right w:val="single" w:sz="4" w:space="0" w:color="auto"/>
            </w:tcBorders>
            <w:vAlign w:val="center"/>
            <w:hideMark/>
          </w:tcPr>
          <w:p w14:paraId="66A7B8A3" w14:textId="7C3B4463"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Bevacizumab (or placebo)</w:t>
            </w:r>
            <w:r w:rsidR="00FE0A77" w:rsidRPr="00E050AF">
              <w:rPr>
                <w:lang w:val="en-AU"/>
              </w:rPr>
              <w:t xml:space="preserve"> (Beva mono, PAOLA-1 </w:t>
            </w:r>
            <w:r w:rsidR="00CF529A" w:rsidRPr="00E050AF">
              <w:rPr>
                <w:i/>
                <w:iCs/>
                <w:lang w:val="en-AU"/>
              </w:rPr>
              <w:t>BRCA</w:t>
            </w:r>
            <w:r w:rsidR="00FE0A77" w:rsidRPr="00E050AF">
              <w:rPr>
                <w:lang w:val="en-AU"/>
              </w:rPr>
              <w:t>wt)</w:t>
            </w:r>
            <w:r w:rsidR="009E559D" w:rsidRPr="00E050AF">
              <w:rPr>
                <w:vertAlign w:val="superscript"/>
                <w:lang w:val="en-AU"/>
              </w:rPr>
              <w:t xml:space="preserve"> a</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B6345DE" w14:textId="0FA59050" w:rsidR="00AB43EA" w:rsidRPr="00E050AF" w:rsidRDefault="00AB43EA">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Beva (or placebo)</w:t>
            </w:r>
          </w:p>
        </w:tc>
      </w:tr>
    </w:tbl>
    <w:p w14:paraId="4881883B" w14:textId="08BB8886" w:rsidR="00AB43EA" w:rsidRPr="00E050AF" w:rsidRDefault="000458A1" w:rsidP="00A110CB">
      <w:pPr>
        <w:pStyle w:val="TableFooter"/>
        <w:keepNext/>
      </w:pPr>
      <w:r w:rsidRPr="00E050AF">
        <w:t xml:space="preserve">Beva = bevacizumab; </w:t>
      </w:r>
      <w:r w:rsidR="00CF529A" w:rsidRPr="00E050AF">
        <w:rPr>
          <w:i/>
          <w:iCs/>
        </w:rPr>
        <w:t>BRCA</w:t>
      </w:r>
      <w:r w:rsidR="00AB43EA" w:rsidRPr="00E050AF">
        <w:t xml:space="preserve"> = breast cancer gene; HRD = homologous recombination deficiency; </w:t>
      </w:r>
      <w:r w:rsidRPr="00E050AF">
        <w:t>mono = monotherapy</w:t>
      </w:r>
      <w:r w:rsidR="00C50598" w:rsidRPr="00E050AF">
        <w:t xml:space="preserve">; </w:t>
      </w:r>
      <w:r w:rsidR="00AB43EA" w:rsidRPr="00E050AF">
        <w:t xml:space="preserve">NR = not reported; </w:t>
      </w:r>
      <w:r w:rsidRPr="00E050AF">
        <w:t xml:space="preserve">Ola = olaparib; </w:t>
      </w:r>
      <w:r w:rsidR="00AB43EA" w:rsidRPr="00E050AF">
        <w:t>wt = wild type</w:t>
      </w:r>
    </w:p>
    <w:p w14:paraId="2C540FE8" w14:textId="77777777" w:rsidR="00AB43EA" w:rsidRPr="00E050AF" w:rsidRDefault="00AB43EA" w:rsidP="00A110CB">
      <w:pPr>
        <w:pStyle w:val="TableFooter"/>
        <w:keepNext/>
      </w:pPr>
      <w:r w:rsidRPr="00E050AF">
        <w:t>Test results for P5 and C1 were not reported.</w:t>
      </w:r>
    </w:p>
    <w:p w14:paraId="2FF31445" w14:textId="77777777" w:rsidR="00AB43EA" w:rsidRPr="00E050AF" w:rsidRDefault="00AB43EA" w:rsidP="00A110CB">
      <w:pPr>
        <w:pStyle w:val="TableFooter"/>
        <w:keepNext/>
      </w:pPr>
      <w:r w:rsidRPr="00E050AF">
        <w:t>P1-5 represent the proposed scenarios.</w:t>
      </w:r>
    </w:p>
    <w:p w14:paraId="1B5D5E81" w14:textId="0F0DCC52" w:rsidR="00AB43EA" w:rsidRPr="00E050AF" w:rsidRDefault="00AB43EA" w:rsidP="00A110CB">
      <w:pPr>
        <w:pStyle w:val="TableFooter"/>
        <w:keepNext/>
      </w:pPr>
      <w:r w:rsidRPr="00E050AF">
        <w:t>C1 and 2 represent the comparator arms.</w:t>
      </w:r>
    </w:p>
    <w:p w14:paraId="1F642E66" w14:textId="1D712837" w:rsidR="009E559D" w:rsidRPr="00E050AF" w:rsidRDefault="009E559D" w:rsidP="00A110CB">
      <w:pPr>
        <w:pStyle w:val="TableFooter"/>
        <w:keepNext/>
      </w:pPr>
      <w:r w:rsidRPr="00E050AF">
        <w:rPr>
          <w:vertAlign w:val="superscript"/>
        </w:rPr>
        <w:t>a</w:t>
      </w:r>
      <w:r w:rsidRPr="00E050AF">
        <w:t xml:space="preserve"> calculated by applying a 0.96 adjustment factor to the ITT results </w:t>
      </w:r>
      <w:r w:rsidR="00B06D8E" w:rsidRPr="00E050AF">
        <w:t xml:space="preserve">used in P2, based on claim that median PFS in bevacizumab arm for all </w:t>
      </w:r>
      <w:r w:rsidR="00CF529A" w:rsidRPr="00E050AF">
        <w:rPr>
          <w:i/>
          <w:iCs/>
        </w:rPr>
        <w:t>BRCA</w:t>
      </w:r>
      <w:r w:rsidR="00B06D8E" w:rsidRPr="00E050AF">
        <w:t>wt patients was 16.0 months and in ITT patients was 16.6 months</w:t>
      </w:r>
    </w:p>
    <w:p w14:paraId="67FF409F" w14:textId="77777777" w:rsidR="00AB43EA" w:rsidRPr="00E050AF" w:rsidRDefault="00AB43EA" w:rsidP="00AB43EA">
      <w:pPr>
        <w:pStyle w:val="TableFooter"/>
      </w:pPr>
      <w:r w:rsidRPr="00E050AF">
        <w:t>Source: Section 3A.2.2, p217 of the submission.</w:t>
      </w:r>
    </w:p>
    <w:p w14:paraId="465EF1B9" w14:textId="43C259FF" w:rsidR="00AB43EA" w:rsidRPr="00E050AF" w:rsidRDefault="00AB43EA" w:rsidP="009D3CDF">
      <w:pPr>
        <w:pStyle w:val="ListParagraph"/>
        <w:numPr>
          <w:ilvl w:val="4"/>
          <w:numId w:val="8"/>
        </w:numPr>
      </w:pPr>
      <w:r w:rsidRPr="00E050AF">
        <w:t xml:space="preserve">The submission stated that as per the MSAC Guidelines, the codependent technology (test treatment) model should consider the costs/outcomes for all subgroups of patients, however this was not the case for the P5 and C1 subgroups </w:t>
      </w:r>
      <w:r w:rsidR="00C20515" w:rsidRPr="00E050AF">
        <w:t xml:space="preserve">(scenarios where patients have </w:t>
      </w:r>
      <w:r w:rsidR="00C20515" w:rsidRPr="00E050AF">
        <w:rPr>
          <w:i/>
          <w:iCs/>
        </w:rPr>
        <w:t>BRCA</w:t>
      </w:r>
      <w:r w:rsidR="00C20515" w:rsidRPr="00E050AF">
        <w:t xml:space="preserve">m) </w:t>
      </w:r>
      <w:r w:rsidRPr="00E050AF">
        <w:t>in which no false results were considered.</w:t>
      </w:r>
    </w:p>
    <w:p w14:paraId="4E17CB6A" w14:textId="10F10BDF" w:rsidR="006F1AE9" w:rsidRPr="00E050AF" w:rsidRDefault="006F1AE9" w:rsidP="009D3CDF">
      <w:pPr>
        <w:pStyle w:val="ListParagraph"/>
        <w:numPr>
          <w:ilvl w:val="4"/>
          <w:numId w:val="8"/>
        </w:numPr>
        <w:rPr>
          <w:color w:val="auto"/>
        </w:rPr>
      </w:pPr>
      <w:r w:rsidRPr="00E050AF">
        <w:t xml:space="preserve">Due to patients requiring testing for both HRD and </w:t>
      </w:r>
      <w:r w:rsidR="00CF529A" w:rsidRPr="00E050AF">
        <w:rPr>
          <w:i/>
          <w:iCs/>
        </w:rPr>
        <w:t>BRCA</w:t>
      </w:r>
      <w:r w:rsidRPr="00E050AF">
        <w:t xml:space="preserve"> status in order to be eligible for olaparib plus bevacizumab, false positive or false negative </w:t>
      </w:r>
      <w:r w:rsidR="00CF529A" w:rsidRPr="00E050AF">
        <w:rPr>
          <w:i/>
          <w:iCs/>
        </w:rPr>
        <w:t>BRCA</w:t>
      </w:r>
      <w:r w:rsidRPr="00E050AF">
        <w:t xml:space="preserve"> and HRD results would lead to numerous different potential scenarios with implications for patients as shown in the following </w:t>
      </w:r>
      <w:r w:rsidRPr="00E050AF">
        <w:rPr>
          <w:color w:val="auto"/>
        </w:rPr>
        <w:t>table.</w:t>
      </w:r>
    </w:p>
    <w:p w14:paraId="01E38F82" w14:textId="6CBB7469" w:rsidR="006F1AE9" w:rsidRPr="00E050AF" w:rsidRDefault="00A354B6" w:rsidP="00A354B6">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14</w:t>
      </w:r>
      <w:r w:rsidRPr="00E050AF">
        <w:rPr>
          <w:rStyle w:val="CommentReference"/>
          <w:b/>
          <w:szCs w:val="20"/>
        </w:rPr>
        <w:fldChar w:fldCharType="end"/>
      </w:r>
      <w:r w:rsidR="00BA6A9D" w:rsidRPr="00E050AF">
        <w:rPr>
          <w:rStyle w:val="CommentReference"/>
          <w:b/>
          <w:szCs w:val="20"/>
        </w:rPr>
        <w:t xml:space="preserve"> </w:t>
      </w:r>
      <w:r w:rsidR="006F1AE9" w:rsidRPr="00E050AF">
        <w:tab/>
        <w:t>Scenarios of treatment received for actual status by test result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4  Scenarios of treatment received for actual status by test result"/>
      </w:tblPr>
      <w:tblGrid>
        <w:gridCol w:w="1129"/>
        <w:gridCol w:w="1701"/>
        <w:gridCol w:w="2127"/>
        <w:gridCol w:w="2126"/>
        <w:gridCol w:w="1933"/>
      </w:tblGrid>
      <w:tr w:rsidR="006F1AE9" w:rsidRPr="00E050AF" w14:paraId="658789E2" w14:textId="77777777" w:rsidTr="00663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shd w:val="clear" w:color="auto" w:fill="auto"/>
            <w:vAlign w:val="center"/>
          </w:tcPr>
          <w:p w14:paraId="12051438" w14:textId="77777777" w:rsidR="006F1AE9" w:rsidRPr="00E050AF" w:rsidRDefault="006F1AE9" w:rsidP="0066304C">
            <w:pPr>
              <w:pStyle w:val="TableBodyText-H54"/>
              <w:spacing w:before="0" w:after="0" w:line="240" w:lineRule="auto"/>
              <w:rPr>
                <w:lang w:val="en-AU"/>
              </w:rPr>
            </w:pPr>
          </w:p>
        </w:tc>
        <w:tc>
          <w:tcPr>
            <w:tcW w:w="7887" w:type="dxa"/>
            <w:gridSpan w:val="4"/>
            <w:tcBorders>
              <w:top w:val="single" w:sz="4" w:space="0" w:color="auto"/>
              <w:left w:val="single" w:sz="4" w:space="0" w:color="auto"/>
              <w:bottom w:val="single" w:sz="4" w:space="0" w:color="auto"/>
              <w:right w:val="single" w:sz="4" w:space="0" w:color="auto"/>
            </w:tcBorders>
            <w:shd w:val="clear" w:color="auto" w:fill="auto"/>
            <w:hideMark/>
          </w:tcPr>
          <w:p w14:paraId="67E55F57" w14:textId="77777777" w:rsidR="006F1AE9" w:rsidRPr="00E050AF" w:rsidRDefault="006F1AE9" w:rsidP="00B47F4D">
            <w:pPr>
              <w:pStyle w:val="TableBodyText-H54"/>
              <w:spacing w:before="0" w:after="0" w:line="240" w:lineRule="auto"/>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Actual status</w:t>
            </w:r>
          </w:p>
        </w:tc>
      </w:tr>
      <w:tr w:rsidR="006F1AE9" w:rsidRPr="00E050AF" w14:paraId="0222FC47" w14:textId="77777777" w:rsidTr="0066304C">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hideMark/>
          </w:tcPr>
          <w:p w14:paraId="1BC197EB" w14:textId="77777777" w:rsidR="006F1AE9" w:rsidRPr="00E050AF" w:rsidRDefault="006F1AE9" w:rsidP="0066304C">
            <w:pPr>
              <w:pStyle w:val="TableBodyText-H54"/>
              <w:spacing w:before="0" w:after="0" w:line="240" w:lineRule="auto"/>
              <w:rPr>
                <w:b/>
                <w:bCs/>
                <w:lang w:val="en-AU"/>
              </w:rPr>
            </w:pPr>
            <w:r w:rsidRPr="00E050AF">
              <w:rPr>
                <w:b/>
                <w:bCs/>
                <w:lang w:val="en-AU"/>
              </w:rPr>
              <w:t>Test result</w:t>
            </w:r>
          </w:p>
        </w:tc>
        <w:tc>
          <w:tcPr>
            <w:tcW w:w="1701" w:type="dxa"/>
            <w:tcBorders>
              <w:top w:val="single" w:sz="4" w:space="0" w:color="auto"/>
              <w:left w:val="single" w:sz="4" w:space="0" w:color="auto"/>
              <w:bottom w:val="single" w:sz="4" w:space="0" w:color="auto"/>
              <w:right w:val="single" w:sz="4" w:space="0" w:color="auto"/>
            </w:tcBorders>
            <w:hideMark/>
          </w:tcPr>
          <w:p w14:paraId="6CEDCCAA" w14:textId="0A6136E4"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b/>
                <w:bCs/>
                <w:lang w:val="en-AU"/>
              </w:rPr>
              <w:t>HRD -</w:t>
            </w:r>
            <w:r w:rsidR="00CF529A" w:rsidRPr="00E050AF">
              <w:rPr>
                <w:b/>
                <w:bCs/>
                <w:i/>
                <w:iCs/>
                <w:lang w:val="en-AU"/>
              </w:rPr>
              <w:t>BRCA</w:t>
            </w:r>
            <w:r w:rsidRPr="00E050AF">
              <w:rPr>
                <w:b/>
                <w:bCs/>
                <w:lang w:val="en-AU"/>
              </w:rPr>
              <w:t>wt</w:t>
            </w:r>
          </w:p>
        </w:tc>
        <w:tc>
          <w:tcPr>
            <w:tcW w:w="2127" w:type="dxa"/>
            <w:tcBorders>
              <w:top w:val="single" w:sz="4" w:space="0" w:color="auto"/>
              <w:left w:val="single" w:sz="4" w:space="0" w:color="auto"/>
              <w:bottom w:val="single" w:sz="4" w:space="0" w:color="auto"/>
              <w:right w:val="single" w:sz="4" w:space="0" w:color="auto"/>
            </w:tcBorders>
            <w:hideMark/>
          </w:tcPr>
          <w:p w14:paraId="79D17BBB" w14:textId="4E838A3D"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b/>
                <w:bCs/>
                <w:lang w:val="en-AU"/>
              </w:rPr>
              <w:t>HRD-</w:t>
            </w:r>
            <w:r w:rsidR="00CF529A" w:rsidRPr="00E050AF">
              <w:rPr>
                <w:b/>
                <w:bCs/>
                <w:i/>
                <w:iCs/>
                <w:lang w:val="en-AU"/>
              </w:rPr>
              <w:t>BRCA</w:t>
            </w:r>
            <w:r w:rsidRPr="00E050AF">
              <w:rPr>
                <w:b/>
                <w:bCs/>
                <w:lang w:val="en-AU"/>
              </w:rPr>
              <w:t>m*</w:t>
            </w:r>
          </w:p>
        </w:tc>
        <w:tc>
          <w:tcPr>
            <w:tcW w:w="2126" w:type="dxa"/>
            <w:tcBorders>
              <w:top w:val="single" w:sz="4" w:space="0" w:color="auto"/>
              <w:left w:val="single" w:sz="4" w:space="0" w:color="auto"/>
              <w:bottom w:val="single" w:sz="4" w:space="0" w:color="auto"/>
              <w:right w:val="single" w:sz="4" w:space="0" w:color="auto"/>
            </w:tcBorders>
            <w:hideMark/>
          </w:tcPr>
          <w:p w14:paraId="7484BD60" w14:textId="275B35F4"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b/>
                <w:bCs/>
                <w:lang w:val="en-AU"/>
              </w:rPr>
              <w:t xml:space="preserve">HRD+ </w:t>
            </w:r>
            <w:r w:rsidR="00CF529A" w:rsidRPr="00E050AF">
              <w:rPr>
                <w:b/>
                <w:bCs/>
                <w:i/>
                <w:iCs/>
                <w:lang w:val="en-AU"/>
              </w:rPr>
              <w:t>BRCA</w:t>
            </w:r>
            <w:r w:rsidRPr="00E050AF">
              <w:rPr>
                <w:b/>
                <w:bCs/>
                <w:lang w:val="en-AU"/>
              </w:rPr>
              <w:t>wt</w:t>
            </w:r>
          </w:p>
        </w:tc>
        <w:tc>
          <w:tcPr>
            <w:tcW w:w="1933" w:type="dxa"/>
            <w:tcBorders>
              <w:top w:val="single" w:sz="4" w:space="0" w:color="auto"/>
              <w:left w:val="single" w:sz="4" w:space="0" w:color="auto"/>
              <w:bottom w:val="single" w:sz="4" w:space="0" w:color="auto"/>
              <w:right w:val="single" w:sz="4" w:space="0" w:color="auto"/>
            </w:tcBorders>
            <w:hideMark/>
          </w:tcPr>
          <w:p w14:paraId="2362033D" w14:textId="7131ABC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b/>
                <w:bCs/>
                <w:lang w:val="en-AU"/>
              </w:rPr>
              <w:t xml:space="preserve">HRD+ </w:t>
            </w:r>
            <w:r w:rsidR="00CF529A" w:rsidRPr="00E050AF">
              <w:rPr>
                <w:b/>
                <w:bCs/>
                <w:i/>
                <w:iCs/>
                <w:lang w:val="en-AU"/>
              </w:rPr>
              <w:t>BRCA</w:t>
            </w:r>
            <w:r w:rsidRPr="00E050AF">
              <w:rPr>
                <w:b/>
                <w:bCs/>
                <w:lang w:val="en-AU"/>
              </w:rPr>
              <w:t>m</w:t>
            </w:r>
          </w:p>
        </w:tc>
      </w:tr>
      <w:tr w:rsidR="006F1AE9" w:rsidRPr="00E050AF" w14:paraId="5DAAB31D" w14:textId="77777777" w:rsidTr="0066304C">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hideMark/>
          </w:tcPr>
          <w:p w14:paraId="1334DD5A" w14:textId="77777777" w:rsidR="006F1AE9" w:rsidRPr="00E050AF" w:rsidRDefault="006F1AE9" w:rsidP="0066304C">
            <w:pPr>
              <w:pStyle w:val="TableBodyText-H54"/>
              <w:spacing w:before="0" w:after="0" w:line="240" w:lineRule="auto"/>
              <w:rPr>
                <w:lang w:val="en-AU"/>
              </w:rPr>
            </w:pPr>
            <w:r w:rsidRPr="00E050AF">
              <w:rPr>
                <w:b/>
                <w:bCs/>
                <w:lang w:val="en-AU"/>
              </w:rPr>
              <w:t>False</w:t>
            </w:r>
            <w:r w:rsidRPr="00E050AF">
              <w:rPr>
                <w:b/>
                <w:lang w:val="en-AU"/>
              </w:rPr>
              <w:t xml:space="preserve"> + HRD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1C89F4"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beva mono.</w:t>
            </w:r>
          </w:p>
          <w:p w14:paraId="57E558B0"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Receives ola + beva.</w:t>
            </w:r>
          </w:p>
          <w:p w14:paraId="14884C4E"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(Category 4, as described below)</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BE4032F"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ola mono.</w:t>
            </w:r>
          </w:p>
          <w:p w14:paraId="055AFA6B" w14:textId="724CA728"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 xml:space="preserve">If </w:t>
            </w:r>
            <w:r w:rsidR="00CF529A" w:rsidRPr="00E050AF">
              <w:rPr>
                <w:i/>
                <w:iCs/>
                <w:lang w:val="en-AU"/>
              </w:rPr>
              <w:t>BRCA</w:t>
            </w:r>
            <w:r w:rsidRPr="00E050AF">
              <w:rPr>
                <w:lang w:val="en-AU"/>
              </w:rPr>
              <w:t xml:space="preserve"> true + receives ola mono, if </w:t>
            </w:r>
            <w:r w:rsidR="00CF529A" w:rsidRPr="00E050AF">
              <w:rPr>
                <w:i/>
                <w:iCs/>
                <w:lang w:val="en-AU"/>
              </w:rPr>
              <w:t>BRCA</w:t>
            </w:r>
            <w:r w:rsidRPr="00E050AF">
              <w:rPr>
                <w:lang w:val="en-AU"/>
              </w:rPr>
              <w:t xml:space="preserve"> false – receives beva mono (Category 5, as described below).</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459445"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c>
          <w:tcPr>
            <w:tcW w:w="1933" w:type="dxa"/>
            <w:tcBorders>
              <w:top w:val="single" w:sz="4" w:space="0" w:color="auto"/>
              <w:left w:val="single" w:sz="4" w:space="0" w:color="auto"/>
              <w:bottom w:val="single" w:sz="4" w:space="0" w:color="auto"/>
              <w:right w:val="single" w:sz="4" w:space="0" w:color="auto"/>
            </w:tcBorders>
            <w:vAlign w:val="center"/>
            <w:hideMark/>
          </w:tcPr>
          <w:p w14:paraId="1E55D3CA"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r>
      <w:tr w:rsidR="006F1AE9" w:rsidRPr="00E050AF" w14:paraId="66958C24" w14:textId="77777777" w:rsidTr="0066304C">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hideMark/>
          </w:tcPr>
          <w:p w14:paraId="78A64B5B" w14:textId="77777777" w:rsidR="006F1AE9" w:rsidRPr="00E050AF" w:rsidRDefault="006F1AE9" w:rsidP="0066304C">
            <w:pPr>
              <w:pStyle w:val="TableBodyText-H54"/>
              <w:spacing w:before="0" w:after="0" w:line="240" w:lineRule="auto"/>
              <w:rPr>
                <w:b/>
                <w:lang w:val="en-AU"/>
              </w:rPr>
            </w:pPr>
            <w:r w:rsidRPr="00E050AF">
              <w:rPr>
                <w:b/>
                <w:bCs/>
                <w:lang w:val="en-AU"/>
              </w:rPr>
              <w:t>False</w:t>
            </w:r>
            <w:r w:rsidRPr="00E050AF">
              <w:rPr>
                <w:b/>
                <w:lang w:val="en-AU"/>
              </w:rPr>
              <w:t xml:space="preserve"> - HRD</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A5CA83"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5956BF28"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FF04AE1"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ola + beva.</w:t>
            </w:r>
          </w:p>
          <w:p w14:paraId="70758269"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Receives beva mono.</w:t>
            </w:r>
          </w:p>
          <w:p w14:paraId="6718ECE7"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(Category 6, as described below)</w:t>
            </w:r>
          </w:p>
        </w:tc>
        <w:tc>
          <w:tcPr>
            <w:tcW w:w="1933" w:type="dxa"/>
            <w:tcBorders>
              <w:top w:val="single" w:sz="4" w:space="0" w:color="auto"/>
              <w:left w:val="single" w:sz="4" w:space="0" w:color="auto"/>
              <w:bottom w:val="single" w:sz="4" w:space="0" w:color="auto"/>
              <w:right w:val="single" w:sz="4" w:space="0" w:color="auto"/>
            </w:tcBorders>
            <w:vAlign w:val="center"/>
            <w:hideMark/>
          </w:tcPr>
          <w:p w14:paraId="42455660"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ola mono.</w:t>
            </w:r>
          </w:p>
          <w:p w14:paraId="790F6F66"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Receives beva mono.</w:t>
            </w:r>
          </w:p>
          <w:p w14:paraId="603183AE"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(Category 5, as described below).</w:t>
            </w:r>
          </w:p>
        </w:tc>
      </w:tr>
      <w:tr w:rsidR="006F1AE9" w:rsidRPr="00E050AF" w14:paraId="4E31A1BC" w14:textId="77777777" w:rsidTr="0066304C">
        <w:trPr>
          <w:trHeight w:val="604"/>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hideMark/>
          </w:tcPr>
          <w:p w14:paraId="122E2A6E" w14:textId="31CFFC86" w:rsidR="006F1AE9" w:rsidRPr="00E050AF" w:rsidRDefault="006F1AE9" w:rsidP="0066304C">
            <w:pPr>
              <w:pStyle w:val="TableBodyText-H54"/>
              <w:spacing w:before="0" w:after="0" w:line="240" w:lineRule="auto"/>
              <w:rPr>
                <w:b/>
                <w:lang w:val="en-AU"/>
              </w:rPr>
            </w:pPr>
            <w:r w:rsidRPr="00E050AF">
              <w:rPr>
                <w:b/>
                <w:bCs/>
                <w:lang w:val="en-AU"/>
              </w:rPr>
              <w:t xml:space="preserve">False-+ </w:t>
            </w:r>
            <w:r w:rsidR="00CF529A" w:rsidRPr="00E050AF">
              <w:rPr>
                <w:b/>
                <w:bCs/>
                <w:i/>
                <w:iCs/>
                <w:lang w:val="en-AU"/>
              </w:rPr>
              <w:t>BRCA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1E8047"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beva mono.</w:t>
            </w:r>
          </w:p>
          <w:p w14:paraId="7D2BCDC0"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Receives ola mono.</w:t>
            </w:r>
          </w:p>
          <w:p w14:paraId="1481342A"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(Category 2, as described below)</w:t>
            </w:r>
          </w:p>
        </w:tc>
        <w:tc>
          <w:tcPr>
            <w:tcW w:w="2127" w:type="dxa"/>
            <w:tcBorders>
              <w:top w:val="single" w:sz="4" w:space="0" w:color="auto"/>
              <w:left w:val="single" w:sz="4" w:space="0" w:color="auto"/>
              <w:bottom w:val="single" w:sz="4" w:space="0" w:color="auto"/>
              <w:right w:val="single" w:sz="4" w:space="0" w:color="auto"/>
            </w:tcBorders>
            <w:vAlign w:val="center"/>
            <w:hideMark/>
          </w:tcPr>
          <w:p w14:paraId="3BBAFB03"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F3C6E12"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ola + beva. Receives ola mono.</w:t>
            </w:r>
          </w:p>
          <w:p w14:paraId="1C576310"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(Category 1, as described below)</w:t>
            </w:r>
          </w:p>
        </w:tc>
        <w:tc>
          <w:tcPr>
            <w:tcW w:w="1933" w:type="dxa"/>
            <w:tcBorders>
              <w:top w:val="single" w:sz="4" w:space="0" w:color="auto"/>
              <w:left w:val="single" w:sz="4" w:space="0" w:color="auto"/>
              <w:bottom w:val="single" w:sz="4" w:space="0" w:color="auto"/>
              <w:right w:val="single" w:sz="4" w:space="0" w:color="auto"/>
            </w:tcBorders>
            <w:vAlign w:val="center"/>
            <w:hideMark/>
          </w:tcPr>
          <w:p w14:paraId="5F800AF7"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r>
      <w:tr w:rsidR="006F1AE9" w:rsidRPr="00E050AF" w14:paraId="4A5287C0" w14:textId="77777777" w:rsidTr="0066304C">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left w:val="single" w:sz="4" w:space="0" w:color="auto"/>
              <w:bottom w:val="single" w:sz="4" w:space="0" w:color="auto"/>
              <w:right w:val="single" w:sz="4" w:space="0" w:color="auto"/>
            </w:tcBorders>
            <w:vAlign w:val="center"/>
            <w:hideMark/>
          </w:tcPr>
          <w:p w14:paraId="61169ABD" w14:textId="131775A7" w:rsidR="006F1AE9" w:rsidRPr="00E050AF" w:rsidRDefault="006F1AE9" w:rsidP="0066304C">
            <w:pPr>
              <w:pStyle w:val="TableBodyText-H54"/>
              <w:spacing w:before="0" w:after="0" w:line="240" w:lineRule="auto"/>
              <w:rPr>
                <w:b/>
                <w:bCs/>
                <w:lang w:val="en-AU"/>
              </w:rPr>
            </w:pPr>
            <w:r w:rsidRPr="00E050AF">
              <w:rPr>
                <w:b/>
                <w:bCs/>
                <w:lang w:val="en-AU"/>
              </w:rPr>
              <w:t xml:space="preserve">False - </w:t>
            </w:r>
            <w:r w:rsidR="00CF529A" w:rsidRPr="00E050AF">
              <w:rPr>
                <w:b/>
                <w:bCs/>
                <w:i/>
                <w:iCs/>
                <w:lang w:val="en-AU"/>
              </w:rPr>
              <w:t>BRCA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3B1EA6"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613A5E9"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ola mono. Receives beva mono.</w:t>
            </w:r>
          </w:p>
          <w:p w14:paraId="1AD0D328"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(Category 5, as described below)</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417481"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NA</w:t>
            </w:r>
          </w:p>
        </w:tc>
        <w:tc>
          <w:tcPr>
            <w:tcW w:w="1933" w:type="dxa"/>
            <w:tcBorders>
              <w:top w:val="single" w:sz="4" w:space="0" w:color="auto"/>
              <w:left w:val="single" w:sz="4" w:space="0" w:color="auto"/>
              <w:bottom w:val="single" w:sz="4" w:space="0" w:color="auto"/>
              <w:right w:val="single" w:sz="4" w:space="0" w:color="auto"/>
            </w:tcBorders>
            <w:vAlign w:val="center"/>
            <w:hideMark/>
          </w:tcPr>
          <w:p w14:paraId="621F63EF"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Should receive ola mono.</w:t>
            </w:r>
          </w:p>
          <w:p w14:paraId="6949B751"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Receives ola + beva.</w:t>
            </w:r>
          </w:p>
          <w:p w14:paraId="4C0A830E" w14:textId="77777777" w:rsidR="006F1AE9" w:rsidRPr="00E050AF" w:rsidRDefault="006F1AE9" w:rsidP="00B47F4D">
            <w:pPr>
              <w:pStyle w:val="TableBodyText-H54"/>
              <w:spacing w:before="0" w:after="0" w:line="240" w:lineRule="auto"/>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(Category 3, as described below)</w:t>
            </w:r>
          </w:p>
        </w:tc>
      </w:tr>
    </w:tbl>
    <w:p w14:paraId="5B2EBE85" w14:textId="06095167" w:rsidR="006F1AE9" w:rsidRPr="00E050AF" w:rsidRDefault="006F1AE9" w:rsidP="00A110CB">
      <w:pPr>
        <w:pStyle w:val="TableFooter"/>
        <w:keepNext/>
      </w:pPr>
      <w:bookmarkStart w:id="88" w:name="_Hlk110599024"/>
      <w:r w:rsidRPr="00E050AF">
        <w:t xml:space="preserve">Beva = bevacizumab; </w:t>
      </w:r>
      <w:r w:rsidR="00CF529A" w:rsidRPr="00E050AF">
        <w:rPr>
          <w:i/>
          <w:iCs/>
        </w:rPr>
        <w:t>BRCA</w:t>
      </w:r>
      <w:r w:rsidRPr="00E050AF">
        <w:t xml:space="preserve"> = breast cancer gene; HRD = homologous recombination deficiency; m = mutation; mono = monotherapy; ola = olaparib; wt = wild type</w:t>
      </w:r>
    </w:p>
    <w:bookmarkEnd w:id="88"/>
    <w:p w14:paraId="2B4FD221" w14:textId="2E8485B4" w:rsidR="006F1AE9" w:rsidRPr="00E050AF" w:rsidRDefault="006F1AE9" w:rsidP="006F1AE9">
      <w:pPr>
        <w:pStyle w:val="TableFooter"/>
      </w:pPr>
      <w:r w:rsidRPr="00E050AF">
        <w:t xml:space="preserve">* The submission defined any patients who were </w:t>
      </w:r>
      <w:r w:rsidR="00CF529A" w:rsidRPr="00E050AF">
        <w:rPr>
          <w:i/>
          <w:iCs/>
        </w:rPr>
        <w:t>BRCA</w:t>
      </w:r>
      <w:r w:rsidRPr="00E050AF">
        <w:t xml:space="preserve">m as automatically being HRD positive. However, Telli 2016 defined the </w:t>
      </w:r>
      <w:r w:rsidR="00E41B4B" w:rsidRPr="00E050AF">
        <w:t>GIS threshold</w:t>
      </w:r>
      <w:r w:rsidRPr="00E050AF">
        <w:t xml:space="preserve"> of 42 so that 5% of these patients would be HRD negative.</w:t>
      </w:r>
    </w:p>
    <w:p w14:paraId="303CFF5A" w14:textId="2D0A2774" w:rsidR="006F1AE9" w:rsidRPr="00E050AF" w:rsidRDefault="006F1AE9" w:rsidP="009D3CDF">
      <w:pPr>
        <w:pStyle w:val="ListParagraph"/>
        <w:numPr>
          <w:ilvl w:val="4"/>
          <w:numId w:val="8"/>
        </w:numPr>
        <w:rPr>
          <w:color w:val="auto"/>
        </w:rPr>
      </w:pPr>
      <w:r w:rsidRPr="00E050AF">
        <w:t xml:space="preserve">In the above matrix, patients who have been designated as receiving bevacizumab monotherapy could alternatively adopt a ‘watch and wait’ approach (as proposed by the submission would occur for 10% of patients). In which case, there could be additional benefits foregone with treatment. False positive or false negative </w:t>
      </w:r>
      <w:r w:rsidR="00CF529A" w:rsidRPr="00E050AF">
        <w:rPr>
          <w:i/>
          <w:iCs/>
        </w:rPr>
        <w:t>BRCA</w:t>
      </w:r>
      <w:r w:rsidRPr="00E050AF">
        <w:t xml:space="preserve"> and HRD results that occur in clinical practice will have the following consequences for patients:</w:t>
      </w:r>
    </w:p>
    <w:p w14:paraId="2F1CDE7D" w14:textId="1CC611FC" w:rsidR="006F1AE9" w:rsidRPr="00E050AF" w:rsidRDefault="006F1AE9" w:rsidP="003C7731">
      <w:pPr>
        <w:pStyle w:val="ListParagraph"/>
        <w:numPr>
          <w:ilvl w:val="0"/>
          <w:numId w:val="29"/>
        </w:numPr>
        <w:ind w:left="993" w:hanging="284"/>
      </w:pPr>
      <w:r w:rsidRPr="00E050AF">
        <w:t xml:space="preserve">HRD positive </w:t>
      </w:r>
      <w:r w:rsidR="00CF529A" w:rsidRPr="00E050AF">
        <w:rPr>
          <w:i/>
          <w:iCs/>
        </w:rPr>
        <w:t>BRCA</w:t>
      </w:r>
      <w:r w:rsidRPr="00E050AF">
        <w:t xml:space="preserve">wt </w:t>
      </w:r>
      <w:r w:rsidR="00D410E4" w:rsidRPr="00E050AF">
        <w:t>p</w:t>
      </w:r>
      <w:r w:rsidRPr="00E050AF">
        <w:t>atients who incorrectly receive olaparib monotherapy instead of olaparib + bevacizumab do not receive the additive/synergistic benefits of bevacizumab, potentially leading to additional health benefits foregone.</w:t>
      </w:r>
    </w:p>
    <w:p w14:paraId="01901D22" w14:textId="75C1ABAC" w:rsidR="006F1AE9" w:rsidRPr="00E050AF" w:rsidRDefault="006F1AE9" w:rsidP="003C7731">
      <w:pPr>
        <w:pStyle w:val="ListParagraph"/>
        <w:numPr>
          <w:ilvl w:val="0"/>
          <w:numId w:val="29"/>
        </w:numPr>
        <w:ind w:left="993" w:hanging="284"/>
      </w:pPr>
      <w:r w:rsidRPr="00E050AF">
        <w:t xml:space="preserve">HRD negative </w:t>
      </w:r>
      <w:r w:rsidR="00CF529A" w:rsidRPr="00E050AF">
        <w:rPr>
          <w:i/>
          <w:iCs/>
        </w:rPr>
        <w:t>BRCA</w:t>
      </w:r>
      <w:r w:rsidRPr="00E050AF">
        <w:t xml:space="preserve">wt </w:t>
      </w:r>
      <w:r w:rsidR="00D410E4" w:rsidRPr="00E050AF">
        <w:t>p</w:t>
      </w:r>
      <w:r w:rsidRPr="00E050AF">
        <w:t>atients who incorrectly receive olaparib monotherapy instead of bevacizumab monotherapy are unnecessarily exposed to olaparib, resulting in additional cost (</w:t>
      </w:r>
      <w:r w:rsidR="00D410E4" w:rsidRPr="00E050AF">
        <w:t xml:space="preserve">for </w:t>
      </w:r>
      <w:r w:rsidRPr="00E050AF">
        <w:t xml:space="preserve">olaparib) and higher rate of AEs. The efficacy of olaparib monotherapy in </w:t>
      </w:r>
      <w:r w:rsidR="00CF529A" w:rsidRPr="00E050AF">
        <w:rPr>
          <w:i/>
          <w:iCs/>
        </w:rPr>
        <w:t>BRCA</w:t>
      </w:r>
      <w:r w:rsidRPr="00E050AF">
        <w:t>wt has not been established.</w:t>
      </w:r>
    </w:p>
    <w:p w14:paraId="10BA4BEA" w14:textId="751432AF" w:rsidR="006F1AE9" w:rsidRPr="00E050AF" w:rsidRDefault="006F1AE9" w:rsidP="003C7731">
      <w:pPr>
        <w:pStyle w:val="ListParagraph"/>
        <w:numPr>
          <w:ilvl w:val="0"/>
          <w:numId w:val="29"/>
        </w:numPr>
        <w:ind w:left="993" w:hanging="284"/>
      </w:pPr>
      <w:r w:rsidRPr="00E050AF">
        <w:t>Patients who incorrectly receive olaparib + bevacizumab instead of olaparib monotherapy are unnecessarily exposed to bevacizumab, incurring the additional cost of bevacizumab and potentially resulting in additional AEs due to bevacizumab.</w:t>
      </w:r>
    </w:p>
    <w:p w14:paraId="55FF0A14" w14:textId="21E3D774" w:rsidR="006F1AE9" w:rsidRPr="00E050AF" w:rsidRDefault="006F1AE9" w:rsidP="003C7731">
      <w:pPr>
        <w:pStyle w:val="ListParagraph"/>
        <w:numPr>
          <w:ilvl w:val="0"/>
          <w:numId w:val="29"/>
        </w:numPr>
        <w:ind w:left="993" w:hanging="284"/>
      </w:pPr>
      <w:r w:rsidRPr="00E050AF">
        <w:t>Patients who incorrectly receive olaparib + bevacizumab instead of bevacizumab are unnecessarily exposed to olaparib, resulting in additional cost and likely leading to a higher rate of AEs.</w:t>
      </w:r>
    </w:p>
    <w:p w14:paraId="34327DD7" w14:textId="4490D4B8" w:rsidR="006F1AE9" w:rsidRPr="00E050AF" w:rsidRDefault="006F1AE9" w:rsidP="003C7731">
      <w:pPr>
        <w:pStyle w:val="ListParagraph"/>
        <w:numPr>
          <w:ilvl w:val="0"/>
          <w:numId w:val="29"/>
        </w:numPr>
        <w:ind w:left="993" w:hanging="284"/>
      </w:pPr>
      <w:r w:rsidRPr="00E050AF">
        <w:t>Patients who incorrectly receive bevacizumab monotherapy instead of olaparib monotherapy would have the benefit of olaparib treatment foregone, while being exposed to bevacizumab unnecessarily.</w:t>
      </w:r>
    </w:p>
    <w:p w14:paraId="101277BA" w14:textId="77777777" w:rsidR="006F1AE9" w:rsidRPr="00E050AF" w:rsidRDefault="006F1AE9" w:rsidP="003C7731">
      <w:pPr>
        <w:pStyle w:val="ListParagraph"/>
        <w:numPr>
          <w:ilvl w:val="0"/>
          <w:numId w:val="29"/>
        </w:numPr>
        <w:ind w:left="993" w:hanging="284"/>
      </w:pPr>
      <w:r w:rsidRPr="00E050AF">
        <w:t>Patients who incorrectly receive bevacizumab monotherapy instead of olaparib + bevacizumab would have the benefit of olaparib foregone.</w:t>
      </w:r>
    </w:p>
    <w:p w14:paraId="436C1781" w14:textId="6D83FB4A" w:rsidR="00AB43EA" w:rsidRPr="00E050AF" w:rsidRDefault="00AB43EA" w:rsidP="009D3CDF">
      <w:pPr>
        <w:pStyle w:val="ListParagraph"/>
        <w:numPr>
          <w:ilvl w:val="4"/>
          <w:numId w:val="8"/>
        </w:numPr>
      </w:pPr>
      <w:r w:rsidRPr="00E050AF">
        <w:t>Sensitivity and specificity in the</w:t>
      </w:r>
      <w:r w:rsidR="00387D80" w:rsidRPr="00E050AF">
        <w:t xml:space="preserve"> base case of the</w:t>
      </w:r>
      <w:r w:rsidRPr="00E050AF">
        <w:t xml:space="preserve"> economic model were assumed to be 100% for the </w:t>
      </w:r>
      <w:r w:rsidR="00CF529A" w:rsidRPr="00E050AF">
        <w:rPr>
          <w:i/>
          <w:iCs/>
        </w:rPr>
        <w:t>BRCA</w:t>
      </w:r>
      <w:r w:rsidRPr="00E050AF">
        <w:t xml:space="preserve"> </w:t>
      </w:r>
      <w:r w:rsidR="001779B1" w:rsidRPr="00E050AF">
        <w:t xml:space="preserve">component of the HRD </w:t>
      </w:r>
      <w:r w:rsidRPr="00E050AF">
        <w:t xml:space="preserve">test and 95% for the </w:t>
      </w:r>
      <w:r w:rsidR="003C56D6" w:rsidRPr="00E050AF">
        <w:t xml:space="preserve">GIS </w:t>
      </w:r>
      <w:r w:rsidR="001779B1" w:rsidRPr="00E050AF">
        <w:t xml:space="preserve">component of the HRD </w:t>
      </w:r>
      <w:r w:rsidRPr="00E050AF">
        <w:t xml:space="preserve">test. </w:t>
      </w:r>
      <w:r w:rsidRPr="00E050AF">
        <w:rPr>
          <w:iCs/>
        </w:rPr>
        <w:t>Th</w:t>
      </w:r>
      <w:r w:rsidR="002D3613" w:rsidRPr="00E050AF">
        <w:rPr>
          <w:iCs/>
        </w:rPr>
        <w:t xml:space="preserve">e ESCs considered this </w:t>
      </w:r>
      <w:r w:rsidRPr="00E050AF">
        <w:rPr>
          <w:iCs/>
        </w:rPr>
        <w:t>may not be reasonable</w:t>
      </w:r>
      <w:r w:rsidR="002D3613" w:rsidRPr="00E050AF">
        <w:t xml:space="preserve"> as n</w:t>
      </w:r>
      <w:r w:rsidRPr="00E050AF">
        <w:t xml:space="preserve">o diagnostic accuracy studies comparing the proposed HRD test (the SOPHiA assay) with NGS for </w:t>
      </w:r>
      <w:r w:rsidR="00CF529A" w:rsidRPr="00E050AF">
        <w:rPr>
          <w:i/>
          <w:iCs/>
        </w:rPr>
        <w:t>BRCA</w:t>
      </w:r>
      <w:r w:rsidRPr="00E050AF">
        <w:t xml:space="preserve"> testing </w:t>
      </w:r>
      <w:r w:rsidR="002A1C12" w:rsidRPr="00E050AF">
        <w:t xml:space="preserve">were </w:t>
      </w:r>
      <w:r w:rsidRPr="00E050AF">
        <w:t xml:space="preserve">presented. A false positive for </w:t>
      </w:r>
      <w:r w:rsidR="00CF529A" w:rsidRPr="00E050AF">
        <w:rPr>
          <w:i/>
          <w:iCs/>
        </w:rPr>
        <w:t>BRCA</w:t>
      </w:r>
      <w:r w:rsidRPr="00E050AF">
        <w:t xml:space="preserve">m would lead to a patient </w:t>
      </w:r>
      <w:r w:rsidR="00B03EE4" w:rsidRPr="00E050AF">
        <w:t>being</w:t>
      </w:r>
      <w:r w:rsidR="002A1C12" w:rsidRPr="00E050AF">
        <w:t xml:space="preserve"> </w:t>
      </w:r>
      <w:r w:rsidRPr="00E050AF">
        <w:t>treated with olaparib monotherapy when they should have been treated with bevacizumab.</w:t>
      </w:r>
    </w:p>
    <w:p w14:paraId="61562C4D" w14:textId="22B91B7B" w:rsidR="00DD535A" w:rsidRPr="00E050AF" w:rsidRDefault="00D21B05" w:rsidP="009D3CDF">
      <w:pPr>
        <w:pStyle w:val="ListParagraph"/>
        <w:numPr>
          <w:ilvl w:val="4"/>
          <w:numId w:val="8"/>
        </w:numPr>
      </w:pPr>
      <w:r w:rsidRPr="00E050AF">
        <w:t>The PAOLA-1 study provided efficacy data for both olaparib plus bevacizumab and bevacizumab in all patient subgroups of the model. The economic evaluation used mixture cure models (MCMs) to estimate the cure fraction and to model PFS for uncured patients. MCMs are statistical survival models that can differentiate between the PFS of “cured” (long-term survivors) and “uncured” (not long-term survivors) patients and can identify the size of these two groups based on the PFS patient-level data.</w:t>
      </w:r>
      <w:r w:rsidR="00FA24C0" w:rsidRPr="00E050AF">
        <w:t xml:space="preserve"> The submission stated that the use of MCMs in the economic model is appropriate because there is clinical evidence of the existence of a cure fraction within this patient population (however no specific details were provided) and on the basis that most patients in PAOLA-1 have no evidence of disease at baseline </w:t>
      </w:r>
      <w:r w:rsidR="00481CFA" w:rsidRPr="00E050AF">
        <w:t>(</w:t>
      </w:r>
      <w:r w:rsidR="00FA24C0" w:rsidRPr="00E050AF">
        <w:t>having achieved complete response to a combination of surgery and platinum chemotherapy</w:t>
      </w:r>
      <w:r w:rsidR="00481CFA" w:rsidRPr="00E050AF">
        <w:t>)</w:t>
      </w:r>
      <w:r w:rsidR="004D41EA" w:rsidRPr="00E050AF">
        <w:t>. P</w:t>
      </w:r>
      <w:r w:rsidR="00FA24C0" w:rsidRPr="00E050AF">
        <w:t xml:space="preserve">rogression represents </w:t>
      </w:r>
      <w:r w:rsidR="00481CFA" w:rsidRPr="00E050AF">
        <w:t>a</w:t>
      </w:r>
      <w:r w:rsidR="00FA24C0" w:rsidRPr="00E050AF">
        <w:t xml:space="preserve"> recurrence of disease</w:t>
      </w:r>
      <w:r w:rsidR="00481CFA" w:rsidRPr="00E050AF">
        <w:t xml:space="preserve"> for these patients</w:t>
      </w:r>
      <w:r w:rsidR="00FA24C0" w:rsidRPr="00E050AF">
        <w:t>.</w:t>
      </w:r>
    </w:p>
    <w:p w14:paraId="018AFF14" w14:textId="5ED8199C" w:rsidR="00E86711" w:rsidRPr="00E050AF" w:rsidRDefault="00327A21" w:rsidP="00D06B7A">
      <w:pPr>
        <w:pStyle w:val="ListParagraph"/>
        <w:numPr>
          <w:ilvl w:val="4"/>
          <w:numId w:val="8"/>
        </w:numPr>
      </w:pPr>
      <w:r w:rsidRPr="00E050AF">
        <w:t>The c</w:t>
      </w:r>
      <w:r w:rsidR="00D21B05" w:rsidRPr="00E050AF">
        <w:t xml:space="preserve">ured </w:t>
      </w:r>
      <w:r w:rsidRPr="00E050AF">
        <w:t xml:space="preserve">fraction </w:t>
      </w:r>
      <w:r w:rsidR="00D21B05" w:rsidRPr="00E050AF">
        <w:t xml:space="preserve">patients are assumed, from cycle one, to never progress and </w:t>
      </w:r>
      <w:r w:rsidRPr="00E050AF">
        <w:t>have the same life expectancy as the general population with the risk of death informed by Australian life tables. Uncured patients (the complement to cure fraction) c</w:t>
      </w:r>
      <w:r w:rsidR="00F041ED" w:rsidRPr="00E050AF">
        <w:t>ould</w:t>
      </w:r>
      <w:r w:rsidRPr="00E050AF">
        <w:t xml:space="preserve"> experience disease progression </w:t>
      </w:r>
      <w:r w:rsidR="00F93266" w:rsidRPr="00E050AF">
        <w:t xml:space="preserve">and die </w:t>
      </w:r>
      <w:r w:rsidRPr="00E050AF">
        <w:t xml:space="preserve">(based on </w:t>
      </w:r>
      <w:r w:rsidR="003933F3" w:rsidRPr="00E050AF">
        <w:t xml:space="preserve">modified </w:t>
      </w:r>
      <w:r w:rsidRPr="00E050AF">
        <w:t>PAOLA-1 PFS curve</w:t>
      </w:r>
      <w:r w:rsidR="00F93266" w:rsidRPr="00E050AF">
        <w:t xml:space="preserve"> and OS curves</w:t>
      </w:r>
      <w:r w:rsidR="00BF0EBD" w:rsidRPr="00E050AF">
        <w:t xml:space="preserve"> </w:t>
      </w:r>
      <w:r w:rsidR="003933F3" w:rsidRPr="00E050AF">
        <w:t>from</w:t>
      </w:r>
      <w:r w:rsidR="00BF0EBD" w:rsidRPr="00E050AF">
        <w:t xml:space="preserve"> the HRD positive </w:t>
      </w:r>
      <w:r w:rsidR="00CF529A" w:rsidRPr="00E050AF">
        <w:rPr>
          <w:i/>
          <w:iCs/>
        </w:rPr>
        <w:t>BRCA</w:t>
      </w:r>
      <w:r w:rsidR="00BF0EBD" w:rsidRPr="00E050AF">
        <w:t>wt subgroup</w:t>
      </w:r>
      <w:r w:rsidR="00F93266" w:rsidRPr="00E050AF">
        <w:t>, extrapolated to the full time horizon</w:t>
      </w:r>
      <w:r w:rsidR="00BF0EBD" w:rsidRPr="00E050AF">
        <w:t xml:space="preserve"> from 38 months onwards</w:t>
      </w:r>
      <w:r w:rsidR="002801C0" w:rsidRPr="00E050AF">
        <w:t xml:space="preserve"> – see </w:t>
      </w:r>
      <w:r w:rsidR="002801C0" w:rsidRPr="00E050AF">
        <w:fldChar w:fldCharType="begin"/>
      </w:r>
      <w:r w:rsidR="002801C0" w:rsidRPr="00E050AF">
        <w:instrText xml:space="preserve"> REF _Ref103571301 \h </w:instrText>
      </w:r>
      <w:r w:rsidR="001C6B64" w:rsidRPr="00E050AF">
        <w:instrText xml:space="preserve"> \* MERGEFORMAT </w:instrText>
      </w:r>
      <w:r w:rsidR="002801C0" w:rsidRPr="00E050AF">
        <w:fldChar w:fldCharType="separate"/>
      </w:r>
      <w:r w:rsidR="00E050AF" w:rsidRPr="00E050AF">
        <w:t>Figure 10</w:t>
      </w:r>
      <w:r w:rsidR="002801C0" w:rsidRPr="00E050AF">
        <w:fldChar w:fldCharType="end"/>
      </w:r>
      <w:r w:rsidR="0085518D" w:rsidRPr="00E050AF">
        <w:t>)</w:t>
      </w:r>
      <w:r w:rsidR="00F93266" w:rsidRPr="00E050AF">
        <w:t>.</w:t>
      </w:r>
      <w:r w:rsidR="00D06B7A" w:rsidRPr="00E050AF">
        <w:t xml:space="preserve"> No justification for why PFS data (rather than OS) was used to estimate the cure fraction was provided, particularly as the cure fraction directly affects OS which is the more objective outcome. The July 2020 resubmission for olaparib monotherapy also used PFS data to estimate the cure fraction.</w:t>
      </w:r>
    </w:p>
    <w:p w14:paraId="674A9435" w14:textId="386C85BC" w:rsidR="00AA4BEA" w:rsidRPr="00E050AF" w:rsidRDefault="00AA4BEA" w:rsidP="00A354B6">
      <w:pPr>
        <w:pStyle w:val="TableHeading0"/>
      </w:pPr>
      <w:bookmarkStart w:id="89" w:name="_Ref103571301"/>
      <w:r w:rsidRPr="00E050AF">
        <w:t xml:space="preserve">Figure </w:t>
      </w:r>
      <w:r>
        <w:fldChar w:fldCharType="begin"/>
      </w:r>
      <w:r>
        <w:instrText>SEQ Figure_PBAC. \* ARABIC</w:instrText>
      </w:r>
      <w:r>
        <w:fldChar w:fldCharType="separate"/>
      </w:r>
      <w:r w:rsidR="00E050AF" w:rsidRPr="00E050AF">
        <w:t>10</w:t>
      </w:r>
      <w:r>
        <w:fldChar w:fldCharType="end"/>
      </w:r>
      <w:bookmarkEnd w:id="89"/>
      <w:r w:rsidRPr="00E050AF">
        <w:tab/>
        <w:t>Modelled PFS for uncured HRD+</w:t>
      </w:r>
      <w:r w:rsidR="00CF529A" w:rsidRPr="00E050AF">
        <w:rPr>
          <w:i/>
        </w:rPr>
        <w:t>BRCA</w:t>
      </w:r>
      <w:r w:rsidRPr="00E050AF">
        <w:t>wt patients</w:t>
      </w:r>
    </w:p>
    <w:p w14:paraId="3324AC51" w14:textId="77777777" w:rsidR="00AA4BEA" w:rsidRPr="00E050AF" w:rsidRDefault="00AA4BEA" w:rsidP="00AA4BEA">
      <w:pPr>
        <w:spacing w:after="0"/>
        <w:jc w:val="left"/>
        <w:rPr>
          <w:sz w:val="18"/>
          <w:szCs w:val="18"/>
        </w:rPr>
      </w:pPr>
      <w:r w:rsidRPr="00E050AF">
        <w:rPr>
          <w:noProof/>
          <w:lang w:eastAsia="en-AU"/>
        </w:rPr>
        <w:drawing>
          <wp:inline distT="0" distB="0" distL="0" distR="0" wp14:anchorId="355AF014" wp14:editId="75F81DAD">
            <wp:extent cx="4594465" cy="3177540"/>
            <wp:effectExtent l="0" t="0" r="0" b="3810"/>
            <wp:docPr id="86" name="Picture 86" descr="Figure 10 Modelled PFS for uncured HRD+BRCAwt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descr="Figure 10 Modelled PFS for uncured HRD+BRCAwt patients"/>
                    <pic:cNvPicPr/>
                  </pic:nvPicPr>
                  <pic:blipFill rotWithShape="1">
                    <a:blip r:embed="rId17"/>
                    <a:srcRect b="4740"/>
                    <a:stretch/>
                  </pic:blipFill>
                  <pic:spPr bwMode="auto">
                    <a:xfrm>
                      <a:off x="0" y="0"/>
                      <a:ext cx="4602686" cy="3183226"/>
                    </a:xfrm>
                    <a:prstGeom prst="rect">
                      <a:avLst/>
                    </a:prstGeom>
                    <a:ln>
                      <a:noFill/>
                    </a:ln>
                    <a:extLst>
                      <a:ext uri="{53640926-AAD7-44D8-BBD7-CCE9431645EC}">
                        <a14:shadowObscured xmlns:a14="http://schemas.microsoft.com/office/drawing/2010/main"/>
                      </a:ext>
                    </a:extLst>
                  </pic:spPr>
                </pic:pic>
              </a:graphicData>
            </a:graphic>
          </wp:inline>
        </w:drawing>
      </w:r>
    </w:p>
    <w:p w14:paraId="0D2E5C78" w14:textId="2896A747" w:rsidR="008D59F4" w:rsidRPr="00E050AF" w:rsidRDefault="00275200" w:rsidP="00AA4BEA">
      <w:pPr>
        <w:pStyle w:val="TableFooter"/>
      </w:pPr>
      <w:r w:rsidRPr="00E050AF">
        <w:rPr>
          <w:i/>
        </w:rPr>
        <w:t>BRCA</w:t>
      </w:r>
      <w:r w:rsidR="008D59F4" w:rsidRPr="00E050AF">
        <w:t>wt = breast cancer gene wild type; PFS = progression free survival; HRD = homologous recombination deficiency.</w:t>
      </w:r>
    </w:p>
    <w:p w14:paraId="20F36AF5" w14:textId="53A8C8DB" w:rsidR="00AA4BEA" w:rsidRPr="00E050AF" w:rsidRDefault="00AA4BEA" w:rsidP="00AA4BEA">
      <w:pPr>
        <w:pStyle w:val="TableFooter"/>
      </w:pPr>
      <w:r w:rsidRPr="00E050AF">
        <w:t>Source: Figure 3.8, p240 of the submission</w:t>
      </w:r>
    </w:p>
    <w:p w14:paraId="05FAC4A0" w14:textId="2A70070D" w:rsidR="004B6B49" w:rsidRPr="00E050AF" w:rsidRDefault="00AB43EA" w:rsidP="00347F86">
      <w:pPr>
        <w:pStyle w:val="ListParagraph"/>
        <w:numPr>
          <w:ilvl w:val="4"/>
          <w:numId w:val="8"/>
        </w:numPr>
      </w:pPr>
      <w:r w:rsidRPr="00E050AF">
        <w:t xml:space="preserve">The maintenance treatment phase is represented by a partitioned survival model with four health states; cured, progression-free survival following first-line treatment (uncured patients only), progressive disease (uncured patients only) and dead. For both olaparib plus bevacizumab and bevacizumab monotherapy (and placebo in the supplementary analysis), life years, QALYs and resource utilisation were estimated based on the time spent in each health state. </w:t>
      </w:r>
      <w:r w:rsidR="00D63892" w:rsidRPr="00E050AF">
        <w:t xml:space="preserve">Time on treatment (ToT) with olaparib in </w:t>
      </w:r>
      <w:r w:rsidR="00527E42" w:rsidRPr="00E050AF">
        <w:t xml:space="preserve">branch </w:t>
      </w:r>
      <w:r w:rsidR="00D63892" w:rsidRPr="00E050AF">
        <w:t>P1 was taken from the actual ToT curve in PAOLA</w:t>
      </w:r>
      <w:r w:rsidR="000458AE" w:rsidRPr="00E050AF">
        <w:noBreakHyphen/>
      </w:r>
      <w:r w:rsidR="00D63892" w:rsidRPr="00E050AF">
        <w:t xml:space="preserve">1 in the HRD positive </w:t>
      </w:r>
      <w:r w:rsidR="00CF529A" w:rsidRPr="00E050AF">
        <w:rPr>
          <w:i/>
          <w:iCs/>
        </w:rPr>
        <w:t>BRCA</w:t>
      </w:r>
      <w:r w:rsidR="00D63892" w:rsidRPr="00E050AF">
        <w:t xml:space="preserve">wt subgroup, but in </w:t>
      </w:r>
      <w:r w:rsidR="00527E42" w:rsidRPr="00E050AF">
        <w:t xml:space="preserve">branch </w:t>
      </w:r>
      <w:r w:rsidR="00D63892" w:rsidRPr="00E050AF">
        <w:t>P</w:t>
      </w:r>
      <w:r w:rsidR="00527E42" w:rsidRPr="00E050AF">
        <w:t xml:space="preserve">3 it was taken from the PFS curve in the </w:t>
      </w:r>
      <w:r w:rsidR="00CF529A" w:rsidRPr="00E050AF">
        <w:rPr>
          <w:i/>
          <w:iCs/>
        </w:rPr>
        <w:t>BRCA</w:t>
      </w:r>
      <w:r w:rsidR="00877F8A" w:rsidRPr="00E050AF">
        <w:t xml:space="preserve">wt subgroup to reflect patients discontinuing due to lack of efficacy as this was a false positive subgroup. </w:t>
      </w:r>
      <w:r w:rsidR="000458AE" w:rsidRPr="00E050AF">
        <w:t xml:space="preserve">ToT curves </w:t>
      </w:r>
      <w:r w:rsidR="00A967EB" w:rsidRPr="00E050AF">
        <w:t xml:space="preserve">for olaparib </w:t>
      </w:r>
      <w:r w:rsidR="000458AE" w:rsidRPr="00E050AF">
        <w:t xml:space="preserve">from PAOLA-1 were mature and appear reasonable, with </w:t>
      </w:r>
      <w:r w:rsidR="00A967EB" w:rsidRPr="00E050AF">
        <w:t xml:space="preserve">treatment ceased at 24 months. </w:t>
      </w:r>
      <w:r w:rsidR="003C01CB" w:rsidRPr="00E050AF">
        <w:t>The c</w:t>
      </w:r>
      <w:r w:rsidR="00877F8A" w:rsidRPr="00E050AF">
        <w:t xml:space="preserve">ost of bevacizumab was </w:t>
      </w:r>
      <w:r w:rsidR="00425B7B" w:rsidRPr="00E050AF">
        <w:t xml:space="preserve">applied as a lump sum in cycle one based on the mean number of doses in the respective treatment arms in PAOLA-1. The estimation of </w:t>
      </w:r>
      <w:r w:rsidR="00953967" w:rsidRPr="00E050AF">
        <w:t>olaparib plus bevacizumab</w:t>
      </w:r>
      <w:r w:rsidR="00A46E34" w:rsidRPr="00E050AF">
        <w:t xml:space="preserve"> and bevacizumab monotherapy</w:t>
      </w:r>
      <w:r w:rsidR="00953967" w:rsidRPr="00E050AF">
        <w:t xml:space="preserve"> </w:t>
      </w:r>
      <w:r w:rsidR="00425B7B" w:rsidRPr="00E050AF">
        <w:t>doses in the economic evaluation differed to that of the financial estimates, which used median doses instead of mean doses.</w:t>
      </w:r>
    </w:p>
    <w:p w14:paraId="059B7A61" w14:textId="0FC6E075" w:rsidR="00A46E34" w:rsidRPr="00E050AF" w:rsidRDefault="00F041ED" w:rsidP="009F410E">
      <w:pPr>
        <w:pStyle w:val="ListParagraph"/>
        <w:numPr>
          <w:ilvl w:val="4"/>
          <w:numId w:val="8"/>
        </w:numPr>
      </w:pPr>
      <w:bookmarkStart w:id="90" w:name="_Ref110608606"/>
      <w:r w:rsidRPr="00E050AF">
        <w:t>The submission stated that relative goodness of fit of the parametric models was assessed based on the Akaike Information Criterion (AIC) and visual inspection of the model projections against the Kaplan-Meier plot.</w:t>
      </w:r>
      <w:r w:rsidR="009F410E" w:rsidRPr="00E050AF">
        <w:t xml:space="preserve"> </w:t>
      </w:r>
      <w:r w:rsidR="00572F14" w:rsidRPr="00E050AF">
        <w:t xml:space="preserve">The loglogistic </w:t>
      </w:r>
      <w:r w:rsidR="009F410E" w:rsidRPr="00E050AF">
        <w:t xml:space="preserve">extrapolation </w:t>
      </w:r>
      <w:r w:rsidR="00572F14" w:rsidRPr="00E050AF">
        <w:t xml:space="preserve">was nominated as the base case for both treatment arms. </w:t>
      </w:r>
      <w:bookmarkStart w:id="91" w:name="_Hlk103687534"/>
      <w:r w:rsidR="009F410E" w:rsidRPr="00E050AF">
        <w:t>However, t</w:t>
      </w:r>
      <w:r w:rsidR="003C01CB" w:rsidRPr="00E050AF">
        <w:t>he</w:t>
      </w:r>
      <w:r w:rsidR="00EA00B7" w:rsidRPr="00E050AF">
        <w:t xml:space="preserve"> Weibull function </w:t>
      </w:r>
      <w:r w:rsidR="003C01CB" w:rsidRPr="00E050AF">
        <w:t xml:space="preserve">had </w:t>
      </w:r>
      <w:r w:rsidR="00EA00B7" w:rsidRPr="00E050AF">
        <w:t xml:space="preserve">the best statistical fit </w:t>
      </w:r>
      <w:r w:rsidR="003A544A" w:rsidRPr="00E050AF">
        <w:t xml:space="preserve">for </w:t>
      </w:r>
      <w:r w:rsidR="003C01CB" w:rsidRPr="00E050AF">
        <w:t xml:space="preserve">the </w:t>
      </w:r>
      <w:r w:rsidR="00983BCC" w:rsidRPr="00F2616B">
        <w:t xml:space="preserve">bevacizumab monotherapy </w:t>
      </w:r>
      <w:r w:rsidR="003C01CB" w:rsidRPr="00F2616B">
        <w:t xml:space="preserve">arm </w:t>
      </w:r>
      <w:r w:rsidR="00EA00B7" w:rsidRPr="00F2616B">
        <w:t xml:space="preserve">and </w:t>
      </w:r>
      <w:r w:rsidR="003C01CB" w:rsidRPr="00F2616B">
        <w:t xml:space="preserve">also has </w:t>
      </w:r>
      <w:r w:rsidR="005B1ACA" w:rsidRPr="00F2616B">
        <w:t xml:space="preserve">external validity </w:t>
      </w:r>
      <w:r w:rsidR="003A544A" w:rsidRPr="00F2616B">
        <w:t>(</w:t>
      </w:r>
      <w:r w:rsidR="00EA00B7" w:rsidRPr="00F2616B">
        <w:t xml:space="preserve">the </w:t>
      </w:r>
      <w:r w:rsidR="005B1ACA" w:rsidRPr="00F2616B">
        <w:t xml:space="preserve">estimated cure fraction </w:t>
      </w:r>
      <w:r w:rsidR="003A544A" w:rsidRPr="00F2616B">
        <w:t xml:space="preserve">of </w:t>
      </w:r>
      <w:r w:rsidR="005B1ACA" w:rsidRPr="00F2616B">
        <w:t xml:space="preserve">17.4% was more </w:t>
      </w:r>
      <w:r w:rsidR="00983BCC" w:rsidRPr="00F2616B">
        <w:t xml:space="preserve">consistent </w:t>
      </w:r>
      <w:r w:rsidR="003A544A" w:rsidRPr="00F2616B">
        <w:t xml:space="preserve">with the 18.0% cure fraction used for the </w:t>
      </w:r>
      <w:r w:rsidR="00983BCC" w:rsidRPr="00F2616B">
        <w:t>placebo arm in the olaparib July 2020 submission</w:t>
      </w:r>
      <w:r w:rsidR="005B1ACA" w:rsidRPr="00F2616B">
        <w:t xml:space="preserve"> </w:t>
      </w:r>
      <w:r w:rsidR="00001E65" w:rsidRPr="00F2616B">
        <w:t xml:space="preserve">- see </w:t>
      </w:r>
      <w:r w:rsidR="00001E65" w:rsidRPr="00F2616B">
        <w:fldChar w:fldCharType="begin"/>
      </w:r>
      <w:r w:rsidR="00001E65" w:rsidRPr="00F2616B">
        <w:instrText xml:space="preserve"> REF _Ref101313833 \h  \* MERGEFORMAT </w:instrText>
      </w:r>
      <w:r w:rsidR="00001E65" w:rsidRPr="00F2616B">
        <w:fldChar w:fldCharType="separate"/>
      </w:r>
      <w:r w:rsidR="00E050AF" w:rsidRPr="00F2616B">
        <w:t>Table 15</w:t>
      </w:r>
      <w:r w:rsidR="00001E65" w:rsidRPr="00F2616B">
        <w:fldChar w:fldCharType="end"/>
      </w:r>
      <w:r w:rsidR="005B1ACA" w:rsidRPr="00F2616B">
        <w:t>)</w:t>
      </w:r>
      <w:r w:rsidR="003C01CB" w:rsidRPr="00F2616B">
        <w:t>.</w:t>
      </w:r>
      <w:r w:rsidR="003C01CB" w:rsidRPr="00E050AF">
        <w:t xml:space="preserve"> </w:t>
      </w:r>
      <w:r w:rsidR="00AE32A3" w:rsidRPr="00E050AF">
        <w:t>The</w:t>
      </w:r>
      <w:r w:rsidR="005B1ACA" w:rsidRPr="00E050AF">
        <w:t xml:space="preserve"> loglogistic function </w:t>
      </w:r>
      <w:r w:rsidR="001C24C5" w:rsidRPr="00E050AF">
        <w:t xml:space="preserve">estimated only a cure fraction </w:t>
      </w:r>
      <w:r w:rsidR="001C24C5" w:rsidRPr="00F2616B">
        <w:t>of 6.6%</w:t>
      </w:r>
      <w:r w:rsidR="003C01CB" w:rsidRPr="00F2616B">
        <w:t>.</w:t>
      </w:r>
      <w:r w:rsidR="00FA3D8A" w:rsidRPr="00E050AF">
        <w:t xml:space="preserve"> </w:t>
      </w:r>
      <w:r w:rsidR="00FA3D8A" w:rsidRPr="00E050AF">
        <w:rPr>
          <w:iCs/>
        </w:rPr>
        <w:t xml:space="preserve">The PSCR maintained that the submission’s approach to extrapolation was reasonable, and stated that the </w:t>
      </w:r>
      <w:r w:rsidR="00FA61AD" w:rsidRPr="00E050AF">
        <w:rPr>
          <w:iCs/>
        </w:rPr>
        <w:t xml:space="preserve">sponsor anticipates that </w:t>
      </w:r>
      <w:r w:rsidR="00FA3D8A" w:rsidRPr="00E050AF">
        <w:rPr>
          <w:iCs/>
        </w:rPr>
        <w:t>more mature PFS data from data</w:t>
      </w:r>
      <w:r w:rsidR="00750ABD" w:rsidRPr="00E050AF">
        <w:rPr>
          <w:iCs/>
        </w:rPr>
        <w:t xml:space="preserve"> </w:t>
      </w:r>
      <w:r w:rsidR="00FA3D8A" w:rsidRPr="00E050AF">
        <w:rPr>
          <w:iCs/>
        </w:rPr>
        <w:t>cut</w:t>
      </w:r>
      <w:r w:rsidR="00750ABD" w:rsidRPr="00E050AF">
        <w:rPr>
          <w:iCs/>
        </w:rPr>
        <w:t>-off</w:t>
      </w:r>
      <w:r w:rsidR="00FA3D8A" w:rsidRPr="00E050AF">
        <w:rPr>
          <w:iCs/>
        </w:rPr>
        <w:t xml:space="preserve"> </w:t>
      </w:r>
      <w:r w:rsidR="00750ABD" w:rsidRPr="00E050AF">
        <w:rPr>
          <w:iCs/>
        </w:rPr>
        <w:t xml:space="preserve">3 </w:t>
      </w:r>
      <w:r w:rsidR="00FA3D8A" w:rsidRPr="00E050AF">
        <w:rPr>
          <w:iCs/>
        </w:rPr>
        <w:t>(</w:t>
      </w:r>
      <w:r w:rsidR="00750ABD" w:rsidRPr="00E050AF">
        <w:rPr>
          <w:iCs/>
        </w:rPr>
        <w:t xml:space="preserve">DCO3, </w:t>
      </w:r>
      <w:r w:rsidR="00FA3D8A" w:rsidRPr="00E050AF">
        <w:rPr>
          <w:iCs/>
        </w:rPr>
        <w:t>expected Q3, 2022) will validate the modelled PFS curves.</w:t>
      </w:r>
      <w:bookmarkEnd w:id="90"/>
    </w:p>
    <w:p w14:paraId="5163F06D" w14:textId="231F5C7D" w:rsidR="00EA00B7" w:rsidRPr="00E050AF" w:rsidRDefault="00001E65" w:rsidP="009D3CDF">
      <w:pPr>
        <w:pStyle w:val="ListParagraph"/>
        <w:numPr>
          <w:ilvl w:val="4"/>
          <w:numId w:val="8"/>
        </w:numPr>
      </w:pPr>
      <w:bookmarkStart w:id="92" w:name="_Ref109722353"/>
      <w:bookmarkEnd w:id="91"/>
      <w:r w:rsidRPr="00E050AF">
        <w:t>Overall, t</w:t>
      </w:r>
      <w:r w:rsidR="00EA00B7" w:rsidRPr="00E050AF">
        <w:t xml:space="preserve">he submission chose very optimistic extrapolation functions in the model base case </w:t>
      </w:r>
      <w:r w:rsidR="00E91518" w:rsidRPr="00E050AF">
        <w:t xml:space="preserve">with </w:t>
      </w:r>
      <w:r w:rsidR="00EA00B7" w:rsidRPr="00E050AF">
        <w:t>regard</w:t>
      </w:r>
      <w:r w:rsidR="00E91518" w:rsidRPr="00E050AF">
        <w:t xml:space="preserve">s to </w:t>
      </w:r>
      <w:r w:rsidR="00134B08" w:rsidRPr="00E050AF">
        <w:t xml:space="preserve">the increment between the </w:t>
      </w:r>
      <w:r w:rsidR="00EA00B7" w:rsidRPr="00E050AF">
        <w:t xml:space="preserve">cure fractions </w:t>
      </w:r>
      <w:r w:rsidR="00E91518" w:rsidRPr="00E050AF">
        <w:t xml:space="preserve">of </w:t>
      </w:r>
      <w:r w:rsidR="00AF70F2" w:rsidRPr="00E050AF">
        <w:t xml:space="preserve">the two treatment arms, </w:t>
      </w:r>
      <w:r w:rsidR="00EA00B7" w:rsidRPr="00E050AF">
        <w:t xml:space="preserve">which may not be adequately supported and </w:t>
      </w:r>
      <w:r w:rsidR="00F30528" w:rsidRPr="00E050AF">
        <w:t xml:space="preserve">were </w:t>
      </w:r>
      <w:r w:rsidR="00EA00B7" w:rsidRPr="00E050AF">
        <w:t xml:space="preserve">inconsistent with cure fractions estimated for olaparib monotherapy in </w:t>
      </w:r>
      <w:r w:rsidR="00F30528" w:rsidRPr="00E050AF">
        <w:t>the</w:t>
      </w:r>
      <w:r w:rsidR="0003584A" w:rsidRPr="00E050AF">
        <w:t xml:space="preserve"> </w:t>
      </w:r>
      <w:r w:rsidR="00CF529A" w:rsidRPr="00E050AF">
        <w:rPr>
          <w:i/>
          <w:iCs/>
        </w:rPr>
        <w:t>BRCA</w:t>
      </w:r>
      <w:r w:rsidR="00EA00B7" w:rsidRPr="00E050AF">
        <w:t xml:space="preserve">m model using data from SOLO1 considered by PBAC in July 2020. A comparison of the cure fractions estimated in this submission and the July 2020 resubmission for olaparib monotherapy in </w:t>
      </w:r>
      <w:r w:rsidR="00CF529A" w:rsidRPr="00E050AF">
        <w:rPr>
          <w:i/>
          <w:iCs/>
        </w:rPr>
        <w:t>BRCA</w:t>
      </w:r>
      <w:r w:rsidR="00EA00B7" w:rsidRPr="00E050AF">
        <w:t>m patients as well as the median PFS data from the pivotal trials is presented in the table below.</w:t>
      </w:r>
      <w:bookmarkEnd w:id="92"/>
    </w:p>
    <w:p w14:paraId="6137478F" w14:textId="6A273648" w:rsidR="00F041ED" w:rsidRPr="00E050AF" w:rsidRDefault="00A354B6" w:rsidP="00A354B6">
      <w:pPr>
        <w:pStyle w:val="TableHeading0"/>
      </w:pPr>
      <w:bookmarkStart w:id="93" w:name="_Ref109741907"/>
      <w:bookmarkStart w:id="94" w:name="_Ref101313833"/>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15</w:t>
      </w:r>
      <w:r w:rsidRPr="00E050AF">
        <w:rPr>
          <w:rStyle w:val="CommentReference"/>
          <w:b/>
          <w:szCs w:val="20"/>
        </w:rPr>
        <w:fldChar w:fldCharType="end"/>
      </w:r>
      <w:bookmarkEnd w:id="93"/>
      <w:bookmarkEnd w:id="94"/>
      <w:r w:rsidR="00394D07" w:rsidRPr="00E050AF">
        <w:rPr>
          <w:rStyle w:val="CommentReference"/>
          <w:b/>
          <w:szCs w:val="20"/>
        </w:rPr>
        <w:t xml:space="preserve"> </w:t>
      </w:r>
      <w:r w:rsidR="00F041ED" w:rsidRPr="00E050AF">
        <w:t>Comparison of cure fractions and median PFS estimated for PAOLA-1 and SOLO1</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5 Comparison of cure fractions and median PFS estimated for PAOLA-1 and SOLO1"/>
      </w:tblPr>
      <w:tblGrid>
        <w:gridCol w:w="1838"/>
        <w:gridCol w:w="1701"/>
        <w:gridCol w:w="1559"/>
        <w:gridCol w:w="1843"/>
        <w:gridCol w:w="2075"/>
      </w:tblGrid>
      <w:tr w:rsidR="00D11C2F" w:rsidRPr="00E050AF" w14:paraId="5685F90C" w14:textId="77777777" w:rsidTr="00B206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C13615" w14:textId="77777777" w:rsidR="00F041ED" w:rsidRPr="00E050AF" w:rsidRDefault="00F041ED" w:rsidP="00C143DA">
            <w:pPr>
              <w:keepNext/>
              <w:keepLines/>
              <w:spacing w:before="0"/>
              <w:jc w:val="left"/>
              <w:rPr>
                <w:sz w:val="20"/>
                <w:szCs w:val="20"/>
                <w:lang w:val="en-AU"/>
              </w:rPr>
            </w:pPr>
            <w:r w:rsidRPr="00E050AF">
              <w:rPr>
                <w:sz w:val="20"/>
                <w:szCs w:val="20"/>
                <w:lang w:val="en-AU"/>
              </w:rPr>
              <w:t>Parameter</w:t>
            </w:r>
          </w:p>
        </w:tc>
        <w:tc>
          <w:tcPr>
            <w:tcW w:w="32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448425" w14:textId="222E6DED" w:rsidR="00F041ED" w:rsidRPr="00E050AF" w:rsidRDefault="00F041ED" w:rsidP="00C143DA">
            <w:pPr>
              <w:keepNext/>
              <w:keepLines/>
              <w:spacing w:before="0"/>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E050AF">
              <w:rPr>
                <w:sz w:val="20"/>
                <w:szCs w:val="20"/>
                <w:lang w:val="en-AU"/>
              </w:rPr>
              <w:t xml:space="preserve">PAOLA-1 (HRD positive </w:t>
            </w:r>
            <w:r w:rsidR="00CF529A" w:rsidRPr="00E050AF">
              <w:rPr>
                <w:i/>
                <w:iCs/>
                <w:sz w:val="20"/>
                <w:szCs w:val="20"/>
                <w:lang w:val="en-AU"/>
              </w:rPr>
              <w:t>BRCA</w:t>
            </w:r>
            <w:r w:rsidRPr="00E050AF">
              <w:rPr>
                <w:sz w:val="20"/>
                <w:szCs w:val="20"/>
                <w:lang w:val="en-AU"/>
              </w:rPr>
              <w:t>wt)</w:t>
            </w:r>
          </w:p>
        </w:tc>
        <w:tc>
          <w:tcPr>
            <w:tcW w:w="39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8E41FA" w14:textId="6A3BEC4B" w:rsidR="00F041ED" w:rsidRPr="00E050AF" w:rsidRDefault="00F041ED" w:rsidP="00C143DA">
            <w:pPr>
              <w:keepNext/>
              <w:keepLines/>
              <w:spacing w:before="0"/>
              <w:jc w:val="center"/>
              <w:cnfStyle w:val="100000000000" w:firstRow="1" w:lastRow="0" w:firstColumn="0" w:lastColumn="0" w:oddVBand="0" w:evenVBand="0" w:oddHBand="0" w:evenHBand="0" w:firstRowFirstColumn="0" w:firstRowLastColumn="0" w:lastRowFirstColumn="0" w:lastRowLastColumn="0"/>
              <w:rPr>
                <w:sz w:val="20"/>
                <w:szCs w:val="20"/>
                <w:lang w:val="en-AU"/>
              </w:rPr>
            </w:pPr>
            <w:r w:rsidRPr="00E050AF">
              <w:rPr>
                <w:sz w:val="20"/>
                <w:szCs w:val="20"/>
                <w:lang w:val="en-AU"/>
              </w:rPr>
              <w:t>SOLO1 (</w:t>
            </w:r>
            <w:r w:rsidR="00CF529A" w:rsidRPr="00E050AF">
              <w:rPr>
                <w:i/>
                <w:iCs/>
                <w:sz w:val="20"/>
                <w:szCs w:val="20"/>
                <w:lang w:val="en-AU"/>
              </w:rPr>
              <w:t>BRCA</w:t>
            </w:r>
            <w:r w:rsidRPr="00E050AF">
              <w:rPr>
                <w:sz w:val="20"/>
                <w:szCs w:val="20"/>
                <w:lang w:val="en-AU"/>
              </w:rPr>
              <w:t>m)</w:t>
            </w:r>
          </w:p>
        </w:tc>
      </w:tr>
      <w:tr w:rsidR="00D11C2F" w:rsidRPr="00E050AF" w14:paraId="781E889C" w14:textId="77777777" w:rsidTr="00B2065D">
        <w:tc>
          <w:tcPr>
            <w:cnfStyle w:val="001000000000" w:firstRow="0" w:lastRow="0" w:firstColumn="1" w:lastColumn="0" w:oddVBand="0" w:evenVBand="0" w:oddHBand="0" w:evenHBand="0" w:firstRowFirstColumn="0" w:firstRowLastColumn="0" w:lastRowFirstColumn="0" w:lastRowLastColumn="0"/>
            <w:tcW w:w="18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B02A7B" w14:textId="77777777" w:rsidR="00F041ED" w:rsidRPr="00E050AF" w:rsidRDefault="00F041ED" w:rsidP="00C143DA">
            <w:pPr>
              <w:keepNext/>
              <w:keepLines/>
              <w:spacing w:before="0"/>
              <w:jc w:val="left"/>
              <w:rPr>
                <w:b/>
                <w:sz w:val="20"/>
                <w:szCs w:val="20"/>
                <w:lang w:val="en-A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AAAD1"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lang w:val="en-AU"/>
              </w:rPr>
            </w:pPr>
            <w:r w:rsidRPr="00E050AF">
              <w:rPr>
                <w:rFonts w:ascii="Arial Narrow" w:hAnsi="Arial Narrow"/>
                <w:b/>
                <w:sz w:val="20"/>
                <w:szCs w:val="20"/>
                <w:lang w:val="en-AU"/>
              </w:rPr>
              <w:t>Olaparib + bevacizumab</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7F0C3"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lang w:val="en-AU"/>
              </w:rPr>
            </w:pPr>
            <w:r w:rsidRPr="00E050AF">
              <w:rPr>
                <w:rFonts w:ascii="Arial Narrow" w:hAnsi="Arial Narrow"/>
                <w:b/>
                <w:sz w:val="20"/>
                <w:szCs w:val="20"/>
                <w:lang w:val="en-AU"/>
              </w:rPr>
              <w:t>Bevacizumab monotherapy</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BC44B3"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lang w:val="en-AU"/>
              </w:rPr>
            </w:pPr>
            <w:r w:rsidRPr="00E050AF">
              <w:rPr>
                <w:rFonts w:ascii="Arial Narrow" w:hAnsi="Arial Narrow"/>
                <w:b/>
                <w:sz w:val="20"/>
                <w:szCs w:val="20"/>
                <w:lang w:val="en-AU"/>
              </w:rPr>
              <w:t>Olaparib monotherapy</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A47B65"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sz w:val="20"/>
                <w:szCs w:val="20"/>
                <w:lang w:val="en-AU"/>
              </w:rPr>
            </w:pPr>
            <w:r w:rsidRPr="00E050AF">
              <w:rPr>
                <w:rFonts w:ascii="Arial Narrow" w:hAnsi="Arial Narrow"/>
                <w:b/>
                <w:sz w:val="20"/>
                <w:szCs w:val="20"/>
                <w:lang w:val="en-AU"/>
              </w:rPr>
              <w:t>Placebo</w:t>
            </w:r>
          </w:p>
        </w:tc>
      </w:tr>
      <w:tr w:rsidR="00D11C2F" w:rsidRPr="00E050AF" w14:paraId="4412808D" w14:textId="77777777" w:rsidTr="00B2065D">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BCE58" w14:textId="77777777" w:rsidR="00F041ED" w:rsidRPr="00E050AF" w:rsidRDefault="00F041ED" w:rsidP="00C143DA">
            <w:pPr>
              <w:keepNext/>
              <w:keepLines/>
              <w:spacing w:before="0"/>
              <w:jc w:val="left"/>
              <w:rPr>
                <w:sz w:val="20"/>
                <w:szCs w:val="20"/>
                <w:lang w:val="en-AU"/>
              </w:rPr>
            </w:pPr>
            <w:r w:rsidRPr="00E050AF">
              <w:rPr>
                <w:sz w:val="20"/>
                <w:szCs w:val="20"/>
                <w:lang w:val="en-AU"/>
              </w:rPr>
              <w:t>Median PFS (95%CI)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7E19B"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30.0 months (NR)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6D6C4"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16.6 months (NR)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06C6" w14:textId="5DCC972C"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 xml:space="preserve">56.0 months (41.9, </w:t>
            </w:r>
            <w:r w:rsidR="001E1791" w:rsidRPr="00E050AF">
              <w:rPr>
                <w:rFonts w:ascii="Arial Narrow" w:hAnsi="Arial Narrow"/>
                <w:sz w:val="20"/>
                <w:szCs w:val="20"/>
                <w:lang w:val="en-AU"/>
              </w:rPr>
              <w:t>nr</w:t>
            </w:r>
            <w:r w:rsidRPr="00E050AF">
              <w:rPr>
                <w:rFonts w:ascii="Arial Narrow" w:hAnsi="Arial Narrow"/>
                <w:sz w:val="20"/>
                <w:szCs w:val="20"/>
                <w:lang w:val="en-AU"/>
              </w:rPr>
              <w:t>)</w:t>
            </w:r>
          </w:p>
        </w:tc>
        <w:tc>
          <w:tcPr>
            <w:tcW w:w="20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2D782"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13.8 months (11.1, 18.2)</w:t>
            </w:r>
          </w:p>
        </w:tc>
      </w:tr>
      <w:tr w:rsidR="00F041ED" w:rsidRPr="00E050AF" w14:paraId="769E08F5" w14:textId="77777777" w:rsidTr="00B2065D">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hideMark/>
          </w:tcPr>
          <w:p w14:paraId="14DA7179" w14:textId="77777777" w:rsidR="00F041ED" w:rsidRPr="00E050AF" w:rsidRDefault="00F041ED" w:rsidP="00C143DA">
            <w:pPr>
              <w:keepNext/>
              <w:keepLines/>
              <w:spacing w:before="0"/>
              <w:jc w:val="left"/>
              <w:rPr>
                <w:sz w:val="20"/>
                <w:szCs w:val="20"/>
                <w:lang w:val="en-AU"/>
              </w:rPr>
            </w:pPr>
            <w:r w:rsidRPr="00E050AF">
              <w:rPr>
                <w:sz w:val="20"/>
                <w:szCs w:val="20"/>
                <w:lang w:val="en-AU"/>
              </w:rPr>
              <w:t>PFS HR (95%CI)</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14:paraId="1B3FF70A"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0.44 (0.29, 0.66)</w:t>
            </w:r>
          </w:p>
        </w:tc>
        <w:tc>
          <w:tcPr>
            <w:tcW w:w="3918" w:type="dxa"/>
            <w:gridSpan w:val="2"/>
            <w:tcBorders>
              <w:top w:val="single" w:sz="4" w:space="0" w:color="auto"/>
              <w:left w:val="single" w:sz="4" w:space="0" w:color="auto"/>
              <w:bottom w:val="single" w:sz="4" w:space="0" w:color="auto"/>
              <w:right w:val="single" w:sz="4" w:space="0" w:color="auto"/>
            </w:tcBorders>
            <w:vAlign w:val="center"/>
            <w:hideMark/>
          </w:tcPr>
          <w:p w14:paraId="7FF50A6E"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0.33 (0.25, 0.43)</w:t>
            </w:r>
          </w:p>
        </w:tc>
      </w:tr>
      <w:tr w:rsidR="00D11C2F" w:rsidRPr="00E050AF" w14:paraId="54488601" w14:textId="77777777" w:rsidTr="00B2065D">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hideMark/>
          </w:tcPr>
          <w:p w14:paraId="27CA8788" w14:textId="3FF71556" w:rsidR="00F041ED" w:rsidRPr="00E050AF" w:rsidRDefault="00F041ED" w:rsidP="00C143DA">
            <w:pPr>
              <w:keepNext/>
              <w:keepLines/>
              <w:spacing w:before="0"/>
              <w:jc w:val="left"/>
              <w:rPr>
                <w:sz w:val="20"/>
                <w:szCs w:val="20"/>
                <w:lang w:val="en-AU"/>
              </w:rPr>
            </w:pPr>
            <w:r w:rsidRPr="00E050AF">
              <w:rPr>
                <w:sz w:val="20"/>
                <w:szCs w:val="20"/>
                <w:lang w:val="en-AU"/>
              </w:rPr>
              <w:t xml:space="preserve">Median </w:t>
            </w:r>
            <w:r w:rsidR="006855D2" w:rsidRPr="00E050AF">
              <w:rPr>
                <w:sz w:val="20"/>
                <w:szCs w:val="20"/>
                <w:lang w:val="en-AU"/>
              </w:rPr>
              <w:t>f</w:t>
            </w:r>
            <w:r w:rsidRPr="00E050AF">
              <w:rPr>
                <w:sz w:val="20"/>
                <w:szCs w:val="20"/>
                <w:lang w:val="en-AU"/>
              </w:rPr>
              <w:t>ollow up</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BE2EDF" w14:textId="37A18B28" w:rsidR="00F041ED" w:rsidRPr="00E050AF" w:rsidRDefault="00AC5D67"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3.2 years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18D8E8" w14:textId="5AE0B943" w:rsidR="00AC5D67" w:rsidRPr="00E050AF" w:rsidRDefault="00AC5D67"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3.2 years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462973"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4.8 years</w:t>
            </w:r>
          </w:p>
        </w:tc>
        <w:tc>
          <w:tcPr>
            <w:tcW w:w="2075" w:type="dxa"/>
            <w:tcBorders>
              <w:top w:val="single" w:sz="4" w:space="0" w:color="auto"/>
              <w:left w:val="single" w:sz="4" w:space="0" w:color="auto"/>
              <w:bottom w:val="single" w:sz="4" w:space="0" w:color="auto"/>
              <w:right w:val="single" w:sz="4" w:space="0" w:color="auto"/>
            </w:tcBorders>
            <w:vAlign w:val="center"/>
            <w:hideMark/>
          </w:tcPr>
          <w:p w14:paraId="70B11391" w14:textId="77777777" w:rsidR="00F041ED" w:rsidRPr="00E050AF"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5.0 years</w:t>
            </w:r>
          </w:p>
        </w:tc>
      </w:tr>
      <w:tr w:rsidR="00D11C2F" w:rsidRPr="00E050AF" w14:paraId="452E5112" w14:textId="77777777" w:rsidTr="00B2065D">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hideMark/>
          </w:tcPr>
          <w:p w14:paraId="7D49B697" w14:textId="0FB5415A" w:rsidR="00F041ED" w:rsidRPr="00E050AF" w:rsidRDefault="00F041ED" w:rsidP="00C143DA">
            <w:pPr>
              <w:keepNext/>
              <w:keepLines/>
              <w:spacing w:before="0"/>
              <w:jc w:val="left"/>
              <w:rPr>
                <w:sz w:val="20"/>
                <w:szCs w:val="20"/>
                <w:lang w:val="en-AU"/>
              </w:rPr>
            </w:pPr>
            <w:r w:rsidRPr="00E050AF">
              <w:rPr>
                <w:sz w:val="20"/>
                <w:szCs w:val="20"/>
                <w:lang w:val="en-AU"/>
              </w:rPr>
              <w:t>Cure</w:t>
            </w:r>
            <w:r w:rsidR="006855D2" w:rsidRPr="00E050AF">
              <w:rPr>
                <w:sz w:val="20"/>
                <w:szCs w:val="20"/>
                <w:lang w:val="en-AU"/>
              </w:rPr>
              <w:t xml:space="preserve"> f</w:t>
            </w:r>
            <w:r w:rsidRPr="00E050AF">
              <w:rPr>
                <w:sz w:val="20"/>
                <w:szCs w:val="20"/>
                <w:lang w:val="en-AU"/>
              </w:rPr>
              <w:t>raction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FEEC415" w14:textId="77777777" w:rsidR="00F041ED" w:rsidRPr="00F2616B"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F2616B">
              <w:rPr>
                <w:rFonts w:ascii="Arial Narrow" w:hAnsi="Arial Narrow"/>
                <w:sz w:val="20"/>
                <w:szCs w:val="20"/>
                <w:lang w:val="en-AU"/>
              </w:rPr>
              <w:t>38.6%</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5E50B9B" w14:textId="77777777" w:rsidR="00F041ED" w:rsidRPr="00F2616B"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F2616B">
              <w:rPr>
                <w:rFonts w:ascii="Arial Narrow" w:hAnsi="Arial Narrow"/>
                <w:sz w:val="20"/>
                <w:szCs w:val="20"/>
                <w:lang w:val="en-AU"/>
              </w:rPr>
              <w:t>6.6%</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EFB1911" w14:textId="77777777" w:rsidR="00F041ED" w:rsidRPr="00F2616B"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F2616B">
              <w:rPr>
                <w:rFonts w:ascii="Arial Narrow" w:hAnsi="Arial Narrow"/>
                <w:sz w:val="20"/>
                <w:szCs w:val="20"/>
                <w:lang w:val="en-AU"/>
              </w:rPr>
              <w:t>25.45%</w:t>
            </w:r>
          </w:p>
        </w:tc>
        <w:tc>
          <w:tcPr>
            <w:tcW w:w="2075" w:type="dxa"/>
            <w:tcBorders>
              <w:top w:val="single" w:sz="4" w:space="0" w:color="auto"/>
              <w:left w:val="single" w:sz="4" w:space="0" w:color="auto"/>
              <w:bottom w:val="single" w:sz="4" w:space="0" w:color="auto"/>
              <w:right w:val="single" w:sz="4" w:space="0" w:color="auto"/>
            </w:tcBorders>
            <w:vAlign w:val="center"/>
            <w:hideMark/>
          </w:tcPr>
          <w:p w14:paraId="11FD8043" w14:textId="77777777" w:rsidR="00F041ED" w:rsidRPr="00F2616B" w:rsidRDefault="00F041E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F2616B">
              <w:rPr>
                <w:rFonts w:ascii="Arial Narrow" w:hAnsi="Arial Narrow"/>
                <w:sz w:val="20"/>
                <w:szCs w:val="20"/>
                <w:lang w:val="en-AU"/>
              </w:rPr>
              <w:t>18.0%</w:t>
            </w:r>
          </w:p>
        </w:tc>
      </w:tr>
      <w:tr w:rsidR="00B2065D" w:rsidRPr="00E050AF" w14:paraId="01174A96" w14:textId="77777777" w:rsidTr="00B2065D">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auto"/>
              <w:left w:val="single" w:sz="4" w:space="0" w:color="auto"/>
              <w:bottom w:val="single" w:sz="4" w:space="0" w:color="auto"/>
              <w:right w:val="single" w:sz="4" w:space="0" w:color="auto"/>
            </w:tcBorders>
            <w:vAlign w:val="center"/>
          </w:tcPr>
          <w:p w14:paraId="3834531B" w14:textId="6F3F4F6E" w:rsidR="00B2065D" w:rsidRPr="00E050AF" w:rsidRDefault="00B2065D" w:rsidP="00C143DA">
            <w:pPr>
              <w:keepNext/>
              <w:keepLines/>
              <w:spacing w:before="0"/>
              <w:jc w:val="left"/>
              <w:rPr>
                <w:sz w:val="20"/>
                <w:szCs w:val="20"/>
                <w:lang w:val="en-AU"/>
              </w:rPr>
            </w:pPr>
            <w:r w:rsidRPr="00E050AF">
              <w:rPr>
                <w:sz w:val="20"/>
                <w:szCs w:val="20"/>
                <w:lang w:val="en-AU"/>
              </w:rPr>
              <w:t>Incremental cure fraction</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E64535B" w14:textId="72FEA380" w:rsidR="00B2065D" w:rsidRPr="00E050AF" w:rsidRDefault="00B2065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32.0%</w:t>
            </w:r>
          </w:p>
        </w:tc>
        <w:tc>
          <w:tcPr>
            <w:tcW w:w="3918" w:type="dxa"/>
            <w:gridSpan w:val="2"/>
            <w:tcBorders>
              <w:top w:val="single" w:sz="4" w:space="0" w:color="auto"/>
              <w:left w:val="single" w:sz="4" w:space="0" w:color="auto"/>
              <w:bottom w:val="single" w:sz="4" w:space="0" w:color="auto"/>
              <w:right w:val="single" w:sz="4" w:space="0" w:color="auto"/>
            </w:tcBorders>
            <w:vAlign w:val="center"/>
          </w:tcPr>
          <w:p w14:paraId="37B3A03E" w14:textId="0A4FB0A7" w:rsidR="00B2065D" w:rsidRPr="00E050AF" w:rsidRDefault="00B2065D" w:rsidP="00C143DA">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lang w:val="en-AU"/>
              </w:rPr>
            </w:pPr>
            <w:r w:rsidRPr="00E050AF">
              <w:rPr>
                <w:rFonts w:ascii="Arial Narrow" w:hAnsi="Arial Narrow"/>
                <w:sz w:val="20"/>
                <w:szCs w:val="20"/>
                <w:lang w:val="en-AU"/>
              </w:rPr>
              <w:t>7.45%</w:t>
            </w:r>
          </w:p>
        </w:tc>
      </w:tr>
    </w:tbl>
    <w:p w14:paraId="2247D673" w14:textId="680BEFFC" w:rsidR="00F041ED" w:rsidRPr="00E050AF" w:rsidRDefault="008A3993" w:rsidP="00C143DA">
      <w:pPr>
        <w:keepNext/>
        <w:keepLines/>
        <w:spacing w:before="0" w:after="0"/>
        <w:rPr>
          <w:rFonts w:ascii="Arial Narrow" w:hAnsi="Arial Narrow"/>
          <w:sz w:val="18"/>
          <w:szCs w:val="18"/>
        </w:rPr>
      </w:pPr>
      <w:r w:rsidRPr="00E050AF">
        <w:rPr>
          <w:rFonts w:ascii="Arial Narrow" w:hAnsi="Arial Narrow"/>
          <w:i/>
          <w:iCs/>
          <w:sz w:val="18"/>
          <w:szCs w:val="18"/>
        </w:rPr>
        <w:t>BRCA</w:t>
      </w:r>
      <w:r w:rsidRPr="00E050AF">
        <w:rPr>
          <w:rFonts w:ascii="Arial Narrow" w:hAnsi="Arial Narrow"/>
          <w:sz w:val="18"/>
          <w:szCs w:val="18"/>
        </w:rPr>
        <w:t xml:space="preserve"> = breast cancer gene; </w:t>
      </w:r>
      <w:r w:rsidR="00F041ED" w:rsidRPr="00E050AF">
        <w:rPr>
          <w:rFonts w:ascii="Arial Narrow" w:hAnsi="Arial Narrow"/>
          <w:sz w:val="18"/>
          <w:szCs w:val="18"/>
        </w:rPr>
        <w:t xml:space="preserve">CI = confidence interval; HR = hazard ratio; </w:t>
      </w:r>
      <w:r w:rsidRPr="00E050AF">
        <w:rPr>
          <w:rFonts w:ascii="Arial Narrow" w:hAnsi="Arial Narrow"/>
          <w:sz w:val="18"/>
          <w:szCs w:val="18"/>
        </w:rPr>
        <w:t xml:space="preserve">HRD = homologous recombination deficiency; m = mutation; </w:t>
      </w:r>
      <w:r w:rsidR="00F041ED" w:rsidRPr="00E050AF">
        <w:rPr>
          <w:rFonts w:ascii="Arial Narrow" w:hAnsi="Arial Narrow"/>
          <w:sz w:val="18"/>
          <w:szCs w:val="18"/>
        </w:rPr>
        <w:t>NR = not reported; nr = not reached; PFS = progression free survival</w:t>
      </w:r>
      <w:r w:rsidRPr="00E050AF">
        <w:rPr>
          <w:rFonts w:ascii="Arial Narrow" w:hAnsi="Arial Narrow"/>
          <w:sz w:val="18"/>
          <w:szCs w:val="18"/>
        </w:rPr>
        <w:t>; wt = wild type</w:t>
      </w:r>
    </w:p>
    <w:p w14:paraId="38FAC95A" w14:textId="77777777" w:rsidR="00F041ED" w:rsidRPr="00E050AF" w:rsidRDefault="00F041ED" w:rsidP="00A110CB">
      <w:pPr>
        <w:spacing w:before="0"/>
        <w:rPr>
          <w:rFonts w:ascii="Arial Narrow" w:hAnsi="Arial Narrow"/>
          <w:sz w:val="18"/>
          <w:szCs w:val="18"/>
        </w:rPr>
      </w:pPr>
      <w:r w:rsidRPr="00E050AF">
        <w:rPr>
          <w:rFonts w:ascii="Arial Narrow" w:hAnsi="Arial Narrow"/>
          <w:sz w:val="18"/>
          <w:szCs w:val="18"/>
        </w:rPr>
        <w:t>Source: Constructed during evaluation using information from table 2.84, p183 of the submission, p239 of the submission, Banerjee 2021, and Table 3.4.5, July 2020 olaparib commentary.</w:t>
      </w:r>
    </w:p>
    <w:p w14:paraId="27931ED2" w14:textId="2679682C" w:rsidR="00001E65" w:rsidRPr="00E050AF" w:rsidRDefault="00AC5D67" w:rsidP="009D3CDF">
      <w:pPr>
        <w:pStyle w:val="ListParagraph"/>
        <w:numPr>
          <w:ilvl w:val="4"/>
          <w:numId w:val="8"/>
        </w:numPr>
        <w:rPr>
          <w:iCs/>
        </w:rPr>
      </w:pPr>
      <w:r w:rsidRPr="00E050AF">
        <w:rPr>
          <w:iCs/>
        </w:rPr>
        <w:t>MCM was estimated using the PFS curve in both models however the</w:t>
      </w:r>
      <w:r w:rsidR="00001E65" w:rsidRPr="00E050AF">
        <w:rPr>
          <w:iCs/>
        </w:rPr>
        <w:t xml:space="preserve"> median PFS </w:t>
      </w:r>
      <w:r w:rsidRPr="00E050AF">
        <w:rPr>
          <w:iCs/>
        </w:rPr>
        <w:t xml:space="preserve">was inconsistent </w:t>
      </w:r>
      <w:r w:rsidR="00001E65" w:rsidRPr="00E050AF">
        <w:rPr>
          <w:iCs/>
        </w:rPr>
        <w:t>with the estimated cure fractions</w:t>
      </w:r>
      <w:r w:rsidRPr="00E050AF">
        <w:rPr>
          <w:iCs/>
        </w:rPr>
        <w:t>. O</w:t>
      </w:r>
      <w:r w:rsidR="00001E65" w:rsidRPr="00E050AF">
        <w:rPr>
          <w:iCs/>
        </w:rPr>
        <w:t xml:space="preserve">laparib plus bevacizumab in PAOLA-1 had a shorter median PFS than olaparib monotherapy in SOLO1 but a higher cure fraction, and bevacizumab monotherapy in PAOLA-1 had a longer median PFS than placebo in SOLO1 but a lower cure fraction. The PFS HR </w:t>
      </w:r>
      <w:r w:rsidRPr="00E050AF">
        <w:rPr>
          <w:iCs/>
        </w:rPr>
        <w:t xml:space="preserve">was also inconsistent </w:t>
      </w:r>
      <w:r w:rsidR="00001E65" w:rsidRPr="00E050AF">
        <w:rPr>
          <w:iCs/>
        </w:rPr>
        <w:t xml:space="preserve">with the incremental difference in cure fractions, as the July 2020 olaparib monotherapy in </w:t>
      </w:r>
      <w:r w:rsidR="00CF529A" w:rsidRPr="00E050AF">
        <w:rPr>
          <w:i/>
          <w:iCs/>
        </w:rPr>
        <w:t>BRCA</w:t>
      </w:r>
      <w:r w:rsidR="00001E65" w:rsidRPr="00E050AF">
        <w:rPr>
          <w:iCs/>
        </w:rPr>
        <w:t xml:space="preserve">m model had a </w:t>
      </w:r>
      <w:r w:rsidR="00885ABF" w:rsidRPr="00E050AF">
        <w:rPr>
          <w:iCs/>
        </w:rPr>
        <w:t xml:space="preserve">more favourable </w:t>
      </w:r>
      <w:r w:rsidR="00001E65" w:rsidRPr="00E050AF">
        <w:rPr>
          <w:iCs/>
        </w:rPr>
        <w:t xml:space="preserve">PFS HR than this submission (0.33 compared to 0.44) but </w:t>
      </w:r>
      <w:r w:rsidR="00F30528" w:rsidRPr="00E050AF">
        <w:rPr>
          <w:iCs/>
        </w:rPr>
        <w:t>a mu</w:t>
      </w:r>
      <w:r w:rsidR="001E1791" w:rsidRPr="00E050AF">
        <w:rPr>
          <w:iCs/>
        </w:rPr>
        <w:t>c</w:t>
      </w:r>
      <w:r w:rsidR="00F30528" w:rsidRPr="00E050AF">
        <w:rPr>
          <w:iCs/>
        </w:rPr>
        <w:t>h lower</w:t>
      </w:r>
      <w:r w:rsidR="00001E65" w:rsidRPr="00E050AF">
        <w:rPr>
          <w:iCs/>
        </w:rPr>
        <w:t xml:space="preserve"> incremental cure fraction (7.45% compared to 3</w:t>
      </w:r>
      <w:r w:rsidR="0067647F" w:rsidRPr="00E050AF">
        <w:rPr>
          <w:iCs/>
        </w:rPr>
        <w:t>2</w:t>
      </w:r>
      <w:r w:rsidR="00001E65" w:rsidRPr="00E050AF">
        <w:rPr>
          <w:iCs/>
        </w:rPr>
        <w:t>%).</w:t>
      </w:r>
    </w:p>
    <w:p w14:paraId="7EF9D6D6" w14:textId="3D958FF3" w:rsidR="004B6B49" w:rsidRPr="00E050AF" w:rsidRDefault="004F062C" w:rsidP="004B6B49">
      <w:pPr>
        <w:pStyle w:val="ListParagraph"/>
        <w:numPr>
          <w:ilvl w:val="4"/>
          <w:numId w:val="8"/>
        </w:numPr>
      </w:pPr>
      <w:bookmarkStart w:id="95" w:name="_Ref109722356"/>
      <w:r w:rsidRPr="00E050AF">
        <w:rPr>
          <w:iCs/>
        </w:rPr>
        <w:t xml:space="preserve">The </w:t>
      </w:r>
      <w:r w:rsidR="00443F37" w:rsidRPr="00E050AF">
        <w:rPr>
          <w:iCs/>
        </w:rPr>
        <w:t xml:space="preserve">submission </w:t>
      </w:r>
      <w:r w:rsidR="004B6B49" w:rsidRPr="00E050AF">
        <w:rPr>
          <w:iCs/>
        </w:rPr>
        <w:t xml:space="preserve">did </w:t>
      </w:r>
      <w:r w:rsidR="00443F37" w:rsidRPr="00E050AF">
        <w:rPr>
          <w:iCs/>
        </w:rPr>
        <w:t xml:space="preserve">not provide any clinical evidence to support the substantially more favourable cure fractions for olaparib </w:t>
      </w:r>
      <w:r w:rsidR="00353ED1" w:rsidRPr="00E050AF">
        <w:rPr>
          <w:iCs/>
        </w:rPr>
        <w:t xml:space="preserve">plus </w:t>
      </w:r>
      <w:r w:rsidR="00D87EDA" w:rsidRPr="00E050AF">
        <w:rPr>
          <w:iCs/>
        </w:rPr>
        <w:t xml:space="preserve">bevacizumab compared to bevacizumab monotherapy in HRD positive </w:t>
      </w:r>
      <w:r w:rsidR="00CF529A" w:rsidRPr="00E050AF">
        <w:rPr>
          <w:i/>
          <w:iCs/>
        </w:rPr>
        <w:t>BRCA</w:t>
      </w:r>
      <w:r w:rsidR="00D87EDA" w:rsidRPr="00E050AF">
        <w:rPr>
          <w:iCs/>
        </w:rPr>
        <w:t xml:space="preserve">wt patients, or </w:t>
      </w:r>
      <w:r w:rsidR="00443F37" w:rsidRPr="00E050AF">
        <w:rPr>
          <w:iCs/>
        </w:rPr>
        <w:t xml:space="preserve">for the </w:t>
      </w:r>
      <w:r w:rsidR="00D87EDA" w:rsidRPr="00E050AF">
        <w:rPr>
          <w:iCs/>
        </w:rPr>
        <w:t xml:space="preserve">difference between the </w:t>
      </w:r>
      <w:r w:rsidR="00443F37" w:rsidRPr="00E050AF">
        <w:rPr>
          <w:iCs/>
        </w:rPr>
        <w:t>incremental cure fraction proposed</w:t>
      </w:r>
      <w:r w:rsidR="00D87EDA" w:rsidRPr="00E050AF">
        <w:rPr>
          <w:iCs/>
        </w:rPr>
        <w:t xml:space="preserve"> </w:t>
      </w:r>
      <w:r w:rsidR="006C67B4" w:rsidRPr="00E050AF">
        <w:rPr>
          <w:iCs/>
        </w:rPr>
        <w:t xml:space="preserve">for olaparib monotherapy compared to placebo in </w:t>
      </w:r>
      <w:r w:rsidR="00CF529A" w:rsidRPr="00E050AF">
        <w:rPr>
          <w:i/>
          <w:iCs/>
        </w:rPr>
        <w:t>BRCA</w:t>
      </w:r>
      <w:r w:rsidR="006C67B4" w:rsidRPr="00E050AF">
        <w:rPr>
          <w:iCs/>
        </w:rPr>
        <w:t xml:space="preserve">m patients. </w:t>
      </w:r>
      <w:r w:rsidR="00353ED1" w:rsidRPr="00E050AF">
        <w:rPr>
          <w:iCs/>
        </w:rPr>
        <w:t>The PBAC considered</w:t>
      </w:r>
      <w:r w:rsidR="00443F37" w:rsidRPr="00E050AF">
        <w:rPr>
          <w:iCs/>
        </w:rPr>
        <w:t xml:space="preserve"> the cure fractions in the submission </w:t>
      </w:r>
      <w:r w:rsidR="00353ED1" w:rsidRPr="00E050AF">
        <w:rPr>
          <w:iCs/>
        </w:rPr>
        <w:t xml:space="preserve">appeared substantially </w:t>
      </w:r>
      <w:r w:rsidR="00443F37" w:rsidRPr="00E050AF">
        <w:rPr>
          <w:iCs/>
        </w:rPr>
        <w:t>overestimated and favoured olaparib plus bevacizumab.</w:t>
      </w:r>
      <w:r w:rsidR="004B6B49" w:rsidRPr="00E050AF">
        <w:rPr>
          <w:iCs/>
        </w:rPr>
        <w:t xml:space="preserve"> </w:t>
      </w:r>
      <w:bookmarkStart w:id="96" w:name="_Ref101314073"/>
      <w:r w:rsidR="004B6B49" w:rsidRPr="00E050AF">
        <w:rPr>
          <w:iCs/>
        </w:rPr>
        <w:t>T</w:t>
      </w:r>
      <w:r w:rsidR="00F041ED" w:rsidRPr="00E050AF">
        <w:rPr>
          <w:iCs/>
        </w:rPr>
        <w:t xml:space="preserve">he choice of the MCM PFS extrapolation function and the associated cure fractions had a substantial impact on the resultant ICER. </w:t>
      </w:r>
      <w:bookmarkEnd w:id="95"/>
    </w:p>
    <w:bookmarkEnd w:id="96"/>
    <w:p w14:paraId="3BFA94AF" w14:textId="40160F31" w:rsidR="00F041ED" w:rsidRPr="00E050AF" w:rsidRDefault="00850331" w:rsidP="009D3CDF">
      <w:pPr>
        <w:pStyle w:val="ListParagraph"/>
        <w:numPr>
          <w:ilvl w:val="4"/>
          <w:numId w:val="8"/>
        </w:numPr>
      </w:pPr>
      <w:r w:rsidRPr="00E050AF">
        <w:t>The modelled PFS curve including both cured and uncured patients in each branch of the model (</w:t>
      </w:r>
      <w:r w:rsidRPr="00E050AF">
        <w:fldChar w:fldCharType="begin"/>
      </w:r>
      <w:r w:rsidRPr="00E050AF">
        <w:instrText xml:space="preserve"> REF _Ref103571339 \h </w:instrText>
      </w:r>
      <w:r w:rsidRPr="00E050AF">
        <w:fldChar w:fldCharType="separate"/>
      </w:r>
      <w:r w:rsidR="00E050AF" w:rsidRPr="00E050AF">
        <w:t>Figure 11</w:t>
      </w:r>
      <w:r w:rsidRPr="00E050AF">
        <w:fldChar w:fldCharType="end"/>
      </w:r>
      <w:r w:rsidRPr="00E050AF">
        <w:t>) and t</w:t>
      </w:r>
      <w:r w:rsidR="004C227D" w:rsidRPr="00E050AF">
        <w:t xml:space="preserve">he modelled OS curve </w:t>
      </w:r>
      <w:r w:rsidR="00302E1D" w:rsidRPr="00E050AF">
        <w:t>(</w:t>
      </w:r>
      <w:r w:rsidR="00302E1D" w:rsidRPr="00E050AF">
        <w:fldChar w:fldCharType="begin"/>
      </w:r>
      <w:r w:rsidR="00302E1D" w:rsidRPr="00E050AF">
        <w:instrText xml:space="preserve"> REF _Ref103579127 \h </w:instrText>
      </w:r>
      <w:r w:rsidR="00302E1D" w:rsidRPr="00E050AF">
        <w:fldChar w:fldCharType="separate"/>
      </w:r>
      <w:r w:rsidR="00E050AF" w:rsidRPr="00E050AF">
        <w:t>Figure 12</w:t>
      </w:r>
      <w:r w:rsidR="00302E1D" w:rsidRPr="00E050AF">
        <w:fldChar w:fldCharType="end"/>
      </w:r>
      <w:r w:rsidR="00302E1D" w:rsidRPr="00E050AF">
        <w:t xml:space="preserve">) </w:t>
      </w:r>
      <w:r w:rsidR="004749D5" w:rsidRPr="00E050AF">
        <w:t xml:space="preserve">in the base case </w:t>
      </w:r>
      <w:r w:rsidR="00302E1D" w:rsidRPr="00E050AF">
        <w:t>are</w:t>
      </w:r>
      <w:r w:rsidR="004749D5" w:rsidRPr="00E050AF">
        <w:t xml:space="preserve"> presented below.</w:t>
      </w:r>
    </w:p>
    <w:p w14:paraId="2494642F" w14:textId="6BDE590A" w:rsidR="00850331" w:rsidRPr="00E050AF" w:rsidRDefault="00850331" w:rsidP="00A354B6">
      <w:pPr>
        <w:pStyle w:val="TableHeading0"/>
      </w:pPr>
      <w:bookmarkStart w:id="97" w:name="_Ref103571339"/>
      <w:r w:rsidRPr="00E050AF">
        <w:t xml:space="preserve">Figure </w:t>
      </w:r>
      <w:r>
        <w:fldChar w:fldCharType="begin"/>
      </w:r>
      <w:r>
        <w:instrText>SEQ Figure_PBAC. \* ARABIC</w:instrText>
      </w:r>
      <w:r>
        <w:fldChar w:fldCharType="separate"/>
      </w:r>
      <w:r w:rsidR="00E050AF" w:rsidRPr="00E050AF">
        <w:t>11</w:t>
      </w:r>
      <w:r>
        <w:fldChar w:fldCharType="end"/>
      </w:r>
      <w:bookmarkEnd w:id="97"/>
      <w:r w:rsidR="0007550F" w:rsidRPr="00E050AF">
        <w:tab/>
      </w:r>
      <w:r w:rsidRPr="00E050AF">
        <w:t>Modelled PFS curves (combined cured and uncured patients)</w:t>
      </w:r>
    </w:p>
    <w:p w14:paraId="6BD42F8B" w14:textId="03C990CA" w:rsidR="00850331" w:rsidRPr="00E050AF" w:rsidRDefault="00850331" w:rsidP="00850331">
      <w:pPr>
        <w:spacing w:after="0"/>
        <w:jc w:val="left"/>
        <w:rPr>
          <w:sz w:val="18"/>
          <w:szCs w:val="18"/>
        </w:rPr>
      </w:pPr>
      <w:r w:rsidRPr="00E050AF">
        <w:rPr>
          <w:noProof/>
          <w:lang w:eastAsia="en-AU"/>
        </w:rPr>
        <w:drawing>
          <wp:inline distT="0" distB="0" distL="0" distR="0" wp14:anchorId="5DAE4A57" wp14:editId="589010BB">
            <wp:extent cx="4957927" cy="3452884"/>
            <wp:effectExtent l="0" t="0" r="0" b="0"/>
            <wp:docPr id="87" name="Picture 87" descr="Figure 11 Modelled PFS curves (combined cured and uncured pati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descr="Figure 11 Modelled PFS curves (combined cured and uncured patients)"/>
                    <pic:cNvPicPr/>
                  </pic:nvPicPr>
                  <pic:blipFill rotWithShape="1">
                    <a:blip r:embed="rId18"/>
                    <a:srcRect b="4082"/>
                    <a:stretch/>
                  </pic:blipFill>
                  <pic:spPr bwMode="auto">
                    <a:xfrm>
                      <a:off x="0" y="0"/>
                      <a:ext cx="4958182" cy="3453061"/>
                    </a:xfrm>
                    <a:prstGeom prst="rect">
                      <a:avLst/>
                    </a:prstGeom>
                    <a:ln>
                      <a:noFill/>
                    </a:ln>
                    <a:extLst>
                      <a:ext uri="{53640926-AAD7-44D8-BBD7-CCE9431645EC}">
                        <a14:shadowObscured xmlns:a14="http://schemas.microsoft.com/office/drawing/2010/main"/>
                      </a:ext>
                    </a:extLst>
                  </pic:spPr>
                </pic:pic>
              </a:graphicData>
            </a:graphic>
          </wp:inline>
        </w:drawing>
      </w:r>
    </w:p>
    <w:p w14:paraId="7F12E7C3" w14:textId="1E48B21D" w:rsidR="008D59F4" w:rsidRPr="00E050AF" w:rsidRDefault="008D59F4" w:rsidP="008D59F4">
      <w:pPr>
        <w:pStyle w:val="TableFooter"/>
      </w:pPr>
      <w:r w:rsidRPr="00E050AF">
        <w:t xml:space="preserve">Beva = bevacizumab; </w:t>
      </w:r>
      <w:r w:rsidR="00275200" w:rsidRPr="00E050AF">
        <w:rPr>
          <w:i/>
        </w:rPr>
        <w:t>BRCA</w:t>
      </w:r>
      <w:r w:rsidRPr="00E050AF">
        <w:t>wt = breast cancer gene wild type; HRD = homologous recombination deficiency; PFS = progression free survival; for description of P1-5 and C1-2 see Table 13.</w:t>
      </w:r>
    </w:p>
    <w:p w14:paraId="4630EAD8" w14:textId="2132A07F" w:rsidR="00850331" w:rsidRPr="00E050AF" w:rsidRDefault="00850331" w:rsidP="00850331">
      <w:pPr>
        <w:pStyle w:val="TableFooter"/>
      </w:pPr>
      <w:r w:rsidRPr="00E050AF">
        <w:t>Source: Figure 3.9, p241 of the submission</w:t>
      </w:r>
    </w:p>
    <w:p w14:paraId="4CC5A21A" w14:textId="77777777" w:rsidR="00A110CB" w:rsidRPr="00E050AF" w:rsidRDefault="00A110CB" w:rsidP="00850331">
      <w:pPr>
        <w:pStyle w:val="TableFooter"/>
      </w:pPr>
    </w:p>
    <w:p w14:paraId="75D2D7EA" w14:textId="0C8F6C9A" w:rsidR="004C227D" w:rsidRPr="00E050AF" w:rsidRDefault="00006AE0" w:rsidP="004F062C">
      <w:pPr>
        <w:pStyle w:val="TableHeading0"/>
      </w:pPr>
      <w:bookmarkStart w:id="98" w:name="_Ref103579127"/>
      <w:r w:rsidRPr="00E050AF">
        <w:t xml:space="preserve">Figure </w:t>
      </w:r>
      <w:r>
        <w:fldChar w:fldCharType="begin"/>
      </w:r>
      <w:r>
        <w:instrText>SEQ Figure_PBAC. \* ARABIC</w:instrText>
      </w:r>
      <w:r>
        <w:fldChar w:fldCharType="separate"/>
      </w:r>
      <w:r w:rsidR="00E050AF" w:rsidRPr="00E050AF">
        <w:t>12</w:t>
      </w:r>
      <w:r>
        <w:fldChar w:fldCharType="end"/>
      </w:r>
      <w:bookmarkEnd w:id="98"/>
      <w:r w:rsidR="0007550F" w:rsidRPr="00E050AF">
        <w:tab/>
      </w:r>
      <w:r w:rsidR="004C227D" w:rsidRPr="00E050AF">
        <w:t>Modelled OS curves by branch (20 year</w:t>
      </w:r>
      <w:r w:rsidRPr="00E050AF">
        <w:t xml:space="preserve"> time horizon</w:t>
      </w:r>
      <w:r w:rsidR="004C227D" w:rsidRPr="00E050AF">
        <w:t>)</w:t>
      </w:r>
    </w:p>
    <w:p w14:paraId="34B2174E" w14:textId="77777777" w:rsidR="004C227D" w:rsidRPr="00E050AF" w:rsidRDefault="004C227D" w:rsidP="004C227D">
      <w:pPr>
        <w:spacing w:after="0"/>
        <w:jc w:val="left"/>
        <w:rPr>
          <w:sz w:val="18"/>
          <w:szCs w:val="18"/>
        </w:rPr>
      </w:pPr>
      <w:r w:rsidRPr="00E050AF">
        <w:rPr>
          <w:noProof/>
          <w:lang w:eastAsia="en-AU"/>
        </w:rPr>
        <w:drawing>
          <wp:inline distT="0" distB="0" distL="0" distR="0" wp14:anchorId="1BE9B9C8" wp14:editId="2DF86E36">
            <wp:extent cx="4958584" cy="3600000"/>
            <wp:effectExtent l="0" t="0" r="0" b="635"/>
            <wp:docPr id="88" name="Picture 88" descr="Figure 12 Modelled OS curves by branch (20 year time horiz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descr="Figure 12 Modelled OS curves by branch (20 year time horizon)"/>
                    <pic:cNvPicPr/>
                  </pic:nvPicPr>
                  <pic:blipFill>
                    <a:blip r:embed="rId19"/>
                    <a:stretch>
                      <a:fillRect/>
                    </a:stretch>
                  </pic:blipFill>
                  <pic:spPr>
                    <a:xfrm>
                      <a:off x="0" y="0"/>
                      <a:ext cx="4958584" cy="3600000"/>
                    </a:xfrm>
                    <a:prstGeom prst="rect">
                      <a:avLst/>
                    </a:prstGeom>
                  </pic:spPr>
                </pic:pic>
              </a:graphicData>
            </a:graphic>
          </wp:inline>
        </w:drawing>
      </w:r>
    </w:p>
    <w:p w14:paraId="2DDCA305" w14:textId="3BF3FB30" w:rsidR="008D59F4" w:rsidRPr="00E050AF" w:rsidRDefault="008D59F4" w:rsidP="008D59F4">
      <w:pPr>
        <w:pStyle w:val="TableFooter"/>
      </w:pPr>
      <w:r w:rsidRPr="00E050AF">
        <w:t xml:space="preserve">Beva = bevacizumab; </w:t>
      </w:r>
      <w:r w:rsidR="00275200" w:rsidRPr="00E050AF">
        <w:rPr>
          <w:i/>
        </w:rPr>
        <w:t>BRCA</w:t>
      </w:r>
      <w:r w:rsidRPr="00E050AF">
        <w:t>wt = breast cancer gene wild type; HRD = homologous recombination deficiency; OS = overall survival; for description of P1-5 and C1-2 see Table 13.</w:t>
      </w:r>
    </w:p>
    <w:p w14:paraId="2F34E95F" w14:textId="5136FD62" w:rsidR="004C227D" w:rsidRPr="00E050AF" w:rsidRDefault="004C227D" w:rsidP="004C227D">
      <w:pPr>
        <w:pStyle w:val="TableFooter"/>
      </w:pPr>
      <w:r w:rsidRPr="00E050AF">
        <w:t>Source: Figure 3.14, p246 of the submission</w:t>
      </w:r>
    </w:p>
    <w:p w14:paraId="06DCAE39" w14:textId="006094CC" w:rsidR="004A64A0" w:rsidRPr="00E050AF" w:rsidRDefault="00A77011" w:rsidP="00353ED1">
      <w:pPr>
        <w:pStyle w:val="ListParagraph"/>
        <w:numPr>
          <w:ilvl w:val="4"/>
          <w:numId w:val="8"/>
        </w:numPr>
      </w:pPr>
      <w:bookmarkStart w:id="99" w:name="_Ref101314455"/>
      <w:r w:rsidRPr="00E050AF">
        <w:rPr>
          <w:color w:val="auto"/>
        </w:rPr>
        <w:t xml:space="preserve">Compared to the </w:t>
      </w:r>
      <w:r w:rsidR="004A64A0" w:rsidRPr="00E050AF">
        <w:rPr>
          <w:color w:val="auto"/>
        </w:rPr>
        <w:t xml:space="preserve">OS KM curve </w:t>
      </w:r>
      <w:r w:rsidR="00A31DF3" w:rsidRPr="00E050AF">
        <w:rPr>
          <w:color w:val="auto"/>
        </w:rPr>
        <w:t xml:space="preserve">among HRD positive </w:t>
      </w:r>
      <w:r w:rsidR="00CF529A" w:rsidRPr="00E050AF">
        <w:rPr>
          <w:i/>
          <w:iCs/>
          <w:color w:val="auto"/>
        </w:rPr>
        <w:t>BRCA</w:t>
      </w:r>
      <w:r w:rsidR="00A31DF3" w:rsidRPr="00E050AF">
        <w:rPr>
          <w:color w:val="auto"/>
        </w:rPr>
        <w:t xml:space="preserve">wt patients in PAOLA-1 </w:t>
      </w:r>
      <w:r w:rsidR="004A64A0" w:rsidRPr="00E050AF">
        <w:rPr>
          <w:color w:val="auto"/>
        </w:rPr>
        <w:t>(</w:t>
      </w:r>
      <w:r w:rsidR="00A31DF3" w:rsidRPr="00E050AF">
        <w:rPr>
          <w:color w:val="auto"/>
        </w:rPr>
        <w:fldChar w:fldCharType="begin"/>
      </w:r>
      <w:r w:rsidR="00A31DF3" w:rsidRPr="00E050AF">
        <w:rPr>
          <w:color w:val="auto"/>
        </w:rPr>
        <w:instrText xml:space="preserve"> REF _Ref100927369 \h </w:instrText>
      </w:r>
      <w:r w:rsidRPr="00E050AF">
        <w:rPr>
          <w:color w:val="auto"/>
        </w:rPr>
        <w:instrText xml:space="preserve"> \* MERGEFORMAT </w:instrText>
      </w:r>
      <w:r w:rsidR="00A31DF3" w:rsidRPr="00E050AF">
        <w:rPr>
          <w:color w:val="auto"/>
        </w:rPr>
      </w:r>
      <w:r w:rsidR="00A31DF3" w:rsidRPr="00E050AF">
        <w:rPr>
          <w:color w:val="auto"/>
        </w:rPr>
        <w:fldChar w:fldCharType="separate"/>
      </w:r>
      <w:r w:rsidR="00E050AF" w:rsidRPr="00E050AF">
        <w:rPr>
          <w:color w:val="auto"/>
        </w:rPr>
        <w:t>Figure 7</w:t>
      </w:r>
      <w:r w:rsidR="00A31DF3" w:rsidRPr="00E050AF">
        <w:rPr>
          <w:color w:val="auto"/>
        </w:rPr>
        <w:fldChar w:fldCharType="end"/>
      </w:r>
      <w:r w:rsidR="004A64A0" w:rsidRPr="00E050AF">
        <w:rPr>
          <w:color w:val="auto"/>
        </w:rPr>
        <w:t>)</w:t>
      </w:r>
      <w:r w:rsidRPr="00E050AF">
        <w:rPr>
          <w:color w:val="auto"/>
        </w:rPr>
        <w:t>, which did not show any clear separation, the model estimated a much more substantial OS benefit with maintenance treatment with olaparib plus bevacizumab compared to bevacizumab alone</w:t>
      </w:r>
      <w:r w:rsidR="004A64A0" w:rsidRPr="00E050AF">
        <w:rPr>
          <w:color w:val="auto"/>
        </w:rPr>
        <w:t>.</w:t>
      </w:r>
      <w:r w:rsidR="00353ED1" w:rsidRPr="00E050AF">
        <w:t xml:space="preserve"> </w:t>
      </w:r>
      <w:r w:rsidR="00F55875" w:rsidRPr="00E050AF">
        <w:t xml:space="preserve">The extrapolation of OS in the bevacizumab arm was also unreasonably influenced by a sudden dip at the tail end of the curve at 45 months where the number of patients at risk was low (&lt;10 patients) which led to a clear underestimate of the OS in patients treated with bevacizumab monotherapy compared to the available KM curve (see </w:t>
      </w:r>
      <w:r w:rsidR="00F55875" w:rsidRPr="00E050AF">
        <w:fldChar w:fldCharType="begin"/>
      </w:r>
      <w:r w:rsidR="00F55875" w:rsidRPr="00E050AF">
        <w:instrText xml:space="preserve"> REF _Ref100927369 \h  \* MERGEFORMAT </w:instrText>
      </w:r>
      <w:r w:rsidR="00F55875" w:rsidRPr="00E050AF">
        <w:fldChar w:fldCharType="separate"/>
      </w:r>
      <w:r w:rsidR="00E050AF" w:rsidRPr="00E050AF">
        <w:t>Figure 7</w:t>
      </w:r>
      <w:r w:rsidR="00F55875" w:rsidRPr="00E050AF">
        <w:fldChar w:fldCharType="end"/>
      </w:r>
      <w:r w:rsidR="00F55875" w:rsidRPr="00E050AF">
        <w:t>)</w:t>
      </w:r>
    </w:p>
    <w:p w14:paraId="560088E0" w14:textId="0762DDAF" w:rsidR="00EA56BD" w:rsidRPr="00E050AF" w:rsidRDefault="0050226A" w:rsidP="009D3CDF">
      <w:pPr>
        <w:pStyle w:val="ListParagraph"/>
        <w:numPr>
          <w:ilvl w:val="4"/>
          <w:numId w:val="8"/>
        </w:numPr>
        <w:rPr>
          <w:color w:val="auto"/>
        </w:rPr>
      </w:pPr>
      <w:r w:rsidRPr="00E050AF">
        <w:rPr>
          <w:color w:val="auto"/>
        </w:rPr>
        <w:t>The frequencies of treatment-related AEs were extracted from the PAOLA-1 Clinical Study Report using the figures for AEs Grade 3 or higher that occurred in greater than 1% of the ITT PAOLA-1 population.</w:t>
      </w:r>
      <w:r w:rsidR="009C7168" w:rsidRPr="00E050AF">
        <w:rPr>
          <w:color w:val="auto"/>
        </w:rPr>
        <w:t xml:space="preserve"> AE data for the olaparib plus bevacizumab arm was used for populations P1 and P3, and AE data for the bevacizumab monotherapy arm was used for populations P2, P3</w:t>
      </w:r>
      <w:r w:rsidR="003210CB" w:rsidRPr="00E050AF">
        <w:rPr>
          <w:color w:val="auto"/>
        </w:rPr>
        <w:t xml:space="preserve">, </w:t>
      </w:r>
      <w:r w:rsidR="009C7168" w:rsidRPr="00E050AF">
        <w:rPr>
          <w:color w:val="auto"/>
        </w:rPr>
        <w:t>P4</w:t>
      </w:r>
      <w:r w:rsidR="003210CB" w:rsidRPr="00E050AF">
        <w:rPr>
          <w:color w:val="auto"/>
        </w:rPr>
        <w:t xml:space="preserve"> and C2</w:t>
      </w:r>
      <w:r w:rsidR="009C7168" w:rsidRPr="00E050AF">
        <w:rPr>
          <w:color w:val="auto"/>
        </w:rPr>
        <w:t>.</w:t>
      </w:r>
      <w:r w:rsidR="003210CB" w:rsidRPr="00E050AF">
        <w:rPr>
          <w:color w:val="auto"/>
        </w:rPr>
        <w:t xml:space="preserve"> </w:t>
      </w:r>
      <w:r w:rsidR="004B136F" w:rsidRPr="00E050AF">
        <w:rPr>
          <w:color w:val="auto"/>
        </w:rPr>
        <w:t xml:space="preserve">This included an unexpectedly high (18.7%) rate of hypertension in the olaparib plus bevacizumab arm, however this was not a main driver of the model (ICER increased by 0.36% when costs for hypertension were removed in sensitivity analysis). </w:t>
      </w:r>
      <w:r w:rsidR="003210CB" w:rsidRPr="00E050AF">
        <w:rPr>
          <w:color w:val="auto"/>
        </w:rPr>
        <w:t>The methods used to derive their costs were reasonable and the unit costs from these sources were correct.</w:t>
      </w:r>
    </w:p>
    <w:p w14:paraId="4728D16F" w14:textId="5B9DACD6" w:rsidR="00F041ED" w:rsidRPr="00E050AF" w:rsidRDefault="00F041ED" w:rsidP="009D3CDF">
      <w:pPr>
        <w:pStyle w:val="ListParagraph"/>
        <w:numPr>
          <w:ilvl w:val="4"/>
          <w:numId w:val="8"/>
        </w:numPr>
      </w:pPr>
      <w:r w:rsidRPr="00E050AF">
        <w:t>Utility weights for patients in the PFS health state were derived directly from the PAOLA-1 study</w:t>
      </w:r>
      <w:r w:rsidR="00A94FFF" w:rsidRPr="00E050AF">
        <w:t xml:space="preserve"> using i</w:t>
      </w:r>
      <w:r w:rsidRPr="00E050AF">
        <w:t>ndividual patient data from the EQ-5D-5L instrument</w:t>
      </w:r>
      <w:bookmarkEnd w:id="99"/>
      <w:r w:rsidR="00522301" w:rsidRPr="00E050AF">
        <w:t xml:space="preserve">. </w:t>
      </w:r>
      <w:bookmarkStart w:id="100" w:name="_Ref101314457"/>
      <w:r w:rsidRPr="00E050AF">
        <w:t xml:space="preserve">The submission argued that it was not possible to use EQ-5D data from PAOLA-1 to inform the post-progression utility score due to the limited number of observations </w:t>
      </w:r>
      <w:r w:rsidR="00A94FFF" w:rsidRPr="00E050AF">
        <w:rPr>
          <w:iCs/>
        </w:rPr>
        <w:t>beyond the date of progression</w:t>
      </w:r>
      <w:r w:rsidR="00A94FFF" w:rsidRPr="00E050AF">
        <w:t>. T</w:t>
      </w:r>
      <w:r w:rsidRPr="00E050AF">
        <w:t xml:space="preserve">he post-progression utility score was taken from the published literature, derived from an average of published estimates considered by the submission to be from a viable range. </w:t>
      </w:r>
      <w:r w:rsidR="00A94FFF" w:rsidRPr="00E050AF">
        <w:t>The commentary noted that the number of</w:t>
      </w:r>
      <w:r w:rsidRPr="00E050AF">
        <w:t xml:space="preserve"> observations </w:t>
      </w:r>
      <w:r w:rsidR="00A94FFF" w:rsidRPr="00E050AF">
        <w:t xml:space="preserve">from PAOLA-1 (870) </w:t>
      </w:r>
      <w:r w:rsidRPr="00E050AF">
        <w:t>was far greater than the sample size reported in the published literature used to derive this utility</w:t>
      </w:r>
      <w:r w:rsidR="00A94FFF" w:rsidRPr="00E050AF">
        <w:t>. The post-progression utility in PAOLA-1 (0.720) was much higher than the utility used in the base case (0.544)</w:t>
      </w:r>
      <w:r w:rsidR="00F55875" w:rsidRPr="00E050AF">
        <w:t xml:space="preserve">. Further, the utility of patients experiencing a (first) progression in the model was actually lower than the utility of the second progression in the model considered by the PBAC in July 2020 for olaparib monotherapy in </w:t>
      </w:r>
      <w:r w:rsidR="00F55875" w:rsidRPr="00E050AF">
        <w:rPr>
          <w:i/>
          <w:iCs/>
        </w:rPr>
        <w:t>BRCA</w:t>
      </w:r>
      <w:r w:rsidR="00F55875" w:rsidRPr="00E050AF">
        <w:t>m ovarian cancer (0.557).</w:t>
      </w:r>
      <w:r w:rsidR="00A94FFF" w:rsidRPr="00E050AF">
        <w:t xml:space="preserve"> </w:t>
      </w:r>
      <w:r w:rsidR="00F55875" w:rsidRPr="00E050AF">
        <w:t>U</w:t>
      </w:r>
      <w:r w:rsidR="00A94FFF" w:rsidRPr="00E050AF">
        <w:t xml:space="preserve">se of the lower post-progression utility favoured olaparib plus bevacizumab. </w:t>
      </w:r>
      <w:r w:rsidR="00A94FFF" w:rsidRPr="00E050AF">
        <w:rPr>
          <w:iCs/>
        </w:rPr>
        <w:t>The PSCR argued that the PAOLA</w:t>
      </w:r>
      <w:r w:rsidR="00A94FFF" w:rsidRPr="00E050AF">
        <w:rPr>
          <w:iCs/>
        </w:rPr>
        <w:noBreakHyphen/>
        <w:t xml:space="preserve">1 EQ-5D did not capture the true utility decrement associated with progressive disease until death and overestimated post-progression utility compared to Australian clinical practice. The PSCR also </w:t>
      </w:r>
      <w:r w:rsidR="00E369D4" w:rsidRPr="00E050AF">
        <w:rPr>
          <w:iCs/>
        </w:rPr>
        <w:t>noted</w:t>
      </w:r>
      <w:r w:rsidR="00A94FFF" w:rsidRPr="00E050AF">
        <w:rPr>
          <w:iCs/>
        </w:rPr>
        <w:t xml:space="preserve"> that literature-based utilities </w:t>
      </w:r>
      <w:r w:rsidR="00E369D4" w:rsidRPr="00E050AF">
        <w:rPr>
          <w:iCs/>
        </w:rPr>
        <w:t xml:space="preserve">were used </w:t>
      </w:r>
      <w:r w:rsidR="00A94FFF" w:rsidRPr="00E050AF">
        <w:rPr>
          <w:iCs/>
        </w:rPr>
        <w:t>for the post-progression health states in the olaparib monotherapy SOLO1 model.</w:t>
      </w:r>
      <w:bookmarkEnd w:id="100"/>
    </w:p>
    <w:p w14:paraId="5D5B7177" w14:textId="4AFC80C2" w:rsidR="000970F6" w:rsidRPr="00E050AF" w:rsidRDefault="000970F6" w:rsidP="009D3CDF">
      <w:pPr>
        <w:pStyle w:val="ListParagraph"/>
        <w:numPr>
          <w:ilvl w:val="4"/>
          <w:numId w:val="8"/>
        </w:numPr>
      </w:pPr>
      <w:r w:rsidRPr="00E050AF">
        <w:t>In branches P3, P4 and C2, parametric models were based on data from all patients in the bevacizumab monotherapy population (</w:t>
      </w:r>
      <w:r w:rsidR="00BA1339" w:rsidRPr="00E050AF">
        <w:t>i.e.</w:t>
      </w:r>
      <w:r w:rsidRPr="00E050AF">
        <w:t xml:space="preserve"> the ITT bevacizumab monotherapy population in PAOLA-1), an ‘adjustment factor’ of 0.96 was applied to the PFS and cure fractions based on the ratio of median PFS in the ITT population (16.6 months) and in the </w:t>
      </w:r>
      <w:r w:rsidR="00CF529A" w:rsidRPr="00E050AF">
        <w:rPr>
          <w:i/>
          <w:iCs/>
        </w:rPr>
        <w:t>BRCA</w:t>
      </w:r>
      <w:r w:rsidRPr="00E050AF">
        <w:t>wt population (16.0 months). This may not have been reasonable, as PAOLA</w:t>
      </w:r>
      <w:r w:rsidR="0079051F" w:rsidRPr="00E050AF">
        <w:noBreakHyphen/>
      </w:r>
      <w:r w:rsidRPr="00E050AF">
        <w:t>1 was not necessarily powered to detect differences in efficacy of patients treated with bevacizumab monotherapy between subgroups.</w:t>
      </w:r>
    </w:p>
    <w:p w14:paraId="605F646D" w14:textId="758A3714" w:rsidR="00AB43EA" w:rsidRPr="00E050AF" w:rsidRDefault="00AB43EA" w:rsidP="009D3CDF">
      <w:pPr>
        <w:pStyle w:val="ListParagraph"/>
        <w:numPr>
          <w:ilvl w:val="4"/>
          <w:numId w:val="8"/>
        </w:numPr>
      </w:pPr>
      <w:r w:rsidRPr="00E050AF">
        <w:t xml:space="preserve">A summary of the key drivers of the model </w:t>
      </w:r>
      <w:r w:rsidR="00E369D4" w:rsidRPr="00E050AF">
        <w:t xml:space="preserve">is </w:t>
      </w:r>
      <w:r w:rsidRPr="00E050AF">
        <w:t>provided in the table below.</w:t>
      </w:r>
      <w:r w:rsidR="0013364E" w:rsidRPr="00E050AF">
        <w:t xml:space="preserve"> </w:t>
      </w:r>
      <w:r w:rsidR="0013364E" w:rsidRPr="00E050AF">
        <w:rPr>
          <w:iCs/>
        </w:rPr>
        <w:t>The ESC</w:t>
      </w:r>
      <w:r w:rsidR="004A1A2E" w:rsidRPr="00E050AF">
        <w:rPr>
          <w:iCs/>
        </w:rPr>
        <w:t>s</w:t>
      </w:r>
      <w:r w:rsidR="0013364E" w:rsidRPr="00E050AF">
        <w:rPr>
          <w:iCs/>
        </w:rPr>
        <w:t xml:space="preserve"> </w:t>
      </w:r>
      <w:r w:rsidR="004D41C5" w:rsidRPr="00E050AF">
        <w:rPr>
          <w:iCs/>
        </w:rPr>
        <w:t xml:space="preserve">considered that the results of the model were uncertain given the use of exploratory subgroup analyses from PAOLA-1, and also </w:t>
      </w:r>
      <w:r w:rsidR="0013364E" w:rsidRPr="00E050AF">
        <w:rPr>
          <w:iCs/>
        </w:rPr>
        <w:t xml:space="preserve">noted that </w:t>
      </w:r>
      <w:r w:rsidR="004D41C5" w:rsidRPr="00E050AF">
        <w:rPr>
          <w:iCs/>
        </w:rPr>
        <w:t>the key</w:t>
      </w:r>
      <w:r w:rsidR="0013364E" w:rsidRPr="00E050AF">
        <w:rPr>
          <w:iCs/>
        </w:rPr>
        <w:t xml:space="preserve"> drivers of the model favoured olaparib + bevacizumab.</w:t>
      </w:r>
    </w:p>
    <w:p w14:paraId="469CA4C8" w14:textId="65F08951" w:rsidR="00AB43EA" w:rsidRPr="00E050AF" w:rsidRDefault="00CB7CCD" w:rsidP="00CB7CCD">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16</w:t>
      </w:r>
      <w:r w:rsidRPr="00E050AF">
        <w:rPr>
          <w:rStyle w:val="CommentReference"/>
          <w:b/>
          <w:szCs w:val="20"/>
        </w:rPr>
        <w:fldChar w:fldCharType="end"/>
      </w:r>
      <w:r w:rsidR="00AB43EA" w:rsidRPr="00E050AF">
        <w:tab/>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6 Key drivers of the model"/>
      </w:tblPr>
      <w:tblGrid>
        <w:gridCol w:w="1697"/>
        <w:gridCol w:w="4100"/>
        <w:gridCol w:w="3219"/>
      </w:tblGrid>
      <w:tr w:rsidR="00AB43EA" w:rsidRPr="00E050AF" w14:paraId="6A942357" w14:textId="77777777" w:rsidTr="00AB43EA">
        <w:trPr>
          <w:tblHeader/>
        </w:trPr>
        <w:tc>
          <w:tcPr>
            <w:tcW w:w="941" w:type="pct"/>
            <w:tcBorders>
              <w:top w:val="single" w:sz="4" w:space="0" w:color="auto"/>
              <w:left w:val="single" w:sz="4" w:space="0" w:color="auto"/>
              <w:bottom w:val="single" w:sz="4" w:space="0" w:color="auto"/>
              <w:right w:val="single" w:sz="4" w:space="0" w:color="auto"/>
            </w:tcBorders>
            <w:vAlign w:val="center"/>
            <w:hideMark/>
          </w:tcPr>
          <w:p w14:paraId="026A57D0" w14:textId="77777777" w:rsidR="00AB43EA" w:rsidRPr="00E050AF" w:rsidRDefault="00AB43EA" w:rsidP="004879C3">
            <w:pPr>
              <w:pStyle w:val="In-tableHeading"/>
              <w:keepLines/>
              <w:spacing w:line="256" w:lineRule="auto"/>
              <w:rPr>
                <w:lang w:val="en-AU"/>
              </w:rPr>
            </w:pPr>
            <w:r w:rsidRPr="00E050AF">
              <w:rPr>
                <w:lang w:val="en-AU"/>
              </w:rPr>
              <w:t>Description</w:t>
            </w:r>
          </w:p>
        </w:tc>
        <w:tc>
          <w:tcPr>
            <w:tcW w:w="2274" w:type="pct"/>
            <w:tcBorders>
              <w:top w:val="single" w:sz="4" w:space="0" w:color="auto"/>
              <w:left w:val="single" w:sz="4" w:space="0" w:color="auto"/>
              <w:bottom w:val="single" w:sz="4" w:space="0" w:color="auto"/>
              <w:right w:val="single" w:sz="4" w:space="0" w:color="auto"/>
            </w:tcBorders>
            <w:vAlign w:val="center"/>
            <w:hideMark/>
          </w:tcPr>
          <w:p w14:paraId="44B78128" w14:textId="77777777" w:rsidR="00AB43EA" w:rsidRPr="00E050AF" w:rsidRDefault="00AB43EA" w:rsidP="004879C3">
            <w:pPr>
              <w:pStyle w:val="In-tableHeading"/>
              <w:keepLines/>
              <w:spacing w:line="256" w:lineRule="auto"/>
              <w:jc w:val="center"/>
              <w:rPr>
                <w:lang w:val="en-AU"/>
              </w:rPr>
            </w:pPr>
            <w:r w:rsidRPr="00E050AF">
              <w:rPr>
                <w:lang w:val="en-AU"/>
              </w:rPr>
              <w:t>Method/Value</w:t>
            </w:r>
          </w:p>
        </w:tc>
        <w:tc>
          <w:tcPr>
            <w:tcW w:w="1785" w:type="pct"/>
            <w:tcBorders>
              <w:top w:val="single" w:sz="4" w:space="0" w:color="auto"/>
              <w:left w:val="single" w:sz="4" w:space="0" w:color="auto"/>
              <w:bottom w:val="single" w:sz="4" w:space="0" w:color="auto"/>
              <w:right w:val="single" w:sz="4" w:space="0" w:color="auto"/>
            </w:tcBorders>
            <w:vAlign w:val="center"/>
            <w:hideMark/>
          </w:tcPr>
          <w:p w14:paraId="4EE2B705" w14:textId="77777777" w:rsidR="00AB43EA" w:rsidRPr="00E050AF" w:rsidRDefault="00AB43EA" w:rsidP="004879C3">
            <w:pPr>
              <w:pStyle w:val="In-tableHeading"/>
              <w:keepLines/>
              <w:spacing w:line="256" w:lineRule="auto"/>
              <w:jc w:val="center"/>
              <w:rPr>
                <w:lang w:val="en-AU"/>
              </w:rPr>
            </w:pPr>
            <w:r w:rsidRPr="00E050AF">
              <w:rPr>
                <w:lang w:val="en-AU"/>
              </w:rPr>
              <w:t>Impact</w:t>
            </w:r>
          </w:p>
        </w:tc>
      </w:tr>
      <w:tr w:rsidR="00AB43EA" w:rsidRPr="00E050AF" w14:paraId="7E7BDBDA" w14:textId="77777777" w:rsidTr="00AB43EA">
        <w:tc>
          <w:tcPr>
            <w:tcW w:w="941" w:type="pct"/>
            <w:tcBorders>
              <w:top w:val="single" w:sz="4" w:space="0" w:color="auto"/>
              <w:left w:val="single" w:sz="4" w:space="0" w:color="auto"/>
              <w:bottom w:val="single" w:sz="4" w:space="0" w:color="auto"/>
              <w:right w:val="single" w:sz="4" w:space="0" w:color="auto"/>
            </w:tcBorders>
            <w:vAlign w:val="center"/>
            <w:hideMark/>
          </w:tcPr>
          <w:p w14:paraId="501CA95B" w14:textId="77777777" w:rsidR="00AB43EA" w:rsidRPr="00E050AF" w:rsidRDefault="00AB43EA" w:rsidP="004879C3">
            <w:pPr>
              <w:pStyle w:val="TableText"/>
              <w:keepNext/>
              <w:keepLines/>
              <w:spacing w:line="256" w:lineRule="auto"/>
            </w:pPr>
            <w:r w:rsidRPr="00E050AF">
              <w:t>Cure fraction (olaparib + bevacizumab)</w:t>
            </w:r>
          </w:p>
        </w:tc>
        <w:tc>
          <w:tcPr>
            <w:tcW w:w="2274" w:type="pct"/>
            <w:tcBorders>
              <w:top w:val="single" w:sz="4" w:space="0" w:color="auto"/>
              <w:left w:val="single" w:sz="4" w:space="0" w:color="auto"/>
              <w:bottom w:val="single" w:sz="4" w:space="0" w:color="auto"/>
              <w:right w:val="single" w:sz="4" w:space="0" w:color="auto"/>
            </w:tcBorders>
            <w:vAlign w:val="center"/>
            <w:hideMark/>
          </w:tcPr>
          <w:p w14:paraId="7699DF59" w14:textId="77777777" w:rsidR="00AB43EA" w:rsidRPr="00E050AF" w:rsidRDefault="00AB43EA" w:rsidP="004879C3">
            <w:pPr>
              <w:pStyle w:val="TableText"/>
              <w:keepNext/>
              <w:keepLines/>
              <w:spacing w:line="256" w:lineRule="auto"/>
            </w:pPr>
            <w:r w:rsidRPr="00E050AF">
              <w:t>The economic evaluation used mixture cure models to estimate the cure fraction and to model PFS for uncured patients.</w:t>
            </w:r>
          </w:p>
          <w:p w14:paraId="081A4AA1" w14:textId="77777777" w:rsidR="00AB43EA" w:rsidRPr="00E050AF" w:rsidRDefault="00AB43EA" w:rsidP="004879C3">
            <w:pPr>
              <w:pStyle w:val="TableText"/>
              <w:keepNext/>
              <w:keepLines/>
              <w:spacing w:line="256" w:lineRule="auto"/>
            </w:pPr>
            <w:r w:rsidRPr="00E050AF">
              <w:t>Base case (branch P1): 38.57%</w:t>
            </w:r>
          </w:p>
        </w:tc>
        <w:tc>
          <w:tcPr>
            <w:tcW w:w="1785" w:type="pct"/>
            <w:tcBorders>
              <w:top w:val="single" w:sz="4" w:space="0" w:color="auto"/>
              <w:left w:val="single" w:sz="4" w:space="0" w:color="auto"/>
              <w:bottom w:val="single" w:sz="4" w:space="0" w:color="auto"/>
              <w:right w:val="single" w:sz="4" w:space="0" w:color="auto"/>
            </w:tcBorders>
            <w:vAlign w:val="center"/>
          </w:tcPr>
          <w:p w14:paraId="73ADA82D" w14:textId="77777777" w:rsidR="00AB43EA" w:rsidRPr="00E050AF" w:rsidRDefault="00AB43EA" w:rsidP="004879C3">
            <w:pPr>
              <w:pStyle w:val="TableText"/>
              <w:keepNext/>
              <w:keepLines/>
              <w:spacing w:line="256" w:lineRule="auto"/>
            </w:pPr>
            <w:r w:rsidRPr="00E050AF">
              <w:t>High, favours olaparib + bevacizumab.</w:t>
            </w:r>
          </w:p>
          <w:p w14:paraId="3C3CAB13" w14:textId="3724D305" w:rsidR="00AB43EA" w:rsidRPr="00E050AF" w:rsidRDefault="00AB43EA" w:rsidP="008D5E7D">
            <w:pPr>
              <w:pStyle w:val="TableText"/>
              <w:keepNext/>
              <w:keepLines/>
              <w:spacing w:line="256" w:lineRule="auto"/>
            </w:pPr>
            <w:r w:rsidRPr="00E050AF">
              <w:t>Changing the cure fraction for branch P1 to 2</w:t>
            </w:r>
            <w:r w:rsidR="008D5E7D" w:rsidRPr="00E050AF">
              <w:t>5.45</w:t>
            </w:r>
            <w:r w:rsidRPr="00E050AF">
              <w:t xml:space="preserve">% </w:t>
            </w:r>
            <w:r w:rsidR="008D5E7D" w:rsidRPr="00E050AF">
              <w:t xml:space="preserve">(as used in the olaparib July 2020 submission) </w:t>
            </w:r>
            <w:r w:rsidRPr="00E050AF">
              <w:t xml:space="preserve">increased the ICER by </w:t>
            </w:r>
            <w:r w:rsidR="008D5E7D" w:rsidRPr="00E050AF">
              <w:t>62</w:t>
            </w:r>
            <w:r w:rsidRPr="00E050AF">
              <w:t>%.</w:t>
            </w:r>
          </w:p>
        </w:tc>
      </w:tr>
      <w:tr w:rsidR="00AB43EA" w:rsidRPr="00E050AF" w14:paraId="71E96039" w14:textId="77777777" w:rsidTr="00AB43EA">
        <w:tc>
          <w:tcPr>
            <w:tcW w:w="941" w:type="pct"/>
            <w:tcBorders>
              <w:top w:val="single" w:sz="4" w:space="0" w:color="auto"/>
              <w:left w:val="single" w:sz="4" w:space="0" w:color="auto"/>
              <w:bottom w:val="single" w:sz="4" w:space="0" w:color="auto"/>
              <w:right w:val="single" w:sz="4" w:space="0" w:color="auto"/>
            </w:tcBorders>
            <w:vAlign w:val="center"/>
            <w:hideMark/>
          </w:tcPr>
          <w:p w14:paraId="70AE463C" w14:textId="77777777" w:rsidR="00AB43EA" w:rsidRPr="00E050AF" w:rsidRDefault="00AB43EA" w:rsidP="004879C3">
            <w:pPr>
              <w:pStyle w:val="TableText"/>
              <w:keepNext/>
              <w:keepLines/>
              <w:spacing w:line="256" w:lineRule="auto"/>
            </w:pPr>
            <w:r w:rsidRPr="00E050AF">
              <w:t>Cure fraction (bevacizumab monotherapy)</w:t>
            </w:r>
          </w:p>
        </w:tc>
        <w:tc>
          <w:tcPr>
            <w:tcW w:w="2274" w:type="pct"/>
            <w:tcBorders>
              <w:top w:val="single" w:sz="4" w:space="0" w:color="auto"/>
              <w:left w:val="single" w:sz="4" w:space="0" w:color="auto"/>
              <w:bottom w:val="single" w:sz="4" w:space="0" w:color="auto"/>
              <w:right w:val="single" w:sz="4" w:space="0" w:color="auto"/>
            </w:tcBorders>
            <w:vAlign w:val="center"/>
            <w:hideMark/>
          </w:tcPr>
          <w:p w14:paraId="68C9585E" w14:textId="77777777" w:rsidR="00AB43EA" w:rsidRPr="00E050AF" w:rsidRDefault="00AB43EA" w:rsidP="004879C3">
            <w:pPr>
              <w:pStyle w:val="TableText"/>
              <w:keepNext/>
              <w:keepLines/>
              <w:spacing w:line="256" w:lineRule="auto"/>
            </w:pPr>
            <w:r w:rsidRPr="00E050AF">
              <w:t>The economic evaluation used mixture cure models to estimate the cure fraction and to model PFS for uncured patients.</w:t>
            </w:r>
          </w:p>
          <w:p w14:paraId="0F4FEFA2" w14:textId="77777777" w:rsidR="00AB43EA" w:rsidRPr="00E050AF" w:rsidRDefault="00AB43EA" w:rsidP="004879C3">
            <w:pPr>
              <w:pStyle w:val="TableText"/>
              <w:keepNext/>
              <w:keepLines/>
              <w:spacing w:line="256" w:lineRule="auto"/>
            </w:pPr>
            <w:r w:rsidRPr="00E050AF">
              <w:t>Base case for (P2, P3, P4 and C2): 6.63%</w:t>
            </w:r>
          </w:p>
        </w:tc>
        <w:tc>
          <w:tcPr>
            <w:tcW w:w="1785" w:type="pct"/>
            <w:tcBorders>
              <w:top w:val="single" w:sz="4" w:space="0" w:color="auto"/>
              <w:left w:val="single" w:sz="4" w:space="0" w:color="auto"/>
              <w:bottom w:val="single" w:sz="4" w:space="0" w:color="auto"/>
              <w:right w:val="single" w:sz="4" w:space="0" w:color="auto"/>
            </w:tcBorders>
            <w:vAlign w:val="center"/>
            <w:hideMark/>
          </w:tcPr>
          <w:p w14:paraId="08A8D965" w14:textId="77777777" w:rsidR="00AB43EA" w:rsidRPr="00E050AF" w:rsidRDefault="00AB43EA" w:rsidP="004879C3">
            <w:pPr>
              <w:pStyle w:val="TableText"/>
              <w:keepNext/>
              <w:keepLines/>
              <w:spacing w:line="256" w:lineRule="auto"/>
            </w:pPr>
            <w:r w:rsidRPr="00E050AF">
              <w:t>High, favours olaparib + bevacizumab.</w:t>
            </w:r>
          </w:p>
          <w:p w14:paraId="50A8AC5E" w14:textId="77777777" w:rsidR="00AB43EA" w:rsidRPr="00E050AF" w:rsidRDefault="00AB43EA" w:rsidP="004879C3">
            <w:pPr>
              <w:pStyle w:val="TableText"/>
              <w:keepNext/>
              <w:keepLines/>
              <w:spacing w:line="256" w:lineRule="auto"/>
            </w:pPr>
            <w:r w:rsidRPr="00E050AF">
              <w:t>Changing the cure fraction for branches P2, P3, P4 and C2 to 15% increased the ICER by 30.5%.</w:t>
            </w:r>
          </w:p>
        </w:tc>
      </w:tr>
      <w:tr w:rsidR="00AB43EA" w:rsidRPr="00E050AF" w14:paraId="34B42313" w14:textId="77777777" w:rsidTr="00AB43EA">
        <w:tc>
          <w:tcPr>
            <w:tcW w:w="941" w:type="pct"/>
            <w:tcBorders>
              <w:top w:val="single" w:sz="4" w:space="0" w:color="auto"/>
              <w:left w:val="single" w:sz="4" w:space="0" w:color="auto"/>
              <w:bottom w:val="single" w:sz="4" w:space="0" w:color="auto"/>
              <w:right w:val="single" w:sz="4" w:space="0" w:color="auto"/>
            </w:tcBorders>
            <w:vAlign w:val="center"/>
            <w:hideMark/>
          </w:tcPr>
          <w:p w14:paraId="211D4EE3" w14:textId="77777777" w:rsidR="00AB43EA" w:rsidRPr="00E050AF" w:rsidRDefault="00AB43EA" w:rsidP="004879C3">
            <w:pPr>
              <w:pStyle w:val="TableText"/>
              <w:keepNext/>
              <w:keepLines/>
              <w:spacing w:line="256" w:lineRule="auto"/>
            </w:pPr>
            <w:r w:rsidRPr="00E050AF">
              <w:t>Extrapolation function</w:t>
            </w:r>
          </w:p>
        </w:tc>
        <w:tc>
          <w:tcPr>
            <w:tcW w:w="2274" w:type="pct"/>
            <w:tcBorders>
              <w:top w:val="single" w:sz="4" w:space="0" w:color="auto"/>
              <w:left w:val="single" w:sz="4" w:space="0" w:color="auto"/>
              <w:bottom w:val="single" w:sz="4" w:space="0" w:color="auto"/>
              <w:right w:val="single" w:sz="4" w:space="0" w:color="auto"/>
            </w:tcBorders>
            <w:vAlign w:val="center"/>
            <w:hideMark/>
          </w:tcPr>
          <w:p w14:paraId="7C682EC1" w14:textId="77777777" w:rsidR="00AB43EA" w:rsidRPr="00E050AF" w:rsidRDefault="00AB43EA" w:rsidP="004879C3">
            <w:pPr>
              <w:pStyle w:val="TableText"/>
              <w:keepNext/>
              <w:keepLines/>
              <w:spacing w:line="256" w:lineRule="auto"/>
            </w:pPr>
            <w:r w:rsidRPr="00E050AF">
              <w:t>The extrapolation function was chosen based on the Akaike Information Criterion (AIC) and visual inspection of the model projections against the Kaplan-Meier plot.</w:t>
            </w:r>
          </w:p>
          <w:p w14:paraId="43D6AF94" w14:textId="77777777" w:rsidR="00AB43EA" w:rsidRPr="00E050AF" w:rsidRDefault="00AB43EA" w:rsidP="004879C3">
            <w:pPr>
              <w:pStyle w:val="TableText"/>
              <w:keepNext/>
              <w:keepLines/>
              <w:spacing w:line="256" w:lineRule="auto"/>
            </w:pPr>
            <w:r w:rsidRPr="00E050AF">
              <w:t>The submission applied the same distribution across both treatment arms.</w:t>
            </w:r>
          </w:p>
        </w:tc>
        <w:tc>
          <w:tcPr>
            <w:tcW w:w="1785" w:type="pct"/>
            <w:tcBorders>
              <w:top w:val="single" w:sz="4" w:space="0" w:color="auto"/>
              <w:left w:val="single" w:sz="4" w:space="0" w:color="auto"/>
              <w:bottom w:val="single" w:sz="4" w:space="0" w:color="auto"/>
              <w:right w:val="single" w:sz="4" w:space="0" w:color="auto"/>
            </w:tcBorders>
            <w:vAlign w:val="center"/>
            <w:hideMark/>
          </w:tcPr>
          <w:p w14:paraId="1E1A9836" w14:textId="77777777" w:rsidR="00AB43EA" w:rsidRPr="00E050AF" w:rsidRDefault="00AB43EA" w:rsidP="004879C3">
            <w:pPr>
              <w:pStyle w:val="TableText"/>
              <w:keepNext/>
              <w:keepLines/>
              <w:spacing w:line="256" w:lineRule="auto"/>
            </w:pPr>
            <w:r w:rsidRPr="00E050AF">
              <w:t>High, favours olaparib + bevacizumab.</w:t>
            </w:r>
          </w:p>
          <w:p w14:paraId="7D4E021E" w14:textId="01223770" w:rsidR="00AB43EA" w:rsidRPr="00E050AF" w:rsidRDefault="00AB43EA" w:rsidP="004879C3">
            <w:pPr>
              <w:pStyle w:val="TableText"/>
              <w:keepNext/>
              <w:keepLines/>
              <w:spacing w:line="256" w:lineRule="auto"/>
            </w:pPr>
            <w:r w:rsidRPr="00E050AF">
              <w:t xml:space="preserve">When the model used to extrapolate PFS for bevacizumab arm (base case = log logistic) was changed to </w:t>
            </w:r>
            <w:r w:rsidR="008C4BA9" w:rsidRPr="00E050AF">
              <w:t>Weibull (with olapar</w:t>
            </w:r>
            <w:r w:rsidR="00BA1339" w:rsidRPr="00E050AF">
              <w:t>i</w:t>
            </w:r>
            <w:r w:rsidR="008C4BA9" w:rsidRPr="00E050AF">
              <w:t xml:space="preserve">b plus bevacizumab remaining as log logistic) </w:t>
            </w:r>
            <w:r w:rsidRPr="00E050AF">
              <w:t>the ICER increased by 31%.</w:t>
            </w:r>
          </w:p>
        </w:tc>
      </w:tr>
      <w:tr w:rsidR="00FF7FAA" w:rsidRPr="00E050AF" w14:paraId="4CFFEAF3" w14:textId="77777777" w:rsidTr="00FF7FAA">
        <w:tc>
          <w:tcPr>
            <w:tcW w:w="941" w:type="pct"/>
            <w:tcBorders>
              <w:top w:val="single" w:sz="4" w:space="0" w:color="auto"/>
              <w:left w:val="single" w:sz="4" w:space="0" w:color="auto"/>
              <w:bottom w:val="single" w:sz="4" w:space="0" w:color="auto"/>
              <w:right w:val="single" w:sz="4" w:space="0" w:color="auto"/>
            </w:tcBorders>
            <w:vAlign w:val="center"/>
          </w:tcPr>
          <w:p w14:paraId="7DB25236" w14:textId="0581CEE0" w:rsidR="00FF7FAA" w:rsidRPr="00E050AF" w:rsidRDefault="00FF7FAA" w:rsidP="00FF7FAA">
            <w:pPr>
              <w:pStyle w:val="TableText"/>
              <w:keepNext/>
              <w:keepLines/>
              <w:spacing w:line="256" w:lineRule="auto"/>
            </w:pPr>
            <w:r w:rsidRPr="00E050AF">
              <w:t>Time horizon</w:t>
            </w:r>
          </w:p>
        </w:tc>
        <w:tc>
          <w:tcPr>
            <w:tcW w:w="2274" w:type="pct"/>
            <w:tcBorders>
              <w:top w:val="single" w:sz="4" w:space="0" w:color="auto"/>
              <w:left w:val="single" w:sz="4" w:space="0" w:color="auto"/>
              <w:bottom w:val="single" w:sz="4" w:space="0" w:color="auto"/>
              <w:right w:val="single" w:sz="4" w:space="0" w:color="auto"/>
            </w:tcBorders>
            <w:vAlign w:val="center"/>
          </w:tcPr>
          <w:p w14:paraId="3D08D84E" w14:textId="5FEA26EA" w:rsidR="00FF7FAA" w:rsidRPr="00E050AF" w:rsidRDefault="00FF7FAA" w:rsidP="00FF7FAA">
            <w:pPr>
              <w:pStyle w:val="TableText"/>
              <w:keepNext/>
              <w:keepLines/>
              <w:spacing w:line="256" w:lineRule="auto"/>
            </w:pPr>
            <w:r w:rsidRPr="00E050AF">
              <w:t>Base case: 20 years</w:t>
            </w:r>
          </w:p>
        </w:tc>
        <w:tc>
          <w:tcPr>
            <w:tcW w:w="1785" w:type="pct"/>
            <w:tcBorders>
              <w:top w:val="single" w:sz="4" w:space="0" w:color="auto"/>
              <w:left w:val="single" w:sz="4" w:space="0" w:color="auto"/>
              <w:bottom w:val="single" w:sz="4" w:space="0" w:color="auto"/>
              <w:right w:val="single" w:sz="4" w:space="0" w:color="auto"/>
            </w:tcBorders>
            <w:vAlign w:val="center"/>
          </w:tcPr>
          <w:p w14:paraId="34E3BA0C" w14:textId="77777777" w:rsidR="00FF7FAA" w:rsidRPr="00E050AF" w:rsidRDefault="00FF7FAA" w:rsidP="00FF7FAA">
            <w:pPr>
              <w:pStyle w:val="TableText"/>
              <w:keepNext/>
              <w:keepLines/>
              <w:spacing w:line="256" w:lineRule="auto"/>
            </w:pPr>
            <w:r w:rsidRPr="00E050AF">
              <w:t>High, favours olaparib + bevacizumab.</w:t>
            </w:r>
          </w:p>
          <w:p w14:paraId="31455CA5" w14:textId="1C5C07CD" w:rsidR="00FF7FAA" w:rsidRPr="00E050AF" w:rsidRDefault="00FF7FAA" w:rsidP="00FF7FAA">
            <w:pPr>
              <w:pStyle w:val="TableText"/>
              <w:keepNext/>
              <w:keepLines/>
              <w:spacing w:line="256" w:lineRule="auto"/>
            </w:pPr>
            <w:r w:rsidRPr="00E050AF">
              <w:t>Changing the time horizon to 15 years increased the ICER by 27.3%.</w:t>
            </w:r>
          </w:p>
        </w:tc>
      </w:tr>
      <w:tr w:rsidR="00FF7FAA" w:rsidRPr="00E050AF" w14:paraId="6793B865" w14:textId="77777777" w:rsidTr="00FF7FAA">
        <w:tc>
          <w:tcPr>
            <w:tcW w:w="941" w:type="pct"/>
            <w:tcBorders>
              <w:top w:val="single" w:sz="4" w:space="0" w:color="auto"/>
              <w:left w:val="single" w:sz="4" w:space="0" w:color="auto"/>
              <w:bottom w:val="single" w:sz="4" w:space="0" w:color="auto"/>
              <w:right w:val="single" w:sz="4" w:space="0" w:color="auto"/>
            </w:tcBorders>
            <w:vAlign w:val="center"/>
          </w:tcPr>
          <w:p w14:paraId="10E55149" w14:textId="1AD0A06C" w:rsidR="00FF7FAA" w:rsidRPr="00E050AF" w:rsidRDefault="00FF7FAA" w:rsidP="00FF7FAA">
            <w:pPr>
              <w:pStyle w:val="TableText"/>
              <w:keepNext/>
              <w:keepLines/>
              <w:spacing w:line="256" w:lineRule="auto"/>
            </w:pPr>
            <w:r w:rsidRPr="00E050AF">
              <w:t>Utility values for the progressed disease health state</w:t>
            </w:r>
          </w:p>
        </w:tc>
        <w:tc>
          <w:tcPr>
            <w:tcW w:w="2274" w:type="pct"/>
            <w:tcBorders>
              <w:top w:val="single" w:sz="4" w:space="0" w:color="auto"/>
              <w:left w:val="single" w:sz="4" w:space="0" w:color="auto"/>
              <w:bottom w:val="single" w:sz="4" w:space="0" w:color="auto"/>
              <w:right w:val="single" w:sz="4" w:space="0" w:color="auto"/>
            </w:tcBorders>
            <w:vAlign w:val="center"/>
          </w:tcPr>
          <w:p w14:paraId="486C0B4D" w14:textId="50A7190A" w:rsidR="00FF7FAA" w:rsidRPr="00E050AF" w:rsidRDefault="00FF7FAA" w:rsidP="00FF7FAA">
            <w:pPr>
              <w:pStyle w:val="TableText"/>
              <w:keepNext/>
              <w:keepLines/>
              <w:spacing w:line="256" w:lineRule="auto"/>
            </w:pPr>
            <w:r w:rsidRPr="00E050AF">
              <w:t>Utility weights for patients in the PFS health state were derived directly from PAOLA-1. Utility for the progressed disease health state was derived from an average of published estimates considered by the submission to be in a viable range.</w:t>
            </w:r>
          </w:p>
        </w:tc>
        <w:tc>
          <w:tcPr>
            <w:tcW w:w="1785" w:type="pct"/>
            <w:tcBorders>
              <w:top w:val="single" w:sz="4" w:space="0" w:color="auto"/>
              <w:left w:val="single" w:sz="4" w:space="0" w:color="auto"/>
              <w:bottom w:val="single" w:sz="4" w:space="0" w:color="auto"/>
              <w:right w:val="single" w:sz="4" w:space="0" w:color="auto"/>
            </w:tcBorders>
            <w:vAlign w:val="center"/>
          </w:tcPr>
          <w:p w14:paraId="35786B40" w14:textId="77777777" w:rsidR="00FF7FAA" w:rsidRPr="00E050AF" w:rsidRDefault="00FF7FAA" w:rsidP="00FF7FAA">
            <w:pPr>
              <w:pStyle w:val="TableText"/>
              <w:keepNext/>
              <w:keepLines/>
              <w:spacing w:line="256" w:lineRule="auto"/>
            </w:pPr>
            <w:r w:rsidRPr="00E050AF">
              <w:t>Moderate, favours olaparib + bevacizumab.</w:t>
            </w:r>
          </w:p>
          <w:p w14:paraId="73FA6222" w14:textId="67B74F30" w:rsidR="00FF7FAA" w:rsidRPr="00E050AF" w:rsidRDefault="00FF7FAA" w:rsidP="00FF7FAA">
            <w:pPr>
              <w:pStyle w:val="TableText"/>
              <w:keepNext/>
              <w:keepLines/>
              <w:spacing w:line="256" w:lineRule="auto"/>
            </w:pPr>
            <w:r w:rsidRPr="00E050AF">
              <w:t>When only utility values from PAOLA-1 were used the ICER increased by 13.1%.</w:t>
            </w:r>
          </w:p>
        </w:tc>
      </w:tr>
    </w:tbl>
    <w:p w14:paraId="7ED1BE11" w14:textId="3CDA68E0" w:rsidR="00AB43EA" w:rsidRPr="00E050AF" w:rsidRDefault="00AB43EA" w:rsidP="004879C3">
      <w:pPr>
        <w:pStyle w:val="TableFigureFooter"/>
        <w:keepNext/>
        <w:keepLines/>
      </w:pPr>
      <w:r w:rsidRPr="00E050AF">
        <w:t xml:space="preserve">ICER = incremental cost effectiveness ratio; </w:t>
      </w:r>
      <w:r w:rsidRPr="00E050AF">
        <w:rPr>
          <w:lang w:eastAsia="ja-JP"/>
        </w:rPr>
        <w:t>PFS = progression-free survival</w:t>
      </w:r>
    </w:p>
    <w:p w14:paraId="6BC28D77" w14:textId="77777777" w:rsidR="00AB43EA" w:rsidRPr="00E050AF" w:rsidRDefault="00AB43EA" w:rsidP="00A110CB">
      <w:pPr>
        <w:pStyle w:val="TableFooter"/>
      </w:pPr>
      <w:r w:rsidRPr="00E050AF">
        <w:t>Source: Table 3.39, p280 of the submission</w:t>
      </w:r>
    </w:p>
    <w:p w14:paraId="2672BBCA" w14:textId="0A29FD71" w:rsidR="000C5EDA" w:rsidRPr="00E050AF" w:rsidRDefault="00AB43EA" w:rsidP="00CC6917">
      <w:pPr>
        <w:pStyle w:val="ListParagraph"/>
        <w:numPr>
          <w:ilvl w:val="4"/>
          <w:numId w:val="8"/>
        </w:numPr>
        <w:rPr>
          <w:iCs/>
        </w:rPr>
      </w:pPr>
      <w:bookmarkStart w:id="101" w:name="_Hlk114145929"/>
      <w:r w:rsidRPr="00E050AF">
        <w:t>The proposed MBS unit cost for the HRD test in the proposed scenario was assumed to be $2,500.</w:t>
      </w:r>
      <w:bookmarkEnd w:id="101"/>
      <w:r w:rsidRPr="00E050AF">
        <w:t xml:space="preserve"> </w:t>
      </w:r>
      <w:r w:rsidR="000C5EDA" w:rsidRPr="00E050AF">
        <w:rPr>
          <w:iCs/>
        </w:rPr>
        <w:t>The ESC</w:t>
      </w:r>
      <w:r w:rsidR="001B7AC6" w:rsidRPr="00E050AF">
        <w:rPr>
          <w:iCs/>
        </w:rPr>
        <w:t>s</w:t>
      </w:r>
      <w:r w:rsidR="000C5EDA" w:rsidRPr="00E050AF">
        <w:rPr>
          <w:iCs/>
        </w:rPr>
        <w:t xml:space="preserve"> also noted that the total cost of HRD testing was </w:t>
      </w:r>
      <w:r w:rsidR="00940763" w:rsidRPr="00E050AF">
        <w:rPr>
          <w:iCs/>
        </w:rPr>
        <w:t xml:space="preserve">a </w:t>
      </w:r>
      <w:r w:rsidR="000C5EDA" w:rsidRPr="00E050AF">
        <w:rPr>
          <w:iCs/>
        </w:rPr>
        <w:t xml:space="preserve">significant </w:t>
      </w:r>
      <w:r w:rsidR="00940763" w:rsidRPr="00E050AF">
        <w:rPr>
          <w:iCs/>
        </w:rPr>
        <w:t>proportion of the overall cost</w:t>
      </w:r>
      <w:r w:rsidR="000C5EDA" w:rsidRPr="00E050AF">
        <w:rPr>
          <w:iCs/>
        </w:rPr>
        <w:t xml:space="preserve"> </w:t>
      </w:r>
      <w:r w:rsidR="001B7AC6" w:rsidRPr="00E050AF">
        <w:rPr>
          <w:iCs/>
        </w:rPr>
        <w:t xml:space="preserve">(7% of modelled costs) </w:t>
      </w:r>
      <w:r w:rsidR="0046096D" w:rsidRPr="00E050AF">
        <w:rPr>
          <w:iCs/>
        </w:rPr>
        <w:t xml:space="preserve">due to the </w:t>
      </w:r>
      <w:r w:rsidR="004A1A2E" w:rsidRPr="00E050AF">
        <w:rPr>
          <w:iCs/>
        </w:rPr>
        <w:t xml:space="preserve">relatively </w:t>
      </w:r>
      <w:r w:rsidR="00940763" w:rsidRPr="00E050AF">
        <w:rPr>
          <w:iCs/>
        </w:rPr>
        <w:t xml:space="preserve">high </w:t>
      </w:r>
      <w:r w:rsidR="0046096D" w:rsidRPr="00E050AF">
        <w:rPr>
          <w:iCs/>
        </w:rPr>
        <w:t xml:space="preserve">unit cost and the proposed replacement of the existing (less expensive) </w:t>
      </w:r>
      <w:r w:rsidR="00CF529A" w:rsidRPr="00E050AF">
        <w:rPr>
          <w:i/>
        </w:rPr>
        <w:t>BRCA</w:t>
      </w:r>
      <w:r w:rsidR="0046096D" w:rsidRPr="00E050AF">
        <w:rPr>
          <w:i/>
        </w:rPr>
        <w:t>1/2</w:t>
      </w:r>
      <w:r w:rsidR="0046096D" w:rsidRPr="00E050AF">
        <w:rPr>
          <w:iCs/>
        </w:rPr>
        <w:t xml:space="preserve"> test.</w:t>
      </w:r>
    </w:p>
    <w:p w14:paraId="698CA3A4" w14:textId="11A401F7" w:rsidR="00AB43EA" w:rsidRPr="00E050AF" w:rsidRDefault="00AB43EA" w:rsidP="009D3CDF">
      <w:pPr>
        <w:pStyle w:val="ListParagraph"/>
        <w:numPr>
          <w:ilvl w:val="4"/>
          <w:numId w:val="8"/>
        </w:numPr>
        <w:rPr>
          <w:iCs/>
        </w:rPr>
      </w:pPr>
      <w:bookmarkStart w:id="102" w:name="_Ref110607133"/>
      <w:r w:rsidRPr="00E050AF">
        <w:t xml:space="preserve">The cost of the </w:t>
      </w:r>
      <w:r w:rsidR="00CF529A" w:rsidRPr="00E050AF">
        <w:rPr>
          <w:i/>
          <w:iCs/>
        </w:rPr>
        <w:t>BRCA</w:t>
      </w:r>
      <w:r w:rsidRPr="00E050AF">
        <w:t xml:space="preserve"> test used in the submission was $1,200 (MBS item 73301). While the current fee for MBS item 73301 is $1,200, MSAC previously advised that the fee for MBS items to test for pathogenic variants in only the </w:t>
      </w:r>
      <w:r w:rsidR="00CF529A" w:rsidRPr="00E050AF">
        <w:rPr>
          <w:i/>
          <w:iCs/>
        </w:rPr>
        <w:t>BRCA</w:t>
      </w:r>
      <w:r w:rsidRPr="00E050AF">
        <w:rPr>
          <w:i/>
        </w:rPr>
        <w:t>1</w:t>
      </w:r>
      <w:r w:rsidRPr="00E050AF">
        <w:t xml:space="preserve"> and </w:t>
      </w:r>
      <w:r w:rsidR="00CF529A" w:rsidRPr="00E050AF">
        <w:rPr>
          <w:i/>
          <w:iCs/>
        </w:rPr>
        <w:t>BRCA</w:t>
      </w:r>
      <w:r w:rsidRPr="00E050AF">
        <w:rPr>
          <w:i/>
        </w:rPr>
        <w:t>2</w:t>
      </w:r>
      <w:r w:rsidRPr="00E050AF">
        <w:t xml:space="preserve"> genes should be reduced from $1,200 to $1,000 (p1, Application No. 1618 MSAC PSD, MSAC meeting November 2021)</w:t>
      </w:r>
      <w:r w:rsidR="006B2B6E" w:rsidRPr="00E050AF">
        <w:t xml:space="preserve"> as reflected in the new MBS item 73304 for prostate cancer</w:t>
      </w:r>
      <w:r w:rsidRPr="00E050AF">
        <w:t>.</w:t>
      </w:r>
      <w:bookmarkEnd w:id="102"/>
    </w:p>
    <w:p w14:paraId="2B5B2C4A" w14:textId="32DAFCB8" w:rsidR="004812C2" w:rsidRPr="00E050AF" w:rsidRDefault="004812C2" w:rsidP="00D06B7A">
      <w:pPr>
        <w:pStyle w:val="ListParagraph"/>
        <w:numPr>
          <w:ilvl w:val="4"/>
          <w:numId w:val="8"/>
        </w:numPr>
      </w:pPr>
      <w:r w:rsidRPr="00E050AF">
        <w:t xml:space="preserve">The PBAC noted that </w:t>
      </w:r>
      <w:r w:rsidR="00750137" w:rsidRPr="00E050AF">
        <w:t xml:space="preserve">the model included </w:t>
      </w:r>
      <w:r w:rsidRPr="00E050AF">
        <w:t xml:space="preserve">testing costs in the proposed scenario </w:t>
      </w:r>
      <w:r w:rsidR="00750137" w:rsidRPr="00E050AF">
        <w:t xml:space="preserve">of </w:t>
      </w:r>
      <w:r w:rsidRPr="00E050AF">
        <w:t>$3,125 per patient</w:t>
      </w:r>
      <w:r w:rsidR="00D06B7A" w:rsidRPr="00E050AF">
        <w:t xml:space="preserve"> tested</w:t>
      </w:r>
      <w:r w:rsidR="00750137" w:rsidRPr="00E050AF">
        <w:rPr>
          <w:rStyle w:val="FootnoteReference"/>
        </w:rPr>
        <w:footnoteReference w:id="2"/>
      </w:r>
      <w:r w:rsidRPr="00E050AF">
        <w:t>, which equates to more than $</w:t>
      </w:r>
      <w:r w:rsidR="00602B47" w:rsidRPr="00DC7848">
        <w:rPr>
          <w:w w:val="15"/>
          <w:shd w:val="solid" w:color="000000" w:fill="000000"/>
          <w:fitText w:val="-20" w:id="-1435752187"/>
          <w14:textFill>
            <w14:solidFill>
              <w14:schemeClr w14:val="tx1">
                <w14:alpha w14:val="100000"/>
              </w14:schemeClr>
            </w14:solidFill>
          </w14:textFill>
        </w:rPr>
        <w:t xml:space="preserve">|  </w:t>
      </w:r>
      <w:r w:rsidR="00602B47" w:rsidRPr="00DC7848">
        <w:rPr>
          <w:spacing w:val="-69"/>
          <w:w w:val="15"/>
          <w:shd w:val="solid" w:color="000000" w:fill="000000"/>
          <w:fitText w:val="-20" w:id="-1435752187"/>
          <w14:textFill>
            <w14:solidFill>
              <w14:schemeClr w14:val="tx1">
                <w14:alpha w14:val="100000"/>
              </w14:schemeClr>
            </w14:solidFill>
          </w14:textFill>
        </w:rPr>
        <w:t>|</w:t>
      </w:r>
      <w:r w:rsidRPr="00E050AF">
        <w:t xml:space="preserve"> per patient treated with olaparib </w:t>
      </w:r>
      <w:r w:rsidR="00233E4C" w:rsidRPr="00E050AF">
        <w:t xml:space="preserve">plus </w:t>
      </w:r>
      <w:r w:rsidRPr="00E050AF">
        <w:t xml:space="preserve">bevacizumab (23.5% HRD+ </w:t>
      </w:r>
      <w:r w:rsidRPr="00E050AF">
        <w:rPr>
          <w:i/>
          <w:iCs/>
        </w:rPr>
        <w:t>BRCA</w:t>
      </w:r>
      <w:r w:rsidRPr="00E050AF">
        <w:t>wt patients)</w:t>
      </w:r>
      <w:r w:rsidR="00233E4C" w:rsidRPr="00E050AF">
        <w:t>, the incremental cost for HRD testing was $1,625</w:t>
      </w:r>
      <w:r w:rsidR="00750137" w:rsidRPr="00E050AF">
        <w:t xml:space="preserve"> per patient tested</w:t>
      </w:r>
      <w:r w:rsidR="00037458" w:rsidRPr="00E050AF">
        <w:rPr>
          <w:rStyle w:val="FootnoteReference"/>
        </w:rPr>
        <w:footnoteReference w:id="3"/>
      </w:r>
      <w:r w:rsidR="00233E4C" w:rsidRPr="00E050AF">
        <w:t>, or $</w:t>
      </w:r>
      <w:r w:rsidR="00602B47" w:rsidRPr="00DC7848">
        <w:rPr>
          <w:w w:val="15"/>
          <w:shd w:val="solid" w:color="000000" w:fill="000000"/>
          <w:fitText w:val="-20" w:id="-1435752186"/>
          <w14:textFill>
            <w14:solidFill>
              <w14:schemeClr w14:val="tx1">
                <w14:alpha w14:val="100000"/>
              </w14:schemeClr>
            </w14:solidFill>
          </w14:textFill>
        </w:rPr>
        <w:t xml:space="preserve">|  </w:t>
      </w:r>
      <w:r w:rsidR="00602B47" w:rsidRPr="00DC7848">
        <w:rPr>
          <w:spacing w:val="-69"/>
          <w:w w:val="15"/>
          <w:shd w:val="solid" w:color="000000" w:fill="000000"/>
          <w:fitText w:val="-20" w:id="-1435752186"/>
          <w14:textFill>
            <w14:solidFill>
              <w14:schemeClr w14:val="tx1">
                <w14:alpha w14:val="100000"/>
              </w14:schemeClr>
            </w14:solidFill>
          </w14:textFill>
        </w:rPr>
        <w:t>|</w:t>
      </w:r>
      <w:r w:rsidR="00233E4C" w:rsidRPr="00E050AF">
        <w:t xml:space="preserve"> per patient treated with olaparib plus bevacizumab</w:t>
      </w:r>
      <w:r w:rsidRPr="00E050AF">
        <w:t>.</w:t>
      </w:r>
      <w:r w:rsidR="00F55875" w:rsidRPr="00E050AF">
        <w:t xml:space="preserve"> No costs </w:t>
      </w:r>
      <w:r w:rsidR="00233E4C" w:rsidRPr="00E050AF">
        <w:t xml:space="preserve">or </w:t>
      </w:r>
      <w:r w:rsidR="00F55875" w:rsidRPr="00E050AF">
        <w:t>consequences of failed or inconclusive tests (e.g. cost of retesting, re-sampling, and/or risk of using suboptimal treatment) were considered in the economic evaluation, which likely favoured olaparib</w:t>
      </w:r>
      <w:r w:rsidR="00D06B7A" w:rsidRPr="00E050AF">
        <w:t>.</w:t>
      </w:r>
    </w:p>
    <w:p w14:paraId="536ECC47" w14:textId="3609A712" w:rsidR="00AB43EA" w:rsidRPr="00E050AF" w:rsidRDefault="00AB43EA" w:rsidP="009D3CDF">
      <w:pPr>
        <w:pStyle w:val="ListParagraph"/>
        <w:numPr>
          <w:ilvl w:val="4"/>
          <w:numId w:val="8"/>
        </w:numPr>
      </w:pPr>
      <w:r w:rsidRPr="00E050AF">
        <w:t xml:space="preserve">The base case ICERs for the </w:t>
      </w:r>
      <w:r w:rsidR="00BA1339" w:rsidRPr="00E050AF">
        <w:t>trial-based</w:t>
      </w:r>
      <w:r w:rsidRPr="00E050AF">
        <w:t xml:space="preserve"> analysis and the modelled analysis are presented below.</w:t>
      </w:r>
    </w:p>
    <w:p w14:paraId="5C9FA9BD" w14:textId="585933FB" w:rsidR="00AB43EA" w:rsidRPr="00E050AF" w:rsidRDefault="00CB7CCD" w:rsidP="00CB7CCD">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17</w:t>
      </w:r>
      <w:r w:rsidRPr="00E050AF">
        <w:rPr>
          <w:rStyle w:val="CommentReference"/>
          <w:b/>
          <w:szCs w:val="20"/>
        </w:rPr>
        <w:fldChar w:fldCharType="end"/>
      </w:r>
      <w:r w:rsidR="00AB43EA" w:rsidRPr="00E050AF">
        <w:tab/>
        <w:t>Results of the economic evaluation</w:t>
      </w:r>
      <w:r w:rsidR="00D615DD" w:rsidRPr="00E050AF">
        <w:t xml:space="preserve"> (</w:t>
      </w:r>
      <w:r w:rsidR="00E11051" w:rsidRPr="00E050AF">
        <w:t xml:space="preserve">main analysis: </w:t>
      </w:r>
      <w:r w:rsidR="00D615DD" w:rsidRPr="00E050AF">
        <w:t>olaparib + bevacizumab versus bevacizumab monotherapy)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economic evaluation (main analysis: olaparib + bevacizumab versus bevacizumab monotherapy)"/>
      </w:tblPr>
      <w:tblGrid>
        <w:gridCol w:w="2254"/>
        <w:gridCol w:w="2362"/>
        <w:gridCol w:w="2362"/>
        <w:gridCol w:w="2038"/>
      </w:tblGrid>
      <w:tr w:rsidR="00AB43EA" w:rsidRPr="00E050AF" w14:paraId="2BD40A47" w14:textId="77777777" w:rsidTr="00AB43EA">
        <w:tc>
          <w:tcPr>
            <w:tcW w:w="1250" w:type="pct"/>
            <w:tcBorders>
              <w:top w:val="single" w:sz="4" w:space="0" w:color="auto"/>
              <w:left w:val="single" w:sz="4" w:space="0" w:color="auto"/>
              <w:bottom w:val="single" w:sz="4" w:space="0" w:color="auto"/>
              <w:right w:val="single" w:sz="4" w:space="0" w:color="auto"/>
            </w:tcBorders>
            <w:vAlign w:val="center"/>
            <w:hideMark/>
          </w:tcPr>
          <w:p w14:paraId="743FB1B7" w14:textId="77777777" w:rsidR="00AB43EA" w:rsidRPr="00E050AF" w:rsidRDefault="00AB43EA" w:rsidP="00A110CB">
            <w:pPr>
              <w:pStyle w:val="TableText"/>
              <w:keepNext/>
              <w:keepLines/>
              <w:widowControl/>
              <w:spacing w:line="256" w:lineRule="auto"/>
              <w:jc w:val="center"/>
              <w:rPr>
                <w:b/>
              </w:rPr>
            </w:pPr>
            <w:r w:rsidRPr="00E050AF">
              <w:rPr>
                <w:b/>
              </w:rPr>
              <w:t>Component</w:t>
            </w:r>
          </w:p>
        </w:tc>
        <w:tc>
          <w:tcPr>
            <w:tcW w:w="1310" w:type="pct"/>
            <w:tcBorders>
              <w:top w:val="single" w:sz="4" w:space="0" w:color="auto"/>
              <w:left w:val="single" w:sz="4" w:space="0" w:color="auto"/>
              <w:bottom w:val="single" w:sz="4" w:space="0" w:color="auto"/>
              <w:right w:val="single" w:sz="4" w:space="0" w:color="auto"/>
            </w:tcBorders>
            <w:vAlign w:val="center"/>
            <w:hideMark/>
          </w:tcPr>
          <w:p w14:paraId="4A91B590" w14:textId="77777777" w:rsidR="00AB43EA" w:rsidRPr="00E050AF" w:rsidRDefault="00AB43EA" w:rsidP="00A110CB">
            <w:pPr>
              <w:pStyle w:val="TableText"/>
              <w:keepNext/>
              <w:keepLines/>
              <w:widowControl/>
              <w:spacing w:line="256" w:lineRule="auto"/>
              <w:jc w:val="center"/>
              <w:rPr>
                <w:b/>
              </w:rPr>
            </w:pPr>
            <w:r w:rsidRPr="00E050AF">
              <w:rPr>
                <w:b/>
                <w:bCs/>
                <w:color w:val="000000"/>
                <w:szCs w:val="20"/>
              </w:rPr>
              <w:t>Olaparib+bevacizumab (proposed scenario)</w:t>
            </w:r>
          </w:p>
        </w:tc>
        <w:tc>
          <w:tcPr>
            <w:tcW w:w="1310" w:type="pct"/>
            <w:tcBorders>
              <w:top w:val="single" w:sz="4" w:space="0" w:color="auto"/>
              <w:left w:val="single" w:sz="4" w:space="0" w:color="auto"/>
              <w:bottom w:val="single" w:sz="4" w:space="0" w:color="auto"/>
              <w:right w:val="single" w:sz="4" w:space="0" w:color="auto"/>
            </w:tcBorders>
            <w:vAlign w:val="center"/>
            <w:hideMark/>
          </w:tcPr>
          <w:p w14:paraId="52EF275C" w14:textId="560CC5CD" w:rsidR="00AB43EA" w:rsidRPr="00E050AF" w:rsidRDefault="00AB43EA" w:rsidP="00A110CB">
            <w:pPr>
              <w:pStyle w:val="TableText"/>
              <w:keepNext/>
              <w:keepLines/>
              <w:widowControl/>
              <w:spacing w:line="256" w:lineRule="auto"/>
              <w:jc w:val="center"/>
              <w:rPr>
                <w:b/>
                <w:bCs/>
                <w:color w:val="000000"/>
                <w:szCs w:val="20"/>
              </w:rPr>
            </w:pPr>
            <w:r w:rsidRPr="00E050AF">
              <w:rPr>
                <w:b/>
                <w:bCs/>
                <w:color w:val="000000"/>
                <w:szCs w:val="20"/>
              </w:rPr>
              <w:t>Bevacizumab</w:t>
            </w:r>
          </w:p>
          <w:p w14:paraId="3BC5CA4A" w14:textId="77777777" w:rsidR="00AB43EA" w:rsidRPr="00E050AF" w:rsidRDefault="00AB43EA" w:rsidP="00A110CB">
            <w:pPr>
              <w:pStyle w:val="TableText"/>
              <w:keepNext/>
              <w:keepLines/>
              <w:widowControl/>
              <w:spacing w:line="256" w:lineRule="auto"/>
              <w:jc w:val="center"/>
              <w:rPr>
                <w:b/>
              </w:rPr>
            </w:pPr>
            <w:r w:rsidRPr="00E050AF">
              <w:rPr>
                <w:b/>
                <w:bCs/>
                <w:color w:val="000000"/>
                <w:szCs w:val="20"/>
              </w:rPr>
              <w:t>(current scenario)</w:t>
            </w:r>
          </w:p>
        </w:tc>
        <w:tc>
          <w:tcPr>
            <w:tcW w:w="1130" w:type="pct"/>
            <w:tcBorders>
              <w:top w:val="single" w:sz="4" w:space="0" w:color="auto"/>
              <w:left w:val="single" w:sz="4" w:space="0" w:color="auto"/>
              <w:bottom w:val="single" w:sz="4" w:space="0" w:color="auto"/>
              <w:right w:val="single" w:sz="4" w:space="0" w:color="auto"/>
            </w:tcBorders>
            <w:vAlign w:val="center"/>
            <w:hideMark/>
          </w:tcPr>
          <w:p w14:paraId="2DEE58DE" w14:textId="77777777" w:rsidR="00AB43EA" w:rsidRPr="00E050AF" w:rsidRDefault="00AB43EA" w:rsidP="00A110CB">
            <w:pPr>
              <w:pStyle w:val="TableText"/>
              <w:keepNext/>
              <w:keepLines/>
              <w:widowControl/>
              <w:spacing w:line="256" w:lineRule="auto"/>
              <w:jc w:val="center"/>
              <w:rPr>
                <w:b/>
              </w:rPr>
            </w:pPr>
            <w:r w:rsidRPr="00E050AF">
              <w:rPr>
                <w:b/>
              </w:rPr>
              <w:t>Increment</w:t>
            </w:r>
          </w:p>
        </w:tc>
      </w:tr>
      <w:tr w:rsidR="00AB43EA" w:rsidRPr="00E050AF" w14:paraId="556211D7" w14:textId="77777777" w:rsidTr="00AB43EA">
        <w:tc>
          <w:tcPr>
            <w:tcW w:w="5000" w:type="pct"/>
            <w:gridSpan w:val="4"/>
            <w:tcBorders>
              <w:top w:val="single" w:sz="4" w:space="0" w:color="auto"/>
              <w:left w:val="single" w:sz="4" w:space="0" w:color="auto"/>
              <w:bottom w:val="single" w:sz="4" w:space="0" w:color="auto"/>
              <w:right w:val="single" w:sz="4" w:space="0" w:color="auto"/>
            </w:tcBorders>
            <w:hideMark/>
          </w:tcPr>
          <w:p w14:paraId="009B002B" w14:textId="77777777" w:rsidR="00AB43EA" w:rsidRPr="00E050AF" w:rsidRDefault="00AB43EA" w:rsidP="00A110CB">
            <w:pPr>
              <w:pStyle w:val="TableNumber"/>
              <w:keepNext/>
              <w:keepLines/>
              <w:widowControl/>
              <w:tabs>
                <w:tab w:val="decimal" w:pos="0"/>
              </w:tabs>
              <w:spacing w:line="256" w:lineRule="auto"/>
              <w:jc w:val="left"/>
              <w:rPr>
                <w:b/>
                <w:iCs/>
              </w:rPr>
            </w:pPr>
            <w:r w:rsidRPr="00E050AF">
              <w:rPr>
                <w:b/>
                <w:iCs/>
              </w:rPr>
              <w:t>Trial-based ICER (38 months)</w:t>
            </w:r>
          </w:p>
        </w:tc>
      </w:tr>
      <w:tr w:rsidR="00AB43EA" w:rsidRPr="00E050AF" w14:paraId="56676D37" w14:textId="77777777" w:rsidTr="00AB43EA">
        <w:tc>
          <w:tcPr>
            <w:tcW w:w="1250" w:type="pct"/>
            <w:tcBorders>
              <w:top w:val="single" w:sz="4" w:space="0" w:color="auto"/>
              <w:left w:val="single" w:sz="4" w:space="0" w:color="auto"/>
              <w:bottom w:val="single" w:sz="4" w:space="0" w:color="auto"/>
              <w:right w:val="single" w:sz="4" w:space="0" w:color="auto"/>
            </w:tcBorders>
            <w:vAlign w:val="bottom"/>
            <w:hideMark/>
          </w:tcPr>
          <w:p w14:paraId="2E5342FE" w14:textId="77777777" w:rsidR="00AB43EA" w:rsidRPr="00E050AF" w:rsidRDefault="00AB43EA" w:rsidP="00A110CB">
            <w:pPr>
              <w:pStyle w:val="TableText"/>
              <w:keepNext/>
              <w:keepLines/>
              <w:widowControl/>
              <w:spacing w:line="256" w:lineRule="auto"/>
            </w:pPr>
            <w:r w:rsidRPr="00E050AF">
              <w:rPr>
                <w:color w:val="000000"/>
                <w:szCs w:val="20"/>
              </w:rPr>
              <w:t>Discounted cost</w:t>
            </w:r>
          </w:p>
        </w:tc>
        <w:tc>
          <w:tcPr>
            <w:tcW w:w="1310" w:type="pct"/>
            <w:tcBorders>
              <w:top w:val="single" w:sz="4" w:space="0" w:color="auto"/>
              <w:left w:val="single" w:sz="4" w:space="0" w:color="auto"/>
              <w:bottom w:val="single" w:sz="4" w:space="0" w:color="auto"/>
              <w:right w:val="single" w:sz="4" w:space="0" w:color="auto"/>
            </w:tcBorders>
            <w:vAlign w:val="center"/>
            <w:hideMark/>
          </w:tcPr>
          <w:p w14:paraId="4B3DE011" w14:textId="40B1AE41" w:rsidR="00AB43EA" w:rsidRPr="00E050AF" w:rsidRDefault="00AB43EA" w:rsidP="00A110CB">
            <w:pPr>
              <w:pStyle w:val="TableNumber"/>
              <w:keepNext/>
              <w:keepLines/>
              <w:widowControl/>
              <w:spacing w:line="256" w:lineRule="auto"/>
              <w:rPr>
                <w:i/>
              </w:rPr>
            </w:pPr>
            <w:r w:rsidRPr="00E050AF">
              <w:rPr>
                <w:rFonts w:cs="Calibri"/>
                <w:color w:val="000000"/>
                <w:szCs w:val="20"/>
              </w:rPr>
              <w:t>$</w:t>
            </w:r>
            <w:r w:rsidR="00602B47" w:rsidRPr="00602B47">
              <w:rPr>
                <w:rFonts w:cs="Calibri"/>
                <w:color w:val="000000"/>
                <w:szCs w:val="20"/>
                <w:shd w:val="solid" w:color="000000" w:fill="000000"/>
                <w14:textFill>
                  <w14:solidFill>
                    <w14:srgbClr w14:val="000000">
                      <w14:alpha w14:val="100000"/>
                    </w14:srgbClr>
                  </w14:solidFill>
                </w14:textFill>
              </w:rPr>
              <w:t>|</w:t>
            </w:r>
          </w:p>
        </w:tc>
        <w:tc>
          <w:tcPr>
            <w:tcW w:w="1310" w:type="pct"/>
            <w:tcBorders>
              <w:top w:val="single" w:sz="4" w:space="0" w:color="auto"/>
              <w:left w:val="single" w:sz="4" w:space="0" w:color="auto"/>
              <w:bottom w:val="single" w:sz="4" w:space="0" w:color="auto"/>
              <w:right w:val="single" w:sz="4" w:space="0" w:color="auto"/>
            </w:tcBorders>
            <w:vAlign w:val="center"/>
            <w:hideMark/>
          </w:tcPr>
          <w:p w14:paraId="1FC9C531" w14:textId="77777777" w:rsidR="00AB43EA" w:rsidRPr="00E050AF" w:rsidRDefault="00AB43EA" w:rsidP="00A110CB">
            <w:pPr>
              <w:pStyle w:val="TableNumber"/>
              <w:keepNext/>
              <w:keepLines/>
              <w:widowControl/>
              <w:spacing w:line="256" w:lineRule="auto"/>
              <w:rPr>
                <w:i/>
              </w:rPr>
            </w:pPr>
            <w:r w:rsidRPr="00E050AF">
              <w:rPr>
                <w:rFonts w:cs="Calibri"/>
                <w:color w:val="000000"/>
                <w:szCs w:val="20"/>
              </w:rPr>
              <w:t>$17,271</w:t>
            </w:r>
          </w:p>
        </w:tc>
        <w:tc>
          <w:tcPr>
            <w:tcW w:w="1130" w:type="pct"/>
            <w:tcBorders>
              <w:top w:val="single" w:sz="4" w:space="0" w:color="auto"/>
              <w:left w:val="single" w:sz="4" w:space="0" w:color="auto"/>
              <w:bottom w:val="single" w:sz="4" w:space="0" w:color="auto"/>
              <w:right w:val="single" w:sz="4" w:space="0" w:color="auto"/>
            </w:tcBorders>
            <w:vAlign w:val="center"/>
            <w:hideMark/>
          </w:tcPr>
          <w:p w14:paraId="1A9EBA8D" w14:textId="558885C6" w:rsidR="00AB43EA" w:rsidRPr="00E050AF" w:rsidRDefault="00AB43EA" w:rsidP="00A110CB">
            <w:pPr>
              <w:pStyle w:val="TableNumber"/>
              <w:keepNext/>
              <w:keepLines/>
              <w:widowControl/>
              <w:spacing w:line="256" w:lineRule="auto"/>
              <w:rPr>
                <w:bCs/>
                <w:i/>
              </w:rPr>
            </w:pPr>
            <w:r w:rsidRPr="00E050AF">
              <w:rPr>
                <w:rFonts w:cs="Calibri"/>
                <w:color w:val="000000"/>
                <w:szCs w:val="20"/>
              </w:rPr>
              <w:t>$</w:t>
            </w:r>
            <w:r w:rsidR="00602B47" w:rsidRPr="00602B47">
              <w:rPr>
                <w:rFonts w:cs="Calibri"/>
                <w:color w:val="000000"/>
                <w:szCs w:val="20"/>
                <w:shd w:val="solid" w:color="000000" w:fill="000000"/>
                <w14:textFill>
                  <w14:solidFill>
                    <w14:srgbClr w14:val="000000">
                      <w14:alpha w14:val="100000"/>
                    </w14:srgbClr>
                  </w14:solidFill>
                </w14:textFill>
              </w:rPr>
              <w:t>|</w:t>
            </w:r>
          </w:p>
        </w:tc>
      </w:tr>
      <w:tr w:rsidR="00AB43EA" w:rsidRPr="00E050AF" w14:paraId="25EC39BB" w14:textId="77777777" w:rsidTr="00AB43EA">
        <w:tc>
          <w:tcPr>
            <w:tcW w:w="1250" w:type="pct"/>
            <w:tcBorders>
              <w:top w:val="single" w:sz="4" w:space="0" w:color="auto"/>
              <w:left w:val="single" w:sz="4" w:space="0" w:color="auto"/>
              <w:bottom w:val="single" w:sz="4" w:space="0" w:color="auto"/>
              <w:right w:val="single" w:sz="4" w:space="0" w:color="auto"/>
            </w:tcBorders>
            <w:vAlign w:val="bottom"/>
            <w:hideMark/>
          </w:tcPr>
          <w:p w14:paraId="58D5C772" w14:textId="77777777" w:rsidR="00AB43EA" w:rsidRPr="00E050AF" w:rsidRDefault="00AB43EA" w:rsidP="00A110CB">
            <w:pPr>
              <w:pStyle w:val="TableText"/>
              <w:keepNext/>
              <w:keepLines/>
              <w:widowControl/>
              <w:spacing w:line="256" w:lineRule="auto"/>
            </w:pPr>
            <w:r w:rsidRPr="00E050AF">
              <w:rPr>
                <w:color w:val="000000"/>
                <w:szCs w:val="20"/>
              </w:rPr>
              <w:t>Progression-free years gained</w:t>
            </w:r>
          </w:p>
        </w:tc>
        <w:tc>
          <w:tcPr>
            <w:tcW w:w="1310" w:type="pct"/>
            <w:tcBorders>
              <w:top w:val="single" w:sz="4" w:space="0" w:color="auto"/>
              <w:left w:val="single" w:sz="4" w:space="0" w:color="auto"/>
              <w:bottom w:val="single" w:sz="4" w:space="0" w:color="auto"/>
              <w:right w:val="single" w:sz="4" w:space="0" w:color="auto"/>
            </w:tcBorders>
            <w:vAlign w:val="center"/>
            <w:hideMark/>
          </w:tcPr>
          <w:p w14:paraId="1C5152E8" w14:textId="77777777" w:rsidR="00AB43EA" w:rsidRPr="00E050AF" w:rsidRDefault="00AB43EA" w:rsidP="00A110CB">
            <w:pPr>
              <w:pStyle w:val="TableNumber"/>
              <w:keepNext/>
              <w:keepLines/>
              <w:widowControl/>
              <w:tabs>
                <w:tab w:val="decimal" w:pos="118"/>
              </w:tabs>
              <w:spacing w:line="256" w:lineRule="auto"/>
              <w:rPr>
                <w:vertAlign w:val="superscript"/>
              </w:rPr>
            </w:pPr>
            <w:r w:rsidRPr="00E050AF">
              <w:rPr>
                <w:rFonts w:cs="Calibri"/>
                <w:color w:val="000000"/>
                <w:szCs w:val="20"/>
              </w:rPr>
              <w:t xml:space="preserve">2.29 </w:t>
            </w:r>
            <w:r w:rsidRPr="00E050AF">
              <w:rPr>
                <w:rFonts w:cs="Calibri"/>
                <w:color w:val="000000"/>
                <w:szCs w:val="20"/>
                <w:vertAlign w:val="superscript"/>
              </w:rPr>
              <w:t>a</w:t>
            </w:r>
          </w:p>
        </w:tc>
        <w:tc>
          <w:tcPr>
            <w:tcW w:w="1310" w:type="pct"/>
            <w:tcBorders>
              <w:top w:val="single" w:sz="4" w:space="0" w:color="auto"/>
              <w:left w:val="single" w:sz="4" w:space="0" w:color="auto"/>
              <w:bottom w:val="single" w:sz="4" w:space="0" w:color="auto"/>
              <w:right w:val="single" w:sz="4" w:space="0" w:color="auto"/>
            </w:tcBorders>
            <w:vAlign w:val="center"/>
            <w:hideMark/>
          </w:tcPr>
          <w:p w14:paraId="76E656BC" w14:textId="77777777" w:rsidR="00AB43EA" w:rsidRPr="00E050AF" w:rsidRDefault="00AB43EA" w:rsidP="00A110CB">
            <w:pPr>
              <w:pStyle w:val="TableNumber"/>
              <w:keepNext/>
              <w:keepLines/>
              <w:widowControl/>
              <w:tabs>
                <w:tab w:val="decimal" w:pos="118"/>
              </w:tabs>
              <w:spacing w:line="256" w:lineRule="auto"/>
              <w:rPr>
                <w:vertAlign w:val="superscript"/>
              </w:rPr>
            </w:pPr>
            <w:r w:rsidRPr="00E050AF">
              <w:rPr>
                <w:rFonts w:cs="Calibri"/>
                <w:color w:val="000000"/>
                <w:szCs w:val="20"/>
              </w:rPr>
              <w:t xml:space="preserve">1.64 </w:t>
            </w:r>
            <w:r w:rsidRPr="00E050AF">
              <w:rPr>
                <w:rFonts w:cs="Calibri"/>
                <w:color w:val="000000"/>
                <w:szCs w:val="20"/>
                <w:vertAlign w:val="superscript"/>
              </w:rPr>
              <w:t>b</w:t>
            </w:r>
          </w:p>
        </w:tc>
        <w:tc>
          <w:tcPr>
            <w:tcW w:w="1130" w:type="pct"/>
            <w:tcBorders>
              <w:top w:val="single" w:sz="4" w:space="0" w:color="auto"/>
              <w:left w:val="single" w:sz="4" w:space="0" w:color="auto"/>
              <w:bottom w:val="single" w:sz="4" w:space="0" w:color="auto"/>
              <w:right w:val="single" w:sz="4" w:space="0" w:color="auto"/>
            </w:tcBorders>
            <w:vAlign w:val="center"/>
            <w:hideMark/>
          </w:tcPr>
          <w:p w14:paraId="7D9A5CEF" w14:textId="77777777" w:rsidR="00AB43EA" w:rsidRPr="00E050AF" w:rsidRDefault="00AB43EA" w:rsidP="00A110CB">
            <w:pPr>
              <w:pStyle w:val="TableNumber"/>
              <w:keepNext/>
              <w:keepLines/>
              <w:widowControl/>
              <w:tabs>
                <w:tab w:val="decimal" w:pos="118"/>
              </w:tabs>
              <w:spacing w:line="256" w:lineRule="auto"/>
              <w:rPr>
                <w:bCs/>
              </w:rPr>
            </w:pPr>
            <w:r w:rsidRPr="00E050AF">
              <w:rPr>
                <w:rFonts w:cs="Calibri"/>
                <w:color w:val="000000"/>
                <w:szCs w:val="20"/>
              </w:rPr>
              <w:t>0.65</w:t>
            </w:r>
          </w:p>
        </w:tc>
      </w:tr>
      <w:tr w:rsidR="00AB43EA" w:rsidRPr="00E050AF" w14:paraId="216585DC" w14:textId="77777777" w:rsidTr="00AB43EA">
        <w:tc>
          <w:tcPr>
            <w:tcW w:w="3870" w:type="pct"/>
            <w:gridSpan w:val="3"/>
            <w:tcBorders>
              <w:top w:val="single" w:sz="4" w:space="0" w:color="auto"/>
              <w:left w:val="single" w:sz="4" w:space="0" w:color="auto"/>
              <w:bottom w:val="single" w:sz="4" w:space="0" w:color="auto"/>
              <w:right w:val="single" w:sz="4" w:space="0" w:color="auto"/>
            </w:tcBorders>
            <w:hideMark/>
          </w:tcPr>
          <w:p w14:paraId="726F8CFA" w14:textId="7E886398" w:rsidR="00AB43EA" w:rsidRPr="00E050AF" w:rsidRDefault="00AB43EA" w:rsidP="00A110CB">
            <w:pPr>
              <w:pStyle w:val="TableNumber"/>
              <w:keepNext/>
              <w:keepLines/>
              <w:widowControl/>
              <w:spacing w:line="256" w:lineRule="auto"/>
              <w:jc w:val="right"/>
              <w:rPr>
                <w:iCs/>
              </w:rPr>
            </w:pPr>
            <w:r w:rsidRPr="00E050AF">
              <w:rPr>
                <w:iCs/>
              </w:rPr>
              <w:t>Incremental cost per progress</w:t>
            </w:r>
            <w:r w:rsidR="0073244D" w:rsidRPr="00E050AF">
              <w:rPr>
                <w:iCs/>
              </w:rPr>
              <w:t>ion</w:t>
            </w:r>
            <w:r w:rsidRPr="00E050AF">
              <w:rPr>
                <w:iCs/>
              </w:rPr>
              <w:t>-free year gained</w:t>
            </w:r>
          </w:p>
        </w:tc>
        <w:tc>
          <w:tcPr>
            <w:tcW w:w="1130" w:type="pct"/>
            <w:tcBorders>
              <w:top w:val="single" w:sz="4" w:space="0" w:color="auto"/>
              <w:left w:val="single" w:sz="4" w:space="0" w:color="auto"/>
              <w:bottom w:val="single" w:sz="4" w:space="0" w:color="auto"/>
              <w:right w:val="single" w:sz="4" w:space="0" w:color="auto"/>
            </w:tcBorders>
            <w:hideMark/>
          </w:tcPr>
          <w:p w14:paraId="3C804F0D" w14:textId="1C84DBC1" w:rsidR="00AB43EA" w:rsidRPr="00347E8C" w:rsidRDefault="00AB43EA" w:rsidP="00A110CB">
            <w:pPr>
              <w:pStyle w:val="TableNumber"/>
              <w:keepNext/>
              <w:keepLines/>
              <w:widowControl/>
              <w:spacing w:line="256" w:lineRule="auto"/>
              <w:rPr>
                <w:rFonts w:cs="Calibri"/>
                <w:bCs/>
                <w:iCs/>
                <w:color w:val="000000"/>
                <w:szCs w:val="20"/>
                <w:vertAlign w:val="superscript"/>
              </w:rPr>
            </w:pPr>
            <w:r w:rsidRPr="00E050AF">
              <w:rPr>
                <w:rFonts w:cs="Calibri"/>
                <w:iCs/>
                <w:color w:val="000000"/>
                <w:szCs w:val="20"/>
              </w:rPr>
              <w:t>$</w:t>
            </w:r>
            <w:r w:rsidR="00602B47" w:rsidRPr="00602B47">
              <w:rPr>
                <w:rFonts w:cs="Calibri"/>
                <w:iCs/>
                <w:color w:val="000000"/>
                <w:szCs w:val="20"/>
                <w:shd w:val="solid" w:color="000000" w:fill="000000"/>
                <w14:textFill>
                  <w14:solidFill>
                    <w14:srgbClr w14:val="000000">
                      <w14:alpha w14:val="100000"/>
                    </w14:srgbClr>
                  </w14:solidFill>
                </w14:textFill>
              </w:rPr>
              <w:t>|</w:t>
            </w:r>
            <w:r w:rsidR="00347E8C">
              <w:rPr>
                <w:rFonts w:cs="Calibri"/>
                <w:iCs/>
                <w:color w:val="000000"/>
                <w:szCs w:val="20"/>
                <w:vertAlign w:val="superscript"/>
              </w:rPr>
              <w:t>1</w:t>
            </w:r>
          </w:p>
        </w:tc>
      </w:tr>
      <w:tr w:rsidR="00AB43EA" w:rsidRPr="00E050AF" w14:paraId="293DC3C1" w14:textId="77777777" w:rsidTr="00A44A57">
        <w:trPr>
          <w:trHeight w:val="241"/>
        </w:trPr>
        <w:tc>
          <w:tcPr>
            <w:tcW w:w="5000" w:type="pct"/>
            <w:gridSpan w:val="4"/>
            <w:tcBorders>
              <w:top w:val="single" w:sz="4" w:space="0" w:color="auto"/>
              <w:left w:val="single" w:sz="4" w:space="0" w:color="auto"/>
              <w:bottom w:val="single" w:sz="4" w:space="0" w:color="auto"/>
              <w:right w:val="single" w:sz="4" w:space="0" w:color="auto"/>
            </w:tcBorders>
            <w:hideMark/>
          </w:tcPr>
          <w:p w14:paraId="4ECCFE1F" w14:textId="77777777" w:rsidR="00AB43EA" w:rsidRPr="00E050AF" w:rsidRDefault="00AB43EA" w:rsidP="00A110CB">
            <w:pPr>
              <w:pStyle w:val="TableBodyText-H54"/>
              <w:keepLines/>
              <w:spacing w:line="240" w:lineRule="auto"/>
              <w:rPr>
                <w:b/>
                <w:bCs/>
                <w:lang w:val="en-AU"/>
              </w:rPr>
            </w:pPr>
            <w:r w:rsidRPr="00E050AF">
              <w:rPr>
                <w:b/>
                <w:bCs/>
                <w:lang w:val="en-AU"/>
              </w:rPr>
              <w:t>Modelled cost per QALY versus bevacizumab (20 years)</w:t>
            </w:r>
          </w:p>
        </w:tc>
      </w:tr>
      <w:tr w:rsidR="00AB43EA" w:rsidRPr="00E050AF" w14:paraId="62C5D1C2" w14:textId="77777777" w:rsidTr="00AB43EA">
        <w:tc>
          <w:tcPr>
            <w:tcW w:w="1250" w:type="pct"/>
            <w:tcBorders>
              <w:top w:val="single" w:sz="4" w:space="0" w:color="auto"/>
              <w:left w:val="single" w:sz="4" w:space="0" w:color="auto"/>
              <w:bottom w:val="single" w:sz="4" w:space="0" w:color="auto"/>
              <w:right w:val="single" w:sz="4" w:space="0" w:color="auto"/>
            </w:tcBorders>
            <w:vAlign w:val="bottom"/>
            <w:hideMark/>
          </w:tcPr>
          <w:p w14:paraId="418B8A72" w14:textId="77777777" w:rsidR="00AB43EA" w:rsidRPr="00E050AF" w:rsidRDefault="00AB43EA" w:rsidP="00A110CB">
            <w:pPr>
              <w:pStyle w:val="TableText"/>
              <w:keepNext/>
              <w:keepLines/>
              <w:widowControl/>
              <w:spacing w:line="256" w:lineRule="auto"/>
            </w:pPr>
            <w:r w:rsidRPr="00E050AF">
              <w:rPr>
                <w:szCs w:val="20"/>
              </w:rPr>
              <w:t>Discounted costs</w:t>
            </w:r>
          </w:p>
        </w:tc>
        <w:tc>
          <w:tcPr>
            <w:tcW w:w="1310" w:type="pct"/>
            <w:tcBorders>
              <w:top w:val="single" w:sz="4" w:space="0" w:color="auto"/>
              <w:left w:val="single" w:sz="4" w:space="0" w:color="auto"/>
              <w:bottom w:val="single" w:sz="4" w:space="0" w:color="auto"/>
              <w:right w:val="single" w:sz="4" w:space="0" w:color="auto"/>
            </w:tcBorders>
            <w:vAlign w:val="bottom"/>
            <w:hideMark/>
          </w:tcPr>
          <w:p w14:paraId="214B0E42" w14:textId="6906A567" w:rsidR="00AB43EA" w:rsidRPr="00E050AF" w:rsidRDefault="00AB43EA" w:rsidP="00A110CB">
            <w:pPr>
              <w:pStyle w:val="TableNumber"/>
              <w:keepNext/>
              <w:keepLines/>
              <w:widowControl/>
              <w:tabs>
                <w:tab w:val="decimal" w:pos="0"/>
              </w:tabs>
              <w:spacing w:line="256" w:lineRule="auto"/>
              <w:rPr>
                <w:iCs/>
                <w:vertAlign w:val="superscript"/>
              </w:rPr>
            </w:pPr>
            <w:r w:rsidRPr="00E050AF">
              <w:rPr>
                <w:rFonts w:eastAsia="Times New Roman" w:cs="Calibri"/>
                <w:szCs w:val="20"/>
                <w:lang w:eastAsia="en-AU"/>
              </w:rPr>
              <w:t>$</w:t>
            </w:r>
            <w:r w:rsidR="00602B47" w:rsidRPr="00602B47">
              <w:rPr>
                <w:rFonts w:eastAsia="Times New Roman" w:cs="Calibri"/>
                <w:color w:val="000000"/>
                <w:szCs w:val="20"/>
                <w:shd w:val="solid" w:color="000000" w:fill="000000"/>
                <w:lang w:eastAsia="en-AU"/>
                <w14:textFill>
                  <w14:solidFill>
                    <w14:srgbClr w14:val="000000">
                      <w14:alpha w14:val="100000"/>
                    </w14:srgbClr>
                  </w14:solidFill>
                </w14:textFill>
              </w:rPr>
              <w:t>|</w:t>
            </w:r>
            <w:r w:rsidRPr="00E050AF">
              <w:rPr>
                <w:rFonts w:eastAsia="Times New Roman" w:cs="Calibri"/>
                <w:szCs w:val="20"/>
                <w:lang w:eastAsia="en-AU"/>
              </w:rPr>
              <w:t xml:space="preserve"> </w:t>
            </w:r>
            <w:r w:rsidRPr="00E050AF">
              <w:rPr>
                <w:rFonts w:eastAsia="Times New Roman" w:cs="Calibri"/>
                <w:szCs w:val="20"/>
                <w:vertAlign w:val="superscript"/>
                <w:lang w:eastAsia="en-AU"/>
              </w:rPr>
              <w:t>c</w:t>
            </w:r>
          </w:p>
        </w:tc>
        <w:tc>
          <w:tcPr>
            <w:tcW w:w="1310" w:type="pct"/>
            <w:tcBorders>
              <w:top w:val="single" w:sz="4" w:space="0" w:color="auto"/>
              <w:left w:val="single" w:sz="4" w:space="0" w:color="auto"/>
              <w:bottom w:val="single" w:sz="4" w:space="0" w:color="auto"/>
              <w:right w:val="single" w:sz="4" w:space="0" w:color="auto"/>
            </w:tcBorders>
            <w:vAlign w:val="bottom"/>
            <w:hideMark/>
          </w:tcPr>
          <w:p w14:paraId="576EC175" w14:textId="77777777" w:rsidR="00AB43EA" w:rsidRPr="00E050AF" w:rsidRDefault="00AB43EA" w:rsidP="00A110CB">
            <w:pPr>
              <w:pStyle w:val="TableNumber"/>
              <w:keepNext/>
              <w:keepLines/>
              <w:widowControl/>
              <w:tabs>
                <w:tab w:val="decimal" w:pos="0"/>
              </w:tabs>
              <w:spacing w:line="256" w:lineRule="auto"/>
              <w:rPr>
                <w:iCs/>
                <w:vertAlign w:val="superscript"/>
              </w:rPr>
            </w:pPr>
            <w:r w:rsidRPr="00E050AF">
              <w:rPr>
                <w:rFonts w:eastAsia="Times New Roman" w:cs="Calibri"/>
                <w:szCs w:val="20"/>
                <w:lang w:eastAsia="en-AU"/>
              </w:rPr>
              <w:t xml:space="preserve">$32,046 </w:t>
            </w:r>
            <w:r w:rsidRPr="00E050AF">
              <w:rPr>
                <w:rFonts w:eastAsia="Times New Roman" w:cs="Calibri"/>
                <w:szCs w:val="20"/>
                <w:vertAlign w:val="superscript"/>
                <w:lang w:eastAsia="en-AU"/>
              </w:rPr>
              <w:t>c</w:t>
            </w:r>
          </w:p>
        </w:tc>
        <w:tc>
          <w:tcPr>
            <w:tcW w:w="1130" w:type="pct"/>
            <w:tcBorders>
              <w:top w:val="single" w:sz="4" w:space="0" w:color="auto"/>
              <w:left w:val="single" w:sz="4" w:space="0" w:color="auto"/>
              <w:bottom w:val="single" w:sz="4" w:space="0" w:color="auto"/>
              <w:right w:val="single" w:sz="4" w:space="0" w:color="auto"/>
            </w:tcBorders>
            <w:vAlign w:val="bottom"/>
            <w:hideMark/>
          </w:tcPr>
          <w:p w14:paraId="4F008A48" w14:textId="66442497" w:rsidR="00AB43EA" w:rsidRPr="00E050AF" w:rsidRDefault="00AB43EA" w:rsidP="00A110CB">
            <w:pPr>
              <w:pStyle w:val="TableNumber"/>
              <w:keepNext/>
              <w:keepLines/>
              <w:widowControl/>
              <w:tabs>
                <w:tab w:val="decimal" w:pos="0"/>
              </w:tabs>
              <w:spacing w:line="256" w:lineRule="auto"/>
              <w:rPr>
                <w:bCs/>
                <w:iCs/>
              </w:rPr>
            </w:pPr>
            <w:r w:rsidRPr="00E050AF">
              <w:rPr>
                <w:rFonts w:eastAsia="Times New Roman" w:cs="Calibri"/>
                <w:szCs w:val="20"/>
                <w:lang w:eastAsia="en-AU"/>
              </w:rPr>
              <w:t>$</w:t>
            </w:r>
            <w:r w:rsidR="00602B47" w:rsidRPr="00602B47">
              <w:rPr>
                <w:rFonts w:eastAsia="Times New Roman" w:cs="Calibri"/>
                <w:color w:val="000000"/>
                <w:szCs w:val="20"/>
                <w:shd w:val="solid" w:color="000000" w:fill="000000"/>
                <w:lang w:eastAsia="en-AU"/>
                <w14:textFill>
                  <w14:solidFill>
                    <w14:srgbClr w14:val="000000">
                      <w14:alpha w14:val="100000"/>
                    </w14:srgbClr>
                  </w14:solidFill>
                </w14:textFill>
              </w:rPr>
              <w:t>|</w:t>
            </w:r>
          </w:p>
        </w:tc>
      </w:tr>
      <w:tr w:rsidR="00AB43EA" w:rsidRPr="00E050AF" w14:paraId="44E48E64" w14:textId="77777777" w:rsidTr="00AB43EA">
        <w:tc>
          <w:tcPr>
            <w:tcW w:w="1250" w:type="pct"/>
            <w:tcBorders>
              <w:top w:val="single" w:sz="4" w:space="0" w:color="auto"/>
              <w:left w:val="single" w:sz="4" w:space="0" w:color="auto"/>
              <w:bottom w:val="single" w:sz="4" w:space="0" w:color="auto"/>
              <w:right w:val="single" w:sz="4" w:space="0" w:color="auto"/>
            </w:tcBorders>
            <w:vAlign w:val="bottom"/>
            <w:hideMark/>
          </w:tcPr>
          <w:p w14:paraId="5A0CE501" w14:textId="564C5F4B" w:rsidR="00AB43EA" w:rsidRPr="00E050AF" w:rsidRDefault="00AB43EA" w:rsidP="00A110CB">
            <w:pPr>
              <w:pStyle w:val="TableText"/>
              <w:keepNext/>
              <w:keepLines/>
              <w:widowControl/>
              <w:spacing w:line="256" w:lineRule="auto"/>
              <w:rPr>
                <w:szCs w:val="20"/>
              </w:rPr>
            </w:pPr>
            <w:r w:rsidRPr="00E050AF">
              <w:rPr>
                <w:szCs w:val="20"/>
              </w:rPr>
              <w:t>Discounted LY</w:t>
            </w:r>
            <w:r w:rsidR="008C5ACD" w:rsidRPr="00E050AF">
              <w:rPr>
                <w:szCs w:val="20"/>
              </w:rPr>
              <w:t xml:space="preserve"> gained</w:t>
            </w:r>
          </w:p>
        </w:tc>
        <w:tc>
          <w:tcPr>
            <w:tcW w:w="1310" w:type="pct"/>
            <w:tcBorders>
              <w:top w:val="single" w:sz="4" w:space="0" w:color="auto"/>
              <w:left w:val="single" w:sz="4" w:space="0" w:color="auto"/>
              <w:bottom w:val="single" w:sz="4" w:space="0" w:color="auto"/>
              <w:right w:val="single" w:sz="4" w:space="0" w:color="auto"/>
            </w:tcBorders>
            <w:vAlign w:val="bottom"/>
            <w:hideMark/>
          </w:tcPr>
          <w:p w14:paraId="3BBA35EC" w14:textId="77777777" w:rsidR="00AB43EA" w:rsidRPr="00E050AF" w:rsidRDefault="00AB43EA" w:rsidP="00A110CB">
            <w:pPr>
              <w:pStyle w:val="TableNumber"/>
              <w:keepNext/>
              <w:keepLines/>
              <w:widowControl/>
              <w:tabs>
                <w:tab w:val="decimal" w:pos="0"/>
              </w:tabs>
              <w:spacing w:line="256" w:lineRule="auto"/>
              <w:rPr>
                <w:rFonts w:eastAsia="Times New Roman" w:cs="Calibri"/>
                <w:szCs w:val="20"/>
                <w:vertAlign w:val="superscript"/>
                <w:lang w:eastAsia="en-AU"/>
              </w:rPr>
            </w:pPr>
            <w:r w:rsidRPr="00E050AF">
              <w:rPr>
                <w:szCs w:val="20"/>
              </w:rPr>
              <w:t xml:space="preserve">4.10 </w:t>
            </w:r>
            <w:r w:rsidRPr="00E050AF">
              <w:rPr>
                <w:szCs w:val="20"/>
                <w:vertAlign w:val="superscript"/>
              </w:rPr>
              <w:t>c</w:t>
            </w:r>
          </w:p>
        </w:tc>
        <w:tc>
          <w:tcPr>
            <w:tcW w:w="1310" w:type="pct"/>
            <w:tcBorders>
              <w:top w:val="single" w:sz="4" w:space="0" w:color="auto"/>
              <w:left w:val="single" w:sz="4" w:space="0" w:color="auto"/>
              <w:bottom w:val="single" w:sz="4" w:space="0" w:color="auto"/>
              <w:right w:val="single" w:sz="4" w:space="0" w:color="auto"/>
            </w:tcBorders>
            <w:vAlign w:val="bottom"/>
            <w:hideMark/>
          </w:tcPr>
          <w:p w14:paraId="71B3816A" w14:textId="77777777" w:rsidR="00AB43EA" w:rsidRPr="00E050AF" w:rsidRDefault="00AB43EA" w:rsidP="00A110CB">
            <w:pPr>
              <w:pStyle w:val="TableNumber"/>
              <w:keepNext/>
              <w:keepLines/>
              <w:widowControl/>
              <w:tabs>
                <w:tab w:val="decimal" w:pos="0"/>
              </w:tabs>
              <w:spacing w:line="256" w:lineRule="auto"/>
              <w:rPr>
                <w:rFonts w:eastAsia="Times New Roman" w:cs="Calibri"/>
                <w:szCs w:val="20"/>
                <w:vertAlign w:val="superscript"/>
                <w:lang w:eastAsia="en-AU"/>
              </w:rPr>
            </w:pPr>
            <w:r w:rsidRPr="00E050AF">
              <w:rPr>
                <w:szCs w:val="20"/>
              </w:rPr>
              <w:t xml:space="preserve">3.59 </w:t>
            </w:r>
            <w:r w:rsidRPr="00E050AF">
              <w:rPr>
                <w:szCs w:val="20"/>
                <w:vertAlign w:val="superscript"/>
              </w:rPr>
              <w:t>c</w:t>
            </w:r>
          </w:p>
        </w:tc>
        <w:tc>
          <w:tcPr>
            <w:tcW w:w="1130" w:type="pct"/>
            <w:tcBorders>
              <w:top w:val="single" w:sz="4" w:space="0" w:color="auto"/>
              <w:left w:val="single" w:sz="4" w:space="0" w:color="auto"/>
              <w:bottom w:val="single" w:sz="4" w:space="0" w:color="auto"/>
              <w:right w:val="single" w:sz="4" w:space="0" w:color="auto"/>
            </w:tcBorders>
            <w:vAlign w:val="bottom"/>
            <w:hideMark/>
          </w:tcPr>
          <w:p w14:paraId="0E78A1D1" w14:textId="77777777" w:rsidR="00AB43EA" w:rsidRPr="00E050AF" w:rsidRDefault="00AB43EA" w:rsidP="00A110CB">
            <w:pPr>
              <w:pStyle w:val="TableNumber"/>
              <w:keepNext/>
              <w:keepLines/>
              <w:widowControl/>
              <w:tabs>
                <w:tab w:val="decimal" w:pos="0"/>
              </w:tabs>
              <w:spacing w:line="256" w:lineRule="auto"/>
              <w:rPr>
                <w:rFonts w:eastAsia="Times New Roman" w:cs="Calibri"/>
                <w:szCs w:val="20"/>
                <w:lang w:eastAsia="en-AU"/>
              </w:rPr>
            </w:pPr>
            <w:r w:rsidRPr="00E050AF">
              <w:rPr>
                <w:szCs w:val="20"/>
              </w:rPr>
              <w:t>0.52</w:t>
            </w:r>
          </w:p>
        </w:tc>
      </w:tr>
      <w:tr w:rsidR="00AB43EA" w:rsidRPr="00E050AF" w14:paraId="7D982363" w14:textId="77777777" w:rsidTr="00AB43EA">
        <w:tc>
          <w:tcPr>
            <w:tcW w:w="1250" w:type="pct"/>
            <w:tcBorders>
              <w:top w:val="single" w:sz="4" w:space="0" w:color="auto"/>
              <w:left w:val="single" w:sz="4" w:space="0" w:color="auto"/>
              <w:bottom w:val="single" w:sz="4" w:space="0" w:color="auto"/>
              <w:right w:val="single" w:sz="4" w:space="0" w:color="auto"/>
            </w:tcBorders>
            <w:vAlign w:val="bottom"/>
            <w:hideMark/>
          </w:tcPr>
          <w:p w14:paraId="0F376667" w14:textId="77777777" w:rsidR="00AB43EA" w:rsidRPr="00E050AF" w:rsidRDefault="00AB43EA" w:rsidP="00A110CB">
            <w:pPr>
              <w:pStyle w:val="TableText"/>
              <w:keepNext/>
              <w:keepLines/>
              <w:widowControl/>
              <w:spacing w:line="256" w:lineRule="auto"/>
              <w:rPr>
                <w:i/>
                <w:iCs/>
              </w:rPr>
            </w:pPr>
            <w:r w:rsidRPr="00E050AF">
              <w:rPr>
                <w:szCs w:val="20"/>
              </w:rPr>
              <w:t>Discounted QALYs</w:t>
            </w:r>
          </w:p>
        </w:tc>
        <w:tc>
          <w:tcPr>
            <w:tcW w:w="1310" w:type="pct"/>
            <w:tcBorders>
              <w:top w:val="single" w:sz="4" w:space="0" w:color="auto"/>
              <w:left w:val="single" w:sz="4" w:space="0" w:color="auto"/>
              <w:bottom w:val="single" w:sz="4" w:space="0" w:color="auto"/>
              <w:right w:val="single" w:sz="4" w:space="0" w:color="auto"/>
            </w:tcBorders>
            <w:vAlign w:val="bottom"/>
            <w:hideMark/>
          </w:tcPr>
          <w:p w14:paraId="5B602940" w14:textId="77777777" w:rsidR="00AB43EA" w:rsidRPr="00E050AF" w:rsidRDefault="00AB43EA" w:rsidP="00A110CB">
            <w:pPr>
              <w:pStyle w:val="TableNumber"/>
              <w:keepNext/>
              <w:keepLines/>
              <w:widowControl/>
              <w:tabs>
                <w:tab w:val="decimal" w:pos="0"/>
              </w:tabs>
              <w:spacing w:line="256" w:lineRule="auto"/>
              <w:rPr>
                <w:rFonts w:cs="Calibri"/>
                <w:i/>
                <w:iCs/>
                <w:szCs w:val="20"/>
                <w:vertAlign w:val="superscript"/>
              </w:rPr>
            </w:pPr>
            <w:r w:rsidRPr="00E050AF">
              <w:rPr>
                <w:szCs w:val="20"/>
              </w:rPr>
              <w:t xml:space="preserve">2.80 </w:t>
            </w:r>
            <w:r w:rsidRPr="00E050AF">
              <w:rPr>
                <w:szCs w:val="20"/>
                <w:vertAlign w:val="superscript"/>
              </w:rPr>
              <w:t>c</w:t>
            </w:r>
          </w:p>
        </w:tc>
        <w:tc>
          <w:tcPr>
            <w:tcW w:w="1310" w:type="pct"/>
            <w:tcBorders>
              <w:top w:val="single" w:sz="4" w:space="0" w:color="auto"/>
              <w:left w:val="single" w:sz="4" w:space="0" w:color="auto"/>
              <w:bottom w:val="single" w:sz="4" w:space="0" w:color="auto"/>
              <w:right w:val="single" w:sz="4" w:space="0" w:color="auto"/>
            </w:tcBorders>
            <w:vAlign w:val="bottom"/>
            <w:hideMark/>
          </w:tcPr>
          <w:p w14:paraId="131B600F" w14:textId="77777777" w:rsidR="00AB43EA" w:rsidRPr="00E050AF" w:rsidRDefault="00AB43EA" w:rsidP="00A110CB">
            <w:pPr>
              <w:pStyle w:val="TableNumber"/>
              <w:keepNext/>
              <w:keepLines/>
              <w:widowControl/>
              <w:tabs>
                <w:tab w:val="decimal" w:pos="0"/>
              </w:tabs>
              <w:spacing w:line="256" w:lineRule="auto"/>
              <w:rPr>
                <w:rFonts w:cs="Calibri"/>
                <w:i/>
                <w:iCs/>
                <w:szCs w:val="20"/>
                <w:vertAlign w:val="superscript"/>
              </w:rPr>
            </w:pPr>
            <w:r w:rsidRPr="00E050AF">
              <w:rPr>
                <w:szCs w:val="20"/>
              </w:rPr>
              <w:t xml:space="preserve">2.34 </w:t>
            </w:r>
            <w:r w:rsidRPr="00E050AF">
              <w:rPr>
                <w:szCs w:val="20"/>
                <w:vertAlign w:val="superscript"/>
              </w:rPr>
              <w:t>c</w:t>
            </w:r>
          </w:p>
        </w:tc>
        <w:tc>
          <w:tcPr>
            <w:tcW w:w="1130" w:type="pct"/>
            <w:tcBorders>
              <w:top w:val="single" w:sz="4" w:space="0" w:color="auto"/>
              <w:left w:val="single" w:sz="4" w:space="0" w:color="auto"/>
              <w:bottom w:val="single" w:sz="4" w:space="0" w:color="auto"/>
              <w:right w:val="single" w:sz="4" w:space="0" w:color="auto"/>
            </w:tcBorders>
            <w:vAlign w:val="bottom"/>
            <w:hideMark/>
          </w:tcPr>
          <w:p w14:paraId="1C40D0D4" w14:textId="77777777" w:rsidR="00AB43EA" w:rsidRPr="00E050AF" w:rsidRDefault="00AB43EA" w:rsidP="00A110CB">
            <w:pPr>
              <w:pStyle w:val="TableNumber"/>
              <w:keepNext/>
              <w:keepLines/>
              <w:widowControl/>
              <w:tabs>
                <w:tab w:val="decimal" w:pos="0"/>
              </w:tabs>
              <w:spacing w:line="256" w:lineRule="auto"/>
              <w:rPr>
                <w:rFonts w:cs="Calibri"/>
                <w:bCs/>
                <w:i/>
                <w:iCs/>
                <w:szCs w:val="20"/>
              </w:rPr>
            </w:pPr>
            <w:r w:rsidRPr="00E050AF">
              <w:rPr>
                <w:szCs w:val="20"/>
              </w:rPr>
              <w:t>0.46</w:t>
            </w:r>
          </w:p>
        </w:tc>
      </w:tr>
      <w:tr w:rsidR="00AB43EA" w:rsidRPr="00E050AF" w14:paraId="18A92EBA" w14:textId="77777777" w:rsidTr="00AB43EA">
        <w:tc>
          <w:tcPr>
            <w:tcW w:w="3870" w:type="pct"/>
            <w:gridSpan w:val="3"/>
            <w:tcBorders>
              <w:top w:val="single" w:sz="4" w:space="0" w:color="auto"/>
              <w:left w:val="single" w:sz="4" w:space="0" w:color="auto"/>
              <w:bottom w:val="single" w:sz="4" w:space="0" w:color="auto"/>
              <w:right w:val="single" w:sz="4" w:space="0" w:color="auto"/>
            </w:tcBorders>
            <w:hideMark/>
          </w:tcPr>
          <w:p w14:paraId="50928D04" w14:textId="77777777" w:rsidR="00AB43EA" w:rsidRPr="00E050AF" w:rsidRDefault="00AB43EA" w:rsidP="00A110CB">
            <w:pPr>
              <w:pStyle w:val="TableText"/>
              <w:keepNext/>
              <w:keepLines/>
              <w:widowControl/>
              <w:spacing w:line="256" w:lineRule="auto"/>
              <w:jc w:val="right"/>
            </w:pPr>
            <w:r w:rsidRPr="00E050AF">
              <w:t>Incremental cost per LY gained</w:t>
            </w:r>
          </w:p>
        </w:tc>
        <w:tc>
          <w:tcPr>
            <w:tcW w:w="1130" w:type="pct"/>
            <w:tcBorders>
              <w:top w:val="single" w:sz="4" w:space="0" w:color="auto"/>
              <w:left w:val="single" w:sz="4" w:space="0" w:color="auto"/>
              <w:bottom w:val="single" w:sz="4" w:space="0" w:color="auto"/>
              <w:right w:val="single" w:sz="4" w:space="0" w:color="auto"/>
            </w:tcBorders>
            <w:hideMark/>
          </w:tcPr>
          <w:p w14:paraId="2138BCA1" w14:textId="786CACC2" w:rsidR="00AB43EA" w:rsidRPr="00347E8C" w:rsidRDefault="00AB43EA" w:rsidP="00A110CB">
            <w:pPr>
              <w:pStyle w:val="TableNumber"/>
              <w:keepNext/>
              <w:keepLines/>
              <w:widowControl/>
              <w:spacing w:line="256" w:lineRule="auto"/>
              <w:rPr>
                <w:vertAlign w:val="superscript"/>
              </w:rPr>
            </w:pPr>
            <w:r w:rsidRPr="00E050AF">
              <w:rPr>
                <w:szCs w:val="20"/>
              </w:rPr>
              <w:t>$</w:t>
            </w:r>
            <w:r w:rsidR="00602B47" w:rsidRPr="00602B47">
              <w:rPr>
                <w:color w:val="000000"/>
                <w:szCs w:val="20"/>
                <w:shd w:val="solid" w:color="000000" w:fill="000000"/>
                <w14:textFill>
                  <w14:solidFill>
                    <w14:srgbClr w14:val="000000">
                      <w14:alpha w14:val="100000"/>
                    </w14:srgbClr>
                  </w14:solidFill>
                </w14:textFill>
              </w:rPr>
              <w:t>|</w:t>
            </w:r>
            <w:r w:rsidR="0090640F">
              <w:rPr>
                <w:szCs w:val="20"/>
                <w:vertAlign w:val="superscript"/>
              </w:rPr>
              <w:t>2</w:t>
            </w:r>
          </w:p>
        </w:tc>
      </w:tr>
      <w:tr w:rsidR="00AB43EA" w:rsidRPr="00E050AF" w14:paraId="68C28B5E" w14:textId="77777777" w:rsidTr="00AB43EA">
        <w:tc>
          <w:tcPr>
            <w:tcW w:w="3870" w:type="pct"/>
            <w:gridSpan w:val="3"/>
            <w:tcBorders>
              <w:top w:val="single" w:sz="4" w:space="0" w:color="auto"/>
              <w:left w:val="single" w:sz="4" w:space="0" w:color="auto"/>
              <w:bottom w:val="single" w:sz="4" w:space="0" w:color="auto"/>
              <w:right w:val="single" w:sz="4" w:space="0" w:color="auto"/>
            </w:tcBorders>
            <w:hideMark/>
          </w:tcPr>
          <w:p w14:paraId="2D725EED" w14:textId="77777777" w:rsidR="00AB43EA" w:rsidRPr="00E050AF" w:rsidRDefault="00AB43EA" w:rsidP="00A110CB">
            <w:pPr>
              <w:pStyle w:val="TableText"/>
              <w:keepNext/>
              <w:keepLines/>
              <w:widowControl/>
              <w:spacing w:line="256" w:lineRule="auto"/>
              <w:jc w:val="right"/>
              <w:rPr>
                <w:b/>
                <w:bCs/>
              </w:rPr>
            </w:pPr>
            <w:r w:rsidRPr="00E050AF">
              <w:rPr>
                <w:b/>
                <w:bCs/>
              </w:rPr>
              <w:t>Incremental cost per QALY gained</w:t>
            </w:r>
          </w:p>
        </w:tc>
        <w:tc>
          <w:tcPr>
            <w:tcW w:w="1130" w:type="pct"/>
            <w:tcBorders>
              <w:top w:val="single" w:sz="4" w:space="0" w:color="auto"/>
              <w:left w:val="single" w:sz="4" w:space="0" w:color="auto"/>
              <w:bottom w:val="single" w:sz="4" w:space="0" w:color="auto"/>
              <w:right w:val="single" w:sz="4" w:space="0" w:color="auto"/>
            </w:tcBorders>
            <w:hideMark/>
          </w:tcPr>
          <w:p w14:paraId="17B07D45" w14:textId="60D22A66" w:rsidR="00AB43EA" w:rsidRPr="0090640F" w:rsidRDefault="00AB43EA" w:rsidP="00A110CB">
            <w:pPr>
              <w:pStyle w:val="TableNumber"/>
              <w:keepNext/>
              <w:keepLines/>
              <w:widowControl/>
              <w:spacing w:line="256" w:lineRule="auto"/>
              <w:rPr>
                <w:b/>
                <w:bCs/>
                <w:vertAlign w:val="superscript"/>
              </w:rPr>
            </w:pPr>
            <w:r w:rsidRPr="00E050AF">
              <w:rPr>
                <w:b/>
                <w:bCs/>
              </w:rPr>
              <w:t>$</w:t>
            </w:r>
            <w:r w:rsidR="00602B47" w:rsidRPr="00602B47">
              <w:rPr>
                <w:b/>
                <w:bCs/>
                <w:color w:val="000000"/>
                <w:shd w:val="solid" w:color="000000" w:fill="000000"/>
                <w14:textFill>
                  <w14:solidFill>
                    <w14:srgbClr w14:val="000000">
                      <w14:alpha w14:val="100000"/>
                    </w14:srgbClr>
                  </w14:solidFill>
                </w14:textFill>
              </w:rPr>
              <w:t>|</w:t>
            </w:r>
            <w:r w:rsidR="0090640F">
              <w:rPr>
                <w:b/>
                <w:bCs/>
                <w:vertAlign w:val="superscript"/>
              </w:rPr>
              <w:t>3</w:t>
            </w:r>
          </w:p>
        </w:tc>
      </w:tr>
    </w:tbl>
    <w:p w14:paraId="0A69840C" w14:textId="1326E430" w:rsidR="00AB43EA" w:rsidRPr="00E050AF" w:rsidRDefault="008A3993" w:rsidP="00A110CB">
      <w:pPr>
        <w:pStyle w:val="TableFooter"/>
        <w:keepNext/>
        <w:keepLines/>
      </w:pPr>
      <w:r w:rsidRPr="00E050AF">
        <w:rPr>
          <w:i/>
          <w:iCs/>
          <w:szCs w:val="18"/>
        </w:rPr>
        <w:t>BRCA</w:t>
      </w:r>
      <w:r w:rsidRPr="00E050AF">
        <w:rPr>
          <w:szCs w:val="18"/>
        </w:rPr>
        <w:t xml:space="preserve"> = breast cancer gene; HRD = homologous recombination deficiency; m = mutation; </w:t>
      </w:r>
      <w:r w:rsidR="00AB43EA" w:rsidRPr="00E050AF">
        <w:t>ICER = incremental cost-effectiveness ratio; LY = life year, QALY = quality adjusted life year</w:t>
      </w:r>
      <w:r w:rsidRPr="00E050AF">
        <w:t>; wt = wild type</w:t>
      </w:r>
    </w:p>
    <w:p w14:paraId="0CFB6D3F" w14:textId="5A0E4BED" w:rsidR="00AB43EA" w:rsidRPr="00E050AF" w:rsidRDefault="00AB43EA" w:rsidP="00A110CB">
      <w:pPr>
        <w:pStyle w:val="TableFooter"/>
        <w:keepNext/>
        <w:keepLines/>
      </w:pPr>
      <w:r w:rsidRPr="00E050AF">
        <w:rPr>
          <w:vertAlign w:val="superscript"/>
        </w:rPr>
        <w:t>a</w:t>
      </w:r>
      <w:r w:rsidRPr="00E050AF">
        <w:t xml:space="preserve"> based on PFS results from HRD positive </w:t>
      </w:r>
      <w:r w:rsidR="00CF529A" w:rsidRPr="00E050AF">
        <w:rPr>
          <w:i/>
          <w:iCs/>
        </w:rPr>
        <w:t>BRCA</w:t>
      </w:r>
      <w:r w:rsidRPr="00E050AF">
        <w:t>wt in PAOLA-1</w:t>
      </w:r>
    </w:p>
    <w:p w14:paraId="249AB5CC" w14:textId="6D5E7CCB" w:rsidR="00AB43EA" w:rsidRPr="00E050AF" w:rsidRDefault="00AB43EA" w:rsidP="00A110CB">
      <w:pPr>
        <w:pStyle w:val="TableFooter"/>
        <w:keepNext/>
        <w:keepLines/>
      </w:pPr>
      <w:r w:rsidRPr="00E050AF">
        <w:rPr>
          <w:vertAlign w:val="superscript"/>
        </w:rPr>
        <w:t>b</w:t>
      </w:r>
      <w:r w:rsidRPr="00E050AF">
        <w:t xml:space="preserve"> based on PFS results from </w:t>
      </w:r>
      <w:r w:rsidR="008A3993" w:rsidRPr="00E050AF">
        <w:t>intention-to-treat</w:t>
      </w:r>
      <w:r w:rsidRPr="00E050AF">
        <w:t xml:space="preserve"> population in PAOLA-1</w:t>
      </w:r>
    </w:p>
    <w:p w14:paraId="5E3D1784" w14:textId="2CEE5625" w:rsidR="00AB43EA" w:rsidRPr="00E050AF" w:rsidRDefault="00AB43EA" w:rsidP="00A110CB">
      <w:pPr>
        <w:pStyle w:val="TableFooter"/>
        <w:keepNext/>
        <w:keepLines/>
      </w:pPr>
      <w:r w:rsidRPr="00E050AF">
        <w:rPr>
          <w:vertAlign w:val="superscript"/>
        </w:rPr>
        <w:t>c</w:t>
      </w:r>
      <w:r w:rsidRPr="00E050AF">
        <w:t xml:space="preserve"> </w:t>
      </w:r>
      <w:r w:rsidR="00A110CB" w:rsidRPr="00E050AF">
        <w:t>T</w:t>
      </w:r>
      <w:r w:rsidRPr="00E050AF">
        <w:t xml:space="preserve">he submission did not include any drug or management costs or outcomes for patients who were </w:t>
      </w:r>
      <w:r w:rsidR="00CF529A" w:rsidRPr="00E050AF">
        <w:rPr>
          <w:i/>
          <w:iCs/>
        </w:rPr>
        <w:t>BRCA</w:t>
      </w:r>
      <w:r w:rsidRPr="00E050AF">
        <w:t>m and treated with olaparib monotherapy. As such, the absolute costs, LY</w:t>
      </w:r>
      <w:r w:rsidR="008A3993" w:rsidRPr="00E050AF">
        <w:t xml:space="preserve"> gained</w:t>
      </w:r>
      <w:r w:rsidRPr="00E050AF">
        <w:t xml:space="preserve"> and QALY in each scenario were not reflective of the entire cohort. However the incremental results and resultant ICER</w:t>
      </w:r>
      <w:r w:rsidR="001E1791" w:rsidRPr="00E050AF">
        <w:t>s</w:t>
      </w:r>
      <w:r w:rsidRPr="00E050AF">
        <w:t xml:space="preserve"> </w:t>
      </w:r>
      <w:r w:rsidR="0077050C" w:rsidRPr="00E050AF">
        <w:t>are</w:t>
      </w:r>
      <w:r w:rsidRPr="00E050AF">
        <w:t xml:space="preserve"> accurate.</w:t>
      </w:r>
    </w:p>
    <w:p w14:paraId="68BC1CEF" w14:textId="149C84E3" w:rsidR="00AB43EA" w:rsidRDefault="00AB43EA" w:rsidP="00AB43EA">
      <w:pPr>
        <w:pStyle w:val="TableFooter"/>
      </w:pPr>
      <w:r w:rsidRPr="00E050AF">
        <w:t>Source: Tables 3.33, 3.34 and 3.35, p273-274 of the submission.</w:t>
      </w:r>
    </w:p>
    <w:p w14:paraId="26A4A071" w14:textId="77777777" w:rsidR="0090640F" w:rsidRPr="001D0E42" w:rsidRDefault="0090640F" w:rsidP="0090640F">
      <w:pPr>
        <w:spacing w:before="0" w:after="0"/>
        <w:rPr>
          <w:rFonts w:ascii="Arial Narrow" w:eastAsia="Times New Roman" w:hAnsi="Arial Narrow" w:cs="Arial"/>
          <w:i/>
          <w:sz w:val="18"/>
          <w:szCs w:val="18"/>
          <w:lang w:eastAsia="en-AU"/>
        </w:rPr>
      </w:pPr>
      <w:bookmarkStart w:id="103" w:name="_Hlk114128232"/>
      <w:r w:rsidRPr="001D0E42">
        <w:rPr>
          <w:rFonts w:ascii="Arial Narrow" w:eastAsia="Times New Roman" w:hAnsi="Arial Narrow" w:cs="Arial"/>
          <w:i/>
          <w:sz w:val="18"/>
          <w:szCs w:val="18"/>
          <w:lang w:eastAsia="en-AU"/>
        </w:rPr>
        <w:t xml:space="preserve">The redacted values correspond to the following ranges: </w:t>
      </w:r>
    </w:p>
    <w:p w14:paraId="14ABE765" w14:textId="0BE4065E" w:rsidR="0090640F" w:rsidRPr="001D0E42" w:rsidRDefault="0090640F" w:rsidP="0090640F">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1</w:t>
      </w:r>
      <w:r w:rsidRPr="001D0E42">
        <w:rPr>
          <w:rFonts w:ascii="Arial Narrow" w:eastAsia="Times New Roman" w:hAnsi="Arial Narrow" w:cs="Arial"/>
          <w:i/>
          <w:sz w:val="18"/>
          <w:szCs w:val="18"/>
          <w:lang w:eastAsia="en-AU"/>
        </w:rPr>
        <w:t xml:space="preserve"> </w:t>
      </w:r>
      <w:r w:rsidRPr="0090640F">
        <w:rPr>
          <w:rFonts w:ascii="Arial Narrow" w:eastAsia="Times New Roman" w:hAnsi="Arial Narrow" w:cs="Arial"/>
          <w:i/>
          <w:sz w:val="18"/>
          <w:szCs w:val="18"/>
          <w:lang w:eastAsia="en-AU"/>
        </w:rPr>
        <w:t>$135,000 to &lt; $155,000</w:t>
      </w:r>
    </w:p>
    <w:p w14:paraId="21D8C717" w14:textId="449DF583" w:rsidR="0090640F" w:rsidRPr="009A6D58" w:rsidRDefault="0090640F" w:rsidP="0090640F">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w:t>
      </w:r>
      <w:r w:rsidRPr="0090640F">
        <w:rPr>
          <w:rFonts w:ascii="Arial Narrow" w:eastAsia="Times New Roman" w:hAnsi="Arial Narrow" w:cs="Arial"/>
          <w:i/>
          <w:sz w:val="18"/>
          <w:szCs w:val="18"/>
          <w:lang w:eastAsia="en-AU"/>
        </w:rPr>
        <w:t>$35,000 to &lt; $45,000</w:t>
      </w:r>
    </w:p>
    <w:bookmarkEnd w:id="103"/>
    <w:p w14:paraId="53A2C677" w14:textId="47AD0B50" w:rsidR="0090640F" w:rsidRPr="00004138" w:rsidRDefault="0090640F" w:rsidP="00004138">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3</w:t>
      </w:r>
      <w:r>
        <w:rPr>
          <w:rFonts w:ascii="Arial Narrow" w:eastAsia="Times New Roman" w:hAnsi="Arial Narrow" w:cs="Arial"/>
          <w:i/>
          <w:sz w:val="18"/>
          <w:szCs w:val="18"/>
          <w:lang w:eastAsia="en-AU"/>
        </w:rPr>
        <w:t xml:space="preserve"> </w:t>
      </w:r>
      <w:r w:rsidRPr="0090640F">
        <w:rPr>
          <w:rFonts w:ascii="Arial Narrow" w:eastAsia="Times New Roman" w:hAnsi="Arial Narrow" w:cs="Arial"/>
          <w:i/>
          <w:sz w:val="18"/>
          <w:szCs w:val="18"/>
          <w:lang w:eastAsia="en-AU"/>
        </w:rPr>
        <w:t>$</w:t>
      </w:r>
      <w:r>
        <w:rPr>
          <w:rFonts w:ascii="Arial Narrow" w:eastAsia="Times New Roman" w:hAnsi="Arial Narrow" w:cs="Arial"/>
          <w:i/>
          <w:sz w:val="18"/>
          <w:szCs w:val="18"/>
          <w:lang w:eastAsia="en-AU"/>
        </w:rPr>
        <w:t>4</w:t>
      </w:r>
      <w:r w:rsidRPr="0090640F">
        <w:rPr>
          <w:rFonts w:ascii="Arial Narrow" w:eastAsia="Times New Roman" w:hAnsi="Arial Narrow" w:cs="Arial"/>
          <w:i/>
          <w:sz w:val="18"/>
          <w:szCs w:val="18"/>
          <w:lang w:eastAsia="en-AU"/>
        </w:rPr>
        <w:t>5,000 to &lt; $</w:t>
      </w:r>
      <w:r>
        <w:rPr>
          <w:rFonts w:ascii="Arial Narrow" w:eastAsia="Times New Roman" w:hAnsi="Arial Narrow" w:cs="Arial"/>
          <w:i/>
          <w:sz w:val="18"/>
          <w:szCs w:val="18"/>
          <w:lang w:eastAsia="en-AU"/>
        </w:rPr>
        <w:t>5</w:t>
      </w:r>
      <w:r w:rsidRPr="0090640F">
        <w:rPr>
          <w:rFonts w:ascii="Arial Narrow" w:eastAsia="Times New Roman" w:hAnsi="Arial Narrow" w:cs="Arial"/>
          <w:i/>
          <w:sz w:val="18"/>
          <w:szCs w:val="18"/>
          <w:lang w:eastAsia="en-AU"/>
        </w:rPr>
        <w:t>5,000</w:t>
      </w:r>
    </w:p>
    <w:p w14:paraId="31725FE6" w14:textId="5FF1294C" w:rsidR="001B7AC6" w:rsidRPr="00E050AF" w:rsidRDefault="00A94FFF" w:rsidP="00A94FFF">
      <w:pPr>
        <w:pStyle w:val="ListParagraph"/>
        <w:numPr>
          <w:ilvl w:val="4"/>
          <w:numId w:val="8"/>
        </w:numPr>
      </w:pPr>
      <w:r w:rsidRPr="00E050AF">
        <w:t xml:space="preserve">A substantial OS difference was modelled (a 3.74 LYG difference over the 20 year time horizon) despite OS not being statistically significant in PAOLA-1 for the ITT (OS HR = 0.91, 95%CI 0.70, 1.1) or the HRD positive </w:t>
      </w:r>
      <w:r w:rsidRPr="00E050AF">
        <w:rPr>
          <w:i/>
          <w:iCs/>
        </w:rPr>
        <w:t>BRCA</w:t>
      </w:r>
      <w:r w:rsidRPr="00E050AF">
        <w:t xml:space="preserve">wt populations (OS HR = 0.84, 95%CI 0.46, 1.52). </w:t>
      </w:r>
      <w:r w:rsidR="00A228BD" w:rsidRPr="00E050AF">
        <w:t>This was almost e</w:t>
      </w:r>
      <w:r w:rsidR="00063BE6" w:rsidRPr="00E050AF">
        <w:t>ntirely driven by the assumed cure fractions</w:t>
      </w:r>
      <w:r w:rsidRPr="00E050AF">
        <w:t>.</w:t>
      </w:r>
    </w:p>
    <w:p w14:paraId="2565079B" w14:textId="67A71AA0" w:rsidR="00AB43EA" w:rsidRPr="00E050AF" w:rsidRDefault="00AB43EA" w:rsidP="009D3CDF">
      <w:pPr>
        <w:pStyle w:val="ListParagraph"/>
        <w:numPr>
          <w:ilvl w:val="4"/>
          <w:numId w:val="8"/>
        </w:numPr>
      </w:pPr>
      <w:r w:rsidRPr="00E050AF">
        <w:t xml:space="preserve">Based on the sensitivity analyses conducted by the submission and during the evaluation, the model was most sensitive to changes in the cure fraction (both for olaparib plus bevacizumab and bevacizumab monotherapy as well as the incremental difference), extrapolation function (which directly affects the cure fraction), utility values for the progressed disease health state, proportion of patients who were HRD positive </w:t>
      </w:r>
      <w:r w:rsidR="00CF529A" w:rsidRPr="00E050AF">
        <w:rPr>
          <w:i/>
          <w:iCs/>
        </w:rPr>
        <w:t>BRCA</w:t>
      </w:r>
      <w:r w:rsidRPr="00E050AF">
        <w:t>wt and time horizon. Results of the key univariate sensitivity analyses are summarised in the table below.</w:t>
      </w:r>
    </w:p>
    <w:p w14:paraId="2FE19722" w14:textId="5FCED5E2" w:rsidR="00AB43EA" w:rsidRPr="00E050AF" w:rsidRDefault="00CB7CCD" w:rsidP="00CB7CCD">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18</w:t>
      </w:r>
      <w:r w:rsidRPr="00E050AF">
        <w:rPr>
          <w:rStyle w:val="CommentReference"/>
          <w:b/>
          <w:szCs w:val="20"/>
        </w:rPr>
        <w:fldChar w:fldCharType="end"/>
      </w:r>
      <w:r w:rsidR="00AB43EA" w:rsidRPr="00E050AF">
        <w:tab/>
        <w:t xml:space="preserve">Results of key sensitivity analyses </w:t>
      </w:r>
      <w:r w:rsidR="00D371EF" w:rsidRPr="00E050AF">
        <w:t>of economic model</w:t>
      </w:r>
    </w:p>
    <w:tbl>
      <w:tblPr>
        <w:tblStyle w:val="AZTable"/>
        <w:tblW w:w="5000" w:type="pct"/>
        <w:tblLook w:val="04A0" w:firstRow="1" w:lastRow="0" w:firstColumn="1" w:lastColumn="0" w:noHBand="0" w:noVBand="1"/>
        <w:tblCaption w:val="Table 18 Results of key sensitivity analyses of economic model"/>
      </w:tblPr>
      <w:tblGrid>
        <w:gridCol w:w="3930"/>
        <w:gridCol w:w="1194"/>
        <w:gridCol w:w="1313"/>
        <w:gridCol w:w="1304"/>
        <w:gridCol w:w="1275"/>
      </w:tblGrid>
      <w:tr w:rsidR="00AB43EA" w:rsidRPr="00E050AF" w14:paraId="35D4C2D6" w14:textId="77777777" w:rsidTr="000617A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hideMark/>
          </w:tcPr>
          <w:p w14:paraId="7C6FB450" w14:textId="77777777" w:rsidR="00AB43EA" w:rsidRPr="00E050AF" w:rsidRDefault="00AB43EA" w:rsidP="000617A8">
            <w:pPr>
              <w:pStyle w:val="TableHeading0"/>
              <w:spacing w:before="0" w:after="0" w:line="240" w:lineRule="auto"/>
              <w:jc w:val="left"/>
              <w:rPr>
                <w:b/>
                <w:bCs/>
              </w:rPr>
            </w:pPr>
            <w:r w:rsidRPr="00E050AF">
              <w:rPr>
                <w:b/>
                <w:bCs/>
              </w:rPr>
              <w:t>Variable or assumption</w:t>
            </w:r>
          </w:p>
        </w:tc>
        <w:tc>
          <w:tcPr>
            <w:tcW w:w="662" w:type="pct"/>
            <w:tcBorders>
              <w:top w:val="single" w:sz="4" w:space="0" w:color="auto"/>
              <w:left w:val="single" w:sz="4" w:space="0" w:color="auto"/>
              <w:bottom w:val="single" w:sz="4" w:space="0" w:color="auto"/>
              <w:right w:val="single" w:sz="4" w:space="0" w:color="auto"/>
            </w:tcBorders>
            <w:hideMark/>
          </w:tcPr>
          <w:p w14:paraId="64654D68" w14:textId="77777777" w:rsidR="00AB43EA" w:rsidRPr="00E050AF" w:rsidRDefault="00AB43EA" w:rsidP="000617A8">
            <w:pPr>
              <w:pStyle w:val="TableHeading0"/>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E050AF">
              <w:rPr>
                <w:b/>
                <w:bCs/>
              </w:rPr>
              <w:t>Incremental costs</w:t>
            </w:r>
          </w:p>
        </w:tc>
        <w:tc>
          <w:tcPr>
            <w:tcW w:w="728" w:type="pct"/>
            <w:tcBorders>
              <w:top w:val="single" w:sz="4" w:space="0" w:color="auto"/>
              <w:left w:val="single" w:sz="4" w:space="0" w:color="auto"/>
              <w:bottom w:val="single" w:sz="4" w:space="0" w:color="auto"/>
              <w:right w:val="single" w:sz="4" w:space="0" w:color="auto"/>
            </w:tcBorders>
            <w:hideMark/>
          </w:tcPr>
          <w:p w14:paraId="1D5781CC" w14:textId="77777777" w:rsidR="00AB43EA" w:rsidRPr="00E050AF" w:rsidRDefault="00AB43EA" w:rsidP="000617A8">
            <w:pPr>
              <w:pStyle w:val="TableHeading0"/>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E050AF">
              <w:rPr>
                <w:b/>
                <w:bCs/>
              </w:rPr>
              <w:t>Incremental effectiveness (QALYs)</w:t>
            </w:r>
          </w:p>
        </w:tc>
        <w:tc>
          <w:tcPr>
            <w:tcW w:w="723" w:type="pct"/>
            <w:tcBorders>
              <w:top w:val="single" w:sz="4" w:space="0" w:color="auto"/>
              <w:left w:val="single" w:sz="4" w:space="0" w:color="auto"/>
              <w:bottom w:val="single" w:sz="4" w:space="0" w:color="auto"/>
              <w:right w:val="single" w:sz="4" w:space="0" w:color="auto"/>
            </w:tcBorders>
            <w:hideMark/>
          </w:tcPr>
          <w:p w14:paraId="411B41FB" w14:textId="77777777" w:rsidR="00AB43EA" w:rsidRPr="00E050AF" w:rsidRDefault="00AB43EA" w:rsidP="000617A8">
            <w:pPr>
              <w:pStyle w:val="TableHeading0"/>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E050AF">
              <w:rPr>
                <w:b/>
                <w:bCs/>
              </w:rPr>
              <w:t>ICER versus bevacizumab</w:t>
            </w:r>
          </w:p>
        </w:tc>
        <w:tc>
          <w:tcPr>
            <w:tcW w:w="707" w:type="pct"/>
            <w:tcBorders>
              <w:top w:val="single" w:sz="4" w:space="0" w:color="auto"/>
              <w:left w:val="single" w:sz="4" w:space="0" w:color="auto"/>
              <w:bottom w:val="single" w:sz="4" w:space="0" w:color="auto"/>
              <w:right w:val="single" w:sz="4" w:space="0" w:color="auto"/>
            </w:tcBorders>
            <w:hideMark/>
          </w:tcPr>
          <w:p w14:paraId="4DBF0FFA" w14:textId="77777777" w:rsidR="00AB43EA" w:rsidRPr="00E050AF" w:rsidRDefault="00AB43EA" w:rsidP="000617A8">
            <w:pPr>
              <w:pStyle w:val="TableHeading0"/>
              <w:spacing w:before="0" w:after="0" w:line="240" w:lineRule="auto"/>
              <w:jc w:val="center"/>
              <w:cnfStyle w:val="100000000000" w:firstRow="1" w:lastRow="0" w:firstColumn="0" w:lastColumn="0" w:oddVBand="0" w:evenVBand="0" w:oddHBand="0" w:evenHBand="0" w:firstRowFirstColumn="0" w:firstRowLastColumn="0" w:lastRowFirstColumn="0" w:lastRowLastColumn="0"/>
              <w:rPr>
                <w:b/>
                <w:bCs/>
              </w:rPr>
            </w:pPr>
            <w:r w:rsidRPr="00E050AF">
              <w:rPr>
                <w:b/>
                <w:bCs/>
              </w:rPr>
              <w:t>% change from base case</w:t>
            </w:r>
          </w:p>
        </w:tc>
      </w:tr>
      <w:tr w:rsidR="00AB43EA" w:rsidRPr="00E050AF" w14:paraId="557C320D"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435D7D" w14:textId="77777777" w:rsidR="00AB43EA" w:rsidRPr="00E050AF" w:rsidRDefault="00AB43EA" w:rsidP="000617A8">
            <w:pPr>
              <w:pStyle w:val="TableText"/>
              <w:rPr>
                <w:b/>
                <w:bCs/>
              </w:rPr>
            </w:pPr>
            <w:r w:rsidRPr="00E050AF">
              <w:rPr>
                <w:b/>
                <w:bCs/>
              </w:rPr>
              <w:t>Base case</w:t>
            </w:r>
          </w:p>
        </w:tc>
        <w:tc>
          <w:tcPr>
            <w:tcW w:w="6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6664C5" w14:textId="0F6C915C"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E050AF">
              <w:rPr>
                <w:b/>
                <w:bCs/>
              </w:rPr>
              <w:t>$</w:t>
            </w:r>
            <w:r w:rsidR="00602B47" w:rsidRPr="00602B47">
              <w:rPr>
                <w:rFonts w:hint="eastAsia"/>
                <w:b/>
                <w:bCs/>
                <w:color w:val="000000"/>
                <w:w w:val="32"/>
                <w:shd w:val="solid" w:color="000000" w:fill="000000"/>
                <w:fitText w:val="146" w:id="-1435752185"/>
                <w14:textFill>
                  <w14:solidFill>
                    <w14:srgbClr w14:val="000000">
                      <w14:alpha w14:val="100000"/>
                    </w14:srgbClr>
                  </w14:solidFill>
                </w14:textFill>
              </w:rPr>
              <w:t xml:space="preserve">　</w:t>
            </w:r>
            <w:r w:rsidR="00602B47" w:rsidRPr="00602B47">
              <w:rPr>
                <w:b/>
                <w:bCs/>
                <w:color w:val="000000"/>
                <w:w w:val="32"/>
                <w:shd w:val="solid" w:color="000000" w:fill="000000"/>
                <w:fitText w:val="146" w:id="-1435752185"/>
                <w14:textFill>
                  <w14:solidFill>
                    <w14:srgbClr w14:val="000000">
                      <w14:alpha w14:val="100000"/>
                    </w14:srgbClr>
                  </w14:solidFill>
                </w14:textFill>
              </w:rPr>
              <w:t>|</w:t>
            </w:r>
            <w:r w:rsidR="00602B47" w:rsidRPr="00602B47">
              <w:rPr>
                <w:rFonts w:hint="eastAsia"/>
                <w:b/>
                <w:bCs/>
                <w:color w:val="000000"/>
                <w:spacing w:val="6"/>
                <w:w w:val="32"/>
                <w:shd w:val="solid" w:color="000000" w:fill="000000"/>
                <w:fitText w:val="146" w:id="-1435752185"/>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34A3AC"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E050AF">
              <w:rPr>
                <w:b/>
                <w:bCs/>
              </w:rPr>
              <w:t>0.4616</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77C99E" w14:textId="5946E2F8" w:rsidR="00AB43EA" w:rsidRPr="0090640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rPr>
                <w:b/>
                <w:bCs/>
                <w:vertAlign w:val="superscript"/>
              </w:rPr>
            </w:pPr>
            <w:r w:rsidRPr="00E050AF">
              <w:rPr>
                <w:b/>
                <w:bCs/>
              </w:rPr>
              <w:t>$</w:t>
            </w:r>
            <w:r w:rsidR="00602B47" w:rsidRPr="00602B47">
              <w:rPr>
                <w:rFonts w:hint="eastAsia"/>
                <w:b/>
                <w:bCs/>
                <w:color w:val="000000"/>
                <w:w w:val="27"/>
                <w:shd w:val="solid" w:color="000000" w:fill="000000"/>
                <w:fitText w:val="123" w:id="-1435752184"/>
                <w14:textFill>
                  <w14:solidFill>
                    <w14:srgbClr w14:val="000000">
                      <w14:alpha w14:val="100000"/>
                    </w14:srgbClr>
                  </w14:solidFill>
                </w14:textFill>
              </w:rPr>
              <w:t xml:space="preserve">　</w:t>
            </w:r>
            <w:r w:rsidR="00602B47" w:rsidRPr="00602B47">
              <w:rPr>
                <w:b/>
                <w:bCs/>
                <w:color w:val="000000"/>
                <w:w w:val="27"/>
                <w:shd w:val="solid" w:color="000000" w:fill="000000"/>
                <w:fitText w:val="123" w:id="-1435752184"/>
                <w14:textFill>
                  <w14:solidFill>
                    <w14:srgbClr w14:val="000000">
                      <w14:alpha w14:val="100000"/>
                    </w14:srgbClr>
                  </w14:solidFill>
                </w14:textFill>
              </w:rPr>
              <w:t>|</w:t>
            </w:r>
            <w:r w:rsidR="00602B47" w:rsidRPr="00602B47">
              <w:rPr>
                <w:rFonts w:hint="eastAsia"/>
                <w:b/>
                <w:bCs/>
                <w:color w:val="000000"/>
                <w:spacing w:val="4"/>
                <w:w w:val="27"/>
                <w:shd w:val="solid" w:color="000000" w:fill="000000"/>
                <w:fitText w:val="123" w:id="-1435752184"/>
                <w14:textFill>
                  <w14:solidFill>
                    <w14:srgbClr w14:val="000000">
                      <w14:alpha w14:val="100000"/>
                    </w14:srgbClr>
                  </w14:solidFill>
                </w14:textFill>
              </w:rPr>
              <w:t xml:space="preserve">　</w:t>
            </w:r>
            <w:r w:rsidR="0090640F">
              <w:rPr>
                <w:b/>
                <w:bCs/>
                <w:vertAlign w:val="superscript"/>
              </w:rPr>
              <w:t>1</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7E547E"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rPr>
                <w:b/>
                <w:bCs/>
              </w:rPr>
            </w:pPr>
            <w:r w:rsidRPr="00E050AF">
              <w:rPr>
                <w:b/>
                <w:bCs/>
              </w:rPr>
              <w:t>NA</w:t>
            </w:r>
          </w:p>
        </w:tc>
      </w:tr>
      <w:tr w:rsidR="00AB43EA" w:rsidRPr="00E050AF" w14:paraId="18700BC2"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1898F31E" w14:textId="77777777" w:rsidR="00AB43EA" w:rsidRPr="00E050AF" w:rsidRDefault="00AB43EA" w:rsidP="000617A8">
            <w:pPr>
              <w:pStyle w:val="TableText"/>
            </w:pPr>
            <w:r w:rsidRPr="00E050AF">
              <w:t>Time horizon (base case = 20 years)</w:t>
            </w:r>
          </w:p>
          <w:p w14:paraId="3EB389EF" w14:textId="77777777" w:rsidR="00AB43EA" w:rsidRPr="00E050AF" w:rsidRDefault="00AB43EA" w:rsidP="000617A8">
            <w:pPr>
              <w:pStyle w:val="TableText"/>
              <w:numPr>
                <w:ilvl w:val="0"/>
                <w:numId w:val="18"/>
              </w:numPr>
            </w:pPr>
            <w:r w:rsidRPr="00E050AF">
              <w:t>15 years</w:t>
            </w:r>
          </w:p>
          <w:p w14:paraId="08BF6CF8" w14:textId="77777777" w:rsidR="00AB43EA" w:rsidRPr="00E050AF" w:rsidRDefault="00AB43EA" w:rsidP="000617A8">
            <w:pPr>
              <w:pStyle w:val="TableText"/>
              <w:numPr>
                <w:ilvl w:val="0"/>
                <w:numId w:val="18"/>
              </w:numPr>
            </w:pPr>
            <w:r w:rsidRPr="00E050AF">
              <w:t>25 years</w:t>
            </w:r>
          </w:p>
        </w:tc>
        <w:tc>
          <w:tcPr>
            <w:tcW w:w="662" w:type="pct"/>
            <w:tcBorders>
              <w:top w:val="single" w:sz="4" w:space="0" w:color="auto"/>
              <w:left w:val="single" w:sz="4" w:space="0" w:color="auto"/>
              <w:bottom w:val="single" w:sz="4" w:space="0" w:color="auto"/>
              <w:right w:val="single" w:sz="4" w:space="0" w:color="auto"/>
            </w:tcBorders>
            <w:vAlign w:val="center"/>
          </w:tcPr>
          <w:p w14:paraId="32C42316"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2982D74A" w14:textId="6A9F11F8"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3"/>
                <w14:textFill>
                  <w14:solidFill>
                    <w14:srgbClr w14:val="000000">
                      <w14:alpha w14:val="100000"/>
                    </w14:srgbClr>
                  </w14:solidFill>
                </w14:textFill>
              </w:rPr>
              <w:t xml:space="preserve">　</w:t>
            </w:r>
            <w:r w:rsidR="00602B47" w:rsidRPr="00602B47">
              <w:rPr>
                <w:color w:val="000000"/>
                <w:w w:val="24"/>
                <w:shd w:val="solid" w:color="000000" w:fill="000000"/>
                <w:fitText w:val="108" w:id="-1435752183"/>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3"/>
                <w14:textFill>
                  <w14:solidFill>
                    <w14:srgbClr w14:val="000000">
                      <w14:alpha w14:val="100000"/>
                    </w14:srgbClr>
                  </w14:solidFill>
                </w14:textFill>
              </w:rPr>
              <w:t xml:space="preserve">　</w:t>
            </w:r>
          </w:p>
          <w:p w14:paraId="1B89F2A0" w14:textId="5F5FD07C"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2"/>
                <w14:textFill>
                  <w14:solidFill>
                    <w14:srgbClr w14:val="000000">
                      <w14:alpha w14:val="100000"/>
                    </w14:srgbClr>
                  </w14:solidFill>
                </w14:textFill>
              </w:rPr>
              <w:t xml:space="preserve">　</w:t>
            </w:r>
            <w:r w:rsidR="00602B47" w:rsidRPr="00602B47">
              <w:rPr>
                <w:color w:val="000000"/>
                <w:w w:val="24"/>
                <w:shd w:val="solid" w:color="000000" w:fill="000000"/>
                <w:fitText w:val="108" w:id="-1435752182"/>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2"/>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162D9535"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6DC1C4C1"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0.3621</w:t>
            </w:r>
          </w:p>
          <w:p w14:paraId="3DA60A4A"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0.5311</w:t>
            </w:r>
          </w:p>
        </w:tc>
        <w:tc>
          <w:tcPr>
            <w:tcW w:w="723" w:type="pct"/>
            <w:tcBorders>
              <w:top w:val="single" w:sz="4" w:space="0" w:color="auto"/>
              <w:left w:val="single" w:sz="4" w:space="0" w:color="auto"/>
              <w:bottom w:val="single" w:sz="4" w:space="0" w:color="auto"/>
              <w:right w:val="single" w:sz="4" w:space="0" w:color="auto"/>
            </w:tcBorders>
            <w:vAlign w:val="center"/>
          </w:tcPr>
          <w:p w14:paraId="25E57B32"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6FB3FD7C" w14:textId="31F5F54F"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1"/>
                <w14:textFill>
                  <w14:solidFill>
                    <w14:srgbClr w14:val="000000">
                      <w14:alpha w14:val="100000"/>
                    </w14:srgbClr>
                  </w14:solidFill>
                </w14:textFill>
              </w:rPr>
              <w:t xml:space="preserve">　</w:t>
            </w:r>
            <w:r w:rsidR="00602B47" w:rsidRPr="00602B47">
              <w:rPr>
                <w:color w:val="000000"/>
                <w:w w:val="17"/>
                <w:shd w:val="solid" w:color="000000" w:fill="000000"/>
                <w:fitText w:val="77" w:id="-1435752181"/>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1"/>
                <w14:textFill>
                  <w14:solidFill>
                    <w14:srgbClr w14:val="000000">
                      <w14:alpha w14:val="100000"/>
                    </w14:srgbClr>
                  </w14:solidFill>
                </w14:textFill>
              </w:rPr>
              <w:t xml:space="preserve">　</w:t>
            </w:r>
            <w:r w:rsidR="0090640F">
              <w:rPr>
                <w:b/>
                <w:bCs/>
                <w:vertAlign w:val="superscript"/>
              </w:rPr>
              <w:t>2</w:t>
            </w:r>
          </w:p>
          <w:p w14:paraId="67107375" w14:textId="4216BBB9"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0"/>
                <w14:textFill>
                  <w14:solidFill>
                    <w14:srgbClr w14:val="000000">
                      <w14:alpha w14:val="100000"/>
                    </w14:srgbClr>
                  </w14:solidFill>
                </w14:textFill>
              </w:rPr>
              <w:t xml:space="preserve">　</w:t>
            </w:r>
            <w:r w:rsidR="00602B47" w:rsidRPr="00602B47">
              <w:rPr>
                <w:color w:val="000000"/>
                <w:w w:val="17"/>
                <w:shd w:val="solid" w:color="000000" w:fill="000000"/>
                <w:fitText w:val="77" w:id="-1435752180"/>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0"/>
                <w14:textFill>
                  <w14:solidFill>
                    <w14:srgbClr w14:val="000000">
                      <w14:alpha w14:val="100000"/>
                    </w14:srgbClr>
                  </w14:solidFill>
                </w14:textFill>
              </w:rPr>
              <w:t xml:space="preserve">　</w:t>
            </w:r>
            <w:r w:rsidR="0090640F">
              <w:rPr>
                <w:b/>
                <w:bCs/>
                <w:vertAlign w:val="superscript"/>
              </w:rPr>
              <w:t>3</w:t>
            </w:r>
          </w:p>
        </w:tc>
        <w:tc>
          <w:tcPr>
            <w:tcW w:w="707" w:type="pct"/>
            <w:tcBorders>
              <w:top w:val="single" w:sz="4" w:space="0" w:color="auto"/>
              <w:left w:val="single" w:sz="4" w:space="0" w:color="auto"/>
              <w:bottom w:val="single" w:sz="4" w:space="0" w:color="auto"/>
              <w:right w:val="single" w:sz="4" w:space="0" w:color="auto"/>
            </w:tcBorders>
            <w:vAlign w:val="center"/>
          </w:tcPr>
          <w:p w14:paraId="7D2A419E"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9243CBD"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+27.32</w:t>
            </w:r>
          </w:p>
          <w:p w14:paraId="5E3AFFB1"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-12.83%</w:t>
            </w:r>
          </w:p>
        </w:tc>
      </w:tr>
      <w:tr w:rsidR="00AB43EA" w:rsidRPr="00E050AF" w14:paraId="2561BBEF"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1D7FDEE1" w14:textId="68D5DBA4" w:rsidR="00AB43EA" w:rsidRPr="00E050AF" w:rsidRDefault="00AB43EA" w:rsidP="000617A8">
            <w:pPr>
              <w:pStyle w:val="TableText"/>
            </w:pPr>
            <w:r w:rsidRPr="00E050AF">
              <w:t>Prevalence of HRD+</w:t>
            </w:r>
            <w:r w:rsidR="00E33518" w:rsidRPr="00E050AF">
              <w:t xml:space="preserve"> </w:t>
            </w:r>
            <w:r w:rsidRPr="00E050AF">
              <w:t>(base case = 50%)</w:t>
            </w:r>
          </w:p>
          <w:p w14:paraId="4D962991" w14:textId="10B56523" w:rsidR="00AB43EA" w:rsidRPr="00E050AF" w:rsidRDefault="00AB43EA" w:rsidP="000617A8">
            <w:pPr>
              <w:pStyle w:val="TableText"/>
              <w:numPr>
                <w:ilvl w:val="0"/>
                <w:numId w:val="19"/>
              </w:numPr>
            </w:pPr>
            <w:r w:rsidRPr="00E050AF">
              <w:t>40%</w:t>
            </w:r>
            <w:r w:rsidR="00E33518" w:rsidRPr="00E050AF">
              <w:t xml:space="preserve">, 25.3% </w:t>
            </w:r>
            <w:r w:rsidR="00CF529A" w:rsidRPr="00E050AF">
              <w:rPr>
                <w:i/>
                <w:iCs/>
              </w:rPr>
              <w:t>BRCA</w:t>
            </w:r>
            <w:r w:rsidR="00E33518" w:rsidRPr="00E050AF">
              <w:t>m</w:t>
            </w:r>
          </w:p>
          <w:p w14:paraId="14C572A0" w14:textId="19F5B09B" w:rsidR="00AB43EA" w:rsidRPr="00E050AF" w:rsidRDefault="00AB43EA" w:rsidP="000617A8">
            <w:pPr>
              <w:pStyle w:val="TableText"/>
              <w:numPr>
                <w:ilvl w:val="0"/>
                <w:numId w:val="19"/>
              </w:numPr>
            </w:pPr>
            <w:r w:rsidRPr="00E050AF">
              <w:t>60%</w:t>
            </w:r>
            <w:r w:rsidR="00E33518" w:rsidRPr="00E050AF">
              <w:t xml:space="preserve">, 25.3% </w:t>
            </w:r>
            <w:r w:rsidR="00CF529A" w:rsidRPr="00E050AF">
              <w:rPr>
                <w:i/>
                <w:iCs/>
              </w:rPr>
              <w:t>BRCA</w:t>
            </w:r>
            <w:r w:rsidR="00E33518" w:rsidRPr="00E050AF">
              <w:t>m</w:t>
            </w:r>
          </w:p>
        </w:tc>
        <w:tc>
          <w:tcPr>
            <w:tcW w:w="662" w:type="pct"/>
            <w:tcBorders>
              <w:top w:val="single" w:sz="4" w:space="0" w:color="auto"/>
              <w:left w:val="single" w:sz="4" w:space="0" w:color="auto"/>
              <w:bottom w:val="single" w:sz="4" w:space="0" w:color="auto"/>
              <w:right w:val="single" w:sz="4" w:space="0" w:color="auto"/>
            </w:tcBorders>
            <w:vAlign w:val="center"/>
          </w:tcPr>
          <w:p w14:paraId="75CB1A85"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0BC55B94" w14:textId="2C5417B4"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79"/>
                <w14:textFill>
                  <w14:solidFill>
                    <w14:srgbClr w14:val="000000">
                      <w14:alpha w14:val="100000"/>
                    </w14:srgbClr>
                  </w14:solidFill>
                </w14:textFill>
              </w:rPr>
              <w:t xml:space="preserve">　</w:t>
            </w:r>
            <w:r w:rsidR="00602B47" w:rsidRPr="00602B47">
              <w:rPr>
                <w:color w:val="000000"/>
                <w:w w:val="24"/>
                <w:shd w:val="solid" w:color="000000" w:fill="000000"/>
                <w:fitText w:val="108" w:id="-1435752179"/>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79"/>
                <w14:textFill>
                  <w14:solidFill>
                    <w14:srgbClr w14:val="000000">
                      <w14:alpha w14:val="100000"/>
                    </w14:srgbClr>
                  </w14:solidFill>
                </w14:textFill>
              </w:rPr>
              <w:t xml:space="preserve">　</w:t>
            </w:r>
          </w:p>
          <w:p w14:paraId="2D56E89A" w14:textId="0CE3649C"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78"/>
                <w14:textFill>
                  <w14:solidFill>
                    <w14:srgbClr w14:val="000000">
                      <w14:alpha w14:val="100000"/>
                    </w14:srgbClr>
                  </w14:solidFill>
                </w14:textFill>
              </w:rPr>
              <w:t xml:space="preserve">　</w:t>
            </w:r>
            <w:r w:rsidR="00602B47" w:rsidRPr="00602B47">
              <w:rPr>
                <w:color w:val="000000"/>
                <w:w w:val="24"/>
                <w:shd w:val="solid" w:color="000000" w:fill="000000"/>
                <w:fitText w:val="108" w:id="-1435752178"/>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78"/>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7A261962"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22A8C2B5"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0.2747</w:t>
            </w:r>
          </w:p>
          <w:p w14:paraId="3F426834"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0.6485</w:t>
            </w:r>
          </w:p>
        </w:tc>
        <w:tc>
          <w:tcPr>
            <w:tcW w:w="723" w:type="pct"/>
            <w:tcBorders>
              <w:top w:val="single" w:sz="4" w:space="0" w:color="auto"/>
              <w:left w:val="single" w:sz="4" w:space="0" w:color="auto"/>
              <w:bottom w:val="single" w:sz="4" w:space="0" w:color="auto"/>
              <w:right w:val="single" w:sz="4" w:space="0" w:color="auto"/>
            </w:tcBorders>
            <w:vAlign w:val="center"/>
          </w:tcPr>
          <w:p w14:paraId="71A4738C"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4CF1A7D6" w14:textId="156E26CF"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77"/>
                <w14:textFill>
                  <w14:solidFill>
                    <w14:srgbClr w14:val="000000">
                      <w14:alpha w14:val="100000"/>
                    </w14:srgbClr>
                  </w14:solidFill>
                </w14:textFill>
              </w:rPr>
              <w:t xml:space="preserve">　</w:t>
            </w:r>
            <w:r w:rsidR="00602B47" w:rsidRPr="00602B47">
              <w:rPr>
                <w:color w:val="000000"/>
                <w:w w:val="17"/>
                <w:shd w:val="solid" w:color="000000" w:fill="000000"/>
                <w:fitText w:val="77" w:id="-1435752177"/>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77"/>
                <w14:textFill>
                  <w14:solidFill>
                    <w14:srgbClr w14:val="000000">
                      <w14:alpha w14:val="100000"/>
                    </w14:srgbClr>
                  </w14:solidFill>
                </w14:textFill>
              </w:rPr>
              <w:t xml:space="preserve">　</w:t>
            </w:r>
            <w:r w:rsidR="0090640F">
              <w:rPr>
                <w:b/>
                <w:bCs/>
                <w:vertAlign w:val="superscript"/>
              </w:rPr>
              <w:t>2</w:t>
            </w:r>
          </w:p>
          <w:p w14:paraId="6DC09ED2" w14:textId="06113713"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76"/>
                <w14:textFill>
                  <w14:solidFill>
                    <w14:srgbClr w14:val="000000">
                      <w14:alpha w14:val="100000"/>
                    </w14:srgbClr>
                  </w14:solidFill>
                </w14:textFill>
              </w:rPr>
              <w:t xml:space="preserve">　</w:t>
            </w:r>
            <w:r w:rsidR="00602B47" w:rsidRPr="00602B47">
              <w:rPr>
                <w:color w:val="000000"/>
                <w:w w:val="17"/>
                <w:shd w:val="solid" w:color="000000" w:fill="000000"/>
                <w:fitText w:val="77" w:id="-1435752176"/>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76"/>
                <w14:textFill>
                  <w14:solidFill>
                    <w14:srgbClr w14:val="000000">
                      <w14:alpha w14:val="100000"/>
                    </w14:srgbClr>
                  </w14:solidFill>
                </w14:textFill>
              </w:rPr>
              <w:t xml:space="preserve">　</w:t>
            </w:r>
            <w:r w:rsidR="0090640F">
              <w:rPr>
                <w:b/>
                <w:bCs/>
                <w:vertAlign w:val="superscript"/>
              </w:rPr>
              <w:t>1</w:t>
            </w:r>
          </w:p>
        </w:tc>
        <w:tc>
          <w:tcPr>
            <w:tcW w:w="707" w:type="pct"/>
            <w:tcBorders>
              <w:top w:val="single" w:sz="4" w:space="0" w:color="auto"/>
              <w:left w:val="single" w:sz="4" w:space="0" w:color="auto"/>
              <w:bottom w:val="single" w:sz="4" w:space="0" w:color="auto"/>
              <w:right w:val="single" w:sz="4" w:space="0" w:color="auto"/>
            </w:tcBorders>
            <w:vAlign w:val="center"/>
          </w:tcPr>
          <w:p w14:paraId="1199D594"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5A348D6"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+12.55%</w:t>
            </w:r>
          </w:p>
          <w:p w14:paraId="742E0AD0"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-5.23%</w:t>
            </w:r>
          </w:p>
        </w:tc>
      </w:tr>
      <w:tr w:rsidR="00E33518" w:rsidRPr="00E050AF" w14:paraId="3FA2E4A6"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702EBDBB" w14:textId="77777777" w:rsidR="00E33518" w:rsidRPr="00E050AF" w:rsidRDefault="00E33518" w:rsidP="000617A8">
            <w:pPr>
              <w:pStyle w:val="TableText"/>
            </w:pPr>
            <w:r w:rsidRPr="00E050AF">
              <w:t>Cure fraction for branch P1 (base case = 38.57%)</w:t>
            </w:r>
          </w:p>
          <w:p w14:paraId="4C31A94B" w14:textId="77777777" w:rsidR="00E33518" w:rsidRPr="00E050AF" w:rsidRDefault="00E33518" w:rsidP="000617A8">
            <w:pPr>
              <w:pStyle w:val="TableText"/>
              <w:numPr>
                <w:ilvl w:val="0"/>
                <w:numId w:val="14"/>
              </w:numPr>
            </w:pPr>
            <w:r w:rsidRPr="00E050AF">
              <w:t>30%</w:t>
            </w:r>
          </w:p>
          <w:p w14:paraId="28386D8D" w14:textId="77777777" w:rsidR="00E33518" w:rsidRPr="00E050AF" w:rsidRDefault="00E33518" w:rsidP="000617A8">
            <w:pPr>
              <w:pStyle w:val="TableText"/>
              <w:numPr>
                <w:ilvl w:val="0"/>
                <w:numId w:val="14"/>
              </w:numPr>
            </w:pPr>
            <w:r w:rsidRPr="00E050AF">
              <w:t>25.45% (as for July 2020 olaparib)</w:t>
            </w:r>
          </w:p>
          <w:p w14:paraId="533B3E18" w14:textId="17CF82C2" w:rsidR="00E33518" w:rsidRPr="00E050AF" w:rsidRDefault="00E33518" w:rsidP="000617A8">
            <w:pPr>
              <w:pStyle w:val="TableText"/>
              <w:numPr>
                <w:ilvl w:val="0"/>
                <w:numId w:val="20"/>
              </w:numPr>
            </w:pPr>
            <w:r w:rsidRPr="00E050AF">
              <w:t>20%</w:t>
            </w:r>
          </w:p>
        </w:tc>
        <w:tc>
          <w:tcPr>
            <w:tcW w:w="662" w:type="pct"/>
            <w:tcBorders>
              <w:top w:val="single" w:sz="4" w:space="0" w:color="auto"/>
              <w:left w:val="single" w:sz="4" w:space="0" w:color="auto"/>
              <w:bottom w:val="single" w:sz="4" w:space="0" w:color="auto"/>
              <w:right w:val="single" w:sz="4" w:space="0" w:color="auto"/>
            </w:tcBorders>
            <w:vAlign w:val="center"/>
          </w:tcPr>
          <w:p w14:paraId="0E8610B2" w14:textId="77777777"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483B4113" w14:textId="6C8AD82C"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92"/>
                <w14:textFill>
                  <w14:solidFill>
                    <w14:srgbClr w14:val="000000">
                      <w14:alpha w14:val="100000"/>
                    </w14:srgbClr>
                  </w14:solidFill>
                </w14:textFill>
              </w:rPr>
              <w:t xml:space="preserve">　</w:t>
            </w:r>
            <w:r w:rsidR="00602B47" w:rsidRPr="00602B47">
              <w:rPr>
                <w:color w:val="000000"/>
                <w:w w:val="24"/>
                <w:shd w:val="solid" w:color="000000" w:fill="000000"/>
                <w:fitText w:val="108" w:id="-1435752192"/>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92"/>
                <w14:textFill>
                  <w14:solidFill>
                    <w14:srgbClr w14:val="000000">
                      <w14:alpha w14:val="100000"/>
                    </w14:srgbClr>
                  </w14:solidFill>
                </w14:textFill>
              </w:rPr>
              <w:t xml:space="preserve">　</w:t>
            </w:r>
          </w:p>
          <w:p w14:paraId="243C4986" w14:textId="388C1DCE"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91"/>
                <w14:textFill>
                  <w14:solidFill>
                    <w14:srgbClr w14:val="000000">
                      <w14:alpha w14:val="100000"/>
                    </w14:srgbClr>
                  </w14:solidFill>
                </w14:textFill>
              </w:rPr>
              <w:t xml:space="preserve">　</w:t>
            </w:r>
            <w:r w:rsidR="00602B47" w:rsidRPr="00602B47">
              <w:rPr>
                <w:color w:val="000000"/>
                <w:w w:val="24"/>
                <w:shd w:val="solid" w:color="000000" w:fill="000000"/>
                <w:fitText w:val="108" w:id="-1435752191"/>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91"/>
                <w14:textFill>
                  <w14:solidFill>
                    <w14:srgbClr w14:val="000000">
                      <w14:alpha w14:val="100000"/>
                    </w14:srgbClr>
                  </w14:solidFill>
                </w14:textFill>
              </w:rPr>
              <w:t xml:space="preserve">　</w:t>
            </w:r>
          </w:p>
          <w:p w14:paraId="600095BA" w14:textId="5508FFB6"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90"/>
                <w14:textFill>
                  <w14:solidFill>
                    <w14:srgbClr w14:val="000000">
                      <w14:alpha w14:val="100000"/>
                    </w14:srgbClr>
                  </w14:solidFill>
                </w14:textFill>
              </w:rPr>
              <w:t xml:space="preserve">　</w:t>
            </w:r>
            <w:r w:rsidR="00602B47" w:rsidRPr="00602B47">
              <w:rPr>
                <w:color w:val="000000"/>
                <w:w w:val="24"/>
                <w:shd w:val="solid" w:color="000000" w:fill="000000"/>
                <w:fitText w:val="108" w:id="-1435752190"/>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90"/>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3983397B" w14:textId="77777777"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7A41072F" w14:textId="77777777"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0.3500</w:t>
            </w:r>
          </w:p>
          <w:p w14:paraId="2BBD9EAC" w14:textId="77777777"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0.2928</w:t>
            </w:r>
          </w:p>
          <w:p w14:paraId="1896BD39" w14:textId="247CE50F"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0.2262</w:t>
            </w:r>
          </w:p>
        </w:tc>
        <w:tc>
          <w:tcPr>
            <w:tcW w:w="723" w:type="pct"/>
            <w:tcBorders>
              <w:top w:val="single" w:sz="4" w:space="0" w:color="auto"/>
              <w:left w:val="single" w:sz="4" w:space="0" w:color="auto"/>
              <w:bottom w:val="single" w:sz="4" w:space="0" w:color="auto"/>
              <w:right w:val="single" w:sz="4" w:space="0" w:color="auto"/>
            </w:tcBorders>
            <w:vAlign w:val="center"/>
          </w:tcPr>
          <w:p w14:paraId="5E772396" w14:textId="77777777"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1B9D1932" w14:textId="413BD212"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9"/>
                <w14:textFill>
                  <w14:solidFill>
                    <w14:srgbClr w14:val="000000">
                      <w14:alpha w14:val="100000"/>
                    </w14:srgbClr>
                  </w14:solidFill>
                </w14:textFill>
              </w:rPr>
              <w:t xml:space="preserve">　</w:t>
            </w:r>
            <w:r w:rsidR="00602B47" w:rsidRPr="00602B47">
              <w:rPr>
                <w:color w:val="000000"/>
                <w:w w:val="17"/>
                <w:shd w:val="solid" w:color="000000" w:fill="000000"/>
                <w:fitText w:val="77" w:id="-1435752189"/>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9"/>
                <w14:textFill>
                  <w14:solidFill>
                    <w14:srgbClr w14:val="000000">
                      <w14:alpha w14:val="100000"/>
                    </w14:srgbClr>
                  </w14:solidFill>
                </w14:textFill>
              </w:rPr>
              <w:t xml:space="preserve">　</w:t>
            </w:r>
            <w:r w:rsidR="00711FC3">
              <w:rPr>
                <w:b/>
                <w:bCs/>
                <w:vertAlign w:val="superscript"/>
              </w:rPr>
              <w:t>2</w:t>
            </w:r>
          </w:p>
          <w:p w14:paraId="74DC559F" w14:textId="7F10CFE5"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8"/>
                <w14:textFill>
                  <w14:solidFill>
                    <w14:srgbClr w14:val="000000">
                      <w14:alpha w14:val="100000"/>
                    </w14:srgbClr>
                  </w14:solidFill>
                </w14:textFill>
              </w:rPr>
              <w:t xml:space="preserve">　</w:t>
            </w:r>
            <w:r w:rsidR="00602B47" w:rsidRPr="00602B47">
              <w:rPr>
                <w:color w:val="000000"/>
                <w:w w:val="17"/>
                <w:shd w:val="solid" w:color="000000" w:fill="000000"/>
                <w:fitText w:val="77" w:id="-1435752188"/>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8"/>
                <w14:textFill>
                  <w14:solidFill>
                    <w14:srgbClr w14:val="000000">
                      <w14:alpha w14:val="100000"/>
                    </w14:srgbClr>
                  </w14:solidFill>
                </w14:textFill>
              </w:rPr>
              <w:t xml:space="preserve">　</w:t>
            </w:r>
            <w:r w:rsidR="00711FC3">
              <w:rPr>
                <w:b/>
                <w:bCs/>
                <w:vertAlign w:val="superscript"/>
              </w:rPr>
              <w:t>4</w:t>
            </w:r>
          </w:p>
          <w:p w14:paraId="43CD8E18" w14:textId="128A3EB0"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7"/>
                <w14:textFill>
                  <w14:solidFill>
                    <w14:srgbClr w14:val="000000">
                      <w14:alpha w14:val="100000"/>
                    </w14:srgbClr>
                  </w14:solidFill>
                </w14:textFill>
              </w:rPr>
              <w:t xml:space="preserve">　</w:t>
            </w:r>
            <w:r w:rsidR="00602B47" w:rsidRPr="00602B47">
              <w:rPr>
                <w:color w:val="000000"/>
                <w:w w:val="17"/>
                <w:shd w:val="solid" w:color="000000" w:fill="000000"/>
                <w:fitText w:val="77" w:id="-1435752187"/>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7"/>
                <w14:textFill>
                  <w14:solidFill>
                    <w14:srgbClr w14:val="000000">
                      <w14:alpha w14:val="100000"/>
                    </w14:srgbClr>
                  </w14:solidFill>
                </w14:textFill>
              </w:rPr>
              <w:t xml:space="preserve">　</w:t>
            </w:r>
            <w:r w:rsidR="00711FC3">
              <w:rPr>
                <w:b/>
                <w:bCs/>
                <w:vertAlign w:val="superscript"/>
              </w:rPr>
              <w:t>5</w:t>
            </w:r>
          </w:p>
        </w:tc>
        <w:tc>
          <w:tcPr>
            <w:tcW w:w="707" w:type="pct"/>
            <w:tcBorders>
              <w:top w:val="single" w:sz="4" w:space="0" w:color="auto"/>
              <w:left w:val="single" w:sz="4" w:space="0" w:color="auto"/>
              <w:bottom w:val="single" w:sz="4" w:space="0" w:color="auto"/>
              <w:right w:val="single" w:sz="4" w:space="0" w:color="auto"/>
            </w:tcBorders>
            <w:vAlign w:val="center"/>
          </w:tcPr>
          <w:p w14:paraId="327B2519" w14:textId="77777777"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394B0C2B" w14:textId="77777777"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+33.67%</w:t>
            </w:r>
          </w:p>
          <w:p w14:paraId="0F1EB088" w14:textId="475EE1EB"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+6</w:t>
            </w:r>
            <w:r w:rsidR="00803096" w:rsidRPr="00E050AF">
              <w:t>0.86</w:t>
            </w:r>
            <w:r w:rsidRPr="00E050AF">
              <w:t>%</w:t>
            </w:r>
          </w:p>
          <w:p w14:paraId="7AEF0BC1" w14:textId="2766FBE4" w:rsidR="00E33518" w:rsidRPr="00E050AF" w:rsidRDefault="00E33518"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+109.88%</w:t>
            </w:r>
          </w:p>
        </w:tc>
      </w:tr>
      <w:tr w:rsidR="00AB43EA" w:rsidRPr="00E050AF" w14:paraId="4B808B63"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160D8CA6" w14:textId="77777777" w:rsidR="00E33518" w:rsidRPr="00E050AF" w:rsidRDefault="00E33518" w:rsidP="000617A8">
            <w:pPr>
              <w:pStyle w:val="TableText"/>
              <w:keepNext/>
              <w:keepLines/>
            </w:pPr>
            <w:r w:rsidRPr="00E050AF">
              <w:t>Cure fraction for branches P2 (base case 6.63%), P3, P4 and C2 (base case = 0.96 × P2)</w:t>
            </w:r>
          </w:p>
          <w:p w14:paraId="64740BF1" w14:textId="77777777" w:rsidR="00AB43EA" w:rsidRPr="00E050AF" w:rsidRDefault="00AB43EA" w:rsidP="000617A8">
            <w:pPr>
              <w:pStyle w:val="TableText"/>
              <w:numPr>
                <w:ilvl w:val="0"/>
                <w:numId w:val="21"/>
              </w:numPr>
            </w:pPr>
            <w:r w:rsidRPr="00E050AF">
              <w:t>5%</w:t>
            </w:r>
          </w:p>
          <w:p w14:paraId="52FB0DEB" w14:textId="77777777" w:rsidR="00AB43EA" w:rsidRPr="00E050AF" w:rsidRDefault="00AB43EA" w:rsidP="000617A8">
            <w:pPr>
              <w:pStyle w:val="TableText"/>
              <w:numPr>
                <w:ilvl w:val="0"/>
                <w:numId w:val="21"/>
              </w:numPr>
            </w:pPr>
            <w:r w:rsidRPr="00E050AF">
              <w:t>10%</w:t>
            </w:r>
          </w:p>
          <w:p w14:paraId="0451C365" w14:textId="77777777" w:rsidR="00AB43EA" w:rsidRPr="00E050AF" w:rsidRDefault="00AB43EA" w:rsidP="000617A8">
            <w:pPr>
              <w:pStyle w:val="TableText"/>
              <w:numPr>
                <w:ilvl w:val="0"/>
                <w:numId w:val="21"/>
              </w:numPr>
            </w:pPr>
            <w:r w:rsidRPr="00E050AF">
              <w:t>15%</w:t>
            </w:r>
          </w:p>
        </w:tc>
        <w:tc>
          <w:tcPr>
            <w:tcW w:w="662" w:type="pct"/>
            <w:tcBorders>
              <w:top w:val="single" w:sz="4" w:space="0" w:color="auto"/>
              <w:left w:val="single" w:sz="4" w:space="0" w:color="auto"/>
              <w:bottom w:val="single" w:sz="4" w:space="0" w:color="auto"/>
              <w:right w:val="single" w:sz="4" w:space="0" w:color="auto"/>
            </w:tcBorders>
            <w:vAlign w:val="center"/>
          </w:tcPr>
          <w:p w14:paraId="4FC1B70F"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5988B39"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821DC34" w14:textId="0363F76A"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6"/>
                <w14:textFill>
                  <w14:solidFill>
                    <w14:srgbClr w14:val="000000">
                      <w14:alpha w14:val="100000"/>
                    </w14:srgbClr>
                  </w14:solidFill>
                </w14:textFill>
              </w:rPr>
              <w:t xml:space="preserve">　</w:t>
            </w:r>
            <w:r w:rsidR="00602B47" w:rsidRPr="00602B47">
              <w:rPr>
                <w:color w:val="000000"/>
                <w:w w:val="24"/>
                <w:shd w:val="solid" w:color="000000" w:fill="000000"/>
                <w:fitText w:val="108" w:id="-1435752186"/>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6"/>
                <w14:textFill>
                  <w14:solidFill>
                    <w14:srgbClr w14:val="000000">
                      <w14:alpha w14:val="100000"/>
                    </w14:srgbClr>
                  </w14:solidFill>
                </w14:textFill>
              </w:rPr>
              <w:t xml:space="preserve">　</w:t>
            </w:r>
          </w:p>
          <w:p w14:paraId="26099035" w14:textId="3BA64932"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5"/>
                <w14:textFill>
                  <w14:solidFill>
                    <w14:srgbClr w14:val="000000">
                      <w14:alpha w14:val="100000"/>
                    </w14:srgbClr>
                  </w14:solidFill>
                </w14:textFill>
              </w:rPr>
              <w:t xml:space="preserve">　</w:t>
            </w:r>
            <w:r w:rsidR="00602B47" w:rsidRPr="00602B47">
              <w:rPr>
                <w:color w:val="000000"/>
                <w:w w:val="24"/>
                <w:shd w:val="solid" w:color="000000" w:fill="000000"/>
                <w:fitText w:val="108" w:id="-1435752185"/>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5"/>
                <w14:textFill>
                  <w14:solidFill>
                    <w14:srgbClr w14:val="000000">
                      <w14:alpha w14:val="100000"/>
                    </w14:srgbClr>
                  </w14:solidFill>
                </w14:textFill>
              </w:rPr>
              <w:t xml:space="preserve">　</w:t>
            </w:r>
          </w:p>
          <w:p w14:paraId="57EE0882" w14:textId="3ECA9D39"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4"/>
                <w14:textFill>
                  <w14:solidFill>
                    <w14:srgbClr w14:val="000000">
                      <w14:alpha w14:val="100000"/>
                    </w14:srgbClr>
                  </w14:solidFill>
                </w14:textFill>
              </w:rPr>
              <w:t xml:space="preserve">　</w:t>
            </w:r>
            <w:r w:rsidR="00602B47" w:rsidRPr="00602B47">
              <w:rPr>
                <w:color w:val="000000"/>
                <w:w w:val="24"/>
                <w:shd w:val="solid" w:color="000000" w:fill="000000"/>
                <w:fitText w:val="108" w:id="-1435752184"/>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4"/>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61C95976"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0479F5D6"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5D8D0C8"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0.4777</w:t>
            </w:r>
          </w:p>
          <w:p w14:paraId="79CE71C7"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0.4188</w:t>
            </w:r>
          </w:p>
          <w:p w14:paraId="7FEFD96C"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0.3583</w:t>
            </w:r>
          </w:p>
        </w:tc>
        <w:tc>
          <w:tcPr>
            <w:tcW w:w="723" w:type="pct"/>
            <w:tcBorders>
              <w:top w:val="single" w:sz="4" w:space="0" w:color="auto"/>
              <w:left w:val="single" w:sz="4" w:space="0" w:color="auto"/>
              <w:bottom w:val="single" w:sz="4" w:space="0" w:color="auto"/>
              <w:right w:val="single" w:sz="4" w:space="0" w:color="auto"/>
            </w:tcBorders>
            <w:vAlign w:val="center"/>
          </w:tcPr>
          <w:p w14:paraId="2F75076F"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37AB0943"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378F244F" w14:textId="47A78DE3"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3"/>
                <w14:textFill>
                  <w14:solidFill>
                    <w14:srgbClr w14:val="000000">
                      <w14:alpha w14:val="100000"/>
                    </w14:srgbClr>
                  </w14:solidFill>
                </w14:textFill>
              </w:rPr>
              <w:t xml:space="preserve">　</w:t>
            </w:r>
            <w:r w:rsidR="00602B47" w:rsidRPr="00602B47">
              <w:rPr>
                <w:color w:val="000000"/>
                <w:w w:val="17"/>
                <w:shd w:val="solid" w:color="000000" w:fill="000000"/>
                <w:fitText w:val="77" w:id="-1435752183"/>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3"/>
                <w14:textFill>
                  <w14:solidFill>
                    <w14:srgbClr w14:val="000000">
                      <w14:alpha w14:val="100000"/>
                    </w14:srgbClr>
                  </w14:solidFill>
                </w14:textFill>
              </w:rPr>
              <w:t xml:space="preserve">　</w:t>
            </w:r>
            <w:r w:rsidR="0090640F">
              <w:rPr>
                <w:b/>
                <w:bCs/>
                <w:vertAlign w:val="superscript"/>
              </w:rPr>
              <w:t>1</w:t>
            </w:r>
          </w:p>
          <w:p w14:paraId="0970C3CB" w14:textId="59FA7CA0"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2"/>
                <w14:textFill>
                  <w14:solidFill>
                    <w14:srgbClr w14:val="000000">
                      <w14:alpha w14:val="100000"/>
                    </w14:srgbClr>
                  </w14:solidFill>
                </w14:textFill>
              </w:rPr>
              <w:t xml:space="preserve">　</w:t>
            </w:r>
            <w:r w:rsidR="00602B47" w:rsidRPr="00602B47">
              <w:rPr>
                <w:color w:val="000000"/>
                <w:w w:val="17"/>
                <w:shd w:val="solid" w:color="000000" w:fill="000000"/>
                <w:fitText w:val="77" w:id="-1435752182"/>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2"/>
                <w14:textFill>
                  <w14:solidFill>
                    <w14:srgbClr w14:val="000000">
                      <w14:alpha w14:val="100000"/>
                    </w14:srgbClr>
                  </w14:solidFill>
                </w14:textFill>
              </w:rPr>
              <w:t xml:space="preserve">　</w:t>
            </w:r>
            <w:r w:rsidR="0090640F">
              <w:rPr>
                <w:b/>
                <w:bCs/>
                <w:vertAlign w:val="superscript"/>
              </w:rPr>
              <w:t>2</w:t>
            </w:r>
          </w:p>
          <w:p w14:paraId="4613F519" w14:textId="0C123889"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1"/>
                <w14:textFill>
                  <w14:solidFill>
                    <w14:srgbClr w14:val="000000">
                      <w14:alpha w14:val="100000"/>
                    </w14:srgbClr>
                  </w14:solidFill>
                </w14:textFill>
              </w:rPr>
              <w:t xml:space="preserve">　</w:t>
            </w:r>
            <w:r w:rsidR="00602B47" w:rsidRPr="00602B47">
              <w:rPr>
                <w:color w:val="000000"/>
                <w:w w:val="17"/>
                <w:shd w:val="solid" w:color="000000" w:fill="000000"/>
                <w:fitText w:val="77" w:id="-1435752181"/>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1"/>
                <w14:textFill>
                  <w14:solidFill>
                    <w14:srgbClr w14:val="000000">
                      <w14:alpha w14:val="100000"/>
                    </w14:srgbClr>
                  </w14:solidFill>
                </w14:textFill>
              </w:rPr>
              <w:t xml:space="preserve">　</w:t>
            </w:r>
            <w:r w:rsidR="00711FC3">
              <w:rPr>
                <w:b/>
                <w:bCs/>
                <w:vertAlign w:val="superscript"/>
              </w:rPr>
              <w:t>2</w:t>
            </w:r>
          </w:p>
        </w:tc>
        <w:tc>
          <w:tcPr>
            <w:tcW w:w="707" w:type="pct"/>
            <w:tcBorders>
              <w:top w:val="single" w:sz="4" w:space="0" w:color="auto"/>
              <w:left w:val="single" w:sz="4" w:space="0" w:color="auto"/>
              <w:bottom w:val="single" w:sz="4" w:space="0" w:color="auto"/>
              <w:right w:val="single" w:sz="4" w:space="0" w:color="auto"/>
            </w:tcBorders>
            <w:vAlign w:val="center"/>
          </w:tcPr>
          <w:p w14:paraId="06AE9C53"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73AFC044"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386FDFAC"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-3.57%</w:t>
            </w:r>
          </w:p>
          <w:p w14:paraId="36E4A3C6"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+10.82%</w:t>
            </w:r>
          </w:p>
          <w:p w14:paraId="7C6BB80B"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+30.50%</w:t>
            </w:r>
          </w:p>
        </w:tc>
      </w:tr>
      <w:tr w:rsidR="00AB43EA" w:rsidRPr="00E050AF" w14:paraId="2E835687"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1D702584" w14:textId="3BA343BF" w:rsidR="00AB43EA" w:rsidRPr="00E050AF" w:rsidRDefault="00AB43EA" w:rsidP="000617A8">
            <w:pPr>
              <w:pStyle w:val="TableText"/>
            </w:pPr>
            <w:r w:rsidRPr="00E050AF">
              <w:t>Model used to extrapolate PFS for bevacizumab arm (base case = log logistic), while fixing P1 cure fraction at 20%</w:t>
            </w:r>
          </w:p>
          <w:p w14:paraId="725BF68B" w14:textId="77777777" w:rsidR="00AB43EA" w:rsidRPr="00E050AF" w:rsidRDefault="00AB43EA" w:rsidP="000617A8">
            <w:pPr>
              <w:pStyle w:val="TableText"/>
              <w:numPr>
                <w:ilvl w:val="0"/>
                <w:numId w:val="22"/>
              </w:numPr>
            </w:pPr>
            <w:r w:rsidRPr="00E050AF">
              <w:t>Log normal</w:t>
            </w:r>
          </w:p>
          <w:p w14:paraId="4D0E182C" w14:textId="77777777" w:rsidR="00AB43EA" w:rsidRPr="00E050AF" w:rsidRDefault="00AB43EA" w:rsidP="000617A8">
            <w:pPr>
              <w:pStyle w:val="TableText"/>
              <w:numPr>
                <w:ilvl w:val="0"/>
                <w:numId w:val="22"/>
              </w:numPr>
            </w:pPr>
            <w:r w:rsidRPr="00E050AF">
              <w:t>Generalised gamma</w:t>
            </w:r>
          </w:p>
          <w:p w14:paraId="30C23C8F" w14:textId="77777777" w:rsidR="00AB43EA" w:rsidRPr="00E050AF" w:rsidRDefault="00AB43EA" w:rsidP="000617A8">
            <w:pPr>
              <w:pStyle w:val="TableText"/>
              <w:numPr>
                <w:ilvl w:val="0"/>
                <w:numId w:val="22"/>
              </w:numPr>
            </w:pPr>
            <w:r w:rsidRPr="00E050AF">
              <w:t>Weibull</w:t>
            </w:r>
          </w:p>
        </w:tc>
        <w:tc>
          <w:tcPr>
            <w:tcW w:w="662" w:type="pct"/>
            <w:tcBorders>
              <w:top w:val="single" w:sz="4" w:space="0" w:color="auto"/>
              <w:left w:val="single" w:sz="4" w:space="0" w:color="auto"/>
              <w:bottom w:val="single" w:sz="4" w:space="0" w:color="auto"/>
              <w:right w:val="single" w:sz="4" w:space="0" w:color="auto"/>
            </w:tcBorders>
            <w:vAlign w:val="center"/>
          </w:tcPr>
          <w:p w14:paraId="2699F4FF"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7B589334"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1014376B"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729EAB5B" w14:textId="58D9D01E"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0"/>
                <w14:textFill>
                  <w14:solidFill>
                    <w14:srgbClr w14:val="000000">
                      <w14:alpha w14:val="100000"/>
                    </w14:srgbClr>
                  </w14:solidFill>
                </w14:textFill>
              </w:rPr>
              <w:t xml:space="preserve">　</w:t>
            </w:r>
            <w:r w:rsidR="00602B47" w:rsidRPr="00602B47">
              <w:rPr>
                <w:color w:val="000000"/>
                <w:w w:val="24"/>
                <w:shd w:val="solid" w:color="000000" w:fill="000000"/>
                <w:fitText w:val="108" w:id="-1435752180"/>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0"/>
                <w14:textFill>
                  <w14:solidFill>
                    <w14:srgbClr w14:val="000000">
                      <w14:alpha w14:val="100000"/>
                    </w14:srgbClr>
                  </w14:solidFill>
                </w14:textFill>
              </w:rPr>
              <w:t xml:space="preserve">　</w:t>
            </w:r>
          </w:p>
          <w:p w14:paraId="4C20B7B2" w14:textId="6A454BA6"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79"/>
                <w14:textFill>
                  <w14:solidFill>
                    <w14:srgbClr w14:val="000000">
                      <w14:alpha w14:val="100000"/>
                    </w14:srgbClr>
                  </w14:solidFill>
                </w14:textFill>
              </w:rPr>
              <w:t xml:space="preserve">　</w:t>
            </w:r>
            <w:r w:rsidR="00602B47" w:rsidRPr="00602B47">
              <w:rPr>
                <w:color w:val="000000"/>
                <w:w w:val="24"/>
                <w:shd w:val="solid" w:color="000000" w:fill="000000"/>
                <w:fitText w:val="108" w:id="-1435752179"/>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79"/>
                <w14:textFill>
                  <w14:solidFill>
                    <w14:srgbClr w14:val="000000">
                      <w14:alpha w14:val="100000"/>
                    </w14:srgbClr>
                  </w14:solidFill>
                </w14:textFill>
              </w:rPr>
              <w:t xml:space="preserve">　</w:t>
            </w:r>
          </w:p>
          <w:p w14:paraId="1E340866" w14:textId="6F0E0E6F"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78"/>
                <w14:textFill>
                  <w14:solidFill>
                    <w14:srgbClr w14:val="000000">
                      <w14:alpha w14:val="100000"/>
                    </w14:srgbClr>
                  </w14:solidFill>
                </w14:textFill>
              </w:rPr>
              <w:t xml:space="preserve">　</w:t>
            </w:r>
            <w:r w:rsidR="00602B47" w:rsidRPr="00602B47">
              <w:rPr>
                <w:color w:val="000000"/>
                <w:w w:val="24"/>
                <w:shd w:val="solid" w:color="000000" w:fill="000000"/>
                <w:fitText w:val="108" w:id="-1435752178"/>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78"/>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4D32F7A3"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3753061A"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071DDDC7"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1FD1D5F7"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0.2505</w:t>
            </w:r>
          </w:p>
          <w:p w14:paraId="500A20D3"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0.1202</w:t>
            </w:r>
          </w:p>
          <w:p w14:paraId="2F9A0C0E"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0.1217</w:t>
            </w:r>
          </w:p>
        </w:tc>
        <w:tc>
          <w:tcPr>
            <w:tcW w:w="723" w:type="pct"/>
            <w:tcBorders>
              <w:top w:val="single" w:sz="4" w:space="0" w:color="auto"/>
              <w:left w:val="single" w:sz="4" w:space="0" w:color="auto"/>
              <w:bottom w:val="single" w:sz="4" w:space="0" w:color="auto"/>
              <w:right w:val="single" w:sz="4" w:space="0" w:color="auto"/>
            </w:tcBorders>
            <w:vAlign w:val="center"/>
          </w:tcPr>
          <w:p w14:paraId="43CD40EA"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344023F4"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1BB02468"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4F715850" w14:textId="2F29387C"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77"/>
                <w14:textFill>
                  <w14:solidFill>
                    <w14:srgbClr w14:val="000000">
                      <w14:alpha w14:val="100000"/>
                    </w14:srgbClr>
                  </w14:solidFill>
                </w14:textFill>
              </w:rPr>
              <w:t xml:space="preserve">　</w:t>
            </w:r>
            <w:r w:rsidR="00602B47" w:rsidRPr="00602B47">
              <w:rPr>
                <w:color w:val="000000"/>
                <w:w w:val="17"/>
                <w:shd w:val="solid" w:color="000000" w:fill="000000"/>
                <w:fitText w:val="77" w:id="-1435752177"/>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77"/>
                <w14:textFill>
                  <w14:solidFill>
                    <w14:srgbClr w14:val="000000">
                      <w14:alpha w14:val="100000"/>
                    </w14:srgbClr>
                  </w14:solidFill>
                </w14:textFill>
              </w:rPr>
              <w:t xml:space="preserve">　</w:t>
            </w:r>
            <w:r w:rsidR="00711FC3">
              <w:rPr>
                <w:b/>
                <w:bCs/>
                <w:vertAlign w:val="superscript"/>
              </w:rPr>
              <w:t>4</w:t>
            </w:r>
          </w:p>
          <w:p w14:paraId="4A55C72F" w14:textId="1D7D0441"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76"/>
                <w14:textFill>
                  <w14:solidFill>
                    <w14:srgbClr w14:val="000000">
                      <w14:alpha w14:val="100000"/>
                    </w14:srgbClr>
                  </w14:solidFill>
                </w14:textFill>
              </w:rPr>
              <w:t xml:space="preserve">　</w:t>
            </w:r>
            <w:r w:rsidR="00602B47" w:rsidRPr="00602B47">
              <w:rPr>
                <w:color w:val="000000"/>
                <w:w w:val="17"/>
                <w:shd w:val="solid" w:color="000000" w:fill="000000"/>
                <w:fitText w:val="77" w:id="-1435752176"/>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76"/>
                <w14:textFill>
                  <w14:solidFill>
                    <w14:srgbClr w14:val="000000">
                      <w14:alpha w14:val="100000"/>
                    </w14:srgbClr>
                  </w14:solidFill>
                </w14:textFill>
              </w:rPr>
              <w:t xml:space="preserve">　</w:t>
            </w:r>
            <w:r w:rsidR="00711FC3">
              <w:rPr>
                <w:b/>
                <w:bCs/>
                <w:vertAlign w:val="superscript"/>
              </w:rPr>
              <w:t>6</w:t>
            </w:r>
          </w:p>
          <w:p w14:paraId="57C732E9" w14:textId="4E47862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92"/>
                <w14:textFill>
                  <w14:solidFill>
                    <w14:srgbClr w14:val="000000">
                      <w14:alpha w14:val="100000"/>
                    </w14:srgbClr>
                  </w14:solidFill>
                </w14:textFill>
              </w:rPr>
              <w:t xml:space="preserve">　</w:t>
            </w:r>
            <w:r w:rsidR="00602B47" w:rsidRPr="00602B47">
              <w:rPr>
                <w:color w:val="000000"/>
                <w:w w:val="17"/>
                <w:shd w:val="solid" w:color="000000" w:fill="000000"/>
                <w:fitText w:val="77" w:id="-1435752192"/>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92"/>
                <w14:textFill>
                  <w14:solidFill>
                    <w14:srgbClr w14:val="000000">
                      <w14:alpha w14:val="100000"/>
                    </w14:srgbClr>
                  </w14:solidFill>
                </w14:textFill>
              </w:rPr>
              <w:t xml:space="preserve">　</w:t>
            </w:r>
            <w:r w:rsidR="00711FC3">
              <w:rPr>
                <w:b/>
                <w:bCs/>
                <w:vertAlign w:val="superscript"/>
              </w:rPr>
              <w:t>6</w:t>
            </w:r>
          </w:p>
        </w:tc>
        <w:tc>
          <w:tcPr>
            <w:tcW w:w="707" w:type="pct"/>
            <w:tcBorders>
              <w:top w:val="single" w:sz="4" w:space="0" w:color="auto"/>
              <w:left w:val="single" w:sz="4" w:space="0" w:color="auto"/>
              <w:bottom w:val="single" w:sz="4" w:space="0" w:color="auto"/>
              <w:right w:val="single" w:sz="4" w:space="0" w:color="auto"/>
            </w:tcBorders>
            <w:vAlign w:val="center"/>
          </w:tcPr>
          <w:p w14:paraId="0FF8F083"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C2F793A"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244A8348"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99B397F"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+89.02%</w:t>
            </w:r>
          </w:p>
          <w:p w14:paraId="32F99CE5"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+300.14</w:t>
            </w:r>
          </w:p>
          <w:p w14:paraId="2D04DC47"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+295.20</w:t>
            </w:r>
          </w:p>
        </w:tc>
      </w:tr>
      <w:tr w:rsidR="00AB43EA" w:rsidRPr="00E050AF" w14:paraId="24D78C42"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1110C46F" w14:textId="2EC8EA71" w:rsidR="00AB43EA" w:rsidRPr="00E050AF" w:rsidRDefault="00A038C6" w:rsidP="000617A8">
            <w:pPr>
              <w:pStyle w:val="TableText"/>
            </w:pPr>
            <w:r w:rsidRPr="00E050AF">
              <w:t>HRD test s</w:t>
            </w:r>
            <w:r w:rsidR="00AB43EA" w:rsidRPr="00E050AF">
              <w:t>ensitivity and specificity (base case 95% sensitivity and 95% specificity)</w:t>
            </w:r>
          </w:p>
          <w:p w14:paraId="4B4C9BB5" w14:textId="77777777" w:rsidR="00AB43EA" w:rsidRPr="00E050AF" w:rsidRDefault="00AB43EA" w:rsidP="000617A8">
            <w:pPr>
              <w:pStyle w:val="TableText"/>
              <w:numPr>
                <w:ilvl w:val="0"/>
                <w:numId w:val="24"/>
              </w:numPr>
            </w:pPr>
            <w:r w:rsidRPr="00E050AF">
              <w:t>Lowest estimate of diagnostic accuracy (86% for sensitivity and 94% for specificity)</w:t>
            </w:r>
          </w:p>
          <w:p w14:paraId="54FE503C" w14:textId="77777777" w:rsidR="00AB43EA" w:rsidRPr="00E050AF" w:rsidRDefault="00AB43EA" w:rsidP="000617A8">
            <w:pPr>
              <w:pStyle w:val="TableText"/>
              <w:numPr>
                <w:ilvl w:val="0"/>
                <w:numId w:val="24"/>
              </w:numPr>
            </w:pPr>
            <w:r w:rsidRPr="00E050AF">
              <w:t>Highest estimate of diagnostic accuracy (98.5% for sensitivity and 97.4% for specificity)</w:t>
            </w:r>
          </w:p>
        </w:tc>
        <w:tc>
          <w:tcPr>
            <w:tcW w:w="662" w:type="pct"/>
            <w:tcBorders>
              <w:top w:val="single" w:sz="4" w:space="0" w:color="auto"/>
              <w:left w:val="single" w:sz="4" w:space="0" w:color="auto"/>
              <w:bottom w:val="single" w:sz="4" w:space="0" w:color="auto"/>
              <w:right w:val="single" w:sz="4" w:space="0" w:color="auto"/>
            </w:tcBorders>
            <w:vAlign w:val="center"/>
          </w:tcPr>
          <w:p w14:paraId="3B58F3B3"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E89F510"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6D8B5B40" w14:textId="7AF364DD"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91"/>
                <w14:textFill>
                  <w14:solidFill>
                    <w14:srgbClr w14:val="000000">
                      <w14:alpha w14:val="100000"/>
                    </w14:srgbClr>
                  </w14:solidFill>
                </w14:textFill>
              </w:rPr>
              <w:t xml:space="preserve">　</w:t>
            </w:r>
            <w:r w:rsidR="00602B47" w:rsidRPr="00602B47">
              <w:rPr>
                <w:color w:val="000000"/>
                <w:w w:val="24"/>
                <w:shd w:val="solid" w:color="000000" w:fill="000000"/>
                <w:fitText w:val="108" w:id="-1435752191"/>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91"/>
                <w14:textFill>
                  <w14:solidFill>
                    <w14:srgbClr w14:val="000000">
                      <w14:alpha w14:val="100000"/>
                    </w14:srgbClr>
                  </w14:solidFill>
                </w14:textFill>
              </w:rPr>
              <w:t xml:space="preserve">　</w:t>
            </w:r>
          </w:p>
          <w:p w14:paraId="16388A6F"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12237242" w14:textId="6D12D91C"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90"/>
                <w14:textFill>
                  <w14:solidFill>
                    <w14:srgbClr w14:val="000000">
                      <w14:alpha w14:val="100000"/>
                    </w14:srgbClr>
                  </w14:solidFill>
                </w14:textFill>
              </w:rPr>
              <w:t xml:space="preserve">　</w:t>
            </w:r>
            <w:r w:rsidR="00602B47" w:rsidRPr="00602B47">
              <w:rPr>
                <w:color w:val="000000"/>
                <w:w w:val="24"/>
                <w:shd w:val="solid" w:color="000000" w:fill="000000"/>
                <w:fitText w:val="108" w:id="-1435752190"/>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90"/>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74E30EB6"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45B859EC"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4C5E8BAD"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0.4191</w:t>
            </w:r>
          </w:p>
          <w:p w14:paraId="622136A0"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2F397C9B"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0.4781</w:t>
            </w:r>
          </w:p>
        </w:tc>
        <w:tc>
          <w:tcPr>
            <w:tcW w:w="723" w:type="pct"/>
            <w:tcBorders>
              <w:top w:val="single" w:sz="4" w:space="0" w:color="auto"/>
              <w:left w:val="single" w:sz="4" w:space="0" w:color="auto"/>
              <w:bottom w:val="single" w:sz="4" w:space="0" w:color="auto"/>
              <w:right w:val="single" w:sz="4" w:space="0" w:color="auto"/>
            </w:tcBorders>
            <w:vAlign w:val="center"/>
          </w:tcPr>
          <w:p w14:paraId="4B6E100A"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586A1F48"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7A3EEA37" w14:textId="4B2DB92D"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9"/>
                <w14:textFill>
                  <w14:solidFill>
                    <w14:srgbClr w14:val="000000">
                      <w14:alpha w14:val="100000"/>
                    </w14:srgbClr>
                  </w14:solidFill>
                </w14:textFill>
              </w:rPr>
              <w:t xml:space="preserve">　</w:t>
            </w:r>
            <w:r w:rsidR="00602B47" w:rsidRPr="00602B47">
              <w:rPr>
                <w:color w:val="000000"/>
                <w:w w:val="17"/>
                <w:shd w:val="solid" w:color="000000" w:fill="000000"/>
                <w:fitText w:val="77" w:id="-1435752189"/>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9"/>
                <w14:textFill>
                  <w14:solidFill>
                    <w14:srgbClr w14:val="000000">
                      <w14:alpha w14:val="100000"/>
                    </w14:srgbClr>
                  </w14:solidFill>
                </w14:textFill>
              </w:rPr>
              <w:t xml:space="preserve">　</w:t>
            </w:r>
            <w:r w:rsidR="0090640F">
              <w:rPr>
                <w:b/>
                <w:bCs/>
                <w:vertAlign w:val="superscript"/>
              </w:rPr>
              <w:t>1</w:t>
            </w:r>
          </w:p>
          <w:p w14:paraId="5AAC30BF"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1AD6F777" w14:textId="504BC07E"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8"/>
                <w14:textFill>
                  <w14:solidFill>
                    <w14:srgbClr w14:val="000000">
                      <w14:alpha w14:val="100000"/>
                    </w14:srgbClr>
                  </w14:solidFill>
                </w14:textFill>
              </w:rPr>
              <w:t xml:space="preserve">　</w:t>
            </w:r>
            <w:r w:rsidR="00602B47" w:rsidRPr="00602B47">
              <w:rPr>
                <w:color w:val="000000"/>
                <w:w w:val="17"/>
                <w:shd w:val="solid" w:color="000000" w:fill="000000"/>
                <w:fitText w:val="77" w:id="-1435752188"/>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8"/>
                <w14:textFill>
                  <w14:solidFill>
                    <w14:srgbClr w14:val="000000">
                      <w14:alpha w14:val="100000"/>
                    </w14:srgbClr>
                  </w14:solidFill>
                </w14:textFill>
              </w:rPr>
              <w:t xml:space="preserve">　</w:t>
            </w:r>
            <w:r w:rsidR="0090640F">
              <w:rPr>
                <w:b/>
                <w:bCs/>
                <w:vertAlign w:val="superscript"/>
              </w:rPr>
              <w:t>1</w:t>
            </w:r>
          </w:p>
        </w:tc>
        <w:tc>
          <w:tcPr>
            <w:tcW w:w="707" w:type="pct"/>
            <w:tcBorders>
              <w:top w:val="single" w:sz="4" w:space="0" w:color="auto"/>
              <w:left w:val="single" w:sz="4" w:space="0" w:color="auto"/>
              <w:bottom w:val="single" w:sz="4" w:space="0" w:color="auto"/>
              <w:right w:val="single" w:sz="4" w:space="0" w:color="auto"/>
            </w:tcBorders>
            <w:vAlign w:val="center"/>
          </w:tcPr>
          <w:p w14:paraId="43E04F2C"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0F4A14A4"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2806A043"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+2.91%</w:t>
            </w:r>
          </w:p>
          <w:p w14:paraId="213EE529"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p>
          <w:p w14:paraId="04EA1FED"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-3.96%</w:t>
            </w:r>
          </w:p>
        </w:tc>
      </w:tr>
      <w:tr w:rsidR="00C75EB2" w:rsidRPr="00E050AF" w14:paraId="67405B3B"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tcPr>
          <w:p w14:paraId="3FEE543F" w14:textId="0A8D6BF4" w:rsidR="00C75EB2" w:rsidRPr="00E050AF" w:rsidRDefault="00C75EB2" w:rsidP="000617A8">
            <w:pPr>
              <w:pStyle w:val="TableText"/>
            </w:pPr>
            <w:r w:rsidRPr="00E050AF">
              <w:t>Using median DoT (22 months) instead of mean DoT (17.1 months)</w:t>
            </w:r>
          </w:p>
        </w:tc>
        <w:tc>
          <w:tcPr>
            <w:tcW w:w="662" w:type="pct"/>
            <w:tcBorders>
              <w:top w:val="single" w:sz="4" w:space="0" w:color="auto"/>
              <w:left w:val="single" w:sz="4" w:space="0" w:color="auto"/>
              <w:bottom w:val="single" w:sz="4" w:space="0" w:color="auto"/>
              <w:right w:val="single" w:sz="4" w:space="0" w:color="auto"/>
            </w:tcBorders>
            <w:vAlign w:val="center"/>
          </w:tcPr>
          <w:p w14:paraId="3522B9BF" w14:textId="7ACD2D83" w:rsidR="00C75EB2" w:rsidRPr="00E050AF" w:rsidRDefault="00C75EB2"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7"/>
                <w14:textFill>
                  <w14:solidFill>
                    <w14:srgbClr w14:val="000000">
                      <w14:alpha w14:val="100000"/>
                    </w14:srgbClr>
                  </w14:solidFill>
                </w14:textFill>
              </w:rPr>
              <w:t xml:space="preserve">　</w:t>
            </w:r>
            <w:r w:rsidR="00602B47" w:rsidRPr="00602B47">
              <w:rPr>
                <w:color w:val="000000"/>
                <w:w w:val="24"/>
                <w:shd w:val="solid" w:color="000000" w:fill="000000"/>
                <w:fitText w:val="108" w:id="-1435752187"/>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7"/>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103CAB75" w14:textId="24D4C2B5" w:rsidR="00C75EB2" w:rsidRPr="00E050AF" w:rsidRDefault="00C75EB2"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0.4616</w:t>
            </w:r>
          </w:p>
        </w:tc>
        <w:tc>
          <w:tcPr>
            <w:tcW w:w="723" w:type="pct"/>
            <w:tcBorders>
              <w:top w:val="single" w:sz="4" w:space="0" w:color="auto"/>
              <w:left w:val="single" w:sz="4" w:space="0" w:color="auto"/>
              <w:bottom w:val="single" w:sz="4" w:space="0" w:color="auto"/>
              <w:right w:val="single" w:sz="4" w:space="0" w:color="auto"/>
            </w:tcBorders>
            <w:vAlign w:val="center"/>
          </w:tcPr>
          <w:p w14:paraId="028A5D88" w14:textId="340BEB4D" w:rsidR="00C75EB2" w:rsidRPr="00E050AF" w:rsidRDefault="00C75EB2"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6"/>
                <w14:textFill>
                  <w14:solidFill>
                    <w14:srgbClr w14:val="000000">
                      <w14:alpha w14:val="100000"/>
                    </w14:srgbClr>
                  </w14:solidFill>
                </w14:textFill>
              </w:rPr>
              <w:t xml:space="preserve">　</w:t>
            </w:r>
            <w:r w:rsidR="00602B47" w:rsidRPr="00602B47">
              <w:rPr>
                <w:color w:val="000000"/>
                <w:w w:val="17"/>
                <w:shd w:val="solid" w:color="000000" w:fill="000000"/>
                <w:fitText w:val="77" w:id="-1435752186"/>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6"/>
                <w14:textFill>
                  <w14:solidFill>
                    <w14:srgbClr w14:val="000000">
                      <w14:alpha w14:val="100000"/>
                    </w14:srgbClr>
                  </w14:solidFill>
                </w14:textFill>
              </w:rPr>
              <w:t xml:space="preserve">　</w:t>
            </w:r>
            <w:r w:rsidR="0090640F">
              <w:rPr>
                <w:b/>
                <w:bCs/>
                <w:vertAlign w:val="superscript"/>
              </w:rPr>
              <w:t>2</w:t>
            </w:r>
          </w:p>
        </w:tc>
        <w:tc>
          <w:tcPr>
            <w:tcW w:w="707" w:type="pct"/>
            <w:tcBorders>
              <w:top w:val="single" w:sz="4" w:space="0" w:color="auto"/>
              <w:left w:val="single" w:sz="4" w:space="0" w:color="auto"/>
              <w:bottom w:val="single" w:sz="4" w:space="0" w:color="auto"/>
              <w:right w:val="single" w:sz="4" w:space="0" w:color="auto"/>
            </w:tcBorders>
            <w:vAlign w:val="center"/>
          </w:tcPr>
          <w:p w14:paraId="1132DC76" w14:textId="1E819DF8" w:rsidR="00C75EB2" w:rsidRPr="00E050AF" w:rsidRDefault="00C75EB2"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+25.61%</w:t>
            </w:r>
          </w:p>
        </w:tc>
      </w:tr>
      <w:tr w:rsidR="00D371EF" w:rsidRPr="00E050AF" w14:paraId="4B91AFB7"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2541E542" w14:textId="0BD22F47" w:rsidR="00D371EF" w:rsidRPr="00E050AF" w:rsidRDefault="00D371EF" w:rsidP="000617A8">
            <w:pPr>
              <w:pStyle w:val="TableText"/>
            </w:pPr>
            <w:r w:rsidRPr="00E050AF">
              <w:t>Utility value for post-progression health state from PAOLA-1 (0.72) (base case = 0.544)</w:t>
            </w:r>
          </w:p>
        </w:tc>
        <w:tc>
          <w:tcPr>
            <w:tcW w:w="662" w:type="pct"/>
            <w:tcBorders>
              <w:top w:val="single" w:sz="4" w:space="0" w:color="auto"/>
              <w:left w:val="single" w:sz="4" w:space="0" w:color="auto"/>
              <w:bottom w:val="single" w:sz="4" w:space="0" w:color="auto"/>
              <w:right w:val="single" w:sz="4" w:space="0" w:color="auto"/>
            </w:tcBorders>
            <w:vAlign w:val="center"/>
          </w:tcPr>
          <w:p w14:paraId="44117F19" w14:textId="5279DCC6"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5"/>
                <w14:textFill>
                  <w14:solidFill>
                    <w14:srgbClr w14:val="000000">
                      <w14:alpha w14:val="100000"/>
                    </w14:srgbClr>
                  </w14:solidFill>
                </w14:textFill>
              </w:rPr>
              <w:t xml:space="preserve">　</w:t>
            </w:r>
            <w:r w:rsidR="00602B47" w:rsidRPr="00602B47">
              <w:rPr>
                <w:color w:val="000000"/>
                <w:w w:val="24"/>
                <w:shd w:val="solid" w:color="000000" w:fill="000000"/>
                <w:fitText w:val="108" w:id="-1435752185"/>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5"/>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6ACC50FB" w14:textId="09316134"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0.4081</w:t>
            </w:r>
          </w:p>
        </w:tc>
        <w:tc>
          <w:tcPr>
            <w:tcW w:w="723" w:type="pct"/>
            <w:tcBorders>
              <w:top w:val="single" w:sz="4" w:space="0" w:color="auto"/>
              <w:left w:val="single" w:sz="4" w:space="0" w:color="auto"/>
              <w:bottom w:val="single" w:sz="4" w:space="0" w:color="auto"/>
              <w:right w:val="single" w:sz="4" w:space="0" w:color="auto"/>
            </w:tcBorders>
            <w:vAlign w:val="center"/>
          </w:tcPr>
          <w:p w14:paraId="2D879232" w14:textId="1D8DC31D" w:rsidR="00D371EF" w:rsidRPr="0090640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rPr>
                <w:highlight w:val="darkGray"/>
              </w:rPr>
            </w:pPr>
            <w:r w:rsidRPr="0090640F">
              <w:t>$</w:t>
            </w:r>
            <w:r w:rsidR="00602B47" w:rsidRPr="00602B47">
              <w:rPr>
                <w:rFonts w:hint="eastAsia"/>
                <w:color w:val="000000"/>
                <w:w w:val="17"/>
                <w:shd w:val="solid" w:color="000000" w:fill="000000"/>
                <w:fitText w:val="77" w:id="-1435752184"/>
                <w14:textFill>
                  <w14:solidFill>
                    <w14:srgbClr w14:val="000000">
                      <w14:alpha w14:val="100000"/>
                    </w14:srgbClr>
                  </w14:solidFill>
                </w14:textFill>
              </w:rPr>
              <w:t xml:space="preserve">　</w:t>
            </w:r>
            <w:r w:rsidR="00602B47" w:rsidRPr="00602B47">
              <w:rPr>
                <w:color w:val="000000"/>
                <w:w w:val="17"/>
                <w:shd w:val="solid" w:color="000000" w:fill="000000"/>
                <w:fitText w:val="77" w:id="-1435752184"/>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4"/>
                <w14:textFill>
                  <w14:solidFill>
                    <w14:srgbClr w14:val="000000">
                      <w14:alpha w14:val="100000"/>
                    </w14:srgbClr>
                  </w14:solidFill>
                </w14:textFill>
              </w:rPr>
              <w:t xml:space="preserve">　</w:t>
            </w:r>
            <w:r w:rsidR="0090640F">
              <w:rPr>
                <w:b/>
                <w:bCs/>
                <w:vertAlign w:val="superscript"/>
              </w:rPr>
              <w:t>2</w:t>
            </w:r>
          </w:p>
        </w:tc>
        <w:tc>
          <w:tcPr>
            <w:tcW w:w="707" w:type="pct"/>
            <w:tcBorders>
              <w:top w:val="single" w:sz="4" w:space="0" w:color="auto"/>
              <w:left w:val="single" w:sz="4" w:space="0" w:color="auto"/>
              <w:bottom w:val="single" w:sz="4" w:space="0" w:color="auto"/>
              <w:right w:val="single" w:sz="4" w:space="0" w:color="auto"/>
            </w:tcBorders>
            <w:vAlign w:val="center"/>
          </w:tcPr>
          <w:p w14:paraId="7D3A95CC" w14:textId="177D8771"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+13.11%</w:t>
            </w:r>
          </w:p>
        </w:tc>
      </w:tr>
      <w:tr w:rsidR="00AB43EA" w:rsidRPr="00E050AF" w14:paraId="0BD0C68E"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2F0EDC05" w14:textId="0184E954" w:rsidR="00AB43EA" w:rsidRPr="00E050AF" w:rsidRDefault="00CF529A" w:rsidP="000617A8">
            <w:pPr>
              <w:pStyle w:val="TableText"/>
            </w:pPr>
            <w:r w:rsidRPr="00E050AF">
              <w:rPr>
                <w:i/>
                <w:iCs/>
              </w:rPr>
              <w:t>BRCA</w:t>
            </w:r>
            <w:r w:rsidR="00AB43EA" w:rsidRPr="00E050AF">
              <w:t xml:space="preserve"> test cost $1,000 (base case = $1,200)</w:t>
            </w:r>
          </w:p>
        </w:tc>
        <w:tc>
          <w:tcPr>
            <w:tcW w:w="662" w:type="pct"/>
            <w:tcBorders>
              <w:top w:val="single" w:sz="4" w:space="0" w:color="auto"/>
              <w:left w:val="single" w:sz="4" w:space="0" w:color="auto"/>
              <w:bottom w:val="single" w:sz="4" w:space="0" w:color="auto"/>
              <w:right w:val="single" w:sz="4" w:space="0" w:color="auto"/>
            </w:tcBorders>
            <w:vAlign w:val="center"/>
            <w:hideMark/>
          </w:tcPr>
          <w:p w14:paraId="681B6BCE" w14:textId="57C3341F" w:rsidR="00AB43EA" w:rsidRPr="0090640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rPr>
                <w:highlight w:val="darkGray"/>
              </w:rPr>
            </w:pPr>
            <w:r w:rsidRPr="0090640F">
              <w:t>$</w:t>
            </w:r>
            <w:r w:rsidR="00602B47" w:rsidRPr="00602B47">
              <w:rPr>
                <w:rFonts w:hint="eastAsia"/>
                <w:color w:val="000000"/>
                <w:w w:val="24"/>
                <w:shd w:val="solid" w:color="000000" w:fill="000000"/>
                <w:fitText w:val="108" w:id="-1435752183"/>
                <w14:textFill>
                  <w14:solidFill>
                    <w14:srgbClr w14:val="000000">
                      <w14:alpha w14:val="100000"/>
                    </w14:srgbClr>
                  </w14:solidFill>
                </w14:textFill>
              </w:rPr>
              <w:t xml:space="preserve">　</w:t>
            </w:r>
            <w:r w:rsidR="00602B47" w:rsidRPr="00602B47">
              <w:rPr>
                <w:color w:val="000000"/>
                <w:w w:val="24"/>
                <w:shd w:val="solid" w:color="000000" w:fill="000000"/>
                <w:fitText w:val="108" w:id="-1435752183"/>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3"/>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F039C51"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0.4616</w:t>
            </w:r>
          </w:p>
        </w:tc>
        <w:tc>
          <w:tcPr>
            <w:tcW w:w="723" w:type="pct"/>
            <w:tcBorders>
              <w:top w:val="single" w:sz="4" w:space="0" w:color="auto"/>
              <w:left w:val="single" w:sz="4" w:space="0" w:color="auto"/>
              <w:bottom w:val="single" w:sz="4" w:space="0" w:color="auto"/>
              <w:right w:val="single" w:sz="4" w:space="0" w:color="auto"/>
            </w:tcBorders>
            <w:vAlign w:val="center"/>
            <w:hideMark/>
          </w:tcPr>
          <w:p w14:paraId="4890D180" w14:textId="24F12A87" w:rsidR="00AB43EA" w:rsidRPr="0090640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rPr>
                <w:highlight w:val="darkGray"/>
              </w:rPr>
            </w:pPr>
            <w:r w:rsidRPr="0090640F">
              <w:t>$</w:t>
            </w:r>
            <w:r w:rsidR="00602B47" w:rsidRPr="00602B47">
              <w:rPr>
                <w:rFonts w:hint="eastAsia"/>
                <w:color w:val="000000"/>
                <w:w w:val="17"/>
                <w:shd w:val="solid" w:color="000000" w:fill="000000"/>
                <w:fitText w:val="77" w:id="-1435752182"/>
                <w14:textFill>
                  <w14:solidFill>
                    <w14:srgbClr w14:val="000000">
                      <w14:alpha w14:val="100000"/>
                    </w14:srgbClr>
                  </w14:solidFill>
                </w14:textFill>
              </w:rPr>
              <w:t xml:space="preserve">　</w:t>
            </w:r>
            <w:r w:rsidR="00602B47" w:rsidRPr="00602B47">
              <w:rPr>
                <w:color w:val="000000"/>
                <w:w w:val="17"/>
                <w:shd w:val="solid" w:color="000000" w:fill="000000"/>
                <w:fitText w:val="77" w:id="-1435752182"/>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2"/>
                <w14:textFill>
                  <w14:solidFill>
                    <w14:srgbClr w14:val="000000">
                      <w14:alpha w14:val="100000"/>
                    </w14:srgbClr>
                  </w14:solidFill>
                </w14:textFill>
              </w:rPr>
              <w:t xml:space="preserve">　</w:t>
            </w:r>
            <w:r w:rsidR="0090640F">
              <w:rPr>
                <w:b/>
                <w:bCs/>
                <w:vertAlign w:val="superscript"/>
              </w:rPr>
              <w:t>1</w:t>
            </w:r>
          </w:p>
        </w:tc>
        <w:tc>
          <w:tcPr>
            <w:tcW w:w="707" w:type="pct"/>
            <w:tcBorders>
              <w:top w:val="single" w:sz="4" w:space="0" w:color="auto"/>
              <w:left w:val="single" w:sz="4" w:space="0" w:color="auto"/>
              <w:bottom w:val="single" w:sz="4" w:space="0" w:color="auto"/>
              <w:right w:val="single" w:sz="4" w:space="0" w:color="auto"/>
            </w:tcBorders>
            <w:vAlign w:val="center"/>
            <w:hideMark/>
          </w:tcPr>
          <w:p w14:paraId="76C201ED"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+1.08%</w:t>
            </w:r>
          </w:p>
        </w:tc>
      </w:tr>
      <w:tr w:rsidR="00AB43EA" w:rsidRPr="00E050AF" w14:paraId="6025276F"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635DE6F6" w14:textId="77777777" w:rsidR="00AB43EA" w:rsidRPr="00E050AF" w:rsidRDefault="00AB43EA" w:rsidP="000617A8">
            <w:pPr>
              <w:pStyle w:val="TableText"/>
            </w:pPr>
            <w:r w:rsidRPr="00E050AF">
              <w:t>Use the KM PFS curve instead of the DoT curve to determine the proportion of patients remaining on treatment with olaparib (up to 25 months)</w:t>
            </w:r>
          </w:p>
        </w:tc>
        <w:tc>
          <w:tcPr>
            <w:tcW w:w="662" w:type="pct"/>
            <w:tcBorders>
              <w:top w:val="single" w:sz="4" w:space="0" w:color="auto"/>
              <w:left w:val="single" w:sz="4" w:space="0" w:color="auto"/>
              <w:bottom w:val="single" w:sz="4" w:space="0" w:color="auto"/>
              <w:right w:val="single" w:sz="4" w:space="0" w:color="auto"/>
            </w:tcBorders>
            <w:vAlign w:val="center"/>
            <w:hideMark/>
          </w:tcPr>
          <w:p w14:paraId="2472601C" w14:textId="6023AE78"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1"/>
                <w14:textFill>
                  <w14:solidFill>
                    <w14:srgbClr w14:val="000000">
                      <w14:alpha w14:val="100000"/>
                    </w14:srgbClr>
                  </w14:solidFill>
                </w14:textFill>
              </w:rPr>
              <w:t xml:space="preserve">　</w:t>
            </w:r>
            <w:r w:rsidR="00602B47" w:rsidRPr="00602B47">
              <w:rPr>
                <w:color w:val="000000"/>
                <w:w w:val="24"/>
                <w:shd w:val="solid" w:color="000000" w:fill="000000"/>
                <w:fitText w:val="108" w:id="-1435752181"/>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1"/>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DDC57F"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0.4616</w:t>
            </w:r>
          </w:p>
        </w:tc>
        <w:tc>
          <w:tcPr>
            <w:tcW w:w="723" w:type="pct"/>
            <w:tcBorders>
              <w:top w:val="single" w:sz="4" w:space="0" w:color="auto"/>
              <w:left w:val="single" w:sz="4" w:space="0" w:color="auto"/>
              <w:bottom w:val="single" w:sz="4" w:space="0" w:color="auto"/>
              <w:right w:val="single" w:sz="4" w:space="0" w:color="auto"/>
            </w:tcBorders>
            <w:vAlign w:val="center"/>
            <w:hideMark/>
          </w:tcPr>
          <w:p w14:paraId="20EE833D" w14:textId="504FC410"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80"/>
                <w14:textFill>
                  <w14:solidFill>
                    <w14:srgbClr w14:val="000000">
                      <w14:alpha w14:val="100000"/>
                    </w14:srgbClr>
                  </w14:solidFill>
                </w14:textFill>
              </w:rPr>
              <w:t xml:space="preserve">　</w:t>
            </w:r>
            <w:r w:rsidR="00602B47" w:rsidRPr="00602B47">
              <w:rPr>
                <w:color w:val="000000"/>
                <w:w w:val="17"/>
                <w:shd w:val="solid" w:color="000000" w:fill="000000"/>
                <w:fitText w:val="77" w:id="-1435752180"/>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80"/>
                <w14:textFill>
                  <w14:solidFill>
                    <w14:srgbClr w14:val="000000">
                      <w14:alpha w14:val="100000"/>
                    </w14:srgbClr>
                  </w14:solidFill>
                </w14:textFill>
              </w:rPr>
              <w:t xml:space="preserve">　</w:t>
            </w:r>
            <w:r w:rsidR="0090640F">
              <w:rPr>
                <w:b/>
                <w:bCs/>
                <w:vertAlign w:val="superscript"/>
              </w:rPr>
              <w:t>2</w:t>
            </w:r>
          </w:p>
        </w:tc>
        <w:tc>
          <w:tcPr>
            <w:tcW w:w="707" w:type="pct"/>
            <w:tcBorders>
              <w:top w:val="single" w:sz="4" w:space="0" w:color="auto"/>
              <w:left w:val="single" w:sz="4" w:space="0" w:color="auto"/>
              <w:bottom w:val="single" w:sz="4" w:space="0" w:color="auto"/>
              <w:right w:val="single" w:sz="4" w:space="0" w:color="auto"/>
            </w:tcBorders>
            <w:vAlign w:val="center"/>
            <w:hideMark/>
          </w:tcPr>
          <w:p w14:paraId="792D766D" w14:textId="77777777" w:rsidR="00AB43EA" w:rsidRPr="00E050AF" w:rsidRDefault="00AB43EA"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+17.15%</w:t>
            </w:r>
          </w:p>
        </w:tc>
      </w:tr>
      <w:tr w:rsidR="00D371EF" w:rsidRPr="00E050AF" w14:paraId="4B7953AB"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hideMark/>
          </w:tcPr>
          <w:p w14:paraId="0C66C6A3" w14:textId="62F7E5C6" w:rsidR="00D371EF" w:rsidRPr="00E050AF" w:rsidRDefault="00D371EF" w:rsidP="000617A8">
            <w:pPr>
              <w:pStyle w:val="TableText"/>
            </w:pPr>
            <w:r w:rsidRPr="00E050AF">
              <w:t xml:space="preserve">Use Weibull function for the MCM PFS extrapolation for olaparib monotherapy in </w:t>
            </w:r>
            <w:r w:rsidR="00CF529A" w:rsidRPr="00E050AF">
              <w:rPr>
                <w:i/>
                <w:iCs/>
              </w:rPr>
              <w:t>BRCA</w:t>
            </w:r>
            <w:r w:rsidRPr="00E050AF">
              <w:t>m patients (leaving the olaparib plus bevacizumab extrapolation as loglogistic)</w:t>
            </w:r>
          </w:p>
        </w:tc>
        <w:tc>
          <w:tcPr>
            <w:tcW w:w="662" w:type="pct"/>
            <w:tcBorders>
              <w:top w:val="single" w:sz="4" w:space="0" w:color="auto"/>
              <w:left w:val="single" w:sz="4" w:space="0" w:color="auto"/>
              <w:bottom w:val="single" w:sz="4" w:space="0" w:color="auto"/>
              <w:right w:val="single" w:sz="4" w:space="0" w:color="auto"/>
            </w:tcBorders>
            <w:vAlign w:val="center"/>
            <w:hideMark/>
          </w:tcPr>
          <w:p w14:paraId="5DDF119C" w14:textId="4F4A69BE"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79"/>
                <w14:textFill>
                  <w14:solidFill>
                    <w14:srgbClr w14:val="000000">
                      <w14:alpha w14:val="100000"/>
                    </w14:srgbClr>
                  </w14:solidFill>
                </w14:textFill>
              </w:rPr>
              <w:t xml:space="preserve">　</w:t>
            </w:r>
            <w:r w:rsidR="00602B47" w:rsidRPr="00602B47">
              <w:rPr>
                <w:color w:val="000000"/>
                <w:w w:val="24"/>
                <w:shd w:val="solid" w:color="000000" w:fill="000000"/>
                <w:fitText w:val="108" w:id="-1435752179"/>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79"/>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B388EE" w14:textId="798AA4BB"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0.3570</w:t>
            </w:r>
          </w:p>
        </w:tc>
        <w:tc>
          <w:tcPr>
            <w:tcW w:w="723" w:type="pct"/>
            <w:tcBorders>
              <w:top w:val="single" w:sz="4" w:space="0" w:color="auto"/>
              <w:left w:val="single" w:sz="4" w:space="0" w:color="auto"/>
              <w:bottom w:val="single" w:sz="4" w:space="0" w:color="auto"/>
              <w:right w:val="single" w:sz="4" w:space="0" w:color="auto"/>
            </w:tcBorders>
            <w:vAlign w:val="center"/>
            <w:hideMark/>
          </w:tcPr>
          <w:p w14:paraId="6F98E494" w14:textId="4D3B653E"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17"/>
                <w:shd w:val="solid" w:color="000000" w:fill="000000"/>
                <w:fitText w:val="77" w:id="-1435752178"/>
                <w14:textFill>
                  <w14:solidFill>
                    <w14:srgbClr w14:val="000000">
                      <w14:alpha w14:val="100000"/>
                    </w14:srgbClr>
                  </w14:solidFill>
                </w14:textFill>
              </w:rPr>
              <w:t xml:space="preserve">　</w:t>
            </w:r>
            <w:r w:rsidR="00602B47" w:rsidRPr="00602B47">
              <w:rPr>
                <w:color w:val="000000"/>
                <w:w w:val="17"/>
                <w:shd w:val="solid" w:color="000000" w:fill="000000"/>
                <w:fitText w:val="77" w:id="-1435752178"/>
                <w14:textFill>
                  <w14:solidFill>
                    <w14:srgbClr w14:val="000000">
                      <w14:alpha w14:val="100000"/>
                    </w14:srgbClr>
                  </w14:solidFill>
                </w14:textFill>
              </w:rPr>
              <w:t>|</w:t>
            </w:r>
            <w:r w:rsidR="00602B47" w:rsidRPr="00602B47">
              <w:rPr>
                <w:rFonts w:hint="eastAsia"/>
                <w:color w:val="000000"/>
                <w:spacing w:val="4"/>
                <w:w w:val="17"/>
                <w:shd w:val="solid" w:color="000000" w:fill="000000"/>
                <w:fitText w:val="77" w:id="-1435752178"/>
                <w14:textFill>
                  <w14:solidFill>
                    <w14:srgbClr w14:val="000000">
                      <w14:alpha w14:val="100000"/>
                    </w14:srgbClr>
                  </w14:solidFill>
                </w14:textFill>
              </w:rPr>
              <w:t xml:space="preserve">　</w:t>
            </w:r>
            <w:r w:rsidR="00711FC3">
              <w:rPr>
                <w:b/>
                <w:bCs/>
                <w:vertAlign w:val="superscript"/>
              </w:rPr>
              <w:t>2</w:t>
            </w:r>
          </w:p>
        </w:tc>
        <w:tc>
          <w:tcPr>
            <w:tcW w:w="707" w:type="pct"/>
            <w:tcBorders>
              <w:top w:val="single" w:sz="4" w:space="0" w:color="auto"/>
              <w:left w:val="single" w:sz="4" w:space="0" w:color="auto"/>
              <w:bottom w:val="single" w:sz="4" w:space="0" w:color="auto"/>
              <w:right w:val="single" w:sz="4" w:space="0" w:color="auto"/>
            </w:tcBorders>
            <w:vAlign w:val="center"/>
            <w:hideMark/>
          </w:tcPr>
          <w:p w14:paraId="578604F7" w14:textId="5BC871D7"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t>+30.96%</w:t>
            </w:r>
          </w:p>
        </w:tc>
      </w:tr>
      <w:tr w:rsidR="00D371EF" w:rsidRPr="00E050AF" w14:paraId="59FF3A21" w14:textId="77777777" w:rsidTr="000617A8">
        <w:tc>
          <w:tcPr>
            <w:cnfStyle w:val="001000000000" w:firstRow="0" w:lastRow="0" w:firstColumn="1" w:lastColumn="0" w:oddVBand="0" w:evenVBand="0" w:oddHBand="0" w:evenHBand="0" w:firstRowFirstColumn="0" w:firstRowLastColumn="0" w:lastRowFirstColumn="0" w:lastRowLastColumn="0"/>
            <w:tcW w:w="2180" w:type="pct"/>
            <w:tcBorders>
              <w:top w:val="single" w:sz="4" w:space="0" w:color="auto"/>
              <w:left w:val="single" w:sz="4" w:space="0" w:color="auto"/>
              <w:bottom w:val="single" w:sz="4" w:space="0" w:color="auto"/>
              <w:right w:val="single" w:sz="4" w:space="0" w:color="auto"/>
            </w:tcBorders>
            <w:vAlign w:val="center"/>
          </w:tcPr>
          <w:p w14:paraId="59000EAA" w14:textId="41EDEA0D" w:rsidR="00D371EF" w:rsidRPr="00E050AF" w:rsidRDefault="00D371EF" w:rsidP="000617A8">
            <w:pPr>
              <w:pStyle w:val="TableText"/>
            </w:pPr>
            <w:r w:rsidRPr="00E050AF">
              <w:rPr>
                <w:szCs w:val="20"/>
              </w:rPr>
              <w:t>All bevacizumab patients have the ITT efficacy (no adjustment for subgroups)</w:t>
            </w:r>
          </w:p>
        </w:tc>
        <w:tc>
          <w:tcPr>
            <w:tcW w:w="662" w:type="pct"/>
            <w:tcBorders>
              <w:top w:val="single" w:sz="4" w:space="0" w:color="auto"/>
              <w:left w:val="single" w:sz="4" w:space="0" w:color="auto"/>
              <w:bottom w:val="single" w:sz="4" w:space="0" w:color="auto"/>
              <w:right w:val="single" w:sz="4" w:space="0" w:color="auto"/>
            </w:tcBorders>
            <w:vAlign w:val="center"/>
          </w:tcPr>
          <w:p w14:paraId="723F85C4" w14:textId="34144AB5"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rPr>
                <w:szCs w:val="20"/>
              </w:rPr>
              <w:t>$</w:t>
            </w:r>
            <w:r w:rsidR="00602B47" w:rsidRPr="00602B47">
              <w:rPr>
                <w:rFonts w:hint="eastAsia"/>
                <w:color w:val="000000"/>
                <w:w w:val="24"/>
                <w:szCs w:val="20"/>
                <w:shd w:val="solid" w:color="000000" w:fill="000000"/>
                <w:fitText w:val="108" w:id="-1435752177"/>
                <w14:textFill>
                  <w14:solidFill>
                    <w14:srgbClr w14:val="000000">
                      <w14:alpha w14:val="100000"/>
                    </w14:srgbClr>
                  </w14:solidFill>
                </w14:textFill>
              </w:rPr>
              <w:t xml:space="preserve">　</w:t>
            </w:r>
            <w:r w:rsidR="00602B47" w:rsidRPr="00602B47">
              <w:rPr>
                <w:color w:val="000000"/>
                <w:w w:val="24"/>
                <w:szCs w:val="20"/>
                <w:shd w:val="solid" w:color="000000" w:fill="000000"/>
                <w:fitText w:val="108" w:id="-1435752177"/>
                <w14:textFill>
                  <w14:solidFill>
                    <w14:srgbClr w14:val="000000">
                      <w14:alpha w14:val="100000"/>
                    </w14:srgbClr>
                  </w14:solidFill>
                </w14:textFill>
              </w:rPr>
              <w:t>|</w:t>
            </w:r>
            <w:r w:rsidR="00602B47" w:rsidRPr="00602B47">
              <w:rPr>
                <w:rFonts w:hint="eastAsia"/>
                <w:color w:val="000000"/>
                <w:spacing w:val="4"/>
                <w:w w:val="24"/>
                <w:szCs w:val="20"/>
                <w:shd w:val="solid" w:color="000000" w:fill="000000"/>
                <w:fitText w:val="108" w:id="-1435752177"/>
                <w14:textFill>
                  <w14:solidFill>
                    <w14:srgbClr w14:val="000000">
                      <w14:alpha w14:val="100000"/>
                    </w14:srgbClr>
                  </w14:solidFill>
                </w14:textFill>
              </w:rPr>
              <w:t xml:space="preserve">　</w:t>
            </w:r>
          </w:p>
        </w:tc>
        <w:tc>
          <w:tcPr>
            <w:tcW w:w="728" w:type="pct"/>
            <w:tcBorders>
              <w:top w:val="single" w:sz="4" w:space="0" w:color="auto"/>
              <w:left w:val="single" w:sz="4" w:space="0" w:color="auto"/>
              <w:bottom w:val="single" w:sz="4" w:space="0" w:color="auto"/>
              <w:right w:val="single" w:sz="4" w:space="0" w:color="auto"/>
            </w:tcBorders>
            <w:vAlign w:val="center"/>
          </w:tcPr>
          <w:p w14:paraId="09FBB3A2" w14:textId="232DC6E8"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rPr>
                <w:szCs w:val="20"/>
              </w:rPr>
              <w:t>0.4485</w:t>
            </w:r>
          </w:p>
        </w:tc>
        <w:tc>
          <w:tcPr>
            <w:tcW w:w="723" w:type="pct"/>
            <w:tcBorders>
              <w:top w:val="single" w:sz="4" w:space="0" w:color="auto"/>
              <w:left w:val="single" w:sz="4" w:space="0" w:color="auto"/>
              <w:bottom w:val="single" w:sz="4" w:space="0" w:color="auto"/>
              <w:right w:val="single" w:sz="4" w:space="0" w:color="auto"/>
            </w:tcBorders>
            <w:vAlign w:val="center"/>
          </w:tcPr>
          <w:p w14:paraId="1826F20B" w14:textId="60AD7F02"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rPr>
                <w:szCs w:val="20"/>
              </w:rPr>
              <w:t>$</w:t>
            </w:r>
            <w:r w:rsidR="00602B47" w:rsidRPr="00602B47">
              <w:rPr>
                <w:rFonts w:hint="eastAsia"/>
                <w:color w:val="000000"/>
                <w:w w:val="17"/>
                <w:szCs w:val="20"/>
                <w:shd w:val="solid" w:color="000000" w:fill="000000"/>
                <w:fitText w:val="77" w:id="-1435752176"/>
                <w14:textFill>
                  <w14:solidFill>
                    <w14:srgbClr w14:val="000000">
                      <w14:alpha w14:val="100000"/>
                    </w14:srgbClr>
                  </w14:solidFill>
                </w14:textFill>
              </w:rPr>
              <w:t xml:space="preserve">　</w:t>
            </w:r>
            <w:r w:rsidR="00602B47" w:rsidRPr="00602B47">
              <w:rPr>
                <w:color w:val="000000"/>
                <w:w w:val="17"/>
                <w:szCs w:val="20"/>
                <w:shd w:val="solid" w:color="000000" w:fill="000000"/>
                <w:fitText w:val="77" w:id="-1435752176"/>
                <w14:textFill>
                  <w14:solidFill>
                    <w14:srgbClr w14:val="000000">
                      <w14:alpha w14:val="100000"/>
                    </w14:srgbClr>
                  </w14:solidFill>
                </w14:textFill>
              </w:rPr>
              <w:t>|</w:t>
            </w:r>
            <w:r w:rsidR="00602B47" w:rsidRPr="00602B47">
              <w:rPr>
                <w:rFonts w:hint="eastAsia"/>
                <w:color w:val="000000"/>
                <w:spacing w:val="4"/>
                <w:w w:val="17"/>
                <w:szCs w:val="20"/>
                <w:shd w:val="solid" w:color="000000" w:fill="000000"/>
                <w:fitText w:val="77" w:id="-1435752176"/>
                <w14:textFill>
                  <w14:solidFill>
                    <w14:srgbClr w14:val="000000">
                      <w14:alpha w14:val="100000"/>
                    </w14:srgbClr>
                  </w14:solidFill>
                </w14:textFill>
              </w:rPr>
              <w:t xml:space="preserve">　</w:t>
            </w:r>
            <w:r w:rsidR="0090640F">
              <w:rPr>
                <w:b/>
                <w:bCs/>
                <w:vertAlign w:val="superscript"/>
              </w:rPr>
              <w:t>1</w:t>
            </w:r>
          </w:p>
        </w:tc>
        <w:tc>
          <w:tcPr>
            <w:tcW w:w="707" w:type="pct"/>
            <w:tcBorders>
              <w:top w:val="single" w:sz="4" w:space="0" w:color="auto"/>
              <w:left w:val="single" w:sz="4" w:space="0" w:color="auto"/>
              <w:bottom w:val="single" w:sz="4" w:space="0" w:color="auto"/>
              <w:right w:val="single" w:sz="4" w:space="0" w:color="auto"/>
            </w:tcBorders>
            <w:vAlign w:val="center"/>
          </w:tcPr>
          <w:p w14:paraId="29205F92" w14:textId="2DF0D577" w:rsidR="00D371EF" w:rsidRPr="00E050AF" w:rsidRDefault="00D371EF" w:rsidP="000617A8">
            <w:pPr>
              <w:pStyle w:val="TableText"/>
              <w:jc w:val="center"/>
              <w:cnfStyle w:val="000000000000" w:firstRow="0" w:lastRow="0" w:firstColumn="0" w:lastColumn="0" w:oddVBand="0" w:evenVBand="0" w:oddHBand="0" w:evenHBand="0" w:firstRowFirstColumn="0" w:firstRowLastColumn="0" w:lastRowFirstColumn="0" w:lastRowLastColumn="0"/>
            </w:pPr>
            <w:r w:rsidRPr="00E050AF">
              <w:rPr>
                <w:szCs w:val="20"/>
              </w:rPr>
              <w:t>+3.05</w:t>
            </w:r>
          </w:p>
        </w:tc>
      </w:tr>
    </w:tbl>
    <w:p w14:paraId="088B9C18" w14:textId="541A6077" w:rsidR="00AB43EA" w:rsidRPr="00E050AF" w:rsidRDefault="00AB43EA" w:rsidP="00AB43EA">
      <w:pPr>
        <w:pStyle w:val="TableFigureFooter"/>
        <w:jc w:val="both"/>
      </w:pPr>
      <w:r w:rsidRPr="00E050AF">
        <w:rPr>
          <w:lang w:eastAsia="ja-JP"/>
        </w:rPr>
        <w:t>HRD = homologous recombination deficiency;</w:t>
      </w:r>
      <w:r w:rsidRPr="00E050AF">
        <w:t xml:space="preserve"> ICER = incremental cost effectiveness ratio</w:t>
      </w:r>
      <w:r w:rsidRPr="00E050AF">
        <w:rPr>
          <w:lang w:eastAsia="ja-JP"/>
        </w:rPr>
        <w:t>;</w:t>
      </w:r>
      <w:r w:rsidRPr="00E050AF">
        <w:t xml:space="preserve"> </w:t>
      </w:r>
      <w:r w:rsidRPr="00E050AF">
        <w:rPr>
          <w:lang w:eastAsia="ja-JP"/>
        </w:rPr>
        <w:t>PFS = progression-free survival;</w:t>
      </w:r>
      <w:r w:rsidRPr="00E050AF">
        <w:t xml:space="preserve"> QALY = quality adjusted life year; </w:t>
      </w:r>
      <w:r w:rsidR="00AB21C7" w:rsidRPr="00E050AF">
        <w:t xml:space="preserve">MCM = mixture cure models; </w:t>
      </w:r>
      <w:r w:rsidRPr="00E050AF">
        <w:t>OS = overall survival</w:t>
      </w:r>
    </w:p>
    <w:p w14:paraId="06F4A922" w14:textId="2C3BBFF2" w:rsidR="00AB43EA" w:rsidRDefault="00AB43EA" w:rsidP="00AB43EA">
      <w:pPr>
        <w:pStyle w:val="TableFooter"/>
      </w:pPr>
      <w:r w:rsidRPr="00E050AF">
        <w:t>Source: Table 3.39, p280 of the submission</w:t>
      </w:r>
    </w:p>
    <w:p w14:paraId="198F7396" w14:textId="77777777" w:rsidR="0090640F" w:rsidRPr="001D0E42" w:rsidRDefault="0090640F" w:rsidP="0090640F">
      <w:pPr>
        <w:spacing w:before="0" w:after="0"/>
        <w:rPr>
          <w:rFonts w:ascii="Arial Narrow" w:eastAsia="Times New Roman" w:hAnsi="Arial Narrow" w:cs="Arial"/>
          <w:i/>
          <w:sz w:val="18"/>
          <w:szCs w:val="18"/>
          <w:lang w:eastAsia="en-AU"/>
        </w:rPr>
      </w:pPr>
      <w:bookmarkStart w:id="104" w:name="_Hlk114146850"/>
      <w:bookmarkStart w:id="105" w:name="_Hlk114131226"/>
      <w:r w:rsidRPr="001D0E42">
        <w:rPr>
          <w:rFonts w:ascii="Arial Narrow" w:eastAsia="Times New Roman" w:hAnsi="Arial Narrow" w:cs="Arial"/>
          <w:i/>
          <w:sz w:val="18"/>
          <w:szCs w:val="18"/>
          <w:lang w:eastAsia="en-AU"/>
        </w:rPr>
        <w:t xml:space="preserve">The redacted values correspond to the following ranges: </w:t>
      </w:r>
    </w:p>
    <w:p w14:paraId="2F520EE5" w14:textId="6E419A33" w:rsidR="0090640F" w:rsidRPr="001D0E42" w:rsidRDefault="0090640F" w:rsidP="0090640F">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1</w:t>
      </w:r>
      <w:r w:rsidRPr="001D0E42">
        <w:rPr>
          <w:rFonts w:ascii="Arial Narrow" w:eastAsia="Times New Roman" w:hAnsi="Arial Narrow" w:cs="Arial"/>
          <w:i/>
          <w:sz w:val="18"/>
          <w:szCs w:val="18"/>
          <w:lang w:eastAsia="en-AU"/>
        </w:rPr>
        <w:t xml:space="preserve"> </w:t>
      </w:r>
      <w:r>
        <w:rPr>
          <w:rFonts w:ascii="Arial Narrow" w:eastAsia="Times New Roman" w:hAnsi="Arial Narrow" w:cs="Arial"/>
          <w:i/>
          <w:sz w:val="18"/>
          <w:szCs w:val="18"/>
          <w:lang w:eastAsia="en-AU"/>
        </w:rPr>
        <w:t>$</w:t>
      </w:r>
      <w:r w:rsidRPr="0090640F">
        <w:rPr>
          <w:rFonts w:ascii="Arial Narrow" w:eastAsia="Times New Roman" w:hAnsi="Arial Narrow" w:cs="Arial"/>
          <w:i/>
          <w:sz w:val="18"/>
          <w:szCs w:val="18"/>
          <w:lang w:eastAsia="en-AU"/>
        </w:rPr>
        <w:t>45,000 to &lt; $55,000</w:t>
      </w:r>
    </w:p>
    <w:p w14:paraId="7A123304" w14:textId="58AC3436" w:rsidR="0090640F" w:rsidRPr="009A6D58" w:rsidRDefault="0090640F" w:rsidP="0090640F">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$5</w:t>
      </w:r>
      <w:r w:rsidRPr="0090640F">
        <w:rPr>
          <w:rFonts w:ascii="Arial Narrow" w:eastAsia="Times New Roman" w:hAnsi="Arial Narrow" w:cs="Arial"/>
          <w:i/>
          <w:sz w:val="18"/>
          <w:szCs w:val="18"/>
          <w:lang w:eastAsia="en-AU"/>
        </w:rPr>
        <w:t>5,000 to &lt; $</w:t>
      </w:r>
      <w:r w:rsidR="00711FC3">
        <w:rPr>
          <w:rFonts w:ascii="Arial Narrow" w:eastAsia="Times New Roman" w:hAnsi="Arial Narrow" w:cs="Arial"/>
          <w:i/>
          <w:sz w:val="18"/>
          <w:szCs w:val="18"/>
          <w:lang w:eastAsia="en-AU"/>
        </w:rPr>
        <w:t>7</w:t>
      </w:r>
      <w:r w:rsidRPr="0090640F">
        <w:rPr>
          <w:rFonts w:ascii="Arial Narrow" w:eastAsia="Times New Roman" w:hAnsi="Arial Narrow" w:cs="Arial"/>
          <w:i/>
          <w:sz w:val="18"/>
          <w:szCs w:val="18"/>
          <w:lang w:eastAsia="en-AU"/>
        </w:rPr>
        <w:t>5,000</w:t>
      </w:r>
    </w:p>
    <w:p w14:paraId="273C19C4" w14:textId="6C037A27" w:rsidR="0090640F" w:rsidRDefault="0090640F" w:rsidP="0090640F">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3</w:t>
      </w:r>
      <w:r>
        <w:rPr>
          <w:rFonts w:ascii="Arial Narrow" w:eastAsia="Times New Roman" w:hAnsi="Arial Narrow" w:cs="Arial"/>
          <w:i/>
          <w:sz w:val="18"/>
          <w:szCs w:val="18"/>
          <w:lang w:eastAsia="en-AU"/>
        </w:rPr>
        <w:t xml:space="preserve"> </w:t>
      </w:r>
      <w:r w:rsidRPr="0090640F">
        <w:rPr>
          <w:rFonts w:ascii="Arial Narrow" w:eastAsia="Times New Roman" w:hAnsi="Arial Narrow" w:cs="Arial"/>
          <w:i/>
          <w:sz w:val="18"/>
          <w:szCs w:val="18"/>
          <w:lang w:eastAsia="en-AU"/>
        </w:rPr>
        <w:t>$</w:t>
      </w:r>
      <w:r>
        <w:rPr>
          <w:rFonts w:ascii="Arial Narrow" w:eastAsia="Times New Roman" w:hAnsi="Arial Narrow" w:cs="Arial"/>
          <w:i/>
          <w:sz w:val="18"/>
          <w:szCs w:val="18"/>
          <w:lang w:eastAsia="en-AU"/>
        </w:rPr>
        <w:t>3</w:t>
      </w:r>
      <w:r w:rsidRPr="0090640F">
        <w:rPr>
          <w:rFonts w:ascii="Arial Narrow" w:eastAsia="Times New Roman" w:hAnsi="Arial Narrow" w:cs="Arial"/>
          <w:i/>
          <w:sz w:val="18"/>
          <w:szCs w:val="18"/>
          <w:lang w:eastAsia="en-AU"/>
        </w:rPr>
        <w:t>5,000 to &lt; $</w:t>
      </w:r>
      <w:r>
        <w:rPr>
          <w:rFonts w:ascii="Arial Narrow" w:eastAsia="Times New Roman" w:hAnsi="Arial Narrow" w:cs="Arial"/>
          <w:i/>
          <w:sz w:val="18"/>
          <w:szCs w:val="18"/>
          <w:lang w:eastAsia="en-AU"/>
        </w:rPr>
        <w:t>4</w:t>
      </w:r>
      <w:r w:rsidRPr="0090640F">
        <w:rPr>
          <w:rFonts w:ascii="Arial Narrow" w:eastAsia="Times New Roman" w:hAnsi="Arial Narrow" w:cs="Arial"/>
          <w:i/>
          <w:sz w:val="18"/>
          <w:szCs w:val="18"/>
          <w:lang w:eastAsia="en-AU"/>
        </w:rPr>
        <w:t>5,000</w:t>
      </w:r>
    </w:p>
    <w:bookmarkEnd w:id="104"/>
    <w:p w14:paraId="47B52AAD" w14:textId="7910ACF7" w:rsidR="0090640F" w:rsidRDefault="0090640F" w:rsidP="0090640F">
      <w:pPr>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4</w:t>
      </w:r>
      <w:r>
        <w:rPr>
          <w:rFonts w:ascii="Arial Narrow" w:eastAsia="Times New Roman" w:hAnsi="Arial Narrow" w:cs="Arial"/>
          <w:i/>
          <w:sz w:val="18"/>
          <w:szCs w:val="18"/>
          <w:lang w:eastAsia="en-AU"/>
        </w:rPr>
        <w:t xml:space="preserve"> </w:t>
      </w:r>
      <w:r w:rsidR="00711FC3">
        <w:rPr>
          <w:rFonts w:ascii="Arial Narrow" w:eastAsia="Times New Roman" w:hAnsi="Arial Narrow" w:cs="Arial"/>
          <w:i/>
          <w:sz w:val="18"/>
          <w:szCs w:val="18"/>
          <w:lang w:eastAsia="en-AU"/>
        </w:rPr>
        <w:t>$7</w:t>
      </w:r>
      <w:r w:rsidR="00711FC3" w:rsidRPr="0090640F">
        <w:rPr>
          <w:rFonts w:ascii="Arial Narrow" w:eastAsia="Times New Roman" w:hAnsi="Arial Narrow" w:cs="Arial"/>
          <w:i/>
          <w:sz w:val="18"/>
          <w:szCs w:val="18"/>
          <w:lang w:eastAsia="en-AU"/>
        </w:rPr>
        <w:t>5,000 to &lt; $</w:t>
      </w:r>
      <w:r w:rsidR="00711FC3">
        <w:rPr>
          <w:rFonts w:ascii="Arial Narrow" w:eastAsia="Times New Roman" w:hAnsi="Arial Narrow" w:cs="Arial"/>
          <w:i/>
          <w:sz w:val="18"/>
          <w:szCs w:val="18"/>
          <w:lang w:eastAsia="en-AU"/>
        </w:rPr>
        <w:t>9</w:t>
      </w:r>
      <w:r w:rsidR="00711FC3" w:rsidRPr="0090640F">
        <w:rPr>
          <w:rFonts w:ascii="Arial Narrow" w:eastAsia="Times New Roman" w:hAnsi="Arial Narrow" w:cs="Arial"/>
          <w:i/>
          <w:sz w:val="18"/>
          <w:szCs w:val="18"/>
          <w:lang w:eastAsia="en-AU"/>
        </w:rPr>
        <w:t>5,000</w:t>
      </w:r>
    </w:p>
    <w:p w14:paraId="0C330AB7" w14:textId="469EA442" w:rsidR="0090640F" w:rsidRDefault="0090640F" w:rsidP="0090640F">
      <w:pPr>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5</w:t>
      </w:r>
      <w:r>
        <w:rPr>
          <w:rFonts w:ascii="Arial Narrow" w:eastAsia="Times New Roman" w:hAnsi="Arial Narrow" w:cs="Arial"/>
          <w:i/>
          <w:sz w:val="18"/>
          <w:szCs w:val="18"/>
          <w:lang w:eastAsia="en-AU"/>
        </w:rPr>
        <w:t xml:space="preserve"> $</w:t>
      </w:r>
      <w:bookmarkStart w:id="106" w:name="_Hlk114128028"/>
      <w:r w:rsidR="00711FC3" w:rsidRPr="00711FC3">
        <w:rPr>
          <w:rFonts w:ascii="Arial Narrow" w:eastAsia="Times New Roman" w:hAnsi="Arial Narrow" w:cs="Arial"/>
          <w:i/>
          <w:sz w:val="18"/>
          <w:szCs w:val="18"/>
          <w:lang w:eastAsia="en-AU"/>
        </w:rPr>
        <w:t>95,000 to &lt; $115,000</w:t>
      </w:r>
      <w:bookmarkEnd w:id="106"/>
    </w:p>
    <w:p w14:paraId="0C7570C5" w14:textId="7172F94C" w:rsidR="0090640F" w:rsidRDefault="0090640F" w:rsidP="0090640F">
      <w:pPr>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6</w:t>
      </w:r>
      <w:r>
        <w:rPr>
          <w:rFonts w:ascii="Arial Narrow" w:eastAsia="Times New Roman" w:hAnsi="Arial Narrow" w:cs="Arial"/>
          <w:i/>
          <w:sz w:val="18"/>
          <w:szCs w:val="18"/>
          <w:lang w:eastAsia="en-AU"/>
        </w:rPr>
        <w:t xml:space="preserve"> </w:t>
      </w:r>
      <w:bookmarkStart w:id="107" w:name="_Hlk114127891"/>
      <w:r w:rsidR="00711FC3" w:rsidRPr="00711FC3">
        <w:rPr>
          <w:rFonts w:ascii="Arial Narrow" w:eastAsia="Times New Roman" w:hAnsi="Arial Narrow" w:cs="Arial"/>
          <w:i/>
          <w:sz w:val="18"/>
          <w:szCs w:val="18"/>
          <w:lang w:eastAsia="en-AU"/>
        </w:rPr>
        <w:t>$155,000 to &lt; $255,000</w:t>
      </w:r>
      <w:bookmarkEnd w:id="105"/>
      <w:bookmarkEnd w:id="107"/>
    </w:p>
    <w:p w14:paraId="0B3F6196" w14:textId="77777777" w:rsidR="0090640F" w:rsidRPr="00E050AF" w:rsidRDefault="0090640F" w:rsidP="00AB43EA">
      <w:pPr>
        <w:pStyle w:val="TableFooter"/>
      </w:pPr>
    </w:p>
    <w:p w14:paraId="276FD072" w14:textId="04EE98C0" w:rsidR="00A038C6" w:rsidRPr="00E050AF" w:rsidRDefault="00A038C6" w:rsidP="009D3CDF">
      <w:pPr>
        <w:pStyle w:val="ListParagraph"/>
        <w:numPr>
          <w:ilvl w:val="4"/>
          <w:numId w:val="8"/>
        </w:numPr>
      </w:pPr>
      <w:r w:rsidRPr="00E050AF">
        <w:t xml:space="preserve">While the HRD test sensitivity and specificity was investigated in sensitivity analyses, it was not possible to conduct a sensitivity analysis to investigate changing the </w:t>
      </w:r>
      <w:r w:rsidR="00CF529A" w:rsidRPr="00E050AF">
        <w:rPr>
          <w:i/>
          <w:iCs/>
        </w:rPr>
        <w:t>BRCA</w:t>
      </w:r>
      <w:r w:rsidRPr="00E050AF">
        <w:t xml:space="preserve"> test sensitivity and specificity as there was no false positive arm built into the model. </w:t>
      </w:r>
      <w:r w:rsidR="00CF529A" w:rsidRPr="00E050AF">
        <w:rPr>
          <w:i/>
          <w:iCs/>
        </w:rPr>
        <w:t>BRCA</w:t>
      </w:r>
      <w:r w:rsidRPr="00E050AF">
        <w:t xml:space="preserve"> test sensitivity and specificity were assumed to be 100% in the model.</w:t>
      </w:r>
    </w:p>
    <w:p w14:paraId="7A464BDE" w14:textId="62AAB535" w:rsidR="008E18F3" w:rsidRPr="00E050AF" w:rsidRDefault="008E18F3" w:rsidP="009D3CDF">
      <w:pPr>
        <w:pStyle w:val="ListParagraph"/>
        <w:numPr>
          <w:ilvl w:val="4"/>
          <w:numId w:val="8"/>
        </w:numPr>
      </w:pPr>
      <w:r w:rsidRPr="00E050AF">
        <w:t>Given the key drivers identified above as well as the MSAC</w:t>
      </w:r>
      <w:r w:rsidR="00991D2B" w:rsidRPr="00E050AF">
        <w:t>-</w:t>
      </w:r>
      <w:r w:rsidRPr="00E050AF">
        <w:t xml:space="preserve">recommended changes in the fee for </w:t>
      </w:r>
      <w:r w:rsidR="00CF529A" w:rsidRPr="00E050AF">
        <w:rPr>
          <w:i/>
          <w:iCs/>
        </w:rPr>
        <w:t>BRCA</w:t>
      </w:r>
      <w:r w:rsidRPr="00E050AF">
        <w:t xml:space="preserve"> testing, several multivariate sensitivity analyses were conducted during the evaluation </w:t>
      </w:r>
      <w:r w:rsidR="004F062C" w:rsidRPr="00E050AF">
        <w:t>and for ESC, these are</w:t>
      </w:r>
      <w:r w:rsidRPr="00E050AF">
        <w:t xml:space="preserve"> summarised in the table below.</w:t>
      </w:r>
    </w:p>
    <w:p w14:paraId="5BA27156" w14:textId="734C0A0A" w:rsidR="008E18F3" w:rsidRPr="00E050AF" w:rsidRDefault="00CB7CCD" w:rsidP="00CB7CCD">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19</w:t>
      </w:r>
      <w:r w:rsidRPr="00E050AF">
        <w:rPr>
          <w:rStyle w:val="CommentReference"/>
          <w:b/>
          <w:szCs w:val="20"/>
        </w:rPr>
        <w:fldChar w:fldCharType="end"/>
      </w:r>
      <w:r w:rsidR="000A56C6" w:rsidRPr="00E050AF">
        <w:tab/>
      </w:r>
      <w:r w:rsidR="008E18F3" w:rsidRPr="00E050AF">
        <w:t>Multivariate sensitivity analyses conducted during evaluation</w:t>
      </w:r>
      <w:r w:rsidR="00DA0917" w:rsidRPr="00E050AF">
        <w:t xml:space="preserve"> and additional ESC</w:t>
      </w:r>
      <w:r w:rsidR="003D23FB" w:rsidRPr="00E050AF">
        <w:t>s</w:t>
      </w:r>
      <w:r w:rsidR="00DA0917" w:rsidRPr="00E050AF">
        <w:t xml:space="preserve"> </w:t>
      </w:r>
      <w:r w:rsidR="00222423" w:rsidRPr="00E050AF">
        <w:t xml:space="preserve">and PBAC </w:t>
      </w:r>
      <w:r w:rsidR="00DA0917" w:rsidRPr="00E050AF">
        <w:t>analyses</w:t>
      </w:r>
    </w:p>
    <w:tbl>
      <w:tblPr>
        <w:tblStyle w:val="AZTable"/>
        <w:tblW w:w="5000" w:type="pct"/>
        <w:tblLayout w:type="fixed"/>
        <w:tblLook w:val="06A0" w:firstRow="1" w:lastRow="0" w:firstColumn="1" w:lastColumn="0" w:noHBand="1" w:noVBand="1"/>
        <w:tblCaption w:val="Table 19 Multivariate sensitivity analyses conducted during evaluation and additional ESCs and PBAC analyses"/>
      </w:tblPr>
      <w:tblGrid>
        <w:gridCol w:w="4090"/>
        <w:gridCol w:w="1194"/>
        <w:gridCol w:w="1233"/>
        <w:gridCol w:w="1417"/>
        <w:gridCol w:w="1082"/>
      </w:tblGrid>
      <w:tr w:rsidR="008E18F3" w:rsidRPr="00E050AF" w14:paraId="10806895" w14:textId="77777777" w:rsidTr="00FD232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268" w:type="pct"/>
          </w:tcPr>
          <w:p w14:paraId="01E2D4CD" w14:textId="56A6A863" w:rsidR="008E18F3" w:rsidRPr="00E050AF" w:rsidRDefault="008E18F3" w:rsidP="00FD2322">
            <w:pPr>
              <w:pStyle w:val="In-tableHeading"/>
              <w:jc w:val="left"/>
              <w:rPr>
                <w:b/>
                <w:bCs/>
                <w:lang w:val="en-AU"/>
              </w:rPr>
            </w:pPr>
            <w:r w:rsidRPr="00E050AF">
              <w:rPr>
                <w:b/>
                <w:bCs/>
                <w:lang w:val="en-AU"/>
              </w:rPr>
              <w:t>Assumptions varied</w:t>
            </w:r>
          </w:p>
        </w:tc>
        <w:tc>
          <w:tcPr>
            <w:tcW w:w="662" w:type="pct"/>
          </w:tcPr>
          <w:p w14:paraId="760A66CE" w14:textId="77777777" w:rsidR="008E18F3" w:rsidRPr="00E050AF" w:rsidRDefault="008E18F3" w:rsidP="00FD2322">
            <w:pPr>
              <w:pStyle w:val="In-tableHeading"/>
              <w:cnfStyle w:val="100000000000" w:firstRow="1" w:lastRow="0" w:firstColumn="0" w:lastColumn="0" w:oddVBand="0" w:evenVBand="0" w:oddHBand="0" w:evenHBand="0" w:firstRowFirstColumn="0" w:firstRowLastColumn="0" w:lastRowFirstColumn="0" w:lastRowLastColumn="0"/>
              <w:rPr>
                <w:b/>
                <w:bCs/>
                <w:lang w:val="en-AU"/>
              </w:rPr>
            </w:pPr>
            <w:r w:rsidRPr="00E050AF">
              <w:rPr>
                <w:b/>
                <w:bCs/>
                <w:lang w:val="en-AU"/>
              </w:rPr>
              <w:t>Incremental costs</w:t>
            </w:r>
          </w:p>
        </w:tc>
        <w:tc>
          <w:tcPr>
            <w:tcW w:w="684" w:type="pct"/>
          </w:tcPr>
          <w:p w14:paraId="0816DEBC" w14:textId="77777777" w:rsidR="008E18F3" w:rsidRPr="00E050AF" w:rsidRDefault="008E18F3" w:rsidP="00FD2322">
            <w:pPr>
              <w:pStyle w:val="In-tableHeading"/>
              <w:cnfStyle w:val="100000000000" w:firstRow="1" w:lastRow="0" w:firstColumn="0" w:lastColumn="0" w:oddVBand="0" w:evenVBand="0" w:oddHBand="0" w:evenHBand="0" w:firstRowFirstColumn="0" w:firstRowLastColumn="0" w:lastRowFirstColumn="0" w:lastRowLastColumn="0"/>
              <w:rPr>
                <w:b/>
                <w:bCs/>
                <w:lang w:val="en-AU"/>
              </w:rPr>
            </w:pPr>
            <w:r w:rsidRPr="00E050AF">
              <w:rPr>
                <w:b/>
                <w:bCs/>
                <w:lang w:val="en-AU"/>
              </w:rPr>
              <w:t>Incremental QALYs</w:t>
            </w:r>
          </w:p>
        </w:tc>
        <w:tc>
          <w:tcPr>
            <w:tcW w:w="786" w:type="pct"/>
          </w:tcPr>
          <w:p w14:paraId="706B7A15" w14:textId="77777777" w:rsidR="008E18F3" w:rsidRPr="00E050AF" w:rsidRDefault="008E18F3" w:rsidP="00FD2322">
            <w:pPr>
              <w:pStyle w:val="In-tableHeading"/>
              <w:cnfStyle w:val="100000000000" w:firstRow="1" w:lastRow="0" w:firstColumn="0" w:lastColumn="0" w:oddVBand="0" w:evenVBand="0" w:oddHBand="0" w:evenHBand="0" w:firstRowFirstColumn="0" w:firstRowLastColumn="0" w:lastRowFirstColumn="0" w:lastRowLastColumn="0"/>
              <w:rPr>
                <w:bCs/>
                <w:lang w:val="en-AU"/>
              </w:rPr>
            </w:pPr>
            <w:r w:rsidRPr="00E050AF">
              <w:rPr>
                <w:b/>
                <w:bCs/>
                <w:lang w:val="en-AU"/>
              </w:rPr>
              <w:t xml:space="preserve">ICER </w:t>
            </w:r>
          </w:p>
          <w:p w14:paraId="663762C6" w14:textId="77777777" w:rsidR="008E18F3" w:rsidRPr="00E050AF" w:rsidRDefault="008E18F3" w:rsidP="00FD2322">
            <w:pPr>
              <w:pStyle w:val="In-tableHeading"/>
              <w:cnfStyle w:val="100000000000" w:firstRow="1" w:lastRow="0" w:firstColumn="0" w:lastColumn="0" w:oddVBand="0" w:evenVBand="0" w:oddHBand="0" w:evenHBand="0" w:firstRowFirstColumn="0" w:firstRowLastColumn="0" w:lastRowFirstColumn="0" w:lastRowLastColumn="0"/>
              <w:rPr>
                <w:b/>
                <w:bCs/>
                <w:lang w:val="en-AU"/>
              </w:rPr>
            </w:pPr>
            <w:r w:rsidRPr="00E050AF">
              <w:rPr>
                <w:b/>
                <w:bCs/>
                <w:lang w:val="en-AU"/>
              </w:rPr>
              <w:t>versus bevacizumab</w:t>
            </w:r>
          </w:p>
        </w:tc>
        <w:tc>
          <w:tcPr>
            <w:tcW w:w="600" w:type="pct"/>
          </w:tcPr>
          <w:p w14:paraId="75D53C8A" w14:textId="77777777" w:rsidR="008E18F3" w:rsidRPr="00E050AF" w:rsidRDefault="008E18F3" w:rsidP="00FD2322">
            <w:pPr>
              <w:pStyle w:val="In-tableHeading"/>
              <w:cnfStyle w:val="100000000000" w:firstRow="1" w:lastRow="0" w:firstColumn="0" w:lastColumn="0" w:oddVBand="0" w:evenVBand="0" w:oddHBand="0" w:evenHBand="0" w:firstRowFirstColumn="0" w:firstRowLastColumn="0" w:lastRowFirstColumn="0" w:lastRowLastColumn="0"/>
              <w:rPr>
                <w:b/>
                <w:bCs/>
                <w:lang w:val="en-AU"/>
              </w:rPr>
            </w:pPr>
            <w:r w:rsidRPr="00E050AF">
              <w:rPr>
                <w:b/>
                <w:bCs/>
                <w:lang w:val="en-AU"/>
              </w:rPr>
              <w:t>% change from base case</w:t>
            </w:r>
          </w:p>
        </w:tc>
      </w:tr>
      <w:tr w:rsidR="008E18F3" w:rsidRPr="00E050AF" w14:paraId="647BF425" w14:textId="77777777" w:rsidTr="00FD2322">
        <w:trPr>
          <w:cantSplit/>
        </w:trPr>
        <w:tc>
          <w:tcPr>
            <w:cnfStyle w:val="001000000000" w:firstRow="0" w:lastRow="0" w:firstColumn="1" w:lastColumn="0" w:oddVBand="0" w:evenVBand="0" w:oddHBand="0" w:evenHBand="0" w:firstRowFirstColumn="0" w:firstRowLastColumn="0" w:lastRowFirstColumn="0" w:lastRowLastColumn="0"/>
            <w:tcW w:w="2268" w:type="pct"/>
            <w:vAlign w:val="center"/>
          </w:tcPr>
          <w:p w14:paraId="2938C5B7" w14:textId="77777777" w:rsidR="008E18F3" w:rsidRPr="00E050AF" w:rsidRDefault="008E18F3" w:rsidP="00CD435E">
            <w:pPr>
              <w:pStyle w:val="TableText"/>
              <w:keepNext/>
            </w:pPr>
            <w:r w:rsidRPr="00E050AF">
              <w:rPr>
                <w:b/>
                <w:bCs/>
              </w:rPr>
              <w:t>Base case</w:t>
            </w:r>
          </w:p>
        </w:tc>
        <w:tc>
          <w:tcPr>
            <w:tcW w:w="662" w:type="pct"/>
            <w:vAlign w:val="center"/>
          </w:tcPr>
          <w:p w14:paraId="0205D00E" w14:textId="1674F65F" w:rsidR="008E18F3" w:rsidRPr="00E050AF" w:rsidRDefault="008E18F3" w:rsidP="00CD435E">
            <w:pPr>
              <w:pStyle w:val="TableText"/>
              <w:keepNext/>
              <w:jc w:val="center"/>
              <w:cnfStyle w:val="000000000000" w:firstRow="0" w:lastRow="0" w:firstColumn="0" w:lastColumn="0" w:oddVBand="0" w:evenVBand="0" w:oddHBand="0" w:evenHBand="0" w:firstRowFirstColumn="0" w:firstRowLastColumn="0" w:lastRowFirstColumn="0" w:lastRowLastColumn="0"/>
            </w:pPr>
            <w:r w:rsidRPr="00E050AF">
              <w:rPr>
                <w:b/>
                <w:bCs/>
              </w:rPr>
              <w:t>$</w:t>
            </w:r>
            <w:r w:rsidR="00602B47" w:rsidRPr="00602B47">
              <w:rPr>
                <w:rFonts w:hint="eastAsia"/>
                <w:b/>
                <w:bCs/>
                <w:color w:val="000000"/>
                <w:w w:val="32"/>
                <w:shd w:val="solid" w:color="000000" w:fill="000000"/>
                <w:fitText w:val="147" w:id="-1435752192"/>
                <w14:textFill>
                  <w14:solidFill>
                    <w14:srgbClr w14:val="000000">
                      <w14:alpha w14:val="100000"/>
                    </w14:srgbClr>
                  </w14:solidFill>
                </w14:textFill>
              </w:rPr>
              <w:t xml:space="preserve">　</w:t>
            </w:r>
            <w:r w:rsidR="00602B47" w:rsidRPr="00602B47">
              <w:rPr>
                <w:b/>
                <w:bCs/>
                <w:color w:val="000000"/>
                <w:w w:val="32"/>
                <w:shd w:val="solid" w:color="000000" w:fill="000000"/>
                <w:fitText w:val="147" w:id="-1435752192"/>
                <w14:textFill>
                  <w14:solidFill>
                    <w14:srgbClr w14:val="000000">
                      <w14:alpha w14:val="100000"/>
                    </w14:srgbClr>
                  </w14:solidFill>
                </w14:textFill>
              </w:rPr>
              <w:t>|</w:t>
            </w:r>
            <w:r w:rsidR="00602B47" w:rsidRPr="00602B47">
              <w:rPr>
                <w:rFonts w:hint="eastAsia"/>
                <w:b/>
                <w:bCs/>
                <w:color w:val="000000"/>
                <w:spacing w:val="7"/>
                <w:w w:val="32"/>
                <w:shd w:val="solid" w:color="000000" w:fill="000000"/>
                <w:fitText w:val="147" w:id="-1435752192"/>
                <w14:textFill>
                  <w14:solidFill>
                    <w14:srgbClr w14:val="000000">
                      <w14:alpha w14:val="100000"/>
                    </w14:srgbClr>
                  </w14:solidFill>
                </w14:textFill>
              </w:rPr>
              <w:t xml:space="preserve">　</w:t>
            </w:r>
          </w:p>
        </w:tc>
        <w:tc>
          <w:tcPr>
            <w:tcW w:w="684" w:type="pct"/>
            <w:vAlign w:val="center"/>
          </w:tcPr>
          <w:p w14:paraId="340B6302" w14:textId="77777777" w:rsidR="008E18F3" w:rsidRPr="00E050AF" w:rsidRDefault="008E18F3" w:rsidP="00CD435E">
            <w:pPr>
              <w:pStyle w:val="TableText"/>
              <w:keepNext/>
              <w:jc w:val="center"/>
              <w:cnfStyle w:val="000000000000" w:firstRow="0" w:lastRow="0" w:firstColumn="0" w:lastColumn="0" w:oddVBand="0" w:evenVBand="0" w:oddHBand="0" w:evenHBand="0" w:firstRowFirstColumn="0" w:firstRowLastColumn="0" w:lastRowFirstColumn="0" w:lastRowLastColumn="0"/>
            </w:pPr>
            <w:r w:rsidRPr="00E050AF">
              <w:rPr>
                <w:b/>
                <w:bCs/>
              </w:rPr>
              <w:t>0.4616</w:t>
            </w:r>
          </w:p>
        </w:tc>
        <w:tc>
          <w:tcPr>
            <w:tcW w:w="786" w:type="pct"/>
            <w:vAlign w:val="center"/>
          </w:tcPr>
          <w:p w14:paraId="33E206DE" w14:textId="61E2E89D" w:rsidR="008E18F3" w:rsidRPr="00142C74" w:rsidRDefault="008E18F3" w:rsidP="00CD435E">
            <w:pPr>
              <w:pStyle w:val="TableText"/>
              <w:keepNext/>
              <w:jc w:val="center"/>
              <w:cnfStyle w:val="000000000000" w:firstRow="0" w:lastRow="0" w:firstColumn="0" w:lastColumn="0" w:oddVBand="0" w:evenVBand="0" w:oddHBand="0" w:evenHBand="0" w:firstRowFirstColumn="0" w:firstRowLastColumn="0" w:lastRowFirstColumn="0" w:lastRowLastColumn="0"/>
              <w:rPr>
                <w:vertAlign w:val="superscript"/>
              </w:rPr>
            </w:pPr>
            <w:r w:rsidRPr="00E050AF">
              <w:rPr>
                <w:b/>
                <w:bCs/>
              </w:rPr>
              <w:t>$</w:t>
            </w:r>
            <w:r w:rsidR="00602B47" w:rsidRPr="00602B47">
              <w:rPr>
                <w:rFonts w:hint="eastAsia"/>
                <w:b/>
                <w:bCs/>
                <w:color w:val="000000"/>
                <w:w w:val="15"/>
                <w:shd w:val="solid" w:color="000000" w:fill="000000"/>
                <w:fitText w:val="69" w:id="-1435752191"/>
                <w14:textFill>
                  <w14:solidFill>
                    <w14:srgbClr w14:val="000000">
                      <w14:alpha w14:val="100000"/>
                    </w14:srgbClr>
                  </w14:solidFill>
                </w14:textFill>
              </w:rPr>
              <w:t xml:space="preserve">　</w:t>
            </w:r>
            <w:r w:rsidR="00602B47" w:rsidRPr="00602B47">
              <w:rPr>
                <w:b/>
                <w:bCs/>
                <w:color w:val="000000"/>
                <w:w w:val="15"/>
                <w:shd w:val="solid" w:color="000000" w:fill="000000"/>
                <w:fitText w:val="69" w:id="-1435752191"/>
                <w14:textFill>
                  <w14:solidFill>
                    <w14:srgbClr w14:val="000000">
                      <w14:alpha w14:val="100000"/>
                    </w14:srgbClr>
                  </w14:solidFill>
                </w14:textFill>
              </w:rPr>
              <w:t>|</w:t>
            </w:r>
            <w:r w:rsidR="00602B47" w:rsidRPr="00602B47">
              <w:rPr>
                <w:rFonts w:hint="eastAsia"/>
                <w:b/>
                <w:bCs/>
                <w:color w:val="000000"/>
                <w:spacing w:val="2"/>
                <w:w w:val="15"/>
                <w:shd w:val="solid" w:color="000000" w:fill="000000"/>
                <w:fitText w:val="69" w:id="-1435752191"/>
                <w14:textFill>
                  <w14:solidFill>
                    <w14:srgbClr w14:val="000000">
                      <w14:alpha w14:val="100000"/>
                    </w14:srgbClr>
                  </w14:solidFill>
                </w14:textFill>
              </w:rPr>
              <w:t xml:space="preserve">　</w:t>
            </w:r>
            <w:r w:rsidR="00142C74">
              <w:rPr>
                <w:b/>
                <w:bCs/>
                <w:vertAlign w:val="superscript"/>
              </w:rPr>
              <w:t>1</w:t>
            </w:r>
          </w:p>
        </w:tc>
        <w:tc>
          <w:tcPr>
            <w:tcW w:w="600" w:type="pct"/>
            <w:vAlign w:val="center"/>
          </w:tcPr>
          <w:p w14:paraId="012E338A" w14:textId="77777777" w:rsidR="008E18F3" w:rsidRPr="00E050AF" w:rsidRDefault="008E18F3" w:rsidP="00CD435E">
            <w:pPr>
              <w:pStyle w:val="TableText"/>
              <w:keepNext/>
              <w:jc w:val="center"/>
              <w:cnfStyle w:val="000000000000" w:firstRow="0" w:lastRow="0" w:firstColumn="0" w:lastColumn="0" w:oddVBand="0" w:evenVBand="0" w:oddHBand="0" w:evenHBand="0" w:firstRowFirstColumn="0" w:firstRowLastColumn="0" w:lastRowFirstColumn="0" w:lastRowLastColumn="0"/>
            </w:pPr>
            <w:r w:rsidRPr="00E050AF">
              <w:rPr>
                <w:b/>
                <w:bCs/>
              </w:rPr>
              <w:t>NA</w:t>
            </w:r>
          </w:p>
        </w:tc>
      </w:tr>
      <w:tr w:rsidR="008E18F3" w:rsidRPr="00E050AF" w14:paraId="3493E940" w14:textId="77777777" w:rsidTr="00FD2322">
        <w:trPr>
          <w:cantSplit/>
        </w:trPr>
        <w:tc>
          <w:tcPr>
            <w:cnfStyle w:val="001000000000" w:firstRow="0" w:lastRow="0" w:firstColumn="1" w:lastColumn="0" w:oddVBand="0" w:evenVBand="0" w:oddHBand="0" w:evenHBand="0" w:firstRowFirstColumn="0" w:firstRowLastColumn="0" w:lastRowFirstColumn="0" w:lastRowLastColumn="0"/>
            <w:tcW w:w="2268" w:type="pct"/>
            <w:vAlign w:val="center"/>
          </w:tcPr>
          <w:p w14:paraId="7FF2974B" w14:textId="016ABCE6" w:rsidR="008E18F3" w:rsidRPr="00E050AF" w:rsidRDefault="008E18F3" w:rsidP="00FD2322">
            <w:pPr>
              <w:pStyle w:val="TableText"/>
            </w:pPr>
            <w:r w:rsidRPr="00E050AF">
              <w:t xml:space="preserve">Assume Weibull extrapolation for bevacizumab monotherapy PFS and time horizon 15 years and </w:t>
            </w:r>
            <w:r w:rsidR="00CF529A" w:rsidRPr="00E050AF">
              <w:rPr>
                <w:i/>
                <w:iCs/>
              </w:rPr>
              <w:t>BRCA</w:t>
            </w:r>
            <w:r w:rsidRPr="00E050AF">
              <w:t xml:space="preserve"> testing $1,000</w:t>
            </w:r>
            <w:r w:rsidR="00377F69" w:rsidRPr="00E050AF">
              <w:t>.</w:t>
            </w:r>
          </w:p>
        </w:tc>
        <w:tc>
          <w:tcPr>
            <w:tcW w:w="662" w:type="pct"/>
            <w:vAlign w:val="center"/>
          </w:tcPr>
          <w:p w14:paraId="18A30951" w14:textId="2A7CFEC3"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90"/>
                <w14:textFill>
                  <w14:solidFill>
                    <w14:srgbClr w14:val="000000">
                      <w14:alpha w14:val="100000"/>
                    </w14:srgbClr>
                  </w14:solidFill>
                </w14:textFill>
              </w:rPr>
              <w:t xml:space="preserve">　</w:t>
            </w:r>
            <w:r w:rsidR="00602B47" w:rsidRPr="00602B47">
              <w:rPr>
                <w:color w:val="000000"/>
                <w:w w:val="24"/>
                <w:shd w:val="solid" w:color="000000" w:fill="000000"/>
                <w:fitText w:val="108" w:id="-1435752190"/>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90"/>
                <w14:textFill>
                  <w14:solidFill>
                    <w14:srgbClr w14:val="000000">
                      <w14:alpha w14:val="100000"/>
                    </w14:srgbClr>
                  </w14:solidFill>
                </w14:textFill>
              </w:rPr>
              <w:t xml:space="preserve">　</w:t>
            </w:r>
          </w:p>
        </w:tc>
        <w:tc>
          <w:tcPr>
            <w:tcW w:w="684" w:type="pct"/>
            <w:vAlign w:val="center"/>
          </w:tcPr>
          <w:p w14:paraId="41A91FA6" w14:textId="77777777"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0.2880</w:t>
            </w:r>
          </w:p>
        </w:tc>
        <w:tc>
          <w:tcPr>
            <w:tcW w:w="786" w:type="pct"/>
            <w:vAlign w:val="center"/>
          </w:tcPr>
          <w:p w14:paraId="102FF820" w14:textId="6B60A334"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3973FA">
              <w:rPr>
                <w:rFonts w:hint="eastAsia"/>
                <w:color w:val="000000"/>
                <w:w w:val="15"/>
                <w:shd w:val="solid" w:color="000000" w:fill="000000"/>
                <w:fitText w:val="16" w:id="-1435752189"/>
                <w14:textFill>
                  <w14:solidFill>
                    <w14:srgbClr w14:val="000000">
                      <w14:alpha w14:val="100000"/>
                    </w14:srgbClr>
                  </w14:solidFill>
                </w14:textFill>
              </w:rPr>
              <w:t xml:space="preserve">　</w:t>
            </w:r>
            <w:r w:rsidR="00602B47" w:rsidRPr="003973FA">
              <w:rPr>
                <w:color w:val="000000"/>
                <w:w w:val="15"/>
                <w:shd w:val="solid" w:color="000000" w:fill="000000"/>
                <w:fitText w:val="16" w:id="-1435752189"/>
                <w14:textFill>
                  <w14:solidFill>
                    <w14:srgbClr w14:val="000000">
                      <w14:alpha w14:val="100000"/>
                    </w14:srgbClr>
                  </w14:solidFill>
                </w14:textFill>
              </w:rPr>
              <w:t>|</w:t>
            </w:r>
            <w:r w:rsidR="00602B47" w:rsidRPr="003973FA">
              <w:rPr>
                <w:rFonts w:hint="eastAsia"/>
                <w:color w:val="000000"/>
                <w:spacing w:val="-49"/>
                <w:w w:val="15"/>
                <w:shd w:val="solid" w:color="000000" w:fill="000000"/>
                <w:fitText w:val="16" w:id="-1435752189"/>
                <w14:textFill>
                  <w14:solidFill>
                    <w14:srgbClr w14:val="000000">
                      <w14:alpha w14:val="100000"/>
                    </w14:srgbClr>
                  </w14:solidFill>
                </w14:textFill>
              </w:rPr>
              <w:t xml:space="preserve">　</w:t>
            </w:r>
            <w:r w:rsidR="00142C74">
              <w:rPr>
                <w:b/>
                <w:bCs/>
                <w:vertAlign w:val="superscript"/>
              </w:rPr>
              <w:t>2</w:t>
            </w:r>
          </w:p>
        </w:tc>
        <w:tc>
          <w:tcPr>
            <w:tcW w:w="600" w:type="pct"/>
            <w:vAlign w:val="center"/>
          </w:tcPr>
          <w:p w14:paraId="1B4EAEC8" w14:textId="6B71CF70"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+6</w:t>
            </w:r>
            <w:r w:rsidR="00620793" w:rsidRPr="00E050AF">
              <w:t>4</w:t>
            </w:r>
            <w:r w:rsidRPr="00E050AF">
              <w:t>%</w:t>
            </w:r>
          </w:p>
        </w:tc>
      </w:tr>
      <w:tr w:rsidR="008E18F3" w:rsidRPr="00E050AF" w14:paraId="34D0C6BB" w14:textId="77777777" w:rsidTr="00FD2322">
        <w:trPr>
          <w:cantSplit/>
        </w:trPr>
        <w:tc>
          <w:tcPr>
            <w:cnfStyle w:val="001000000000" w:firstRow="0" w:lastRow="0" w:firstColumn="1" w:lastColumn="0" w:oddVBand="0" w:evenVBand="0" w:oddHBand="0" w:evenHBand="0" w:firstRowFirstColumn="0" w:firstRowLastColumn="0" w:lastRowFirstColumn="0" w:lastRowLastColumn="0"/>
            <w:tcW w:w="2268" w:type="pct"/>
            <w:vAlign w:val="center"/>
          </w:tcPr>
          <w:p w14:paraId="2AAB63E4" w14:textId="76DD741B" w:rsidR="008E18F3" w:rsidRPr="00E050AF" w:rsidRDefault="008E18F3" w:rsidP="00FD2322">
            <w:pPr>
              <w:pStyle w:val="TableText"/>
            </w:pPr>
            <w:r w:rsidRPr="00E050AF">
              <w:t xml:space="preserve">Assume cure fraction 25.45% for olaparib plus bevacizumab </w:t>
            </w:r>
            <w:r w:rsidRPr="00E050AF">
              <w:rPr>
                <w:vertAlign w:val="superscript"/>
              </w:rPr>
              <w:t xml:space="preserve">a </w:t>
            </w:r>
            <w:r w:rsidRPr="00E050AF">
              <w:t xml:space="preserve">and Weibull extrapolation for bevacizumab monotherapy PFS and </w:t>
            </w:r>
            <w:r w:rsidR="00CF529A" w:rsidRPr="00E050AF">
              <w:rPr>
                <w:i/>
                <w:iCs/>
              </w:rPr>
              <w:t>BRCA</w:t>
            </w:r>
            <w:r w:rsidRPr="00E050AF">
              <w:t xml:space="preserve"> testing $1,000</w:t>
            </w:r>
            <w:r w:rsidR="00377F69" w:rsidRPr="00E050AF">
              <w:t>.</w:t>
            </w:r>
          </w:p>
        </w:tc>
        <w:tc>
          <w:tcPr>
            <w:tcW w:w="662" w:type="pct"/>
            <w:vAlign w:val="center"/>
          </w:tcPr>
          <w:p w14:paraId="0C23F29B" w14:textId="367DD0BE"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8"/>
                <w14:textFill>
                  <w14:solidFill>
                    <w14:srgbClr w14:val="000000">
                      <w14:alpha w14:val="100000"/>
                    </w14:srgbClr>
                  </w14:solidFill>
                </w14:textFill>
              </w:rPr>
              <w:t xml:space="preserve">　</w:t>
            </w:r>
            <w:r w:rsidR="00602B47" w:rsidRPr="00602B47">
              <w:rPr>
                <w:color w:val="000000"/>
                <w:w w:val="24"/>
                <w:shd w:val="solid" w:color="000000" w:fill="000000"/>
                <w:fitText w:val="108" w:id="-1435752188"/>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8"/>
                <w14:textFill>
                  <w14:solidFill>
                    <w14:srgbClr w14:val="000000">
                      <w14:alpha w14:val="100000"/>
                    </w14:srgbClr>
                  </w14:solidFill>
                </w14:textFill>
              </w:rPr>
              <w:t xml:space="preserve">　</w:t>
            </w:r>
          </w:p>
        </w:tc>
        <w:tc>
          <w:tcPr>
            <w:tcW w:w="684" w:type="pct"/>
            <w:vAlign w:val="center"/>
          </w:tcPr>
          <w:p w14:paraId="5A1ED071" w14:textId="77777777"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0.1882</w:t>
            </w:r>
          </w:p>
        </w:tc>
        <w:tc>
          <w:tcPr>
            <w:tcW w:w="786" w:type="pct"/>
            <w:vAlign w:val="center"/>
          </w:tcPr>
          <w:p w14:paraId="6B2F585D" w14:textId="4A96A8D2"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3973FA">
              <w:rPr>
                <w:rFonts w:hint="eastAsia"/>
                <w:color w:val="000000"/>
                <w:w w:val="15"/>
                <w:shd w:val="solid" w:color="000000" w:fill="000000"/>
                <w:fitText w:val="16" w:id="-1435752187"/>
                <w14:textFill>
                  <w14:solidFill>
                    <w14:srgbClr w14:val="000000">
                      <w14:alpha w14:val="100000"/>
                    </w14:srgbClr>
                  </w14:solidFill>
                </w14:textFill>
              </w:rPr>
              <w:t xml:space="preserve">　</w:t>
            </w:r>
            <w:r w:rsidR="00602B47" w:rsidRPr="003973FA">
              <w:rPr>
                <w:color w:val="000000"/>
                <w:w w:val="15"/>
                <w:shd w:val="solid" w:color="000000" w:fill="000000"/>
                <w:fitText w:val="16" w:id="-1435752187"/>
                <w14:textFill>
                  <w14:solidFill>
                    <w14:srgbClr w14:val="000000">
                      <w14:alpha w14:val="100000"/>
                    </w14:srgbClr>
                  </w14:solidFill>
                </w14:textFill>
              </w:rPr>
              <w:t>|</w:t>
            </w:r>
            <w:r w:rsidR="00602B47" w:rsidRPr="003973FA">
              <w:rPr>
                <w:rFonts w:hint="eastAsia"/>
                <w:color w:val="000000"/>
                <w:spacing w:val="-49"/>
                <w:w w:val="15"/>
                <w:shd w:val="solid" w:color="000000" w:fill="000000"/>
                <w:fitText w:val="16" w:id="-1435752187"/>
                <w14:textFill>
                  <w14:solidFill>
                    <w14:srgbClr w14:val="000000">
                      <w14:alpha w14:val="100000"/>
                    </w14:srgbClr>
                  </w14:solidFill>
                </w14:textFill>
              </w:rPr>
              <w:t xml:space="preserve">　</w:t>
            </w:r>
            <w:r w:rsidR="00142C74">
              <w:rPr>
                <w:b/>
                <w:bCs/>
                <w:vertAlign w:val="superscript"/>
              </w:rPr>
              <w:t>3</w:t>
            </w:r>
          </w:p>
        </w:tc>
        <w:tc>
          <w:tcPr>
            <w:tcW w:w="600" w:type="pct"/>
            <w:vAlign w:val="center"/>
          </w:tcPr>
          <w:p w14:paraId="125DD569" w14:textId="082FDD53" w:rsidR="008E18F3" w:rsidRPr="00E050AF" w:rsidRDefault="008E18F3"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+156%</w:t>
            </w:r>
          </w:p>
        </w:tc>
      </w:tr>
      <w:tr w:rsidR="00A038C6" w:rsidRPr="00E050AF" w14:paraId="6742914D" w14:textId="77777777" w:rsidTr="00FD2322">
        <w:trPr>
          <w:cantSplit/>
        </w:trPr>
        <w:tc>
          <w:tcPr>
            <w:cnfStyle w:val="001000000000" w:firstRow="0" w:lastRow="0" w:firstColumn="1" w:lastColumn="0" w:oddVBand="0" w:evenVBand="0" w:oddHBand="0" w:evenHBand="0" w:firstRowFirstColumn="0" w:firstRowLastColumn="0" w:lastRowFirstColumn="0" w:lastRowLastColumn="0"/>
            <w:tcW w:w="2268" w:type="pct"/>
            <w:vAlign w:val="center"/>
          </w:tcPr>
          <w:p w14:paraId="7856AB5E" w14:textId="4493109D" w:rsidR="00A038C6" w:rsidRPr="00E050AF" w:rsidRDefault="00A038C6" w:rsidP="00FD2322">
            <w:pPr>
              <w:pStyle w:val="TableText"/>
            </w:pPr>
            <w:r w:rsidRPr="00E050AF">
              <w:t xml:space="preserve">Assume cure fraction 25.45% for olaparib plus bevacizumab </w:t>
            </w:r>
            <w:r w:rsidRPr="00E050AF">
              <w:rPr>
                <w:vertAlign w:val="superscript"/>
              </w:rPr>
              <w:t xml:space="preserve">a </w:t>
            </w:r>
            <w:r w:rsidRPr="00E050AF">
              <w:t xml:space="preserve">and 10.0% for bevacizumab monotherapy, </w:t>
            </w:r>
            <w:r w:rsidR="00CF529A" w:rsidRPr="00E050AF">
              <w:rPr>
                <w:i/>
                <w:iCs/>
              </w:rPr>
              <w:t>BRCA</w:t>
            </w:r>
            <w:r w:rsidRPr="00E050AF">
              <w:t xml:space="preserve"> testing $1,000.</w:t>
            </w:r>
          </w:p>
        </w:tc>
        <w:tc>
          <w:tcPr>
            <w:tcW w:w="662" w:type="pct"/>
            <w:vAlign w:val="center"/>
          </w:tcPr>
          <w:p w14:paraId="2FF9386D" w14:textId="7D4C10B2"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6"/>
                <w14:textFill>
                  <w14:solidFill>
                    <w14:srgbClr w14:val="000000">
                      <w14:alpha w14:val="100000"/>
                    </w14:srgbClr>
                  </w14:solidFill>
                </w14:textFill>
              </w:rPr>
              <w:t xml:space="preserve">　</w:t>
            </w:r>
            <w:r w:rsidR="00602B47" w:rsidRPr="00602B47">
              <w:rPr>
                <w:color w:val="000000"/>
                <w:w w:val="24"/>
                <w:shd w:val="solid" w:color="000000" w:fill="000000"/>
                <w:fitText w:val="108" w:id="-1435752186"/>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6"/>
                <w14:textFill>
                  <w14:solidFill>
                    <w14:srgbClr w14:val="000000">
                      <w14:alpha w14:val="100000"/>
                    </w14:srgbClr>
                  </w14:solidFill>
                </w14:textFill>
              </w:rPr>
              <w:t xml:space="preserve">　</w:t>
            </w:r>
          </w:p>
        </w:tc>
        <w:tc>
          <w:tcPr>
            <w:tcW w:w="684" w:type="pct"/>
            <w:vAlign w:val="center"/>
          </w:tcPr>
          <w:p w14:paraId="06F66A12" w14:textId="77777777"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0.2500</w:t>
            </w:r>
          </w:p>
        </w:tc>
        <w:tc>
          <w:tcPr>
            <w:tcW w:w="786" w:type="pct"/>
            <w:vAlign w:val="center"/>
          </w:tcPr>
          <w:p w14:paraId="364FD80E" w14:textId="795CEB4E"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3973FA">
              <w:rPr>
                <w:rFonts w:hint="eastAsia"/>
                <w:color w:val="000000"/>
                <w:w w:val="15"/>
                <w:shd w:val="solid" w:color="000000" w:fill="000000"/>
                <w:fitText w:val="16" w:id="-1435752185"/>
                <w14:textFill>
                  <w14:solidFill>
                    <w14:srgbClr w14:val="000000">
                      <w14:alpha w14:val="100000"/>
                    </w14:srgbClr>
                  </w14:solidFill>
                </w14:textFill>
              </w:rPr>
              <w:t xml:space="preserve">　</w:t>
            </w:r>
            <w:r w:rsidR="00602B47" w:rsidRPr="003973FA">
              <w:rPr>
                <w:color w:val="000000"/>
                <w:w w:val="15"/>
                <w:shd w:val="solid" w:color="000000" w:fill="000000"/>
                <w:fitText w:val="16" w:id="-1435752185"/>
                <w14:textFill>
                  <w14:solidFill>
                    <w14:srgbClr w14:val="000000">
                      <w14:alpha w14:val="100000"/>
                    </w14:srgbClr>
                  </w14:solidFill>
                </w14:textFill>
              </w:rPr>
              <w:t>|</w:t>
            </w:r>
            <w:r w:rsidR="00602B47" w:rsidRPr="003973FA">
              <w:rPr>
                <w:rFonts w:hint="eastAsia"/>
                <w:color w:val="000000"/>
                <w:spacing w:val="-49"/>
                <w:w w:val="15"/>
                <w:shd w:val="solid" w:color="000000" w:fill="000000"/>
                <w:fitText w:val="16" w:id="-1435752185"/>
                <w14:textFill>
                  <w14:solidFill>
                    <w14:srgbClr w14:val="000000">
                      <w14:alpha w14:val="100000"/>
                    </w14:srgbClr>
                  </w14:solidFill>
                </w14:textFill>
              </w:rPr>
              <w:t xml:space="preserve">　</w:t>
            </w:r>
            <w:r w:rsidR="00142C74">
              <w:rPr>
                <w:b/>
                <w:bCs/>
                <w:vertAlign w:val="superscript"/>
              </w:rPr>
              <w:t>4</w:t>
            </w:r>
          </w:p>
        </w:tc>
        <w:tc>
          <w:tcPr>
            <w:tcW w:w="600" w:type="pct"/>
            <w:vAlign w:val="center"/>
          </w:tcPr>
          <w:p w14:paraId="30206EAC" w14:textId="2F4A6057"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+91%</w:t>
            </w:r>
          </w:p>
        </w:tc>
      </w:tr>
      <w:tr w:rsidR="00A038C6" w:rsidRPr="00E050AF" w14:paraId="5706E64C" w14:textId="77777777" w:rsidTr="00FD2322">
        <w:trPr>
          <w:cantSplit/>
        </w:trPr>
        <w:tc>
          <w:tcPr>
            <w:cnfStyle w:val="001000000000" w:firstRow="0" w:lastRow="0" w:firstColumn="1" w:lastColumn="0" w:oddVBand="0" w:evenVBand="0" w:oddHBand="0" w:evenHBand="0" w:firstRowFirstColumn="0" w:firstRowLastColumn="0" w:lastRowFirstColumn="0" w:lastRowLastColumn="0"/>
            <w:tcW w:w="2268" w:type="pct"/>
            <w:vAlign w:val="center"/>
          </w:tcPr>
          <w:p w14:paraId="7FCD287C" w14:textId="58F1331F" w:rsidR="00A038C6" w:rsidRPr="00E050AF" w:rsidRDefault="00A038C6" w:rsidP="00FD2322">
            <w:pPr>
              <w:pStyle w:val="TableText"/>
            </w:pPr>
            <w:r w:rsidRPr="00E050AF">
              <w:t>Assume cure fraction 25.45% for olaparib plus bevacizumab</w:t>
            </w:r>
            <w:r w:rsidRPr="00E050AF">
              <w:rPr>
                <w:vertAlign w:val="superscript"/>
              </w:rPr>
              <w:t xml:space="preserve">a </w:t>
            </w:r>
            <w:r w:rsidRPr="00E050AF">
              <w:t>and 18.0% for bevacizumab monotherapy</w:t>
            </w:r>
            <w:r w:rsidRPr="00E050AF">
              <w:rPr>
                <w:vertAlign w:val="superscript"/>
              </w:rPr>
              <w:t>b</w:t>
            </w:r>
            <w:r w:rsidRPr="00E050AF">
              <w:t xml:space="preserve">, </w:t>
            </w:r>
            <w:r w:rsidR="00CF529A" w:rsidRPr="00E050AF">
              <w:rPr>
                <w:i/>
                <w:iCs/>
              </w:rPr>
              <w:t>BRCA</w:t>
            </w:r>
            <w:r w:rsidRPr="00E050AF">
              <w:t xml:space="preserve"> testing $1,000.</w:t>
            </w:r>
          </w:p>
        </w:tc>
        <w:tc>
          <w:tcPr>
            <w:tcW w:w="662" w:type="pct"/>
            <w:vAlign w:val="center"/>
          </w:tcPr>
          <w:p w14:paraId="7C97245D" w14:textId="1EFC6FB4"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4"/>
                <w14:textFill>
                  <w14:solidFill>
                    <w14:srgbClr w14:val="000000">
                      <w14:alpha w14:val="100000"/>
                    </w14:srgbClr>
                  </w14:solidFill>
                </w14:textFill>
              </w:rPr>
              <w:t xml:space="preserve">　</w:t>
            </w:r>
            <w:r w:rsidR="00602B47" w:rsidRPr="00602B47">
              <w:rPr>
                <w:color w:val="000000"/>
                <w:w w:val="24"/>
                <w:shd w:val="solid" w:color="000000" w:fill="000000"/>
                <w:fitText w:val="108" w:id="-1435752184"/>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4"/>
                <w14:textFill>
                  <w14:solidFill>
                    <w14:srgbClr w14:val="000000">
                      <w14:alpha w14:val="100000"/>
                    </w14:srgbClr>
                  </w14:solidFill>
                </w14:textFill>
              </w:rPr>
              <w:t xml:space="preserve">　</w:t>
            </w:r>
          </w:p>
        </w:tc>
        <w:tc>
          <w:tcPr>
            <w:tcW w:w="684" w:type="pct"/>
            <w:vAlign w:val="center"/>
          </w:tcPr>
          <w:p w14:paraId="4D5B05C9" w14:textId="77777777"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0.1525</w:t>
            </w:r>
          </w:p>
        </w:tc>
        <w:tc>
          <w:tcPr>
            <w:tcW w:w="786" w:type="pct"/>
            <w:vAlign w:val="center"/>
          </w:tcPr>
          <w:p w14:paraId="37F9CF8E" w14:textId="2CA0CB66"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3973FA">
              <w:rPr>
                <w:rFonts w:hint="eastAsia"/>
                <w:color w:val="000000"/>
                <w:w w:val="15"/>
                <w:shd w:val="solid" w:color="000000" w:fill="000000"/>
                <w:fitText w:val="16" w:id="-1435752183"/>
                <w14:textFill>
                  <w14:solidFill>
                    <w14:srgbClr w14:val="000000">
                      <w14:alpha w14:val="100000"/>
                    </w14:srgbClr>
                  </w14:solidFill>
                </w14:textFill>
              </w:rPr>
              <w:t xml:space="preserve">　</w:t>
            </w:r>
            <w:r w:rsidR="00602B47" w:rsidRPr="003973FA">
              <w:rPr>
                <w:color w:val="000000"/>
                <w:w w:val="15"/>
                <w:shd w:val="solid" w:color="000000" w:fill="000000"/>
                <w:fitText w:val="16" w:id="-1435752183"/>
                <w14:textFill>
                  <w14:solidFill>
                    <w14:srgbClr w14:val="000000">
                      <w14:alpha w14:val="100000"/>
                    </w14:srgbClr>
                  </w14:solidFill>
                </w14:textFill>
              </w:rPr>
              <w:t>|</w:t>
            </w:r>
            <w:r w:rsidR="00602B47" w:rsidRPr="003973FA">
              <w:rPr>
                <w:rFonts w:hint="eastAsia"/>
                <w:color w:val="000000"/>
                <w:spacing w:val="-49"/>
                <w:w w:val="15"/>
                <w:shd w:val="solid" w:color="000000" w:fill="000000"/>
                <w:fitText w:val="16" w:id="-1435752183"/>
                <w14:textFill>
                  <w14:solidFill>
                    <w14:srgbClr w14:val="000000">
                      <w14:alpha w14:val="100000"/>
                    </w14:srgbClr>
                  </w14:solidFill>
                </w14:textFill>
              </w:rPr>
              <w:t xml:space="preserve">　</w:t>
            </w:r>
            <w:r w:rsidR="00142C74">
              <w:rPr>
                <w:b/>
                <w:bCs/>
                <w:vertAlign w:val="superscript"/>
              </w:rPr>
              <w:t>5</w:t>
            </w:r>
          </w:p>
        </w:tc>
        <w:tc>
          <w:tcPr>
            <w:tcW w:w="600" w:type="pct"/>
            <w:vAlign w:val="center"/>
          </w:tcPr>
          <w:p w14:paraId="059C44C5" w14:textId="535EC35E" w:rsidR="00A038C6" w:rsidRPr="00E050AF" w:rsidRDefault="00A038C6" w:rsidP="00FD2322">
            <w:pPr>
              <w:pStyle w:val="TableText"/>
              <w:jc w:val="center"/>
              <w:cnfStyle w:val="000000000000" w:firstRow="0" w:lastRow="0" w:firstColumn="0" w:lastColumn="0" w:oddVBand="0" w:evenVBand="0" w:oddHBand="0" w:evenHBand="0" w:firstRowFirstColumn="0" w:firstRowLastColumn="0" w:lastRowFirstColumn="0" w:lastRowLastColumn="0"/>
            </w:pPr>
            <w:r w:rsidRPr="00E050AF">
              <w:t>+21</w:t>
            </w:r>
            <w:r w:rsidR="00620793" w:rsidRPr="00E050AF">
              <w:t>8</w:t>
            </w:r>
            <w:r w:rsidRPr="00E050AF">
              <w:t>%</w:t>
            </w:r>
          </w:p>
        </w:tc>
      </w:tr>
      <w:tr w:rsidR="00DA0917" w:rsidRPr="00E050AF" w14:paraId="42D1B229" w14:textId="77777777" w:rsidTr="00FD2322">
        <w:trPr>
          <w:cantSplit/>
        </w:trPr>
        <w:tc>
          <w:tcPr>
            <w:cnfStyle w:val="001000000000" w:firstRow="0" w:lastRow="0" w:firstColumn="1" w:lastColumn="0" w:oddVBand="0" w:evenVBand="0" w:oddHBand="0" w:evenHBand="0" w:firstRowFirstColumn="0" w:firstRowLastColumn="0" w:lastRowFirstColumn="0" w:lastRowLastColumn="0"/>
            <w:tcW w:w="2268" w:type="pct"/>
            <w:vAlign w:val="center"/>
          </w:tcPr>
          <w:p w14:paraId="7B9681DD" w14:textId="34F59627" w:rsidR="00DA0917" w:rsidRPr="00E050AF" w:rsidRDefault="00DA0917" w:rsidP="00FA6B51">
            <w:pPr>
              <w:pStyle w:val="TableText"/>
              <w:keepNext/>
              <w:rPr>
                <w:b/>
                <w:bCs/>
              </w:rPr>
            </w:pPr>
            <w:r w:rsidRPr="00E050AF">
              <w:rPr>
                <w:b/>
                <w:bCs/>
              </w:rPr>
              <w:t>Additional ESC</w:t>
            </w:r>
            <w:r w:rsidR="003D23FB" w:rsidRPr="00E050AF">
              <w:rPr>
                <w:b/>
                <w:bCs/>
              </w:rPr>
              <w:t>s</w:t>
            </w:r>
            <w:r w:rsidRPr="00E050AF">
              <w:rPr>
                <w:b/>
                <w:bCs/>
              </w:rPr>
              <w:t xml:space="preserve"> analys</w:t>
            </w:r>
            <w:r w:rsidR="00377F69" w:rsidRPr="00E050AF">
              <w:rPr>
                <w:b/>
                <w:bCs/>
              </w:rPr>
              <w:t>i</w:t>
            </w:r>
            <w:r w:rsidRPr="00E050AF">
              <w:rPr>
                <w:b/>
                <w:bCs/>
              </w:rPr>
              <w:t>s</w:t>
            </w:r>
          </w:p>
        </w:tc>
        <w:tc>
          <w:tcPr>
            <w:tcW w:w="662" w:type="pct"/>
            <w:vAlign w:val="center"/>
          </w:tcPr>
          <w:p w14:paraId="58010141" w14:textId="77777777" w:rsidR="00DA0917" w:rsidRPr="00E050AF" w:rsidRDefault="00DA0917" w:rsidP="00FA6B51">
            <w:pPr>
              <w:pStyle w:val="TableText"/>
              <w:keepNext/>
              <w:jc w:val="center"/>
              <w:cnfStyle w:val="000000000000" w:firstRow="0" w:lastRow="0" w:firstColumn="0" w:lastColumn="0" w:oddVBand="0" w:evenVBand="0" w:oddHBand="0" w:evenHBand="0" w:firstRowFirstColumn="0" w:firstRowLastColumn="0" w:lastRowFirstColumn="0" w:lastRowLastColumn="0"/>
            </w:pPr>
          </w:p>
        </w:tc>
        <w:tc>
          <w:tcPr>
            <w:tcW w:w="684" w:type="pct"/>
            <w:vAlign w:val="center"/>
          </w:tcPr>
          <w:p w14:paraId="399A1220" w14:textId="77777777" w:rsidR="00DA0917" w:rsidRPr="00E050AF" w:rsidRDefault="00DA0917" w:rsidP="00FA6B51">
            <w:pPr>
              <w:pStyle w:val="TableText"/>
              <w:keepNext/>
              <w:jc w:val="center"/>
              <w:cnfStyle w:val="000000000000" w:firstRow="0" w:lastRow="0" w:firstColumn="0" w:lastColumn="0" w:oddVBand="0" w:evenVBand="0" w:oddHBand="0" w:evenHBand="0" w:firstRowFirstColumn="0" w:firstRowLastColumn="0" w:lastRowFirstColumn="0" w:lastRowLastColumn="0"/>
            </w:pPr>
          </w:p>
        </w:tc>
        <w:tc>
          <w:tcPr>
            <w:tcW w:w="786" w:type="pct"/>
            <w:vAlign w:val="center"/>
          </w:tcPr>
          <w:p w14:paraId="66B62499" w14:textId="77777777" w:rsidR="00DA0917" w:rsidRPr="00E050AF" w:rsidRDefault="00DA0917" w:rsidP="00FA6B51">
            <w:pPr>
              <w:pStyle w:val="TableText"/>
              <w:keepNext/>
              <w:jc w:val="center"/>
              <w:cnfStyle w:val="000000000000" w:firstRow="0" w:lastRow="0" w:firstColumn="0" w:lastColumn="0" w:oddVBand="0" w:evenVBand="0" w:oddHBand="0" w:evenHBand="0" w:firstRowFirstColumn="0" w:firstRowLastColumn="0" w:lastRowFirstColumn="0" w:lastRowLastColumn="0"/>
            </w:pPr>
          </w:p>
        </w:tc>
        <w:tc>
          <w:tcPr>
            <w:tcW w:w="600" w:type="pct"/>
            <w:vAlign w:val="center"/>
          </w:tcPr>
          <w:p w14:paraId="74A6ECA7" w14:textId="77777777" w:rsidR="00DA0917" w:rsidRPr="00E050AF" w:rsidRDefault="00DA0917" w:rsidP="00FA6B51">
            <w:pPr>
              <w:pStyle w:val="TableText"/>
              <w:keepNext/>
              <w:jc w:val="center"/>
              <w:cnfStyle w:val="000000000000" w:firstRow="0" w:lastRow="0" w:firstColumn="0" w:lastColumn="0" w:oddVBand="0" w:evenVBand="0" w:oddHBand="0" w:evenHBand="0" w:firstRowFirstColumn="0" w:firstRowLastColumn="0" w:lastRowFirstColumn="0" w:lastRowLastColumn="0"/>
            </w:pPr>
          </w:p>
        </w:tc>
      </w:tr>
      <w:tr w:rsidR="00DA0917" w:rsidRPr="00E050AF" w14:paraId="2A1AA523" w14:textId="5D5D4DFD" w:rsidTr="00FD2322">
        <w:trPr>
          <w:cantSplit/>
        </w:trPr>
        <w:tc>
          <w:tcPr>
            <w:cnfStyle w:val="001000000000" w:firstRow="0" w:lastRow="0" w:firstColumn="1" w:lastColumn="0" w:oddVBand="0" w:evenVBand="0" w:oddHBand="0" w:evenHBand="0" w:firstRowFirstColumn="0" w:firstRowLastColumn="0" w:lastRowFirstColumn="0" w:lastRowLastColumn="0"/>
            <w:tcW w:w="2268" w:type="pct"/>
            <w:vAlign w:val="center"/>
          </w:tcPr>
          <w:p w14:paraId="0103BAEB" w14:textId="70DEF0B2" w:rsidR="00DA0917" w:rsidRPr="00E050AF" w:rsidRDefault="00DA0917" w:rsidP="00FD2322">
            <w:pPr>
              <w:pStyle w:val="TableText"/>
              <w:keepLines/>
            </w:pPr>
            <w:r w:rsidRPr="00E050AF">
              <w:t>ESC</w:t>
            </w:r>
            <w:r w:rsidR="003D23FB" w:rsidRPr="00E050AF">
              <w:t>s</w:t>
            </w:r>
            <w:r w:rsidRPr="00E050AF">
              <w:t xml:space="preserve"> respecified base case: </w:t>
            </w:r>
            <w:r w:rsidR="00377F69" w:rsidRPr="00E050AF">
              <w:t>a</w:t>
            </w:r>
            <w:r w:rsidRPr="00E050AF">
              <w:t xml:space="preserve">ssume Weibull extrapolation for bevacizumab monotherapy PFS, time horizon 15 years and using progressed disease utility from PAOLA-1 (0.720) and </w:t>
            </w:r>
            <w:r w:rsidR="00CF529A" w:rsidRPr="00E050AF">
              <w:rPr>
                <w:i/>
                <w:iCs/>
              </w:rPr>
              <w:t>BRCA</w:t>
            </w:r>
            <w:r w:rsidRPr="00E050AF">
              <w:t xml:space="preserve"> testing $1,000</w:t>
            </w:r>
            <w:r w:rsidR="00377F69" w:rsidRPr="00E050AF">
              <w:t>.</w:t>
            </w:r>
          </w:p>
        </w:tc>
        <w:tc>
          <w:tcPr>
            <w:tcW w:w="662" w:type="pct"/>
            <w:vAlign w:val="center"/>
          </w:tcPr>
          <w:p w14:paraId="072671E9" w14:textId="260F216A" w:rsidR="00DA0917" w:rsidRPr="00E050AF" w:rsidRDefault="00DA0917" w:rsidP="00FD2322">
            <w:pPr>
              <w:pStyle w:val="TableText"/>
              <w:keepLines/>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602B47">
              <w:rPr>
                <w:rFonts w:hint="eastAsia"/>
                <w:color w:val="000000"/>
                <w:w w:val="24"/>
                <w:shd w:val="solid" w:color="000000" w:fill="000000"/>
                <w:fitText w:val="108" w:id="-1435752182"/>
                <w14:textFill>
                  <w14:solidFill>
                    <w14:srgbClr w14:val="000000">
                      <w14:alpha w14:val="100000"/>
                    </w14:srgbClr>
                  </w14:solidFill>
                </w14:textFill>
              </w:rPr>
              <w:t xml:space="preserve">　</w:t>
            </w:r>
            <w:r w:rsidR="00602B47" w:rsidRPr="00602B47">
              <w:rPr>
                <w:color w:val="000000"/>
                <w:w w:val="24"/>
                <w:shd w:val="solid" w:color="000000" w:fill="000000"/>
                <w:fitText w:val="108" w:id="-1435752182"/>
                <w14:textFill>
                  <w14:solidFill>
                    <w14:srgbClr w14:val="000000">
                      <w14:alpha w14:val="100000"/>
                    </w14:srgbClr>
                  </w14:solidFill>
                </w14:textFill>
              </w:rPr>
              <w:t>|</w:t>
            </w:r>
            <w:r w:rsidR="00602B47" w:rsidRPr="00602B47">
              <w:rPr>
                <w:rFonts w:hint="eastAsia"/>
                <w:color w:val="000000"/>
                <w:spacing w:val="4"/>
                <w:w w:val="24"/>
                <w:shd w:val="solid" w:color="000000" w:fill="000000"/>
                <w:fitText w:val="108" w:id="-1435752182"/>
                <w14:textFill>
                  <w14:solidFill>
                    <w14:srgbClr w14:val="000000">
                      <w14:alpha w14:val="100000"/>
                    </w14:srgbClr>
                  </w14:solidFill>
                </w14:textFill>
              </w:rPr>
              <w:t xml:space="preserve">　</w:t>
            </w:r>
          </w:p>
        </w:tc>
        <w:tc>
          <w:tcPr>
            <w:tcW w:w="684" w:type="pct"/>
            <w:vAlign w:val="center"/>
          </w:tcPr>
          <w:p w14:paraId="68ECB562" w14:textId="74890A9C" w:rsidR="00DA0917" w:rsidRPr="00E050AF" w:rsidRDefault="00DA0917" w:rsidP="00FD2322">
            <w:pPr>
              <w:pStyle w:val="TableText"/>
              <w:keepLines/>
              <w:jc w:val="center"/>
              <w:cnfStyle w:val="000000000000" w:firstRow="0" w:lastRow="0" w:firstColumn="0" w:lastColumn="0" w:oddVBand="0" w:evenVBand="0" w:oddHBand="0" w:evenHBand="0" w:firstRowFirstColumn="0" w:firstRowLastColumn="0" w:lastRowFirstColumn="0" w:lastRowLastColumn="0"/>
            </w:pPr>
            <w:r w:rsidRPr="00E050AF">
              <w:t>0.2434</w:t>
            </w:r>
          </w:p>
        </w:tc>
        <w:tc>
          <w:tcPr>
            <w:tcW w:w="786" w:type="pct"/>
            <w:vAlign w:val="center"/>
          </w:tcPr>
          <w:p w14:paraId="5BF76FB7" w14:textId="5F80A1B7" w:rsidR="00DA0917" w:rsidRPr="00E050AF" w:rsidRDefault="00DA0917" w:rsidP="00FD2322">
            <w:pPr>
              <w:pStyle w:val="TableText"/>
              <w:keepLines/>
              <w:jc w:val="center"/>
              <w:cnfStyle w:val="000000000000" w:firstRow="0" w:lastRow="0" w:firstColumn="0" w:lastColumn="0" w:oddVBand="0" w:evenVBand="0" w:oddHBand="0" w:evenHBand="0" w:firstRowFirstColumn="0" w:firstRowLastColumn="0" w:lastRowFirstColumn="0" w:lastRowLastColumn="0"/>
            </w:pPr>
            <w:r w:rsidRPr="00E050AF">
              <w:t>$</w:t>
            </w:r>
            <w:r w:rsidR="00602B47" w:rsidRPr="003973FA">
              <w:rPr>
                <w:rFonts w:hint="eastAsia"/>
                <w:color w:val="000000"/>
                <w:w w:val="15"/>
                <w:shd w:val="solid" w:color="000000" w:fill="000000"/>
                <w:fitText w:val="16" w:id="-1435752181"/>
                <w14:textFill>
                  <w14:solidFill>
                    <w14:srgbClr w14:val="000000">
                      <w14:alpha w14:val="100000"/>
                    </w14:srgbClr>
                  </w14:solidFill>
                </w14:textFill>
              </w:rPr>
              <w:t xml:space="preserve">　</w:t>
            </w:r>
            <w:r w:rsidR="00602B47" w:rsidRPr="003973FA">
              <w:rPr>
                <w:color w:val="000000"/>
                <w:w w:val="15"/>
                <w:shd w:val="solid" w:color="000000" w:fill="000000"/>
                <w:fitText w:val="16" w:id="-1435752181"/>
                <w14:textFill>
                  <w14:solidFill>
                    <w14:srgbClr w14:val="000000">
                      <w14:alpha w14:val="100000"/>
                    </w14:srgbClr>
                  </w14:solidFill>
                </w14:textFill>
              </w:rPr>
              <w:t>|</w:t>
            </w:r>
            <w:r w:rsidR="00602B47" w:rsidRPr="003973FA">
              <w:rPr>
                <w:rFonts w:hint="eastAsia"/>
                <w:color w:val="000000"/>
                <w:spacing w:val="-49"/>
                <w:w w:val="15"/>
                <w:shd w:val="solid" w:color="000000" w:fill="000000"/>
                <w:fitText w:val="16" w:id="-1435752181"/>
                <w14:textFill>
                  <w14:solidFill>
                    <w14:srgbClr w14:val="000000">
                      <w14:alpha w14:val="100000"/>
                    </w14:srgbClr>
                  </w14:solidFill>
                </w14:textFill>
              </w:rPr>
              <w:t xml:space="preserve">　</w:t>
            </w:r>
            <w:r w:rsidR="00142C74">
              <w:rPr>
                <w:b/>
                <w:bCs/>
                <w:vertAlign w:val="superscript"/>
              </w:rPr>
              <w:t>4</w:t>
            </w:r>
          </w:p>
        </w:tc>
        <w:tc>
          <w:tcPr>
            <w:tcW w:w="600" w:type="pct"/>
            <w:vAlign w:val="center"/>
          </w:tcPr>
          <w:p w14:paraId="3E85B26C" w14:textId="24B45ACA" w:rsidR="00DA0917" w:rsidRPr="00E050AF" w:rsidRDefault="00DA0917" w:rsidP="00FD2322">
            <w:pPr>
              <w:pStyle w:val="TableText"/>
              <w:keepLines/>
              <w:jc w:val="center"/>
              <w:cnfStyle w:val="000000000000" w:firstRow="0" w:lastRow="0" w:firstColumn="0" w:lastColumn="0" w:oddVBand="0" w:evenVBand="0" w:oddHBand="0" w:evenHBand="0" w:firstRowFirstColumn="0" w:firstRowLastColumn="0" w:lastRowFirstColumn="0" w:lastRowLastColumn="0"/>
            </w:pPr>
            <w:r w:rsidRPr="00E050AF">
              <w:t>+9</w:t>
            </w:r>
            <w:r w:rsidR="00620793" w:rsidRPr="00E050AF">
              <w:t>4</w:t>
            </w:r>
            <w:r w:rsidRPr="00E050AF">
              <w:t>%</w:t>
            </w:r>
          </w:p>
        </w:tc>
      </w:tr>
    </w:tbl>
    <w:p w14:paraId="42B8F651" w14:textId="638CFFB4" w:rsidR="008E18F3" w:rsidRPr="00E050AF" w:rsidRDefault="00275200" w:rsidP="00B707D9">
      <w:pPr>
        <w:pStyle w:val="TableFooter"/>
        <w:keepNext/>
      </w:pPr>
      <w:r w:rsidRPr="00E050AF">
        <w:rPr>
          <w:i/>
        </w:rPr>
        <w:t>BRCA</w:t>
      </w:r>
      <w:r w:rsidR="00B707D9" w:rsidRPr="00E050AF">
        <w:t xml:space="preserve"> = breast cancer gene; </w:t>
      </w:r>
      <w:r w:rsidR="008E18F3" w:rsidRPr="00E050AF">
        <w:t xml:space="preserve">ICER = incremental cost effectiveness ratio; </w:t>
      </w:r>
      <w:r w:rsidR="00B707D9" w:rsidRPr="00E050AF">
        <w:t xml:space="preserve">PFS = progression free survival; </w:t>
      </w:r>
      <w:r w:rsidR="008E18F3" w:rsidRPr="00E050AF">
        <w:t>QALY = quality adjusted life year</w:t>
      </w:r>
    </w:p>
    <w:p w14:paraId="4CCE4DB4" w14:textId="68CC4B50" w:rsidR="008E18F3" w:rsidRPr="00E050AF" w:rsidRDefault="008E18F3" w:rsidP="006855D2">
      <w:pPr>
        <w:pStyle w:val="TableFooter"/>
        <w:keepNext/>
      </w:pPr>
      <w:r w:rsidRPr="00E050AF">
        <w:rPr>
          <w:vertAlign w:val="superscript"/>
        </w:rPr>
        <w:t>a</w:t>
      </w:r>
      <w:r w:rsidRPr="00E050AF">
        <w:t xml:space="preserve"> Same as assumed for olaparib monotherapy in July 2020 resubmission for </w:t>
      </w:r>
      <w:r w:rsidR="00CF529A" w:rsidRPr="00E050AF">
        <w:rPr>
          <w:i/>
          <w:iCs/>
        </w:rPr>
        <w:t>BRCA</w:t>
      </w:r>
      <w:r w:rsidRPr="00E050AF">
        <w:t>m ovarian cancer</w:t>
      </w:r>
    </w:p>
    <w:p w14:paraId="0653BE57" w14:textId="0072268A" w:rsidR="00A038C6" w:rsidRPr="00E050AF" w:rsidRDefault="00A038C6" w:rsidP="006855D2">
      <w:pPr>
        <w:pStyle w:val="TableFooter"/>
        <w:keepNext/>
      </w:pPr>
      <w:r w:rsidRPr="00E050AF">
        <w:rPr>
          <w:vertAlign w:val="superscript"/>
        </w:rPr>
        <w:t>b</w:t>
      </w:r>
      <w:r w:rsidRPr="00E050AF">
        <w:t xml:space="preserve"> Same as assumed for placebo in July 2020 resubmission for </w:t>
      </w:r>
      <w:r w:rsidR="00CF529A" w:rsidRPr="00E050AF">
        <w:rPr>
          <w:i/>
          <w:iCs/>
        </w:rPr>
        <w:t>BRCA</w:t>
      </w:r>
      <w:r w:rsidRPr="00E050AF">
        <w:t>m ovarian cancer</w:t>
      </w:r>
    </w:p>
    <w:p w14:paraId="2187C8C9" w14:textId="4160A89B" w:rsidR="008E18F3" w:rsidRDefault="008E18F3" w:rsidP="008E18F3">
      <w:pPr>
        <w:pStyle w:val="TableFooter"/>
      </w:pPr>
      <w:r w:rsidRPr="00E050AF">
        <w:t>Source: Constructed during evaluation using Economic Evaluation.xls</w:t>
      </w:r>
    </w:p>
    <w:p w14:paraId="5C620058" w14:textId="77777777" w:rsidR="00142C74" w:rsidRPr="001D0E42" w:rsidRDefault="00142C74" w:rsidP="00142C74">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lang w:eastAsia="en-AU"/>
        </w:rPr>
        <w:t xml:space="preserve">The redacted values correspond to the following ranges: </w:t>
      </w:r>
    </w:p>
    <w:p w14:paraId="36B419EB" w14:textId="77777777" w:rsidR="00142C74" w:rsidRPr="001D0E42" w:rsidRDefault="00142C74" w:rsidP="00142C74">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1</w:t>
      </w:r>
      <w:r w:rsidRPr="001D0E42">
        <w:rPr>
          <w:rFonts w:ascii="Arial Narrow" w:eastAsia="Times New Roman" w:hAnsi="Arial Narrow" w:cs="Arial"/>
          <w:i/>
          <w:sz w:val="18"/>
          <w:szCs w:val="18"/>
          <w:lang w:eastAsia="en-AU"/>
        </w:rPr>
        <w:t xml:space="preserve"> </w:t>
      </w:r>
      <w:r>
        <w:rPr>
          <w:rFonts w:ascii="Arial Narrow" w:eastAsia="Times New Roman" w:hAnsi="Arial Narrow" w:cs="Arial"/>
          <w:i/>
          <w:sz w:val="18"/>
          <w:szCs w:val="18"/>
          <w:lang w:eastAsia="en-AU"/>
        </w:rPr>
        <w:t>$</w:t>
      </w:r>
      <w:r w:rsidRPr="0090640F">
        <w:rPr>
          <w:rFonts w:ascii="Arial Narrow" w:eastAsia="Times New Roman" w:hAnsi="Arial Narrow" w:cs="Arial"/>
          <w:i/>
          <w:sz w:val="18"/>
          <w:szCs w:val="18"/>
          <w:lang w:eastAsia="en-AU"/>
        </w:rPr>
        <w:t>45,000 to &lt; $55,000</w:t>
      </w:r>
    </w:p>
    <w:p w14:paraId="36532011" w14:textId="17C473D9" w:rsidR="00142C74" w:rsidRPr="009A6D58" w:rsidRDefault="00142C74" w:rsidP="00142C74">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$7</w:t>
      </w:r>
      <w:r w:rsidRPr="0090640F">
        <w:rPr>
          <w:rFonts w:ascii="Arial Narrow" w:eastAsia="Times New Roman" w:hAnsi="Arial Narrow" w:cs="Arial"/>
          <w:i/>
          <w:sz w:val="18"/>
          <w:szCs w:val="18"/>
          <w:lang w:eastAsia="en-AU"/>
        </w:rPr>
        <w:t>5,000 to &lt; $</w:t>
      </w:r>
      <w:r>
        <w:rPr>
          <w:rFonts w:ascii="Arial Narrow" w:eastAsia="Times New Roman" w:hAnsi="Arial Narrow" w:cs="Arial"/>
          <w:i/>
          <w:sz w:val="18"/>
          <w:szCs w:val="18"/>
          <w:lang w:eastAsia="en-AU"/>
        </w:rPr>
        <w:t>9</w:t>
      </w:r>
      <w:r w:rsidRPr="0090640F">
        <w:rPr>
          <w:rFonts w:ascii="Arial Narrow" w:eastAsia="Times New Roman" w:hAnsi="Arial Narrow" w:cs="Arial"/>
          <w:i/>
          <w:sz w:val="18"/>
          <w:szCs w:val="18"/>
          <w:lang w:eastAsia="en-AU"/>
        </w:rPr>
        <w:t>5,000</w:t>
      </w:r>
    </w:p>
    <w:p w14:paraId="2E0201E5" w14:textId="461036A8" w:rsidR="00142C74" w:rsidRDefault="00142C74" w:rsidP="00142C74">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3</w:t>
      </w:r>
      <w:r>
        <w:rPr>
          <w:rFonts w:ascii="Arial Narrow" w:eastAsia="Times New Roman" w:hAnsi="Arial Narrow" w:cs="Arial"/>
          <w:i/>
          <w:sz w:val="18"/>
          <w:szCs w:val="18"/>
          <w:lang w:eastAsia="en-AU"/>
        </w:rPr>
        <w:t xml:space="preserve"> </w:t>
      </w:r>
      <w:bookmarkStart w:id="108" w:name="_Hlk114127864"/>
      <w:r w:rsidRPr="00142C74">
        <w:rPr>
          <w:rFonts w:ascii="Arial Narrow" w:eastAsia="Times New Roman" w:hAnsi="Arial Narrow" w:cs="Arial"/>
          <w:i/>
          <w:sz w:val="18"/>
          <w:szCs w:val="18"/>
          <w:lang w:eastAsia="en-AU"/>
        </w:rPr>
        <w:t>$115,000 to &lt; $135,000</w:t>
      </w:r>
      <w:bookmarkEnd w:id="108"/>
    </w:p>
    <w:p w14:paraId="1E0F803E" w14:textId="6206FE48" w:rsidR="00142C74" w:rsidRDefault="00142C74" w:rsidP="00142C74">
      <w:pPr>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4</w:t>
      </w:r>
      <w:r>
        <w:rPr>
          <w:rFonts w:ascii="Arial Narrow" w:eastAsia="Times New Roman" w:hAnsi="Arial Narrow" w:cs="Arial"/>
          <w:i/>
          <w:sz w:val="18"/>
          <w:szCs w:val="18"/>
          <w:lang w:eastAsia="en-AU"/>
        </w:rPr>
        <w:t xml:space="preserve"> $</w:t>
      </w:r>
      <w:r w:rsidRPr="00711FC3">
        <w:rPr>
          <w:rFonts w:ascii="Arial Narrow" w:eastAsia="Times New Roman" w:hAnsi="Arial Narrow" w:cs="Arial"/>
          <w:i/>
          <w:sz w:val="18"/>
          <w:szCs w:val="18"/>
          <w:lang w:eastAsia="en-AU"/>
        </w:rPr>
        <w:t>95,000 to &lt; $115,000</w:t>
      </w:r>
    </w:p>
    <w:p w14:paraId="53B77A07" w14:textId="008707E5" w:rsidR="00142C74" w:rsidRDefault="00142C74" w:rsidP="00142C74">
      <w:pPr>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5</w:t>
      </w:r>
      <w:r>
        <w:rPr>
          <w:rFonts w:ascii="Arial Narrow" w:eastAsia="Times New Roman" w:hAnsi="Arial Narrow" w:cs="Arial"/>
          <w:i/>
          <w:sz w:val="18"/>
          <w:szCs w:val="18"/>
          <w:lang w:eastAsia="en-AU"/>
        </w:rPr>
        <w:t xml:space="preserve"> </w:t>
      </w:r>
      <w:r w:rsidRPr="00142C74">
        <w:rPr>
          <w:rFonts w:ascii="Arial Narrow" w:eastAsia="Times New Roman" w:hAnsi="Arial Narrow" w:cs="Arial"/>
          <w:i/>
          <w:sz w:val="18"/>
          <w:szCs w:val="18"/>
          <w:lang w:eastAsia="en-AU"/>
        </w:rPr>
        <w:t>$155,000 to &lt; $255,000</w:t>
      </w:r>
    </w:p>
    <w:p w14:paraId="343124EA" w14:textId="77777777" w:rsidR="00142C74" w:rsidRPr="00E050AF" w:rsidRDefault="00142C74" w:rsidP="008E18F3">
      <w:pPr>
        <w:pStyle w:val="TableFooter"/>
      </w:pPr>
    </w:p>
    <w:p w14:paraId="6A940AAA" w14:textId="035C6623" w:rsidR="00DE1B96" w:rsidRPr="00E050AF" w:rsidRDefault="00532E2C" w:rsidP="009D3CDF">
      <w:pPr>
        <w:pStyle w:val="ListParagraph"/>
        <w:numPr>
          <w:ilvl w:val="4"/>
          <w:numId w:val="8"/>
        </w:numPr>
      </w:pPr>
      <w:bookmarkStart w:id="109" w:name="_Ref109156992"/>
      <w:r w:rsidRPr="00E050AF">
        <w:t xml:space="preserve">As shown </w:t>
      </w:r>
      <w:r w:rsidR="00BA6A9D" w:rsidRPr="00E050AF">
        <w:t xml:space="preserve">in </w:t>
      </w:r>
      <w:r w:rsidR="00BA6A9D" w:rsidRPr="00E050AF">
        <w:fldChar w:fldCharType="begin"/>
      </w:r>
      <w:r w:rsidR="00BA6A9D" w:rsidRPr="00E050AF">
        <w:instrText xml:space="preserve"> REF _Ref109739037 \h  \* MERGEFORMAT </w:instrText>
      </w:r>
      <w:r w:rsidR="00BA6A9D" w:rsidRPr="00E050AF">
        <w:fldChar w:fldCharType="separate"/>
      </w:r>
      <w:r w:rsidR="00707A54" w:rsidRPr="00707A54">
        <w:t>Table 13</w:t>
      </w:r>
      <w:r w:rsidR="00BA6A9D" w:rsidRPr="00E050AF">
        <w:fldChar w:fldCharType="end"/>
      </w:r>
      <w:r w:rsidRPr="00E050AF">
        <w:t xml:space="preserve">, patients designated as receiving bevacizumab monotherapy could alternatively adopt a ‘watch and wait’ approach (as proposed by the submission would occur for 10% of patients). The submission presented this as a supplementary analysis rather than an ICER based on a weighted comparator. This analysis was based on the PFS and OS hazard ratios from the GOG-218 and ICON7 trials, which were used to estimate the relative efficacy of placebo compared to bevacizumab monotherapy. ‘Watch and wait’ was a nominated comparator in </w:t>
      </w:r>
      <w:r w:rsidRPr="00E050AF">
        <w:rPr>
          <w:i/>
          <w:iCs/>
        </w:rPr>
        <w:t>BRCA</w:t>
      </w:r>
      <w:r w:rsidRPr="00E050AF">
        <w:t xml:space="preserve">wt patients in the consideration of niraparib for HGEOC, and up to 72.6% of all </w:t>
      </w:r>
      <w:r w:rsidRPr="00E050AF">
        <w:rPr>
          <w:i/>
          <w:iCs/>
        </w:rPr>
        <w:t>BRCA</w:t>
      </w:r>
      <w:r w:rsidRPr="00E050AF">
        <w:t xml:space="preserve">wt were assumed to be treated with ‘watch and wait’ in the financial estimates (Table 22, niraparib PBAC </w:t>
      </w:r>
      <w:r w:rsidR="00E53822">
        <w:t>PSD</w:t>
      </w:r>
      <w:r w:rsidR="00E53822" w:rsidRPr="00E050AF">
        <w:t xml:space="preserve"> </w:t>
      </w:r>
      <w:r w:rsidRPr="00E050AF">
        <w:t xml:space="preserve">March 2022). However, it was unclear what proportion of HRD+ </w:t>
      </w:r>
      <w:r w:rsidRPr="00E050AF">
        <w:rPr>
          <w:i/>
          <w:iCs/>
        </w:rPr>
        <w:t>BRCA</w:t>
      </w:r>
      <w:r w:rsidRPr="00E050AF">
        <w:t xml:space="preserve">wt patients in the comparator population would choose to ‘watch and wait’, especially if concomitant use of bevacizumab is not </w:t>
      </w:r>
      <w:r w:rsidR="00572068" w:rsidRPr="00E050AF">
        <w:t>required</w:t>
      </w:r>
      <w:r w:rsidRPr="00E050AF">
        <w:t>.</w:t>
      </w:r>
      <w:r w:rsidR="00BA6A9D" w:rsidRPr="00E050AF">
        <w:t xml:space="preserve"> </w:t>
      </w:r>
      <w:r w:rsidR="00DE1B96" w:rsidRPr="00E050AF">
        <w:t>This analysis (with varying rates of placebo use) was conducted during the evaluation.</w:t>
      </w:r>
      <w:bookmarkEnd w:id="109"/>
    </w:p>
    <w:p w14:paraId="29047570" w14:textId="578829E3" w:rsidR="00D34AF4" w:rsidRPr="00E050AF" w:rsidRDefault="00CB7CCD" w:rsidP="00CB7CCD">
      <w:pPr>
        <w:pStyle w:val="TableHeading0"/>
      </w:pPr>
      <w:bookmarkStart w:id="110" w:name="_Ref110425332"/>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20</w:t>
      </w:r>
      <w:r w:rsidRPr="00E050AF">
        <w:rPr>
          <w:rStyle w:val="CommentReference"/>
          <w:b/>
          <w:szCs w:val="20"/>
        </w:rPr>
        <w:fldChar w:fldCharType="end"/>
      </w:r>
      <w:bookmarkEnd w:id="110"/>
      <w:r w:rsidR="00D34AF4" w:rsidRPr="00E050AF">
        <w:tab/>
        <w:t xml:space="preserve">Weighted ICER for main analysis </w:t>
      </w:r>
      <w:r w:rsidR="00E11051" w:rsidRPr="00E050AF">
        <w:t xml:space="preserve">(olaparib + bevacizumab vs bevacizumab) </w:t>
      </w:r>
      <w:r w:rsidR="00D34AF4" w:rsidRPr="00E050AF">
        <w:t>and supplementary analysis</w:t>
      </w:r>
      <w:r w:rsidR="00E11051" w:rsidRPr="00E050AF">
        <w:t xml:space="preserve"> (olaparib + bevacizumab vs placebo)</w:t>
      </w:r>
    </w:p>
    <w:tbl>
      <w:tblPr>
        <w:tblStyle w:val="AZTable"/>
        <w:tblW w:w="5000" w:type="pct"/>
        <w:tblLook w:val="04A0" w:firstRow="1" w:lastRow="0" w:firstColumn="1" w:lastColumn="0" w:noHBand="0" w:noVBand="1"/>
        <w:tblCaption w:val="Table 20 Weighted ICER for main analysis (olaparib + bevacizumab vs bevacizumab) and supplementary analysis (olaparib + bevacizumab vs placebo)"/>
      </w:tblPr>
      <w:tblGrid>
        <w:gridCol w:w="3963"/>
        <w:gridCol w:w="1277"/>
        <w:gridCol w:w="1277"/>
        <w:gridCol w:w="992"/>
        <w:gridCol w:w="1507"/>
      </w:tblGrid>
      <w:tr w:rsidR="00D34AF4" w:rsidRPr="00E050AF" w14:paraId="019D5E02" w14:textId="77777777" w:rsidTr="00A96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left w:val="single" w:sz="4" w:space="0" w:color="auto"/>
              <w:bottom w:val="single" w:sz="4" w:space="0" w:color="auto"/>
              <w:right w:val="single" w:sz="4" w:space="0" w:color="auto"/>
            </w:tcBorders>
            <w:hideMark/>
          </w:tcPr>
          <w:p w14:paraId="2B1A06AE" w14:textId="77777777" w:rsidR="00D34AF4" w:rsidRPr="00E050AF" w:rsidRDefault="00D34AF4" w:rsidP="00A962F4">
            <w:pPr>
              <w:keepNext/>
              <w:keepLines/>
              <w:spacing w:before="0"/>
              <w:rPr>
                <w:sz w:val="20"/>
              </w:rPr>
            </w:pPr>
            <w:r w:rsidRPr="00E050AF">
              <w:rPr>
                <w:sz w:val="20"/>
              </w:rPr>
              <w:t>Assumption of comparator</w:t>
            </w:r>
          </w:p>
        </w:tc>
        <w:tc>
          <w:tcPr>
            <w:tcW w:w="708" w:type="pct"/>
            <w:tcBorders>
              <w:top w:val="single" w:sz="4" w:space="0" w:color="auto"/>
              <w:left w:val="single" w:sz="4" w:space="0" w:color="auto"/>
              <w:bottom w:val="single" w:sz="4" w:space="0" w:color="auto"/>
              <w:right w:val="single" w:sz="4" w:space="0" w:color="auto"/>
            </w:tcBorders>
            <w:hideMark/>
          </w:tcPr>
          <w:p w14:paraId="207F1582" w14:textId="77777777" w:rsidR="00D34AF4" w:rsidRPr="00E050AF" w:rsidRDefault="00D34AF4" w:rsidP="00A962F4">
            <w:pPr>
              <w:keepNext/>
              <w:keepLines/>
              <w:spacing w:before="0"/>
              <w:jc w:val="center"/>
              <w:cnfStyle w:val="100000000000" w:firstRow="1" w:lastRow="0" w:firstColumn="0" w:lastColumn="0" w:oddVBand="0" w:evenVBand="0" w:oddHBand="0" w:evenHBand="0" w:firstRowFirstColumn="0" w:firstRowLastColumn="0" w:lastRowFirstColumn="0" w:lastRowLastColumn="0"/>
              <w:rPr>
                <w:sz w:val="20"/>
              </w:rPr>
            </w:pPr>
            <w:r w:rsidRPr="00E050AF">
              <w:rPr>
                <w:sz w:val="20"/>
              </w:rPr>
              <w:t>Incremental cost</w:t>
            </w:r>
          </w:p>
        </w:tc>
        <w:tc>
          <w:tcPr>
            <w:tcW w:w="708" w:type="pct"/>
            <w:tcBorders>
              <w:top w:val="single" w:sz="4" w:space="0" w:color="auto"/>
              <w:left w:val="single" w:sz="4" w:space="0" w:color="auto"/>
              <w:bottom w:val="single" w:sz="4" w:space="0" w:color="auto"/>
              <w:right w:val="single" w:sz="4" w:space="0" w:color="auto"/>
            </w:tcBorders>
            <w:hideMark/>
          </w:tcPr>
          <w:p w14:paraId="4668DCF7" w14:textId="77777777" w:rsidR="00D34AF4" w:rsidRPr="00E050AF" w:rsidRDefault="00D34AF4" w:rsidP="00A962F4">
            <w:pPr>
              <w:keepNext/>
              <w:keepLines/>
              <w:spacing w:before="0"/>
              <w:jc w:val="center"/>
              <w:cnfStyle w:val="100000000000" w:firstRow="1" w:lastRow="0" w:firstColumn="0" w:lastColumn="0" w:oddVBand="0" w:evenVBand="0" w:oddHBand="0" w:evenHBand="0" w:firstRowFirstColumn="0" w:firstRowLastColumn="0" w:lastRowFirstColumn="0" w:lastRowLastColumn="0"/>
              <w:rPr>
                <w:sz w:val="20"/>
              </w:rPr>
            </w:pPr>
            <w:r w:rsidRPr="00E050AF">
              <w:rPr>
                <w:sz w:val="20"/>
              </w:rPr>
              <w:t>Incremental QALY</w:t>
            </w:r>
          </w:p>
        </w:tc>
        <w:tc>
          <w:tcPr>
            <w:tcW w:w="550" w:type="pct"/>
            <w:tcBorders>
              <w:top w:val="single" w:sz="4" w:space="0" w:color="auto"/>
              <w:left w:val="single" w:sz="4" w:space="0" w:color="auto"/>
              <w:bottom w:val="single" w:sz="4" w:space="0" w:color="auto"/>
              <w:right w:val="single" w:sz="4" w:space="0" w:color="auto"/>
            </w:tcBorders>
            <w:hideMark/>
          </w:tcPr>
          <w:p w14:paraId="3FF1C72C" w14:textId="77777777" w:rsidR="00D34AF4" w:rsidRPr="00E050AF" w:rsidRDefault="00D34AF4" w:rsidP="00A962F4">
            <w:pPr>
              <w:keepNext/>
              <w:keepLines/>
              <w:spacing w:before="0"/>
              <w:jc w:val="center"/>
              <w:cnfStyle w:val="100000000000" w:firstRow="1" w:lastRow="0" w:firstColumn="0" w:lastColumn="0" w:oddVBand="0" w:evenVBand="0" w:oddHBand="0" w:evenHBand="0" w:firstRowFirstColumn="0" w:firstRowLastColumn="0" w:lastRowFirstColumn="0" w:lastRowLastColumn="0"/>
              <w:rPr>
                <w:sz w:val="20"/>
              </w:rPr>
            </w:pPr>
            <w:r w:rsidRPr="00E050AF">
              <w:rPr>
                <w:sz w:val="20"/>
              </w:rPr>
              <w:t>ICER ($/QALY)</w:t>
            </w:r>
          </w:p>
        </w:tc>
        <w:tc>
          <w:tcPr>
            <w:tcW w:w="836" w:type="pct"/>
            <w:tcBorders>
              <w:top w:val="single" w:sz="4" w:space="0" w:color="auto"/>
              <w:left w:val="single" w:sz="4" w:space="0" w:color="auto"/>
              <w:bottom w:val="single" w:sz="4" w:space="0" w:color="auto"/>
              <w:right w:val="single" w:sz="4" w:space="0" w:color="auto"/>
            </w:tcBorders>
            <w:hideMark/>
          </w:tcPr>
          <w:p w14:paraId="3972BBDA" w14:textId="77777777" w:rsidR="00D34AF4" w:rsidRPr="00E050AF" w:rsidRDefault="00D34AF4" w:rsidP="00A962F4">
            <w:pPr>
              <w:keepNext/>
              <w:keepLines/>
              <w:spacing w:before="0"/>
              <w:jc w:val="center"/>
              <w:cnfStyle w:val="100000000000" w:firstRow="1" w:lastRow="0" w:firstColumn="0" w:lastColumn="0" w:oddVBand="0" w:evenVBand="0" w:oddHBand="0" w:evenHBand="0" w:firstRowFirstColumn="0" w:firstRowLastColumn="0" w:lastRowFirstColumn="0" w:lastRowLastColumn="0"/>
              <w:rPr>
                <w:sz w:val="20"/>
              </w:rPr>
            </w:pPr>
            <w:r w:rsidRPr="00E050AF">
              <w:rPr>
                <w:sz w:val="20"/>
              </w:rPr>
              <w:t>% change from base case</w:t>
            </w:r>
          </w:p>
        </w:tc>
      </w:tr>
      <w:tr w:rsidR="00D34AF4" w:rsidRPr="00E050AF" w14:paraId="4EB84BC9" w14:textId="77777777" w:rsidTr="00A962F4">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left w:val="single" w:sz="4" w:space="0" w:color="auto"/>
              <w:bottom w:val="single" w:sz="4" w:space="0" w:color="auto"/>
              <w:right w:val="single" w:sz="4" w:space="0" w:color="auto"/>
            </w:tcBorders>
            <w:hideMark/>
          </w:tcPr>
          <w:p w14:paraId="0D2C34F7" w14:textId="2AE61C88" w:rsidR="00D34AF4" w:rsidRPr="00E050AF" w:rsidRDefault="00D34AF4" w:rsidP="00A962F4">
            <w:pPr>
              <w:keepNext/>
              <w:keepLines/>
              <w:spacing w:before="0"/>
              <w:rPr>
                <w:sz w:val="20"/>
                <w:szCs w:val="20"/>
              </w:rPr>
            </w:pPr>
            <w:r w:rsidRPr="00E050AF">
              <w:rPr>
                <w:sz w:val="20"/>
                <w:szCs w:val="20"/>
              </w:rPr>
              <w:t>100% bevacizumab</w:t>
            </w:r>
            <w:r w:rsidR="007E4457" w:rsidRPr="00E050AF">
              <w:rPr>
                <w:sz w:val="20"/>
                <w:szCs w:val="20"/>
              </w:rPr>
              <w:t xml:space="preserve"> (main analysis)</w:t>
            </w:r>
          </w:p>
        </w:tc>
        <w:tc>
          <w:tcPr>
            <w:tcW w:w="708" w:type="pct"/>
            <w:tcBorders>
              <w:top w:val="single" w:sz="4" w:space="0" w:color="auto"/>
              <w:left w:val="single" w:sz="4" w:space="0" w:color="auto"/>
              <w:bottom w:val="single" w:sz="4" w:space="0" w:color="auto"/>
              <w:right w:val="single" w:sz="4" w:space="0" w:color="auto"/>
            </w:tcBorders>
            <w:vAlign w:val="center"/>
            <w:hideMark/>
          </w:tcPr>
          <w:p w14:paraId="73F8B115" w14:textId="2312575F"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hint="eastAsia"/>
                <w:color w:val="000000"/>
                <w:w w:val="15"/>
                <w:sz w:val="20"/>
                <w:szCs w:val="20"/>
                <w:shd w:val="solid" w:color="000000" w:fill="000000"/>
                <w:fitText w:val="54" w:id="-1435752180"/>
                <w14:textFill>
                  <w14:solidFill>
                    <w14:srgbClr w14:val="000000">
                      <w14:alpha w14:val="100000"/>
                    </w14:srgbClr>
                  </w14:solidFill>
                </w14:textFill>
              </w:rPr>
              <w:t xml:space="preserve">　</w:t>
            </w:r>
            <w:r w:rsidR="00602B47" w:rsidRPr="00602B47">
              <w:rPr>
                <w:rFonts w:ascii="Arial Narrow" w:hAnsi="Arial Narrow"/>
                <w:color w:val="000000"/>
                <w:w w:val="15"/>
                <w:sz w:val="20"/>
                <w:szCs w:val="20"/>
                <w:shd w:val="solid" w:color="000000" w:fill="000000"/>
                <w:fitText w:val="54" w:id="-1435752180"/>
                <w14:textFill>
                  <w14:solidFill>
                    <w14:srgbClr w14:val="000000">
                      <w14:alpha w14:val="100000"/>
                    </w14:srgbClr>
                  </w14:solidFill>
                </w14:textFill>
              </w:rPr>
              <w:t>|</w:t>
            </w:r>
            <w:r w:rsidR="00602B47" w:rsidRPr="00602B47">
              <w:rPr>
                <w:rFonts w:ascii="Arial Narrow" w:hAnsi="Arial Narrow" w:hint="eastAsia"/>
                <w:color w:val="000000"/>
                <w:spacing w:val="-11"/>
                <w:w w:val="15"/>
                <w:sz w:val="20"/>
                <w:szCs w:val="20"/>
                <w:shd w:val="solid" w:color="000000" w:fill="000000"/>
                <w:fitText w:val="54" w:id="-1435752180"/>
                <w14:textFill>
                  <w14:solidFill>
                    <w14:srgbClr w14:val="000000">
                      <w14:alpha w14:val="100000"/>
                    </w14:srgbClr>
                  </w14:solidFill>
                </w14:textFill>
              </w:rPr>
              <w:t xml:space="preserve">　</w:t>
            </w:r>
          </w:p>
        </w:tc>
        <w:tc>
          <w:tcPr>
            <w:tcW w:w="708" w:type="pct"/>
            <w:tcBorders>
              <w:top w:val="single" w:sz="4" w:space="0" w:color="auto"/>
              <w:left w:val="single" w:sz="4" w:space="0" w:color="auto"/>
              <w:bottom w:val="single" w:sz="4" w:space="0" w:color="auto"/>
              <w:right w:val="single" w:sz="4" w:space="0" w:color="auto"/>
            </w:tcBorders>
            <w:vAlign w:val="center"/>
            <w:hideMark/>
          </w:tcPr>
          <w:p w14:paraId="26AE77AA"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0.4616</w:t>
            </w:r>
          </w:p>
        </w:tc>
        <w:tc>
          <w:tcPr>
            <w:tcW w:w="550" w:type="pct"/>
            <w:tcBorders>
              <w:top w:val="single" w:sz="4" w:space="0" w:color="auto"/>
              <w:left w:val="single" w:sz="4" w:space="0" w:color="auto"/>
              <w:bottom w:val="single" w:sz="4" w:space="0" w:color="auto"/>
              <w:right w:val="single" w:sz="4" w:space="0" w:color="auto"/>
            </w:tcBorders>
            <w:vAlign w:val="center"/>
            <w:hideMark/>
          </w:tcPr>
          <w:p w14:paraId="0E318EC0" w14:textId="6ABF8B1D" w:rsidR="00D34AF4" w:rsidRPr="00142C74"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vertAlign w:val="superscript"/>
              </w:rPr>
            </w:pPr>
            <w:r w:rsidRPr="00E050AF">
              <w:rPr>
                <w:rFonts w:ascii="Arial Narrow" w:hAnsi="Arial Narrow"/>
                <w:sz w:val="20"/>
                <w:szCs w:val="20"/>
              </w:rPr>
              <w:t>$</w:t>
            </w:r>
            <w:r w:rsidR="00602B47" w:rsidRPr="00602B47">
              <w:rPr>
                <w:rFonts w:ascii="Arial Narrow" w:hAnsi="Arial Narrow"/>
                <w:color w:val="000000"/>
                <w:spacing w:val="55"/>
                <w:sz w:val="20"/>
                <w:szCs w:val="20"/>
                <w:shd w:val="solid" w:color="000000" w:fill="000000"/>
                <w:fitText w:val="238" w:id="-1435752179"/>
                <w14:textFill>
                  <w14:solidFill>
                    <w14:srgbClr w14:val="000000">
                      <w14:alpha w14:val="100000"/>
                    </w14:srgbClr>
                  </w14:solidFill>
                </w14:textFill>
              </w:rPr>
              <w:t>||</w:t>
            </w:r>
            <w:r w:rsidR="00602B47" w:rsidRPr="00602B47">
              <w:rPr>
                <w:rFonts w:ascii="Arial Narrow" w:hAnsi="Arial Narrow"/>
                <w:color w:val="000000"/>
                <w:spacing w:val="1"/>
                <w:sz w:val="20"/>
                <w:szCs w:val="20"/>
                <w:shd w:val="solid" w:color="000000" w:fill="000000"/>
                <w:fitText w:val="238" w:id="-1435752179"/>
                <w14:textFill>
                  <w14:solidFill>
                    <w14:srgbClr w14:val="000000">
                      <w14:alpha w14:val="100000"/>
                    </w14:srgbClr>
                  </w14:solidFill>
                </w14:textFill>
              </w:rPr>
              <w:t>|</w:t>
            </w:r>
            <w:r w:rsidR="00142C74">
              <w:rPr>
                <w:rFonts w:ascii="Arial Narrow" w:hAnsi="Arial Narrow"/>
                <w:sz w:val="20"/>
                <w:szCs w:val="20"/>
                <w:vertAlign w:val="superscript"/>
              </w:rPr>
              <w:t>1</w:t>
            </w:r>
          </w:p>
        </w:tc>
        <w:tc>
          <w:tcPr>
            <w:tcW w:w="836" w:type="pct"/>
            <w:tcBorders>
              <w:top w:val="single" w:sz="4" w:space="0" w:color="auto"/>
              <w:left w:val="single" w:sz="4" w:space="0" w:color="auto"/>
              <w:bottom w:val="single" w:sz="4" w:space="0" w:color="auto"/>
              <w:right w:val="single" w:sz="4" w:space="0" w:color="auto"/>
            </w:tcBorders>
            <w:vAlign w:val="center"/>
            <w:hideMark/>
          </w:tcPr>
          <w:p w14:paraId="1E3E14FF"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p>
        </w:tc>
      </w:tr>
      <w:tr w:rsidR="00D34AF4" w:rsidRPr="00E050AF" w14:paraId="7671563D" w14:textId="77777777" w:rsidTr="00A962F4">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left w:val="single" w:sz="4" w:space="0" w:color="auto"/>
              <w:bottom w:val="single" w:sz="4" w:space="0" w:color="auto"/>
              <w:right w:val="single" w:sz="4" w:space="0" w:color="auto"/>
            </w:tcBorders>
            <w:hideMark/>
          </w:tcPr>
          <w:p w14:paraId="0F402CFF" w14:textId="750142C6" w:rsidR="00D34AF4" w:rsidRPr="00E050AF" w:rsidRDefault="00D34AF4" w:rsidP="00A962F4">
            <w:pPr>
              <w:keepNext/>
              <w:keepLines/>
              <w:spacing w:before="0"/>
              <w:rPr>
                <w:sz w:val="20"/>
                <w:szCs w:val="20"/>
              </w:rPr>
            </w:pPr>
            <w:r w:rsidRPr="00E050AF">
              <w:rPr>
                <w:sz w:val="20"/>
                <w:szCs w:val="20"/>
              </w:rPr>
              <w:t>100% placebo</w:t>
            </w:r>
            <w:r w:rsidR="00DF33A6" w:rsidRPr="00E050AF">
              <w:rPr>
                <w:sz w:val="20"/>
                <w:szCs w:val="20"/>
              </w:rPr>
              <w:t xml:space="preserve"> </w:t>
            </w:r>
            <w:r w:rsidR="007E4457" w:rsidRPr="00E050AF">
              <w:rPr>
                <w:sz w:val="20"/>
                <w:szCs w:val="20"/>
              </w:rPr>
              <w:t>(supplementary analysis)</w:t>
            </w:r>
          </w:p>
        </w:tc>
        <w:tc>
          <w:tcPr>
            <w:tcW w:w="708" w:type="pct"/>
            <w:tcBorders>
              <w:top w:val="single" w:sz="4" w:space="0" w:color="auto"/>
              <w:left w:val="single" w:sz="4" w:space="0" w:color="auto"/>
              <w:bottom w:val="single" w:sz="4" w:space="0" w:color="auto"/>
              <w:right w:val="single" w:sz="4" w:space="0" w:color="auto"/>
            </w:tcBorders>
            <w:vAlign w:val="center"/>
            <w:hideMark/>
          </w:tcPr>
          <w:p w14:paraId="2C0AF759" w14:textId="08E854C3"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hint="eastAsia"/>
                <w:color w:val="000000"/>
                <w:w w:val="15"/>
                <w:sz w:val="20"/>
                <w:szCs w:val="20"/>
                <w:shd w:val="solid" w:color="000000" w:fill="000000"/>
                <w:fitText w:val="54" w:id="-1435752178"/>
                <w14:textFill>
                  <w14:solidFill>
                    <w14:srgbClr w14:val="000000">
                      <w14:alpha w14:val="100000"/>
                    </w14:srgbClr>
                  </w14:solidFill>
                </w14:textFill>
              </w:rPr>
              <w:t xml:space="preserve">　</w:t>
            </w:r>
            <w:r w:rsidR="00602B47" w:rsidRPr="00602B47">
              <w:rPr>
                <w:rFonts w:ascii="Arial Narrow" w:hAnsi="Arial Narrow"/>
                <w:color w:val="000000"/>
                <w:w w:val="15"/>
                <w:sz w:val="20"/>
                <w:szCs w:val="20"/>
                <w:shd w:val="solid" w:color="000000" w:fill="000000"/>
                <w:fitText w:val="54" w:id="-1435752178"/>
                <w14:textFill>
                  <w14:solidFill>
                    <w14:srgbClr w14:val="000000">
                      <w14:alpha w14:val="100000"/>
                    </w14:srgbClr>
                  </w14:solidFill>
                </w14:textFill>
              </w:rPr>
              <w:t>|</w:t>
            </w:r>
            <w:r w:rsidR="00602B47" w:rsidRPr="00602B47">
              <w:rPr>
                <w:rFonts w:ascii="Arial Narrow" w:hAnsi="Arial Narrow" w:hint="eastAsia"/>
                <w:color w:val="000000"/>
                <w:spacing w:val="-11"/>
                <w:w w:val="15"/>
                <w:sz w:val="20"/>
                <w:szCs w:val="20"/>
                <w:shd w:val="solid" w:color="000000" w:fill="000000"/>
                <w:fitText w:val="54" w:id="-1435752178"/>
                <w14:textFill>
                  <w14:solidFill>
                    <w14:srgbClr w14:val="000000">
                      <w14:alpha w14:val="100000"/>
                    </w14:srgbClr>
                  </w14:solidFill>
                </w14:textFill>
              </w:rPr>
              <w:t xml:space="preserve">　</w:t>
            </w:r>
          </w:p>
        </w:tc>
        <w:tc>
          <w:tcPr>
            <w:tcW w:w="708" w:type="pct"/>
            <w:tcBorders>
              <w:top w:val="single" w:sz="4" w:space="0" w:color="auto"/>
              <w:left w:val="single" w:sz="4" w:space="0" w:color="auto"/>
              <w:bottom w:val="single" w:sz="4" w:space="0" w:color="auto"/>
              <w:right w:val="single" w:sz="4" w:space="0" w:color="auto"/>
            </w:tcBorders>
            <w:vAlign w:val="center"/>
            <w:hideMark/>
          </w:tcPr>
          <w:p w14:paraId="3BBFDA76"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0.5345</w:t>
            </w:r>
          </w:p>
        </w:tc>
        <w:tc>
          <w:tcPr>
            <w:tcW w:w="550" w:type="pct"/>
            <w:tcBorders>
              <w:top w:val="single" w:sz="4" w:space="0" w:color="auto"/>
              <w:left w:val="single" w:sz="4" w:space="0" w:color="auto"/>
              <w:bottom w:val="single" w:sz="4" w:space="0" w:color="auto"/>
              <w:right w:val="single" w:sz="4" w:space="0" w:color="auto"/>
            </w:tcBorders>
            <w:vAlign w:val="center"/>
            <w:hideMark/>
          </w:tcPr>
          <w:p w14:paraId="4A2CC57F" w14:textId="6B6AE3CC"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color w:val="000000"/>
                <w:spacing w:val="55"/>
                <w:sz w:val="20"/>
                <w:szCs w:val="20"/>
                <w:shd w:val="solid" w:color="000000" w:fill="000000"/>
                <w:fitText w:val="238" w:id="-1435752177"/>
                <w14:textFill>
                  <w14:solidFill>
                    <w14:srgbClr w14:val="000000">
                      <w14:alpha w14:val="100000"/>
                    </w14:srgbClr>
                  </w14:solidFill>
                </w14:textFill>
              </w:rPr>
              <w:t>||</w:t>
            </w:r>
            <w:r w:rsidR="00602B47" w:rsidRPr="00602B47">
              <w:rPr>
                <w:rFonts w:ascii="Arial Narrow" w:hAnsi="Arial Narrow"/>
                <w:color w:val="000000"/>
                <w:spacing w:val="1"/>
                <w:sz w:val="20"/>
                <w:szCs w:val="20"/>
                <w:shd w:val="solid" w:color="000000" w:fill="000000"/>
                <w:fitText w:val="238" w:id="-1435752177"/>
                <w14:textFill>
                  <w14:solidFill>
                    <w14:srgbClr w14:val="000000">
                      <w14:alpha w14:val="100000"/>
                    </w14:srgbClr>
                  </w14:solidFill>
                </w14:textFill>
              </w:rPr>
              <w:t>|</w:t>
            </w:r>
            <w:r w:rsidR="00142C74">
              <w:rPr>
                <w:rFonts w:ascii="Arial Narrow" w:hAnsi="Arial Narrow"/>
                <w:sz w:val="20"/>
                <w:szCs w:val="20"/>
                <w:vertAlign w:val="superscript"/>
              </w:rPr>
              <w:t>2</w:t>
            </w:r>
          </w:p>
        </w:tc>
        <w:tc>
          <w:tcPr>
            <w:tcW w:w="836" w:type="pct"/>
            <w:tcBorders>
              <w:top w:val="single" w:sz="4" w:space="0" w:color="auto"/>
              <w:left w:val="single" w:sz="4" w:space="0" w:color="auto"/>
              <w:bottom w:val="single" w:sz="4" w:space="0" w:color="auto"/>
              <w:right w:val="single" w:sz="4" w:space="0" w:color="auto"/>
            </w:tcBorders>
            <w:vAlign w:val="center"/>
            <w:hideMark/>
          </w:tcPr>
          <w:p w14:paraId="32A170CE"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p>
        </w:tc>
      </w:tr>
      <w:tr w:rsidR="00D34AF4" w:rsidRPr="00E050AF" w14:paraId="5D353B16" w14:textId="77777777" w:rsidTr="00A962F4">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left w:val="single" w:sz="4" w:space="0" w:color="auto"/>
              <w:bottom w:val="single" w:sz="4" w:space="0" w:color="auto"/>
              <w:right w:val="single" w:sz="4" w:space="0" w:color="auto"/>
            </w:tcBorders>
            <w:shd w:val="clear" w:color="auto" w:fill="auto"/>
            <w:hideMark/>
          </w:tcPr>
          <w:p w14:paraId="75066655" w14:textId="23C90F74" w:rsidR="00D34AF4" w:rsidRPr="00E050AF" w:rsidRDefault="00D34AF4" w:rsidP="00A962F4">
            <w:pPr>
              <w:keepNext/>
              <w:keepLines/>
              <w:spacing w:before="0"/>
              <w:rPr>
                <w:b/>
                <w:bCs/>
                <w:sz w:val="20"/>
                <w:szCs w:val="20"/>
              </w:rPr>
            </w:pPr>
            <w:r w:rsidRPr="00E050AF">
              <w:rPr>
                <w:b/>
                <w:bCs/>
                <w:sz w:val="20"/>
                <w:szCs w:val="20"/>
              </w:rPr>
              <w:t xml:space="preserve">Base case </w:t>
            </w:r>
            <w:r w:rsidR="00A110CB" w:rsidRPr="00E050AF">
              <w:rPr>
                <w:b/>
                <w:bCs/>
                <w:sz w:val="20"/>
                <w:szCs w:val="20"/>
              </w:rPr>
              <w:t>=</w:t>
            </w:r>
            <w:r w:rsidRPr="00E050AF">
              <w:rPr>
                <w:b/>
                <w:bCs/>
                <w:sz w:val="20"/>
                <w:szCs w:val="20"/>
              </w:rPr>
              <w:t xml:space="preserve"> 90% </w:t>
            </w:r>
            <w:r w:rsidR="00050FA2" w:rsidRPr="00E050AF">
              <w:rPr>
                <w:b/>
                <w:bCs/>
                <w:sz w:val="20"/>
                <w:szCs w:val="20"/>
              </w:rPr>
              <w:t>bevacizumab +</w:t>
            </w:r>
            <w:r w:rsidRPr="00E050AF">
              <w:rPr>
                <w:b/>
                <w:bCs/>
                <w:sz w:val="20"/>
                <w:szCs w:val="20"/>
              </w:rPr>
              <w:t xml:space="preserve"> 10% placebo</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0B49B" w14:textId="3B09B5B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050AF">
              <w:rPr>
                <w:rFonts w:ascii="Arial Narrow" w:hAnsi="Arial Narrow"/>
                <w:b/>
                <w:bCs/>
                <w:sz w:val="20"/>
                <w:szCs w:val="20"/>
              </w:rPr>
              <w:t>$</w:t>
            </w:r>
            <w:r w:rsidR="00602B47" w:rsidRPr="00602B47">
              <w:rPr>
                <w:rFonts w:ascii="Arial Narrow" w:hAnsi="Arial Narrow" w:hint="eastAsia"/>
                <w:b/>
                <w:bCs/>
                <w:color w:val="000000"/>
                <w:w w:val="25"/>
                <w:sz w:val="20"/>
                <w:szCs w:val="20"/>
                <w:shd w:val="solid" w:color="000000" w:fill="000000"/>
                <w:fitText w:val="115" w:id="-1435752176"/>
                <w14:textFill>
                  <w14:solidFill>
                    <w14:srgbClr w14:val="000000">
                      <w14:alpha w14:val="100000"/>
                    </w14:srgbClr>
                  </w14:solidFill>
                </w14:textFill>
              </w:rPr>
              <w:t xml:space="preserve">　</w:t>
            </w:r>
            <w:r w:rsidR="00602B47" w:rsidRPr="00602B47">
              <w:rPr>
                <w:rFonts w:ascii="Arial Narrow" w:hAnsi="Arial Narrow"/>
                <w:b/>
                <w:bCs/>
                <w:color w:val="000000"/>
                <w:w w:val="25"/>
                <w:sz w:val="20"/>
                <w:szCs w:val="20"/>
                <w:shd w:val="solid" w:color="000000" w:fill="000000"/>
                <w:fitText w:val="115" w:id="-1435752176"/>
                <w14:textFill>
                  <w14:solidFill>
                    <w14:srgbClr w14:val="000000">
                      <w14:alpha w14:val="100000"/>
                    </w14:srgbClr>
                  </w14:solidFill>
                </w14:textFill>
              </w:rPr>
              <w:t>|</w:t>
            </w:r>
            <w:r w:rsidR="00602B47" w:rsidRPr="00602B47">
              <w:rPr>
                <w:rFonts w:ascii="Arial Narrow" w:hAnsi="Arial Narrow" w:hint="eastAsia"/>
                <w:b/>
                <w:bCs/>
                <w:color w:val="000000"/>
                <w:spacing w:val="3"/>
                <w:w w:val="25"/>
                <w:sz w:val="20"/>
                <w:szCs w:val="20"/>
                <w:shd w:val="solid" w:color="000000" w:fill="000000"/>
                <w:fitText w:val="115" w:id="-1435752176"/>
                <w14:textFill>
                  <w14:solidFill>
                    <w14:srgbClr w14:val="000000">
                      <w14:alpha w14:val="100000"/>
                    </w14:srgbClr>
                  </w14:solidFill>
                </w14:textFill>
              </w:rPr>
              <w:t xml:space="preserve">　</w:t>
            </w:r>
          </w:p>
        </w:tc>
        <w:tc>
          <w:tcPr>
            <w:tcW w:w="7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D5D2C"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050AF">
              <w:rPr>
                <w:rFonts w:ascii="Arial Narrow" w:hAnsi="Arial Narrow"/>
                <w:b/>
                <w:bCs/>
                <w:sz w:val="20"/>
                <w:szCs w:val="20"/>
              </w:rPr>
              <w:t>0.4689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C4A09" w14:textId="40AE35F0"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050AF">
              <w:rPr>
                <w:rFonts w:ascii="Arial Narrow" w:hAnsi="Arial Narrow"/>
                <w:b/>
                <w:bCs/>
                <w:sz w:val="20"/>
                <w:szCs w:val="20"/>
              </w:rPr>
              <w:t>$</w:t>
            </w:r>
            <w:r w:rsidR="00602B47" w:rsidRPr="00602B47">
              <w:rPr>
                <w:rFonts w:ascii="Arial Narrow" w:hAnsi="Arial Narrow"/>
                <w:b/>
                <w:bCs/>
                <w:color w:val="000000"/>
                <w:spacing w:val="185"/>
                <w:sz w:val="20"/>
                <w:szCs w:val="20"/>
                <w:shd w:val="solid" w:color="000000" w:fill="000000"/>
                <w:fitText w:val="277" w:id="-1435752192"/>
                <w14:textFill>
                  <w14:solidFill>
                    <w14:srgbClr w14:val="000000">
                      <w14:alpha w14:val="100000"/>
                    </w14:srgbClr>
                  </w14:solidFill>
                </w14:textFill>
              </w:rPr>
              <w:t>|</w:t>
            </w:r>
            <w:r w:rsidR="00602B47" w:rsidRPr="00602B47">
              <w:rPr>
                <w:rFonts w:ascii="Arial Narrow" w:hAnsi="Arial Narrow"/>
                <w:b/>
                <w:bCs/>
                <w:color w:val="000000"/>
                <w:spacing w:val="1"/>
                <w:sz w:val="20"/>
                <w:szCs w:val="20"/>
                <w:shd w:val="solid" w:color="000000" w:fill="000000"/>
                <w:fitText w:val="277" w:id="-1435752192"/>
                <w14:textFill>
                  <w14:solidFill>
                    <w14:srgbClr w14:val="000000">
                      <w14:alpha w14:val="100000"/>
                    </w14:srgbClr>
                  </w14:solidFill>
                </w14:textFill>
              </w:rPr>
              <w:t>|</w:t>
            </w:r>
            <w:r w:rsidR="00142C74">
              <w:rPr>
                <w:rFonts w:ascii="Arial Narrow" w:hAnsi="Arial Narrow"/>
                <w:sz w:val="20"/>
                <w:szCs w:val="20"/>
                <w:vertAlign w:val="superscript"/>
              </w:rPr>
              <w:t>1</w:t>
            </w:r>
          </w:p>
        </w:tc>
        <w:tc>
          <w:tcPr>
            <w:tcW w:w="83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D10839"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b/>
                <w:bCs/>
                <w:sz w:val="20"/>
                <w:szCs w:val="20"/>
              </w:rPr>
            </w:pPr>
            <w:r w:rsidRPr="00E050AF">
              <w:rPr>
                <w:rFonts w:ascii="Arial Narrow" w:hAnsi="Arial Narrow"/>
                <w:b/>
                <w:bCs/>
                <w:sz w:val="20"/>
                <w:szCs w:val="20"/>
              </w:rPr>
              <w:t>-</w:t>
            </w:r>
          </w:p>
        </w:tc>
      </w:tr>
      <w:tr w:rsidR="00E2319F" w:rsidRPr="00E050AF" w14:paraId="63181DAB" w14:textId="77777777" w:rsidTr="00A962F4">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left w:val="single" w:sz="4" w:space="0" w:color="auto"/>
              <w:bottom w:val="single" w:sz="4" w:space="0" w:color="auto"/>
              <w:right w:val="single" w:sz="4" w:space="0" w:color="auto"/>
            </w:tcBorders>
            <w:hideMark/>
          </w:tcPr>
          <w:p w14:paraId="5E28A6AA" w14:textId="77777777" w:rsidR="00D34AF4" w:rsidRPr="00E050AF" w:rsidRDefault="00D34AF4" w:rsidP="00A962F4">
            <w:pPr>
              <w:keepNext/>
              <w:keepLines/>
              <w:spacing w:before="0"/>
              <w:rPr>
                <w:sz w:val="20"/>
                <w:szCs w:val="20"/>
              </w:rPr>
            </w:pPr>
            <w:r w:rsidRPr="00E050AF">
              <w:rPr>
                <w:sz w:val="20"/>
                <w:szCs w:val="20"/>
              </w:rPr>
              <w:t>80% bevacizumab + 20% placebo</w:t>
            </w:r>
          </w:p>
        </w:tc>
        <w:tc>
          <w:tcPr>
            <w:tcW w:w="708" w:type="pct"/>
            <w:tcBorders>
              <w:top w:val="single" w:sz="4" w:space="0" w:color="auto"/>
              <w:left w:val="single" w:sz="4" w:space="0" w:color="auto"/>
              <w:bottom w:val="single" w:sz="4" w:space="0" w:color="auto"/>
              <w:right w:val="single" w:sz="4" w:space="0" w:color="auto"/>
            </w:tcBorders>
            <w:vAlign w:val="center"/>
            <w:hideMark/>
          </w:tcPr>
          <w:p w14:paraId="588EA245" w14:textId="320805BA"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hint="eastAsia"/>
                <w:color w:val="000000"/>
                <w:w w:val="15"/>
                <w:sz w:val="20"/>
                <w:szCs w:val="20"/>
                <w:shd w:val="solid" w:color="000000" w:fill="000000"/>
                <w:fitText w:val="54" w:id="-1435752191"/>
                <w14:textFill>
                  <w14:solidFill>
                    <w14:srgbClr w14:val="000000">
                      <w14:alpha w14:val="100000"/>
                    </w14:srgbClr>
                  </w14:solidFill>
                </w14:textFill>
              </w:rPr>
              <w:t xml:space="preserve">　</w:t>
            </w:r>
            <w:r w:rsidR="00602B47" w:rsidRPr="00602B47">
              <w:rPr>
                <w:rFonts w:ascii="Arial Narrow" w:hAnsi="Arial Narrow"/>
                <w:color w:val="000000"/>
                <w:w w:val="15"/>
                <w:sz w:val="20"/>
                <w:szCs w:val="20"/>
                <w:shd w:val="solid" w:color="000000" w:fill="000000"/>
                <w:fitText w:val="54" w:id="-1435752191"/>
                <w14:textFill>
                  <w14:solidFill>
                    <w14:srgbClr w14:val="000000">
                      <w14:alpha w14:val="100000"/>
                    </w14:srgbClr>
                  </w14:solidFill>
                </w14:textFill>
              </w:rPr>
              <w:t>|</w:t>
            </w:r>
            <w:r w:rsidR="00602B47" w:rsidRPr="00602B47">
              <w:rPr>
                <w:rFonts w:ascii="Arial Narrow" w:hAnsi="Arial Narrow" w:hint="eastAsia"/>
                <w:color w:val="000000"/>
                <w:spacing w:val="-11"/>
                <w:w w:val="15"/>
                <w:sz w:val="20"/>
                <w:szCs w:val="20"/>
                <w:shd w:val="solid" w:color="000000" w:fill="000000"/>
                <w:fitText w:val="54" w:id="-1435752191"/>
                <w14:textFill>
                  <w14:solidFill>
                    <w14:srgbClr w14:val="000000">
                      <w14:alpha w14:val="100000"/>
                    </w14:srgbClr>
                  </w14:solidFill>
                </w14:textFill>
              </w:rPr>
              <w:t xml:space="preserve">　</w:t>
            </w:r>
          </w:p>
        </w:tc>
        <w:tc>
          <w:tcPr>
            <w:tcW w:w="708" w:type="pct"/>
            <w:tcBorders>
              <w:top w:val="single" w:sz="4" w:space="0" w:color="auto"/>
              <w:left w:val="single" w:sz="4" w:space="0" w:color="auto"/>
              <w:bottom w:val="single" w:sz="4" w:space="0" w:color="auto"/>
              <w:right w:val="single" w:sz="4" w:space="0" w:color="auto"/>
            </w:tcBorders>
            <w:vAlign w:val="center"/>
            <w:hideMark/>
          </w:tcPr>
          <w:p w14:paraId="72F41B16"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0.4762</w:t>
            </w:r>
          </w:p>
        </w:tc>
        <w:tc>
          <w:tcPr>
            <w:tcW w:w="550" w:type="pct"/>
            <w:tcBorders>
              <w:top w:val="single" w:sz="4" w:space="0" w:color="auto"/>
              <w:left w:val="single" w:sz="4" w:space="0" w:color="auto"/>
              <w:bottom w:val="single" w:sz="4" w:space="0" w:color="auto"/>
              <w:right w:val="single" w:sz="4" w:space="0" w:color="auto"/>
            </w:tcBorders>
            <w:vAlign w:val="center"/>
            <w:hideMark/>
          </w:tcPr>
          <w:p w14:paraId="19C01C05" w14:textId="72196162"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color w:val="000000"/>
                <w:spacing w:val="55"/>
                <w:sz w:val="20"/>
                <w:szCs w:val="20"/>
                <w:shd w:val="solid" w:color="000000" w:fill="000000"/>
                <w:fitText w:val="238" w:id="-1435752190"/>
                <w14:textFill>
                  <w14:solidFill>
                    <w14:srgbClr w14:val="000000">
                      <w14:alpha w14:val="100000"/>
                    </w14:srgbClr>
                  </w14:solidFill>
                </w14:textFill>
              </w:rPr>
              <w:t>||</w:t>
            </w:r>
            <w:r w:rsidR="00602B47" w:rsidRPr="00602B47">
              <w:rPr>
                <w:rFonts w:ascii="Arial Narrow" w:hAnsi="Arial Narrow"/>
                <w:color w:val="000000"/>
                <w:spacing w:val="1"/>
                <w:sz w:val="20"/>
                <w:szCs w:val="20"/>
                <w:shd w:val="solid" w:color="000000" w:fill="000000"/>
                <w:fitText w:val="238" w:id="-1435752190"/>
                <w14:textFill>
                  <w14:solidFill>
                    <w14:srgbClr w14:val="000000">
                      <w14:alpha w14:val="100000"/>
                    </w14:srgbClr>
                  </w14:solidFill>
                </w14:textFill>
              </w:rPr>
              <w:t>|</w:t>
            </w:r>
            <w:r w:rsidR="00142C74">
              <w:rPr>
                <w:rFonts w:ascii="Arial Narrow" w:hAnsi="Arial Narrow"/>
                <w:sz w:val="20"/>
                <w:szCs w:val="20"/>
                <w:vertAlign w:val="superscript"/>
              </w:rPr>
              <w:t>1</w:t>
            </w:r>
          </w:p>
        </w:tc>
        <w:tc>
          <w:tcPr>
            <w:tcW w:w="836" w:type="pct"/>
            <w:tcBorders>
              <w:top w:val="single" w:sz="4" w:space="0" w:color="auto"/>
              <w:left w:val="single" w:sz="4" w:space="0" w:color="auto"/>
              <w:bottom w:val="single" w:sz="4" w:space="0" w:color="auto"/>
              <w:right w:val="single" w:sz="4" w:space="0" w:color="auto"/>
            </w:tcBorders>
            <w:vAlign w:val="center"/>
            <w:hideMark/>
          </w:tcPr>
          <w:p w14:paraId="79FFBD8F"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+1.1%</w:t>
            </w:r>
          </w:p>
        </w:tc>
      </w:tr>
      <w:tr w:rsidR="00D34AF4" w:rsidRPr="00E050AF" w14:paraId="5A631811" w14:textId="77777777" w:rsidTr="00A962F4">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left w:val="single" w:sz="4" w:space="0" w:color="auto"/>
              <w:bottom w:val="single" w:sz="4" w:space="0" w:color="auto"/>
              <w:right w:val="single" w:sz="4" w:space="0" w:color="auto"/>
            </w:tcBorders>
            <w:hideMark/>
          </w:tcPr>
          <w:p w14:paraId="2F3719BD" w14:textId="4C8E2A03" w:rsidR="00D34AF4" w:rsidRPr="00E050AF" w:rsidRDefault="00D34AF4" w:rsidP="00A962F4">
            <w:pPr>
              <w:keepNext/>
              <w:keepLines/>
              <w:spacing w:before="0"/>
              <w:rPr>
                <w:sz w:val="20"/>
                <w:szCs w:val="20"/>
              </w:rPr>
            </w:pPr>
            <w:r w:rsidRPr="00E050AF">
              <w:rPr>
                <w:sz w:val="20"/>
                <w:szCs w:val="20"/>
              </w:rPr>
              <w:t>70% bevacizumab + 30% placebo</w:t>
            </w:r>
          </w:p>
        </w:tc>
        <w:tc>
          <w:tcPr>
            <w:tcW w:w="708" w:type="pct"/>
            <w:tcBorders>
              <w:top w:val="single" w:sz="4" w:space="0" w:color="auto"/>
              <w:left w:val="single" w:sz="4" w:space="0" w:color="auto"/>
              <w:bottom w:val="single" w:sz="4" w:space="0" w:color="auto"/>
              <w:right w:val="single" w:sz="4" w:space="0" w:color="auto"/>
            </w:tcBorders>
            <w:vAlign w:val="center"/>
            <w:hideMark/>
          </w:tcPr>
          <w:p w14:paraId="6FE341B9" w14:textId="369A3918"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hint="eastAsia"/>
                <w:color w:val="000000"/>
                <w:w w:val="15"/>
                <w:sz w:val="20"/>
                <w:szCs w:val="20"/>
                <w:shd w:val="solid" w:color="000000" w:fill="000000"/>
                <w:fitText w:val="54" w:id="-1435752189"/>
                <w14:textFill>
                  <w14:solidFill>
                    <w14:srgbClr w14:val="000000">
                      <w14:alpha w14:val="100000"/>
                    </w14:srgbClr>
                  </w14:solidFill>
                </w14:textFill>
              </w:rPr>
              <w:t xml:space="preserve">　</w:t>
            </w:r>
            <w:r w:rsidR="00602B47" w:rsidRPr="00602B47">
              <w:rPr>
                <w:rFonts w:ascii="Arial Narrow" w:hAnsi="Arial Narrow"/>
                <w:color w:val="000000"/>
                <w:w w:val="15"/>
                <w:sz w:val="20"/>
                <w:szCs w:val="20"/>
                <w:shd w:val="solid" w:color="000000" w:fill="000000"/>
                <w:fitText w:val="54" w:id="-1435752189"/>
                <w14:textFill>
                  <w14:solidFill>
                    <w14:srgbClr w14:val="000000">
                      <w14:alpha w14:val="100000"/>
                    </w14:srgbClr>
                  </w14:solidFill>
                </w14:textFill>
              </w:rPr>
              <w:t>|</w:t>
            </w:r>
            <w:r w:rsidR="00602B47" w:rsidRPr="00602B47">
              <w:rPr>
                <w:rFonts w:ascii="Arial Narrow" w:hAnsi="Arial Narrow" w:hint="eastAsia"/>
                <w:color w:val="000000"/>
                <w:spacing w:val="-11"/>
                <w:w w:val="15"/>
                <w:sz w:val="20"/>
                <w:szCs w:val="20"/>
                <w:shd w:val="solid" w:color="000000" w:fill="000000"/>
                <w:fitText w:val="54" w:id="-1435752189"/>
                <w14:textFill>
                  <w14:solidFill>
                    <w14:srgbClr w14:val="000000">
                      <w14:alpha w14:val="100000"/>
                    </w14:srgbClr>
                  </w14:solidFill>
                </w14:textFill>
              </w:rPr>
              <w:t xml:space="preserve">　</w:t>
            </w:r>
          </w:p>
        </w:tc>
        <w:tc>
          <w:tcPr>
            <w:tcW w:w="708" w:type="pct"/>
            <w:tcBorders>
              <w:top w:val="single" w:sz="4" w:space="0" w:color="auto"/>
              <w:left w:val="single" w:sz="4" w:space="0" w:color="auto"/>
              <w:bottom w:val="single" w:sz="4" w:space="0" w:color="auto"/>
              <w:right w:val="single" w:sz="4" w:space="0" w:color="auto"/>
            </w:tcBorders>
            <w:vAlign w:val="center"/>
            <w:hideMark/>
          </w:tcPr>
          <w:p w14:paraId="7C5D3CC8"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0.4835</w:t>
            </w:r>
          </w:p>
        </w:tc>
        <w:tc>
          <w:tcPr>
            <w:tcW w:w="550" w:type="pct"/>
            <w:tcBorders>
              <w:top w:val="single" w:sz="4" w:space="0" w:color="auto"/>
              <w:left w:val="single" w:sz="4" w:space="0" w:color="auto"/>
              <w:bottom w:val="single" w:sz="4" w:space="0" w:color="auto"/>
              <w:right w:val="single" w:sz="4" w:space="0" w:color="auto"/>
            </w:tcBorders>
            <w:vAlign w:val="center"/>
            <w:hideMark/>
          </w:tcPr>
          <w:p w14:paraId="1FF1B81F" w14:textId="4DF7D2FC"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color w:val="000000"/>
                <w:spacing w:val="55"/>
                <w:sz w:val="20"/>
                <w:szCs w:val="20"/>
                <w:shd w:val="solid" w:color="000000" w:fill="000000"/>
                <w:fitText w:val="238" w:id="-1435752188"/>
                <w14:textFill>
                  <w14:solidFill>
                    <w14:srgbClr w14:val="000000">
                      <w14:alpha w14:val="100000"/>
                    </w14:srgbClr>
                  </w14:solidFill>
                </w14:textFill>
              </w:rPr>
              <w:t>||</w:t>
            </w:r>
            <w:r w:rsidR="00602B47" w:rsidRPr="00602B47">
              <w:rPr>
                <w:rFonts w:ascii="Arial Narrow" w:hAnsi="Arial Narrow"/>
                <w:color w:val="000000"/>
                <w:spacing w:val="1"/>
                <w:sz w:val="20"/>
                <w:szCs w:val="20"/>
                <w:shd w:val="solid" w:color="000000" w:fill="000000"/>
                <w:fitText w:val="238" w:id="-1435752188"/>
                <w14:textFill>
                  <w14:solidFill>
                    <w14:srgbClr w14:val="000000">
                      <w14:alpha w14:val="100000"/>
                    </w14:srgbClr>
                  </w14:solidFill>
                </w14:textFill>
              </w:rPr>
              <w:t>|</w:t>
            </w:r>
            <w:r w:rsidR="00142C74">
              <w:rPr>
                <w:rFonts w:ascii="Arial Narrow" w:hAnsi="Arial Narrow"/>
                <w:sz w:val="20"/>
                <w:szCs w:val="20"/>
                <w:vertAlign w:val="superscript"/>
              </w:rPr>
              <w:t>1</w:t>
            </w:r>
          </w:p>
        </w:tc>
        <w:tc>
          <w:tcPr>
            <w:tcW w:w="836" w:type="pct"/>
            <w:tcBorders>
              <w:top w:val="single" w:sz="4" w:space="0" w:color="auto"/>
              <w:left w:val="single" w:sz="4" w:space="0" w:color="auto"/>
              <w:bottom w:val="single" w:sz="4" w:space="0" w:color="auto"/>
              <w:right w:val="single" w:sz="4" w:space="0" w:color="auto"/>
            </w:tcBorders>
            <w:vAlign w:val="center"/>
            <w:hideMark/>
          </w:tcPr>
          <w:p w14:paraId="173153A8"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+2.1%</w:t>
            </w:r>
          </w:p>
        </w:tc>
      </w:tr>
      <w:tr w:rsidR="00D34AF4" w:rsidRPr="00E050AF" w14:paraId="350C4614" w14:textId="77777777" w:rsidTr="00A962F4">
        <w:tc>
          <w:tcPr>
            <w:cnfStyle w:val="001000000000" w:firstRow="0" w:lastRow="0" w:firstColumn="1" w:lastColumn="0" w:oddVBand="0" w:evenVBand="0" w:oddHBand="0" w:evenHBand="0" w:firstRowFirstColumn="0" w:firstRowLastColumn="0" w:lastRowFirstColumn="0" w:lastRowLastColumn="0"/>
            <w:tcW w:w="2198" w:type="pct"/>
            <w:tcBorders>
              <w:top w:val="single" w:sz="4" w:space="0" w:color="auto"/>
              <w:left w:val="single" w:sz="4" w:space="0" w:color="auto"/>
              <w:bottom w:val="single" w:sz="4" w:space="0" w:color="auto"/>
              <w:right w:val="single" w:sz="4" w:space="0" w:color="auto"/>
            </w:tcBorders>
            <w:hideMark/>
          </w:tcPr>
          <w:p w14:paraId="269F1B52" w14:textId="77777777" w:rsidR="00D34AF4" w:rsidRPr="00E050AF" w:rsidRDefault="00D34AF4" w:rsidP="00A962F4">
            <w:pPr>
              <w:keepNext/>
              <w:keepLines/>
              <w:spacing w:before="0"/>
              <w:rPr>
                <w:sz w:val="20"/>
                <w:szCs w:val="20"/>
              </w:rPr>
            </w:pPr>
            <w:r w:rsidRPr="00E050AF">
              <w:rPr>
                <w:sz w:val="20"/>
                <w:szCs w:val="20"/>
              </w:rPr>
              <w:t>50% bevacizumab + 50% placebo</w:t>
            </w:r>
          </w:p>
        </w:tc>
        <w:tc>
          <w:tcPr>
            <w:tcW w:w="708" w:type="pct"/>
            <w:tcBorders>
              <w:top w:val="single" w:sz="4" w:space="0" w:color="auto"/>
              <w:left w:val="single" w:sz="4" w:space="0" w:color="auto"/>
              <w:bottom w:val="single" w:sz="4" w:space="0" w:color="auto"/>
              <w:right w:val="single" w:sz="4" w:space="0" w:color="auto"/>
            </w:tcBorders>
            <w:vAlign w:val="center"/>
            <w:hideMark/>
          </w:tcPr>
          <w:p w14:paraId="40E7D5C8" w14:textId="6BF59939" w:rsidR="00D34AF4" w:rsidRPr="00142C74"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highlight w:val="darkGray"/>
              </w:rPr>
            </w:pPr>
            <w:r w:rsidRPr="00142C74">
              <w:rPr>
                <w:rFonts w:ascii="Arial Narrow" w:hAnsi="Arial Narrow"/>
                <w:sz w:val="20"/>
                <w:szCs w:val="20"/>
              </w:rPr>
              <w:t>$</w:t>
            </w:r>
            <w:r w:rsidR="00602B47" w:rsidRPr="00602B47">
              <w:rPr>
                <w:rFonts w:ascii="Arial Narrow" w:hAnsi="Arial Narrow" w:hint="eastAsia"/>
                <w:color w:val="000000"/>
                <w:w w:val="15"/>
                <w:sz w:val="20"/>
                <w:szCs w:val="20"/>
                <w:shd w:val="solid" w:color="000000" w:fill="000000"/>
                <w:fitText w:val="54" w:id="-1435752187"/>
                <w14:textFill>
                  <w14:solidFill>
                    <w14:srgbClr w14:val="000000">
                      <w14:alpha w14:val="100000"/>
                    </w14:srgbClr>
                  </w14:solidFill>
                </w14:textFill>
              </w:rPr>
              <w:t xml:space="preserve">　</w:t>
            </w:r>
            <w:r w:rsidR="00602B47" w:rsidRPr="00602B47">
              <w:rPr>
                <w:rFonts w:ascii="Arial Narrow" w:hAnsi="Arial Narrow"/>
                <w:color w:val="000000"/>
                <w:w w:val="15"/>
                <w:sz w:val="20"/>
                <w:szCs w:val="20"/>
                <w:shd w:val="solid" w:color="000000" w:fill="000000"/>
                <w:fitText w:val="54" w:id="-1435752187"/>
                <w14:textFill>
                  <w14:solidFill>
                    <w14:srgbClr w14:val="000000">
                      <w14:alpha w14:val="100000"/>
                    </w14:srgbClr>
                  </w14:solidFill>
                </w14:textFill>
              </w:rPr>
              <w:t>|</w:t>
            </w:r>
            <w:r w:rsidR="00602B47" w:rsidRPr="00602B47">
              <w:rPr>
                <w:rFonts w:ascii="Arial Narrow" w:hAnsi="Arial Narrow" w:hint="eastAsia"/>
                <w:color w:val="000000"/>
                <w:spacing w:val="-11"/>
                <w:w w:val="15"/>
                <w:sz w:val="20"/>
                <w:szCs w:val="20"/>
                <w:shd w:val="solid" w:color="000000" w:fill="000000"/>
                <w:fitText w:val="54" w:id="-1435752187"/>
                <w14:textFill>
                  <w14:solidFill>
                    <w14:srgbClr w14:val="000000">
                      <w14:alpha w14:val="100000"/>
                    </w14:srgbClr>
                  </w14:solidFill>
                </w14:textFill>
              </w:rPr>
              <w:t xml:space="preserve">　</w:t>
            </w:r>
          </w:p>
        </w:tc>
        <w:tc>
          <w:tcPr>
            <w:tcW w:w="708" w:type="pct"/>
            <w:tcBorders>
              <w:top w:val="single" w:sz="4" w:space="0" w:color="auto"/>
              <w:left w:val="single" w:sz="4" w:space="0" w:color="auto"/>
              <w:bottom w:val="single" w:sz="4" w:space="0" w:color="auto"/>
              <w:right w:val="single" w:sz="4" w:space="0" w:color="auto"/>
            </w:tcBorders>
            <w:vAlign w:val="center"/>
            <w:hideMark/>
          </w:tcPr>
          <w:p w14:paraId="19012DF4"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0.4980</w:t>
            </w:r>
          </w:p>
        </w:tc>
        <w:tc>
          <w:tcPr>
            <w:tcW w:w="550" w:type="pct"/>
            <w:tcBorders>
              <w:top w:val="single" w:sz="4" w:space="0" w:color="auto"/>
              <w:left w:val="single" w:sz="4" w:space="0" w:color="auto"/>
              <w:bottom w:val="single" w:sz="4" w:space="0" w:color="auto"/>
              <w:right w:val="single" w:sz="4" w:space="0" w:color="auto"/>
            </w:tcBorders>
            <w:vAlign w:val="center"/>
            <w:hideMark/>
          </w:tcPr>
          <w:p w14:paraId="5D4CAA61" w14:textId="51626D2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w:t>
            </w:r>
            <w:r w:rsidR="00602B47" w:rsidRPr="00602B47">
              <w:rPr>
                <w:rFonts w:ascii="Arial Narrow" w:hAnsi="Arial Narrow"/>
                <w:color w:val="000000"/>
                <w:spacing w:val="55"/>
                <w:sz w:val="20"/>
                <w:szCs w:val="20"/>
                <w:shd w:val="solid" w:color="000000" w:fill="000000"/>
                <w:fitText w:val="238" w:id="-1435752186"/>
                <w14:textFill>
                  <w14:solidFill>
                    <w14:srgbClr w14:val="000000">
                      <w14:alpha w14:val="100000"/>
                    </w14:srgbClr>
                  </w14:solidFill>
                </w14:textFill>
              </w:rPr>
              <w:t>||</w:t>
            </w:r>
            <w:r w:rsidR="00602B47" w:rsidRPr="00602B47">
              <w:rPr>
                <w:rFonts w:ascii="Arial Narrow" w:hAnsi="Arial Narrow"/>
                <w:color w:val="000000"/>
                <w:spacing w:val="1"/>
                <w:sz w:val="20"/>
                <w:szCs w:val="20"/>
                <w:shd w:val="solid" w:color="000000" w:fill="000000"/>
                <w:fitText w:val="238" w:id="-1435752186"/>
                <w14:textFill>
                  <w14:solidFill>
                    <w14:srgbClr w14:val="000000">
                      <w14:alpha w14:val="100000"/>
                    </w14:srgbClr>
                  </w14:solidFill>
                </w14:textFill>
              </w:rPr>
              <w:t>|</w:t>
            </w:r>
            <w:r w:rsidR="00142C74">
              <w:rPr>
                <w:rFonts w:ascii="Arial Narrow" w:hAnsi="Arial Narrow"/>
                <w:sz w:val="20"/>
                <w:szCs w:val="20"/>
                <w:vertAlign w:val="superscript"/>
              </w:rPr>
              <w:t>1</w:t>
            </w:r>
          </w:p>
        </w:tc>
        <w:tc>
          <w:tcPr>
            <w:tcW w:w="836" w:type="pct"/>
            <w:tcBorders>
              <w:top w:val="single" w:sz="4" w:space="0" w:color="auto"/>
              <w:left w:val="single" w:sz="4" w:space="0" w:color="auto"/>
              <w:bottom w:val="single" w:sz="4" w:space="0" w:color="auto"/>
              <w:right w:val="single" w:sz="4" w:space="0" w:color="auto"/>
            </w:tcBorders>
            <w:vAlign w:val="center"/>
            <w:hideMark/>
          </w:tcPr>
          <w:p w14:paraId="613122AE" w14:textId="77777777" w:rsidR="00D34AF4" w:rsidRPr="00E050AF" w:rsidRDefault="00D34AF4" w:rsidP="00A962F4">
            <w:pPr>
              <w:keepNext/>
              <w:keepLines/>
              <w:spacing w:before="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20"/>
                <w:szCs w:val="20"/>
              </w:rPr>
            </w:pPr>
            <w:r w:rsidRPr="00E050AF">
              <w:rPr>
                <w:rFonts w:ascii="Arial Narrow" w:hAnsi="Arial Narrow"/>
                <w:sz w:val="20"/>
                <w:szCs w:val="20"/>
              </w:rPr>
              <w:t>+4.1%</w:t>
            </w:r>
          </w:p>
        </w:tc>
      </w:tr>
    </w:tbl>
    <w:p w14:paraId="32E93114" w14:textId="77777777" w:rsidR="00D34AF4" w:rsidRPr="00E050AF" w:rsidRDefault="00D34AF4" w:rsidP="00D34AF4">
      <w:pPr>
        <w:keepNext/>
        <w:keepLines/>
        <w:spacing w:before="0" w:after="0"/>
        <w:rPr>
          <w:rFonts w:ascii="Arial Narrow" w:hAnsi="Arial Narrow"/>
          <w:sz w:val="20"/>
          <w:szCs w:val="20"/>
        </w:rPr>
      </w:pPr>
      <w:r w:rsidRPr="00E050AF">
        <w:rPr>
          <w:rFonts w:ascii="Arial Narrow" w:hAnsi="Arial Narrow"/>
          <w:sz w:val="20"/>
          <w:szCs w:val="20"/>
        </w:rPr>
        <w:t>ICER = incremental cost effectiveness ratio; QALY = quality adjusted life year</w:t>
      </w:r>
    </w:p>
    <w:p w14:paraId="370C8E81" w14:textId="6C9EF04E" w:rsidR="00D34AF4" w:rsidRDefault="00D34AF4" w:rsidP="006855D2">
      <w:pPr>
        <w:spacing w:before="0" w:after="0"/>
        <w:rPr>
          <w:rFonts w:ascii="Arial Narrow" w:hAnsi="Arial Narrow"/>
          <w:sz w:val="20"/>
          <w:szCs w:val="20"/>
        </w:rPr>
      </w:pPr>
      <w:r w:rsidRPr="00E050AF">
        <w:rPr>
          <w:rFonts w:ascii="Arial Narrow" w:hAnsi="Arial Narrow"/>
          <w:sz w:val="20"/>
          <w:szCs w:val="20"/>
        </w:rPr>
        <w:t>Source: Source: Constructed during evaluation using Economic Evaluation.xls</w:t>
      </w:r>
    </w:p>
    <w:p w14:paraId="4B25D779" w14:textId="77777777" w:rsidR="00142C74" w:rsidRPr="001D0E42" w:rsidRDefault="00142C74" w:rsidP="00142C74">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lang w:eastAsia="en-AU"/>
        </w:rPr>
        <w:t xml:space="preserve">The redacted values correspond to the following ranges: </w:t>
      </w:r>
    </w:p>
    <w:p w14:paraId="05C8093D" w14:textId="77777777" w:rsidR="00142C74" w:rsidRPr="001D0E42" w:rsidRDefault="00142C74" w:rsidP="00142C74">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1</w:t>
      </w:r>
      <w:r w:rsidRPr="001D0E42">
        <w:rPr>
          <w:rFonts w:ascii="Arial Narrow" w:eastAsia="Times New Roman" w:hAnsi="Arial Narrow" w:cs="Arial"/>
          <w:i/>
          <w:sz w:val="18"/>
          <w:szCs w:val="18"/>
          <w:lang w:eastAsia="en-AU"/>
        </w:rPr>
        <w:t xml:space="preserve"> </w:t>
      </w:r>
      <w:r>
        <w:rPr>
          <w:rFonts w:ascii="Arial Narrow" w:eastAsia="Times New Roman" w:hAnsi="Arial Narrow" w:cs="Arial"/>
          <w:i/>
          <w:sz w:val="18"/>
          <w:szCs w:val="18"/>
          <w:lang w:eastAsia="en-AU"/>
        </w:rPr>
        <w:t>$</w:t>
      </w:r>
      <w:r w:rsidRPr="0090640F">
        <w:rPr>
          <w:rFonts w:ascii="Arial Narrow" w:eastAsia="Times New Roman" w:hAnsi="Arial Narrow" w:cs="Arial"/>
          <w:i/>
          <w:sz w:val="18"/>
          <w:szCs w:val="18"/>
          <w:lang w:eastAsia="en-AU"/>
        </w:rPr>
        <w:t>45,000 to &lt; $55,000</w:t>
      </w:r>
    </w:p>
    <w:p w14:paraId="2875D2D4" w14:textId="52A22A07" w:rsidR="00142C74" w:rsidRPr="00913433" w:rsidRDefault="00142C74" w:rsidP="006855D2">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$5</w:t>
      </w:r>
      <w:r w:rsidRPr="0090640F">
        <w:rPr>
          <w:rFonts w:ascii="Arial Narrow" w:eastAsia="Times New Roman" w:hAnsi="Arial Narrow" w:cs="Arial"/>
          <w:i/>
          <w:sz w:val="18"/>
          <w:szCs w:val="18"/>
          <w:lang w:eastAsia="en-AU"/>
        </w:rPr>
        <w:t>5,000 to &lt; $</w:t>
      </w:r>
      <w:r>
        <w:rPr>
          <w:rFonts w:ascii="Arial Narrow" w:eastAsia="Times New Roman" w:hAnsi="Arial Narrow" w:cs="Arial"/>
          <w:i/>
          <w:sz w:val="18"/>
          <w:szCs w:val="18"/>
          <w:lang w:eastAsia="en-AU"/>
        </w:rPr>
        <w:t>7</w:t>
      </w:r>
      <w:r w:rsidRPr="0090640F">
        <w:rPr>
          <w:rFonts w:ascii="Arial Narrow" w:eastAsia="Times New Roman" w:hAnsi="Arial Narrow" w:cs="Arial"/>
          <w:i/>
          <w:sz w:val="18"/>
          <w:szCs w:val="18"/>
          <w:lang w:eastAsia="en-AU"/>
        </w:rPr>
        <w:t>5,000</w:t>
      </w:r>
    </w:p>
    <w:p w14:paraId="33F74064" w14:textId="7EA9D370" w:rsidR="00DF33A6" w:rsidRPr="00E050AF" w:rsidRDefault="00DF33A6" w:rsidP="009D3CDF">
      <w:pPr>
        <w:pStyle w:val="ListParagraph"/>
        <w:numPr>
          <w:ilvl w:val="4"/>
          <w:numId w:val="8"/>
        </w:numPr>
      </w:pPr>
      <w:bookmarkStart w:id="111" w:name="_Ref110425425"/>
      <w:r w:rsidRPr="00E050AF">
        <w:t>As sho</w:t>
      </w:r>
      <w:r w:rsidRPr="00E050AF">
        <w:rPr>
          <w:rFonts w:cstheme="minorHAnsi"/>
          <w:szCs w:val="24"/>
        </w:rPr>
        <w:t xml:space="preserve">wn </w:t>
      </w:r>
      <w:r w:rsidR="00644F0C" w:rsidRPr="00E050AF">
        <w:rPr>
          <w:rFonts w:cstheme="minorHAnsi"/>
          <w:szCs w:val="24"/>
        </w:rPr>
        <w:t xml:space="preserve">in </w:t>
      </w:r>
      <w:r w:rsidR="00644F0C" w:rsidRPr="00E050AF">
        <w:rPr>
          <w:rFonts w:cstheme="minorHAnsi"/>
          <w:szCs w:val="24"/>
        </w:rPr>
        <w:fldChar w:fldCharType="begin"/>
      </w:r>
      <w:r w:rsidR="00644F0C" w:rsidRPr="00E050AF">
        <w:rPr>
          <w:rFonts w:cstheme="minorHAnsi"/>
          <w:szCs w:val="24"/>
        </w:rPr>
        <w:instrText xml:space="preserve"> REF _Ref110425332 \h  \* MERGEFORMAT </w:instrText>
      </w:r>
      <w:r w:rsidR="00644F0C" w:rsidRPr="00E050AF">
        <w:rPr>
          <w:rFonts w:cstheme="minorHAnsi"/>
          <w:szCs w:val="24"/>
        </w:rPr>
      </w:r>
      <w:r w:rsidR="00644F0C" w:rsidRPr="00E050AF">
        <w:rPr>
          <w:rFonts w:cstheme="minorHAnsi"/>
          <w:szCs w:val="24"/>
        </w:rPr>
        <w:fldChar w:fldCharType="separate"/>
      </w:r>
      <w:r w:rsidR="00E050AF" w:rsidRPr="00E050AF">
        <w:rPr>
          <w:rStyle w:val="CommentReference"/>
          <w:rFonts w:asciiTheme="minorHAnsi" w:hAnsiTheme="minorHAnsi" w:cstheme="minorHAnsi"/>
          <w:b w:val="0"/>
          <w:sz w:val="24"/>
          <w:szCs w:val="24"/>
        </w:rPr>
        <w:t>Table 20</w:t>
      </w:r>
      <w:r w:rsidR="00644F0C" w:rsidRPr="00E050AF">
        <w:rPr>
          <w:rFonts w:cstheme="minorHAnsi"/>
          <w:szCs w:val="24"/>
        </w:rPr>
        <w:fldChar w:fldCharType="end"/>
      </w:r>
      <w:r w:rsidRPr="00E050AF">
        <w:rPr>
          <w:rFonts w:cstheme="minorHAnsi"/>
          <w:szCs w:val="24"/>
        </w:rPr>
        <w:t>, use of</w:t>
      </w:r>
      <w:r w:rsidRPr="00E050AF">
        <w:t xml:space="preserve"> the supplementary analysis (</w:t>
      </w:r>
      <w:r w:rsidR="00E13C26" w:rsidRPr="00E050AF">
        <w:t xml:space="preserve">100% </w:t>
      </w:r>
      <w:r w:rsidRPr="00E050AF">
        <w:t xml:space="preserve">placebo comparator) resulted in a moderate increase (+9.8%) in </w:t>
      </w:r>
      <w:r w:rsidR="00CD34E4" w:rsidRPr="00E050AF">
        <w:t xml:space="preserve">the </w:t>
      </w:r>
      <w:r w:rsidRPr="00E050AF">
        <w:t>ICER compared to the main analysis (bev</w:t>
      </w:r>
      <w:r w:rsidR="0053622A" w:rsidRPr="00E050AF">
        <w:t>a</w:t>
      </w:r>
      <w:r w:rsidRPr="00E050AF">
        <w:t>cizumab comparator)</w:t>
      </w:r>
      <w:r w:rsidR="0053622A" w:rsidRPr="00E050AF">
        <w:t xml:space="preserve"> due to the increase in </w:t>
      </w:r>
      <w:r w:rsidR="00CD34E4" w:rsidRPr="00E050AF">
        <w:t xml:space="preserve">incremental </w:t>
      </w:r>
      <w:r w:rsidR="0053622A" w:rsidRPr="00E050AF">
        <w:t xml:space="preserve">drug costs and QALYs incurred with </w:t>
      </w:r>
      <w:r w:rsidR="00C37997" w:rsidRPr="00E050AF">
        <w:t>the</w:t>
      </w:r>
      <w:r w:rsidR="0053622A" w:rsidRPr="00E050AF">
        <w:t xml:space="preserve"> use of the placebo comparator.</w:t>
      </w:r>
      <w:r w:rsidR="00AE7658" w:rsidRPr="00E050AF">
        <w:t xml:space="preserve"> The ICER assuming a comparator of 90% bevacizumab and 10% placebo was </w:t>
      </w:r>
      <w:r w:rsidR="00142C74" w:rsidRPr="00142C74">
        <w:rPr>
          <w:iCs/>
        </w:rPr>
        <w:t>$45,000 to &lt; $55,000</w:t>
      </w:r>
      <w:r w:rsidR="00AE7658" w:rsidRPr="00E050AF">
        <w:t>.</w:t>
      </w:r>
      <w:bookmarkEnd w:id="111"/>
    </w:p>
    <w:p w14:paraId="28E7A1D5" w14:textId="361BCF9C" w:rsidR="00AB43EA" w:rsidRPr="00E050AF" w:rsidRDefault="00AB43EA" w:rsidP="009D3CDF">
      <w:pPr>
        <w:pStyle w:val="ListParagraph"/>
        <w:numPr>
          <w:ilvl w:val="4"/>
          <w:numId w:val="8"/>
        </w:numPr>
      </w:pPr>
      <w:r w:rsidRPr="00E050AF">
        <w:t xml:space="preserve">Additional economic analyses were conducted for alternate </w:t>
      </w:r>
      <w:r w:rsidR="00CF529A" w:rsidRPr="00E050AF">
        <w:rPr>
          <w:i/>
          <w:iCs/>
        </w:rPr>
        <w:t>BRCA</w:t>
      </w:r>
      <w:r w:rsidRPr="00E050AF">
        <w:t xml:space="preserve"> and HRD testing populations proposed by PASC</w:t>
      </w:r>
      <w:r w:rsidR="00AE7658" w:rsidRPr="00E050AF">
        <w:t xml:space="preserve"> where testing approach was varied</w:t>
      </w:r>
      <w:r w:rsidRPr="00E050AF">
        <w:t xml:space="preserve">. These resulted in </w:t>
      </w:r>
      <w:r w:rsidR="00AE7658" w:rsidRPr="00E050AF">
        <w:t xml:space="preserve">only </w:t>
      </w:r>
      <w:r w:rsidRPr="00E050AF">
        <w:t>small changes to the base case ICER (+0.4% to +1.9%).</w:t>
      </w:r>
    </w:p>
    <w:p w14:paraId="1FB9B5F7" w14:textId="1F609F99" w:rsidR="00E1147C" w:rsidRPr="00E050AF" w:rsidRDefault="00DC08C4" w:rsidP="00E1147C">
      <w:pPr>
        <w:pStyle w:val="ListParagraph"/>
        <w:numPr>
          <w:ilvl w:val="4"/>
          <w:numId w:val="8"/>
        </w:numPr>
        <w:rPr>
          <w:iCs/>
          <w:color w:val="auto"/>
        </w:rPr>
      </w:pPr>
      <w:r w:rsidRPr="00E050AF">
        <w:rPr>
          <w:iCs/>
          <w:color w:val="auto"/>
        </w:rPr>
        <w:t xml:space="preserve">The PSCR considered that the </w:t>
      </w:r>
      <w:r w:rsidR="008657A4" w:rsidRPr="00E050AF">
        <w:rPr>
          <w:iCs/>
          <w:color w:val="auto"/>
        </w:rPr>
        <w:t>c</w:t>
      </w:r>
      <w:r w:rsidRPr="00E050AF">
        <w:rPr>
          <w:iCs/>
          <w:color w:val="auto"/>
        </w:rPr>
        <w:t>ommentary’s multivariate analysis was not appropriate with respect to assumptions for PFS extrapolation</w:t>
      </w:r>
      <w:r w:rsidR="009D3CDF" w:rsidRPr="00E050AF">
        <w:rPr>
          <w:iCs/>
          <w:color w:val="auto"/>
        </w:rPr>
        <w:t xml:space="preserve"> (see paragraph 6.60)</w:t>
      </w:r>
      <w:r w:rsidRPr="00E050AF">
        <w:rPr>
          <w:iCs/>
          <w:color w:val="auto"/>
        </w:rPr>
        <w:t>, time horizon</w:t>
      </w:r>
      <w:r w:rsidR="009D3CDF" w:rsidRPr="00E050AF">
        <w:rPr>
          <w:iCs/>
          <w:color w:val="auto"/>
        </w:rPr>
        <w:t xml:space="preserve"> (</w:t>
      </w:r>
      <w:r w:rsidR="004E43D0" w:rsidRPr="00E050AF">
        <w:rPr>
          <w:iCs/>
          <w:color w:val="auto"/>
        </w:rPr>
        <w:t xml:space="preserve">see </w:t>
      </w:r>
      <w:r w:rsidR="009D3CDF" w:rsidRPr="00E050AF">
        <w:rPr>
          <w:iCs/>
          <w:color w:val="auto"/>
        </w:rPr>
        <w:t>paragraph 6.75)</w:t>
      </w:r>
      <w:r w:rsidRPr="00E050AF">
        <w:rPr>
          <w:iCs/>
          <w:color w:val="auto"/>
        </w:rPr>
        <w:t>, and utility values</w:t>
      </w:r>
      <w:r w:rsidR="009D3CDF" w:rsidRPr="00E050AF">
        <w:rPr>
          <w:iCs/>
          <w:color w:val="auto"/>
        </w:rPr>
        <w:t xml:space="preserve"> (</w:t>
      </w:r>
      <w:r w:rsidR="004E43D0" w:rsidRPr="00E050AF">
        <w:rPr>
          <w:iCs/>
          <w:color w:val="auto"/>
        </w:rPr>
        <w:t xml:space="preserve">see </w:t>
      </w:r>
      <w:r w:rsidR="009D3CDF" w:rsidRPr="00E050AF">
        <w:rPr>
          <w:iCs/>
          <w:color w:val="auto"/>
        </w:rPr>
        <w:t>paragraph 6.68)</w:t>
      </w:r>
      <w:r w:rsidRPr="00E050AF">
        <w:rPr>
          <w:iCs/>
          <w:color w:val="auto"/>
        </w:rPr>
        <w:t>.</w:t>
      </w:r>
    </w:p>
    <w:p w14:paraId="7DF688A3" w14:textId="1D3823FD" w:rsidR="00E1147C" w:rsidRPr="00E050AF" w:rsidRDefault="00E1147C" w:rsidP="00AE7658">
      <w:pPr>
        <w:pStyle w:val="ListParagraph"/>
        <w:numPr>
          <w:ilvl w:val="4"/>
          <w:numId w:val="8"/>
        </w:numPr>
        <w:rPr>
          <w:iCs/>
          <w:color w:val="auto"/>
        </w:rPr>
      </w:pPr>
      <w:r w:rsidRPr="00E050AF">
        <w:rPr>
          <w:iCs/>
          <w:color w:val="auto"/>
        </w:rPr>
        <w:t>The ESC</w:t>
      </w:r>
      <w:r w:rsidR="004A1A2E" w:rsidRPr="00E050AF">
        <w:rPr>
          <w:iCs/>
          <w:color w:val="auto"/>
        </w:rPr>
        <w:t xml:space="preserve">s </w:t>
      </w:r>
      <w:r w:rsidRPr="00E050AF">
        <w:rPr>
          <w:iCs/>
          <w:color w:val="auto"/>
        </w:rPr>
        <w:t xml:space="preserve">considered that the economic model </w:t>
      </w:r>
      <w:r w:rsidR="00AC7159" w:rsidRPr="00E050AF">
        <w:rPr>
          <w:iCs/>
          <w:color w:val="auto"/>
        </w:rPr>
        <w:t>relied</w:t>
      </w:r>
      <w:r w:rsidRPr="00E050AF">
        <w:rPr>
          <w:iCs/>
          <w:color w:val="auto"/>
        </w:rPr>
        <w:t xml:space="preserve"> on uncertain evidence with respect to whether or not the proposed test will identify </w:t>
      </w:r>
      <w:r w:rsidR="006A45C0" w:rsidRPr="00E050AF">
        <w:rPr>
          <w:iCs/>
          <w:color w:val="auto"/>
        </w:rPr>
        <w:t>an equivalent</w:t>
      </w:r>
      <w:r w:rsidRPr="00E050AF">
        <w:rPr>
          <w:iCs/>
          <w:color w:val="auto"/>
        </w:rPr>
        <w:t xml:space="preserve"> group of patients to determine eligibility for PBS treatment with olaparib</w:t>
      </w:r>
      <w:r w:rsidR="006A45C0" w:rsidRPr="00E050AF">
        <w:rPr>
          <w:iCs/>
          <w:color w:val="auto"/>
        </w:rPr>
        <w:t xml:space="preserve"> as were included in PAOLA-1</w:t>
      </w:r>
      <w:r w:rsidRPr="00E050AF">
        <w:rPr>
          <w:iCs/>
          <w:color w:val="auto"/>
        </w:rPr>
        <w:t>. The ESC</w:t>
      </w:r>
      <w:r w:rsidR="004A1A2E" w:rsidRPr="00E050AF">
        <w:rPr>
          <w:iCs/>
          <w:color w:val="auto"/>
        </w:rPr>
        <w:t>s</w:t>
      </w:r>
      <w:r w:rsidRPr="00E050AF">
        <w:rPr>
          <w:iCs/>
          <w:color w:val="auto"/>
        </w:rPr>
        <w:t xml:space="preserve"> considered that additional evidence would be required to address this concern, including evidence that the proposed test will identify the appropriate population who will benefit from the proposed PBS listing as requested by the submission.</w:t>
      </w:r>
      <w:r w:rsidR="00AE7658" w:rsidRPr="00E050AF">
        <w:rPr>
          <w:iCs/>
          <w:color w:val="auto"/>
        </w:rPr>
        <w:t xml:space="preserve"> The PBAC noted that MSAC advice was required regarding the equivalence or validation of the SOPHiA assay (the assay in the submission proposed for MBS listing) versus the Myriad MyChoice Plus HRD assay (the clinical utility standard assay used in PAOLA-1).</w:t>
      </w:r>
    </w:p>
    <w:p w14:paraId="0DC281BB" w14:textId="32D13E38" w:rsidR="006A45C0" w:rsidRPr="00E050AF" w:rsidRDefault="002517D7" w:rsidP="009D3CDF">
      <w:pPr>
        <w:pStyle w:val="ListParagraph"/>
        <w:numPr>
          <w:ilvl w:val="4"/>
          <w:numId w:val="8"/>
        </w:numPr>
        <w:rPr>
          <w:iCs/>
          <w:color w:val="auto"/>
        </w:rPr>
      </w:pPr>
      <w:r w:rsidRPr="00E050AF">
        <w:rPr>
          <w:iCs/>
          <w:color w:val="auto"/>
        </w:rPr>
        <w:t>The ESC</w:t>
      </w:r>
      <w:r w:rsidR="004A1A2E" w:rsidRPr="00E050AF">
        <w:rPr>
          <w:iCs/>
          <w:color w:val="auto"/>
        </w:rPr>
        <w:t>s</w:t>
      </w:r>
      <w:r w:rsidRPr="00E050AF">
        <w:rPr>
          <w:iCs/>
          <w:color w:val="auto"/>
        </w:rPr>
        <w:t xml:space="preserve"> considered that the base case ICER proposed by the submission was underestimated. Using more conservative inputs (15-year time horizon, Weibull extrapolation for bevacizumab monotherapy PFS, using post-progression utility from PAOLA-1, and changing </w:t>
      </w:r>
      <w:r w:rsidR="00CF529A" w:rsidRPr="00E050AF">
        <w:rPr>
          <w:i/>
          <w:color w:val="auto"/>
        </w:rPr>
        <w:t>BRCA</w:t>
      </w:r>
      <w:r w:rsidRPr="00E050AF">
        <w:rPr>
          <w:iCs/>
          <w:color w:val="auto"/>
        </w:rPr>
        <w:t xml:space="preserve"> testing cost to $1,000 to reflect proposed MSAC change) increased the ICER by 94%, from a base case of </w:t>
      </w:r>
      <w:r w:rsidR="00B71F7F" w:rsidRPr="00142C74">
        <w:rPr>
          <w:iCs/>
        </w:rPr>
        <w:t>$45,000</w:t>
      </w:r>
      <w:r w:rsidR="00B71F7F">
        <w:rPr>
          <w:iCs/>
        </w:rPr>
        <w:t xml:space="preserve"> </w:t>
      </w:r>
      <w:r w:rsidR="00B71F7F" w:rsidRPr="00142C74">
        <w:rPr>
          <w:iCs/>
        </w:rPr>
        <w:t>to</w:t>
      </w:r>
      <w:r w:rsidR="00B71F7F">
        <w:rPr>
          <w:iCs/>
        </w:rPr>
        <w:t xml:space="preserve"> </w:t>
      </w:r>
      <w:r w:rsidR="00B71F7F" w:rsidRPr="00142C74">
        <w:rPr>
          <w:iCs/>
        </w:rPr>
        <w:t>&lt; $55,000</w:t>
      </w:r>
      <w:r w:rsidRPr="00E050AF">
        <w:rPr>
          <w:iCs/>
          <w:color w:val="auto"/>
        </w:rPr>
        <w:t xml:space="preserve">/QALY to </w:t>
      </w:r>
      <w:r w:rsidR="00B71F7F" w:rsidRPr="00B71F7F">
        <w:rPr>
          <w:iCs/>
          <w:color w:val="auto"/>
        </w:rPr>
        <w:t>$95,000</w:t>
      </w:r>
      <w:r w:rsidR="00B71F7F">
        <w:rPr>
          <w:iCs/>
          <w:color w:val="auto"/>
        </w:rPr>
        <w:t xml:space="preserve"> </w:t>
      </w:r>
      <w:r w:rsidR="00B71F7F" w:rsidRPr="00B71F7F">
        <w:rPr>
          <w:iCs/>
          <w:color w:val="auto"/>
        </w:rPr>
        <w:t>to</w:t>
      </w:r>
      <w:r w:rsidR="00B71F7F">
        <w:rPr>
          <w:iCs/>
          <w:color w:val="auto"/>
        </w:rPr>
        <w:t xml:space="preserve"> </w:t>
      </w:r>
      <w:r w:rsidR="00B71F7F" w:rsidRPr="00B71F7F">
        <w:rPr>
          <w:iCs/>
          <w:color w:val="auto"/>
        </w:rPr>
        <w:t>&lt; $115,000</w:t>
      </w:r>
      <w:r w:rsidRPr="00E050AF">
        <w:rPr>
          <w:iCs/>
          <w:color w:val="auto"/>
        </w:rPr>
        <w:t xml:space="preserve">/QALY. The </w:t>
      </w:r>
      <w:r w:rsidRPr="00826EBB">
        <w:rPr>
          <w:iCs/>
          <w:color w:val="auto"/>
        </w:rPr>
        <w:t>ESC</w:t>
      </w:r>
      <w:r w:rsidR="004A1A2E" w:rsidRPr="00826EBB">
        <w:rPr>
          <w:iCs/>
          <w:color w:val="auto"/>
        </w:rPr>
        <w:t>s</w:t>
      </w:r>
      <w:r w:rsidRPr="00E050AF">
        <w:rPr>
          <w:iCs/>
          <w:color w:val="auto"/>
        </w:rPr>
        <w:t xml:space="preserve"> agreed with the commentary that the model </w:t>
      </w:r>
      <w:r w:rsidR="00A473BF" w:rsidRPr="00E050AF">
        <w:rPr>
          <w:iCs/>
          <w:color w:val="auto"/>
        </w:rPr>
        <w:t xml:space="preserve">and resulting ICER </w:t>
      </w:r>
      <w:r w:rsidRPr="00E050AF">
        <w:rPr>
          <w:iCs/>
          <w:color w:val="auto"/>
        </w:rPr>
        <w:t xml:space="preserve">remained optimistic with these settings, as the assumed cure fraction for olaparib plus bevacizumab was still assumed to be 38%, around one and a half times that of the assumed cure fraction for olaparib monotherapy in </w:t>
      </w:r>
      <w:r w:rsidR="00CF529A" w:rsidRPr="00E050AF">
        <w:rPr>
          <w:i/>
          <w:color w:val="auto"/>
        </w:rPr>
        <w:t>BRCA</w:t>
      </w:r>
      <w:r w:rsidRPr="00E050AF">
        <w:rPr>
          <w:iCs/>
          <w:color w:val="auto"/>
        </w:rPr>
        <w:t>m patients in July 2020.</w:t>
      </w:r>
    </w:p>
    <w:p w14:paraId="212EE174" w14:textId="5BF2042C" w:rsidR="00E1147C" w:rsidRPr="00E050AF" w:rsidRDefault="00E1147C" w:rsidP="00E1147C">
      <w:pPr>
        <w:pStyle w:val="ListParagraph"/>
        <w:numPr>
          <w:ilvl w:val="4"/>
          <w:numId w:val="8"/>
        </w:numPr>
        <w:rPr>
          <w:iCs/>
          <w:color w:val="auto"/>
        </w:rPr>
      </w:pPr>
      <w:r w:rsidRPr="00E050AF">
        <w:rPr>
          <w:iCs/>
        </w:rPr>
        <w:t>The ESC</w:t>
      </w:r>
      <w:r w:rsidR="00AC7159" w:rsidRPr="00E050AF">
        <w:rPr>
          <w:iCs/>
        </w:rPr>
        <w:t>s</w:t>
      </w:r>
      <w:r w:rsidRPr="00E050AF">
        <w:rPr>
          <w:iCs/>
        </w:rPr>
        <w:t xml:space="preserve"> noted that the submission requested an effective price that was equal to the current effective price for olaparib, which appears inconsistent with the proposed circumstances of use, in which the cost increased testing fees must also be considered.</w:t>
      </w:r>
    </w:p>
    <w:p w14:paraId="3847BC34" w14:textId="0BA38B35" w:rsidR="00AC7159" w:rsidRPr="00E050AF" w:rsidRDefault="00F06F6A" w:rsidP="00AC7159">
      <w:pPr>
        <w:pStyle w:val="ListParagraph"/>
        <w:numPr>
          <w:ilvl w:val="4"/>
          <w:numId w:val="8"/>
        </w:numPr>
        <w:rPr>
          <w:bCs/>
          <w:snapToGrid w:val="0"/>
        </w:rPr>
      </w:pPr>
      <w:r w:rsidRPr="00E050AF">
        <w:rPr>
          <w:bCs/>
        </w:rPr>
        <w:t>The ESC</w:t>
      </w:r>
      <w:r w:rsidR="00AC7159" w:rsidRPr="00E050AF">
        <w:rPr>
          <w:bCs/>
        </w:rPr>
        <w:t>s</w:t>
      </w:r>
      <w:r w:rsidRPr="00E050AF">
        <w:rPr>
          <w:bCs/>
        </w:rPr>
        <w:t xml:space="preserve"> noted that in July 2020, the PBAC recommended the listing of olaparib </w:t>
      </w:r>
      <w:r w:rsidR="00266883" w:rsidRPr="00E050AF">
        <w:rPr>
          <w:bCs/>
        </w:rPr>
        <w:t xml:space="preserve">as first line maintenance </w:t>
      </w:r>
      <w:r w:rsidRPr="00E050AF">
        <w:rPr>
          <w:bCs/>
        </w:rPr>
        <w:t xml:space="preserve">monotherapy for </w:t>
      </w:r>
      <w:r w:rsidR="00275200" w:rsidRPr="00E050AF">
        <w:rPr>
          <w:bCs/>
          <w:i/>
        </w:rPr>
        <w:t>BRCA</w:t>
      </w:r>
      <w:r w:rsidRPr="00E050AF">
        <w:rPr>
          <w:bCs/>
        </w:rPr>
        <w:t xml:space="preserve">m patients. The PBAC’s recommendation for listing was based on, among other matters, its assessment that the cost-effectiveness of olaparib would be acceptable if the ICER was less than $58,000/QALY for the revised economic model scenario as described in the PBAC </w:t>
      </w:r>
      <w:r w:rsidR="00E53822">
        <w:rPr>
          <w:bCs/>
        </w:rPr>
        <w:t>PSD</w:t>
      </w:r>
      <w:r w:rsidR="00E53822" w:rsidRPr="00E050AF">
        <w:rPr>
          <w:bCs/>
        </w:rPr>
        <w:t xml:space="preserve"> </w:t>
      </w:r>
      <w:r w:rsidRPr="00E050AF">
        <w:rPr>
          <w:bCs/>
        </w:rPr>
        <w:t xml:space="preserve">(July 2020 PBAC </w:t>
      </w:r>
      <w:r w:rsidR="00E53822">
        <w:rPr>
          <w:bCs/>
        </w:rPr>
        <w:t>PSD</w:t>
      </w:r>
      <w:r w:rsidRPr="00E050AF">
        <w:rPr>
          <w:bCs/>
        </w:rPr>
        <w:t>, paragraphs 7.1 and 7.17).</w:t>
      </w:r>
    </w:p>
    <w:p w14:paraId="593841EB" w14:textId="484648D7" w:rsidR="00AB43EA" w:rsidRPr="00E050AF" w:rsidRDefault="00AB43EA" w:rsidP="009D3CDF">
      <w:pPr>
        <w:pStyle w:val="PBACESHeading2"/>
        <w:numPr>
          <w:ilvl w:val="2"/>
          <w:numId w:val="8"/>
        </w:numPr>
        <w:ind w:left="0" w:firstLine="0"/>
      </w:pPr>
      <w:bookmarkStart w:id="112" w:name="_Toc100693630"/>
      <w:bookmarkStart w:id="113" w:name="_Toc413139283"/>
      <w:bookmarkStart w:id="114" w:name="_Toc103581582"/>
      <w:bookmarkStart w:id="115" w:name="_Toc103775869"/>
      <w:r w:rsidRPr="00E050AF">
        <w:t xml:space="preserve">Olaparib cost/patient/course: </w:t>
      </w:r>
      <w:r w:rsidR="00A776D4" w:rsidRPr="00E050AF">
        <w:t>$</w:t>
      </w:r>
      <w:r w:rsidR="00602B47" w:rsidRPr="00602B47">
        <w:rPr>
          <w:color w:val="000000"/>
          <w:w w:val="55"/>
          <w:shd w:val="solid" w:color="000000" w:fill="000000"/>
          <w:fitText w:val="562" w:id="-1435752185"/>
          <w14:textFill>
            <w14:solidFill>
              <w14:srgbClr w14:val="000000">
                <w14:alpha w14:val="100000"/>
              </w14:srgbClr>
            </w14:solidFill>
          </w14:textFill>
        </w:rPr>
        <w:t>|||||||</w:t>
      </w:r>
      <w:r w:rsidR="00602B47" w:rsidRPr="00602B47">
        <w:rPr>
          <w:color w:val="000000"/>
          <w:spacing w:val="4"/>
          <w:w w:val="55"/>
          <w:shd w:val="solid" w:color="000000" w:fill="000000"/>
          <w:fitText w:val="562" w:id="-1435752185"/>
          <w14:textFill>
            <w14:solidFill>
              <w14:srgbClr w14:val="000000">
                <w14:alpha w14:val="100000"/>
              </w14:srgbClr>
            </w14:solidFill>
          </w14:textFill>
        </w:rPr>
        <w:t>|</w:t>
      </w:r>
      <w:r w:rsidR="0063412E" w:rsidRPr="00E050AF">
        <w:t xml:space="preserve"> </w:t>
      </w:r>
      <w:r w:rsidR="003545C3" w:rsidRPr="00E050AF">
        <w:t xml:space="preserve">(mean </w:t>
      </w:r>
      <w:r w:rsidR="00341840" w:rsidRPr="00E050AF">
        <w:t xml:space="preserve">17.1 months) </w:t>
      </w:r>
      <w:r w:rsidR="003545C3" w:rsidRPr="00E050AF">
        <w:t>/</w:t>
      </w:r>
      <w:r w:rsidRPr="00E050AF">
        <w:t>$</w:t>
      </w:r>
      <w:bookmarkEnd w:id="112"/>
      <w:bookmarkEnd w:id="113"/>
      <w:r w:rsidR="00602B47" w:rsidRPr="00602B47">
        <w:rPr>
          <w:color w:val="000000"/>
          <w:w w:val="55"/>
          <w:shd w:val="solid" w:color="000000" w:fill="000000"/>
          <w:fitText w:val="563" w:id="-1435752184"/>
          <w14:textFill>
            <w14:solidFill>
              <w14:srgbClr w14:val="000000">
                <w14:alpha w14:val="100000"/>
              </w14:srgbClr>
            </w14:solidFill>
          </w14:textFill>
        </w:rPr>
        <w:t>|||||||</w:t>
      </w:r>
      <w:r w:rsidR="00602B47" w:rsidRPr="00602B47">
        <w:rPr>
          <w:color w:val="000000"/>
          <w:spacing w:val="5"/>
          <w:w w:val="55"/>
          <w:shd w:val="solid" w:color="000000" w:fill="000000"/>
          <w:fitText w:val="563" w:id="-1435752184"/>
          <w14:textFill>
            <w14:solidFill>
              <w14:srgbClr w14:val="000000">
                <w14:alpha w14:val="100000"/>
              </w14:srgbClr>
            </w14:solidFill>
          </w14:textFill>
        </w:rPr>
        <w:t>|</w:t>
      </w:r>
      <w:r w:rsidR="00341840" w:rsidRPr="00E050AF">
        <w:t xml:space="preserve"> (median 22 months)</w:t>
      </w:r>
      <w:bookmarkEnd w:id="114"/>
      <w:bookmarkEnd w:id="115"/>
    </w:p>
    <w:p w14:paraId="5E45B088" w14:textId="21CE8028" w:rsidR="00AB43EA" w:rsidRPr="00E050AF" w:rsidRDefault="00ED43EE" w:rsidP="009D3CDF">
      <w:pPr>
        <w:pStyle w:val="ListParagraph"/>
        <w:numPr>
          <w:ilvl w:val="4"/>
          <w:numId w:val="8"/>
        </w:numPr>
      </w:pPr>
      <w:r w:rsidRPr="00E050AF">
        <w:t>T</w:t>
      </w:r>
      <w:r w:rsidR="003545C3" w:rsidRPr="00E050AF">
        <w:t xml:space="preserve">here were inconsistencies between the </w:t>
      </w:r>
      <w:r w:rsidR="007D7EF3" w:rsidRPr="00E050AF">
        <w:t xml:space="preserve">duration of treatment and consequently the number of </w:t>
      </w:r>
      <w:r w:rsidR="003545C3" w:rsidRPr="00E050AF">
        <w:t xml:space="preserve">doses used in the economic evaluation </w:t>
      </w:r>
      <w:r w:rsidR="00341840" w:rsidRPr="00E050AF">
        <w:t xml:space="preserve">(mean 17.1 months, 18.55 </w:t>
      </w:r>
      <w:r w:rsidR="008112EB" w:rsidRPr="00E050AF">
        <w:t>packs</w:t>
      </w:r>
      <w:r w:rsidR="00341840" w:rsidRPr="00E050AF">
        <w:t xml:space="preserve">) </w:t>
      </w:r>
      <w:r w:rsidR="003545C3" w:rsidRPr="00E050AF">
        <w:t xml:space="preserve">and the financial estimates </w:t>
      </w:r>
      <w:r w:rsidR="00341840" w:rsidRPr="00E050AF">
        <w:t xml:space="preserve">(median </w:t>
      </w:r>
      <w:r w:rsidR="00AB43EA" w:rsidRPr="00E050AF">
        <w:t>22 months</w:t>
      </w:r>
      <w:r w:rsidR="00341840" w:rsidRPr="00E050AF">
        <w:t xml:space="preserve">, 23.9 </w:t>
      </w:r>
      <w:r w:rsidR="008112EB" w:rsidRPr="00E050AF">
        <w:t>packs</w:t>
      </w:r>
      <w:r w:rsidR="00341840" w:rsidRPr="00E050AF">
        <w:t>).</w:t>
      </w:r>
      <w:r w:rsidR="00AB43EA" w:rsidRPr="00E050AF">
        <w:t xml:space="preserve"> </w:t>
      </w:r>
      <w:r w:rsidR="007D7EF3" w:rsidRPr="00E050AF">
        <w:t xml:space="preserve">For consistency the financial estimates were updated to reflect the mean number of doses for olaparib and bevacizumab from the economic model during the evaluation. </w:t>
      </w:r>
      <w:r w:rsidR="00D55643" w:rsidRPr="00E050AF">
        <w:t>T</w:t>
      </w:r>
      <w:r w:rsidR="00AB43EA" w:rsidRPr="00E050AF">
        <w:t>reatment</w:t>
      </w:r>
      <w:r w:rsidR="00FE696F" w:rsidRPr="00E050AF">
        <w:t xml:space="preserve"> cost</w:t>
      </w:r>
      <w:r w:rsidR="00C9505E" w:rsidRPr="00E050AF">
        <w:t xml:space="preserve"> for olaparib</w:t>
      </w:r>
      <w:r w:rsidR="00AB43EA" w:rsidRPr="00E050AF">
        <w:t xml:space="preserve"> </w:t>
      </w:r>
      <w:r w:rsidR="008112EB" w:rsidRPr="00E050AF">
        <w:t xml:space="preserve">is calculated </w:t>
      </w:r>
      <w:r w:rsidR="00AB43EA" w:rsidRPr="00E050AF">
        <w:t>at an effective price of $</w:t>
      </w:r>
      <w:r w:rsidR="00602B47" w:rsidRPr="00DC7848">
        <w:rPr>
          <w:w w:val="15"/>
          <w:shd w:val="solid" w:color="000000" w:fill="000000"/>
          <w:fitText w:val="-20" w:id="-1435752183"/>
          <w14:textFill>
            <w14:solidFill>
              <w14:schemeClr w14:val="tx1">
                <w14:alpha w14:val="100000"/>
              </w14:schemeClr>
            </w14:solidFill>
          </w14:textFill>
        </w:rPr>
        <w:t xml:space="preserve">|  </w:t>
      </w:r>
      <w:r w:rsidR="00602B47" w:rsidRPr="00DC7848">
        <w:rPr>
          <w:spacing w:val="-69"/>
          <w:w w:val="15"/>
          <w:shd w:val="solid" w:color="000000" w:fill="000000"/>
          <w:fitText w:val="-20" w:id="-1435752183"/>
          <w14:textFill>
            <w14:solidFill>
              <w14:schemeClr w14:val="tx1">
                <w14:alpha w14:val="100000"/>
              </w14:schemeClr>
            </w14:solidFill>
          </w14:textFill>
        </w:rPr>
        <w:t>|</w:t>
      </w:r>
      <w:r w:rsidR="00AB43EA" w:rsidRPr="00E050AF">
        <w:t xml:space="preserve"> per 112 tablets (28 days of treatment).</w:t>
      </w:r>
    </w:p>
    <w:p w14:paraId="32923B48" w14:textId="3CC12269" w:rsidR="00AB43EA" w:rsidRPr="00E050AF" w:rsidRDefault="00AB43EA" w:rsidP="009D3CDF">
      <w:pPr>
        <w:pStyle w:val="ListParagraph"/>
        <w:numPr>
          <w:ilvl w:val="4"/>
          <w:numId w:val="8"/>
        </w:numPr>
      </w:pPr>
      <w:r w:rsidRPr="00E050AF">
        <w:t>A comparison table was constructed during evaluation and is presented below.</w:t>
      </w:r>
    </w:p>
    <w:p w14:paraId="2EF905E2" w14:textId="2A5DCD2C" w:rsidR="00AB43EA" w:rsidRPr="00E050AF" w:rsidRDefault="00CB7CCD" w:rsidP="00CB7CCD">
      <w:pPr>
        <w:pStyle w:val="TableHeading0"/>
        <w:rPr>
          <w:rStyle w:val="CommentReference"/>
          <w:b/>
        </w:rPr>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21</w:t>
      </w:r>
      <w:r w:rsidRPr="00E050AF">
        <w:rPr>
          <w:rStyle w:val="CommentReference"/>
          <w:b/>
          <w:szCs w:val="20"/>
        </w:rPr>
        <w:fldChar w:fldCharType="end"/>
      </w:r>
      <w:r w:rsidR="00AB43EA" w:rsidRPr="00E050AF">
        <w:tab/>
      </w:r>
      <w:r w:rsidR="00AB43EA" w:rsidRPr="00E050AF">
        <w:rPr>
          <w:rStyle w:val="CommentReference"/>
          <w:b/>
        </w:rPr>
        <w:t>Drug cost per patient for olaparib</w:t>
      </w:r>
      <w:r w:rsidR="00C1216F" w:rsidRPr="00E050AF">
        <w:rPr>
          <w:rStyle w:val="CommentReference"/>
          <w:b/>
        </w:rPr>
        <w:t xml:space="preserve"> and bevacizumab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1 Drug cost per patient for olaparib and bevacizumab"/>
      </w:tblPr>
      <w:tblGrid>
        <w:gridCol w:w="1470"/>
        <w:gridCol w:w="1257"/>
        <w:gridCol w:w="1255"/>
        <w:gridCol w:w="1259"/>
        <w:gridCol w:w="1255"/>
        <w:gridCol w:w="1260"/>
        <w:gridCol w:w="1260"/>
      </w:tblGrid>
      <w:tr w:rsidR="00AB43EA" w:rsidRPr="00E050AF" w14:paraId="579252F5" w14:textId="77777777" w:rsidTr="0077057B">
        <w:trPr>
          <w:cantSplit/>
          <w:tblHeader/>
          <w:jc w:val="center"/>
        </w:trPr>
        <w:tc>
          <w:tcPr>
            <w:tcW w:w="815" w:type="pct"/>
            <w:tcBorders>
              <w:top w:val="single" w:sz="4" w:space="0" w:color="auto"/>
              <w:left w:val="single" w:sz="4" w:space="0" w:color="auto"/>
              <w:bottom w:val="single" w:sz="4" w:space="0" w:color="auto"/>
              <w:right w:val="single" w:sz="4" w:space="0" w:color="auto"/>
            </w:tcBorders>
            <w:vAlign w:val="center"/>
          </w:tcPr>
          <w:p w14:paraId="226388F1" w14:textId="77777777" w:rsidR="00AB43EA" w:rsidRPr="00E050AF" w:rsidRDefault="00AB43EA" w:rsidP="00D610E2">
            <w:pPr>
              <w:pStyle w:val="In-tableHeading"/>
              <w:spacing w:line="256" w:lineRule="auto"/>
              <w:jc w:val="center"/>
              <w:rPr>
                <w:lang w:val="en-AU"/>
              </w:rPr>
            </w:pPr>
          </w:p>
        </w:tc>
        <w:tc>
          <w:tcPr>
            <w:tcW w:w="697" w:type="pct"/>
            <w:tcBorders>
              <w:top w:val="single" w:sz="4" w:space="0" w:color="auto"/>
              <w:left w:val="single" w:sz="4" w:space="0" w:color="auto"/>
              <w:bottom w:val="single" w:sz="4" w:space="0" w:color="auto"/>
              <w:right w:val="single" w:sz="4" w:space="0" w:color="auto"/>
            </w:tcBorders>
            <w:vAlign w:val="center"/>
            <w:hideMark/>
          </w:tcPr>
          <w:p w14:paraId="5F895739" w14:textId="77777777" w:rsidR="00AB43EA" w:rsidRPr="00E050AF" w:rsidRDefault="00AB43EA" w:rsidP="00D610E2">
            <w:pPr>
              <w:pStyle w:val="In-tableHeading"/>
              <w:spacing w:line="256" w:lineRule="auto"/>
              <w:jc w:val="center"/>
              <w:rPr>
                <w:lang w:val="en-AU"/>
              </w:rPr>
            </w:pPr>
            <w:r w:rsidRPr="00E050AF">
              <w:rPr>
                <w:lang w:val="en-AU"/>
              </w:rPr>
              <w:t>Olaparib + bevacizumab</w:t>
            </w:r>
          </w:p>
          <w:p w14:paraId="32E3FF19" w14:textId="12606D32" w:rsidR="00AB43EA" w:rsidRPr="00E050AF" w:rsidRDefault="00AB43EA" w:rsidP="00D610E2">
            <w:pPr>
              <w:pStyle w:val="In-tableHeading"/>
              <w:spacing w:line="256" w:lineRule="auto"/>
              <w:jc w:val="center"/>
              <w:rPr>
                <w:lang w:val="en-AU"/>
              </w:rPr>
            </w:pPr>
            <w:r w:rsidRPr="00E050AF">
              <w:rPr>
                <w:lang w:val="en-AU"/>
              </w:rPr>
              <w:t>PAOLA-1</w:t>
            </w:r>
            <w:r w:rsidR="00806D3C" w:rsidRPr="00E050AF">
              <w:rPr>
                <w:lang w:val="en-AU"/>
              </w:rPr>
              <w:t xml:space="preserve"> HRD + </w:t>
            </w:r>
            <w:r w:rsidR="00CF529A" w:rsidRPr="00E050AF">
              <w:rPr>
                <w:i/>
                <w:iCs/>
                <w:lang w:val="en-AU"/>
              </w:rPr>
              <w:t>BRCA</w:t>
            </w:r>
            <w:r w:rsidR="00806D3C" w:rsidRPr="00E050AF">
              <w:rPr>
                <w:lang w:val="en-AU"/>
              </w:rPr>
              <w:t>wt</w:t>
            </w:r>
          </w:p>
        </w:tc>
        <w:tc>
          <w:tcPr>
            <w:tcW w:w="696" w:type="pct"/>
            <w:tcBorders>
              <w:top w:val="single" w:sz="4" w:space="0" w:color="auto"/>
              <w:left w:val="single" w:sz="4" w:space="0" w:color="auto"/>
              <w:bottom w:val="single" w:sz="4" w:space="0" w:color="auto"/>
              <w:right w:val="single" w:sz="4" w:space="0" w:color="auto"/>
            </w:tcBorders>
            <w:vAlign w:val="center"/>
            <w:hideMark/>
          </w:tcPr>
          <w:p w14:paraId="6E501273" w14:textId="32C2B964" w:rsidR="00AB43EA" w:rsidRPr="00E050AF" w:rsidRDefault="00AB43EA" w:rsidP="00840363">
            <w:pPr>
              <w:pStyle w:val="In-tableHeading"/>
              <w:spacing w:line="256" w:lineRule="auto"/>
              <w:jc w:val="center"/>
              <w:rPr>
                <w:lang w:val="en-AU"/>
              </w:rPr>
            </w:pPr>
            <w:r w:rsidRPr="00E050AF">
              <w:rPr>
                <w:lang w:val="en-AU"/>
              </w:rPr>
              <w:t>Olaparib + bevacizumab</w:t>
            </w:r>
            <w:r w:rsidR="00840363" w:rsidRPr="00E050AF">
              <w:rPr>
                <w:lang w:val="en-AU"/>
              </w:rPr>
              <w:t xml:space="preserve"> economic evaluation</w:t>
            </w:r>
          </w:p>
        </w:tc>
        <w:tc>
          <w:tcPr>
            <w:tcW w:w="698" w:type="pct"/>
            <w:tcBorders>
              <w:top w:val="single" w:sz="4" w:space="0" w:color="auto"/>
              <w:left w:val="single" w:sz="4" w:space="0" w:color="auto"/>
              <w:bottom w:val="single" w:sz="4" w:space="0" w:color="auto"/>
              <w:right w:val="single" w:sz="4" w:space="0" w:color="auto"/>
            </w:tcBorders>
            <w:vAlign w:val="center"/>
            <w:hideMark/>
          </w:tcPr>
          <w:p w14:paraId="180717BB" w14:textId="591B15E5" w:rsidR="00AB43EA" w:rsidRPr="00E050AF" w:rsidRDefault="00AB43EA" w:rsidP="00840363">
            <w:pPr>
              <w:pStyle w:val="In-tableHeading"/>
              <w:spacing w:line="256" w:lineRule="auto"/>
              <w:jc w:val="center"/>
              <w:rPr>
                <w:lang w:val="en-AU"/>
              </w:rPr>
            </w:pPr>
            <w:r w:rsidRPr="00E050AF">
              <w:rPr>
                <w:lang w:val="en-AU"/>
              </w:rPr>
              <w:t>Olaparib + bevacizumab</w:t>
            </w:r>
            <w:r w:rsidR="00840363" w:rsidRPr="00E050AF">
              <w:rPr>
                <w:lang w:val="en-AU"/>
              </w:rPr>
              <w:t xml:space="preserve"> f</w:t>
            </w:r>
            <w:r w:rsidRPr="00E050AF">
              <w:rPr>
                <w:lang w:val="en-AU"/>
              </w:rPr>
              <w:t>inancial estimates</w:t>
            </w:r>
          </w:p>
        </w:tc>
        <w:tc>
          <w:tcPr>
            <w:tcW w:w="696" w:type="pct"/>
            <w:tcBorders>
              <w:top w:val="single" w:sz="4" w:space="0" w:color="auto"/>
              <w:left w:val="single" w:sz="4" w:space="0" w:color="auto"/>
              <w:bottom w:val="single" w:sz="4" w:space="0" w:color="auto"/>
              <w:right w:val="single" w:sz="4" w:space="0" w:color="auto"/>
            </w:tcBorders>
            <w:vAlign w:val="center"/>
            <w:hideMark/>
          </w:tcPr>
          <w:p w14:paraId="632611EF" w14:textId="1849CE9D" w:rsidR="00AB43EA" w:rsidRPr="00E050AF" w:rsidRDefault="00AB43EA" w:rsidP="00D610E2">
            <w:pPr>
              <w:pStyle w:val="In-tableHeading"/>
              <w:spacing w:line="256" w:lineRule="auto"/>
              <w:jc w:val="center"/>
              <w:rPr>
                <w:lang w:val="en-AU"/>
              </w:rPr>
            </w:pPr>
            <w:r w:rsidRPr="00E050AF">
              <w:rPr>
                <w:lang w:val="en-AU"/>
              </w:rPr>
              <w:t>Bevacizumab PAOLA-1</w:t>
            </w:r>
            <w:r w:rsidR="007A651C" w:rsidRPr="00E050AF">
              <w:rPr>
                <w:lang w:val="en-AU"/>
              </w:rPr>
              <w:t xml:space="preserve"> HRD + </w:t>
            </w:r>
            <w:r w:rsidR="00CF529A" w:rsidRPr="00E050AF">
              <w:rPr>
                <w:i/>
                <w:iCs/>
                <w:lang w:val="en-AU"/>
              </w:rPr>
              <w:t>BRCA</w:t>
            </w:r>
            <w:r w:rsidR="007A651C" w:rsidRPr="00E050AF">
              <w:rPr>
                <w:lang w:val="en-AU"/>
              </w:rPr>
              <w:t>wt</w:t>
            </w:r>
          </w:p>
        </w:tc>
        <w:tc>
          <w:tcPr>
            <w:tcW w:w="699" w:type="pct"/>
            <w:tcBorders>
              <w:top w:val="single" w:sz="4" w:space="0" w:color="auto"/>
              <w:left w:val="single" w:sz="4" w:space="0" w:color="auto"/>
              <w:bottom w:val="single" w:sz="4" w:space="0" w:color="auto"/>
              <w:right w:val="single" w:sz="4" w:space="0" w:color="auto"/>
            </w:tcBorders>
            <w:vAlign w:val="center"/>
            <w:hideMark/>
          </w:tcPr>
          <w:p w14:paraId="468AF616" w14:textId="008E79E5" w:rsidR="00AB43EA" w:rsidRPr="00E050AF" w:rsidRDefault="00AB43EA" w:rsidP="00D610E2">
            <w:pPr>
              <w:pStyle w:val="In-tableHeading"/>
              <w:spacing w:line="256" w:lineRule="auto"/>
              <w:jc w:val="center"/>
              <w:rPr>
                <w:lang w:val="en-AU"/>
              </w:rPr>
            </w:pPr>
            <w:r w:rsidRPr="00E050AF">
              <w:rPr>
                <w:lang w:val="en-AU"/>
              </w:rPr>
              <w:t xml:space="preserve">Bevacizumab </w:t>
            </w:r>
            <w:r w:rsidR="00840363" w:rsidRPr="00E050AF">
              <w:rPr>
                <w:lang w:val="en-AU"/>
              </w:rPr>
              <w:t>economic evaluation</w:t>
            </w:r>
          </w:p>
        </w:tc>
        <w:tc>
          <w:tcPr>
            <w:tcW w:w="699" w:type="pct"/>
            <w:tcBorders>
              <w:top w:val="single" w:sz="4" w:space="0" w:color="auto"/>
              <w:left w:val="single" w:sz="4" w:space="0" w:color="auto"/>
              <w:bottom w:val="single" w:sz="4" w:space="0" w:color="auto"/>
              <w:right w:val="single" w:sz="4" w:space="0" w:color="auto"/>
            </w:tcBorders>
            <w:vAlign w:val="center"/>
            <w:hideMark/>
          </w:tcPr>
          <w:p w14:paraId="5C0F71EC" w14:textId="49594F3D" w:rsidR="00AB43EA" w:rsidRPr="00E050AF" w:rsidRDefault="00AB43EA" w:rsidP="00D610E2">
            <w:pPr>
              <w:pStyle w:val="In-tableHeading"/>
              <w:spacing w:line="256" w:lineRule="auto"/>
              <w:jc w:val="center"/>
              <w:rPr>
                <w:lang w:val="en-AU"/>
              </w:rPr>
            </w:pPr>
            <w:r w:rsidRPr="00E050AF">
              <w:rPr>
                <w:lang w:val="en-AU"/>
              </w:rPr>
              <w:t xml:space="preserve">Bevacizumab </w:t>
            </w:r>
            <w:r w:rsidR="00840363" w:rsidRPr="00E050AF">
              <w:rPr>
                <w:lang w:val="en-AU"/>
              </w:rPr>
              <w:t>f</w:t>
            </w:r>
            <w:r w:rsidRPr="00E050AF">
              <w:rPr>
                <w:lang w:val="en-AU"/>
              </w:rPr>
              <w:t>inancial estimates</w:t>
            </w:r>
          </w:p>
        </w:tc>
      </w:tr>
      <w:tr w:rsidR="00AB43EA" w:rsidRPr="00E050AF" w14:paraId="51C9564C" w14:textId="77777777" w:rsidTr="00AB43EA">
        <w:trPr>
          <w:cantSplit/>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385743F" w14:textId="77777777" w:rsidR="00AB43EA" w:rsidRPr="00E050AF" w:rsidRDefault="00AB43EA" w:rsidP="00D610E2">
            <w:pPr>
              <w:pStyle w:val="TableText"/>
              <w:keepNext/>
              <w:spacing w:line="256" w:lineRule="auto"/>
              <w:rPr>
                <w:b/>
                <w:bCs/>
              </w:rPr>
            </w:pPr>
            <w:r w:rsidRPr="00E050AF">
              <w:rPr>
                <w:b/>
                <w:bCs/>
              </w:rPr>
              <w:t>Olaparib</w:t>
            </w:r>
          </w:p>
        </w:tc>
      </w:tr>
      <w:tr w:rsidR="00AB43EA" w:rsidRPr="00E050AF" w14:paraId="5183B54F" w14:textId="77777777" w:rsidTr="008C6EB2">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34009167" w14:textId="77777777" w:rsidR="00AB43EA" w:rsidRPr="00E050AF" w:rsidRDefault="00AB43EA" w:rsidP="00D610E2">
            <w:pPr>
              <w:pStyle w:val="TableText"/>
              <w:keepNext/>
              <w:spacing w:line="256" w:lineRule="auto"/>
            </w:pPr>
            <w:r w:rsidRPr="00E050AF">
              <w:t>Mean dose</w:t>
            </w:r>
          </w:p>
        </w:tc>
        <w:tc>
          <w:tcPr>
            <w:tcW w:w="697" w:type="pct"/>
            <w:tcBorders>
              <w:top w:val="single" w:sz="4" w:space="0" w:color="auto"/>
              <w:left w:val="single" w:sz="4" w:space="0" w:color="auto"/>
              <w:bottom w:val="single" w:sz="4" w:space="0" w:color="auto"/>
              <w:right w:val="single" w:sz="4" w:space="0" w:color="auto"/>
            </w:tcBorders>
            <w:vAlign w:val="center"/>
            <w:hideMark/>
          </w:tcPr>
          <w:p w14:paraId="14D6F68F" w14:textId="17BD5361" w:rsidR="00AB43EA" w:rsidRPr="00E050AF" w:rsidRDefault="00AB43EA" w:rsidP="00D610E2">
            <w:pPr>
              <w:pStyle w:val="TableText"/>
              <w:keepNext/>
              <w:spacing w:line="256" w:lineRule="auto"/>
              <w:jc w:val="center"/>
              <w:rPr>
                <w:bCs/>
              </w:rPr>
            </w:pPr>
            <w:r w:rsidRPr="00E050AF">
              <w:rPr>
                <w:bCs/>
              </w:rPr>
              <w:t>600</w:t>
            </w:r>
            <w:r w:rsidR="0082557D" w:rsidRPr="00E050AF">
              <w:rPr>
                <w:bCs/>
              </w:rPr>
              <w:t> </w:t>
            </w:r>
            <w:r w:rsidRPr="00E050AF">
              <w:rPr>
                <w:bCs/>
              </w:rPr>
              <w:t>mg/day</w:t>
            </w:r>
          </w:p>
        </w:tc>
        <w:tc>
          <w:tcPr>
            <w:tcW w:w="696" w:type="pct"/>
            <w:tcBorders>
              <w:top w:val="single" w:sz="4" w:space="0" w:color="auto"/>
              <w:left w:val="single" w:sz="4" w:space="0" w:color="auto"/>
              <w:bottom w:val="single" w:sz="4" w:space="0" w:color="auto"/>
              <w:right w:val="single" w:sz="4" w:space="0" w:color="auto"/>
            </w:tcBorders>
            <w:vAlign w:val="center"/>
            <w:hideMark/>
          </w:tcPr>
          <w:p w14:paraId="15BD9322" w14:textId="55347073" w:rsidR="00AB43EA" w:rsidRPr="00E050AF" w:rsidRDefault="00AB43EA" w:rsidP="00D610E2">
            <w:pPr>
              <w:pStyle w:val="TableText"/>
              <w:keepNext/>
              <w:spacing w:line="256" w:lineRule="auto"/>
              <w:jc w:val="center"/>
              <w:rPr>
                <w:bCs/>
              </w:rPr>
            </w:pPr>
            <w:r w:rsidRPr="00E050AF">
              <w:rPr>
                <w:bCs/>
              </w:rPr>
              <w:t>600</w:t>
            </w:r>
            <w:r w:rsidR="0082557D" w:rsidRPr="00E050AF">
              <w:rPr>
                <w:bCs/>
              </w:rPr>
              <w:t> </w:t>
            </w:r>
            <w:r w:rsidRPr="00E050AF">
              <w:rPr>
                <w:bCs/>
              </w:rPr>
              <w:t>mg/day</w:t>
            </w:r>
          </w:p>
        </w:tc>
        <w:tc>
          <w:tcPr>
            <w:tcW w:w="698" w:type="pct"/>
            <w:tcBorders>
              <w:top w:val="single" w:sz="4" w:space="0" w:color="auto"/>
              <w:left w:val="single" w:sz="4" w:space="0" w:color="auto"/>
              <w:bottom w:val="single" w:sz="4" w:space="0" w:color="auto"/>
              <w:right w:val="single" w:sz="4" w:space="0" w:color="auto"/>
            </w:tcBorders>
            <w:vAlign w:val="center"/>
            <w:hideMark/>
          </w:tcPr>
          <w:p w14:paraId="24C24842" w14:textId="57CADF2A" w:rsidR="00AB43EA" w:rsidRPr="00E050AF" w:rsidRDefault="00AB43EA" w:rsidP="00D610E2">
            <w:pPr>
              <w:pStyle w:val="TableText"/>
              <w:keepNext/>
              <w:spacing w:line="256" w:lineRule="auto"/>
              <w:jc w:val="center"/>
              <w:rPr>
                <w:bCs/>
              </w:rPr>
            </w:pPr>
            <w:r w:rsidRPr="00E050AF">
              <w:rPr>
                <w:bCs/>
              </w:rPr>
              <w:t>600</w:t>
            </w:r>
            <w:r w:rsidR="0082557D" w:rsidRPr="00E050AF">
              <w:rPr>
                <w:bCs/>
              </w:rPr>
              <w:t> </w:t>
            </w:r>
            <w:r w:rsidRPr="00E050AF">
              <w:rPr>
                <w:bCs/>
              </w:rPr>
              <w:t>mg/day</w:t>
            </w:r>
          </w:p>
        </w:tc>
        <w:tc>
          <w:tcPr>
            <w:tcW w:w="696" w:type="pct"/>
            <w:tcBorders>
              <w:top w:val="single" w:sz="4" w:space="0" w:color="auto"/>
              <w:left w:val="single" w:sz="4" w:space="0" w:color="auto"/>
              <w:bottom w:val="single" w:sz="4" w:space="0" w:color="auto"/>
              <w:right w:val="single" w:sz="4" w:space="0" w:color="auto"/>
            </w:tcBorders>
            <w:vAlign w:val="center"/>
            <w:hideMark/>
          </w:tcPr>
          <w:p w14:paraId="4C5ADBB3" w14:textId="77777777" w:rsidR="00AB43EA" w:rsidRPr="00E050AF" w:rsidRDefault="00AB43EA" w:rsidP="00D610E2">
            <w:pPr>
              <w:pStyle w:val="TableText"/>
              <w:keepNext/>
              <w:spacing w:line="256" w:lineRule="auto"/>
              <w:jc w:val="center"/>
              <w:rPr>
                <w:bCs/>
              </w:rPr>
            </w:pPr>
            <w:r w:rsidRPr="00E050AF">
              <w:rPr>
                <w:bCs/>
              </w:rPr>
              <w:t>NA</w:t>
            </w:r>
          </w:p>
        </w:tc>
        <w:tc>
          <w:tcPr>
            <w:tcW w:w="699" w:type="pct"/>
            <w:tcBorders>
              <w:top w:val="single" w:sz="4" w:space="0" w:color="auto"/>
              <w:left w:val="single" w:sz="4" w:space="0" w:color="auto"/>
              <w:bottom w:val="single" w:sz="4" w:space="0" w:color="auto"/>
              <w:right w:val="single" w:sz="4" w:space="0" w:color="auto"/>
            </w:tcBorders>
            <w:vAlign w:val="center"/>
            <w:hideMark/>
          </w:tcPr>
          <w:p w14:paraId="54AB460E" w14:textId="77777777" w:rsidR="00AB43EA" w:rsidRPr="00E050AF" w:rsidRDefault="00AB43EA" w:rsidP="00D610E2">
            <w:pPr>
              <w:pStyle w:val="TableText"/>
              <w:keepNext/>
              <w:spacing w:line="256" w:lineRule="auto"/>
              <w:jc w:val="center"/>
              <w:rPr>
                <w:bCs/>
              </w:rPr>
            </w:pPr>
            <w:r w:rsidRPr="00E050AF">
              <w:rPr>
                <w:bCs/>
              </w:rPr>
              <w:t>NA</w:t>
            </w:r>
          </w:p>
        </w:tc>
        <w:tc>
          <w:tcPr>
            <w:tcW w:w="699" w:type="pct"/>
            <w:tcBorders>
              <w:top w:val="single" w:sz="4" w:space="0" w:color="auto"/>
              <w:left w:val="single" w:sz="4" w:space="0" w:color="auto"/>
              <w:bottom w:val="single" w:sz="4" w:space="0" w:color="auto"/>
              <w:right w:val="single" w:sz="4" w:space="0" w:color="auto"/>
            </w:tcBorders>
            <w:vAlign w:val="center"/>
            <w:hideMark/>
          </w:tcPr>
          <w:p w14:paraId="49AB73BB" w14:textId="77777777" w:rsidR="00AB43EA" w:rsidRPr="00E050AF" w:rsidRDefault="00AB43EA" w:rsidP="00D610E2">
            <w:pPr>
              <w:pStyle w:val="TableText"/>
              <w:keepNext/>
              <w:spacing w:line="256" w:lineRule="auto"/>
              <w:jc w:val="center"/>
              <w:rPr>
                <w:bCs/>
              </w:rPr>
            </w:pPr>
            <w:r w:rsidRPr="00E050AF">
              <w:rPr>
                <w:bCs/>
              </w:rPr>
              <w:t>NA</w:t>
            </w:r>
          </w:p>
        </w:tc>
      </w:tr>
      <w:tr w:rsidR="00AB43EA" w:rsidRPr="00E050AF" w14:paraId="31C9E731" w14:textId="77777777" w:rsidTr="008C6EB2">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44CF7283" w14:textId="0F5A79A2" w:rsidR="00AB43EA" w:rsidRPr="00E050AF" w:rsidRDefault="00AB43EA" w:rsidP="00D610E2">
            <w:pPr>
              <w:pStyle w:val="TableText"/>
              <w:keepNext/>
              <w:spacing w:line="256" w:lineRule="auto"/>
            </w:pPr>
            <w:r w:rsidRPr="00E050AF">
              <w:t>DoT</w:t>
            </w:r>
            <w:r w:rsidR="00C1216F" w:rsidRPr="00E050AF">
              <w:t xml:space="preserve"> </w:t>
            </w:r>
            <w:r w:rsidR="00BB7002" w:rsidRPr="00E050AF">
              <w:t>(months)</w:t>
            </w:r>
          </w:p>
        </w:tc>
        <w:tc>
          <w:tcPr>
            <w:tcW w:w="697" w:type="pct"/>
            <w:tcBorders>
              <w:top w:val="single" w:sz="4" w:space="0" w:color="auto"/>
              <w:left w:val="single" w:sz="4" w:space="0" w:color="auto"/>
              <w:bottom w:val="single" w:sz="4" w:space="0" w:color="auto"/>
              <w:right w:val="single" w:sz="4" w:space="0" w:color="auto"/>
            </w:tcBorders>
            <w:vAlign w:val="center"/>
            <w:hideMark/>
          </w:tcPr>
          <w:p w14:paraId="38BDA7F2" w14:textId="77777777" w:rsidR="00AB43EA" w:rsidRPr="00E050AF" w:rsidRDefault="00C730D4" w:rsidP="00D610E2">
            <w:pPr>
              <w:pStyle w:val="TableText"/>
              <w:keepNext/>
              <w:spacing w:line="256" w:lineRule="auto"/>
              <w:jc w:val="center"/>
              <w:rPr>
                <w:bCs/>
              </w:rPr>
            </w:pPr>
            <w:r w:rsidRPr="00E050AF">
              <w:rPr>
                <w:bCs/>
              </w:rPr>
              <w:t>Mean: 16.96</w:t>
            </w:r>
          </w:p>
          <w:p w14:paraId="6568EB1F" w14:textId="7312529A" w:rsidR="00C730D4" w:rsidRPr="00E050AF" w:rsidRDefault="00806D3C" w:rsidP="00D610E2">
            <w:pPr>
              <w:pStyle w:val="TableText"/>
              <w:keepNext/>
              <w:spacing w:line="256" w:lineRule="auto"/>
              <w:jc w:val="center"/>
              <w:rPr>
                <w:bCs/>
              </w:rPr>
            </w:pPr>
            <w:r w:rsidRPr="00E050AF">
              <w:rPr>
                <w:bCs/>
              </w:rPr>
              <w:t>Median 22.08</w:t>
            </w:r>
          </w:p>
        </w:tc>
        <w:tc>
          <w:tcPr>
            <w:tcW w:w="696" w:type="pct"/>
            <w:tcBorders>
              <w:top w:val="single" w:sz="4" w:space="0" w:color="auto"/>
              <w:left w:val="single" w:sz="4" w:space="0" w:color="auto"/>
              <w:bottom w:val="single" w:sz="4" w:space="0" w:color="auto"/>
              <w:right w:val="single" w:sz="4" w:space="0" w:color="auto"/>
            </w:tcBorders>
            <w:vAlign w:val="center"/>
            <w:hideMark/>
          </w:tcPr>
          <w:p w14:paraId="0510F4CF" w14:textId="77777777" w:rsidR="00AB43EA" w:rsidRPr="00E050AF" w:rsidRDefault="00AB43EA" w:rsidP="00D610E2">
            <w:pPr>
              <w:pStyle w:val="TableText"/>
              <w:keepNext/>
              <w:spacing w:line="256" w:lineRule="auto"/>
              <w:jc w:val="center"/>
              <w:rPr>
                <w:bCs/>
              </w:rPr>
            </w:pPr>
            <w:r w:rsidRPr="00E050AF">
              <w:rPr>
                <w:bCs/>
              </w:rPr>
              <w:t>17.08 months</w:t>
            </w:r>
          </w:p>
        </w:tc>
        <w:tc>
          <w:tcPr>
            <w:tcW w:w="698" w:type="pct"/>
            <w:tcBorders>
              <w:top w:val="single" w:sz="4" w:space="0" w:color="auto"/>
              <w:left w:val="single" w:sz="4" w:space="0" w:color="auto"/>
              <w:bottom w:val="single" w:sz="4" w:space="0" w:color="auto"/>
              <w:right w:val="single" w:sz="4" w:space="0" w:color="auto"/>
            </w:tcBorders>
            <w:vAlign w:val="center"/>
            <w:hideMark/>
          </w:tcPr>
          <w:p w14:paraId="768C55EE" w14:textId="77777777" w:rsidR="00AB43EA" w:rsidRPr="00E050AF" w:rsidRDefault="00AB43EA" w:rsidP="00D610E2">
            <w:pPr>
              <w:pStyle w:val="TableText"/>
              <w:keepNext/>
              <w:spacing w:line="256" w:lineRule="auto"/>
              <w:jc w:val="center"/>
              <w:rPr>
                <w:bCs/>
              </w:rPr>
            </w:pPr>
            <w:r w:rsidRPr="00E050AF">
              <w:rPr>
                <w:bCs/>
              </w:rPr>
              <w:t>22 months</w:t>
            </w:r>
          </w:p>
        </w:tc>
        <w:tc>
          <w:tcPr>
            <w:tcW w:w="696" w:type="pct"/>
            <w:tcBorders>
              <w:top w:val="single" w:sz="4" w:space="0" w:color="auto"/>
              <w:left w:val="single" w:sz="4" w:space="0" w:color="auto"/>
              <w:bottom w:val="single" w:sz="4" w:space="0" w:color="auto"/>
              <w:right w:val="single" w:sz="4" w:space="0" w:color="auto"/>
            </w:tcBorders>
            <w:vAlign w:val="center"/>
            <w:hideMark/>
          </w:tcPr>
          <w:p w14:paraId="00C9762A" w14:textId="77777777" w:rsidR="00AB43EA" w:rsidRPr="00E050AF" w:rsidRDefault="00AB43EA" w:rsidP="00D610E2">
            <w:pPr>
              <w:pStyle w:val="TableText"/>
              <w:keepNext/>
              <w:spacing w:line="256" w:lineRule="auto"/>
              <w:jc w:val="center"/>
              <w:rPr>
                <w:bCs/>
              </w:rPr>
            </w:pPr>
            <w:r w:rsidRPr="00E050AF">
              <w:rPr>
                <w:bCs/>
              </w:rPr>
              <w:t>NA</w:t>
            </w:r>
          </w:p>
        </w:tc>
        <w:tc>
          <w:tcPr>
            <w:tcW w:w="699" w:type="pct"/>
            <w:tcBorders>
              <w:top w:val="single" w:sz="4" w:space="0" w:color="auto"/>
              <w:left w:val="single" w:sz="4" w:space="0" w:color="auto"/>
              <w:bottom w:val="single" w:sz="4" w:space="0" w:color="auto"/>
              <w:right w:val="single" w:sz="4" w:space="0" w:color="auto"/>
            </w:tcBorders>
            <w:vAlign w:val="center"/>
            <w:hideMark/>
          </w:tcPr>
          <w:p w14:paraId="4BC6CF8C" w14:textId="77777777" w:rsidR="00AB43EA" w:rsidRPr="00E050AF" w:rsidRDefault="00AB43EA" w:rsidP="00D610E2">
            <w:pPr>
              <w:pStyle w:val="TableText"/>
              <w:keepNext/>
              <w:spacing w:line="256" w:lineRule="auto"/>
              <w:jc w:val="center"/>
              <w:rPr>
                <w:bCs/>
              </w:rPr>
            </w:pPr>
            <w:r w:rsidRPr="00E050AF">
              <w:rPr>
                <w:bCs/>
              </w:rPr>
              <w:t>NA</w:t>
            </w:r>
          </w:p>
        </w:tc>
        <w:tc>
          <w:tcPr>
            <w:tcW w:w="699" w:type="pct"/>
            <w:tcBorders>
              <w:top w:val="single" w:sz="4" w:space="0" w:color="auto"/>
              <w:left w:val="single" w:sz="4" w:space="0" w:color="auto"/>
              <w:bottom w:val="single" w:sz="4" w:space="0" w:color="auto"/>
              <w:right w:val="single" w:sz="4" w:space="0" w:color="auto"/>
            </w:tcBorders>
            <w:vAlign w:val="center"/>
            <w:hideMark/>
          </w:tcPr>
          <w:p w14:paraId="251500BC" w14:textId="77777777" w:rsidR="00AB43EA" w:rsidRPr="00E050AF" w:rsidRDefault="00AB43EA" w:rsidP="00D610E2">
            <w:pPr>
              <w:pStyle w:val="TableText"/>
              <w:keepNext/>
              <w:spacing w:line="256" w:lineRule="auto"/>
              <w:jc w:val="center"/>
              <w:rPr>
                <w:bCs/>
              </w:rPr>
            </w:pPr>
            <w:r w:rsidRPr="00E050AF">
              <w:rPr>
                <w:bCs/>
              </w:rPr>
              <w:t>NA</w:t>
            </w:r>
          </w:p>
        </w:tc>
      </w:tr>
      <w:tr w:rsidR="00FE696F" w:rsidRPr="00E050AF" w14:paraId="250B945E" w14:textId="77777777" w:rsidTr="008C6EB2">
        <w:trPr>
          <w:cantSplit/>
          <w:jc w:val="center"/>
        </w:trPr>
        <w:tc>
          <w:tcPr>
            <w:tcW w:w="815" w:type="pct"/>
            <w:tcBorders>
              <w:top w:val="single" w:sz="4" w:space="0" w:color="auto"/>
              <w:left w:val="single" w:sz="4" w:space="0" w:color="auto"/>
              <w:bottom w:val="single" w:sz="4" w:space="0" w:color="auto"/>
              <w:right w:val="single" w:sz="4" w:space="0" w:color="auto"/>
            </w:tcBorders>
            <w:vAlign w:val="center"/>
          </w:tcPr>
          <w:p w14:paraId="3C7856B2" w14:textId="6B71EFA7" w:rsidR="00FE696F" w:rsidRPr="00E050AF" w:rsidRDefault="00FE696F" w:rsidP="00D610E2">
            <w:pPr>
              <w:pStyle w:val="TableText"/>
              <w:keepNext/>
              <w:spacing w:line="256" w:lineRule="auto"/>
            </w:pPr>
            <w:r w:rsidRPr="00E050AF">
              <w:t>Cost</w:t>
            </w:r>
          </w:p>
        </w:tc>
        <w:tc>
          <w:tcPr>
            <w:tcW w:w="697" w:type="pct"/>
            <w:tcBorders>
              <w:top w:val="single" w:sz="4" w:space="0" w:color="auto"/>
              <w:left w:val="single" w:sz="4" w:space="0" w:color="auto"/>
              <w:bottom w:val="single" w:sz="4" w:space="0" w:color="auto"/>
              <w:right w:val="single" w:sz="4" w:space="0" w:color="auto"/>
            </w:tcBorders>
            <w:vAlign w:val="center"/>
          </w:tcPr>
          <w:p w14:paraId="6FA2C300" w14:textId="62E7A9F0" w:rsidR="00FE696F" w:rsidRPr="00E050AF" w:rsidRDefault="00FE696F" w:rsidP="00D610E2">
            <w:pPr>
              <w:pStyle w:val="TableText"/>
              <w:keepNext/>
              <w:spacing w:line="256" w:lineRule="auto"/>
              <w:jc w:val="center"/>
              <w:rPr>
                <w:bCs/>
              </w:rPr>
            </w:pPr>
            <w:r w:rsidRPr="00E050AF">
              <w:rPr>
                <w:bCs/>
              </w:rPr>
              <w:t>NA</w:t>
            </w:r>
          </w:p>
        </w:tc>
        <w:tc>
          <w:tcPr>
            <w:tcW w:w="696" w:type="pct"/>
            <w:tcBorders>
              <w:top w:val="single" w:sz="4" w:space="0" w:color="auto"/>
              <w:left w:val="single" w:sz="4" w:space="0" w:color="auto"/>
              <w:bottom w:val="single" w:sz="4" w:space="0" w:color="auto"/>
              <w:right w:val="single" w:sz="4" w:space="0" w:color="auto"/>
            </w:tcBorders>
            <w:vAlign w:val="center"/>
          </w:tcPr>
          <w:p w14:paraId="521FDD1F" w14:textId="6C52A644" w:rsidR="00FE696F" w:rsidRPr="00724B09" w:rsidRDefault="00FE696F" w:rsidP="00D610E2">
            <w:pPr>
              <w:pStyle w:val="TableText"/>
              <w:keepNext/>
              <w:spacing w:line="256" w:lineRule="auto"/>
              <w:jc w:val="center"/>
              <w:rPr>
                <w:bCs/>
              </w:rPr>
            </w:pPr>
            <w:r w:rsidRPr="00724B09">
              <w:rPr>
                <w:bCs/>
              </w:rPr>
              <w:t>$</w:t>
            </w:r>
            <w:r w:rsidR="00602B47" w:rsidRPr="00602B47">
              <w:rPr>
                <w:bCs/>
                <w:color w:val="000000"/>
                <w:shd w:val="solid" w:color="000000" w:fill="000000"/>
                <w14:textFill>
                  <w14:solidFill>
                    <w14:srgbClr w14:val="000000">
                      <w14:alpha w14:val="100000"/>
                    </w14:srgbClr>
                  </w14:solidFill>
                </w14:textFill>
              </w:rPr>
              <w:t>|</w:t>
            </w:r>
          </w:p>
        </w:tc>
        <w:tc>
          <w:tcPr>
            <w:tcW w:w="698" w:type="pct"/>
            <w:tcBorders>
              <w:top w:val="single" w:sz="4" w:space="0" w:color="auto"/>
              <w:left w:val="single" w:sz="4" w:space="0" w:color="auto"/>
              <w:bottom w:val="single" w:sz="4" w:space="0" w:color="auto"/>
              <w:right w:val="single" w:sz="4" w:space="0" w:color="auto"/>
            </w:tcBorders>
            <w:vAlign w:val="center"/>
          </w:tcPr>
          <w:p w14:paraId="2B72CD7F" w14:textId="2A5520DD" w:rsidR="00FE696F" w:rsidRPr="00724B09" w:rsidRDefault="00FE696F" w:rsidP="00D610E2">
            <w:pPr>
              <w:pStyle w:val="TableText"/>
              <w:keepNext/>
              <w:spacing w:line="256" w:lineRule="auto"/>
              <w:jc w:val="center"/>
              <w:rPr>
                <w:bCs/>
              </w:rPr>
            </w:pPr>
            <w:r w:rsidRPr="00724B09">
              <w:rPr>
                <w:bCs/>
              </w:rPr>
              <w:t>$</w:t>
            </w:r>
            <w:r w:rsidR="00602B47" w:rsidRPr="00602B47">
              <w:rPr>
                <w:bCs/>
                <w:color w:val="000000"/>
                <w:shd w:val="solid" w:color="000000" w:fill="000000"/>
                <w14:textFill>
                  <w14:solidFill>
                    <w14:srgbClr w14:val="000000">
                      <w14:alpha w14:val="100000"/>
                    </w14:srgbClr>
                  </w14:solidFill>
                </w14:textFill>
              </w:rPr>
              <w:t>|</w:t>
            </w:r>
          </w:p>
        </w:tc>
        <w:tc>
          <w:tcPr>
            <w:tcW w:w="696" w:type="pct"/>
            <w:tcBorders>
              <w:top w:val="single" w:sz="4" w:space="0" w:color="auto"/>
              <w:left w:val="single" w:sz="4" w:space="0" w:color="auto"/>
              <w:bottom w:val="single" w:sz="4" w:space="0" w:color="auto"/>
              <w:right w:val="single" w:sz="4" w:space="0" w:color="auto"/>
            </w:tcBorders>
            <w:vAlign w:val="center"/>
          </w:tcPr>
          <w:p w14:paraId="6E4255CE" w14:textId="7C57AFE6" w:rsidR="00FE696F" w:rsidRPr="00E050AF" w:rsidRDefault="00765DCB" w:rsidP="00D610E2">
            <w:pPr>
              <w:pStyle w:val="TableText"/>
              <w:keepNext/>
              <w:spacing w:line="256" w:lineRule="auto"/>
              <w:jc w:val="center"/>
              <w:rPr>
                <w:bCs/>
              </w:rPr>
            </w:pPr>
            <w:r w:rsidRPr="00E050AF">
              <w:rPr>
                <w:bCs/>
              </w:rPr>
              <w:t>NA</w:t>
            </w:r>
          </w:p>
        </w:tc>
        <w:tc>
          <w:tcPr>
            <w:tcW w:w="699" w:type="pct"/>
            <w:tcBorders>
              <w:top w:val="single" w:sz="4" w:space="0" w:color="auto"/>
              <w:left w:val="single" w:sz="4" w:space="0" w:color="auto"/>
              <w:bottom w:val="single" w:sz="4" w:space="0" w:color="auto"/>
              <w:right w:val="single" w:sz="4" w:space="0" w:color="auto"/>
            </w:tcBorders>
            <w:vAlign w:val="center"/>
          </w:tcPr>
          <w:p w14:paraId="01E2A36B" w14:textId="76BB7399" w:rsidR="00FE696F" w:rsidRPr="00E050AF" w:rsidRDefault="00765DCB" w:rsidP="00D610E2">
            <w:pPr>
              <w:pStyle w:val="TableText"/>
              <w:keepNext/>
              <w:spacing w:line="256" w:lineRule="auto"/>
              <w:jc w:val="center"/>
              <w:rPr>
                <w:bCs/>
              </w:rPr>
            </w:pPr>
            <w:r w:rsidRPr="00E050AF">
              <w:rPr>
                <w:bCs/>
              </w:rPr>
              <w:t>NA</w:t>
            </w:r>
          </w:p>
        </w:tc>
        <w:tc>
          <w:tcPr>
            <w:tcW w:w="699" w:type="pct"/>
            <w:tcBorders>
              <w:top w:val="single" w:sz="4" w:space="0" w:color="auto"/>
              <w:left w:val="single" w:sz="4" w:space="0" w:color="auto"/>
              <w:bottom w:val="single" w:sz="4" w:space="0" w:color="auto"/>
              <w:right w:val="single" w:sz="4" w:space="0" w:color="auto"/>
            </w:tcBorders>
            <w:vAlign w:val="center"/>
          </w:tcPr>
          <w:p w14:paraId="6EA402C8" w14:textId="34C288A1" w:rsidR="00FE696F" w:rsidRPr="00E050AF" w:rsidRDefault="00765DCB" w:rsidP="00D610E2">
            <w:pPr>
              <w:pStyle w:val="TableText"/>
              <w:keepNext/>
              <w:spacing w:line="256" w:lineRule="auto"/>
              <w:jc w:val="center"/>
              <w:rPr>
                <w:bCs/>
              </w:rPr>
            </w:pPr>
            <w:r w:rsidRPr="00E050AF">
              <w:rPr>
                <w:bCs/>
              </w:rPr>
              <w:t>NA</w:t>
            </w:r>
          </w:p>
        </w:tc>
      </w:tr>
      <w:tr w:rsidR="00AB43EA" w:rsidRPr="00E050AF" w14:paraId="6F7F6082" w14:textId="77777777" w:rsidTr="00AB43EA">
        <w:trPr>
          <w:cantSplit/>
          <w:jc w:val="center"/>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9B713CD" w14:textId="77777777" w:rsidR="00AB43EA" w:rsidRPr="00E050AF" w:rsidRDefault="00AB43EA" w:rsidP="00D610E2">
            <w:pPr>
              <w:pStyle w:val="TableText"/>
              <w:keepNext/>
              <w:spacing w:line="256" w:lineRule="auto"/>
              <w:rPr>
                <w:b/>
                <w:bCs/>
              </w:rPr>
            </w:pPr>
            <w:r w:rsidRPr="00E050AF">
              <w:rPr>
                <w:b/>
                <w:bCs/>
              </w:rPr>
              <w:t>Bevacizumab</w:t>
            </w:r>
          </w:p>
        </w:tc>
      </w:tr>
      <w:tr w:rsidR="0041197E" w:rsidRPr="00E050AF" w14:paraId="5797C1CF" w14:textId="77777777" w:rsidTr="009640F1">
        <w:trPr>
          <w:cantSplit/>
          <w:jc w:val="center"/>
        </w:trPr>
        <w:tc>
          <w:tcPr>
            <w:tcW w:w="815" w:type="pct"/>
            <w:tcBorders>
              <w:top w:val="single" w:sz="4" w:space="0" w:color="auto"/>
              <w:left w:val="single" w:sz="4" w:space="0" w:color="auto"/>
              <w:bottom w:val="single" w:sz="4" w:space="0" w:color="auto"/>
              <w:right w:val="single" w:sz="4" w:space="0" w:color="auto"/>
            </w:tcBorders>
            <w:vAlign w:val="center"/>
          </w:tcPr>
          <w:p w14:paraId="138DF761" w14:textId="52FD7D48" w:rsidR="0041197E" w:rsidRPr="00E050AF" w:rsidRDefault="0041197E" w:rsidP="00D610E2">
            <w:pPr>
              <w:pStyle w:val="TableText"/>
              <w:keepNext/>
              <w:spacing w:line="256" w:lineRule="auto"/>
            </w:pPr>
            <w:r w:rsidRPr="00E050AF">
              <w:t>DoT</w:t>
            </w:r>
            <w:r w:rsidR="00BB7002" w:rsidRPr="00E050AF">
              <w:t xml:space="preserve"> (months)</w:t>
            </w:r>
          </w:p>
        </w:tc>
        <w:tc>
          <w:tcPr>
            <w:tcW w:w="697" w:type="pct"/>
            <w:tcBorders>
              <w:top w:val="single" w:sz="4" w:space="0" w:color="auto"/>
              <w:left w:val="single" w:sz="4" w:space="0" w:color="auto"/>
              <w:bottom w:val="single" w:sz="4" w:space="0" w:color="auto"/>
              <w:right w:val="single" w:sz="4" w:space="0" w:color="auto"/>
            </w:tcBorders>
            <w:vAlign w:val="center"/>
          </w:tcPr>
          <w:p w14:paraId="6F7D4449" w14:textId="3F6FE05B" w:rsidR="00BB7002" w:rsidRPr="00E050AF" w:rsidRDefault="00FE5283" w:rsidP="00D610E2">
            <w:pPr>
              <w:pStyle w:val="TableText"/>
              <w:keepNext/>
              <w:spacing w:line="256" w:lineRule="auto"/>
              <w:jc w:val="center"/>
              <w:rPr>
                <w:bCs/>
              </w:rPr>
            </w:pPr>
            <w:r w:rsidRPr="00E050AF">
              <w:rPr>
                <w:bCs/>
              </w:rPr>
              <w:t>Mean 10.3</w:t>
            </w:r>
          </w:p>
          <w:p w14:paraId="48580E6B" w14:textId="19F56B1D" w:rsidR="00FE5283" w:rsidRPr="00E050AF" w:rsidRDefault="00FE5283" w:rsidP="00D610E2">
            <w:pPr>
              <w:pStyle w:val="TableText"/>
              <w:keepNext/>
              <w:spacing w:line="256" w:lineRule="auto"/>
              <w:jc w:val="center"/>
              <w:rPr>
                <w:bCs/>
              </w:rPr>
            </w:pPr>
            <w:r w:rsidRPr="00E050AF">
              <w:rPr>
                <w:bCs/>
              </w:rPr>
              <w:t>Median:</w:t>
            </w:r>
            <w:r w:rsidR="00E050AF">
              <w:rPr>
                <w:bCs/>
              </w:rPr>
              <w:t xml:space="preserve"> </w:t>
            </w:r>
            <w:r w:rsidRPr="00E050AF">
              <w:rPr>
                <w:bCs/>
              </w:rPr>
              <w:t>11.04</w:t>
            </w:r>
          </w:p>
        </w:tc>
        <w:tc>
          <w:tcPr>
            <w:tcW w:w="696" w:type="pct"/>
            <w:tcBorders>
              <w:top w:val="single" w:sz="4" w:space="0" w:color="auto"/>
              <w:left w:val="single" w:sz="4" w:space="0" w:color="auto"/>
              <w:bottom w:val="single" w:sz="4" w:space="0" w:color="auto"/>
              <w:right w:val="single" w:sz="4" w:space="0" w:color="auto"/>
            </w:tcBorders>
            <w:vAlign w:val="center"/>
          </w:tcPr>
          <w:p w14:paraId="752DF1F7" w14:textId="19DA22D0" w:rsidR="0041197E" w:rsidRPr="00E050AF" w:rsidRDefault="009640F1" w:rsidP="00D610E2">
            <w:pPr>
              <w:pStyle w:val="TableText"/>
              <w:keepNext/>
              <w:spacing w:line="256" w:lineRule="auto"/>
              <w:jc w:val="center"/>
              <w:rPr>
                <w:bCs/>
              </w:rPr>
            </w:pPr>
            <w:r w:rsidRPr="00E050AF">
              <w:rPr>
                <w:bCs/>
              </w:rPr>
              <w:t>-</w:t>
            </w:r>
          </w:p>
        </w:tc>
        <w:tc>
          <w:tcPr>
            <w:tcW w:w="698" w:type="pct"/>
            <w:tcBorders>
              <w:top w:val="single" w:sz="4" w:space="0" w:color="auto"/>
              <w:left w:val="single" w:sz="4" w:space="0" w:color="auto"/>
              <w:bottom w:val="single" w:sz="4" w:space="0" w:color="auto"/>
              <w:right w:val="single" w:sz="4" w:space="0" w:color="auto"/>
            </w:tcBorders>
            <w:vAlign w:val="center"/>
          </w:tcPr>
          <w:p w14:paraId="7EA87B6D" w14:textId="60763ECE" w:rsidR="0041197E" w:rsidRPr="00E050AF" w:rsidRDefault="009640F1" w:rsidP="00D610E2">
            <w:pPr>
              <w:pStyle w:val="TableText"/>
              <w:keepNext/>
              <w:spacing w:line="256" w:lineRule="auto"/>
              <w:jc w:val="center"/>
              <w:rPr>
                <w:bCs/>
              </w:rPr>
            </w:pPr>
            <w:r w:rsidRPr="00E050AF">
              <w:rPr>
                <w:bCs/>
              </w:rPr>
              <w:t>-</w:t>
            </w:r>
          </w:p>
        </w:tc>
        <w:tc>
          <w:tcPr>
            <w:tcW w:w="696" w:type="pct"/>
            <w:tcBorders>
              <w:top w:val="single" w:sz="4" w:space="0" w:color="auto"/>
              <w:left w:val="single" w:sz="4" w:space="0" w:color="auto"/>
              <w:bottom w:val="single" w:sz="4" w:space="0" w:color="auto"/>
              <w:right w:val="single" w:sz="4" w:space="0" w:color="auto"/>
            </w:tcBorders>
            <w:vAlign w:val="center"/>
          </w:tcPr>
          <w:p w14:paraId="70F001A4" w14:textId="16BA25A6" w:rsidR="009640F1" w:rsidRPr="00E050AF" w:rsidRDefault="00FE5283" w:rsidP="00D610E2">
            <w:pPr>
              <w:pStyle w:val="TableText"/>
              <w:keepNext/>
              <w:spacing w:line="256" w:lineRule="auto"/>
              <w:jc w:val="center"/>
              <w:rPr>
                <w:bCs/>
              </w:rPr>
            </w:pPr>
            <w:r w:rsidRPr="00E050AF">
              <w:rPr>
                <w:bCs/>
              </w:rPr>
              <w:t>Mean: 9.6</w:t>
            </w:r>
          </w:p>
          <w:p w14:paraId="2093F79D" w14:textId="0B396103" w:rsidR="00FE5283" w:rsidRPr="00E050AF" w:rsidRDefault="00FE5283" w:rsidP="00D610E2">
            <w:pPr>
              <w:pStyle w:val="TableText"/>
              <w:keepNext/>
              <w:spacing w:line="256" w:lineRule="auto"/>
              <w:jc w:val="center"/>
              <w:rPr>
                <w:bCs/>
              </w:rPr>
            </w:pPr>
            <w:r w:rsidRPr="00E050AF">
              <w:rPr>
                <w:bCs/>
              </w:rPr>
              <w:t>Median: 10.2</w:t>
            </w:r>
          </w:p>
        </w:tc>
        <w:tc>
          <w:tcPr>
            <w:tcW w:w="699" w:type="pct"/>
            <w:tcBorders>
              <w:top w:val="single" w:sz="4" w:space="0" w:color="auto"/>
              <w:left w:val="single" w:sz="4" w:space="0" w:color="auto"/>
              <w:bottom w:val="single" w:sz="4" w:space="0" w:color="auto"/>
              <w:right w:val="single" w:sz="4" w:space="0" w:color="auto"/>
            </w:tcBorders>
            <w:vAlign w:val="center"/>
          </w:tcPr>
          <w:p w14:paraId="678F14FB" w14:textId="5290FB3C" w:rsidR="0041197E" w:rsidRPr="00E050AF" w:rsidRDefault="009640F1" w:rsidP="00D610E2">
            <w:pPr>
              <w:pStyle w:val="TableText"/>
              <w:keepNext/>
              <w:spacing w:line="256" w:lineRule="auto"/>
              <w:jc w:val="center"/>
              <w:rPr>
                <w:bCs/>
              </w:rPr>
            </w:pPr>
            <w:r w:rsidRPr="00E050AF">
              <w:rPr>
                <w:bCs/>
              </w:rPr>
              <w:t>-</w:t>
            </w:r>
          </w:p>
        </w:tc>
        <w:tc>
          <w:tcPr>
            <w:tcW w:w="699" w:type="pct"/>
            <w:tcBorders>
              <w:top w:val="single" w:sz="4" w:space="0" w:color="auto"/>
              <w:left w:val="single" w:sz="4" w:space="0" w:color="auto"/>
              <w:bottom w:val="single" w:sz="4" w:space="0" w:color="auto"/>
              <w:right w:val="single" w:sz="4" w:space="0" w:color="auto"/>
            </w:tcBorders>
            <w:vAlign w:val="center"/>
          </w:tcPr>
          <w:p w14:paraId="7724BDF1" w14:textId="1F030DC2" w:rsidR="0041197E" w:rsidRPr="00E050AF" w:rsidRDefault="009640F1" w:rsidP="00D610E2">
            <w:pPr>
              <w:pStyle w:val="TableText"/>
              <w:keepNext/>
              <w:spacing w:line="256" w:lineRule="auto"/>
              <w:jc w:val="center"/>
              <w:rPr>
                <w:bCs/>
              </w:rPr>
            </w:pPr>
            <w:r w:rsidRPr="00E050AF">
              <w:rPr>
                <w:bCs/>
              </w:rPr>
              <w:t>-</w:t>
            </w:r>
          </w:p>
        </w:tc>
      </w:tr>
      <w:tr w:rsidR="00AB43EA" w:rsidRPr="00E050AF" w14:paraId="009ADF8D" w14:textId="77777777" w:rsidTr="00C730D4">
        <w:trPr>
          <w:cantSplit/>
          <w:jc w:val="center"/>
        </w:trPr>
        <w:tc>
          <w:tcPr>
            <w:tcW w:w="815" w:type="pct"/>
            <w:tcBorders>
              <w:top w:val="single" w:sz="4" w:space="0" w:color="auto"/>
              <w:left w:val="single" w:sz="4" w:space="0" w:color="auto"/>
              <w:bottom w:val="single" w:sz="4" w:space="0" w:color="auto"/>
              <w:right w:val="single" w:sz="4" w:space="0" w:color="auto"/>
            </w:tcBorders>
            <w:vAlign w:val="center"/>
            <w:hideMark/>
          </w:tcPr>
          <w:p w14:paraId="04A64E8C" w14:textId="77777777" w:rsidR="00AB43EA" w:rsidRPr="00E050AF" w:rsidRDefault="00AB43EA" w:rsidP="00D610E2">
            <w:pPr>
              <w:pStyle w:val="TableText"/>
              <w:keepNext/>
              <w:spacing w:line="256" w:lineRule="auto"/>
            </w:pPr>
            <w:r w:rsidRPr="00E050AF">
              <w:t>Number of doses</w:t>
            </w:r>
          </w:p>
        </w:tc>
        <w:tc>
          <w:tcPr>
            <w:tcW w:w="697" w:type="pct"/>
            <w:tcBorders>
              <w:top w:val="single" w:sz="4" w:space="0" w:color="auto"/>
              <w:left w:val="single" w:sz="4" w:space="0" w:color="auto"/>
              <w:bottom w:val="single" w:sz="4" w:space="0" w:color="auto"/>
              <w:right w:val="single" w:sz="4" w:space="0" w:color="auto"/>
            </w:tcBorders>
            <w:vAlign w:val="center"/>
          </w:tcPr>
          <w:p w14:paraId="7B1FF2F3" w14:textId="3BD572F6" w:rsidR="00AB43EA" w:rsidRPr="00E050AF" w:rsidRDefault="00216F7F" w:rsidP="00D610E2">
            <w:pPr>
              <w:pStyle w:val="TableText"/>
              <w:keepNext/>
              <w:spacing w:line="256" w:lineRule="auto"/>
              <w:jc w:val="center"/>
              <w:rPr>
                <w:bCs/>
              </w:rPr>
            </w:pPr>
            <w:r w:rsidRPr="00E050AF">
              <w:rPr>
                <w:bCs/>
              </w:rPr>
              <w:t>Mean: 14.3</w:t>
            </w:r>
          </w:p>
        </w:tc>
        <w:tc>
          <w:tcPr>
            <w:tcW w:w="696" w:type="pct"/>
            <w:tcBorders>
              <w:top w:val="single" w:sz="4" w:space="0" w:color="auto"/>
              <w:left w:val="single" w:sz="4" w:space="0" w:color="auto"/>
              <w:bottom w:val="single" w:sz="4" w:space="0" w:color="auto"/>
              <w:right w:val="single" w:sz="4" w:space="0" w:color="auto"/>
            </w:tcBorders>
            <w:vAlign w:val="center"/>
            <w:hideMark/>
          </w:tcPr>
          <w:p w14:paraId="13B846EC" w14:textId="77777777" w:rsidR="00AB43EA" w:rsidRPr="00E050AF" w:rsidRDefault="00AB43EA" w:rsidP="00D610E2">
            <w:pPr>
              <w:pStyle w:val="TableText"/>
              <w:keepNext/>
              <w:spacing w:line="256" w:lineRule="auto"/>
              <w:jc w:val="center"/>
              <w:rPr>
                <w:bCs/>
              </w:rPr>
            </w:pPr>
            <w:r w:rsidRPr="00E050AF">
              <w:rPr>
                <w:bCs/>
              </w:rPr>
              <w:t>14.3</w:t>
            </w:r>
          </w:p>
        </w:tc>
        <w:tc>
          <w:tcPr>
            <w:tcW w:w="698" w:type="pct"/>
            <w:tcBorders>
              <w:top w:val="single" w:sz="4" w:space="0" w:color="auto"/>
              <w:left w:val="single" w:sz="4" w:space="0" w:color="auto"/>
              <w:bottom w:val="single" w:sz="4" w:space="0" w:color="auto"/>
              <w:right w:val="single" w:sz="4" w:space="0" w:color="auto"/>
            </w:tcBorders>
            <w:vAlign w:val="center"/>
            <w:hideMark/>
          </w:tcPr>
          <w:p w14:paraId="1F857BEA" w14:textId="0D6C4A4E" w:rsidR="00AB43EA" w:rsidRPr="00E050AF" w:rsidRDefault="00AB43EA" w:rsidP="00D610E2">
            <w:pPr>
              <w:pStyle w:val="TableText"/>
              <w:keepNext/>
              <w:spacing w:line="256" w:lineRule="auto"/>
              <w:jc w:val="center"/>
              <w:rPr>
                <w:bCs/>
                <w:vertAlign w:val="superscript"/>
              </w:rPr>
            </w:pPr>
            <w:r w:rsidRPr="00E050AF">
              <w:rPr>
                <w:bCs/>
              </w:rPr>
              <w:t>15.93</w:t>
            </w:r>
            <w:r w:rsidR="003634EA" w:rsidRPr="00E050AF">
              <w:rPr>
                <w:bCs/>
                <w:vertAlign w:val="superscript"/>
              </w:rPr>
              <w:t>a</w:t>
            </w:r>
          </w:p>
        </w:tc>
        <w:tc>
          <w:tcPr>
            <w:tcW w:w="696" w:type="pct"/>
            <w:tcBorders>
              <w:top w:val="single" w:sz="4" w:space="0" w:color="auto"/>
              <w:left w:val="single" w:sz="4" w:space="0" w:color="auto"/>
              <w:bottom w:val="single" w:sz="4" w:space="0" w:color="auto"/>
              <w:right w:val="single" w:sz="4" w:space="0" w:color="auto"/>
            </w:tcBorders>
            <w:vAlign w:val="center"/>
            <w:hideMark/>
          </w:tcPr>
          <w:p w14:paraId="5EEF91FA" w14:textId="4E58F1F1" w:rsidR="00AB43EA" w:rsidRPr="00E050AF" w:rsidRDefault="00216F7F" w:rsidP="00D610E2">
            <w:pPr>
              <w:pStyle w:val="TableText"/>
              <w:keepNext/>
              <w:spacing w:line="256" w:lineRule="auto"/>
              <w:jc w:val="center"/>
              <w:rPr>
                <w:bCs/>
              </w:rPr>
            </w:pPr>
            <w:r w:rsidRPr="00E050AF">
              <w:rPr>
                <w:bCs/>
              </w:rPr>
              <w:t xml:space="preserve">Mean: </w:t>
            </w:r>
            <w:r w:rsidR="00AB43EA" w:rsidRPr="00E050AF">
              <w:rPr>
                <w:bCs/>
              </w:rPr>
              <w:t>1</w:t>
            </w:r>
            <w:r w:rsidRPr="00E050AF">
              <w:rPr>
                <w:bCs/>
              </w:rPr>
              <w:t>4.3</w:t>
            </w:r>
          </w:p>
        </w:tc>
        <w:tc>
          <w:tcPr>
            <w:tcW w:w="699" w:type="pct"/>
            <w:tcBorders>
              <w:top w:val="single" w:sz="4" w:space="0" w:color="auto"/>
              <w:left w:val="single" w:sz="4" w:space="0" w:color="auto"/>
              <w:bottom w:val="single" w:sz="4" w:space="0" w:color="auto"/>
              <w:right w:val="single" w:sz="4" w:space="0" w:color="auto"/>
            </w:tcBorders>
            <w:vAlign w:val="center"/>
            <w:hideMark/>
          </w:tcPr>
          <w:p w14:paraId="27C01916" w14:textId="445C4E7E" w:rsidR="00AB43EA" w:rsidRPr="00E050AF" w:rsidRDefault="00D6055A" w:rsidP="00D610E2">
            <w:pPr>
              <w:pStyle w:val="TableText"/>
              <w:keepNext/>
              <w:spacing w:line="256" w:lineRule="auto"/>
              <w:jc w:val="center"/>
              <w:rPr>
                <w:bCs/>
                <w:vertAlign w:val="superscript"/>
              </w:rPr>
            </w:pPr>
            <w:r w:rsidRPr="00E050AF">
              <w:rPr>
                <w:bCs/>
              </w:rPr>
              <w:t>13.1</w:t>
            </w:r>
            <w:r w:rsidR="003634EA" w:rsidRPr="00E050AF">
              <w:rPr>
                <w:bCs/>
                <w:vertAlign w:val="superscript"/>
              </w:rPr>
              <w:t>b</w:t>
            </w:r>
          </w:p>
        </w:tc>
        <w:tc>
          <w:tcPr>
            <w:tcW w:w="699" w:type="pct"/>
            <w:tcBorders>
              <w:top w:val="single" w:sz="4" w:space="0" w:color="auto"/>
              <w:left w:val="single" w:sz="4" w:space="0" w:color="auto"/>
              <w:bottom w:val="single" w:sz="4" w:space="0" w:color="auto"/>
              <w:right w:val="single" w:sz="4" w:space="0" w:color="auto"/>
            </w:tcBorders>
            <w:vAlign w:val="center"/>
            <w:hideMark/>
          </w:tcPr>
          <w:p w14:paraId="0F8F1EBD" w14:textId="243C1968" w:rsidR="00AB43EA" w:rsidRPr="00E050AF" w:rsidRDefault="00AB43EA" w:rsidP="00D610E2">
            <w:pPr>
              <w:pStyle w:val="TableText"/>
              <w:keepNext/>
              <w:spacing w:line="256" w:lineRule="auto"/>
              <w:jc w:val="center"/>
              <w:rPr>
                <w:bCs/>
                <w:vertAlign w:val="superscript"/>
              </w:rPr>
            </w:pPr>
            <w:r w:rsidRPr="00E050AF">
              <w:rPr>
                <w:bCs/>
              </w:rPr>
              <w:t>15.35</w:t>
            </w:r>
            <w:r w:rsidR="003634EA" w:rsidRPr="00E050AF">
              <w:rPr>
                <w:bCs/>
                <w:vertAlign w:val="superscript"/>
              </w:rPr>
              <w:t>c</w:t>
            </w:r>
          </w:p>
        </w:tc>
      </w:tr>
      <w:tr w:rsidR="00765DCB" w:rsidRPr="00E050AF" w14:paraId="2E6682BF" w14:textId="77777777" w:rsidTr="00C730D4">
        <w:trPr>
          <w:cantSplit/>
          <w:jc w:val="center"/>
        </w:trPr>
        <w:tc>
          <w:tcPr>
            <w:tcW w:w="815" w:type="pct"/>
            <w:tcBorders>
              <w:top w:val="single" w:sz="4" w:space="0" w:color="auto"/>
              <w:left w:val="single" w:sz="4" w:space="0" w:color="auto"/>
              <w:bottom w:val="single" w:sz="4" w:space="0" w:color="auto"/>
              <w:right w:val="single" w:sz="4" w:space="0" w:color="auto"/>
            </w:tcBorders>
            <w:vAlign w:val="center"/>
          </w:tcPr>
          <w:p w14:paraId="34F315D0" w14:textId="24A241FC" w:rsidR="00765DCB" w:rsidRPr="00E050AF" w:rsidRDefault="00765DCB" w:rsidP="00D610E2">
            <w:pPr>
              <w:pStyle w:val="TableText"/>
              <w:keepNext/>
              <w:spacing w:line="256" w:lineRule="auto"/>
            </w:pPr>
            <w:r w:rsidRPr="00E050AF">
              <w:t>Cost</w:t>
            </w:r>
          </w:p>
        </w:tc>
        <w:tc>
          <w:tcPr>
            <w:tcW w:w="697" w:type="pct"/>
            <w:tcBorders>
              <w:top w:val="single" w:sz="4" w:space="0" w:color="auto"/>
              <w:left w:val="single" w:sz="4" w:space="0" w:color="auto"/>
              <w:bottom w:val="single" w:sz="4" w:space="0" w:color="auto"/>
              <w:right w:val="single" w:sz="4" w:space="0" w:color="auto"/>
            </w:tcBorders>
            <w:vAlign w:val="center"/>
          </w:tcPr>
          <w:p w14:paraId="6C98A6B3" w14:textId="00C2AFBE" w:rsidR="00765DCB" w:rsidRPr="00E050AF" w:rsidRDefault="00765DCB" w:rsidP="00D610E2">
            <w:pPr>
              <w:pStyle w:val="TableText"/>
              <w:keepNext/>
              <w:spacing w:line="256" w:lineRule="auto"/>
              <w:jc w:val="center"/>
              <w:rPr>
                <w:bCs/>
              </w:rPr>
            </w:pPr>
            <w:r w:rsidRPr="00E050AF">
              <w:rPr>
                <w:bCs/>
              </w:rPr>
              <w:t>NA</w:t>
            </w:r>
          </w:p>
        </w:tc>
        <w:tc>
          <w:tcPr>
            <w:tcW w:w="696" w:type="pct"/>
            <w:tcBorders>
              <w:top w:val="single" w:sz="4" w:space="0" w:color="auto"/>
              <w:left w:val="single" w:sz="4" w:space="0" w:color="auto"/>
              <w:bottom w:val="single" w:sz="4" w:space="0" w:color="auto"/>
              <w:right w:val="single" w:sz="4" w:space="0" w:color="auto"/>
            </w:tcBorders>
            <w:vAlign w:val="center"/>
          </w:tcPr>
          <w:p w14:paraId="37401A13" w14:textId="2FA68B37" w:rsidR="00765DCB" w:rsidRPr="00E050AF" w:rsidRDefault="00765DCB" w:rsidP="00D610E2">
            <w:pPr>
              <w:pStyle w:val="TableText"/>
              <w:keepNext/>
              <w:spacing w:line="256" w:lineRule="auto"/>
              <w:jc w:val="center"/>
              <w:rPr>
                <w:bCs/>
              </w:rPr>
            </w:pPr>
            <w:r w:rsidRPr="00E050AF">
              <w:rPr>
                <w:bCs/>
              </w:rPr>
              <w:t>$14,709</w:t>
            </w:r>
          </w:p>
        </w:tc>
        <w:tc>
          <w:tcPr>
            <w:tcW w:w="698" w:type="pct"/>
            <w:tcBorders>
              <w:top w:val="single" w:sz="4" w:space="0" w:color="auto"/>
              <w:left w:val="single" w:sz="4" w:space="0" w:color="auto"/>
              <w:bottom w:val="single" w:sz="4" w:space="0" w:color="auto"/>
              <w:right w:val="single" w:sz="4" w:space="0" w:color="auto"/>
            </w:tcBorders>
            <w:vAlign w:val="center"/>
          </w:tcPr>
          <w:p w14:paraId="3135227F" w14:textId="1E5C32DD" w:rsidR="00765DCB" w:rsidRPr="00E050AF" w:rsidRDefault="00765DCB" w:rsidP="00D610E2">
            <w:pPr>
              <w:pStyle w:val="TableText"/>
              <w:keepNext/>
              <w:spacing w:line="256" w:lineRule="auto"/>
              <w:jc w:val="center"/>
              <w:rPr>
                <w:bCs/>
              </w:rPr>
            </w:pPr>
            <w:r w:rsidRPr="00E050AF">
              <w:rPr>
                <w:bCs/>
              </w:rPr>
              <w:t>NR</w:t>
            </w:r>
          </w:p>
        </w:tc>
        <w:tc>
          <w:tcPr>
            <w:tcW w:w="696" w:type="pct"/>
            <w:tcBorders>
              <w:top w:val="single" w:sz="4" w:space="0" w:color="auto"/>
              <w:left w:val="single" w:sz="4" w:space="0" w:color="auto"/>
              <w:bottom w:val="single" w:sz="4" w:space="0" w:color="auto"/>
              <w:right w:val="single" w:sz="4" w:space="0" w:color="auto"/>
            </w:tcBorders>
            <w:vAlign w:val="center"/>
          </w:tcPr>
          <w:p w14:paraId="5E792293" w14:textId="768FB048" w:rsidR="00765DCB" w:rsidRPr="00E050AF" w:rsidRDefault="00765DCB" w:rsidP="00D610E2">
            <w:pPr>
              <w:pStyle w:val="TableText"/>
              <w:keepNext/>
              <w:spacing w:line="256" w:lineRule="auto"/>
              <w:jc w:val="center"/>
              <w:rPr>
                <w:bCs/>
              </w:rPr>
            </w:pPr>
            <w:r w:rsidRPr="00E050AF">
              <w:rPr>
                <w:bCs/>
              </w:rPr>
              <w:t>NA</w:t>
            </w:r>
          </w:p>
        </w:tc>
        <w:tc>
          <w:tcPr>
            <w:tcW w:w="699" w:type="pct"/>
            <w:tcBorders>
              <w:top w:val="single" w:sz="4" w:space="0" w:color="auto"/>
              <w:left w:val="single" w:sz="4" w:space="0" w:color="auto"/>
              <w:bottom w:val="single" w:sz="4" w:space="0" w:color="auto"/>
              <w:right w:val="single" w:sz="4" w:space="0" w:color="auto"/>
            </w:tcBorders>
            <w:vAlign w:val="center"/>
          </w:tcPr>
          <w:p w14:paraId="68304355" w14:textId="5740921D" w:rsidR="00765DCB" w:rsidRPr="00E050AF" w:rsidRDefault="00765DCB" w:rsidP="00D610E2">
            <w:pPr>
              <w:pStyle w:val="TableText"/>
              <w:keepNext/>
              <w:spacing w:line="256" w:lineRule="auto"/>
              <w:jc w:val="center"/>
              <w:rPr>
                <w:bCs/>
              </w:rPr>
            </w:pPr>
            <w:r w:rsidRPr="00E050AF">
              <w:rPr>
                <w:bCs/>
              </w:rPr>
              <w:t>$13,474</w:t>
            </w:r>
          </w:p>
        </w:tc>
        <w:tc>
          <w:tcPr>
            <w:tcW w:w="699" w:type="pct"/>
            <w:tcBorders>
              <w:top w:val="single" w:sz="4" w:space="0" w:color="auto"/>
              <w:left w:val="single" w:sz="4" w:space="0" w:color="auto"/>
              <w:bottom w:val="single" w:sz="4" w:space="0" w:color="auto"/>
              <w:right w:val="single" w:sz="4" w:space="0" w:color="auto"/>
            </w:tcBorders>
            <w:vAlign w:val="center"/>
          </w:tcPr>
          <w:p w14:paraId="1E93FD3B" w14:textId="74BEA123" w:rsidR="00765DCB" w:rsidRPr="00E050AF" w:rsidRDefault="00765DCB" w:rsidP="00D610E2">
            <w:pPr>
              <w:pStyle w:val="TableText"/>
              <w:keepNext/>
              <w:spacing w:line="256" w:lineRule="auto"/>
              <w:jc w:val="center"/>
              <w:rPr>
                <w:bCs/>
              </w:rPr>
            </w:pPr>
            <w:r w:rsidRPr="00E050AF">
              <w:rPr>
                <w:bCs/>
              </w:rPr>
              <w:t>NR</w:t>
            </w:r>
          </w:p>
        </w:tc>
      </w:tr>
    </w:tbl>
    <w:p w14:paraId="507EE21D" w14:textId="4E2FBB1F" w:rsidR="00AB43EA" w:rsidRPr="00E050AF" w:rsidRDefault="00275200" w:rsidP="00D610E2">
      <w:pPr>
        <w:pStyle w:val="TableFigureFooter"/>
        <w:keepNext/>
      </w:pPr>
      <w:r w:rsidRPr="00E050AF">
        <w:rPr>
          <w:i/>
        </w:rPr>
        <w:t>BRCA</w:t>
      </w:r>
      <w:r w:rsidR="00BF2A79" w:rsidRPr="00E050AF">
        <w:t xml:space="preserve">wt = breast cancer gene wild type; </w:t>
      </w:r>
      <w:r w:rsidR="00AB43EA" w:rsidRPr="00E050AF">
        <w:t xml:space="preserve">DoT = duration of treatment; </w:t>
      </w:r>
      <w:r w:rsidR="00BF2A79" w:rsidRPr="00E050AF">
        <w:t xml:space="preserve">HRD = homologous recombination deficiency; </w:t>
      </w:r>
      <w:r w:rsidR="00AB43EA" w:rsidRPr="00E050AF">
        <w:t>NA = not applicable</w:t>
      </w:r>
    </w:p>
    <w:p w14:paraId="2885DCA7" w14:textId="2FC2E2DA" w:rsidR="0092010A" w:rsidRPr="00E050AF" w:rsidRDefault="003634EA" w:rsidP="00D610E2">
      <w:pPr>
        <w:pStyle w:val="TableFigureFooter"/>
        <w:keepNext/>
      </w:pPr>
      <w:r w:rsidRPr="00E050AF">
        <w:rPr>
          <w:vertAlign w:val="superscript"/>
        </w:rPr>
        <w:t>a</w:t>
      </w:r>
      <w:r w:rsidR="0092010A" w:rsidRPr="00E050AF">
        <w:t>11.0 months assumed in submission’s calculations</w:t>
      </w:r>
    </w:p>
    <w:p w14:paraId="140CC102" w14:textId="4E2B5249" w:rsidR="00384BFF" w:rsidRPr="00E050AF" w:rsidRDefault="003634EA" w:rsidP="00D610E2">
      <w:pPr>
        <w:pStyle w:val="TableFigureFooter"/>
        <w:keepNext/>
      </w:pPr>
      <w:r w:rsidRPr="00E050AF">
        <w:rPr>
          <w:vertAlign w:val="superscript"/>
        </w:rPr>
        <w:t xml:space="preserve">b </w:t>
      </w:r>
      <w:r w:rsidR="00384BFF" w:rsidRPr="00E050AF">
        <w:t xml:space="preserve">ITT mean infusions used </w:t>
      </w:r>
    </w:p>
    <w:p w14:paraId="6F00AB22" w14:textId="24A4F84A" w:rsidR="003634EA" w:rsidRPr="00E050AF" w:rsidRDefault="003634EA" w:rsidP="00D610E2">
      <w:pPr>
        <w:pStyle w:val="TableFigureFooter"/>
        <w:keepNext/>
      </w:pPr>
      <w:r w:rsidRPr="00E050AF">
        <w:rPr>
          <w:vertAlign w:val="superscript"/>
        </w:rPr>
        <w:t>c</w:t>
      </w:r>
      <w:r w:rsidRPr="00E050AF">
        <w:t xml:space="preserve"> </w:t>
      </w:r>
      <w:r w:rsidR="0092010A" w:rsidRPr="00E050AF">
        <w:t>10.6 months assumed in submission’s calculations</w:t>
      </w:r>
    </w:p>
    <w:p w14:paraId="207AD3A6" w14:textId="233D8737" w:rsidR="0063412E" w:rsidRPr="00E050AF" w:rsidRDefault="0063412E" w:rsidP="0063412E">
      <w:pPr>
        <w:pStyle w:val="TableFigureFooter"/>
        <w:rPr>
          <w:snapToGrid/>
        </w:rPr>
      </w:pPr>
      <w:r w:rsidRPr="00E050AF">
        <w:rPr>
          <w:snapToGrid/>
        </w:rPr>
        <w:t>Calculation for converting treatment months into the number of packs required is: # months x (365.25/12) / 28.</w:t>
      </w:r>
    </w:p>
    <w:p w14:paraId="54C347E2" w14:textId="32333D70" w:rsidR="00FE696F" w:rsidRPr="00E050AF" w:rsidRDefault="00AB43EA" w:rsidP="00AB43EA">
      <w:pPr>
        <w:pStyle w:val="TableFigureFooter"/>
      </w:pPr>
      <w:r w:rsidRPr="00E050AF">
        <w:t xml:space="preserve">Source: Table </w:t>
      </w:r>
      <w:r w:rsidR="00B1303C" w:rsidRPr="00E050AF">
        <w:t>3.20</w:t>
      </w:r>
      <w:r w:rsidRPr="00E050AF">
        <w:t>, p2</w:t>
      </w:r>
      <w:r w:rsidR="00B1303C" w:rsidRPr="00E050AF">
        <w:t>5</w:t>
      </w:r>
      <w:r w:rsidRPr="00E050AF">
        <w:t>8 of the submission, PAOLA-1 CSR DCO2 Table 2828.1</w:t>
      </w:r>
      <w:r w:rsidR="0077057B" w:rsidRPr="00E050AF">
        <w:t>, financial estimates spreadsheet</w:t>
      </w:r>
    </w:p>
    <w:p w14:paraId="7C7399AE" w14:textId="6E96EEAA" w:rsidR="00AB43EA" w:rsidRPr="00E050AF" w:rsidRDefault="00AB43EA" w:rsidP="00FE696F">
      <w:pPr>
        <w:pStyle w:val="PBACESHeading2"/>
        <w:numPr>
          <w:ilvl w:val="0"/>
          <w:numId w:val="0"/>
        </w:numPr>
      </w:pPr>
      <w:bookmarkStart w:id="116" w:name="_Toc413139284"/>
      <w:bookmarkStart w:id="117" w:name="_Toc100693631"/>
      <w:bookmarkStart w:id="118" w:name="_Toc103581583"/>
      <w:bookmarkStart w:id="119" w:name="_Toc103775870"/>
      <w:r w:rsidRPr="00E050AF">
        <w:t>Estimated PBS &amp; financial implications</w:t>
      </w:r>
      <w:bookmarkEnd w:id="116"/>
      <w:bookmarkEnd w:id="117"/>
      <w:bookmarkEnd w:id="118"/>
      <w:bookmarkEnd w:id="119"/>
    </w:p>
    <w:p w14:paraId="59373BF0" w14:textId="424F4390" w:rsidR="0080649B" w:rsidRPr="00E050AF" w:rsidRDefault="0067681A" w:rsidP="006905DC">
      <w:pPr>
        <w:pStyle w:val="ListParagraph"/>
        <w:numPr>
          <w:ilvl w:val="4"/>
          <w:numId w:val="8"/>
        </w:numPr>
      </w:pPr>
      <w:r w:rsidRPr="00E050AF">
        <w:t>The submission was considered by DUSC.</w:t>
      </w:r>
      <w:r w:rsidR="00137C06" w:rsidRPr="00E050AF">
        <w:t xml:space="preserve"> The main concern raised by DUSC was the inconsistency between the estimated duration of olaparib treatment in the economic evaluation (17.1 months – based on mean of PAOLA-1) and the financial estimates (22 months – based on median of PAOLA-1). Using the mean duration of treatment (consistent with economic evaluation) rather than median duration of treatment decreased the financial estimates by 13%, which DUSC considered would be appropriate (see paragraph </w:t>
      </w:r>
      <w:r w:rsidR="00137C06" w:rsidRPr="00E050AF">
        <w:fldChar w:fldCharType="begin"/>
      </w:r>
      <w:r w:rsidR="00137C06" w:rsidRPr="00E050AF">
        <w:instrText xml:space="preserve"> REF _Ref109074369 \r \h </w:instrText>
      </w:r>
      <w:r w:rsidR="00176BFE" w:rsidRPr="00E050AF">
        <w:instrText xml:space="preserve"> \* MERGEFORMAT </w:instrText>
      </w:r>
      <w:r w:rsidR="00137C06" w:rsidRPr="00E050AF">
        <w:fldChar w:fldCharType="separate"/>
      </w:r>
      <w:r w:rsidR="00E050AF" w:rsidRPr="00E050AF">
        <w:t>6.92</w:t>
      </w:r>
      <w:r w:rsidR="00137C06" w:rsidRPr="00E050AF">
        <w:fldChar w:fldCharType="end"/>
      </w:r>
      <w:r w:rsidR="00137C06" w:rsidRPr="00E050AF">
        <w:t>).</w:t>
      </w:r>
      <w:r w:rsidR="000D4EC7" w:rsidRPr="00E050AF">
        <w:t xml:space="preserve"> The PBAC considered that the estimates were appropriate after adjustment of the treatment </w:t>
      </w:r>
      <w:r w:rsidR="0063412E" w:rsidRPr="00E050AF">
        <w:t xml:space="preserve">duration </w:t>
      </w:r>
      <w:r w:rsidR="000D4EC7" w:rsidRPr="00E050AF">
        <w:t xml:space="preserve">to reflect mean rather than median (see paragraph </w:t>
      </w:r>
      <w:r w:rsidR="000D4EC7" w:rsidRPr="00E050AF">
        <w:fldChar w:fldCharType="begin"/>
      </w:r>
      <w:r w:rsidR="000D4EC7" w:rsidRPr="00E050AF">
        <w:instrText xml:space="preserve"> REF _Ref109074369 \r \h </w:instrText>
      </w:r>
      <w:r w:rsidR="00176BFE" w:rsidRPr="00E050AF">
        <w:instrText xml:space="preserve"> \* MERGEFORMAT </w:instrText>
      </w:r>
      <w:r w:rsidR="000D4EC7" w:rsidRPr="00E050AF">
        <w:fldChar w:fldCharType="separate"/>
      </w:r>
      <w:r w:rsidR="00E050AF" w:rsidRPr="00E050AF">
        <w:t>6.92</w:t>
      </w:r>
      <w:r w:rsidR="000D4EC7" w:rsidRPr="00E050AF">
        <w:fldChar w:fldCharType="end"/>
      </w:r>
      <w:r w:rsidR="000D4EC7" w:rsidRPr="00E050AF">
        <w:t>).</w:t>
      </w:r>
    </w:p>
    <w:p w14:paraId="6E500B31" w14:textId="73E8D6C4" w:rsidR="00D22E8E" w:rsidRPr="00E050AF" w:rsidRDefault="00D22E8E" w:rsidP="00D22E8E">
      <w:pPr>
        <w:pStyle w:val="ListParagraph"/>
        <w:numPr>
          <w:ilvl w:val="4"/>
          <w:numId w:val="8"/>
        </w:numPr>
      </w:pPr>
      <w:r w:rsidRPr="00E050AF">
        <w:t xml:space="preserve">The submission used an epidemiological approach to estimate the number of patients who would be eligible for the proposed HRD test, likely uptake of the test and the estimated number of patients with HRD positive </w:t>
      </w:r>
      <w:r w:rsidRPr="00E050AF">
        <w:rPr>
          <w:i/>
          <w:iCs/>
        </w:rPr>
        <w:t>BRCA</w:t>
      </w:r>
      <w:r w:rsidRPr="00E050AF">
        <w:t>wt tumours. Patients then need to be treated with and have a response to first-line platinum-based chemotherapy in order to be eligible for olaparib plus bevacizumab maintenance treatment.</w:t>
      </w:r>
    </w:p>
    <w:p w14:paraId="0FCA5B47" w14:textId="77777777" w:rsidR="00D22E8E" w:rsidRPr="00E050AF" w:rsidRDefault="00D22E8E" w:rsidP="00D22E8E">
      <w:pPr>
        <w:pStyle w:val="ListParagraph"/>
        <w:numPr>
          <w:ilvl w:val="4"/>
          <w:numId w:val="8"/>
        </w:numPr>
      </w:pPr>
      <w:r w:rsidRPr="00E050AF">
        <w:t>An overview of the sources used to inform the financial impact of listing pembrolizumab is presented in the table below.</w:t>
      </w:r>
    </w:p>
    <w:p w14:paraId="611C6BA9" w14:textId="62EED652" w:rsidR="00D22E8E" w:rsidRPr="00E050AF" w:rsidRDefault="00CB7CCD" w:rsidP="00CB7CCD">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22</w:t>
      </w:r>
      <w:r w:rsidRPr="00E050AF">
        <w:rPr>
          <w:rStyle w:val="CommentReference"/>
          <w:b/>
          <w:szCs w:val="20"/>
        </w:rPr>
        <w:fldChar w:fldCharType="end"/>
      </w:r>
      <w:r w:rsidR="00D22E8E" w:rsidRPr="00E050AF">
        <w:tab/>
        <w:t>Data sources and parameter values applied in the utilisation and financial estimates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2 Data sources and parameter values applied in the utilisation and financial estimates"/>
      </w:tblPr>
      <w:tblGrid>
        <w:gridCol w:w="1413"/>
        <w:gridCol w:w="1134"/>
        <w:gridCol w:w="3118"/>
        <w:gridCol w:w="3402"/>
      </w:tblGrid>
      <w:tr w:rsidR="00D22E8E" w:rsidRPr="00E050AF" w14:paraId="046A2027" w14:textId="77777777" w:rsidTr="00DE3B42">
        <w:trPr>
          <w:cantSplit/>
          <w:tblHeader/>
        </w:trPr>
        <w:tc>
          <w:tcPr>
            <w:tcW w:w="1413" w:type="dxa"/>
            <w:tcBorders>
              <w:top w:val="single" w:sz="4" w:space="0" w:color="auto"/>
              <w:left w:val="single" w:sz="4" w:space="0" w:color="auto"/>
              <w:bottom w:val="single" w:sz="4" w:space="0" w:color="auto"/>
              <w:right w:val="single" w:sz="4" w:space="0" w:color="auto"/>
            </w:tcBorders>
            <w:vAlign w:val="center"/>
            <w:hideMark/>
          </w:tcPr>
          <w:p w14:paraId="1A5B2D6E" w14:textId="77777777" w:rsidR="00D22E8E" w:rsidRPr="00E050AF" w:rsidRDefault="00D22E8E" w:rsidP="00DE3B42">
            <w:pPr>
              <w:pStyle w:val="In-tableHeading"/>
              <w:spacing w:line="254" w:lineRule="auto"/>
              <w:rPr>
                <w:lang w:val="en-AU" w:eastAsia="en-US"/>
              </w:rPr>
            </w:pPr>
            <w:r w:rsidRPr="00E050AF">
              <w:rPr>
                <w:lang w:val="en-AU" w:eastAsia="en-US"/>
              </w:rPr>
              <w:t>Data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EA922E" w14:textId="77777777" w:rsidR="00D22E8E" w:rsidRPr="00E050AF" w:rsidRDefault="00D22E8E" w:rsidP="00DE3B42">
            <w:pPr>
              <w:pStyle w:val="In-tableHeading"/>
              <w:spacing w:line="254" w:lineRule="auto"/>
              <w:jc w:val="center"/>
              <w:rPr>
                <w:lang w:val="en-AU" w:eastAsia="en-US"/>
              </w:rPr>
            </w:pPr>
            <w:r w:rsidRPr="00E050AF">
              <w:rPr>
                <w:lang w:val="en-AU" w:eastAsia="en-US"/>
              </w:rPr>
              <w:t>Value</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FF6B18C" w14:textId="77777777" w:rsidR="00D22E8E" w:rsidRPr="00E050AF" w:rsidRDefault="00D22E8E" w:rsidP="00DE3B42">
            <w:pPr>
              <w:pStyle w:val="In-tableHeading"/>
              <w:spacing w:line="254" w:lineRule="auto"/>
              <w:jc w:val="center"/>
              <w:rPr>
                <w:lang w:val="en-AU" w:eastAsia="en-US"/>
              </w:rPr>
            </w:pPr>
            <w:r w:rsidRPr="00E050AF">
              <w:rPr>
                <w:lang w:val="en-AU" w:eastAsia="en-US"/>
              </w:rPr>
              <w:t>Source</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606229A" w14:textId="77777777" w:rsidR="00D22E8E" w:rsidRPr="00E050AF" w:rsidRDefault="00D22E8E" w:rsidP="00DE3B42">
            <w:pPr>
              <w:pStyle w:val="In-tableHeading"/>
              <w:spacing w:line="254" w:lineRule="auto"/>
              <w:ind w:left="486" w:hanging="486"/>
              <w:jc w:val="center"/>
              <w:rPr>
                <w:lang w:val="en-AU" w:eastAsia="en-US"/>
              </w:rPr>
            </w:pPr>
            <w:r w:rsidRPr="00E050AF">
              <w:rPr>
                <w:lang w:val="en-AU" w:eastAsia="en-US"/>
              </w:rPr>
              <w:t>Comment</w:t>
            </w:r>
          </w:p>
        </w:tc>
      </w:tr>
      <w:tr w:rsidR="00D22E8E" w:rsidRPr="00E050AF" w14:paraId="60BC7E87" w14:textId="77777777" w:rsidTr="00DE3B42">
        <w:trPr>
          <w:cantSplit/>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7660201A" w14:textId="77777777" w:rsidR="00D22E8E" w:rsidRPr="00E050AF" w:rsidRDefault="00D22E8E" w:rsidP="00DE3B42">
            <w:pPr>
              <w:pStyle w:val="In-tableHeading"/>
              <w:spacing w:line="254" w:lineRule="auto"/>
              <w:rPr>
                <w:lang w:val="en-AU" w:eastAsia="en-US"/>
              </w:rPr>
            </w:pPr>
            <w:r w:rsidRPr="00E050AF">
              <w:rPr>
                <w:lang w:val="en-AU" w:eastAsia="en-US"/>
              </w:rPr>
              <w:t>Eligible population</w:t>
            </w:r>
          </w:p>
        </w:tc>
      </w:tr>
      <w:tr w:rsidR="00D22E8E" w:rsidRPr="00E050AF" w14:paraId="3DC4B2F8"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3A4EEF43" w14:textId="77777777" w:rsidR="00D22E8E" w:rsidRPr="00E050AF" w:rsidRDefault="00D22E8E" w:rsidP="00DE3B42">
            <w:pPr>
              <w:pStyle w:val="TableText"/>
              <w:spacing w:line="254" w:lineRule="auto"/>
            </w:pPr>
            <w:r w:rsidRPr="00E050AF">
              <w:t>Ovarian cancer incidence projections in Australia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3DBE9A" w14:textId="77777777" w:rsidR="00D22E8E" w:rsidRPr="00724B09" w:rsidRDefault="00D22E8E" w:rsidP="00DE3B42">
            <w:pPr>
              <w:pStyle w:val="TableText"/>
              <w:spacing w:line="254" w:lineRule="auto"/>
              <w:jc w:val="center"/>
            </w:pPr>
            <w:r w:rsidRPr="00724B09">
              <w:t>Yr 1: 1,733</w:t>
            </w:r>
          </w:p>
          <w:p w14:paraId="38C5C495" w14:textId="77777777" w:rsidR="00D22E8E" w:rsidRPr="00724B09" w:rsidRDefault="00D22E8E" w:rsidP="00DE3B42">
            <w:pPr>
              <w:pStyle w:val="TableText"/>
              <w:spacing w:line="254" w:lineRule="auto"/>
              <w:jc w:val="center"/>
            </w:pPr>
            <w:r w:rsidRPr="00724B09">
              <w:t>Yr 2: 1,765</w:t>
            </w:r>
          </w:p>
          <w:p w14:paraId="1613492C" w14:textId="77777777" w:rsidR="00D22E8E" w:rsidRPr="00724B09" w:rsidRDefault="00D22E8E" w:rsidP="00DE3B42">
            <w:pPr>
              <w:pStyle w:val="TableText"/>
              <w:spacing w:line="254" w:lineRule="auto"/>
              <w:jc w:val="center"/>
            </w:pPr>
            <w:r w:rsidRPr="00724B09">
              <w:t>Yr 3: 1,798</w:t>
            </w:r>
          </w:p>
          <w:p w14:paraId="7CEACF08" w14:textId="77777777" w:rsidR="00D22E8E" w:rsidRPr="00724B09" w:rsidRDefault="00D22E8E" w:rsidP="00DE3B42">
            <w:pPr>
              <w:pStyle w:val="TableText"/>
              <w:spacing w:line="254" w:lineRule="auto"/>
              <w:jc w:val="center"/>
            </w:pPr>
            <w:r w:rsidRPr="00724B09">
              <w:t>Yr 4: 1,831</w:t>
            </w:r>
          </w:p>
          <w:p w14:paraId="571572FF" w14:textId="77777777" w:rsidR="00D22E8E" w:rsidRPr="00724B09" w:rsidRDefault="00D22E8E" w:rsidP="00DE3B42">
            <w:pPr>
              <w:pStyle w:val="TableText"/>
              <w:spacing w:line="254" w:lineRule="auto"/>
              <w:jc w:val="center"/>
            </w:pPr>
            <w:r w:rsidRPr="00724B09">
              <w:t>Yr 5: 1,865</w:t>
            </w:r>
          </w:p>
          <w:p w14:paraId="6CE97BAC" w14:textId="77777777" w:rsidR="00D22E8E" w:rsidRPr="00E050AF" w:rsidRDefault="00D22E8E" w:rsidP="00DE3B42">
            <w:pPr>
              <w:pStyle w:val="TableText"/>
              <w:spacing w:line="254" w:lineRule="auto"/>
              <w:jc w:val="center"/>
            </w:pPr>
            <w:r w:rsidRPr="00724B09">
              <w:t>Yr 6: 1,900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3A69EC" w14:textId="77777777" w:rsidR="00D22E8E" w:rsidRPr="00E050AF" w:rsidRDefault="00D22E8E" w:rsidP="00DE3B42">
            <w:pPr>
              <w:pStyle w:val="TableText"/>
              <w:spacing w:line="254" w:lineRule="auto"/>
              <w:jc w:val="both"/>
            </w:pPr>
            <w:r w:rsidRPr="00E050AF">
              <w:rPr>
                <w:szCs w:val="20"/>
              </w:rPr>
              <w:t>AIHW Cancer Incidence Report (2011 to 2020) (ovarian cancer only)</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FFE6710" w14:textId="7ED75864" w:rsidR="00D22E8E" w:rsidRPr="00E050AF" w:rsidRDefault="00D22E8E" w:rsidP="00DE3B42">
            <w:pPr>
              <w:pStyle w:val="TableText"/>
              <w:spacing w:line="254" w:lineRule="auto"/>
              <w:jc w:val="both"/>
              <w:rPr>
                <w:rFonts w:eastAsiaTheme="majorEastAsia" w:cs="Arial"/>
                <w:szCs w:val="20"/>
                <w:lang w:bidi="en-US"/>
              </w:rPr>
            </w:pPr>
            <w:r w:rsidRPr="00E050AF">
              <w:t>Ovarian cancer incidence projections were extrapolated out to 2028 by applying the calculated annual change in incidence from 2011 to 2020 (1.855% each year).</w:t>
            </w:r>
            <w:r w:rsidRPr="00E050AF">
              <w:rPr>
                <w:rFonts w:eastAsiaTheme="majorEastAsia" w:cs="Arial"/>
                <w:szCs w:val="20"/>
                <w:lang w:bidi="en-US"/>
              </w:rPr>
              <w:t xml:space="preserve"> </w:t>
            </w:r>
            <w:r w:rsidR="00B94987" w:rsidRPr="00E050AF">
              <w:rPr>
                <w:rFonts w:eastAsiaTheme="majorEastAsia" w:cs="Arial"/>
                <w:szCs w:val="20"/>
                <w:lang w:bidi="en-US"/>
              </w:rPr>
              <w:t>N</w:t>
            </w:r>
            <w:r w:rsidRPr="00E050AF">
              <w:rPr>
                <w:rFonts w:eastAsiaTheme="majorEastAsia" w:cs="Arial"/>
                <w:szCs w:val="20"/>
                <w:lang w:bidi="en-US"/>
              </w:rPr>
              <w:t>ot all patients would be suitable for treatment with bevacizumab either during initiation or as part of the maintenance alongside olaparib. The submission did not make an explicit adjustment for these patients</w:t>
            </w:r>
            <w:r w:rsidR="00B94987" w:rsidRPr="00E050AF">
              <w:rPr>
                <w:rFonts w:eastAsiaTheme="majorEastAsia" w:cs="Arial"/>
                <w:szCs w:val="20"/>
                <w:lang w:bidi="en-US"/>
              </w:rPr>
              <w:t xml:space="preserve"> which is consistent with PBAC’s recommendation regarding the proposed restriction.</w:t>
            </w:r>
          </w:p>
        </w:tc>
      </w:tr>
      <w:tr w:rsidR="00D22E8E" w:rsidRPr="00E050AF" w14:paraId="429C7819"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3E12ABFC" w14:textId="77777777" w:rsidR="00D22E8E" w:rsidRPr="00E050AF" w:rsidRDefault="00D22E8E" w:rsidP="00DE3B42">
            <w:pPr>
              <w:pStyle w:val="TableText"/>
              <w:spacing w:line="254" w:lineRule="auto"/>
            </w:pPr>
            <w:r w:rsidRPr="00E050AF">
              <w:t>Incidence of epithelial tumours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5CBEDB" w14:textId="77777777" w:rsidR="00D22E8E" w:rsidRPr="00E050AF" w:rsidRDefault="00D22E8E" w:rsidP="00DE3B42">
            <w:pPr>
              <w:pStyle w:val="TableText"/>
              <w:spacing w:line="254" w:lineRule="auto"/>
              <w:jc w:val="center"/>
            </w:pPr>
            <w:r w:rsidRPr="00E050AF">
              <w:t>84.0%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A12CF5F" w14:textId="2666E732" w:rsidR="00D22E8E" w:rsidRPr="00E050AF" w:rsidRDefault="00B94987" w:rsidP="00DE3B42">
            <w:pPr>
              <w:pStyle w:val="TableText"/>
              <w:spacing w:line="254" w:lineRule="auto"/>
              <w:jc w:val="both"/>
            </w:pPr>
            <w:r w:rsidRPr="00E050AF">
              <w:rPr>
                <w:szCs w:val="20"/>
              </w:rPr>
              <w:t>AIHW &amp; National Breast and Ovarian Cancer Centre 2010. Ovarian cancer in Australia: an overview, 2010. Cancer series no. 52. Cat. no. CAN 48. Canberra: AIHW.</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EAA3412" w14:textId="54C02E2C" w:rsidR="00D22E8E" w:rsidRPr="00E050AF" w:rsidRDefault="00B94987" w:rsidP="00DE3B42">
            <w:pPr>
              <w:pStyle w:val="TableText"/>
              <w:spacing w:line="254" w:lineRule="auto"/>
              <w:jc w:val="both"/>
              <w:rPr>
                <w:rFonts w:eastAsiaTheme="majorEastAsia" w:cs="Arial"/>
                <w:szCs w:val="20"/>
                <w:lang w:bidi="en-US"/>
              </w:rPr>
            </w:pPr>
            <w:r w:rsidRPr="00E050AF">
              <w:t>Inclusion recommended by the PBAC (paragraph 6.44, p29, Olaparib PSD, July 2020 PBAC Meeting).</w:t>
            </w:r>
          </w:p>
        </w:tc>
      </w:tr>
      <w:tr w:rsidR="00D22E8E" w:rsidRPr="00E050AF" w14:paraId="0ECA262C"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07B81D98" w14:textId="77777777" w:rsidR="00D22E8E" w:rsidRPr="00E050AF" w:rsidRDefault="00D22E8E" w:rsidP="00DE3B42">
            <w:pPr>
              <w:pStyle w:val="TableText"/>
              <w:spacing w:line="254" w:lineRule="auto"/>
            </w:pPr>
            <w:r w:rsidRPr="00E050AF">
              <w:t>Incidence of advanced FIGO stage III-IV ovarian cancer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5400C6" w14:textId="77777777" w:rsidR="00D22E8E" w:rsidRPr="00E050AF" w:rsidRDefault="00D22E8E" w:rsidP="00DE3B42">
            <w:pPr>
              <w:pStyle w:val="TableText"/>
              <w:spacing w:line="254" w:lineRule="auto"/>
              <w:jc w:val="center"/>
            </w:pPr>
            <w:r w:rsidRPr="00E050AF">
              <w:t>81.8%</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AAE7A61" w14:textId="77777777" w:rsidR="00D22E8E" w:rsidRPr="00E050AF" w:rsidRDefault="00D22E8E" w:rsidP="00DE3B42">
            <w:pPr>
              <w:pStyle w:val="TableText"/>
              <w:spacing w:line="254" w:lineRule="auto"/>
              <w:jc w:val="both"/>
            </w:pPr>
            <w:r w:rsidRPr="00E050AF">
              <w:t>AOCS publication (Lindermann et al 2018), as referenced in paragraph 6.68, p35, niraparib PSD, July 2021 PBAC Meeting.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299BBE5" w14:textId="77777777" w:rsidR="00D22E8E" w:rsidRPr="00E050AF" w:rsidRDefault="00D22E8E" w:rsidP="00DE3B42">
            <w:pPr>
              <w:pStyle w:val="TableText"/>
              <w:spacing w:line="254" w:lineRule="auto"/>
              <w:jc w:val="both"/>
              <w:rPr>
                <w:rFonts w:eastAsiaTheme="majorEastAsia" w:cs="Arial"/>
                <w:szCs w:val="20"/>
                <w:lang w:bidi="en-US"/>
              </w:rPr>
            </w:pPr>
            <w:r w:rsidRPr="00E050AF">
              <w:rPr>
                <w:rFonts w:eastAsiaTheme="majorEastAsia" w:cs="Arial"/>
                <w:szCs w:val="20"/>
                <w:lang w:bidi="en-US"/>
              </w:rPr>
              <w:t>This figure was higher than the 70% used in the July 2020 olaparib submission although this may be appropriate given the different patient populations.</w:t>
            </w:r>
          </w:p>
        </w:tc>
      </w:tr>
      <w:tr w:rsidR="00D22E8E" w:rsidRPr="00E050AF" w14:paraId="0A5B1CA0"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7C2721B3" w14:textId="77777777" w:rsidR="00D22E8E" w:rsidRPr="00E050AF" w:rsidRDefault="00D22E8E" w:rsidP="00DE3B42">
            <w:pPr>
              <w:pStyle w:val="TableText"/>
              <w:spacing w:line="254" w:lineRule="auto"/>
            </w:pPr>
            <w:r w:rsidRPr="00E050AF">
              <w:t>Rate of tumour testing at diagnosis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44C751" w14:textId="5505918D" w:rsidR="00D22E8E" w:rsidRPr="00E050AF" w:rsidRDefault="00602B47" w:rsidP="00DE3B42">
            <w:pPr>
              <w:pStyle w:val="TableText"/>
              <w:spacing w:line="254" w:lineRule="auto"/>
              <w:jc w:val="center"/>
            </w:pPr>
            <w:r w:rsidRPr="00602B47">
              <w:rPr>
                <w:color w:val="000000"/>
                <w:spacing w:val="76"/>
                <w:shd w:val="solid" w:color="000000" w:fill="000000"/>
                <w:fitText w:val="162" w:id="-1435752182"/>
                <w14:textFill>
                  <w14:solidFill>
                    <w14:srgbClr w14:val="000000">
                      <w14:alpha w14:val="100000"/>
                    </w14:srgbClr>
                  </w14:solidFill>
                </w14:textFill>
              </w:rPr>
              <w:t>|</w:t>
            </w:r>
            <w:r w:rsidRPr="00602B47">
              <w:rPr>
                <w:color w:val="000000"/>
                <w:spacing w:val="1"/>
                <w:shd w:val="solid" w:color="000000" w:fill="000000"/>
                <w:fitText w:val="162" w:id="-1435752182"/>
                <w14:textFill>
                  <w14:solidFill>
                    <w14:srgbClr w14:val="000000">
                      <w14:alpha w14:val="100000"/>
                    </w14:srgbClr>
                  </w14:solidFill>
                </w14:textFill>
              </w:rPr>
              <w:t>|</w:t>
            </w:r>
            <w:r w:rsidR="00D22E8E" w:rsidRPr="00E050AF">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D9F287E" w14:textId="2314CBBC" w:rsidR="00D22E8E" w:rsidRPr="00E050AF" w:rsidRDefault="00D22E8E" w:rsidP="00DE3B42">
            <w:pPr>
              <w:pStyle w:val="TableText"/>
              <w:spacing w:line="254" w:lineRule="auto"/>
              <w:jc w:val="both"/>
            </w:pPr>
            <w:r w:rsidRPr="00E050AF">
              <w:t xml:space="preserve">Clinical opinion provided in submission that </w:t>
            </w:r>
            <w:r w:rsidR="00602B47" w:rsidRPr="00602B47">
              <w:rPr>
                <w:color w:val="000000"/>
                <w:spacing w:val="9"/>
                <w:shd w:val="solid" w:color="000000" w:fill="000000"/>
                <w:fitText w:val="311" w:id="-1435752181"/>
                <w14:textFill>
                  <w14:solidFill>
                    <w14:srgbClr w14:val="000000">
                      <w14:alpha w14:val="100000"/>
                    </w14:srgbClr>
                  </w14:solidFill>
                </w14:textFill>
              </w:rPr>
              <w:t>||  |</w:t>
            </w:r>
            <w:r w:rsidR="00602B47" w:rsidRPr="00602B47">
              <w:rPr>
                <w:color w:val="000000"/>
                <w:spacing w:val="5"/>
                <w:shd w:val="solid" w:color="000000" w:fill="000000"/>
                <w:fitText w:val="311" w:id="-1435752181"/>
                <w14:textFill>
                  <w14:solidFill>
                    <w14:srgbClr w14:val="000000">
                      <w14:alpha w14:val="100000"/>
                    </w14:srgbClr>
                  </w14:solidFill>
                </w14:textFill>
              </w:rPr>
              <w:t>|</w:t>
            </w:r>
            <w:r w:rsidRPr="00E050AF">
              <w:t>% of patients unable to provide sufficient tissue for testing.</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DE16136" w14:textId="77777777" w:rsidR="00D22E8E" w:rsidRPr="00E050AF" w:rsidRDefault="00D22E8E" w:rsidP="00DE3B42">
            <w:pPr>
              <w:pStyle w:val="TableText"/>
              <w:spacing w:line="254" w:lineRule="auto"/>
              <w:jc w:val="both"/>
              <w:rPr>
                <w:rFonts w:eastAsiaTheme="majorEastAsia" w:cs="Arial"/>
                <w:szCs w:val="20"/>
                <w:lang w:bidi="en-US"/>
              </w:rPr>
            </w:pPr>
            <w:r w:rsidRPr="00E050AF">
              <w:rPr>
                <w:rFonts w:eastAsiaTheme="majorEastAsia" w:cs="Arial"/>
                <w:szCs w:val="20"/>
                <w:lang w:bidi="en-US"/>
              </w:rPr>
              <w:t>Appropriate.</w:t>
            </w:r>
            <w:r w:rsidRPr="00E050AF">
              <w:t xml:space="preserve"> Previously accepted by the PBAC (paragraph 6.47, p29, olaparib PSD, July 2020 PBAC Meeting).</w:t>
            </w:r>
          </w:p>
        </w:tc>
      </w:tr>
      <w:tr w:rsidR="00D22E8E" w:rsidRPr="00E050AF" w14:paraId="35FADCC8"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6465EEF4" w14:textId="77777777" w:rsidR="00D22E8E" w:rsidRPr="00E050AF" w:rsidRDefault="00D22E8E" w:rsidP="00DE3B42">
            <w:pPr>
              <w:pStyle w:val="TableText"/>
              <w:spacing w:line="254" w:lineRule="auto"/>
            </w:pPr>
            <w:r w:rsidRPr="00E050AF">
              <w:t xml:space="preserve">Prevalence of the HRD positive </w:t>
            </w:r>
            <w:r w:rsidRPr="00E050AF">
              <w:rPr>
                <w:i/>
              </w:rPr>
              <w:t>BRCA</w:t>
            </w:r>
            <w:r w:rsidRPr="00E050AF">
              <w:t>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58CF5C3" w14:textId="77777777" w:rsidR="00D22E8E" w:rsidRPr="00E050AF" w:rsidRDefault="00D22E8E" w:rsidP="00DE3B42">
            <w:pPr>
              <w:pStyle w:val="TableText"/>
              <w:spacing w:line="254" w:lineRule="auto"/>
              <w:jc w:val="center"/>
            </w:pPr>
            <w:r w:rsidRPr="00E050AF">
              <w:t>25%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BBCFBA0" w14:textId="77777777" w:rsidR="00D22E8E" w:rsidRPr="00E050AF" w:rsidRDefault="00D22E8E" w:rsidP="00DE3B42">
            <w:pPr>
              <w:pStyle w:val="TableText"/>
              <w:spacing w:line="254" w:lineRule="auto"/>
              <w:jc w:val="both"/>
            </w:pPr>
            <w:r w:rsidRPr="00E050AF">
              <w:t xml:space="preserve">A prevalence of 25.3% of </w:t>
            </w:r>
            <w:r w:rsidRPr="00E050AF">
              <w:rPr>
                <w:i/>
              </w:rPr>
              <w:t>BRCA</w:t>
            </w:r>
            <w:r w:rsidRPr="00E050AF">
              <w:t>m (g</w:t>
            </w:r>
            <w:r w:rsidRPr="00E050AF">
              <w:rPr>
                <w:i/>
              </w:rPr>
              <w:t>BRCA</w:t>
            </w:r>
            <w:r w:rsidRPr="00E050AF">
              <w:t xml:space="preserve"> = 20.3%, s</w:t>
            </w:r>
            <w:r w:rsidRPr="00E050AF">
              <w:rPr>
                <w:i/>
              </w:rPr>
              <w:t>BRCA</w:t>
            </w:r>
            <w:r w:rsidRPr="00E050AF">
              <w:t xml:space="preserve"> =5%) was previously accepted by the PBAC (paragraph 6.46, p28, Olaparib PSD, July 2020 PBAC Meeting).</w:t>
            </w:r>
          </w:p>
          <w:p w14:paraId="1C0E1566" w14:textId="77777777" w:rsidR="00D22E8E" w:rsidRPr="00E050AF" w:rsidRDefault="00D22E8E" w:rsidP="00DE3B42">
            <w:pPr>
              <w:pStyle w:val="TableText"/>
              <w:spacing w:line="254" w:lineRule="auto"/>
              <w:jc w:val="both"/>
            </w:pPr>
            <w:r w:rsidRPr="00E050AF">
              <w:t>Approximately 50% of HGEOC tumours are HRD+: Bell 2011 and Moschetta 2016. Consequently the prevalence of HRD+</w:t>
            </w:r>
            <w:r w:rsidRPr="00E050AF">
              <w:rPr>
                <w:i/>
              </w:rPr>
              <w:t>BRCA</w:t>
            </w:r>
            <w:r w:rsidRPr="00E050AF">
              <w:t>wt was estimated to be 24.7%. Figure rounded to 25% for the financial estimates.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357AFA9" w14:textId="05DFC86D" w:rsidR="00D22E8E" w:rsidRPr="00E050AF" w:rsidRDefault="00D22E8E" w:rsidP="00DE3B42">
            <w:pPr>
              <w:pStyle w:val="TableText"/>
              <w:spacing w:line="254" w:lineRule="auto"/>
              <w:jc w:val="both"/>
            </w:pPr>
            <w:r w:rsidRPr="00E050AF">
              <w:rPr>
                <w:rFonts w:eastAsiaTheme="majorEastAsia" w:cs="Arial"/>
                <w:szCs w:val="20"/>
                <w:lang w:bidi="en-US"/>
              </w:rPr>
              <w:t>A</w:t>
            </w:r>
            <w:r w:rsidRPr="00E050AF">
              <w:t xml:space="preserve"> prevalence of 24.7% was used in section 3 of submission</w:t>
            </w:r>
            <w:r w:rsidR="00B94987" w:rsidRPr="00E050AF">
              <w:t>.</w:t>
            </w:r>
            <w:r w:rsidRPr="00E050AF">
              <w:rPr>
                <w:rFonts w:eastAsiaTheme="majorEastAsia" w:cs="Arial"/>
                <w:szCs w:val="20"/>
                <w:lang w:bidi="en-US"/>
              </w:rPr>
              <w:t xml:space="preserve"> It was not explained why this figure was not used for the financial estimates rather than rounding it up, although the impact was small (resulting in ~2 fewer treated patients per year)</w:t>
            </w:r>
            <w:r w:rsidRPr="00E050AF">
              <w:t>.</w:t>
            </w:r>
          </w:p>
        </w:tc>
      </w:tr>
      <w:tr w:rsidR="00D22E8E" w:rsidRPr="00E050AF" w14:paraId="7D3263D5"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73F4BE31" w14:textId="77777777" w:rsidR="00D22E8E" w:rsidRPr="00E050AF" w:rsidRDefault="00D22E8E" w:rsidP="00DE3B42">
            <w:pPr>
              <w:pStyle w:val="TableText"/>
              <w:spacing w:line="254" w:lineRule="auto"/>
            </w:pPr>
            <w:r w:rsidRPr="00E050AF">
              <w:t>Proportion of ovarian cancer patients treated with platinum-based therapy in 1L setting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316054" w14:textId="77777777" w:rsidR="00D22E8E" w:rsidRPr="00E050AF" w:rsidRDefault="00D22E8E" w:rsidP="00DE3B42">
            <w:pPr>
              <w:pStyle w:val="TableText"/>
              <w:spacing w:line="254" w:lineRule="auto"/>
              <w:jc w:val="center"/>
            </w:pPr>
            <w:r w:rsidRPr="00E050AF">
              <w:t>90%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4493A2C" w14:textId="633B3A53" w:rsidR="00D22E8E" w:rsidRPr="00E050AF" w:rsidRDefault="00D22E8E" w:rsidP="00DE3B42">
            <w:pPr>
              <w:pStyle w:val="TableText"/>
              <w:spacing w:line="254" w:lineRule="auto"/>
              <w:jc w:val="both"/>
            </w:pPr>
            <w:r w:rsidRPr="00E050AF">
              <w:t>The AstraZeneca AOCS1 data indicates that approximately 92% of patients with advanced ovarian cancer are treated with a platinum-based chemotherapy regimen in Australia.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849AB03" w14:textId="77777777" w:rsidR="00D22E8E" w:rsidRPr="00E050AF" w:rsidRDefault="00D22E8E" w:rsidP="00DE3B42">
            <w:pPr>
              <w:pStyle w:val="TableText"/>
              <w:spacing w:line="254" w:lineRule="auto"/>
              <w:jc w:val="both"/>
            </w:pPr>
            <w:r w:rsidRPr="00E050AF">
              <w:t xml:space="preserve">The figure of 92% from the AZ AOCS1 data could not be independently verified. It was not explained why this figure was approximated to 90%, rather than using 92%. </w:t>
            </w:r>
            <w:r w:rsidRPr="00E050AF">
              <w:rPr>
                <w:rFonts w:eastAsiaTheme="majorEastAsia" w:cs="Arial"/>
                <w:szCs w:val="20"/>
                <w:lang w:bidi="en-US"/>
              </w:rPr>
              <w:t>This figure was lower than the 97% used in the July 2020 olaparib submission.</w:t>
            </w:r>
          </w:p>
        </w:tc>
      </w:tr>
      <w:tr w:rsidR="00D22E8E" w:rsidRPr="00E050AF" w14:paraId="118525DB"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112CE91A" w14:textId="77777777" w:rsidR="00D22E8E" w:rsidRPr="00E050AF" w:rsidRDefault="00D22E8E" w:rsidP="00DE3B42">
            <w:pPr>
              <w:pStyle w:val="TableText"/>
              <w:spacing w:line="254" w:lineRule="auto"/>
            </w:pPr>
            <w:r w:rsidRPr="00E050AF">
              <w:t>Response to 1L platinum-based therapy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F754B4" w14:textId="77777777" w:rsidR="00D22E8E" w:rsidRPr="00E050AF" w:rsidRDefault="00D22E8E" w:rsidP="00DE3B42">
            <w:pPr>
              <w:pStyle w:val="TableText"/>
              <w:spacing w:line="254" w:lineRule="auto"/>
              <w:jc w:val="center"/>
            </w:pPr>
            <w:r w:rsidRPr="00E050AF">
              <w:t>80%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5793117" w14:textId="5B30F9ED" w:rsidR="00D22E8E" w:rsidRPr="00E050AF" w:rsidRDefault="00D22E8E" w:rsidP="00DE3B42">
            <w:pPr>
              <w:pStyle w:val="TableText"/>
              <w:spacing w:line="254" w:lineRule="auto"/>
              <w:jc w:val="both"/>
              <w:rPr>
                <w:highlight w:val="yellow"/>
              </w:rPr>
            </w:pPr>
            <w:r w:rsidRPr="00E050AF">
              <w:t>AZ AOCS2 report 2019, PAOLA1 (80.1%)</w:t>
            </w:r>
            <w:r w:rsidR="004D30BF" w:rsidRPr="00E050AF">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55D25EF" w14:textId="77777777" w:rsidR="00D22E8E" w:rsidRPr="00E050AF" w:rsidRDefault="00D22E8E" w:rsidP="00DE3B42">
            <w:pPr>
              <w:pStyle w:val="TableText"/>
              <w:spacing w:line="254" w:lineRule="auto"/>
              <w:jc w:val="both"/>
            </w:pPr>
            <w:r w:rsidRPr="00E050AF">
              <w:rPr>
                <w:rFonts w:eastAsiaTheme="majorEastAsia" w:cs="Arial"/>
                <w:szCs w:val="20"/>
                <w:lang w:bidi="en-US"/>
              </w:rPr>
              <w:t>This figure was lower than the 85% used in the July 2020 olaparib submission, although this may be appropriate given the different patient populations.</w:t>
            </w:r>
          </w:p>
        </w:tc>
      </w:tr>
      <w:tr w:rsidR="00D22E8E" w:rsidRPr="00E050AF" w14:paraId="0B0B33C3"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3C0A08EB" w14:textId="77777777" w:rsidR="00D22E8E" w:rsidRPr="00E050AF" w:rsidRDefault="00D22E8E" w:rsidP="00DE3B42">
            <w:pPr>
              <w:pStyle w:val="TableText"/>
              <w:spacing w:line="254" w:lineRule="auto"/>
            </w:pPr>
            <w:r w:rsidRPr="00E050AF">
              <w:t>Grandfathered patients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04E859" w14:textId="2CE086CC" w:rsidR="00D22E8E" w:rsidRPr="00826EBB" w:rsidRDefault="00D22E8E" w:rsidP="00DE3B42">
            <w:pPr>
              <w:pStyle w:val="TableText"/>
              <w:spacing w:line="254" w:lineRule="auto"/>
              <w:jc w:val="center"/>
              <w:rPr>
                <w:vertAlign w:val="superscript"/>
              </w:rPr>
            </w:pPr>
            <w:r w:rsidRPr="00E050AF">
              <w:t xml:space="preserve">Yr 1: </w:t>
            </w:r>
            <w:r w:rsidR="00602B47" w:rsidRPr="00602B47">
              <w:rPr>
                <w:color w:val="000000"/>
                <w:spacing w:val="48"/>
                <w:shd w:val="solid" w:color="000000" w:fill="000000"/>
                <w:fitText w:val="315" w:id="-1435752180"/>
                <w14:textFill>
                  <w14:solidFill>
                    <w14:srgbClr w14:val="000000">
                      <w14:alpha w14:val="100000"/>
                    </w14:srgbClr>
                  </w14:solidFill>
                </w14:textFill>
              </w:rPr>
              <w:t>|||</w:t>
            </w:r>
            <w:r w:rsidR="00602B47" w:rsidRPr="00602B47">
              <w:rPr>
                <w:color w:val="000000"/>
                <w:spacing w:val="1"/>
                <w:shd w:val="solid" w:color="000000" w:fill="000000"/>
                <w:fitText w:val="315" w:id="-1435752180"/>
                <w14:textFill>
                  <w14:solidFill>
                    <w14:srgbClr w14:val="000000">
                      <w14:alpha w14:val="100000"/>
                    </w14:srgbClr>
                  </w14:solidFill>
                </w14:textFill>
              </w:rPr>
              <w:t>|</w:t>
            </w:r>
            <w:r w:rsidR="00826EBB">
              <w:rPr>
                <w:vertAlign w:val="superscript"/>
              </w:rPr>
              <w:t>1</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F529B64" w14:textId="77777777" w:rsidR="00D22E8E" w:rsidRPr="00E050AF" w:rsidRDefault="00D22E8E" w:rsidP="00DE3B42">
            <w:pPr>
              <w:pStyle w:val="TableText"/>
              <w:spacing w:line="254" w:lineRule="auto"/>
              <w:jc w:val="both"/>
            </w:pPr>
            <w:r w:rsidRPr="00E050AF">
              <w:t>Sponsor assumption.</w:t>
            </w:r>
          </w:p>
          <w:p w14:paraId="3F2004E0" w14:textId="77777777" w:rsidR="00D22E8E" w:rsidRPr="00E050AF" w:rsidRDefault="00D22E8E" w:rsidP="00DE3B42">
            <w:pPr>
              <w:pStyle w:val="TableText"/>
              <w:spacing w:line="254" w:lineRule="auto"/>
              <w:jc w:val="both"/>
            </w:pPr>
            <w:r w:rsidRPr="00E050AF">
              <w:t>AstraZeneca intends to provide HRD testing and olaparib treatment to eligible patients via a compassionate access program for a period of 14 months.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A67CC08" w14:textId="77777777" w:rsidR="00D22E8E" w:rsidRPr="00E050AF" w:rsidRDefault="00D22E8E" w:rsidP="00DE3B42">
            <w:pPr>
              <w:pStyle w:val="TableText"/>
              <w:spacing w:line="254" w:lineRule="auto"/>
              <w:jc w:val="both"/>
            </w:pPr>
            <w:r w:rsidRPr="00E050AF">
              <w:t>No explanation for this figure was provided in the submission. Figure cannot be independently verified.</w:t>
            </w:r>
          </w:p>
        </w:tc>
      </w:tr>
      <w:tr w:rsidR="00D22E8E" w:rsidRPr="00E050AF" w14:paraId="329C5BC4" w14:textId="77777777" w:rsidTr="00DE3B42">
        <w:trPr>
          <w:cantSplit/>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47CD860C" w14:textId="77777777" w:rsidR="00D22E8E" w:rsidRPr="00E050AF" w:rsidRDefault="00D22E8E" w:rsidP="00DE3B42">
            <w:pPr>
              <w:pStyle w:val="TableText"/>
              <w:spacing w:line="254" w:lineRule="auto"/>
              <w:jc w:val="both"/>
              <w:rPr>
                <w:b/>
              </w:rPr>
            </w:pPr>
            <w:r w:rsidRPr="00E050AF">
              <w:rPr>
                <w:b/>
              </w:rPr>
              <w:t>Olaparib + bevacizumab</w:t>
            </w:r>
          </w:p>
        </w:tc>
      </w:tr>
      <w:tr w:rsidR="00D22E8E" w:rsidRPr="00E050AF" w14:paraId="6D385A5F"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33794D23" w14:textId="77777777" w:rsidR="00D22E8E" w:rsidRPr="00E050AF" w:rsidRDefault="00D22E8E" w:rsidP="00DE3B42">
            <w:pPr>
              <w:pStyle w:val="TableText"/>
              <w:spacing w:line="254" w:lineRule="auto"/>
            </w:pPr>
            <w:r w:rsidRPr="00E050AF">
              <w:t>Olaparib uptake rate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16E0" w14:textId="4C7FD272" w:rsidR="00D22E8E" w:rsidRPr="00922900" w:rsidRDefault="00D22E8E" w:rsidP="00DE3B42">
            <w:pPr>
              <w:pStyle w:val="TableText"/>
              <w:spacing w:line="254" w:lineRule="auto"/>
              <w:jc w:val="center"/>
            </w:pPr>
            <w:r w:rsidRPr="00922900">
              <w:t xml:space="preserve">Yr 1: </w:t>
            </w:r>
            <w:r w:rsidR="00602B47" w:rsidRPr="00602B47">
              <w:rPr>
                <w:color w:val="000000"/>
                <w:spacing w:val="76"/>
                <w:shd w:val="solid" w:color="000000" w:fill="000000"/>
                <w:fitText w:val="162" w:id="-1435752179"/>
                <w14:textFill>
                  <w14:solidFill>
                    <w14:srgbClr w14:val="000000">
                      <w14:alpha w14:val="100000"/>
                    </w14:srgbClr>
                  </w14:solidFill>
                </w14:textFill>
              </w:rPr>
              <w:t>|</w:t>
            </w:r>
            <w:r w:rsidR="00602B47" w:rsidRPr="00602B47">
              <w:rPr>
                <w:color w:val="000000"/>
                <w:spacing w:val="1"/>
                <w:shd w:val="solid" w:color="000000" w:fill="000000"/>
                <w:fitText w:val="162" w:id="-1435752179"/>
                <w14:textFill>
                  <w14:solidFill>
                    <w14:srgbClr w14:val="000000">
                      <w14:alpha w14:val="100000"/>
                    </w14:srgbClr>
                  </w14:solidFill>
                </w14:textFill>
              </w:rPr>
              <w:t>|</w:t>
            </w:r>
            <w:r w:rsidRPr="00922900">
              <w:t>%</w:t>
            </w:r>
          </w:p>
          <w:p w14:paraId="0C275D14" w14:textId="01FB979E" w:rsidR="00D22E8E" w:rsidRPr="00922900" w:rsidRDefault="00D22E8E" w:rsidP="00DE3B42">
            <w:pPr>
              <w:pStyle w:val="TableText"/>
              <w:spacing w:line="254" w:lineRule="auto"/>
              <w:jc w:val="center"/>
            </w:pPr>
            <w:r w:rsidRPr="00922900">
              <w:t xml:space="preserve">Yr 2: </w:t>
            </w:r>
            <w:r w:rsidR="00602B47" w:rsidRPr="00602B47">
              <w:rPr>
                <w:color w:val="000000"/>
                <w:spacing w:val="76"/>
                <w:shd w:val="solid" w:color="000000" w:fill="000000"/>
                <w:fitText w:val="162" w:id="-1435752178"/>
                <w14:textFill>
                  <w14:solidFill>
                    <w14:srgbClr w14:val="000000">
                      <w14:alpha w14:val="100000"/>
                    </w14:srgbClr>
                  </w14:solidFill>
                </w14:textFill>
              </w:rPr>
              <w:t>|</w:t>
            </w:r>
            <w:r w:rsidR="00602B47" w:rsidRPr="00602B47">
              <w:rPr>
                <w:color w:val="000000"/>
                <w:spacing w:val="1"/>
                <w:shd w:val="solid" w:color="000000" w:fill="000000"/>
                <w:fitText w:val="162" w:id="-1435752178"/>
                <w14:textFill>
                  <w14:solidFill>
                    <w14:srgbClr w14:val="000000">
                      <w14:alpha w14:val="100000"/>
                    </w14:srgbClr>
                  </w14:solidFill>
                </w14:textFill>
              </w:rPr>
              <w:t>|</w:t>
            </w:r>
            <w:r w:rsidRPr="00922900">
              <w:t>%</w:t>
            </w:r>
          </w:p>
          <w:p w14:paraId="5D2A899A" w14:textId="1F215A00" w:rsidR="00D22E8E" w:rsidRPr="00922900" w:rsidRDefault="00D22E8E" w:rsidP="00DE3B42">
            <w:pPr>
              <w:pStyle w:val="TableText"/>
              <w:spacing w:line="254" w:lineRule="auto"/>
              <w:jc w:val="center"/>
            </w:pPr>
            <w:r w:rsidRPr="00922900">
              <w:t xml:space="preserve">Yr 3: </w:t>
            </w:r>
            <w:r w:rsidR="00602B47" w:rsidRPr="00602B47">
              <w:rPr>
                <w:color w:val="000000"/>
                <w:spacing w:val="76"/>
                <w:shd w:val="solid" w:color="000000" w:fill="000000"/>
                <w:fitText w:val="162" w:id="-1435752177"/>
                <w14:textFill>
                  <w14:solidFill>
                    <w14:srgbClr w14:val="000000">
                      <w14:alpha w14:val="100000"/>
                    </w14:srgbClr>
                  </w14:solidFill>
                </w14:textFill>
              </w:rPr>
              <w:t>|</w:t>
            </w:r>
            <w:r w:rsidR="00602B47" w:rsidRPr="00602B47">
              <w:rPr>
                <w:color w:val="000000"/>
                <w:spacing w:val="1"/>
                <w:shd w:val="solid" w:color="000000" w:fill="000000"/>
                <w:fitText w:val="162" w:id="-1435752177"/>
                <w14:textFill>
                  <w14:solidFill>
                    <w14:srgbClr w14:val="000000">
                      <w14:alpha w14:val="100000"/>
                    </w14:srgbClr>
                  </w14:solidFill>
                </w14:textFill>
              </w:rPr>
              <w:t>|</w:t>
            </w:r>
            <w:r w:rsidRPr="00922900">
              <w:t>%</w:t>
            </w:r>
          </w:p>
          <w:p w14:paraId="43EDC1C5" w14:textId="11A8F296" w:rsidR="00D22E8E" w:rsidRPr="00922900" w:rsidRDefault="00D22E8E" w:rsidP="00DE3B42">
            <w:pPr>
              <w:pStyle w:val="TableText"/>
              <w:spacing w:line="254" w:lineRule="auto"/>
              <w:jc w:val="center"/>
            </w:pPr>
            <w:r w:rsidRPr="00922900">
              <w:t xml:space="preserve">Yr 4: </w:t>
            </w:r>
            <w:r w:rsidR="00602B47" w:rsidRPr="00602B47">
              <w:rPr>
                <w:color w:val="000000"/>
                <w:spacing w:val="76"/>
                <w:shd w:val="solid" w:color="000000" w:fill="000000"/>
                <w:fitText w:val="162" w:id="-1435752176"/>
                <w14:textFill>
                  <w14:solidFill>
                    <w14:srgbClr w14:val="000000">
                      <w14:alpha w14:val="100000"/>
                    </w14:srgbClr>
                  </w14:solidFill>
                </w14:textFill>
              </w:rPr>
              <w:t>|</w:t>
            </w:r>
            <w:r w:rsidR="00602B47" w:rsidRPr="00602B47">
              <w:rPr>
                <w:color w:val="000000"/>
                <w:spacing w:val="1"/>
                <w:shd w:val="solid" w:color="000000" w:fill="000000"/>
                <w:fitText w:val="162" w:id="-1435752176"/>
                <w14:textFill>
                  <w14:solidFill>
                    <w14:srgbClr w14:val="000000">
                      <w14:alpha w14:val="100000"/>
                    </w14:srgbClr>
                  </w14:solidFill>
                </w14:textFill>
              </w:rPr>
              <w:t>|</w:t>
            </w:r>
            <w:r w:rsidRPr="00922900">
              <w:t>%</w:t>
            </w:r>
          </w:p>
          <w:p w14:paraId="132F80D4" w14:textId="041D3C97" w:rsidR="00D22E8E" w:rsidRPr="00922900" w:rsidRDefault="00D22E8E" w:rsidP="00DE3B42">
            <w:pPr>
              <w:pStyle w:val="TableText"/>
              <w:spacing w:line="254" w:lineRule="auto"/>
              <w:jc w:val="center"/>
            </w:pPr>
            <w:r w:rsidRPr="00922900">
              <w:t xml:space="preserve">Yr 5: </w:t>
            </w:r>
            <w:r w:rsidR="00602B47" w:rsidRPr="00602B47">
              <w:rPr>
                <w:color w:val="000000"/>
                <w:spacing w:val="76"/>
                <w:shd w:val="solid" w:color="000000" w:fill="000000"/>
                <w:fitText w:val="162" w:id="-1435752192"/>
                <w14:textFill>
                  <w14:solidFill>
                    <w14:srgbClr w14:val="000000">
                      <w14:alpha w14:val="100000"/>
                    </w14:srgbClr>
                  </w14:solidFill>
                </w14:textFill>
              </w:rPr>
              <w:t>|</w:t>
            </w:r>
            <w:r w:rsidR="00602B47" w:rsidRPr="00602B47">
              <w:rPr>
                <w:color w:val="000000"/>
                <w:spacing w:val="1"/>
                <w:shd w:val="solid" w:color="000000" w:fill="000000"/>
                <w:fitText w:val="162" w:id="-1435752192"/>
                <w14:textFill>
                  <w14:solidFill>
                    <w14:srgbClr w14:val="000000">
                      <w14:alpha w14:val="100000"/>
                    </w14:srgbClr>
                  </w14:solidFill>
                </w14:textFill>
              </w:rPr>
              <w:t>|</w:t>
            </w:r>
            <w:r w:rsidRPr="00922900">
              <w:t>%</w:t>
            </w:r>
          </w:p>
          <w:p w14:paraId="206E0BD3" w14:textId="48293F58" w:rsidR="00D22E8E" w:rsidRPr="00E050AF" w:rsidRDefault="00D22E8E" w:rsidP="00DE3B42">
            <w:pPr>
              <w:pStyle w:val="TableText"/>
              <w:spacing w:line="254" w:lineRule="auto"/>
              <w:jc w:val="center"/>
            </w:pPr>
            <w:r w:rsidRPr="00922900">
              <w:t xml:space="preserve">Yr 6: </w:t>
            </w:r>
            <w:r w:rsidR="00602B47" w:rsidRPr="00602B47">
              <w:rPr>
                <w:color w:val="000000"/>
                <w:spacing w:val="76"/>
                <w:shd w:val="solid" w:color="000000" w:fill="000000"/>
                <w:fitText w:val="162" w:id="-1435752191"/>
                <w14:textFill>
                  <w14:solidFill>
                    <w14:srgbClr w14:val="000000">
                      <w14:alpha w14:val="100000"/>
                    </w14:srgbClr>
                  </w14:solidFill>
                </w14:textFill>
              </w:rPr>
              <w:t>|</w:t>
            </w:r>
            <w:r w:rsidR="00602B47" w:rsidRPr="00602B47">
              <w:rPr>
                <w:color w:val="000000"/>
                <w:spacing w:val="1"/>
                <w:shd w:val="solid" w:color="000000" w:fill="000000"/>
                <w:fitText w:val="162" w:id="-1435752191"/>
                <w14:textFill>
                  <w14:solidFill>
                    <w14:srgbClr w14:val="000000">
                      <w14:alpha w14:val="100000"/>
                    </w14:srgbClr>
                  </w14:solidFill>
                </w14:textFill>
              </w:rPr>
              <w:t>|</w:t>
            </w:r>
            <w:r w:rsidRPr="00922900">
              <w:t>%</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8C86A14" w14:textId="77777777" w:rsidR="00D22E8E" w:rsidRPr="00E050AF" w:rsidRDefault="00D22E8E" w:rsidP="00DE3B42">
            <w:pPr>
              <w:pStyle w:val="TableText"/>
              <w:spacing w:line="254" w:lineRule="auto"/>
              <w:jc w:val="both"/>
            </w:pPr>
            <w:r w:rsidRPr="00E050AF">
              <w:t>Uptake rate sponsor assumption.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B9A6597" w14:textId="6E1B4272" w:rsidR="00D22E8E" w:rsidRPr="00E050AF" w:rsidRDefault="00D22E8E" w:rsidP="005F718B">
            <w:pPr>
              <w:pStyle w:val="TableText"/>
              <w:spacing w:line="254" w:lineRule="auto"/>
              <w:jc w:val="both"/>
            </w:pPr>
            <w:r w:rsidRPr="00E050AF">
              <w:t>The PBAC previously considered that the olaparib uptake should be lower in Year 1 of PBS listing to account for patients commencing treatment throughout the year, although a specific rate was not detailed (</w:t>
            </w:r>
            <w:r w:rsidR="005F718B" w:rsidRPr="00E050AF">
              <w:t>paragraph 6.50, Olaparib PSD, July 2020 PBAC Meeting</w:t>
            </w:r>
            <w:r w:rsidRPr="00E050AF">
              <w:t>).</w:t>
            </w:r>
          </w:p>
        </w:tc>
      </w:tr>
      <w:tr w:rsidR="00D22E8E" w:rsidRPr="00E050AF" w14:paraId="265E1956"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25EFECEB" w14:textId="77777777" w:rsidR="00D22E8E" w:rsidRPr="00E050AF" w:rsidRDefault="00D22E8E" w:rsidP="00DE3B42">
            <w:pPr>
              <w:pStyle w:val="TableText"/>
              <w:spacing w:line="254" w:lineRule="auto"/>
              <w:rPr>
                <w:szCs w:val="20"/>
              </w:rPr>
            </w:pPr>
            <w:r w:rsidRPr="00E050AF">
              <w:t>Number of olaparib doses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060B756" w14:textId="77777777" w:rsidR="00D22E8E" w:rsidRPr="00E050AF" w:rsidRDefault="00D22E8E" w:rsidP="00DE3B42">
            <w:pPr>
              <w:pStyle w:val="TableText"/>
              <w:spacing w:line="254" w:lineRule="auto"/>
              <w:jc w:val="center"/>
            </w:pPr>
            <w:r w:rsidRPr="00E050AF">
              <w:t>Yr 1 13.04</w:t>
            </w:r>
          </w:p>
          <w:p w14:paraId="1966080E" w14:textId="77777777" w:rsidR="00D22E8E" w:rsidRPr="00E050AF" w:rsidRDefault="00D22E8E" w:rsidP="00DE3B42">
            <w:pPr>
              <w:pStyle w:val="TableText"/>
              <w:spacing w:line="254" w:lineRule="auto"/>
              <w:jc w:val="center"/>
              <w:rPr>
                <w:szCs w:val="20"/>
              </w:rPr>
            </w:pPr>
            <w:r w:rsidRPr="00E050AF">
              <w:t>Yr 2 10.87</w:t>
            </w:r>
          </w:p>
        </w:tc>
        <w:tc>
          <w:tcPr>
            <w:tcW w:w="3118" w:type="dxa"/>
            <w:tcBorders>
              <w:top w:val="single" w:sz="4" w:space="0" w:color="auto"/>
              <w:left w:val="single" w:sz="4" w:space="0" w:color="auto"/>
              <w:bottom w:val="single" w:sz="4" w:space="0" w:color="auto"/>
              <w:right w:val="single" w:sz="4" w:space="0" w:color="auto"/>
            </w:tcBorders>
            <w:vAlign w:val="center"/>
            <w:hideMark/>
          </w:tcPr>
          <w:p w14:paraId="7A4FC232" w14:textId="77777777" w:rsidR="00D22E8E" w:rsidRPr="00E050AF" w:rsidRDefault="00D22E8E" w:rsidP="00DE3B42">
            <w:pPr>
              <w:pStyle w:val="TableText"/>
              <w:spacing w:line="254" w:lineRule="auto"/>
              <w:jc w:val="both"/>
              <w:rPr>
                <w:szCs w:val="20"/>
              </w:rPr>
            </w:pPr>
            <w:r w:rsidRPr="00E050AF">
              <w:t>Based on 22 months treatment, with no treatment breaks.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0DA00D0" w14:textId="00891372" w:rsidR="00D22E8E" w:rsidRPr="00E050AF" w:rsidRDefault="00D22E8E" w:rsidP="00DE3B42">
            <w:pPr>
              <w:pStyle w:val="TableText"/>
              <w:spacing w:line="254" w:lineRule="auto"/>
              <w:jc w:val="both"/>
            </w:pPr>
            <w:r w:rsidRPr="00E050AF">
              <w:t>These figures were inconsistent compared to the olaparib treatment duration used in the model (17.08 months). This was due to the model using the mean for DoT and the financial estimates using the median DoT.</w:t>
            </w:r>
          </w:p>
        </w:tc>
      </w:tr>
      <w:tr w:rsidR="00D22E8E" w:rsidRPr="00E050AF" w14:paraId="7F1776A3"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02FEAFB1" w14:textId="77777777" w:rsidR="00D22E8E" w:rsidRPr="00E050AF" w:rsidRDefault="00D22E8E" w:rsidP="00DE3B42">
            <w:pPr>
              <w:pStyle w:val="TableText"/>
              <w:spacing w:line="254" w:lineRule="auto"/>
              <w:rPr>
                <w:szCs w:val="20"/>
              </w:rPr>
            </w:pPr>
            <w:r w:rsidRPr="00E050AF">
              <w:rPr>
                <w:szCs w:val="20"/>
              </w:rPr>
              <w:t>Number of bevacizumab doses (given with olaparib)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A6DCA8" w14:textId="77777777" w:rsidR="00D22E8E" w:rsidRPr="00E050AF" w:rsidRDefault="00D22E8E" w:rsidP="00DE3B42">
            <w:pPr>
              <w:pStyle w:val="TableText"/>
              <w:spacing w:line="254" w:lineRule="auto"/>
              <w:jc w:val="center"/>
              <w:rPr>
                <w:szCs w:val="20"/>
              </w:rPr>
            </w:pPr>
            <w:r w:rsidRPr="00E050AF">
              <w:rPr>
                <w:szCs w:val="20"/>
              </w:rPr>
              <w:t>15.93</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F6C248D" w14:textId="77777777" w:rsidR="00D22E8E" w:rsidRPr="00E050AF" w:rsidRDefault="00D22E8E" w:rsidP="00DE3B42">
            <w:pPr>
              <w:pStyle w:val="TableText"/>
              <w:spacing w:line="254" w:lineRule="auto"/>
              <w:jc w:val="both"/>
              <w:rPr>
                <w:szCs w:val="20"/>
              </w:rPr>
            </w:pPr>
            <w:r w:rsidRPr="00E050AF">
              <w:rPr>
                <w:szCs w:val="20"/>
              </w:rPr>
              <w:t>Based on an average treatment duration of 11 months from PAOLA-1.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2C30805" w14:textId="00F0D437" w:rsidR="00D22E8E" w:rsidRPr="00E050AF" w:rsidRDefault="00D22E8E" w:rsidP="00DE3B42">
            <w:pPr>
              <w:pStyle w:val="TableText"/>
              <w:spacing w:line="254" w:lineRule="auto"/>
              <w:jc w:val="both"/>
              <w:rPr>
                <w:szCs w:val="20"/>
              </w:rPr>
            </w:pPr>
            <w:r w:rsidRPr="00E050AF">
              <w:t>This was different to the bevacizumab treatment duration used in the model (14.3 doses) as median duration used instead of mean.</w:t>
            </w:r>
          </w:p>
        </w:tc>
      </w:tr>
      <w:tr w:rsidR="00D22E8E" w:rsidRPr="00E050AF" w14:paraId="021A427F"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422F4EB7" w14:textId="77777777" w:rsidR="00D22E8E" w:rsidRPr="00E050AF" w:rsidRDefault="00D22E8E" w:rsidP="00DE3B42">
            <w:pPr>
              <w:pStyle w:val="TableText"/>
              <w:spacing w:line="254" w:lineRule="auto"/>
            </w:pPr>
            <w:r w:rsidRPr="00E050AF">
              <w:rPr>
                <w:szCs w:val="20"/>
              </w:rPr>
              <w:t>Cost of bevacizumab (DPMA)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EB93EE" w14:textId="3B57969D" w:rsidR="00D22E8E" w:rsidRPr="00E050AF" w:rsidRDefault="00D22E8E" w:rsidP="00DE3B42">
            <w:pPr>
              <w:pStyle w:val="TableText"/>
              <w:spacing w:line="254" w:lineRule="auto"/>
              <w:jc w:val="center"/>
            </w:pPr>
            <w:r w:rsidRPr="00E050AF">
              <w:rPr>
                <w:szCs w:val="20"/>
              </w:rPr>
              <w:t>Weighted average 7.5</w:t>
            </w:r>
            <w:r w:rsidR="00991D2B" w:rsidRPr="00E050AF">
              <w:rPr>
                <w:szCs w:val="20"/>
              </w:rPr>
              <w:t> </w:t>
            </w:r>
            <w:r w:rsidRPr="00E050AF">
              <w:rPr>
                <w:szCs w:val="20"/>
              </w:rPr>
              <w:t>mg/kg $721.42; 15</w:t>
            </w:r>
            <w:r w:rsidR="00991D2B" w:rsidRPr="00E050AF">
              <w:rPr>
                <w:szCs w:val="20"/>
              </w:rPr>
              <w:t> </w:t>
            </w:r>
            <w:r w:rsidRPr="00E050AF">
              <w:rPr>
                <w:szCs w:val="20"/>
              </w:rPr>
              <w:t>mg/kg $1,335.75</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96D5F3" w14:textId="6DFF0AD4" w:rsidR="00D22E8E" w:rsidRPr="00E050AF" w:rsidRDefault="00D22E8E" w:rsidP="00DE3B42">
            <w:pPr>
              <w:pStyle w:val="TableText"/>
              <w:spacing w:line="254" w:lineRule="auto"/>
              <w:jc w:val="both"/>
            </w:pPr>
            <w:r w:rsidRPr="00E050AF">
              <w:t>Based on weighted DPMA across 100</w:t>
            </w:r>
            <w:r w:rsidR="00991D2B" w:rsidRPr="00E050AF">
              <w:t> </w:t>
            </w:r>
            <w:r w:rsidRPr="00E050AF">
              <w:t>mg and 400</w:t>
            </w:r>
            <w:r w:rsidR="00991D2B" w:rsidRPr="00E050AF">
              <w:t> </w:t>
            </w:r>
            <w:r w:rsidRPr="00E050AF">
              <w:t>mg vial (PBS item numbers 12479T, 12508H), across public and private hospitals.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09A7F81" w14:textId="77777777" w:rsidR="00D22E8E" w:rsidRPr="00E050AF" w:rsidRDefault="00D22E8E" w:rsidP="00DE3B42">
            <w:pPr>
              <w:pStyle w:val="TableText"/>
              <w:spacing w:line="254" w:lineRule="auto"/>
              <w:jc w:val="both"/>
            </w:pPr>
            <w:r w:rsidRPr="00E050AF">
              <w:rPr>
                <w:rFonts w:cs="Times New Roman"/>
                <w:szCs w:val="20"/>
              </w:rPr>
              <w:t>Reasonable.</w:t>
            </w:r>
          </w:p>
        </w:tc>
      </w:tr>
      <w:tr w:rsidR="00D22E8E" w:rsidRPr="00E050AF" w14:paraId="72469F66" w14:textId="77777777" w:rsidTr="00DE3B42">
        <w:trPr>
          <w:cantSplit/>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4475B251" w14:textId="77777777" w:rsidR="00D22E8E" w:rsidRPr="00E050AF" w:rsidRDefault="00D22E8E" w:rsidP="00DE3B42">
            <w:pPr>
              <w:pStyle w:val="TableText"/>
              <w:spacing w:line="254" w:lineRule="auto"/>
              <w:jc w:val="both"/>
              <w:rPr>
                <w:b/>
              </w:rPr>
            </w:pPr>
            <w:r w:rsidRPr="00E050AF">
              <w:rPr>
                <w:b/>
              </w:rPr>
              <w:t>Current scenario</w:t>
            </w:r>
          </w:p>
        </w:tc>
      </w:tr>
      <w:tr w:rsidR="00D22E8E" w:rsidRPr="00E050AF" w14:paraId="40C39410"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1A5DF1F6" w14:textId="77777777" w:rsidR="00D22E8E" w:rsidRPr="00E050AF" w:rsidRDefault="00D22E8E" w:rsidP="00DE3B42">
            <w:pPr>
              <w:pStyle w:val="TableText"/>
              <w:spacing w:line="254" w:lineRule="auto"/>
            </w:pPr>
            <w:r w:rsidRPr="00E050AF">
              <w:t>Bevacizumab uptake rate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1181F0B" w14:textId="77777777" w:rsidR="00D22E8E" w:rsidRPr="00E050AF" w:rsidRDefault="00D22E8E" w:rsidP="00DE3B42">
            <w:pPr>
              <w:pStyle w:val="TableText"/>
              <w:spacing w:line="254" w:lineRule="auto"/>
              <w:jc w:val="center"/>
            </w:pPr>
            <w:r w:rsidRPr="00E050AF">
              <w:t>90%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56BB713" w14:textId="77777777" w:rsidR="00D22E8E" w:rsidRPr="00E050AF" w:rsidRDefault="00D22E8E" w:rsidP="00DE3B42">
            <w:pPr>
              <w:pStyle w:val="TableText"/>
              <w:spacing w:line="254" w:lineRule="auto"/>
              <w:jc w:val="both"/>
            </w:pPr>
            <w:r w:rsidRPr="00E050AF">
              <w:t>The source of this figure was not provided in the submission.</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05B11B9" w14:textId="723968CD" w:rsidR="00D22E8E" w:rsidRPr="00E050AF" w:rsidRDefault="00D22E8E" w:rsidP="00DE3B42">
            <w:pPr>
              <w:pStyle w:val="TableText"/>
              <w:spacing w:line="254" w:lineRule="auto"/>
              <w:jc w:val="both"/>
            </w:pPr>
          </w:p>
        </w:tc>
      </w:tr>
      <w:tr w:rsidR="00D22E8E" w:rsidRPr="00E050AF" w14:paraId="1E864CF8"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2A1409F3" w14:textId="77777777" w:rsidR="00D22E8E" w:rsidRPr="00E050AF" w:rsidRDefault="00D22E8E" w:rsidP="00DE3B42">
            <w:pPr>
              <w:pStyle w:val="TableText"/>
              <w:spacing w:line="254" w:lineRule="auto"/>
              <w:rPr>
                <w:szCs w:val="20"/>
              </w:rPr>
            </w:pPr>
            <w:r w:rsidRPr="00E050AF">
              <w:rPr>
                <w:szCs w:val="20"/>
              </w:rPr>
              <w:t xml:space="preserve">Number of bevacizumab doses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CE72DC" w14:textId="77777777" w:rsidR="00D22E8E" w:rsidRPr="00E050AF" w:rsidRDefault="00D22E8E" w:rsidP="00DE3B42">
            <w:pPr>
              <w:pStyle w:val="TableText"/>
              <w:spacing w:line="254" w:lineRule="auto"/>
              <w:jc w:val="center"/>
              <w:rPr>
                <w:szCs w:val="20"/>
              </w:rPr>
            </w:pPr>
            <w:r w:rsidRPr="00E050AF">
              <w:rPr>
                <w:szCs w:val="20"/>
              </w:rPr>
              <w:t>15.35 doses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4195BFB" w14:textId="77777777" w:rsidR="00D22E8E" w:rsidRPr="00E050AF" w:rsidRDefault="00D22E8E" w:rsidP="00DE3B42">
            <w:pPr>
              <w:pStyle w:val="TableText"/>
              <w:spacing w:line="254" w:lineRule="auto"/>
              <w:jc w:val="both"/>
              <w:rPr>
                <w:szCs w:val="20"/>
              </w:rPr>
            </w:pPr>
            <w:r w:rsidRPr="00E050AF">
              <w:rPr>
                <w:szCs w:val="20"/>
              </w:rPr>
              <w:t>A treatment duration of 10.6 months corresponding to 15.35 doses was assumed based on PAOLA-1.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BEA81E6" w14:textId="1F767AD5" w:rsidR="00D22E8E" w:rsidRPr="00E050AF" w:rsidRDefault="00D22E8E" w:rsidP="00DE3B42">
            <w:pPr>
              <w:pStyle w:val="TableText"/>
              <w:spacing w:line="254" w:lineRule="auto"/>
              <w:jc w:val="both"/>
              <w:rPr>
                <w:szCs w:val="20"/>
              </w:rPr>
            </w:pPr>
            <w:r w:rsidRPr="00E050AF">
              <w:t>This was different to the bevacizumab treatment duration used in the model (13.1 doses). This inconsistency was not explained in the submission.</w:t>
            </w:r>
          </w:p>
        </w:tc>
      </w:tr>
      <w:tr w:rsidR="00D22E8E" w:rsidRPr="00E050AF" w14:paraId="40E88DB5"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214375AD" w14:textId="77777777" w:rsidR="00D22E8E" w:rsidRPr="00E050AF" w:rsidRDefault="00D22E8E" w:rsidP="00DE3B42">
            <w:pPr>
              <w:pStyle w:val="TableText"/>
              <w:spacing w:line="254" w:lineRule="auto"/>
            </w:pPr>
            <w:r w:rsidRPr="00E050AF">
              <w:rPr>
                <w:szCs w:val="20"/>
              </w:rPr>
              <w:t xml:space="preserve">Cost of </w:t>
            </w:r>
            <w:r w:rsidRPr="00E050AF">
              <w:t>bevacizumab (DPMA)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62E70" w14:textId="2A39DC2E" w:rsidR="00D22E8E" w:rsidRPr="00E050AF" w:rsidRDefault="00D22E8E" w:rsidP="00DE3B42">
            <w:pPr>
              <w:pStyle w:val="TableText"/>
              <w:spacing w:line="254" w:lineRule="auto"/>
              <w:jc w:val="center"/>
            </w:pPr>
            <w:r w:rsidRPr="00E050AF">
              <w:rPr>
                <w:szCs w:val="20"/>
              </w:rPr>
              <w:t>Weighted average 7.5</w:t>
            </w:r>
            <w:r w:rsidR="00991D2B" w:rsidRPr="00E050AF">
              <w:rPr>
                <w:szCs w:val="20"/>
              </w:rPr>
              <w:t> </w:t>
            </w:r>
            <w:r w:rsidRPr="00E050AF">
              <w:rPr>
                <w:szCs w:val="20"/>
              </w:rPr>
              <w:t>mg/kg $721.42</w:t>
            </w:r>
          </w:p>
        </w:tc>
        <w:tc>
          <w:tcPr>
            <w:tcW w:w="3118" w:type="dxa"/>
            <w:tcBorders>
              <w:top w:val="single" w:sz="4" w:space="0" w:color="auto"/>
              <w:left w:val="single" w:sz="4" w:space="0" w:color="auto"/>
              <w:bottom w:val="single" w:sz="4" w:space="0" w:color="auto"/>
              <w:right w:val="single" w:sz="4" w:space="0" w:color="auto"/>
            </w:tcBorders>
            <w:vAlign w:val="center"/>
            <w:hideMark/>
          </w:tcPr>
          <w:p w14:paraId="6C304831" w14:textId="4EBF4ECA" w:rsidR="00D22E8E" w:rsidRPr="00E050AF" w:rsidRDefault="00D22E8E" w:rsidP="00DE3B42">
            <w:pPr>
              <w:pStyle w:val="TableText"/>
              <w:spacing w:line="254" w:lineRule="auto"/>
              <w:jc w:val="both"/>
            </w:pPr>
            <w:r w:rsidRPr="00E050AF">
              <w:t>Based on weighted DPMA across 100</w:t>
            </w:r>
            <w:r w:rsidR="00991D2B" w:rsidRPr="00E050AF">
              <w:t> </w:t>
            </w:r>
            <w:r w:rsidRPr="00E050AF">
              <w:t>mg and 400</w:t>
            </w:r>
            <w:r w:rsidR="000F3025" w:rsidRPr="00E050AF">
              <w:t> </w:t>
            </w:r>
            <w:r w:rsidRPr="00E050AF">
              <w:t>mg vial (PBS item numbers 12479T, 12508H), across public and private hospitals.</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34E60E9" w14:textId="08C08DB5" w:rsidR="00D22E8E" w:rsidRPr="00E050AF" w:rsidRDefault="00D22E8E" w:rsidP="00DE3B42">
            <w:pPr>
              <w:pStyle w:val="TableText"/>
              <w:spacing w:line="254" w:lineRule="auto"/>
              <w:jc w:val="both"/>
              <w:rPr>
                <w:b/>
                <w:bCs/>
              </w:rPr>
            </w:pPr>
            <w:r w:rsidRPr="00E050AF">
              <w:rPr>
                <w:rFonts w:cs="Times New Roman"/>
                <w:szCs w:val="20"/>
              </w:rPr>
              <w:t>Reasonable. Note that no 15</w:t>
            </w:r>
            <w:r w:rsidR="00991D2B" w:rsidRPr="00E050AF">
              <w:rPr>
                <w:rFonts w:cs="Times New Roman"/>
                <w:szCs w:val="20"/>
              </w:rPr>
              <w:t> </w:t>
            </w:r>
            <w:r w:rsidRPr="00E050AF">
              <w:rPr>
                <w:rFonts w:cs="Times New Roman"/>
                <w:szCs w:val="20"/>
              </w:rPr>
              <w:t xml:space="preserve">mg/kg use was assumed in financial estimates but 50% of patients in </w:t>
            </w:r>
            <w:r w:rsidR="0067681A" w:rsidRPr="00E050AF">
              <w:rPr>
                <w:rFonts w:cs="Times New Roman"/>
                <w:szCs w:val="20"/>
              </w:rPr>
              <w:t xml:space="preserve">the </w:t>
            </w:r>
            <w:r w:rsidRPr="00E050AF">
              <w:rPr>
                <w:rFonts w:cs="Times New Roman"/>
                <w:szCs w:val="20"/>
              </w:rPr>
              <w:t xml:space="preserve">economic model </w:t>
            </w:r>
            <w:r w:rsidR="0067681A" w:rsidRPr="00E050AF">
              <w:rPr>
                <w:rFonts w:cs="Times New Roman"/>
                <w:szCs w:val="20"/>
              </w:rPr>
              <w:t xml:space="preserve">were </w:t>
            </w:r>
            <w:r w:rsidRPr="00E050AF">
              <w:rPr>
                <w:rFonts w:cs="Times New Roman"/>
                <w:szCs w:val="20"/>
              </w:rPr>
              <w:t>assumed to use 15</w:t>
            </w:r>
            <w:r w:rsidR="00991D2B" w:rsidRPr="00E050AF">
              <w:rPr>
                <w:rFonts w:cs="Times New Roman"/>
                <w:szCs w:val="20"/>
              </w:rPr>
              <w:t> </w:t>
            </w:r>
            <w:r w:rsidRPr="00E050AF">
              <w:rPr>
                <w:rFonts w:cs="Times New Roman"/>
                <w:szCs w:val="20"/>
              </w:rPr>
              <w:t>mg/kg</w:t>
            </w:r>
            <w:r w:rsidR="00991D2B" w:rsidRPr="00E050AF">
              <w:rPr>
                <w:rFonts w:cs="Times New Roman"/>
                <w:szCs w:val="20"/>
              </w:rPr>
              <w:t>.</w:t>
            </w:r>
          </w:p>
        </w:tc>
      </w:tr>
      <w:tr w:rsidR="00D22E8E" w:rsidRPr="00E050AF" w14:paraId="3ED37F79" w14:textId="77777777" w:rsidTr="00DE3B42">
        <w:trPr>
          <w:cantSplit/>
        </w:trPr>
        <w:tc>
          <w:tcPr>
            <w:tcW w:w="9067" w:type="dxa"/>
            <w:gridSpan w:val="4"/>
            <w:tcBorders>
              <w:top w:val="single" w:sz="4" w:space="0" w:color="auto"/>
              <w:left w:val="single" w:sz="4" w:space="0" w:color="auto"/>
              <w:bottom w:val="single" w:sz="4" w:space="0" w:color="auto"/>
              <w:right w:val="single" w:sz="4" w:space="0" w:color="auto"/>
            </w:tcBorders>
            <w:vAlign w:val="center"/>
            <w:hideMark/>
          </w:tcPr>
          <w:p w14:paraId="34912209" w14:textId="77777777" w:rsidR="00D22E8E" w:rsidRPr="00E050AF" w:rsidRDefault="00D22E8E" w:rsidP="00DE3B42">
            <w:pPr>
              <w:pStyle w:val="TableText"/>
              <w:spacing w:line="254" w:lineRule="auto"/>
              <w:jc w:val="both"/>
              <w:rPr>
                <w:b/>
              </w:rPr>
            </w:pPr>
            <w:r w:rsidRPr="00E050AF">
              <w:rPr>
                <w:b/>
              </w:rPr>
              <w:t>Other costs</w:t>
            </w:r>
          </w:p>
        </w:tc>
      </w:tr>
      <w:tr w:rsidR="00D22E8E" w:rsidRPr="00E050AF" w14:paraId="6F2A96F4"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52CE1461" w14:textId="77777777" w:rsidR="00D22E8E" w:rsidRPr="00E050AF" w:rsidRDefault="00D22E8E" w:rsidP="00DE3B42">
            <w:pPr>
              <w:pStyle w:val="TableText"/>
              <w:spacing w:line="254" w:lineRule="auto"/>
            </w:pPr>
            <w:r w:rsidRPr="00E050AF">
              <w:t>Cost of HRD testing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F0BBC2" w14:textId="77777777" w:rsidR="00D22E8E" w:rsidRPr="00E050AF" w:rsidRDefault="00D22E8E" w:rsidP="00DE3B42">
            <w:pPr>
              <w:pStyle w:val="TableText"/>
              <w:spacing w:line="254" w:lineRule="auto"/>
              <w:jc w:val="center"/>
            </w:pPr>
            <w:r w:rsidRPr="00E050AF">
              <w:t>$2,500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C5FD83F" w14:textId="77777777" w:rsidR="00D22E8E" w:rsidRPr="00E050AF" w:rsidRDefault="00D22E8E" w:rsidP="00DE3B42">
            <w:pPr>
              <w:pStyle w:val="TableText"/>
              <w:spacing w:line="254" w:lineRule="auto"/>
              <w:jc w:val="both"/>
            </w:pPr>
            <w:r w:rsidRPr="00E050AF">
              <w:t>Requested fee</w:t>
            </w:r>
          </w:p>
        </w:tc>
        <w:tc>
          <w:tcPr>
            <w:tcW w:w="3402" w:type="dxa"/>
            <w:tcBorders>
              <w:top w:val="single" w:sz="4" w:space="0" w:color="auto"/>
              <w:left w:val="single" w:sz="4" w:space="0" w:color="auto"/>
              <w:bottom w:val="single" w:sz="4" w:space="0" w:color="auto"/>
              <w:right w:val="single" w:sz="4" w:space="0" w:color="auto"/>
            </w:tcBorders>
            <w:vAlign w:val="center"/>
          </w:tcPr>
          <w:p w14:paraId="23F7A967" w14:textId="77777777" w:rsidR="00D22E8E" w:rsidRPr="00E050AF" w:rsidRDefault="00D22E8E" w:rsidP="00DE3B42">
            <w:pPr>
              <w:pStyle w:val="TableText"/>
              <w:spacing w:line="254" w:lineRule="auto"/>
              <w:jc w:val="both"/>
            </w:pPr>
          </w:p>
        </w:tc>
      </w:tr>
      <w:tr w:rsidR="00D22E8E" w:rsidRPr="00E050AF" w14:paraId="61CA8825"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4FEDF3DE" w14:textId="77777777" w:rsidR="00D22E8E" w:rsidRPr="00E050AF" w:rsidRDefault="00D22E8E" w:rsidP="00DE3B42">
            <w:pPr>
              <w:pStyle w:val="TableText"/>
              <w:spacing w:line="254" w:lineRule="auto"/>
            </w:pPr>
            <w:r w:rsidRPr="00E050AF">
              <w:t xml:space="preserve">Cost of tumour </w:t>
            </w:r>
            <w:r w:rsidRPr="00E050AF">
              <w:rPr>
                <w:i/>
              </w:rPr>
              <w:t>BRCA1/2</w:t>
            </w:r>
            <w:r w:rsidRPr="00E050AF">
              <w:t xml:space="preserve"> mutation testing</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B174C5" w14:textId="77777777" w:rsidR="00D22E8E" w:rsidRPr="00E050AF" w:rsidRDefault="00D22E8E" w:rsidP="00DE3B42">
            <w:pPr>
              <w:pStyle w:val="TableText"/>
              <w:spacing w:line="254" w:lineRule="auto"/>
              <w:jc w:val="center"/>
            </w:pPr>
            <w:r w:rsidRPr="00E050AF">
              <w:t>$1,200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0D9A3B4" w14:textId="77777777" w:rsidR="00D22E8E" w:rsidRPr="00E050AF" w:rsidRDefault="00D22E8E" w:rsidP="00DE3B42">
            <w:pPr>
              <w:pStyle w:val="TableText"/>
              <w:spacing w:line="254" w:lineRule="auto"/>
              <w:jc w:val="both"/>
            </w:pPr>
            <w:r w:rsidRPr="00E050AF">
              <w:t>MBS item 73301</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869E6DE" w14:textId="77777777" w:rsidR="00D22E8E" w:rsidRPr="00E050AF" w:rsidRDefault="00D22E8E" w:rsidP="00DE3B42">
            <w:pPr>
              <w:pStyle w:val="TableText"/>
              <w:spacing w:line="254" w:lineRule="auto"/>
              <w:jc w:val="both"/>
            </w:pPr>
            <w:r w:rsidRPr="00E050AF">
              <w:t>MSAC advised that this cost should be $1,000. Included in the updated base case.</w:t>
            </w:r>
          </w:p>
        </w:tc>
      </w:tr>
      <w:tr w:rsidR="00D22E8E" w:rsidRPr="00E050AF" w14:paraId="0CE58EFA" w14:textId="77777777" w:rsidTr="00DE3B42">
        <w:trPr>
          <w:cantSplit/>
        </w:trPr>
        <w:tc>
          <w:tcPr>
            <w:tcW w:w="1413" w:type="dxa"/>
            <w:tcBorders>
              <w:top w:val="single" w:sz="4" w:space="0" w:color="auto"/>
              <w:left w:val="single" w:sz="4" w:space="0" w:color="auto"/>
              <w:bottom w:val="single" w:sz="4" w:space="0" w:color="auto"/>
              <w:right w:val="single" w:sz="4" w:space="0" w:color="auto"/>
            </w:tcBorders>
            <w:vAlign w:val="center"/>
            <w:hideMark/>
          </w:tcPr>
          <w:p w14:paraId="31D5E7CE" w14:textId="77777777" w:rsidR="00D22E8E" w:rsidRPr="00E050AF" w:rsidRDefault="00D22E8E" w:rsidP="00DE3B42">
            <w:pPr>
              <w:pStyle w:val="TableText"/>
              <w:spacing w:line="254" w:lineRule="auto"/>
            </w:pPr>
            <w:r w:rsidRPr="00E050AF">
              <w:t>Cost of IV administration for bevacizumab</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2AA70B" w14:textId="77777777" w:rsidR="00D22E8E" w:rsidRPr="00E050AF" w:rsidRDefault="00D22E8E" w:rsidP="00DE3B42">
            <w:pPr>
              <w:pStyle w:val="TableText"/>
              <w:spacing w:line="254" w:lineRule="auto"/>
              <w:jc w:val="center"/>
            </w:pPr>
            <w:r w:rsidRPr="00E050AF">
              <w:t>$112.40</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D574FB3" w14:textId="77777777" w:rsidR="00D22E8E" w:rsidRPr="00E050AF" w:rsidRDefault="00D22E8E" w:rsidP="00DE3B42">
            <w:pPr>
              <w:pStyle w:val="TableText"/>
              <w:spacing w:line="254" w:lineRule="auto"/>
              <w:jc w:val="both"/>
            </w:pPr>
            <w:r w:rsidRPr="00E050AF">
              <w:t>MBS item 13950</w:t>
            </w:r>
          </w:p>
        </w:tc>
        <w:tc>
          <w:tcPr>
            <w:tcW w:w="3402" w:type="dxa"/>
            <w:tcBorders>
              <w:top w:val="single" w:sz="4" w:space="0" w:color="auto"/>
              <w:left w:val="single" w:sz="4" w:space="0" w:color="auto"/>
              <w:bottom w:val="single" w:sz="4" w:space="0" w:color="auto"/>
              <w:right w:val="single" w:sz="4" w:space="0" w:color="auto"/>
            </w:tcBorders>
            <w:vAlign w:val="center"/>
            <w:hideMark/>
          </w:tcPr>
          <w:p w14:paraId="799965DC" w14:textId="77777777" w:rsidR="00D22E8E" w:rsidRPr="00E050AF" w:rsidRDefault="00D22E8E" w:rsidP="00DE3B42">
            <w:pPr>
              <w:pStyle w:val="TableText"/>
              <w:spacing w:line="254" w:lineRule="auto"/>
              <w:jc w:val="both"/>
              <w:rPr>
                <w:highlight w:val="yellow"/>
              </w:rPr>
            </w:pPr>
            <w:r w:rsidRPr="00E050AF">
              <w:rPr>
                <w:rFonts w:cs="Times New Roman"/>
                <w:szCs w:val="20"/>
              </w:rPr>
              <w:t>Reasonable.</w:t>
            </w:r>
          </w:p>
        </w:tc>
      </w:tr>
    </w:tbl>
    <w:p w14:paraId="5DAACF94" w14:textId="5E0906AF" w:rsidR="00D22E8E" w:rsidRPr="00E050AF" w:rsidRDefault="00D22E8E" w:rsidP="00D22E8E">
      <w:pPr>
        <w:pStyle w:val="TableFooter"/>
      </w:pPr>
      <w:r w:rsidRPr="00E050AF">
        <w:t xml:space="preserve">AOCS = Australian Ovarian Cancer Study, AIHW = Australian Institute of Health and Welfare; </w:t>
      </w:r>
      <w:r w:rsidRPr="00E050AF">
        <w:rPr>
          <w:i/>
          <w:iCs/>
          <w:lang w:eastAsia="ja-JP"/>
        </w:rPr>
        <w:t>BRCA</w:t>
      </w:r>
      <w:r w:rsidRPr="00E050AF">
        <w:t>wt</w:t>
      </w:r>
      <w:r w:rsidRPr="00E050AF">
        <w:rPr>
          <w:lang w:eastAsia="ja-JP"/>
        </w:rPr>
        <w:t xml:space="preserve"> = breast cancer gene wild type; DoT = duration of treatment; </w:t>
      </w:r>
      <w:r w:rsidRPr="00E050AF">
        <w:t xml:space="preserve">DPMA = dispensed price maximum amount; </w:t>
      </w:r>
      <w:r w:rsidRPr="00E050AF">
        <w:rPr>
          <w:lang w:eastAsia="ja-JP"/>
        </w:rPr>
        <w:t xml:space="preserve">HRD = homologous recombination deficiency; </w:t>
      </w:r>
      <w:r w:rsidRPr="00E050AF">
        <w:t>g</w:t>
      </w:r>
      <w:r w:rsidRPr="00E050AF">
        <w:rPr>
          <w:i/>
          <w:iCs/>
        </w:rPr>
        <w:t>BRCA</w:t>
      </w:r>
      <w:r w:rsidRPr="00E050AF">
        <w:t xml:space="preserve"> = germline breast cancer gene; </w:t>
      </w:r>
      <w:bookmarkStart w:id="120" w:name="_Hlk110595409"/>
      <w:r w:rsidRPr="00E050AF">
        <w:t xml:space="preserve">HGEOC = high grade epithelial ovarian cancer; </w:t>
      </w:r>
      <w:bookmarkEnd w:id="120"/>
      <w:r w:rsidRPr="00E050AF">
        <w:t>PSD = public summary document; s</w:t>
      </w:r>
      <w:r w:rsidRPr="00E050AF">
        <w:rPr>
          <w:i/>
          <w:iCs/>
        </w:rPr>
        <w:t>BRCA</w:t>
      </w:r>
      <w:r w:rsidRPr="00E050AF">
        <w:t xml:space="preserve"> = somatic breast cancer gene</w:t>
      </w:r>
    </w:p>
    <w:p w14:paraId="7CEA5AE5" w14:textId="14763699" w:rsidR="00D22E8E" w:rsidRDefault="00D22E8E" w:rsidP="00D22E8E">
      <w:pPr>
        <w:pStyle w:val="TableFooter"/>
      </w:pPr>
      <w:r w:rsidRPr="00E050AF">
        <w:t>Source: Table 4.1, p288 of the submission.</w:t>
      </w:r>
    </w:p>
    <w:p w14:paraId="6515CBC5" w14:textId="77777777" w:rsidR="00826EBB" w:rsidRPr="001D0E42" w:rsidRDefault="00826EBB" w:rsidP="00826EBB">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lang w:eastAsia="en-AU"/>
        </w:rPr>
        <w:t xml:space="preserve">The redacted values correspond to the following ranges: </w:t>
      </w:r>
    </w:p>
    <w:p w14:paraId="1037308B" w14:textId="7D553881" w:rsidR="00826EBB" w:rsidRPr="001D0E42" w:rsidRDefault="00826EBB" w:rsidP="00826EBB">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1</w:t>
      </w:r>
      <w:r w:rsidRPr="001D0E42">
        <w:rPr>
          <w:rFonts w:ascii="Arial Narrow" w:eastAsia="Times New Roman" w:hAnsi="Arial Narrow" w:cs="Arial"/>
          <w:i/>
          <w:sz w:val="18"/>
          <w:szCs w:val="18"/>
          <w:lang w:eastAsia="en-AU"/>
        </w:rPr>
        <w:t xml:space="preserve"> </w:t>
      </w:r>
      <w:r>
        <w:rPr>
          <w:rFonts w:ascii="Arial Narrow" w:eastAsia="Times New Roman" w:hAnsi="Arial Narrow" w:cs="Arial"/>
          <w:i/>
          <w:sz w:val="18"/>
          <w:szCs w:val="18"/>
          <w:lang w:eastAsia="en-AU"/>
        </w:rPr>
        <w:t>&lt; 500</w:t>
      </w:r>
    </w:p>
    <w:p w14:paraId="16195670" w14:textId="77777777" w:rsidR="00826EBB" w:rsidRPr="00E050AF" w:rsidRDefault="00826EBB" w:rsidP="00D22E8E">
      <w:pPr>
        <w:pStyle w:val="TableFooter"/>
        <w:rPr>
          <w:sz w:val="20"/>
        </w:rPr>
      </w:pPr>
    </w:p>
    <w:p w14:paraId="675AD6D8" w14:textId="3CAAA964" w:rsidR="00FD7044" w:rsidRPr="00E050AF" w:rsidRDefault="00FD7044" w:rsidP="00D22E8E">
      <w:pPr>
        <w:pStyle w:val="ListParagraph"/>
        <w:numPr>
          <w:ilvl w:val="4"/>
          <w:numId w:val="8"/>
        </w:numPr>
        <w:rPr>
          <w:color w:val="auto"/>
        </w:rPr>
      </w:pPr>
      <w:r w:rsidRPr="00E050AF">
        <w:rPr>
          <w:color w:val="auto"/>
        </w:rPr>
        <w:t xml:space="preserve">The submission stated that the cost of relevant MBS items was used as in the MBS schedule and included the cost of </w:t>
      </w:r>
      <w:r w:rsidRPr="00E050AF">
        <w:rPr>
          <w:i/>
          <w:iCs/>
          <w:color w:val="auto"/>
        </w:rPr>
        <w:t>BRCA</w:t>
      </w:r>
      <w:r w:rsidRPr="00E050AF">
        <w:rPr>
          <w:color w:val="auto"/>
        </w:rPr>
        <w:t xml:space="preserve"> testing of $1,200. As MSAC ha</w:t>
      </w:r>
      <w:r w:rsidR="00991D2B" w:rsidRPr="00E050AF">
        <w:rPr>
          <w:color w:val="auto"/>
        </w:rPr>
        <w:t>s</w:t>
      </w:r>
      <w:r w:rsidRPr="00E050AF">
        <w:rPr>
          <w:color w:val="auto"/>
        </w:rPr>
        <w:t xml:space="preserve"> previously stated that the cost of </w:t>
      </w:r>
      <w:r w:rsidRPr="00E050AF">
        <w:rPr>
          <w:i/>
          <w:iCs/>
          <w:color w:val="auto"/>
        </w:rPr>
        <w:t>BRCA</w:t>
      </w:r>
      <w:r w:rsidRPr="00E050AF">
        <w:rPr>
          <w:color w:val="auto"/>
        </w:rPr>
        <w:t xml:space="preserve"> testing should be reduced to $1,000, financial estimates assuming an MBS fee of $1,000 for </w:t>
      </w:r>
      <w:r w:rsidRPr="00E050AF">
        <w:rPr>
          <w:i/>
          <w:iCs/>
          <w:color w:val="auto"/>
        </w:rPr>
        <w:t>BRCA</w:t>
      </w:r>
      <w:r w:rsidRPr="00E050AF">
        <w:rPr>
          <w:color w:val="auto"/>
        </w:rPr>
        <w:t xml:space="preserve"> testing was included during the evaluation. The commentary noted that both the proposed HRD test (MBS fee $2,500) and </w:t>
      </w:r>
      <w:r w:rsidRPr="00E050AF">
        <w:rPr>
          <w:i/>
          <w:iCs/>
          <w:color w:val="auto"/>
        </w:rPr>
        <w:t>BRCA</w:t>
      </w:r>
      <w:r w:rsidRPr="00E050AF">
        <w:rPr>
          <w:color w:val="auto"/>
        </w:rPr>
        <w:t xml:space="preserve"> test (MBS fee $1,200/$1,000) exceed the threshold for the greatest permissible gap (GPG) as of 1 November 2021, meaning that the fee rebated will be MBS item fee minus $87.90. The financial estimates have been updated to reflect the GPG rebate.</w:t>
      </w:r>
    </w:p>
    <w:p w14:paraId="45AE063E" w14:textId="46842439" w:rsidR="00D22E8E" w:rsidRPr="00E050AF" w:rsidRDefault="00D22E8E" w:rsidP="00D22E8E">
      <w:pPr>
        <w:pStyle w:val="ListParagraph"/>
        <w:numPr>
          <w:ilvl w:val="4"/>
          <w:numId w:val="8"/>
        </w:numPr>
        <w:rPr>
          <w:color w:val="auto"/>
        </w:rPr>
      </w:pPr>
      <w:bookmarkStart w:id="121" w:name="_Ref109074369"/>
      <w:r w:rsidRPr="00E050AF">
        <w:t xml:space="preserve">The estimated use and financial implications for listing olaparib plus bevacizumab on the PBS for the treatment of patients with HRD positive </w:t>
      </w:r>
      <w:r w:rsidRPr="00E050AF">
        <w:rPr>
          <w:i/>
          <w:iCs/>
        </w:rPr>
        <w:t>BRCA</w:t>
      </w:r>
      <w:r w:rsidRPr="00E050AF">
        <w:t>wt HGEOC are summarised in the table below.</w:t>
      </w:r>
      <w:r w:rsidR="00765050" w:rsidRPr="00E050AF">
        <w:t xml:space="preserve"> The estimates were recalculated during the evaluation, applying mean (rather than median) treatment durations for olaparib and bevacizumab.</w:t>
      </w:r>
      <w:bookmarkEnd w:id="121"/>
    </w:p>
    <w:p w14:paraId="40324686" w14:textId="269F3538" w:rsidR="00D22E8E" w:rsidRPr="00E050AF" w:rsidRDefault="00CB7CCD" w:rsidP="00CB7CCD">
      <w:pPr>
        <w:pStyle w:val="TableHeading0"/>
      </w:pPr>
      <w:r w:rsidRPr="00E050AF">
        <w:rPr>
          <w:rStyle w:val="CommentReference"/>
          <w:b/>
          <w:szCs w:val="20"/>
        </w:rPr>
        <w:t xml:space="preserve">Table </w:t>
      </w:r>
      <w:r w:rsidRPr="00E050AF">
        <w:rPr>
          <w:rStyle w:val="CommentReference"/>
          <w:b/>
          <w:szCs w:val="20"/>
        </w:rPr>
        <w:fldChar w:fldCharType="begin"/>
      </w:r>
      <w:r w:rsidRPr="00E050AF">
        <w:rPr>
          <w:rStyle w:val="CommentReference"/>
          <w:b/>
          <w:szCs w:val="20"/>
        </w:rPr>
        <w:instrText xml:space="preserve"> SEQ Table \* ARABIC </w:instrText>
      </w:r>
      <w:r w:rsidRPr="00E050AF">
        <w:rPr>
          <w:rStyle w:val="CommentReference"/>
          <w:b/>
          <w:szCs w:val="20"/>
        </w:rPr>
        <w:fldChar w:fldCharType="separate"/>
      </w:r>
      <w:r w:rsidR="00E050AF" w:rsidRPr="00E050AF">
        <w:rPr>
          <w:rStyle w:val="CommentReference"/>
          <w:b/>
          <w:szCs w:val="20"/>
        </w:rPr>
        <w:t>23</w:t>
      </w:r>
      <w:r w:rsidRPr="00E050AF">
        <w:rPr>
          <w:rStyle w:val="CommentReference"/>
          <w:b/>
          <w:szCs w:val="20"/>
        </w:rPr>
        <w:fldChar w:fldCharType="end"/>
      </w:r>
      <w:r w:rsidR="00D22E8E" w:rsidRPr="00E050AF">
        <w:tab/>
        <w:t xml:space="preserve">Estimated number patients accessing HRD testing and with HRD positive </w:t>
      </w:r>
      <w:r w:rsidR="00D22E8E" w:rsidRPr="00E050AF">
        <w:rPr>
          <w:i/>
        </w:rPr>
        <w:t>BRCA</w:t>
      </w:r>
      <w:r w:rsidR="00D22E8E" w:rsidRPr="00E050AF">
        <w:t>wt status over six years (using mean number of doses in PAOLA-1</w:t>
      </w:r>
      <w:r w:rsidR="00DD754E" w:rsidRPr="00E050AF">
        <w:t xml:space="preserve"> for treatment durations of olaparib and bevacizumab</w:t>
      </w:r>
      <w:r w:rsidR="00D22E8E" w:rsidRPr="00E050AF">
        <w:t>)</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23 Estimated number patients accessing HRD testing and with HRD positive BRCAwt status over six years (using mean number of doses in PAOLA-1 for treatment durations of olaparib and bevacizumab)"/>
      </w:tblPr>
      <w:tblGrid>
        <w:gridCol w:w="2021"/>
        <w:gridCol w:w="1165"/>
        <w:gridCol w:w="1165"/>
        <w:gridCol w:w="1165"/>
        <w:gridCol w:w="1165"/>
        <w:gridCol w:w="1165"/>
        <w:gridCol w:w="1170"/>
      </w:tblGrid>
      <w:tr w:rsidR="00D22E8E" w:rsidRPr="00E050AF" w14:paraId="1F2E34DC" w14:textId="77777777" w:rsidTr="005F71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shd w:val="clear" w:color="auto" w:fill="auto"/>
            <w:vAlign w:val="center"/>
          </w:tcPr>
          <w:p w14:paraId="63C85FE3" w14:textId="77777777" w:rsidR="00D22E8E" w:rsidRPr="00E050AF" w:rsidRDefault="00D22E8E" w:rsidP="00DE3B42">
            <w:pPr>
              <w:pStyle w:val="TableText"/>
              <w:jc w:val="center"/>
              <w:rPr>
                <w:lang w:val="en-AU"/>
              </w:rPr>
            </w:pP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13862C" w14:textId="77777777" w:rsidR="00D22E8E" w:rsidRPr="00E050AF" w:rsidRDefault="00D22E8E" w:rsidP="00DE3B42">
            <w:pPr>
              <w:pStyle w:val="TableText"/>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2023</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0EFF62" w14:textId="77777777" w:rsidR="00D22E8E" w:rsidRPr="00E050AF" w:rsidRDefault="00D22E8E" w:rsidP="00DE3B42">
            <w:pPr>
              <w:pStyle w:val="TableText"/>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2024</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680B52" w14:textId="77777777" w:rsidR="00D22E8E" w:rsidRPr="00E050AF" w:rsidRDefault="00D22E8E" w:rsidP="00DE3B42">
            <w:pPr>
              <w:pStyle w:val="TableText"/>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2025</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8735E3" w14:textId="77777777" w:rsidR="00D22E8E" w:rsidRPr="00E050AF" w:rsidRDefault="00D22E8E" w:rsidP="00DE3B42">
            <w:pPr>
              <w:pStyle w:val="TableText"/>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2026</w:t>
            </w:r>
          </w:p>
        </w:tc>
        <w:tc>
          <w:tcPr>
            <w:tcW w:w="6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2B0AEC" w14:textId="77777777" w:rsidR="00D22E8E" w:rsidRPr="00E050AF" w:rsidRDefault="00D22E8E" w:rsidP="00DE3B42">
            <w:pPr>
              <w:pStyle w:val="TableText"/>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2027</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4EE82F" w14:textId="77777777" w:rsidR="00D22E8E" w:rsidRPr="00E050AF" w:rsidRDefault="00D22E8E" w:rsidP="00DE3B42">
            <w:pPr>
              <w:pStyle w:val="TableText"/>
              <w:jc w:val="center"/>
              <w:cnfStyle w:val="100000000000" w:firstRow="1" w:lastRow="0" w:firstColumn="0" w:lastColumn="0" w:oddVBand="0" w:evenVBand="0" w:oddHBand="0" w:evenHBand="0" w:firstRowFirstColumn="0" w:firstRowLastColumn="0" w:lastRowFirstColumn="0" w:lastRowLastColumn="0"/>
              <w:rPr>
                <w:lang w:val="en-AU"/>
              </w:rPr>
            </w:pPr>
            <w:r w:rsidRPr="00E050AF">
              <w:rPr>
                <w:lang w:val="en-AU"/>
              </w:rPr>
              <w:t>2028</w:t>
            </w:r>
          </w:p>
        </w:tc>
      </w:tr>
      <w:tr w:rsidR="00D22E8E" w:rsidRPr="00E050AF" w14:paraId="25FC6B03" w14:textId="77777777" w:rsidTr="00DE3B42">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4AAE90F9" w14:textId="77777777" w:rsidR="00D22E8E" w:rsidRPr="00E050AF" w:rsidRDefault="00D22E8E" w:rsidP="00DE3B42">
            <w:pPr>
              <w:pStyle w:val="TableBodyHeading-H54"/>
              <w:rPr>
                <w:bCs w:val="0"/>
                <w:lang w:val="en-AU"/>
              </w:rPr>
            </w:pPr>
            <w:r w:rsidRPr="00E050AF">
              <w:rPr>
                <w:bCs w:val="0"/>
                <w:lang w:val="en-AU"/>
              </w:rPr>
              <w:t>Estimated financial implications of olaparib + bevacizumab to PBS</w:t>
            </w:r>
          </w:p>
        </w:tc>
      </w:tr>
      <w:tr w:rsidR="00D22E8E" w:rsidRPr="00E050AF" w14:paraId="03F58340"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5FA221A9" w14:textId="77777777" w:rsidR="00D22E8E" w:rsidRPr="00E050AF" w:rsidRDefault="00D22E8E" w:rsidP="00DE3B42">
            <w:pPr>
              <w:pStyle w:val="TableText"/>
              <w:rPr>
                <w:lang w:val="en-AU"/>
              </w:rPr>
            </w:pPr>
            <w:r w:rsidRPr="00E050AF">
              <w:rPr>
                <w:lang w:val="en-AU"/>
              </w:rPr>
              <w:t>Incidence ovarian cancer</w:t>
            </w:r>
          </w:p>
        </w:tc>
        <w:tc>
          <w:tcPr>
            <w:tcW w:w="646" w:type="pct"/>
            <w:tcBorders>
              <w:top w:val="single" w:sz="4" w:space="0" w:color="auto"/>
              <w:left w:val="single" w:sz="4" w:space="0" w:color="auto"/>
              <w:bottom w:val="single" w:sz="4" w:space="0" w:color="auto"/>
              <w:right w:val="single" w:sz="4" w:space="0" w:color="auto"/>
            </w:tcBorders>
            <w:vAlign w:val="center"/>
            <w:hideMark/>
          </w:tcPr>
          <w:p w14:paraId="69F24CD9" w14:textId="77777777"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lang w:val="en-AU"/>
              </w:rPr>
              <w:t>1,733</w:t>
            </w:r>
          </w:p>
        </w:tc>
        <w:tc>
          <w:tcPr>
            <w:tcW w:w="646" w:type="pct"/>
            <w:tcBorders>
              <w:top w:val="single" w:sz="4" w:space="0" w:color="auto"/>
              <w:left w:val="single" w:sz="4" w:space="0" w:color="auto"/>
              <w:bottom w:val="single" w:sz="4" w:space="0" w:color="auto"/>
              <w:right w:val="single" w:sz="4" w:space="0" w:color="auto"/>
            </w:tcBorders>
            <w:vAlign w:val="center"/>
            <w:hideMark/>
          </w:tcPr>
          <w:p w14:paraId="0F7B15B9" w14:textId="77777777"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lang w:val="en-AU"/>
              </w:rPr>
              <w:t>1,765</w:t>
            </w:r>
          </w:p>
        </w:tc>
        <w:tc>
          <w:tcPr>
            <w:tcW w:w="646" w:type="pct"/>
            <w:tcBorders>
              <w:top w:val="single" w:sz="4" w:space="0" w:color="auto"/>
              <w:left w:val="single" w:sz="4" w:space="0" w:color="auto"/>
              <w:bottom w:val="single" w:sz="4" w:space="0" w:color="auto"/>
              <w:right w:val="single" w:sz="4" w:space="0" w:color="auto"/>
            </w:tcBorders>
            <w:vAlign w:val="center"/>
            <w:hideMark/>
          </w:tcPr>
          <w:p w14:paraId="7FFD1B77" w14:textId="77777777"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lang w:val="en-AU"/>
              </w:rPr>
              <w:t>1,798</w:t>
            </w:r>
          </w:p>
        </w:tc>
        <w:tc>
          <w:tcPr>
            <w:tcW w:w="646" w:type="pct"/>
            <w:tcBorders>
              <w:top w:val="single" w:sz="4" w:space="0" w:color="auto"/>
              <w:left w:val="single" w:sz="4" w:space="0" w:color="auto"/>
              <w:bottom w:val="single" w:sz="4" w:space="0" w:color="auto"/>
              <w:right w:val="single" w:sz="4" w:space="0" w:color="auto"/>
            </w:tcBorders>
            <w:vAlign w:val="center"/>
            <w:hideMark/>
          </w:tcPr>
          <w:p w14:paraId="2C13AC74" w14:textId="77777777"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lang w:val="en-AU"/>
              </w:rPr>
              <w:t>1,831</w:t>
            </w:r>
          </w:p>
        </w:tc>
        <w:tc>
          <w:tcPr>
            <w:tcW w:w="646" w:type="pct"/>
            <w:tcBorders>
              <w:top w:val="single" w:sz="4" w:space="0" w:color="auto"/>
              <w:left w:val="single" w:sz="4" w:space="0" w:color="auto"/>
              <w:bottom w:val="single" w:sz="4" w:space="0" w:color="auto"/>
              <w:right w:val="single" w:sz="4" w:space="0" w:color="auto"/>
            </w:tcBorders>
            <w:vAlign w:val="center"/>
            <w:hideMark/>
          </w:tcPr>
          <w:p w14:paraId="09CB9A50" w14:textId="77777777"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lang w:val="en-AU"/>
              </w:rPr>
              <w:t>1,865</w:t>
            </w:r>
          </w:p>
        </w:tc>
        <w:tc>
          <w:tcPr>
            <w:tcW w:w="649" w:type="pct"/>
            <w:tcBorders>
              <w:top w:val="single" w:sz="4" w:space="0" w:color="auto"/>
              <w:left w:val="single" w:sz="4" w:space="0" w:color="auto"/>
              <w:bottom w:val="single" w:sz="4" w:space="0" w:color="auto"/>
              <w:right w:val="single" w:sz="4" w:space="0" w:color="auto"/>
            </w:tcBorders>
            <w:vAlign w:val="center"/>
            <w:hideMark/>
          </w:tcPr>
          <w:p w14:paraId="62EB9D11" w14:textId="77777777"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lang w:val="en-AU"/>
              </w:rPr>
              <w:t>1,900</w:t>
            </w:r>
          </w:p>
        </w:tc>
      </w:tr>
      <w:tr w:rsidR="00D22E8E" w:rsidRPr="00E050AF" w14:paraId="0FD59643"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7CB8DB34" w14:textId="10B43986" w:rsidR="00D22E8E" w:rsidRPr="00E050AF" w:rsidRDefault="00D22E8E" w:rsidP="00DE3B42">
            <w:pPr>
              <w:pStyle w:val="TableText"/>
              <w:rPr>
                <w:lang w:val="en-AU"/>
              </w:rPr>
            </w:pPr>
            <w:r w:rsidRPr="00E050AF">
              <w:rPr>
                <w:lang w:val="en-AU"/>
              </w:rPr>
              <w:t>Proportion tested positive for HRD+</w:t>
            </w:r>
            <w:r w:rsidRPr="00E050AF">
              <w:rPr>
                <w:i/>
                <w:lang w:val="en-AU"/>
              </w:rPr>
              <w:t>BRCA</w:t>
            </w:r>
            <w:r w:rsidRPr="00E050AF">
              <w:rPr>
                <w:lang w:val="en-AU"/>
              </w:rPr>
              <w:t>wt</w:t>
            </w:r>
            <w:r w:rsidR="00FD7044" w:rsidRPr="00E050AF">
              <w:rPr>
                <w:vertAlign w:val="superscript"/>
                <w:lang w:val="en-AU"/>
              </w:rPr>
              <w:t>a</w:t>
            </w:r>
          </w:p>
        </w:tc>
        <w:tc>
          <w:tcPr>
            <w:tcW w:w="646" w:type="pct"/>
            <w:tcBorders>
              <w:top w:val="single" w:sz="4" w:space="0" w:color="auto"/>
              <w:left w:val="single" w:sz="4" w:space="0" w:color="auto"/>
              <w:bottom w:val="single" w:sz="4" w:space="0" w:color="auto"/>
              <w:right w:val="single" w:sz="4" w:space="0" w:color="auto"/>
            </w:tcBorders>
            <w:vAlign w:val="center"/>
            <w:hideMark/>
          </w:tcPr>
          <w:p w14:paraId="5ABE597E" w14:textId="697164C0" w:rsidR="00D22E8E" w:rsidRPr="007A6ABC"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90"/>
                <w:lang w:val="en-AU"/>
                <w14:textFill>
                  <w14:solidFill>
                    <w14:srgbClr w14:val="000000">
                      <w14:alpha w14:val="100000"/>
                    </w14:srgbClr>
                  </w14:solidFill>
                </w14:textFill>
              </w:rPr>
              <w:t xml:space="preserve">　</w:t>
            </w:r>
            <w:r w:rsidRPr="00602B47">
              <w:rPr>
                <w:color w:val="000000"/>
                <w:w w:val="22"/>
                <w:shd w:val="solid" w:color="000000" w:fill="000000"/>
                <w:fitText w:val="100" w:id="-1435752190"/>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90"/>
                <w:lang w:val="en-AU"/>
                <w14:textFill>
                  <w14:solidFill>
                    <w14:srgbClr w14:val="000000">
                      <w14:alpha w14:val="100000"/>
                    </w14:srgbClr>
                  </w14:solidFill>
                </w14:textFill>
              </w:rPr>
              <w:t xml:space="preserve">　</w:t>
            </w:r>
            <w:r w:rsidR="007A6ABC" w:rsidRPr="007A6ABC">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537C1D80" w14:textId="44326442" w:rsidR="00D22E8E" w:rsidRPr="007A6ABC"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9"/>
                <w:lang w:val="en-AU"/>
                <w14:textFill>
                  <w14:solidFill>
                    <w14:srgbClr w14:val="000000">
                      <w14:alpha w14:val="100000"/>
                    </w14:srgbClr>
                  </w14:solidFill>
                </w14:textFill>
              </w:rPr>
              <w:t xml:space="preserve">　</w:t>
            </w:r>
            <w:r w:rsidRPr="00602B47">
              <w:rPr>
                <w:color w:val="000000"/>
                <w:w w:val="22"/>
                <w:shd w:val="solid" w:color="000000" w:fill="000000"/>
                <w:fitText w:val="100" w:id="-1435752189"/>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9"/>
                <w:lang w:val="en-AU"/>
                <w14:textFill>
                  <w14:solidFill>
                    <w14:srgbClr w14:val="000000">
                      <w14:alpha w14:val="100000"/>
                    </w14:srgbClr>
                  </w14:solidFill>
                </w14:textFill>
              </w:rPr>
              <w:t xml:space="preserve">　</w:t>
            </w:r>
            <w:r w:rsidR="007A6ABC" w:rsidRPr="007A6ABC">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5B849276" w14:textId="46400501" w:rsidR="00D22E8E" w:rsidRPr="007A6ABC"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8"/>
                <w:lang w:val="en-AU"/>
                <w14:textFill>
                  <w14:solidFill>
                    <w14:srgbClr w14:val="000000">
                      <w14:alpha w14:val="100000"/>
                    </w14:srgbClr>
                  </w14:solidFill>
                </w14:textFill>
              </w:rPr>
              <w:t xml:space="preserve">　</w:t>
            </w:r>
            <w:r w:rsidRPr="00602B47">
              <w:rPr>
                <w:color w:val="000000"/>
                <w:w w:val="22"/>
                <w:shd w:val="solid" w:color="000000" w:fill="000000"/>
                <w:fitText w:val="100" w:id="-1435752188"/>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8"/>
                <w:lang w:val="en-AU"/>
                <w14:textFill>
                  <w14:solidFill>
                    <w14:srgbClr w14:val="000000">
                      <w14:alpha w14:val="100000"/>
                    </w14:srgbClr>
                  </w14:solidFill>
                </w14:textFill>
              </w:rPr>
              <w:t xml:space="preserve">　</w:t>
            </w:r>
            <w:r w:rsidR="007A6ABC" w:rsidRPr="007A6ABC">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07F3A657" w14:textId="47CC09CE" w:rsidR="00D22E8E" w:rsidRPr="007A6ABC"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7"/>
                <w:lang w:val="en-AU"/>
                <w14:textFill>
                  <w14:solidFill>
                    <w14:srgbClr w14:val="000000">
                      <w14:alpha w14:val="100000"/>
                    </w14:srgbClr>
                  </w14:solidFill>
                </w14:textFill>
              </w:rPr>
              <w:t xml:space="preserve">　</w:t>
            </w:r>
            <w:r w:rsidRPr="00602B47">
              <w:rPr>
                <w:color w:val="000000"/>
                <w:w w:val="22"/>
                <w:shd w:val="solid" w:color="000000" w:fill="000000"/>
                <w:fitText w:val="100" w:id="-1435752187"/>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7"/>
                <w:lang w:val="en-AU"/>
                <w14:textFill>
                  <w14:solidFill>
                    <w14:srgbClr w14:val="000000">
                      <w14:alpha w14:val="100000"/>
                    </w14:srgbClr>
                  </w14:solidFill>
                </w14:textFill>
              </w:rPr>
              <w:t xml:space="preserve">　</w:t>
            </w:r>
            <w:r w:rsidR="007A6ABC" w:rsidRPr="007A6ABC">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2941198B" w14:textId="27503971" w:rsidR="00D22E8E" w:rsidRPr="007A6ABC"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6"/>
                <w:lang w:val="en-AU"/>
                <w14:textFill>
                  <w14:solidFill>
                    <w14:srgbClr w14:val="000000">
                      <w14:alpha w14:val="100000"/>
                    </w14:srgbClr>
                  </w14:solidFill>
                </w14:textFill>
              </w:rPr>
              <w:t xml:space="preserve">　</w:t>
            </w:r>
            <w:r w:rsidRPr="00602B47">
              <w:rPr>
                <w:color w:val="000000"/>
                <w:w w:val="22"/>
                <w:shd w:val="solid" w:color="000000" w:fill="000000"/>
                <w:fitText w:val="100" w:id="-1435752186"/>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6"/>
                <w:lang w:val="en-AU"/>
                <w14:textFill>
                  <w14:solidFill>
                    <w14:srgbClr w14:val="000000">
                      <w14:alpha w14:val="100000"/>
                    </w14:srgbClr>
                  </w14:solidFill>
                </w14:textFill>
              </w:rPr>
              <w:t xml:space="preserve">　</w:t>
            </w:r>
            <w:r w:rsidR="007A6ABC" w:rsidRPr="007A6ABC">
              <w:rPr>
                <w:color w:val="000000"/>
                <w:vertAlign w:val="superscript"/>
                <w:lang w:val="en-AU"/>
              </w:rPr>
              <w:t>1</w:t>
            </w:r>
          </w:p>
        </w:tc>
        <w:tc>
          <w:tcPr>
            <w:tcW w:w="649" w:type="pct"/>
            <w:tcBorders>
              <w:top w:val="single" w:sz="4" w:space="0" w:color="auto"/>
              <w:left w:val="single" w:sz="4" w:space="0" w:color="auto"/>
              <w:bottom w:val="single" w:sz="4" w:space="0" w:color="auto"/>
              <w:right w:val="single" w:sz="4" w:space="0" w:color="auto"/>
            </w:tcBorders>
            <w:vAlign w:val="center"/>
            <w:hideMark/>
          </w:tcPr>
          <w:p w14:paraId="417DBD57" w14:textId="73DF633C" w:rsidR="00D22E8E" w:rsidRPr="007A6ABC"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5"/>
                <w:lang w:val="en-AU"/>
                <w14:textFill>
                  <w14:solidFill>
                    <w14:srgbClr w14:val="000000">
                      <w14:alpha w14:val="100000"/>
                    </w14:srgbClr>
                  </w14:solidFill>
                </w14:textFill>
              </w:rPr>
              <w:t xml:space="preserve">　</w:t>
            </w:r>
            <w:r w:rsidRPr="00602B47">
              <w:rPr>
                <w:color w:val="000000"/>
                <w:w w:val="22"/>
                <w:shd w:val="solid" w:color="000000" w:fill="000000"/>
                <w:fitText w:val="100" w:id="-1435752185"/>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5"/>
                <w:lang w:val="en-AU"/>
                <w14:textFill>
                  <w14:solidFill>
                    <w14:srgbClr w14:val="000000">
                      <w14:alpha w14:val="100000"/>
                    </w14:srgbClr>
                  </w14:solidFill>
                </w14:textFill>
              </w:rPr>
              <w:t xml:space="preserve">　</w:t>
            </w:r>
            <w:r w:rsidR="007A6ABC" w:rsidRPr="007A6ABC">
              <w:rPr>
                <w:color w:val="000000"/>
                <w:vertAlign w:val="superscript"/>
                <w:lang w:val="en-AU"/>
              </w:rPr>
              <w:t>1</w:t>
            </w:r>
          </w:p>
        </w:tc>
      </w:tr>
      <w:tr w:rsidR="00D22E8E" w:rsidRPr="00E050AF" w14:paraId="2B03DFA3"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0FF25226" w14:textId="77777777" w:rsidR="00D22E8E" w:rsidRPr="00E050AF" w:rsidRDefault="00D22E8E" w:rsidP="00DE3B42">
            <w:pPr>
              <w:pStyle w:val="TableText"/>
              <w:rPr>
                <w:lang w:val="en-AU"/>
              </w:rPr>
            </w:pPr>
            <w:r w:rsidRPr="00E050AF">
              <w:rPr>
                <w:lang w:val="en-AU"/>
              </w:rPr>
              <w:t>Patients treated with olaparib + bevacizumab</w:t>
            </w:r>
          </w:p>
        </w:tc>
        <w:tc>
          <w:tcPr>
            <w:tcW w:w="646" w:type="pct"/>
            <w:tcBorders>
              <w:top w:val="single" w:sz="4" w:space="0" w:color="auto"/>
              <w:left w:val="single" w:sz="4" w:space="0" w:color="auto"/>
              <w:bottom w:val="single" w:sz="4" w:space="0" w:color="auto"/>
              <w:right w:val="single" w:sz="4" w:space="0" w:color="auto"/>
            </w:tcBorders>
            <w:vAlign w:val="center"/>
            <w:hideMark/>
          </w:tcPr>
          <w:p w14:paraId="5E462C0F" w14:textId="0D666428" w:rsidR="00D22E8E" w:rsidRPr="00EB6504"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4"/>
                <w:lang w:val="en-AU"/>
                <w14:textFill>
                  <w14:solidFill>
                    <w14:srgbClr w14:val="000000">
                      <w14:alpha w14:val="100000"/>
                    </w14:srgbClr>
                  </w14:solidFill>
                </w14:textFill>
              </w:rPr>
              <w:t xml:space="preserve">　</w:t>
            </w:r>
            <w:r w:rsidRPr="00602B47">
              <w:rPr>
                <w:color w:val="000000"/>
                <w:w w:val="22"/>
                <w:shd w:val="solid" w:color="000000" w:fill="000000"/>
                <w:fitText w:val="100" w:id="-1435752184"/>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4"/>
                <w:lang w:val="en-AU"/>
                <w14:textFill>
                  <w14:solidFill>
                    <w14:srgbClr w14:val="000000">
                      <w14:alpha w14:val="100000"/>
                    </w14:srgbClr>
                  </w14:solidFill>
                </w14:textFill>
              </w:rPr>
              <w:t xml:space="preserve">　</w:t>
            </w:r>
            <w:r w:rsidR="00EB6504" w:rsidRPr="007A6ABC">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45151464" w14:textId="7273A7B2" w:rsidR="00D22E8E" w:rsidRPr="00EB6504"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3"/>
                <w:lang w:val="en-AU"/>
                <w14:textFill>
                  <w14:solidFill>
                    <w14:srgbClr w14:val="000000">
                      <w14:alpha w14:val="100000"/>
                    </w14:srgbClr>
                  </w14:solidFill>
                </w14:textFill>
              </w:rPr>
              <w:t xml:space="preserve">　</w:t>
            </w:r>
            <w:r w:rsidRPr="00602B47">
              <w:rPr>
                <w:color w:val="000000"/>
                <w:w w:val="22"/>
                <w:shd w:val="solid" w:color="000000" w:fill="000000"/>
                <w:fitText w:val="100" w:id="-1435752183"/>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3"/>
                <w:lang w:val="en-AU"/>
                <w14:textFill>
                  <w14:solidFill>
                    <w14:srgbClr w14:val="000000">
                      <w14:alpha w14:val="100000"/>
                    </w14:srgbClr>
                  </w14:solidFill>
                </w14:textFill>
              </w:rPr>
              <w:t xml:space="preserve">　</w:t>
            </w:r>
            <w:r w:rsidR="00EB6504">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54BC0B1B" w14:textId="4BE446C5" w:rsidR="00D22E8E" w:rsidRPr="00EB6504"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2"/>
                <w:lang w:val="en-AU"/>
                <w14:textFill>
                  <w14:solidFill>
                    <w14:srgbClr w14:val="000000">
                      <w14:alpha w14:val="100000"/>
                    </w14:srgbClr>
                  </w14:solidFill>
                </w14:textFill>
              </w:rPr>
              <w:t xml:space="preserve">　</w:t>
            </w:r>
            <w:r w:rsidRPr="00602B47">
              <w:rPr>
                <w:color w:val="000000"/>
                <w:w w:val="22"/>
                <w:shd w:val="solid" w:color="000000" w:fill="000000"/>
                <w:fitText w:val="100" w:id="-1435752182"/>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2"/>
                <w:lang w:val="en-AU"/>
                <w14:textFill>
                  <w14:solidFill>
                    <w14:srgbClr w14:val="000000">
                      <w14:alpha w14:val="100000"/>
                    </w14:srgbClr>
                  </w14:solidFill>
                </w14:textFill>
              </w:rPr>
              <w:t xml:space="preserve">　</w:t>
            </w:r>
            <w:r w:rsidR="00EB6504">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4D02EF49" w14:textId="220D647A" w:rsidR="00D22E8E" w:rsidRPr="00EB6504"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1"/>
                <w:lang w:val="en-AU"/>
                <w14:textFill>
                  <w14:solidFill>
                    <w14:srgbClr w14:val="000000">
                      <w14:alpha w14:val="100000"/>
                    </w14:srgbClr>
                  </w14:solidFill>
                </w14:textFill>
              </w:rPr>
              <w:t xml:space="preserve">　</w:t>
            </w:r>
            <w:r w:rsidRPr="00602B47">
              <w:rPr>
                <w:color w:val="000000"/>
                <w:w w:val="22"/>
                <w:shd w:val="solid" w:color="000000" w:fill="000000"/>
                <w:fitText w:val="100" w:id="-1435752181"/>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1"/>
                <w:lang w:val="en-AU"/>
                <w14:textFill>
                  <w14:solidFill>
                    <w14:srgbClr w14:val="000000">
                      <w14:alpha w14:val="100000"/>
                    </w14:srgbClr>
                  </w14:solidFill>
                </w14:textFill>
              </w:rPr>
              <w:t xml:space="preserve">　</w:t>
            </w:r>
            <w:r w:rsidR="00EB6504">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04A2B39E" w14:textId="69EE35CF" w:rsidR="00D22E8E" w:rsidRPr="00EB6504"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80"/>
                <w:lang w:val="en-AU"/>
                <w14:textFill>
                  <w14:solidFill>
                    <w14:srgbClr w14:val="000000">
                      <w14:alpha w14:val="100000"/>
                    </w14:srgbClr>
                  </w14:solidFill>
                </w14:textFill>
              </w:rPr>
              <w:t xml:space="preserve">　</w:t>
            </w:r>
            <w:r w:rsidRPr="00602B47">
              <w:rPr>
                <w:color w:val="000000"/>
                <w:w w:val="22"/>
                <w:shd w:val="solid" w:color="000000" w:fill="000000"/>
                <w:fitText w:val="100" w:id="-1435752180"/>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0"/>
                <w:lang w:val="en-AU"/>
                <w14:textFill>
                  <w14:solidFill>
                    <w14:srgbClr w14:val="000000">
                      <w14:alpha w14:val="100000"/>
                    </w14:srgbClr>
                  </w14:solidFill>
                </w14:textFill>
              </w:rPr>
              <w:t xml:space="preserve">　</w:t>
            </w:r>
            <w:r w:rsidR="00EB6504">
              <w:rPr>
                <w:color w:val="000000"/>
                <w:vertAlign w:val="superscript"/>
                <w:lang w:val="en-AU"/>
              </w:rPr>
              <w:t>1</w:t>
            </w:r>
          </w:p>
        </w:tc>
        <w:tc>
          <w:tcPr>
            <w:tcW w:w="649" w:type="pct"/>
            <w:tcBorders>
              <w:top w:val="single" w:sz="4" w:space="0" w:color="auto"/>
              <w:left w:val="single" w:sz="4" w:space="0" w:color="auto"/>
              <w:bottom w:val="single" w:sz="4" w:space="0" w:color="auto"/>
              <w:right w:val="single" w:sz="4" w:space="0" w:color="auto"/>
            </w:tcBorders>
            <w:vAlign w:val="center"/>
            <w:hideMark/>
          </w:tcPr>
          <w:p w14:paraId="70D15DAE" w14:textId="2D8D1181" w:rsidR="00D22E8E" w:rsidRPr="00EB6504"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2179"/>
                <w:lang w:val="en-AU"/>
                <w14:textFill>
                  <w14:solidFill>
                    <w14:srgbClr w14:val="000000">
                      <w14:alpha w14:val="100000"/>
                    </w14:srgbClr>
                  </w14:solidFill>
                </w14:textFill>
              </w:rPr>
              <w:t xml:space="preserve">　</w:t>
            </w:r>
            <w:r w:rsidRPr="00602B47">
              <w:rPr>
                <w:color w:val="000000"/>
                <w:w w:val="22"/>
                <w:shd w:val="solid" w:color="000000" w:fill="000000"/>
                <w:fitText w:val="100" w:id="-1435752179"/>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79"/>
                <w:lang w:val="en-AU"/>
                <w14:textFill>
                  <w14:solidFill>
                    <w14:srgbClr w14:val="000000">
                      <w14:alpha w14:val="100000"/>
                    </w14:srgbClr>
                  </w14:solidFill>
                </w14:textFill>
              </w:rPr>
              <w:t xml:space="preserve">　</w:t>
            </w:r>
            <w:r w:rsidR="00EB6504">
              <w:rPr>
                <w:color w:val="000000"/>
                <w:vertAlign w:val="superscript"/>
                <w:lang w:val="en-AU"/>
              </w:rPr>
              <w:t>1</w:t>
            </w:r>
          </w:p>
        </w:tc>
      </w:tr>
      <w:tr w:rsidR="00D22E8E" w:rsidRPr="00E050AF" w14:paraId="5AA49522"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4EA73AC5" w14:textId="77777777" w:rsidR="00D22E8E" w:rsidRPr="00E050AF" w:rsidRDefault="00D22E8E" w:rsidP="00DE3B42">
            <w:pPr>
              <w:pStyle w:val="TableText"/>
              <w:rPr>
                <w:lang w:val="en-AU"/>
              </w:rPr>
            </w:pPr>
            <w:r w:rsidRPr="00E050AF">
              <w:rPr>
                <w:lang w:val="en-AU"/>
              </w:rPr>
              <w:t>Grandfathered patients treated with olaparib + bevacizumab</w:t>
            </w:r>
          </w:p>
        </w:tc>
        <w:tc>
          <w:tcPr>
            <w:tcW w:w="646" w:type="pct"/>
            <w:tcBorders>
              <w:top w:val="single" w:sz="4" w:space="0" w:color="auto"/>
              <w:left w:val="single" w:sz="4" w:space="0" w:color="auto"/>
              <w:bottom w:val="single" w:sz="4" w:space="0" w:color="auto"/>
              <w:right w:val="single" w:sz="4" w:space="0" w:color="auto"/>
            </w:tcBorders>
            <w:vAlign w:val="center"/>
            <w:hideMark/>
          </w:tcPr>
          <w:p w14:paraId="00866725" w14:textId="5B6FB468" w:rsidR="00D22E8E" w:rsidRPr="007C31F2"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vertAlign w:val="superscript"/>
                <w:lang w:val="en-AU"/>
              </w:rPr>
            </w:pPr>
            <w:r w:rsidRPr="00602B47">
              <w:rPr>
                <w:rFonts w:hint="eastAsia"/>
                <w:color w:val="000000"/>
                <w:w w:val="22"/>
                <w:shd w:val="solid" w:color="000000" w:fill="000000"/>
                <w:fitText w:val="100" w:id="-1435752178"/>
                <w:lang w:val="en-AU"/>
                <w14:textFill>
                  <w14:solidFill>
                    <w14:srgbClr w14:val="000000">
                      <w14:alpha w14:val="100000"/>
                    </w14:srgbClr>
                  </w14:solidFill>
                </w14:textFill>
              </w:rPr>
              <w:t xml:space="preserve">　</w:t>
            </w:r>
            <w:r w:rsidRPr="00602B47">
              <w:rPr>
                <w:color w:val="000000"/>
                <w:w w:val="22"/>
                <w:shd w:val="solid" w:color="000000" w:fill="000000"/>
                <w:fitText w:val="100" w:id="-1435752178"/>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78"/>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3F2FA62C" w14:textId="7EBB3E24"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highlight w:val="darkGray"/>
                <w:lang w:val="en-AU"/>
              </w:rPr>
            </w:pPr>
            <w:r w:rsidRPr="00602B47">
              <w:rPr>
                <w:rFonts w:hint="eastAsia"/>
                <w:color w:val="000000"/>
                <w:w w:val="22"/>
                <w:shd w:val="solid" w:color="000000" w:fill="000000"/>
                <w:fitText w:val="100" w:id="-1435752177"/>
                <w:lang w:val="en-AU"/>
                <w14:textFill>
                  <w14:solidFill>
                    <w14:srgbClr w14:val="000000">
                      <w14:alpha w14:val="100000"/>
                    </w14:srgbClr>
                  </w14:solidFill>
                </w14:textFill>
              </w:rPr>
              <w:t xml:space="preserve">　</w:t>
            </w:r>
            <w:r w:rsidRPr="00602B47">
              <w:rPr>
                <w:color w:val="000000"/>
                <w:w w:val="22"/>
                <w:shd w:val="solid" w:color="000000" w:fill="000000"/>
                <w:fitText w:val="100" w:id="-1435752177"/>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77"/>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2206B483" w14:textId="4F21C074"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highlight w:val="darkGray"/>
                <w:lang w:val="en-AU"/>
              </w:rPr>
            </w:pPr>
            <w:r w:rsidRPr="00602B47">
              <w:rPr>
                <w:rFonts w:hint="eastAsia"/>
                <w:color w:val="000000"/>
                <w:w w:val="22"/>
                <w:shd w:val="solid" w:color="000000" w:fill="000000"/>
                <w:fitText w:val="100" w:id="-1435752176"/>
                <w:lang w:val="en-AU"/>
                <w14:textFill>
                  <w14:solidFill>
                    <w14:srgbClr w14:val="000000">
                      <w14:alpha w14:val="100000"/>
                    </w14:srgbClr>
                  </w14:solidFill>
                </w14:textFill>
              </w:rPr>
              <w:t xml:space="preserve">　</w:t>
            </w:r>
            <w:r w:rsidRPr="00602B47">
              <w:rPr>
                <w:color w:val="000000"/>
                <w:w w:val="22"/>
                <w:shd w:val="solid" w:color="000000" w:fill="000000"/>
                <w:fitText w:val="100" w:id="-1435752176"/>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76"/>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7647D250" w14:textId="4DD6D2ED"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highlight w:val="darkGray"/>
                <w:lang w:val="en-AU"/>
              </w:rPr>
            </w:pPr>
            <w:r w:rsidRPr="00602B47">
              <w:rPr>
                <w:rFonts w:hint="eastAsia"/>
                <w:color w:val="000000"/>
                <w:w w:val="22"/>
                <w:shd w:val="solid" w:color="000000" w:fill="000000"/>
                <w:fitText w:val="100" w:id="-1435752192"/>
                <w:lang w:val="en-AU"/>
                <w14:textFill>
                  <w14:solidFill>
                    <w14:srgbClr w14:val="000000">
                      <w14:alpha w14:val="100000"/>
                    </w14:srgbClr>
                  </w14:solidFill>
                </w14:textFill>
              </w:rPr>
              <w:t xml:space="preserve">　</w:t>
            </w:r>
            <w:r w:rsidRPr="00602B47">
              <w:rPr>
                <w:color w:val="000000"/>
                <w:w w:val="22"/>
                <w:shd w:val="solid" w:color="000000" w:fill="000000"/>
                <w:fitText w:val="100" w:id="-1435752192"/>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92"/>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3C5C4744" w14:textId="5D43C917"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highlight w:val="darkGray"/>
                <w:lang w:val="en-AU"/>
              </w:rPr>
            </w:pPr>
            <w:r w:rsidRPr="00602B47">
              <w:rPr>
                <w:rFonts w:hint="eastAsia"/>
                <w:color w:val="000000"/>
                <w:w w:val="22"/>
                <w:shd w:val="solid" w:color="000000" w:fill="000000"/>
                <w:fitText w:val="100" w:id="-1435752191"/>
                <w:lang w:val="en-AU"/>
                <w14:textFill>
                  <w14:solidFill>
                    <w14:srgbClr w14:val="000000">
                      <w14:alpha w14:val="100000"/>
                    </w14:srgbClr>
                  </w14:solidFill>
                </w14:textFill>
              </w:rPr>
              <w:t xml:space="preserve">　</w:t>
            </w:r>
            <w:r w:rsidRPr="00602B47">
              <w:rPr>
                <w:color w:val="000000"/>
                <w:w w:val="22"/>
                <w:shd w:val="solid" w:color="000000" w:fill="000000"/>
                <w:fitText w:val="100" w:id="-1435752191"/>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91"/>
                <w:lang w:val="en-AU"/>
                <w14:textFill>
                  <w14:solidFill>
                    <w14:srgbClr w14:val="000000">
                      <w14:alpha w14:val="100000"/>
                    </w14:srgbClr>
                  </w14:solidFill>
                </w14:textFill>
              </w:rPr>
              <w:t xml:space="preserve">　</w:t>
            </w:r>
            <w:r w:rsidR="007C31F2">
              <w:rPr>
                <w:color w:val="000000"/>
                <w:vertAlign w:val="superscript"/>
                <w:lang w:val="en-AU"/>
              </w:rPr>
              <w:t>1</w:t>
            </w:r>
          </w:p>
        </w:tc>
        <w:tc>
          <w:tcPr>
            <w:tcW w:w="649" w:type="pct"/>
            <w:tcBorders>
              <w:top w:val="single" w:sz="4" w:space="0" w:color="auto"/>
              <w:left w:val="single" w:sz="4" w:space="0" w:color="auto"/>
              <w:bottom w:val="single" w:sz="4" w:space="0" w:color="auto"/>
              <w:right w:val="single" w:sz="4" w:space="0" w:color="auto"/>
            </w:tcBorders>
            <w:vAlign w:val="center"/>
            <w:hideMark/>
          </w:tcPr>
          <w:p w14:paraId="3B26CD73" w14:textId="045C0796"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highlight w:val="darkGray"/>
                <w:lang w:val="en-AU"/>
              </w:rPr>
            </w:pPr>
            <w:r w:rsidRPr="00602B47">
              <w:rPr>
                <w:rFonts w:hint="eastAsia"/>
                <w:color w:val="000000"/>
                <w:w w:val="22"/>
                <w:shd w:val="solid" w:color="000000" w:fill="000000"/>
                <w:fitText w:val="100" w:id="-1435752190"/>
                <w:lang w:val="en-AU"/>
                <w14:textFill>
                  <w14:solidFill>
                    <w14:srgbClr w14:val="000000">
                      <w14:alpha w14:val="100000"/>
                    </w14:srgbClr>
                  </w14:solidFill>
                </w14:textFill>
              </w:rPr>
              <w:t xml:space="preserve">　</w:t>
            </w:r>
            <w:r w:rsidRPr="00602B47">
              <w:rPr>
                <w:color w:val="000000"/>
                <w:w w:val="22"/>
                <w:shd w:val="solid" w:color="000000" w:fill="000000"/>
                <w:fitText w:val="100" w:id="-1435752190"/>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90"/>
                <w:lang w:val="en-AU"/>
                <w14:textFill>
                  <w14:solidFill>
                    <w14:srgbClr w14:val="000000">
                      <w14:alpha w14:val="100000"/>
                    </w14:srgbClr>
                  </w14:solidFill>
                </w14:textFill>
              </w:rPr>
              <w:t xml:space="preserve">　</w:t>
            </w:r>
            <w:r w:rsidR="007C31F2">
              <w:rPr>
                <w:color w:val="000000"/>
                <w:vertAlign w:val="superscript"/>
                <w:lang w:val="en-AU"/>
              </w:rPr>
              <w:t>1</w:t>
            </w:r>
          </w:p>
        </w:tc>
      </w:tr>
      <w:tr w:rsidR="00D22E8E" w:rsidRPr="00E050AF" w14:paraId="4CFEB592"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76FA29D1" w14:textId="77777777" w:rsidR="00D22E8E" w:rsidRPr="00E050AF" w:rsidRDefault="00D22E8E" w:rsidP="00DE3B42">
            <w:pPr>
              <w:pStyle w:val="TableText"/>
              <w:rPr>
                <w:lang w:val="en-AU"/>
              </w:rPr>
            </w:pPr>
            <w:r w:rsidRPr="00E050AF">
              <w:rPr>
                <w:lang w:val="en-AU"/>
              </w:rPr>
              <w:t>Total patients treated with olaparib + bevacizumab</w:t>
            </w:r>
          </w:p>
        </w:tc>
        <w:tc>
          <w:tcPr>
            <w:tcW w:w="646" w:type="pct"/>
            <w:tcBorders>
              <w:top w:val="single" w:sz="4" w:space="0" w:color="auto"/>
              <w:left w:val="single" w:sz="4" w:space="0" w:color="auto"/>
              <w:bottom w:val="single" w:sz="4" w:space="0" w:color="auto"/>
              <w:right w:val="single" w:sz="4" w:space="0" w:color="auto"/>
            </w:tcBorders>
            <w:vAlign w:val="center"/>
            <w:hideMark/>
          </w:tcPr>
          <w:p w14:paraId="7623296A" w14:textId="11585AFD"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lang w:val="en-AU"/>
              </w:rPr>
            </w:pPr>
            <w:r w:rsidRPr="00602B47">
              <w:rPr>
                <w:rFonts w:hint="eastAsia"/>
                <w:color w:val="000000"/>
                <w:w w:val="22"/>
                <w:shd w:val="solid" w:color="000000" w:fill="000000"/>
                <w:fitText w:val="100" w:id="-1435752189"/>
                <w:lang w:val="en-AU"/>
                <w14:textFill>
                  <w14:solidFill>
                    <w14:srgbClr w14:val="000000">
                      <w14:alpha w14:val="100000"/>
                    </w14:srgbClr>
                  </w14:solidFill>
                </w14:textFill>
              </w:rPr>
              <w:t xml:space="preserve">　</w:t>
            </w:r>
            <w:r w:rsidRPr="00602B47">
              <w:rPr>
                <w:color w:val="000000"/>
                <w:w w:val="22"/>
                <w:shd w:val="solid" w:color="000000" w:fill="000000"/>
                <w:fitText w:val="100" w:id="-1435752189"/>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9"/>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3DF8B654" w14:textId="0FF3100A"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lang w:val="en-AU"/>
              </w:rPr>
            </w:pPr>
            <w:r w:rsidRPr="00602B47">
              <w:rPr>
                <w:rFonts w:hint="eastAsia"/>
                <w:color w:val="000000"/>
                <w:w w:val="22"/>
                <w:shd w:val="solid" w:color="000000" w:fill="000000"/>
                <w:fitText w:val="100" w:id="-1435752188"/>
                <w:lang w:val="en-AU"/>
                <w14:textFill>
                  <w14:solidFill>
                    <w14:srgbClr w14:val="000000">
                      <w14:alpha w14:val="100000"/>
                    </w14:srgbClr>
                  </w14:solidFill>
                </w14:textFill>
              </w:rPr>
              <w:t xml:space="preserve">　</w:t>
            </w:r>
            <w:r w:rsidRPr="00602B47">
              <w:rPr>
                <w:color w:val="000000"/>
                <w:w w:val="22"/>
                <w:shd w:val="solid" w:color="000000" w:fill="000000"/>
                <w:fitText w:val="100" w:id="-1435752188"/>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8"/>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097780DF" w14:textId="0CCA6120"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lang w:val="en-AU"/>
              </w:rPr>
            </w:pPr>
            <w:r w:rsidRPr="00602B47">
              <w:rPr>
                <w:rFonts w:hint="eastAsia"/>
                <w:color w:val="000000"/>
                <w:w w:val="22"/>
                <w:shd w:val="solid" w:color="000000" w:fill="000000"/>
                <w:fitText w:val="100" w:id="-1435752187"/>
                <w:lang w:val="en-AU"/>
                <w14:textFill>
                  <w14:solidFill>
                    <w14:srgbClr w14:val="000000">
                      <w14:alpha w14:val="100000"/>
                    </w14:srgbClr>
                  </w14:solidFill>
                </w14:textFill>
              </w:rPr>
              <w:t xml:space="preserve">　</w:t>
            </w:r>
            <w:r w:rsidRPr="00602B47">
              <w:rPr>
                <w:color w:val="000000"/>
                <w:w w:val="22"/>
                <w:shd w:val="solid" w:color="000000" w:fill="000000"/>
                <w:fitText w:val="100" w:id="-1435752187"/>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7"/>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4897A202" w14:textId="07DC83A2"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lang w:val="en-AU"/>
              </w:rPr>
            </w:pPr>
            <w:r w:rsidRPr="00602B47">
              <w:rPr>
                <w:rFonts w:hint="eastAsia"/>
                <w:color w:val="000000"/>
                <w:w w:val="22"/>
                <w:shd w:val="solid" w:color="000000" w:fill="000000"/>
                <w:fitText w:val="100" w:id="-1435752186"/>
                <w:lang w:val="en-AU"/>
                <w14:textFill>
                  <w14:solidFill>
                    <w14:srgbClr w14:val="000000">
                      <w14:alpha w14:val="100000"/>
                    </w14:srgbClr>
                  </w14:solidFill>
                </w14:textFill>
              </w:rPr>
              <w:t xml:space="preserve">　</w:t>
            </w:r>
            <w:r w:rsidRPr="00602B47">
              <w:rPr>
                <w:color w:val="000000"/>
                <w:w w:val="22"/>
                <w:shd w:val="solid" w:color="000000" w:fill="000000"/>
                <w:fitText w:val="100" w:id="-1435752186"/>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6"/>
                <w:lang w:val="en-AU"/>
                <w14:textFill>
                  <w14:solidFill>
                    <w14:srgbClr w14:val="000000">
                      <w14:alpha w14:val="100000"/>
                    </w14:srgbClr>
                  </w14:solidFill>
                </w14:textFill>
              </w:rPr>
              <w:t xml:space="preserve">　</w:t>
            </w:r>
            <w:r w:rsidR="007C31F2">
              <w:rPr>
                <w:color w:val="000000"/>
                <w:vertAlign w:val="superscript"/>
                <w:lang w:val="en-AU"/>
              </w:rPr>
              <w:t>1</w:t>
            </w:r>
          </w:p>
        </w:tc>
        <w:tc>
          <w:tcPr>
            <w:tcW w:w="646" w:type="pct"/>
            <w:tcBorders>
              <w:top w:val="single" w:sz="4" w:space="0" w:color="auto"/>
              <w:left w:val="single" w:sz="4" w:space="0" w:color="auto"/>
              <w:bottom w:val="single" w:sz="4" w:space="0" w:color="auto"/>
              <w:right w:val="single" w:sz="4" w:space="0" w:color="auto"/>
            </w:tcBorders>
            <w:vAlign w:val="center"/>
            <w:hideMark/>
          </w:tcPr>
          <w:p w14:paraId="7C2F0D00" w14:textId="3ECD90FF"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lang w:val="en-AU"/>
              </w:rPr>
            </w:pPr>
            <w:r w:rsidRPr="00602B47">
              <w:rPr>
                <w:rFonts w:hint="eastAsia"/>
                <w:color w:val="000000"/>
                <w:w w:val="22"/>
                <w:shd w:val="solid" w:color="000000" w:fill="000000"/>
                <w:fitText w:val="100" w:id="-1435752185"/>
                <w:lang w:val="en-AU"/>
                <w14:textFill>
                  <w14:solidFill>
                    <w14:srgbClr w14:val="000000">
                      <w14:alpha w14:val="100000"/>
                    </w14:srgbClr>
                  </w14:solidFill>
                </w14:textFill>
              </w:rPr>
              <w:t xml:space="preserve">　</w:t>
            </w:r>
            <w:r w:rsidRPr="00602B47">
              <w:rPr>
                <w:color w:val="000000"/>
                <w:w w:val="22"/>
                <w:shd w:val="solid" w:color="000000" w:fill="000000"/>
                <w:fitText w:val="100" w:id="-1435752185"/>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5"/>
                <w:lang w:val="en-AU"/>
                <w14:textFill>
                  <w14:solidFill>
                    <w14:srgbClr w14:val="000000">
                      <w14:alpha w14:val="100000"/>
                    </w14:srgbClr>
                  </w14:solidFill>
                </w14:textFill>
              </w:rPr>
              <w:t xml:space="preserve">　</w:t>
            </w:r>
            <w:r w:rsidR="007C31F2">
              <w:rPr>
                <w:color w:val="000000"/>
                <w:vertAlign w:val="superscript"/>
                <w:lang w:val="en-AU"/>
              </w:rPr>
              <w:t>1</w:t>
            </w:r>
          </w:p>
        </w:tc>
        <w:tc>
          <w:tcPr>
            <w:tcW w:w="649" w:type="pct"/>
            <w:tcBorders>
              <w:top w:val="single" w:sz="4" w:space="0" w:color="auto"/>
              <w:left w:val="single" w:sz="4" w:space="0" w:color="auto"/>
              <w:bottom w:val="single" w:sz="4" w:space="0" w:color="auto"/>
              <w:right w:val="single" w:sz="4" w:space="0" w:color="auto"/>
            </w:tcBorders>
            <w:vAlign w:val="center"/>
            <w:hideMark/>
          </w:tcPr>
          <w:p w14:paraId="3412B6E1" w14:textId="22B22E79"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color w:val="000000"/>
                <w:lang w:val="en-AU"/>
              </w:rPr>
            </w:pPr>
            <w:r w:rsidRPr="00602B47">
              <w:rPr>
                <w:rFonts w:hint="eastAsia"/>
                <w:color w:val="000000"/>
                <w:w w:val="22"/>
                <w:shd w:val="solid" w:color="000000" w:fill="000000"/>
                <w:fitText w:val="100" w:id="-1435752184"/>
                <w:lang w:val="en-AU"/>
                <w14:textFill>
                  <w14:solidFill>
                    <w14:srgbClr w14:val="000000">
                      <w14:alpha w14:val="100000"/>
                    </w14:srgbClr>
                  </w14:solidFill>
                </w14:textFill>
              </w:rPr>
              <w:t xml:space="preserve">　</w:t>
            </w:r>
            <w:r w:rsidRPr="00602B47">
              <w:rPr>
                <w:color w:val="000000"/>
                <w:w w:val="22"/>
                <w:shd w:val="solid" w:color="000000" w:fill="000000"/>
                <w:fitText w:val="100" w:id="-1435752184"/>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2184"/>
                <w:lang w:val="en-AU"/>
                <w14:textFill>
                  <w14:solidFill>
                    <w14:srgbClr w14:val="000000">
                      <w14:alpha w14:val="100000"/>
                    </w14:srgbClr>
                  </w14:solidFill>
                </w14:textFill>
              </w:rPr>
              <w:t xml:space="preserve">　</w:t>
            </w:r>
            <w:r w:rsidR="007C31F2">
              <w:rPr>
                <w:color w:val="000000"/>
                <w:vertAlign w:val="superscript"/>
                <w:lang w:val="en-AU"/>
              </w:rPr>
              <w:t>1</w:t>
            </w:r>
          </w:p>
        </w:tc>
      </w:tr>
      <w:tr w:rsidR="00D22E8E" w:rsidRPr="00E050AF" w14:paraId="55243088"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62888817" w14:textId="77777777" w:rsidR="00D22E8E" w:rsidRPr="00E050AF" w:rsidRDefault="00D22E8E" w:rsidP="00DE3B42">
            <w:pPr>
              <w:pStyle w:val="TableText"/>
              <w:rPr>
                <w:lang w:val="en-AU"/>
              </w:rPr>
            </w:pPr>
            <w:r w:rsidRPr="00E050AF">
              <w:rPr>
                <w:lang w:val="en-AU"/>
              </w:rPr>
              <w:t>Total olaparib prescriptions</w:t>
            </w:r>
          </w:p>
        </w:tc>
        <w:tc>
          <w:tcPr>
            <w:tcW w:w="646" w:type="pct"/>
            <w:tcBorders>
              <w:top w:val="single" w:sz="4" w:space="0" w:color="auto"/>
              <w:left w:val="single" w:sz="4" w:space="0" w:color="auto"/>
              <w:bottom w:val="single" w:sz="4" w:space="0" w:color="auto"/>
              <w:right w:val="single" w:sz="4" w:space="0" w:color="auto"/>
            </w:tcBorders>
            <w:vAlign w:val="center"/>
            <w:hideMark/>
          </w:tcPr>
          <w:p w14:paraId="2AD9C355" w14:textId="0CC9A0E7"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zCs w:val="20"/>
                <w:shd w:val="solid" w:color="000000" w:fill="000000"/>
                <w:fitText w:val="100" w:id="-1435752183"/>
                <w:lang w:val="en-AU"/>
                <w14:textFill>
                  <w14:solidFill>
                    <w14:srgbClr w14:val="000000">
                      <w14:alpha w14:val="100000"/>
                    </w14:srgbClr>
                  </w14:solidFill>
                </w14:textFill>
              </w:rPr>
              <w:t xml:space="preserve">　</w:t>
            </w:r>
            <w:r w:rsidRPr="00602B47">
              <w:rPr>
                <w:color w:val="000000"/>
                <w:w w:val="22"/>
                <w:szCs w:val="20"/>
                <w:shd w:val="solid" w:color="000000" w:fill="000000"/>
                <w:fitText w:val="100" w:id="-1435752183"/>
                <w:lang w:val="en-AU"/>
                <w14:textFill>
                  <w14:solidFill>
                    <w14:srgbClr w14:val="000000">
                      <w14:alpha w14:val="100000"/>
                    </w14:srgbClr>
                  </w14:solidFill>
                </w14:textFill>
              </w:rPr>
              <w:t>|</w:t>
            </w:r>
            <w:r w:rsidRPr="00602B47">
              <w:rPr>
                <w:rFonts w:hint="eastAsia"/>
                <w:color w:val="000000"/>
                <w:spacing w:val="3"/>
                <w:w w:val="22"/>
                <w:szCs w:val="20"/>
                <w:shd w:val="solid" w:color="000000" w:fill="000000"/>
                <w:fitText w:val="100" w:id="-1435752183"/>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szCs w:val="20"/>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7F2759B5" w14:textId="7C4F8BE2"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zCs w:val="20"/>
                <w:shd w:val="solid" w:color="000000" w:fill="000000"/>
                <w:fitText w:val="100" w:id="-1435752182"/>
                <w:lang w:val="en-AU"/>
                <w14:textFill>
                  <w14:solidFill>
                    <w14:srgbClr w14:val="000000">
                      <w14:alpha w14:val="100000"/>
                    </w14:srgbClr>
                  </w14:solidFill>
                </w14:textFill>
              </w:rPr>
              <w:t xml:space="preserve">　</w:t>
            </w:r>
            <w:r w:rsidRPr="00602B47">
              <w:rPr>
                <w:color w:val="000000"/>
                <w:w w:val="22"/>
                <w:szCs w:val="20"/>
                <w:shd w:val="solid" w:color="000000" w:fill="000000"/>
                <w:fitText w:val="100" w:id="-1435752182"/>
                <w:lang w:val="en-AU"/>
                <w14:textFill>
                  <w14:solidFill>
                    <w14:srgbClr w14:val="000000">
                      <w14:alpha w14:val="100000"/>
                    </w14:srgbClr>
                  </w14:solidFill>
                </w14:textFill>
              </w:rPr>
              <w:t>|</w:t>
            </w:r>
            <w:r w:rsidRPr="00602B47">
              <w:rPr>
                <w:rFonts w:hint="eastAsia"/>
                <w:color w:val="000000"/>
                <w:spacing w:val="3"/>
                <w:w w:val="22"/>
                <w:szCs w:val="20"/>
                <w:shd w:val="solid" w:color="000000" w:fill="000000"/>
                <w:fitText w:val="100" w:id="-1435752182"/>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szCs w:val="20"/>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23A9800C" w14:textId="57B35A28"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zCs w:val="20"/>
                <w:shd w:val="solid" w:color="000000" w:fill="000000"/>
                <w:fitText w:val="100" w:id="-1435752181"/>
                <w:lang w:val="en-AU"/>
                <w14:textFill>
                  <w14:solidFill>
                    <w14:srgbClr w14:val="000000">
                      <w14:alpha w14:val="100000"/>
                    </w14:srgbClr>
                  </w14:solidFill>
                </w14:textFill>
              </w:rPr>
              <w:t xml:space="preserve">　</w:t>
            </w:r>
            <w:r w:rsidRPr="00602B47">
              <w:rPr>
                <w:color w:val="000000"/>
                <w:w w:val="22"/>
                <w:szCs w:val="20"/>
                <w:shd w:val="solid" w:color="000000" w:fill="000000"/>
                <w:fitText w:val="100" w:id="-1435752181"/>
                <w:lang w:val="en-AU"/>
                <w14:textFill>
                  <w14:solidFill>
                    <w14:srgbClr w14:val="000000">
                      <w14:alpha w14:val="100000"/>
                    </w14:srgbClr>
                  </w14:solidFill>
                </w14:textFill>
              </w:rPr>
              <w:t>|</w:t>
            </w:r>
            <w:r w:rsidRPr="00602B47">
              <w:rPr>
                <w:rFonts w:hint="eastAsia"/>
                <w:color w:val="000000"/>
                <w:spacing w:val="3"/>
                <w:w w:val="22"/>
                <w:szCs w:val="20"/>
                <w:shd w:val="solid" w:color="000000" w:fill="000000"/>
                <w:fitText w:val="100" w:id="-1435752181"/>
                <w:lang w:val="en-AU"/>
                <w14:textFill>
                  <w14:solidFill>
                    <w14:srgbClr w14:val="000000">
                      <w14:alpha w14:val="100000"/>
                    </w14:srgbClr>
                  </w14:solidFill>
                </w14:textFill>
              </w:rPr>
              <w:t xml:space="preserve">　</w:t>
            </w:r>
            <w:r w:rsidR="007C31F2">
              <w:rPr>
                <w:color w:val="000000"/>
                <w:vertAlign w:val="superscript"/>
                <w:lang w:val="en-AU"/>
              </w:rPr>
              <w:t>2</w:t>
            </w:r>
            <w:r w:rsidR="00520340" w:rsidRPr="00520340">
              <w:rPr>
                <w:szCs w:val="20"/>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38A2199C" w14:textId="7BC5D51E"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zCs w:val="20"/>
                <w:shd w:val="solid" w:color="000000" w:fill="000000"/>
                <w:fitText w:val="100" w:id="-1435752180"/>
                <w:lang w:val="en-AU"/>
                <w14:textFill>
                  <w14:solidFill>
                    <w14:srgbClr w14:val="000000">
                      <w14:alpha w14:val="100000"/>
                    </w14:srgbClr>
                  </w14:solidFill>
                </w14:textFill>
              </w:rPr>
              <w:t xml:space="preserve">　</w:t>
            </w:r>
            <w:r w:rsidRPr="00602B47">
              <w:rPr>
                <w:color w:val="000000"/>
                <w:w w:val="22"/>
                <w:szCs w:val="20"/>
                <w:shd w:val="solid" w:color="000000" w:fill="000000"/>
                <w:fitText w:val="100" w:id="-1435752180"/>
                <w:lang w:val="en-AU"/>
                <w14:textFill>
                  <w14:solidFill>
                    <w14:srgbClr w14:val="000000">
                      <w14:alpha w14:val="100000"/>
                    </w14:srgbClr>
                  </w14:solidFill>
                </w14:textFill>
              </w:rPr>
              <w:t>|</w:t>
            </w:r>
            <w:r w:rsidRPr="00602B47">
              <w:rPr>
                <w:rFonts w:hint="eastAsia"/>
                <w:color w:val="000000"/>
                <w:spacing w:val="3"/>
                <w:w w:val="22"/>
                <w:szCs w:val="20"/>
                <w:shd w:val="solid" w:color="000000" w:fill="000000"/>
                <w:fitText w:val="100" w:id="-1435752180"/>
                <w:lang w:val="en-AU"/>
                <w14:textFill>
                  <w14:solidFill>
                    <w14:srgbClr w14:val="000000">
                      <w14:alpha w14:val="100000"/>
                    </w14:srgbClr>
                  </w14:solidFill>
                </w14:textFill>
              </w:rPr>
              <w:t xml:space="preserve">　</w:t>
            </w:r>
            <w:r w:rsidR="007C31F2">
              <w:rPr>
                <w:color w:val="000000"/>
                <w:vertAlign w:val="superscript"/>
                <w:lang w:val="en-AU"/>
              </w:rPr>
              <w:t>2</w:t>
            </w:r>
            <w:r w:rsidR="00520340" w:rsidRPr="00520340">
              <w:rPr>
                <w:szCs w:val="20"/>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3DBD59ED" w14:textId="5D30E471"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zCs w:val="20"/>
                <w:shd w:val="solid" w:color="000000" w:fill="000000"/>
                <w:fitText w:val="100" w:id="-1435752179"/>
                <w:lang w:val="en-AU"/>
                <w14:textFill>
                  <w14:solidFill>
                    <w14:srgbClr w14:val="000000">
                      <w14:alpha w14:val="100000"/>
                    </w14:srgbClr>
                  </w14:solidFill>
                </w14:textFill>
              </w:rPr>
              <w:t xml:space="preserve">　</w:t>
            </w:r>
            <w:r w:rsidRPr="00602B47">
              <w:rPr>
                <w:color w:val="000000"/>
                <w:w w:val="22"/>
                <w:szCs w:val="20"/>
                <w:shd w:val="solid" w:color="000000" w:fill="000000"/>
                <w:fitText w:val="100" w:id="-1435752179"/>
                <w:lang w:val="en-AU"/>
                <w14:textFill>
                  <w14:solidFill>
                    <w14:srgbClr w14:val="000000">
                      <w14:alpha w14:val="100000"/>
                    </w14:srgbClr>
                  </w14:solidFill>
                </w14:textFill>
              </w:rPr>
              <w:t>|</w:t>
            </w:r>
            <w:r w:rsidRPr="00602B47">
              <w:rPr>
                <w:rFonts w:hint="eastAsia"/>
                <w:color w:val="000000"/>
                <w:spacing w:val="3"/>
                <w:w w:val="22"/>
                <w:szCs w:val="20"/>
                <w:shd w:val="solid" w:color="000000" w:fill="000000"/>
                <w:fitText w:val="100" w:id="-1435752179"/>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szCs w:val="20"/>
                <w:lang w:val="en-AU"/>
              </w:rPr>
              <w:t xml:space="preserve"> </w:t>
            </w:r>
          </w:p>
        </w:tc>
        <w:tc>
          <w:tcPr>
            <w:tcW w:w="649" w:type="pct"/>
            <w:tcBorders>
              <w:top w:val="single" w:sz="4" w:space="0" w:color="auto"/>
              <w:left w:val="single" w:sz="4" w:space="0" w:color="auto"/>
              <w:bottom w:val="single" w:sz="4" w:space="0" w:color="auto"/>
              <w:right w:val="single" w:sz="4" w:space="0" w:color="auto"/>
            </w:tcBorders>
            <w:vAlign w:val="center"/>
            <w:hideMark/>
          </w:tcPr>
          <w:p w14:paraId="242FB44A" w14:textId="60C8B0B9"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zCs w:val="20"/>
                <w:shd w:val="solid" w:color="000000" w:fill="000000"/>
                <w:fitText w:val="100" w:id="-1435751936"/>
                <w:lang w:val="en-AU"/>
                <w14:textFill>
                  <w14:solidFill>
                    <w14:srgbClr w14:val="000000">
                      <w14:alpha w14:val="100000"/>
                    </w14:srgbClr>
                  </w14:solidFill>
                </w14:textFill>
              </w:rPr>
              <w:t xml:space="preserve">　</w:t>
            </w:r>
            <w:r w:rsidRPr="00602B47">
              <w:rPr>
                <w:color w:val="000000"/>
                <w:w w:val="22"/>
                <w:szCs w:val="20"/>
                <w:shd w:val="solid" w:color="000000" w:fill="000000"/>
                <w:fitText w:val="100" w:id="-1435751936"/>
                <w:lang w:val="en-AU"/>
                <w14:textFill>
                  <w14:solidFill>
                    <w14:srgbClr w14:val="000000">
                      <w14:alpha w14:val="100000"/>
                    </w14:srgbClr>
                  </w14:solidFill>
                </w14:textFill>
              </w:rPr>
              <w:t>|</w:t>
            </w:r>
            <w:r w:rsidRPr="00602B47">
              <w:rPr>
                <w:rFonts w:hint="eastAsia"/>
                <w:color w:val="000000"/>
                <w:spacing w:val="3"/>
                <w:w w:val="22"/>
                <w:szCs w:val="20"/>
                <w:shd w:val="solid" w:color="000000" w:fill="000000"/>
                <w:fitText w:val="100" w:id="-1435751936"/>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szCs w:val="20"/>
                <w:lang w:val="en-AU"/>
              </w:rPr>
              <w:t xml:space="preserve"> </w:t>
            </w:r>
          </w:p>
        </w:tc>
      </w:tr>
      <w:tr w:rsidR="00D22E8E" w:rsidRPr="00E050AF" w14:paraId="056B946D"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6866AD57" w14:textId="77777777" w:rsidR="00D22E8E" w:rsidRPr="00E050AF" w:rsidRDefault="00D22E8E" w:rsidP="00DE3B42">
            <w:pPr>
              <w:pStyle w:val="TableText"/>
              <w:rPr>
                <w:lang w:val="en-AU"/>
              </w:rPr>
            </w:pPr>
            <w:r w:rsidRPr="00E050AF">
              <w:rPr>
                <w:lang w:val="en-AU"/>
              </w:rPr>
              <w:t>Total bevacizumab prescriptions (given with olaparib)</w:t>
            </w:r>
          </w:p>
        </w:tc>
        <w:tc>
          <w:tcPr>
            <w:tcW w:w="646" w:type="pct"/>
            <w:tcBorders>
              <w:top w:val="single" w:sz="4" w:space="0" w:color="auto"/>
              <w:left w:val="single" w:sz="4" w:space="0" w:color="auto"/>
              <w:bottom w:val="single" w:sz="4" w:space="0" w:color="auto"/>
              <w:right w:val="single" w:sz="4" w:space="0" w:color="auto"/>
            </w:tcBorders>
            <w:vAlign w:val="center"/>
            <w:hideMark/>
          </w:tcPr>
          <w:p w14:paraId="4614DDF0" w14:textId="0165E515"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1935"/>
                <w:lang w:val="en-AU"/>
                <w14:textFill>
                  <w14:solidFill>
                    <w14:srgbClr w14:val="000000">
                      <w14:alpha w14:val="100000"/>
                    </w14:srgbClr>
                  </w14:solidFill>
                </w14:textFill>
              </w:rPr>
              <w:t xml:space="preserve">　</w:t>
            </w:r>
            <w:r w:rsidRPr="00602B47">
              <w:rPr>
                <w:color w:val="000000"/>
                <w:w w:val="22"/>
                <w:shd w:val="solid" w:color="000000" w:fill="000000"/>
                <w:fitText w:val="100" w:id="-1435751935"/>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1935"/>
                <w:lang w:val="en-AU"/>
                <w14:textFill>
                  <w14:solidFill>
                    <w14:srgbClr w14:val="000000">
                      <w14:alpha w14:val="100000"/>
                    </w14:srgbClr>
                  </w14:solidFill>
                </w14:textFill>
              </w:rPr>
              <w:t xml:space="preserve">　</w:t>
            </w:r>
            <w:r w:rsidR="007C31F2">
              <w:rPr>
                <w:color w:val="000000"/>
                <w:vertAlign w:val="superscript"/>
                <w:lang w:val="en-AU"/>
              </w:rPr>
              <w:t>2</w:t>
            </w:r>
            <w:r w:rsidR="00520340" w:rsidRPr="00520340">
              <w:rPr>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29931947" w14:textId="0A829B6A"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hd w:val="solid" w:color="000000" w:fill="000000"/>
                <w:fitText w:val="100" w:id="-1435751934"/>
                <w:lang w:val="en-AU"/>
                <w14:textFill>
                  <w14:solidFill>
                    <w14:srgbClr w14:val="000000">
                      <w14:alpha w14:val="100000"/>
                    </w14:srgbClr>
                  </w14:solidFill>
                </w14:textFill>
              </w:rPr>
              <w:t xml:space="preserve">　</w:t>
            </w:r>
            <w:r w:rsidRPr="00602B47">
              <w:rPr>
                <w:color w:val="000000"/>
                <w:w w:val="22"/>
                <w:shd w:val="solid" w:color="000000" w:fill="000000"/>
                <w:fitText w:val="100" w:id="-1435751934"/>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1934"/>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0B3D9183" w14:textId="0DD0CA16"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hd w:val="solid" w:color="000000" w:fill="000000"/>
                <w:fitText w:val="100" w:id="-1435751933"/>
                <w:lang w:val="en-AU"/>
                <w14:textFill>
                  <w14:solidFill>
                    <w14:srgbClr w14:val="000000">
                      <w14:alpha w14:val="100000"/>
                    </w14:srgbClr>
                  </w14:solidFill>
                </w14:textFill>
              </w:rPr>
              <w:t xml:space="preserve">　</w:t>
            </w:r>
            <w:r w:rsidRPr="00602B47">
              <w:rPr>
                <w:color w:val="000000"/>
                <w:w w:val="22"/>
                <w:shd w:val="solid" w:color="000000" w:fill="000000"/>
                <w:fitText w:val="100" w:id="-1435751933"/>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1933"/>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54040476" w14:textId="15C6057D" w:rsidR="00D22E8E" w:rsidRPr="00826EBB"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602B47">
              <w:rPr>
                <w:rFonts w:hint="eastAsia"/>
                <w:color w:val="000000"/>
                <w:w w:val="22"/>
                <w:shd w:val="solid" w:color="000000" w:fill="000000"/>
                <w:fitText w:val="100" w:id="-1435751932"/>
                <w:lang w:val="en-AU"/>
                <w14:textFill>
                  <w14:solidFill>
                    <w14:srgbClr w14:val="000000">
                      <w14:alpha w14:val="100000"/>
                    </w14:srgbClr>
                  </w14:solidFill>
                </w14:textFill>
              </w:rPr>
              <w:t xml:space="preserve">　</w:t>
            </w:r>
            <w:r w:rsidRPr="00602B47">
              <w:rPr>
                <w:color w:val="000000"/>
                <w:w w:val="22"/>
                <w:shd w:val="solid" w:color="000000" w:fill="000000"/>
                <w:fitText w:val="100" w:id="-1435751932"/>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1932"/>
                <w:lang w:val="en-AU"/>
                <w14:textFill>
                  <w14:solidFill>
                    <w14:srgbClr w14:val="000000">
                      <w14:alpha w14:val="100000"/>
                    </w14:srgbClr>
                  </w14:solidFill>
                </w14:textFill>
              </w:rPr>
              <w:t xml:space="preserve">　</w:t>
            </w:r>
            <w:r w:rsidR="007C31F2">
              <w:rPr>
                <w:color w:val="000000"/>
                <w:vertAlign w:val="superscript"/>
                <w:lang w:val="en-AU"/>
              </w:rPr>
              <w:t>2</w:t>
            </w:r>
            <w:r w:rsidR="00520340" w:rsidRPr="00520340">
              <w:rPr>
                <w:lang w:val="en-AU"/>
              </w:rPr>
              <w:t xml:space="preserve"> </w:t>
            </w:r>
          </w:p>
        </w:tc>
        <w:tc>
          <w:tcPr>
            <w:tcW w:w="646" w:type="pct"/>
            <w:tcBorders>
              <w:top w:val="single" w:sz="4" w:space="0" w:color="auto"/>
              <w:left w:val="single" w:sz="4" w:space="0" w:color="auto"/>
              <w:bottom w:val="single" w:sz="4" w:space="0" w:color="auto"/>
              <w:right w:val="single" w:sz="4" w:space="0" w:color="auto"/>
            </w:tcBorders>
            <w:vAlign w:val="center"/>
            <w:hideMark/>
          </w:tcPr>
          <w:p w14:paraId="392C13B6" w14:textId="3D56EBBA"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hd w:val="solid" w:color="000000" w:fill="000000"/>
                <w:fitText w:val="100" w:id="-1435751931"/>
                <w:lang w:val="en-AU"/>
                <w14:textFill>
                  <w14:solidFill>
                    <w14:srgbClr w14:val="000000">
                      <w14:alpha w14:val="100000"/>
                    </w14:srgbClr>
                  </w14:solidFill>
                </w14:textFill>
              </w:rPr>
              <w:t xml:space="preserve">　</w:t>
            </w:r>
            <w:r w:rsidRPr="00602B47">
              <w:rPr>
                <w:color w:val="000000"/>
                <w:w w:val="22"/>
                <w:shd w:val="solid" w:color="000000" w:fill="000000"/>
                <w:fitText w:val="100" w:id="-1435751931"/>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1931"/>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lang w:val="en-AU"/>
              </w:rPr>
              <w:t xml:space="preserve"> </w:t>
            </w:r>
          </w:p>
        </w:tc>
        <w:tc>
          <w:tcPr>
            <w:tcW w:w="649" w:type="pct"/>
            <w:tcBorders>
              <w:top w:val="single" w:sz="4" w:space="0" w:color="auto"/>
              <w:left w:val="single" w:sz="4" w:space="0" w:color="auto"/>
              <w:bottom w:val="single" w:sz="4" w:space="0" w:color="auto"/>
              <w:right w:val="single" w:sz="4" w:space="0" w:color="auto"/>
            </w:tcBorders>
            <w:vAlign w:val="center"/>
            <w:hideMark/>
          </w:tcPr>
          <w:p w14:paraId="6AFCF5B8" w14:textId="7C05BEDE" w:rsidR="00D22E8E" w:rsidRPr="00E050AF" w:rsidRDefault="00602B47"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602B47">
              <w:rPr>
                <w:rFonts w:hint="eastAsia"/>
                <w:color w:val="000000"/>
                <w:w w:val="22"/>
                <w:shd w:val="solid" w:color="000000" w:fill="000000"/>
                <w:fitText w:val="100" w:id="-1435751930"/>
                <w:lang w:val="en-AU"/>
                <w14:textFill>
                  <w14:solidFill>
                    <w14:srgbClr w14:val="000000">
                      <w14:alpha w14:val="100000"/>
                    </w14:srgbClr>
                  </w14:solidFill>
                </w14:textFill>
              </w:rPr>
              <w:t xml:space="preserve">　</w:t>
            </w:r>
            <w:r w:rsidRPr="00602B47">
              <w:rPr>
                <w:color w:val="000000"/>
                <w:w w:val="22"/>
                <w:shd w:val="solid" w:color="000000" w:fill="000000"/>
                <w:fitText w:val="100" w:id="-1435751930"/>
                <w:lang w:val="en-AU"/>
                <w14:textFill>
                  <w14:solidFill>
                    <w14:srgbClr w14:val="000000">
                      <w14:alpha w14:val="100000"/>
                    </w14:srgbClr>
                  </w14:solidFill>
                </w14:textFill>
              </w:rPr>
              <w:t>|</w:t>
            </w:r>
            <w:r w:rsidRPr="00602B47">
              <w:rPr>
                <w:rFonts w:hint="eastAsia"/>
                <w:color w:val="000000"/>
                <w:spacing w:val="3"/>
                <w:w w:val="22"/>
                <w:shd w:val="solid" w:color="000000" w:fill="000000"/>
                <w:fitText w:val="100" w:id="-1435751930"/>
                <w:lang w:val="en-AU"/>
                <w14:textFill>
                  <w14:solidFill>
                    <w14:srgbClr w14:val="000000">
                      <w14:alpha w14:val="100000"/>
                    </w14:srgbClr>
                  </w14:solidFill>
                </w14:textFill>
              </w:rPr>
              <w:t xml:space="preserve">　</w:t>
            </w:r>
            <w:r w:rsidR="007C31F2">
              <w:rPr>
                <w:color w:val="000000"/>
                <w:vertAlign w:val="superscript"/>
                <w:lang w:val="en-AU"/>
              </w:rPr>
              <w:t>2</w:t>
            </w:r>
            <w:r w:rsidR="00D22E8E" w:rsidRPr="00E050AF">
              <w:rPr>
                <w:lang w:val="en-AU"/>
              </w:rPr>
              <w:t xml:space="preserve"> </w:t>
            </w:r>
          </w:p>
        </w:tc>
      </w:tr>
      <w:tr w:rsidR="00D22E8E" w:rsidRPr="00E050AF" w14:paraId="019F3CC8"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0B29C163" w14:textId="77777777" w:rsidR="00D22E8E" w:rsidRPr="00E050AF" w:rsidRDefault="00D22E8E" w:rsidP="00DE3B42">
            <w:pPr>
              <w:pStyle w:val="TableText"/>
              <w:rPr>
                <w:b/>
                <w:lang w:val="en-AU"/>
              </w:rPr>
            </w:pPr>
            <w:r w:rsidRPr="00E050AF">
              <w:rPr>
                <w:lang w:val="en-AU"/>
              </w:rPr>
              <w:t>Change in bevacizumab monotherapy prescriptions</w:t>
            </w:r>
          </w:p>
        </w:tc>
        <w:tc>
          <w:tcPr>
            <w:tcW w:w="646" w:type="pct"/>
            <w:tcBorders>
              <w:top w:val="single" w:sz="4" w:space="0" w:color="auto"/>
              <w:left w:val="single" w:sz="4" w:space="0" w:color="auto"/>
              <w:bottom w:val="single" w:sz="4" w:space="0" w:color="auto"/>
              <w:right w:val="single" w:sz="4" w:space="0" w:color="auto"/>
            </w:tcBorders>
            <w:vAlign w:val="center"/>
            <w:hideMark/>
          </w:tcPr>
          <w:p w14:paraId="5BECB7BF" w14:textId="45204B21"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w:t>
            </w:r>
            <w:r w:rsidR="00602B47" w:rsidRPr="00602B47">
              <w:rPr>
                <w:rFonts w:hint="eastAsia"/>
                <w:color w:val="000000"/>
                <w:w w:val="29"/>
                <w:shd w:val="solid" w:color="000000" w:fill="000000"/>
                <w:fitText w:val="131" w:id="-1435751929"/>
                <w:lang w:val="en-AU"/>
                <w14:textFill>
                  <w14:solidFill>
                    <w14:srgbClr w14:val="000000">
                      <w14:alpha w14:val="100000"/>
                    </w14:srgbClr>
                  </w14:solidFill>
                </w14:textFill>
              </w:rPr>
              <w:t xml:space="preserve">　</w:t>
            </w:r>
            <w:r w:rsidR="00602B47" w:rsidRPr="00602B47">
              <w:rPr>
                <w:color w:val="000000"/>
                <w:w w:val="29"/>
                <w:shd w:val="solid" w:color="000000" w:fill="000000"/>
                <w:fitText w:val="131" w:id="-1435751929"/>
                <w:lang w:val="en-AU"/>
                <w14:textFill>
                  <w14:solidFill>
                    <w14:srgbClr w14:val="000000">
                      <w14:alpha w14:val="100000"/>
                    </w14:srgbClr>
                  </w14:solidFill>
                </w14:textFill>
              </w:rPr>
              <w:t>|</w:t>
            </w:r>
            <w:r w:rsidR="00602B47" w:rsidRPr="00602B47">
              <w:rPr>
                <w:rFonts w:hint="eastAsia"/>
                <w:color w:val="000000"/>
                <w:spacing w:val="3"/>
                <w:w w:val="29"/>
                <w:shd w:val="solid" w:color="000000" w:fill="000000"/>
                <w:fitText w:val="131" w:id="-1435751929"/>
                <w:lang w:val="en-AU"/>
                <w14:textFill>
                  <w14:solidFill>
                    <w14:srgbClr w14:val="000000">
                      <w14:alpha w14:val="100000"/>
                    </w14:srgb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235210DA" w14:textId="229B889D"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w:t>
            </w:r>
            <w:r w:rsidR="00602B47" w:rsidRPr="00602B47">
              <w:rPr>
                <w:rFonts w:hint="eastAsia"/>
                <w:color w:val="000000"/>
                <w:w w:val="29"/>
                <w:shd w:val="solid" w:color="000000" w:fill="000000"/>
                <w:fitText w:val="131" w:id="-1435751928"/>
                <w:lang w:val="en-AU"/>
                <w14:textFill>
                  <w14:solidFill>
                    <w14:srgbClr w14:val="000000">
                      <w14:alpha w14:val="100000"/>
                    </w14:srgbClr>
                  </w14:solidFill>
                </w14:textFill>
              </w:rPr>
              <w:t xml:space="preserve">　</w:t>
            </w:r>
            <w:r w:rsidR="00602B47" w:rsidRPr="00602B47">
              <w:rPr>
                <w:color w:val="000000"/>
                <w:w w:val="29"/>
                <w:shd w:val="solid" w:color="000000" w:fill="000000"/>
                <w:fitText w:val="131" w:id="-1435751928"/>
                <w:lang w:val="en-AU"/>
                <w14:textFill>
                  <w14:solidFill>
                    <w14:srgbClr w14:val="000000">
                      <w14:alpha w14:val="100000"/>
                    </w14:srgbClr>
                  </w14:solidFill>
                </w14:textFill>
              </w:rPr>
              <w:t>|</w:t>
            </w:r>
            <w:r w:rsidR="00602B47" w:rsidRPr="00602B47">
              <w:rPr>
                <w:rFonts w:hint="eastAsia"/>
                <w:color w:val="000000"/>
                <w:spacing w:val="3"/>
                <w:w w:val="29"/>
                <w:shd w:val="solid" w:color="000000" w:fill="000000"/>
                <w:fitText w:val="131" w:id="-1435751928"/>
                <w:lang w:val="en-AU"/>
                <w14:textFill>
                  <w14:solidFill>
                    <w14:srgbClr w14:val="000000">
                      <w14:alpha w14:val="100000"/>
                    </w14:srgb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1E5D3558" w14:textId="578D71AA"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w:t>
            </w:r>
            <w:r w:rsidR="00602B47" w:rsidRPr="00602B47">
              <w:rPr>
                <w:rFonts w:hint="eastAsia"/>
                <w:color w:val="000000"/>
                <w:w w:val="29"/>
                <w:shd w:val="solid" w:color="000000" w:fill="000000"/>
                <w:fitText w:val="131" w:id="-1435751927"/>
                <w:lang w:val="en-AU"/>
                <w14:textFill>
                  <w14:solidFill>
                    <w14:srgbClr w14:val="000000">
                      <w14:alpha w14:val="100000"/>
                    </w14:srgbClr>
                  </w14:solidFill>
                </w14:textFill>
              </w:rPr>
              <w:t xml:space="preserve">　</w:t>
            </w:r>
            <w:r w:rsidR="00602B47" w:rsidRPr="00602B47">
              <w:rPr>
                <w:color w:val="000000"/>
                <w:w w:val="29"/>
                <w:shd w:val="solid" w:color="000000" w:fill="000000"/>
                <w:fitText w:val="131" w:id="-1435751927"/>
                <w:lang w:val="en-AU"/>
                <w14:textFill>
                  <w14:solidFill>
                    <w14:srgbClr w14:val="000000">
                      <w14:alpha w14:val="100000"/>
                    </w14:srgbClr>
                  </w14:solidFill>
                </w14:textFill>
              </w:rPr>
              <w:t>|</w:t>
            </w:r>
            <w:r w:rsidR="00602B47" w:rsidRPr="00602B47">
              <w:rPr>
                <w:rFonts w:hint="eastAsia"/>
                <w:color w:val="000000"/>
                <w:spacing w:val="3"/>
                <w:w w:val="29"/>
                <w:shd w:val="solid" w:color="000000" w:fill="000000"/>
                <w:fitText w:val="131" w:id="-1435751927"/>
                <w:lang w:val="en-AU"/>
                <w14:textFill>
                  <w14:solidFill>
                    <w14:srgbClr w14:val="000000">
                      <w14:alpha w14:val="100000"/>
                    </w14:srgb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78D422A5" w14:textId="06200A30"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w:t>
            </w:r>
            <w:r w:rsidR="00602B47" w:rsidRPr="00602B47">
              <w:rPr>
                <w:rFonts w:hint="eastAsia"/>
                <w:color w:val="000000"/>
                <w:w w:val="29"/>
                <w:shd w:val="solid" w:color="000000" w:fill="000000"/>
                <w:fitText w:val="131" w:id="-1435751926"/>
                <w:lang w:val="en-AU"/>
                <w14:textFill>
                  <w14:solidFill>
                    <w14:srgbClr w14:val="000000">
                      <w14:alpha w14:val="100000"/>
                    </w14:srgbClr>
                  </w14:solidFill>
                </w14:textFill>
              </w:rPr>
              <w:t xml:space="preserve">　</w:t>
            </w:r>
            <w:r w:rsidR="00602B47" w:rsidRPr="00602B47">
              <w:rPr>
                <w:color w:val="000000"/>
                <w:w w:val="29"/>
                <w:shd w:val="solid" w:color="000000" w:fill="000000"/>
                <w:fitText w:val="131" w:id="-1435751926"/>
                <w:lang w:val="en-AU"/>
                <w14:textFill>
                  <w14:solidFill>
                    <w14:srgbClr w14:val="000000">
                      <w14:alpha w14:val="100000"/>
                    </w14:srgbClr>
                  </w14:solidFill>
                </w14:textFill>
              </w:rPr>
              <w:t>|</w:t>
            </w:r>
            <w:r w:rsidR="00602B47" w:rsidRPr="00602B47">
              <w:rPr>
                <w:rFonts w:hint="eastAsia"/>
                <w:color w:val="000000"/>
                <w:spacing w:val="3"/>
                <w:w w:val="29"/>
                <w:shd w:val="solid" w:color="000000" w:fill="000000"/>
                <w:fitText w:val="131" w:id="-1435751926"/>
                <w:lang w:val="en-AU"/>
                <w14:textFill>
                  <w14:solidFill>
                    <w14:srgbClr w14:val="000000">
                      <w14:alpha w14:val="100000"/>
                    </w14:srgb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7D41FE30" w14:textId="2876C3DD"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w:t>
            </w:r>
            <w:r w:rsidR="00602B47" w:rsidRPr="00602B47">
              <w:rPr>
                <w:rFonts w:hint="eastAsia"/>
                <w:color w:val="000000"/>
                <w:w w:val="29"/>
                <w:shd w:val="solid" w:color="000000" w:fill="000000"/>
                <w:fitText w:val="131" w:id="-1435751925"/>
                <w:lang w:val="en-AU"/>
                <w14:textFill>
                  <w14:solidFill>
                    <w14:srgbClr w14:val="000000">
                      <w14:alpha w14:val="100000"/>
                    </w14:srgbClr>
                  </w14:solidFill>
                </w14:textFill>
              </w:rPr>
              <w:t xml:space="preserve">　</w:t>
            </w:r>
            <w:r w:rsidR="00602B47" w:rsidRPr="00602B47">
              <w:rPr>
                <w:color w:val="000000"/>
                <w:w w:val="29"/>
                <w:shd w:val="solid" w:color="000000" w:fill="000000"/>
                <w:fitText w:val="131" w:id="-1435751925"/>
                <w:lang w:val="en-AU"/>
                <w14:textFill>
                  <w14:solidFill>
                    <w14:srgbClr w14:val="000000">
                      <w14:alpha w14:val="100000"/>
                    </w14:srgbClr>
                  </w14:solidFill>
                </w14:textFill>
              </w:rPr>
              <w:t>|</w:t>
            </w:r>
            <w:r w:rsidR="00602B47" w:rsidRPr="00602B47">
              <w:rPr>
                <w:rFonts w:hint="eastAsia"/>
                <w:color w:val="000000"/>
                <w:spacing w:val="3"/>
                <w:w w:val="29"/>
                <w:shd w:val="solid" w:color="000000" w:fill="000000"/>
                <w:fitText w:val="131" w:id="-1435751925"/>
                <w:lang w:val="en-AU"/>
                <w14:textFill>
                  <w14:solidFill>
                    <w14:srgbClr w14:val="000000">
                      <w14:alpha w14:val="100000"/>
                    </w14:srgbClr>
                  </w14:solidFill>
                </w14:textFill>
              </w:rPr>
              <w:t xml:space="preserve">　</w:t>
            </w:r>
            <w:r w:rsidR="007C31F2">
              <w:rPr>
                <w:color w:val="000000"/>
                <w:vertAlign w:val="superscript"/>
                <w:lang w:val="en-AU"/>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67C16727" w14:textId="38D64F29"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lang w:val="en-AU"/>
              </w:rPr>
            </w:pPr>
            <w:r w:rsidRPr="00E050AF">
              <w:rPr>
                <w:lang w:val="en-AU"/>
              </w:rPr>
              <w:t>-</w:t>
            </w:r>
            <w:r w:rsidR="00602B47" w:rsidRPr="00602B47">
              <w:rPr>
                <w:rFonts w:hint="eastAsia"/>
                <w:color w:val="000000"/>
                <w:w w:val="29"/>
                <w:shd w:val="solid" w:color="000000" w:fill="000000"/>
                <w:fitText w:val="131" w:id="-1435751924"/>
                <w:lang w:val="en-AU"/>
                <w14:textFill>
                  <w14:solidFill>
                    <w14:srgbClr w14:val="000000">
                      <w14:alpha w14:val="100000"/>
                    </w14:srgbClr>
                  </w14:solidFill>
                </w14:textFill>
              </w:rPr>
              <w:t xml:space="preserve">　</w:t>
            </w:r>
            <w:r w:rsidR="00602B47" w:rsidRPr="00602B47">
              <w:rPr>
                <w:color w:val="000000"/>
                <w:w w:val="29"/>
                <w:shd w:val="solid" w:color="000000" w:fill="000000"/>
                <w:fitText w:val="131" w:id="-1435751924"/>
                <w:lang w:val="en-AU"/>
                <w14:textFill>
                  <w14:solidFill>
                    <w14:srgbClr w14:val="000000">
                      <w14:alpha w14:val="100000"/>
                    </w14:srgbClr>
                  </w14:solidFill>
                </w14:textFill>
              </w:rPr>
              <w:t>|</w:t>
            </w:r>
            <w:r w:rsidR="00602B47" w:rsidRPr="00602B47">
              <w:rPr>
                <w:rFonts w:hint="eastAsia"/>
                <w:color w:val="000000"/>
                <w:spacing w:val="3"/>
                <w:w w:val="29"/>
                <w:shd w:val="solid" w:color="000000" w:fill="000000"/>
                <w:fitText w:val="131" w:id="-1435751924"/>
                <w:lang w:val="en-AU"/>
                <w14:textFill>
                  <w14:solidFill>
                    <w14:srgbClr w14:val="000000">
                      <w14:alpha w14:val="100000"/>
                    </w14:srgbClr>
                  </w14:solidFill>
                </w14:textFill>
              </w:rPr>
              <w:t xml:space="preserve">　</w:t>
            </w:r>
            <w:r w:rsidR="007C31F2">
              <w:rPr>
                <w:color w:val="000000"/>
                <w:vertAlign w:val="superscript"/>
                <w:lang w:val="en-AU"/>
              </w:rPr>
              <w:t>2</w:t>
            </w:r>
          </w:p>
        </w:tc>
      </w:tr>
      <w:tr w:rsidR="00D22E8E" w:rsidRPr="00E050AF" w14:paraId="264249A6"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54EB7090" w14:textId="77777777" w:rsidR="00D22E8E" w:rsidRPr="00E050AF" w:rsidRDefault="00D22E8E" w:rsidP="00DE3B42">
            <w:pPr>
              <w:pStyle w:val="TableText"/>
              <w:rPr>
                <w:b/>
                <w:lang w:val="en-AU"/>
              </w:rPr>
            </w:pPr>
            <w:r w:rsidRPr="00E050AF">
              <w:rPr>
                <w:lang w:val="en-AU"/>
              </w:rPr>
              <w:t>Net cost to PBS/RPBS for olaparib</w:t>
            </w:r>
          </w:p>
        </w:tc>
        <w:tc>
          <w:tcPr>
            <w:tcW w:w="646" w:type="pct"/>
            <w:tcBorders>
              <w:top w:val="single" w:sz="4" w:space="0" w:color="auto"/>
              <w:left w:val="single" w:sz="4" w:space="0" w:color="auto"/>
              <w:bottom w:val="single" w:sz="4" w:space="0" w:color="auto"/>
              <w:right w:val="single" w:sz="4" w:space="0" w:color="auto"/>
            </w:tcBorders>
            <w:vAlign w:val="center"/>
            <w:hideMark/>
          </w:tcPr>
          <w:p w14:paraId="674A2F16" w14:textId="460FDE5A"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szCs w:val="20"/>
                <w:lang w:val="en-AU"/>
              </w:rPr>
              <w:t>$</w:t>
            </w:r>
            <w:r w:rsidR="00602B47" w:rsidRPr="00602B47">
              <w:rPr>
                <w:color w:val="000000"/>
                <w:spacing w:val="68"/>
                <w:szCs w:val="20"/>
                <w:shd w:val="solid" w:color="000000" w:fill="000000"/>
                <w:fitText w:val="154" w:id="-1435751923"/>
                <w:lang w:val="en-AU"/>
                <w14:textFill>
                  <w14:solidFill>
                    <w14:srgbClr w14:val="000000">
                      <w14:alpha w14:val="100000"/>
                    </w14:srgbClr>
                  </w14:solidFill>
                </w14:textFill>
              </w:rPr>
              <w:t>|</w:t>
            </w:r>
            <w:r w:rsidR="00602B47" w:rsidRPr="00602B47">
              <w:rPr>
                <w:color w:val="000000"/>
                <w:spacing w:val="1"/>
                <w:szCs w:val="20"/>
                <w:shd w:val="solid" w:color="000000" w:fill="000000"/>
                <w:fitText w:val="154" w:id="-1435751923"/>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23FD3E14" w14:textId="18028208"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szCs w:val="20"/>
                <w:lang w:val="en-AU"/>
              </w:rPr>
              <w:t>$</w:t>
            </w:r>
            <w:r w:rsidR="00602B47" w:rsidRPr="00602B47">
              <w:rPr>
                <w:color w:val="000000"/>
                <w:spacing w:val="68"/>
                <w:szCs w:val="20"/>
                <w:shd w:val="solid" w:color="000000" w:fill="000000"/>
                <w:fitText w:val="154" w:id="-1435751922"/>
                <w:lang w:val="en-AU"/>
                <w14:textFill>
                  <w14:solidFill>
                    <w14:srgbClr w14:val="000000">
                      <w14:alpha w14:val="100000"/>
                    </w14:srgbClr>
                  </w14:solidFill>
                </w14:textFill>
              </w:rPr>
              <w:t>|</w:t>
            </w:r>
            <w:r w:rsidR="00602B47" w:rsidRPr="00602B47">
              <w:rPr>
                <w:color w:val="000000"/>
                <w:spacing w:val="1"/>
                <w:szCs w:val="20"/>
                <w:shd w:val="solid" w:color="000000" w:fill="000000"/>
                <w:fitText w:val="154" w:id="-1435751922"/>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45434BFF" w14:textId="4802E46B"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szCs w:val="20"/>
                <w:lang w:val="en-AU"/>
              </w:rPr>
              <w:t>$</w:t>
            </w:r>
            <w:r w:rsidR="00602B47" w:rsidRPr="00602B47">
              <w:rPr>
                <w:color w:val="000000"/>
                <w:spacing w:val="68"/>
                <w:szCs w:val="20"/>
                <w:shd w:val="solid" w:color="000000" w:fill="000000"/>
                <w:fitText w:val="154" w:id="-1435751921"/>
                <w:lang w:val="en-AU"/>
                <w14:textFill>
                  <w14:solidFill>
                    <w14:srgbClr w14:val="000000">
                      <w14:alpha w14:val="100000"/>
                    </w14:srgbClr>
                  </w14:solidFill>
                </w14:textFill>
              </w:rPr>
              <w:t>|</w:t>
            </w:r>
            <w:r w:rsidR="00602B47" w:rsidRPr="00602B47">
              <w:rPr>
                <w:color w:val="000000"/>
                <w:spacing w:val="1"/>
                <w:szCs w:val="20"/>
                <w:shd w:val="solid" w:color="000000" w:fill="000000"/>
                <w:fitText w:val="154" w:id="-1435751921"/>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41C76175" w14:textId="42226101"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szCs w:val="20"/>
                <w:lang w:val="en-AU"/>
              </w:rPr>
              <w:t>$</w:t>
            </w:r>
            <w:r w:rsidR="00602B47" w:rsidRPr="00602B47">
              <w:rPr>
                <w:color w:val="000000"/>
                <w:spacing w:val="68"/>
                <w:szCs w:val="20"/>
                <w:shd w:val="solid" w:color="000000" w:fill="000000"/>
                <w:fitText w:val="154" w:id="-1435751920"/>
                <w:lang w:val="en-AU"/>
                <w14:textFill>
                  <w14:solidFill>
                    <w14:srgbClr w14:val="000000">
                      <w14:alpha w14:val="100000"/>
                    </w14:srgbClr>
                  </w14:solidFill>
                </w14:textFill>
              </w:rPr>
              <w:t>|</w:t>
            </w:r>
            <w:r w:rsidR="00602B47" w:rsidRPr="00602B47">
              <w:rPr>
                <w:color w:val="000000"/>
                <w:spacing w:val="1"/>
                <w:szCs w:val="20"/>
                <w:shd w:val="solid" w:color="000000" w:fill="000000"/>
                <w:fitText w:val="154" w:id="-1435751920"/>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18F2ADF5" w14:textId="5E5D5193"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szCs w:val="20"/>
                <w:lang w:val="en-AU"/>
              </w:rPr>
              <w:t>$</w:t>
            </w:r>
            <w:r w:rsidR="00602B47" w:rsidRPr="00602B47">
              <w:rPr>
                <w:color w:val="000000"/>
                <w:spacing w:val="68"/>
                <w:szCs w:val="20"/>
                <w:shd w:val="solid" w:color="000000" w:fill="000000"/>
                <w:fitText w:val="154" w:id="-1435751936"/>
                <w:lang w:val="en-AU"/>
                <w14:textFill>
                  <w14:solidFill>
                    <w14:srgbClr w14:val="000000">
                      <w14:alpha w14:val="100000"/>
                    </w14:srgbClr>
                  </w14:solidFill>
                </w14:textFill>
              </w:rPr>
              <w:t>|</w:t>
            </w:r>
            <w:r w:rsidR="00602B47" w:rsidRPr="00602B47">
              <w:rPr>
                <w:color w:val="000000"/>
                <w:spacing w:val="1"/>
                <w:szCs w:val="20"/>
                <w:shd w:val="solid" w:color="000000" w:fill="000000"/>
                <w:fitText w:val="154" w:id="-1435751936"/>
                <w:lang w:val="en-AU"/>
                <w14:textFill>
                  <w14:solidFill>
                    <w14:srgbClr w14:val="000000">
                      <w14:alpha w14:val="100000"/>
                    </w14:srgbClr>
                  </w14:solidFill>
                </w14:textFill>
              </w:rPr>
              <w:t>|</w:t>
            </w:r>
            <w:r w:rsidR="007C31F2">
              <w:rPr>
                <w:color w:val="000000"/>
                <w:vertAlign w:val="superscript"/>
                <w:lang w:val="en-AU"/>
              </w:rPr>
              <w:t>3</w:t>
            </w:r>
          </w:p>
        </w:tc>
        <w:tc>
          <w:tcPr>
            <w:tcW w:w="649" w:type="pct"/>
            <w:tcBorders>
              <w:top w:val="single" w:sz="4" w:space="0" w:color="auto"/>
              <w:left w:val="single" w:sz="4" w:space="0" w:color="auto"/>
              <w:bottom w:val="single" w:sz="4" w:space="0" w:color="auto"/>
              <w:right w:val="single" w:sz="4" w:space="0" w:color="auto"/>
            </w:tcBorders>
            <w:vAlign w:val="center"/>
            <w:hideMark/>
          </w:tcPr>
          <w:p w14:paraId="31084B6C" w14:textId="5F08F144"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szCs w:val="20"/>
                <w:lang w:val="en-AU"/>
              </w:rPr>
              <w:t>$</w:t>
            </w:r>
            <w:r w:rsidR="00602B47" w:rsidRPr="00602B47">
              <w:rPr>
                <w:rFonts w:hint="eastAsia"/>
                <w:color w:val="000000"/>
                <w:w w:val="31"/>
                <w:szCs w:val="20"/>
                <w:shd w:val="solid" w:color="000000" w:fill="000000"/>
                <w:fitText w:val="139" w:id="-1435751935"/>
                <w:lang w:val="en-AU"/>
                <w14:textFill>
                  <w14:solidFill>
                    <w14:srgbClr w14:val="000000">
                      <w14:alpha w14:val="100000"/>
                    </w14:srgbClr>
                  </w14:solidFill>
                </w14:textFill>
              </w:rPr>
              <w:t xml:space="preserve">　</w:t>
            </w:r>
            <w:r w:rsidR="00602B47" w:rsidRPr="00602B47">
              <w:rPr>
                <w:color w:val="000000"/>
                <w:w w:val="31"/>
                <w:szCs w:val="20"/>
                <w:shd w:val="solid" w:color="000000" w:fill="000000"/>
                <w:fitText w:val="139" w:id="-1435751935"/>
                <w:lang w:val="en-AU"/>
                <w14:textFill>
                  <w14:solidFill>
                    <w14:srgbClr w14:val="000000">
                      <w14:alpha w14:val="100000"/>
                    </w14:srgbClr>
                  </w14:solidFill>
                </w14:textFill>
              </w:rPr>
              <w:t>|</w:t>
            </w:r>
            <w:r w:rsidR="00602B47" w:rsidRPr="00602B47">
              <w:rPr>
                <w:rFonts w:hint="eastAsia"/>
                <w:color w:val="000000"/>
                <w:spacing w:val="3"/>
                <w:w w:val="31"/>
                <w:szCs w:val="20"/>
                <w:shd w:val="solid" w:color="000000" w:fill="000000"/>
                <w:fitText w:val="139" w:id="-1435751935"/>
                <w:lang w:val="en-AU"/>
                <w14:textFill>
                  <w14:solidFill>
                    <w14:srgbClr w14:val="000000">
                      <w14:alpha w14:val="100000"/>
                    </w14:srgbClr>
                  </w14:solidFill>
                </w14:textFill>
              </w:rPr>
              <w:t xml:space="preserve">　</w:t>
            </w:r>
            <w:r w:rsidR="007C31F2">
              <w:rPr>
                <w:color w:val="000000"/>
                <w:vertAlign w:val="superscript"/>
                <w:lang w:val="en-AU"/>
              </w:rPr>
              <w:t>3</w:t>
            </w:r>
          </w:p>
        </w:tc>
      </w:tr>
      <w:tr w:rsidR="00D22E8E" w:rsidRPr="00E050AF" w14:paraId="249D9F84"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58102FDB" w14:textId="77777777" w:rsidR="00D22E8E" w:rsidRPr="00E050AF" w:rsidRDefault="00D22E8E" w:rsidP="00DE3B42">
            <w:pPr>
              <w:pStyle w:val="TableText"/>
              <w:rPr>
                <w:b/>
                <w:lang w:val="en-AU"/>
              </w:rPr>
            </w:pPr>
            <w:r w:rsidRPr="00E050AF">
              <w:rPr>
                <w:lang w:val="en-AU"/>
              </w:rPr>
              <w:t>Net cost to PBS/RPBS for bevacizumab</w:t>
            </w:r>
          </w:p>
        </w:tc>
        <w:tc>
          <w:tcPr>
            <w:tcW w:w="646" w:type="pct"/>
            <w:tcBorders>
              <w:top w:val="single" w:sz="4" w:space="0" w:color="auto"/>
              <w:left w:val="single" w:sz="4" w:space="0" w:color="auto"/>
              <w:bottom w:val="single" w:sz="4" w:space="0" w:color="auto"/>
              <w:right w:val="single" w:sz="4" w:space="0" w:color="auto"/>
            </w:tcBorders>
            <w:vAlign w:val="center"/>
            <w:hideMark/>
          </w:tcPr>
          <w:p w14:paraId="0008DA80" w14:textId="3BE71AF0"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68"/>
                <w:szCs w:val="20"/>
                <w:shd w:val="solid" w:color="000000" w:fill="000000"/>
                <w:fitText w:val="154" w:id="-1435751934"/>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54" w:id="-1435751934"/>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6EB3103A" w14:textId="483D579A"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68"/>
                <w:szCs w:val="20"/>
                <w:shd w:val="solid" w:color="000000" w:fill="000000"/>
                <w:fitText w:val="154" w:id="-1435751933"/>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54" w:id="-1435751933"/>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668275F5" w14:textId="5987FFDB"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68"/>
                <w:szCs w:val="20"/>
                <w:shd w:val="solid" w:color="000000" w:fill="000000"/>
                <w:fitText w:val="154" w:id="-1435751932"/>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54" w:id="-1435751932"/>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35F42D6B" w14:textId="1FB59375"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68"/>
                <w:szCs w:val="20"/>
                <w:shd w:val="solid" w:color="000000" w:fill="000000"/>
                <w:fitText w:val="154" w:id="-1435751931"/>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54" w:id="-1435751931"/>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737F2D8C" w14:textId="3F87B9E2"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68"/>
                <w:szCs w:val="20"/>
                <w:shd w:val="solid" w:color="000000" w:fill="000000"/>
                <w:fitText w:val="154" w:id="-1435751930"/>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54" w:id="-1435751930"/>
                <w:lang w:val="en-AU"/>
                <w14:textFill>
                  <w14:solidFill>
                    <w14:srgbClr w14:val="000000">
                      <w14:alpha w14:val="100000"/>
                    </w14:srgbClr>
                  </w14:solidFill>
                </w14:textFill>
              </w:rPr>
              <w:t>|</w:t>
            </w:r>
            <w:r w:rsidR="007C31F2">
              <w:rPr>
                <w:color w:val="000000"/>
                <w:vertAlign w:val="superscript"/>
                <w:lang w:val="en-AU"/>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71033F3B" w14:textId="44768A6B"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hint="eastAsia"/>
                <w:color w:val="000000"/>
                <w:w w:val="31"/>
                <w:szCs w:val="20"/>
                <w:shd w:val="solid" w:color="000000" w:fill="000000"/>
                <w:fitText w:val="139" w:id="-1435751929"/>
                <w:lang w:val="en-AU"/>
                <w14:textFill>
                  <w14:solidFill>
                    <w14:srgbClr w14:val="000000">
                      <w14:alpha w14:val="100000"/>
                    </w14:srgbClr>
                  </w14:solidFill>
                </w14:textFill>
              </w:rPr>
              <w:t xml:space="preserve">　</w:t>
            </w:r>
            <w:r w:rsidR="00602B47" w:rsidRPr="00602B47">
              <w:rPr>
                <w:rFonts w:cs="Arial"/>
                <w:color w:val="000000"/>
                <w:w w:val="31"/>
                <w:szCs w:val="20"/>
                <w:shd w:val="solid" w:color="000000" w:fill="000000"/>
                <w:fitText w:val="139" w:id="-1435751929"/>
                <w:lang w:val="en-AU"/>
                <w14:textFill>
                  <w14:solidFill>
                    <w14:srgbClr w14:val="000000">
                      <w14:alpha w14:val="100000"/>
                    </w14:srgbClr>
                  </w14:solidFill>
                </w14:textFill>
              </w:rPr>
              <w:t>|</w:t>
            </w:r>
            <w:r w:rsidR="00602B47" w:rsidRPr="00602B47">
              <w:rPr>
                <w:rFonts w:cs="Arial" w:hint="eastAsia"/>
                <w:color w:val="000000"/>
                <w:spacing w:val="3"/>
                <w:w w:val="31"/>
                <w:szCs w:val="20"/>
                <w:shd w:val="solid" w:color="000000" w:fill="000000"/>
                <w:fitText w:val="139" w:id="-1435751929"/>
                <w:lang w:val="en-AU"/>
                <w14:textFill>
                  <w14:solidFill>
                    <w14:srgbClr w14:val="000000">
                      <w14:alpha w14:val="100000"/>
                    </w14:srgbClr>
                  </w14:solidFill>
                </w14:textFill>
              </w:rPr>
              <w:t xml:space="preserve">　</w:t>
            </w:r>
            <w:r w:rsidR="007C31F2">
              <w:rPr>
                <w:color w:val="000000"/>
                <w:vertAlign w:val="superscript"/>
                <w:lang w:val="en-AU"/>
              </w:rPr>
              <w:t>4</w:t>
            </w:r>
          </w:p>
        </w:tc>
      </w:tr>
      <w:tr w:rsidR="00D22E8E" w:rsidRPr="00E050AF" w14:paraId="02146720"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4DFD3FC7" w14:textId="77777777" w:rsidR="00D22E8E" w:rsidRPr="00E050AF" w:rsidRDefault="00D22E8E" w:rsidP="00DE3B42">
            <w:pPr>
              <w:pStyle w:val="TableText"/>
              <w:rPr>
                <w:b/>
                <w:lang w:val="en-AU"/>
              </w:rPr>
            </w:pPr>
            <w:r w:rsidRPr="00E050AF">
              <w:rPr>
                <w:iCs/>
                <w:lang w:val="en-AU"/>
              </w:rPr>
              <w:t>Cost reductions (bevacizumab)</w:t>
            </w:r>
          </w:p>
        </w:tc>
        <w:tc>
          <w:tcPr>
            <w:tcW w:w="646" w:type="pct"/>
            <w:tcBorders>
              <w:top w:val="single" w:sz="4" w:space="0" w:color="auto"/>
              <w:left w:val="single" w:sz="4" w:space="0" w:color="auto"/>
              <w:bottom w:val="single" w:sz="4" w:space="0" w:color="auto"/>
              <w:right w:val="single" w:sz="4" w:space="0" w:color="auto"/>
            </w:tcBorders>
            <w:vAlign w:val="center"/>
            <w:hideMark/>
          </w:tcPr>
          <w:p w14:paraId="0784914F" w14:textId="2850B2F2"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91"/>
                <w:szCs w:val="20"/>
                <w:shd w:val="solid" w:color="000000" w:fill="000000"/>
                <w:fitText w:val="177" w:id="-1435751928"/>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77" w:id="-1435751928"/>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03C73947" w14:textId="5594AA34"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91"/>
                <w:szCs w:val="20"/>
                <w:shd w:val="solid" w:color="000000" w:fill="000000"/>
                <w:fitText w:val="177" w:id="-1435751927"/>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77" w:id="-1435751927"/>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0CED0767" w14:textId="5862A8F2"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92"/>
                <w:szCs w:val="20"/>
                <w:shd w:val="solid" w:color="000000" w:fill="000000"/>
                <w:fitText w:val="178" w:id="-1435751926"/>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78" w:id="-1435751926"/>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7C41AD24" w14:textId="07110C6B"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91"/>
                <w:szCs w:val="20"/>
                <w:shd w:val="solid" w:color="000000" w:fill="000000"/>
                <w:fitText w:val="177" w:id="-1435751925"/>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77" w:id="-1435751925"/>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7E9C3D27" w14:textId="5883501B"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91"/>
                <w:szCs w:val="20"/>
                <w:shd w:val="solid" w:color="000000" w:fill="000000"/>
                <w:fitText w:val="177" w:id="-1435751924"/>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77" w:id="-1435751924"/>
                <w:lang w:val="en-AU"/>
                <w14:textFill>
                  <w14:solidFill>
                    <w14:srgbClr w14:val="000000">
                      <w14:alpha w14:val="100000"/>
                    </w14:srgbClr>
                  </w14:solidFill>
                </w14:textFill>
              </w:rPr>
              <w:t>|</w:t>
            </w:r>
            <w:r w:rsidR="007C31F2">
              <w:rPr>
                <w:color w:val="000000"/>
                <w:vertAlign w:val="superscript"/>
                <w:lang w:val="en-AU"/>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4AE303C5" w14:textId="1DF100E6"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lang w:val="en-AU"/>
              </w:rPr>
            </w:pPr>
            <w:r w:rsidRPr="00E050AF">
              <w:rPr>
                <w:rFonts w:cs="Arial"/>
                <w:szCs w:val="20"/>
                <w:lang w:val="en-AU"/>
              </w:rPr>
              <w:t>-$</w:t>
            </w:r>
            <w:r w:rsidR="00602B47" w:rsidRPr="00602B47">
              <w:rPr>
                <w:rFonts w:cs="Arial"/>
                <w:color w:val="000000"/>
                <w:spacing w:val="92"/>
                <w:szCs w:val="20"/>
                <w:shd w:val="solid" w:color="000000" w:fill="000000"/>
                <w:fitText w:val="178" w:id="-1435751923"/>
                <w:lang w:val="en-AU"/>
                <w14:textFill>
                  <w14:solidFill>
                    <w14:srgbClr w14:val="000000">
                      <w14:alpha w14:val="100000"/>
                    </w14:srgbClr>
                  </w14:solidFill>
                </w14:textFill>
              </w:rPr>
              <w:t>|</w:t>
            </w:r>
            <w:r w:rsidR="00602B47" w:rsidRPr="00602B47">
              <w:rPr>
                <w:rFonts w:cs="Arial"/>
                <w:color w:val="000000"/>
                <w:spacing w:val="1"/>
                <w:szCs w:val="20"/>
                <w:shd w:val="solid" w:color="000000" w:fill="000000"/>
                <w:fitText w:val="178" w:id="-1435751923"/>
                <w:lang w:val="en-AU"/>
                <w14:textFill>
                  <w14:solidFill>
                    <w14:srgbClr w14:val="000000">
                      <w14:alpha w14:val="100000"/>
                    </w14:srgbClr>
                  </w14:solidFill>
                </w14:textFill>
              </w:rPr>
              <w:t>|</w:t>
            </w:r>
            <w:r w:rsidR="007C31F2">
              <w:rPr>
                <w:color w:val="000000"/>
                <w:vertAlign w:val="superscript"/>
                <w:lang w:val="en-AU"/>
              </w:rPr>
              <w:t>4</w:t>
            </w:r>
          </w:p>
        </w:tc>
      </w:tr>
      <w:tr w:rsidR="00D22E8E" w:rsidRPr="00E050AF" w14:paraId="2B94195A"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63C4DFD5" w14:textId="77777777" w:rsidR="00D22E8E" w:rsidRPr="00E050AF" w:rsidRDefault="00D22E8E" w:rsidP="00DE3B42">
            <w:pPr>
              <w:pStyle w:val="TableText"/>
              <w:rPr>
                <w:b/>
                <w:bCs/>
                <w:lang w:val="en-AU"/>
              </w:rPr>
            </w:pPr>
            <w:r w:rsidRPr="00E050AF">
              <w:rPr>
                <w:b/>
                <w:bCs/>
                <w:iCs/>
                <w:lang w:val="en-AU"/>
              </w:rPr>
              <w:t>Total net cost to PBS /RPBS for olaparib + bevacizumab</w:t>
            </w:r>
          </w:p>
        </w:tc>
        <w:tc>
          <w:tcPr>
            <w:tcW w:w="646" w:type="pct"/>
            <w:tcBorders>
              <w:top w:val="single" w:sz="4" w:space="0" w:color="auto"/>
              <w:left w:val="single" w:sz="4" w:space="0" w:color="auto"/>
              <w:bottom w:val="single" w:sz="4" w:space="0" w:color="auto"/>
              <w:right w:val="single" w:sz="4" w:space="0" w:color="auto"/>
            </w:tcBorders>
            <w:vAlign w:val="center"/>
            <w:hideMark/>
          </w:tcPr>
          <w:p w14:paraId="12CBEAD7" w14:textId="6F552E99"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rFonts w:cs="Arial"/>
                <w:b/>
                <w:bCs/>
                <w:color w:val="000000"/>
                <w:szCs w:val="20"/>
                <w:lang w:val="en-AU"/>
              </w:rPr>
              <w:t>$</w:t>
            </w:r>
            <w:r w:rsidR="00602B47" w:rsidRPr="00602B47">
              <w:rPr>
                <w:rFonts w:cs="Arial"/>
                <w:b/>
                <w:bCs/>
                <w:color w:val="000000"/>
                <w:spacing w:val="100"/>
                <w:szCs w:val="20"/>
                <w:shd w:val="solid" w:color="000000" w:fill="000000"/>
                <w:fitText w:val="192" w:id="-1435751922"/>
                <w:lang w:val="en-AU"/>
                <w14:textFill>
                  <w14:solidFill>
                    <w14:srgbClr w14:val="000000">
                      <w14:alpha w14:val="100000"/>
                    </w14:srgbClr>
                  </w14:solidFill>
                </w14:textFill>
              </w:rPr>
              <w:t>|</w:t>
            </w:r>
            <w:r w:rsidR="00602B47" w:rsidRPr="00602B47">
              <w:rPr>
                <w:rFonts w:cs="Arial"/>
                <w:b/>
                <w:bCs/>
                <w:color w:val="000000"/>
                <w:spacing w:val="1"/>
                <w:szCs w:val="20"/>
                <w:shd w:val="solid" w:color="000000" w:fill="000000"/>
                <w:fitText w:val="192" w:id="-1435751922"/>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33FCF945" w14:textId="1C25977C"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rFonts w:cs="Arial"/>
                <w:b/>
                <w:bCs/>
                <w:color w:val="000000"/>
                <w:szCs w:val="20"/>
                <w:lang w:val="en-AU"/>
              </w:rPr>
              <w:t>$</w:t>
            </w:r>
            <w:r w:rsidR="00602B47" w:rsidRPr="00602B47">
              <w:rPr>
                <w:rFonts w:cs="Arial"/>
                <w:b/>
                <w:bCs/>
                <w:color w:val="000000"/>
                <w:spacing w:val="101"/>
                <w:szCs w:val="20"/>
                <w:shd w:val="solid" w:color="000000" w:fill="000000"/>
                <w:fitText w:val="193" w:id="-1435751921"/>
                <w:lang w:val="en-AU"/>
                <w14:textFill>
                  <w14:solidFill>
                    <w14:srgbClr w14:val="000000">
                      <w14:alpha w14:val="100000"/>
                    </w14:srgbClr>
                  </w14:solidFill>
                </w14:textFill>
              </w:rPr>
              <w:t>|</w:t>
            </w:r>
            <w:r w:rsidR="00602B47" w:rsidRPr="00602B47">
              <w:rPr>
                <w:rFonts w:cs="Arial"/>
                <w:b/>
                <w:bCs/>
                <w:color w:val="000000"/>
                <w:spacing w:val="1"/>
                <w:szCs w:val="20"/>
                <w:shd w:val="solid" w:color="000000" w:fill="000000"/>
                <w:fitText w:val="193" w:id="-1435751921"/>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0AF3AAA1" w14:textId="567AA24B"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rFonts w:cs="Arial"/>
                <w:b/>
                <w:bCs/>
                <w:color w:val="000000"/>
                <w:szCs w:val="20"/>
                <w:lang w:val="en-AU"/>
              </w:rPr>
              <w:t>$</w:t>
            </w:r>
            <w:r w:rsidR="00602B47" w:rsidRPr="00602B47">
              <w:rPr>
                <w:rFonts w:cs="Arial"/>
                <w:b/>
                <w:bCs/>
                <w:color w:val="000000"/>
                <w:spacing w:val="100"/>
                <w:szCs w:val="20"/>
                <w:shd w:val="solid" w:color="000000" w:fill="000000"/>
                <w:fitText w:val="192" w:id="-1435751920"/>
                <w:lang w:val="en-AU"/>
                <w14:textFill>
                  <w14:solidFill>
                    <w14:srgbClr w14:val="000000">
                      <w14:alpha w14:val="100000"/>
                    </w14:srgbClr>
                  </w14:solidFill>
                </w14:textFill>
              </w:rPr>
              <w:t>|</w:t>
            </w:r>
            <w:r w:rsidR="00602B47" w:rsidRPr="00602B47">
              <w:rPr>
                <w:rFonts w:cs="Arial"/>
                <w:b/>
                <w:bCs/>
                <w:color w:val="000000"/>
                <w:spacing w:val="1"/>
                <w:szCs w:val="20"/>
                <w:shd w:val="solid" w:color="000000" w:fill="000000"/>
                <w:fitText w:val="192" w:id="-1435751920"/>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40E59ECE" w14:textId="0201B64F"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rFonts w:cs="Arial"/>
                <w:b/>
                <w:bCs/>
                <w:color w:val="000000"/>
                <w:szCs w:val="20"/>
                <w:lang w:val="en-AU"/>
              </w:rPr>
              <w:t>$</w:t>
            </w:r>
            <w:r w:rsidR="00602B47" w:rsidRPr="00602B47">
              <w:rPr>
                <w:rFonts w:cs="Arial"/>
                <w:b/>
                <w:bCs/>
                <w:color w:val="000000"/>
                <w:spacing w:val="100"/>
                <w:szCs w:val="20"/>
                <w:shd w:val="solid" w:color="000000" w:fill="000000"/>
                <w:fitText w:val="192" w:id="-1435751936"/>
                <w:lang w:val="en-AU"/>
                <w14:textFill>
                  <w14:solidFill>
                    <w14:srgbClr w14:val="000000">
                      <w14:alpha w14:val="100000"/>
                    </w14:srgbClr>
                  </w14:solidFill>
                </w14:textFill>
              </w:rPr>
              <w:t>|</w:t>
            </w:r>
            <w:r w:rsidR="00602B47" w:rsidRPr="00602B47">
              <w:rPr>
                <w:rFonts w:cs="Arial"/>
                <w:b/>
                <w:bCs/>
                <w:color w:val="000000"/>
                <w:spacing w:val="1"/>
                <w:szCs w:val="20"/>
                <w:shd w:val="solid" w:color="000000" w:fill="000000"/>
                <w:fitText w:val="192" w:id="-1435751936"/>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440A2724" w14:textId="2723ECC6"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rFonts w:cs="Arial"/>
                <w:b/>
                <w:bCs/>
                <w:color w:val="000000"/>
                <w:szCs w:val="20"/>
                <w:lang w:val="en-AU"/>
              </w:rPr>
              <w:t>$</w:t>
            </w:r>
            <w:r w:rsidR="00602B47" w:rsidRPr="00602B47">
              <w:rPr>
                <w:rFonts w:cs="Arial"/>
                <w:b/>
                <w:bCs/>
                <w:color w:val="000000"/>
                <w:spacing w:val="101"/>
                <w:szCs w:val="20"/>
                <w:shd w:val="solid" w:color="000000" w:fill="000000"/>
                <w:fitText w:val="193" w:id="-1435751935"/>
                <w:lang w:val="en-AU"/>
                <w14:textFill>
                  <w14:solidFill>
                    <w14:srgbClr w14:val="000000">
                      <w14:alpha w14:val="100000"/>
                    </w14:srgbClr>
                  </w14:solidFill>
                </w14:textFill>
              </w:rPr>
              <w:t>|</w:t>
            </w:r>
            <w:r w:rsidR="00602B47" w:rsidRPr="00602B47">
              <w:rPr>
                <w:rFonts w:cs="Arial"/>
                <w:b/>
                <w:bCs/>
                <w:color w:val="000000"/>
                <w:spacing w:val="1"/>
                <w:szCs w:val="20"/>
                <w:shd w:val="solid" w:color="000000" w:fill="000000"/>
                <w:fitText w:val="193" w:id="-1435751935"/>
                <w:lang w:val="en-AU"/>
                <w14:textFill>
                  <w14:solidFill>
                    <w14:srgbClr w14:val="000000">
                      <w14:alpha w14:val="100000"/>
                    </w14:srgbClr>
                  </w14:solidFill>
                </w14:textFill>
              </w:rPr>
              <w:t>|</w:t>
            </w:r>
            <w:r w:rsidR="007C31F2">
              <w:rPr>
                <w:color w:val="000000"/>
                <w:vertAlign w:val="superscript"/>
                <w:lang w:val="en-AU"/>
              </w:rPr>
              <w:t>3</w:t>
            </w:r>
          </w:p>
        </w:tc>
        <w:tc>
          <w:tcPr>
            <w:tcW w:w="649" w:type="pct"/>
            <w:tcBorders>
              <w:top w:val="single" w:sz="4" w:space="0" w:color="auto"/>
              <w:left w:val="single" w:sz="4" w:space="0" w:color="auto"/>
              <w:bottom w:val="single" w:sz="4" w:space="0" w:color="auto"/>
              <w:right w:val="single" w:sz="4" w:space="0" w:color="auto"/>
            </w:tcBorders>
            <w:vAlign w:val="center"/>
            <w:hideMark/>
          </w:tcPr>
          <w:p w14:paraId="548C75E8" w14:textId="60BF3027" w:rsidR="00D22E8E" w:rsidRPr="00E050AF" w:rsidRDefault="00D22E8E" w:rsidP="00DE3B42">
            <w:pPr>
              <w:pStyle w:val="TableText"/>
              <w:jc w:val="center"/>
              <w:cnfStyle w:val="000000000000" w:firstRow="0" w:lastRow="0" w:firstColumn="0" w:lastColumn="0" w:oddVBand="0" w:evenVBand="0" w:oddHBand="0" w:evenHBand="0" w:firstRowFirstColumn="0" w:firstRowLastColumn="0" w:lastRowFirstColumn="0" w:lastRowLastColumn="0"/>
              <w:rPr>
                <w:b/>
                <w:bCs/>
                <w:lang w:val="en-AU"/>
              </w:rPr>
            </w:pPr>
            <w:r w:rsidRPr="00E050AF">
              <w:rPr>
                <w:rFonts w:cs="Arial"/>
                <w:b/>
                <w:bCs/>
                <w:color w:val="000000"/>
                <w:szCs w:val="20"/>
                <w:lang w:val="en-AU"/>
              </w:rPr>
              <w:t>$</w:t>
            </w:r>
            <w:r w:rsidR="00602B47" w:rsidRPr="00602B47">
              <w:rPr>
                <w:rFonts w:cs="Arial"/>
                <w:b/>
                <w:bCs/>
                <w:color w:val="000000"/>
                <w:spacing w:val="100"/>
                <w:szCs w:val="20"/>
                <w:shd w:val="solid" w:color="000000" w:fill="000000"/>
                <w:fitText w:val="192" w:id="-1435751934"/>
                <w:lang w:val="en-AU"/>
                <w14:textFill>
                  <w14:solidFill>
                    <w14:srgbClr w14:val="000000">
                      <w14:alpha w14:val="100000"/>
                    </w14:srgbClr>
                  </w14:solidFill>
                </w14:textFill>
              </w:rPr>
              <w:t>|</w:t>
            </w:r>
            <w:r w:rsidR="00602B47" w:rsidRPr="00602B47">
              <w:rPr>
                <w:rFonts w:cs="Arial"/>
                <w:b/>
                <w:bCs/>
                <w:color w:val="000000"/>
                <w:spacing w:val="1"/>
                <w:szCs w:val="20"/>
                <w:shd w:val="solid" w:color="000000" w:fill="000000"/>
                <w:fitText w:val="192" w:id="-1435751934"/>
                <w:lang w:val="en-AU"/>
                <w14:textFill>
                  <w14:solidFill>
                    <w14:srgbClr w14:val="000000">
                      <w14:alpha w14:val="100000"/>
                    </w14:srgbClr>
                  </w14:solidFill>
                </w14:textFill>
              </w:rPr>
              <w:t>|</w:t>
            </w:r>
            <w:r w:rsidR="007C31F2">
              <w:rPr>
                <w:color w:val="000000"/>
                <w:vertAlign w:val="superscript"/>
                <w:lang w:val="en-AU"/>
              </w:rPr>
              <w:t>3</w:t>
            </w:r>
          </w:p>
        </w:tc>
      </w:tr>
      <w:tr w:rsidR="00D22E8E" w:rsidRPr="00E050AF" w14:paraId="100E05A3" w14:textId="77777777" w:rsidTr="00DE3B42">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6B9D63E4" w14:textId="2F75659E" w:rsidR="00D22E8E" w:rsidRPr="00E050AF" w:rsidRDefault="00D22E8E" w:rsidP="00DE3B42">
            <w:pPr>
              <w:pStyle w:val="TableBodyHeading-H54"/>
              <w:rPr>
                <w:bCs w:val="0"/>
                <w:lang w:val="en-AU"/>
              </w:rPr>
            </w:pPr>
            <w:r w:rsidRPr="00E050AF">
              <w:rPr>
                <w:bCs w:val="0"/>
                <w:lang w:val="en-AU"/>
              </w:rPr>
              <w:t xml:space="preserve">Estimated financial implications of HRD and </w:t>
            </w:r>
            <w:r w:rsidR="00275200" w:rsidRPr="00E050AF">
              <w:rPr>
                <w:i/>
                <w:lang w:val="en-AU"/>
              </w:rPr>
              <w:t>BRCA</w:t>
            </w:r>
            <w:r w:rsidRPr="00E050AF">
              <w:rPr>
                <w:bCs w:val="0"/>
                <w:lang w:val="en-AU"/>
              </w:rPr>
              <w:t xml:space="preserve"> tests to the MBS</w:t>
            </w:r>
          </w:p>
        </w:tc>
      </w:tr>
      <w:tr w:rsidR="00D22E8E" w:rsidRPr="00E050AF" w14:paraId="2EE4B614"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04FAEF99" w14:textId="77777777" w:rsidR="00D22E8E" w:rsidRPr="00E050AF" w:rsidRDefault="00D22E8E" w:rsidP="00DE3B42">
            <w:pPr>
              <w:pStyle w:val="TableText"/>
              <w:rPr>
                <w:b/>
                <w:bCs/>
                <w:iCs/>
                <w:lang w:val="en-AU"/>
              </w:rPr>
            </w:pPr>
            <w:r w:rsidRPr="00E050AF">
              <w:rPr>
                <w:lang w:val="en-AU"/>
              </w:rPr>
              <w:t>Total test numbers</w:t>
            </w:r>
          </w:p>
        </w:tc>
        <w:tc>
          <w:tcPr>
            <w:tcW w:w="646" w:type="pct"/>
            <w:tcBorders>
              <w:top w:val="single" w:sz="4" w:space="0" w:color="auto"/>
              <w:left w:val="single" w:sz="4" w:space="0" w:color="auto"/>
              <w:bottom w:val="single" w:sz="4" w:space="0" w:color="auto"/>
              <w:right w:val="single" w:sz="4" w:space="0" w:color="auto"/>
            </w:tcBorders>
            <w:vAlign w:val="center"/>
            <w:hideMark/>
          </w:tcPr>
          <w:p w14:paraId="29C66898" w14:textId="1D337138" w:rsidR="00D22E8E" w:rsidRPr="007C31F2" w:rsidRDefault="00602B47"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highlight w:val="darkGray"/>
                <w:lang w:val="en-AU"/>
              </w:rPr>
            </w:pPr>
            <w:r w:rsidRPr="00602B47">
              <w:rPr>
                <w:rFonts w:hint="eastAsia"/>
                <w:b w:val="0"/>
                <w:bCs w:val="0"/>
                <w:w w:val="22"/>
                <w:shd w:val="solid" w:color="000000" w:fill="000000"/>
                <w:fitText w:val="100" w:id="-1435751933"/>
                <w:lang w:val="en-AU"/>
                <w14:textFill>
                  <w14:solidFill>
                    <w14:schemeClr w14:val="tx1">
                      <w14:alpha w14:val="100000"/>
                    </w14:schemeClr>
                  </w14:solidFill>
                </w14:textFill>
              </w:rPr>
              <w:t xml:space="preserve">　</w:t>
            </w:r>
            <w:r w:rsidRPr="00602B47">
              <w:rPr>
                <w:b w:val="0"/>
                <w:bCs w:val="0"/>
                <w:w w:val="22"/>
                <w:shd w:val="solid" w:color="000000" w:fill="000000"/>
                <w:fitText w:val="100" w:id="-1435751933"/>
                <w:lang w:val="en-AU"/>
                <w14:textFill>
                  <w14:solidFill>
                    <w14:schemeClr w14:val="tx1">
                      <w14:alpha w14:val="100000"/>
                    </w14:schemeClr>
                  </w14:solidFill>
                </w14:textFill>
              </w:rPr>
              <w:t>|</w:t>
            </w:r>
            <w:r w:rsidRPr="00602B47">
              <w:rPr>
                <w:rFonts w:hint="eastAsia"/>
                <w:b w:val="0"/>
                <w:bCs w:val="0"/>
                <w:spacing w:val="3"/>
                <w:w w:val="22"/>
                <w:shd w:val="solid" w:color="000000" w:fill="000000"/>
                <w:fitText w:val="100" w:id="-1435751933"/>
                <w:lang w:val="en-AU"/>
                <w14:textFill>
                  <w14:solidFill>
                    <w14:schemeClr w14:val="tx1">
                      <w14:alpha w14:val="100000"/>
                    </w14:scheme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3BA768E9" w14:textId="6E734E2C" w:rsidR="00D22E8E" w:rsidRPr="00E050AF" w:rsidRDefault="00602B47"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602B47">
              <w:rPr>
                <w:rFonts w:hint="eastAsia"/>
                <w:b w:val="0"/>
                <w:bCs w:val="0"/>
                <w:w w:val="22"/>
                <w:shd w:val="solid" w:color="000000" w:fill="000000"/>
                <w:fitText w:val="100" w:id="-1435751932"/>
                <w:lang w:val="en-AU"/>
                <w14:textFill>
                  <w14:solidFill>
                    <w14:schemeClr w14:val="tx1">
                      <w14:alpha w14:val="100000"/>
                    </w14:schemeClr>
                  </w14:solidFill>
                </w14:textFill>
              </w:rPr>
              <w:t xml:space="preserve">　</w:t>
            </w:r>
            <w:r w:rsidRPr="00602B47">
              <w:rPr>
                <w:b w:val="0"/>
                <w:bCs w:val="0"/>
                <w:w w:val="22"/>
                <w:shd w:val="solid" w:color="000000" w:fill="000000"/>
                <w:fitText w:val="100" w:id="-1435751932"/>
                <w:lang w:val="en-AU"/>
                <w14:textFill>
                  <w14:solidFill>
                    <w14:schemeClr w14:val="tx1">
                      <w14:alpha w14:val="100000"/>
                    </w14:schemeClr>
                  </w14:solidFill>
                </w14:textFill>
              </w:rPr>
              <w:t>|</w:t>
            </w:r>
            <w:r w:rsidRPr="00602B47">
              <w:rPr>
                <w:rFonts w:hint="eastAsia"/>
                <w:b w:val="0"/>
                <w:bCs w:val="0"/>
                <w:spacing w:val="3"/>
                <w:w w:val="22"/>
                <w:shd w:val="solid" w:color="000000" w:fill="000000"/>
                <w:fitText w:val="100" w:id="-1435751932"/>
                <w:lang w:val="en-AU"/>
                <w14:textFill>
                  <w14:solidFill>
                    <w14:schemeClr w14:val="tx1">
                      <w14:alpha w14:val="100000"/>
                    </w14:scheme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20707662" w14:textId="44EDEA28" w:rsidR="00D22E8E" w:rsidRPr="00E050AF" w:rsidRDefault="00602B47"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602B47">
              <w:rPr>
                <w:rFonts w:hint="eastAsia"/>
                <w:b w:val="0"/>
                <w:bCs w:val="0"/>
                <w:w w:val="22"/>
                <w:shd w:val="solid" w:color="000000" w:fill="000000"/>
                <w:fitText w:val="100" w:id="-1435751931"/>
                <w:lang w:val="en-AU"/>
                <w14:textFill>
                  <w14:solidFill>
                    <w14:schemeClr w14:val="tx1">
                      <w14:alpha w14:val="100000"/>
                    </w14:schemeClr>
                  </w14:solidFill>
                </w14:textFill>
              </w:rPr>
              <w:t xml:space="preserve">　</w:t>
            </w:r>
            <w:r w:rsidRPr="00602B47">
              <w:rPr>
                <w:b w:val="0"/>
                <w:bCs w:val="0"/>
                <w:w w:val="22"/>
                <w:shd w:val="solid" w:color="000000" w:fill="000000"/>
                <w:fitText w:val="100" w:id="-1435751931"/>
                <w:lang w:val="en-AU"/>
                <w14:textFill>
                  <w14:solidFill>
                    <w14:schemeClr w14:val="tx1">
                      <w14:alpha w14:val="100000"/>
                    </w14:schemeClr>
                  </w14:solidFill>
                </w14:textFill>
              </w:rPr>
              <w:t>|</w:t>
            </w:r>
            <w:r w:rsidRPr="00602B47">
              <w:rPr>
                <w:rFonts w:hint="eastAsia"/>
                <w:b w:val="0"/>
                <w:bCs w:val="0"/>
                <w:spacing w:val="3"/>
                <w:w w:val="22"/>
                <w:shd w:val="solid" w:color="000000" w:fill="000000"/>
                <w:fitText w:val="100" w:id="-1435751931"/>
                <w:lang w:val="en-AU"/>
                <w14:textFill>
                  <w14:solidFill>
                    <w14:schemeClr w14:val="tx1">
                      <w14:alpha w14:val="100000"/>
                    </w14:scheme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157A48DF" w14:textId="0E108E16" w:rsidR="00D22E8E" w:rsidRPr="00E050AF" w:rsidRDefault="00602B47"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602B47">
              <w:rPr>
                <w:rFonts w:hint="eastAsia"/>
                <w:b w:val="0"/>
                <w:bCs w:val="0"/>
                <w:w w:val="22"/>
                <w:shd w:val="solid" w:color="000000" w:fill="000000"/>
                <w:fitText w:val="100" w:id="-1435751930"/>
                <w:lang w:val="en-AU"/>
                <w14:textFill>
                  <w14:solidFill>
                    <w14:schemeClr w14:val="tx1">
                      <w14:alpha w14:val="100000"/>
                    </w14:schemeClr>
                  </w14:solidFill>
                </w14:textFill>
              </w:rPr>
              <w:t xml:space="preserve">　</w:t>
            </w:r>
            <w:r w:rsidRPr="00602B47">
              <w:rPr>
                <w:b w:val="0"/>
                <w:bCs w:val="0"/>
                <w:w w:val="22"/>
                <w:shd w:val="solid" w:color="000000" w:fill="000000"/>
                <w:fitText w:val="100" w:id="-1435751930"/>
                <w:lang w:val="en-AU"/>
                <w14:textFill>
                  <w14:solidFill>
                    <w14:schemeClr w14:val="tx1">
                      <w14:alpha w14:val="100000"/>
                    </w14:schemeClr>
                  </w14:solidFill>
                </w14:textFill>
              </w:rPr>
              <w:t>|</w:t>
            </w:r>
            <w:r w:rsidRPr="00602B47">
              <w:rPr>
                <w:rFonts w:hint="eastAsia"/>
                <w:b w:val="0"/>
                <w:bCs w:val="0"/>
                <w:spacing w:val="3"/>
                <w:w w:val="22"/>
                <w:shd w:val="solid" w:color="000000" w:fill="000000"/>
                <w:fitText w:val="100" w:id="-1435751930"/>
                <w:lang w:val="en-AU"/>
                <w14:textFill>
                  <w14:solidFill>
                    <w14:schemeClr w14:val="tx1">
                      <w14:alpha w14:val="100000"/>
                    </w14:schemeClr>
                  </w14:solidFill>
                </w14:textFill>
              </w:rPr>
              <w:t xml:space="preserve">　</w:t>
            </w:r>
            <w:r w:rsidR="007C31F2">
              <w:rPr>
                <w:color w:val="000000"/>
                <w:vertAlign w:val="superscript"/>
                <w:lang w:val="en-AU"/>
              </w:rPr>
              <w:t>2</w:t>
            </w:r>
          </w:p>
        </w:tc>
        <w:tc>
          <w:tcPr>
            <w:tcW w:w="646" w:type="pct"/>
            <w:tcBorders>
              <w:top w:val="single" w:sz="4" w:space="0" w:color="auto"/>
              <w:left w:val="single" w:sz="4" w:space="0" w:color="auto"/>
              <w:bottom w:val="single" w:sz="4" w:space="0" w:color="auto"/>
              <w:right w:val="single" w:sz="4" w:space="0" w:color="auto"/>
            </w:tcBorders>
            <w:vAlign w:val="center"/>
            <w:hideMark/>
          </w:tcPr>
          <w:p w14:paraId="0F4A607E" w14:textId="102640DE" w:rsidR="00D22E8E" w:rsidRPr="00E050AF" w:rsidRDefault="00602B47"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602B47">
              <w:rPr>
                <w:rFonts w:hint="eastAsia"/>
                <w:b w:val="0"/>
                <w:bCs w:val="0"/>
                <w:w w:val="22"/>
                <w:shd w:val="solid" w:color="000000" w:fill="000000"/>
                <w:fitText w:val="100" w:id="-1435751929"/>
                <w:lang w:val="en-AU"/>
                <w14:textFill>
                  <w14:solidFill>
                    <w14:schemeClr w14:val="tx1">
                      <w14:alpha w14:val="100000"/>
                    </w14:schemeClr>
                  </w14:solidFill>
                </w14:textFill>
              </w:rPr>
              <w:t xml:space="preserve">　</w:t>
            </w:r>
            <w:r w:rsidRPr="00602B47">
              <w:rPr>
                <w:b w:val="0"/>
                <w:bCs w:val="0"/>
                <w:w w:val="22"/>
                <w:shd w:val="solid" w:color="000000" w:fill="000000"/>
                <w:fitText w:val="100" w:id="-1435751929"/>
                <w:lang w:val="en-AU"/>
                <w14:textFill>
                  <w14:solidFill>
                    <w14:schemeClr w14:val="tx1">
                      <w14:alpha w14:val="100000"/>
                    </w14:schemeClr>
                  </w14:solidFill>
                </w14:textFill>
              </w:rPr>
              <w:t>|</w:t>
            </w:r>
            <w:r w:rsidRPr="00602B47">
              <w:rPr>
                <w:rFonts w:hint="eastAsia"/>
                <w:b w:val="0"/>
                <w:bCs w:val="0"/>
                <w:spacing w:val="3"/>
                <w:w w:val="22"/>
                <w:shd w:val="solid" w:color="000000" w:fill="000000"/>
                <w:fitText w:val="100" w:id="-1435751929"/>
                <w:lang w:val="en-AU"/>
                <w14:textFill>
                  <w14:solidFill>
                    <w14:schemeClr w14:val="tx1">
                      <w14:alpha w14:val="100000"/>
                    </w14:schemeClr>
                  </w14:solidFill>
                </w14:textFill>
              </w:rPr>
              <w:t xml:space="preserve">　</w:t>
            </w:r>
            <w:r w:rsidR="007C31F2">
              <w:rPr>
                <w:color w:val="000000"/>
                <w:vertAlign w:val="superscript"/>
                <w:lang w:val="en-AU"/>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33646E35" w14:textId="5811E782" w:rsidR="00D22E8E" w:rsidRPr="00E050AF" w:rsidRDefault="00602B47"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602B47">
              <w:rPr>
                <w:rFonts w:hint="eastAsia"/>
                <w:b w:val="0"/>
                <w:bCs w:val="0"/>
                <w:w w:val="22"/>
                <w:shd w:val="solid" w:color="000000" w:fill="000000"/>
                <w:fitText w:val="100" w:id="-1435751928"/>
                <w:lang w:val="en-AU"/>
                <w14:textFill>
                  <w14:solidFill>
                    <w14:schemeClr w14:val="tx1">
                      <w14:alpha w14:val="100000"/>
                    </w14:schemeClr>
                  </w14:solidFill>
                </w14:textFill>
              </w:rPr>
              <w:t xml:space="preserve">　</w:t>
            </w:r>
            <w:r w:rsidRPr="00602B47">
              <w:rPr>
                <w:b w:val="0"/>
                <w:bCs w:val="0"/>
                <w:w w:val="22"/>
                <w:shd w:val="solid" w:color="000000" w:fill="000000"/>
                <w:fitText w:val="100" w:id="-1435751928"/>
                <w:lang w:val="en-AU"/>
                <w14:textFill>
                  <w14:solidFill>
                    <w14:schemeClr w14:val="tx1">
                      <w14:alpha w14:val="100000"/>
                    </w14:schemeClr>
                  </w14:solidFill>
                </w14:textFill>
              </w:rPr>
              <w:t>|</w:t>
            </w:r>
            <w:r w:rsidRPr="00602B47">
              <w:rPr>
                <w:rFonts w:hint="eastAsia"/>
                <w:b w:val="0"/>
                <w:bCs w:val="0"/>
                <w:spacing w:val="3"/>
                <w:w w:val="22"/>
                <w:shd w:val="solid" w:color="000000" w:fill="000000"/>
                <w:fitText w:val="100" w:id="-1435751928"/>
                <w:lang w:val="en-AU"/>
                <w14:textFill>
                  <w14:solidFill>
                    <w14:schemeClr w14:val="tx1">
                      <w14:alpha w14:val="100000"/>
                    </w14:schemeClr>
                  </w14:solidFill>
                </w14:textFill>
              </w:rPr>
              <w:t xml:space="preserve">　</w:t>
            </w:r>
            <w:r w:rsidR="007C31F2">
              <w:rPr>
                <w:color w:val="000000"/>
                <w:vertAlign w:val="superscript"/>
                <w:lang w:val="en-AU"/>
              </w:rPr>
              <w:t>2</w:t>
            </w:r>
          </w:p>
        </w:tc>
      </w:tr>
      <w:tr w:rsidR="00D22E8E" w:rsidRPr="00E050AF" w14:paraId="7AD4803C"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1729FA68" w14:textId="77777777" w:rsidR="00D22E8E" w:rsidRPr="00E050AF" w:rsidRDefault="00D22E8E" w:rsidP="00DE3B42">
            <w:pPr>
              <w:pStyle w:val="TableText"/>
              <w:rPr>
                <w:b/>
                <w:bCs/>
                <w:i/>
                <w:iCs/>
                <w:lang w:val="en-AU"/>
              </w:rPr>
            </w:pPr>
            <w:r w:rsidRPr="00E050AF">
              <w:rPr>
                <w:i/>
                <w:iCs/>
                <w:lang w:val="en-AU"/>
              </w:rPr>
              <w:t xml:space="preserve">Cost of testing HRD test to MBS </w:t>
            </w:r>
          </w:p>
        </w:tc>
        <w:tc>
          <w:tcPr>
            <w:tcW w:w="646" w:type="pct"/>
            <w:tcBorders>
              <w:top w:val="single" w:sz="4" w:space="0" w:color="auto"/>
              <w:left w:val="single" w:sz="4" w:space="0" w:color="auto"/>
              <w:bottom w:val="single" w:sz="4" w:space="0" w:color="auto"/>
              <w:right w:val="single" w:sz="4" w:space="0" w:color="auto"/>
            </w:tcBorders>
            <w:vAlign w:val="center"/>
            <w:hideMark/>
          </w:tcPr>
          <w:p w14:paraId="407812CA" w14:textId="4BC4A83A"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68"/>
                <w:shd w:val="solid" w:color="000000" w:fill="000000"/>
                <w:fitText w:val="154" w:id="-1435751927"/>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7"/>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5975B343" w14:textId="1E4C4C5A"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68"/>
                <w:shd w:val="solid" w:color="000000" w:fill="000000"/>
                <w:fitText w:val="154" w:id="-1435751926"/>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6"/>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136AF00D" w14:textId="2FE78B14"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68"/>
                <w:shd w:val="solid" w:color="000000" w:fill="000000"/>
                <w:fitText w:val="154" w:id="-1435751925"/>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5"/>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0887ECFB" w14:textId="2B17FA9D"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68"/>
                <w:shd w:val="solid" w:color="000000" w:fill="000000"/>
                <w:fitText w:val="154" w:id="-1435751924"/>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4"/>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619B0CE2" w14:textId="2452BFF7"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68"/>
                <w:shd w:val="solid" w:color="000000" w:fill="000000"/>
                <w:fitText w:val="154" w:id="-1435751923"/>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3"/>
                <w:lang w:val="en-AU"/>
                <w14:textFill>
                  <w14:solidFill>
                    <w14:srgbClr w14:val="000000">
                      <w14:alpha w14:val="100000"/>
                    </w14:srgbClr>
                  </w14:solidFill>
                </w14:textFill>
              </w:rPr>
              <w:t>|</w:t>
            </w:r>
            <w:r w:rsidR="007C31F2">
              <w:rPr>
                <w:color w:val="000000"/>
                <w:vertAlign w:val="superscript"/>
                <w:lang w:val="en-AU"/>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144A20AE" w14:textId="614DFAE3"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hint="eastAsia"/>
                <w:b w:val="0"/>
                <w:bCs w:val="0"/>
                <w:color w:val="000000"/>
                <w:w w:val="31"/>
                <w:shd w:val="solid" w:color="000000" w:fill="000000"/>
                <w:fitText w:val="139" w:id="-1435751922"/>
                <w:lang w:val="en-AU"/>
                <w14:textFill>
                  <w14:solidFill>
                    <w14:srgbClr w14:val="000000">
                      <w14:alpha w14:val="100000"/>
                    </w14:srgbClr>
                  </w14:solidFill>
                </w14:textFill>
              </w:rPr>
              <w:t xml:space="preserve">　</w:t>
            </w:r>
            <w:r w:rsidR="00602B47" w:rsidRPr="00602B47">
              <w:rPr>
                <w:rFonts w:cs="Arial"/>
                <w:b w:val="0"/>
                <w:bCs w:val="0"/>
                <w:color w:val="000000"/>
                <w:w w:val="31"/>
                <w:shd w:val="solid" w:color="000000" w:fill="000000"/>
                <w:fitText w:val="139" w:id="-1435751922"/>
                <w:lang w:val="en-AU"/>
                <w14:textFill>
                  <w14:solidFill>
                    <w14:srgbClr w14:val="000000">
                      <w14:alpha w14:val="100000"/>
                    </w14:srgbClr>
                  </w14:solidFill>
                </w14:textFill>
              </w:rPr>
              <w:t>|</w:t>
            </w:r>
            <w:r w:rsidR="00602B47" w:rsidRPr="00602B47">
              <w:rPr>
                <w:rFonts w:cs="Arial" w:hint="eastAsia"/>
                <w:b w:val="0"/>
                <w:bCs w:val="0"/>
                <w:color w:val="000000"/>
                <w:spacing w:val="3"/>
                <w:w w:val="31"/>
                <w:shd w:val="solid" w:color="000000" w:fill="000000"/>
                <w:fitText w:val="139" w:id="-1435751922"/>
                <w:lang w:val="en-AU"/>
                <w14:textFill>
                  <w14:solidFill>
                    <w14:srgbClr w14:val="000000">
                      <w14:alpha w14:val="100000"/>
                    </w14:srgbClr>
                  </w14:solidFill>
                </w14:textFill>
              </w:rPr>
              <w:t xml:space="preserve">　</w:t>
            </w:r>
            <w:r w:rsidR="007C31F2">
              <w:rPr>
                <w:color w:val="000000"/>
                <w:vertAlign w:val="superscript"/>
                <w:lang w:val="en-AU"/>
              </w:rPr>
              <w:t>4</w:t>
            </w:r>
          </w:p>
        </w:tc>
      </w:tr>
      <w:tr w:rsidR="00D22E8E" w:rsidRPr="00E050AF" w14:paraId="59930287"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45487382" w14:textId="77777777" w:rsidR="00D22E8E" w:rsidRPr="00E050AF" w:rsidRDefault="00D22E8E" w:rsidP="00DE3B42">
            <w:pPr>
              <w:pStyle w:val="TableText"/>
              <w:rPr>
                <w:b/>
                <w:bCs/>
                <w:i/>
                <w:iCs/>
                <w:lang w:val="en-AU"/>
              </w:rPr>
            </w:pPr>
            <w:r w:rsidRPr="00E050AF">
              <w:rPr>
                <w:i/>
                <w:iCs/>
                <w:lang w:val="en-AU"/>
              </w:rPr>
              <w:t>Net cost of testing BRCA test to MBS ($1,000 BRCA test fee)</w:t>
            </w:r>
          </w:p>
        </w:tc>
        <w:tc>
          <w:tcPr>
            <w:tcW w:w="646" w:type="pct"/>
            <w:tcBorders>
              <w:top w:val="single" w:sz="4" w:space="0" w:color="auto"/>
              <w:left w:val="single" w:sz="4" w:space="0" w:color="auto"/>
              <w:bottom w:val="single" w:sz="4" w:space="0" w:color="auto"/>
              <w:right w:val="single" w:sz="4" w:space="0" w:color="auto"/>
            </w:tcBorders>
            <w:vAlign w:val="center"/>
            <w:hideMark/>
          </w:tcPr>
          <w:p w14:paraId="078429DB" w14:textId="197B3D0A"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91"/>
                <w:shd w:val="solid" w:color="000000" w:fill="000000"/>
                <w:fitText w:val="177" w:id="-1435751921"/>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77" w:id="-1435751921"/>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7446720C" w14:textId="16AF214E"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91"/>
                <w:shd w:val="solid" w:color="000000" w:fill="000000"/>
                <w:fitText w:val="177" w:id="-1435751920"/>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77" w:id="-1435751920"/>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4D923F1A" w14:textId="372354A3"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92"/>
                <w:shd w:val="solid" w:color="000000" w:fill="000000"/>
                <w:fitText w:val="178" w:id="-1435751936"/>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78" w:id="-1435751936"/>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7E8BB550" w14:textId="62A41117"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91"/>
                <w:shd w:val="solid" w:color="000000" w:fill="000000"/>
                <w:fitText w:val="177" w:id="-1435751935"/>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77" w:id="-1435751935"/>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50B7BB58" w14:textId="627E8E49"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91"/>
                <w:shd w:val="solid" w:color="000000" w:fill="000000"/>
                <w:fitText w:val="177" w:id="-1435751934"/>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77" w:id="-1435751934"/>
                <w:lang w:val="en-AU"/>
                <w14:textFill>
                  <w14:solidFill>
                    <w14:srgbClr w14:val="000000">
                      <w14:alpha w14:val="100000"/>
                    </w14:srgbClr>
                  </w14:solidFill>
                </w14:textFill>
              </w:rPr>
              <w:t>|</w:t>
            </w:r>
            <w:r w:rsidR="007C31F2">
              <w:rPr>
                <w:color w:val="000000"/>
                <w:vertAlign w:val="superscript"/>
                <w:lang w:val="en-AU"/>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339AED6B" w14:textId="3702A4C2"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auto"/>
                <w:lang w:val="en-AU"/>
              </w:rPr>
              <w:t>-$</w:t>
            </w:r>
            <w:r w:rsidR="00602B47" w:rsidRPr="00602B47">
              <w:rPr>
                <w:rFonts w:cs="Arial"/>
                <w:b w:val="0"/>
                <w:bCs w:val="0"/>
                <w:color w:val="000000"/>
                <w:spacing w:val="92"/>
                <w:shd w:val="solid" w:color="000000" w:fill="000000"/>
                <w:fitText w:val="178" w:id="-1435751933"/>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78" w:id="-1435751933"/>
                <w:lang w:val="en-AU"/>
                <w14:textFill>
                  <w14:solidFill>
                    <w14:srgbClr w14:val="000000">
                      <w14:alpha w14:val="100000"/>
                    </w14:srgbClr>
                  </w14:solidFill>
                </w14:textFill>
              </w:rPr>
              <w:t>|</w:t>
            </w:r>
            <w:r w:rsidR="007C31F2">
              <w:rPr>
                <w:color w:val="000000"/>
                <w:vertAlign w:val="superscript"/>
                <w:lang w:val="en-AU"/>
              </w:rPr>
              <w:t>4</w:t>
            </w:r>
          </w:p>
        </w:tc>
      </w:tr>
      <w:tr w:rsidR="00D22E8E" w:rsidRPr="00E050AF" w14:paraId="7D28517C"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77D4DB04" w14:textId="77777777" w:rsidR="00D22E8E" w:rsidRPr="00E050AF" w:rsidRDefault="00D22E8E" w:rsidP="00DE3B42">
            <w:pPr>
              <w:pStyle w:val="TableText"/>
              <w:rPr>
                <w:b/>
                <w:bCs/>
                <w:iCs/>
                <w:lang w:val="en-AU"/>
              </w:rPr>
            </w:pPr>
            <w:r w:rsidRPr="00E050AF">
              <w:rPr>
                <w:lang w:val="en-AU"/>
              </w:rPr>
              <w:t xml:space="preserve">Net cost of tests to MBS </w:t>
            </w:r>
          </w:p>
        </w:tc>
        <w:tc>
          <w:tcPr>
            <w:tcW w:w="646" w:type="pct"/>
            <w:tcBorders>
              <w:top w:val="single" w:sz="4" w:space="0" w:color="auto"/>
              <w:left w:val="single" w:sz="4" w:space="0" w:color="auto"/>
              <w:bottom w:val="single" w:sz="4" w:space="0" w:color="auto"/>
              <w:right w:val="single" w:sz="4" w:space="0" w:color="auto"/>
            </w:tcBorders>
            <w:vAlign w:val="center"/>
            <w:hideMark/>
          </w:tcPr>
          <w:p w14:paraId="3BE330D3" w14:textId="003DEC85"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2"/>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2"/>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15D4D89C" w14:textId="74F19612" w:rsidR="00D22E8E" w:rsidRPr="007C31F2"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highlight w:val="darkGray"/>
                <w:lang w:val="en-AU"/>
              </w:rPr>
            </w:pPr>
            <w:r w:rsidRPr="007C31F2">
              <w:rPr>
                <w:rFonts w:cs="Arial"/>
                <w:b w:val="0"/>
                <w:bCs w:val="0"/>
                <w:color w:val="000000"/>
                <w:lang w:val="en-AU"/>
              </w:rPr>
              <w:t>$</w:t>
            </w:r>
            <w:r w:rsidR="00602B47" w:rsidRPr="00602B47">
              <w:rPr>
                <w:rFonts w:cs="Arial"/>
                <w:b w:val="0"/>
                <w:bCs w:val="0"/>
                <w:color w:val="000000"/>
                <w:spacing w:val="68"/>
                <w:shd w:val="solid" w:color="000000" w:fill="000000"/>
                <w:fitText w:val="154" w:id="-1435751931"/>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1"/>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218696DD" w14:textId="590CA15D"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0"/>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0"/>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43566CFC" w14:textId="5C596267"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9"/>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9"/>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659FCB13" w14:textId="30211BB3"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8"/>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8"/>
                <w:lang w:val="en-AU"/>
                <w14:textFill>
                  <w14:solidFill>
                    <w14:srgbClr w14:val="000000">
                      <w14:alpha w14:val="100000"/>
                    </w14:srgbClr>
                  </w14:solidFill>
                </w14:textFill>
              </w:rPr>
              <w:t>|</w:t>
            </w:r>
            <w:r w:rsidR="007C31F2">
              <w:rPr>
                <w:color w:val="000000"/>
                <w:vertAlign w:val="superscript"/>
                <w:lang w:val="en-AU"/>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3E3E7557" w14:textId="76596E39"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hint="eastAsia"/>
                <w:b w:val="0"/>
                <w:bCs w:val="0"/>
                <w:color w:val="000000"/>
                <w:w w:val="31"/>
                <w:shd w:val="solid" w:color="000000" w:fill="000000"/>
                <w:fitText w:val="139" w:id="-1435751927"/>
                <w:lang w:val="en-AU"/>
                <w14:textFill>
                  <w14:solidFill>
                    <w14:srgbClr w14:val="000000">
                      <w14:alpha w14:val="100000"/>
                    </w14:srgbClr>
                  </w14:solidFill>
                </w14:textFill>
              </w:rPr>
              <w:t xml:space="preserve">　</w:t>
            </w:r>
            <w:r w:rsidR="00602B47" w:rsidRPr="00602B47">
              <w:rPr>
                <w:rFonts w:cs="Arial"/>
                <w:b w:val="0"/>
                <w:bCs w:val="0"/>
                <w:color w:val="000000"/>
                <w:w w:val="31"/>
                <w:shd w:val="solid" w:color="000000" w:fill="000000"/>
                <w:fitText w:val="139" w:id="-1435751927"/>
                <w:lang w:val="en-AU"/>
                <w14:textFill>
                  <w14:solidFill>
                    <w14:srgbClr w14:val="000000">
                      <w14:alpha w14:val="100000"/>
                    </w14:srgbClr>
                  </w14:solidFill>
                </w14:textFill>
              </w:rPr>
              <w:t>|</w:t>
            </w:r>
            <w:r w:rsidR="00602B47" w:rsidRPr="00602B47">
              <w:rPr>
                <w:rFonts w:cs="Arial" w:hint="eastAsia"/>
                <w:b w:val="0"/>
                <w:bCs w:val="0"/>
                <w:color w:val="000000"/>
                <w:spacing w:val="3"/>
                <w:w w:val="31"/>
                <w:shd w:val="solid" w:color="000000" w:fill="000000"/>
                <w:fitText w:val="139" w:id="-1435751927"/>
                <w:lang w:val="en-AU"/>
                <w14:textFill>
                  <w14:solidFill>
                    <w14:srgbClr w14:val="000000">
                      <w14:alpha w14:val="100000"/>
                    </w14:srgbClr>
                  </w14:solidFill>
                </w14:textFill>
              </w:rPr>
              <w:t xml:space="preserve">　</w:t>
            </w:r>
            <w:r w:rsidR="007C31F2">
              <w:rPr>
                <w:color w:val="000000"/>
                <w:vertAlign w:val="superscript"/>
                <w:lang w:val="en-AU"/>
              </w:rPr>
              <w:t>4</w:t>
            </w:r>
          </w:p>
        </w:tc>
      </w:tr>
      <w:tr w:rsidR="00D22E8E" w:rsidRPr="00E050AF" w14:paraId="5A19C56C"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hideMark/>
          </w:tcPr>
          <w:p w14:paraId="0ECAFBCF" w14:textId="77777777" w:rsidR="00D22E8E" w:rsidRPr="00E050AF" w:rsidRDefault="00D22E8E" w:rsidP="00DE3B42">
            <w:pPr>
              <w:pStyle w:val="TableText"/>
              <w:rPr>
                <w:b/>
                <w:bCs/>
                <w:lang w:val="en-AU"/>
              </w:rPr>
            </w:pPr>
            <w:r w:rsidRPr="00E050AF">
              <w:rPr>
                <w:i/>
                <w:iCs/>
                <w:lang w:val="en-AU"/>
              </w:rPr>
              <w:t>Net bevacizumab administration cost</w:t>
            </w:r>
          </w:p>
        </w:tc>
        <w:tc>
          <w:tcPr>
            <w:tcW w:w="646" w:type="pct"/>
            <w:tcBorders>
              <w:top w:val="single" w:sz="4" w:space="0" w:color="auto"/>
              <w:left w:val="single" w:sz="4" w:space="0" w:color="auto"/>
              <w:bottom w:val="single" w:sz="4" w:space="0" w:color="auto"/>
              <w:right w:val="single" w:sz="4" w:space="0" w:color="auto"/>
            </w:tcBorders>
            <w:vAlign w:val="center"/>
            <w:hideMark/>
          </w:tcPr>
          <w:p w14:paraId="1C2AEE1F" w14:textId="299EBA45"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6"/>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6"/>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35FDDE66" w14:textId="74C86665"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5"/>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5"/>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6749BF4D" w14:textId="2894B0DF"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4"/>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4"/>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133CDB6C" w14:textId="6A23FD6D"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3"/>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3"/>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20BA67AC" w14:textId="06AF8D31"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2"/>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2"/>
                <w:lang w:val="en-AU"/>
                <w14:textFill>
                  <w14:solidFill>
                    <w14:srgbClr w14:val="000000">
                      <w14:alpha w14:val="100000"/>
                    </w14:srgbClr>
                  </w14:solidFill>
                </w14:textFill>
              </w:rPr>
              <w:t>|</w:t>
            </w:r>
            <w:r w:rsidR="007C31F2">
              <w:rPr>
                <w:color w:val="000000"/>
                <w:vertAlign w:val="superscript"/>
                <w:lang w:val="en-AU"/>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2A27F61F" w14:textId="7766665C"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hint="eastAsia"/>
                <w:b w:val="0"/>
                <w:bCs w:val="0"/>
                <w:color w:val="000000"/>
                <w:w w:val="31"/>
                <w:shd w:val="solid" w:color="000000" w:fill="000000"/>
                <w:fitText w:val="139" w:id="-1435751921"/>
                <w:lang w:val="en-AU"/>
                <w14:textFill>
                  <w14:solidFill>
                    <w14:srgbClr w14:val="000000">
                      <w14:alpha w14:val="100000"/>
                    </w14:srgbClr>
                  </w14:solidFill>
                </w14:textFill>
              </w:rPr>
              <w:t xml:space="preserve">　</w:t>
            </w:r>
            <w:r w:rsidR="00602B47" w:rsidRPr="00602B47">
              <w:rPr>
                <w:rFonts w:cs="Arial"/>
                <w:b w:val="0"/>
                <w:bCs w:val="0"/>
                <w:color w:val="000000"/>
                <w:w w:val="31"/>
                <w:shd w:val="solid" w:color="000000" w:fill="000000"/>
                <w:fitText w:val="139" w:id="-1435751921"/>
                <w:lang w:val="en-AU"/>
                <w14:textFill>
                  <w14:solidFill>
                    <w14:srgbClr w14:val="000000">
                      <w14:alpha w14:val="100000"/>
                    </w14:srgbClr>
                  </w14:solidFill>
                </w14:textFill>
              </w:rPr>
              <w:t>|</w:t>
            </w:r>
            <w:r w:rsidR="00602B47" w:rsidRPr="00602B47">
              <w:rPr>
                <w:rFonts w:cs="Arial" w:hint="eastAsia"/>
                <w:b w:val="0"/>
                <w:bCs w:val="0"/>
                <w:color w:val="000000"/>
                <w:spacing w:val="3"/>
                <w:w w:val="31"/>
                <w:shd w:val="solid" w:color="000000" w:fill="000000"/>
                <w:fitText w:val="139" w:id="-1435751921"/>
                <w:lang w:val="en-AU"/>
                <w14:textFill>
                  <w14:solidFill>
                    <w14:srgbClr w14:val="000000">
                      <w14:alpha w14:val="100000"/>
                    </w14:srgbClr>
                  </w14:solidFill>
                </w14:textFill>
              </w:rPr>
              <w:t xml:space="preserve">　</w:t>
            </w:r>
            <w:r w:rsidR="007C31F2">
              <w:rPr>
                <w:color w:val="000000"/>
                <w:vertAlign w:val="superscript"/>
                <w:lang w:val="en-AU"/>
              </w:rPr>
              <w:t>4</w:t>
            </w:r>
          </w:p>
        </w:tc>
      </w:tr>
      <w:tr w:rsidR="00D22E8E" w:rsidRPr="00E050AF" w14:paraId="05DAA2D8" w14:textId="77777777" w:rsidTr="00DE3B42">
        <w:tc>
          <w:tcPr>
            <w:cnfStyle w:val="001000000000" w:firstRow="0" w:lastRow="0" w:firstColumn="1" w:lastColumn="0" w:oddVBand="0"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hideMark/>
          </w:tcPr>
          <w:p w14:paraId="29B7A8FC" w14:textId="77777777" w:rsidR="00D22E8E" w:rsidRPr="00E050AF" w:rsidRDefault="00D22E8E" w:rsidP="00DE3B42">
            <w:pPr>
              <w:pStyle w:val="TableBodyHeading-H54"/>
              <w:rPr>
                <w:bCs w:val="0"/>
                <w:lang w:val="en-AU"/>
              </w:rPr>
            </w:pPr>
            <w:r w:rsidRPr="00E050AF">
              <w:rPr>
                <w:bCs w:val="0"/>
                <w:lang w:val="en-AU"/>
              </w:rPr>
              <w:t>Net financial implications</w:t>
            </w:r>
          </w:p>
        </w:tc>
      </w:tr>
      <w:tr w:rsidR="00D22E8E" w:rsidRPr="00E050AF" w14:paraId="582CCA8F"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2FA5DD09" w14:textId="77777777" w:rsidR="00D22E8E" w:rsidRPr="00E050AF" w:rsidRDefault="00D22E8E" w:rsidP="00DE3B42">
            <w:pPr>
              <w:pStyle w:val="TableText"/>
              <w:rPr>
                <w:b/>
                <w:bCs/>
                <w:lang w:val="en-AU"/>
              </w:rPr>
            </w:pPr>
            <w:r w:rsidRPr="00E050AF">
              <w:rPr>
                <w:lang w:val="en-AU"/>
              </w:rPr>
              <w:t>Net cost to PBS</w:t>
            </w:r>
          </w:p>
        </w:tc>
        <w:tc>
          <w:tcPr>
            <w:tcW w:w="646" w:type="pct"/>
            <w:tcBorders>
              <w:top w:val="single" w:sz="4" w:space="0" w:color="auto"/>
              <w:left w:val="single" w:sz="4" w:space="0" w:color="auto"/>
              <w:bottom w:val="single" w:sz="4" w:space="0" w:color="auto"/>
              <w:right w:val="single" w:sz="4" w:space="0" w:color="auto"/>
            </w:tcBorders>
            <w:vAlign w:val="center"/>
            <w:hideMark/>
          </w:tcPr>
          <w:p w14:paraId="091D6E53" w14:textId="4C6FD403" w:rsidR="00D22E8E" w:rsidRPr="007C31F2"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highlight w:val="darkGray"/>
                <w:lang w:val="en-AU"/>
              </w:rPr>
            </w:pPr>
            <w:r w:rsidRPr="007C31F2">
              <w:rPr>
                <w:rFonts w:cs="Arial"/>
                <w:b w:val="0"/>
                <w:bCs w:val="0"/>
                <w:color w:val="000000"/>
                <w:lang w:val="en-AU"/>
              </w:rPr>
              <w:t>$</w:t>
            </w:r>
            <w:r w:rsidR="00602B47" w:rsidRPr="00602B47">
              <w:rPr>
                <w:rFonts w:cs="Arial"/>
                <w:b w:val="0"/>
                <w:bCs w:val="0"/>
                <w:color w:val="000000"/>
                <w:spacing w:val="68"/>
                <w:shd w:val="solid" w:color="000000" w:fill="000000"/>
                <w:fitText w:val="154" w:id="-1435751920"/>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0"/>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491E27A4" w14:textId="6872F010"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6"/>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6"/>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24E38EFA" w14:textId="581F80C0"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5"/>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5"/>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48F0E2D6" w14:textId="3A99CB2E"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4"/>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4"/>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5C3B19A9" w14:textId="177F3091"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3"/>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3"/>
                <w:lang w:val="en-AU"/>
                <w14:textFill>
                  <w14:solidFill>
                    <w14:srgbClr w14:val="000000">
                      <w14:alpha w14:val="100000"/>
                    </w14:srgbClr>
                  </w14:solidFill>
                </w14:textFill>
              </w:rPr>
              <w:t>|</w:t>
            </w:r>
            <w:r w:rsidR="007C31F2">
              <w:rPr>
                <w:color w:val="000000"/>
                <w:vertAlign w:val="superscript"/>
                <w:lang w:val="en-AU"/>
              </w:rPr>
              <w:t>3</w:t>
            </w:r>
          </w:p>
        </w:tc>
        <w:tc>
          <w:tcPr>
            <w:tcW w:w="649" w:type="pct"/>
            <w:tcBorders>
              <w:top w:val="single" w:sz="4" w:space="0" w:color="auto"/>
              <w:left w:val="single" w:sz="4" w:space="0" w:color="auto"/>
              <w:bottom w:val="single" w:sz="4" w:space="0" w:color="auto"/>
              <w:right w:val="single" w:sz="4" w:space="0" w:color="auto"/>
            </w:tcBorders>
            <w:vAlign w:val="center"/>
            <w:hideMark/>
          </w:tcPr>
          <w:p w14:paraId="62545424" w14:textId="7B75BE74"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hint="eastAsia"/>
                <w:b w:val="0"/>
                <w:bCs w:val="0"/>
                <w:color w:val="000000"/>
                <w:w w:val="31"/>
                <w:shd w:val="solid" w:color="000000" w:fill="000000"/>
                <w:fitText w:val="139" w:id="-1435751932"/>
                <w:lang w:val="en-AU"/>
                <w14:textFill>
                  <w14:solidFill>
                    <w14:srgbClr w14:val="000000">
                      <w14:alpha w14:val="100000"/>
                    </w14:srgbClr>
                  </w14:solidFill>
                </w14:textFill>
              </w:rPr>
              <w:t xml:space="preserve">　</w:t>
            </w:r>
            <w:r w:rsidR="00602B47" w:rsidRPr="00602B47">
              <w:rPr>
                <w:rFonts w:cs="Arial"/>
                <w:b w:val="0"/>
                <w:bCs w:val="0"/>
                <w:color w:val="000000"/>
                <w:w w:val="31"/>
                <w:shd w:val="solid" w:color="000000" w:fill="000000"/>
                <w:fitText w:val="139" w:id="-1435751932"/>
                <w:lang w:val="en-AU"/>
                <w14:textFill>
                  <w14:solidFill>
                    <w14:srgbClr w14:val="000000">
                      <w14:alpha w14:val="100000"/>
                    </w14:srgbClr>
                  </w14:solidFill>
                </w14:textFill>
              </w:rPr>
              <w:t>|</w:t>
            </w:r>
            <w:r w:rsidR="00602B47" w:rsidRPr="00602B47">
              <w:rPr>
                <w:rFonts w:cs="Arial" w:hint="eastAsia"/>
                <w:b w:val="0"/>
                <w:bCs w:val="0"/>
                <w:color w:val="000000"/>
                <w:spacing w:val="3"/>
                <w:w w:val="31"/>
                <w:shd w:val="solid" w:color="000000" w:fill="000000"/>
                <w:fitText w:val="139" w:id="-1435751932"/>
                <w:lang w:val="en-AU"/>
                <w14:textFill>
                  <w14:solidFill>
                    <w14:srgbClr w14:val="000000">
                      <w14:alpha w14:val="100000"/>
                    </w14:srgbClr>
                  </w14:solidFill>
                </w14:textFill>
              </w:rPr>
              <w:t xml:space="preserve">　</w:t>
            </w:r>
            <w:r w:rsidR="007C31F2">
              <w:rPr>
                <w:color w:val="000000"/>
                <w:vertAlign w:val="superscript"/>
                <w:lang w:val="en-AU"/>
              </w:rPr>
              <w:t>3</w:t>
            </w:r>
          </w:p>
        </w:tc>
      </w:tr>
      <w:tr w:rsidR="00D22E8E" w:rsidRPr="00E050AF" w14:paraId="145E3199"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4963B5DA" w14:textId="3CBA8C6D" w:rsidR="00D22E8E" w:rsidRPr="00E050AF" w:rsidRDefault="00D22E8E" w:rsidP="00DE3B42">
            <w:pPr>
              <w:pStyle w:val="TableText"/>
              <w:rPr>
                <w:b/>
                <w:bCs/>
                <w:lang w:val="en-AU"/>
              </w:rPr>
            </w:pPr>
            <w:r w:rsidRPr="00E050AF">
              <w:rPr>
                <w:lang w:val="en-AU"/>
              </w:rPr>
              <w:t>Net cost to MBS</w:t>
            </w:r>
            <w:r w:rsidR="00A16FE7" w:rsidRPr="00E050AF">
              <w:rPr>
                <w:lang w:val="en-AU"/>
              </w:rPr>
              <w:t xml:space="preserve"> </w:t>
            </w:r>
            <w:r w:rsidR="00A16FE7" w:rsidRPr="00E050AF">
              <w:rPr>
                <w:i/>
                <w:iCs/>
                <w:lang w:val="en-AU"/>
              </w:rPr>
              <w:t>($1,000 BRCA test fee)</w:t>
            </w:r>
          </w:p>
        </w:tc>
        <w:tc>
          <w:tcPr>
            <w:tcW w:w="646" w:type="pct"/>
            <w:tcBorders>
              <w:top w:val="single" w:sz="4" w:space="0" w:color="auto"/>
              <w:left w:val="single" w:sz="4" w:space="0" w:color="auto"/>
              <w:bottom w:val="single" w:sz="4" w:space="0" w:color="auto"/>
              <w:right w:val="single" w:sz="4" w:space="0" w:color="auto"/>
            </w:tcBorders>
            <w:vAlign w:val="center"/>
            <w:hideMark/>
          </w:tcPr>
          <w:p w14:paraId="1144473D" w14:textId="3D74FF6F"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1"/>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1"/>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036D96E0" w14:textId="0F1A2C3D"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30"/>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30"/>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1E41CD31" w14:textId="75107D4C"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9"/>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9"/>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5D69A505" w14:textId="35D96EED"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8"/>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8"/>
                <w:lang w:val="en-AU"/>
                <w14:textFill>
                  <w14:solidFill>
                    <w14:srgbClr w14:val="000000">
                      <w14:alpha w14:val="100000"/>
                    </w14:srgbClr>
                  </w14:solidFill>
                </w14:textFill>
              </w:rPr>
              <w:t>|</w:t>
            </w:r>
            <w:r w:rsidR="007C31F2">
              <w:rPr>
                <w:color w:val="000000"/>
                <w:vertAlign w:val="superscript"/>
                <w:lang w:val="en-AU"/>
              </w:rPr>
              <w:t>4</w:t>
            </w:r>
          </w:p>
        </w:tc>
        <w:tc>
          <w:tcPr>
            <w:tcW w:w="646" w:type="pct"/>
            <w:tcBorders>
              <w:top w:val="single" w:sz="4" w:space="0" w:color="auto"/>
              <w:left w:val="single" w:sz="4" w:space="0" w:color="auto"/>
              <w:bottom w:val="single" w:sz="4" w:space="0" w:color="auto"/>
              <w:right w:val="single" w:sz="4" w:space="0" w:color="auto"/>
            </w:tcBorders>
            <w:vAlign w:val="center"/>
            <w:hideMark/>
          </w:tcPr>
          <w:p w14:paraId="38EC90F3" w14:textId="22493252"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b w:val="0"/>
                <w:bCs w:val="0"/>
                <w:color w:val="000000"/>
                <w:spacing w:val="68"/>
                <w:shd w:val="solid" w:color="000000" w:fill="000000"/>
                <w:fitText w:val="154" w:id="-1435751927"/>
                <w:lang w:val="en-AU"/>
                <w14:textFill>
                  <w14:solidFill>
                    <w14:srgbClr w14:val="000000">
                      <w14:alpha w14:val="100000"/>
                    </w14:srgbClr>
                  </w14:solidFill>
                </w14:textFill>
              </w:rPr>
              <w:t>|</w:t>
            </w:r>
            <w:r w:rsidR="00602B47" w:rsidRPr="00602B47">
              <w:rPr>
                <w:rFonts w:cs="Arial"/>
                <w:b w:val="0"/>
                <w:bCs w:val="0"/>
                <w:color w:val="000000"/>
                <w:spacing w:val="1"/>
                <w:shd w:val="solid" w:color="000000" w:fill="000000"/>
                <w:fitText w:val="154" w:id="-1435751927"/>
                <w:lang w:val="en-AU"/>
                <w14:textFill>
                  <w14:solidFill>
                    <w14:srgbClr w14:val="000000">
                      <w14:alpha w14:val="100000"/>
                    </w14:srgbClr>
                  </w14:solidFill>
                </w14:textFill>
              </w:rPr>
              <w:t>|</w:t>
            </w:r>
            <w:r w:rsidR="007C31F2">
              <w:rPr>
                <w:color w:val="000000"/>
                <w:vertAlign w:val="superscript"/>
                <w:lang w:val="en-AU"/>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668195D6" w14:textId="6408CE47"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b w:val="0"/>
                <w:bCs w:val="0"/>
                <w:lang w:val="en-AU"/>
              </w:rPr>
            </w:pPr>
            <w:r w:rsidRPr="00E050AF">
              <w:rPr>
                <w:rFonts w:cs="Arial"/>
                <w:b w:val="0"/>
                <w:bCs w:val="0"/>
                <w:color w:val="000000"/>
                <w:lang w:val="en-AU"/>
              </w:rPr>
              <w:t>$</w:t>
            </w:r>
            <w:r w:rsidR="00602B47" w:rsidRPr="00602B47">
              <w:rPr>
                <w:rFonts w:cs="Arial" w:hint="eastAsia"/>
                <w:b w:val="0"/>
                <w:bCs w:val="0"/>
                <w:color w:val="000000"/>
                <w:w w:val="31"/>
                <w:shd w:val="solid" w:color="000000" w:fill="000000"/>
                <w:fitText w:val="139" w:id="-1435751926"/>
                <w:lang w:val="en-AU"/>
                <w14:textFill>
                  <w14:solidFill>
                    <w14:srgbClr w14:val="000000">
                      <w14:alpha w14:val="100000"/>
                    </w14:srgbClr>
                  </w14:solidFill>
                </w14:textFill>
              </w:rPr>
              <w:t xml:space="preserve">　</w:t>
            </w:r>
            <w:r w:rsidR="00602B47" w:rsidRPr="00602B47">
              <w:rPr>
                <w:rFonts w:cs="Arial"/>
                <w:b w:val="0"/>
                <w:bCs w:val="0"/>
                <w:color w:val="000000"/>
                <w:w w:val="31"/>
                <w:shd w:val="solid" w:color="000000" w:fill="000000"/>
                <w:fitText w:val="139" w:id="-1435751926"/>
                <w:lang w:val="en-AU"/>
                <w14:textFill>
                  <w14:solidFill>
                    <w14:srgbClr w14:val="000000">
                      <w14:alpha w14:val="100000"/>
                    </w14:srgbClr>
                  </w14:solidFill>
                </w14:textFill>
              </w:rPr>
              <w:t>|</w:t>
            </w:r>
            <w:r w:rsidR="00602B47" w:rsidRPr="00602B47">
              <w:rPr>
                <w:rFonts w:cs="Arial" w:hint="eastAsia"/>
                <w:b w:val="0"/>
                <w:bCs w:val="0"/>
                <w:color w:val="000000"/>
                <w:spacing w:val="3"/>
                <w:w w:val="31"/>
                <w:shd w:val="solid" w:color="000000" w:fill="000000"/>
                <w:fitText w:val="139" w:id="-1435751926"/>
                <w:lang w:val="en-AU"/>
                <w14:textFill>
                  <w14:solidFill>
                    <w14:srgbClr w14:val="000000">
                      <w14:alpha w14:val="100000"/>
                    </w14:srgbClr>
                  </w14:solidFill>
                </w14:textFill>
              </w:rPr>
              <w:t xml:space="preserve">　</w:t>
            </w:r>
            <w:r w:rsidR="007C31F2">
              <w:rPr>
                <w:color w:val="000000"/>
                <w:vertAlign w:val="superscript"/>
                <w:lang w:val="en-AU"/>
              </w:rPr>
              <w:t>4</w:t>
            </w:r>
          </w:p>
        </w:tc>
      </w:tr>
      <w:tr w:rsidR="00D22E8E" w:rsidRPr="00E050AF" w14:paraId="7A1D2A0C" w14:textId="77777777" w:rsidTr="00320163">
        <w:tc>
          <w:tcPr>
            <w:cnfStyle w:val="001000000000" w:firstRow="0" w:lastRow="0" w:firstColumn="1" w:lastColumn="0" w:oddVBand="0" w:evenVBand="0" w:oddHBand="0" w:evenHBand="0" w:firstRowFirstColumn="0" w:firstRowLastColumn="0" w:lastRowFirstColumn="0" w:lastRowLastColumn="0"/>
            <w:tcW w:w="1121" w:type="pct"/>
            <w:tcBorders>
              <w:top w:val="single" w:sz="4" w:space="0" w:color="auto"/>
              <w:left w:val="single" w:sz="4" w:space="0" w:color="auto"/>
              <w:bottom w:val="single" w:sz="4" w:space="0" w:color="auto"/>
              <w:right w:val="single" w:sz="4" w:space="0" w:color="auto"/>
            </w:tcBorders>
            <w:vAlign w:val="center"/>
            <w:hideMark/>
          </w:tcPr>
          <w:p w14:paraId="5924F32C" w14:textId="25A2F925" w:rsidR="00D22E8E" w:rsidRPr="00E050AF" w:rsidRDefault="00D22E8E" w:rsidP="00DE3B42">
            <w:pPr>
              <w:pStyle w:val="TableText"/>
              <w:rPr>
                <w:b/>
                <w:bCs/>
                <w:lang w:val="en-AU"/>
              </w:rPr>
            </w:pPr>
            <w:r w:rsidRPr="00E050AF">
              <w:rPr>
                <w:b/>
                <w:bCs/>
                <w:lang w:val="en-AU"/>
              </w:rPr>
              <w:t xml:space="preserve">Net cost health budget </w:t>
            </w:r>
            <w:r w:rsidR="00A16FE7" w:rsidRPr="00E050AF">
              <w:rPr>
                <w:i/>
                <w:iCs/>
                <w:lang w:val="en-AU"/>
              </w:rPr>
              <w:t>($1,000 BRCA test fee)</w:t>
            </w:r>
          </w:p>
        </w:tc>
        <w:tc>
          <w:tcPr>
            <w:tcW w:w="646" w:type="pct"/>
            <w:tcBorders>
              <w:top w:val="single" w:sz="4" w:space="0" w:color="auto"/>
              <w:left w:val="single" w:sz="4" w:space="0" w:color="auto"/>
              <w:bottom w:val="single" w:sz="4" w:space="0" w:color="auto"/>
              <w:right w:val="single" w:sz="4" w:space="0" w:color="auto"/>
            </w:tcBorders>
            <w:vAlign w:val="center"/>
            <w:hideMark/>
          </w:tcPr>
          <w:p w14:paraId="7991D6B7" w14:textId="38AEB9D6"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lang w:val="en-AU"/>
              </w:rPr>
            </w:pPr>
            <w:r w:rsidRPr="00E050AF">
              <w:rPr>
                <w:rFonts w:cs="Arial"/>
                <w:color w:val="000000"/>
                <w:lang w:val="en-AU"/>
              </w:rPr>
              <w:t>$</w:t>
            </w:r>
            <w:r w:rsidR="00602B47" w:rsidRPr="00602B47">
              <w:rPr>
                <w:rFonts w:cs="Arial"/>
                <w:color w:val="000000"/>
                <w:spacing w:val="100"/>
                <w:shd w:val="solid" w:color="000000" w:fill="000000"/>
                <w:fitText w:val="192" w:id="-1435751925"/>
                <w:lang w:val="en-AU"/>
                <w14:textFill>
                  <w14:solidFill>
                    <w14:srgbClr w14:val="000000">
                      <w14:alpha w14:val="100000"/>
                    </w14:srgbClr>
                  </w14:solidFill>
                </w14:textFill>
              </w:rPr>
              <w:t>|</w:t>
            </w:r>
            <w:r w:rsidR="00602B47" w:rsidRPr="00602B47">
              <w:rPr>
                <w:rFonts w:cs="Arial"/>
                <w:color w:val="000000"/>
                <w:spacing w:val="1"/>
                <w:shd w:val="solid" w:color="000000" w:fill="000000"/>
                <w:fitText w:val="192" w:id="-1435751925"/>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6AE734B9" w14:textId="693C4B32" w:rsidR="00D22E8E" w:rsidRPr="007C31F2"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7C31F2">
              <w:rPr>
                <w:rFonts w:cs="Arial"/>
                <w:color w:val="000000"/>
                <w:lang w:val="en-AU"/>
              </w:rPr>
              <w:t>$</w:t>
            </w:r>
            <w:r w:rsidR="00602B47" w:rsidRPr="00602B47">
              <w:rPr>
                <w:rFonts w:cs="Arial"/>
                <w:color w:val="000000"/>
                <w:spacing w:val="101"/>
                <w:shd w:val="solid" w:color="000000" w:fill="000000"/>
                <w:fitText w:val="193" w:id="-1435751924"/>
                <w:lang w:val="en-AU"/>
                <w14:textFill>
                  <w14:solidFill>
                    <w14:srgbClr w14:val="000000">
                      <w14:alpha w14:val="100000"/>
                    </w14:srgbClr>
                  </w14:solidFill>
                </w14:textFill>
              </w:rPr>
              <w:t>|</w:t>
            </w:r>
            <w:r w:rsidR="00602B47" w:rsidRPr="00602B47">
              <w:rPr>
                <w:rFonts w:cs="Arial"/>
                <w:color w:val="000000"/>
                <w:spacing w:val="1"/>
                <w:shd w:val="solid" w:color="000000" w:fill="000000"/>
                <w:fitText w:val="193" w:id="-1435751924"/>
                <w:lang w:val="en-AU"/>
                <w14:textFill>
                  <w14:solidFill>
                    <w14:srgbClr w14:val="000000">
                      <w14:alpha w14:val="100000"/>
                    </w14:srgbClr>
                  </w14:solidFill>
                </w14:textFill>
              </w:rPr>
              <w:t>|</w:t>
            </w:r>
            <w:r w:rsidR="007C31F2">
              <w:rPr>
                <w:color w:val="000000"/>
                <w:vertAlign w:val="superscript"/>
                <w:lang w:val="en-AU"/>
              </w:rPr>
              <w:t>3</w:t>
            </w:r>
          </w:p>
        </w:tc>
        <w:tc>
          <w:tcPr>
            <w:tcW w:w="646" w:type="pct"/>
            <w:tcBorders>
              <w:top w:val="single" w:sz="4" w:space="0" w:color="auto"/>
              <w:left w:val="single" w:sz="4" w:space="0" w:color="auto"/>
              <w:bottom w:val="single" w:sz="4" w:space="0" w:color="auto"/>
              <w:right w:val="single" w:sz="4" w:space="0" w:color="auto"/>
            </w:tcBorders>
            <w:vAlign w:val="center"/>
            <w:hideMark/>
          </w:tcPr>
          <w:p w14:paraId="42DE7BFE" w14:textId="517C911A" w:rsidR="00D22E8E" w:rsidRPr="007C31F2"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highlight w:val="darkGray"/>
                <w:lang w:val="en-AU"/>
              </w:rPr>
            </w:pPr>
            <w:r w:rsidRPr="007C31F2">
              <w:rPr>
                <w:rFonts w:cs="Arial"/>
                <w:color w:val="000000"/>
                <w:lang w:val="en-AU"/>
              </w:rPr>
              <w:t>$</w:t>
            </w:r>
            <w:r w:rsidR="00602B47" w:rsidRPr="00602B47">
              <w:rPr>
                <w:rFonts w:cs="Arial"/>
                <w:color w:val="000000"/>
                <w:spacing w:val="100"/>
                <w:shd w:val="solid" w:color="000000" w:fill="000000"/>
                <w:fitText w:val="192" w:id="-1435751923"/>
                <w:lang w:val="en-AU"/>
                <w14:textFill>
                  <w14:solidFill>
                    <w14:srgbClr w14:val="000000">
                      <w14:alpha w14:val="100000"/>
                    </w14:srgbClr>
                  </w14:solidFill>
                </w14:textFill>
              </w:rPr>
              <w:t>|</w:t>
            </w:r>
            <w:r w:rsidR="00602B47" w:rsidRPr="00602B47">
              <w:rPr>
                <w:rFonts w:cs="Arial"/>
                <w:color w:val="000000"/>
                <w:spacing w:val="1"/>
                <w:shd w:val="solid" w:color="000000" w:fill="000000"/>
                <w:fitText w:val="192" w:id="-1435751923"/>
                <w:lang w:val="en-AU"/>
                <w14:textFill>
                  <w14:solidFill>
                    <w14:srgbClr w14:val="000000">
                      <w14:alpha w14:val="100000"/>
                    </w14:srgbClr>
                  </w14:solidFill>
                </w14:textFill>
              </w:rPr>
              <w:t>|</w:t>
            </w:r>
            <w:r w:rsidR="007C31F2">
              <w:rPr>
                <w:color w:val="000000"/>
                <w:vertAlign w:val="superscript"/>
                <w:lang w:val="en-AU"/>
              </w:rPr>
              <w:t>5</w:t>
            </w:r>
          </w:p>
        </w:tc>
        <w:tc>
          <w:tcPr>
            <w:tcW w:w="646" w:type="pct"/>
            <w:tcBorders>
              <w:top w:val="single" w:sz="4" w:space="0" w:color="auto"/>
              <w:left w:val="single" w:sz="4" w:space="0" w:color="auto"/>
              <w:bottom w:val="single" w:sz="4" w:space="0" w:color="auto"/>
              <w:right w:val="single" w:sz="4" w:space="0" w:color="auto"/>
            </w:tcBorders>
            <w:vAlign w:val="center"/>
            <w:hideMark/>
          </w:tcPr>
          <w:p w14:paraId="6C479091" w14:textId="4969F987"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lang w:val="en-AU"/>
              </w:rPr>
            </w:pPr>
            <w:r w:rsidRPr="00E050AF">
              <w:rPr>
                <w:rFonts w:cs="Arial"/>
                <w:color w:val="000000"/>
                <w:lang w:val="en-AU"/>
              </w:rPr>
              <w:t>$</w:t>
            </w:r>
            <w:r w:rsidR="00602B47" w:rsidRPr="00602B47">
              <w:rPr>
                <w:rFonts w:cs="Arial"/>
                <w:color w:val="000000"/>
                <w:spacing w:val="100"/>
                <w:shd w:val="solid" w:color="000000" w:fill="000000"/>
                <w:fitText w:val="192" w:id="-1435751922"/>
                <w:lang w:val="en-AU"/>
                <w14:textFill>
                  <w14:solidFill>
                    <w14:srgbClr w14:val="000000">
                      <w14:alpha w14:val="100000"/>
                    </w14:srgbClr>
                  </w14:solidFill>
                </w14:textFill>
              </w:rPr>
              <w:t>|</w:t>
            </w:r>
            <w:r w:rsidR="00602B47" w:rsidRPr="00602B47">
              <w:rPr>
                <w:rFonts w:cs="Arial"/>
                <w:color w:val="000000"/>
                <w:spacing w:val="1"/>
                <w:shd w:val="solid" w:color="000000" w:fill="000000"/>
                <w:fitText w:val="192" w:id="-1435751922"/>
                <w:lang w:val="en-AU"/>
                <w14:textFill>
                  <w14:solidFill>
                    <w14:srgbClr w14:val="000000">
                      <w14:alpha w14:val="100000"/>
                    </w14:srgbClr>
                  </w14:solidFill>
                </w14:textFill>
              </w:rPr>
              <w:t>|</w:t>
            </w:r>
            <w:r w:rsidR="00EB6504">
              <w:rPr>
                <w:color w:val="000000"/>
                <w:vertAlign w:val="superscript"/>
                <w:lang w:val="en-AU"/>
              </w:rPr>
              <w:t>5</w:t>
            </w:r>
          </w:p>
        </w:tc>
        <w:tc>
          <w:tcPr>
            <w:tcW w:w="646" w:type="pct"/>
            <w:tcBorders>
              <w:top w:val="single" w:sz="4" w:space="0" w:color="auto"/>
              <w:left w:val="single" w:sz="4" w:space="0" w:color="auto"/>
              <w:bottom w:val="single" w:sz="4" w:space="0" w:color="auto"/>
              <w:right w:val="single" w:sz="4" w:space="0" w:color="auto"/>
            </w:tcBorders>
            <w:vAlign w:val="center"/>
            <w:hideMark/>
          </w:tcPr>
          <w:p w14:paraId="10820DF4" w14:textId="682F4B44"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lang w:val="en-AU"/>
              </w:rPr>
            </w:pPr>
            <w:r w:rsidRPr="00E050AF">
              <w:rPr>
                <w:rFonts w:cs="Arial"/>
                <w:color w:val="000000"/>
                <w:lang w:val="en-AU"/>
              </w:rPr>
              <w:t>$</w:t>
            </w:r>
            <w:r w:rsidR="00602B47" w:rsidRPr="00602B47">
              <w:rPr>
                <w:rFonts w:cs="Arial"/>
                <w:color w:val="000000"/>
                <w:spacing w:val="101"/>
                <w:shd w:val="solid" w:color="000000" w:fill="000000"/>
                <w:fitText w:val="193" w:id="-1435751921"/>
                <w:lang w:val="en-AU"/>
                <w14:textFill>
                  <w14:solidFill>
                    <w14:srgbClr w14:val="000000">
                      <w14:alpha w14:val="100000"/>
                    </w14:srgbClr>
                  </w14:solidFill>
                </w14:textFill>
              </w:rPr>
              <w:t>|</w:t>
            </w:r>
            <w:r w:rsidR="00602B47" w:rsidRPr="00602B47">
              <w:rPr>
                <w:rFonts w:cs="Arial"/>
                <w:color w:val="000000"/>
                <w:spacing w:val="1"/>
                <w:shd w:val="solid" w:color="000000" w:fill="000000"/>
                <w:fitText w:val="193" w:id="-1435751921"/>
                <w:lang w:val="en-AU"/>
                <w14:textFill>
                  <w14:solidFill>
                    <w14:srgbClr w14:val="000000">
                      <w14:alpha w14:val="100000"/>
                    </w14:srgbClr>
                  </w14:solidFill>
                </w14:textFill>
              </w:rPr>
              <w:t>|</w:t>
            </w:r>
            <w:r w:rsidR="00EB6504">
              <w:rPr>
                <w:color w:val="000000"/>
                <w:vertAlign w:val="superscript"/>
                <w:lang w:val="en-AU"/>
              </w:rPr>
              <w:t>5</w:t>
            </w:r>
          </w:p>
        </w:tc>
        <w:tc>
          <w:tcPr>
            <w:tcW w:w="649" w:type="pct"/>
            <w:tcBorders>
              <w:top w:val="single" w:sz="4" w:space="0" w:color="auto"/>
              <w:left w:val="single" w:sz="4" w:space="0" w:color="auto"/>
              <w:bottom w:val="single" w:sz="4" w:space="0" w:color="auto"/>
              <w:right w:val="single" w:sz="4" w:space="0" w:color="auto"/>
            </w:tcBorders>
            <w:vAlign w:val="center"/>
            <w:hideMark/>
          </w:tcPr>
          <w:p w14:paraId="685E061B" w14:textId="484A5587" w:rsidR="00D22E8E" w:rsidRPr="00E050AF" w:rsidRDefault="00D22E8E" w:rsidP="00DE3B42">
            <w:pPr>
              <w:pStyle w:val="TableBodyHeading-H54"/>
              <w:jc w:val="center"/>
              <w:cnfStyle w:val="000000000000" w:firstRow="0" w:lastRow="0" w:firstColumn="0" w:lastColumn="0" w:oddVBand="0" w:evenVBand="0" w:oddHBand="0" w:evenHBand="0" w:firstRowFirstColumn="0" w:firstRowLastColumn="0" w:lastRowFirstColumn="0" w:lastRowLastColumn="0"/>
              <w:rPr>
                <w:lang w:val="en-AU"/>
              </w:rPr>
            </w:pPr>
            <w:r w:rsidRPr="00E050AF">
              <w:rPr>
                <w:rFonts w:cs="Arial"/>
                <w:color w:val="000000"/>
                <w:lang w:val="en-AU"/>
              </w:rPr>
              <w:t>$</w:t>
            </w:r>
            <w:r w:rsidR="00602B47" w:rsidRPr="00602B47">
              <w:rPr>
                <w:rFonts w:cs="Arial"/>
                <w:color w:val="000000"/>
                <w:spacing w:val="100"/>
                <w:shd w:val="solid" w:color="000000" w:fill="000000"/>
                <w:fitText w:val="192" w:id="-1435751920"/>
                <w:lang w:val="en-AU"/>
                <w14:textFill>
                  <w14:solidFill>
                    <w14:srgbClr w14:val="000000">
                      <w14:alpha w14:val="100000"/>
                    </w14:srgbClr>
                  </w14:solidFill>
                </w14:textFill>
              </w:rPr>
              <w:t>|</w:t>
            </w:r>
            <w:r w:rsidR="00602B47" w:rsidRPr="00602B47">
              <w:rPr>
                <w:rFonts w:cs="Arial"/>
                <w:color w:val="000000"/>
                <w:spacing w:val="1"/>
                <w:shd w:val="solid" w:color="000000" w:fill="000000"/>
                <w:fitText w:val="192" w:id="-1435751920"/>
                <w:lang w:val="en-AU"/>
                <w14:textFill>
                  <w14:solidFill>
                    <w14:srgbClr w14:val="000000">
                      <w14:alpha w14:val="100000"/>
                    </w14:srgbClr>
                  </w14:solidFill>
                </w14:textFill>
              </w:rPr>
              <w:t>|</w:t>
            </w:r>
            <w:r w:rsidR="00EB6504">
              <w:rPr>
                <w:color w:val="000000"/>
                <w:vertAlign w:val="superscript"/>
                <w:lang w:val="en-AU"/>
              </w:rPr>
              <w:t>5</w:t>
            </w:r>
          </w:p>
        </w:tc>
      </w:tr>
    </w:tbl>
    <w:p w14:paraId="7FEE9135" w14:textId="2BBDDDDF" w:rsidR="000A5B9C" w:rsidRPr="00E050AF" w:rsidRDefault="00275200" w:rsidP="00FD7044">
      <w:pPr>
        <w:keepNext/>
        <w:keepLines/>
        <w:widowControl w:val="0"/>
        <w:spacing w:before="0" w:after="0"/>
        <w:contextualSpacing/>
        <w:rPr>
          <w:rFonts w:ascii="Arial Narrow" w:eastAsia="Times New Roman" w:hAnsi="Arial Narrow" w:cs="Arial"/>
          <w:snapToGrid w:val="0"/>
          <w:sz w:val="18"/>
          <w:szCs w:val="20"/>
        </w:rPr>
      </w:pPr>
      <w:r w:rsidRPr="00E050AF">
        <w:rPr>
          <w:rFonts w:ascii="Arial Narrow" w:eastAsia="Times New Roman" w:hAnsi="Arial Narrow" w:cs="Arial"/>
          <w:i/>
          <w:snapToGrid w:val="0"/>
          <w:sz w:val="18"/>
          <w:szCs w:val="20"/>
        </w:rPr>
        <w:t>BRCA</w:t>
      </w:r>
      <w:r w:rsidR="000A5B9C" w:rsidRPr="00E050AF">
        <w:rPr>
          <w:rFonts w:ascii="Arial Narrow" w:eastAsia="Times New Roman" w:hAnsi="Arial Narrow" w:cs="Arial"/>
          <w:snapToGrid w:val="0"/>
          <w:sz w:val="18"/>
          <w:szCs w:val="20"/>
        </w:rPr>
        <w:t>wt = breast cancer gene wild type; HRD = homologous recombination deficiency.</w:t>
      </w:r>
    </w:p>
    <w:p w14:paraId="181ADBA8" w14:textId="54C7615A" w:rsidR="00FD7044" w:rsidRPr="00E050AF" w:rsidRDefault="00FD7044" w:rsidP="00FD7044">
      <w:pPr>
        <w:keepNext/>
        <w:keepLines/>
        <w:widowControl w:val="0"/>
        <w:spacing w:before="0" w:after="0"/>
        <w:contextualSpacing/>
        <w:rPr>
          <w:rFonts w:ascii="Arial Narrow" w:eastAsia="Times New Roman" w:hAnsi="Arial Narrow" w:cs="Arial"/>
          <w:snapToGrid w:val="0"/>
          <w:sz w:val="18"/>
          <w:szCs w:val="20"/>
        </w:rPr>
      </w:pPr>
      <w:r w:rsidRPr="00E050AF">
        <w:rPr>
          <w:rFonts w:ascii="Arial Narrow" w:eastAsia="Times New Roman" w:hAnsi="Arial Narrow" w:cs="Arial"/>
          <w:snapToGrid w:val="0"/>
          <w:sz w:val="18"/>
          <w:szCs w:val="20"/>
          <w:vertAlign w:val="superscript"/>
        </w:rPr>
        <w:t>a</w:t>
      </w:r>
      <w:r w:rsidRPr="00E050AF">
        <w:rPr>
          <w:rFonts w:ascii="Arial Narrow" w:eastAsia="Times New Roman" w:hAnsi="Arial Narrow" w:cs="Arial"/>
          <w:snapToGrid w:val="0"/>
          <w:sz w:val="18"/>
          <w:szCs w:val="20"/>
        </w:rPr>
        <w:t xml:space="preserve"> Based on submission’s assumption of 50% HRD positive and 25% HRD positive </w:t>
      </w:r>
      <w:r w:rsidRPr="00E050AF">
        <w:rPr>
          <w:rFonts w:ascii="Arial Narrow" w:eastAsia="Times New Roman" w:hAnsi="Arial Narrow" w:cs="Arial"/>
          <w:i/>
          <w:iCs/>
          <w:snapToGrid w:val="0"/>
          <w:sz w:val="18"/>
          <w:szCs w:val="20"/>
        </w:rPr>
        <w:t>BRCA</w:t>
      </w:r>
      <w:r w:rsidRPr="00E050AF">
        <w:rPr>
          <w:rFonts w:ascii="Arial Narrow" w:eastAsia="Times New Roman" w:hAnsi="Arial Narrow" w:cs="Arial"/>
          <w:snapToGrid w:val="0"/>
          <w:sz w:val="18"/>
          <w:szCs w:val="20"/>
        </w:rPr>
        <w:t xml:space="preserve"> wild type </w:t>
      </w:r>
    </w:p>
    <w:p w14:paraId="3D4C3B5F" w14:textId="35BB2BB5" w:rsidR="00FD7044" w:rsidRDefault="00FD7044" w:rsidP="00FD7044">
      <w:pPr>
        <w:widowControl w:val="0"/>
        <w:spacing w:before="0" w:after="0"/>
        <w:contextualSpacing/>
        <w:rPr>
          <w:rFonts w:ascii="Arial Narrow" w:eastAsia="Times New Roman" w:hAnsi="Arial Narrow" w:cs="Arial"/>
          <w:snapToGrid w:val="0"/>
          <w:sz w:val="18"/>
          <w:szCs w:val="20"/>
        </w:rPr>
      </w:pPr>
      <w:r w:rsidRPr="00E050AF">
        <w:rPr>
          <w:rFonts w:ascii="Arial Narrow" w:eastAsia="Times New Roman" w:hAnsi="Arial Narrow" w:cs="Arial"/>
          <w:snapToGrid w:val="0"/>
          <w:sz w:val="18"/>
          <w:szCs w:val="20"/>
        </w:rPr>
        <w:t>Source: Table 4.4 and 4.6, p292, 295 of the submission, Olaparib (PAOLA1) UCM_final.xlsx</w:t>
      </w:r>
    </w:p>
    <w:p w14:paraId="594D0C28" w14:textId="77777777" w:rsidR="007C31F2" w:rsidRPr="001D0E42" w:rsidRDefault="007C31F2" w:rsidP="007C31F2">
      <w:pPr>
        <w:spacing w:before="0" w:after="0"/>
        <w:rPr>
          <w:rFonts w:ascii="Arial Narrow" w:eastAsia="Times New Roman" w:hAnsi="Arial Narrow" w:cs="Arial"/>
          <w:i/>
          <w:sz w:val="18"/>
          <w:szCs w:val="18"/>
          <w:lang w:eastAsia="en-AU"/>
        </w:rPr>
      </w:pPr>
      <w:bookmarkStart w:id="122" w:name="_Hlk114149170"/>
      <w:r w:rsidRPr="001D0E42">
        <w:rPr>
          <w:rFonts w:ascii="Arial Narrow" w:eastAsia="Times New Roman" w:hAnsi="Arial Narrow" w:cs="Arial"/>
          <w:i/>
          <w:sz w:val="18"/>
          <w:szCs w:val="18"/>
          <w:lang w:eastAsia="en-AU"/>
        </w:rPr>
        <w:t xml:space="preserve">The redacted values correspond to the following ranges: </w:t>
      </w:r>
    </w:p>
    <w:p w14:paraId="7BD83EB5" w14:textId="4FE792AC" w:rsidR="007C31F2" w:rsidRPr="001D0E42" w:rsidRDefault="007C31F2" w:rsidP="007C31F2">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1</w:t>
      </w:r>
      <w:r w:rsidRPr="001D0E42">
        <w:rPr>
          <w:rFonts w:ascii="Arial Narrow" w:eastAsia="Times New Roman" w:hAnsi="Arial Narrow" w:cs="Arial"/>
          <w:i/>
          <w:sz w:val="18"/>
          <w:szCs w:val="18"/>
          <w:lang w:eastAsia="en-AU"/>
        </w:rPr>
        <w:t xml:space="preserve"> </w:t>
      </w:r>
      <w:r w:rsidR="00EB6504" w:rsidRPr="00EB6504">
        <w:rPr>
          <w:rFonts w:ascii="Arial Narrow" w:eastAsia="Times New Roman" w:hAnsi="Arial Narrow" w:cs="Arial"/>
          <w:i/>
          <w:sz w:val="18"/>
          <w:szCs w:val="18"/>
          <w:lang w:eastAsia="en-AU"/>
        </w:rPr>
        <w:t>&lt; 500</w:t>
      </w:r>
    </w:p>
    <w:bookmarkEnd w:id="122"/>
    <w:p w14:paraId="31EAA056" w14:textId="54F30A08" w:rsidR="007C31F2" w:rsidRPr="009A6D58" w:rsidRDefault="007C31F2" w:rsidP="007C31F2">
      <w:pPr>
        <w:spacing w:before="0" w:after="0"/>
        <w:rPr>
          <w:rFonts w:ascii="Arial Narrow" w:eastAsia="Times New Roman" w:hAnsi="Arial Narrow" w:cs="Arial"/>
          <w:i/>
          <w:sz w:val="18"/>
          <w:szCs w:val="18"/>
          <w:lang w:eastAsia="en-AU"/>
        </w:rPr>
      </w:pPr>
      <w:r w:rsidRPr="001D0E42">
        <w:rPr>
          <w:rFonts w:ascii="Arial Narrow" w:eastAsia="Times New Roman" w:hAnsi="Arial Narrow" w:cs="Arial"/>
          <w:i/>
          <w:sz w:val="18"/>
          <w:szCs w:val="18"/>
          <w:vertAlign w:val="superscript"/>
          <w:lang w:eastAsia="en-AU"/>
        </w:rPr>
        <w:t>2</w:t>
      </w:r>
      <w:r>
        <w:rPr>
          <w:rFonts w:ascii="Arial Narrow" w:eastAsia="Times New Roman" w:hAnsi="Arial Narrow" w:cs="Arial"/>
          <w:i/>
          <w:sz w:val="18"/>
          <w:szCs w:val="18"/>
          <w:lang w:eastAsia="en-AU"/>
        </w:rPr>
        <w:t xml:space="preserve"> </w:t>
      </w:r>
      <w:bookmarkStart w:id="123" w:name="_Hlk114133414"/>
      <w:r w:rsidR="00EB6504" w:rsidRPr="00EB6504">
        <w:rPr>
          <w:rFonts w:ascii="Arial Narrow" w:eastAsia="Times New Roman" w:hAnsi="Arial Narrow" w:cs="Arial"/>
          <w:i/>
          <w:sz w:val="18"/>
          <w:szCs w:val="18"/>
          <w:lang w:eastAsia="en-AU"/>
        </w:rPr>
        <w:t>500 to &lt; 5,000</w:t>
      </w:r>
      <w:bookmarkEnd w:id="123"/>
    </w:p>
    <w:p w14:paraId="1115E361" w14:textId="6D219EEB" w:rsidR="007C31F2" w:rsidRDefault="007C31F2" w:rsidP="007C31F2">
      <w:pPr>
        <w:spacing w:before="0" w:after="0"/>
        <w:rPr>
          <w:rFonts w:ascii="Arial Narrow" w:eastAsia="Times New Roman" w:hAnsi="Arial Narrow" w:cs="Arial"/>
          <w:i/>
          <w:sz w:val="18"/>
          <w:szCs w:val="18"/>
          <w:lang w:eastAsia="en-AU"/>
        </w:rPr>
      </w:pPr>
      <w:r w:rsidRPr="009A6D58">
        <w:rPr>
          <w:rFonts w:ascii="Arial Narrow" w:eastAsia="Times New Roman" w:hAnsi="Arial Narrow" w:cs="Arial"/>
          <w:i/>
          <w:sz w:val="18"/>
          <w:szCs w:val="18"/>
          <w:vertAlign w:val="superscript"/>
          <w:lang w:eastAsia="en-AU"/>
        </w:rPr>
        <w:t>3</w:t>
      </w:r>
      <w:r>
        <w:rPr>
          <w:rFonts w:ascii="Arial Narrow" w:eastAsia="Times New Roman" w:hAnsi="Arial Narrow" w:cs="Arial"/>
          <w:i/>
          <w:sz w:val="18"/>
          <w:szCs w:val="18"/>
          <w:lang w:eastAsia="en-AU"/>
        </w:rPr>
        <w:t xml:space="preserve"> </w:t>
      </w:r>
      <w:bookmarkStart w:id="124" w:name="_Hlk114133707"/>
      <w:bookmarkStart w:id="125" w:name="_Hlk114136350"/>
      <w:r w:rsidR="00EB6504" w:rsidRPr="00EB6504">
        <w:rPr>
          <w:rFonts w:ascii="Arial Narrow" w:eastAsia="Times New Roman" w:hAnsi="Arial Narrow" w:cs="Arial"/>
          <w:i/>
          <w:sz w:val="18"/>
          <w:szCs w:val="18"/>
          <w:lang w:eastAsia="en-AU"/>
        </w:rPr>
        <w:t>$10 million to &lt; $20 millio</w:t>
      </w:r>
      <w:bookmarkEnd w:id="124"/>
      <w:r w:rsidR="00EB6504" w:rsidRPr="00EB6504">
        <w:rPr>
          <w:rFonts w:ascii="Arial Narrow" w:eastAsia="Times New Roman" w:hAnsi="Arial Narrow" w:cs="Arial"/>
          <w:i/>
          <w:sz w:val="18"/>
          <w:szCs w:val="18"/>
          <w:lang w:eastAsia="en-AU"/>
        </w:rPr>
        <w:t>n</w:t>
      </w:r>
      <w:bookmarkEnd w:id="125"/>
    </w:p>
    <w:p w14:paraId="0FC0B571" w14:textId="5D6C6DAD" w:rsidR="007C31F2" w:rsidRDefault="007C31F2" w:rsidP="007C31F2">
      <w:pPr>
        <w:spacing w:before="0" w:after="0"/>
        <w:rPr>
          <w:rFonts w:ascii="Arial Narrow" w:eastAsia="Times New Roman" w:hAnsi="Arial Narrow" w:cs="Arial"/>
          <w:i/>
          <w:sz w:val="18"/>
          <w:szCs w:val="18"/>
          <w:lang w:eastAsia="en-AU"/>
        </w:rPr>
      </w:pPr>
      <w:r>
        <w:rPr>
          <w:rFonts w:ascii="Arial Narrow" w:eastAsia="Times New Roman" w:hAnsi="Arial Narrow" w:cs="Arial"/>
          <w:i/>
          <w:sz w:val="18"/>
          <w:szCs w:val="18"/>
          <w:vertAlign w:val="superscript"/>
          <w:lang w:eastAsia="en-AU"/>
        </w:rPr>
        <w:t>4</w:t>
      </w:r>
      <w:r>
        <w:rPr>
          <w:rFonts w:ascii="Arial Narrow" w:eastAsia="Times New Roman" w:hAnsi="Arial Narrow" w:cs="Arial"/>
          <w:i/>
          <w:sz w:val="18"/>
          <w:szCs w:val="18"/>
          <w:lang w:eastAsia="en-AU"/>
        </w:rPr>
        <w:t xml:space="preserve"> </w:t>
      </w:r>
      <w:bookmarkStart w:id="126" w:name="_Hlk114133371"/>
      <w:r w:rsidR="00EB6504" w:rsidRPr="00EB6504">
        <w:rPr>
          <w:rFonts w:ascii="Arial Narrow" w:eastAsia="Times New Roman" w:hAnsi="Arial Narrow" w:cs="Arial"/>
          <w:i/>
          <w:sz w:val="18"/>
          <w:szCs w:val="18"/>
          <w:lang w:eastAsia="en-AU"/>
        </w:rPr>
        <w:t>$0 to &lt; $10 million</w:t>
      </w:r>
      <w:bookmarkEnd w:id="126"/>
    </w:p>
    <w:p w14:paraId="68888B18" w14:textId="41622549" w:rsidR="007C31F2" w:rsidRPr="00E050AF" w:rsidRDefault="007C31F2" w:rsidP="00EB6504">
      <w:pPr>
        <w:spacing w:before="0" w:after="0"/>
        <w:rPr>
          <w:rFonts w:ascii="Arial Narrow" w:eastAsia="Times New Roman" w:hAnsi="Arial Narrow" w:cs="Arial"/>
          <w:snapToGrid w:val="0"/>
          <w:sz w:val="18"/>
          <w:szCs w:val="18"/>
        </w:rPr>
      </w:pPr>
      <w:r>
        <w:rPr>
          <w:rFonts w:ascii="Arial Narrow" w:eastAsia="Times New Roman" w:hAnsi="Arial Narrow" w:cs="Arial"/>
          <w:i/>
          <w:sz w:val="18"/>
          <w:szCs w:val="18"/>
          <w:vertAlign w:val="superscript"/>
          <w:lang w:eastAsia="en-AU"/>
        </w:rPr>
        <w:t>5</w:t>
      </w:r>
      <w:r>
        <w:rPr>
          <w:rFonts w:ascii="Arial Narrow" w:eastAsia="Times New Roman" w:hAnsi="Arial Narrow" w:cs="Arial"/>
          <w:i/>
          <w:sz w:val="18"/>
          <w:szCs w:val="18"/>
          <w:lang w:eastAsia="en-AU"/>
        </w:rPr>
        <w:t xml:space="preserve"> </w:t>
      </w:r>
      <w:bookmarkStart w:id="127" w:name="_Hlk114136383"/>
      <w:r w:rsidR="00EB6504" w:rsidRPr="00EB6504">
        <w:rPr>
          <w:rFonts w:ascii="Arial Narrow" w:eastAsia="Times New Roman" w:hAnsi="Arial Narrow" w:cs="Arial"/>
          <w:i/>
          <w:sz w:val="18"/>
          <w:szCs w:val="18"/>
          <w:lang w:eastAsia="en-AU"/>
        </w:rPr>
        <w:t>$20 million to &lt; $30 million</w:t>
      </w:r>
      <w:bookmarkEnd w:id="127"/>
    </w:p>
    <w:p w14:paraId="61423597" w14:textId="45637272" w:rsidR="00D22E8E" w:rsidRPr="00EB6504" w:rsidRDefault="00D22E8E" w:rsidP="00A053E5">
      <w:pPr>
        <w:pStyle w:val="ListParagraph"/>
        <w:numPr>
          <w:ilvl w:val="4"/>
          <w:numId w:val="8"/>
        </w:numPr>
        <w:rPr>
          <w:color w:val="auto"/>
        </w:rPr>
      </w:pPr>
      <w:r w:rsidRPr="00EB6504">
        <w:rPr>
          <w:color w:val="auto"/>
        </w:rPr>
        <w:t xml:space="preserve">The total cost to the PBS/RPBS of listing olaparib was estimated to be </w:t>
      </w:r>
      <w:r w:rsidR="00EB6504" w:rsidRPr="00EB6504">
        <w:rPr>
          <w:color w:val="auto"/>
        </w:rPr>
        <w:t>$10 million to &lt; $20 millio</w:t>
      </w:r>
      <w:r w:rsidRPr="00EB6504">
        <w:rPr>
          <w:color w:val="auto"/>
        </w:rPr>
        <w:t xml:space="preserve">n in year 1 and </w:t>
      </w:r>
      <w:r w:rsidR="00EB6504" w:rsidRPr="00EB6504">
        <w:rPr>
          <w:color w:val="auto"/>
        </w:rPr>
        <w:t xml:space="preserve">$10 million to &lt; $20 million </w:t>
      </w:r>
      <w:r w:rsidRPr="00EB6504">
        <w:rPr>
          <w:color w:val="auto"/>
        </w:rPr>
        <w:t xml:space="preserve">in Year 6, and a total of </w:t>
      </w:r>
      <w:r w:rsidR="00EB6504" w:rsidRPr="00EB6504">
        <w:rPr>
          <w:color w:val="auto"/>
        </w:rPr>
        <w:t>$100 million to &lt; $200 million</w:t>
      </w:r>
      <w:r w:rsidR="00EB6504" w:rsidRPr="00EB6504" w:rsidDel="00EB6504">
        <w:rPr>
          <w:color w:val="auto"/>
        </w:rPr>
        <w:t xml:space="preserve"> </w:t>
      </w:r>
      <w:r w:rsidRPr="00EB6504">
        <w:rPr>
          <w:color w:val="auto"/>
        </w:rPr>
        <w:t xml:space="preserve">in the first 6 years of listing. </w:t>
      </w:r>
      <w:r w:rsidR="00B94987" w:rsidRPr="00EB6504">
        <w:rPr>
          <w:color w:val="auto"/>
        </w:rPr>
        <w:t>The net a</w:t>
      </w:r>
      <w:r w:rsidR="009862B4" w:rsidRPr="00EB6504">
        <w:rPr>
          <w:color w:val="auto"/>
        </w:rPr>
        <w:t xml:space="preserve">dditional cost to the MBS of HRD testing was </w:t>
      </w:r>
      <w:r w:rsidR="00EB6504" w:rsidRPr="00EB6504">
        <w:t>$0</w:t>
      </w:r>
      <w:r w:rsidR="00EB6504">
        <w:t xml:space="preserve"> </w:t>
      </w:r>
      <w:r w:rsidR="00EB6504" w:rsidRPr="00EB6504">
        <w:t>to</w:t>
      </w:r>
      <w:r w:rsidR="00EB6504">
        <w:t xml:space="preserve"> </w:t>
      </w:r>
      <w:r w:rsidR="00EB6504" w:rsidRPr="00EB6504">
        <w:t>&lt; $10 million</w:t>
      </w:r>
      <w:r w:rsidR="00EB6504">
        <w:t xml:space="preserve"> </w:t>
      </w:r>
      <w:r w:rsidR="009862B4" w:rsidRPr="00EB6504">
        <w:rPr>
          <w:color w:val="auto"/>
        </w:rPr>
        <w:t xml:space="preserve">in year 1, increasing to </w:t>
      </w:r>
      <w:r w:rsidR="00EB6504" w:rsidRPr="00EB6504">
        <w:t>$0</w:t>
      </w:r>
      <w:r w:rsidR="00EB6504">
        <w:t xml:space="preserve"> </w:t>
      </w:r>
      <w:r w:rsidR="00EB6504" w:rsidRPr="00EB6504">
        <w:t>to</w:t>
      </w:r>
      <w:r w:rsidR="00EB6504">
        <w:t xml:space="preserve"> </w:t>
      </w:r>
      <w:r w:rsidR="00EB6504" w:rsidRPr="00EB6504">
        <w:t>&lt; $10 million</w:t>
      </w:r>
      <w:r w:rsidR="00EB6504">
        <w:t xml:space="preserve"> </w:t>
      </w:r>
      <w:r w:rsidR="009862B4" w:rsidRPr="00EB6504">
        <w:rPr>
          <w:color w:val="auto"/>
        </w:rPr>
        <w:t>in year 6.</w:t>
      </w:r>
    </w:p>
    <w:p w14:paraId="440EDA57" w14:textId="1157C6D2" w:rsidR="00D22E8E" w:rsidRPr="00E050AF" w:rsidRDefault="00D22E8E" w:rsidP="00D22E8E">
      <w:pPr>
        <w:pStyle w:val="ListParagraph"/>
        <w:numPr>
          <w:ilvl w:val="4"/>
          <w:numId w:val="8"/>
        </w:numPr>
        <w:rPr>
          <w:color w:val="auto"/>
        </w:rPr>
      </w:pPr>
      <w:r w:rsidRPr="00E050AF">
        <w:rPr>
          <w:color w:val="auto"/>
        </w:rPr>
        <w:t xml:space="preserve">The estimated number of patients who are expected to be HRD positive </w:t>
      </w:r>
      <w:r w:rsidRPr="00E050AF">
        <w:rPr>
          <w:i/>
          <w:iCs/>
          <w:color w:val="auto"/>
        </w:rPr>
        <w:t>BRCA</w:t>
      </w:r>
      <w:r w:rsidRPr="00E050AF">
        <w:rPr>
          <w:color w:val="auto"/>
        </w:rPr>
        <w:t>wt (</w:t>
      </w:r>
      <w:r w:rsidR="00185ACB">
        <w:rPr>
          <w:color w:val="auto"/>
        </w:rPr>
        <w:t xml:space="preserve">&lt; 500 </w:t>
      </w:r>
      <w:r w:rsidRPr="00E050AF">
        <w:rPr>
          <w:color w:val="auto"/>
        </w:rPr>
        <w:t xml:space="preserve">in year 1 and </w:t>
      </w:r>
      <w:r w:rsidR="00185ACB">
        <w:rPr>
          <w:color w:val="auto"/>
        </w:rPr>
        <w:t xml:space="preserve">&lt; 500 </w:t>
      </w:r>
      <w:r w:rsidRPr="00E050AF">
        <w:rPr>
          <w:color w:val="auto"/>
        </w:rPr>
        <w:t xml:space="preserve">in year 6) is less than the number of patients estimated to test </w:t>
      </w:r>
      <w:r w:rsidRPr="00E050AF">
        <w:rPr>
          <w:i/>
          <w:iCs/>
          <w:color w:val="auto"/>
        </w:rPr>
        <w:t>BRCA</w:t>
      </w:r>
      <w:r w:rsidRPr="00E050AF">
        <w:rPr>
          <w:color w:val="auto"/>
        </w:rPr>
        <w:t>m (</w:t>
      </w:r>
      <w:r w:rsidR="00185ACB">
        <w:rPr>
          <w:color w:val="auto"/>
        </w:rPr>
        <w:t xml:space="preserve">&lt; 500 </w:t>
      </w:r>
      <w:r w:rsidRPr="00E050AF">
        <w:rPr>
          <w:color w:val="auto"/>
        </w:rPr>
        <w:t xml:space="preserve">in year 1 and </w:t>
      </w:r>
      <w:r w:rsidR="00185ACB">
        <w:rPr>
          <w:color w:val="auto"/>
        </w:rPr>
        <w:t xml:space="preserve">&lt; 500 </w:t>
      </w:r>
      <w:r w:rsidRPr="00E050AF">
        <w:rPr>
          <w:color w:val="auto"/>
        </w:rPr>
        <w:t xml:space="preserve">in year 6) in the olaparib submission in July 2020. Slightly fewer patients would be expected to test HRD positive </w:t>
      </w:r>
      <w:r w:rsidRPr="00E050AF">
        <w:rPr>
          <w:i/>
          <w:iCs/>
          <w:color w:val="auto"/>
        </w:rPr>
        <w:t>BRCA</w:t>
      </w:r>
      <w:r w:rsidRPr="00E050AF">
        <w:rPr>
          <w:color w:val="auto"/>
        </w:rPr>
        <w:t xml:space="preserve">wt (estimated 25% of HGEOC) compared to </w:t>
      </w:r>
      <w:r w:rsidRPr="00E050AF">
        <w:rPr>
          <w:i/>
          <w:iCs/>
          <w:color w:val="auto"/>
        </w:rPr>
        <w:t>BRCA</w:t>
      </w:r>
      <w:r w:rsidRPr="00E050AF">
        <w:rPr>
          <w:color w:val="auto"/>
        </w:rPr>
        <w:t>m (estimated to be 26.3% of HGEOC).</w:t>
      </w:r>
    </w:p>
    <w:p w14:paraId="08DB1872" w14:textId="0304CAC4" w:rsidR="00D22E8E" w:rsidRPr="00E050AF" w:rsidRDefault="00D22E8E" w:rsidP="00D22E8E">
      <w:pPr>
        <w:pStyle w:val="ListParagraph"/>
        <w:numPr>
          <w:ilvl w:val="4"/>
          <w:numId w:val="8"/>
        </w:numPr>
        <w:rPr>
          <w:iCs/>
          <w:color w:val="auto"/>
        </w:rPr>
      </w:pPr>
      <w:r w:rsidRPr="00E050AF">
        <w:rPr>
          <w:color w:val="auto"/>
        </w:rPr>
        <w:t xml:space="preserve">The submission estimated that </w:t>
      </w:r>
      <w:r w:rsidR="00EB6504">
        <w:rPr>
          <w:color w:val="auto"/>
        </w:rPr>
        <w:t xml:space="preserve">&lt; 500 </w:t>
      </w:r>
      <w:r w:rsidRPr="00E050AF">
        <w:rPr>
          <w:color w:val="auto"/>
        </w:rPr>
        <w:t xml:space="preserve">grandfathered patients would be treated with PBS listed olaparib plus bevacizumab in the first year of listing, with no grandfathered patients assumed in subsequent years. The submission stated that the sponsor intends to provide HRD testing and olaparib treatment to eligible patients via a compassionate access program for a period of </w:t>
      </w:r>
      <w:r w:rsidR="00602B47" w:rsidRPr="00DC7848">
        <w:rPr>
          <w:color w:val="000000"/>
          <w:w w:val="15"/>
          <w:shd w:val="solid" w:color="000000" w:fill="000000"/>
          <w:fitText w:val="-20" w:id="-1435751936"/>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36"/>
          <w14:textFill>
            <w14:solidFill>
              <w14:srgbClr w14:val="000000">
                <w14:alpha w14:val="100000"/>
              </w14:srgbClr>
            </w14:solidFill>
          </w14:textFill>
        </w:rPr>
        <w:t>|</w:t>
      </w:r>
      <w:r w:rsidR="00520340" w:rsidRPr="00520340">
        <w:rPr>
          <w:color w:val="auto"/>
        </w:rPr>
        <w:t xml:space="preserve"> </w:t>
      </w:r>
      <w:r w:rsidR="00602B47" w:rsidRPr="00DC7848">
        <w:rPr>
          <w:color w:val="000000"/>
          <w:w w:val="15"/>
          <w:shd w:val="solid" w:color="000000" w:fill="000000"/>
          <w:fitText w:val="-20" w:id="-1435751935"/>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35"/>
          <w14:textFill>
            <w14:solidFill>
              <w14:srgbClr w14:val="000000">
                <w14:alpha w14:val="100000"/>
              </w14:srgbClr>
            </w14:solidFill>
          </w14:textFill>
        </w:rPr>
        <w:t>|</w:t>
      </w:r>
      <w:r w:rsidRPr="00185ACB">
        <w:rPr>
          <w:color w:val="auto"/>
        </w:rPr>
        <w:t>.</w:t>
      </w:r>
      <w:r w:rsidRPr="00E050AF">
        <w:rPr>
          <w:color w:val="auto"/>
        </w:rPr>
        <w:t xml:space="preserve"> </w:t>
      </w:r>
      <w:r w:rsidRPr="00E050AF">
        <w:rPr>
          <w:iCs/>
          <w:color w:val="auto"/>
        </w:rPr>
        <w:t>It was unclear how the HRD status of these grandfathered patients would be determined (given that there is currently no approved HRD test in Australia) and whether it would satisfy the instruction of “Evidence of genomic instability derived through a validated HRD assay.”</w:t>
      </w:r>
    </w:p>
    <w:p w14:paraId="584582E9" w14:textId="132064DE" w:rsidR="00D22E8E" w:rsidRPr="00E050AF" w:rsidRDefault="00D22E8E" w:rsidP="00D22E8E">
      <w:pPr>
        <w:pStyle w:val="ListParagraph"/>
        <w:numPr>
          <w:ilvl w:val="4"/>
          <w:numId w:val="8"/>
        </w:numPr>
        <w:rPr>
          <w:color w:val="auto"/>
        </w:rPr>
      </w:pPr>
      <w:bookmarkStart w:id="128" w:name="_Ref101319344"/>
      <w:r w:rsidRPr="00E050AF">
        <w:rPr>
          <w:iCs/>
          <w:color w:val="auto"/>
        </w:rPr>
        <w:t>There were several issues with the estimation of bevacizumab usage and offset in the submission.</w:t>
      </w:r>
      <w:bookmarkEnd w:id="128"/>
    </w:p>
    <w:p w14:paraId="7DBC1901" w14:textId="77777777" w:rsidR="00D22E8E" w:rsidRPr="00E050AF" w:rsidRDefault="00D22E8E" w:rsidP="003C7731">
      <w:pPr>
        <w:pStyle w:val="ListParagraph"/>
        <w:numPr>
          <w:ilvl w:val="0"/>
          <w:numId w:val="38"/>
        </w:numPr>
        <w:ind w:left="993" w:hanging="284"/>
        <w:rPr>
          <w:color w:val="auto"/>
        </w:rPr>
      </w:pPr>
      <w:r w:rsidRPr="00E050AF">
        <w:rPr>
          <w:iCs/>
        </w:rPr>
        <w:t>It was unclear why the ‘continuing’ patient count (with ‘continuing’ patients assumed to be 80% of all eligible patients) was used instead of 'incident' patients (for whom a 90% uptake rate from eligible patients assumed) for the estimation of bevacizumab when used with olaparib. This appears to be an error (as these numbers are the same as the 'proportion no longer treated with bevacizumab' instead of being the proportion initiating treatment) and likely underestimated the patient numbers and subsequently cost of bevacizumab when used with olaparib from year 2 onwards; and</w:t>
      </w:r>
    </w:p>
    <w:p w14:paraId="34183EF0" w14:textId="66935228" w:rsidR="00D22E8E" w:rsidRPr="00E050AF" w:rsidRDefault="00D22E8E" w:rsidP="003C7731">
      <w:pPr>
        <w:pStyle w:val="ListParagraph"/>
        <w:numPr>
          <w:ilvl w:val="0"/>
          <w:numId w:val="38"/>
        </w:numPr>
        <w:ind w:left="993" w:hanging="284"/>
        <w:rPr>
          <w:iCs/>
          <w:color w:val="auto"/>
        </w:rPr>
      </w:pPr>
      <w:r w:rsidRPr="00E050AF">
        <w:rPr>
          <w:iCs/>
          <w:color w:val="auto"/>
        </w:rPr>
        <w:t xml:space="preserve">The submission’s approach to estimating the number of patients no longer treated with bevacizumab monotherapy in year 1 led to an implausible estimate as the uptake rate of olaparib plus bevacizumab (65%) was actually lower than bevacizumab monotherapy (80%) in year one. Thereby there were </w:t>
      </w:r>
      <w:r w:rsidR="00EB6504">
        <w:rPr>
          <w:iCs/>
          <w:color w:val="auto"/>
        </w:rPr>
        <w:t>&lt; 500</w:t>
      </w:r>
      <w:r w:rsidR="00EB6504" w:rsidRPr="00E050AF">
        <w:rPr>
          <w:iCs/>
          <w:color w:val="auto"/>
        </w:rPr>
        <w:t xml:space="preserve"> </w:t>
      </w:r>
      <w:r w:rsidRPr="00E050AF">
        <w:rPr>
          <w:iCs/>
          <w:color w:val="auto"/>
        </w:rPr>
        <w:t xml:space="preserve">patients initiating treatment with olaparib plus bevacizumab but </w:t>
      </w:r>
      <w:r w:rsidR="00EB6504">
        <w:rPr>
          <w:iCs/>
          <w:color w:val="auto"/>
        </w:rPr>
        <w:t>&lt; 500</w:t>
      </w:r>
      <w:r w:rsidR="00EB6504" w:rsidRPr="00E050AF">
        <w:rPr>
          <w:iCs/>
          <w:color w:val="auto"/>
        </w:rPr>
        <w:t xml:space="preserve"> </w:t>
      </w:r>
      <w:r w:rsidRPr="00E050AF">
        <w:rPr>
          <w:iCs/>
          <w:color w:val="auto"/>
        </w:rPr>
        <w:t>patients who ceased treatment with bevacizumab monotherapy.</w:t>
      </w:r>
    </w:p>
    <w:p w14:paraId="680F9C55" w14:textId="09A1588E" w:rsidR="009862B4" w:rsidRPr="00E050AF" w:rsidRDefault="00D22E8E" w:rsidP="009862B4">
      <w:pPr>
        <w:pStyle w:val="ListParagraph"/>
        <w:numPr>
          <w:ilvl w:val="4"/>
          <w:numId w:val="8"/>
        </w:numPr>
        <w:rPr>
          <w:iCs/>
          <w:color w:val="auto"/>
        </w:rPr>
      </w:pPr>
      <w:r w:rsidRPr="00E050AF">
        <w:rPr>
          <w:iCs/>
          <w:color w:val="auto"/>
        </w:rPr>
        <w:t>There were also several issues with the MBS usage estimated in the submission</w:t>
      </w:r>
      <w:r w:rsidR="009862B4" w:rsidRPr="00E050AF">
        <w:rPr>
          <w:iCs/>
          <w:color w:val="auto"/>
        </w:rPr>
        <w:t xml:space="preserve"> which were corrected during the evaluation.</w:t>
      </w:r>
    </w:p>
    <w:p w14:paraId="4A752F98" w14:textId="49F6A17C" w:rsidR="007D7514" w:rsidRPr="00E050AF" w:rsidRDefault="007D7514" w:rsidP="009862B4">
      <w:pPr>
        <w:pStyle w:val="ListParagraph"/>
        <w:numPr>
          <w:ilvl w:val="4"/>
          <w:numId w:val="8"/>
        </w:numPr>
        <w:rPr>
          <w:iCs/>
          <w:color w:val="auto"/>
        </w:rPr>
      </w:pPr>
      <w:r w:rsidRPr="00E050AF">
        <w:rPr>
          <w:iCs/>
          <w:color w:val="auto"/>
        </w:rPr>
        <w:t xml:space="preserve">The PBAC noted that the estimated number of patients eligible for treatment under the proposed listing was dependent upon the assumed proportions of the population anticipated to be HRD positive and </w:t>
      </w:r>
      <w:r w:rsidRPr="00E050AF">
        <w:rPr>
          <w:i/>
          <w:color w:val="auto"/>
        </w:rPr>
        <w:t>BRCA</w:t>
      </w:r>
      <w:r w:rsidRPr="00E050AF">
        <w:rPr>
          <w:iCs/>
          <w:color w:val="auto"/>
        </w:rPr>
        <w:t>wt. The PBAC requested that MSAC provide advice regarding the following for patients eligible to be treated with olaparib for 1L ovarian cancer:</w:t>
      </w:r>
    </w:p>
    <w:p w14:paraId="0CAFAB7B" w14:textId="77777777" w:rsidR="007D7514" w:rsidRPr="00E050AF" w:rsidRDefault="007D7514" w:rsidP="003C7731">
      <w:pPr>
        <w:pStyle w:val="ListParagraph"/>
        <w:numPr>
          <w:ilvl w:val="4"/>
          <w:numId w:val="39"/>
        </w:numPr>
        <w:ind w:left="1134" w:hanging="283"/>
        <w:rPr>
          <w:color w:val="auto"/>
        </w:rPr>
      </w:pPr>
      <w:r w:rsidRPr="00E050AF">
        <w:rPr>
          <w:color w:val="auto"/>
        </w:rPr>
        <w:t xml:space="preserve">The proportion of patients with </w:t>
      </w:r>
      <w:r w:rsidRPr="00E050AF">
        <w:rPr>
          <w:i/>
          <w:iCs/>
          <w:color w:val="auto"/>
        </w:rPr>
        <w:t>BRCA</w:t>
      </w:r>
      <w:r w:rsidRPr="00E050AF">
        <w:rPr>
          <w:color w:val="auto"/>
        </w:rPr>
        <w:t xml:space="preserve"> pathogenic or likely pathogenic variants (assumed to be 25.3% by the submission, and so eligible for treatment under the existing olaparib monotherapy listing).</w:t>
      </w:r>
    </w:p>
    <w:p w14:paraId="4A5253F7" w14:textId="77777777" w:rsidR="007D7514" w:rsidRPr="00E050AF" w:rsidRDefault="007D7514" w:rsidP="003C7731">
      <w:pPr>
        <w:pStyle w:val="ListParagraph"/>
        <w:numPr>
          <w:ilvl w:val="4"/>
          <w:numId w:val="39"/>
        </w:numPr>
        <w:ind w:left="1134" w:hanging="283"/>
        <w:rPr>
          <w:color w:val="auto"/>
        </w:rPr>
      </w:pPr>
      <w:r w:rsidRPr="00E050AF">
        <w:rPr>
          <w:color w:val="auto"/>
        </w:rPr>
        <w:t>The proportion of patients with HRD positive tumours (assumed to be 50% by the submission), and thus the increment in the population eligible for olaparib of 24.7%.</w:t>
      </w:r>
    </w:p>
    <w:p w14:paraId="19F54A7F" w14:textId="0EFDDC8B" w:rsidR="00AB43EA" w:rsidRPr="00E050AF" w:rsidRDefault="00AB43EA" w:rsidP="009D3CDF">
      <w:pPr>
        <w:pStyle w:val="PBACESHeading2"/>
        <w:numPr>
          <w:ilvl w:val="2"/>
          <w:numId w:val="8"/>
        </w:numPr>
        <w:ind w:left="0" w:firstLine="0"/>
      </w:pPr>
      <w:bookmarkStart w:id="129" w:name="_Toc413139285"/>
      <w:bookmarkStart w:id="130" w:name="_Toc100693632"/>
      <w:bookmarkStart w:id="131" w:name="_Toc103581584"/>
      <w:bookmarkStart w:id="132" w:name="_Toc103775871"/>
      <w:r w:rsidRPr="00E050AF">
        <w:t>Quality use of medicines</w:t>
      </w:r>
      <w:bookmarkStart w:id="133" w:name="_Toc413139286"/>
      <w:bookmarkEnd w:id="129"/>
      <w:bookmarkEnd w:id="130"/>
      <w:bookmarkEnd w:id="131"/>
      <w:bookmarkEnd w:id="132"/>
    </w:p>
    <w:p w14:paraId="723798BD" w14:textId="59E6EB8C" w:rsidR="00AB43EA" w:rsidRPr="00E050AF" w:rsidRDefault="00AB43EA" w:rsidP="009D3CDF">
      <w:pPr>
        <w:pStyle w:val="ListParagraph"/>
        <w:numPr>
          <w:ilvl w:val="4"/>
          <w:numId w:val="8"/>
        </w:numPr>
        <w:rPr>
          <w:color w:val="auto"/>
        </w:rPr>
      </w:pPr>
      <w:r w:rsidRPr="00E050AF">
        <w:rPr>
          <w:color w:val="auto"/>
        </w:rPr>
        <w:t xml:space="preserve">AstraZeneca </w:t>
      </w:r>
      <w:r w:rsidR="00035E76" w:rsidRPr="00E050AF">
        <w:rPr>
          <w:color w:val="auto"/>
        </w:rPr>
        <w:t>led</w:t>
      </w:r>
      <w:r w:rsidRPr="00E050AF">
        <w:rPr>
          <w:color w:val="auto"/>
        </w:rPr>
        <w:t xml:space="preserve"> a symposium at the Australia New Zealand Gynaecological Oncology Group’s (ANZGOG) Annual Scientific Meeting (23-26 March 2022) to provide information and education on tumour </w:t>
      </w:r>
      <w:r w:rsidR="00CF529A" w:rsidRPr="00E050AF">
        <w:rPr>
          <w:i/>
          <w:iCs/>
          <w:color w:val="auto"/>
        </w:rPr>
        <w:t>BRCA</w:t>
      </w:r>
      <w:r w:rsidRPr="00E050AF">
        <w:rPr>
          <w:color w:val="auto"/>
        </w:rPr>
        <w:t xml:space="preserve"> and HRD testing in ovarian cancer, explore developing/establishing a HRD assay in Australia and tumour acquisition for </w:t>
      </w:r>
      <w:r w:rsidR="00CF529A" w:rsidRPr="00E050AF">
        <w:rPr>
          <w:i/>
          <w:iCs/>
          <w:color w:val="auto"/>
        </w:rPr>
        <w:t>BRCA</w:t>
      </w:r>
      <w:r w:rsidRPr="00E050AF">
        <w:rPr>
          <w:color w:val="auto"/>
        </w:rPr>
        <w:t xml:space="preserve"> testing, examine selection of appropriate sample for tumour </w:t>
      </w:r>
      <w:r w:rsidR="00CF529A" w:rsidRPr="00E050AF">
        <w:rPr>
          <w:i/>
          <w:iCs/>
          <w:color w:val="auto"/>
        </w:rPr>
        <w:t>BRCA</w:t>
      </w:r>
      <w:r w:rsidRPr="00E050AF">
        <w:rPr>
          <w:color w:val="auto"/>
        </w:rPr>
        <w:t xml:space="preserve"> testing, discuss the optimal timing for a biopsy and provide discussion and case study.</w:t>
      </w:r>
    </w:p>
    <w:p w14:paraId="59EB8A1D" w14:textId="41746CE7" w:rsidR="00AB43EA" w:rsidRPr="00E050AF" w:rsidRDefault="00AB43EA" w:rsidP="009D3CDF">
      <w:pPr>
        <w:pStyle w:val="ListParagraph"/>
        <w:numPr>
          <w:ilvl w:val="4"/>
          <w:numId w:val="8"/>
        </w:numPr>
        <w:rPr>
          <w:color w:val="auto"/>
        </w:rPr>
      </w:pPr>
      <w:r w:rsidRPr="00E050AF">
        <w:rPr>
          <w:rFonts w:cs="Arial"/>
        </w:rPr>
        <w:t>AstraZeneca’s Biomarker and Gene Mutation Patient Advocacy Exchange held a virtual meeting (May 2021) aimed at patient advocacy groups (PAGs) who are involved in educating and supporting patients with cancer. The meeting explored biomarkers across multiple tumour types, including breast, ovarian, lung, gastrointestinal, haematological and genitourinary cancers.</w:t>
      </w:r>
    </w:p>
    <w:p w14:paraId="2A82B1A9" w14:textId="3438D7D4" w:rsidR="0080649B" w:rsidRPr="00E050AF" w:rsidRDefault="0080649B" w:rsidP="009D3CDF">
      <w:pPr>
        <w:pStyle w:val="ListParagraph"/>
        <w:numPr>
          <w:ilvl w:val="4"/>
          <w:numId w:val="8"/>
        </w:numPr>
        <w:rPr>
          <w:color w:val="auto"/>
        </w:rPr>
      </w:pPr>
      <w:r w:rsidRPr="00E050AF">
        <w:rPr>
          <w:color w:val="auto"/>
        </w:rPr>
        <w:t>DUSC noted that there was a high rate of dose interruption (54%), dose reduction (41%) and discontinuation (20%) in the olaparib</w:t>
      </w:r>
      <w:r w:rsidR="009862B4" w:rsidRPr="00E050AF">
        <w:rPr>
          <w:color w:val="auto"/>
        </w:rPr>
        <w:t xml:space="preserve"> plus </w:t>
      </w:r>
      <w:r w:rsidRPr="00E050AF">
        <w:rPr>
          <w:color w:val="auto"/>
        </w:rPr>
        <w:t>bevacizumab group in the PAOLA-1 trial. However, DUSC commented that clinicians treating gynaecological malignancies are now relatively familiar with olaparib and its QUM issues.</w:t>
      </w:r>
    </w:p>
    <w:p w14:paraId="3C1E5353" w14:textId="6F41C17C" w:rsidR="00AB43EA" w:rsidRPr="00E050AF" w:rsidRDefault="00AB43EA" w:rsidP="009D3CDF">
      <w:pPr>
        <w:pStyle w:val="PBACESHeading2"/>
        <w:numPr>
          <w:ilvl w:val="2"/>
          <w:numId w:val="8"/>
        </w:numPr>
        <w:ind w:left="0" w:firstLine="0"/>
      </w:pPr>
      <w:bookmarkStart w:id="134" w:name="_Toc100693633"/>
      <w:bookmarkStart w:id="135" w:name="_Toc103581585"/>
      <w:bookmarkStart w:id="136" w:name="_Toc103775872"/>
      <w:r w:rsidRPr="00E050AF">
        <w:t>Financial management – risk sharing arrangements</w:t>
      </w:r>
      <w:bookmarkEnd w:id="133"/>
      <w:bookmarkEnd w:id="134"/>
      <w:bookmarkEnd w:id="135"/>
      <w:bookmarkEnd w:id="136"/>
    </w:p>
    <w:p w14:paraId="726F7A5B" w14:textId="45DCBECA" w:rsidR="00AB43EA" w:rsidRPr="00E050AF" w:rsidRDefault="00AB43EA" w:rsidP="009D3CDF">
      <w:pPr>
        <w:pStyle w:val="ListParagraph"/>
        <w:numPr>
          <w:ilvl w:val="4"/>
          <w:numId w:val="8"/>
        </w:numPr>
        <w:rPr>
          <w:color w:val="auto"/>
        </w:rPr>
      </w:pPr>
      <w:r w:rsidRPr="00E050AF">
        <w:rPr>
          <w:color w:val="auto"/>
        </w:rPr>
        <w:t xml:space="preserve">A Deed of Agreement between </w:t>
      </w:r>
      <w:r w:rsidR="000F3025" w:rsidRPr="00E050AF">
        <w:rPr>
          <w:color w:val="auto"/>
        </w:rPr>
        <w:t>t</w:t>
      </w:r>
      <w:r w:rsidRPr="00E050AF">
        <w:rPr>
          <w:color w:val="auto"/>
        </w:rPr>
        <w:t xml:space="preserve">he Commonwealth of Australia and AstraZeneca Pty Ltd in relation to sharing the costs of Commonwealth subsidy for the supply of olaparib, </w:t>
      </w:r>
      <w:r w:rsidRPr="00EB6504">
        <w:rPr>
          <w:color w:val="auto"/>
        </w:rPr>
        <w:t xml:space="preserve">was executed </w:t>
      </w:r>
      <w:r w:rsidR="00602B47" w:rsidRPr="00DC7848">
        <w:rPr>
          <w:color w:val="000000"/>
          <w:w w:val="15"/>
          <w:shd w:val="solid" w:color="000000" w:fill="000000"/>
          <w:fitText w:val="-20" w:id="-1435751934"/>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34"/>
          <w14:textFill>
            <w14:solidFill>
              <w14:srgbClr w14:val="000000">
                <w14:alpha w14:val="100000"/>
              </w14:srgbClr>
            </w14:solidFill>
          </w14:textFill>
        </w:rPr>
        <w:t>|</w:t>
      </w:r>
      <w:r w:rsidR="00520340" w:rsidRPr="00520340">
        <w:rPr>
          <w:color w:val="auto"/>
        </w:rPr>
        <w:t xml:space="preserve"> </w:t>
      </w:r>
      <w:r w:rsidR="00602B47" w:rsidRPr="00DC7848">
        <w:rPr>
          <w:color w:val="000000"/>
          <w:w w:val="15"/>
          <w:shd w:val="solid" w:color="000000" w:fill="000000"/>
          <w:fitText w:val="-20" w:id="-1435751933"/>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33"/>
          <w14:textFill>
            <w14:solidFill>
              <w14:srgbClr w14:val="000000">
                <w14:alpha w14:val="100000"/>
              </w14:srgbClr>
            </w14:solidFill>
          </w14:textFill>
        </w:rPr>
        <w:t>|</w:t>
      </w:r>
      <w:r w:rsidR="00520340" w:rsidRPr="00520340">
        <w:rPr>
          <w:color w:val="auto"/>
        </w:rPr>
        <w:t xml:space="preserve"> </w:t>
      </w:r>
      <w:r w:rsidR="00602B47" w:rsidRPr="00DC7848">
        <w:rPr>
          <w:color w:val="000000"/>
          <w:w w:val="15"/>
          <w:shd w:val="solid" w:color="000000" w:fill="000000"/>
          <w:fitText w:val="-20" w:id="-1435751932"/>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32"/>
          <w14:textFill>
            <w14:solidFill>
              <w14:srgbClr w14:val="000000">
                <w14:alpha w14:val="100000"/>
              </w14:srgbClr>
            </w14:solidFill>
          </w14:textFill>
        </w:rPr>
        <w:t>|</w:t>
      </w:r>
      <w:r w:rsidR="00520340" w:rsidRPr="00520340">
        <w:rPr>
          <w:color w:val="auto"/>
        </w:rPr>
        <w:t xml:space="preserve"> </w:t>
      </w:r>
      <w:r w:rsidR="00602B47" w:rsidRPr="00DC7848">
        <w:rPr>
          <w:color w:val="000000"/>
          <w:w w:val="15"/>
          <w:shd w:val="solid" w:color="000000" w:fill="000000"/>
          <w:fitText w:val="-20" w:id="-1435751931"/>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31"/>
          <w14:textFill>
            <w14:solidFill>
              <w14:srgbClr w14:val="000000">
                <w14:alpha w14:val="100000"/>
              </w14:srgbClr>
            </w14:solidFill>
          </w14:textFill>
        </w:rPr>
        <w:t>|</w:t>
      </w:r>
      <w:r w:rsidRPr="00E050AF">
        <w:rPr>
          <w:color w:val="auto"/>
        </w:rPr>
        <w:t xml:space="preserve"> and updated </w:t>
      </w:r>
      <w:r w:rsidR="00602B47" w:rsidRPr="00DC7848">
        <w:rPr>
          <w:color w:val="000000"/>
          <w:w w:val="15"/>
          <w:shd w:val="solid" w:color="000000" w:fill="000000"/>
          <w:fitText w:val="-20" w:id="-1435751930"/>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30"/>
          <w14:textFill>
            <w14:solidFill>
              <w14:srgbClr w14:val="000000">
                <w14:alpha w14:val="100000"/>
              </w14:srgbClr>
            </w14:solidFill>
          </w14:textFill>
        </w:rPr>
        <w:t>|</w:t>
      </w:r>
      <w:r w:rsidR="00520340" w:rsidRPr="00520340">
        <w:rPr>
          <w:color w:val="auto"/>
        </w:rPr>
        <w:t xml:space="preserve"> </w:t>
      </w:r>
      <w:r w:rsidR="00602B47" w:rsidRPr="00DC7848">
        <w:rPr>
          <w:color w:val="000000"/>
          <w:w w:val="15"/>
          <w:shd w:val="solid" w:color="000000" w:fill="000000"/>
          <w:fitText w:val="-20" w:id="-1435751929"/>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29"/>
          <w14:textFill>
            <w14:solidFill>
              <w14:srgbClr w14:val="000000">
                <w14:alpha w14:val="100000"/>
              </w14:srgbClr>
            </w14:solidFill>
          </w14:textFill>
        </w:rPr>
        <w:t>|</w:t>
      </w:r>
      <w:r w:rsidR="00520340" w:rsidRPr="00520340">
        <w:rPr>
          <w:color w:val="auto"/>
        </w:rPr>
        <w:t xml:space="preserve"> </w:t>
      </w:r>
      <w:r w:rsidR="00602B47" w:rsidRPr="00DC7848">
        <w:rPr>
          <w:color w:val="000000"/>
          <w:w w:val="15"/>
          <w:shd w:val="solid" w:color="000000" w:fill="000000"/>
          <w:fitText w:val="-20" w:id="-1435751928"/>
          <w14:textFill>
            <w14:solidFill>
              <w14:srgbClr w14:val="000000">
                <w14:alpha w14:val="100000"/>
              </w14:srgbClr>
            </w14:solidFill>
          </w14:textFill>
        </w:rPr>
        <w:t xml:space="preserve">|  </w:t>
      </w:r>
      <w:r w:rsidR="00602B47" w:rsidRPr="00DC7848">
        <w:rPr>
          <w:color w:val="000000"/>
          <w:spacing w:val="-69"/>
          <w:w w:val="15"/>
          <w:shd w:val="solid" w:color="000000" w:fill="000000"/>
          <w:fitText w:val="-20" w:id="-1435751928"/>
          <w14:textFill>
            <w14:solidFill>
              <w14:srgbClr w14:val="000000">
                <w14:alpha w14:val="100000"/>
              </w14:srgbClr>
            </w14:solidFill>
          </w14:textFill>
        </w:rPr>
        <w:t>|</w:t>
      </w:r>
      <w:r w:rsidRPr="00E050AF">
        <w:rPr>
          <w:color w:val="auto"/>
        </w:rPr>
        <w:t xml:space="preserve"> to include the </w:t>
      </w:r>
      <w:r w:rsidR="00D25BA0" w:rsidRPr="00E050AF">
        <w:rPr>
          <w:color w:val="auto"/>
        </w:rPr>
        <w:t xml:space="preserve">first line </w:t>
      </w:r>
      <w:r w:rsidRPr="00E050AF">
        <w:rPr>
          <w:color w:val="auto"/>
        </w:rPr>
        <w:t>olaparib monotherapy listing.</w:t>
      </w:r>
    </w:p>
    <w:p w14:paraId="39B5E1C8" w14:textId="42C11E33" w:rsidR="00AB0726" w:rsidRPr="00E050AF" w:rsidRDefault="00AB43EA" w:rsidP="009D3CDF">
      <w:pPr>
        <w:pStyle w:val="ListParagraph"/>
        <w:numPr>
          <w:ilvl w:val="4"/>
          <w:numId w:val="8"/>
        </w:numPr>
        <w:rPr>
          <w:color w:val="auto"/>
        </w:rPr>
      </w:pPr>
      <w:r w:rsidRPr="00E050AF">
        <w:rPr>
          <w:color w:val="auto"/>
        </w:rPr>
        <w:t xml:space="preserve">No specific risk sharing arrangement for this submission was proposed. However, the submission stated that AstraZeneca is willing to work with the PBAC and Department of Health to determine appropriate terms for PBS listing of olaparib for eligible patients with HRD positive </w:t>
      </w:r>
      <w:r w:rsidR="00CF529A" w:rsidRPr="00E050AF">
        <w:rPr>
          <w:i/>
          <w:iCs/>
          <w:color w:val="auto"/>
        </w:rPr>
        <w:t>BRCA</w:t>
      </w:r>
      <w:r w:rsidRPr="00E050AF">
        <w:rPr>
          <w:color w:val="auto"/>
        </w:rPr>
        <w:t>wt advanced ovarian cancer that recognises the value of this treatment and shares the risk of uncertainty between the Sponsor and the Department.</w:t>
      </w:r>
    </w:p>
    <w:p w14:paraId="061C8D62" w14:textId="77777777" w:rsidR="001D1182" w:rsidRPr="00E050AF" w:rsidRDefault="001D1182" w:rsidP="003C7731">
      <w:pPr>
        <w:pStyle w:val="PBACESHeading1"/>
        <w:numPr>
          <w:ilvl w:val="0"/>
          <w:numId w:val="25"/>
        </w:numPr>
      </w:pPr>
      <w:bookmarkStart w:id="137" w:name="_Hlk76381249"/>
      <w:bookmarkStart w:id="138" w:name="_Hlk76377955"/>
      <w:bookmarkStart w:id="139" w:name="_Hlk103934877"/>
      <w:r w:rsidRPr="00E050AF">
        <w:t>PBAC Outcome</w:t>
      </w:r>
    </w:p>
    <w:p w14:paraId="0830F9E5" w14:textId="3BD12ABB" w:rsidR="004E4E3D" w:rsidRPr="00E050AF" w:rsidRDefault="00F75659" w:rsidP="00971E91">
      <w:pPr>
        <w:pStyle w:val="ListParagraph"/>
        <w:numPr>
          <w:ilvl w:val="4"/>
          <w:numId w:val="8"/>
        </w:numPr>
        <w:tabs>
          <w:tab w:val="left" w:pos="1276"/>
        </w:tabs>
        <w:rPr>
          <w:color w:val="auto"/>
        </w:rPr>
      </w:pPr>
      <w:r w:rsidRPr="00E050AF">
        <w:rPr>
          <w:color w:val="auto"/>
        </w:rPr>
        <w:t xml:space="preserve">The PBAC did not recommend olaparib for use in combination with bevacizumab for maintenance therapy in patients with newly diagnosed HRD positive </w:t>
      </w:r>
      <w:r w:rsidRPr="00E050AF">
        <w:rPr>
          <w:i/>
          <w:iCs/>
          <w:color w:val="auto"/>
        </w:rPr>
        <w:t>BRCA</w:t>
      </w:r>
      <w:r w:rsidR="00FE0E8A" w:rsidRPr="00E050AF">
        <w:rPr>
          <w:color w:val="auto"/>
        </w:rPr>
        <w:t>wt</w:t>
      </w:r>
      <w:r w:rsidR="000F3025" w:rsidRPr="00E050AF">
        <w:rPr>
          <w:color w:val="auto"/>
        </w:rPr>
        <w:t xml:space="preserve"> </w:t>
      </w:r>
      <w:r w:rsidRPr="00E050AF">
        <w:rPr>
          <w:color w:val="auto"/>
        </w:rPr>
        <w:t xml:space="preserve">advanced epithelial ovarian, fallopian tube or primary peritoneal cancer. The PBAC considered that a clinical claim of superior efficacy was supported for olaparib </w:t>
      </w:r>
      <w:r w:rsidR="00701C64" w:rsidRPr="00E050AF">
        <w:rPr>
          <w:color w:val="auto"/>
        </w:rPr>
        <w:t xml:space="preserve">plus </w:t>
      </w:r>
      <w:r w:rsidRPr="00E050AF">
        <w:rPr>
          <w:color w:val="auto"/>
        </w:rPr>
        <w:t>bevacizumab in the HRD positive group, compared with bevacizumab alone</w:t>
      </w:r>
      <w:r w:rsidR="00D5060B" w:rsidRPr="00E050AF">
        <w:rPr>
          <w:color w:val="auto"/>
        </w:rPr>
        <w:t xml:space="preserve"> based on PFS benefit, although the OS benefit was uncertain due to immature data. </w:t>
      </w:r>
      <w:r w:rsidRPr="00E050AF">
        <w:rPr>
          <w:color w:val="auto"/>
        </w:rPr>
        <w:t xml:space="preserve">The PBAC considered that olaparib </w:t>
      </w:r>
      <w:r w:rsidR="00701C64" w:rsidRPr="00E050AF">
        <w:rPr>
          <w:color w:val="auto"/>
        </w:rPr>
        <w:t xml:space="preserve">plus </w:t>
      </w:r>
      <w:r w:rsidRPr="00E050AF">
        <w:rPr>
          <w:color w:val="auto"/>
        </w:rPr>
        <w:t>bevacizumab was inferior compared with bevacizumab alone in terms of safety</w:t>
      </w:r>
      <w:r w:rsidR="00D5060B" w:rsidRPr="00E050AF">
        <w:rPr>
          <w:color w:val="auto"/>
        </w:rPr>
        <w:t>, but would be manageable in practice</w:t>
      </w:r>
      <w:r w:rsidRPr="00E050AF">
        <w:rPr>
          <w:color w:val="auto"/>
        </w:rPr>
        <w:t xml:space="preserve">. The PBAC considered that </w:t>
      </w:r>
      <w:r w:rsidR="00C85C1D" w:rsidRPr="00E050AF">
        <w:rPr>
          <w:color w:val="auto"/>
        </w:rPr>
        <w:t xml:space="preserve">revisions to the inputs for the economic </w:t>
      </w:r>
      <w:r w:rsidRPr="00E050AF">
        <w:rPr>
          <w:color w:val="auto"/>
        </w:rPr>
        <w:t xml:space="preserve">model </w:t>
      </w:r>
      <w:r w:rsidR="00C85C1D" w:rsidRPr="00E050AF">
        <w:rPr>
          <w:color w:val="auto"/>
        </w:rPr>
        <w:t>were required so that they were</w:t>
      </w:r>
      <w:r w:rsidR="00FE0E8A" w:rsidRPr="00E050AF">
        <w:rPr>
          <w:color w:val="auto"/>
        </w:rPr>
        <w:t xml:space="preserve"> </w:t>
      </w:r>
      <w:r w:rsidRPr="00E050AF">
        <w:rPr>
          <w:color w:val="auto"/>
        </w:rPr>
        <w:t xml:space="preserve">consistent with those previously accepted by the PBAC for olaparib monotherapy in the </w:t>
      </w:r>
      <w:r w:rsidRPr="00E050AF">
        <w:rPr>
          <w:i/>
          <w:iCs/>
          <w:color w:val="auto"/>
        </w:rPr>
        <w:t>BRCA</w:t>
      </w:r>
      <w:r w:rsidR="000F3025" w:rsidRPr="00E050AF">
        <w:rPr>
          <w:color w:val="auto"/>
        </w:rPr>
        <w:t>m</w:t>
      </w:r>
      <w:r w:rsidRPr="00E050AF">
        <w:rPr>
          <w:color w:val="auto"/>
        </w:rPr>
        <w:t xml:space="preserve"> group and with </w:t>
      </w:r>
      <w:r w:rsidR="008B5C64" w:rsidRPr="00E050AF">
        <w:rPr>
          <w:color w:val="auto"/>
        </w:rPr>
        <w:t xml:space="preserve">these </w:t>
      </w:r>
      <w:r w:rsidRPr="00E050AF">
        <w:rPr>
          <w:color w:val="auto"/>
        </w:rPr>
        <w:t>revision</w:t>
      </w:r>
      <w:r w:rsidR="00D241E6" w:rsidRPr="00E050AF">
        <w:rPr>
          <w:color w:val="auto"/>
        </w:rPr>
        <w:t>s</w:t>
      </w:r>
      <w:r w:rsidRPr="00E050AF">
        <w:rPr>
          <w:color w:val="auto"/>
        </w:rPr>
        <w:t xml:space="preserve"> the ICER </w:t>
      </w:r>
      <w:r w:rsidR="008B5C64" w:rsidRPr="00E050AF">
        <w:rPr>
          <w:color w:val="auto"/>
        </w:rPr>
        <w:t xml:space="preserve">would increase substantially </w:t>
      </w:r>
      <w:r w:rsidRPr="00E050AF">
        <w:rPr>
          <w:color w:val="auto"/>
        </w:rPr>
        <w:t xml:space="preserve">and </w:t>
      </w:r>
      <w:r w:rsidR="008B5C64" w:rsidRPr="00E050AF">
        <w:rPr>
          <w:color w:val="auto"/>
        </w:rPr>
        <w:t xml:space="preserve">hence </w:t>
      </w:r>
      <w:r w:rsidRPr="00E050AF">
        <w:rPr>
          <w:color w:val="auto"/>
        </w:rPr>
        <w:t xml:space="preserve">a price reduction would be required for the proposed listing to be considered </w:t>
      </w:r>
      <w:r w:rsidR="00D9700D" w:rsidRPr="00E050AF">
        <w:rPr>
          <w:color w:val="auto"/>
        </w:rPr>
        <w:t xml:space="preserve">acceptably </w:t>
      </w:r>
      <w:r w:rsidRPr="00E050AF">
        <w:rPr>
          <w:color w:val="auto"/>
        </w:rPr>
        <w:t>cost</w:t>
      </w:r>
      <w:r w:rsidR="00701C64" w:rsidRPr="00E050AF">
        <w:rPr>
          <w:color w:val="auto"/>
        </w:rPr>
        <w:noBreakHyphen/>
      </w:r>
      <w:r w:rsidRPr="00E050AF">
        <w:rPr>
          <w:color w:val="auto"/>
        </w:rPr>
        <w:t>effective.</w:t>
      </w:r>
    </w:p>
    <w:p w14:paraId="3816C07B" w14:textId="379EF6E9" w:rsidR="004E4E3D" w:rsidRPr="00E050AF" w:rsidRDefault="00D1571D" w:rsidP="004E4E3D">
      <w:pPr>
        <w:pStyle w:val="ListParagraph"/>
        <w:numPr>
          <w:ilvl w:val="4"/>
          <w:numId w:val="8"/>
        </w:numPr>
        <w:rPr>
          <w:color w:val="auto"/>
        </w:rPr>
      </w:pPr>
      <w:bookmarkStart w:id="140" w:name="_Ref109859288"/>
      <w:r w:rsidRPr="00E050AF">
        <w:rPr>
          <w:snapToGrid w:val="0"/>
        </w:rPr>
        <w:t xml:space="preserve">The PBAC noted that the proposed clinical place for PARP inhibitors in patients without </w:t>
      </w:r>
      <w:r w:rsidRPr="00E050AF">
        <w:rPr>
          <w:i/>
          <w:iCs/>
          <w:snapToGrid w:val="0"/>
        </w:rPr>
        <w:t>BRCA</w:t>
      </w:r>
      <w:r w:rsidRPr="00E050AF">
        <w:rPr>
          <w:snapToGrid w:val="0"/>
        </w:rPr>
        <w:t xml:space="preserve">m was reliant on access to an approved HRD test. </w:t>
      </w:r>
      <w:r w:rsidRPr="00E050AF">
        <w:t xml:space="preserve">The PBAC considered that the submission had relied on uncertain evidence with respect to whether or not the proposed test will identify an equivalent group of patients as in the PAOLA-1 trial to determine eligibility for PBS treatment with olaparib. </w:t>
      </w:r>
      <w:r w:rsidR="004E4E3D" w:rsidRPr="00E050AF">
        <w:t>In particular, the PBAC requested that MSAC provide advice on:</w:t>
      </w:r>
      <w:bookmarkEnd w:id="140"/>
    </w:p>
    <w:p w14:paraId="5BE2FF28" w14:textId="77777777" w:rsidR="004E4E3D" w:rsidRPr="00E050AF" w:rsidRDefault="004E4E3D" w:rsidP="003C7731">
      <w:pPr>
        <w:pStyle w:val="ListParagraph"/>
        <w:numPr>
          <w:ilvl w:val="4"/>
          <w:numId w:val="42"/>
        </w:numPr>
        <w:ind w:left="993" w:hanging="284"/>
        <w:rPr>
          <w:color w:val="auto"/>
        </w:rPr>
      </w:pPr>
      <w:r w:rsidRPr="00E050AF">
        <w:rPr>
          <w:color w:val="auto"/>
        </w:rPr>
        <w:t>The equivalence or validation of the SOPHiA assay (the assay in the submission proposed for MBS listing) versus the Myriad MyChoice Plus HRD assay (the clinical utility standard assay used in PAOLA-1).</w:t>
      </w:r>
    </w:p>
    <w:p w14:paraId="2E637E85" w14:textId="77777777" w:rsidR="004E4E3D" w:rsidRPr="00E050AF" w:rsidRDefault="004E4E3D" w:rsidP="003C7731">
      <w:pPr>
        <w:pStyle w:val="ListParagraph"/>
        <w:numPr>
          <w:ilvl w:val="4"/>
          <w:numId w:val="42"/>
        </w:numPr>
        <w:ind w:left="993" w:hanging="284"/>
        <w:rPr>
          <w:color w:val="auto"/>
        </w:rPr>
      </w:pPr>
      <w:r w:rsidRPr="00E050AF">
        <w:rPr>
          <w:color w:val="auto"/>
        </w:rPr>
        <w:t>The threshold that should be used to define HRD positivity for determining PARPi eligibility with reference to the clinical utility standard.</w:t>
      </w:r>
    </w:p>
    <w:p w14:paraId="39F977C1" w14:textId="77777777" w:rsidR="004E4E3D" w:rsidRPr="00E050AF" w:rsidRDefault="004E4E3D" w:rsidP="003C7731">
      <w:pPr>
        <w:pStyle w:val="ListParagraph"/>
        <w:numPr>
          <w:ilvl w:val="4"/>
          <w:numId w:val="42"/>
        </w:numPr>
        <w:ind w:left="993" w:hanging="284"/>
        <w:rPr>
          <w:color w:val="auto"/>
        </w:rPr>
      </w:pPr>
      <w:r w:rsidRPr="00E050AF">
        <w:rPr>
          <w:color w:val="auto"/>
        </w:rPr>
        <w:t>The proportions of the population anticipated to be HRD positive and breast cancer gene wild type (</w:t>
      </w:r>
      <w:r w:rsidRPr="00E050AF">
        <w:rPr>
          <w:i/>
          <w:iCs/>
          <w:color w:val="auto"/>
        </w:rPr>
        <w:t>BRCA</w:t>
      </w:r>
      <w:r w:rsidRPr="00E050AF">
        <w:rPr>
          <w:color w:val="auto"/>
        </w:rPr>
        <w:t>wt), which are relevant for the financial estimates. To validate the financial estimates, it will be necessary to confirm the following for patients eligible to be treated with olaparib for 1L ovarian cancer:</w:t>
      </w:r>
    </w:p>
    <w:p w14:paraId="3273ECDF" w14:textId="3C5623A6" w:rsidR="004E4E3D" w:rsidRPr="00E050AF" w:rsidRDefault="004E4E3D" w:rsidP="003C7731">
      <w:pPr>
        <w:pStyle w:val="ListParagraph"/>
        <w:numPr>
          <w:ilvl w:val="4"/>
          <w:numId w:val="43"/>
        </w:numPr>
        <w:ind w:left="1418" w:hanging="284"/>
        <w:rPr>
          <w:color w:val="auto"/>
        </w:rPr>
      </w:pPr>
      <w:r w:rsidRPr="00E050AF">
        <w:rPr>
          <w:color w:val="auto"/>
        </w:rPr>
        <w:t xml:space="preserve">The proportion of patients with </w:t>
      </w:r>
      <w:r w:rsidR="00275200" w:rsidRPr="00E050AF">
        <w:rPr>
          <w:i/>
          <w:color w:val="auto"/>
        </w:rPr>
        <w:t>BRCA</w:t>
      </w:r>
      <w:r w:rsidRPr="00E050AF">
        <w:rPr>
          <w:color w:val="auto"/>
        </w:rPr>
        <w:t xml:space="preserve"> pathogenic or likely pathogenic variants (assumed to be 25.3% by the submission, and so eligible for treatment under the existing olaparib monotherapy listing).</w:t>
      </w:r>
    </w:p>
    <w:p w14:paraId="4B876336" w14:textId="68732ACC" w:rsidR="00F75659" w:rsidRPr="00E050AF" w:rsidRDefault="004E4E3D" w:rsidP="003C7731">
      <w:pPr>
        <w:pStyle w:val="ListParagraph"/>
        <w:numPr>
          <w:ilvl w:val="4"/>
          <w:numId w:val="43"/>
        </w:numPr>
        <w:ind w:left="1418" w:hanging="284"/>
        <w:rPr>
          <w:color w:val="auto"/>
        </w:rPr>
      </w:pPr>
      <w:r w:rsidRPr="00E050AF">
        <w:rPr>
          <w:color w:val="auto"/>
        </w:rPr>
        <w:t>The proportion of patients with HRD positive tumours (assumed to be 50% by the submission), and thus the increment in the population eligible for olaparib of 24.7%.</w:t>
      </w:r>
    </w:p>
    <w:p w14:paraId="1D635D43" w14:textId="0137FEB7" w:rsidR="00D5060B" w:rsidRPr="00E050AF" w:rsidRDefault="00D1571D" w:rsidP="00317B24">
      <w:pPr>
        <w:pStyle w:val="ListParagraph"/>
        <w:numPr>
          <w:ilvl w:val="4"/>
          <w:numId w:val="8"/>
        </w:numPr>
        <w:rPr>
          <w:color w:val="auto"/>
        </w:rPr>
      </w:pPr>
      <w:r w:rsidRPr="00E050AF">
        <w:rPr>
          <w:color w:val="auto"/>
        </w:rPr>
        <w:t xml:space="preserve">The PBAC noted that the submission proposed exclusion of the HRD+ </w:t>
      </w:r>
      <w:r w:rsidRPr="00E050AF">
        <w:rPr>
          <w:i/>
          <w:iCs/>
          <w:color w:val="auto"/>
        </w:rPr>
        <w:t>BRCA</w:t>
      </w:r>
      <w:r w:rsidRPr="00E050AF">
        <w:rPr>
          <w:color w:val="auto"/>
        </w:rPr>
        <w:t xml:space="preserve">m subgroup from treatment with olaparib plus bevacizumab on the basis that patients identified as </w:t>
      </w:r>
      <w:r w:rsidRPr="00E050AF">
        <w:rPr>
          <w:i/>
          <w:iCs/>
          <w:color w:val="auto"/>
        </w:rPr>
        <w:t>BRCA</w:t>
      </w:r>
      <w:r w:rsidRPr="00E050AF">
        <w:rPr>
          <w:color w:val="auto"/>
        </w:rPr>
        <w:t xml:space="preserve">m positive will continue to be treated with the current standard of care (olaparib monotherapy). However, </w:t>
      </w:r>
      <w:r w:rsidR="00DB0D00" w:rsidRPr="00E050AF">
        <w:t xml:space="preserve">results from PAOLA-1 showed that in the HRD positive subgroup, </w:t>
      </w:r>
      <w:r w:rsidR="00DB0D00" w:rsidRPr="00E050AF">
        <w:rPr>
          <w:i/>
          <w:iCs/>
        </w:rPr>
        <w:t>BRCA</w:t>
      </w:r>
      <w:r w:rsidR="00DB0D00" w:rsidRPr="00E050AF">
        <w:t xml:space="preserve"> status was not a treatment effect modifier (interaction modifier p = 0.5173) and the combination was effective in </w:t>
      </w:r>
      <w:r w:rsidR="00DB0D00" w:rsidRPr="00E050AF">
        <w:rPr>
          <w:i/>
          <w:iCs/>
        </w:rPr>
        <w:t>BRCA</w:t>
      </w:r>
      <w:r w:rsidR="00DB0D00" w:rsidRPr="00E050AF">
        <w:t>m patients</w:t>
      </w:r>
      <w:r w:rsidR="00754590" w:rsidRPr="00E050AF">
        <w:t xml:space="preserve"> (see paragraph</w:t>
      </w:r>
      <w:r w:rsidR="002E008C" w:rsidRPr="00E050AF">
        <w:t xml:space="preserve"> </w:t>
      </w:r>
      <w:r w:rsidR="002E008C" w:rsidRPr="00E050AF">
        <w:fldChar w:fldCharType="begin"/>
      </w:r>
      <w:r w:rsidR="002E008C" w:rsidRPr="00E050AF">
        <w:instrText xml:space="preserve"> REF _Ref110427407 \r \h </w:instrText>
      </w:r>
      <w:r w:rsidR="002E008C" w:rsidRPr="00E050AF">
        <w:fldChar w:fldCharType="separate"/>
      </w:r>
      <w:r w:rsidR="00E050AF" w:rsidRPr="00E050AF">
        <w:t>7.7</w:t>
      </w:r>
      <w:r w:rsidR="002E008C" w:rsidRPr="00E050AF">
        <w:fldChar w:fldCharType="end"/>
      </w:r>
      <w:r w:rsidR="00754590" w:rsidRPr="00E050AF">
        <w:t>)</w:t>
      </w:r>
      <w:r w:rsidR="00DB0D00" w:rsidRPr="00E050AF">
        <w:t>. Additionally, the PBAC noted that there is evidence of benefit for treatment with a PARPi alone in HRD+ tumours (from the PRIMA and VELIA trials) and t</w:t>
      </w:r>
      <w:r w:rsidR="00DA3F73" w:rsidRPr="00E050AF">
        <w:rPr>
          <w:color w:val="auto"/>
        </w:rPr>
        <w:t xml:space="preserve">he PBAC considered it was unclear to what extent bevacizumab would add benefit when combined with PARPi. The PBAC noted that bevacizumab now </w:t>
      </w:r>
      <w:r w:rsidR="00D05DD0" w:rsidRPr="00E050AF">
        <w:rPr>
          <w:color w:val="auto"/>
        </w:rPr>
        <w:t xml:space="preserve">has an </w:t>
      </w:r>
      <w:r w:rsidR="00DA3F73" w:rsidRPr="00E050AF">
        <w:rPr>
          <w:color w:val="auto"/>
        </w:rPr>
        <w:t>unrestricted</w:t>
      </w:r>
      <w:r w:rsidR="00D05DD0" w:rsidRPr="00E050AF">
        <w:rPr>
          <w:color w:val="auto"/>
        </w:rPr>
        <w:t xml:space="preserve"> PBS listed</w:t>
      </w:r>
      <w:r w:rsidR="00DA3F73" w:rsidRPr="00E050AF">
        <w:rPr>
          <w:color w:val="auto"/>
        </w:rPr>
        <w:t xml:space="preserve"> and therefore less use of bevacizumab in first line is expected, and instead there is increasing use in later line upon relapse. The PBAC considered it was not clinically appropriate to mandate use of bevacizumab with PARPi </w:t>
      </w:r>
      <w:r w:rsidR="008A2659" w:rsidRPr="00E050AF">
        <w:rPr>
          <w:color w:val="auto"/>
        </w:rPr>
        <w:t>in patients with HRD+</w:t>
      </w:r>
      <w:r w:rsidR="005220D2" w:rsidRPr="00E050AF">
        <w:rPr>
          <w:color w:val="auto"/>
        </w:rPr>
        <w:t xml:space="preserve"> tumours</w:t>
      </w:r>
      <w:r w:rsidR="008A2659" w:rsidRPr="00E050AF">
        <w:rPr>
          <w:color w:val="auto"/>
        </w:rPr>
        <w:t xml:space="preserve"> and</w:t>
      </w:r>
      <w:r w:rsidR="00DA3F73" w:rsidRPr="00E050AF">
        <w:rPr>
          <w:color w:val="auto"/>
        </w:rPr>
        <w:t xml:space="preserve"> the decision of whether </w:t>
      </w:r>
      <w:r w:rsidR="008A2659" w:rsidRPr="00E050AF">
        <w:rPr>
          <w:color w:val="auto"/>
        </w:rPr>
        <w:t xml:space="preserve">or not </w:t>
      </w:r>
      <w:r w:rsidR="00DA3F73" w:rsidRPr="00E050AF">
        <w:rPr>
          <w:color w:val="auto"/>
        </w:rPr>
        <w:t xml:space="preserve">to use bevacizumab should be determined by clinical factors, separate to </w:t>
      </w:r>
      <w:r w:rsidR="00DA3F73" w:rsidRPr="00E050AF">
        <w:rPr>
          <w:i/>
          <w:iCs/>
          <w:color w:val="auto"/>
        </w:rPr>
        <w:t>BRCA</w:t>
      </w:r>
      <w:r w:rsidR="00DA3F73" w:rsidRPr="00E050AF">
        <w:rPr>
          <w:color w:val="auto"/>
        </w:rPr>
        <w:t xml:space="preserve">/HRD status. Given the </w:t>
      </w:r>
      <w:r w:rsidR="00A5695C" w:rsidRPr="00E050AF">
        <w:rPr>
          <w:color w:val="auto"/>
        </w:rPr>
        <w:t>population included in the pivotal evidence (PAOLA-1)</w:t>
      </w:r>
      <w:r w:rsidR="00DA3F73" w:rsidRPr="00E050AF">
        <w:rPr>
          <w:color w:val="auto"/>
        </w:rPr>
        <w:t xml:space="preserve"> the PBAC considered it was not appropriate to have different requirements regarding concomitant bevacizumab for the </w:t>
      </w:r>
      <w:r w:rsidR="00DA3F73" w:rsidRPr="00E050AF">
        <w:rPr>
          <w:i/>
          <w:iCs/>
          <w:color w:val="auto"/>
        </w:rPr>
        <w:t>BRCA</w:t>
      </w:r>
      <w:r w:rsidR="000F3025" w:rsidRPr="00E050AF">
        <w:rPr>
          <w:color w:val="auto"/>
        </w:rPr>
        <w:t>m</w:t>
      </w:r>
      <w:r w:rsidR="00DA3F73" w:rsidRPr="00E050AF">
        <w:rPr>
          <w:color w:val="auto"/>
        </w:rPr>
        <w:t xml:space="preserve"> and HRD+ populations</w:t>
      </w:r>
      <w:r w:rsidR="00C916A4" w:rsidRPr="00E050AF">
        <w:rPr>
          <w:color w:val="auto"/>
        </w:rPr>
        <w:t>.</w:t>
      </w:r>
      <w:r w:rsidR="003C7CF4" w:rsidRPr="00E050AF">
        <w:rPr>
          <w:color w:val="auto"/>
        </w:rPr>
        <w:t xml:space="preserve"> </w:t>
      </w:r>
      <w:r w:rsidR="008A2659" w:rsidRPr="00E050AF">
        <w:t>T</w:t>
      </w:r>
      <w:r w:rsidR="008A2659" w:rsidRPr="00E050AF">
        <w:rPr>
          <w:color w:val="auto"/>
        </w:rPr>
        <w:t>he</w:t>
      </w:r>
      <w:r w:rsidR="008A2659" w:rsidRPr="00E050AF">
        <w:rPr>
          <w:iCs/>
          <w:color w:val="auto"/>
        </w:rPr>
        <w:t xml:space="preserve"> PBAC </w:t>
      </w:r>
      <w:r w:rsidR="00A95A62" w:rsidRPr="00E050AF">
        <w:rPr>
          <w:iCs/>
          <w:color w:val="auto"/>
        </w:rPr>
        <w:t xml:space="preserve">advised </w:t>
      </w:r>
      <w:r w:rsidR="008A2659" w:rsidRPr="00E050AF">
        <w:rPr>
          <w:color w:val="auto"/>
        </w:rPr>
        <w:t xml:space="preserve">that </w:t>
      </w:r>
      <w:r w:rsidR="008A2659" w:rsidRPr="00E050AF">
        <w:rPr>
          <w:iCs/>
          <w:color w:val="auto"/>
        </w:rPr>
        <w:t xml:space="preserve">it would be appropriate for the PBS listings for first line PARPi in the </w:t>
      </w:r>
      <w:r w:rsidR="008A2659" w:rsidRPr="00E050AF">
        <w:rPr>
          <w:i/>
          <w:color w:val="auto"/>
        </w:rPr>
        <w:t>BRCA</w:t>
      </w:r>
      <w:r w:rsidR="008A2659" w:rsidRPr="00E050AF">
        <w:rPr>
          <w:iCs/>
          <w:color w:val="auto"/>
        </w:rPr>
        <w:t>m population to allow combination use with bevacizum</w:t>
      </w:r>
      <w:r w:rsidR="00786E62" w:rsidRPr="00E050AF">
        <w:rPr>
          <w:iCs/>
          <w:color w:val="auto"/>
        </w:rPr>
        <w:t>a</w:t>
      </w:r>
      <w:r w:rsidR="008A2659" w:rsidRPr="00E050AF">
        <w:rPr>
          <w:iCs/>
          <w:color w:val="auto"/>
        </w:rPr>
        <w:t>b.</w:t>
      </w:r>
      <w:r w:rsidR="00A95A62" w:rsidRPr="00E050AF">
        <w:rPr>
          <w:iCs/>
          <w:color w:val="auto"/>
        </w:rPr>
        <w:t xml:space="preserve"> The PBAC foreshadowed that a similar flexibility regarding concomitant use of bevacizumab with PARPi should apply if it recommends PBS listing for the </w:t>
      </w:r>
      <w:r w:rsidR="00A95A62" w:rsidRPr="00E050AF">
        <w:rPr>
          <w:color w:val="auto"/>
        </w:rPr>
        <w:t xml:space="preserve">HRD+ </w:t>
      </w:r>
      <w:r w:rsidR="00A95A62" w:rsidRPr="00E050AF">
        <w:rPr>
          <w:i/>
          <w:iCs/>
          <w:color w:val="auto"/>
        </w:rPr>
        <w:t>BRCA</w:t>
      </w:r>
      <w:r w:rsidR="00A95A62" w:rsidRPr="00E050AF">
        <w:rPr>
          <w:color w:val="auto"/>
        </w:rPr>
        <w:t>m subgroup in the future.</w:t>
      </w:r>
    </w:p>
    <w:p w14:paraId="66C60EE7" w14:textId="6407A8E6" w:rsidR="002331DF" w:rsidRPr="00E050AF" w:rsidRDefault="00856BC1" w:rsidP="00820B5C">
      <w:pPr>
        <w:pStyle w:val="ListParagraph"/>
        <w:numPr>
          <w:ilvl w:val="4"/>
          <w:numId w:val="8"/>
        </w:numPr>
        <w:rPr>
          <w:color w:val="auto"/>
        </w:rPr>
      </w:pPr>
      <w:r w:rsidRPr="00E050AF">
        <w:rPr>
          <w:color w:val="auto"/>
        </w:rPr>
        <w:t>The PBAC noted the input from individuals, and organisations and acknowledged</w:t>
      </w:r>
      <w:r w:rsidR="00246AE3" w:rsidRPr="00E050AF">
        <w:rPr>
          <w:color w:val="auto"/>
        </w:rPr>
        <w:t xml:space="preserve"> that the Medical Oncology Group of Australia (MOGA) had expressed its strong support for the olaparib submission, categorising it as one of the therapies of “highest priority for PBS listing” on the basis of the PAOLA-1 trial.</w:t>
      </w:r>
      <w:r w:rsidR="0089558B" w:rsidRPr="00E050AF">
        <w:rPr>
          <w:color w:val="auto"/>
        </w:rPr>
        <w:t xml:space="preserve"> </w:t>
      </w:r>
      <w:r w:rsidR="002331DF" w:rsidRPr="00E050AF">
        <w:rPr>
          <w:color w:val="auto"/>
        </w:rPr>
        <w:t xml:space="preserve">The PBAC </w:t>
      </w:r>
      <w:r w:rsidR="009E0721" w:rsidRPr="00E050AF">
        <w:rPr>
          <w:color w:val="auto"/>
        </w:rPr>
        <w:t xml:space="preserve">noted </w:t>
      </w:r>
      <w:r w:rsidR="002331DF" w:rsidRPr="00E050AF">
        <w:rPr>
          <w:color w:val="auto"/>
        </w:rPr>
        <w:t xml:space="preserve">that HRD testing was </w:t>
      </w:r>
      <w:r w:rsidR="00031F60" w:rsidRPr="00E050AF">
        <w:rPr>
          <w:color w:val="auto"/>
        </w:rPr>
        <w:t>recommended</w:t>
      </w:r>
      <w:r w:rsidR="002331DF" w:rsidRPr="00E050AF">
        <w:rPr>
          <w:color w:val="auto"/>
        </w:rPr>
        <w:t xml:space="preserve"> to guide prescribing of PARPi in other countries as reflected by clinical guidelines</w:t>
      </w:r>
      <w:r w:rsidR="00DA1769" w:rsidRPr="00E050AF">
        <w:rPr>
          <w:color w:val="auto"/>
        </w:rPr>
        <w:t xml:space="preserve"> in Europe</w:t>
      </w:r>
      <w:r w:rsidR="00DA1769" w:rsidRPr="00E050AF">
        <w:rPr>
          <w:rStyle w:val="FootnoteReference"/>
          <w:color w:val="auto"/>
        </w:rPr>
        <w:footnoteReference w:id="4"/>
      </w:r>
      <w:r w:rsidR="00DA1769" w:rsidRPr="00E050AF">
        <w:rPr>
          <w:color w:val="auto"/>
        </w:rPr>
        <w:t>, the United Kingdom</w:t>
      </w:r>
      <w:r w:rsidR="00DA1769" w:rsidRPr="00E050AF">
        <w:rPr>
          <w:rStyle w:val="FootnoteReference"/>
          <w:color w:val="auto"/>
        </w:rPr>
        <w:footnoteReference w:id="5"/>
      </w:r>
      <w:r w:rsidR="00DA1769" w:rsidRPr="00E050AF">
        <w:rPr>
          <w:color w:val="auto"/>
        </w:rPr>
        <w:t xml:space="preserve"> and the United States</w:t>
      </w:r>
      <w:r w:rsidR="00031F60" w:rsidRPr="00E050AF">
        <w:rPr>
          <w:rStyle w:val="FootnoteReference"/>
          <w:color w:val="auto"/>
        </w:rPr>
        <w:footnoteReference w:id="6"/>
      </w:r>
      <w:r w:rsidR="00DA1769" w:rsidRPr="00E050AF">
        <w:rPr>
          <w:color w:val="auto"/>
        </w:rPr>
        <w:t>.</w:t>
      </w:r>
    </w:p>
    <w:p w14:paraId="6C398D18" w14:textId="3B98F124" w:rsidR="00743001" w:rsidRPr="00E050AF" w:rsidRDefault="00743001" w:rsidP="00743001">
      <w:pPr>
        <w:pStyle w:val="ListParagraph"/>
        <w:numPr>
          <w:ilvl w:val="4"/>
          <w:numId w:val="8"/>
        </w:numPr>
        <w:rPr>
          <w:color w:val="auto"/>
        </w:rPr>
      </w:pPr>
      <w:r w:rsidRPr="00E050AF">
        <w:rPr>
          <w:iCs/>
          <w:color w:val="auto"/>
        </w:rPr>
        <w:t xml:space="preserve">The PBAC considered that the nomination of bevacizumab as </w:t>
      </w:r>
      <w:r w:rsidR="00754590" w:rsidRPr="00E050AF">
        <w:rPr>
          <w:iCs/>
          <w:color w:val="auto"/>
        </w:rPr>
        <w:t xml:space="preserve">the </w:t>
      </w:r>
      <w:r w:rsidRPr="00E050AF">
        <w:rPr>
          <w:iCs/>
          <w:color w:val="auto"/>
        </w:rPr>
        <w:t>main comparator was appropriate</w:t>
      </w:r>
      <w:r w:rsidR="00025D61" w:rsidRPr="00E050AF">
        <w:rPr>
          <w:iCs/>
          <w:color w:val="auto"/>
        </w:rPr>
        <w:t xml:space="preserve"> but that standard medical management (‘watch and wait’ or placebo) was also a relevant comparator as not all patients would receive bevacizumab</w:t>
      </w:r>
      <w:r w:rsidR="00A5695C" w:rsidRPr="00E050AF">
        <w:rPr>
          <w:iCs/>
          <w:color w:val="auto"/>
        </w:rPr>
        <w:t xml:space="preserve"> as first line treatment</w:t>
      </w:r>
      <w:r w:rsidRPr="00E050AF">
        <w:rPr>
          <w:iCs/>
          <w:color w:val="auto"/>
        </w:rPr>
        <w:t xml:space="preserve">. The PBAC noted that </w:t>
      </w:r>
      <w:r w:rsidR="00A5695C" w:rsidRPr="00E050AF">
        <w:rPr>
          <w:iCs/>
          <w:color w:val="auto"/>
        </w:rPr>
        <w:t>‘</w:t>
      </w:r>
      <w:r w:rsidRPr="00E050AF">
        <w:rPr>
          <w:iCs/>
          <w:color w:val="auto"/>
        </w:rPr>
        <w:t xml:space="preserve">watch and wait’ was presented as a supplementary comparator, </w:t>
      </w:r>
      <w:r w:rsidR="00A5695C" w:rsidRPr="00E050AF">
        <w:rPr>
          <w:iCs/>
          <w:color w:val="auto"/>
        </w:rPr>
        <w:t xml:space="preserve">but </w:t>
      </w:r>
      <w:r w:rsidRPr="00E050AF">
        <w:rPr>
          <w:iCs/>
          <w:color w:val="auto"/>
        </w:rPr>
        <w:t>that changing the assumed proportions of use of these potential comparators had minimal impact on the ICER (see paragraph</w:t>
      </w:r>
      <w:r w:rsidR="003C7CF4" w:rsidRPr="00E050AF">
        <w:rPr>
          <w:iCs/>
          <w:color w:val="auto"/>
        </w:rPr>
        <w:t xml:space="preserve"> </w:t>
      </w:r>
      <w:r w:rsidR="00E13C26" w:rsidRPr="00E050AF">
        <w:rPr>
          <w:iCs/>
          <w:color w:val="auto"/>
        </w:rPr>
        <w:fldChar w:fldCharType="begin"/>
      </w:r>
      <w:r w:rsidR="00E13C26" w:rsidRPr="00E050AF">
        <w:rPr>
          <w:iCs/>
          <w:color w:val="auto"/>
        </w:rPr>
        <w:instrText xml:space="preserve"> REF _Ref110425425 \r \h </w:instrText>
      </w:r>
      <w:r w:rsidR="00E13C26" w:rsidRPr="00E050AF">
        <w:rPr>
          <w:iCs/>
          <w:color w:val="auto"/>
        </w:rPr>
      </w:r>
      <w:r w:rsidR="00E13C26" w:rsidRPr="00E050AF">
        <w:rPr>
          <w:iCs/>
          <w:color w:val="auto"/>
        </w:rPr>
        <w:fldChar w:fldCharType="separate"/>
      </w:r>
      <w:r w:rsidR="00E050AF" w:rsidRPr="00E050AF">
        <w:rPr>
          <w:iCs/>
          <w:color w:val="auto"/>
        </w:rPr>
        <w:t>6.79</w:t>
      </w:r>
      <w:r w:rsidR="00E13C26" w:rsidRPr="00E050AF">
        <w:rPr>
          <w:iCs/>
          <w:color w:val="auto"/>
        </w:rPr>
        <w:fldChar w:fldCharType="end"/>
      </w:r>
      <w:r w:rsidRPr="00E050AF">
        <w:rPr>
          <w:iCs/>
          <w:color w:val="auto"/>
        </w:rPr>
        <w:t>).</w:t>
      </w:r>
    </w:p>
    <w:p w14:paraId="65B5039D" w14:textId="6B5ABD94" w:rsidR="00743001" w:rsidRPr="00E050AF" w:rsidRDefault="00743001" w:rsidP="00743001">
      <w:pPr>
        <w:pStyle w:val="ListParagraph"/>
        <w:numPr>
          <w:ilvl w:val="4"/>
          <w:numId w:val="8"/>
        </w:numPr>
        <w:rPr>
          <w:color w:val="auto"/>
        </w:rPr>
      </w:pPr>
      <w:r w:rsidRPr="00E050AF">
        <w:t>The PBAC noted that the primary clinical evidence supporting the clinical claim was a randomised</w:t>
      </w:r>
      <w:r w:rsidRPr="00E050AF">
        <w:rPr>
          <w:color w:val="auto"/>
        </w:rPr>
        <w:t xml:space="preserve">, double-blind, multicentre phase 3 study (PAOLA-1) </w:t>
      </w:r>
      <w:r w:rsidR="00A5695C" w:rsidRPr="00E050AF">
        <w:rPr>
          <w:color w:val="auto"/>
        </w:rPr>
        <w:t>of</w:t>
      </w:r>
      <w:r w:rsidRPr="00E050AF">
        <w:rPr>
          <w:color w:val="auto"/>
        </w:rPr>
        <w:t xml:space="preserve"> olaparib plus bevacizumab (n=537) compared to placebo plus bevacizumab (n=269) in patients with newly diagnosed advanced (FIGO stage IIIB-IV) high-grade serous or endometrioid ovarian, fallopian tube or peritoneal cancer</w:t>
      </w:r>
      <w:r w:rsidR="007C161D" w:rsidRPr="00E050AF">
        <w:rPr>
          <w:color w:val="auto"/>
        </w:rPr>
        <w:t xml:space="preserve"> in response to platinum-based chemotherapy</w:t>
      </w:r>
      <w:r w:rsidRPr="00E050AF">
        <w:rPr>
          <w:color w:val="auto"/>
        </w:rPr>
        <w:t xml:space="preserve">. </w:t>
      </w:r>
      <w:r w:rsidR="007C161D" w:rsidRPr="00E050AF">
        <w:rPr>
          <w:color w:val="auto"/>
        </w:rPr>
        <w:t xml:space="preserve">The PBAC noted that the </w:t>
      </w:r>
      <w:r w:rsidR="00192E80" w:rsidRPr="00E050AF">
        <w:rPr>
          <w:color w:val="auto"/>
        </w:rPr>
        <w:t xml:space="preserve">submission relied on </w:t>
      </w:r>
      <w:r w:rsidR="00A5695C" w:rsidRPr="00E050AF">
        <w:rPr>
          <w:color w:val="auto"/>
        </w:rPr>
        <w:t>results from exploratory</w:t>
      </w:r>
      <w:r w:rsidR="00192E80" w:rsidRPr="00E050AF">
        <w:rPr>
          <w:color w:val="auto"/>
        </w:rPr>
        <w:t xml:space="preserve"> </w:t>
      </w:r>
      <w:r w:rsidR="00192E80" w:rsidRPr="00E050AF">
        <w:t xml:space="preserve">subgroup analyses of PFS for patients with HRD+ and </w:t>
      </w:r>
      <w:r w:rsidR="00192E80" w:rsidRPr="00E050AF">
        <w:rPr>
          <w:i/>
          <w:iCs/>
        </w:rPr>
        <w:t>BRCA</w:t>
      </w:r>
      <w:r w:rsidR="00192E80" w:rsidRPr="00E050AF">
        <w:t xml:space="preserve">wt tumours, and no statistical adjustments were made </w:t>
      </w:r>
      <w:r w:rsidR="00A5695C" w:rsidRPr="00E050AF">
        <w:t>in assessing</w:t>
      </w:r>
      <w:r w:rsidR="00192E80" w:rsidRPr="00E050AF">
        <w:t xml:space="preserve"> subgroup</w:t>
      </w:r>
      <w:r w:rsidR="00A5695C" w:rsidRPr="00E050AF">
        <w:t xml:space="preserve"> analyses</w:t>
      </w:r>
      <w:r w:rsidR="00192E80" w:rsidRPr="00E050AF">
        <w:t>.</w:t>
      </w:r>
    </w:p>
    <w:p w14:paraId="1BEC410B" w14:textId="4C7B6235" w:rsidR="0083595D" w:rsidRPr="00E050AF" w:rsidRDefault="00192E80" w:rsidP="00A354B6">
      <w:pPr>
        <w:pStyle w:val="ListParagraph"/>
        <w:numPr>
          <w:ilvl w:val="4"/>
          <w:numId w:val="8"/>
        </w:numPr>
        <w:rPr>
          <w:color w:val="auto"/>
        </w:rPr>
      </w:pPr>
      <w:bookmarkStart w:id="141" w:name="_Ref110427407"/>
      <w:r w:rsidRPr="00E050AF">
        <w:rPr>
          <w:iCs/>
          <w:color w:val="auto"/>
        </w:rPr>
        <w:t xml:space="preserve">The PBAC noted from </w:t>
      </w:r>
      <w:r w:rsidR="005115C1" w:rsidRPr="00E050AF">
        <w:t>data cut off (</w:t>
      </w:r>
      <w:r w:rsidRPr="00E050AF">
        <w:rPr>
          <w:iCs/>
          <w:color w:val="auto"/>
        </w:rPr>
        <w:t>DCO</w:t>
      </w:r>
      <w:r w:rsidR="005115C1" w:rsidRPr="00E050AF">
        <w:rPr>
          <w:iCs/>
          <w:color w:val="auto"/>
        </w:rPr>
        <w:t xml:space="preserve">) </w:t>
      </w:r>
      <w:r w:rsidRPr="00E050AF">
        <w:rPr>
          <w:iCs/>
          <w:color w:val="auto"/>
        </w:rPr>
        <w:t xml:space="preserve">1 </w:t>
      </w:r>
      <w:r w:rsidR="00AC7FDF" w:rsidRPr="00E050AF">
        <w:rPr>
          <w:iCs/>
          <w:color w:val="auto"/>
        </w:rPr>
        <w:t xml:space="preserve">that </w:t>
      </w:r>
      <w:r w:rsidRPr="00E050AF">
        <w:rPr>
          <w:iCs/>
          <w:color w:val="auto"/>
        </w:rPr>
        <w:t xml:space="preserve">the PFS HR for the HRD positive subgroup (including </w:t>
      </w:r>
      <w:r w:rsidRPr="00E050AF">
        <w:rPr>
          <w:i/>
          <w:color w:val="auto"/>
        </w:rPr>
        <w:t>BRCA</w:t>
      </w:r>
      <w:r w:rsidRPr="00E050AF">
        <w:rPr>
          <w:iCs/>
          <w:color w:val="auto"/>
        </w:rPr>
        <w:t xml:space="preserve">m) was similar to that for the </w:t>
      </w:r>
      <w:r w:rsidRPr="00E050AF">
        <w:rPr>
          <w:i/>
          <w:color w:val="auto"/>
        </w:rPr>
        <w:t>BRCA</w:t>
      </w:r>
      <w:r w:rsidRPr="00E050AF">
        <w:rPr>
          <w:iCs/>
          <w:color w:val="auto"/>
        </w:rPr>
        <w:t>m subgroup (</w:t>
      </w:r>
      <w:r w:rsidRPr="00E050AF">
        <w:rPr>
          <w:iCs/>
          <w:lang w:eastAsia="zh-CN"/>
        </w:rPr>
        <w:t>0.33; 95% CI 0.25, 0.45 vs 0.28; 95% CI 0.19, 0.42), while</w:t>
      </w:r>
      <w:r w:rsidRPr="00E050AF">
        <w:rPr>
          <w:iCs/>
          <w:color w:val="auto"/>
        </w:rPr>
        <w:t xml:space="preserve"> t</w:t>
      </w:r>
      <w:r w:rsidRPr="00E050AF">
        <w:rPr>
          <w:iCs/>
          <w:lang w:eastAsia="zh-CN"/>
        </w:rPr>
        <w:t xml:space="preserve">he PFS HR for the proposed PBS population (HRD positive </w:t>
      </w:r>
      <w:r w:rsidRPr="00E050AF">
        <w:rPr>
          <w:i/>
          <w:lang w:eastAsia="zh-CN"/>
        </w:rPr>
        <w:t>BRCA</w:t>
      </w:r>
      <w:r w:rsidRPr="00E050AF">
        <w:rPr>
          <w:iCs/>
          <w:lang w:eastAsia="zh-CN"/>
        </w:rPr>
        <w:t xml:space="preserve">wt subgroup) was less favourable (PFS HR 0.43; 95% CI 0.28, 0.66). </w:t>
      </w:r>
      <w:r w:rsidRPr="00E050AF">
        <w:rPr>
          <w:color w:val="auto"/>
        </w:rPr>
        <w:t>In contrast, treatment with olaparib plus bevacizumab did not result in any benefit in terms of PFS in patients with HRD negative tumours (HR 1.00; 95% CI 0.75, 1.35) compared with bevacizumab alone.</w:t>
      </w:r>
      <w:bookmarkEnd w:id="141"/>
    </w:p>
    <w:p w14:paraId="079F1470" w14:textId="14E75B0C" w:rsidR="00633F9F" w:rsidRPr="00E050AF" w:rsidRDefault="00743001" w:rsidP="0083595D">
      <w:pPr>
        <w:pStyle w:val="ListParagraph"/>
        <w:numPr>
          <w:ilvl w:val="4"/>
          <w:numId w:val="8"/>
        </w:numPr>
        <w:rPr>
          <w:iCs/>
          <w:color w:val="auto"/>
        </w:rPr>
      </w:pPr>
      <w:r w:rsidRPr="00E050AF">
        <w:t xml:space="preserve">The PBAC </w:t>
      </w:r>
      <w:r w:rsidR="00192E80" w:rsidRPr="00E050AF">
        <w:t xml:space="preserve">considered </w:t>
      </w:r>
      <w:r w:rsidRPr="00E050AF">
        <w:t>that t</w:t>
      </w:r>
      <w:r w:rsidR="00BF1289" w:rsidRPr="00E050AF">
        <w:t>he PFS results in the HRD positive subgroup</w:t>
      </w:r>
      <w:r w:rsidR="00DD671C" w:rsidRPr="00E050AF">
        <w:rPr>
          <w:iCs/>
          <w:color w:val="auto"/>
        </w:rPr>
        <w:t xml:space="preserve"> and HRD positive </w:t>
      </w:r>
      <w:r w:rsidR="00275200" w:rsidRPr="00E050AF">
        <w:rPr>
          <w:i/>
          <w:iCs/>
          <w:color w:val="auto"/>
        </w:rPr>
        <w:t>BRCA</w:t>
      </w:r>
      <w:r w:rsidR="00DD671C" w:rsidRPr="00E050AF">
        <w:rPr>
          <w:iCs/>
          <w:color w:val="auto"/>
        </w:rPr>
        <w:t>wt subgroup</w:t>
      </w:r>
      <w:r w:rsidR="00BF1289" w:rsidRPr="00E050AF">
        <w:t xml:space="preserve"> in PAOLA-1 supported a claim of superior efficacy for olaparib plus bevacizumab compared to bevacizumab alone (PFS HR</w:t>
      </w:r>
      <w:r w:rsidR="00DD671C" w:rsidRPr="00E050AF">
        <w:t xml:space="preserve"> of</w:t>
      </w:r>
      <w:r w:rsidR="00BF1289" w:rsidRPr="00E050AF">
        <w:t xml:space="preserve"> </w:t>
      </w:r>
      <w:r w:rsidR="00754590" w:rsidRPr="00E050AF">
        <w:t>0.38; 95% CI 0.29, 0.50</w:t>
      </w:r>
      <w:r w:rsidR="00DD671C" w:rsidRPr="00E050AF">
        <w:t xml:space="preserve"> and </w:t>
      </w:r>
      <w:r w:rsidR="00DD671C" w:rsidRPr="00E050AF">
        <w:rPr>
          <w:iCs/>
          <w:lang w:eastAsia="zh-CN"/>
        </w:rPr>
        <w:t>0.44; 95% CI 0</w:t>
      </w:r>
      <w:r w:rsidR="00DD671C" w:rsidRPr="00E050AF">
        <w:rPr>
          <w:rFonts w:cstheme="minorHAnsi"/>
          <w:iCs/>
          <w:szCs w:val="24"/>
          <w:lang w:eastAsia="zh-CN"/>
        </w:rPr>
        <w:t>.29, 0.66, respectively</w:t>
      </w:r>
      <w:r w:rsidR="00754590" w:rsidRPr="00E050AF">
        <w:t xml:space="preserve"> </w:t>
      </w:r>
      <w:r w:rsidR="00BF1289" w:rsidRPr="00E050AF">
        <w:t>a</w:t>
      </w:r>
      <w:r w:rsidR="00754590" w:rsidRPr="00E050AF">
        <w:t>t</w:t>
      </w:r>
      <w:r w:rsidR="00BF1289" w:rsidRPr="00E050AF">
        <w:t xml:space="preserve"> median follow up of 38.5 months, DCO2), </w:t>
      </w:r>
      <w:r w:rsidR="0083595D" w:rsidRPr="00E050AF">
        <w:t xml:space="preserve">though </w:t>
      </w:r>
      <w:r w:rsidR="00BF1289" w:rsidRPr="00E050AF">
        <w:t xml:space="preserve">there was no statistically significant difference in OS (HR </w:t>
      </w:r>
      <w:r w:rsidR="00DD671C" w:rsidRPr="00E050AF">
        <w:t xml:space="preserve">of </w:t>
      </w:r>
      <w:r w:rsidR="00754590" w:rsidRPr="00E050AF">
        <w:rPr>
          <w:lang w:eastAsia="zh-CN"/>
        </w:rPr>
        <w:t>0.70, 95% CI 0.47,</w:t>
      </w:r>
      <w:r w:rsidR="00BB79A3" w:rsidRPr="00E050AF">
        <w:rPr>
          <w:lang w:eastAsia="zh-CN"/>
        </w:rPr>
        <w:t xml:space="preserve"> </w:t>
      </w:r>
      <w:r w:rsidR="00754590" w:rsidRPr="00E050AF">
        <w:rPr>
          <w:lang w:eastAsia="zh-CN"/>
        </w:rPr>
        <w:t>1.04</w:t>
      </w:r>
      <w:r w:rsidR="00DD671C" w:rsidRPr="00E050AF">
        <w:rPr>
          <w:lang w:eastAsia="zh-CN"/>
        </w:rPr>
        <w:t xml:space="preserve"> and </w:t>
      </w:r>
      <w:r w:rsidR="00DD671C" w:rsidRPr="00E050AF">
        <w:t>0.84; 95% CI 0.46, 1.52, respectively</w:t>
      </w:r>
      <w:r w:rsidR="00754590" w:rsidRPr="00E050AF">
        <w:t>)</w:t>
      </w:r>
      <w:r w:rsidR="00BF1289" w:rsidRPr="00E050AF">
        <w:t xml:space="preserve">. </w:t>
      </w:r>
      <w:r w:rsidR="00321F85" w:rsidRPr="00E050AF">
        <w:t xml:space="preserve">The </w:t>
      </w:r>
      <w:r w:rsidR="0083595D" w:rsidRPr="00E050AF">
        <w:t>PBAC noted</w:t>
      </w:r>
      <w:r w:rsidR="00321F85" w:rsidRPr="00E050AF">
        <w:t xml:space="preserve"> the next OS data cut </w:t>
      </w:r>
      <w:r w:rsidR="0083595D" w:rsidRPr="00E050AF">
        <w:t xml:space="preserve">is expected to be available in </w:t>
      </w:r>
      <w:r w:rsidR="00321F85" w:rsidRPr="00E050AF">
        <w:t>Q3 2022</w:t>
      </w:r>
      <w:r w:rsidR="0083595D" w:rsidRPr="00E050AF">
        <w:t>, however</w:t>
      </w:r>
      <w:r w:rsidR="00633F9F" w:rsidRPr="00E050AF">
        <w:t xml:space="preserve"> cross</w:t>
      </w:r>
      <w:r w:rsidR="0083595D" w:rsidRPr="00E050AF">
        <w:noBreakHyphen/>
      </w:r>
      <w:r w:rsidR="00633F9F" w:rsidRPr="00E050AF">
        <w:t>over to second</w:t>
      </w:r>
      <w:r w:rsidR="006905DC" w:rsidRPr="00E050AF">
        <w:t xml:space="preserve"> </w:t>
      </w:r>
      <w:r w:rsidR="00633F9F" w:rsidRPr="00E050AF">
        <w:t>line</w:t>
      </w:r>
      <w:r w:rsidR="006905DC" w:rsidRPr="00E050AF">
        <w:t xml:space="preserve"> </w:t>
      </w:r>
      <w:r w:rsidR="00633F9F" w:rsidRPr="00E050AF">
        <w:t>PARP</w:t>
      </w:r>
      <w:r w:rsidR="0089558B" w:rsidRPr="00E050AF">
        <w:t>i</w:t>
      </w:r>
      <w:r w:rsidR="00633F9F" w:rsidRPr="00E050AF">
        <w:t xml:space="preserve"> </w:t>
      </w:r>
      <w:r w:rsidR="0083595D" w:rsidRPr="00E050AF">
        <w:t xml:space="preserve">treatment </w:t>
      </w:r>
      <w:r w:rsidR="0089558B" w:rsidRPr="00E050AF">
        <w:t>may impact the interpretation of updated OS data.</w:t>
      </w:r>
      <w:r w:rsidR="0083595D" w:rsidRPr="00E050AF">
        <w:t xml:space="preserve"> The PBAC also noted that mature data from the SOLO1 study (olaparib monotherapy in the first line setting) and SOLO2 study (olaparib monotherapy in second line relapse/refractor</w:t>
      </w:r>
      <w:r w:rsidR="00FC15DE" w:rsidRPr="00E050AF">
        <w:t>y</w:t>
      </w:r>
      <w:r w:rsidR="0083595D" w:rsidRPr="00E050AF">
        <w:t xml:space="preserve"> setting) provide reassurance that the observed PFS benefit in PAOLA-1 will likely translate into an overall survival benefit in the long term.</w:t>
      </w:r>
    </w:p>
    <w:p w14:paraId="04C3E4CB" w14:textId="43B8B8B6" w:rsidR="005A6999" w:rsidRPr="00E050AF" w:rsidRDefault="005A6999" w:rsidP="007C0FD7">
      <w:pPr>
        <w:pStyle w:val="ListParagraph"/>
        <w:numPr>
          <w:ilvl w:val="4"/>
          <w:numId w:val="8"/>
        </w:numPr>
        <w:rPr>
          <w:iCs/>
        </w:rPr>
      </w:pPr>
      <w:r w:rsidRPr="00E050AF">
        <w:rPr>
          <w:color w:val="auto"/>
        </w:rPr>
        <w:t xml:space="preserve">The PBAC noted that more patients in the olaparib plus bevacizumab arm experienced AEs leading to discontinuation, dose reduction or interruption of study treatment </w:t>
      </w:r>
      <w:r w:rsidR="00573AD3" w:rsidRPr="00E050AF">
        <w:rPr>
          <w:color w:val="auto"/>
        </w:rPr>
        <w:t xml:space="preserve">than patients treated with bevacizumab alone </w:t>
      </w:r>
      <w:r w:rsidRPr="00E050AF">
        <w:rPr>
          <w:color w:val="auto"/>
        </w:rPr>
        <w:t>(</w:t>
      </w:r>
      <w:r w:rsidR="00BB79A3" w:rsidRPr="00E050AF">
        <w:rPr>
          <w:color w:val="auto"/>
        </w:rPr>
        <w:t xml:space="preserve">see </w:t>
      </w:r>
      <w:r w:rsidR="00BB79A3" w:rsidRPr="00E050AF">
        <w:rPr>
          <w:color w:val="auto"/>
        </w:rPr>
        <w:fldChar w:fldCharType="begin"/>
      </w:r>
      <w:r w:rsidR="00BB79A3" w:rsidRPr="00E050AF">
        <w:rPr>
          <w:color w:val="auto"/>
        </w:rPr>
        <w:instrText xml:space="preserve"> REF _Ref109855189 \h  \* MERGEFORMAT </w:instrText>
      </w:r>
      <w:r w:rsidR="00BB79A3" w:rsidRPr="00E050AF">
        <w:rPr>
          <w:color w:val="auto"/>
        </w:rPr>
      </w:r>
      <w:r w:rsidR="00BB79A3" w:rsidRPr="00E050AF">
        <w:rPr>
          <w:color w:val="auto"/>
        </w:rPr>
        <w:fldChar w:fldCharType="separate"/>
      </w:r>
      <w:r w:rsidR="00E050AF" w:rsidRPr="00E050AF">
        <w:rPr>
          <w:color w:val="auto"/>
        </w:rPr>
        <w:t>Table 9</w:t>
      </w:r>
      <w:r w:rsidR="00BB79A3" w:rsidRPr="00E050AF">
        <w:rPr>
          <w:color w:val="auto"/>
        </w:rPr>
        <w:fldChar w:fldCharType="end"/>
      </w:r>
      <w:r w:rsidRPr="00E050AF">
        <w:rPr>
          <w:color w:val="auto"/>
        </w:rPr>
        <w:t xml:space="preserve">). Additionally, patients receiving olaparib plus bevacizumab experienced higher rates of a number of individual AEs both for any grade and ≥Grade 3 (nausea, fatigue, anaemia and lymphopenia), while hypertension was the only AE found to occur more in patients receiving bevacizumab monotherapy (both any grade and Grade ≥3). </w:t>
      </w:r>
      <w:r w:rsidR="003C7CF4" w:rsidRPr="00E050AF">
        <w:rPr>
          <w:iCs/>
        </w:rPr>
        <w:t xml:space="preserve">The PBAC considered that </w:t>
      </w:r>
      <w:r w:rsidRPr="00E050AF">
        <w:rPr>
          <w:iCs/>
        </w:rPr>
        <w:t>the combination of olaparib and bevacizumab had inferior safety in comparison with bevacizumab monotherapy.</w:t>
      </w:r>
    </w:p>
    <w:p w14:paraId="01083180" w14:textId="19FBC5EB" w:rsidR="00BB79A3" w:rsidRPr="00E050AF" w:rsidRDefault="00BB79A3" w:rsidP="007C0FD7">
      <w:pPr>
        <w:pStyle w:val="ListParagraph"/>
        <w:numPr>
          <w:ilvl w:val="4"/>
          <w:numId w:val="8"/>
        </w:numPr>
        <w:rPr>
          <w:iCs/>
        </w:rPr>
      </w:pPr>
      <w:r w:rsidRPr="00E050AF">
        <w:rPr>
          <w:color w:val="auto"/>
        </w:rPr>
        <w:t>The PBAC noted that the submission presented a</w:t>
      </w:r>
      <w:r w:rsidR="00572068" w:rsidRPr="00E050AF">
        <w:rPr>
          <w:color w:val="auto"/>
        </w:rPr>
        <w:t xml:space="preserve"> </w:t>
      </w:r>
      <w:r w:rsidR="00572068" w:rsidRPr="00E050AF">
        <w:t xml:space="preserve">cost-effectiveness analysis, based on subgroup results from PAOLA-1 for the HRD+ </w:t>
      </w:r>
      <w:r w:rsidR="00572068" w:rsidRPr="00E050AF">
        <w:rPr>
          <w:i/>
          <w:iCs/>
        </w:rPr>
        <w:t>BRCA</w:t>
      </w:r>
      <w:r w:rsidR="00572068" w:rsidRPr="00E050AF">
        <w:t>wt population. The economic evaluation compared the proposed scenario where all patients undergo HRD (</w:t>
      </w:r>
      <w:r w:rsidR="00572068" w:rsidRPr="00E050AF">
        <w:rPr>
          <w:i/>
          <w:iCs/>
        </w:rPr>
        <w:t>BRCA</w:t>
      </w:r>
      <w:r w:rsidR="00572068" w:rsidRPr="00E050AF">
        <w:t xml:space="preserve"> and GI) testing vs the comparator/current scenario where patients receive </w:t>
      </w:r>
      <w:r w:rsidR="00572068" w:rsidRPr="00E050AF">
        <w:rPr>
          <w:i/>
          <w:iCs/>
        </w:rPr>
        <w:t>BRCA</w:t>
      </w:r>
      <w:r w:rsidR="00572068" w:rsidRPr="00E050AF">
        <w:t xml:space="preserve"> testing only, with patients receiving either olaparib plus bevacizumab or bevacizumab monotherapy (or placebo instead of bevacizumab monotherapy in the supplementary analysis).</w:t>
      </w:r>
    </w:p>
    <w:p w14:paraId="5AE8DA1B" w14:textId="64F97CA3" w:rsidR="008126EA" w:rsidRPr="00E050AF" w:rsidRDefault="005115C1" w:rsidP="0009202F">
      <w:pPr>
        <w:pStyle w:val="ListParagraph"/>
        <w:numPr>
          <w:ilvl w:val="4"/>
          <w:numId w:val="8"/>
        </w:numPr>
        <w:rPr>
          <w:iCs/>
          <w:color w:val="auto"/>
        </w:rPr>
      </w:pPr>
      <w:r w:rsidRPr="00E050AF">
        <w:rPr>
          <w:color w:val="auto"/>
        </w:rPr>
        <w:t xml:space="preserve">The PBAC noted </w:t>
      </w:r>
      <w:r w:rsidR="008126EA" w:rsidRPr="00E050AF">
        <w:rPr>
          <w:color w:val="auto"/>
        </w:rPr>
        <w:t>t</w:t>
      </w:r>
      <w:r w:rsidR="008126EA" w:rsidRPr="00E050AF">
        <w:rPr>
          <w:iCs/>
          <w:color w:val="auto"/>
        </w:rPr>
        <w:t xml:space="preserve">he ESCs considered that the base case ICER proposed by the submission was underestimated, and that revisions to the time horizon, extrapolation for bevacizumab monotherapy PFS, post-progression utility and the assumed cure fraction for olaparib plus bevacizumab should be considered. The PBAC noted use of a 15-year time horizon, Weibull extrapolation for bevacizumab monotherapy PFS, the post-progression utility from PAOLA-1, and changing </w:t>
      </w:r>
      <w:r w:rsidR="008126EA" w:rsidRPr="00E050AF">
        <w:rPr>
          <w:i/>
          <w:color w:val="auto"/>
        </w:rPr>
        <w:t>BRCA</w:t>
      </w:r>
      <w:r w:rsidR="008126EA" w:rsidRPr="00E050AF">
        <w:rPr>
          <w:iCs/>
          <w:color w:val="auto"/>
        </w:rPr>
        <w:t xml:space="preserve"> testing cost to $1,000 to reflect proposed MSAC change increased the ICER from a base case of </w:t>
      </w:r>
      <w:r w:rsidR="004777F0" w:rsidRPr="004777F0">
        <w:rPr>
          <w:iCs/>
          <w:color w:val="auto"/>
        </w:rPr>
        <w:t>$</w:t>
      </w:r>
      <w:bookmarkStart w:id="142" w:name="_Hlk114147345"/>
      <w:r w:rsidR="004777F0" w:rsidRPr="004777F0">
        <w:rPr>
          <w:iCs/>
          <w:color w:val="auto"/>
        </w:rPr>
        <w:t>45,000</w:t>
      </w:r>
      <w:r w:rsidR="004777F0">
        <w:rPr>
          <w:iCs/>
          <w:color w:val="auto"/>
        </w:rPr>
        <w:t xml:space="preserve"> </w:t>
      </w:r>
      <w:r w:rsidR="004777F0" w:rsidRPr="004777F0">
        <w:rPr>
          <w:iCs/>
          <w:color w:val="auto"/>
        </w:rPr>
        <w:t>to</w:t>
      </w:r>
      <w:r w:rsidR="004777F0">
        <w:rPr>
          <w:iCs/>
          <w:color w:val="auto"/>
        </w:rPr>
        <w:t xml:space="preserve"> </w:t>
      </w:r>
      <w:r w:rsidR="004777F0" w:rsidRPr="004777F0">
        <w:rPr>
          <w:iCs/>
          <w:color w:val="auto"/>
        </w:rPr>
        <w:t>&lt; $55,000</w:t>
      </w:r>
      <w:bookmarkEnd w:id="142"/>
      <w:r w:rsidR="008126EA" w:rsidRPr="00E050AF">
        <w:rPr>
          <w:iCs/>
          <w:color w:val="auto"/>
        </w:rPr>
        <w:t xml:space="preserve">/QALY to </w:t>
      </w:r>
      <w:r w:rsidR="004777F0" w:rsidRPr="004777F0">
        <w:rPr>
          <w:iCs/>
          <w:color w:val="auto"/>
        </w:rPr>
        <w:t>$95,000</w:t>
      </w:r>
      <w:r w:rsidR="004777F0">
        <w:rPr>
          <w:iCs/>
          <w:color w:val="auto"/>
        </w:rPr>
        <w:t xml:space="preserve"> </w:t>
      </w:r>
      <w:r w:rsidR="004777F0" w:rsidRPr="004777F0">
        <w:rPr>
          <w:iCs/>
          <w:color w:val="auto"/>
        </w:rPr>
        <w:t>to</w:t>
      </w:r>
      <w:r w:rsidR="004777F0">
        <w:rPr>
          <w:iCs/>
          <w:color w:val="auto"/>
        </w:rPr>
        <w:t xml:space="preserve"> </w:t>
      </w:r>
      <w:r w:rsidR="004777F0" w:rsidRPr="004777F0">
        <w:rPr>
          <w:iCs/>
          <w:color w:val="auto"/>
        </w:rPr>
        <w:t>&lt; $115,000</w:t>
      </w:r>
      <w:r w:rsidR="008126EA" w:rsidRPr="00E050AF">
        <w:rPr>
          <w:iCs/>
          <w:color w:val="auto"/>
        </w:rPr>
        <w:t xml:space="preserve">/QALY. The PBAC further noted that a number of the model inputs appeared inconsistent with </w:t>
      </w:r>
      <w:r w:rsidR="008B5C64" w:rsidRPr="00E050AF">
        <w:rPr>
          <w:iCs/>
          <w:color w:val="auto"/>
        </w:rPr>
        <w:t>those</w:t>
      </w:r>
      <w:r w:rsidR="008126EA" w:rsidRPr="00E050AF">
        <w:rPr>
          <w:iCs/>
          <w:color w:val="auto"/>
        </w:rPr>
        <w:t xml:space="preserve"> previously accepted for the </w:t>
      </w:r>
      <w:r w:rsidR="008126EA" w:rsidRPr="00E050AF">
        <w:rPr>
          <w:color w:val="auto"/>
        </w:rPr>
        <w:t xml:space="preserve">olaparib </w:t>
      </w:r>
      <w:r w:rsidR="008126EA" w:rsidRPr="00E050AF">
        <w:rPr>
          <w:i/>
          <w:iCs/>
          <w:color w:val="auto"/>
        </w:rPr>
        <w:t>BRCA</w:t>
      </w:r>
      <w:r w:rsidR="008126EA" w:rsidRPr="00E050AF">
        <w:rPr>
          <w:color w:val="auto"/>
        </w:rPr>
        <w:t xml:space="preserve">m </w:t>
      </w:r>
      <w:r w:rsidR="008B5C64" w:rsidRPr="00E050AF">
        <w:rPr>
          <w:color w:val="auto"/>
        </w:rPr>
        <w:t>model</w:t>
      </w:r>
      <w:r w:rsidR="008126EA" w:rsidRPr="00E050AF">
        <w:rPr>
          <w:color w:val="auto"/>
        </w:rPr>
        <w:t>.</w:t>
      </w:r>
    </w:p>
    <w:p w14:paraId="022B97CE" w14:textId="3D9FA373" w:rsidR="00572068" w:rsidRPr="00E050AF" w:rsidRDefault="008126EA" w:rsidP="007C0FD7">
      <w:pPr>
        <w:pStyle w:val="ListParagraph"/>
        <w:numPr>
          <w:ilvl w:val="4"/>
          <w:numId w:val="8"/>
        </w:numPr>
        <w:rPr>
          <w:iCs/>
        </w:rPr>
      </w:pPr>
      <w:bookmarkStart w:id="143" w:name="_Ref110606960"/>
      <w:r w:rsidRPr="00E050AF">
        <w:t xml:space="preserve">Regarding the </w:t>
      </w:r>
      <w:r w:rsidR="00572068" w:rsidRPr="00E050AF">
        <w:t>time horizon</w:t>
      </w:r>
      <w:r w:rsidRPr="00E050AF">
        <w:t>, the submission nominated</w:t>
      </w:r>
      <w:r w:rsidR="00572068" w:rsidRPr="00E050AF">
        <w:t xml:space="preserve"> 20 years </w:t>
      </w:r>
      <w:r w:rsidRPr="00E050AF">
        <w:t>which required</w:t>
      </w:r>
      <w:r w:rsidR="00572068" w:rsidRPr="00E050AF">
        <w:t xml:space="preserve"> extrapolat</w:t>
      </w:r>
      <w:r w:rsidRPr="00E050AF">
        <w:t>ion</w:t>
      </w:r>
      <w:r w:rsidR="00572068" w:rsidRPr="00E050AF">
        <w:t xml:space="preserve"> from a trial with median follow up of only 38 months, which the PBAC considered introduced significant uncertainty with the extrapolated results. The PBAC previously noted that 20 years may be too long for the non-</w:t>
      </w:r>
      <w:r w:rsidR="00572068" w:rsidRPr="00E050AF">
        <w:rPr>
          <w:i/>
          <w:iCs/>
        </w:rPr>
        <w:t>BRCA</w:t>
      </w:r>
      <w:r w:rsidR="00572068" w:rsidRPr="00E050AF">
        <w:t xml:space="preserve">m population in the consideration of niraparib for the maintenance treatment (paragraph 7.15, p43, niraparib PSD, July 2021 PBAC Meeting), however a time horizon of 20 years was accepted in the consideration of olaparib in first line treatment for </w:t>
      </w:r>
      <w:r w:rsidR="00572068" w:rsidRPr="00E050AF">
        <w:rPr>
          <w:i/>
          <w:iCs/>
        </w:rPr>
        <w:t>BRCA</w:t>
      </w:r>
      <w:r w:rsidR="00572068" w:rsidRPr="00E050AF">
        <w:t xml:space="preserve">m patients. The PBAC considered that the time horizon of 20 years </w:t>
      </w:r>
      <w:r w:rsidR="006F57C9" w:rsidRPr="00E050AF">
        <w:t xml:space="preserve">was </w:t>
      </w:r>
      <w:r w:rsidR="00572068" w:rsidRPr="00E050AF">
        <w:t>reasonable</w:t>
      </w:r>
      <w:r w:rsidR="006454F9" w:rsidRPr="00E050AF">
        <w:t xml:space="preserve"> for the HRD+ population, </w:t>
      </w:r>
      <w:r w:rsidR="004C62B9" w:rsidRPr="00E050AF">
        <w:t xml:space="preserve">recalling that </w:t>
      </w:r>
      <w:r w:rsidR="006F57C9" w:rsidRPr="00E050AF">
        <w:t>this was</w:t>
      </w:r>
      <w:r w:rsidR="006454F9" w:rsidRPr="00E050AF">
        <w:t xml:space="preserve"> </w:t>
      </w:r>
      <w:r w:rsidR="006F57C9" w:rsidRPr="00E050AF">
        <w:t>c</w:t>
      </w:r>
      <w:r w:rsidR="006454F9" w:rsidRPr="00E050AF">
        <w:t xml:space="preserve">onsistent with the time horizon </w:t>
      </w:r>
      <w:r w:rsidR="006F57C9" w:rsidRPr="00E050AF">
        <w:t xml:space="preserve">previously </w:t>
      </w:r>
      <w:r w:rsidR="006454F9" w:rsidRPr="00E050AF">
        <w:t xml:space="preserve">accepted </w:t>
      </w:r>
      <w:r w:rsidR="006F57C9" w:rsidRPr="00E050AF">
        <w:t xml:space="preserve">for the </w:t>
      </w:r>
      <w:r w:rsidR="006F57C9" w:rsidRPr="00E050AF">
        <w:rPr>
          <w:i/>
          <w:iCs/>
        </w:rPr>
        <w:t>BRCA</w:t>
      </w:r>
      <w:r w:rsidR="006F57C9" w:rsidRPr="00E050AF">
        <w:t>m population</w:t>
      </w:r>
      <w:r w:rsidR="00572068" w:rsidRPr="00E050AF">
        <w:t>.</w:t>
      </w:r>
      <w:bookmarkEnd w:id="143"/>
    </w:p>
    <w:p w14:paraId="636BA04A" w14:textId="438C892A" w:rsidR="00664B22" w:rsidRPr="00E050AF" w:rsidRDefault="00572068" w:rsidP="008E1094">
      <w:pPr>
        <w:pStyle w:val="ListParagraph"/>
        <w:numPr>
          <w:ilvl w:val="4"/>
          <w:numId w:val="8"/>
        </w:numPr>
        <w:rPr>
          <w:iCs/>
        </w:rPr>
      </w:pPr>
      <w:bookmarkStart w:id="144" w:name="_Ref110607054"/>
      <w:r w:rsidRPr="00E050AF">
        <w:t xml:space="preserve">The economic evaluation used mixture cure models to estimate the cure fraction and to model PFS for uncured patients. </w:t>
      </w:r>
      <w:r w:rsidR="00B6079A" w:rsidRPr="00E050AF">
        <w:t xml:space="preserve">The PBAC noted that the chosen cure fractions were inconsistent those estimated for olaparib monotherapy in the </w:t>
      </w:r>
      <w:r w:rsidR="00B6079A" w:rsidRPr="00E050AF">
        <w:rPr>
          <w:i/>
          <w:iCs/>
        </w:rPr>
        <w:t>BRCA</w:t>
      </w:r>
      <w:r w:rsidR="00B6079A" w:rsidRPr="00E050AF">
        <w:t xml:space="preserve">m model using data from SOLO1 considered by PBAC in July 2020 which had </w:t>
      </w:r>
      <w:r w:rsidR="00B6079A" w:rsidRPr="00E050AF">
        <w:rPr>
          <w:iCs/>
        </w:rPr>
        <w:t>a more favourable PFS HR than this submission (0.33 compared to 0.44) but a much lower incremental cure fraction (7.5% compared to 32</w:t>
      </w:r>
      <w:r w:rsidR="00F56247" w:rsidRPr="00E050AF">
        <w:rPr>
          <w:iCs/>
        </w:rPr>
        <w:t>.0</w:t>
      </w:r>
      <w:r w:rsidR="00B6079A" w:rsidRPr="00E050AF">
        <w:rPr>
          <w:iCs/>
        </w:rPr>
        <w:t xml:space="preserve">%). </w:t>
      </w:r>
      <w:r w:rsidR="00664B22" w:rsidRPr="00E050AF">
        <w:rPr>
          <w:iCs/>
        </w:rPr>
        <w:t xml:space="preserve">The choice of the MCM PFS extrapolation function and the associated cure fractions had a substantial impact on the resultant ICER. </w:t>
      </w:r>
      <w:r w:rsidR="00B6079A" w:rsidRPr="00E050AF">
        <w:rPr>
          <w:iCs/>
        </w:rPr>
        <w:t xml:space="preserve">The PBAC considered the cure fraction </w:t>
      </w:r>
      <w:r w:rsidR="00FE0E8A" w:rsidRPr="00E050AF">
        <w:rPr>
          <w:iCs/>
        </w:rPr>
        <w:t>for olaparib plus bevacizumab (</w:t>
      </w:r>
      <w:r w:rsidR="00F56247" w:rsidRPr="00E050AF">
        <w:rPr>
          <w:iCs/>
        </w:rPr>
        <w:t xml:space="preserve">38.6%) </w:t>
      </w:r>
      <w:r w:rsidR="00B6079A" w:rsidRPr="00E050AF">
        <w:rPr>
          <w:iCs/>
        </w:rPr>
        <w:t xml:space="preserve">appeared substantially </w:t>
      </w:r>
      <w:r w:rsidR="00D9700D" w:rsidRPr="00E050AF">
        <w:rPr>
          <w:iCs/>
        </w:rPr>
        <w:t xml:space="preserve">and implausibly </w:t>
      </w:r>
      <w:r w:rsidR="00B6079A" w:rsidRPr="00E050AF">
        <w:rPr>
          <w:iCs/>
        </w:rPr>
        <w:t xml:space="preserve">overestimated </w:t>
      </w:r>
      <w:r w:rsidR="00F56247" w:rsidRPr="00E050AF">
        <w:rPr>
          <w:iCs/>
        </w:rPr>
        <w:t xml:space="preserve">for patients with stage III-IV disease </w:t>
      </w:r>
      <w:r w:rsidR="00B6079A" w:rsidRPr="00E050AF">
        <w:rPr>
          <w:iCs/>
        </w:rPr>
        <w:t xml:space="preserve">and favoured olaparib plus bevacizumab. </w:t>
      </w:r>
      <w:r w:rsidR="00FE0E8A" w:rsidRPr="00E050AF">
        <w:rPr>
          <w:iCs/>
        </w:rPr>
        <w:t xml:space="preserve">The PBAC considered that a </w:t>
      </w:r>
      <w:r w:rsidR="00F56247" w:rsidRPr="00E050AF">
        <w:rPr>
          <w:iCs/>
        </w:rPr>
        <w:t>substantially reduced</w:t>
      </w:r>
      <w:r w:rsidR="00FE0E8A" w:rsidRPr="00E050AF">
        <w:rPr>
          <w:iCs/>
        </w:rPr>
        <w:t xml:space="preserve"> cure fraction consistent with that </w:t>
      </w:r>
      <w:r w:rsidR="00F56247" w:rsidRPr="00E050AF">
        <w:rPr>
          <w:iCs/>
        </w:rPr>
        <w:t xml:space="preserve">applied in the </w:t>
      </w:r>
      <w:r w:rsidR="00F56247" w:rsidRPr="00E050AF">
        <w:rPr>
          <w:i/>
          <w:iCs/>
        </w:rPr>
        <w:t>BRCA</w:t>
      </w:r>
      <w:r w:rsidR="00F56247" w:rsidRPr="00E050AF">
        <w:t>m model using data from SOLO1 considered by PBAC in July 2020 (25.45%</w:t>
      </w:r>
      <w:r w:rsidR="00D9700D" w:rsidRPr="00E050AF">
        <w:t>)</w:t>
      </w:r>
      <w:r w:rsidR="00F56247" w:rsidRPr="00E050AF">
        <w:t xml:space="preserve"> would be more appropriate.</w:t>
      </w:r>
      <w:r w:rsidR="00664B22" w:rsidRPr="00E050AF">
        <w:t xml:space="preserve"> The PBAC noted the </w:t>
      </w:r>
      <w:r w:rsidR="008444F3" w:rsidRPr="00E050AF">
        <w:t xml:space="preserve">loglogistic </w:t>
      </w:r>
      <w:r w:rsidR="00664B22" w:rsidRPr="00E050AF">
        <w:rPr>
          <w:iCs/>
          <w:color w:val="auto"/>
        </w:rPr>
        <w:t>extrapolation of bevacizumab monotherapy PFS resulted in a cure fraction that seemed underestimated and inconsistent with that previously accepted based on the placebo arm of SOLO-1</w:t>
      </w:r>
      <w:r w:rsidR="00124E43" w:rsidRPr="00E050AF">
        <w:rPr>
          <w:iCs/>
          <w:color w:val="auto"/>
        </w:rPr>
        <w:t xml:space="preserve"> (see paragraph </w:t>
      </w:r>
      <w:r w:rsidR="00124E43" w:rsidRPr="00E050AF">
        <w:rPr>
          <w:iCs/>
          <w:color w:val="auto"/>
        </w:rPr>
        <w:fldChar w:fldCharType="begin"/>
      </w:r>
      <w:r w:rsidR="00124E43" w:rsidRPr="00E050AF">
        <w:rPr>
          <w:iCs/>
          <w:color w:val="auto"/>
        </w:rPr>
        <w:instrText xml:space="preserve"> REF _Ref110608606 \r \h </w:instrText>
      </w:r>
      <w:r w:rsidR="00124E43" w:rsidRPr="00E050AF">
        <w:rPr>
          <w:iCs/>
          <w:color w:val="auto"/>
        </w:rPr>
      </w:r>
      <w:r w:rsidR="00124E43" w:rsidRPr="00E050AF">
        <w:rPr>
          <w:iCs/>
          <w:color w:val="auto"/>
        </w:rPr>
        <w:fldChar w:fldCharType="separate"/>
      </w:r>
      <w:r w:rsidR="00E050AF" w:rsidRPr="00E050AF">
        <w:rPr>
          <w:iCs/>
          <w:color w:val="auto"/>
        </w:rPr>
        <w:t>6.60</w:t>
      </w:r>
      <w:r w:rsidR="00124E43" w:rsidRPr="00E050AF">
        <w:rPr>
          <w:iCs/>
          <w:color w:val="auto"/>
        </w:rPr>
        <w:fldChar w:fldCharType="end"/>
      </w:r>
      <w:r w:rsidR="00124E43" w:rsidRPr="00E050AF">
        <w:rPr>
          <w:iCs/>
          <w:color w:val="auto"/>
        </w:rPr>
        <w:t>)</w:t>
      </w:r>
      <w:r w:rsidR="00664B22" w:rsidRPr="00E050AF">
        <w:rPr>
          <w:iCs/>
          <w:color w:val="auto"/>
        </w:rPr>
        <w:t xml:space="preserve">. </w:t>
      </w:r>
      <w:r w:rsidR="00340A3F" w:rsidRPr="00E050AF">
        <w:rPr>
          <w:iCs/>
        </w:rPr>
        <w:t xml:space="preserve">The PBAC considered that the submission’s use of </w:t>
      </w:r>
      <w:r w:rsidR="00340A3F" w:rsidRPr="00E050AF">
        <w:t xml:space="preserve">loglogistic </w:t>
      </w:r>
      <w:r w:rsidR="00340A3F" w:rsidRPr="00E050AF">
        <w:rPr>
          <w:iCs/>
          <w:color w:val="auto"/>
        </w:rPr>
        <w:t xml:space="preserve">extrapolation for bevacizumab monotherapy </w:t>
      </w:r>
      <w:r w:rsidR="001B7931" w:rsidRPr="00E050AF">
        <w:rPr>
          <w:iCs/>
          <w:color w:val="auto"/>
        </w:rPr>
        <w:t xml:space="preserve">PFS </w:t>
      </w:r>
      <w:r w:rsidR="00340A3F" w:rsidRPr="00E050AF">
        <w:rPr>
          <w:iCs/>
          <w:color w:val="auto"/>
        </w:rPr>
        <w:t xml:space="preserve">added uncertainty to the analysis. </w:t>
      </w:r>
      <w:r w:rsidR="00664B22" w:rsidRPr="00E050AF">
        <w:rPr>
          <w:iCs/>
          <w:color w:val="auto"/>
        </w:rPr>
        <w:t xml:space="preserve">The PBAC noted </w:t>
      </w:r>
      <w:r w:rsidR="00664B22" w:rsidRPr="00E050AF">
        <w:rPr>
          <w:iCs/>
        </w:rPr>
        <w:t>that the sponsor anticipates that more mature PFS data from DCO3 will be available Q3, 2022</w:t>
      </w:r>
      <w:r w:rsidR="00725F88" w:rsidRPr="00E050AF">
        <w:rPr>
          <w:iCs/>
        </w:rPr>
        <w:t>. The PBAC considered</w:t>
      </w:r>
      <w:r w:rsidR="00664B22" w:rsidRPr="00E050AF">
        <w:rPr>
          <w:iCs/>
        </w:rPr>
        <w:t xml:space="preserve"> that these data could be used to </w:t>
      </w:r>
      <w:r w:rsidR="00725F88" w:rsidRPr="00E050AF">
        <w:rPr>
          <w:iCs/>
        </w:rPr>
        <w:t xml:space="preserve">better </w:t>
      </w:r>
      <w:r w:rsidR="00664B22" w:rsidRPr="00E050AF">
        <w:rPr>
          <w:iCs/>
        </w:rPr>
        <w:t xml:space="preserve">support the modelled PFS curves </w:t>
      </w:r>
      <w:r w:rsidR="000B305F" w:rsidRPr="00E050AF">
        <w:rPr>
          <w:iCs/>
        </w:rPr>
        <w:t>in a resubmission</w:t>
      </w:r>
      <w:r w:rsidR="00664B22" w:rsidRPr="00E050AF">
        <w:rPr>
          <w:iCs/>
        </w:rPr>
        <w:t>.</w:t>
      </w:r>
      <w:bookmarkEnd w:id="144"/>
    </w:p>
    <w:p w14:paraId="63B5E27A" w14:textId="1BA5E204" w:rsidR="00572068" w:rsidRPr="00E050AF" w:rsidRDefault="00664B22" w:rsidP="00572068">
      <w:pPr>
        <w:pStyle w:val="ListParagraph"/>
        <w:numPr>
          <w:ilvl w:val="4"/>
          <w:numId w:val="8"/>
        </w:numPr>
        <w:rPr>
          <w:iCs/>
        </w:rPr>
      </w:pPr>
      <w:r w:rsidRPr="00E050AF">
        <w:t>Overall</w:t>
      </w:r>
      <w:r w:rsidR="00FE0E8A" w:rsidRPr="00E050AF">
        <w:t xml:space="preserve">, compared to the OS KM curve among HRD positive </w:t>
      </w:r>
      <w:r w:rsidR="00FE0E8A" w:rsidRPr="00E050AF">
        <w:rPr>
          <w:i/>
          <w:iCs/>
        </w:rPr>
        <w:t>BRCA</w:t>
      </w:r>
      <w:r w:rsidR="00FE0E8A" w:rsidRPr="00E050AF">
        <w:t>wt patients in PAOLA-1 (</w:t>
      </w:r>
      <w:r w:rsidR="00FE0E8A" w:rsidRPr="00E050AF">
        <w:fldChar w:fldCharType="begin"/>
      </w:r>
      <w:r w:rsidR="00FE0E8A" w:rsidRPr="00E050AF">
        <w:instrText xml:space="preserve"> REF _Ref100927369 \h  \* MERGEFORMAT </w:instrText>
      </w:r>
      <w:r w:rsidR="00FE0E8A" w:rsidRPr="00E050AF">
        <w:fldChar w:fldCharType="separate"/>
      </w:r>
      <w:r w:rsidR="00E050AF" w:rsidRPr="00E050AF">
        <w:t>Figure 7</w:t>
      </w:r>
      <w:r w:rsidR="00FE0E8A" w:rsidRPr="00E050AF">
        <w:fldChar w:fldCharType="end"/>
      </w:r>
      <w:r w:rsidR="00FE0E8A" w:rsidRPr="00E050AF">
        <w:t>), which did not show any clear separation, the model estimated a much more substantial OS benefit with maintenance treatment with olaparib plus bevacizumab compared to bevacizumab alone.</w:t>
      </w:r>
      <w:r w:rsidR="00FE0E8A" w:rsidRPr="00E050AF">
        <w:rPr>
          <w:iCs/>
        </w:rPr>
        <w:t xml:space="preserve"> </w:t>
      </w:r>
      <w:r w:rsidR="00815EE2" w:rsidRPr="00E050AF">
        <w:rPr>
          <w:iCs/>
        </w:rPr>
        <w:t xml:space="preserve">Although the PBAC considered it is likely that </w:t>
      </w:r>
      <w:r w:rsidR="00815EE2" w:rsidRPr="00E050AF">
        <w:t xml:space="preserve">the observed PFS benefit in PAOLA-1 will translate into an overall survival benefit in the long term the magnitude of the benefit appeared overestimated in the </w:t>
      </w:r>
      <w:r w:rsidR="002B150E" w:rsidRPr="00E050AF">
        <w:t>economic evaluation.</w:t>
      </w:r>
    </w:p>
    <w:p w14:paraId="234B4EBB" w14:textId="25C49674" w:rsidR="008126EA" w:rsidRPr="00E050AF" w:rsidRDefault="00664B22" w:rsidP="00572068">
      <w:pPr>
        <w:pStyle w:val="ListParagraph"/>
        <w:numPr>
          <w:ilvl w:val="4"/>
          <w:numId w:val="8"/>
        </w:numPr>
        <w:rPr>
          <w:iCs/>
        </w:rPr>
      </w:pPr>
      <w:bookmarkStart w:id="145" w:name="_Ref110607096"/>
      <w:r w:rsidRPr="00E050AF">
        <w:rPr>
          <w:iCs/>
          <w:color w:val="auto"/>
        </w:rPr>
        <w:t xml:space="preserve">Regarding the post-progression utility, the PBAC noted data from the literature were used in preference to data from PAOLA-1 and that the value used (0.544) was </w:t>
      </w:r>
      <w:r w:rsidR="00CA77CC" w:rsidRPr="00E050AF">
        <w:rPr>
          <w:iCs/>
          <w:color w:val="auto"/>
        </w:rPr>
        <w:t>lower than</w:t>
      </w:r>
      <w:r w:rsidRPr="00E050AF">
        <w:rPr>
          <w:iCs/>
          <w:color w:val="auto"/>
        </w:rPr>
        <w:t xml:space="preserve"> that used in the model for </w:t>
      </w:r>
      <w:r w:rsidR="00CA77CC" w:rsidRPr="00E050AF">
        <w:rPr>
          <w:color w:val="auto"/>
        </w:rPr>
        <w:t xml:space="preserve">olaparib </w:t>
      </w:r>
      <w:r w:rsidR="00CA77CC" w:rsidRPr="00E050AF">
        <w:rPr>
          <w:i/>
          <w:iCs/>
          <w:color w:val="auto"/>
        </w:rPr>
        <w:t>BRCA</w:t>
      </w:r>
      <w:r w:rsidR="00CA77CC" w:rsidRPr="00E050AF">
        <w:rPr>
          <w:color w:val="auto"/>
        </w:rPr>
        <w:t xml:space="preserve">m </w:t>
      </w:r>
      <w:r w:rsidR="008B5C64" w:rsidRPr="00E050AF">
        <w:rPr>
          <w:color w:val="auto"/>
        </w:rPr>
        <w:t>model</w:t>
      </w:r>
      <w:r w:rsidR="00CA77CC" w:rsidRPr="00E050AF">
        <w:rPr>
          <w:color w:val="auto"/>
        </w:rPr>
        <w:t xml:space="preserve"> (0.557). The PBAC considered the post-progression utility should be consistent with the value previously accepted</w:t>
      </w:r>
      <w:r w:rsidR="006F57C9" w:rsidRPr="00E050AF">
        <w:rPr>
          <w:color w:val="auto"/>
        </w:rPr>
        <w:t xml:space="preserve"> (0.557)</w:t>
      </w:r>
      <w:r w:rsidR="00CA77CC" w:rsidRPr="00E050AF">
        <w:rPr>
          <w:color w:val="auto"/>
        </w:rPr>
        <w:t>.</w:t>
      </w:r>
      <w:bookmarkEnd w:id="145"/>
    </w:p>
    <w:p w14:paraId="47BD4E48" w14:textId="343C7E38" w:rsidR="002B150E" w:rsidRPr="00E050AF" w:rsidRDefault="002B150E" w:rsidP="00317B24">
      <w:pPr>
        <w:pStyle w:val="ListParagraph"/>
        <w:numPr>
          <w:ilvl w:val="4"/>
          <w:numId w:val="8"/>
        </w:numPr>
        <w:rPr>
          <w:bCs/>
          <w:snapToGrid w:val="0"/>
        </w:rPr>
      </w:pPr>
      <w:bookmarkStart w:id="146" w:name="_Ref110607156"/>
      <w:bookmarkStart w:id="147" w:name="_Ref109859550"/>
      <w:r w:rsidRPr="00E050AF">
        <w:rPr>
          <w:bCs/>
          <w:snapToGrid w:val="0"/>
        </w:rPr>
        <w:t xml:space="preserve">The PBAC considered that given the uncertainty regarding the magnitude of benefit for the HRD positive population due to reliance on an exploratory subgroup analysis, </w:t>
      </w:r>
      <w:r w:rsidR="00340A3F" w:rsidRPr="00E050AF">
        <w:rPr>
          <w:bCs/>
          <w:snapToGrid w:val="0"/>
        </w:rPr>
        <w:t xml:space="preserve">uncertain extrapolations, </w:t>
      </w:r>
      <w:r w:rsidRPr="00E050AF">
        <w:rPr>
          <w:bCs/>
          <w:snapToGrid w:val="0"/>
        </w:rPr>
        <w:t xml:space="preserve">uncertainty regarding whether the </w:t>
      </w:r>
      <w:r w:rsidRPr="00E050AF">
        <w:t xml:space="preserve">proposed test will identify an equivalent group of patients as in the PAOLA-1 trial and because the proposed HRD positive </w:t>
      </w:r>
      <w:r w:rsidRPr="00E050AF">
        <w:rPr>
          <w:i/>
          <w:iCs/>
        </w:rPr>
        <w:t>BRCA</w:t>
      </w:r>
      <w:r w:rsidRPr="00E050AF">
        <w:t xml:space="preserve">wt population are likely to have a reduced PFS benefit compared with the </w:t>
      </w:r>
      <w:r w:rsidRPr="00E050AF">
        <w:rPr>
          <w:i/>
          <w:iCs/>
        </w:rPr>
        <w:t>BRCA</w:t>
      </w:r>
      <w:r w:rsidRPr="00E050AF">
        <w:t>m population, the PBAC considered that an ICER of less than $50,000/QALY would be considered appropriately cost-effective.</w:t>
      </w:r>
      <w:bookmarkEnd w:id="146"/>
      <w:bookmarkEnd w:id="147"/>
    </w:p>
    <w:p w14:paraId="6CB57A23" w14:textId="60CEBE6E" w:rsidR="00CC40C8" w:rsidRPr="00E050AF" w:rsidRDefault="00CC40C8" w:rsidP="007C0FD7">
      <w:pPr>
        <w:pStyle w:val="ListParagraph"/>
        <w:numPr>
          <w:ilvl w:val="4"/>
          <w:numId w:val="8"/>
        </w:numPr>
      </w:pPr>
      <w:r w:rsidRPr="00E050AF">
        <w:rPr>
          <w:bCs/>
        </w:rPr>
        <w:t xml:space="preserve">With regard to utilisation estimates, the PBAC considered that the estimates were appropriate after adjustment of the duration treatment to reflect mean rather than median. Using the mean duration of treatment (consistent with economic evaluation) rather than median duration of treatment decreased the financial estimates by 13%, which the PBAC considered would be appropriate (see paragraph </w:t>
      </w:r>
      <w:r w:rsidRPr="00E050AF">
        <w:rPr>
          <w:bCs/>
        </w:rPr>
        <w:fldChar w:fldCharType="begin"/>
      </w:r>
      <w:r w:rsidRPr="00E050AF">
        <w:rPr>
          <w:bCs/>
        </w:rPr>
        <w:instrText xml:space="preserve"> REF _Ref109074369 \r \h  \* MERGEFORMAT </w:instrText>
      </w:r>
      <w:r w:rsidRPr="00E050AF">
        <w:rPr>
          <w:bCs/>
        </w:rPr>
      </w:r>
      <w:r w:rsidRPr="00E050AF">
        <w:rPr>
          <w:bCs/>
        </w:rPr>
        <w:fldChar w:fldCharType="separate"/>
      </w:r>
      <w:r w:rsidR="00E050AF" w:rsidRPr="00E050AF">
        <w:rPr>
          <w:bCs/>
        </w:rPr>
        <w:t>6.92</w:t>
      </w:r>
      <w:r w:rsidRPr="00E050AF">
        <w:rPr>
          <w:bCs/>
        </w:rPr>
        <w:fldChar w:fldCharType="end"/>
      </w:r>
      <w:r w:rsidRPr="00E050AF">
        <w:rPr>
          <w:bCs/>
        </w:rPr>
        <w:t>). The PBAC noted that MSAC advice was also required in relation to the financial estimates</w:t>
      </w:r>
      <w:r w:rsidR="002B150E" w:rsidRPr="00E050AF">
        <w:rPr>
          <w:bCs/>
        </w:rPr>
        <w:t xml:space="preserve"> (see paragraph </w:t>
      </w:r>
      <w:r w:rsidR="002B150E" w:rsidRPr="00E050AF">
        <w:rPr>
          <w:bCs/>
        </w:rPr>
        <w:fldChar w:fldCharType="begin"/>
      </w:r>
      <w:r w:rsidR="002B150E" w:rsidRPr="00E050AF">
        <w:rPr>
          <w:bCs/>
        </w:rPr>
        <w:instrText xml:space="preserve"> REF _Ref109859288 \r \h </w:instrText>
      </w:r>
      <w:r w:rsidR="002B150E" w:rsidRPr="00E050AF">
        <w:rPr>
          <w:bCs/>
        </w:rPr>
      </w:r>
      <w:r w:rsidR="002B150E" w:rsidRPr="00E050AF">
        <w:rPr>
          <w:bCs/>
        </w:rPr>
        <w:fldChar w:fldCharType="separate"/>
      </w:r>
      <w:r w:rsidR="00E050AF" w:rsidRPr="00E050AF">
        <w:rPr>
          <w:bCs/>
        </w:rPr>
        <w:t>7.2</w:t>
      </w:r>
      <w:r w:rsidR="002B150E" w:rsidRPr="00E050AF">
        <w:rPr>
          <w:bCs/>
        </w:rPr>
        <w:fldChar w:fldCharType="end"/>
      </w:r>
      <w:r w:rsidR="002B150E" w:rsidRPr="00E050AF">
        <w:rPr>
          <w:bCs/>
        </w:rPr>
        <w:t>)</w:t>
      </w:r>
      <w:r w:rsidRPr="00E050AF">
        <w:rPr>
          <w:bCs/>
        </w:rPr>
        <w:t>.</w:t>
      </w:r>
    </w:p>
    <w:p w14:paraId="41CDD991" w14:textId="7064A56A" w:rsidR="00713DD6" w:rsidRPr="00E050AF" w:rsidRDefault="00713DD6" w:rsidP="00713DD6">
      <w:pPr>
        <w:pStyle w:val="ListParagraph"/>
        <w:numPr>
          <w:ilvl w:val="4"/>
          <w:numId w:val="8"/>
        </w:numPr>
        <w:rPr>
          <w:color w:val="auto"/>
        </w:rPr>
      </w:pPr>
      <w:r w:rsidRPr="00E050AF">
        <w:rPr>
          <w:color w:val="auto"/>
        </w:rPr>
        <w:t>The PBAC considered the outstanding issues could be resolved in a simple resubmission for olaparib using the early re-entry pathway. If the sponsor accepts this pathway, the following changes may address these outstanding issues without requiring further re-evaluation:</w:t>
      </w:r>
    </w:p>
    <w:p w14:paraId="5AE298BF" w14:textId="507686BC" w:rsidR="00384339" w:rsidRPr="00E050AF" w:rsidRDefault="00384339" w:rsidP="003C7731">
      <w:pPr>
        <w:pStyle w:val="ListParagraph"/>
        <w:widowControl w:val="0"/>
        <w:numPr>
          <w:ilvl w:val="0"/>
          <w:numId w:val="40"/>
        </w:numPr>
        <w:spacing w:before="0"/>
        <w:ind w:left="1134" w:hanging="425"/>
      </w:pPr>
      <w:r w:rsidRPr="00E050AF">
        <w:t>Revise the inputs for the economic model</w:t>
      </w:r>
      <w:r w:rsidRPr="00E050AF">
        <w:rPr>
          <w:color w:val="auto"/>
        </w:rPr>
        <w:t xml:space="preserve"> as follows. The PBAC noted that the early re-entry pathway would not be appropriate if the model structure is revised.</w:t>
      </w:r>
    </w:p>
    <w:p w14:paraId="6155044C" w14:textId="4388DF97" w:rsidR="006F1032" w:rsidRPr="00E050AF" w:rsidRDefault="006F1032" w:rsidP="006F1032">
      <w:pPr>
        <w:pStyle w:val="ListParagraph"/>
        <w:widowControl w:val="0"/>
        <w:numPr>
          <w:ilvl w:val="1"/>
          <w:numId w:val="40"/>
        </w:numPr>
        <w:spacing w:before="0"/>
      </w:pPr>
      <w:r w:rsidRPr="00E050AF">
        <w:t xml:space="preserve">Use of cure fractions consistent with those accepted for the olaparib </w:t>
      </w:r>
      <w:r w:rsidRPr="00E050AF">
        <w:rPr>
          <w:i/>
          <w:iCs/>
        </w:rPr>
        <w:t>BRCA</w:t>
      </w:r>
      <w:r w:rsidRPr="00E050AF">
        <w:t xml:space="preserve">m model, thus assuming a cure fraction of no more than </w:t>
      </w:r>
      <w:r w:rsidRPr="00353770">
        <w:t xml:space="preserve">25.45% for olaparib plus bevacizumab </w:t>
      </w:r>
      <w:r w:rsidRPr="00353770">
        <w:rPr>
          <w:color w:val="auto"/>
        </w:rPr>
        <w:t xml:space="preserve">(paragraph </w:t>
      </w:r>
      <w:r w:rsidRPr="00353770">
        <w:rPr>
          <w:color w:val="auto"/>
        </w:rPr>
        <w:fldChar w:fldCharType="begin"/>
      </w:r>
      <w:r w:rsidRPr="00353770">
        <w:rPr>
          <w:color w:val="auto"/>
        </w:rPr>
        <w:instrText xml:space="preserve"> REF _Ref110607054 \r \h  \* MERGEFORMAT </w:instrText>
      </w:r>
      <w:r w:rsidRPr="00353770">
        <w:rPr>
          <w:color w:val="auto"/>
        </w:rPr>
      </w:r>
      <w:r w:rsidRPr="00353770">
        <w:rPr>
          <w:color w:val="auto"/>
        </w:rPr>
        <w:fldChar w:fldCharType="separate"/>
      </w:r>
      <w:r w:rsidR="00E050AF" w:rsidRPr="00353770">
        <w:rPr>
          <w:color w:val="auto"/>
        </w:rPr>
        <w:t>7.13</w:t>
      </w:r>
      <w:r w:rsidRPr="00353770">
        <w:rPr>
          <w:color w:val="auto"/>
        </w:rPr>
        <w:fldChar w:fldCharType="end"/>
      </w:r>
      <w:r w:rsidR="007151B6" w:rsidRPr="00353770">
        <w:rPr>
          <w:color w:val="auto"/>
        </w:rPr>
        <w:t>)</w:t>
      </w:r>
      <w:r w:rsidR="007151B6" w:rsidRPr="00353770">
        <w:t>.</w:t>
      </w:r>
    </w:p>
    <w:p w14:paraId="1592D232" w14:textId="2C69A80F" w:rsidR="006F1032" w:rsidRPr="00E050AF" w:rsidRDefault="006F1032" w:rsidP="006F1032">
      <w:pPr>
        <w:pStyle w:val="ListParagraph"/>
        <w:widowControl w:val="0"/>
        <w:numPr>
          <w:ilvl w:val="1"/>
          <w:numId w:val="40"/>
        </w:numPr>
        <w:spacing w:before="0"/>
      </w:pPr>
      <w:r w:rsidRPr="00E050AF">
        <w:t xml:space="preserve">Use of loglogistic PFS extrapolations consistent with those accepted for the olaparib </w:t>
      </w:r>
      <w:r w:rsidRPr="00E050AF">
        <w:rPr>
          <w:i/>
          <w:iCs/>
        </w:rPr>
        <w:t>BRCA</w:t>
      </w:r>
      <w:r w:rsidRPr="00E050AF">
        <w:t xml:space="preserve">m model. However, noting the uncertainty in these PFS extrapolations, particularly for the bevacizumab monotherapy arm, the PBAC considered that a resubmission should be supported by more mature PFS data from DCO3 to validate these modelled PFS curves </w:t>
      </w:r>
      <w:r w:rsidRPr="00E050AF">
        <w:rPr>
          <w:color w:val="auto"/>
        </w:rPr>
        <w:t xml:space="preserve">(paragraph </w:t>
      </w:r>
      <w:r w:rsidRPr="00E050AF">
        <w:rPr>
          <w:color w:val="auto"/>
        </w:rPr>
        <w:fldChar w:fldCharType="begin"/>
      </w:r>
      <w:r w:rsidRPr="00E050AF">
        <w:rPr>
          <w:color w:val="auto"/>
        </w:rPr>
        <w:instrText xml:space="preserve"> REF _Ref110607054 \r \h  \* MERGEFORMAT </w:instrText>
      </w:r>
      <w:r w:rsidRPr="00E050AF">
        <w:rPr>
          <w:color w:val="auto"/>
        </w:rPr>
      </w:r>
      <w:r w:rsidRPr="00E050AF">
        <w:rPr>
          <w:color w:val="auto"/>
        </w:rPr>
        <w:fldChar w:fldCharType="separate"/>
      </w:r>
      <w:r w:rsidR="00E050AF" w:rsidRPr="00E050AF">
        <w:rPr>
          <w:color w:val="auto"/>
        </w:rPr>
        <w:t>7.13</w:t>
      </w:r>
      <w:r w:rsidRPr="00E050AF">
        <w:rPr>
          <w:color w:val="auto"/>
        </w:rPr>
        <w:fldChar w:fldCharType="end"/>
      </w:r>
      <w:r w:rsidR="007151B6" w:rsidRPr="00E050AF">
        <w:rPr>
          <w:color w:val="auto"/>
        </w:rPr>
        <w:t>).</w:t>
      </w:r>
    </w:p>
    <w:p w14:paraId="5E95CD45" w14:textId="607E5CA5" w:rsidR="00384339" w:rsidRPr="00E050AF" w:rsidRDefault="00384339" w:rsidP="00384339">
      <w:pPr>
        <w:pStyle w:val="ListParagraph"/>
        <w:widowControl w:val="0"/>
        <w:numPr>
          <w:ilvl w:val="1"/>
          <w:numId w:val="40"/>
        </w:numPr>
        <w:spacing w:before="0"/>
      </w:pPr>
      <w:r w:rsidRPr="00E050AF">
        <w:rPr>
          <w:color w:val="auto"/>
        </w:rPr>
        <w:t xml:space="preserve">Use of a post-progression utility value </w:t>
      </w:r>
      <w:r w:rsidR="001B7931" w:rsidRPr="00E050AF">
        <w:rPr>
          <w:color w:val="auto"/>
        </w:rPr>
        <w:t xml:space="preserve">(0.557) </w:t>
      </w:r>
      <w:r w:rsidRPr="00E050AF">
        <w:t xml:space="preserve">consistent with that accepted for the </w:t>
      </w:r>
      <w:r w:rsidRPr="00E050AF">
        <w:rPr>
          <w:color w:val="auto"/>
        </w:rPr>
        <w:t xml:space="preserve">olaparib </w:t>
      </w:r>
      <w:r w:rsidRPr="00E050AF">
        <w:rPr>
          <w:i/>
          <w:iCs/>
          <w:color w:val="auto"/>
        </w:rPr>
        <w:t>BRCA</w:t>
      </w:r>
      <w:r w:rsidRPr="00E050AF">
        <w:rPr>
          <w:color w:val="auto"/>
        </w:rPr>
        <w:t>m model (paragraph</w:t>
      </w:r>
      <w:r w:rsidR="00CC7FC8" w:rsidRPr="00E050AF">
        <w:rPr>
          <w:color w:val="auto"/>
        </w:rPr>
        <w:t xml:space="preserve"> </w:t>
      </w:r>
      <w:r w:rsidR="00CC7FC8" w:rsidRPr="00E050AF">
        <w:rPr>
          <w:color w:val="auto"/>
        </w:rPr>
        <w:fldChar w:fldCharType="begin"/>
      </w:r>
      <w:r w:rsidR="00CC7FC8" w:rsidRPr="00E050AF">
        <w:rPr>
          <w:color w:val="auto"/>
        </w:rPr>
        <w:instrText xml:space="preserve"> REF _Ref110607096 \r \h </w:instrText>
      </w:r>
      <w:r w:rsidR="00CC7FC8" w:rsidRPr="00E050AF">
        <w:rPr>
          <w:color w:val="auto"/>
        </w:rPr>
      </w:r>
      <w:r w:rsidR="00CC7FC8" w:rsidRPr="00E050AF">
        <w:rPr>
          <w:color w:val="auto"/>
        </w:rPr>
        <w:fldChar w:fldCharType="separate"/>
      </w:r>
      <w:r w:rsidR="00E050AF" w:rsidRPr="00E050AF">
        <w:rPr>
          <w:color w:val="auto"/>
        </w:rPr>
        <w:t>7.15</w:t>
      </w:r>
      <w:r w:rsidR="00CC7FC8" w:rsidRPr="00E050AF">
        <w:rPr>
          <w:color w:val="auto"/>
        </w:rPr>
        <w:fldChar w:fldCharType="end"/>
      </w:r>
      <w:r w:rsidR="007151B6" w:rsidRPr="00E050AF">
        <w:rPr>
          <w:color w:val="auto"/>
        </w:rPr>
        <w:t>).</w:t>
      </w:r>
    </w:p>
    <w:p w14:paraId="0394627C" w14:textId="47844E01" w:rsidR="008B5C64" w:rsidRPr="00E050AF" w:rsidRDefault="00384339" w:rsidP="00384339">
      <w:pPr>
        <w:pStyle w:val="ListParagraph"/>
        <w:widowControl w:val="0"/>
        <w:numPr>
          <w:ilvl w:val="1"/>
          <w:numId w:val="40"/>
        </w:numPr>
        <w:spacing w:before="0"/>
        <w:rPr>
          <w:color w:val="auto"/>
        </w:rPr>
      </w:pPr>
      <w:r w:rsidRPr="00E050AF">
        <w:rPr>
          <w:color w:val="auto"/>
        </w:rPr>
        <w:t xml:space="preserve">A </w:t>
      </w:r>
      <w:r w:rsidR="00275200" w:rsidRPr="00E050AF">
        <w:rPr>
          <w:i/>
          <w:color w:val="auto"/>
        </w:rPr>
        <w:t>BRCA</w:t>
      </w:r>
      <w:r w:rsidRPr="00E050AF">
        <w:rPr>
          <w:color w:val="auto"/>
        </w:rPr>
        <w:t xml:space="preserve"> testing cost of $1,000 (paragraph</w:t>
      </w:r>
      <w:r w:rsidR="00CC7FC8" w:rsidRPr="00E050AF">
        <w:rPr>
          <w:color w:val="auto"/>
        </w:rPr>
        <w:t xml:space="preserve"> </w:t>
      </w:r>
      <w:r w:rsidR="00CC7FC8" w:rsidRPr="00E050AF">
        <w:rPr>
          <w:color w:val="auto"/>
        </w:rPr>
        <w:fldChar w:fldCharType="begin"/>
      </w:r>
      <w:r w:rsidR="00CC7FC8" w:rsidRPr="00E050AF">
        <w:rPr>
          <w:color w:val="auto"/>
        </w:rPr>
        <w:instrText xml:space="preserve"> REF _Ref110607133 \r \h </w:instrText>
      </w:r>
      <w:r w:rsidR="00CC7FC8" w:rsidRPr="00E050AF">
        <w:rPr>
          <w:color w:val="auto"/>
        </w:rPr>
      </w:r>
      <w:r w:rsidR="00CC7FC8" w:rsidRPr="00E050AF">
        <w:rPr>
          <w:color w:val="auto"/>
        </w:rPr>
        <w:fldChar w:fldCharType="separate"/>
      </w:r>
      <w:r w:rsidR="00E050AF" w:rsidRPr="00E050AF">
        <w:rPr>
          <w:color w:val="auto"/>
        </w:rPr>
        <w:t>6.71</w:t>
      </w:r>
      <w:r w:rsidR="00CC7FC8" w:rsidRPr="00E050AF">
        <w:rPr>
          <w:color w:val="auto"/>
        </w:rPr>
        <w:fldChar w:fldCharType="end"/>
      </w:r>
      <w:r w:rsidRPr="00E050AF">
        <w:rPr>
          <w:color w:val="auto"/>
        </w:rPr>
        <w:t>)</w:t>
      </w:r>
      <w:r w:rsidR="008B5C64" w:rsidRPr="00E050AF">
        <w:rPr>
          <w:color w:val="auto"/>
        </w:rPr>
        <w:t>; and</w:t>
      </w:r>
    </w:p>
    <w:p w14:paraId="6B3B7B03" w14:textId="651F2539" w:rsidR="00384339" w:rsidRPr="00E050AF" w:rsidRDefault="008B5C64" w:rsidP="00384339">
      <w:pPr>
        <w:pStyle w:val="ListParagraph"/>
        <w:widowControl w:val="0"/>
        <w:numPr>
          <w:ilvl w:val="1"/>
          <w:numId w:val="40"/>
        </w:numPr>
        <w:spacing w:before="0"/>
        <w:rPr>
          <w:color w:val="auto"/>
        </w:rPr>
      </w:pPr>
      <w:r w:rsidRPr="00E050AF">
        <w:rPr>
          <w:color w:val="auto"/>
        </w:rPr>
        <w:t>A price reduction to result in an ICER of less than $50,000/QALY gained (paragraph</w:t>
      </w:r>
      <w:r w:rsidR="00CC7FC8" w:rsidRPr="00E050AF">
        <w:rPr>
          <w:color w:val="auto"/>
        </w:rPr>
        <w:t xml:space="preserve"> </w:t>
      </w:r>
      <w:r w:rsidR="00CC7FC8" w:rsidRPr="00E050AF">
        <w:rPr>
          <w:color w:val="auto"/>
        </w:rPr>
        <w:fldChar w:fldCharType="begin"/>
      </w:r>
      <w:r w:rsidR="00CC7FC8" w:rsidRPr="00E050AF">
        <w:rPr>
          <w:color w:val="auto"/>
        </w:rPr>
        <w:instrText xml:space="preserve"> REF _Ref110607156 \r \h </w:instrText>
      </w:r>
      <w:r w:rsidR="00CC7FC8" w:rsidRPr="00E050AF">
        <w:rPr>
          <w:color w:val="auto"/>
        </w:rPr>
      </w:r>
      <w:r w:rsidR="00CC7FC8" w:rsidRPr="00E050AF">
        <w:rPr>
          <w:color w:val="auto"/>
        </w:rPr>
        <w:fldChar w:fldCharType="separate"/>
      </w:r>
      <w:r w:rsidR="00E050AF" w:rsidRPr="00E050AF">
        <w:rPr>
          <w:color w:val="auto"/>
        </w:rPr>
        <w:t>7.16</w:t>
      </w:r>
      <w:r w:rsidR="00CC7FC8" w:rsidRPr="00E050AF">
        <w:rPr>
          <w:color w:val="auto"/>
        </w:rPr>
        <w:fldChar w:fldCharType="end"/>
      </w:r>
      <w:r w:rsidRPr="00E050AF">
        <w:rPr>
          <w:color w:val="auto"/>
        </w:rPr>
        <w:t>)</w:t>
      </w:r>
      <w:r w:rsidR="00384339" w:rsidRPr="00E050AF">
        <w:rPr>
          <w:color w:val="auto"/>
        </w:rPr>
        <w:t>.</w:t>
      </w:r>
    </w:p>
    <w:p w14:paraId="21ED309A" w14:textId="17BFD923" w:rsidR="00713DD6" w:rsidRPr="00E050AF" w:rsidRDefault="00713DD6" w:rsidP="003C7731">
      <w:pPr>
        <w:pStyle w:val="ListParagraph"/>
        <w:widowControl w:val="0"/>
        <w:numPr>
          <w:ilvl w:val="0"/>
          <w:numId w:val="40"/>
        </w:numPr>
        <w:spacing w:before="0"/>
        <w:ind w:left="1134" w:hanging="425"/>
      </w:pPr>
      <w:r w:rsidRPr="00E050AF">
        <w:t>Recalculation of the financial implications using the revised olaparib price</w:t>
      </w:r>
      <w:r w:rsidR="00AD3321" w:rsidRPr="00E050AF">
        <w:t xml:space="preserve"> and mean treatment duration</w:t>
      </w:r>
      <w:r w:rsidRPr="00E050AF">
        <w:t>.</w:t>
      </w:r>
    </w:p>
    <w:p w14:paraId="236E5AB7" w14:textId="10D973C2" w:rsidR="00713DD6" w:rsidRPr="00E050AF" w:rsidRDefault="00713DD6" w:rsidP="00713DD6">
      <w:pPr>
        <w:pStyle w:val="ListParagraph"/>
        <w:numPr>
          <w:ilvl w:val="4"/>
          <w:numId w:val="8"/>
        </w:numPr>
        <w:rPr>
          <w:color w:val="auto"/>
        </w:rPr>
      </w:pPr>
      <w:r w:rsidRPr="00E050AF">
        <w:rPr>
          <w:color w:val="auto"/>
        </w:rPr>
        <w:t>The early re-entry resubmission must be lodged by week 7 of the current PBAC cycle or the next cycle. If the issues cannot be addressed by the sponsor in a simple resubmission and the early re-entry timing is not acceptable, a standard re-entry pathway is available.</w:t>
      </w:r>
      <w:r w:rsidR="00AD3321" w:rsidRPr="00E050AF">
        <w:rPr>
          <w:color w:val="auto"/>
        </w:rPr>
        <w:t xml:space="preserve"> </w:t>
      </w:r>
      <w:r w:rsidR="00A26793" w:rsidRPr="00E050AF">
        <w:rPr>
          <w:color w:val="auto"/>
        </w:rPr>
        <w:t>The PBAC considered that a resubmission via the standard re</w:t>
      </w:r>
      <w:r w:rsidR="00A625C5" w:rsidRPr="00E050AF">
        <w:rPr>
          <w:color w:val="auto"/>
        </w:rPr>
        <w:noBreakHyphen/>
      </w:r>
      <w:r w:rsidR="00A26793" w:rsidRPr="00E050AF">
        <w:rPr>
          <w:color w:val="auto"/>
        </w:rPr>
        <w:t xml:space="preserve">entry pathway should include revisions to the economic model such that assumptions of benefit are more conservative and </w:t>
      </w:r>
      <w:r w:rsidR="00D9700D" w:rsidRPr="00E050AF">
        <w:rPr>
          <w:color w:val="auto"/>
        </w:rPr>
        <w:t>similar</w:t>
      </w:r>
      <w:r w:rsidR="00A26793" w:rsidRPr="00E050AF">
        <w:rPr>
          <w:color w:val="auto"/>
        </w:rPr>
        <w:t xml:space="preserve"> to those accepte</w:t>
      </w:r>
      <w:r w:rsidR="00A625C5" w:rsidRPr="00E050AF">
        <w:rPr>
          <w:color w:val="auto"/>
        </w:rPr>
        <w:t>d</w:t>
      </w:r>
      <w:r w:rsidR="00A26793" w:rsidRPr="00E050AF">
        <w:rPr>
          <w:color w:val="auto"/>
        </w:rPr>
        <w:t xml:space="preserve"> in the </w:t>
      </w:r>
      <w:r w:rsidR="00A26793" w:rsidRPr="00E050AF">
        <w:rPr>
          <w:i/>
          <w:iCs/>
          <w:color w:val="auto"/>
        </w:rPr>
        <w:t>BRCA</w:t>
      </w:r>
      <w:r w:rsidR="00A26793" w:rsidRPr="00E050AF">
        <w:rPr>
          <w:color w:val="auto"/>
        </w:rPr>
        <w:t>m population</w:t>
      </w:r>
      <w:r w:rsidR="00A625C5" w:rsidRPr="00E050AF">
        <w:rPr>
          <w:color w:val="auto"/>
        </w:rPr>
        <w:t xml:space="preserve">. </w:t>
      </w:r>
    </w:p>
    <w:p w14:paraId="5070EC8D" w14:textId="2D0E3572" w:rsidR="001D1182" w:rsidRPr="00E050AF" w:rsidRDefault="007C254B" w:rsidP="001D1182">
      <w:pPr>
        <w:pStyle w:val="ListParagraph"/>
        <w:numPr>
          <w:ilvl w:val="4"/>
          <w:numId w:val="8"/>
        </w:numPr>
        <w:rPr>
          <w:color w:val="auto"/>
        </w:rPr>
      </w:pPr>
      <w:r w:rsidRPr="00E050AF">
        <w:rPr>
          <w:color w:val="auto"/>
        </w:rPr>
        <w:t>The PBAC noted that this submission is eligible for an Independent Review.</w:t>
      </w:r>
    </w:p>
    <w:p w14:paraId="33A08F2E" w14:textId="77777777" w:rsidR="001D1182" w:rsidRPr="00E050AF" w:rsidRDefault="001D1182" w:rsidP="001665DE">
      <w:pPr>
        <w:keepNext/>
        <w:spacing w:before="240" w:after="0"/>
        <w:rPr>
          <w:rFonts w:cs="Arial"/>
          <w:b/>
          <w:bCs/>
          <w:snapToGrid w:val="0"/>
        </w:rPr>
      </w:pPr>
      <w:r w:rsidRPr="00E050AF">
        <w:rPr>
          <w:rFonts w:cs="Arial"/>
          <w:b/>
          <w:bCs/>
          <w:snapToGrid w:val="0"/>
        </w:rPr>
        <w:t>Outcome:</w:t>
      </w:r>
    </w:p>
    <w:p w14:paraId="59CAD011" w14:textId="48D41428" w:rsidR="001665DE" w:rsidRDefault="001665DE" w:rsidP="001665DE">
      <w:pPr>
        <w:rPr>
          <w:rFonts w:cs="Arial"/>
          <w:bCs/>
          <w:snapToGrid w:val="0"/>
        </w:rPr>
      </w:pPr>
      <w:r w:rsidRPr="00E050AF">
        <w:rPr>
          <w:rFonts w:cs="Arial"/>
          <w:bCs/>
          <w:snapToGrid w:val="0"/>
        </w:rPr>
        <w:t>Not recommended</w:t>
      </w:r>
    </w:p>
    <w:p w14:paraId="656729A0" w14:textId="77777777" w:rsidR="004777F0" w:rsidRPr="004777F0" w:rsidRDefault="004777F0" w:rsidP="004777F0">
      <w:pPr>
        <w:pStyle w:val="PBACESHeading1"/>
        <w:numPr>
          <w:ilvl w:val="0"/>
          <w:numId w:val="25"/>
        </w:numPr>
      </w:pPr>
      <w:r w:rsidRPr="00C07617">
        <w:t>Context for Decision</w:t>
      </w:r>
    </w:p>
    <w:p w14:paraId="41B4D4B0" w14:textId="77777777" w:rsidR="004777F0" w:rsidRPr="007129F2" w:rsidRDefault="004777F0" w:rsidP="004777F0">
      <w:pPr>
        <w:spacing w:after="120"/>
        <w:ind w:left="426"/>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1503D8D" w14:textId="4EB7483F" w:rsidR="004777F0" w:rsidRPr="004777F0" w:rsidRDefault="004777F0" w:rsidP="004777F0">
      <w:pPr>
        <w:pStyle w:val="PBACESHeading1"/>
        <w:numPr>
          <w:ilvl w:val="0"/>
          <w:numId w:val="25"/>
        </w:numPr>
      </w:pPr>
      <w:r>
        <w:t>Sponsor’s Comment</w:t>
      </w:r>
    </w:p>
    <w:p w14:paraId="1B16BB73" w14:textId="77777777" w:rsidR="004777F0" w:rsidRPr="001179AC" w:rsidRDefault="004777F0" w:rsidP="004777F0">
      <w:pPr>
        <w:spacing w:after="120"/>
        <w:ind w:left="426"/>
        <w:rPr>
          <w:rFonts w:cs="Arial"/>
          <w:bCs/>
        </w:rPr>
      </w:pPr>
      <w:r w:rsidRPr="00C07617">
        <w:rPr>
          <w:rFonts w:cs="Arial"/>
          <w:bCs/>
        </w:rPr>
        <w:t>The sponsor had no comment.</w:t>
      </w:r>
    </w:p>
    <w:bookmarkEnd w:id="137"/>
    <w:bookmarkEnd w:id="138"/>
    <w:bookmarkEnd w:id="139"/>
    <w:p w14:paraId="0B16164E" w14:textId="77777777" w:rsidR="004777F0" w:rsidRPr="00E050AF" w:rsidRDefault="004777F0" w:rsidP="001665DE">
      <w:pPr>
        <w:rPr>
          <w:rFonts w:cs="Arial"/>
          <w:bCs/>
          <w:snapToGrid w:val="0"/>
        </w:rPr>
      </w:pPr>
    </w:p>
    <w:sectPr w:rsidR="004777F0" w:rsidRPr="00E050AF" w:rsidSect="007C22FC">
      <w:headerReference w:type="even" r:id="rId20"/>
      <w:headerReference w:type="default" r:id="rId21"/>
      <w:footerReference w:type="even" r:id="rId22"/>
      <w:footerReference w:type="default" r:id="rId23"/>
      <w:headerReference w:type="first" r:id="rId24"/>
      <w:footerReference w:type="first" r:id="rId25"/>
      <w:footnotePr>
        <w:numFmt w:val="lowerLetter"/>
      </w:footnotePr>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6C3C" w14:textId="77777777" w:rsidR="00BA7B7A" w:rsidRDefault="00BA7B7A" w:rsidP="00BA3306">
      <w:pPr>
        <w:spacing w:before="0" w:after="0"/>
      </w:pPr>
      <w:r>
        <w:separator/>
      </w:r>
    </w:p>
    <w:p w14:paraId="08BCF631" w14:textId="77777777" w:rsidR="00BA7B7A" w:rsidRDefault="00BA7B7A"/>
  </w:endnote>
  <w:endnote w:type="continuationSeparator" w:id="0">
    <w:p w14:paraId="554CBFD3" w14:textId="77777777" w:rsidR="00BA7B7A" w:rsidRDefault="00BA7B7A" w:rsidP="00BA3306">
      <w:pPr>
        <w:spacing w:before="0" w:after="0"/>
      </w:pPr>
      <w:r>
        <w:continuationSeparator/>
      </w:r>
    </w:p>
    <w:p w14:paraId="7C67D618" w14:textId="77777777" w:rsidR="00BA7B7A" w:rsidRDefault="00BA7B7A"/>
  </w:endnote>
  <w:endnote w:type="continuationNotice" w:id="1">
    <w:p w14:paraId="65A020D3" w14:textId="77777777" w:rsidR="00BA7B7A" w:rsidRDefault="00BA7B7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07446" w14:textId="77777777" w:rsidR="00602B47" w:rsidRDefault="00602B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D114" w14:textId="77777777" w:rsidR="00081F59" w:rsidRDefault="00081F59" w:rsidP="00144ACD">
    <w:pPr>
      <w:pStyle w:val="Footer"/>
      <w:keepNext/>
      <w:ind w:left="360"/>
      <w:jc w:val="center"/>
      <w:rPr>
        <w:rFonts w:ascii="Calibri" w:hAnsi="Calibri" w:cs="Arial"/>
        <w:b/>
      </w:rPr>
    </w:pPr>
    <w:bookmarkStart w:id="149" w:name="_Hlk76375156"/>
  </w:p>
  <w:p w14:paraId="599628E9" w14:textId="551158DC" w:rsidR="00081F59" w:rsidRPr="00144ACD" w:rsidRDefault="00081F59" w:rsidP="00144ACD">
    <w:pPr>
      <w:pStyle w:val="Footer"/>
      <w:keepNext/>
      <w:ind w:left="360"/>
      <w:jc w:val="center"/>
      <w:rPr>
        <w:rFonts w:cs="Arial"/>
      </w:rPr>
    </w:pPr>
    <w:r w:rsidRPr="00836F75">
      <w:rPr>
        <w:rFonts w:ascii="Calibri" w:hAnsi="Calibri" w:cs="Arial"/>
        <w:b/>
      </w:rPr>
      <w:fldChar w:fldCharType="begin"/>
    </w:r>
    <w:r w:rsidRPr="00836F75">
      <w:rPr>
        <w:rFonts w:ascii="Calibri" w:hAnsi="Calibri" w:cs="Arial"/>
        <w:b/>
      </w:rPr>
      <w:instrText xml:space="preserve"> PAGE   \* MERGEFORMAT </w:instrText>
    </w:r>
    <w:r w:rsidRPr="00836F75">
      <w:rPr>
        <w:rFonts w:ascii="Calibri" w:hAnsi="Calibri" w:cs="Arial"/>
        <w:b/>
      </w:rPr>
      <w:fldChar w:fldCharType="separate"/>
    </w:r>
    <w:r>
      <w:rPr>
        <w:rFonts w:ascii="Calibri" w:hAnsi="Calibri" w:cs="Arial"/>
        <w:b/>
      </w:rPr>
      <w:t>1</w:t>
    </w:r>
    <w:r w:rsidRPr="00836F75">
      <w:rPr>
        <w:rFonts w:ascii="Calibri" w:hAnsi="Calibri" w:cs="Arial"/>
        <w:b/>
        <w:noProof/>
      </w:rPr>
      <w:fldChar w:fldCharType="end"/>
    </w:r>
    <w:bookmarkEnd w:id="14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DD07" w14:textId="77777777" w:rsidR="00602B47" w:rsidRDefault="00602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6C8D0" w14:textId="77777777" w:rsidR="00BA7B7A" w:rsidRDefault="00BA7B7A" w:rsidP="00BA3306">
      <w:pPr>
        <w:spacing w:before="0" w:after="0"/>
      </w:pPr>
      <w:r>
        <w:separator/>
      </w:r>
    </w:p>
    <w:p w14:paraId="33429B92" w14:textId="77777777" w:rsidR="00BA7B7A" w:rsidRDefault="00BA7B7A"/>
  </w:footnote>
  <w:footnote w:type="continuationSeparator" w:id="0">
    <w:p w14:paraId="2C964BC5" w14:textId="77777777" w:rsidR="00BA7B7A" w:rsidRDefault="00BA7B7A" w:rsidP="00BA3306">
      <w:pPr>
        <w:spacing w:before="0" w:after="0"/>
      </w:pPr>
      <w:r>
        <w:continuationSeparator/>
      </w:r>
    </w:p>
    <w:p w14:paraId="1CE5865B" w14:textId="77777777" w:rsidR="00BA7B7A" w:rsidRDefault="00BA7B7A"/>
  </w:footnote>
  <w:footnote w:type="continuationNotice" w:id="1">
    <w:p w14:paraId="7D5DEDA0" w14:textId="77777777" w:rsidR="00BA7B7A" w:rsidRDefault="00BA7B7A">
      <w:pPr>
        <w:spacing w:before="0" w:after="0"/>
      </w:pPr>
    </w:p>
  </w:footnote>
  <w:footnote w:id="2">
    <w:p w14:paraId="619BBC2D" w14:textId="37C0CEC4" w:rsidR="00081F59" w:rsidRPr="00347E8C" w:rsidRDefault="00081F59" w:rsidP="00750137">
      <w:pPr>
        <w:pStyle w:val="TableFooter"/>
        <w:keepNext/>
        <w:keepLines/>
        <w:rPr>
          <w:rFonts w:asciiTheme="minorHAnsi" w:hAnsiTheme="minorHAnsi" w:cstheme="minorHAnsi"/>
          <w:sz w:val="20"/>
        </w:rPr>
      </w:pPr>
      <w:r w:rsidRPr="00347E8C">
        <w:rPr>
          <w:rStyle w:val="FootnoteReference"/>
          <w:rFonts w:asciiTheme="minorHAnsi" w:hAnsiTheme="minorHAnsi" w:cstheme="minorHAnsi"/>
        </w:rPr>
        <w:footnoteRef/>
      </w:r>
      <w:r w:rsidRPr="00347E8C">
        <w:rPr>
          <w:rFonts w:asciiTheme="minorHAnsi" w:hAnsiTheme="minorHAnsi" w:cstheme="minorHAnsi"/>
        </w:rPr>
        <w:t xml:space="preserve"> </w:t>
      </w:r>
      <w:r w:rsidRPr="00347E8C">
        <w:rPr>
          <w:rFonts w:asciiTheme="minorHAnsi" w:hAnsiTheme="minorHAnsi" w:cstheme="minorHAnsi"/>
          <w:sz w:val="20"/>
        </w:rPr>
        <w:t>Cost per patient estimated as test fee multiplied by 1.25 to account for only 80% of patients respond to first line platinum chemotherapy with or without bevacizumab.</w:t>
      </w:r>
    </w:p>
  </w:footnote>
  <w:footnote w:id="3">
    <w:p w14:paraId="7616A176" w14:textId="1723063D" w:rsidR="00081F59" w:rsidRDefault="00081F59">
      <w:pPr>
        <w:pStyle w:val="FootnoteText"/>
      </w:pPr>
      <w:r>
        <w:rPr>
          <w:rStyle w:val="FootnoteReference"/>
        </w:rPr>
        <w:footnoteRef/>
      </w:r>
      <w:r>
        <w:t xml:space="preserve"> </w:t>
      </w:r>
      <w:r w:rsidRPr="003A27B8">
        <w:rPr>
          <w:sz w:val="20"/>
        </w:rPr>
        <w:t>Cost per patient estimated as test fee multiplied by 1.25 to account for only 80% of patients respond to first line platinum chemotherapy with or without bevacizumab</w:t>
      </w:r>
      <w:r>
        <w:rPr>
          <w:sz w:val="20"/>
        </w:rPr>
        <w:t>: $1,625 = $3,125-$1,500.</w:t>
      </w:r>
    </w:p>
  </w:footnote>
  <w:footnote w:id="4">
    <w:p w14:paraId="4D00261E" w14:textId="41940B45" w:rsidR="00081F59" w:rsidRPr="00031F60" w:rsidRDefault="00081F59">
      <w:pPr>
        <w:pStyle w:val="FootnoteText"/>
        <w:rPr>
          <w:rFonts w:cstheme="minorHAnsi"/>
        </w:rPr>
      </w:pPr>
      <w:r w:rsidRPr="00031F60">
        <w:rPr>
          <w:rStyle w:val="FootnoteReference"/>
          <w:rFonts w:cstheme="minorHAnsi"/>
        </w:rPr>
        <w:footnoteRef/>
      </w:r>
      <w:r w:rsidRPr="00031F60">
        <w:rPr>
          <w:rFonts w:cstheme="minorHAnsi"/>
        </w:rPr>
        <w:t xml:space="preserve"> </w:t>
      </w:r>
      <w:r w:rsidRPr="00031F60">
        <w:rPr>
          <w:rFonts w:cstheme="minorHAnsi"/>
          <w:color w:val="212121"/>
          <w:shd w:val="clear" w:color="auto" w:fill="FFFFFF"/>
        </w:rPr>
        <w:t>Miller RE, Leary A, Scott CL, Serra V, Lord CJ, Bowtell D, Chang DK, Garsed DW, Jonkers J, Ledermann JA, Nik-Zainal S, Ray-Coquard I, Shah SP, Matias-Guiu X, Swisher EM, Yates LR. ESMO recommendations on predictive biomarker testing for homologous recombination deficiency and PARP inhibitor benefit in ovarian cancer. Ann Oncol. 2020 Dec;31(12):1606-1622. doi: 10.1016/j.annonc.2020.08.2102. Epub 2020 Sep 28. PMID: 33004253.</w:t>
      </w:r>
    </w:p>
  </w:footnote>
  <w:footnote w:id="5">
    <w:p w14:paraId="6325DCCB" w14:textId="118601CD" w:rsidR="00081F59" w:rsidRPr="00031F60" w:rsidRDefault="00081F59">
      <w:pPr>
        <w:pStyle w:val="FootnoteText"/>
        <w:rPr>
          <w:rFonts w:cstheme="minorHAnsi"/>
        </w:rPr>
      </w:pPr>
      <w:r w:rsidRPr="00031F60">
        <w:rPr>
          <w:rStyle w:val="FootnoteReference"/>
          <w:rFonts w:cstheme="minorHAnsi"/>
        </w:rPr>
        <w:footnoteRef/>
      </w:r>
      <w:r w:rsidRPr="00031F60">
        <w:rPr>
          <w:rFonts w:cstheme="minorHAnsi"/>
        </w:rPr>
        <w:t xml:space="preserve"> NICE Technology appraisal guidance [TA693], Published: 28 April 2021. Olaparib plus bevacizumab for maintenance treatment of advanced ovarian, fallopian tube or primary peritoneal cancer. https://www.nice.org.uk/guidance/ta693</w:t>
      </w:r>
    </w:p>
  </w:footnote>
  <w:footnote w:id="6">
    <w:p w14:paraId="52422152" w14:textId="4DE619F8" w:rsidR="00081F59" w:rsidRDefault="00081F59" w:rsidP="00031F60">
      <w:pPr>
        <w:pStyle w:val="FootnoteText"/>
      </w:pPr>
      <w:r w:rsidRPr="00031F60">
        <w:rPr>
          <w:rStyle w:val="FootnoteReference"/>
          <w:rFonts w:cstheme="minorHAnsi"/>
        </w:rPr>
        <w:footnoteRef/>
      </w:r>
      <w:r w:rsidRPr="00031F60">
        <w:rPr>
          <w:rFonts w:cstheme="minorHAnsi"/>
        </w:rPr>
        <w:t xml:space="preserve"> National Comprehensive Cancer Network (NCCN). NCCN clinical practice guidelines – ovarian cancer including fallopian tube cancer and primary peritoneal cancer Version 1.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F424D" w14:textId="77777777" w:rsidR="00602B47" w:rsidRDefault="00602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1088" w14:textId="7393A18E" w:rsidR="00081F59" w:rsidRPr="00056684" w:rsidRDefault="00081F59" w:rsidP="00144ACD">
    <w:pPr>
      <w:pStyle w:val="Header"/>
      <w:keepNext/>
      <w:ind w:left="360"/>
      <w:jc w:val="center"/>
      <w:rPr>
        <w:rFonts w:cs="Arial"/>
        <w:i/>
        <w:color w:val="808080"/>
      </w:rPr>
    </w:pPr>
    <w:bookmarkStart w:id="148" w:name="_Hlk76375146"/>
    <w:r>
      <w:rPr>
        <w:rFonts w:cs="Arial"/>
        <w:i/>
        <w:color w:val="808080"/>
      </w:rPr>
      <w:t>Public Summary Document</w:t>
    </w:r>
    <w:r w:rsidRPr="00056684">
      <w:rPr>
        <w:rFonts w:cs="Arial"/>
        <w:i/>
        <w:color w:val="808080"/>
      </w:rPr>
      <w:t xml:space="preserve"> – </w:t>
    </w:r>
    <w:r>
      <w:rPr>
        <w:rFonts w:cs="Arial"/>
        <w:i/>
        <w:color w:val="808080"/>
      </w:rPr>
      <w:t>July 2022</w:t>
    </w:r>
    <w:r w:rsidRPr="00056684">
      <w:rPr>
        <w:rFonts w:cs="Arial"/>
        <w:i/>
        <w:color w:val="808080"/>
      </w:rPr>
      <w:t xml:space="preserve"> PBAC Meeting</w:t>
    </w:r>
  </w:p>
  <w:bookmarkEnd w:id="148"/>
  <w:p w14:paraId="158D8852" w14:textId="77777777" w:rsidR="00081F59" w:rsidRDefault="00081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1BC4" w14:textId="77777777" w:rsidR="00602B47" w:rsidRDefault="00602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73C"/>
    <w:multiLevelType w:val="multilevel"/>
    <w:tmpl w:val="B156A7D0"/>
    <w:styleLink w:val="Style1"/>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asciiTheme="minorHAnsi" w:hAnsiTheme="minorHAnsi" w:hint="default"/>
        <w:b w:val="0"/>
        <w:i w:val="0"/>
        <w:color w:val="auto"/>
        <w:sz w:val="24"/>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617AC2"/>
    <w:multiLevelType w:val="multilevel"/>
    <w:tmpl w:val="92846974"/>
    <w:lvl w:ilvl="0">
      <w:start w:val="1"/>
      <w:numFmt w:val="bullet"/>
      <w:pStyle w:val="MainBodyBulletPoint"/>
      <w:lvlText w:val=""/>
      <w:lvlJc w:val="left"/>
      <w:pPr>
        <w:ind w:left="720" w:hanging="360"/>
      </w:pPr>
      <w:rPr>
        <w:rFonts w:ascii="Symbol" w:hAnsi="Symbol" w:hint="default"/>
      </w:rPr>
    </w:lvl>
    <w:lvl w:ilvl="1">
      <w:start w:val="1"/>
      <w:numFmt w:val="bullet"/>
      <w:lvlText w:val=""/>
      <w:lvlJc w:val="left"/>
      <w:pPr>
        <w:ind w:left="1440" w:hanging="476"/>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871CC"/>
    <w:multiLevelType w:val="hybridMultilevel"/>
    <w:tmpl w:val="C6B0D9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C00914"/>
    <w:multiLevelType w:val="hybridMultilevel"/>
    <w:tmpl w:val="C932F806"/>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0FFF556F"/>
    <w:multiLevelType w:val="hybridMultilevel"/>
    <w:tmpl w:val="591E6774"/>
    <w:lvl w:ilvl="0" w:tplc="FB942214">
      <w:start w:val="1"/>
      <w:numFmt w:val="bullet"/>
      <w:pStyle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4634013"/>
    <w:multiLevelType w:val="multilevel"/>
    <w:tmpl w:val="E5BAAC60"/>
    <w:lvl w:ilvl="0">
      <w:start w:val="1"/>
      <w:numFmt w:val="bullet"/>
      <w:pStyle w:val="MSACESBulletPoint"/>
      <w:lvlText w:val=""/>
      <w:lvlJc w:val="left"/>
      <w:pPr>
        <w:ind w:left="717" w:hanging="360"/>
      </w:pPr>
      <w:rPr>
        <w:rFonts w:ascii="Symbol" w:hAnsi="Symbol" w:hint="default"/>
      </w:rPr>
    </w:lvl>
    <w:lvl w:ilvl="1">
      <w:start w:val="1"/>
      <w:numFmt w:val="bullet"/>
      <w:lvlText w:val=""/>
      <w:lvlJc w:val="left"/>
      <w:pPr>
        <w:ind w:left="1191" w:hanging="397"/>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 w15:restartNumberingAfterBreak="0">
    <w:nsid w:val="18721607"/>
    <w:multiLevelType w:val="hybridMultilevel"/>
    <w:tmpl w:val="745C4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90F8C"/>
    <w:multiLevelType w:val="multilevel"/>
    <w:tmpl w:val="2D56BAD0"/>
    <w:lvl w:ilvl="0">
      <w:start w:val="1"/>
      <w:numFmt w:val="decimal"/>
      <w:pStyle w:val="Heading1"/>
      <w:lvlText w:val="%1"/>
      <w:lvlJc w:val="left"/>
      <w:pPr>
        <w:ind w:left="432" w:hanging="432"/>
      </w:pPr>
      <w:rPr>
        <w:rFonts w:hint="default"/>
        <w:b/>
      </w:rPr>
    </w:lvl>
    <w:lvl w:ilvl="1">
      <w:start w:val="1"/>
      <w:numFmt w:val="upperLetter"/>
      <w:pStyle w:val="Heading1subheading"/>
      <w:lvlText w:val="%1%2"/>
      <w:lvlJc w:val="left"/>
      <w:pPr>
        <w:ind w:left="576" w:hanging="576"/>
      </w:pPr>
      <w:rPr>
        <w:rFonts w:hint="default"/>
      </w:rPr>
    </w:lvl>
    <w:lvl w:ilvl="2">
      <w:start w:val="1"/>
      <w:numFmt w:val="decimal"/>
      <w:pStyle w:val="Heading2SECTION2"/>
      <w:lvlText w:val="%1%2.%3"/>
      <w:lvlJc w:val="left"/>
      <w:pPr>
        <w:ind w:left="0" w:firstLine="0"/>
      </w:pPr>
      <w:rPr>
        <w:rFonts w:hint="default"/>
      </w:rPr>
    </w:lvl>
    <w:lvl w:ilvl="3">
      <w:start w:val="1"/>
      <w:numFmt w:val="decimal"/>
      <w:lvlRestart w:val="1"/>
      <w:pStyle w:val="Heading2"/>
      <w:lvlText w:val="%1.%4"/>
      <w:lvlJc w:val="left"/>
      <w:pPr>
        <w:ind w:left="864" w:hanging="864"/>
      </w:pPr>
      <w:rPr>
        <w:rFonts w:hint="default"/>
      </w:rPr>
    </w:lvl>
    <w:lvl w:ilvl="4">
      <w:start w:val="1"/>
      <w:numFmt w:val="decimal"/>
      <w:lvlRestart w:val="3"/>
      <w:pStyle w:val="Heading2Clinical"/>
      <w:lvlText w:val="%1%2.%5"/>
      <w:lvlJc w:val="left"/>
      <w:pPr>
        <w:ind w:left="0" w:firstLine="0"/>
      </w:pPr>
      <w:rPr>
        <w:rFonts w:hint="default"/>
      </w:rPr>
    </w:lvl>
    <w:lvl w:ilvl="5">
      <w:start w:val="1"/>
      <w:numFmt w:val="none"/>
      <w:pStyle w:val="Heading3"/>
      <w:suff w:val="nothing"/>
      <w:lvlText w:val=""/>
      <w:lvlJc w:val="left"/>
      <w:pPr>
        <w:ind w:left="0" w:firstLine="0"/>
      </w:pPr>
      <w:rPr>
        <w:rFonts w:hint="default"/>
      </w:rPr>
    </w:lvl>
    <w:lvl w:ilvl="6">
      <w:start w:val="1"/>
      <w:numFmt w:val="none"/>
      <w:pStyle w:val="Heading4"/>
      <w:suff w:val="nothing"/>
      <w:lvlText w:val=""/>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237C0EE4"/>
    <w:multiLevelType w:val="multilevel"/>
    <w:tmpl w:val="FEE071C8"/>
    <w:styleLink w:val="ESSectionheading-numbered"/>
    <w:lvl w:ilvl="0">
      <w:start w:val="1"/>
      <w:numFmt w:val="none"/>
      <w:lvlText w:val="A.1"/>
      <w:lvlJc w:val="left"/>
      <w:pPr>
        <w:ind w:left="1134" w:hanging="1134"/>
      </w:pPr>
      <w:rPr>
        <w:rFonts w:ascii="Calibri" w:hAnsi="Calibri" w:hint="default"/>
        <w:b/>
        <w:i w:val="0"/>
        <w:color w:val="auto"/>
        <w:sz w:val="24"/>
      </w:rPr>
    </w:lvl>
    <w:lvl w:ilvl="1">
      <w:start w:val="1"/>
      <w:numFmt w:val="decimal"/>
      <w:lvlText w:val="B.%2."/>
      <w:lvlJc w:val="left"/>
      <w:pPr>
        <w:ind w:left="1134" w:hanging="1134"/>
      </w:pPr>
      <w:rPr>
        <w:rFonts w:ascii="Calibri" w:hAnsi="Calibri" w:hint="default"/>
        <w:b/>
        <w:i w:val="0"/>
        <w:sz w:val="24"/>
      </w:rPr>
    </w:lvl>
    <w:lvl w:ilvl="2">
      <w:start w:val="1"/>
      <w:numFmt w:val="decimal"/>
      <w:lvlText w:val="C.%3."/>
      <w:lvlJc w:val="left"/>
      <w:pPr>
        <w:ind w:left="1134" w:hanging="1134"/>
      </w:pPr>
      <w:rPr>
        <w:rFonts w:ascii="Calibri" w:hAnsi="Calibri" w:hint="default"/>
        <w:b/>
        <w:i w:val="0"/>
        <w:sz w:val="24"/>
      </w:rPr>
    </w:lvl>
    <w:lvl w:ilvl="3">
      <w:start w:val="1"/>
      <w:numFmt w:val="decimal"/>
      <w:lvlText w:val="D.%4."/>
      <w:lvlJc w:val="left"/>
      <w:pPr>
        <w:ind w:left="1134" w:hanging="1134"/>
      </w:pPr>
      <w:rPr>
        <w:rFonts w:ascii="Calibri" w:hAnsi="Calibri" w:hint="default"/>
        <w:b/>
        <w:i w:val="0"/>
        <w:sz w:val="24"/>
      </w:rPr>
    </w:lvl>
    <w:lvl w:ilvl="4">
      <w:start w:val="1"/>
      <w:numFmt w:val="decimal"/>
      <w:lvlText w:val="E.%5."/>
      <w:lvlJc w:val="left"/>
      <w:pPr>
        <w:ind w:left="1134" w:hanging="1134"/>
      </w:pPr>
      <w:rPr>
        <w:rFonts w:ascii="Calibri" w:hAnsi="Calibri" w:hint="default"/>
        <w:b/>
        <w:i w:val="0"/>
        <w:sz w:val="24"/>
      </w:rPr>
    </w:lvl>
    <w:lvl w:ilvl="5">
      <w:start w:val="1"/>
      <w:numFmt w:val="decimal"/>
      <w:lvlText w:val="A.%6"/>
      <w:lvlJc w:val="left"/>
      <w:pPr>
        <w:ind w:left="1134" w:hanging="1134"/>
      </w:pPr>
      <w:rPr>
        <w:rFonts w:ascii="Calibri" w:hAnsi="Calibri" w:hint="default"/>
        <w:b/>
        <w:i w:val="0"/>
        <w:color w:val="auto"/>
        <w:sz w:val="24"/>
      </w:rPr>
    </w:lvl>
    <w:lvl w:ilvl="6">
      <w:start w:val="1"/>
      <w:numFmt w:val="none"/>
      <w:lvlText w:val=""/>
      <w:lvlJc w:val="left"/>
      <w:pPr>
        <w:ind w:left="1134" w:hanging="1134"/>
      </w:pPr>
      <w:rPr>
        <w:rFonts w:ascii="Calibri" w:hAnsi="Calibri" w:hint="default"/>
        <w:b/>
        <w:i w:val="0"/>
        <w:sz w:val="24"/>
      </w:rPr>
    </w:lvl>
    <w:lvl w:ilvl="7">
      <w:start w:val="1"/>
      <w:numFmt w:val="none"/>
      <w:lvlText w:val="%8"/>
      <w:lvlJc w:val="left"/>
      <w:pPr>
        <w:ind w:left="1134" w:hanging="1134"/>
      </w:pPr>
      <w:rPr>
        <w:rFonts w:hint="default"/>
      </w:rPr>
    </w:lvl>
    <w:lvl w:ilvl="8">
      <w:start w:val="1"/>
      <w:numFmt w:val="none"/>
      <w:lvlText w:val="%9"/>
      <w:lvlJc w:val="right"/>
      <w:pPr>
        <w:ind w:left="1134" w:hanging="1134"/>
      </w:pPr>
      <w:rPr>
        <w:rFonts w:hint="default"/>
      </w:rPr>
    </w:lvl>
  </w:abstractNum>
  <w:abstractNum w:abstractNumId="9" w15:restartNumberingAfterBreak="0">
    <w:nsid w:val="25463409"/>
    <w:multiLevelType w:val="hybridMultilevel"/>
    <w:tmpl w:val="F402B514"/>
    <w:styleLink w:val="Heading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8517D"/>
    <w:multiLevelType w:val="hybridMultilevel"/>
    <w:tmpl w:val="EDAEAE14"/>
    <w:styleLink w:val="MSACESBulletpoints1"/>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5C58"/>
    <w:multiLevelType w:val="multilevel"/>
    <w:tmpl w:val="CD8602C0"/>
    <w:lvl w:ilvl="0">
      <w:start w:val="1"/>
      <w:numFmt w:val="bullet"/>
      <w:pStyle w:val="InstructionBulletpoint"/>
      <w:lvlText w:val=""/>
      <w:lvlJc w:val="left"/>
      <w:pPr>
        <w:ind w:left="720" w:hanging="360"/>
      </w:pPr>
      <w:rPr>
        <w:rFonts w:ascii="Symbol" w:hAnsi="Symbol" w:hint="default"/>
        <w:color w:val="auto"/>
      </w:rPr>
    </w:lvl>
    <w:lvl w:ilvl="1">
      <w:start w:val="1"/>
      <w:numFmt w:val="bullet"/>
      <w:lvlText w:val="o"/>
      <w:lvlJc w:val="left"/>
      <w:pPr>
        <w:ind w:left="1440" w:hanging="476"/>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7538F3"/>
    <w:multiLevelType w:val="multilevel"/>
    <w:tmpl w:val="158A98D4"/>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Text w:val="%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EA2DF5"/>
    <w:multiLevelType w:val="multilevel"/>
    <w:tmpl w:val="D6C6E4B2"/>
    <w:styleLink w:val="Headings"/>
    <w:lvl w:ilvl="0">
      <w:start w:val="1"/>
      <w:numFmt w:val="decimal"/>
      <w:lvlText w:val="%1"/>
      <w:lvlJc w:val="left"/>
      <w:pPr>
        <w:ind w:left="720" w:hanging="720"/>
      </w:pPr>
      <w:rPr>
        <w:rFonts w:hint="default"/>
        <w:b/>
      </w:rPr>
    </w:lvl>
    <w:lvl w:ilvl="1">
      <w:start w:val="1"/>
      <w:numFmt w:val="decimal"/>
      <w:lvlText w:val=".%2%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A5E246B"/>
    <w:multiLevelType w:val="hybridMultilevel"/>
    <w:tmpl w:val="C4F2253C"/>
    <w:lvl w:ilvl="0" w:tplc="B0E28340">
      <w:start w:val="1"/>
      <w:numFmt w:val="decimal"/>
      <w:pStyle w:val="ESHeading1"/>
      <w:lvlText w:val="%1."/>
      <w:lvlJc w:val="left"/>
      <w:pPr>
        <w:ind w:left="216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AA40452"/>
    <w:multiLevelType w:val="hybridMultilevel"/>
    <w:tmpl w:val="FE801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FF469A"/>
    <w:multiLevelType w:val="hybridMultilevel"/>
    <w:tmpl w:val="99D2BCE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2EFA79CB"/>
    <w:multiLevelType w:val="multilevel"/>
    <w:tmpl w:val="4B7E90D2"/>
    <w:styleLink w:val="Style21"/>
    <w:lvl w:ilvl="0">
      <w:start w:val="1"/>
      <w:numFmt w:val="decimal"/>
      <w:lvlText w:val="%1"/>
      <w:lvlJc w:val="left"/>
      <w:pPr>
        <w:ind w:left="862" w:hanging="720"/>
      </w:pPr>
      <w:rPr>
        <w:b/>
      </w:rPr>
    </w:lvl>
    <w:lvl w:ilvl="1">
      <w:start w:val="1"/>
      <w:numFmt w:val="none"/>
      <w:suff w:val="nothing"/>
      <w:lvlText w:val=""/>
      <w:lvlJc w:val="left"/>
      <w:pPr>
        <w:ind w:left="720" w:hanging="720"/>
      </w:pPr>
    </w:lvl>
    <w:lvl w:ilvl="2">
      <w:start w:val="1"/>
      <w:numFmt w:val="none"/>
      <w:lvlRestart w:val="1"/>
      <w:suff w:val="nothing"/>
      <w:lvlText w:val=""/>
      <w:lvlJc w:val="left"/>
      <w:pPr>
        <w:ind w:left="720" w:hanging="720"/>
      </w:pPr>
    </w:lvl>
    <w:lvl w:ilvl="3">
      <w:start w:val="1"/>
      <w:numFmt w:val="none"/>
      <w:lvlRestart w:val="1"/>
      <w:suff w:val="nothing"/>
      <w:lvlText w:val=""/>
      <w:lvlJc w:val="left"/>
      <w:pPr>
        <w:ind w:left="1080" w:hanging="1080"/>
      </w:p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lvl>
    <w:lvl w:ilvl="6">
      <w:start w:val="1"/>
      <w:numFmt w:val="none"/>
      <w:suff w:val="nothing"/>
      <w:lvlText w:val=""/>
      <w:lvlJc w:val="left"/>
      <w:pPr>
        <w:ind w:left="720" w:hanging="72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387BA8"/>
    <w:multiLevelType w:val="hybridMultilevel"/>
    <w:tmpl w:val="3B18757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37E87D49"/>
    <w:multiLevelType w:val="hybridMultilevel"/>
    <w:tmpl w:val="D9563F1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096A79"/>
    <w:multiLevelType w:val="multilevel"/>
    <w:tmpl w:val="54C0B3FC"/>
    <w:styleLink w:val="Style3"/>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65214E"/>
    <w:multiLevelType w:val="hybridMultilevel"/>
    <w:tmpl w:val="C56AEA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355695F"/>
    <w:multiLevelType w:val="multilevel"/>
    <w:tmpl w:val="DBB2E2E0"/>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Text w:val="%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8D67A6"/>
    <w:multiLevelType w:val="hybridMultilevel"/>
    <w:tmpl w:val="51CA1480"/>
    <w:styleLink w:val="Style3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012A3B"/>
    <w:multiLevelType w:val="multilevel"/>
    <w:tmpl w:val="99D40288"/>
    <w:styleLink w:val="Style11"/>
    <w:lvl w:ilvl="0">
      <w:start w:val="1"/>
      <w:numFmt w:val="decimal"/>
      <w:lvlText w:val="%1"/>
      <w:lvlJc w:val="left"/>
      <w:pPr>
        <w:ind w:left="862" w:hanging="720"/>
      </w:pPr>
      <w:rPr>
        <w:b/>
      </w:rPr>
    </w:lvl>
    <w:lvl w:ilvl="1">
      <w:start w:val="1"/>
      <w:numFmt w:val="none"/>
      <w:suff w:val="nothing"/>
      <w:lvlText w:val=""/>
      <w:lvlJc w:val="left"/>
      <w:pPr>
        <w:ind w:left="720" w:hanging="720"/>
      </w:pPr>
    </w:lvl>
    <w:lvl w:ilvl="2">
      <w:start w:val="1"/>
      <w:numFmt w:val="none"/>
      <w:lvlRestart w:val="1"/>
      <w:suff w:val="nothing"/>
      <w:lvlText w:val=""/>
      <w:lvlJc w:val="left"/>
      <w:pPr>
        <w:ind w:left="720" w:hanging="720"/>
      </w:pPr>
    </w:lvl>
    <w:lvl w:ilvl="3">
      <w:start w:val="1"/>
      <w:numFmt w:val="none"/>
      <w:lvlRestart w:val="1"/>
      <w:suff w:val="nothing"/>
      <w:lvlText w:val=""/>
      <w:lvlJc w:val="left"/>
      <w:pPr>
        <w:ind w:left="1080" w:hanging="1080"/>
      </w:pPr>
    </w:lvl>
    <w:lvl w:ilvl="4">
      <w:start w:val="1"/>
      <w:numFmt w:val="bullet"/>
      <w:lvlText w:val=""/>
      <w:lvlJc w:val="left"/>
      <w:pPr>
        <w:ind w:left="360" w:hanging="360"/>
      </w:pPr>
      <w:rPr>
        <w:rFonts w:ascii="Symbol" w:hAnsi="Symbol" w:hint="default"/>
      </w:rPr>
    </w:lvl>
    <w:lvl w:ilvl="5">
      <w:start w:val="1"/>
      <w:numFmt w:val="decimal"/>
      <w:lvlRestart w:val="1"/>
      <w:lvlText w:val="%6"/>
      <w:lvlJc w:val="left"/>
      <w:pPr>
        <w:ind w:left="720" w:hanging="720"/>
      </w:pPr>
    </w:lvl>
    <w:lvl w:ilvl="6">
      <w:start w:val="1"/>
      <w:numFmt w:val="none"/>
      <w:suff w:val="nothing"/>
      <w:lvlText w:val=""/>
      <w:lvlJc w:val="left"/>
      <w:pPr>
        <w:ind w:left="720" w:hanging="72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47095746"/>
    <w:multiLevelType w:val="hybridMultilevel"/>
    <w:tmpl w:val="28BC0FCE"/>
    <w:lvl w:ilvl="0" w:tplc="A26EFB64">
      <w:start w:val="1"/>
      <w:numFmt w:val="bullet"/>
      <w:pStyle w:val="Instructionaltext-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48F515F3"/>
    <w:multiLevelType w:val="multilevel"/>
    <w:tmpl w:val="2CF07F1E"/>
    <w:styleLink w:val="MSACESBulletpoints"/>
    <w:lvl w:ilvl="0">
      <w:start w:val="1"/>
      <w:numFmt w:val="bullet"/>
      <w:lvlText w:val=""/>
      <w:lvlJc w:val="left"/>
      <w:pPr>
        <w:ind w:left="717" w:hanging="360"/>
      </w:pPr>
      <w:rPr>
        <w:rFonts w:ascii="Symbol" w:hAnsi="Symbol" w:hint="default"/>
      </w:rPr>
    </w:lvl>
    <w:lvl w:ilvl="1">
      <w:start w:val="1"/>
      <w:numFmt w:val="bullet"/>
      <w:lvlText w:val=""/>
      <w:lvlJc w:val="left"/>
      <w:pPr>
        <w:ind w:left="714" w:firstLine="1086"/>
      </w:pPr>
      <w:rPr>
        <w:rFonts w:ascii="Symbol" w:hAnsi="Symbol"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9" w15:restartNumberingAfterBreak="0">
    <w:nsid w:val="4B0849B3"/>
    <w:multiLevelType w:val="hybridMultilevel"/>
    <w:tmpl w:val="64DCC3A2"/>
    <w:lvl w:ilvl="0" w:tplc="DC564E04">
      <w:start w:val="1"/>
      <w:numFmt w:val="bullet"/>
      <w:pStyle w:val="ListBullet-H41"/>
      <w:lvlText w:val=""/>
      <w:lvlJc w:val="left"/>
      <w:pPr>
        <w:ind w:left="928" w:hanging="360"/>
      </w:pPr>
      <w:rPr>
        <w:rFonts w:ascii="Symbol" w:hAnsi="Symbol" w:hint="default"/>
        <w:color w:val="44546A" w:themeColor="text2"/>
      </w:rPr>
    </w:lvl>
    <w:lvl w:ilvl="1" w:tplc="BB1CB03A">
      <w:start w:val="1"/>
      <w:numFmt w:val="bullet"/>
      <w:pStyle w:val="ListLevel2-H41a"/>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9A69BE"/>
    <w:multiLevelType w:val="hybridMultilevel"/>
    <w:tmpl w:val="E1DEA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0E40417"/>
    <w:multiLevelType w:val="hybridMultilevel"/>
    <w:tmpl w:val="0A9C8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24253A"/>
    <w:multiLevelType w:val="multilevel"/>
    <w:tmpl w:val="345614A2"/>
    <w:lvl w:ilvl="0">
      <w:start w:val="1"/>
      <w:numFmt w:val="decimal"/>
      <w:lvlText w:val="%1"/>
      <w:lvlJc w:val="left"/>
      <w:pPr>
        <w:ind w:left="720" w:hanging="720"/>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lowerLetter"/>
      <w:lvlText w:val="%5."/>
      <w:lvlJc w:val="left"/>
      <w:pPr>
        <w:ind w:left="720" w:hanging="720"/>
      </w:pPr>
      <w:rPr>
        <w:rFonts w:hint="default"/>
        <w:i w:val="0"/>
        <w:iCs w:val="0"/>
        <w:color w:val="auto"/>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34827FD"/>
    <w:multiLevelType w:val="hybridMultilevel"/>
    <w:tmpl w:val="65248B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42C521B"/>
    <w:multiLevelType w:val="hybridMultilevel"/>
    <w:tmpl w:val="D9563F1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6BC252A"/>
    <w:multiLevelType w:val="hybridMultilevel"/>
    <w:tmpl w:val="629EBB7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6"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EE6C47"/>
    <w:multiLevelType w:val="multilevel"/>
    <w:tmpl w:val="6B5E7682"/>
    <w:lvl w:ilvl="0">
      <w:start w:val="1"/>
      <w:numFmt w:val="none"/>
      <w:pStyle w:val="H1S2"/>
      <w:lvlText w:val="3A"/>
      <w:lvlJc w:val="left"/>
      <w:pPr>
        <w:ind w:left="1191" w:hanging="1191"/>
      </w:pPr>
      <w:rPr>
        <w:rFonts w:hint="default"/>
      </w:rPr>
    </w:lvl>
    <w:lvl w:ilvl="1">
      <w:start w:val="1"/>
      <w:numFmt w:val="decimal"/>
      <w:pStyle w:val="H2S2"/>
      <w:lvlText w:val="2C%1.%2"/>
      <w:lvlJc w:val="left"/>
      <w:pPr>
        <w:ind w:left="2608" w:hanging="1191"/>
      </w:pPr>
      <w:rPr>
        <w:rFonts w:hint="default"/>
      </w:rPr>
    </w:lvl>
    <w:lvl w:ilvl="2">
      <w:start w:val="1"/>
      <w:numFmt w:val="decimal"/>
      <w:pStyle w:val="H3S2"/>
      <w:lvlText w:val="2%1.%2.%3"/>
      <w:lvlJc w:val="left"/>
      <w:pPr>
        <w:ind w:left="1191" w:hanging="1191"/>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3">
      <w:start w:val="1"/>
      <w:numFmt w:val="decimal"/>
      <w:lvlText w:val="2%1.%2.%3.%4"/>
      <w:lvlJc w:val="left"/>
      <w:pPr>
        <w:ind w:left="1588" w:hanging="1588"/>
      </w:pPr>
      <w:rPr>
        <w:rFonts w:hint="default"/>
      </w:rPr>
    </w:lvl>
    <w:lvl w:ilvl="4">
      <w:start w:val="1"/>
      <w:numFmt w:val="decimal"/>
      <w:lvlText w:val="2%1.%2.%3.%4.%5"/>
      <w:lvlJc w:val="left"/>
      <w:pPr>
        <w:ind w:left="1008" w:hanging="1008"/>
      </w:pPr>
      <w:rPr>
        <w:rFonts w:hint="default"/>
      </w:rPr>
    </w:lvl>
    <w:lvl w:ilvl="5">
      <w:start w:val="1"/>
      <w:numFmt w:val="decimal"/>
      <w:lvlText w:val="2%1.%2.%3.%4.%5.%6"/>
      <w:lvlJc w:val="left"/>
      <w:pPr>
        <w:ind w:left="1152" w:hanging="1152"/>
      </w:pPr>
      <w:rPr>
        <w:rFonts w:hint="default"/>
      </w:rPr>
    </w:lvl>
    <w:lvl w:ilvl="6">
      <w:start w:val="1"/>
      <w:numFmt w:val="decimal"/>
      <w:lvlText w:val="2%1.%2.%3.%4.%5.%6.%7"/>
      <w:lvlJc w:val="left"/>
      <w:pPr>
        <w:ind w:left="1296" w:hanging="1296"/>
      </w:pPr>
      <w:rPr>
        <w:rFonts w:hint="default"/>
      </w:rPr>
    </w:lvl>
    <w:lvl w:ilvl="7">
      <w:start w:val="1"/>
      <w:numFmt w:val="decimal"/>
      <w:lvlText w:val="2%1.%2.%3.%4.%5.%6.%7.%8"/>
      <w:lvlJc w:val="left"/>
      <w:pPr>
        <w:ind w:left="1440" w:hanging="1440"/>
      </w:pPr>
      <w:rPr>
        <w:rFonts w:hint="default"/>
      </w:rPr>
    </w:lvl>
    <w:lvl w:ilvl="8">
      <w:start w:val="1"/>
      <w:numFmt w:val="decimal"/>
      <w:lvlText w:val="2%1.%2.%3.%4.%5.%6.%7.%8.%9"/>
      <w:lvlJc w:val="left"/>
      <w:pPr>
        <w:ind w:left="1584" w:hanging="1584"/>
      </w:pPr>
      <w:rPr>
        <w:rFonts w:hint="default"/>
      </w:rPr>
    </w:lvl>
  </w:abstractNum>
  <w:abstractNum w:abstractNumId="38" w15:restartNumberingAfterBreak="0">
    <w:nsid w:val="5E3F6A65"/>
    <w:multiLevelType w:val="hybridMultilevel"/>
    <w:tmpl w:val="D72A0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11D4EE3"/>
    <w:multiLevelType w:val="hybridMultilevel"/>
    <w:tmpl w:val="65248B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A208F2"/>
    <w:multiLevelType w:val="hybridMultilevel"/>
    <w:tmpl w:val="65248B1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28D4B7D"/>
    <w:multiLevelType w:val="hybridMultilevel"/>
    <w:tmpl w:val="599C1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5FD2AEE"/>
    <w:multiLevelType w:val="hybridMultilevel"/>
    <w:tmpl w:val="64C2D54E"/>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43" w15:restartNumberingAfterBreak="0">
    <w:nsid w:val="784D033C"/>
    <w:multiLevelType w:val="multilevel"/>
    <w:tmpl w:val="F12CDF40"/>
    <w:lvl w:ilvl="0">
      <w:start w:val="1"/>
      <w:numFmt w:val="decimal"/>
      <w:pStyle w:val="PBACESHeading1"/>
      <w:lvlText w:val="%1"/>
      <w:lvlJc w:val="left"/>
      <w:pPr>
        <w:ind w:left="720" w:hanging="720"/>
      </w:pPr>
      <w:rPr>
        <w:rFonts w:hint="default"/>
        <w:b/>
      </w:rPr>
    </w:lvl>
    <w:lvl w:ilvl="1">
      <w:start w:val="1"/>
      <w:numFmt w:val="none"/>
      <w:pStyle w:val="PBACESHeadingCAPS"/>
      <w:suff w:val="nothing"/>
      <w:lvlText w:val=""/>
      <w:lvlJc w:val="left"/>
      <w:pPr>
        <w:ind w:left="720" w:hanging="720"/>
      </w:pPr>
      <w:rPr>
        <w:rFonts w:hint="default"/>
      </w:rPr>
    </w:lvl>
    <w:lvl w:ilvl="2">
      <w:start w:val="1"/>
      <w:numFmt w:val="none"/>
      <w:lvlRestart w:val="1"/>
      <w:pStyle w:val="PBACESHeading2"/>
      <w:suff w:val="nothing"/>
      <w:lvlText w:val=""/>
      <w:lvlJc w:val="left"/>
      <w:pPr>
        <w:ind w:left="720" w:hanging="720"/>
      </w:pPr>
      <w:rPr>
        <w:rFonts w:hint="default"/>
      </w:rPr>
    </w:lvl>
    <w:lvl w:ilvl="3">
      <w:start w:val="1"/>
      <w:numFmt w:val="none"/>
      <w:lvlRestart w:val="1"/>
      <w:pStyle w:val="PBACESHeading3"/>
      <w:suff w:val="nothing"/>
      <w:lvlText w:val=""/>
      <w:lvlJc w:val="left"/>
      <w:pPr>
        <w:ind w:left="1080" w:hanging="1080"/>
      </w:pPr>
      <w:rPr>
        <w:rFonts w:hint="default"/>
      </w:rPr>
    </w:lvl>
    <w:lvl w:ilvl="4">
      <w:start w:val="1"/>
      <w:numFmt w:val="decimal"/>
      <w:lvlRestart w:val="1"/>
      <w:pStyle w:val="ListParagraph"/>
      <w:lvlText w:val="%1.%5"/>
      <w:lvlJc w:val="left"/>
      <w:pPr>
        <w:ind w:left="720" w:hanging="720"/>
      </w:pPr>
      <w:rPr>
        <w:rFonts w:asciiTheme="minorHAnsi" w:hAnsiTheme="minorHAnsi" w:cstheme="minorHAnsi" w:hint="default"/>
        <w:i w:val="0"/>
        <w:iCs w:val="0"/>
        <w:color w:val="auto"/>
      </w:rPr>
    </w:lvl>
    <w:lvl w:ilvl="5">
      <w:start w:val="1"/>
      <w:numFmt w:val="decimal"/>
      <w:lvlRestart w:val="1"/>
      <w:pStyle w:val="MSACHeading1"/>
      <w:lvlText w:val="%6"/>
      <w:lvlJc w:val="left"/>
      <w:pPr>
        <w:ind w:left="720" w:hanging="720"/>
      </w:pPr>
      <w:rPr>
        <w:rFonts w:hint="default"/>
      </w:rPr>
    </w:lvl>
    <w:lvl w:ilvl="6">
      <w:start w:val="1"/>
      <w:numFmt w:val="none"/>
      <w:pStyle w:val="MSACESHeading2"/>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6C0F8A"/>
    <w:multiLevelType w:val="hybridMultilevel"/>
    <w:tmpl w:val="B80428D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8911BEF"/>
    <w:multiLevelType w:val="multilevel"/>
    <w:tmpl w:val="54C0B3FC"/>
    <w:styleLink w:val="Style2"/>
    <w:lvl w:ilvl="0">
      <w:start w:val="1"/>
      <w:numFmt w:val="decimal"/>
      <w:lvlText w:val="%1"/>
      <w:lvlJc w:val="left"/>
      <w:pPr>
        <w:ind w:left="1077" w:hanging="1077"/>
      </w:pPr>
      <w:rPr>
        <w:rFonts w:hint="default"/>
        <w:b/>
      </w:rPr>
    </w:lvl>
    <w:lvl w:ilvl="1">
      <w:start w:val="1"/>
      <w:numFmt w:val="none"/>
      <w:suff w:val="nothing"/>
      <w:lvlText w:val=""/>
      <w:lvlJc w:val="left"/>
      <w:pPr>
        <w:ind w:left="720" w:hanging="720"/>
      </w:pPr>
      <w:rPr>
        <w:rFonts w:hint="default"/>
      </w:rPr>
    </w:lvl>
    <w:lvl w:ilvl="2">
      <w:start w:val="1"/>
      <w:numFmt w:val="none"/>
      <w:lvlRestart w:val="1"/>
      <w:suff w:val="nothing"/>
      <w:lvlText w:val=""/>
      <w:lvlJc w:val="left"/>
      <w:pPr>
        <w:ind w:left="720" w:hanging="720"/>
      </w:pPr>
      <w:rPr>
        <w:rFonts w:hint="default"/>
      </w:rPr>
    </w:lvl>
    <w:lvl w:ilvl="3">
      <w:start w:val="1"/>
      <w:numFmt w:val="none"/>
      <w:lvlRestart w:val="1"/>
      <w:suff w:val="nothing"/>
      <w:lvlText w:val=""/>
      <w:lvlJc w:val="left"/>
      <w:pPr>
        <w:ind w:left="1080" w:hanging="1080"/>
      </w:pPr>
      <w:rPr>
        <w:rFonts w:hint="default"/>
      </w:rPr>
    </w:lvl>
    <w:lvl w:ilvl="4">
      <w:start w:val="1"/>
      <w:numFmt w:val="decimal"/>
      <w:lvlRestart w:val="1"/>
      <w:lvlText w:val="%1.%5"/>
      <w:lvlJc w:val="left"/>
      <w:pPr>
        <w:ind w:left="1080" w:hanging="1080"/>
      </w:pPr>
      <w:rPr>
        <w:rFonts w:hint="default"/>
        <w:b w:val="0"/>
        <w:i w:val="0"/>
        <w:color w:val="auto"/>
        <w:u w:val="none"/>
      </w:rPr>
    </w:lvl>
    <w:lvl w:ilvl="5">
      <w:start w:val="1"/>
      <w:numFmt w:val="decimal"/>
      <w:lvlRestart w:val="1"/>
      <w:lvlText w:val="%6"/>
      <w:lvlJc w:val="left"/>
      <w:pPr>
        <w:ind w:left="720" w:hanging="720"/>
      </w:pPr>
      <w:rPr>
        <w:rFonts w:hint="default"/>
      </w:rPr>
    </w:lvl>
    <w:lvl w:ilvl="6">
      <w:start w:val="1"/>
      <w:numFmt w:val="none"/>
      <w:suff w:val="nothing"/>
      <w:lvlText w:val=""/>
      <w:lvlJc w:val="left"/>
      <w:pPr>
        <w:ind w:left="720" w:hanging="72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F181516"/>
    <w:multiLevelType w:val="hybridMultilevel"/>
    <w:tmpl w:val="FF9EE7EA"/>
    <w:lvl w:ilvl="0" w:tplc="99525AAE">
      <w:start w:val="1"/>
      <w:numFmt w:val="decimal"/>
      <w:pStyle w:val="Nnumberedlist"/>
      <w:lvlText w:val="%1."/>
      <w:lvlJc w:val="left"/>
      <w:pPr>
        <w:tabs>
          <w:tab w:val="num" w:pos="1440"/>
        </w:tabs>
        <w:ind w:left="1440" w:hanging="360"/>
      </w:pPr>
    </w:lvl>
    <w:lvl w:ilvl="1" w:tplc="389C2200" w:tentative="1">
      <w:start w:val="1"/>
      <w:numFmt w:val="lowerLetter"/>
      <w:lvlText w:val="%2."/>
      <w:lvlJc w:val="left"/>
      <w:pPr>
        <w:tabs>
          <w:tab w:val="num" w:pos="2160"/>
        </w:tabs>
        <w:ind w:left="2160" w:hanging="360"/>
      </w:pPr>
    </w:lvl>
    <w:lvl w:ilvl="2" w:tplc="C3F8B188" w:tentative="1">
      <w:start w:val="1"/>
      <w:numFmt w:val="lowerRoman"/>
      <w:lvlText w:val="%3."/>
      <w:lvlJc w:val="right"/>
      <w:pPr>
        <w:tabs>
          <w:tab w:val="num" w:pos="2880"/>
        </w:tabs>
        <w:ind w:left="2880" w:hanging="180"/>
      </w:pPr>
    </w:lvl>
    <w:lvl w:ilvl="3" w:tplc="391E97F0" w:tentative="1">
      <w:start w:val="1"/>
      <w:numFmt w:val="decimal"/>
      <w:lvlText w:val="%4."/>
      <w:lvlJc w:val="left"/>
      <w:pPr>
        <w:tabs>
          <w:tab w:val="num" w:pos="3600"/>
        </w:tabs>
        <w:ind w:left="3600" w:hanging="360"/>
      </w:pPr>
    </w:lvl>
    <w:lvl w:ilvl="4" w:tplc="4F42265E" w:tentative="1">
      <w:start w:val="1"/>
      <w:numFmt w:val="lowerLetter"/>
      <w:lvlText w:val="%5."/>
      <w:lvlJc w:val="left"/>
      <w:pPr>
        <w:tabs>
          <w:tab w:val="num" w:pos="4320"/>
        </w:tabs>
        <w:ind w:left="4320" w:hanging="360"/>
      </w:pPr>
    </w:lvl>
    <w:lvl w:ilvl="5" w:tplc="30546058" w:tentative="1">
      <w:start w:val="1"/>
      <w:numFmt w:val="lowerRoman"/>
      <w:lvlText w:val="%6."/>
      <w:lvlJc w:val="right"/>
      <w:pPr>
        <w:tabs>
          <w:tab w:val="num" w:pos="5040"/>
        </w:tabs>
        <w:ind w:left="5040" w:hanging="180"/>
      </w:pPr>
    </w:lvl>
    <w:lvl w:ilvl="6" w:tplc="6E10F0C6" w:tentative="1">
      <w:start w:val="1"/>
      <w:numFmt w:val="decimal"/>
      <w:lvlText w:val="%7."/>
      <w:lvlJc w:val="left"/>
      <w:pPr>
        <w:tabs>
          <w:tab w:val="num" w:pos="5760"/>
        </w:tabs>
        <w:ind w:left="5760" w:hanging="360"/>
      </w:pPr>
    </w:lvl>
    <w:lvl w:ilvl="7" w:tplc="70B07B9C" w:tentative="1">
      <w:start w:val="1"/>
      <w:numFmt w:val="lowerLetter"/>
      <w:lvlText w:val="%8."/>
      <w:lvlJc w:val="left"/>
      <w:pPr>
        <w:tabs>
          <w:tab w:val="num" w:pos="6480"/>
        </w:tabs>
        <w:ind w:left="6480" w:hanging="360"/>
      </w:pPr>
    </w:lvl>
    <w:lvl w:ilvl="8" w:tplc="9BF48AAC" w:tentative="1">
      <w:start w:val="1"/>
      <w:numFmt w:val="lowerRoman"/>
      <w:lvlText w:val="%9."/>
      <w:lvlJc w:val="right"/>
      <w:pPr>
        <w:tabs>
          <w:tab w:val="num" w:pos="7200"/>
        </w:tabs>
        <w:ind w:left="7200" w:hanging="180"/>
      </w:pPr>
    </w:lvl>
  </w:abstractNum>
  <w:num w:numId="1">
    <w:abstractNumId w:val="13"/>
  </w:num>
  <w:num w:numId="2">
    <w:abstractNumId w:val="5"/>
  </w:num>
  <w:num w:numId="3">
    <w:abstractNumId w:val="43"/>
  </w:num>
  <w:num w:numId="4">
    <w:abstractNumId w:val="28"/>
  </w:num>
  <w:num w:numId="5">
    <w:abstractNumId w:val="1"/>
  </w:num>
  <w:num w:numId="6">
    <w:abstractNumId w:val="36"/>
  </w:num>
  <w:num w:numId="7">
    <w:abstractNumId w:val="0"/>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num>
  <w:num w:numId="10">
    <w:abstractNumId w:val="21"/>
  </w:num>
  <w:num w:numId="11">
    <w:abstractNumId w:val="27"/>
  </w:num>
  <w:num w:numId="12">
    <w:abstractNumId w:val="4"/>
  </w:num>
  <w:num w:numId="13">
    <w:abstractNumId w:val="24"/>
  </w:num>
  <w:num w:numId="14">
    <w:abstractNumId w:val="2"/>
  </w:num>
  <w:num w:numId="15">
    <w:abstractNumId w:val="11"/>
  </w:num>
  <w:num w:numId="16">
    <w:abstractNumId w:val="29"/>
  </w:num>
  <w:num w:numId="17">
    <w:abstractNumId w:val="1"/>
  </w:num>
  <w:num w:numId="18">
    <w:abstractNumId w:val="30"/>
  </w:num>
  <w:num w:numId="19">
    <w:abstractNumId w:val="38"/>
  </w:num>
  <w:num w:numId="20">
    <w:abstractNumId w:val="2"/>
  </w:num>
  <w:num w:numId="21">
    <w:abstractNumId w:val="41"/>
  </w:num>
  <w:num w:numId="22">
    <w:abstractNumId w:val="31"/>
  </w:num>
  <w:num w:numId="23">
    <w:abstractNumId w:val="9"/>
  </w:num>
  <w:num w:numId="24">
    <w:abstractNumId w:val="10"/>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22"/>
  </w:num>
  <w:num w:numId="29">
    <w:abstractNumId w:val="42"/>
  </w:num>
  <w:num w:numId="30">
    <w:abstractNumId w:val="37"/>
  </w:num>
  <w:num w:numId="31">
    <w:abstractNumId w:val="7"/>
  </w:num>
  <w:num w:numId="32">
    <w:abstractNumId w:val="46"/>
  </w:num>
  <w:num w:numId="33">
    <w:abstractNumId w:val="8"/>
  </w:num>
  <w:num w:numId="34">
    <w:abstractNumId w:val="14"/>
  </w:num>
  <w:num w:numId="35">
    <w:abstractNumId w:val="18"/>
  </w:num>
  <w:num w:numId="36">
    <w:abstractNumId w:val="17"/>
  </w:num>
  <w:num w:numId="37">
    <w:abstractNumId w:val="26"/>
  </w:num>
  <w:num w:numId="38">
    <w:abstractNumId w:val="16"/>
  </w:num>
  <w:num w:numId="39">
    <w:abstractNumId w:val="12"/>
  </w:num>
  <w:num w:numId="40">
    <w:abstractNumId w:val="6"/>
  </w:num>
  <w:num w:numId="41">
    <w:abstractNumId w:val="3"/>
  </w:num>
  <w:num w:numId="42">
    <w:abstractNumId w:val="23"/>
  </w:num>
  <w:num w:numId="43">
    <w:abstractNumId w:val="32"/>
  </w:num>
  <w:num w:numId="44">
    <w:abstractNumId w:val="34"/>
  </w:num>
  <w:num w:numId="45">
    <w:abstractNumId w:val="19"/>
  </w:num>
  <w:num w:numId="46">
    <w:abstractNumId w:val="20"/>
  </w:num>
  <w:num w:numId="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3"/>
  </w:num>
  <w:num w:numId="49">
    <w:abstractNumId w:val="44"/>
  </w:num>
  <w:num w:numId="50">
    <w:abstractNumId w:val="39"/>
  </w:num>
  <w:num w:numId="51">
    <w:abstractNumId w:val="40"/>
  </w:num>
  <w:num w:numId="52">
    <w:abstractNumId w:val="15"/>
  </w:num>
  <w:num w:numId="53">
    <w:abstractNumId w:val="33"/>
  </w:num>
  <w:num w:numId="54">
    <w:abstractNumId w:val="43"/>
  </w:num>
  <w:num w:numId="55">
    <w:abstractNumId w:val="4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0" w:nlCheck="1" w:checkStyle="0"/>
  <w:activeWritingStyle w:appName="MSWord" w:lang="en-AU" w:vendorID="64" w:dllVersion="0" w:nlCheck="1" w:checkStyle="0"/>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NotTrackFormatting/>
  <w:styleLockTheme/>
  <w:styleLockQFSet/>
  <w:defaultTabStop w:val="720"/>
  <w:characterSpacingControl w:val="doNotCompress"/>
  <w:hdrShapeDefaults>
    <o:shapedefaults v:ext="edit" spidmax="18433"/>
  </w:hdrShapeDefaults>
  <w:footnotePr>
    <w:numFmt w:val="lowerLette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109"/>
    <w:rsid w:val="0000019E"/>
    <w:rsid w:val="0000099C"/>
    <w:rsid w:val="00000E0A"/>
    <w:rsid w:val="00000FD6"/>
    <w:rsid w:val="000010C0"/>
    <w:rsid w:val="00001AB4"/>
    <w:rsid w:val="00001E65"/>
    <w:rsid w:val="00002009"/>
    <w:rsid w:val="00002811"/>
    <w:rsid w:val="0000282F"/>
    <w:rsid w:val="00002A27"/>
    <w:rsid w:val="00003126"/>
    <w:rsid w:val="0000318A"/>
    <w:rsid w:val="000031AA"/>
    <w:rsid w:val="00003231"/>
    <w:rsid w:val="00003386"/>
    <w:rsid w:val="0000338B"/>
    <w:rsid w:val="0000354C"/>
    <w:rsid w:val="00003C0B"/>
    <w:rsid w:val="00003CED"/>
    <w:rsid w:val="00004138"/>
    <w:rsid w:val="00004655"/>
    <w:rsid w:val="00004898"/>
    <w:rsid w:val="00004913"/>
    <w:rsid w:val="0000526D"/>
    <w:rsid w:val="000052C1"/>
    <w:rsid w:val="000054F1"/>
    <w:rsid w:val="00005DDF"/>
    <w:rsid w:val="00005E98"/>
    <w:rsid w:val="00006045"/>
    <w:rsid w:val="000060A2"/>
    <w:rsid w:val="000062E0"/>
    <w:rsid w:val="00006398"/>
    <w:rsid w:val="00006436"/>
    <w:rsid w:val="000066E3"/>
    <w:rsid w:val="000067C8"/>
    <w:rsid w:val="00006855"/>
    <w:rsid w:val="00006A16"/>
    <w:rsid w:val="00006AE0"/>
    <w:rsid w:val="00006B05"/>
    <w:rsid w:val="000074B9"/>
    <w:rsid w:val="000077D6"/>
    <w:rsid w:val="00007864"/>
    <w:rsid w:val="00007DCD"/>
    <w:rsid w:val="00010069"/>
    <w:rsid w:val="000101D4"/>
    <w:rsid w:val="000103AB"/>
    <w:rsid w:val="0001045C"/>
    <w:rsid w:val="0001066F"/>
    <w:rsid w:val="000107D8"/>
    <w:rsid w:val="00011053"/>
    <w:rsid w:val="0001194B"/>
    <w:rsid w:val="00011B6A"/>
    <w:rsid w:val="0001200B"/>
    <w:rsid w:val="0001220E"/>
    <w:rsid w:val="00012451"/>
    <w:rsid w:val="000124CF"/>
    <w:rsid w:val="0001266D"/>
    <w:rsid w:val="0001281E"/>
    <w:rsid w:val="00012BBB"/>
    <w:rsid w:val="00013087"/>
    <w:rsid w:val="000130A3"/>
    <w:rsid w:val="000131C9"/>
    <w:rsid w:val="00013222"/>
    <w:rsid w:val="000134B3"/>
    <w:rsid w:val="000134D6"/>
    <w:rsid w:val="000138B4"/>
    <w:rsid w:val="00013E19"/>
    <w:rsid w:val="000142C1"/>
    <w:rsid w:val="000144C7"/>
    <w:rsid w:val="00014660"/>
    <w:rsid w:val="0001467E"/>
    <w:rsid w:val="0001484B"/>
    <w:rsid w:val="00014A3A"/>
    <w:rsid w:val="000151D6"/>
    <w:rsid w:val="00015290"/>
    <w:rsid w:val="00015346"/>
    <w:rsid w:val="0001548D"/>
    <w:rsid w:val="000159FA"/>
    <w:rsid w:val="00015B12"/>
    <w:rsid w:val="00016E32"/>
    <w:rsid w:val="00016E72"/>
    <w:rsid w:val="00016F05"/>
    <w:rsid w:val="000170E1"/>
    <w:rsid w:val="000171FC"/>
    <w:rsid w:val="0001722E"/>
    <w:rsid w:val="00017B1A"/>
    <w:rsid w:val="00017C9E"/>
    <w:rsid w:val="000200EF"/>
    <w:rsid w:val="00020489"/>
    <w:rsid w:val="00020641"/>
    <w:rsid w:val="000206DB"/>
    <w:rsid w:val="0002095B"/>
    <w:rsid w:val="00020BD1"/>
    <w:rsid w:val="00021589"/>
    <w:rsid w:val="0002268C"/>
    <w:rsid w:val="00022918"/>
    <w:rsid w:val="0002299A"/>
    <w:rsid w:val="00022B43"/>
    <w:rsid w:val="00022C00"/>
    <w:rsid w:val="00022E27"/>
    <w:rsid w:val="00023139"/>
    <w:rsid w:val="000238A4"/>
    <w:rsid w:val="000239BE"/>
    <w:rsid w:val="000241EA"/>
    <w:rsid w:val="00024296"/>
    <w:rsid w:val="0002446E"/>
    <w:rsid w:val="0002501A"/>
    <w:rsid w:val="000252DD"/>
    <w:rsid w:val="0002582F"/>
    <w:rsid w:val="00025B1B"/>
    <w:rsid w:val="00025D3E"/>
    <w:rsid w:val="00025D61"/>
    <w:rsid w:val="00025FB2"/>
    <w:rsid w:val="00026518"/>
    <w:rsid w:val="00026594"/>
    <w:rsid w:val="0002688C"/>
    <w:rsid w:val="000269E8"/>
    <w:rsid w:val="00026C5B"/>
    <w:rsid w:val="00026D08"/>
    <w:rsid w:val="00026D19"/>
    <w:rsid w:val="00026F50"/>
    <w:rsid w:val="00027342"/>
    <w:rsid w:val="00027560"/>
    <w:rsid w:val="000277F5"/>
    <w:rsid w:val="00027CB9"/>
    <w:rsid w:val="00030057"/>
    <w:rsid w:val="000304C1"/>
    <w:rsid w:val="0003089F"/>
    <w:rsid w:val="00030BC9"/>
    <w:rsid w:val="00030D9F"/>
    <w:rsid w:val="00031179"/>
    <w:rsid w:val="00031269"/>
    <w:rsid w:val="0003168F"/>
    <w:rsid w:val="0003175F"/>
    <w:rsid w:val="00031C35"/>
    <w:rsid w:val="00031EA3"/>
    <w:rsid w:val="00031F60"/>
    <w:rsid w:val="00032CD0"/>
    <w:rsid w:val="00033416"/>
    <w:rsid w:val="0003377E"/>
    <w:rsid w:val="000338E2"/>
    <w:rsid w:val="00033CE0"/>
    <w:rsid w:val="00033CE1"/>
    <w:rsid w:val="00033E11"/>
    <w:rsid w:val="00033E33"/>
    <w:rsid w:val="00033E86"/>
    <w:rsid w:val="00033F33"/>
    <w:rsid w:val="000341DD"/>
    <w:rsid w:val="00034404"/>
    <w:rsid w:val="000345A0"/>
    <w:rsid w:val="00034891"/>
    <w:rsid w:val="00034949"/>
    <w:rsid w:val="0003497C"/>
    <w:rsid w:val="00034C93"/>
    <w:rsid w:val="00034DFC"/>
    <w:rsid w:val="0003520D"/>
    <w:rsid w:val="00035339"/>
    <w:rsid w:val="0003584A"/>
    <w:rsid w:val="000358AE"/>
    <w:rsid w:val="000359BA"/>
    <w:rsid w:val="00035E06"/>
    <w:rsid w:val="00035E76"/>
    <w:rsid w:val="0003676B"/>
    <w:rsid w:val="00036E1A"/>
    <w:rsid w:val="000371BF"/>
    <w:rsid w:val="000372F4"/>
    <w:rsid w:val="00037458"/>
    <w:rsid w:val="000374AD"/>
    <w:rsid w:val="00037640"/>
    <w:rsid w:val="00037A92"/>
    <w:rsid w:val="00037E76"/>
    <w:rsid w:val="00037F72"/>
    <w:rsid w:val="00040603"/>
    <w:rsid w:val="000407A3"/>
    <w:rsid w:val="00040EE7"/>
    <w:rsid w:val="000416BD"/>
    <w:rsid w:val="0004189D"/>
    <w:rsid w:val="00042622"/>
    <w:rsid w:val="00042821"/>
    <w:rsid w:val="000429C8"/>
    <w:rsid w:val="000434C1"/>
    <w:rsid w:val="000435F5"/>
    <w:rsid w:val="00043616"/>
    <w:rsid w:val="00043660"/>
    <w:rsid w:val="0004410A"/>
    <w:rsid w:val="00044194"/>
    <w:rsid w:val="0004441D"/>
    <w:rsid w:val="00044B60"/>
    <w:rsid w:val="000451EC"/>
    <w:rsid w:val="00045375"/>
    <w:rsid w:val="0004566E"/>
    <w:rsid w:val="000458A1"/>
    <w:rsid w:val="000458AE"/>
    <w:rsid w:val="000459AB"/>
    <w:rsid w:val="00045EA9"/>
    <w:rsid w:val="000461CF"/>
    <w:rsid w:val="000465A9"/>
    <w:rsid w:val="0004676F"/>
    <w:rsid w:val="00046B60"/>
    <w:rsid w:val="00046C02"/>
    <w:rsid w:val="000470DF"/>
    <w:rsid w:val="00047102"/>
    <w:rsid w:val="0004736A"/>
    <w:rsid w:val="0004758F"/>
    <w:rsid w:val="00047867"/>
    <w:rsid w:val="00047A51"/>
    <w:rsid w:val="00047BA2"/>
    <w:rsid w:val="00047CF6"/>
    <w:rsid w:val="00047F96"/>
    <w:rsid w:val="00050CFA"/>
    <w:rsid w:val="00050FA2"/>
    <w:rsid w:val="00051707"/>
    <w:rsid w:val="0005188B"/>
    <w:rsid w:val="0005199B"/>
    <w:rsid w:val="00051C7E"/>
    <w:rsid w:val="000522EE"/>
    <w:rsid w:val="000524E3"/>
    <w:rsid w:val="00052BCD"/>
    <w:rsid w:val="00052D24"/>
    <w:rsid w:val="00052E68"/>
    <w:rsid w:val="000533B8"/>
    <w:rsid w:val="0005375E"/>
    <w:rsid w:val="00054171"/>
    <w:rsid w:val="000546EF"/>
    <w:rsid w:val="00055271"/>
    <w:rsid w:val="00055606"/>
    <w:rsid w:val="00055DCD"/>
    <w:rsid w:val="00055E0A"/>
    <w:rsid w:val="00055F21"/>
    <w:rsid w:val="00056BCE"/>
    <w:rsid w:val="00056CFD"/>
    <w:rsid w:val="00057170"/>
    <w:rsid w:val="000578D9"/>
    <w:rsid w:val="00057F71"/>
    <w:rsid w:val="00060217"/>
    <w:rsid w:val="00060447"/>
    <w:rsid w:val="000609A7"/>
    <w:rsid w:val="00061130"/>
    <w:rsid w:val="000617A8"/>
    <w:rsid w:val="00062018"/>
    <w:rsid w:val="00062067"/>
    <w:rsid w:val="0006287B"/>
    <w:rsid w:val="00062C2C"/>
    <w:rsid w:val="00062D34"/>
    <w:rsid w:val="00063460"/>
    <w:rsid w:val="00063800"/>
    <w:rsid w:val="00063ACB"/>
    <w:rsid w:val="00063BE6"/>
    <w:rsid w:val="00063C38"/>
    <w:rsid w:val="00063CD9"/>
    <w:rsid w:val="00063DBC"/>
    <w:rsid w:val="00064083"/>
    <w:rsid w:val="0006427B"/>
    <w:rsid w:val="000643FA"/>
    <w:rsid w:val="0006442F"/>
    <w:rsid w:val="000647CB"/>
    <w:rsid w:val="00064D04"/>
    <w:rsid w:val="00064EA0"/>
    <w:rsid w:val="00065466"/>
    <w:rsid w:val="00065BC3"/>
    <w:rsid w:val="00065C62"/>
    <w:rsid w:val="00065CDE"/>
    <w:rsid w:val="00065F4A"/>
    <w:rsid w:val="00065F60"/>
    <w:rsid w:val="00066143"/>
    <w:rsid w:val="000661D4"/>
    <w:rsid w:val="00066AE5"/>
    <w:rsid w:val="00066B18"/>
    <w:rsid w:val="00066BC8"/>
    <w:rsid w:val="000670F2"/>
    <w:rsid w:val="000676E5"/>
    <w:rsid w:val="000677DE"/>
    <w:rsid w:val="00067AE2"/>
    <w:rsid w:val="00067ED6"/>
    <w:rsid w:val="0007011F"/>
    <w:rsid w:val="00070413"/>
    <w:rsid w:val="0007043F"/>
    <w:rsid w:val="000705A8"/>
    <w:rsid w:val="0007063B"/>
    <w:rsid w:val="00070641"/>
    <w:rsid w:val="000708AA"/>
    <w:rsid w:val="00070D0A"/>
    <w:rsid w:val="00070D75"/>
    <w:rsid w:val="00070F2E"/>
    <w:rsid w:val="000710DA"/>
    <w:rsid w:val="0007137E"/>
    <w:rsid w:val="000719A0"/>
    <w:rsid w:val="00071C39"/>
    <w:rsid w:val="0007212E"/>
    <w:rsid w:val="000721FB"/>
    <w:rsid w:val="000722AD"/>
    <w:rsid w:val="000723B1"/>
    <w:rsid w:val="000725D2"/>
    <w:rsid w:val="000729D2"/>
    <w:rsid w:val="00072C9B"/>
    <w:rsid w:val="00072DC3"/>
    <w:rsid w:val="00072E9F"/>
    <w:rsid w:val="0007329D"/>
    <w:rsid w:val="00073CD6"/>
    <w:rsid w:val="00073D18"/>
    <w:rsid w:val="00073EA7"/>
    <w:rsid w:val="00073F60"/>
    <w:rsid w:val="000746A6"/>
    <w:rsid w:val="000753BD"/>
    <w:rsid w:val="0007550F"/>
    <w:rsid w:val="00075575"/>
    <w:rsid w:val="00075775"/>
    <w:rsid w:val="000761A3"/>
    <w:rsid w:val="0007632E"/>
    <w:rsid w:val="0007637A"/>
    <w:rsid w:val="000764A7"/>
    <w:rsid w:val="0007664C"/>
    <w:rsid w:val="00076B05"/>
    <w:rsid w:val="00077A86"/>
    <w:rsid w:val="00077AAC"/>
    <w:rsid w:val="00077EED"/>
    <w:rsid w:val="00077F1E"/>
    <w:rsid w:val="00080108"/>
    <w:rsid w:val="00080507"/>
    <w:rsid w:val="000806D2"/>
    <w:rsid w:val="00080813"/>
    <w:rsid w:val="00080FF3"/>
    <w:rsid w:val="00081177"/>
    <w:rsid w:val="00081383"/>
    <w:rsid w:val="000816DF"/>
    <w:rsid w:val="00081967"/>
    <w:rsid w:val="00081C34"/>
    <w:rsid w:val="00081F59"/>
    <w:rsid w:val="0008223A"/>
    <w:rsid w:val="00082359"/>
    <w:rsid w:val="00082422"/>
    <w:rsid w:val="000825EF"/>
    <w:rsid w:val="00082622"/>
    <w:rsid w:val="00082868"/>
    <w:rsid w:val="000829F7"/>
    <w:rsid w:val="00083493"/>
    <w:rsid w:val="0008390F"/>
    <w:rsid w:val="00083D7A"/>
    <w:rsid w:val="00084356"/>
    <w:rsid w:val="00084529"/>
    <w:rsid w:val="00084599"/>
    <w:rsid w:val="000847FE"/>
    <w:rsid w:val="000848A6"/>
    <w:rsid w:val="00084B18"/>
    <w:rsid w:val="00084FE2"/>
    <w:rsid w:val="0008561C"/>
    <w:rsid w:val="00085730"/>
    <w:rsid w:val="00086075"/>
    <w:rsid w:val="00086087"/>
    <w:rsid w:val="00086133"/>
    <w:rsid w:val="00086C76"/>
    <w:rsid w:val="00086CAE"/>
    <w:rsid w:val="00086D85"/>
    <w:rsid w:val="000874F8"/>
    <w:rsid w:val="000877C8"/>
    <w:rsid w:val="00087898"/>
    <w:rsid w:val="00087DB5"/>
    <w:rsid w:val="00087E1A"/>
    <w:rsid w:val="0009000A"/>
    <w:rsid w:val="000909F1"/>
    <w:rsid w:val="00090FEA"/>
    <w:rsid w:val="00091067"/>
    <w:rsid w:val="0009131A"/>
    <w:rsid w:val="00091561"/>
    <w:rsid w:val="00091632"/>
    <w:rsid w:val="00091A4D"/>
    <w:rsid w:val="00091C35"/>
    <w:rsid w:val="0009202F"/>
    <w:rsid w:val="000923A2"/>
    <w:rsid w:val="0009267E"/>
    <w:rsid w:val="00092727"/>
    <w:rsid w:val="00092945"/>
    <w:rsid w:val="00092DD7"/>
    <w:rsid w:val="0009474A"/>
    <w:rsid w:val="00094CDE"/>
    <w:rsid w:val="000952E0"/>
    <w:rsid w:val="0009560A"/>
    <w:rsid w:val="0009688E"/>
    <w:rsid w:val="0009689E"/>
    <w:rsid w:val="000968EE"/>
    <w:rsid w:val="00096BCD"/>
    <w:rsid w:val="000970F6"/>
    <w:rsid w:val="00097101"/>
    <w:rsid w:val="0009756C"/>
    <w:rsid w:val="000976FF"/>
    <w:rsid w:val="00097919"/>
    <w:rsid w:val="000A027E"/>
    <w:rsid w:val="000A073B"/>
    <w:rsid w:val="000A07D1"/>
    <w:rsid w:val="000A0919"/>
    <w:rsid w:val="000A0D41"/>
    <w:rsid w:val="000A0E09"/>
    <w:rsid w:val="000A135D"/>
    <w:rsid w:val="000A16B2"/>
    <w:rsid w:val="000A1BA3"/>
    <w:rsid w:val="000A1CD1"/>
    <w:rsid w:val="000A1F7B"/>
    <w:rsid w:val="000A243B"/>
    <w:rsid w:val="000A25D9"/>
    <w:rsid w:val="000A2694"/>
    <w:rsid w:val="000A2E47"/>
    <w:rsid w:val="000A2EF1"/>
    <w:rsid w:val="000A2F73"/>
    <w:rsid w:val="000A300B"/>
    <w:rsid w:val="000A3891"/>
    <w:rsid w:val="000A3D99"/>
    <w:rsid w:val="000A3F4C"/>
    <w:rsid w:val="000A409D"/>
    <w:rsid w:val="000A492F"/>
    <w:rsid w:val="000A4C74"/>
    <w:rsid w:val="000A56C6"/>
    <w:rsid w:val="000A5961"/>
    <w:rsid w:val="000A5AE3"/>
    <w:rsid w:val="000A5B9C"/>
    <w:rsid w:val="000A5D44"/>
    <w:rsid w:val="000A6AD9"/>
    <w:rsid w:val="000A6FBD"/>
    <w:rsid w:val="000A72CD"/>
    <w:rsid w:val="000A7333"/>
    <w:rsid w:val="000A75EE"/>
    <w:rsid w:val="000A76CE"/>
    <w:rsid w:val="000A797F"/>
    <w:rsid w:val="000A7C0C"/>
    <w:rsid w:val="000A7E6B"/>
    <w:rsid w:val="000A7EA5"/>
    <w:rsid w:val="000B0C78"/>
    <w:rsid w:val="000B0DA2"/>
    <w:rsid w:val="000B10E0"/>
    <w:rsid w:val="000B1D2D"/>
    <w:rsid w:val="000B1DA0"/>
    <w:rsid w:val="000B2883"/>
    <w:rsid w:val="000B29AD"/>
    <w:rsid w:val="000B2BE3"/>
    <w:rsid w:val="000B2C0D"/>
    <w:rsid w:val="000B2C8C"/>
    <w:rsid w:val="000B2D04"/>
    <w:rsid w:val="000B2EB1"/>
    <w:rsid w:val="000B2FA4"/>
    <w:rsid w:val="000B305F"/>
    <w:rsid w:val="000B32B2"/>
    <w:rsid w:val="000B3419"/>
    <w:rsid w:val="000B35CF"/>
    <w:rsid w:val="000B35EA"/>
    <w:rsid w:val="000B3EF0"/>
    <w:rsid w:val="000B44DB"/>
    <w:rsid w:val="000B45C3"/>
    <w:rsid w:val="000B498F"/>
    <w:rsid w:val="000B4F21"/>
    <w:rsid w:val="000B4FD4"/>
    <w:rsid w:val="000B508B"/>
    <w:rsid w:val="000B51A0"/>
    <w:rsid w:val="000B51D6"/>
    <w:rsid w:val="000B5431"/>
    <w:rsid w:val="000B5473"/>
    <w:rsid w:val="000B56CD"/>
    <w:rsid w:val="000B57D4"/>
    <w:rsid w:val="000B5DD8"/>
    <w:rsid w:val="000B60CD"/>
    <w:rsid w:val="000B63C4"/>
    <w:rsid w:val="000B63DC"/>
    <w:rsid w:val="000B6630"/>
    <w:rsid w:val="000B6B69"/>
    <w:rsid w:val="000B7AED"/>
    <w:rsid w:val="000C005D"/>
    <w:rsid w:val="000C0142"/>
    <w:rsid w:val="000C0172"/>
    <w:rsid w:val="000C0C57"/>
    <w:rsid w:val="000C11CC"/>
    <w:rsid w:val="000C1396"/>
    <w:rsid w:val="000C1987"/>
    <w:rsid w:val="000C1E14"/>
    <w:rsid w:val="000C2294"/>
    <w:rsid w:val="000C2BE0"/>
    <w:rsid w:val="000C3573"/>
    <w:rsid w:val="000C38AF"/>
    <w:rsid w:val="000C393A"/>
    <w:rsid w:val="000C39ED"/>
    <w:rsid w:val="000C3BBF"/>
    <w:rsid w:val="000C3CDF"/>
    <w:rsid w:val="000C413E"/>
    <w:rsid w:val="000C4650"/>
    <w:rsid w:val="000C4666"/>
    <w:rsid w:val="000C4977"/>
    <w:rsid w:val="000C52A1"/>
    <w:rsid w:val="000C55AF"/>
    <w:rsid w:val="000C56C5"/>
    <w:rsid w:val="000C5EDA"/>
    <w:rsid w:val="000C5EE4"/>
    <w:rsid w:val="000C6007"/>
    <w:rsid w:val="000C6391"/>
    <w:rsid w:val="000C65D4"/>
    <w:rsid w:val="000C668E"/>
    <w:rsid w:val="000C6A40"/>
    <w:rsid w:val="000C6B34"/>
    <w:rsid w:val="000C6D63"/>
    <w:rsid w:val="000C7883"/>
    <w:rsid w:val="000C793A"/>
    <w:rsid w:val="000C7B1E"/>
    <w:rsid w:val="000D0023"/>
    <w:rsid w:val="000D0997"/>
    <w:rsid w:val="000D0A81"/>
    <w:rsid w:val="000D0BC6"/>
    <w:rsid w:val="000D0C34"/>
    <w:rsid w:val="000D10B5"/>
    <w:rsid w:val="000D1540"/>
    <w:rsid w:val="000D15AD"/>
    <w:rsid w:val="000D169F"/>
    <w:rsid w:val="000D16D7"/>
    <w:rsid w:val="000D17EB"/>
    <w:rsid w:val="000D19D0"/>
    <w:rsid w:val="000D1AA8"/>
    <w:rsid w:val="000D1AB4"/>
    <w:rsid w:val="000D1C63"/>
    <w:rsid w:val="000D1D2F"/>
    <w:rsid w:val="000D1D5F"/>
    <w:rsid w:val="000D1FAC"/>
    <w:rsid w:val="000D2BF3"/>
    <w:rsid w:val="000D2F9A"/>
    <w:rsid w:val="000D37E7"/>
    <w:rsid w:val="000D39EF"/>
    <w:rsid w:val="000D3DFB"/>
    <w:rsid w:val="000D44A4"/>
    <w:rsid w:val="000D44D0"/>
    <w:rsid w:val="000D4793"/>
    <w:rsid w:val="000D48CA"/>
    <w:rsid w:val="000D4936"/>
    <w:rsid w:val="000D4989"/>
    <w:rsid w:val="000D4C33"/>
    <w:rsid w:val="000D4EC7"/>
    <w:rsid w:val="000D5375"/>
    <w:rsid w:val="000D56BD"/>
    <w:rsid w:val="000D56FD"/>
    <w:rsid w:val="000D6116"/>
    <w:rsid w:val="000D6888"/>
    <w:rsid w:val="000D6950"/>
    <w:rsid w:val="000D769B"/>
    <w:rsid w:val="000D775E"/>
    <w:rsid w:val="000D7A9C"/>
    <w:rsid w:val="000E0135"/>
    <w:rsid w:val="000E02DC"/>
    <w:rsid w:val="000E0636"/>
    <w:rsid w:val="000E07CD"/>
    <w:rsid w:val="000E0AB9"/>
    <w:rsid w:val="000E0CA4"/>
    <w:rsid w:val="000E0D70"/>
    <w:rsid w:val="000E0E6C"/>
    <w:rsid w:val="000E17E6"/>
    <w:rsid w:val="000E1A32"/>
    <w:rsid w:val="000E1AF1"/>
    <w:rsid w:val="000E23BB"/>
    <w:rsid w:val="000E294F"/>
    <w:rsid w:val="000E2C8D"/>
    <w:rsid w:val="000E2DB7"/>
    <w:rsid w:val="000E2EFE"/>
    <w:rsid w:val="000E2FC3"/>
    <w:rsid w:val="000E3283"/>
    <w:rsid w:val="000E3577"/>
    <w:rsid w:val="000E3989"/>
    <w:rsid w:val="000E39B3"/>
    <w:rsid w:val="000E3F65"/>
    <w:rsid w:val="000E414A"/>
    <w:rsid w:val="000E4326"/>
    <w:rsid w:val="000E4492"/>
    <w:rsid w:val="000E46F2"/>
    <w:rsid w:val="000E4B96"/>
    <w:rsid w:val="000E4C48"/>
    <w:rsid w:val="000E4D14"/>
    <w:rsid w:val="000E552E"/>
    <w:rsid w:val="000E59F0"/>
    <w:rsid w:val="000E6360"/>
    <w:rsid w:val="000E6750"/>
    <w:rsid w:val="000E6A60"/>
    <w:rsid w:val="000E6FF1"/>
    <w:rsid w:val="000E7019"/>
    <w:rsid w:val="000E7051"/>
    <w:rsid w:val="000E7688"/>
    <w:rsid w:val="000E7A25"/>
    <w:rsid w:val="000F06F2"/>
    <w:rsid w:val="000F08AD"/>
    <w:rsid w:val="000F0D2B"/>
    <w:rsid w:val="000F1236"/>
    <w:rsid w:val="000F19AC"/>
    <w:rsid w:val="000F1B6E"/>
    <w:rsid w:val="000F2342"/>
    <w:rsid w:val="000F243A"/>
    <w:rsid w:val="000F2534"/>
    <w:rsid w:val="000F26BE"/>
    <w:rsid w:val="000F293C"/>
    <w:rsid w:val="000F3025"/>
    <w:rsid w:val="000F3107"/>
    <w:rsid w:val="000F313A"/>
    <w:rsid w:val="000F3494"/>
    <w:rsid w:val="000F3652"/>
    <w:rsid w:val="000F47EE"/>
    <w:rsid w:val="000F5369"/>
    <w:rsid w:val="000F550A"/>
    <w:rsid w:val="000F587A"/>
    <w:rsid w:val="000F5A06"/>
    <w:rsid w:val="000F5ADF"/>
    <w:rsid w:val="000F6312"/>
    <w:rsid w:val="000F65A9"/>
    <w:rsid w:val="000F6EF2"/>
    <w:rsid w:val="000F71D0"/>
    <w:rsid w:val="000F796C"/>
    <w:rsid w:val="000F7B3A"/>
    <w:rsid w:val="000F7BE8"/>
    <w:rsid w:val="000F7E2C"/>
    <w:rsid w:val="0010002A"/>
    <w:rsid w:val="00100646"/>
    <w:rsid w:val="0010086D"/>
    <w:rsid w:val="00100944"/>
    <w:rsid w:val="00100979"/>
    <w:rsid w:val="00100B4A"/>
    <w:rsid w:val="0010157D"/>
    <w:rsid w:val="0010161D"/>
    <w:rsid w:val="001018A8"/>
    <w:rsid w:val="0010273F"/>
    <w:rsid w:val="00103015"/>
    <w:rsid w:val="0010317D"/>
    <w:rsid w:val="0010319A"/>
    <w:rsid w:val="00103251"/>
    <w:rsid w:val="00103C38"/>
    <w:rsid w:val="00103E24"/>
    <w:rsid w:val="00103FF5"/>
    <w:rsid w:val="001041C8"/>
    <w:rsid w:val="0010461A"/>
    <w:rsid w:val="0010464E"/>
    <w:rsid w:val="00104A1D"/>
    <w:rsid w:val="00104A61"/>
    <w:rsid w:val="00104BFE"/>
    <w:rsid w:val="00104DE3"/>
    <w:rsid w:val="00104F86"/>
    <w:rsid w:val="001054F7"/>
    <w:rsid w:val="001059D6"/>
    <w:rsid w:val="00105CF3"/>
    <w:rsid w:val="00105D53"/>
    <w:rsid w:val="00106289"/>
    <w:rsid w:val="0010629F"/>
    <w:rsid w:val="001063B4"/>
    <w:rsid w:val="001063E9"/>
    <w:rsid w:val="00106990"/>
    <w:rsid w:val="001069A7"/>
    <w:rsid w:val="00106F40"/>
    <w:rsid w:val="00107381"/>
    <w:rsid w:val="0010738B"/>
    <w:rsid w:val="00107B3A"/>
    <w:rsid w:val="00107C44"/>
    <w:rsid w:val="00107C94"/>
    <w:rsid w:val="00107D5F"/>
    <w:rsid w:val="00107FDF"/>
    <w:rsid w:val="00111312"/>
    <w:rsid w:val="00111667"/>
    <w:rsid w:val="001118C8"/>
    <w:rsid w:val="00111951"/>
    <w:rsid w:val="00112E20"/>
    <w:rsid w:val="00112EE3"/>
    <w:rsid w:val="00112F1A"/>
    <w:rsid w:val="0011310F"/>
    <w:rsid w:val="0011322C"/>
    <w:rsid w:val="00113266"/>
    <w:rsid w:val="001136A7"/>
    <w:rsid w:val="001139A9"/>
    <w:rsid w:val="00113A9C"/>
    <w:rsid w:val="001141E8"/>
    <w:rsid w:val="001143A6"/>
    <w:rsid w:val="0011484B"/>
    <w:rsid w:val="0011525C"/>
    <w:rsid w:val="001156B8"/>
    <w:rsid w:val="0011588F"/>
    <w:rsid w:val="00115D20"/>
    <w:rsid w:val="00115F88"/>
    <w:rsid w:val="0011620A"/>
    <w:rsid w:val="00116B54"/>
    <w:rsid w:val="00116FEE"/>
    <w:rsid w:val="0011733D"/>
    <w:rsid w:val="00117643"/>
    <w:rsid w:val="00117932"/>
    <w:rsid w:val="00117F86"/>
    <w:rsid w:val="00120466"/>
    <w:rsid w:val="001207B3"/>
    <w:rsid w:val="0012082B"/>
    <w:rsid w:val="001208AB"/>
    <w:rsid w:val="001208AC"/>
    <w:rsid w:val="00121DFD"/>
    <w:rsid w:val="00121E4B"/>
    <w:rsid w:val="00121ED2"/>
    <w:rsid w:val="001223F8"/>
    <w:rsid w:val="00122B74"/>
    <w:rsid w:val="00122C04"/>
    <w:rsid w:val="00123746"/>
    <w:rsid w:val="00123CD2"/>
    <w:rsid w:val="00124106"/>
    <w:rsid w:val="00124803"/>
    <w:rsid w:val="00124E43"/>
    <w:rsid w:val="00124E9E"/>
    <w:rsid w:val="0012501E"/>
    <w:rsid w:val="0012508B"/>
    <w:rsid w:val="001251DF"/>
    <w:rsid w:val="0012523C"/>
    <w:rsid w:val="00125325"/>
    <w:rsid w:val="00125673"/>
    <w:rsid w:val="0012597C"/>
    <w:rsid w:val="00125BD9"/>
    <w:rsid w:val="00125D00"/>
    <w:rsid w:val="00126695"/>
    <w:rsid w:val="00126772"/>
    <w:rsid w:val="0012701F"/>
    <w:rsid w:val="00127848"/>
    <w:rsid w:val="0012791D"/>
    <w:rsid w:val="001279AE"/>
    <w:rsid w:val="00127F24"/>
    <w:rsid w:val="00127F9B"/>
    <w:rsid w:val="00130B32"/>
    <w:rsid w:val="00130E57"/>
    <w:rsid w:val="0013127D"/>
    <w:rsid w:val="0013153A"/>
    <w:rsid w:val="001319D8"/>
    <w:rsid w:val="001319F7"/>
    <w:rsid w:val="00131ABC"/>
    <w:rsid w:val="00131B14"/>
    <w:rsid w:val="00131D90"/>
    <w:rsid w:val="00131F1F"/>
    <w:rsid w:val="0013207A"/>
    <w:rsid w:val="001322BC"/>
    <w:rsid w:val="001323D6"/>
    <w:rsid w:val="00132402"/>
    <w:rsid w:val="001324C3"/>
    <w:rsid w:val="00132869"/>
    <w:rsid w:val="00133373"/>
    <w:rsid w:val="00133489"/>
    <w:rsid w:val="00133577"/>
    <w:rsid w:val="0013364E"/>
    <w:rsid w:val="00133671"/>
    <w:rsid w:val="001336F8"/>
    <w:rsid w:val="00133B1C"/>
    <w:rsid w:val="001344EA"/>
    <w:rsid w:val="00134B08"/>
    <w:rsid w:val="00134F4B"/>
    <w:rsid w:val="00135050"/>
    <w:rsid w:val="00135311"/>
    <w:rsid w:val="0013585D"/>
    <w:rsid w:val="0013595B"/>
    <w:rsid w:val="00135A44"/>
    <w:rsid w:val="00135C6A"/>
    <w:rsid w:val="00135E7D"/>
    <w:rsid w:val="00136399"/>
    <w:rsid w:val="00136983"/>
    <w:rsid w:val="001369B0"/>
    <w:rsid w:val="00136B82"/>
    <w:rsid w:val="00136E76"/>
    <w:rsid w:val="00136F0F"/>
    <w:rsid w:val="00137303"/>
    <w:rsid w:val="0013794F"/>
    <w:rsid w:val="001379FF"/>
    <w:rsid w:val="00137C06"/>
    <w:rsid w:val="00137DD1"/>
    <w:rsid w:val="001405D3"/>
    <w:rsid w:val="00140945"/>
    <w:rsid w:val="00140A20"/>
    <w:rsid w:val="00140C75"/>
    <w:rsid w:val="001417BD"/>
    <w:rsid w:val="00141B8C"/>
    <w:rsid w:val="00141D64"/>
    <w:rsid w:val="00141EFB"/>
    <w:rsid w:val="001421F7"/>
    <w:rsid w:val="00142204"/>
    <w:rsid w:val="0014262F"/>
    <w:rsid w:val="00142642"/>
    <w:rsid w:val="00142C74"/>
    <w:rsid w:val="001434DB"/>
    <w:rsid w:val="00143903"/>
    <w:rsid w:val="00143BB2"/>
    <w:rsid w:val="00143CF2"/>
    <w:rsid w:val="001445AE"/>
    <w:rsid w:val="0014468E"/>
    <w:rsid w:val="00144ACD"/>
    <w:rsid w:val="001455D3"/>
    <w:rsid w:val="00145898"/>
    <w:rsid w:val="00145BB5"/>
    <w:rsid w:val="001466EF"/>
    <w:rsid w:val="001468C6"/>
    <w:rsid w:val="00146C0F"/>
    <w:rsid w:val="00146C34"/>
    <w:rsid w:val="00146C47"/>
    <w:rsid w:val="00146D59"/>
    <w:rsid w:val="00146DF3"/>
    <w:rsid w:val="00146EC1"/>
    <w:rsid w:val="001475FE"/>
    <w:rsid w:val="0014792F"/>
    <w:rsid w:val="0014793C"/>
    <w:rsid w:val="00147DA2"/>
    <w:rsid w:val="00147F74"/>
    <w:rsid w:val="00150690"/>
    <w:rsid w:val="0015150F"/>
    <w:rsid w:val="00151828"/>
    <w:rsid w:val="0015199B"/>
    <w:rsid w:val="00151A69"/>
    <w:rsid w:val="00151B6A"/>
    <w:rsid w:val="0015247C"/>
    <w:rsid w:val="00152635"/>
    <w:rsid w:val="001531C9"/>
    <w:rsid w:val="00153755"/>
    <w:rsid w:val="00153A3C"/>
    <w:rsid w:val="00153E0E"/>
    <w:rsid w:val="0015415D"/>
    <w:rsid w:val="00154632"/>
    <w:rsid w:val="0015463B"/>
    <w:rsid w:val="0015463F"/>
    <w:rsid w:val="00154735"/>
    <w:rsid w:val="00154F67"/>
    <w:rsid w:val="00155008"/>
    <w:rsid w:val="001550B3"/>
    <w:rsid w:val="001551C9"/>
    <w:rsid w:val="001555C4"/>
    <w:rsid w:val="00155609"/>
    <w:rsid w:val="001557AF"/>
    <w:rsid w:val="001563C1"/>
    <w:rsid w:val="0015683C"/>
    <w:rsid w:val="00156AB7"/>
    <w:rsid w:val="00156FFD"/>
    <w:rsid w:val="001575C2"/>
    <w:rsid w:val="00157B84"/>
    <w:rsid w:val="00157C7C"/>
    <w:rsid w:val="001602FA"/>
    <w:rsid w:val="00160364"/>
    <w:rsid w:val="001609A4"/>
    <w:rsid w:val="00160CF2"/>
    <w:rsid w:val="0016124A"/>
    <w:rsid w:val="001613EF"/>
    <w:rsid w:val="0016160E"/>
    <w:rsid w:val="00161642"/>
    <w:rsid w:val="00161C03"/>
    <w:rsid w:val="00163598"/>
    <w:rsid w:val="00163610"/>
    <w:rsid w:val="001636D7"/>
    <w:rsid w:val="001638E4"/>
    <w:rsid w:val="001639DA"/>
    <w:rsid w:val="00163B21"/>
    <w:rsid w:val="00164050"/>
    <w:rsid w:val="00164248"/>
    <w:rsid w:val="0016489D"/>
    <w:rsid w:val="00164C86"/>
    <w:rsid w:val="00164C8C"/>
    <w:rsid w:val="00164D5C"/>
    <w:rsid w:val="00164FE3"/>
    <w:rsid w:val="00165890"/>
    <w:rsid w:val="001658B6"/>
    <w:rsid w:val="00165A49"/>
    <w:rsid w:val="00165C75"/>
    <w:rsid w:val="00165E91"/>
    <w:rsid w:val="00166140"/>
    <w:rsid w:val="001664B3"/>
    <w:rsid w:val="001665DE"/>
    <w:rsid w:val="001667A9"/>
    <w:rsid w:val="00166FDC"/>
    <w:rsid w:val="00167236"/>
    <w:rsid w:val="00167875"/>
    <w:rsid w:val="00167E09"/>
    <w:rsid w:val="00170619"/>
    <w:rsid w:val="001709D4"/>
    <w:rsid w:val="00170CF8"/>
    <w:rsid w:val="00170F65"/>
    <w:rsid w:val="00171BF1"/>
    <w:rsid w:val="00171C58"/>
    <w:rsid w:val="001724B2"/>
    <w:rsid w:val="00172776"/>
    <w:rsid w:val="00172C26"/>
    <w:rsid w:val="00172E13"/>
    <w:rsid w:val="00173577"/>
    <w:rsid w:val="0017369B"/>
    <w:rsid w:val="00173E55"/>
    <w:rsid w:val="00174058"/>
    <w:rsid w:val="00174136"/>
    <w:rsid w:val="0017416E"/>
    <w:rsid w:val="001742CD"/>
    <w:rsid w:val="0017439D"/>
    <w:rsid w:val="00174482"/>
    <w:rsid w:val="00174BA9"/>
    <w:rsid w:val="00174DAE"/>
    <w:rsid w:val="0017500F"/>
    <w:rsid w:val="00175707"/>
    <w:rsid w:val="00175823"/>
    <w:rsid w:val="00175872"/>
    <w:rsid w:val="001759A7"/>
    <w:rsid w:val="00175D21"/>
    <w:rsid w:val="00176592"/>
    <w:rsid w:val="00176658"/>
    <w:rsid w:val="00176AA5"/>
    <w:rsid w:val="00176B0A"/>
    <w:rsid w:val="00176BB1"/>
    <w:rsid w:val="00176BB9"/>
    <w:rsid w:val="00176BFE"/>
    <w:rsid w:val="00176D97"/>
    <w:rsid w:val="001770A7"/>
    <w:rsid w:val="001770E4"/>
    <w:rsid w:val="0017720E"/>
    <w:rsid w:val="001772CC"/>
    <w:rsid w:val="00177488"/>
    <w:rsid w:val="00177893"/>
    <w:rsid w:val="001779B1"/>
    <w:rsid w:val="00177AE9"/>
    <w:rsid w:val="00177DB2"/>
    <w:rsid w:val="00177F25"/>
    <w:rsid w:val="00177F6F"/>
    <w:rsid w:val="00180217"/>
    <w:rsid w:val="0018024E"/>
    <w:rsid w:val="00180554"/>
    <w:rsid w:val="001809C6"/>
    <w:rsid w:val="00180AD3"/>
    <w:rsid w:val="00180FB9"/>
    <w:rsid w:val="001811A7"/>
    <w:rsid w:val="0018141A"/>
    <w:rsid w:val="00182344"/>
    <w:rsid w:val="00182586"/>
    <w:rsid w:val="00183124"/>
    <w:rsid w:val="0018373E"/>
    <w:rsid w:val="001839C0"/>
    <w:rsid w:val="00183A87"/>
    <w:rsid w:val="00183B79"/>
    <w:rsid w:val="00183BE1"/>
    <w:rsid w:val="001841AF"/>
    <w:rsid w:val="00184221"/>
    <w:rsid w:val="0018443E"/>
    <w:rsid w:val="001856C7"/>
    <w:rsid w:val="00185ACB"/>
    <w:rsid w:val="00185C35"/>
    <w:rsid w:val="00185C70"/>
    <w:rsid w:val="00186115"/>
    <w:rsid w:val="00186230"/>
    <w:rsid w:val="00186307"/>
    <w:rsid w:val="001863F7"/>
    <w:rsid w:val="001868C3"/>
    <w:rsid w:val="001869EF"/>
    <w:rsid w:val="00186CCF"/>
    <w:rsid w:val="00186EBC"/>
    <w:rsid w:val="001870F8"/>
    <w:rsid w:val="001879E5"/>
    <w:rsid w:val="001909D8"/>
    <w:rsid w:val="00190D85"/>
    <w:rsid w:val="001914EE"/>
    <w:rsid w:val="00191536"/>
    <w:rsid w:val="001916C0"/>
    <w:rsid w:val="00191B1A"/>
    <w:rsid w:val="00191C49"/>
    <w:rsid w:val="00191F40"/>
    <w:rsid w:val="00192270"/>
    <w:rsid w:val="00192594"/>
    <w:rsid w:val="001928BF"/>
    <w:rsid w:val="00192A5D"/>
    <w:rsid w:val="00192AD5"/>
    <w:rsid w:val="00192D07"/>
    <w:rsid w:val="00192E80"/>
    <w:rsid w:val="00192EE3"/>
    <w:rsid w:val="00193203"/>
    <w:rsid w:val="0019327E"/>
    <w:rsid w:val="00193844"/>
    <w:rsid w:val="00193994"/>
    <w:rsid w:val="00193C5D"/>
    <w:rsid w:val="00194297"/>
    <w:rsid w:val="00194406"/>
    <w:rsid w:val="001945E0"/>
    <w:rsid w:val="00194637"/>
    <w:rsid w:val="001948A6"/>
    <w:rsid w:val="00194A55"/>
    <w:rsid w:val="00194B11"/>
    <w:rsid w:val="001952BB"/>
    <w:rsid w:val="00195C56"/>
    <w:rsid w:val="00195DA4"/>
    <w:rsid w:val="00195E86"/>
    <w:rsid w:val="001962B8"/>
    <w:rsid w:val="001963C7"/>
    <w:rsid w:val="001964ED"/>
    <w:rsid w:val="00196655"/>
    <w:rsid w:val="00196871"/>
    <w:rsid w:val="00196D3F"/>
    <w:rsid w:val="0019705B"/>
    <w:rsid w:val="001972E0"/>
    <w:rsid w:val="00197464"/>
    <w:rsid w:val="001976EE"/>
    <w:rsid w:val="00197D31"/>
    <w:rsid w:val="00197E01"/>
    <w:rsid w:val="001A0142"/>
    <w:rsid w:val="001A091D"/>
    <w:rsid w:val="001A0BD0"/>
    <w:rsid w:val="001A10DC"/>
    <w:rsid w:val="001A1807"/>
    <w:rsid w:val="001A1B94"/>
    <w:rsid w:val="001A20DC"/>
    <w:rsid w:val="001A2536"/>
    <w:rsid w:val="001A254D"/>
    <w:rsid w:val="001A25C8"/>
    <w:rsid w:val="001A2AEE"/>
    <w:rsid w:val="001A2B50"/>
    <w:rsid w:val="001A34B8"/>
    <w:rsid w:val="001A38A6"/>
    <w:rsid w:val="001A3DC9"/>
    <w:rsid w:val="001A478A"/>
    <w:rsid w:val="001A4BA0"/>
    <w:rsid w:val="001A4DA5"/>
    <w:rsid w:val="001A4FD7"/>
    <w:rsid w:val="001A5085"/>
    <w:rsid w:val="001A5270"/>
    <w:rsid w:val="001A56FA"/>
    <w:rsid w:val="001A6067"/>
    <w:rsid w:val="001A651E"/>
    <w:rsid w:val="001A6571"/>
    <w:rsid w:val="001A6A49"/>
    <w:rsid w:val="001A6D54"/>
    <w:rsid w:val="001A6F61"/>
    <w:rsid w:val="001A6F74"/>
    <w:rsid w:val="001A74F1"/>
    <w:rsid w:val="001A798B"/>
    <w:rsid w:val="001A7FFC"/>
    <w:rsid w:val="001B00CE"/>
    <w:rsid w:val="001B067F"/>
    <w:rsid w:val="001B08AF"/>
    <w:rsid w:val="001B0907"/>
    <w:rsid w:val="001B12A9"/>
    <w:rsid w:val="001B1600"/>
    <w:rsid w:val="001B1D29"/>
    <w:rsid w:val="001B2373"/>
    <w:rsid w:val="001B2429"/>
    <w:rsid w:val="001B2645"/>
    <w:rsid w:val="001B26E9"/>
    <w:rsid w:val="001B2791"/>
    <w:rsid w:val="001B288B"/>
    <w:rsid w:val="001B2A2F"/>
    <w:rsid w:val="001B2B12"/>
    <w:rsid w:val="001B2EAA"/>
    <w:rsid w:val="001B3016"/>
    <w:rsid w:val="001B3EC8"/>
    <w:rsid w:val="001B42E7"/>
    <w:rsid w:val="001B4304"/>
    <w:rsid w:val="001B4C83"/>
    <w:rsid w:val="001B4E40"/>
    <w:rsid w:val="001B4E96"/>
    <w:rsid w:val="001B54EB"/>
    <w:rsid w:val="001B5B6B"/>
    <w:rsid w:val="001B5D05"/>
    <w:rsid w:val="001B62AC"/>
    <w:rsid w:val="001B6389"/>
    <w:rsid w:val="001B6682"/>
    <w:rsid w:val="001B77EC"/>
    <w:rsid w:val="001B7931"/>
    <w:rsid w:val="001B7AC6"/>
    <w:rsid w:val="001B7D42"/>
    <w:rsid w:val="001C01DE"/>
    <w:rsid w:val="001C04CC"/>
    <w:rsid w:val="001C051E"/>
    <w:rsid w:val="001C06A9"/>
    <w:rsid w:val="001C06AA"/>
    <w:rsid w:val="001C0988"/>
    <w:rsid w:val="001C12CD"/>
    <w:rsid w:val="001C1683"/>
    <w:rsid w:val="001C243E"/>
    <w:rsid w:val="001C24C5"/>
    <w:rsid w:val="001C27ED"/>
    <w:rsid w:val="001C2D84"/>
    <w:rsid w:val="001C355E"/>
    <w:rsid w:val="001C36AB"/>
    <w:rsid w:val="001C39C4"/>
    <w:rsid w:val="001C3AD4"/>
    <w:rsid w:val="001C3F56"/>
    <w:rsid w:val="001C40A1"/>
    <w:rsid w:val="001C41CB"/>
    <w:rsid w:val="001C4814"/>
    <w:rsid w:val="001C6841"/>
    <w:rsid w:val="001C69D7"/>
    <w:rsid w:val="001C6B22"/>
    <w:rsid w:val="001C6B64"/>
    <w:rsid w:val="001C6BE8"/>
    <w:rsid w:val="001C6C4C"/>
    <w:rsid w:val="001C6F38"/>
    <w:rsid w:val="001C7101"/>
    <w:rsid w:val="001C716F"/>
    <w:rsid w:val="001C7497"/>
    <w:rsid w:val="001C796E"/>
    <w:rsid w:val="001C7A13"/>
    <w:rsid w:val="001C7B6A"/>
    <w:rsid w:val="001C7D17"/>
    <w:rsid w:val="001C7D1B"/>
    <w:rsid w:val="001D0015"/>
    <w:rsid w:val="001D0167"/>
    <w:rsid w:val="001D024E"/>
    <w:rsid w:val="001D087F"/>
    <w:rsid w:val="001D0E6B"/>
    <w:rsid w:val="001D10A0"/>
    <w:rsid w:val="001D1182"/>
    <w:rsid w:val="001D1303"/>
    <w:rsid w:val="001D16B1"/>
    <w:rsid w:val="001D17DF"/>
    <w:rsid w:val="001D1FD4"/>
    <w:rsid w:val="001D2AB4"/>
    <w:rsid w:val="001D2C41"/>
    <w:rsid w:val="001D3666"/>
    <w:rsid w:val="001D3854"/>
    <w:rsid w:val="001D390B"/>
    <w:rsid w:val="001D3A3F"/>
    <w:rsid w:val="001D4193"/>
    <w:rsid w:val="001D4496"/>
    <w:rsid w:val="001D476D"/>
    <w:rsid w:val="001D4824"/>
    <w:rsid w:val="001D5185"/>
    <w:rsid w:val="001D5205"/>
    <w:rsid w:val="001D5740"/>
    <w:rsid w:val="001D57E6"/>
    <w:rsid w:val="001D5D47"/>
    <w:rsid w:val="001D5DE3"/>
    <w:rsid w:val="001D5E68"/>
    <w:rsid w:val="001D632A"/>
    <w:rsid w:val="001D6F1D"/>
    <w:rsid w:val="001D720E"/>
    <w:rsid w:val="001D7AD3"/>
    <w:rsid w:val="001D7B90"/>
    <w:rsid w:val="001D7CF1"/>
    <w:rsid w:val="001E01E9"/>
    <w:rsid w:val="001E04E2"/>
    <w:rsid w:val="001E0994"/>
    <w:rsid w:val="001E0B0D"/>
    <w:rsid w:val="001E1138"/>
    <w:rsid w:val="001E1576"/>
    <w:rsid w:val="001E1791"/>
    <w:rsid w:val="001E1827"/>
    <w:rsid w:val="001E1B9A"/>
    <w:rsid w:val="001E1D9A"/>
    <w:rsid w:val="001E1DBC"/>
    <w:rsid w:val="001E1FF1"/>
    <w:rsid w:val="001E25EC"/>
    <w:rsid w:val="001E2CFA"/>
    <w:rsid w:val="001E30FD"/>
    <w:rsid w:val="001E36B8"/>
    <w:rsid w:val="001E3C0C"/>
    <w:rsid w:val="001E3DAF"/>
    <w:rsid w:val="001E3FBC"/>
    <w:rsid w:val="001E4452"/>
    <w:rsid w:val="001E4621"/>
    <w:rsid w:val="001E4A74"/>
    <w:rsid w:val="001E4E98"/>
    <w:rsid w:val="001E509E"/>
    <w:rsid w:val="001E50B3"/>
    <w:rsid w:val="001E5896"/>
    <w:rsid w:val="001E5918"/>
    <w:rsid w:val="001E5AC8"/>
    <w:rsid w:val="001E7125"/>
    <w:rsid w:val="001E72DF"/>
    <w:rsid w:val="001E7A60"/>
    <w:rsid w:val="001F069C"/>
    <w:rsid w:val="001F073C"/>
    <w:rsid w:val="001F0D0A"/>
    <w:rsid w:val="001F14AA"/>
    <w:rsid w:val="001F26A1"/>
    <w:rsid w:val="001F2912"/>
    <w:rsid w:val="001F2922"/>
    <w:rsid w:val="001F2C3D"/>
    <w:rsid w:val="001F2C60"/>
    <w:rsid w:val="001F2D1B"/>
    <w:rsid w:val="001F2F47"/>
    <w:rsid w:val="001F3569"/>
    <w:rsid w:val="001F3B35"/>
    <w:rsid w:val="001F3BD2"/>
    <w:rsid w:val="001F44AF"/>
    <w:rsid w:val="001F44F8"/>
    <w:rsid w:val="001F4748"/>
    <w:rsid w:val="001F5016"/>
    <w:rsid w:val="001F5903"/>
    <w:rsid w:val="001F5962"/>
    <w:rsid w:val="001F60D9"/>
    <w:rsid w:val="001F6306"/>
    <w:rsid w:val="001F6896"/>
    <w:rsid w:val="001F68D2"/>
    <w:rsid w:val="001F6B9D"/>
    <w:rsid w:val="001F6E22"/>
    <w:rsid w:val="001F6F3A"/>
    <w:rsid w:val="001F7264"/>
    <w:rsid w:val="001F7689"/>
    <w:rsid w:val="001F7873"/>
    <w:rsid w:val="001F78BF"/>
    <w:rsid w:val="00200018"/>
    <w:rsid w:val="00200296"/>
    <w:rsid w:val="00200565"/>
    <w:rsid w:val="002008E3"/>
    <w:rsid w:val="002009CC"/>
    <w:rsid w:val="00200B93"/>
    <w:rsid w:val="00200D21"/>
    <w:rsid w:val="002017CD"/>
    <w:rsid w:val="00201A14"/>
    <w:rsid w:val="00201ADB"/>
    <w:rsid w:val="00202154"/>
    <w:rsid w:val="0020256D"/>
    <w:rsid w:val="00203D6F"/>
    <w:rsid w:val="00203D8B"/>
    <w:rsid w:val="0020455C"/>
    <w:rsid w:val="00204B6C"/>
    <w:rsid w:val="00204B99"/>
    <w:rsid w:val="00204D5B"/>
    <w:rsid w:val="0020572C"/>
    <w:rsid w:val="002058E5"/>
    <w:rsid w:val="00205941"/>
    <w:rsid w:val="0020651B"/>
    <w:rsid w:val="00206783"/>
    <w:rsid w:val="002069EC"/>
    <w:rsid w:val="00206BBB"/>
    <w:rsid w:val="00207EF1"/>
    <w:rsid w:val="00210044"/>
    <w:rsid w:val="0021087D"/>
    <w:rsid w:val="0021096C"/>
    <w:rsid w:val="00210FAA"/>
    <w:rsid w:val="00211340"/>
    <w:rsid w:val="0021140A"/>
    <w:rsid w:val="002116A6"/>
    <w:rsid w:val="00211C43"/>
    <w:rsid w:val="00211F51"/>
    <w:rsid w:val="002130C4"/>
    <w:rsid w:val="002130E0"/>
    <w:rsid w:val="00213448"/>
    <w:rsid w:val="002135C8"/>
    <w:rsid w:val="00213B33"/>
    <w:rsid w:val="00213B65"/>
    <w:rsid w:val="00213D77"/>
    <w:rsid w:val="00213D83"/>
    <w:rsid w:val="002141F9"/>
    <w:rsid w:val="0021440A"/>
    <w:rsid w:val="00214438"/>
    <w:rsid w:val="002145A4"/>
    <w:rsid w:val="00214890"/>
    <w:rsid w:val="00214C05"/>
    <w:rsid w:val="00214CFF"/>
    <w:rsid w:val="00215787"/>
    <w:rsid w:val="00215BC3"/>
    <w:rsid w:val="00215CE5"/>
    <w:rsid w:val="00215EFA"/>
    <w:rsid w:val="00216816"/>
    <w:rsid w:val="00216911"/>
    <w:rsid w:val="00216B72"/>
    <w:rsid w:val="00216E97"/>
    <w:rsid w:val="00216F7F"/>
    <w:rsid w:val="0021711B"/>
    <w:rsid w:val="00217D81"/>
    <w:rsid w:val="00217DDF"/>
    <w:rsid w:val="00220012"/>
    <w:rsid w:val="002200D1"/>
    <w:rsid w:val="0022014D"/>
    <w:rsid w:val="002203B4"/>
    <w:rsid w:val="002205EB"/>
    <w:rsid w:val="00220AEA"/>
    <w:rsid w:val="00220B26"/>
    <w:rsid w:val="00220E59"/>
    <w:rsid w:val="00220ED3"/>
    <w:rsid w:val="00220FE5"/>
    <w:rsid w:val="0022112C"/>
    <w:rsid w:val="00221892"/>
    <w:rsid w:val="00221E15"/>
    <w:rsid w:val="00221EC8"/>
    <w:rsid w:val="0022200E"/>
    <w:rsid w:val="002221C7"/>
    <w:rsid w:val="0022222A"/>
    <w:rsid w:val="002222A6"/>
    <w:rsid w:val="00222423"/>
    <w:rsid w:val="0022254D"/>
    <w:rsid w:val="0022273A"/>
    <w:rsid w:val="00222910"/>
    <w:rsid w:val="00222C06"/>
    <w:rsid w:val="002234A6"/>
    <w:rsid w:val="00223BE9"/>
    <w:rsid w:val="00224131"/>
    <w:rsid w:val="002244EB"/>
    <w:rsid w:val="002248FF"/>
    <w:rsid w:val="00224AC1"/>
    <w:rsid w:val="00224CA4"/>
    <w:rsid w:val="00224D02"/>
    <w:rsid w:val="002250C2"/>
    <w:rsid w:val="0022515E"/>
    <w:rsid w:val="00225FCB"/>
    <w:rsid w:val="00226262"/>
    <w:rsid w:val="00226658"/>
    <w:rsid w:val="0022698A"/>
    <w:rsid w:val="00227485"/>
    <w:rsid w:val="00227492"/>
    <w:rsid w:val="002275B5"/>
    <w:rsid w:val="00227D10"/>
    <w:rsid w:val="00230533"/>
    <w:rsid w:val="00230A5E"/>
    <w:rsid w:val="00231013"/>
    <w:rsid w:val="0023188E"/>
    <w:rsid w:val="002319CE"/>
    <w:rsid w:val="00231D68"/>
    <w:rsid w:val="00232603"/>
    <w:rsid w:val="00232981"/>
    <w:rsid w:val="00232D12"/>
    <w:rsid w:val="002331DF"/>
    <w:rsid w:val="00233296"/>
    <w:rsid w:val="002333A2"/>
    <w:rsid w:val="002333F3"/>
    <w:rsid w:val="00233714"/>
    <w:rsid w:val="00233A0A"/>
    <w:rsid w:val="00233B8E"/>
    <w:rsid w:val="00233C71"/>
    <w:rsid w:val="00233C8C"/>
    <w:rsid w:val="00233E4C"/>
    <w:rsid w:val="00234259"/>
    <w:rsid w:val="002344AD"/>
    <w:rsid w:val="00234DD5"/>
    <w:rsid w:val="00235428"/>
    <w:rsid w:val="002354EF"/>
    <w:rsid w:val="00235ED4"/>
    <w:rsid w:val="00236156"/>
    <w:rsid w:val="00236301"/>
    <w:rsid w:val="0023667C"/>
    <w:rsid w:val="00236BF7"/>
    <w:rsid w:val="00236DB6"/>
    <w:rsid w:val="00236EFC"/>
    <w:rsid w:val="00236F2D"/>
    <w:rsid w:val="002371D8"/>
    <w:rsid w:val="002372CF"/>
    <w:rsid w:val="0023795F"/>
    <w:rsid w:val="00240490"/>
    <w:rsid w:val="0024058D"/>
    <w:rsid w:val="00240E5F"/>
    <w:rsid w:val="00240F60"/>
    <w:rsid w:val="002416FA"/>
    <w:rsid w:val="00241A7E"/>
    <w:rsid w:val="00241FD9"/>
    <w:rsid w:val="0024220D"/>
    <w:rsid w:val="002425EA"/>
    <w:rsid w:val="00242EA0"/>
    <w:rsid w:val="002431E1"/>
    <w:rsid w:val="00243491"/>
    <w:rsid w:val="00243685"/>
    <w:rsid w:val="002439FA"/>
    <w:rsid w:val="00243DA8"/>
    <w:rsid w:val="00243E2D"/>
    <w:rsid w:val="00243F24"/>
    <w:rsid w:val="00243F91"/>
    <w:rsid w:val="0024459C"/>
    <w:rsid w:val="002450D2"/>
    <w:rsid w:val="002452A0"/>
    <w:rsid w:val="002453EF"/>
    <w:rsid w:val="0024552F"/>
    <w:rsid w:val="002456A1"/>
    <w:rsid w:val="00245AD1"/>
    <w:rsid w:val="00245AD9"/>
    <w:rsid w:val="00245B4F"/>
    <w:rsid w:val="00245C34"/>
    <w:rsid w:val="00245D43"/>
    <w:rsid w:val="0024629A"/>
    <w:rsid w:val="00246350"/>
    <w:rsid w:val="00246543"/>
    <w:rsid w:val="002466E9"/>
    <w:rsid w:val="00246AE3"/>
    <w:rsid w:val="00246BDF"/>
    <w:rsid w:val="002470BB"/>
    <w:rsid w:val="0024711F"/>
    <w:rsid w:val="0024791D"/>
    <w:rsid w:val="002479A6"/>
    <w:rsid w:val="00247B97"/>
    <w:rsid w:val="00247BF9"/>
    <w:rsid w:val="00247CE5"/>
    <w:rsid w:val="00250A2D"/>
    <w:rsid w:val="00250AEE"/>
    <w:rsid w:val="00250E9E"/>
    <w:rsid w:val="00251160"/>
    <w:rsid w:val="0025118C"/>
    <w:rsid w:val="002511D4"/>
    <w:rsid w:val="0025135B"/>
    <w:rsid w:val="002514AF"/>
    <w:rsid w:val="002517D7"/>
    <w:rsid w:val="0025197F"/>
    <w:rsid w:val="00252139"/>
    <w:rsid w:val="0025237B"/>
    <w:rsid w:val="0025278E"/>
    <w:rsid w:val="00252A12"/>
    <w:rsid w:val="00252D61"/>
    <w:rsid w:val="0025302B"/>
    <w:rsid w:val="002530E7"/>
    <w:rsid w:val="002532B4"/>
    <w:rsid w:val="00253342"/>
    <w:rsid w:val="00253976"/>
    <w:rsid w:val="002539D7"/>
    <w:rsid w:val="00253AC1"/>
    <w:rsid w:val="00253CB4"/>
    <w:rsid w:val="00253D4D"/>
    <w:rsid w:val="00253E44"/>
    <w:rsid w:val="002543DC"/>
    <w:rsid w:val="0025444A"/>
    <w:rsid w:val="00254637"/>
    <w:rsid w:val="0025467B"/>
    <w:rsid w:val="0025487C"/>
    <w:rsid w:val="002549B4"/>
    <w:rsid w:val="00254A68"/>
    <w:rsid w:val="00254AE2"/>
    <w:rsid w:val="00254B97"/>
    <w:rsid w:val="00254EEB"/>
    <w:rsid w:val="002550A5"/>
    <w:rsid w:val="00255841"/>
    <w:rsid w:val="00255C51"/>
    <w:rsid w:val="00255C94"/>
    <w:rsid w:val="0025613F"/>
    <w:rsid w:val="00256AB7"/>
    <w:rsid w:val="00257048"/>
    <w:rsid w:val="00257A38"/>
    <w:rsid w:val="00257B0E"/>
    <w:rsid w:val="00257B33"/>
    <w:rsid w:val="00257C43"/>
    <w:rsid w:val="00257DEB"/>
    <w:rsid w:val="00257F91"/>
    <w:rsid w:val="00257FB3"/>
    <w:rsid w:val="002609A2"/>
    <w:rsid w:val="00260A25"/>
    <w:rsid w:val="00260B07"/>
    <w:rsid w:val="002613AE"/>
    <w:rsid w:val="00261912"/>
    <w:rsid w:val="00261ADC"/>
    <w:rsid w:val="00261DC6"/>
    <w:rsid w:val="00261FEC"/>
    <w:rsid w:val="0026203F"/>
    <w:rsid w:val="00262997"/>
    <w:rsid w:val="00262C13"/>
    <w:rsid w:val="002632DF"/>
    <w:rsid w:val="00263724"/>
    <w:rsid w:val="00263A45"/>
    <w:rsid w:val="002644DA"/>
    <w:rsid w:val="00264623"/>
    <w:rsid w:val="0026465F"/>
    <w:rsid w:val="0026468B"/>
    <w:rsid w:val="00264773"/>
    <w:rsid w:val="0026485A"/>
    <w:rsid w:val="002649C5"/>
    <w:rsid w:val="00264E52"/>
    <w:rsid w:val="0026506A"/>
    <w:rsid w:val="0026525D"/>
    <w:rsid w:val="00265377"/>
    <w:rsid w:val="002653CF"/>
    <w:rsid w:val="0026550B"/>
    <w:rsid w:val="00265674"/>
    <w:rsid w:val="002658C4"/>
    <w:rsid w:val="00265A40"/>
    <w:rsid w:val="00265A5F"/>
    <w:rsid w:val="002663F7"/>
    <w:rsid w:val="00266883"/>
    <w:rsid w:val="0026689D"/>
    <w:rsid w:val="00266ED1"/>
    <w:rsid w:val="0026727C"/>
    <w:rsid w:val="00267388"/>
    <w:rsid w:val="002677CA"/>
    <w:rsid w:val="0027028A"/>
    <w:rsid w:val="002703E7"/>
    <w:rsid w:val="0027091C"/>
    <w:rsid w:val="00270BBC"/>
    <w:rsid w:val="00270E20"/>
    <w:rsid w:val="0027143D"/>
    <w:rsid w:val="002715FF"/>
    <w:rsid w:val="0027170F"/>
    <w:rsid w:val="00271DE3"/>
    <w:rsid w:val="00271E54"/>
    <w:rsid w:val="00271F13"/>
    <w:rsid w:val="0027276D"/>
    <w:rsid w:val="002730E7"/>
    <w:rsid w:val="00273247"/>
    <w:rsid w:val="00273297"/>
    <w:rsid w:val="0027331C"/>
    <w:rsid w:val="002738ED"/>
    <w:rsid w:val="00273C3B"/>
    <w:rsid w:val="00273C66"/>
    <w:rsid w:val="00273C6D"/>
    <w:rsid w:val="00274463"/>
    <w:rsid w:val="002745B8"/>
    <w:rsid w:val="00274F2E"/>
    <w:rsid w:val="00275094"/>
    <w:rsid w:val="00275200"/>
    <w:rsid w:val="0027557E"/>
    <w:rsid w:val="002756C3"/>
    <w:rsid w:val="0027575E"/>
    <w:rsid w:val="00275EC0"/>
    <w:rsid w:val="00276B38"/>
    <w:rsid w:val="00276C8A"/>
    <w:rsid w:val="00276C8F"/>
    <w:rsid w:val="002770B3"/>
    <w:rsid w:val="00277969"/>
    <w:rsid w:val="002779EE"/>
    <w:rsid w:val="00277D40"/>
    <w:rsid w:val="00277E77"/>
    <w:rsid w:val="00280144"/>
    <w:rsid w:val="002801C0"/>
    <w:rsid w:val="002801F4"/>
    <w:rsid w:val="002802A4"/>
    <w:rsid w:val="00280898"/>
    <w:rsid w:val="002808E3"/>
    <w:rsid w:val="002809AB"/>
    <w:rsid w:val="002809BF"/>
    <w:rsid w:val="00280B5B"/>
    <w:rsid w:val="00280D8D"/>
    <w:rsid w:val="00281619"/>
    <w:rsid w:val="00281708"/>
    <w:rsid w:val="00281CE9"/>
    <w:rsid w:val="00281DCF"/>
    <w:rsid w:val="0028205C"/>
    <w:rsid w:val="0028249F"/>
    <w:rsid w:val="00282E45"/>
    <w:rsid w:val="0028325F"/>
    <w:rsid w:val="002836DF"/>
    <w:rsid w:val="00283E6B"/>
    <w:rsid w:val="002845BA"/>
    <w:rsid w:val="002849E9"/>
    <w:rsid w:val="00284E89"/>
    <w:rsid w:val="002850F8"/>
    <w:rsid w:val="002854CC"/>
    <w:rsid w:val="00285ACB"/>
    <w:rsid w:val="002861AB"/>
    <w:rsid w:val="002869C5"/>
    <w:rsid w:val="00286AB9"/>
    <w:rsid w:val="002872F3"/>
    <w:rsid w:val="00287596"/>
    <w:rsid w:val="0028777E"/>
    <w:rsid w:val="00287E1E"/>
    <w:rsid w:val="00290627"/>
    <w:rsid w:val="00290654"/>
    <w:rsid w:val="002910C0"/>
    <w:rsid w:val="0029132B"/>
    <w:rsid w:val="002913E0"/>
    <w:rsid w:val="00291928"/>
    <w:rsid w:val="00291C37"/>
    <w:rsid w:val="0029215B"/>
    <w:rsid w:val="002923DF"/>
    <w:rsid w:val="0029289C"/>
    <w:rsid w:val="002928F4"/>
    <w:rsid w:val="0029301C"/>
    <w:rsid w:val="002931B6"/>
    <w:rsid w:val="00293775"/>
    <w:rsid w:val="00293A1D"/>
    <w:rsid w:val="00293DFC"/>
    <w:rsid w:val="002940BD"/>
    <w:rsid w:val="002943BB"/>
    <w:rsid w:val="002947AE"/>
    <w:rsid w:val="002948F9"/>
    <w:rsid w:val="00295176"/>
    <w:rsid w:val="002951CD"/>
    <w:rsid w:val="0029558E"/>
    <w:rsid w:val="00295AE3"/>
    <w:rsid w:val="002969BE"/>
    <w:rsid w:val="00296B7A"/>
    <w:rsid w:val="00297AF4"/>
    <w:rsid w:val="00297D22"/>
    <w:rsid w:val="002A002D"/>
    <w:rsid w:val="002A0185"/>
    <w:rsid w:val="002A0366"/>
    <w:rsid w:val="002A03BF"/>
    <w:rsid w:val="002A059F"/>
    <w:rsid w:val="002A0B40"/>
    <w:rsid w:val="002A10D5"/>
    <w:rsid w:val="002A131B"/>
    <w:rsid w:val="002A17CA"/>
    <w:rsid w:val="002A1807"/>
    <w:rsid w:val="002A1975"/>
    <w:rsid w:val="002A19AF"/>
    <w:rsid w:val="002A1C12"/>
    <w:rsid w:val="002A1D47"/>
    <w:rsid w:val="002A25FC"/>
    <w:rsid w:val="002A2C50"/>
    <w:rsid w:val="002A2F01"/>
    <w:rsid w:val="002A38C8"/>
    <w:rsid w:val="002A391F"/>
    <w:rsid w:val="002A3BF1"/>
    <w:rsid w:val="002A4408"/>
    <w:rsid w:val="002A4503"/>
    <w:rsid w:val="002A466C"/>
    <w:rsid w:val="002A4882"/>
    <w:rsid w:val="002A492B"/>
    <w:rsid w:val="002A56AA"/>
    <w:rsid w:val="002A56BE"/>
    <w:rsid w:val="002A5745"/>
    <w:rsid w:val="002A58C5"/>
    <w:rsid w:val="002A5A12"/>
    <w:rsid w:val="002A5ABF"/>
    <w:rsid w:val="002A6017"/>
    <w:rsid w:val="002A64B2"/>
    <w:rsid w:val="002A68E5"/>
    <w:rsid w:val="002A7179"/>
    <w:rsid w:val="002A752D"/>
    <w:rsid w:val="002A78B9"/>
    <w:rsid w:val="002A7B80"/>
    <w:rsid w:val="002B05B8"/>
    <w:rsid w:val="002B0A43"/>
    <w:rsid w:val="002B0BD3"/>
    <w:rsid w:val="002B0D44"/>
    <w:rsid w:val="002B0F79"/>
    <w:rsid w:val="002B0FDF"/>
    <w:rsid w:val="002B13B0"/>
    <w:rsid w:val="002B150E"/>
    <w:rsid w:val="002B1675"/>
    <w:rsid w:val="002B16A2"/>
    <w:rsid w:val="002B1E92"/>
    <w:rsid w:val="002B1FE1"/>
    <w:rsid w:val="002B23DE"/>
    <w:rsid w:val="002B2487"/>
    <w:rsid w:val="002B24C5"/>
    <w:rsid w:val="002B2B40"/>
    <w:rsid w:val="002B2D81"/>
    <w:rsid w:val="002B2EE9"/>
    <w:rsid w:val="002B3328"/>
    <w:rsid w:val="002B3443"/>
    <w:rsid w:val="002B3887"/>
    <w:rsid w:val="002B47DA"/>
    <w:rsid w:val="002B4941"/>
    <w:rsid w:val="002B56BB"/>
    <w:rsid w:val="002B5B33"/>
    <w:rsid w:val="002B5D74"/>
    <w:rsid w:val="002B5FF6"/>
    <w:rsid w:val="002B671E"/>
    <w:rsid w:val="002B67CA"/>
    <w:rsid w:val="002B6817"/>
    <w:rsid w:val="002B68A1"/>
    <w:rsid w:val="002B6941"/>
    <w:rsid w:val="002B7124"/>
    <w:rsid w:val="002B7ADB"/>
    <w:rsid w:val="002B7C37"/>
    <w:rsid w:val="002C00ED"/>
    <w:rsid w:val="002C00F5"/>
    <w:rsid w:val="002C0269"/>
    <w:rsid w:val="002C07CE"/>
    <w:rsid w:val="002C0B85"/>
    <w:rsid w:val="002C1100"/>
    <w:rsid w:val="002C1543"/>
    <w:rsid w:val="002C157C"/>
    <w:rsid w:val="002C17C7"/>
    <w:rsid w:val="002C1BD8"/>
    <w:rsid w:val="002C1D2F"/>
    <w:rsid w:val="002C2161"/>
    <w:rsid w:val="002C29A6"/>
    <w:rsid w:val="002C2A12"/>
    <w:rsid w:val="002C2B58"/>
    <w:rsid w:val="002C304D"/>
    <w:rsid w:val="002C349E"/>
    <w:rsid w:val="002C34CC"/>
    <w:rsid w:val="002C3D05"/>
    <w:rsid w:val="002C3F34"/>
    <w:rsid w:val="002C44CB"/>
    <w:rsid w:val="002C4990"/>
    <w:rsid w:val="002C4C89"/>
    <w:rsid w:val="002C518D"/>
    <w:rsid w:val="002C59F8"/>
    <w:rsid w:val="002C5D22"/>
    <w:rsid w:val="002C5DB1"/>
    <w:rsid w:val="002C61E2"/>
    <w:rsid w:val="002C6BC3"/>
    <w:rsid w:val="002C719E"/>
    <w:rsid w:val="002C72F1"/>
    <w:rsid w:val="002C7818"/>
    <w:rsid w:val="002C79CE"/>
    <w:rsid w:val="002C7C13"/>
    <w:rsid w:val="002D01DA"/>
    <w:rsid w:val="002D0260"/>
    <w:rsid w:val="002D0444"/>
    <w:rsid w:val="002D0A5A"/>
    <w:rsid w:val="002D0D97"/>
    <w:rsid w:val="002D0EF2"/>
    <w:rsid w:val="002D1242"/>
    <w:rsid w:val="002D1268"/>
    <w:rsid w:val="002D23E6"/>
    <w:rsid w:val="002D245F"/>
    <w:rsid w:val="002D24AC"/>
    <w:rsid w:val="002D2BA1"/>
    <w:rsid w:val="002D2D33"/>
    <w:rsid w:val="002D2FCA"/>
    <w:rsid w:val="002D2FE8"/>
    <w:rsid w:val="002D307E"/>
    <w:rsid w:val="002D33DC"/>
    <w:rsid w:val="002D33E7"/>
    <w:rsid w:val="002D3613"/>
    <w:rsid w:val="002D37CF"/>
    <w:rsid w:val="002D398E"/>
    <w:rsid w:val="002D3EE3"/>
    <w:rsid w:val="002D3F55"/>
    <w:rsid w:val="002D400D"/>
    <w:rsid w:val="002D413A"/>
    <w:rsid w:val="002D45CF"/>
    <w:rsid w:val="002D5132"/>
    <w:rsid w:val="002D59B4"/>
    <w:rsid w:val="002D64DC"/>
    <w:rsid w:val="002D6773"/>
    <w:rsid w:val="002D6B2D"/>
    <w:rsid w:val="002D6BB5"/>
    <w:rsid w:val="002D6EB6"/>
    <w:rsid w:val="002D734D"/>
    <w:rsid w:val="002D7823"/>
    <w:rsid w:val="002D7840"/>
    <w:rsid w:val="002D7BA9"/>
    <w:rsid w:val="002D7CB5"/>
    <w:rsid w:val="002E008C"/>
    <w:rsid w:val="002E0286"/>
    <w:rsid w:val="002E032D"/>
    <w:rsid w:val="002E06D0"/>
    <w:rsid w:val="002E073B"/>
    <w:rsid w:val="002E0A85"/>
    <w:rsid w:val="002E0AF9"/>
    <w:rsid w:val="002E0D9D"/>
    <w:rsid w:val="002E0FC4"/>
    <w:rsid w:val="002E135D"/>
    <w:rsid w:val="002E147A"/>
    <w:rsid w:val="002E1C7A"/>
    <w:rsid w:val="002E1D9E"/>
    <w:rsid w:val="002E2131"/>
    <w:rsid w:val="002E227E"/>
    <w:rsid w:val="002E2470"/>
    <w:rsid w:val="002E2539"/>
    <w:rsid w:val="002E389F"/>
    <w:rsid w:val="002E3A4C"/>
    <w:rsid w:val="002E3EA6"/>
    <w:rsid w:val="002E4090"/>
    <w:rsid w:val="002E4293"/>
    <w:rsid w:val="002E4C2D"/>
    <w:rsid w:val="002E508B"/>
    <w:rsid w:val="002E5285"/>
    <w:rsid w:val="002E54CC"/>
    <w:rsid w:val="002E550B"/>
    <w:rsid w:val="002E5655"/>
    <w:rsid w:val="002E57D8"/>
    <w:rsid w:val="002E5DEA"/>
    <w:rsid w:val="002E6CAF"/>
    <w:rsid w:val="002E724A"/>
    <w:rsid w:val="002E755D"/>
    <w:rsid w:val="002E7A64"/>
    <w:rsid w:val="002E7A8E"/>
    <w:rsid w:val="002F00C9"/>
    <w:rsid w:val="002F039B"/>
    <w:rsid w:val="002F03E2"/>
    <w:rsid w:val="002F04E9"/>
    <w:rsid w:val="002F06A7"/>
    <w:rsid w:val="002F078A"/>
    <w:rsid w:val="002F1504"/>
    <w:rsid w:val="002F15FC"/>
    <w:rsid w:val="002F18E5"/>
    <w:rsid w:val="002F1DFB"/>
    <w:rsid w:val="002F2322"/>
    <w:rsid w:val="002F245E"/>
    <w:rsid w:val="002F26E6"/>
    <w:rsid w:val="002F2ACF"/>
    <w:rsid w:val="002F2AFE"/>
    <w:rsid w:val="002F2BB8"/>
    <w:rsid w:val="002F2F58"/>
    <w:rsid w:val="002F311E"/>
    <w:rsid w:val="002F313A"/>
    <w:rsid w:val="002F3322"/>
    <w:rsid w:val="002F33B9"/>
    <w:rsid w:val="002F345B"/>
    <w:rsid w:val="002F39A9"/>
    <w:rsid w:val="002F3BA8"/>
    <w:rsid w:val="002F3D86"/>
    <w:rsid w:val="002F4515"/>
    <w:rsid w:val="002F4637"/>
    <w:rsid w:val="002F46D7"/>
    <w:rsid w:val="002F4D92"/>
    <w:rsid w:val="002F50FB"/>
    <w:rsid w:val="002F543D"/>
    <w:rsid w:val="002F55DA"/>
    <w:rsid w:val="002F5FEC"/>
    <w:rsid w:val="002F615F"/>
    <w:rsid w:val="002F6244"/>
    <w:rsid w:val="002F6C11"/>
    <w:rsid w:val="002F71B8"/>
    <w:rsid w:val="002F71F4"/>
    <w:rsid w:val="002F72E7"/>
    <w:rsid w:val="002F7CD5"/>
    <w:rsid w:val="00300122"/>
    <w:rsid w:val="00300718"/>
    <w:rsid w:val="00300997"/>
    <w:rsid w:val="00300F4B"/>
    <w:rsid w:val="003012D1"/>
    <w:rsid w:val="003013B2"/>
    <w:rsid w:val="003015F1"/>
    <w:rsid w:val="00301EA1"/>
    <w:rsid w:val="00301F26"/>
    <w:rsid w:val="0030228E"/>
    <w:rsid w:val="00302616"/>
    <w:rsid w:val="00302A86"/>
    <w:rsid w:val="00302CC1"/>
    <w:rsid w:val="00302E1D"/>
    <w:rsid w:val="00302FCC"/>
    <w:rsid w:val="00303389"/>
    <w:rsid w:val="00303AE2"/>
    <w:rsid w:val="00303C61"/>
    <w:rsid w:val="00303CA0"/>
    <w:rsid w:val="00303EDC"/>
    <w:rsid w:val="0030431C"/>
    <w:rsid w:val="003048D1"/>
    <w:rsid w:val="00304AAE"/>
    <w:rsid w:val="00304E3A"/>
    <w:rsid w:val="00305077"/>
    <w:rsid w:val="00305213"/>
    <w:rsid w:val="00305297"/>
    <w:rsid w:val="003053A2"/>
    <w:rsid w:val="00305439"/>
    <w:rsid w:val="003055DD"/>
    <w:rsid w:val="00305A80"/>
    <w:rsid w:val="00305B7A"/>
    <w:rsid w:val="003062AE"/>
    <w:rsid w:val="003065DC"/>
    <w:rsid w:val="00306D8B"/>
    <w:rsid w:val="0030739B"/>
    <w:rsid w:val="00307549"/>
    <w:rsid w:val="00307F51"/>
    <w:rsid w:val="003102A3"/>
    <w:rsid w:val="0031031D"/>
    <w:rsid w:val="0031033B"/>
    <w:rsid w:val="00310894"/>
    <w:rsid w:val="003108C0"/>
    <w:rsid w:val="0031090D"/>
    <w:rsid w:val="00310A7E"/>
    <w:rsid w:val="00310D1A"/>
    <w:rsid w:val="00310E37"/>
    <w:rsid w:val="003112CA"/>
    <w:rsid w:val="00311847"/>
    <w:rsid w:val="0031194E"/>
    <w:rsid w:val="00311982"/>
    <w:rsid w:val="00311DAF"/>
    <w:rsid w:val="003121DA"/>
    <w:rsid w:val="003125C5"/>
    <w:rsid w:val="00312809"/>
    <w:rsid w:val="003128BF"/>
    <w:rsid w:val="00312922"/>
    <w:rsid w:val="003131CF"/>
    <w:rsid w:val="00313A25"/>
    <w:rsid w:val="00313AE3"/>
    <w:rsid w:val="00313DA6"/>
    <w:rsid w:val="00313DCA"/>
    <w:rsid w:val="00314051"/>
    <w:rsid w:val="003144D0"/>
    <w:rsid w:val="003144EC"/>
    <w:rsid w:val="003146DA"/>
    <w:rsid w:val="0031480D"/>
    <w:rsid w:val="00314B7D"/>
    <w:rsid w:val="00314BFC"/>
    <w:rsid w:val="00314C0F"/>
    <w:rsid w:val="00315039"/>
    <w:rsid w:val="00315514"/>
    <w:rsid w:val="00315520"/>
    <w:rsid w:val="003156ED"/>
    <w:rsid w:val="00315D7D"/>
    <w:rsid w:val="003160A0"/>
    <w:rsid w:val="003162EB"/>
    <w:rsid w:val="003163D5"/>
    <w:rsid w:val="0031686D"/>
    <w:rsid w:val="00316D3A"/>
    <w:rsid w:val="00317113"/>
    <w:rsid w:val="00317416"/>
    <w:rsid w:val="00317B24"/>
    <w:rsid w:val="00317E18"/>
    <w:rsid w:val="003200F7"/>
    <w:rsid w:val="00320163"/>
    <w:rsid w:val="003208AE"/>
    <w:rsid w:val="00320A88"/>
    <w:rsid w:val="003210CB"/>
    <w:rsid w:val="00321396"/>
    <w:rsid w:val="00321810"/>
    <w:rsid w:val="003219B2"/>
    <w:rsid w:val="00321A46"/>
    <w:rsid w:val="00321B6E"/>
    <w:rsid w:val="00321F85"/>
    <w:rsid w:val="00321FDA"/>
    <w:rsid w:val="003229E3"/>
    <w:rsid w:val="00322F08"/>
    <w:rsid w:val="00323B09"/>
    <w:rsid w:val="00323B99"/>
    <w:rsid w:val="00323C6A"/>
    <w:rsid w:val="00323CDD"/>
    <w:rsid w:val="00324130"/>
    <w:rsid w:val="00324141"/>
    <w:rsid w:val="00324945"/>
    <w:rsid w:val="00324B79"/>
    <w:rsid w:val="00324F1F"/>
    <w:rsid w:val="00325443"/>
    <w:rsid w:val="00325545"/>
    <w:rsid w:val="003260CF"/>
    <w:rsid w:val="00326469"/>
    <w:rsid w:val="003275CA"/>
    <w:rsid w:val="00327A21"/>
    <w:rsid w:val="00327A95"/>
    <w:rsid w:val="00327BD2"/>
    <w:rsid w:val="00327C57"/>
    <w:rsid w:val="00327EA6"/>
    <w:rsid w:val="00330C3F"/>
    <w:rsid w:val="00331584"/>
    <w:rsid w:val="003316D2"/>
    <w:rsid w:val="00331A16"/>
    <w:rsid w:val="00331C9C"/>
    <w:rsid w:val="003322BA"/>
    <w:rsid w:val="00332310"/>
    <w:rsid w:val="00332427"/>
    <w:rsid w:val="00332F99"/>
    <w:rsid w:val="00333128"/>
    <w:rsid w:val="003332B4"/>
    <w:rsid w:val="003334EC"/>
    <w:rsid w:val="003336EE"/>
    <w:rsid w:val="00333722"/>
    <w:rsid w:val="00333BD5"/>
    <w:rsid w:val="00333C84"/>
    <w:rsid w:val="00334229"/>
    <w:rsid w:val="003344E3"/>
    <w:rsid w:val="003347EE"/>
    <w:rsid w:val="0033491A"/>
    <w:rsid w:val="00334ACF"/>
    <w:rsid w:val="00335355"/>
    <w:rsid w:val="00335535"/>
    <w:rsid w:val="00335804"/>
    <w:rsid w:val="00335882"/>
    <w:rsid w:val="003358DF"/>
    <w:rsid w:val="00335A2D"/>
    <w:rsid w:val="0033671C"/>
    <w:rsid w:val="00336C78"/>
    <w:rsid w:val="00336E9E"/>
    <w:rsid w:val="003370A5"/>
    <w:rsid w:val="00337104"/>
    <w:rsid w:val="003376EB"/>
    <w:rsid w:val="003376FD"/>
    <w:rsid w:val="0033787B"/>
    <w:rsid w:val="003379D7"/>
    <w:rsid w:val="003404A5"/>
    <w:rsid w:val="00340A3F"/>
    <w:rsid w:val="0034171C"/>
    <w:rsid w:val="00341738"/>
    <w:rsid w:val="00341840"/>
    <w:rsid w:val="003418E3"/>
    <w:rsid w:val="00341A14"/>
    <w:rsid w:val="00341E53"/>
    <w:rsid w:val="00341EA1"/>
    <w:rsid w:val="003423AA"/>
    <w:rsid w:val="003429D1"/>
    <w:rsid w:val="00342B6D"/>
    <w:rsid w:val="00342BDC"/>
    <w:rsid w:val="00342ED2"/>
    <w:rsid w:val="00342F52"/>
    <w:rsid w:val="00342FA3"/>
    <w:rsid w:val="003433B0"/>
    <w:rsid w:val="00343AF6"/>
    <w:rsid w:val="00344219"/>
    <w:rsid w:val="00344661"/>
    <w:rsid w:val="00344F24"/>
    <w:rsid w:val="003452BC"/>
    <w:rsid w:val="003456E6"/>
    <w:rsid w:val="00345B1F"/>
    <w:rsid w:val="00345E01"/>
    <w:rsid w:val="00345F06"/>
    <w:rsid w:val="00346493"/>
    <w:rsid w:val="00346604"/>
    <w:rsid w:val="00346E26"/>
    <w:rsid w:val="00346E5E"/>
    <w:rsid w:val="0034775B"/>
    <w:rsid w:val="00347E8C"/>
    <w:rsid w:val="00347F72"/>
    <w:rsid w:val="00347F86"/>
    <w:rsid w:val="0035045D"/>
    <w:rsid w:val="0035105D"/>
    <w:rsid w:val="00351381"/>
    <w:rsid w:val="00351966"/>
    <w:rsid w:val="003524D9"/>
    <w:rsid w:val="00352753"/>
    <w:rsid w:val="003530A6"/>
    <w:rsid w:val="0035310F"/>
    <w:rsid w:val="00353197"/>
    <w:rsid w:val="00353398"/>
    <w:rsid w:val="003534D8"/>
    <w:rsid w:val="00353627"/>
    <w:rsid w:val="00353770"/>
    <w:rsid w:val="00353CAA"/>
    <w:rsid w:val="00353ED1"/>
    <w:rsid w:val="00353F2D"/>
    <w:rsid w:val="003545C3"/>
    <w:rsid w:val="00354C2C"/>
    <w:rsid w:val="0035574C"/>
    <w:rsid w:val="00355773"/>
    <w:rsid w:val="00355F72"/>
    <w:rsid w:val="0035628B"/>
    <w:rsid w:val="003566A9"/>
    <w:rsid w:val="00356E0C"/>
    <w:rsid w:val="003571D1"/>
    <w:rsid w:val="003575B0"/>
    <w:rsid w:val="00357657"/>
    <w:rsid w:val="0035778E"/>
    <w:rsid w:val="003577A9"/>
    <w:rsid w:val="00357E32"/>
    <w:rsid w:val="00357F0E"/>
    <w:rsid w:val="003614C5"/>
    <w:rsid w:val="00362899"/>
    <w:rsid w:val="003629E5"/>
    <w:rsid w:val="00362D0A"/>
    <w:rsid w:val="0036300D"/>
    <w:rsid w:val="00363487"/>
    <w:rsid w:val="003634EA"/>
    <w:rsid w:val="003639A6"/>
    <w:rsid w:val="0036434A"/>
    <w:rsid w:val="003645D5"/>
    <w:rsid w:val="003648A0"/>
    <w:rsid w:val="00364C97"/>
    <w:rsid w:val="00364D80"/>
    <w:rsid w:val="00364F7F"/>
    <w:rsid w:val="003651B2"/>
    <w:rsid w:val="003653E5"/>
    <w:rsid w:val="0036646E"/>
    <w:rsid w:val="003666A1"/>
    <w:rsid w:val="00366724"/>
    <w:rsid w:val="00366755"/>
    <w:rsid w:val="00366A2C"/>
    <w:rsid w:val="00366A9B"/>
    <w:rsid w:val="00366C32"/>
    <w:rsid w:val="00366CC0"/>
    <w:rsid w:val="00367361"/>
    <w:rsid w:val="0036786F"/>
    <w:rsid w:val="003678AC"/>
    <w:rsid w:val="003679AE"/>
    <w:rsid w:val="003679E7"/>
    <w:rsid w:val="00367A62"/>
    <w:rsid w:val="003702AF"/>
    <w:rsid w:val="003703BA"/>
    <w:rsid w:val="003704A7"/>
    <w:rsid w:val="00370688"/>
    <w:rsid w:val="0037076F"/>
    <w:rsid w:val="00370CBF"/>
    <w:rsid w:val="00370E86"/>
    <w:rsid w:val="00370F49"/>
    <w:rsid w:val="00370FE3"/>
    <w:rsid w:val="0037136C"/>
    <w:rsid w:val="003714BA"/>
    <w:rsid w:val="00371C03"/>
    <w:rsid w:val="00371E6D"/>
    <w:rsid w:val="00372328"/>
    <w:rsid w:val="00372465"/>
    <w:rsid w:val="00372B53"/>
    <w:rsid w:val="00374012"/>
    <w:rsid w:val="00374022"/>
    <w:rsid w:val="0037425F"/>
    <w:rsid w:val="003747ED"/>
    <w:rsid w:val="00374ECE"/>
    <w:rsid w:val="00374FDE"/>
    <w:rsid w:val="00375A48"/>
    <w:rsid w:val="00375B5E"/>
    <w:rsid w:val="00375CEB"/>
    <w:rsid w:val="003760BF"/>
    <w:rsid w:val="00376372"/>
    <w:rsid w:val="003764D6"/>
    <w:rsid w:val="003768A1"/>
    <w:rsid w:val="00376981"/>
    <w:rsid w:val="00376CA5"/>
    <w:rsid w:val="00376ED0"/>
    <w:rsid w:val="0037715D"/>
    <w:rsid w:val="0037758A"/>
    <w:rsid w:val="00377F3E"/>
    <w:rsid w:val="00377F69"/>
    <w:rsid w:val="003801E8"/>
    <w:rsid w:val="003802AE"/>
    <w:rsid w:val="00380E6F"/>
    <w:rsid w:val="00381409"/>
    <w:rsid w:val="0038179A"/>
    <w:rsid w:val="00381F13"/>
    <w:rsid w:val="0038201E"/>
    <w:rsid w:val="003820C8"/>
    <w:rsid w:val="0038212C"/>
    <w:rsid w:val="0038281C"/>
    <w:rsid w:val="00382B9D"/>
    <w:rsid w:val="00382C0E"/>
    <w:rsid w:val="00383AC2"/>
    <w:rsid w:val="00383B2B"/>
    <w:rsid w:val="00383DFF"/>
    <w:rsid w:val="00384339"/>
    <w:rsid w:val="003847D0"/>
    <w:rsid w:val="00384BFF"/>
    <w:rsid w:val="0038516B"/>
    <w:rsid w:val="003853FC"/>
    <w:rsid w:val="00385A16"/>
    <w:rsid w:val="00385A64"/>
    <w:rsid w:val="00385CAD"/>
    <w:rsid w:val="00386B1B"/>
    <w:rsid w:val="00386C4B"/>
    <w:rsid w:val="00386D1A"/>
    <w:rsid w:val="00386DD4"/>
    <w:rsid w:val="003876C5"/>
    <w:rsid w:val="003876FE"/>
    <w:rsid w:val="00387D80"/>
    <w:rsid w:val="003901BE"/>
    <w:rsid w:val="00390221"/>
    <w:rsid w:val="0039045D"/>
    <w:rsid w:val="003904F8"/>
    <w:rsid w:val="0039076E"/>
    <w:rsid w:val="0039085F"/>
    <w:rsid w:val="00390C8A"/>
    <w:rsid w:val="00390E89"/>
    <w:rsid w:val="00391289"/>
    <w:rsid w:val="0039133B"/>
    <w:rsid w:val="00391479"/>
    <w:rsid w:val="0039182E"/>
    <w:rsid w:val="00391B2D"/>
    <w:rsid w:val="00392006"/>
    <w:rsid w:val="003923B9"/>
    <w:rsid w:val="00392418"/>
    <w:rsid w:val="00392478"/>
    <w:rsid w:val="00392617"/>
    <w:rsid w:val="0039272E"/>
    <w:rsid w:val="00392A8D"/>
    <w:rsid w:val="00392AD8"/>
    <w:rsid w:val="00392DAB"/>
    <w:rsid w:val="00392DB5"/>
    <w:rsid w:val="00392E97"/>
    <w:rsid w:val="003933F3"/>
    <w:rsid w:val="0039342B"/>
    <w:rsid w:val="003939DD"/>
    <w:rsid w:val="00393F2B"/>
    <w:rsid w:val="00394116"/>
    <w:rsid w:val="00394142"/>
    <w:rsid w:val="00394355"/>
    <w:rsid w:val="00394BE5"/>
    <w:rsid w:val="00394C83"/>
    <w:rsid w:val="00394D07"/>
    <w:rsid w:val="0039538C"/>
    <w:rsid w:val="0039573B"/>
    <w:rsid w:val="00395810"/>
    <w:rsid w:val="003959EB"/>
    <w:rsid w:val="003959F9"/>
    <w:rsid w:val="00395F58"/>
    <w:rsid w:val="00396339"/>
    <w:rsid w:val="00396CF6"/>
    <w:rsid w:val="00396E1B"/>
    <w:rsid w:val="00397170"/>
    <w:rsid w:val="003973FA"/>
    <w:rsid w:val="003976B9"/>
    <w:rsid w:val="003977A5"/>
    <w:rsid w:val="0039789A"/>
    <w:rsid w:val="00397C0F"/>
    <w:rsid w:val="003A0064"/>
    <w:rsid w:val="003A04B8"/>
    <w:rsid w:val="003A0697"/>
    <w:rsid w:val="003A096A"/>
    <w:rsid w:val="003A0B8A"/>
    <w:rsid w:val="003A0C00"/>
    <w:rsid w:val="003A0C4B"/>
    <w:rsid w:val="003A0FF1"/>
    <w:rsid w:val="003A1686"/>
    <w:rsid w:val="003A2644"/>
    <w:rsid w:val="003A27B8"/>
    <w:rsid w:val="003A29E1"/>
    <w:rsid w:val="003A2A85"/>
    <w:rsid w:val="003A2AF1"/>
    <w:rsid w:val="003A3433"/>
    <w:rsid w:val="003A3798"/>
    <w:rsid w:val="003A3AD9"/>
    <w:rsid w:val="003A42EF"/>
    <w:rsid w:val="003A4519"/>
    <w:rsid w:val="003A464D"/>
    <w:rsid w:val="003A4E05"/>
    <w:rsid w:val="003A523A"/>
    <w:rsid w:val="003A537E"/>
    <w:rsid w:val="003A544A"/>
    <w:rsid w:val="003A54D0"/>
    <w:rsid w:val="003A6032"/>
    <w:rsid w:val="003A660F"/>
    <w:rsid w:val="003A693E"/>
    <w:rsid w:val="003A6ADA"/>
    <w:rsid w:val="003A700B"/>
    <w:rsid w:val="003A7595"/>
    <w:rsid w:val="003A7688"/>
    <w:rsid w:val="003A79A4"/>
    <w:rsid w:val="003A7B7F"/>
    <w:rsid w:val="003B00FB"/>
    <w:rsid w:val="003B03AD"/>
    <w:rsid w:val="003B0554"/>
    <w:rsid w:val="003B073A"/>
    <w:rsid w:val="003B0844"/>
    <w:rsid w:val="003B0900"/>
    <w:rsid w:val="003B095E"/>
    <w:rsid w:val="003B0C85"/>
    <w:rsid w:val="003B15C5"/>
    <w:rsid w:val="003B15DB"/>
    <w:rsid w:val="003B1CBE"/>
    <w:rsid w:val="003B23EB"/>
    <w:rsid w:val="003B27F3"/>
    <w:rsid w:val="003B291B"/>
    <w:rsid w:val="003B2E91"/>
    <w:rsid w:val="003B303F"/>
    <w:rsid w:val="003B3184"/>
    <w:rsid w:val="003B330F"/>
    <w:rsid w:val="003B339C"/>
    <w:rsid w:val="003B3C35"/>
    <w:rsid w:val="003B40AF"/>
    <w:rsid w:val="003B4923"/>
    <w:rsid w:val="003B4D4C"/>
    <w:rsid w:val="003B4E2A"/>
    <w:rsid w:val="003B4F67"/>
    <w:rsid w:val="003B511A"/>
    <w:rsid w:val="003B6906"/>
    <w:rsid w:val="003B711E"/>
    <w:rsid w:val="003B7303"/>
    <w:rsid w:val="003B7656"/>
    <w:rsid w:val="003B769E"/>
    <w:rsid w:val="003B772F"/>
    <w:rsid w:val="003C0127"/>
    <w:rsid w:val="003C01CB"/>
    <w:rsid w:val="003C055D"/>
    <w:rsid w:val="003C0657"/>
    <w:rsid w:val="003C0669"/>
    <w:rsid w:val="003C0B1C"/>
    <w:rsid w:val="003C0D95"/>
    <w:rsid w:val="003C0EAF"/>
    <w:rsid w:val="003C164A"/>
    <w:rsid w:val="003C178F"/>
    <w:rsid w:val="003C1A9F"/>
    <w:rsid w:val="003C20D4"/>
    <w:rsid w:val="003C21D5"/>
    <w:rsid w:val="003C2902"/>
    <w:rsid w:val="003C3049"/>
    <w:rsid w:val="003C32C1"/>
    <w:rsid w:val="003C3367"/>
    <w:rsid w:val="003C3EED"/>
    <w:rsid w:val="003C3F5D"/>
    <w:rsid w:val="003C4A72"/>
    <w:rsid w:val="003C4CDC"/>
    <w:rsid w:val="003C4FA3"/>
    <w:rsid w:val="003C52D9"/>
    <w:rsid w:val="003C549A"/>
    <w:rsid w:val="003C54D2"/>
    <w:rsid w:val="003C56D6"/>
    <w:rsid w:val="003C58D4"/>
    <w:rsid w:val="003C5DFE"/>
    <w:rsid w:val="003C5FB6"/>
    <w:rsid w:val="003C697F"/>
    <w:rsid w:val="003C6A73"/>
    <w:rsid w:val="003C6D73"/>
    <w:rsid w:val="003C6DE1"/>
    <w:rsid w:val="003C72F5"/>
    <w:rsid w:val="003C74F7"/>
    <w:rsid w:val="003C7589"/>
    <w:rsid w:val="003C7731"/>
    <w:rsid w:val="003C777E"/>
    <w:rsid w:val="003C7B03"/>
    <w:rsid w:val="003C7CF4"/>
    <w:rsid w:val="003D00C2"/>
    <w:rsid w:val="003D0B09"/>
    <w:rsid w:val="003D0C53"/>
    <w:rsid w:val="003D1114"/>
    <w:rsid w:val="003D11A9"/>
    <w:rsid w:val="003D1451"/>
    <w:rsid w:val="003D1C26"/>
    <w:rsid w:val="003D1EB8"/>
    <w:rsid w:val="003D1FB3"/>
    <w:rsid w:val="003D23FB"/>
    <w:rsid w:val="003D2A37"/>
    <w:rsid w:val="003D2EDC"/>
    <w:rsid w:val="003D338F"/>
    <w:rsid w:val="003D3427"/>
    <w:rsid w:val="003D3E6A"/>
    <w:rsid w:val="003D3EFE"/>
    <w:rsid w:val="003D4A6C"/>
    <w:rsid w:val="003D4B00"/>
    <w:rsid w:val="003D5658"/>
    <w:rsid w:val="003D57E9"/>
    <w:rsid w:val="003D5953"/>
    <w:rsid w:val="003D5F49"/>
    <w:rsid w:val="003D630E"/>
    <w:rsid w:val="003D6356"/>
    <w:rsid w:val="003D6729"/>
    <w:rsid w:val="003D69EF"/>
    <w:rsid w:val="003D6C19"/>
    <w:rsid w:val="003D6C55"/>
    <w:rsid w:val="003D6CD2"/>
    <w:rsid w:val="003D6E7B"/>
    <w:rsid w:val="003D6F90"/>
    <w:rsid w:val="003D7214"/>
    <w:rsid w:val="003D7B23"/>
    <w:rsid w:val="003D7C84"/>
    <w:rsid w:val="003D7E0C"/>
    <w:rsid w:val="003E0EDB"/>
    <w:rsid w:val="003E11A0"/>
    <w:rsid w:val="003E214F"/>
    <w:rsid w:val="003E2220"/>
    <w:rsid w:val="003E23E0"/>
    <w:rsid w:val="003E26E9"/>
    <w:rsid w:val="003E2781"/>
    <w:rsid w:val="003E2A63"/>
    <w:rsid w:val="003E2D71"/>
    <w:rsid w:val="003E335B"/>
    <w:rsid w:val="003E3558"/>
    <w:rsid w:val="003E3908"/>
    <w:rsid w:val="003E422B"/>
    <w:rsid w:val="003E45BD"/>
    <w:rsid w:val="003E45DA"/>
    <w:rsid w:val="003E46C5"/>
    <w:rsid w:val="003E477D"/>
    <w:rsid w:val="003E4B0C"/>
    <w:rsid w:val="003E4BF7"/>
    <w:rsid w:val="003E4F96"/>
    <w:rsid w:val="003E561B"/>
    <w:rsid w:val="003E5834"/>
    <w:rsid w:val="003E5B1D"/>
    <w:rsid w:val="003E6196"/>
    <w:rsid w:val="003E6475"/>
    <w:rsid w:val="003E749D"/>
    <w:rsid w:val="003E7723"/>
    <w:rsid w:val="003E7A0A"/>
    <w:rsid w:val="003E7A84"/>
    <w:rsid w:val="003E7B8B"/>
    <w:rsid w:val="003F0C7A"/>
    <w:rsid w:val="003F0D1C"/>
    <w:rsid w:val="003F0F5D"/>
    <w:rsid w:val="003F105A"/>
    <w:rsid w:val="003F1704"/>
    <w:rsid w:val="003F1A83"/>
    <w:rsid w:val="003F2593"/>
    <w:rsid w:val="003F25AF"/>
    <w:rsid w:val="003F2743"/>
    <w:rsid w:val="003F2848"/>
    <w:rsid w:val="003F2B85"/>
    <w:rsid w:val="003F2CC6"/>
    <w:rsid w:val="003F2F6D"/>
    <w:rsid w:val="003F3050"/>
    <w:rsid w:val="003F31DE"/>
    <w:rsid w:val="003F3401"/>
    <w:rsid w:val="003F3AA3"/>
    <w:rsid w:val="003F3CA5"/>
    <w:rsid w:val="003F3D07"/>
    <w:rsid w:val="003F4235"/>
    <w:rsid w:val="003F46DA"/>
    <w:rsid w:val="003F57E6"/>
    <w:rsid w:val="003F5E95"/>
    <w:rsid w:val="003F5FAA"/>
    <w:rsid w:val="003F6199"/>
    <w:rsid w:val="003F68AE"/>
    <w:rsid w:val="003F6B87"/>
    <w:rsid w:val="003F6D30"/>
    <w:rsid w:val="003F739D"/>
    <w:rsid w:val="003F7D20"/>
    <w:rsid w:val="003F7F0E"/>
    <w:rsid w:val="004004B9"/>
    <w:rsid w:val="00400BC6"/>
    <w:rsid w:val="00401482"/>
    <w:rsid w:val="00401999"/>
    <w:rsid w:val="00401E77"/>
    <w:rsid w:val="00401F14"/>
    <w:rsid w:val="004026ED"/>
    <w:rsid w:val="00402CAB"/>
    <w:rsid w:val="00402DB9"/>
    <w:rsid w:val="00402F1B"/>
    <w:rsid w:val="004033BF"/>
    <w:rsid w:val="00403604"/>
    <w:rsid w:val="00403B76"/>
    <w:rsid w:val="00403C05"/>
    <w:rsid w:val="00403CDE"/>
    <w:rsid w:val="00403E18"/>
    <w:rsid w:val="00403E25"/>
    <w:rsid w:val="004042DC"/>
    <w:rsid w:val="004044F2"/>
    <w:rsid w:val="004048BA"/>
    <w:rsid w:val="00404A4B"/>
    <w:rsid w:val="00404AEA"/>
    <w:rsid w:val="00404B7C"/>
    <w:rsid w:val="00404C3E"/>
    <w:rsid w:val="00405C34"/>
    <w:rsid w:val="0040607B"/>
    <w:rsid w:val="004067E0"/>
    <w:rsid w:val="0040683D"/>
    <w:rsid w:val="00406BDC"/>
    <w:rsid w:val="004073DC"/>
    <w:rsid w:val="00410029"/>
    <w:rsid w:val="00410BFC"/>
    <w:rsid w:val="00410CD1"/>
    <w:rsid w:val="004112C2"/>
    <w:rsid w:val="004115C0"/>
    <w:rsid w:val="0041197E"/>
    <w:rsid w:val="00411D0E"/>
    <w:rsid w:val="00411F2D"/>
    <w:rsid w:val="004128EB"/>
    <w:rsid w:val="00412CD9"/>
    <w:rsid w:val="00412F3F"/>
    <w:rsid w:val="00412F95"/>
    <w:rsid w:val="004134D2"/>
    <w:rsid w:val="00413882"/>
    <w:rsid w:val="00413FE6"/>
    <w:rsid w:val="004146D0"/>
    <w:rsid w:val="00414755"/>
    <w:rsid w:val="00414933"/>
    <w:rsid w:val="0041498A"/>
    <w:rsid w:val="00414FDC"/>
    <w:rsid w:val="00415615"/>
    <w:rsid w:val="00415932"/>
    <w:rsid w:val="00415A9C"/>
    <w:rsid w:val="00416259"/>
    <w:rsid w:val="00416479"/>
    <w:rsid w:val="0041660B"/>
    <w:rsid w:val="0041685C"/>
    <w:rsid w:val="00416A83"/>
    <w:rsid w:val="00416EBB"/>
    <w:rsid w:val="004174B0"/>
    <w:rsid w:val="004176C8"/>
    <w:rsid w:val="00417E32"/>
    <w:rsid w:val="00420540"/>
    <w:rsid w:val="004209FF"/>
    <w:rsid w:val="00421450"/>
    <w:rsid w:val="00421475"/>
    <w:rsid w:val="0042157E"/>
    <w:rsid w:val="004216F4"/>
    <w:rsid w:val="0042171C"/>
    <w:rsid w:val="004217D4"/>
    <w:rsid w:val="0042183D"/>
    <w:rsid w:val="00421E0B"/>
    <w:rsid w:val="00422649"/>
    <w:rsid w:val="00422C75"/>
    <w:rsid w:val="00422DB2"/>
    <w:rsid w:val="00422F23"/>
    <w:rsid w:val="004230DF"/>
    <w:rsid w:val="004234DB"/>
    <w:rsid w:val="00423965"/>
    <w:rsid w:val="00423F3A"/>
    <w:rsid w:val="004248CE"/>
    <w:rsid w:val="004249FB"/>
    <w:rsid w:val="00424EA9"/>
    <w:rsid w:val="00425029"/>
    <w:rsid w:val="004252D9"/>
    <w:rsid w:val="004254EE"/>
    <w:rsid w:val="00425737"/>
    <w:rsid w:val="00425A8F"/>
    <w:rsid w:val="00425B7B"/>
    <w:rsid w:val="00425E26"/>
    <w:rsid w:val="00426090"/>
    <w:rsid w:val="004263F2"/>
    <w:rsid w:val="00426809"/>
    <w:rsid w:val="00426C29"/>
    <w:rsid w:val="00426CD0"/>
    <w:rsid w:val="00426CF2"/>
    <w:rsid w:val="00427040"/>
    <w:rsid w:val="0042725D"/>
    <w:rsid w:val="004273AD"/>
    <w:rsid w:val="00427465"/>
    <w:rsid w:val="00427E55"/>
    <w:rsid w:val="0043005B"/>
    <w:rsid w:val="004301AC"/>
    <w:rsid w:val="00430289"/>
    <w:rsid w:val="00430A5D"/>
    <w:rsid w:val="00430EC6"/>
    <w:rsid w:val="004311B0"/>
    <w:rsid w:val="00431A27"/>
    <w:rsid w:val="00431CBD"/>
    <w:rsid w:val="004323EA"/>
    <w:rsid w:val="004326FF"/>
    <w:rsid w:val="00432ABA"/>
    <w:rsid w:val="00432CD2"/>
    <w:rsid w:val="00432D1E"/>
    <w:rsid w:val="004332B7"/>
    <w:rsid w:val="004335E3"/>
    <w:rsid w:val="00433E8B"/>
    <w:rsid w:val="004344F4"/>
    <w:rsid w:val="004344FA"/>
    <w:rsid w:val="00434531"/>
    <w:rsid w:val="0043460A"/>
    <w:rsid w:val="00434617"/>
    <w:rsid w:val="00434987"/>
    <w:rsid w:val="004349AA"/>
    <w:rsid w:val="00434E75"/>
    <w:rsid w:val="00434EBA"/>
    <w:rsid w:val="004352B2"/>
    <w:rsid w:val="00435BAC"/>
    <w:rsid w:val="00435D19"/>
    <w:rsid w:val="00435EB0"/>
    <w:rsid w:val="00436920"/>
    <w:rsid w:val="00437435"/>
    <w:rsid w:val="0043792E"/>
    <w:rsid w:val="00437A4C"/>
    <w:rsid w:val="00437BB5"/>
    <w:rsid w:val="00437D2E"/>
    <w:rsid w:val="004400BD"/>
    <w:rsid w:val="004405B9"/>
    <w:rsid w:val="004409A8"/>
    <w:rsid w:val="00440B1B"/>
    <w:rsid w:val="004417E7"/>
    <w:rsid w:val="00441962"/>
    <w:rsid w:val="0044304D"/>
    <w:rsid w:val="00443B00"/>
    <w:rsid w:val="00443C47"/>
    <w:rsid w:val="00443D52"/>
    <w:rsid w:val="00443F37"/>
    <w:rsid w:val="004441EB"/>
    <w:rsid w:val="004441FE"/>
    <w:rsid w:val="00444209"/>
    <w:rsid w:val="0044446B"/>
    <w:rsid w:val="0044452A"/>
    <w:rsid w:val="004449FA"/>
    <w:rsid w:val="00445182"/>
    <w:rsid w:val="0044553B"/>
    <w:rsid w:val="00445B73"/>
    <w:rsid w:val="00445D88"/>
    <w:rsid w:val="00446251"/>
    <w:rsid w:val="004463A3"/>
    <w:rsid w:val="00446443"/>
    <w:rsid w:val="00446551"/>
    <w:rsid w:val="004466C1"/>
    <w:rsid w:val="00446A11"/>
    <w:rsid w:val="00446C98"/>
    <w:rsid w:val="00446DB1"/>
    <w:rsid w:val="004474EB"/>
    <w:rsid w:val="00447E91"/>
    <w:rsid w:val="004504BA"/>
    <w:rsid w:val="0045155F"/>
    <w:rsid w:val="0045199F"/>
    <w:rsid w:val="00451CCA"/>
    <w:rsid w:val="00451E8F"/>
    <w:rsid w:val="00451EB2"/>
    <w:rsid w:val="00452360"/>
    <w:rsid w:val="00452AAF"/>
    <w:rsid w:val="00452D1C"/>
    <w:rsid w:val="00452F09"/>
    <w:rsid w:val="00452F7C"/>
    <w:rsid w:val="0045389C"/>
    <w:rsid w:val="00453BAE"/>
    <w:rsid w:val="00453D59"/>
    <w:rsid w:val="0045435E"/>
    <w:rsid w:val="004548E9"/>
    <w:rsid w:val="00454945"/>
    <w:rsid w:val="0045545C"/>
    <w:rsid w:val="00456242"/>
    <w:rsid w:val="00456603"/>
    <w:rsid w:val="004569BF"/>
    <w:rsid w:val="00456BBE"/>
    <w:rsid w:val="0045736B"/>
    <w:rsid w:val="00457694"/>
    <w:rsid w:val="00457F70"/>
    <w:rsid w:val="0046072D"/>
    <w:rsid w:val="0046096D"/>
    <w:rsid w:val="00460B6A"/>
    <w:rsid w:val="00460DDB"/>
    <w:rsid w:val="00461284"/>
    <w:rsid w:val="0046163A"/>
    <w:rsid w:val="004619BB"/>
    <w:rsid w:val="00461A05"/>
    <w:rsid w:val="00461D20"/>
    <w:rsid w:val="00461D54"/>
    <w:rsid w:val="0046252F"/>
    <w:rsid w:val="00462907"/>
    <w:rsid w:val="00462EF7"/>
    <w:rsid w:val="00462FF8"/>
    <w:rsid w:val="00463089"/>
    <w:rsid w:val="004631C6"/>
    <w:rsid w:val="00463830"/>
    <w:rsid w:val="00463A38"/>
    <w:rsid w:val="00463E50"/>
    <w:rsid w:val="0046407F"/>
    <w:rsid w:val="00464AC7"/>
    <w:rsid w:val="004657D7"/>
    <w:rsid w:val="00465D3F"/>
    <w:rsid w:val="0046600B"/>
    <w:rsid w:val="0046621E"/>
    <w:rsid w:val="004666FB"/>
    <w:rsid w:val="004668CA"/>
    <w:rsid w:val="00466A29"/>
    <w:rsid w:val="00466CDF"/>
    <w:rsid w:val="00466E47"/>
    <w:rsid w:val="00467816"/>
    <w:rsid w:val="00467DCF"/>
    <w:rsid w:val="0047091F"/>
    <w:rsid w:val="00470A4B"/>
    <w:rsid w:val="00470A77"/>
    <w:rsid w:val="00470C96"/>
    <w:rsid w:val="004711E7"/>
    <w:rsid w:val="00471979"/>
    <w:rsid w:val="0047219F"/>
    <w:rsid w:val="004723E2"/>
    <w:rsid w:val="00472421"/>
    <w:rsid w:val="00472661"/>
    <w:rsid w:val="0047279A"/>
    <w:rsid w:val="004729DB"/>
    <w:rsid w:val="00472D4D"/>
    <w:rsid w:val="00473128"/>
    <w:rsid w:val="00473616"/>
    <w:rsid w:val="00473CC5"/>
    <w:rsid w:val="0047440C"/>
    <w:rsid w:val="0047446E"/>
    <w:rsid w:val="004748A1"/>
    <w:rsid w:val="004749D5"/>
    <w:rsid w:val="00474E58"/>
    <w:rsid w:val="00475760"/>
    <w:rsid w:val="0047579C"/>
    <w:rsid w:val="004759B3"/>
    <w:rsid w:val="00475C45"/>
    <w:rsid w:val="00475CCC"/>
    <w:rsid w:val="00475FB5"/>
    <w:rsid w:val="0047602B"/>
    <w:rsid w:val="004772C2"/>
    <w:rsid w:val="004777F0"/>
    <w:rsid w:val="00477CFE"/>
    <w:rsid w:val="004804DA"/>
    <w:rsid w:val="004809F3"/>
    <w:rsid w:val="004812C2"/>
    <w:rsid w:val="004814CB"/>
    <w:rsid w:val="00481549"/>
    <w:rsid w:val="00481830"/>
    <w:rsid w:val="00481CFA"/>
    <w:rsid w:val="00482212"/>
    <w:rsid w:val="004825EC"/>
    <w:rsid w:val="00482A72"/>
    <w:rsid w:val="0048375A"/>
    <w:rsid w:val="004837D7"/>
    <w:rsid w:val="0048385B"/>
    <w:rsid w:val="004843E7"/>
    <w:rsid w:val="0048464D"/>
    <w:rsid w:val="0048478C"/>
    <w:rsid w:val="00484B49"/>
    <w:rsid w:val="00485380"/>
    <w:rsid w:val="00485653"/>
    <w:rsid w:val="0048565B"/>
    <w:rsid w:val="00485CD6"/>
    <w:rsid w:val="0048620F"/>
    <w:rsid w:val="0048686C"/>
    <w:rsid w:val="00486A51"/>
    <w:rsid w:val="00486A9B"/>
    <w:rsid w:val="00486D9B"/>
    <w:rsid w:val="00486EA4"/>
    <w:rsid w:val="0048761C"/>
    <w:rsid w:val="0048771B"/>
    <w:rsid w:val="004877A5"/>
    <w:rsid w:val="004879C3"/>
    <w:rsid w:val="00487D03"/>
    <w:rsid w:val="00487FBE"/>
    <w:rsid w:val="004900AE"/>
    <w:rsid w:val="004905DF"/>
    <w:rsid w:val="004908B7"/>
    <w:rsid w:val="00490A71"/>
    <w:rsid w:val="00490C1A"/>
    <w:rsid w:val="00490C74"/>
    <w:rsid w:val="00490E20"/>
    <w:rsid w:val="00490EDC"/>
    <w:rsid w:val="00491548"/>
    <w:rsid w:val="00491675"/>
    <w:rsid w:val="004919DD"/>
    <w:rsid w:val="004927E5"/>
    <w:rsid w:val="00492BA6"/>
    <w:rsid w:val="00492EC3"/>
    <w:rsid w:val="004935EF"/>
    <w:rsid w:val="00493634"/>
    <w:rsid w:val="00493CD5"/>
    <w:rsid w:val="004943A0"/>
    <w:rsid w:val="004943A5"/>
    <w:rsid w:val="004948EF"/>
    <w:rsid w:val="004949B1"/>
    <w:rsid w:val="00494E61"/>
    <w:rsid w:val="00494EDE"/>
    <w:rsid w:val="00494F7C"/>
    <w:rsid w:val="00495124"/>
    <w:rsid w:val="0049541A"/>
    <w:rsid w:val="004954B1"/>
    <w:rsid w:val="004963B7"/>
    <w:rsid w:val="004966AA"/>
    <w:rsid w:val="004969AE"/>
    <w:rsid w:val="00496B8C"/>
    <w:rsid w:val="0049775D"/>
    <w:rsid w:val="00497901"/>
    <w:rsid w:val="00497D0C"/>
    <w:rsid w:val="00497E87"/>
    <w:rsid w:val="004A08D2"/>
    <w:rsid w:val="004A09BA"/>
    <w:rsid w:val="004A0C06"/>
    <w:rsid w:val="004A0C6D"/>
    <w:rsid w:val="004A1A2E"/>
    <w:rsid w:val="004A1D9C"/>
    <w:rsid w:val="004A1F53"/>
    <w:rsid w:val="004A211D"/>
    <w:rsid w:val="004A2426"/>
    <w:rsid w:val="004A2A57"/>
    <w:rsid w:val="004A2C6E"/>
    <w:rsid w:val="004A2DF5"/>
    <w:rsid w:val="004A36BF"/>
    <w:rsid w:val="004A3805"/>
    <w:rsid w:val="004A3DEB"/>
    <w:rsid w:val="004A3ED0"/>
    <w:rsid w:val="004A4095"/>
    <w:rsid w:val="004A4123"/>
    <w:rsid w:val="004A4917"/>
    <w:rsid w:val="004A4E43"/>
    <w:rsid w:val="004A4EF3"/>
    <w:rsid w:val="004A531B"/>
    <w:rsid w:val="004A5746"/>
    <w:rsid w:val="004A5CB1"/>
    <w:rsid w:val="004A64A0"/>
    <w:rsid w:val="004A69B0"/>
    <w:rsid w:val="004A6DB3"/>
    <w:rsid w:val="004A7C4F"/>
    <w:rsid w:val="004B010F"/>
    <w:rsid w:val="004B0505"/>
    <w:rsid w:val="004B0FD3"/>
    <w:rsid w:val="004B117E"/>
    <w:rsid w:val="004B136F"/>
    <w:rsid w:val="004B1384"/>
    <w:rsid w:val="004B149D"/>
    <w:rsid w:val="004B14D0"/>
    <w:rsid w:val="004B1787"/>
    <w:rsid w:val="004B1912"/>
    <w:rsid w:val="004B1962"/>
    <w:rsid w:val="004B1B3D"/>
    <w:rsid w:val="004B1CF3"/>
    <w:rsid w:val="004B2157"/>
    <w:rsid w:val="004B23D3"/>
    <w:rsid w:val="004B2E79"/>
    <w:rsid w:val="004B324B"/>
    <w:rsid w:val="004B399C"/>
    <w:rsid w:val="004B3C00"/>
    <w:rsid w:val="004B3C82"/>
    <w:rsid w:val="004B4F0C"/>
    <w:rsid w:val="004B4FC7"/>
    <w:rsid w:val="004B55F8"/>
    <w:rsid w:val="004B57C5"/>
    <w:rsid w:val="004B5E31"/>
    <w:rsid w:val="004B5EA1"/>
    <w:rsid w:val="004B5F0B"/>
    <w:rsid w:val="004B60E8"/>
    <w:rsid w:val="004B6127"/>
    <w:rsid w:val="004B6B49"/>
    <w:rsid w:val="004B7685"/>
    <w:rsid w:val="004B78E6"/>
    <w:rsid w:val="004B7D80"/>
    <w:rsid w:val="004C000E"/>
    <w:rsid w:val="004C04A1"/>
    <w:rsid w:val="004C05B8"/>
    <w:rsid w:val="004C06B6"/>
    <w:rsid w:val="004C0777"/>
    <w:rsid w:val="004C0ACC"/>
    <w:rsid w:val="004C0B27"/>
    <w:rsid w:val="004C0DF5"/>
    <w:rsid w:val="004C10E4"/>
    <w:rsid w:val="004C1277"/>
    <w:rsid w:val="004C1B37"/>
    <w:rsid w:val="004C1D0C"/>
    <w:rsid w:val="004C1D61"/>
    <w:rsid w:val="004C2179"/>
    <w:rsid w:val="004C2266"/>
    <w:rsid w:val="004C227B"/>
    <w:rsid w:val="004C227D"/>
    <w:rsid w:val="004C2941"/>
    <w:rsid w:val="004C2D04"/>
    <w:rsid w:val="004C2F86"/>
    <w:rsid w:val="004C2FF3"/>
    <w:rsid w:val="004C37B3"/>
    <w:rsid w:val="004C3A65"/>
    <w:rsid w:val="004C3B63"/>
    <w:rsid w:val="004C3CC8"/>
    <w:rsid w:val="004C445C"/>
    <w:rsid w:val="004C48D6"/>
    <w:rsid w:val="004C4A10"/>
    <w:rsid w:val="004C5213"/>
    <w:rsid w:val="004C5429"/>
    <w:rsid w:val="004C559B"/>
    <w:rsid w:val="004C5F62"/>
    <w:rsid w:val="004C62B9"/>
    <w:rsid w:val="004C68FA"/>
    <w:rsid w:val="004C6990"/>
    <w:rsid w:val="004C6B7F"/>
    <w:rsid w:val="004C6C22"/>
    <w:rsid w:val="004C7056"/>
    <w:rsid w:val="004C70B5"/>
    <w:rsid w:val="004C7295"/>
    <w:rsid w:val="004C7C38"/>
    <w:rsid w:val="004D02D7"/>
    <w:rsid w:val="004D0360"/>
    <w:rsid w:val="004D07D0"/>
    <w:rsid w:val="004D0AAD"/>
    <w:rsid w:val="004D1006"/>
    <w:rsid w:val="004D1049"/>
    <w:rsid w:val="004D14B0"/>
    <w:rsid w:val="004D16E4"/>
    <w:rsid w:val="004D1A86"/>
    <w:rsid w:val="004D1F91"/>
    <w:rsid w:val="004D2037"/>
    <w:rsid w:val="004D2C86"/>
    <w:rsid w:val="004D2EB5"/>
    <w:rsid w:val="004D30BF"/>
    <w:rsid w:val="004D3265"/>
    <w:rsid w:val="004D3415"/>
    <w:rsid w:val="004D35AC"/>
    <w:rsid w:val="004D38D3"/>
    <w:rsid w:val="004D40BD"/>
    <w:rsid w:val="004D41C5"/>
    <w:rsid w:val="004D41EA"/>
    <w:rsid w:val="004D4457"/>
    <w:rsid w:val="004D45DF"/>
    <w:rsid w:val="004D4935"/>
    <w:rsid w:val="004D513D"/>
    <w:rsid w:val="004D5466"/>
    <w:rsid w:val="004D5608"/>
    <w:rsid w:val="004D5964"/>
    <w:rsid w:val="004D5AC3"/>
    <w:rsid w:val="004D6546"/>
    <w:rsid w:val="004D70FE"/>
    <w:rsid w:val="004D72E0"/>
    <w:rsid w:val="004D7452"/>
    <w:rsid w:val="004D7F30"/>
    <w:rsid w:val="004E0C0B"/>
    <w:rsid w:val="004E1006"/>
    <w:rsid w:val="004E10E2"/>
    <w:rsid w:val="004E1853"/>
    <w:rsid w:val="004E2125"/>
    <w:rsid w:val="004E2C9C"/>
    <w:rsid w:val="004E32EF"/>
    <w:rsid w:val="004E346E"/>
    <w:rsid w:val="004E3A56"/>
    <w:rsid w:val="004E43D0"/>
    <w:rsid w:val="004E4E07"/>
    <w:rsid w:val="004E4E3D"/>
    <w:rsid w:val="004E5798"/>
    <w:rsid w:val="004E57CE"/>
    <w:rsid w:val="004E5CEA"/>
    <w:rsid w:val="004E5DAC"/>
    <w:rsid w:val="004E5DB2"/>
    <w:rsid w:val="004E5F8F"/>
    <w:rsid w:val="004E614D"/>
    <w:rsid w:val="004E617D"/>
    <w:rsid w:val="004E6654"/>
    <w:rsid w:val="004E6670"/>
    <w:rsid w:val="004E67C5"/>
    <w:rsid w:val="004E68E3"/>
    <w:rsid w:val="004E6BDB"/>
    <w:rsid w:val="004E6CFF"/>
    <w:rsid w:val="004E6D75"/>
    <w:rsid w:val="004E6E66"/>
    <w:rsid w:val="004E70C6"/>
    <w:rsid w:val="004E70CD"/>
    <w:rsid w:val="004E71DD"/>
    <w:rsid w:val="004E76B1"/>
    <w:rsid w:val="004E79B6"/>
    <w:rsid w:val="004E7AB7"/>
    <w:rsid w:val="004E7ACF"/>
    <w:rsid w:val="004E7AD4"/>
    <w:rsid w:val="004F001A"/>
    <w:rsid w:val="004F03F9"/>
    <w:rsid w:val="004F062C"/>
    <w:rsid w:val="004F0F70"/>
    <w:rsid w:val="004F122D"/>
    <w:rsid w:val="004F12E7"/>
    <w:rsid w:val="004F1802"/>
    <w:rsid w:val="004F2248"/>
    <w:rsid w:val="004F236D"/>
    <w:rsid w:val="004F2608"/>
    <w:rsid w:val="004F2736"/>
    <w:rsid w:val="004F2D04"/>
    <w:rsid w:val="004F33E9"/>
    <w:rsid w:val="004F341B"/>
    <w:rsid w:val="004F3688"/>
    <w:rsid w:val="004F39F3"/>
    <w:rsid w:val="004F39F9"/>
    <w:rsid w:val="004F3AA7"/>
    <w:rsid w:val="004F3AAE"/>
    <w:rsid w:val="004F3F05"/>
    <w:rsid w:val="004F4253"/>
    <w:rsid w:val="004F46BE"/>
    <w:rsid w:val="004F4BDE"/>
    <w:rsid w:val="004F5247"/>
    <w:rsid w:val="004F57D5"/>
    <w:rsid w:val="004F6800"/>
    <w:rsid w:val="004F686E"/>
    <w:rsid w:val="004F740E"/>
    <w:rsid w:val="004F74DF"/>
    <w:rsid w:val="004F76CB"/>
    <w:rsid w:val="004F7CAC"/>
    <w:rsid w:val="00500507"/>
    <w:rsid w:val="005006DE"/>
    <w:rsid w:val="0050175A"/>
    <w:rsid w:val="00501CD2"/>
    <w:rsid w:val="00501D26"/>
    <w:rsid w:val="00502229"/>
    <w:rsid w:val="0050226A"/>
    <w:rsid w:val="00502654"/>
    <w:rsid w:val="00502A75"/>
    <w:rsid w:val="005031DD"/>
    <w:rsid w:val="00503558"/>
    <w:rsid w:val="00503AA2"/>
    <w:rsid w:val="00503E77"/>
    <w:rsid w:val="00503FC1"/>
    <w:rsid w:val="0050432A"/>
    <w:rsid w:val="00504466"/>
    <w:rsid w:val="00504CB3"/>
    <w:rsid w:val="00504DA3"/>
    <w:rsid w:val="0050526D"/>
    <w:rsid w:val="005056BF"/>
    <w:rsid w:val="00505846"/>
    <w:rsid w:val="00505BD6"/>
    <w:rsid w:val="00505C92"/>
    <w:rsid w:val="00505CC9"/>
    <w:rsid w:val="00505ED8"/>
    <w:rsid w:val="00506C88"/>
    <w:rsid w:val="00507191"/>
    <w:rsid w:val="00507489"/>
    <w:rsid w:val="0050756E"/>
    <w:rsid w:val="0050764E"/>
    <w:rsid w:val="005077E3"/>
    <w:rsid w:val="00507823"/>
    <w:rsid w:val="00507835"/>
    <w:rsid w:val="00507E76"/>
    <w:rsid w:val="00507E92"/>
    <w:rsid w:val="00507F63"/>
    <w:rsid w:val="00510ECD"/>
    <w:rsid w:val="00511320"/>
    <w:rsid w:val="005113BA"/>
    <w:rsid w:val="0051154C"/>
    <w:rsid w:val="005115C1"/>
    <w:rsid w:val="0051183C"/>
    <w:rsid w:val="00511873"/>
    <w:rsid w:val="005119C9"/>
    <w:rsid w:val="00511C16"/>
    <w:rsid w:val="00511D13"/>
    <w:rsid w:val="00512759"/>
    <w:rsid w:val="00512954"/>
    <w:rsid w:val="00512A8B"/>
    <w:rsid w:val="00513692"/>
    <w:rsid w:val="00513F93"/>
    <w:rsid w:val="0051429E"/>
    <w:rsid w:val="005143F9"/>
    <w:rsid w:val="00514C33"/>
    <w:rsid w:val="00514E56"/>
    <w:rsid w:val="005153BF"/>
    <w:rsid w:val="005153C7"/>
    <w:rsid w:val="005153FB"/>
    <w:rsid w:val="00515496"/>
    <w:rsid w:val="00516293"/>
    <w:rsid w:val="0051636A"/>
    <w:rsid w:val="005164EC"/>
    <w:rsid w:val="00516566"/>
    <w:rsid w:val="00516EA2"/>
    <w:rsid w:val="005170BC"/>
    <w:rsid w:val="00517B35"/>
    <w:rsid w:val="00517BEA"/>
    <w:rsid w:val="00517CE9"/>
    <w:rsid w:val="00517EE2"/>
    <w:rsid w:val="005200D5"/>
    <w:rsid w:val="0052031D"/>
    <w:rsid w:val="00520340"/>
    <w:rsid w:val="00520350"/>
    <w:rsid w:val="00520D14"/>
    <w:rsid w:val="005213A4"/>
    <w:rsid w:val="00521555"/>
    <w:rsid w:val="005218C3"/>
    <w:rsid w:val="00521B0F"/>
    <w:rsid w:val="005220D2"/>
    <w:rsid w:val="00522301"/>
    <w:rsid w:val="00522C34"/>
    <w:rsid w:val="0052308D"/>
    <w:rsid w:val="005239DE"/>
    <w:rsid w:val="00524EBC"/>
    <w:rsid w:val="00525415"/>
    <w:rsid w:val="00525B6D"/>
    <w:rsid w:val="00525B86"/>
    <w:rsid w:val="00525CF6"/>
    <w:rsid w:val="00526059"/>
    <w:rsid w:val="00526954"/>
    <w:rsid w:val="00526979"/>
    <w:rsid w:val="00526E6C"/>
    <w:rsid w:val="005273C9"/>
    <w:rsid w:val="005274D3"/>
    <w:rsid w:val="0052758B"/>
    <w:rsid w:val="005275FA"/>
    <w:rsid w:val="00527BE0"/>
    <w:rsid w:val="00527E42"/>
    <w:rsid w:val="00530445"/>
    <w:rsid w:val="005309AC"/>
    <w:rsid w:val="00530A1E"/>
    <w:rsid w:val="005311D9"/>
    <w:rsid w:val="005313F8"/>
    <w:rsid w:val="0053158E"/>
    <w:rsid w:val="00531594"/>
    <w:rsid w:val="0053190F"/>
    <w:rsid w:val="0053193D"/>
    <w:rsid w:val="00531C11"/>
    <w:rsid w:val="00531E31"/>
    <w:rsid w:val="00531ED9"/>
    <w:rsid w:val="0053211C"/>
    <w:rsid w:val="0053231E"/>
    <w:rsid w:val="00532389"/>
    <w:rsid w:val="00532405"/>
    <w:rsid w:val="005325CD"/>
    <w:rsid w:val="00532858"/>
    <w:rsid w:val="00532D3D"/>
    <w:rsid w:val="00532E2C"/>
    <w:rsid w:val="00532E4F"/>
    <w:rsid w:val="00533153"/>
    <w:rsid w:val="0053339C"/>
    <w:rsid w:val="0053350B"/>
    <w:rsid w:val="0053387C"/>
    <w:rsid w:val="00534C5B"/>
    <w:rsid w:val="00534F70"/>
    <w:rsid w:val="00534F8C"/>
    <w:rsid w:val="0053527A"/>
    <w:rsid w:val="0053582A"/>
    <w:rsid w:val="00535C74"/>
    <w:rsid w:val="00535F46"/>
    <w:rsid w:val="005361AB"/>
    <w:rsid w:val="0053622A"/>
    <w:rsid w:val="005364EB"/>
    <w:rsid w:val="005366D5"/>
    <w:rsid w:val="0053698E"/>
    <w:rsid w:val="00536B95"/>
    <w:rsid w:val="00536EFF"/>
    <w:rsid w:val="0053732A"/>
    <w:rsid w:val="005373AE"/>
    <w:rsid w:val="00537A05"/>
    <w:rsid w:val="00537FDD"/>
    <w:rsid w:val="00540C49"/>
    <w:rsid w:val="00540CD0"/>
    <w:rsid w:val="00540E76"/>
    <w:rsid w:val="00541181"/>
    <w:rsid w:val="00541194"/>
    <w:rsid w:val="0054138C"/>
    <w:rsid w:val="005416CF"/>
    <w:rsid w:val="00541D43"/>
    <w:rsid w:val="00542068"/>
    <w:rsid w:val="0054275F"/>
    <w:rsid w:val="0054280A"/>
    <w:rsid w:val="00542F15"/>
    <w:rsid w:val="005430BD"/>
    <w:rsid w:val="00543300"/>
    <w:rsid w:val="005439E5"/>
    <w:rsid w:val="00543AF9"/>
    <w:rsid w:val="005442BC"/>
    <w:rsid w:val="00544985"/>
    <w:rsid w:val="00544AA6"/>
    <w:rsid w:val="00544BF4"/>
    <w:rsid w:val="00544C74"/>
    <w:rsid w:val="00544DE1"/>
    <w:rsid w:val="0054568C"/>
    <w:rsid w:val="00545821"/>
    <w:rsid w:val="00545978"/>
    <w:rsid w:val="00545B27"/>
    <w:rsid w:val="00545EA8"/>
    <w:rsid w:val="005460EA"/>
    <w:rsid w:val="00546137"/>
    <w:rsid w:val="00546701"/>
    <w:rsid w:val="0054672C"/>
    <w:rsid w:val="00547389"/>
    <w:rsid w:val="00547415"/>
    <w:rsid w:val="0054760C"/>
    <w:rsid w:val="00547697"/>
    <w:rsid w:val="00547C27"/>
    <w:rsid w:val="00547CD2"/>
    <w:rsid w:val="00547F3F"/>
    <w:rsid w:val="00547FC0"/>
    <w:rsid w:val="005504A1"/>
    <w:rsid w:val="0055072B"/>
    <w:rsid w:val="005509C8"/>
    <w:rsid w:val="00550B0B"/>
    <w:rsid w:val="00550FD8"/>
    <w:rsid w:val="0055138F"/>
    <w:rsid w:val="005517CC"/>
    <w:rsid w:val="00551C35"/>
    <w:rsid w:val="00551CA6"/>
    <w:rsid w:val="00551DCF"/>
    <w:rsid w:val="00552033"/>
    <w:rsid w:val="00552726"/>
    <w:rsid w:val="0055287E"/>
    <w:rsid w:val="0055323C"/>
    <w:rsid w:val="005532FE"/>
    <w:rsid w:val="005535A0"/>
    <w:rsid w:val="005538FD"/>
    <w:rsid w:val="00554308"/>
    <w:rsid w:val="00554819"/>
    <w:rsid w:val="00554BF1"/>
    <w:rsid w:val="0055532F"/>
    <w:rsid w:val="005556D0"/>
    <w:rsid w:val="005557F8"/>
    <w:rsid w:val="005558A9"/>
    <w:rsid w:val="00555FBA"/>
    <w:rsid w:val="005566B1"/>
    <w:rsid w:val="00556AC7"/>
    <w:rsid w:val="00556BB3"/>
    <w:rsid w:val="00556F21"/>
    <w:rsid w:val="00557628"/>
    <w:rsid w:val="0055780A"/>
    <w:rsid w:val="00560033"/>
    <w:rsid w:val="005602EF"/>
    <w:rsid w:val="00560848"/>
    <w:rsid w:val="00560A69"/>
    <w:rsid w:val="00560B4A"/>
    <w:rsid w:val="00560BC3"/>
    <w:rsid w:val="00560D73"/>
    <w:rsid w:val="00561273"/>
    <w:rsid w:val="005617DF"/>
    <w:rsid w:val="00561953"/>
    <w:rsid w:val="0056198B"/>
    <w:rsid w:val="005619B3"/>
    <w:rsid w:val="00561AD1"/>
    <w:rsid w:val="00561AD5"/>
    <w:rsid w:val="00561D24"/>
    <w:rsid w:val="00561D4E"/>
    <w:rsid w:val="00561E9B"/>
    <w:rsid w:val="0056268B"/>
    <w:rsid w:val="005628FB"/>
    <w:rsid w:val="005629D7"/>
    <w:rsid w:val="00563A43"/>
    <w:rsid w:val="00563D65"/>
    <w:rsid w:val="005640ED"/>
    <w:rsid w:val="0056429D"/>
    <w:rsid w:val="00564439"/>
    <w:rsid w:val="00564487"/>
    <w:rsid w:val="00564718"/>
    <w:rsid w:val="00564CDB"/>
    <w:rsid w:val="00565187"/>
    <w:rsid w:val="0056540C"/>
    <w:rsid w:val="00565624"/>
    <w:rsid w:val="00565A06"/>
    <w:rsid w:val="005660F0"/>
    <w:rsid w:val="00566114"/>
    <w:rsid w:val="00566417"/>
    <w:rsid w:val="00566926"/>
    <w:rsid w:val="00566AE2"/>
    <w:rsid w:val="00566B4F"/>
    <w:rsid w:val="00566BB4"/>
    <w:rsid w:val="00566EBD"/>
    <w:rsid w:val="00567543"/>
    <w:rsid w:val="00567707"/>
    <w:rsid w:val="00570237"/>
    <w:rsid w:val="00571318"/>
    <w:rsid w:val="00571599"/>
    <w:rsid w:val="00571D72"/>
    <w:rsid w:val="0057204B"/>
    <w:rsid w:val="00572068"/>
    <w:rsid w:val="0057236E"/>
    <w:rsid w:val="0057255F"/>
    <w:rsid w:val="0057265E"/>
    <w:rsid w:val="005728F9"/>
    <w:rsid w:val="00572F14"/>
    <w:rsid w:val="0057324A"/>
    <w:rsid w:val="005735DA"/>
    <w:rsid w:val="005738A6"/>
    <w:rsid w:val="00573944"/>
    <w:rsid w:val="00573AD3"/>
    <w:rsid w:val="00573E05"/>
    <w:rsid w:val="00573E93"/>
    <w:rsid w:val="005741A4"/>
    <w:rsid w:val="00574277"/>
    <w:rsid w:val="005743A9"/>
    <w:rsid w:val="00574499"/>
    <w:rsid w:val="0057466D"/>
    <w:rsid w:val="00574DFD"/>
    <w:rsid w:val="00574E20"/>
    <w:rsid w:val="00575483"/>
    <w:rsid w:val="00575488"/>
    <w:rsid w:val="0057578A"/>
    <w:rsid w:val="00575C98"/>
    <w:rsid w:val="00575D20"/>
    <w:rsid w:val="00576276"/>
    <w:rsid w:val="00576ADE"/>
    <w:rsid w:val="005770BA"/>
    <w:rsid w:val="005774DC"/>
    <w:rsid w:val="00577726"/>
    <w:rsid w:val="005778D3"/>
    <w:rsid w:val="00577979"/>
    <w:rsid w:val="00577CFD"/>
    <w:rsid w:val="00577DEF"/>
    <w:rsid w:val="00580400"/>
    <w:rsid w:val="00580413"/>
    <w:rsid w:val="0058133E"/>
    <w:rsid w:val="005816FD"/>
    <w:rsid w:val="005817BE"/>
    <w:rsid w:val="00581B33"/>
    <w:rsid w:val="00581C80"/>
    <w:rsid w:val="00581D42"/>
    <w:rsid w:val="00582A1E"/>
    <w:rsid w:val="00582F94"/>
    <w:rsid w:val="00583AB4"/>
    <w:rsid w:val="0058423E"/>
    <w:rsid w:val="005846A5"/>
    <w:rsid w:val="0058487D"/>
    <w:rsid w:val="00584E34"/>
    <w:rsid w:val="00585319"/>
    <w:rsid w:val="00585D7E"/>
    <w:rsid w:val="005869A1"/>
    <w:rsid w:val="00586D0C"/>
    <w:rsid w:val="00586D12"/>
    <w:rsid w:val="00586D84"/>
    <w:rsid w:val="00587384"/>
    <w:rsid w:val="0058745C"/>
    <w:rsid w:val="005876F5"/>
    <w:rsid w:val="0058793A"/>
    <w:rsid w:val="00587E8F"/>
    <w:rsid w:val="00590067"/>
    <w:rsid w:val="00590A91"/>
    <w:rsid w:val="00590B2D"/>
    <w:rsid w:val="00590BB2"/>
    <w:rsid w:val="00590E7C"/>
    <w:rsid w:val="0059177E"/>
    <w:rsid w:val="00591951"/>
    <w:rsid w:val="00591A85"/>
    <w:rsid w:val="00591F9A"/>
    <w:rsid w:val="00592123"/>
    <w:rsid w:val="00592231"/>
    <w:rsid w:val="00592249"/>
    <w:rsid w:val="005922B0"/>
    <w:rsid w:val="00592FC3"/>
    <w:rsid w:val="00593988"/>
    <w:rsid w:val="00593D40"/>
    <w:rsid w:val="00593E0B"/>
    <w:rsid w:val="00593FBB"/>
    <w:rsid w:val="005942AB"/>
    <w:rsid w:val="005943DF"/>
    <w:rsid w:val="00594964"/>
    <w:rsid w:val="005954C3"/>
    <w:rsid w:val="00595DFA"/>
    <w:rsid w:val="00596098"/>
    <w:rsid w:val="005961F3"/>
    <w:rsid w:val="00596902"/>
    <w:rsid w:val="00596927"/>
    <w:rsid w:val="00596BB4"/>
    <w:rsid w:val="00596C3A"/>
    <w:rsid w:val="0059725E"/>
    <w:rsid w:val="0059738F"/>
    <w:rsid w:val="005975FE"/>
    <w:rsid w:val="0059768C"/>
    <w:rsid w:val="00597972"/>
    <w:rsid w:val="00597FAB"/>
    <w:rsid w:val="005A0B1C"/>
    <w:rsid w:val="005A0E55"/>
    <w:rsid w:val="005A11B9"/>
    <w:rsid w:val="005A14DC"/>
    <w:rsid w:val="005A1653"/>
    <w:rsid w:val="005A18F2"/>
    <w:rsid w:val="005A1C92"/>
    <w:rsid w:val="005A26C0"/>
    <w:rsid w:val="005A278C"/>
    <w:rsid w:val="005A3281"/>
    <w:rsid w:val="005A32C4"/>
    <w:rsid w:val="005A32FE"/>
    <w:rsid w:val="005A40A6"/>
    <w:rsid w:val="005A4146"/>
    <w:rsid w:val="005A41C4"/>
    <w:rsid w:val="005A4580"/>
    <w:rsid w:val="005A45D9"/>
    <w:rsid w:val="005A4A90"/>
    <w:rsid w:val="005A4C43"/>
    <w:rsid w:val="005A4E2D"/>
    <w:rsid w:val="005A56CB"/>
    <w:rsid w:val="005A5B99"/>
    <w:rsid w:val="005A5FBC"/>
    <w:rsid w:val="005A62B7"/>
    <w:rsid w:val="005A6999"/>
    <w:rsid w:val="005A6F87"/>
    <w:rsid w:val="005A709C"/>
    <w:rsid w:val="005A75E4"/>
    <w:rsid w:val="005A78E9"/>
    <w:rsid w:val="005A798F"/>
    <w:rsid w:val="005A7A60"/>
    <w:rsid w:val="005A7D7A"/>
    <w:rsid w:val="005A7DE8"/>
    <w:rsid w:val="005B0102"/>
    <w:rsid w:val="005B0285"/>
    <w:rsid w:val="005B0713"/>
    <w:rsid w:val="005B0D70"/>
    <w:rsid w:val="005B104C"/>
    <w:rsid w:val="005B1133"/>
    <w:rsid w:val="005B1ACA"/>
    <w:rsid w:val="005B21EC"/>
    <w:rsid w:val="005B24E9"/>
    <w:rsid w:val="005B2E26"/>
    <w:rsid w:val="005B3800"/>
    <w:rsid w:val="005B3948"/>
    <w:rsid w:val="005B3992"/>
    <w:rsid w:val="005B4C1C"/>
    <w:rsid w:val="005B4F4E"/>
    <w:rsid w:val="005B50DF"/>
    <w:rsid w:val="005B51ED"/>
    <w:rsid w:val="005B576E"/>
    <w:rsid w:val="005B5DED"/>
    <w:rsid w:val="005B61EA"/>
    <w:rsid w:val="005B6261"/>
    <w:rsid w:val="005B6446"/>
    <w:rsid w:val="005B6971"/>
    <w:rsid w:val="005B706C"/>
    <w:rsid w:val="005B748B"/>
    <w:rsid w:val="005B74DD"/>
    <w:rsid w:val="005B7647"/>
    <w:rsid w:val="005B7EDB"/>
    <w:rsid w:val="005C0049"/>
    <w:rsid w:val="005C0295"/>
    <w:rsid w:val="005C09F1"/>
    <w:rsid w:val="005C0A0F"/>
    <w:rsid w:val="005C11C5"/>
    <w:rsid w:val="005C1B83"/>
    <w:rsid w:val="005C1CD5"/>
    <w:rsid w:val="005C2085"/>
    <w:rsid w:val="005C2F55"/>
    <w:rsid w:val="005C312C"/>
    <w:rsid w:val="005C3628"/>
    <w:rsid w:val="005C36DA"/>
    <w:rsid w:val="005C37AE"/>
    <w:rsid w:val="005C38BD"/>
    <w:rsid w:val="005C3A10"/>
    <w:rsid w:val="005C3CE3"/>
    <w:rsid w:val="005C3E6F"/>
    <w:rsid w:val="005C407E"/>
    <w:rsid w:val="005C40D3"/>
    <w:rsid w:val="005C4343"/>
    <w:rsid w:val="005C4817"/>
    <w:rsid w:val="005C4BF9"/>
    <w:rsid w:val="005C5144"/>
    <w:rsid w:val="005C514D"/>
    <w:rsid w:val="005C51B8"/>
    <w:rsid w:val="005C584D"/>
    <w:rsid w:val="005C5955"/>
    <w:rsid w:val="005C5A53"/>
    <w:rsid w:val="005C5AFA"/>
    <w:rsid w:val="005C6A3B"/>
    <w:rsid w:val="005C6A66"/>
    <w:rsid w:val="005C7447"/>
    <w:rsid w:val="005C793C"/>
    <w:rsid w:val="005C7D90"/>
    <w:rsid w:val="005C7FA5"/>
    <w:rsid w:val="005D012D"/>
    <w:rsid w:val="005D04DB"/>
    <w:rsid w:val="005D0A60"/>
    <w:rsid w:val="005D0BC0"/>
    <w:rsid w:val="005D0DDF"/>
    <w:rsid w:val="005D172B"/>
    <w:rsid w:val="005D199E"/>
    <w:rsid w:val="005D205A"/>
    <w:rsid w:val="005D2261"/>
    <w:rsid w:val="005D233B"/>
    <w:rsid w:val="005D2516"/>
    <w:rsid w:val="005D2CB3"/>
    <w:rsid w:val="005D35B1"/>
    <w:rsid w:val="005D37BE"/>
    <w:rsid w:val="005D3886"/>
    <w:rsid w:val="005D3DB9"/>
    <w:rsid w:val="005D3EE9"/>
    <w:rsid w:val="005D4037"/>
    <w:rsid w:val="005D46F3"/>
    <w:rsid w:val="005D4BA7"/>
    <w:rsid w:val="005D4FCE"/>
    <w:rsid w:val="005D59FD"/>
    <w:rsid w:val="005D5BA1"/>
    <w:rsid w:val="005D5F7E"/>
    <w:rsid w:val="005D6158"/>
    <w:rsid w:val="005D697E"/>
    <w:rsid w:val="005D7B57"/>
    <w:rsid w:val="005D7DF9"/>
    <w:rsid w:val="005D7E55"/>
    <w:rsid w:val="005D7F13"/>
    <w:rsid w:val="005D7FD7"/>
    <w:rsid w:val="005E03B5"/>
    <w:rsid w:val="005E07FA"/>
    <w:rsid w:val="005E0D92"/>
    <w:rsid w:val="005E123D"/>
    <w:rsid w:val="005E14D7"/>
    <w:rsid w:val="005E1B1D"/>
    <w:rsid w:val="005E2432"/>
    <w:rsid w:val="005E2484"/>
    <w:rsid w:val="005E29C6"/>
    <w:rsid w:val="005E2C17"/>
    <w:rsid w:val="005E31FF"/>
    <w:rsid w:val="005E33B1"/>
    <w:rsid w:val="005E34FD"/>
    <w:rsid w:val="005E385B"/>
    <w:rsid w:val="005E4778"/>
    <w:rsid w:val="005E47F9"/>
    <w:rsid w:val="005E49B2"/>
    <w:rsid w:val="005E4D07"/>
    <w:rsid w:val="005E501B"/>
    <w:rsid w:val="005E543E"/>
    <w:rsid w:val="005E558F"/>
    <w:rsid w:val="005E55E0"/>
    <w:rsid w:val="005E5747"/>
    <w:rsid w:val="005E59ED"/>
    <w:rsid w:val="005E624E"/>
    <w:rsid w:val="005E6358"/>
    <w:rsid w:val="005E676E"/>
    <w:rsid w:val="005E6C61"/>
    <w:rsid w:val="005E7280"/>
    <w:rsid w:val="005E785B"/>
    <w:rsid w:val="005E7B78"/>
    <w:rsid w:val="005F0250"/>
    <w:rsid w:val="005F057D"/>
    <w:rsid w:val="005F073F"/>
    <w:rsid w:val="005F0A20"/>
    <w:rsid w:val="005F0AE8"/>
    <w:rsid w:val="005F1634"/>
    <w:rsid w:val="005F17E6"/>
    <w:rsid w:val="005F1BFF"/>
    <w:rsid w:val="005F1EB3"/>
    <w:rsid w:val="005F1FD6"/>
    <w:rsid w:val="005F2515"/>
    <w:rsid w:val="005F2A6B"/>
    <w:rsid w:val="005F2C28"/>
    <w:rsid w:val="005F3366"/>
    <w:rsid w:val="005F40C1"/>
    <w:rsid w:val="005F4586"/>
    <w:rsid w:val="005F4DE7"/>
    <w:rsid w:val="005F4EB6"/>
    <w:rsid w:val="005F519F"/>
    <w:rsid w:val="005F570A"/>
    <w:rsid w:val="005F59B5"/>
    <w:rsid w:val="005F5D93"/>
    <w:rsid w:val="005F5EB8"/>
    <w:rsid w:val="005F6B4D"/>
    <w:rsid w:val="005F6C3E"/>
    <w:rsid w:val="005F718B"/>
    <w:rsid w:val="005F7892"/>
    <w:rsid w:val="005F7DF1"/>
    <w:rsid w:val="006008E0"/>
    <w:rsid w:val="00600A39"/>
    <w:rsid w:val="00600EBF"/>
    <w:rsid w:val="00601BF7"/>
    <w:rsid w:val="006024D3"/>
    <w:rsid w:val="006028DB"/>
    <w:rsid w:val="00602B47"/>
    <w:rsid w:val="00603B6F"/>
    <w:rsid w:val="00603BE8"/>
    <w:rsid w:val="00603CF3"/>
    <w:rsid w:val="006048B7"/>
    <w:rsid w:val="00604BDA"/>
    <w:rsid w:val="00604CD9"/>
    <w:rsid w:val="0060516E"/>
    <w:rsid w:val="0060517E"/>
    <w:rsid w:val="00605320"/>
    <w:rsid w:val="0060542B"/>
    <w:rsid w:val="00605848"/>
    <w:rsid w:val="00605ACE"/>
    <w:rsid w:val="00606EF9"/>
    <w:rsid w:val="0060706A"/>
    <w:rsid w:val="00607758"/>
    <w:rsid w:val="00607C9A"/>
    <w:rsid w:val="00610582"/>
    <w:rsid w:val="00610674"/>
    <w:rsid w:val="00610677"/>
    <w:rsid w:val="00610C0B"/>
    <w:rsid w:val="00610D5E"/>
    <w:rsid w:val="006110E8"/>
    <w:rsid w:val="00611145"/>
    <w:rsid w:val="006112E3"/>
    <w:rsid w:val="0061153B"/>
    <w:rsid w:val="00611683"/>
    <w:rsid w:val="006119B8"/>
    <w:rsid w:val="00611B83"/>
    <w:rsid w:val="00611C1A"/>
    <w:rsid w:val="0061241A"/>
    <w:rsid w:val="006133D5"/>
    <w:rsid w:val="00613463"/>
    <w:rsid w:val="00613467"/>
    <w:rsid w:val="00613512"/>
    <w:rsid w:val="00613D4F"/>
    <w:rsid w:val="00613DD2"/>
    <w:rsid w:val="00613EDD"/>
    <w:rsid w:val="00614BAE"/>
    <w:rsid w:val="00614DDB"/>
    <w:rsid w:val="00615100"/>
    <w:rsid w:val="00615EA5"/>
    <w:rsid w:val="00616284"/>
    <w:rsid w:val="0061695B"/>
    <w:rsid w:val="00616B5D"/>
    <w:rsid w:val="00616C32"/>
    <w:rsid w:val="00616C56"/>
    <w:rsid w:val="0061754B"/>
    <w:rsid w:val="006177BB"/>
    <w:rsid w:val="00617805"/>
    <w:rsid w:val="00617F66"/>
    <w:rsid w:val="0062027A"/>
    <w:rsid w:val="006205C1"/>
    <w:rsid w:val="0062066C"/>
    <w:rsid w:val="00620676"/>
    <w:rsid w:val="00620793"/>
    <w:rsid w:val="006207C2"/>
    <w:rsid w:val="00620973"/>
    <w:rsid w:val="00620A5C"/>
    <w:rsid w:val="00620A60"/>
    <w:rsid w:val="00620CBC"/>
    <w:rsid w:val="00620D12"/>
    <w:rsid w:val="00620FE8"/>
    <w:rsid w:val="00621150"/>
    <w:rsid w:val="00621C98"/>
    <w:rsid w:val="00622CF5"/>
    <w:rsid w:val="00622E75"/>
    <w:rsid w:val="00622E91"/>
    <w:rsid w:val="00623092"/>
    <w:rsid w:val="006232C0"/>
    <w:rsid w:val="006233D8"/>
    <w:rsid w:val="00623454"/>
    <w:rsid w:val="0062398E"/>
    <w:rsid w:val="00623BFA"/>
    <w:rsid w:val="00623C0D"/>
    <w:rsid w:val="00623EB2"/>
    <w:rsid w:val="00623EE6"/>
    <w:rsid w:val="00624205"/>
    <w:rsid w:val="00624315"/>
    <w:rsid w:val="006245AB"/>
    <w:rsid w:val="00624778"/>
    <w:rsid w:val="006248AE"/>
    <w:rsid w:val="00624CBA"/>
    <w:rsid w:val="00625133"/>
    <w:rsid w:val="0062545B"/>
    <w:rsid w:val="0062552A"/>
    <w:rsid w:val="006259DD"/>
    <w:rsid w:val="00625F1B"/>
    <w:rsid w:val="00626129"/>
    <w:rsid w:val="006265DE"/>
    <w:rsid w:val="0062726F"/>
    <w:rsid w:val="006272BA"/>
    <w:rsid w:val="00627CBD"/>
    <w:rsid w:val="00627F2B"/>
    <w:rsid w:val="0063035E"/>
    <w:rsid w:val="00630496"/>
    <w:rsid w:val="00630AC5"/>
    <w:rsid w:val="00630B02"/>
    <w:rsid w:val="00630F7B"/>
    <w:rsid w:val="006311D1"/>
    <w:rsid w:val="006312AD"/>
    <w:rsid w:val="00631754"/>
    <w:rsid w:val="00631DA4"/>
    <w:rsid w:val="00632002"/>
    <w:rsid w:val="00632C37"/>
    <w:rsid w:val="006332BE"/>
    <w:rsid w:val="00633362"/>
    <w:rsid w:val="006333C5"/>
    <w:rsid w:val="00633434"/>
    <w:rsid w:val="00633A41"/>
    <w:rsid w:val="00633A6A"/>
    <w:rsid w:val="00633C4C"/>
    <w:rsid w:val="00633F9F"/>
    <w:rsid w:val="0063412E"/>
    <w:rsid w:val="006343B7"/>
    <w:rsid w:val="00634869"/>
    <w:rsid w:val="00635249"/>
    <w:rsid w:val="0063554C"/>
    <w:rsid w:val="006357C8"/>
    <w:rsid w:val="00635EF3"/>
    <w:rsid w:val="00635F76"/>
    <w:rsid w:val="00636063"/>
    <w:rsid w:val="00636608"/>
    <w:rsid w:val="00636718"/>
    <w:rsid w:val="006367DC"/>
    <w:rsid w:val="006368A3"/>
    <w:rsid w:val="00636BE9"/>
    <w:rsid w:val="00636D93"/>
    <w:rsid w:val="00637277"/>
    <w:rsid w:val="006373A8"/>
    <w:rsid w:val="00637C5B"/>
    <w:rsid w:val="00637F65"/>
    <w:rsid w:val="00640770"/>
    <w:rsid w:val="0064081F"/>
    <w:rsid w:val="006408C3"/>
    <w:rsid w:val="00640B90"/>
    <w:rsid w:val="00640E65"/>
    <w:rsid w:val="00640F23"/>
    <w:rsid w:val="00640F7D"/>
    <w:rsid w:val="006416A1"/>
    <w:rsid w:val="006418ED"/>
    <w:rsid w:val="00641F5C"/>
    <w:rsid w:val="00641F9D"/>
    <w:rsid w:val="006428AF"/>
    <w:rsid w:val="0064290C"/>
    <w:rsid w:val="00642EAE"/>
    <w:rsid w:val="0064344A"/>
    <w:rsid w:val="006435CD"/>
    <w:rsid w:val="006436B7"/>
    <w:rsid w:val="0064378C"/>
    <w:rsid w:val="00643E92"/>
    <w:rsid w:val="006440FA"/>
    <w:rsid w:val="00644121"/>
    <w:rsid w:val="006441DE"/>
    <w:rsid w:val="0064425D"/>
    <w:rsid w:val="0064459F"/>
    <w:rsid w:val="00644878"/>
    <w:rsid w:val="006448C0"/>
    <w:rsid w:val="00644918"/>
    <w:rsid w:val="00644ADC"/>
    <w:rsid w:val="00644B1E"/>
    <w:rsid w:val="00644F09"/>
    <w:rsid w:val="00644F0C"/>
    <w:rsid w:val="006451DE"/>
    <w:rsid w:val="00645300"/>
    <w:rsid w:val="006454A2"/>
    <w:rsid w:val="006454BB"/>
    <w:rsid w:val="006454F9"/>
    <w:rsid w:val="00645523"/>
    <w:rsid w:val="00645AB3"/>
    <w:rsid w:val="0064620D"/>
    <w:rsid w:val="0064719A"/>
    <w:rsid w:val="00647621"/>
    <w:rsid w:val="006476CE"/>
    <w:rsid w:val="00647D0E"/>
    <w:rsid w:val="006509FC"/>
    <w:rsid w:val="00650E56"/>
    <w:rsid w:val="00650EB9"/>
    <w:rsid w:val="00650F05"/>
    <w:rsid w:val="0065124C"/>
    <w:rsid w:val="0065184B"/>
    <w:rsid w:val="006519DF"/>
    <w:rsid w:val="00652164"/>
    <w:rsid w:val="0065226B"/>
    <w:rsid w:val="006525DA"/>
    <w:rsid w:val="00652EAF"/>
    <w:rsid w:val="00653015"/>
    <w:rsid w:val="00653481"/>
    <w:rsid w:val="0065389D"/>
    <w:rsid w:val="00654352"/>
    <w:rsid w:val="006545E6"/>
    <w:rsid w:val="00654F5E"/>
    <w:rsid w:val="00655158"/>
    <w:rsid w:val="006555C8"/>
    <w:rsid w:val="00655754"/>
    <w:rsid w:val="00656189"/>
    <w:rsid w:val="0065658E"/>
    <w:rsid w:val="0065667B"/>
    <w:rsid w:val="006568AF"/>
    <w:rsid w:val="006569CD"/>
    <w:rsid w:val="00656A27"/>
    <w:rsid w:val="00656B7A"/>
    <w:rsid w:val="00656F86"/>
    <w:rsid w:val="00657754"/>
    <w:rsid w:val="00657C8A"/>
    <w:rsid w:val="00657CBE"/>
    <w:rsid w:val="00657D08"/>
    <w:rsid w:val="0066002C"/>
    <w:rsid w:val="00660065"/>
    <w:rsid w:val="006612AC"/>
    <w:rsid w:val="00661590"/>
    <w:rsid w:val="00661827"/>
    <w:rsid w:val="006618AA"/>
    <w:rsid w:val="00662161"/>
    <w:rsid w:val="006625FF"/>
    <w:rsid w:val="00662DFF"/>
    <w:rsid w:val="0066304C"/>
    <w:rsid w:val="0066395F"/>
    <w:rsid w:val="00664356"/>
    <w:rsid w:val="00664B22"/>
    <w:rsid w:val="00665FC6"/>
    <w:rsid w:val="00666862"/>
    <w:rsid w:val="00666948"/>
    <w:rsid w:val="00666ABA"/>
    <w:rsid w:val="00666AEB"/>
    <w:rsid w:val="00667104"/>
    <w:rsid w:val="00667548"/>
    <w:rsid w:val="00667B00"/>
    <w:rsid w:val="00667CBF"/>
    <w:rsid w:val="00667FF1"/>
    <w:rsid w:val="006701B0"/>
    <w:rsid w:val="006702F9"/>
    <w:rsid w:val="00671066"/>
    <w:rsid w:val="006718A3"/>
    <w:rsid w:val="00671BDE"/>
    <w:rsid w:val="00671C9F"/>
    <w:rsid w:val="00671DB5"/>
    <w:rsid w:val="00672120"/>
    <w:rsid w:val="00672285"/>
    <w:rsid w:val="006722AC"/>
    <w:rsid w:val="006724C1"/>
    <w:rsid w:val="00672CF8"/>
    <w:rsid w:val="00673169"/>
    <w:rsid w:val="0067327D"/>
    <w:rsid w:val="00673352"/>
    <w:rsid w:val="00673843"/>
    <w:rsid w:val="0067435D"/>
    <w:rsid w:val="00674A03"/>
    <w:rsid w:val="00674A45"/>
    <w:rsid w:val="00674C23"/>
    <w:rsid w:val="00674F26"/>
    <w:rsid w:val="00674FB8"/>
    <w:rsid w:val="00675220"/>
    <w:rsid w:val="0067538C"/>
    <w:rsid w:val="00675670"/>
    <w:rsid w:val="006756B3"/>
    <w:rsid w:val="0067572D"/>
    <w:rsid w:val="006758DE"/>
    <w:rsid w:val="00675BAD"/>
    <w:rsid w:val="00675E30"/>
    <w:rsid w:val="00676040"/>
    <w:rsid w:val="0067635B"/>
    <w:rsid w:val="0067647F"/>
    <w:rsid w:val="006764DA"/>
    <w:rsid w:val="00676648"/>
    <w:rsid w:val="0067681A"/>
    <w:rsid w:val="00676D20"/>
    <w:rsid w:val="00676E15"/>
    <w:rsid w:val="006770D5"/>
    <w:rsid w:val="00677278"/>
    <w:rsid w:val="006779C6"/>
    <w:rsid w:val="00677A76"/>
    <w:rsid w:val="006802F1"/>
    <w:rsid w:val="0068038A"/>
    <w:rsid w:val="006807F1"/>
    <w:rsid w:val="006809C9"/>
    <w:rsid w:val="00680F4D"/>
    <w:rsid w:val="00680F9D"/>
    <w:rsid w:val="00681031"/>
    <w:rsid w:val="00681C5B"/>
    <w:rsid w:val="00681CCF"/>
    <w:rsid w:val="006823A7"/>
    <w:rsid w:val="00682769"/>
    <w:rsid w:val="0068288C"/>
    <w:rsid w:val="006835A5"/>
    <w:rsid w:val="0068368C"/>
    <w:rsid w:val="00683AAC"/>
    <w:rsid w:val="00683B4A"/>
    <w:rsid w:val="00683C1E"/>
    <w:rsid w:val="00683E90"/>
    <w:rsid w:val="0068446B"/>
    <w:rsid w:val="0068480D"/>
    <w:rsid w:val="00684CDB"/>
    <w:rsid w:val="006855D2"/>
    <w:rsid w:val="00685700"/>
    <w:rsid w:val="0068604B"/>
    <w:rsid w:val="0068650C"/>
    <w:rsid w:val="006865E9"/>
    <w:rsid w:val="00686A36"/>
    <w:rsid w:val="00686A71"/>
    <w:rsid w:val="006871A1"/>
    <w:rsid w:val="006875BD"/>
    <w:rsid w:val="00687B54"/>
    <w:rsid w:val="006902EA"/>
    <w:rsid w:val="0069057E"/>
    <w:rsid w:val="006905DC"/>
    <w:rsid w:val="00690D7E"/>
    <w:rsid w:val="006910C1"/>
    <w:rsid w:val="0069123E"/>
    <w:rsid w:val="0069163E"/>
    <w:rsid w:val="00691913"/>
    <w:rsid w:val="00691EC2"/>
    <w:rsid w:val="00692032"/>
    <w:rsid w:val="0069260F"/>
    <w:rsid w:val="00692759"/>
    <w:rsid w:val="0069296E"/>
    <w:rsid w:val="00692B7E"/>
    <w:rsid w:val="00692C6F"/>
    <w:rsid w:val="00692D1E"/>
    <w:rsid w:val="00693399"/>
    <w:rsid w:val="00693496"/>
    <w:rsid w:val="00693739"/>
    <w:rsid w:val="00693937"/>
    <w:rsid w:val="00693DBF"/>
    <w:rsid w:val="0069402C"/>
    <w:rsid w:val="00694434"/>
    <w:rsid w:val="0069459C"/>
    <w:rsid w:val="00694FAA"/>
    <w:rsid w:val="00695649"/>
    <w:rsid w:val="00695B52"/>
    <w:rsid w:val="00696D0B"/>
    <w:rsid w:val="00696D1F"/>
    <w:rsid w:val="00696D80"/>
    <w:rsid w:val="00696E3C"/>
    <w:rsid w:val="006975B4"/>
    <w:rsid w:val="00697C43"/>
    <w:rsid w:val="00697DC4"/>
    <w:rsid w:val="00697F94"/>
    <w:rsid w:val="006A0154"/>
    <w:rsid w:val="006A0894"/>
    <w:rsid w:val="006A0B1F"/>
    <w:rsid w:val="006A0C03"/>
    <w:rsid w:val="006A0C9A"/>
    <w:rsid w:val="006A0DD1"/>
    <w:rsid w:val="006A1074"/>
    <w:rsid w:val="006A107C"/>
    <w:rsid w:val="006A131D"/>
    <w:rsid w:val="006A138B"/>
    <w:rsid w:val="006A1569"/>
    <w:rsid w:val="006A15B9"/>
    <w:rsid w:val="006A1A62"/>
    <w:rsid w:val="006A1DC0"/>
    <w:rsid w:val="006A1F8B"/>
    <w:rsid w:val="006A2227"/>
    <w:rsid w:val="006A2300"/>
    <w:rsid w:val="006A239A"/>
    <w:rsid w:val="006A23E5"/>
    <w:rsid w:val="006A2B03"/>
    <w:rsid w:val="006A2FED"/>
    <w:rsid w:val="006A368A"/>
    <w:rsid w:val="006A3821"/>
    <w:rsid w:val="006A3D2E"/>
    <w:rsid w:val="006A3EAB"/>
    <w:rsid w:val="006A3F4B"/>
    <w:rsid w:val="006A3F8C"/>
    <w:rsid w:val="006A4477"/>
    <w:rsid w:val="006A45C0"/>
    <w:rsid w:val="006A4A3C"/>
    <w:rsid w:val="006A4BBA"/>
    <w:rsid w:val="006A5159"/>
    <w:rsid w:val="006A569A"/>
    <w:rsid w:val="006A57AE"/>
    <w:rsid w:val="006A6432"/>
    <w:rsid w:val="006A6710"/>
    <w:rsid w:val="006A6EA0"/>
    <w:rsid w:val="006A737C"/>
    <w:rsid w:val="006A746F"/>
    <w:rsid w:val="006A7475"/>
    <w:rsid w:val="006A760C"/>
    <w:rsid w:val="006A777D"/>
    <w:rsid w:val="006A7B13"/>
    <w:rsid w:val="006B015B"/>
    <w:rsid w:val="006B0224"/>
    <w:rsid w:val="006B026D"/>
    <w:rsid w:val="006B0480"/>
    <w:rsid w:val="006B064C"/>
    <w:rsid w:val="006B06BC"/>
    <w:rsid w:val="006B093B"/>
    <w:rsid w:val="006B0D95"/>
    <w:rsid w:val="006B12EC"/>
    <w:rsid w:val="006B139D"/>
    <w:rsid w:val="006B140A"/>
    <w:rsid w:val="006B1985"/>
    <w:rsid w:val="006B1AFE"/>
    <w:rsid w:val="006B1BBE"/>
    <w:rsid w:val="006B20D4"/>
    <w:rsid w:val="006B26DB"/>
    <w:rsid w:val="006B27FB"/>
    <w:rsid w:val="006B2B6E"/>
    <w:rsid w:val="006B317D"/>
    <w:rsid w:val="006B322D"/>
    <w:rsid w:val="006B32AD"/>
    <w:rsid w:val="006B3435"/>
    <w:rsid w:val="006B3522"/>
    <w:rsid w:val="006B3D3D"/>
    <w:rsid w:val="006B3D56"/>
    <w:rsid w:val="006B4058"/>
    <w:rsid w:val="006B4C9F"/>
    <w:rsid w:val="006B53A7"/>
    <w:rsid w:val="006B578D"/>
    <w:rsid w:val="006B5D29"/>
    <w:rsid w:val="006B6044"/>
    <w:rsid w:val="006B61FD"/>
    <w:rsid w:val="006B68DD"/>
    <w:rsid w:val="006B6CE2"/>
    <w:rsid w:val="006B6DE4"/>
    <w:rsid w:val="006B71EA"/>
    <w:rsid w:val="006B7452"/>
    <w:rsid w:val="006B78D5"/>
    <w:rsid w:val="006B7FCF"/>
    <w:rsid w:val="006C014A"/>
    <w:rsid w:val="006C0967"/>
    <w:rsid w:val="006C0974"/>
    <w:rsid w:val="006C166B"/>
    <w:rsid w:val="006C1AA1"/>
    <w:rsid w:val="006C29DD"/>
    <w:rsid w:val="006C2E2D"/>
    <w:rsid w:val="006C2F7C"/>
    <w:rsid w:val="006C31C2"/>
    <w:rsid w:val="006C3EC4"/>
    <w:rsid w:val="006C4132"/>
    <w:rsid w:val="006C42C1"/>
    <w:rsid w:val="006C48C8"/>
    <w:rsid w:val="006C4906"/>
    <w:rsid w:val="006C504B"/>
    <w:rsid w:val="006C52EE"/>
    <w:rsid w:val="006C59E7"/>
    <w:rsid w:val="006C5F18"/>
    <w:rsid w:val="006C62FF"/>
    <w:rsid w:val="006C6356"/>
    <w:rsid w:val="006C641C"/>
    <w:rsid w:val="006C67B4"/>
    <w:rsid w:val="006C6AA6"/>
    <w:rsid w:val="006C6CB7"/>
    <w:rsid w:val="006C77CE"/>
    <w:rsid w:val="006C77E5"/>
    <w:rsid w:val="006C7954"/>
    <w:rsid w:val="006C7F64"/>
    <w:rsid w:val="006D021D"/>
    <w:rsid w:val="006D046F"/>
    <w:rsid w:val="006D0781"/>
    <w:rsid w:val="006D1234"/>
    <w:rsid w:val="006D191A"/>
    <w:rsid w:val="006D1BF3"/>
    <w:rsid w:val="006D1EFF"/>
    <w:rsid w:val="006D2960"/>
    <w:rsid w:val="006D2A8E"/>
    <w:rsid w:val="006D2AE7"/>
    <w:rsid w:val="006D2B3C"/>
    <w:rsid w:val="006D3271"/>
    <w:rsid w:val="006D33C5"/>
    <w:rsid w:val="006D3478"/>
    <w:rsid w:val="006D3F5D"/>
    <w:rsid w:val="006D4201"/>
    <w:rsid w:val="006D42C7"/>
    <w:rsid w:val="006D4545"/>
    <w:rsid w:val="006D4E1F"/>
    <w:rsid w:val="006D4F70"/>
    <w:rsid w:val="006D5730"/>
    <w:rsid w:val="006D5758"/>
    <w:rsid w:val="006D599F"/>
    <w:rsid w:val="006D5A0E"/>
    <w:rsid w:val="006D5D03"/>
    <w:rsid w:val="006D5F43"/>
    <w:rsid w:val="006D62D9"/>
    <w:rsid w:val="006D63E9"/>
    <w:rsid w:val="006D71D8"/>
    <w:rsid w:val="006D7D25"/>
    <w:rsid w:val="006E0213"/>
    <w:rsid w:val="006E03A2"/>
    <w:rsid w:val="006E0564"/>
    <w:rsid w:val="006E0888"/>
    <w:rsid w:val="006E1B74"/>
    <w:rsid w:val="006E1E06"/>
    <w:rsid w:val="006E22FD"/>
    <w:rsid w:val="006E2557"/>
    <w:rsid w:val="006E3247"/>
    <w:rsid w:val="006E32C1"/>
    <w:rsid w:val="006E3347"/>
    <w:rsid w:val="006E36A4"/>
    <w:rsid w:val="006E3CB0"/>
    <w:rsid w:val="006E415A"/>
    <w:rsid w:val="006E424F"/>
    <w:rsid w:val="006E4920"/>
    <w:rsid w:val="006E5159"/>
    <w:rsid w:val="006E51C4"/>
    <w:rsid w:val="006E57A6"/>
    <w:rsid w:val="006E6027"/>
    <w:rsid w:val="006E60A0"/>
    <w:rsid w:val="006E6356"/>
    <w:rsid w:val="006E6CEE"/>
    <w:rsid w:val="006E714C"/>
    <w:rsid w:val="006E7302"/>
    <w:rsid w:val="006E7446"/>
    <w:rsid w:val="006E754F"/>
    <w:rsid w:val="006E7862"/>
    <w:rsid w:val="006E7A2F"/>
    <w:rsid w:val="006E7DEC"/>
    <w:rsid w:val="006F0474"/>
    <w:rsid w:val="006F09E9"/>
    <w:rsid w:val="006F0FCB"/>
    <w:rsid w:val="006F0FE7"/>
    <w:rsid w:val="006F1032"/>
    <w:rsid w:val="006F1180"/>
    <w:rsid w:val="006F161E"/>
    <w:rsid w:val="006F164F"/>
    <w:rsid w:val="006F1AE9"/>
    <w:rsid w:val="006F1BB3"/>
    <w:rsid w:val="006F1E91"/>
    <w:rsid w:val="006F21CC"/>
    <w:rsid w:val="006F2336"/>
    <w:rsid w:val="006F28F1"/>
    <w:rsid w:val="006F2BCF"/>
    <w:rsid w:val="006F328D"/>
    <w:rsid w:val="006F350A"/>
    <w:rsid w:val="006F3787"/>
    <w:rsid w:val="006F3877"/>
    <w:rsid w:val="006F3943"/>
    <w:rsid w:val="006F3B88"/>
    <w:rsid w:val="006F410C"/>
    <w:rsid w:val="006F429B"/>
    <w:rsid w:val="006F44F8"/>
    <w:rsid w:val="006F45B6"/>
    <w:rsid w:val="006F4DA0"/>
    <w:rsid w:val="006F506A"/>
    <w:rsid w:val="006F50C3"/>
    <w:rsid w:val="006F53D8"/>
    <w:rsid w:val="006F56BE"/>
    <w:rsid w:val="006F56F6"/>
    <w:rsid w:val="006F579F"/>
    <w:rsid w:val="006F57C9"/>
    <w:rsid w:val="006F59CB"/>
    <w:rsid w:val="006F5DAB"/>
    <w:rsid w:val="006F5E75"/>
    <w:rsid w:val="006F6353"/>
    <w:rsid w:val="006F6759"/>
    <w:rsid w:val="006F6850"/>
    <w:rsid w:val="006F6E09"/>
    <w:rsid w:val="006F74FE"/>
    <w:rsid w:val="006F757A"/>
    <w:rsid w:val="006F76AC"/>
    <w:rsid w:val="006F7C3A"/>
    <w:rsid w:val="00700435"/>
    <w:rsid w:val="00700846"/>
    <w:rsid w:val="00700886"/>
    <w:rsid w:val="00700EAB"/>
    <w:rsid w:val="00700F81"/>
    <w:rsid w:val="00700FE7"/>
    <w:rsid w:val="00701708"/>
    <w:rsid w:val="007017A7"/>
    <w:rsid w:val="00701C64"/>
    <w:rsid w:val="007025B6"/>
    <w:rsid w:val="007027FE"/>
    <w:rsid w:val="00702AED"/>
    <w:rsid w:val="00702CCC"/>
    <w:rsid w:val="0070308D"/>
    <w:rsid w:val="0070335A"/>
    <w:rsid w:val="00703418"/>
    <w:rsid w:val="00703782"/>
    <w:rsid w:val="00703AC4"/>
    <w:rsid w:val="00703AF8"/>
    <w:rsid w:val="00703BAE"/>
    <w:rsid w:val="00703EEE"/>
    <w:rsid w:val="00704224"/>
    <w:rsid w:val="007045D0"/>
    <w:rsid w:val="00704E12"/>
    <w:rsid w:val="007051D8"/>
    <w:rsid w:val="007056AB"/>
    <w:rsid w:val="007056D2"/>
    <w:rsid w:val="00705C17"/>
    <w:rsid w:val="00705E91"/>
    <w:rsid w:val="007061AA"/>
    <w:rsid w:val="007063C7"/>
    <w:rsid w:val="007063D3"/>
    <w:rsid w:val="007067BE"/>
    <w:rsid w:val="007068AD"/>
    <w:rsid w:val="007068E8"/>
    <w:rsid w:val="0070714E"/>
    <w:rsid w:val="00707A54"/>
    <w:rsid w:val="007102D9"/>
    <w:rsid w:val="00710485"/>
    <w:rsid w:val="007104AE"/>
    <w:rsid w:val="007105B1"/>
    <w:rsid w:val="007109D8"/>
    <w:rsid w:val="00710C73"/>
    <w:rsid w:val="00710E19"/>
    <w:rsid w:val="00711334"/>
    <w:rsid w:val="007115E8"/>
    <w:rsid w:val="00711895"/>
    <w:rsid w:val="00711A5D"/>
    <w:rsid w:val="00711CBE"/>
    <w:rsid w:val="00711E87"/>
    <w:rsid w:val="00711EEA"/>
    <w:rsid w:val="00711FC3"/>
    <w:rsid w:val="00712202"/>
    <w:rsid w:val="00712419"/>
    <w:rsid w:val="00712665"/>
    <w:rsid w:val="00712B53"/>
    <w:rsid w:val="00712C73"/>
    <w:rsid w:val="0071362E"/>
    <w:rsid w:val="00713779"/>
    <w:rsid w:val="00713DD6"/>
    <w:rsid w:val="00713E5A"/>
    <w:rsid w:val="0071468C"/>
    <w:rsid w:val="007147CB"/>
    <w:rsid w:val="007148E4"/>
    <w:rsid w:val="00714D51"/>
    <w:rsid w:val="00714E0D"/>
    <w:rsid w:val="00715033"/>
    <w:rsid w:val="007151B6"/>
    <w:rsid w:val="007152C3"/>
    <w:rsid w:val="007153D7"/>
    <w:rsid w:val="0071563A"/>
    <w:rsid w:val="00716658"/>
    <w:rsid w:val="007170AA"/>
    <w:rsid w:val="00717618"/>
    <w:rsid w:val="00717646"/>
    <w:rsid w:val="00717876"/>
    <w:rsid w:val="00717886"/>
    <w:rsid w:val="007179FC"/>
    <w:rsid w:val="00717B69"/>
    <w:rsid w:val="00717C8E"/>
    <w:rsid w:val="007206C7"/>
    <w:rsid w:val="00720870"/>
    <w:rsid w:val="00720D81"/>
    <w:rsid w:val="00720DDC"/>
    <w:rsid w:val="00720E59"/>
    <w:rsid w:val="0072111F"/>
    <w:rsid w:val="00721551"/>
    <w:rsid w:val="0072165C"/>
    <w:rsid w:val="00721767"/>
    <w:rsid w:val="007218A7"/>
    <w:rsid w:val="00721B89"/>
    <w:rsid w:val="00721D14"/>
    <w:rsid w:val="00721D8E"/>
    <w:rsid w:val="007220FB"/>
    <w:rsid w:val="00722107"/>
    <w:rsid w:val="0072220E"/>
    <w:rsid w:val="00722446"/>
    <w:rsid w:val="0072260B"/>
    <w:rsid w:val="007226E5"/>
    <w:rsid w:val="0072282E"/>
    <w:rsid w:val="00722B9B"/>
    <w:rsid w:val="00722E7A"/>
    <w:rsid w:val="00722E8A"/>
    <w:rsid w:val="007230B8"/>
    <w:rsid w:val="00723323"/>
    <w:rsid w:val="0072359F"/>
    <w:rsid w:val="007235EA"/>
    <w:rsid w:val="007236A9"/>
    <w:rsid w:val="007236B1"/>
    <w:rsid w:val="00723E16"/>
    <w:rsid w:val="00723E1E"/>
    <w:rsid w:val="00723EE5"/>
    <w:rsid w:val="007241DF"/>
    <w:rsid w:val="007247E3"/>
    <w:rsid w:val="00724A58"/>
    <w:rsid w:val="00724B09"/>
    <w:rsid w:val="007251B6"/>
    <w:rsid w:val="007254EC"/>
    <w:rsid w:val="00725A56"/>
    <w:rsid w:val="00725B65"/>
    <w:rsid w:val="00725F88"/>
    <w:rsid w:val="00726361"/>
    <w:rsid w:val="0072685C"/>
    <w:rsid w:val="007271AB"/>
    <w:rsid w:val="0072724F"/>
    <w:rsid w:val="0072764E"/>
    <w:rsid w:val="0072769F"/>
    <w:rsid w:val="007277B1"/>
    <w:rsid w:val="00727A03"/>
    <w:rsid w:val="00727D0B"/>
    <w:rsid w:val="007300B4"/>
    <w:rsid w:val="0073016D"/>
    <w:rsid w:val="0073046C"/>
    <w:rsid w:val="007305B6"/>
    <w:rsid w:val="00730C32"/>
    <w:rsid w:val="00730D37"/>
    <w:rsid w:val="00730D7F"/>
    <w:rsid w:val="00730FA2"/>
    <w:rsid w:val="00731323"/>
    <w:rsid w:val="00731903"/>
    <w:rsid w:val="00731EEE"/>
    <w:rsid w:val="0073244D"/>
    <w:rsid w:val="00732E43"/>
    <w:rsid w:val="007331C8"/>
    <w:rsid w:val="007333BB"/>
    <w:rsid w:val="0073397D"/>
    <w:rsid w:val="00733DCE"/>
    <w:rsid w:val="00733F45"/>
    <w:rsid w:val="00734034"/>
    <w:rsid w:val="00734570"/>
    <w:rsid w:val="007349E4"/>
    <w:rsid w:val="0073510F"/>
    <w:rsid w:val="00735600"/>
    <w:rsid w:val="00735846"/>
    <w:rsid w:val="00735AF8"/>
    <w:rsid w:val="00735B0B"/>
    <w:rsid w:val="00735C5B"/>
    <w:rsid w:val="00735E37"/>
    <w:rsid w:val="00735FCB"/>
    <w:rsid w:val="00736A02"/>
    <w:rsid w:val="00736A67"/>
    <w:rsid w:val="00736B8B"/>
    <w:rsid w:val="0073734F"/>
    <w:rsid w:val="007375DF"/>
    <w:rsid w:val="00737FFD"/>
    <w:rsid w:val="0074029C"/>
    <w:rsid w:val="00740452"/>
    <w:rsid w:val="007408E9"/>
    <w:rsid w:val="007408F2"/>
    <w:rsid w:val="00740962"/>
    <w:rsid w:val="00740B71"/>
    <w:rsid w:val="00740E28"/>
    <w:rsid w:val="007414B4"/>
    <w:rsid w:val="00741C61"/>
    <w:rsid w:val="00742323"/>
    <w:rsid w:val="007425C4"/>
    <w:rsid w:val="00742BD8"/>
    <w:rsid w:val="00742ED2"/>
    <w:rsid w:val="00743001"/>
    <w:rsid w:val="007431E2"/>
    <w:rsid w:val="0074324A"/>
    <w:rsid w:val="007433E9"/>
    <w:rsid w:val="00743B80"/>
    <w:rsid w:val="00743C95"/>
    <w:rsid w:val="00744331"/>
    <w:rsid w:val="00744512"/>
    <w:rsid w:val="0074475F"/>
    <w:rsid w:val="00744A0B"/>
    <w:rsid w:val="00744DCE"/>
    <w:rsid w:val="00745DAD"/>
    <w:rsid w:val="00746716"/>
    <w:rsid w:val="00746F23"/>
    <w:rsid w:val="0074715B"/>
    <w:rsid w:val="00747380"/>
    <w:rsid w:val="00747B05"/>
    <w:rsid w:val="00747B7D"/>
    <w:rsid w:val="00747C80"/>
    <w:rsid w:val="00747D9E"/>
    <w:rsid w:val="00747EE0"/>
    <w:rsid w:val="00750137"/>
    <w:rsid w:val="007503C5"/>
    <w:rsid w:val="00750420"/>
    <w:rsid w:val="0075082C"/>
    <w:rsid w:val="00750840"/>
    <w:rsid w:val="007509A6"/>
    <w:rsid w:val="00750ABD"/>
    <w:rsid w:val="00750B5A"/>
    <w:rsid w:val="00750EA8"/>
    <w:rsid w:val="007511D3"/>
    <w:rsid w:val="00751C6B"/>
    <w:rsid w:val="00751F15"/>
    <w:rsid w:val="00752323"/>
    <w:rsid w:val="00752425"/>
    <w:rsid w:val="00752484"/>
    <w:rsid w:val="0075274D"/>
    <w:rsid w:val="00752A34"/>
    <w:rsid w:val="00752EEA"/>
    <w:rsid w:val="007536B9"/>
    <w:rsid w:val="00753AF9"/>
    <w:rsid w:val="00754143"/>
    <w:rsid w:val="00754590"/>
    <w:rsid w:val="00754E85"/>
    <w:rsid w:val="007554C0"/>
    <w:rsid w:val="007555FB"/>
    <w:rsid w:val="007558FA"/>
    <w:rsid w:val="00755BAB"/>
    <w:rsid w:val="007563B9"/>
    <w:rsid w:val="00756525"/>
    <w:rsid w:val="007567E1"/>
    <w:rsid w:val="00756ACC"/>
    <w:rsid w:val="00756AD4"/>
    <w:rsid w:val="00756C01"/>
    <w:rsid w:val="00756D6C"/>
    <w:rsid w:val="00756F2D"/>
    <w:rsid w:val="00756F47"/>
    <w:rsid w:val="00757158"/>
    <w:rsid w:val="00757912"/>
    <w:rsid w:val="00757C08"/>
    <w:rsid w:val="00760EF5"/>
    <w:rsid w:val="007621C4"/>
    <w:rsid w:val="00762373"/>
    <w:rsid w:val="00762936"/>
    <w:rsid w:val="00762B26"/>
    <w:rsid w:val="00762DA0"/>
    <w:rsid w:val="00762FD0"/>
    <w:rsid w:val="007636C8"/>
    <w:rsid w:val="00763A1C"/>
    <w:rsid w:val="00763ECD"/>
    <w:rsid w:val="00763F91"/>
    <w:rsid w:val="0076446C"/>
    <w:rsid w:val="00764A95"/>
    <w:rsid w:val="00764F52"/>
    <w:rsid w:val="00765039"/>
    <w:rsid w:val="00765050"/>
    <w:rsid w:val="007650D0"/>
    <w:rsid w:val="007650DB"/>
    <w:rsid w:val="0076596B"/>
    <w:rsid w:val="00765A24"/>
    <w:rsid w:val="00765DCB"/>
    <w:rsid w:val="007661B4"/>
    <w:rsid w:val="00766307"/>
    <w:rsid w:val="007663B6"/>
    <w:rsid w:val="00766810"/>
    <w:rsid w:val="00766A70"/>
    <w:rsid w:val="00766D2F"/>
    <w:rsid w:val="00766EB4"/>
    <w:rsid w:val="00766FE5"/>
    <w:rsid w:val="007677FF"/>
    <w:rsid w:val="00767970"/>
    <w:rsid w:val="00767A04"/>
    <w:rsid w:val="00767C2A"/>
    <w:rsid w:val="00767E40"/>
    <w:rsid w:val="0077004E"/>
    <w:rsid w:val="00770241"/>
    <w:rsid w:val="007703A8"/>
    <w:rsid w:val="0077050C"/>
    <w:rsid w:val="0077057B"/>
    <w:rsid w:val="00770966"/>
    <w:rsid w:val="00770B49"/>
    <w:rsid w:val="00771D7E"/>
    <w:rsid w:val="00772422"/>
    <w:rsid w:val="007726CB"/>
    <w:rsid w:val="00772C70"/>
    <w:rsid w:val="00772CD7"/>
    <w:rsid w:val="00772D45"/>
    <w:rsid w:val="00773021"/>
    <w:rsid w:val="0077348B"/>
    <w:rsid w:val="00773700"/>
    <w:rsid w:val="00773B17"/>
    <w:rsid w:val="00773DD6"/>
    <w:rsid w:val="0077499B"/>
    <w:rsid w:val="00774D7B"/>
    <w:rsid w:val="0077548D"/>
    <w:rsid w:val="00775C7D"/>
    <w:rsid w:val="007760B9"/>
    <w:rsid w:val="0077638B"/>
    <w:rsid w:val="00776599"/>
    <w:rsid w:val="00776624"/>
    <w:rsid w:val="00776786"/>
    <w:rsid w:val="0077709E"/>
    <w:rsid w:val="00777222"/>
    <w:rsid w:val="0077735C"/>
    <w:rsid w:val="00777D1F"/>
    <w:rsid w:val="00777E7F"/>
    <w:rsid w:val="007801DE"/>
    <w:rsid w:val="00780828"/>
    <w:rsid w:val="00780C9E"/>
    <w:rsid w:val="00780EBE"/>
    <w:rsid w:val="00781177"/>
    <w:rsid w:val="007813E0"/>
    <w:rsid w:val="0078142E"/>
    <w:rsid w:val="0078161D"/>
    <w:rsid w:val="00781712"/>
    <w:rsid w:val="00781777"/>
    <w:rsid w:val="00781B7C"/>
    <w:rsid w:val="00781CD9"/>
    <w:rsid w:val="00781EC7"/>
    <w:rsid w:val="00781F4B"/>
    <w:rsid w:val="0078218C"/>
    <w:rsid w:val="00782642"/>
    <w:rsid w:val="007828F3"/>
    <w:rsid w:val="0078295B"/>
    <w:rsid w:val="00782C50"/>
    <w:rsid w:val="00782E64"/>
    <w:rsid w:val="00782FE2"/>
    <w:rsid w:val="00783257"/>
    <w:rsid w:val="007843C5"/>
    <w:rsid w:val="007846EB"/>
    <w:rsid w:val="007847C8"/>
    <w:rsid w:val="007847FA"/>
    <w:rsid w:val="007849B1"/>
    <w:rsid w:val="00784F38"/>
    <w:rsid w:val="00784F84"/>
    <w:rsid w:val="0078502A"/>
    <w:rsid w:val="00785527"/>
    <w:rsid w:val="00785BC2"/>
    <w:rsid w:val="00785E42"/>
    <w:rsid w:val="0078608E"/>
    <w:rsid w:val="00786243"/>
    <w:rsid w:val="0078627F"/>
    <w:rsid w:val="0078642D"/>
    <w:rsid w:val="00786D6F"/>
    <w:rsid w:val="00786E62"/>
    <w:rsid w:val="007872BE"/>
    <w:rsid w:val="00787332"/>
    <w:rsid w:val="00787711"/>
    <w:rsid w:val="00787F89"/>
    <w:rsid w:val="0079048D"/>
    <w:rsid w:val="00790492"/>
    <w:rsid w:val="0079051F"/>
    <w:rsid w:val="007906AC"/>
    <w:rsid w:val="007906C3"/>
    <w:rsid w:val="00790910"/>
    <w:rsid w:val="00790A02"/>
    <w:rsid w:val="00790C20"/>
    <w:rsid w:val="00790C68"/>
    <w:rsid w:val="007910D3"/>
    <w:rsid w:val="00791683"/>
    <w:rsid w:val="00791DE1"/>
    <w:rsid w:val="007925AE"/>
    <w:rsid w:val="0079282A"/>
    <w:rsid w:val="00792949"/>
    <w:rsid w:val="00792E93"/>
    <w:rsid w:val="00793068"/>
    <w:rsid w:val="00793393"/>
    <w:rsid w:val="007934EC"/>
    <w:rsid w:val="0079375E"/>
    <w:rsid w:val="00793774"/>
    <w:rsid w:val="007937AF"/>
    <w:rsid w:val="007937B8"/>
    <w:rsid w:val="00793861"/>
    <w:rsid w:val="007941B4"/>
    <w:rsid w:val="00794729"/>
    <w:rsid w:val="00794AEE"/>
    <w:rsid w:val="00794B57"/>
    <w:rsid w:val="00794BF1"/>
    <w:rsid w:val="0079515E"/>
    <w:rsid w:val="00795368"/>
    <w:rsid w:val="007957E5"/>
    <w:rsid w:val="007960B1"/>
    <w:rsid w:val="00796368"/>
    <w:rsid w:val="007965A0"/>
    <w:rsid w:val="00796954"/>
    <w:rsid w:val="007969E1"/>
    <w:rsid w:val="007969FD"/>
    <w:rsid w:val="00796E20"/>
    <w:rsid w:val="00796E2B"/>
    <w:rsid w:val="00796E53"/>
    <w:rsid w:val="007974E1"/>
    <w:rsid w:val="00797B07"/>
    <w:rsid w:val="00797BB2"/>
    <w:rsid w:val="00797D36"/>
    <w:rsid w:val="00797D9F"/>
    <w:rsid w:val="00797F40"/>
    <w:rsid w:val="007A005C"/>
    <w:rsid w:val="007A0634"/>
    <w:rsid w:val="007A0657"/>
    <w:rsid w:val="007A0667"/>
    <w:rsid w:val="007A08FB"/>
    <w:rsid w:val="007A0C94"/>
    <w:rsid w:val="007A0D5C"/>
    <w:rsid w:val="007A104C"/>
    <w:rsid w:val="007A15B8"/>
    <w:rsid w:val="007A16EC"/>
    <w:rsid w:val="007A1AEB"/>
    <w:rsid w:val="007A1BBC"/>
    <w:rsid w:val="007A1BDC"/>
    <w:rsid w:val="007A2535"/>
    <w:rsid w:val="007A278E"/>
    <w:rsid w:val="007A2961"/>
    <w:rsid w:val="007A2DAE"/>
    <w:rsid w:val="007A2F58"/>
    <w:rsid w:val="007A321D"/>
    <w:rsid w:val="007A32D9"/>
    <w:rsid w:val="007A37EA"/>
    <w:rsid w:val="007A399F"/>
    <w:rsid w:val="007A3A8C"/>
    <w:rsid w:val="007A3F46"/>
    <w:rsid w:val="007A43CC"/>
    <w:rsid w:val="007A4500"/>
    <w:rsid w:val="007A4EC3"/>
    <w:rsid w:val="007A4F57"/>
    <w:rsid w:val="007A5538"/>
    <w:rsid w:val="007A5708"/>
    <w:rsid w:val="007A5A98"/>
    <w:rsid w:val="007A5B31"/>
    <w:rsid w:val="007A5CBD"/>
    <w:rsid w:val="007A5FB6"/>
    <w:rsid w:val="007A6239"/>
    <w:rsid w:val="007A6254"/>
    <w:rsid w:val="007A651C"/>
    <w:rsid w:val="007A6ABC"/>
    <w:rsid w:val="007A6C4C"/>
    <w:rsid w:val="007A6CD6"/>
    <w:rsid w:val="007A7027"/>
    <w:rsid w:val="007A7176"/>
    <w:rsid w:val="007A7218"/>
    <w:rsid w:val="007A7504"/>
    <w:rsid w:val="007A7B09"/>
    <w:rsid w:val="007A7CF7"/>
    <w:rsid w:val="007A7E5A"/>
    <w:rsid w:val="007B0537"/>
    <w:rsid w:val="007B060A"/>
    <w:rsid w:val="007B0E0C"/>
    <w:rsid w:val="007B12D2"/>
    <w:rsid w:val="007B1720"/>
    <w:rsid w:val="007B1EB3"/>
    <w:rsid w:val="007B2054"/>
    <w:rsid w:val="007B20A8"/>
    <w:rsid w:val="007B20D7"/>
    <w:rsid w:val="007B2395"/>
    <w:rsid w:val="007B23AF"/>
    <w:rsid w:val="007B261D"/>
    <w:rsid w:val="007B2AF8"/>
    <w:rsid w:val="007B2C41"/>
    <w:rsid w:val="007B32D0"/>
    <w:rsid w:val="007B3A00"/>
    <w:rsid w:val="007B3A88"/>
    <w:rsid w:val="007B41C9"/>
    <w:rsid w:val="007B4A19"/>
    <w:rsid w:val="007B4A61"/>
    <w:rsid w:val="007B536E"/>
    <w:rsid w:val="007B5F87"/>
    <w:rsid w:val="007B62D6"/>
    <w:rsid w:val="007B6620"/>
    <w:rsid w:val="007B682B"/>
    <w:rsid w:val="007B69C9"/>
    <w:rsid w:val="007B710E"/>
    <w:rsid w:val="007B742B"/>
    <w:rsid w:val="007B77D9"/>
    <w:rsid w:val="007B77E3"/>
    <w:rsid w:val="007B7BA4"/>
    <w:rsid w:val="007C069A"/>
    <w:rsid w:val="007C0D0E"/>
    <w:rsid w:val="007C0FD7"/>
    <w:rsid w:val="007C11E6"/>
    <w:rsid w:val="007C161D"/>
    <w:rsid w:val="007C1FB2"/>
    <w:rsid w:val="007C2080"/>
    <w:rsid w:val="007C2116"/>
    <w:rsid w:val="007C2211"/>
    <w:rsid w:val="007C22FC"/>
    <w:rsid w:val="007C254B"/>
    <w:rsid w:val="007C26E5"/>
    <w:rsid w:val="007C2961"/>
    <w:rsid w:val="007C2AB8"/>
    <w:rsid w:val="007C2C74"/>
    <w:rsid w:val="007C2D55"/>
    <w:rsid w:val="007C31F2"/>
    <w:rsid w:val="007C4CE9"/>
    <w:rsid w:val="007C4F96"/>
    <w:rsid w:val="007C54C8"/>
    <w:rsid w:val="007C5CCF"/>
    <w:rsid w:val="007C67FF"/>
    <w:rsid w:val="007C6B1D"/>
    <w:rsid w:val="007C720A"/>
    <w:rsid w:val="007C72B0"/>
    <w:rsid w:val="007C7499"/>
    <w:rsid w:val="007C751F"/>
    <w:rsid w:val="007C7A40"/>
    <w:rsid w:val="007C7C9C"/>
    <w:rsid w:val="007C7D0B"/>
    <w:rsid w:val="007D0AA1"/>
    <w:rsid w:val="007D1092"/>
    <w:rsid w:val="007D118C"/>
    <w:rsid w:val="007D1575"/>
    <w:rsid w:val="007D162A"/>
    <w:rsid w:val="007D1924"/>
    <w:rsid w:val="007D198E"/>
    <w:rsid w:val="007D1F23"/>
    <w:rsid w:val="007D21D6"/>
    <w:rsid w:val="007D22AC"/>
    <w:rsid w:val="007D2621"/>
    <w:rsid w:val="007D3047"/>
    <w:rsid w:val="007D30F9"/>
    <w:rsid w:val="007D36C6"/>
    <w:rsid w:val="007D381C"/>
    <w:rsid w:val="007D383F"/>
    <w:rsid w:val="007D39B6"/>
    <w:rsid w:val="007D3B2A"/>
    <w:rsid w:val="007D3BFB"/>
    <w:rsid w:val="007D3F1F"/>
    <w:rsid w:val="007D4204"/>
    <w:rsid w:val="007D4B56"/>
    <w:rsid w:val="007D4D81"/>
    <w:rsid w:val="007D4E3C"/>
    <w:rsid w:val="007D5425"/>
    <w:rsid w:val="007D5531"/>
    <w:rsid w:val="007D5CA8"/>
    <w:rsid w:val="007D5D57"/>
    <w:rsid w:val="007D63D1"/>
    <w:rsid w:val="007D6B9E"/>
    <w:rsid w:val="007D6C2D"/>
    <w:rsid w:val="007D6F49"/>
    <w:rsid w:val="007D7514"/>
    <w:rsid w:val="007D78B6"/>
    <w:rsid w:val="007D7EF3"/>
    <w:rsid w:val="007E070E"/>
    <w:rsid w:val="007E0933"/>
    <w:rsid w:val="007E0A6C"/>
    <w:rsid w:val="007E0CAF"/>
    <w:rsid w:val="007E18F0"/>
    <w:rsid w:val="007E2215"/>
    <w:rsid w:val="007E25E3"/>
    <w:rsid w:val="007E2F09"/>
    <w:rsid w:val="007E30D2"/>
    <w:rsid w:val="007E3287"/>
    <w:rsid w:val="007E3854"/>
    <w:rsid w:val="007E3A2B"/>
    <w:rsid w:val="007E3A80"/>
    <w:rsid w:val="007E3AE2"/>
    <w:rsid w:val="007E3B0A"/>
    <w:rsid w:val="007E3B49"/>
    <w:rsid w:val="007E423F"/>
    <w:rsid w:val="007E428B"/>
    <w:rsid w:val="007E4457"/>
    <w:rsid w:val="007E4581"/>
    <w:rsid w:val="007E470D"/>
    <w:rsid w:val="007E4790"/>
    <w:rsid w:val="007E4A0A"/>
    <w:rsid w:val="007E4E61"/>
    <w:rsid w:val="007E50EB"/>
    <w:rsid w:val="007E537D"/>
    <w:rsid w:val="007E58EB"/>
    <w:rsid w:val="007E5F08"/>
    <w:rsid w:val="007E61D5"/>
    <w:rsid w:val="007E62C7"/>
    <w:rsid w:val="007E6391"/>
    <w:rsid w:val="007E7FB5"/>
    <w:rsid w:val="007F0640"/>
    <w:rsid w:val="007F08CA"/>
    <w:rsid w:val="007F0CE5"/>
    <w:rsid w:val="007F258F"/>
    <w:rsid w:val="007F2E8B"/>
    <w:rsid w:val="007F316F"/>
    <w:rsid w:val="007F31A7"/>
    <w:rsid w:val="007F32BB"/>
    <w:rsid w:val="007F36AF"/>
    <w:rsid w:val="007F3999"/>
    <w:rsid w:val="007F3B6E"/>
    <w:rsid w:val="007F4148"/>
    <w:rsid w:val="007F41A5"/>
    <w:rsid w:val="007F4A2E"/>
    <w:rsid w:val="007F4E7E"/>
    <w:rsid w:val="007F569B"/>
    <w:rsid w:val="007F5B7F"/>
    <w:rsid w:val="007F6D34"/>
    <w:rsid w:val="007F6DA4"/>
    <w:rsid w:val="007F6E5E"/>
    <w:rsid w:val="007F7130"/>
    <w:rsid w:val="007F7158"/>
    <w:rsid w:val="007F72EA"/>
    <w:rsid w:val="007F75C0"/>
    <w:rsid w:val="007F7AC2"/>
    <w:rsid w:val="007F7E2C"/>
    <w:rsid w:val="008001DA"/>
    <w:rsid w:val="008002BA"/>
    <w:rsid w:val="00801241"/>
    <w:rsid w:val="008016CA"/>
    <w:rsid w:val="0080178C"/>
    <w:rsid w:val="008020AD"/>
    <w:rsid w:val="008023F2"/>
    <w:rsid w:val="00802771"/>
    <w:rsid w:val="00802B63"/>
    <w:rsid w:val="00802DE5"/>
    <w:rsid w:val="00803096"/>
    <w:rsid w:val="0080323A"/>
    <w:rsid w:val="00803A88"/>
    <w:rsid w:val="00804541"/>
    <w:rsid w:val="00804836"/>
    <w:rsid w:val="00805187"/>
    <w:rsid w:val="008052E6"/>
    <w:rsid w:val="00805714"/>
    <w:rsid w:val="00805C92"/>
    <w:rsid w:val="00805E83"/>
    <w:rsid w:val="00805EA8"/>
    <w:rsid w:val="00806434"/>
    <w:rsid w:val="0080649B"/>
    <w:rsid w:val="008068A5"/>
    <w:rsid w:val="00806D3C"/>
    <w:rsid w:val="00807559"/>
    <w:rsid w:val="00807B47"/>
    <w:rsid w:val="00807BF9"/>
    <w:rsid w:val="00807D65"/>
    <w:rsid w:val="008104AC"/>
    <w:rsid w:val="00810541"/>
    <w:rsid w:val="008108E8"/>
    <w:rsid w:val="008112EB"/>
    <w:rsid w:val="008115C2"/>
    <w:rsid w:val="008117BF"/>
    <w:rsid w:val="008121BA"/>
    <w:rsid w:val="008122CA"/>
    <w:rsid w:val="008126AD"/>
    <w:rsid w:val="008126EA"/>
    <w:rsid w:val="008127AA"/>
    <w:rsid w:val="00812A99"/>
    <w:rsid w:val="00812E19"/>
    <w:rsid w:val="00813288"/>
    <w:rsid w:val="00813481"/>
    <w:rsid w:val="00813826"/>
    <w:rsid w:val="0081388E"/>
    <w:rsid w:val="008144A9"/>
    <w:rsid w:val="00814548"/>
    <w:rsid w:val="00814639"/>
    <w:rsid w:val="00814B4D"/>
    <w:rsid w:val="00814E1A"/>
    <w:rsid w:val="00814EC5"/>
    <w:rsid w:val="00815A87"/>
    <w:rsid w:val="00815BAB"/>
    <w:rsid w:val="00815EE2"/>
    <w:rsid w:val="00816044"/>
    <w:rsid w:val="0081691C"/>
    <w:rsid w:val="00816FE2"/>
    <w:rsid w:val="008170F9"/>
    <w:rsid w:val="00817290"/>
    <w:rsid w:val="00817447"/>
    <w:rsid w:val="0081792A"/>
    <w:rsid w:val="00817B78"/>
    <w:rsid w:val="008201B9"/>
    <w:rsid w:val="008203C1"/>
    <w:rsid w:val="00820B5C"/>
    <w:rsid w:val="00820F2D"/>
    <w:rsid w:val="00820FB3"/>
    <w:rsid w:val="008210B0"/>
    <w:rsid w:val="00821A29"/>
    <w:rsid w:val="00821BE9"/>
    <w:rsid w:val="00822380"/>
    <w:rsid w:val="00822987"/>
    <w:rsid w:val="00822AE8"/>
    <w:rsid w:val="00822FCC"/>
    <w:rsid w:val="00822FF0"/>
    <w:rsid w:val="00823233"/>
    <w:rsid w:val="00824426"/>
    <w:rsid w:val="00824B0E"/>
    <w:rsid w:val="00824C9D"/>
    <w:rsid w:val="00824ECD"/>
    <w:rsid w:val="00825169"/>
    <w:rsid w:val="008254AB"/>
    <w:rsid w:val="0082557D"/>
    <w:rsid w:val="00825759"/>
    <w:rsid w:val="008257A3"/>
    <w:rsid w:val="00825BEA"/>
    <w:rsid w:val="008260B8"/>
    <w:rsid w:val="00826309"/>
    <w:rsid w:val="00826345"/>
    <w:rsid w:val="008267FA"/>
    <w:rsid w:val="00826D93"/>
    <w:rsid w:val="00826EBB"/>
    <w:rsid w:val="00827126"/>
    <w:rsid w:val="00827366"/>
    <w:rsid w:val="008273CB"/>
    <w:rsid w:val="00827592"/>
    <w:rsid w:val="008304D2"/>
    <w:rsid w:val="0083050A"/>
    <w:rsid w:val="00830597"/>
    <w:rsid w:val="008307D4"/>
    <w:rsid w:val="00830AB5"/>
    <w:rsid w:val="00830E52"/>
    <w:rsid w:val="00830EDF"/>
    <w:rsid w:val="008310D0"/>
    <w:rsid w:val="00831E94"/>
    <w:rsid w:val="00831FCC"/>
    <w:rsid w:val="008320A1"/>
    <w:rsid w:val="00832248"/>
    <w:rsid w:val="0083233F"/>
    <w:rsid w:val="008323DD"/>
    <w:rsid w:val="008324E3"/>
    <w:rsid w:val="00832B5D"/>
    <w:rsid w:val="00832C58"/>
    <w:rsid w:val="00832ED8"/>
    <w:rsid w:val="00833B9F"/>
    <w:rsid w:val="00833BC6"/>
    <w:rsid w:val="00833E59"/>
    <w:rsid w:val="00833E9A"/>
    <w:rsid w:val="00833EFC"/>
    <w:rsid w:val="00833F9B"/>
    <w:rsid w:val="0083416A"/>
    <w:rsid w:val="008352BE"/>
    <w:rsid w:val="008353DA"/>
    <w:rsid w:val="00835681"/>
    <w:rsid w:val="0083575D"/>
    <w:rsid w:val="00835832"/>
    <w:rsid w:val="0083595D"/>
    <w:rsid w:val="00835E20"/>
    <w:rsid w:val="008360F1"/>
    <w:rsid w:val="0083637C"/>
    <w:rsid w:val="00836B08"/>
    <w:rsid w:val="00836BC0"/>
    <w:rsid w:val="00836E8D"/>
    <w:rsid w:val="00837463"/>
    <w:rsid w:val="008376CA"/>
    <w:rsid w:val="008377EC"/>
    <w:rsid w:val="008378F0"/>
    <w:rsid w:val="00837BF4"/>
    <w:rsid w:val="00837D7E"/>
    <w:rsid w:val="008400EE"/>
    <w:rsid w:val="00840363"/>
    <w:rsid w:val="00840A5D"/>
    <w:rsid w:val="00840A97"/>
    <w:rsid w:val="00840E7F"/>
    <w:rsid w:val="00841187"/>
    <w:rsid w:val="008411E2"/>
    <w:rsid w:val="008412D3"/>
    <w:rsid w:val="0084147B"/>
    <w:rsid w:val="00841F3B"/>
    <w:rsid w:val="0084207E"/>
    <w:rsid w:val="0084210F"/>
    <w:rsid w:val="00842373"/>
    <w:rsid w:val="00842EEB"/>
    <w:rsid w:val="008435B7"/>
    <w:rsid w:val="00843629"/>
    <w:rsid w:val="00843AAD"/>
    <w:rsid w:val="00844025"/>
    <w:rsid w:val="008442E1"/>
    <w:rsid w:val="00844347"/>
    <w:rsid w:val="0084437F"/>
    <w:rsid w:val="008444F3"/>
    <w:rsid w:val="0084468C"/>
    <w:rsid w:val="0084504B"/>
    <w:rsid w:val="008450F3"/>
    <w:rsid w:val="00845148"/>
    <w:rsid w:val="008452EF"/>
    <w:rsid w:val="00845946"/>
    <w:rsid w:val="00845B97"/>
    <w:rsid w:val="0084611F"/>
    <w:rsid w:val="0084720A"/>
    <w:rsid w:val="00847223"/>
    <w:rsid w:val="008474BC"/>
    <w:rsid w:val="008476A0"/>
    <w:rsid w:val="00847953"/>
    <w:rsid w:val="00847A30"/>
    <w:rsid w:val="00847B2C"/>
    <w:rsid w:val="00847E44"/>
    <w:rsid w:val="00847F7D"/>
    <w:rsid w:val="0085031A"/>
    <w:rsid w:val="00850331"/>
    <w:rsid w:val="0085041B"/>
    <w:rsid w:val="0085078D"/>
    <w:rsid w:val="00850976"/>
    <w:rsid w:val="008509E0"/>
    <w:rsid w:val="00850AAE"/>
    <w:rsid w:val="00850F19"/>
    <w:rsid w:val="00850FE3"/>
    <w:rsid w:val="0085165B"/>
    <w:rsid w:val="008518B7"/>
    <w:rsid w:val="00851A8E"/>
    <w:rsid w:val="00851C1D"/>
    <w:rsid w:val="00851C5E"/>
    <w:rsid w:val="00851F3E"/>
    <w:rsid w:val="00852BE7"/>
    <w:rsid w:val="00852F38"/>
    <w:rsid w:val="00853047"/>
    <w:rsid w:val="00853F68"/>
    <w:rsid w:val="008545CF"/>
    <w:rsid w:val="00854784"/>
    <w:rsid w:val="008548EC"/>
    <w:rsid w:val="0085499E"/>
    <w:rsid w:val="00854E19"/>
    <w:rsid w:val="00854E1C"/>
    <w:rsid w:val="00854EF0"/>
    <w:rsid w:val="00854F9A"/>
    <w:rsid w:val="0085518D"/>
    <w:rsid w:val="008556BA"/>
    <w:rsid w:val="008557BA"/>
    <w:rsid w:val="00856BC1"/>
    <w:rsid w:val="00856C34"/>
    <w:rsid w:val="00856E1D"/>
    <w:rsid w:val="00856EC4"/>
    <w:rsid w:val="00856F24"/>
    <w:rsid w:val="00857308"/>
    <w:rsid w:val="00857398"/>
    <w:rsid w:val="008575C2"/>
    <w:rsid w:val="00857A20"/>
    <w:rsid w:val="00857AD9"/>
    <w:rsid w:val="0086040F"/>
    <w:rsid w:val="008605BE"/>
    <w:rsid w:val="0086103B"/>
    <w:rsid w:val="00861258"/>
    <w:rsid w:val="008621C6"/>
    <w:rsid w:val="008626AC"/>
    <w:rsid w:val="00862B69"/>
    <w:rsid w:val="00862FC4"/>
    <w:rsid w:val="00863178"/>
    <w:rsid w:val="00863192"/>
    <w:rsid w:val="008631B5"/>
    <w:rsid w:val="008633CA"/>
    <w:rsid w:val="0086391F"/>
    <w:rsid w:val="00863DCC"/>
    <w:rsid w:val="00863E95"/>
    <w:rsid w:val="00864104"/>
    <w:rsid w:val="008643BE"/>
    <w:rsid w:val="00864531"/>
    <w:rsid w:val="00865082"/>
    <w:rsid w:val="00865190"/>
    <w:rsid w:val="00865315"/>
    <w:rsid w:val="00865546"/>
    <w:rsid w:val="0086576C"/>
    <w:rsid w:val="008657A4"/>
    <w:rsid w:val="00865819"/>
    <w:rsid w:val="0086590E"/>
    <w:rsid w:val="00865DC1"/>
    <w:rsid w:val="00866276"/>
    <w:rsid w:val="00866AEA"/>
    <w:rsid w:val="008673CD"/>
    <w:rsid w:val="00867AF1"/>
    <w:rsid w:val="00867BAE"/>
    <w:rsid w:val="00867E67"/>
    <w:rsid w:val="00870112"/>
    <w:rsid w:val="00870166"/>
    <w:rsid w:val="00870509"/>
    <w:rsid w:val="00870513"/>
    <w:rsid w:val="00870583"/>
    <w:rsid w:val="00870C8E"/>
    <w:rsid w:val="008711B8"/>
    <w:rsid w:val="00871499"/>
    <w:rsid w:val="00871D06"/>
    <w:rsid w:val="00871FD7"/>
    <w:rsid w:val="0087205E"/>
    <w:rsid w:val="008726EC"/>
    <w:rsid w:val="00872A2C"/>
    <w:rsid w:val="00872CDE"/>
    <w:rsid w:val="008732C0"/>
    <w:rsid w:val="00873316"/>
    <w:rsid w:val="00873356"/>
    <w:rsid w:val="00873472"/>
    <w:rsid w:val="00873657"/>
    <w:rsid w:val="0087365A"/>
    <w:rsid w:val="00873C56"/>
    <w:rsid w:val="00874043"/>
    <w:rsid w:val="00874090"/>
    <w:rsid w:val="008742C1"/>
    <w:rsid w:val="008743C7"/>
    <w:rsid w:val="008744EA"/>
    <w:rsid w:val="00874590"/>
    <w:rsid w:val="00874849"/>
    <w:rsid w:val="00874A6C"/>
    <w:rsid w:val="00874CE8"/>
    <w:rsid w:val="00874E3E"/>
    <w:rsid w:val="00875028"/>
    <w:rsid w:val="008750F9"/>
    <w:rsid w:val="008752A4"/>
    <w:rsid w:val="00875341"/>
    <w:rsid w:val="0087536F"/>
    <w:rsid w:val="008754AF"/>
    <w:rsid w:val="008755CC"/>
    <w:rsid w:val="0087599B"/>
    <w:rsid w:val="0087630C"/>
    <w:rsid w:val="00876903"/>
    <w:rsid w:val="00876B33"/>
    <w:rsid w:val="00876E22"/>
    <w:rsid w:val="00876E34"/>
    <w:rsid w:val="008773CC"/>
    <w:rsid w:val="0087742F"/>
    <w:rsid w:val="00877AB5"/>
    <w:rsid w:val="00877BA7"/>
    <w:rsid w:val="00877F8A"/>
    <w:rsid w:val="00880545"/>
    <w:rsid w:val="00880932"/>
    <w:rsid w:val="00880A40"/>
    <w:rsid w:val="00880B0B"/>
    <w:rsid w:val="00880CA9"/>
    <w:rsid w:val="00880F3D"/>
    <w:rsid w:val="00880FCF"/>
    <w:rsid w:val="00881033"/>
    <w:rsid w:val="008810DB"/>
    <w:rsid w:val="008813AA"/>
    <w:rsid w:val="00881662"/>
    <w:rsid w:val="0088168E"/>
    <w:rsid w:val="0088191C"/>
    <w:rsid w:val="00881BE1"/>
    <w:rsid w:val="00881C81"/>
    <w:rsid w:val="00881E2C"/>
    <w:rsid w:val="00882665"/>
    <w:rsid w:val="00882B2A"/>
    <w:rsid w:val="00882C06"/>
    <w:rsid w:val="00882CC7"/>
    <w:rsid w:val="00882FBB"/>
    <w:rsid w:val="00883A07"/>
    <w:rsid w:val="00883CC3"/>
    <w:rsid w:val="00883F3D"/>
    <w:rsid w:val="00885572"/>
    <w:rsid w:val="00885996"/>
    <w:rsid w:val="00885ABF"/>
    <w:rsid w:val="00885BBE"/>
    <w:rsid w:val="008863AE"/>
    <w:rsid w:val="008867A8"/>
    <w:rsid w:val="008869F4"/>
    <w:rsid w:val="00886B92"/>
    <w:rsid w:val="00887606"/>
    <w:rsid w:val="00887946"/>
    <w:rsid w:val="00890DD6"/>
    <w:rsid w:val="00890DE8"/>
    <w:rsid w:val="0089107E"/>
    <w:rsid w:val="008911CB"/>
    <w:rsid w:val="008919E4"/>
    <w:rsid w:val="00891D9C"/>
    <w:rsid w:val="008923C8"/>
    <w:rsid w:val="0089241B"/>
    <w:rsid w:val="00892684"/>
    <w:rsid w:val="0089288D"/>
    <w:rsid w:val="00893066"/>
    <w:rsid w:val="00893267"/>
    <w:rsid w:val="00893716"/>
    <w:rsid w:val="008937DC"/>
    <w:rsid w:val="008938A5"/>
    <w:rsid w:val="00893C16"/>
    <w:rsid w:val="00893EEF"/>
    <w:rsid w:val="0089434F"/>
    <w:rsid w:val="008944C4"/>
    <w:rsid w:val="00894943"/>
    <w:rsid w:val="00894A8C"/>
    <w:rsid w:val="00894C31"/>
    <w:rsid w:val="008952D0"/>
    <w:rsid w:val="0089558B"/>
    <w:rsid w:val="00895A9B"/>
    <w:rsid w:val="00895BE9"/>
    <w:rsid w:val="00895CFC"/>
    <w:rsid w:val="00895DBE"/>
    <w:rsid w:val="00896120"/>
    <w:rsid w:val="008962D7"/>
    <w:rsid w:val="00896360"/>
    <w:rsid w:val="008975A2"/>
    <w:rsid w:val="00897B51"/>
    <w:rsid w:val="00897D09"/>
    <w:rsid w:val="008A0373"/>
    <w:rsid w:val="008A0638"/>
    <w:rsid w:val="008A10F1"/>
    <w:rsid w:val="008A12B3"/>
    <w:rsid w:val="008A14CB"/>
    <w:rsid w:val="008A16EF"/>
    <w:rsid w:val="008A184F"/>
    <w:rsid w:val="008A19A9"/>
    <w:rsid w:val="008A1E12"/>
    <w:rsid w:val="008A21CF"/>
    <w:rsid w:val="008A2659"/>
    <w:rsid w:val="008A272E"/>
    <w:rsid w:val="008A2C72"/>
    <w:rsid w:val="008A3425"/>
    <w:rsid w:val="008A35D4"/>
    <w:rsid w:val="008A3993"/>
    <w:rsid w:val="008A3ADD"/>
    <w:rsid w:val="008A3DAB"/>
    <w:rsid w:val="008A40BC"/>
    <w:rsid w:val="008A40DD"/>
    <w:rsid w:val="008A41CD"/>
    <w:rsid w:val="008A41D1"/>
    <w:rsid w:val="008A41DA"/>
    <w:rsid w:val="008A421A"/>
    <w:rsid w:val="008A435C"/>
    <w:rsid w:val="008A43EB"/>
    <w:rsid w:val="008A47F7"/>
    <w:rsid w:val="008A4880"/>
    <w:rsid w:val="008A4C6F"/>
    <w:rsid w:val="008A4D5C"/>
    <w:rsid w:val="008A5006"/>
    <w:rsid w:val="008A52B1"/>
    <w:rsid w:val="008A5754"/>
    <w:rsid w:val="008A5E0E"/>
    <w:rsid w:val="008A613C"/>
    <w:rsid w:val="008A6144"/>
    <w:rsid w:val="008A61E1"/>
    <w:rsid w:val="008A6902"/>
    <w:rsid w:val="008A6FCF"/>
    <w:rsid w:val="008A7359"/>
    <w:rsid w:val="008A791B"/>
    <w:rsid w:val="008A7B79"/>
    <w:rsid w:val="008B0679"/>
    <w:rsid w:val="008B06CE"/>
    <w:rsid w:val="008B0774"/>
    <w:rsid w:val="008B0895"/>
    <w:rsid w:val="008B0A19"/>
    <w:rsid w:val="008B0A85"/>
    <w:rsid w:val="008B0C53"/>
    <w:rsid w:val="008B114E"/>
    <w:rsid w:val="008B17D5"/>
    <w:rsid w:val="008B1A73"/>
    <w:rsid w:val="008B1E1B"/>
    <w:rsid w:val="008B1FFD"/>
    <w:rsid w:val="008B2053"/>
    <w:rsid w:val="008B2287"/>
    <w:rsid w:val="008B24A9"/>
    <w:rsid w:val="008B24B2"/>
    <w:rsid w:val="008B2592"/>
    <w:rsid w:val="008B2C31"/>
    <w:rsid w:val="008B2E71"/>
    <w:rsid w:val="008B331B"/>
    <w:rsid w:val="008B3475"/>
    <w:rsid w:val="008B4504"/>
    <w:rsid w:val="008B4829"/>
    <w:rsid w:val="008B4953"/>
    <w:rsid w:val="008B49A6"/>
    <w:rsid w:val="008B4EA4"/>
    <w:rsid w:val="008B5332"/>
    <w:rsid w:val="008B5456"/>
    <w:rsid w:val="008B5B32"/>
    <w:rsid w:val="008B5C64"/>
    <w:rsid w:val="008B668C"/>
    <w:rsid w:val="008B6AA7"/>
    <w:rsid w:val="008B703A"/>
    <w:rsid w:val="008B7987"/>
    <w:rsid w:val="008B7C3C"/>
    <w:rsid w:val="008C0409"/>
    <w:rsid w:val="008C04C0"/>
    <w:rsid w:val="008C0A0A"/>
    <w:rsid w:val="008C0B42"/>
    <w:rsid w:val="008C0F50"/>
    <w:rsid w:val="008C1056"/>
    <w:rsid w:val="008C1265"/>
    <w:rsid w:val="008C1A98"/>
    <w:rsid w:val="008C205D"/>
    <w:rsid w:val="008C262A"/>
    <w:rsid w:val="008C2989"/>
    <w:rsid w:val="008C303D"/>
    <w:rsid w:val="008C332C"/>
    <w:rsid w:val="008C3447"/>
    <w:rsid w:val="008C34E0"/>
    <w:rsid w:val="008C3552"/>
    <w:rsid w:val="008C3B72"/>
    <w:rsid w:val="008C3D0F"/>
    <w:rsid w:val="008C4134"/>
    <w:rsid w:val="008C41E6"/>
    <w:rsid w:val="008C4333"/>
    <w:rsid w:val="008C460D"/>
    <w:rsid w:val="008C4723"/>
    <w:rsid w:val="008C4A38"/>
    <w:rsid w:val="008C4BA9"/>
    <w:rsid w:val="008C4BE6"/>
    <w:rsid w:val="008C4C16"/>
    <w:rsid w:val="008C52B6"/>
    <w:rsid w:val="008C54D9"/>
    <w:rsid w:val="008C5914"/>
    <w:rsid w:val="008C5ACD"/>
    <w:rsid w:val="008C5B8D"/>
    <w:rsid w:val="008C5E5D"/>
    <w:rsid w:val="008C60DB"/>
    <w:rsid w:val="008C6175"/>
    <w:rsid w:val="008C6339"/>
    <w:rsid w:val="008C65B7"/>
    <w:rsid w:val="008C67E8"/>
    <w:rsid w:val="008C69C5"/>
    <w:rsid w:val="008C6EB2"/>
    <w:rsid w:val="008C6EEE"/>
    <w:rsid w:val="008C6F19"/>
    <w:rsid w:val="008C714B"/>
    <w:rsid w:val="008C7464"/>
    <w:rsid w:val="008C75B2"/>
    <w:rsid w:val="008C77D0"/>
    <w:rsid w:val="008C7E59"/>
    <w:rsid w:val="008D07E4"/>
    <w:rsid w:val="008D09DD"/>
    <w:rsid w:val="008D1732"/>
    <w:rsid w:val="008D1784"/>
    <w:rsid w:val="008D1980"/>
    <w:rsid w:val="008D1B92"/>
    <w:rsid w:val="008D1DB4"/>
    <w:rsid w:val="008D23FD"/>
    <w:rsid w:val="008D2496"/>
    <w:rsid w:val="008D269A"/>
    <w:rsid w:val="008D28DE"/>
    <w:rsid w:val="008D3168"/>
    <w:rsid w:val="008D32E3"/>
    <w:rsid w:val="008D3521"/>
    <w:rsid w:val="008D3682"/>
    <w:rsid w:val="008D3A3E"/>
    <w:rsid w:val="008D402F"/>
    <w:rsid w:val="008D4224"/>
    <w:rsid w:val="008D44DC"/>
    <w:rsid w:val="008D475B"/>
    <w:rsid w:val="008D4D3F"/>
    <w:rsid w:val="008D4F21"/>
    <w:rsid w:val="008D5199"/>
    <w:rsid w:val="008D5585"/>
    <w:rsid w:val="008D59F4"/>
    <w:rsid w:val="008D5E4D"/>
    <w:rsid w:val="008D5E75"/>
    <w:rsid w:val="008D5E7D"/>
    <w:rsid w:val="008D61B2"/>
    <w:rsid w:val="008D65B2"/>
    <w:rsid w:val="008D6845"/>
    <w:rsid w:val="008D7090"/>
    <w:rsid w:val="008D745B"/>
    <w:rsid w:val="008D78FF"/>
    <w:rsid w:val="008D7BF5"/>
    <w:rsid w:val="008E0235"/>
    <w:rsid w:val="008E0641"/>
    <w:rsid w:val="008E0863"/>
    <w:rsid w:val="008E0BF1"/>
    <w:rsid w:val="008E0E43"/>
    <w:rsid w:val="008E0F78"/>
    <w:rsid w:val="008E1094"/>
    <w:rsid w:val="008E1140"/>
    <w:rsid w:val="008E1511"/>
    <w:rsid w:val="008E16B3"/>
    <w:rsid w:val="008E1821"/>
    <w:rsid w:val="008E18F3"/>
    <w:rsid w:val="008E1A8E"/>
    <w:rsid w:val="008E1DF3"/>
    <w:rsid w:val="008E20FD"/>
    <w:rsid w:val="008E227A"/>
    <w:rsid w:val="008E2361"/>
    <w:rsid w:val="008E2E9B"/>
    <w:rsid w:val="008E2F13"/>
    <w:rsid w:val="008E317D"/>
    <w:rsid w:val="008E3F23"/>
    <w:rsid w:val="008E4047"/>
    <w:rsid w:val="008E51FB"/>
    <w:rsid w:val="008E582A"/>
    <w:rsid w:val="008E5C39"/>
    <w:rsid w:val="008E5C94"/>
    <w:rsid w:val="008E5FDB"/>
    <w:rsid w:val="008E656A"/>
    <w:rsid w:val="008E67D4"/>
    <w:rsid w:val="008E69C7"/>
    <w:rsid w:val="008E6F0E"/>
    <w:rsid w:val="008E7236"/>
    <w:rsid w:val="008E7763"/>
    <w:rsid w:val="008E7F70"/>
    <w:rsid w:val="008F0429"/>
    <w:rsid w:val="008F05F8"/>
    <w:rsid w:val="008F07FC"/>
    <w:rsid w:val="008F084B"/>
    <w:rsid w:val="008F08DB"/>
    <w:rsid w:val="008F09BF"/>
    <w:rsid w:val="008F0C2E"/>
    <w:rsid w:val="008F108A"/>
    <w:rsid w:val="008F1854"/>
    <w:rsid w:val="008F1E27"/>
    <w:rsid w:val="008F1F56"/>
    <w:rsid w:val="008F20D0"/>
    <w:rsid w:val="008F24A0"/>
    <w:rsid w:val="008F251E"/>
    <w:rsid w:val="008F2970"/>
    <w:rsid w:val="008F2C6A"/>
    <w:rsid w:val="008F2D22"/>
    <w:rsid w:val="008F324A"/>
    <w:rsid w:val="008F328A"/>
    <w:rsid w:val="008F3484"/>
    <w:rsid w:val="008F3519"/>
    <w:rsid w:val="008F365C"/>
    <w:rsid w:val="008F3687"/>
    <w:rsid w:val="008F3930"/>
    <w:rsid w:val="008F3F9E"/>
    <w:rsid w:val="008F4001"/>
    <w:rsid w:val="008F441D"/>
    <w:rsid w:val="008F4673"/>
    <w:rsid w:val="008F4742"/>
    <w:rsid w:val="008F4850"/>
    <w:rsid w:val="008F4A7E"/>
    <w:rsid w:val="008F501B"/>
    <w:rsid w:val="008F519D"/>
    <w:rsid w:val="008F51E5"/>
    <w:rsid w:val="008F5299"/>
    <w:rsid w:val="008F5926"/>
    <w:rsid w:val="008F5E79"/>
    <w:rsid w:val="008F63AB"/>
    <w:rsid w:val="008F6796"/>
    <w:rsid w:val="008F6902"/>
    <w:rsid w:val="008F69AE"/>
    <w:rsid w:val="008F703E"/>
    <w:rsid w:val="008F7109"/>
    <w:rsid w:val="008F737B"/>
    <w:rsid w:val="008F7639"/>
    <w:rsid w:val="00900060"/>
    <w:rsid w:val="009000E7"/>
    <w:rsid w:val="00900174"/>
    <w:rsid w:val="009002B5"/>
    <w:rsid w:val="009003BE"/>
    <w:rsid w:val="00901030"/>
    <w:rsid w:val="009012B2"/>
    <w:rsid w:val="00901C26"/>
    <w:rsid w:val="00901D0C"/>
    <w:rsid w:val="00902007"/>
    <w:rsid w:val="009020D0"/>
    <w:rsid w:val="009023B3"/>
    <w:rsid w:val="00902775"/>
    <w:rsid w:val="00903F33"/>
    <w:rsid w:val="009041BB"/>
    <w:rsid w:val="009047D9"/>
    <w:rsid w:val="00904E8B"/>
    <w:rsid w:val="00905DEA"/>
    <w:rsid w:val="0090640F"/>
    <w:rsid w:val="00906C2F"/>
    <w:rsid w:val="00906DAB"/>
    <w:rsid w:val="0090734D"/>
    <w:rsid w:val="00907578"/>
    <w:rsid w:val="00907657"/>
    <w:rsid w:val="00907899"/>
    <w:rsid w:val="0090793E"/>
    <w:rsid w:val="00907E0E"/>
    <w:rsid w:val="00907E58"/>
    <w:rsid w:val="0091016D"/>
    <w:rsid w:val="00910385"/>
    <w:rsid w:val="00910407"/>
    <w:rsid w:val="00911B5F"/>
    <w:rsid w:val="00911DC4"/>
    <w:rsid w:val="00912010"/>
    <w:rsid w:val="0091222F"/>
    <w:rsid w:val="0091238F"/>
    <w:rsid w:val="009124ED"/>
    <w:rsid w:val="009127E9"/>
    <w:rsid w:val="00912835"/>
    <w:rsid w:val="00912CE8"/>
    <w:rsid w:val="00912EBC"/>
    <w:rsid w:val="00912FD3"/>
    <w:rsid w:val="00913267"/>
    <w:rsid w:val="00913433"/>
    <w:rsid w:val="00913B64"/>
    <w:rsid w:val="00913B9E"/>
    <w:rsid w:val="009144ED"/>
    <w:rsid w:val="009146C4"/>
    <w:rsid w:val="00914A67"/>
    <w:rsid w:val="00914B1D"/>
    <w:rsid w:val="00914B67"/>
    <w:rsid w:val="00914BD6"/>
    <w:rsid w:val="00914DA7"/>
    <w:rsid w:val="00915724"/>
    <w:rsid w:val="00915F63"/>
    <w:rsid w:val="00915FB0"/>
    <w:rsid w:val="00915FEC"/>
    <w:rsid w:val="0091683C"/>
    <w:rsid w:val="00916AFA"/>
    <w:rsid w:val="00916DB1"/>
    <w:rsid w:val="009171E1"/>
    <w:rsid w:val="009177E9"/>
    <w:rsid w:val="00917A69"/>
    <w:rsid w:val="00917B1F"/>
    <w:rsid w:val="0092010A"/>
    <w:rsid w:val="00920523"/>
    <w:rsid w:val="00920637"/>
    <w:rsid w:val="00920DD7"/>
    <w:rsid w:val="00921860"/>
    <w:rsid w:val="00921E47"/>
    <w:rsid w:val="009221AD"/>
    <w:rsid w:val="00922316"/>
    <w:rsid w:val="00922761"/>
    <w:rsid w:val="00922900"/>
    <w:rsid w:val="00922C71"/>
    <w:rsid w:val="00922D98"/>
    <w:rsid w:val="00922FE1"/>
    <w:rsid w:val="00923366"/>
    <w:rsid w:val="009234E6"/>
    <w:rsid w:val="009238DE"/>
    <w:rsid w:val="00923E35"/>
    <w:rsid w:val="009240B7"/>
    <w:rsid w:val="00924769"/>
    <w:rsid w:val="00924A43"/>
    <w:rsid w:val="00924EDF"/>
    <w:rsid w:val="009254CC"/>
    <w:rsid w:val="009257D5"/>
    <w:rsid w:val="00925DA8"/>
    <w:rsid w:val="00925FA2"/>
    <w:rsid w:val="00925FE3"/>
    <w:rsid w:val="0092600B"/>
    <w:rsid w:val="009265C7"/>
    <w:rsid w:val="009267B6"/>
    <w:rsid w:val="00926805"/>
    <w:rsid w:val="00926851"/>
    <w:rsid w:val="00926B20"/>
    <w:rsid w:val="00926F9E"/>
    <w:rsid w:val="009270BC"/>
    <w:rsid w:val="00927718"/>
    <w:rsid w:val="00927996"/>
    <w:rsid w:val="00927AAA"/>
    <w:rsid w:val="0093003F"/>
    <w:rsid w:val="00930D09"/>
    <w:rsid w:val="00931102"/>
    <w:rsid w:val="00931131"/>
    <w:rsid w:val="00931A3A"/>
    <w:rsid w:val="00932124"/>
    <w:rsid w:val="009323C7"/>
    <w:rsid w:val="009326C6"/>
    <w:rsid w:val="009328C9"/>
    <w:rsid w:val="00932F0D"/>
    <w:rsid w:val="009331CF"/>
    <w:rsid w:val="0093322F"/>
    <w:rsid w:val="009334AC"/>
    <w:rsid w:val="00933983"/>
    <w:rsid w:val="00933AC0"/>
    <w:rsid w:val="00934060"/>
    <w:rsid w:val="00934541"/>
    <w:rsid w:val="00934564"/>
    <w:rsid w:val="00935103"/>
    <w:rsid w:val="009354E8"/>
    <w:rsid w:val="00935DA7"/>
    <w:rsid w:val="00935E03"/>
    <w:rsid w:val="00935F30"/>
    <w:rsid w:val="00936235"/>
    <w:rsid w:val="00936420"/>
    <w:rsid w:val="00936E90"/>
    <w:rsid w:val="00936F3E"/>
    <w:rsid w:val="00937087"/>
    <w:rsid w:val="00937B65"/>
    <w:rsid w:val="00937E53"/>
    <w:rsid w:val="0094013F"/>
    <w:rsid w:val="00940308"/>
    <w:rsid w:val="0094040C"/>
    <w:rsid w:val="0094049A"/>
    <w:rsid w:val="00940552"/>
    <w:rsid w:val="00940763"/>
    <w:rsid w:val="009411CC"/>
    <w:rsid w:val="0094146D"/>
    <w:rsid w:val="0094174F"/>
    <w:rsid w:val="00941A22"/>
    <w:rsid w:val="00941BC6"/>
    <w:rsid w:val="00941ED9"/>
    <w:rsid w:val="00942010"/>
    <w:rsid w:val="00942144"/>
    <w:rsid w:val="00942700"/>
    <w:rsid w:val="009428EF"/>
    <w:rsid w:val="00942922"/>
    <w:rsid w:val="0094313C"/>
    <w:rsid w:val="0094320A"/>
    <w:rsid w:val="009432CC"/>
    <w:rsid w:val="0094381B"/>
    <w:rsid w:val="00943E89"/>
    <w:rsid w:val="00945172"/>
    <w:rsid w:val="009453C3"/>
    <w:rsid w:val="00945A41"/>
    <w:rsid w:val="00945A89"/>
    <w:rsid w:val="00945D00"/>
    <w:rsid w:val="00945D9E"/>
    <w:rsid w:val="00945E12"/>
    <w:rsid w:val="0094644E"/>
    <w:rsid w:val="00946BCE"/>
    <w:rsid w:val="00946EFA"/>
    <w:rsid w:val="009479C4"/>
    <w:rsid w:val="00947A1C"/>
    <w:rsid w:val="00947A93"/>
    <w:rsid w:val="00947D8B"/>
    <w:rsid w:val="009505D4"/>
    <w:rsid w:val="009509AD"/>
    <w:rsid w:val="00950EB0"/>
    <w:rsid w:val="0095170D"/>
    <w:rsid w:val="00951A27"/>
    <w:rsid w:val="00951AB8"/>
    <w:rsid w:val="00951B8F"/>
    <w:rsid w:val="00952202"/>
    <w:rsid w:val="00952632"/>
    <w:rsid w:val="0095285A"/>
    <w:rsid w:val="00952A8E"/>
    <w:rsid w:val="00952D6B"/>
    <w:rsid w:val="0095307F"/>
    <w:rsid w:val="00953089"/>
    <w:rsid w:val="00953626"/>
    <w:rsid w:val="009538A3"/>
    <w:rsid w:val="00953941"/>
    <w:rsid w:val="00953967"/>
    <w:rsid w:val="00954050"/>
    <w:rsid w:val="00954865"/>
    <w:rsid w:val="009548FF"/>
    <w:rsid w:val="00954B8B"/>
    <w:rsid w:val="00955524"/>
    <w:rsid w:val="00955526"/>
    <w:rsid w:val="00955A34"/>
    <w:rsid w:val="00955A4B"/>
    <w:rsid w:val="00955A9D"/>
    <w:rsid w:val="009565F4"/>
    <w:rsid w:val="00956B60"/>
    <w:rsid w:val="00956B63"/>
    <w:rsid w:val="00956C89"/>
    <w:rsid w:val="00956EE1"/>
    <w:rsid w:val="00957B8C"/>
    <w:rsid w:val="00957FD5"/>
    <w:rsid w:val="00960123"/>
    <w:rsid w:val="0096044D"/>
    <w:rsid w:val="00960824"/>
    <w:rsid w:val="00960CA2"/>
    <w:rsid w:val="00961172"/>
    <w:rsid w:val="0096126E"/>
    <w:rsid w:val="00961A09"/>
    <w:rsid w:val="00961B91"/>
    <w:rsid w:val="009621A3"/>
    <w:rsid w:val="009624F6"/>
    <w:rsid w:val="00962504"/>
    <w:rsid w:val="00962538"/>
    <w:rsid w:val="009625CC"/>
    <w:rsid w:val="00962752"/>
    <w:rsid w:val="0096275D"/>
    <w:rsid w:val="00963511"/>
    <w:rsid w:val="009638C0"/>
    <w:rsid w:val="009640F1"/>
    <w:rsid w:val="00964344"/>
    <w:rsid w:val="0096439F"/>
    <w:rsid w:val="0096447D"/>
    <w:rsid w:val="00964B18"/>
    <w:rsid w:val="00965269"/>
    <w:rsid w:val="00965844"/>
    <w:rsid w:val="00965C31"/>
    <w:rsid w:val="00965F9D"/>
    <w:rsid w:val="00966543"/>
    <w:rsid w:val="00966C09"/>
    <w:rsid w:val="00967293"/>
    <w:rsid w:val="00967C7C"/>
    <w:rsid w:val="00967CE3"/>
    <w:rsid w:val="00967FBA"/>
    <w:rsid w:val="009702B1"/>
    <w:rsid w:val="00970726"/>
    <w:rsid w:val="009707BA"/>
    <w:rsid w:val="009708F6"/>
    <w:rsid w:val="00970A84"/>
    <w:rsid w:val="00970CD8"/>
    <w:rsid w:val="00970D2E"/>
    <w:rsid w:val="00970D3B"/>
    <w:rsid w:val="00971601"/>
    <w:rsid w:val="00971604"/>
    <w:rsid w:val="00971E91"/>
    <w:rsid w:val="009728EE"/>
    <w:rsid w:val="009729CF"/>
    <w:rsid w:val="00972A34"/>
    <w:rsid w:val="009732E6"/>
    <w:rsid w:val="00973B8F"/>
    <w:rsid w:val="00973E22"/>
    <w:rsid w:val="00973E9B"/>
    <w:rsid w:val="0097404D"/>
    <w:rsid w:val="00974104"/>
    <w:rsid w:val="009746B2"/>
    <w:rsid w:val="00974C5A"/>
    <w:rsid w:val="009750B9"/>
    <w:rsid w:val="00975485"/>
    <w:rsid w:val="009758CE"/>
    <w:rsid w:val="00975A73"/>
    <w:rsid w:val="0097629D"/>
    <w:rsid w:val="0097647C"/>
    <w:rsid w:val="00976499"/>
    <w:rsid w:val="0097670E"/>
    <w:rsid w:val="0097704E"/>
    <w:rsid w:val="009776CB"/>
    <w:rsid w:val="00977C97"/>
    <w:rsid w:val="00977DD4"/>
    <w:rsid w:val="00977E1A"/>
    <w:rsid w:val="00980080"/>
    <w:rsid w:val="0098068D"/>
    <w:rsid w:val="00980F87"/>
    <w:rsid w:val="00981079"/>
    <w:rsid w:val="009810BB"/>
    <w:rsid w:val="00981427"/>
    <w:rsid w:val="00981467"/>
    <w:rsid w:val="0098184B"/>
    <w:rsid w:val="00982087"/>
    <w:rsid w:val="009824A2"/>
    <w:rsid w:val="009830E6"/>
    <w:rsid w:val="009833D8"/>
    <w:rsid w:val="009834F9"/>
    <w:rsid w:val="009838BF"/>
    <w:rsid w:val="00983B58"/>
    <w:rsid w:val="00983BCC"/>
    <w:rsid w:val="00984009"/>
    <w:rsid w:val="009843DA"/>
    <w:rsid w:val="00984441"/>
    <w:rsid w:val="009844CF"/>
    <w:rsid w:val="00984973"/>
    <w:rsid w:val="00984DD8"/>
    <w:rsid w:val="00985090"/>
    <w:rsid w:val="009850A1"/>
    <w:rsid w:val="00985139"/>
    <w:rsid w:val="00985391"/>
    <w:rsid w:val="00985865"/>
    <w:rsid w:val="00985E38"/>
    <w:rsid w:val="00985FD1"/>
    <w:rsid w:val="009862B4"/>
    <w:rsid w:val="009864AF"/>
    <w:rsid w:val="00986A14"/>
    <w:rsid w:val="00986C24"/>
    <w:rsid w:val="00986DC1"/>
    <w:rsid w:val="00987CF7"/>
    <w:rsid w:val="00990564"/>
    <w:rsid w:val="0099065B"/>
    <w:rsid w:val="009906A2"/>
    <w:rsid w:val="0099085F"/>
    <w:rsid w:val="009909BB"/>
    <w:rsid w:val="00990EE0"/>
    <w:rsid w:val="00991426"/>
    <w:rsid w:val="00991777"/>
    <w:rsid w:val="00991931"/>
    <w:rsid w:val="009919DA"/>
    <w:rsid w:val="009919DC"/>
    <w:rsid w:val="00991D2B"/>
    <w:rsid w:val="00991D3F"/>
    <w:rsid w:val="009923A4"/>
    <w:rsid w:val="0099255F"/>
    <w:rsid w:val="009925DB"/>
    <w:rsid w:val="009925E9"/>
    <w:rsid w:val="00992BF6"/>
    <w:rsid w:val="00993114"/>
    <w:rsid w:val="00993AF1"/>
    <w:rsid w:val="00993B72"/>
    <w:rsid w:val="00993CC9"/>
    <w:rsid w:val="009940A4"/>
    <w:rsid w:val="00994214"/>
    <w:rsid w:val="009942D0"/>
    <w:rsid w:val="00994822"/>
    <w:rsid w:val="009948A4"/>
    <w:rsid w:val="00995137"/>
    <w:rsid w:val="0099528C"/>
    <w:rsid w:val="0099575E"/>
    <w:rsid w:val="009957E6"/>
    <w:rsid w:val="00995AD7"/>
    <w:rsid w:val="00995F9E"/>
    <w:rsid w:val="00996807"/>
    <w:rsid w:val="00997AC5"/>
    <w:rsid w:val="00997DD3"/>
    <w:rsid w:val="009A0048"/>
    <w:rsid w:val="009A018E"/>
    <w:rsid w:val="009A0AC5"/>
    <w:rsid w:val="009A0D27"/>
    <w:rsid w:val="009A0E77"/>
    <w:rsid w:val="009A1166"/>
    <w:rsid w:val="009A1340"/>
    <w:rsid w:val="009A1740"/>
    <w:rsid w:val="009A17A1"/>
    <w:rsid w:val="009A18C3"/>
    <w:rsid w:val="009A1FEE"/>
    <w:rsid w:val="009A2132"/>
    <w:rsid w:val="009A2335"/>
    <w:rsid w:val="009A3239"/>
    <w:rsid w:val="009A3E7C"/>
    <w:rsid w:val="009A4020"/>
    <w:rsid w:val="009A4035"/>
    <w:rsid w:val="009A4305"/>
    <w:rsid w:val="009A44E0"/>
    <w:rsid w:val="009A48E1"/>
    <w:rsid w:val="009A4D06"/>
    <w:rsid w:val="009A4F64"/>
    <w:rsid w:val="009A4FBA"/>
    <w:rsid w:val="009A527E"/>
    <w:rsid w:val="009A580E"/>
    <w:rsid w:val="009A5979"/>
    <w:rsid w:val="009A5BC8"/>
    <w:rsid w:val="009A5C3E"/>
    <w:rsid w:val="009A5D12"/>
    <w:rsid w:val="009A5EF8"/>
    <w:rsid w:val="009A6A4D"/>
    <w:rsid w:val="009A6AFF"/>
    <w:rsid w:val="009A6C00"/>
    <w:rsid w:val="009A6F74"/>
    <w:rsid w:val="009A71F7"/>
    <w:rsid w:val="009A722F"/>
    <w:rsid w:val="009A770C"/>
    <w:rsid w:val="009A7A6E"/>
    <w:rsid w:val="009A7AC2"/>
    <w:rsid w:val="009A7CAA"/>
    <w:rsid w:val="009A7D69"/>
    <w:rsid w:val="009A7DDC"/>
    <w:rsid w:val="009B034C"/>
    <w:rsid w:val="009B0572"/>
    <w:rsid w:val="009B0768"/>
    <w:rsid w:val="009B0B38"/>
    <w:rsid w:val="009B0BF0"/>
    <w:rsid w:val="009B0D26"/>
    <w:rsid w:val="009B0D9F"/>
    <w:rsid w:val="009B1190"/>
    <w:rsid w:val="009B158A"/>
    <w:rsid w:val="009B170A"/>
    <w:rsid w:val="009B1AA5"/>
    <w:rsid w:val="009B1D99"/>
    <w:rsid w:val="009B2138"/>
    <w:rsid w:val="009B2745"/>
    <w:rsid w:val="009B27D1"/>
    <w:rsid w:val="009B2F9F"/>
    <w:rsid w:val="009B34E3"/>
    <w:rsid w:val="009B3509"/>
    <w:rsid w:val="009B3ADD"/>
    <w:rsid w:val="009B4391"/>
    <w:rsid w:val="009B43C7"/>
    <w:rsid w:val="009B452A"/>
    <w:rsid w:val="009B4768"/>
    <w:rsid w:val="009B48F0"/>
    <w:rsid w:val="009B4FC7"/>
    <w:rsid w:val="009B5142"/>
    <w:rsid w:val="009B51C2"/>
    <w:rsid w:val="009B5591"/>
    <w:rsid w:val="009B56F6"/>
    <w:rsid w:val="009B5A8A"/>
    <w:rsid w:val="009B5ABE"/>
    <w:rsid w:val="009B5AC4"/>
    <w:rsid w:val="009B5AC6"/>
    <w:rsid w:val="009B5AFC"/>
    <w:rsid w:val="009B5BAD"/>
    <w:rsid w:val="009B5C04"/>
    <w:rsid w:val="009B5F16"/>
    <w:rsid w:val="009B6BAE"/>
    <w:rsid w:val="009B737D"/>
    <w:rsid w:val="009B7FC5"/>
    <w:rsid w:val="009C0832"/>
    <w:rsid w:val="009C0CC4"/>
    <w:rsid w:val="009C0F03"/>
    <w:rsid w:val="009C1379"/>
    <w:rsid w:val="009C1416"/>
    <w:rsid w:val="009C17BD"/>
    <w:rsid w:val="009C1D46"/>
    <w:rsid w:val="009C224E"/>
    <w:rsid w:val="009C269B"/>
    <w:rsid w:val="009C28F2"/>
    <w:rsid w:val="009C293A"/>
    <w:rsid w:val="009C2B60"/>
    <w:rsid w:val="009C2D65"/>
    <w:rsid w:val="009C31F5"/>
    <w:rsid w:val="009C3B12"/>
    <w:rsid w:val="009C3C27"/>
    <w:rsid w:val="009C3EC1"/>
    <w:rsid w:val="009C3EDC"/>
    <w:rsid w:val="009C419C"/>
    <w:rsid w:val="009C441C"/>
    <w:rsid w:val="009C449B"/>
    <w:rsid w:val="009C4A6A"/>
    <w:rsid w:val="009C4D08"/>
    <w:rsid w:val="009C4F22"/>
    <w:rsid w:val="009C5269"/>
    <w:rsid w:val="009C5381"/>
    <w:rsid w:val="009C54F5"/>
    <w:rsid w:val="009C5828"/>
    <w:rsid w:val="009C6B74"/>
    <w:rsid w:val="009C6BFD"/>
    <w:rsid w:val="009C6CDC"/>
    <w:rsid w:val="009C6FF8"/>
    <w:rsid w:val="009C7168"/>
    <w:rsid w:val="009C7385"/>
    <w:rsid w:val="009C76E6"/>
    <w:rsid w:val="009C7ED2"/>
    <w:rsid w:val="009D04F4"/>
    <w:rsid w:val="009D04FD"/>
    <w:rsid w:val="009D0A30"/>
    <w:rsid w:val="009D0A54"/>
    <w:rsid w:val="009D112F"/>
    <w:rsid w:val="009D166F"/>
    <w:rsid w:val="009D1691"/>
    <w:rsid w:val="009D1F9D"/>
    <w:rsid w:val="009D20F3"/>
    <w:rsid w:val="009D2674"/>
    <w:rsid w:val="009D2770"/>
    <w:rsid w:val="009D283C"/>
    <w:rsid w:val="009D28E5"/>
    <w:rsid w:val="009D2E02"/>
    <w:rsid w:val="009D31E9"/>
    <w:rsid w:val="009D3237"/>
    <w:rsid w:val="009D3262"/>
    <w:rsid w:val="009D3270"/>
    <w:rsid w:val="009D360C"/>
    <w:rsid w:val="009D3628"/>
    <w:rsid w:val="009D3CDF"/>
    <w:rsid w:val="009D3F5B"/>
    <w:rsid w:val="009D40CD"/>
    <w:rsid w:val="009D43D0"/>
    <w:rsid w:val="009D4823"/>
    <w:rsid w:val="009D4C2A"/>
    <w:rsid w:val="009D4E0E"/>
    <w:rsid w:val="009D50A9"/>
    <w:rsid w:val="009D58D5"/>
    <w:rsid w:val="009D5D3A"/>
    <w:rsid w:val="009D657E"/>
    <w:rsid w:val="009D6914"/>
    <w:rsid w:val="009D6D49"/>
    <w:rsid w:val="009D6DD9"/>
    <w:rsid w:val="009D6FD0"/>
    <w:rsid w:val="009D71E5"/>
    <w:rsid w:val="009D767D"/>
    <w:rsid w:val="009E0553"/>
    <w:rsid w:val="009E0721"/>
    <w:rsid w:val="009E0E47"/>
    <w:rsid w:val="009E144A"/>
    <w:rsid w:val="009E1697"/>
    <w:rsid w:val="009E19FE"/>
    <w:rsid w:val="009E1A3C"/>
    <w:rsid w:val="009E1ACD"/>
    <w:rsid w:val="009E1C22"/>
    <w:rsid w:val="009E1D42"/>
    <w:rsid w:val="009E1D8B"/>
    <w:rsid w:val="009E1DD8"/>
    <w:rsid w:val="009E1E83"/>
    <w:rsid w:val="009E2481"/>
    <w:rsid w:val="009E2636"/>
    <w:rsid w:val="009E2D81"/>
    <w:rsid w:val="009E308A"/>
    <w:rsid w:val="009E3622"/>
    <w:rsid w:val="009E3747"/>
    <w:rsid w:val="009E37E4"/>
    <w:rsid w:val="009E3A9A"/>
    <w:rsid w:val="009E3BFD"/>
    <w:rsid w:val="009E3C23"/>
    <w:rsid w:val="009E3C7E"/>
    <w:rsid w:val="009E3E18"/>
    <w:rsid w:val="009E3EC3"/>
    <w:rsid w:val="009E43E8"/>
    <w:rsid w:val="009E4B23"/>
    <w:rsid w:val="009E4BF9"/>
    <w:rsid w:val="009E4C35"/>
    <w:rsid w:val="009E4C70"/>
    <w:rsid w:val="009E4F30"/>
    <w:rsid w:val="009E5248"/>
    <w:rsid w:val="009E559D"/>
    <w:rsid w:val="009E57E7"/>
    <w:rsid w:val="009E5914"/>
    <w:rsid w:val="009E5F17"/>
    <w:rsid w:val="009E6050"/>
    <w:rsid w:val="009E62E7"/>
    <w:rsid w:val="009E630D"/>
    <w:rsid w:val="009E63C3"/>
    <w:rsid w:val="009E6CF8"/>
    <w:rsid w:val="009E6E04"/>
    <w:rsid w:val="009E7010"/>
    <w:rsid w:val="009E7119"/>
    <w:rsid w:val="009E714D"/>
    <w:rsid w:val="009E7696"/>
    <w:rsid w:val="009E7A04"/>
    <w:rsid w:val="009E7BFB"/>
    <w:rsid w:val="009F01BB"/>
    <w:rsid w:val="009F0381"/>
    <w:rsid w:val="009F0864"/>
    <w:rsid w:val="009F0A67"/>
    <w:rsid w:val="009F0C89"/>
    <w:rsid w:val="009F122F"/>
    <w:rsid w:val="009F193A"/>
    <w:rsid w:val="009F1CC2"/>
    <w:rsid w:val="009F1F9E"/>
    <w:rsid w:val="009F27EE"/>
    <w:rsid w:val="009F2CEF"/>
    <w:rsid w:val="009F2F1C"/>
    <w:rsid w:val="009F303A"/>
    <w:rsid w:val="009F34B1"/>
    <w:rsid w:val="009F34E0"/>
    <w:rsid w:val="009F3631"/>
    <w:rsid w:val="009F363C"/>
    <w:rsid w:val="009F378F"/>
    <w:rsid w:val="009F3790"/>
    <w:rsid w:val="009F37AD"/>
    <w:rsid w:val="009F37F3"/>
    <w:rsid w:val="009F3ACF"/>
    <w:rsid w:val="009F410E"/>
    <w:rsid w:val="009F417F"/>
    <w:rsid w:val="009F476C"/>
    <w:rsid w:val="009F49FA"/>
    <w:rsid w:val="009F4E5F"/>
    <w:rsid w:val="009F555C"/>
    <w:rsid w:val="009F56CD"/>
    <w:rsid w:val="009F5800"/>
    <w:rsid w:val="009F586C"/>
    <w:rsid w:val="009F597D"/>
    <w:rsid w:val="009F5D30"/>
    <w:rsid w:val="009F60EB"/>
    <w:rsid w:val="009F6176"/>
    <w:rsid w:val="009F66E1"/>
    <w:rsid w:val="009F6A06"/>
    <w:rsid w:val="009F6DB5"/>
    <w:rsid w:val="009F79E2"/>
    <w:rsid w:val="009F7A90"/>
    <w:rsid w:val="009F7CEB"/>
    <w:rsid w:val="00A003E9"/>
    <w:rsid w:val="00A006CA"/>
    <w:rsid w:val="00A007DE"/>
    <w:rsid w:val="00A00A71"/>
    <w:rsid w:val="00A00E03"/>
    <w:rsid w:val="00A0104D"/>
    <w:rsid w:val="00A019D5"/>
    <w:rsid w:val="00A01ADE"/>
    <w:rsid w:val="00A01BAF"/>
    <w:rsid w:val="00A0235C"/>
    <w:rsid w:val="00A0260D"/>
    <w:rsid w:val="00A02878"/>
    <w:rsid w:val="00A031EE"/>
    <w:rsid w:val="00A03256"/>
    <w:rsid w:val="00A03258"/>
    <w:rsid w:val="00A03710"/>
    <w:rsid w:val="00A038C6"/>
    <w:rsid w:val="00A040FD"/>
    <w:rsid w:val="00A0426A"/>
    <w:rsid w:val="00A0443D"/>
    <w:rsid w:val="00A046C6"/>
    <w:rsid w:val="00A04C0D"/>
    <w:rsid w:val="00A04D48"/>
    <w:rsid w:val="00A050E5"/>
    <w:rsid w:val="00A0524F"/>
    <w:rsid w:val="00A053E5"/>
    <w:rsid w:val="00A0578F"/>
    <w:rsid w:val="00A06E5F"/>
    <w:rsid w:val="00A06F01"/>
    <w:rsid w:val="00A071C6"/>
    <w:rsid w:val="00A07327"/>
    <w:rsid w:val="00A075AB"/>
    <w:rsid w:val="00A07E5D"/>
    <w:rsid w:val="00A07F83"/>
    <w:rsid w:val="00A104F0"/>
    <w:rsid w:val="00A10A9E"/>
    <w:rsid w:val="00A10E1C"/>
    <w:rsid w:val="00A10FBF"/>
    <w:rsid w:val="00A110BD"/>
    <w:rsid w:val="00A110CB"/>
    <w:rsid w:val="00A11486"/>
    <w:rsid w:val="00A1165C"/>
    <w:rsid w:val="00A11670"/>
    <w:rsid w:val="00A11835"/>
    <w:rsid w:val="00A119E6"/>
    <w:rsid w:val="00A11C93"/>
    <w:rsid w:val="00A1218B"/>
    <w:rsid w:val="00A1261B"/>
    <w:rsid w:val="00A1264C"/>
    <w:rsid w:val="00A12784"/>
    <w:rsid w:val="00A12898"/>
    <w:rsid w:val="00A1290F"/>
    <w:rsid w:val="00A12A44"/>
    <w:rsid w:val="00A132A4"/>
    <w:rsid w:val="00A136D6"/>
    <w:rsid w:val="00A14753"/>
    <w:rsid w:val="00A14978"/>
    <w:rsid w:val="00A1549B"/>
    <w:rsid w:val="00A15613"/>
    <w:rsid w:val="00A15917"/>
    <w:rsid w:val="00A15BE2"/>
    <w:rsid w:val="00A1629B"/>
    <w:rsid w:val="00A16638"/>
    <w:rsid w:val="00A1677F"/>
    <w:rsid w:val="00A16D87"/>
    <w:rsid w:val="00A16E60"/>
    <w:rsid w:val="00A16F62"/>
    <w:rsid w:val="00A16F6D"/>
    <w:rsid w:val="00A16FE7"/>
    <w:rsid w:val="00A171F6"/>
    <w:rsid w:val="00A17384"/>
    <w:rsid w:val="00A17490"/>
    <w:rsid w:val="00A1759A"/>
    <w:rsid w:val="00A1785A"/>
    <w:rsid w:val="00A179C8"/>
    <w:rsid w:val="00A17EB5"/>
    <w:rsid w:val="00A2015B"/>
    <w:rsid w:val="00A20189"/>
    <w:rsid w:val="00A2056A"/>
    <w:rsid w:val="00A20643"/>
    <w:rsid w:val="00A20715"/>
    <w:rsid w:val="00A20B1A"/>
    <w:rsid w:val="00A20FFB"/>
    <w:rsid w:val="00A213B1"/>
    <w:rsid w:val="00A213F1"/>
    <w:rsid w:val="00A2169F"/>
    <w:rsid w:val="00A216F9"/>
    <w:rsid w:val="00A21BC5"/>
    <w:rsid w:val="00A21D9D"/>
    <w:rsid w:val="00A227F8"/>
    <w:rsid w:val="00A228BD"/>
    <w:rsid w:val="00A22A39"/>
    <w:rsid w:val="00A22A53"/>
    <w:rsid w:val="00A2315A"/>
    <w:rsid w:val="00A23494"/>
    <w:rsid w:val="00A238CD"/>
    <w:rsid w:val="00A239FC"/>
    <w:rsid w:val="00A23FB9"/>
    <w:rsid w:val="00A244D1"/>
    <w:rsid w:val="00A24700"/>
    <w:rsid w:val="00A256CC"/>
    <w:rsid w:val="00A25912"/>
    <w:rsid w:val="00A25DC3"/>
    <w:rsid w:val="00A25EDE"/>
    <w:rsid w:val="00A261E7"/>
    <w:rsid w:val="00A26282"/>
    <w:rsid w:val="00A2646D"/>
    <w:rsid w:val="00A2672F"/>
    <w:rsid w:val="00A26793"/>
    <w:rsid w:val="00A26BFD"/>
    <w:rsid w:val="00A26E4A"/>
    <w:rsid w:val="00A270E4"/>
    <w:rsid w:val="00A270EF"/>
    <w:rsid w:val="00A27313"/>
    <w:rsid w:val="00A275F8"/>
    <w:rsid w:val="00A27805"/>
    <w:rsid w:val="00A27E57"/>
    <w:rsid w:val="00A300D0"/>
    <w:rsid w:val="00A300E4"/>
    <w:rsid w:val="00A3049C"/>
    <w:rsid w:val="00A30509"/>
    <w:rsid w:val="00A30781"/>
    <w:rsid w:val="00A311E3"/>
    <w:rsid w:val="00A3125C"/>
    <w:rsid w:val="00A31388"/>
    <w:rsid w:val="00A3176C"/>
    <w:rsid w:val="00A31DD7"/>
    <w:rsid w:val="00A31DF3"/>
    <w:rsid w:val="00A32448"/>
    <w:rsid w:val="00A32689"/>
    <w:rsid w:val="00A32816"/>
    <w:rsid w:val="00A32B46"/>
    <w:rsid w:val="00A32E3D"/>
    <w:rsid w:val="00A32F99"/>
    <w:rsid w:val="00A3357C"/>
    <w:rsid w:val="00A3369A"/>
    <w:rsid w:val="00A33A61"/>
    <w:rsid w:val="00A33D05"/>
    <w:rsid w:val="00A3408A"/>
    <w:rsid w:val="00A34222"/>
    <w:rsid w:val="00A34397"/>
    <w:rsid w:val="00A34436"/>
    <w:rsid w:val="00A34AFB"/>
    <w:rsid w:val="00A34EDC"/>
    <w:rsid w:val="00A354B6"/>
    <w:rsid w:val="00A35902"/>
    <w:rsid w:val="00A35949"/>
    <w:rsid w:val="00A35DC8"/>
    <w:rsid w:val="00A36712"/>
    <w:rsid w:val="00A36763"/>
    <w:rsid w:val="00A368A5"/>
    <w:rsid w:val="00A36993"/>
    <w:rsid w:val="00A36ABA"/>
    <w:rsid w:val="00A36D00"/>
    <w:rsid w:val="00A36E4C"/>
    <w:rsid w:val="00A370F3"/>
    <w:rsid w:val="00A3776C"/>
    <w:rsid w:val="00A37AFD"/>
    <w:rsid w:val="00A40054"/>
    <w:rsid w:val="00A40169"/>
    <w:rsid w:val="00A401B9"/>
    <w:rsid w:val="00A40599"/>
    <w:rsid w:val="00A413E5"/>
    <w:rsid w:val="00A414E5"/>
    <w:rsid w:val="00A416DB"/>
    <w:rsid w:val="00A41A1E"/>
    <w:rsid w:val="00A41E5D"/>
    <w:rsid w:val="00A41F93"/>
    <w:rsid w:val="00A4220A"/>
    <w:rsid w:val="00A427DB"/>
    <w:rsid w:val="00A42947"/>
    <w:rsid w:val="00A429D8"/>
    <w:rsid w:val="00A42F1C"/>
    <w:rsid w:val="00A43535"/>
    <w:rsid w:val="00A43715"/>
    <w:rsid w:val="00A437CF"/>
    <w:rsid w:val="00A44A57"/>
    <w:rsid w:val="00A44B3A"/>
    <w:rsid w:val="00A44B90"/>
    <w:rsid w:val="00A44F5F"/>
    <w:rsid w:val="00A45200"/>
    <w:rsid w:val="00A45378"/>
    <w:rsid w:val="00A4554D"/>
    <w:rsid w:val="00A45779"/>
    <w:rsid w:val="00A459C3"/>
    <w:rsid w:val="00A45AFD"/>
    <w:rsid w:val="00A45FDD"/>
    <w:rsid w:val="00A4675D"/>
    <w:rsid w:val="00A46B2D"/>
    <w:rsid w:val="00A46E34"/>
    <w:rsid w:val="00A46FB9"/>
    <w:rsid w:val="00A473BF"/>
    <w:rsid w:val="00A478ED"/>
    <w:rsid w:val="00A50135"/>
    <w:rsid w:val="00A5043A"/>
    <w:rsid w:val="00A5071D"/>
    <w:rsid w:val="00A5083C"/>
    <w:rsid w:val="00A5112D"/>
    <w:rsid w:val="00A517D3"/>
    <w:rsid w:val="00A5209B"/>
    <w:rsid w:val="00A52742"/>
    <w:rsid w:val="00A52B34"/>
    <w:rsid w:val="00A52CA4"/>
    <w:rsid w:val="00A52F75"/>
    <w:rsid w:val="00A533C1"/>
    <w:rsid w:val="00A533C3"/>
    <w:rsid w:val="00A535F9"/>
    <w:rsid w:val="00A535FB"/>
    <w:rsid w:val="00A53626"/>
    <w:rsid w:val="00A53FA8"/>
    <w:rsid w:val="00A541E4"/>
    <w:rsid w:val="00A5453C"/>
    <w:rsid w:val="00A545AC"/>
    <w:rsid w:val="00A550AE"/>
    <w:rsid w:val="00A551F8"/>
    <w:rsid w:val="00A553E4"/>
    <w:rsid w:val="00A55423"/>
    <w:rsid w:val="00A554D2"/>
    <w:rsid w:val="00A5569A"/>
    <w:rsid w:val="00A558A0"/>
    <w:rsid w:val="00A55E3A"/>
    <w:rsid w:val="00A55E48"/>
    <w:rsid w:val="00A5695C"/>
    <w:rsid w:val="00A5699D"/>
    <w:rsid w:val="00A57127"/>
    <w:rsid w:val="00A60130"/>
    <w:rsid w:val="00A601B0"/>
    <w:rsid w:val="00A609CD"/>
    <w:rsid w:val="00A60E5D"/>
    <w:rsid w:val="00A60F13"/>
    <w:rsid w:val="00A6163F"/>
    <w:rsid w:val="00A61B06"/>
    <w:rsid w:val="00A61C56"/>
    <w:rsid w:val="00A61F61"/>
    <w:rsid w:val="00A620B9"/>
    <w:rsid w:val="00A62204"/>
    <w:rsid w:val="00A62548"/>
    <w:rsid w:val="00A625C5"/>
    <w:rsid w:val="00A62942"/>
    <w:rsid w:val="00A62986"/>
    <w:rsid w:val="00A62B11"/>
    <w:rsid w:val="00A62E60"/>
    <w:rsid w:val="00A630E4"/>
    <w:rsid w:val="00A634C2"/>
    <w:rsid w:val="00A63630"/>
    <w:rsid w:val="00A6374D"/>
    <w:rsid w:val="00A638B1"/>
    <w:rsid w:val="00A63947"/>
    <w:rsid w:val="00A63B15"/>
    <w:rsid w:val="00A6474C"/>
    <w:rsid w:val="00A647A9"/>
    <w:rsid w:val="00A64A6F"/>
    <w:rsid w:val="00A64AE5"/>
    <w:rsid w:val="00A64E44"/>
    <w:rsid w:val="00A6500D"/>
    <w:rsid w:val="00A6517D"/>
    <w:rsid w:val="00A65211"/>
    <w:rsid w:val="00A6534E"/>
    <w:rsid w:val="00A65566"/>
    <w:rsid w:val="00A65C1F"/>
    <w:rsid w:val="00A65F12"/>
    <w:rsid w:val="00A66553"/>
    <w:rsid w:val="00A666ED"/>
    <w:rsid w:val="00A669C3"/>
    <w:rsid w:val="00A67055"/>
    <w:rsid w:val="00A6770F"/>
    <w:rsid w:val="00A679EF"/>
    <w:rsid w:val="00A67A2B"/>
    <w:rsid w:val="00A67AE9"/>
    <w:rsid w:val="00A7005E"/>
    <w:rsid w:val="00A70572"/>
    <w:rsid w:val="00A7091E"/>
    <w:rsid w:val="00A70C0B"/>
    <w:rsid w:val="00A70CB9"/>
    <w:rsid w:val="00A711E5"/>
    <w:rsid w:val="00A7239F"/>
    <w:rsid w:val="00A72DF5"/>
    <w:rsid w:val="00A73055"/>
    <w:rsid w:val="00A73255"/>
    <w:rsid w:val="00A733A5"/>
    <w:rsid w:val="00A7341E"/>
    <w:rsid w:val="00A734EE"/>
    <w:rsid w:val="00A7359C"/>
    <w:rsid w:val="00A73636"/>
    <w:rsid w:val="00A736EC"/>
    <w:rsid w:val="00A736FC"/>
    <w:rsid w:val="00A73A9C"/>
    <w:rsid w:val="00A73EE2"/>
    <w:rsid w:val="00A73FC6"/>
    <w:rsid w:val="00A740DC"/>
    <w:rsid w:val="00A746CE"/>
    <w:rsid w:val="00A74807"/>
    <w:rsid w:val="00A74ABC"/>
    <w:rsid w:val="00A75112"/>
    <w:rsid w:val="00A75AA0"/>
    <w:rsid w:val="00A75DA1"/>
    <w:rsid w:val="00A75DD6"/>
    <w:rsid w:val="00A76EA4"/>
    <w:rsid w:val="00A77011"/>
    <w:rsid w:val="00A772EC"/>
    <w:rsid w:val="00A776D4"/>
    <w:rsid w:val="00A77BDE"/>
    <w:rsid w:val="00A77CBB"/>
    <w:rsid w:val="00A77F64"/>
    <w:rsid w:val="00A80AC5"/>
    <w:rsid w:val="00A80C15"/>
    <w:rsid w:val="00A811D7"/>
    <w:rsid w:val="00A817B5"/>
    <w:rsid w:val="00A81859"/>
    <w:rsid w:val="00A81C0A"/>
    <w:rsid w:val="00A81F82"/>
    <w:rsid w:val="00A82437"/>
    <w:rsid w:val="00A83110"/>
    <w:rsid w:val="00A83237"/>
    <w:rsid w:val="00A8336E"/>
    <w:rsid w:val="00A83459"/>
    <w:rsid w:val="00A8385E"/>
    <w:rsid w:val="00A83C38"/>
    <w:rsid w:val="00A83FBA"/>
    <w:rsid w:val="00A841B0"/>
    <w:rsid w:val="00A84613"/>
    <w:rsid w:val="00A8474A"/>
    <w:rsid w:val="00A848F7"/>
    <w:rsid w:val="00A84EAA"/>
    <w:rsid w:val="00A858A4"/>
    <w:rsid w:val="00A85A2B"/>
    <w:rsid w:val="00A85D0E"/>
    <w:rsid w:val="00A86148"/>
    <w:rsid w:val="00A86B1E"/>
    <w:rsid w:val="00A86CDC"/>
    <w:rsid w:val="00A874B7"/>
    <w:rsid w:val="00A878C9"/>
    <w:rsid w:val="00A87A40"/>
    <w:rsid w:val="00A87EAA"/>
    <w:rsid w:val="00A9083C"/>
    <w:rsid w:val="00A90E26"/>
    <w:rsid w:val="00A91280"/>
    <w:rsid w:val="00A91E5E"/>
    <w:rsid w:val="00A91EF2"/>
    <w:rsid w:val="00A91EF4"/>
    <w:rsid w:val="00A925DD"/>
    <w:rsid w:val="00A929A1"/>
    <w:rsid w:val="00A92EA2"/>
    <w:rsid w:val="00A92F6C"/>
    <w:rsid w:val="00A932C6"/>
    <w:rsid w:val="00A932EF"/>
    <w:rsid w:val="00A9341D"/>
    <w:rsid w:val="00A93543"/>
    <w:rsid w:val="00A93EF1"/>
    <w:rsid w:val="00A93F16"/>
    <w:rsid w:val="00A93F6B"/>
    <w:rsid w:val="00A941F4"/>
    <w:rsid w:val="00A94388"/>
    <w:rsid w:val="00A94678"/>
    <w:rsid w:val="00A94A13"/>
    <w:rsid w:val="00A94EC9"/>
    <w:rsid w:val="00A94EFC"/>
    <w:rsid w:val="00A94FFF"/>
    <w:rsid w:val="00A953C1"/>
    <w:rsid w:val="00A953DC"/>
    <w:rsid w:val="00A95576"/>
    <w:rsid w:val="00A95592"/>
    <w:rsid w:val="00A95A62"/>
    <w:rsid w:val="00A95A69"/>
    <w:rsid w:val="00A95CC8"/>
    <w:rsid w:val="00A962F4"/>
    <w:rsid w:val="00A963DD"/>
    <w:rsid w:val="00A9644D"/>
    <w:rsid w:val="00A96645"/>
    <w:rsid w:val="00A967C0"/>
    <w:rsid w:val="00A967EB"/>
    <w:rsid w:val="00A969BE"/>
    <w:rsid w:val="00A96E53"/>
    <w:rsid w:val="00A9747B"/>
    <w:rsid w:val="00A97F27"/>
    <w:rsid w:val="00AA07C1"/>
    <w:rsid w:val="00AA08F5"/>
    <w:rsid w:val="00AA0B7C"/>
    <w:rsid w:val="00AA1044"/>
    <w:rsid w:val="00AA1606"/>
    <w:rsid w:val="00AA1681"/>
    <w:rsid w:val="00AA1946"/>
    <w:rsid w:val="00AA1CEE"/>
    <w:rsid w:val="00AA1E9F"/>
    <w:rsid w:val="00AA23FE"/>
    <w:rsid w:val="00AA2578"/>
    <w:rsid w:val="00AA27BB"/>
    <w:rsid w:val="00AA2BCD"/>
    <w:rsid w:val="00AA2E2B"/>
    <w:rsid w:val="00AA2FA1"/>
    <w:rsid w:val="00AA30DD"/>
    <w:rsid w:val="00AA383A"/>
    <w:rsid w:val="00AA4007"/>
    <w:rsid w:val="00AA43F1"/>
    <w:rsid w:val="00AA46D6"/>
    <w:rsid w:val="00AA4BEA"/>
    <w:rsid w:val="00AA4BFB"/>
    <w:rsid w:val="00AA5081"/>
    <w:rsid w:val="00AA51C1"/>
    <w:rsid w:val="00AA5856"/>
    <w:rsid w:val="00AA5EA9"/>
    <w:rsid w:val="00AA5EF7"/>
    <w:rsid w:val="00AA6156"/>
    <w:rsid w:val="00AA62B3"/>
    <w:rsid w:val="00AA66A1"/>
    <w:rsid w:val="00AA6C30"/>
    <w:rsid w:val="00AA6E90"/>
    <w:rsid w:val="00AA7333"/>
    <w:rsid w:val="00AA7393"/>
    <w:rsid w:val="00AA73AC"/>
    <w:rsid w:val="00AA765D"/>
    <w:rsid w:val="00AA7838"/>
    <w:rsid w:val="00AA7B77"/>
    <w:rsid w:val="00AA7DE1"/>
    <w:rsid w:val="00AA7E18"/>
    <w:rsid w:val="00AA7FB3"/>
    <w:rsid w:val="00AB0726"/>
    <w:rsid w:val="00AB0884"/>
    <w:rsid w:val="00AB16B1"/>
    <w:rsid w:val="00AB1837"/>
    <w:rsid w:val="00AB187A"/>
    <w:rsid w:val="00AB1F15"/>
    <w:rsid w:val="00AB21C7"/>
    <w:rsid w:val="00AB2643"/>
    <w:rsid w:val="00AB2C5D"/>
    <w:rsid w:val="00AB2D85"/>
    <w:rsid w:val="00AB2E69"/>
    <w:rsid w:val="00AB36F8"/>
    <w:rsid w:val="00AB3741"/>
    <w:rsid w:val="00AB3CE7"/>
    <w:rsid w:val="00AB4082"/>
    <w:rsid w:val="00AB4342"/>
    <w:rsid w:val="00AB43EA"/>
    <w:rsid w:val="00AB47EF"/>
    <w:rsid w:val="00AB514A"/>
    <w:rsid w:val="00AB51B7"/>
    <w:rsid w:val="00AB55F7"/>
    <w:rsid w:val="00AB5A80"/>
    <w:rsid w:val="00AB61E3"/>
    <w:rsid w:val="00AB647D"/>
    <w:rsid w:val="00AB6EEF"/>
    <w:rsid w:val="00AB74A4"/>
    <w:rsid w:val="00AB777F"/>
    <w:rsid w:val="00AB782B"/>
    <w:rsid w:val="00AB7B55"/>
    <w:rsid w:val="00AB7C58"/>
    <w:rsid w:val="00AB7C82"/>
    <w:rsid w:val="00AC0D3E"/>
    <w:rsid w:val="00AC1A3B"/>
    <w:rsid w:val="00AC1E12"/>
    <w:rsid w:val="00AC1EB8"/>
    <w:rsid w:val="00AC20E8"/>
    <w:rsid w:val="00AC2302"/>
    <w:rsid w:val="00AC27D5"/>
    <w:rsid w:val="00AC2D2E"/>
    <w:rsid w:val="00AC2D44"/>
    <w:rsid w:val="00AC2FCD"/>
    <w:rsid w:val="00AC3081"/>
    <w:rsid w:val="00AC31C8"/>
    <w:rsid w:val="00AC3475"/>
    <w:rsid w:val="00AC3595"/>
    <w:rsid w:val="00AC3D31"/>
    <w:rsid w:val="00AC4096"/>
    <w:rsid w:val="00AC4112"/>
    <w:rsid w:val="00AC411D"/>
    <w:rsid w:val="00AC4926"/>
    <w:rsid w:val="00AC4AA8"/>
    <w:rsid w:val="00AC4E20"/>
    <w:rsid w:val="00AC50E3"/>
    <w:rsid w:val="00AC512D"/>
    <w:rsid w:val="00AC59CF"/>
    <w:rsid w:val="00AC5D02"/>
    <w:rsid w:val="00AC5D67"/>
    <w:rsid w:val="00AC5DB0"/>
    <w:rsid w:val="00AC610C"/>
    <w:rsid w:val="00AC6239"/>
    <w:rsid w:val="00AC62B3"/>
    <w:rsid w:val="00AC62E4"/>
    <w:rsid w:val="00AC6302"/>
    <w:rsid w:val="00AC68E4"/>
    <w:rsid w:val="00AC693D"/>
    <w:rsid w:val="00AC6A1C"/>
    <w:rsid w:val="00AC6BB9"/>
    <w:rsid w:val="00AC6E3B"/>
    <w:rsid w:val="00AC700E"/>
    <w:rsid w:val="00AC7159"/>
    <w:rsid w:val="00AC7459"/>
    <w:rsid w:val="00AC758F"/>
    <w:rsid w:val="00AC792D"/>
    <w:rsid w:val="00AC7BC4"/>
    <w:rsid w:val="00AC7FDF"/>
    <w:rsid w:val="00AD0075"/>
    <w:rsid w:val="00AD01D0"/>
    <w:rsid w:val="00AD05E5"/>
    <w:rsid w:val="00AD06D9"/>
    <w:rsid w:val="00AD0B3E"/>
    <w:rsid w:val="00AD0E0C"/>
    <w:rsid w:val="00AD1714"/>
    <w:rsid w:val="00AD1794"/>
    <w:rsid w:val="00AD17EC"/>
    <w:rsid w:val="00AD1821"/>
    <w:rsid w:val="00AD26D7"/>
    <w:rsid w:val="00AD2BA0"/>
    <w:rsid w:val="00AD2D37"/>
    <w:rsid w:val="00AD3321"/>
    <w:rsid w:val="00AD3487"/>
    <w:rsid w:val="00AD35BC"/>
    <w:rsid w:val="00AD3A71"/>
    <w:rsid w:val="00AD4613"/>
    <w:rsid w:val="00AD4710"/>
    <w:rsid w:val="00AD4AA3"/>
    <w:rsid w:val="00AD4E56"/>
    <w:rsid w:val="00AD5168"/>
    <w:rsid w:val="00AD51B7"/>
    <w:rsid w:val="00AD51C9"/>
    <w:rsid w:val="00AD542F"/>
    <w:rsid w:val="00AD5773"/>
    <w:rsid w:val="00AD5908"/>
    <w:rsid w:val="00AD5D88"/>
    <w:rsid w:val="00AD64CD"/>
    <w:rsid w:val="00AD6CDF"/>
    <w:rsid w:val="00AD6DE1"/>
    <w:rsid w:val="00AD7C69"/>
    <w:rsid w:val="00AD7FFD"/>
    <w:rsid w:val="00AE0333"/>
    <w:rsid w:val="00AE0649"/>
    <w:rsid w:val="00AE07A4"/>
    <w:rsid w:val="00AE0AE1"/>
    <w:rsid w:val="00AE0D63"/>
    <w:rsid w:val="00AE0EF3"/>
    <w:rsid w:val="00AE0FA8"/>
    <w:rsid w:val="00AE1536"/>
    <w:rsid w:val="00AE1606"/>
    <w:rsid w:val="00AE1905"/>
    <w:rsid w:val="00AE194E"/>
    <w:rsid w:val="00AE1C08"/>
    <w:rsid w:val="00AE1E29"/>
    <w:rsid w:val="00AE1E3A"/>
    <w:rsid w:val="00AE25E6"/>
    <w:rsid w:val="00AE2681"/>
    <w:rsid w:val="00AE2A68"/>
    <w:rsid w:val="00AE2F9C"/>
    <w:rsid w:val="00AE32A3"/>
    <w:rsid w:val="00AE3343"/>
    <w:rsid w:val="00AE36AC"/>
    <w:rsid w:val="00AE382B"/>
    <w:rsid w:val="00AE3887"/>
    <w:rsid w:val="00AE3A5A"/>
    <w:rsid w:val="00AE4139"/>
    <w:rsid w:val="00AE474E"/>
    <w:rsid w:val="00AE48C0"/>
    <w:rsid w:val="00AE49BE"/>
    <w:rsid w:val="00AE4CF2"/>
    <w:rsid w:val="00AE4FB8"/>
    <w:rsid w:val="00AE5103"/>
    <w:rsid w:val="00AE5884"/>
    <w:rsid w:val="00AE591A"/>
    <w:rsid w:val="00AE63E7"/>
    <w:rsid w:val="00AE6FDC"/>
    <w:rsid w:val="00AE75FF"/>
    <w:rsid w:val="00AE7658"/>
    <w:rsid w:val="00AE772D"/>
    <w:rsid w:val="00AE7DE6"/>
    <w:rsid w:val="00AF00EF"/>
    <w:rsid w:val="00AF01E4"/>
    <w:rsid w:val="00AF04E2"/>
    <w:rsid w:val="00AF0DF9"/>
    <w:rsid w:val="00AF1104"/>
    <w:rsid w:val="00AF117F"/>
    <w:rsid w:val="00AF14DF"/>
    <w:rsid w:val="00AF17D7"/>
    <w:rsid w:val="00AF199E"/>
    <w:rsid w:val="00AF1A88"/>
    <w:rsid w:val="00AF1F79"/>
    <w:rsid w:val="00AF2A0B"/>
    <w:rsid w:val="00AF2D65"/>
    <w:rsid w:val="00AF3EDF"/>
    <w:rsid w:val="00AF4BE4"/>
    <w:rsid w:val="00AF4C16"/>
    <w:rsid w:val="00AF4DB9"/>
    <w:rsid w:val="00AF4DD9"/>
    <w:rsid w:val="00AF58FF"/>
    <w:rsid w:val="00AF5F3D"/>
    <w:rsid w:val="00AF5FF8"/>
    <w:rsid w:val="00AF62F1"/>
    <w:rsid w:val="00AF6680"/>
    <w:rsid w:val="00AF671D"/>
    <w:rsid w:val="00AF70F2"/>
    <w:rsid w:val="00AF7178"/>
    <w:rsid w:val="00AF7408"/>
    <w:rsid w:val="00AF79D5"/>
    <w:rsid w:val="00AF7E0A"/>
    <w:rsid w:val="00B002A6"/>
    <w:rsid w:val="00B00319"/>
    <w:rsid w:val="00B003B7"/>
    <w:rsid w:val="00B00A87"/>
    <w:rsid w:val="00B00DC9"/>
    <w:rsid w:val="00B0145E"/>
    <w:rsid w:val="00B0178E"/>
    <w:rsid w:val="00B019E3"/>
    <w:rsid w:val="00B01AC7"/>
    <w:rsid w:val="00B01D5B"/>
    <w:rsid w:val="00B0230D"/>
    <w:rsid w:val="00B02612"/>
    <w:rsid w:val="00B033B0"/>
    <w:rsid w:val="00B0359D"/>
    <w:rsid w:val="00B039D1"/>
    <w:rsid w:val="00B03A20"/>
    <w:rsid w:val="00B03CB9"/>
    <w:rsid w:val="00B03E08"/>
    <w:rsid w:val="00B03EE4"/>
    <w:rsid w:val="00B0459C"/>
    <w:rsid w:val="00B0495A"/>
    <w:rsid w:val="00B04B05"/>
    <w:rsid w:val="00B0529B"/>
    <w:rsid w:val="00B054B4"/>
    <w:rsid w:val="00B05A6C"/>
    <w:rsid w:val="00B05CD6"/>
    <w:rsid w:val="00B05E21"/>
    <w:rsid w:val="00B05FD4"/>
    <w:rsid w:val="00B06020"/>
    <w:rsid w:val="00B0629A"/>
    <w:rsid w:val="00B0675A"/>
    <w:rsid w:val="00B06A63"/>
    <w:rsid w:val="00B06C51"/>
    <w:rsid w:val="00B06D8E"/>
    <w:rsid w:val="00B06F0B"/>
    <w:rsid w:val="00B0713D"/>
    <w:rsid w:val="00B07417"/>
    <w:rsid w:val="00B074CC"/>
    <w:rsid w:val="00B07553"/>
    <w:rsid w:val="00B077A1"/>
    <w:rsid w:val="00B07D72"/>
    <w:rsid w:val="00B07EB9"/>
    <w:rsid w:val="00B101CE"/>
    <w:rsid w:val="00B10217"/>
    <w:rsid w:val="00B10316"/>
    <w:rsid w:val="00B10501"/>
    <w:rsid w:val="00B11583"/>
    <w:rsid w:val="00B11A7A"/>
    <w:rsid w:val="00B11EA0"/>
    <w:rsid w:val="00B121F1"/>
    <w:rsid w:val="00B12451"/>
    <w:rsid w:val="00B12CB9"/>
    <w:rsid w:val="00B1303C"/>
    <w:rsid w:val="00B13338"/>
    <w:rsid w:val="00B13690"/>
    <w:rsid w:val="00B13737"/>
    <w:rsid w:val="00B1384A"/>
    <w:rsid w:val="00B13AF0"/>
    <w:rsid w:val="00B13BE1"/>
    <w:rsid w:val="00B13D45"/>
    <w:rsid w:val="00B13D6E"/>
    <w:rsid w:val="00B14771"/>
    <w:rsid w:val="00B14DB0"/>
    <w:rsid w:val="00B1542E"/>
    <w:rsid w:val="00B154B2"/>
    <w:rsid w:val="00B158CB"/>
    <w:rsid w:val="00B15B5D"/>
    <w:rsid w:val="00B15CDE"/>
    <w:rsid w:val="00B16194"/>
    <w:rsid w:val="00B16DCF"/>
    <w:rsid w:val="00B173B3"/>
    <w:rsid w:val="00B178DA"/>
    <w:rsid w:val="00B17B83"/>
    <w:rsid w:val="00B17FDB"/>
    <w:rsid w:val="00B2065D"/>
    <w:rsid w:val="00B20ACA"/>
    <w:rsid w:val="00B2138A"/>
    <w:rsid w:val="00B214E6"/>
    <w:rsid w:val="00B216C0"/>
    <w:rsid w:val="00B21BB1"/>
    <w:rsid w:val="00B21DC0"/>
    <w:rsid w:val="00B22125"/>
    <w:rsid w:val="00B225D0"/>
    <w:rsid w:val="00B2335F"/>
    <w:rsid w:val="00B2340E"/>
    <w:rsid w:val="00B235C9"/>
    <w:rsid w:val="00B238CB"/>
    <w:rsid w:val="00B23A4E"/>
    <w:rsid w:val="00B23AF6"/>
    <w:rsid w:val="00B23E7D"/>
    <w:rsid w:val="00B24577"/>
    <w:rsid w:val="00B24D34"/>
    <w:rsid w:val="00B25144"/>
    <w:rsid w:val="00B25639"/>
    <w:rsid w:val="00B256F3"/>
    <w:rsid w:val="00B25740"/>
    <w:rsid w:val="00B258DC"/>
    <w:rsid w:val="00B259DF"/>
    <w:rsid w:val="00B25ABB"/>
    <w:rsid w:val="00B25D68"/>
    <w:rsid w:val="00B25E5B"/>
    <w:rsid w:val="00B26046"/>
    <w:rsid w:val="00B26AF5"/>
    <w:rsid w:val="00B276D1"/>
    <w:rsid w:val="00B2777B"/>
    <w:rsid w:val="00B27AFF"/>
    <w:rsid w:val="00B27FD8"/>
    <w:rsid w:val="00B30120"/>
    <w:rsid w:val="00B303B6"/>
    <w:rsid w:val="00B30D73"/>
    <w:rsid w:val="00B30D75"/>
    <w:rsid w:val="00B313C6"/>
    <w:rsid w:val="00B31600"/>
    <w:rsid w:val="00B322C1"/>
    <w:rsid w:val="00B32855"/>
    <w:rsid w:val="00B329D6"/>
    <w:rsid w:val="00B337B7"/>
    <w:rsid w:val="00B33857"/>
    <w:rsid w:val="00B33914"/>
    <w:rsid w:val="00B34310"/>
    <w:rsid w:val="00B3433A"/>
    <w:rsid w:val="00B3470A"/>
    <w:rsid w:val="00B34900"/>
    <w:rsid w:val="00B34B24"/>
    <w:rsid w:val="00B3544E"/>
    <w:rsid w:val="00B35B46"/>
    <w:rsid w:val="00B35CD2"/>
    <w:rsid w:val="00B35D31"/>
    <w:rsid w:val="00B3608B"/>
    <w:rsid w:val="00B367E2"/>
    <w:rsid w:val="00B36AD3"/>
    <w:rsid w:val="00B36B08"/>
    <w:rsid w:val="00B375B7"/>
    <w:rsid w:val="00B3760C"/>
    <w:rsid w:val="00B376C7"/>
    <w:rsid w:val="00B37731"/>
    <w:rsid w:val="00B37822"/>
    <w:rsid w:val="00B378BC"/>
    <w:rsid w:val="00B37E02"/>
    <w:rsid w:val="00B40602"/>
    <w:rsid w:val="00B40891"/>
    <w:rsid w:val="00B41113"/>
    <w:rsid w:val="00B4149C"/>
    <w:rsid w:val="00B41534"/>
    <w:rsid w:val="00B4165D"/>
    <w:rsid w:val="00B41856"/>
    <w:rsid w:val="00B41857"/>
    <w:rsid w:val="00B41DE5"/>
    <w:rsid w:val="00B4211E"/>
    <w:rsid w:val="00B42202"/>
    <w:rsid w:val="00B4220C"/>
    <w:rsid w:val="00B42387"/>
    <w:rsid w:val="00B42777"/>
    <w:rsid w:val="00B4297B"/>
    <w:rsid w:val="00B42DDF"/>
    <w:rsid w:val="00B4394F"/>
    <w:rsid w:val="00B4398E"/>
    <w:rsid w:val="00B43B9B"/>
    <w:rsid w:val="00B43C2A"/>
    <w:rsid w:val="00B4401E"/>
    <w:rsid w:val="00B446C2"/>
    <w:rsid w:val="00B44739"/>
    <w:rsid w:val="00B44EFF"/>
    <w:rsid w:val="00B44F84"/>
    <w:rsid w:val="00B45205"/>
    <w:rsid w:val="00B454EA"/>
    <w:rsid w:val="00B45C22"/>
    <w:rsid w:val="00B45F5D"/>
    <w:rsid w:val="00B4656A"/>
    <w:rsid w:val="00B46A5A"/>
    <w:rsid w:val="00B46AC3"/>
    <w:rsid w:val="00B46E10"/>
    <w:rsid w:val="00B470A9"/>
    <w:rsid w:val="00B470ED"/>
    <w:rsid w:val="00B47607"/>
    <w:rsid w:val="00B47BCA"/>
    <w:rsid w:val="00B47F4D"/>
    <w:rsid w:val="00B501C7"/>
    <w:rsid w:val="00B50AB1"/>
    <w:rsid w:val="00B51A1E"/>
    <w:rsid w:val="00B51AF6"/>
    <w:rsid w:val="00B51F3A"/>
    <w:rsid w:val="00B5204C"/>
    <w:rsid w:val="00B5212F"/>
    <w:rsid w:val="00B52484"/>
    <w:rsid w:val="00B52A41"/>
    <w:rsid w:val="00B52A78"/>
    <w:rsid w:val="00B52AF2"/>
    <w:rsid w:val="00B5368D"/>
    <w:rsid w:val="00B541D0"/>
    <w:rsid w:val="00B54B2C"/>
    <w:rsid w:val="00B55204"/>
    <w:rsid w:val="00B55565"/>
    <w:rsid w:val="00B55607"/>
    <w:rsid w:val="00B55627"/>
    <w:rsid w:val="00B55CAC"/>
    <w:rsid w:val="00B56195"/>
    <w:rsid w:val="00B565E7"/>
    <w:rsid w:val="00B56BBC"/>
    <w:rsid w:val="00B56C0E"/>
    <w:rsid w:val="00B56D6A"/>
    <w:rsid w:val="00B56FFC"/>
    <w:rsid w:val="00B574B8"/>
    <w:rsid w:val="00B574C1"/>
    <w:rsid w:val="00B57591"/>
    <w:rsid w:val="00B57715"/>
    <w:rsid w:val="00B57A95"/>
    <w:rsid w:val="00B57F73"/>
    <w:rsid w:val="00B606CE"/>
    <w:rsid w:val="00B60742"/>
    <w:rsid w:val="00B6079A"/>
    <w:rsid w:val="00B60884"/>
    <w:rsid w:val="00B60C76"/>
    <w:rsid w:val="00B61076"/>
    <w:rsid w:val="00B6158D"/>
    <w:rsid w:val="00B61735"/>
    <w:rsid w:val="00B61C38"/>
    <w:rsid w:val="00B61D4F"/>
    <w:rsid w:val="00B61D9D"/>
    <w:rsid w:val="00B61DEB"/>
    <w:rsid w:val="00B62090"/>
    <w:rsid w:val="00B6265A"/>
    <w:rsid w:val="00B62BE9"/>
    <w:rsid w:val="00B631A1"/>
    <w:rsid w:val="00B63460"/>
    <w:rsid w:val="00B63B8F"/>
    <w:rsid w:val="00B640D8"/>
    <w:rsid w:val="00B6425E"/>
    <w:rsid w:val="00B64338"/>
    <w:rsid w:val="00B6469B"/>
    <w:rsid w:val="00B64B08"/>
    <w:rsid w:val="00B64D06"/>
    <w:rsid w:val="00B650CA"/>
    <w:rsid w:val="00B65271"/>
    <w:rsid w:val="00B6585B"/>
    <w:rsid w:val="00B669FD"/>
    <w:rsid w:val="00B66BF8"/>
    <w:rsid w:val="00B66C04"/>
    <w:rsid w:val="00B66C37"/>
    <w:rsid w:val="00B67119"/>
    <w:rsid w:val="00B67351"/>
    <w:rsid w:val="00B6765C"/>
    <w:rsid w:val="00B67BE6"/>
    <w:rsid w:val="00B70522"/>
    <w:rsid w:val="00B707D9"/>
    <w:rsid w:val="00B70DEF"/>
    <w:rsid w:val="00B70F1B"/>
    <w:rsid w:val="00B71675"/>
    <w:rsid w:val="00B71A5E"/>
    <w:rsid w:val="00B71AC2"/>
    <w:rsid w:val="00B71B62"/>
    <w:rsid w:val="00B71EF0"/>
    <w:rsid w:val="00B71F7F"/>
    <w:rsid w:val="00B721CA"/>
    <w:rsid w:val="00B72359"/>
    <w:rsid w:val="00B727FA"/>
    <w:rsid w:val="00B72812"/>
    <w:rsid w:val="00B7286C"/>
    <w:rsid w:val="00B732A1"/>
    <w:rsid w:val="00B7333C"/>
    <w:rsid w:val="00B73898"/>
    <w:rsid w:val="00B743F2"/>
    <w:rsid w:val="00B74DE1"/>
    <w:rsid w:val="00B75481"/>
    <w:rsid w:val="00B75B5C"/>
    <w:rsid w:val="00B75BC0"/>
    <w:rsid w:val="00B7636B"/>
    <w:rsid w:val="00B76457"/>
    <w:rsid w:val="00B76492"/>
    <w:rsid w:val="00B767DA"/>
    <w:rsid w:val="00B769A2"/>
    <w:rsid w:val="00B77187"/>
    <w:rsid w:val="00B773CF"/>
    <w:rsid w:val="00B777DF"/>
    <w:rsid w:val="00B7796D"/>
    <w:rsid w:val="00B77C9C"/>
    <w:rsid w:val="00B77E27"/>
    <w:rsid w:val="00B80463"/>
    <w:rsid w:val="00B80B83"/>
    <w:rsid w:val="00B80CF9"/>
    <w:rsid w:val="00B80FFE"/>
    <w:rsid w:val="00B812B6"/>
    <w:rsid w:val="00B81CED"/>
    <w:rsid w:val="00B81F1C"/>
    <w:rsid w:val="00B8205E"/>
    <w:rsid w:val="00B82171"/>
    <w:rsid w:val="00B824E2"/>
    <w:rsid w:val="00B8254D"/>
    <w:rsid w:val="00B829C2"/>
    <w:rsid w:val="00B82CE7"/>
    <w:rsid w:val="00B832EA"/>
    <w:rsid w:val="00B83300"/>
    <w:rsid w:val="00B83773"/>
    <w:rsid w:val="00B839F7"/>
    <w:rsid w:val="00B83A5A"/>
    <w:rsid w:val="00B83EB7"/>
    <w:rsid w:val="00B83ECB"/>
    <w:rsid w:val="00B8411A"/>
    <w:rsid w:val="00B846CD"/>
    <w:rsid w:val="00B8480C"/>
    <w:rsid w:val="00B84C0B"/>
    <w:rsid w:val="00B85342"/>
    <w:rsid w:val="00B8551A"/>
    <w:rsid w:val="00B8560C"/>
    <w:rsid w:val="00B857CC"/>
    <w:rsid w:val="00B85E7B"/>
    <w:rsid w:val="00B863A0"/>
    <w:rsid w:val="00B86609"/>
    <w:rsid w:val="00B866A5"/>
    <w:rsid w:val="00B8715C"/>
    <w:rsid w:val="00B8749C"/>
    <w:rsid w:val="00B901D4"/>
    <w:rsid w:val="00B905AA"/>
    <w:rsid w:val="00B90931"/>
    <w:rsid w:val="00B910D0"/>
    <w:rsid w:val="00B917CA"/>
    <w:rsid w:val="00B91812"/>
    <w:rsid w:val="00B91AF4"/>
    <w:rsid w:val="00B91DB3"/>
    <w:rsid w:val="00B91EAA"/>
    <w:rsid w:val="00B91FF1"/>
    <w:rsid w:val="00B92197"/>
    <w:rsid w:val="00B92635"/>
    <w:rsid w:val="00B9303F"/>
    <w:rsid w:val="00B93080"/>
    <w:rsid w:val="00B930BA"/>
    <w:rsid w:val="00B936D8"/>
    <w:rsid w:val="00B936FF"/>
    <w:rsid w:val="00B93CCD"/>
    <w:rsid w:val="00B9431B"/>
    <w:rsid w:val="00B9450E"/>
    <w:rsid w:val="00B946E4"/>
    <w:rsid w:val="00B94987"/>
    <w:rsid w:val="00B94D61"/>
    <w:rsid w:val="00B952F3"/>
    <w:rsid w:val="00B95670"/>
    <w:rsid w:val="00B95A3C"/>
    <w:rsid w:val="00B95CC1"/>
    <w:rsid w:val="00B9625A"/>
    <w:rsid w:val="00B96424"/>
    <w:rsid w:val="00B96EDD"/>
    <w:rsid w:val="00B97407"/>
    <w:rsid w:val="00B97D43"/>
    <w:rsid w:val="00BA01AB"/>
    <w:rsid w:val="00BA0519"/>
    <w:rsid w:val="00BA0759"/>
    <w:rsid w:val="00BA0844"/>
    <w:rsid w:val="00BA091B"/>
    <w:rsid w:val="00BA0A05"/>
    <w:rsid w:val="00BA0AC3"/>
    <w:rsid w:val="00BA0B7C"/>
    <w:rsid w:val="00BA0BF1"/>
    <w:rsid w:val="00BA0F86"/>
    <w:rsid w:val="00BA121C"/>
    <w:rsid w:val="00BA121E"/>
    <w:rsid w:val="00BA1339"/>
    <w:rsid w:val="00BA1F49"/>
    <w:rsid w:val="00BA20E3"/>
    <w:rsid w:val="00BA2379"/>
    <w:rsid w:val="00BA251E"/>
    <w:rsid w:val="00BA298B"/>
    <w:rsid w:val="00BA29F1"/>
    <w:rsid w:val="00BA2E37"/>
    <w:rsid w:val="00BA2EE7"/>
    <w:rsid w:val="00BA2FC7"/>
    <w:rsid w:val="00BA3306"/>
    <w:rsid w:val="00BA3434"/>
    <w:rsid w:val="00BA387F"/>
    <w:rsid w:val="00BA3C8F"/>
    <w:rsid w:val="00BA3D70"/>
    <w:rsid w:val="00BA3EBE"/>
    <w:rsid w:val="00BA494E"/>
    <w:rsid w:val="00BA4CB8"/>
    <w:rsid w:val="00BA4F4E"/>
    <w:rsid w:val="00BA5724"/>
    <w:rsid w:val="00BA6A9D"/>
    <w:rsid w:val="00BA708E"/>
    <w:rsid w:val="00BA7101"/>
    <w:rsid w:val="00BA71F7"/>
    <w:rsid w:val="00BA73EE"/>
    <w:rsid w:val="00BA74BD"/>
    <w:rsid w:val="00BA7B7A"/>
    <w:rsid w:val="00BA7DD2"/>
    <w:rsid w:val="00BB006F"/>
    <w:rsid w:val="00BB0145"/>
    <w:rsid w:val="00BB07BC"/>
    <w:rsid w:val="00BB08E9"/>
    <w:rsid w:val="00BB0D34"/>
    <w:rsid w:val="00BB0D52"/>
    <w:rsid w:val="00BB0E85"/>
    <w:rsid w:val="00BB19A6"/>
    <w:rsid w:val="00BB2329"/>
    <w:rsid w:val="00BB2958"/>
    <w:rsid w:val="00BB3021"/>
    <w:rsid w:val="00BB3110"/>
    <w:rsid w:val="00BB3443"/>
    <w:rsid w:val="00BB35C2"/>
    <w:rsid w:val="00BB36FE"/>
    <w:rsid w:val="00BB3954"/>
    <w:rsid w:val="00BB3980"/>
    <w:rsid w:val="00BB3AAD"/>
    <w:rsid w:val="00BB3DCB"/>
    <w:rsid w:val="00BB4009"/>
    <w:rsid w:val="00BB4054"/>
    <w:rsid w:val="00BB432F"/>
    <w:rsid w:val="00BB4C2B"/>
    <w:rsid w:val="00BB4E32"/>
    <w:rsid w:val="00BB51AA"/>
    <w:rsid w:val="00BB523C"/>
    <w:rsid w:val="00BB535A"/>
    <w:rsid w:val="00BB54A6"/>
    <w:rsid w:val="00BB58C4"/>
    <w:rsid w:val="00BB5A5B"/>
    <w:rsid w:val="00BB5B09"/>
    <w:rsid w:val="00BB5BDF"/>
    <w:rsid w:val="00BB5D2E"/>
    <w:rsid w:val="00BB5FF9"/>
    <w:rsid w:val="00BB624C"/>
    <w:rsid w:val="00BB6430"/>
    <w:rsid w:val="00BB6875"/>
    <w:rsid w:val="00BB6AE4"/>
    <w:rsid w:val="00BB7002"/>
    <w:rsid w:val="00BB749F"/>
    <w:rsid w:val="00BB7824"/>
    <w:rsid w:val="00BB79A3"/>
    <w:rsid w:val="00BB7C4C"/>
    <w:rsid w:val="00BB7D78"/>
    <w:rsid w:val="00BB7DF0"/>
    <w:rsid w:val="00BB7E41"/>
    <w:rsid w:val="00BC0B0C"/>
    <w:rsid w:val="00BC0B45"/>
    <w:rsid w:val="00BC0D6A"/>
    <w:rsid w:val="00BC101D"/>
    <w:rsid w:val="00BC16AA"/>
    <w:rsid w:val="00BC183D"/>
    <w:rsid w:val="00BC19B1"/>
    <w:rsid w:val="00BC1B62"/>
    <w:rsid w:val="00BC1CAF"/>
    <w:rsid w:val="00BC1D21"/>
    <w:rsid w:val="00BC1ECD"/>
    <w:rsid w:val="00BC2323"/>
    <w:rsid w:val="00BC277B"/>
    <w:rsid w:val="00BC2984"/>
    <w:rsid w:val="00BC2A1B"/>
    <w:rsid w:val="00BC2D3F"/>
    <w:rsid w:val="00BC33A5"/>
    <w:rsid w:val="00BC3739"/>
    <w:rsid w:val="00BC3791"/>
    <w:rsid w:val="00BC3948"/>
    <w:rsid w:val="00BC3A10"/>
    <w:rsid w:val="00BC3CB3"/>
    <w:rsid w:val="00BC4271"/>
    <w:rsid w:val="00BC4359"/>
    <w:rsid w:val="00BC475E"/>
    <w:rsid w:val="00BC4A2B"/>
    <w:rsid w:val="00BC4B38"/>
    <w:rsid w:val="00BC4EFA"/>
    <w:rsid w:val="00BC5453"/>
    <w:rsid w:val="00BC5812"/>
    <w:rsid w:val="00BC5965"/>
    <w:rsid w:val="00BC5FC7"/>
    <w:rsid w:val="00BC6781"/>
    <w:rsid w:val="00BC6852"/>
    <w:rsid w:val="00BC6902"/>
    <w:rsid w:val="00BC690C"/>
    <w:rsid w:val="00BC6C0A"/>
    <w:rsid w:val="00BD0202"/>
    <w:rsid w:val="00BD03EC"/>
    <w:rsid w:val="00BD0932"/>
    <w:rsid w:val="00BD0BCB"/>
    <w:rsid w:val="00BD0BCC"/>
    <w:rsid w:val="00BD1502"/>
    <w:rsid w:val="00BD1540"/>
    <w:rsid w:val="00BD15CD"/>
    <w:rsid w:val="00BD1F4E"/>
    <w:rsid w:val="00BD21D7"/>
    <w:rsid w:val="00BD2DC0"/>
    <w:rsid w:val="00BD2E1E"/>
    <w:rsid w:val="00BD2E82"/>
    <w:rsid w:val="00BD2F5A"/>
    <w:rsid w:val="00BD3B2E"/>
    <w:rsid w:val="00BD3F15"/>
    <w:rsid w:val="00BD41D1"/>
    <w:rsid w:val="00BD41F7"/>
    <w:rsid w:val="00BD4218"/>
    <w:rsid w:val="00BD4854"/>
    <w:rsid w:val="00BD4CA9"/>
    <w:rsid w:val="00BD51FE"/>
    <w:rsid w:val="00BD590A"/>
    <w:rsid w:val="00BD5A5C"/>
    <w:rsid w:val="00BD686D"/>
    <w:rsid w:val="00BD6A2F"/>
    <w:rsid w:val="00BD7149"/>
    <w:rsid w:val="00BD74ED"/>
    <w:rsid w:val="00BD77A4"/>
    <w:rsid w:val="00BD79AD"/>
    <w:rsid w:val="00BD7ACB"/>
    <w:rsid w:val="00BD7BE0"/>
    <w:rsid w:val="00BD7CB0"/>
    <w:rsid w:val="00BD7F30"/>
    <w:rsid w:val="00BD7FC2"/>
    <w:rsid w:val="00BE017D"/>
    <w:rsid w:val="00BE07C5"/>
    <w:rsid w:val="00BE08AA"/>
    <w:rsid w:val="00BE0BAE"/>
    <w:rsid w:val="00BE1171"/>
    <w:rsid w:val="00BE12C9"/>
    <w:rsid w:val="00BE1936"/>
    <w:rsid w:val="00BE1998"/>
    <w:rsid w:val="00BE1C6E"/>
    <w:rsid w:val="00BE2347"/>
    <w:rsid w:val="00BE237F"/>
    <w:rsid w:val="00BE28EA"/>
    <w:rsid w:val="00BE2AB2"/>
    <w:rsid w:val="00BE37E7"/>
    <w:rsid w:val="00BE37E9"/>
    <w:rsid w:val="00BE3C20"/>
    <w:rsid w:val="00BE3CAA"/>
    <w:rsid w:val="00BE3D49"/>
    <w:rsid w:val="00BE3E5F"/>
    <w:rsid w:val="00BE3F06"/>
    <w:rsid w:val="00BE45E9"/>
    <w:rsid w:val="00BE492A"/>
    <w:rsid w:val="00BE498B"/>
    <w:rsid w:val="00BE583A"/>
    <w:rsid w:val="00BE5B25"/>
    <w:rsid w:val="00BE5ECC"/>
    <w:rsid w:val="00BE5F2E"/>
    <w:rsid w:val="00BE5F55"/>
    <w:rsid w:val="00BE63C4"/>
    <w:rsid w:val="00BE6A4B"/>
    <w:rsid w:val="00BE6B1C"/>
    <w:rsid w:val="00BE7455"/>
    <w:rsid w:val="00BE79D1"/>
    <w:rsid w:val="00BE7EEE"/>
    <w:rsid w:val="00BE7F81"/>
    <w:rsid w:val="00BF04C9"/>
    <w:rsid w:val="00BF0852"/>
    <w:rsid w:val="00BF0AB3"/>
    <w:rsid w:val="00BF0EBD"/>
    <w:rsid w:val="00BF10F5"/>
    <w:rsid w:val="00BF1230"/>
    <w:rsid w:val="00BF1289"/>
    <w:rsid w:val="00BF160E"/>
    <w:rsid w:val="00BF1809"/>
    <w:rsid w:val="00BF1ED0"/>
    <w:rsid w:val="00BF271E"/>
    <w:rsid w:val="00BF2A79"/>
    <w:rsid w:val="00BF2B65"/>
    <w:rsid w:val="00BF2FF5"/>
    <w:rsid w:val="00BF3293"/>
    <w:rsid w:val="00BF3956"/>
    <w:rsid w:val="00BF3BEE"/>
    <w:rsid w:val="00BF5249"/>
    <w:rsid w:val="00BF5446"/>
    <w:rsid w:val="00BF560D"/>
    <w:rsid w:val="00BF5CA8"/>
    <w:rsid w:val="00BF64B1"/>
    <w:rsid w:val="00BF675E"/>
    <w:rsid w:val="00BF69E2"/>
    <w:rsid w:val="00BF6AA6"/>
    <w:rsid w:val="00BF6BBC"/>
    <w:rsid w:val="00BF708D"/>
    <w:rsid w:val="00BF7133"/>
    <w:rsid w:val="00BF73C5"/>
    <w:rsid w:val="00BF77C0"/>
    <w:rsid w:val="00BF7A17"/>
    <w:rsid w:val="00BF7E30"/>
    <w:rsid w:val="00BF7F83"/>
    <w:rsid w:val="00C005B4"/>
    <w:rsid w:val="00C005CE"/>
    <w:rsid w:val="00C00685"/>
    <w:rsid w:val="00C00799"/>
    <w:rsid w:val="00C007E1"/>
    <w:rsid w:val="00C00DD3"/>
    <w:rsid w:val="00C010FA"/>
    <w:rsid w:val="00C012C7"/>
    <w:rsid w:val="00C013DD"/>
    <w:rsid w:val="00C014C0"/>
    <w:rsid w:val="00C016C6"/>
    <w:rsid w:val="00C016E6"/>
    <w:rsid w:val="00C01ECE"/>
    <w:rsid w:val="00C02021"/>
    <w:rsid w:val="00C025B2"/>
    <w:rsid w:val="00C02674"/>
    <w:rsid w:val="00C02AF3"/>
    <w:rsid w:val="00C02DBE"/>
    <w:rsid w:val="00C031FA"/>
    <w:rsid w:val="00C0381C"/>
    <w:rsid w:val="00C03E4C"/>
    <w:rsid w:val="00C0408D"/>
    <w:rsid w:val="00C040F7"/>
    <w:rsid w:val="00C045E9"/>
    <w:rsid w:val="00C04D4D"/>
    <w:rsid w:val="00C04E09"/>
    <w:rsid w:val="00C04F83"/>
    <w:rsid w:val="00C053BC"/>
    <w:rsid w:val="00C0595E"/>
    <w:rsid w:val="00C05D37"/>
    <w:rsid w:val="00C05EB4"/>
    <w:rsid w:val="00C05F73"/>
    <w:rsid w:val="00C06172"/>
    <w:rsid w:val="00C063C5"/>
    <w:rsid w:val="00C06459"/>
    <w:rsid w:val="00C06CC0"/>
    <w:rsid w:val="00C06F16"/>
    <w:rsid w:val="00C07030"/>
    <w:rsid w:val="00C07213"/>
    <w:rsid w:val="00C07417"/>
    <w:rsid w:val="00C0766F"/>
    <w:rsid w:val="00C07BBA"/>
    <w:rsid w:val="00C07ECA"/>
    <w:rsid w:val="00C1019C"/>
    <w:rsid w:val="00C10359"/>
    <w:rsid w:val="00C10407"/>
    <w:rsid w:val="00C10473"/>
    <w:rsid w:val="00C10775"/>
    <w:rsid w:val="00C1077F"/>
    <w:rsid w:val="00C10B20"/>
    <w:rsid w:val="00C10B79"/>
    <w:rsid w:val="00C10ECF"/>
    <w:rsid w:val="00C111C3"/>
    <w:rsid w:val="00C112BA"/>
    <w:rsid w:val="00C115F0"/>
    <w:rsid w:val="00C11A01"/>
    <w:rsid w:val="00C11AE6"/>
    <w:rsid w:val="00C11DBF"/>
    <w:rsid w:val="00C11F65"/>
    <w:rsid w:val="00C1216F"/>
    <w:rsid w:val="00C122B9"/>
    <w:rsid w:val="00C12497"/>
    <w:rsid w:val="00C12CC7"/>
    <w:rsid w:val="00C12D5F"/>
    <w:rsid w:val="00C131BD"/>
    <w:rsid w:val="00C13723"/>
    <w:rsid w:val="00C143DA"/>
    <w:rsid w:val="00C1443C"/>
    <w:rsid w:val="00C14D36"/>
    <w:rsid w:val="00C14EF8"/>
    <w:rsid w:val="00C153E2"/>
    <w:rsid w:val="00C1544F"/>
    <w:rsid w:val="00C15EDC"/>
    <w:rsid w:val="00C161FD"/>
    <w:rsid w:val="00C164A4"/>
    <w:rsid w:val="00C164B3"/>
    <w:rsid w:val="00C1657D"/>
    <w:rsid w:val="00C1661D"/>
    <w:rsid w:val="00C16AA1"/>
    <w:rsid w:val="00C16ACC"/>
    <w:rsid w:val="00C16D78"/>
    <w:rsid w:val="00C17105"/>
    <w:rsid w:val="00C17936"/>
    <w:rsid w:val="00C17DDD"/>
    <w:rsid w:val="00C20515"/>
    <w:rsid w:val="00C20653"/>
    <w:rsid w:val="00C20CC4"/>
    <w:rsid w:val="00C20E7F"/>
    <w:rsid w:val="00C20F4D"/>
    <w:rsid w:val="00C211EB"/>
    <w:rsid w:val="00C2162A"/>
    <w:rsid w:val="00C2188D"/>
    <w:rsid w:val="00C2195E"/>
    <w:rsid w:val="00C21A00"/>
    <w:rsid w:val="00C21CF2"/>
    <w:rsid w:val="00C221BF"/>
    <w:rsid w:val="00C22511"/>
    <w:rsid w:val="00C225EC"/>
    <w:rsid w:val="00C226A4"/>
    <w:rsid w:val="00C228D4"/>
    <w:rsid w:val="00C2290C"/>
    <w:rsid w:val="00C22D31"/>
    <w:rsid w:val="00C2330C"/>
    <w:rsid w:val="00C233F5"/>
    <w:rsid w:val="00C23485"/>
    <w:rsid w:val="00C239C3"/>
    <w:rsid w:val="00C23D83"/>
    <w:rsid w:val="00C23DB9"/>
    <w:rsid w:val="00C23FB0"/>
    <w:rsid w:val="00C23FEA"/>
    <w:rsid w:val="00C24862"/>
    <w:rsid w:val="00C24C39"/>
    <w:rsid w:val="00C24C48"/>
    <w:rsid w:val="00C25249"/>
    <w:rsid w:val="00C252AA"/>
    <w:rsid w:val="00C256EE"/>
    <w:rsid w:val="00C258FE"/>
    <w:rsid w:val="00C262DC"/>
    <w:rsid w:val="00C263FE"/>
    <w:rsid w:val="00C264B6"/>
    <w:rsid w:val="00C268CF"/>
    <w:rsid w:val="00C26A9B"/>
    <w:rsid w:val="00C26E3B"/>
    <w:rsid w:val="00C27021"/>
    <w:rsid w:val="00C27139"/>
    <w:rsid w:val="00C2737A"/>
    <w:rsid w:val="00C27AB5"/>
    <w:rsid w:val="00C27FD2"/>
    <w:rsid w:val="00C303B5"/>
    <w:rsid w:val="00C30A11"/>
    <w:rsid w:val="00C30D55"/>
    <w:rsid w:val="00C30D63"/>
    <w:rsid w:val="00C30F20"/>
    <w:rsid w:val="00C30FA4"/>
    <w:rsid w:val="00C31538"/>
    <w:rsid w:val="00C317F3"/>
    <w:rsid w:val="00C31ABE"/>
    <w:rsid w:val="00C31C8C"/>
    <w:rsid w:val="00C320C6"/>
    <w:rsid w:val="00C32157"/>
    <w:rsid w:val="00C325D6"/>
    <w:rsid w:val="00C326A9"/>
    <w:rsid w:val="00C32C6E"/>
    <w:rsid w:val="00C33013"/>
    <w:rsid w:val="00C33605"/>
    <w:rsid w:val="00C3365C"/>
    <w:rsid w:val="00C33680"/>
    <w:rsid w:val="00C339CC"/>
    <w:rsid w:val="00C3417A"/>
    <w:rsid w:val="00C341E1"/>
    <w:rsid w:val="00C3455C"/>
    <w:rsid w:val="00C349C2"/>
    <w:rsid w:val="00C34A18"/>
    <w:rsid w:val="00C34CA8"/>
    <w:rsid w:val="00C34EFD"/>
    <w:rsid w:val="00C34FB3"/>
    <w:rsid w:val="00C35755"/>
    <w:rsid w:val="00C35FCC"/>
    <w:rsid w:val="00C361F4"/>
    <w:rsid w:val="00C361F8"/>
    <w:rsid w:val="00C36CEC"/>
    <w:rsid w:val="00C36E6C"/>
    <w:rsid w:val="00C372F6"/>
    <w:rsid w:val="00C37436"/>
    <w:rsid w:val="00C37997"/>
    <w:rsid w:val="00C402FC"/>
    <w:rsid w:val="00C40753"/>
    <w:rsid w:val="00C40788"/>
    <w:rsid w:val="00C4179A"/>
    <w:rsid w:val="00C41830"/>
    <w:rsid w:val="00C419EF"/>
    <w:rsid w:val="00C42422"/>
    <w:rsid w:val="00C4251B"/>
    <w:rsid w:val="00C42728"/>
    <w:rsid w:val="00C4272C"/>
    <w:rsid w:val="00C42E53"/>
    <w:rsid w:val="00C43869"/>
    <w:rsid w:val="00C43A58"/>
    <w:rsid w:val="00C43F9F"/>
    <w:rsid w:val="00C43FBE"/>
    <w:rsid w:val="00C44766"/>
    <w:rsid w:val="00C4481D"/>
    <w:rsid w:val="00C44955"/>
    <w:rsid w:val="00C44C37"/>
    <w:rsid w:val="00C44FC4"/>
    <w:rsid w:val="00C45584"/>
    <w:rsid w:val="00C45913"/>
    <w:rsid w:val="00C45962"/>
    <w:rsid w:val="00C46017"/>
    <w:rsid w:val="00C46819"/>
    <w:rsid w:val="00C46AE5"/>
    <w:rsid w:val="00C46EAF"/>
    <w:rsid w:val="00C473C6"/>
    <w:rsid w:val="00C47496"/>
    <w:rsid w:val="00C47654"/>
    <w:rsid w:val="00C47A47"/>
    <w:rsid w:val="00C47DC3"/>
    <w:rsid w:val="00C47E70"/>
    <w:rsid w:val="00C50537"/>
    <w:rsid w:val="00C50598"/>
    <w:rsid w:val="00C50653"/>
    <w:rsid w:val="00C5109D"/>
    <w:rsid w:val="00C514C2"/>
    <w:rsid w:val="00C517F9"/>
    <w:rsid w:val="00C51919"/>
    <w:rsid w:val="00C51D48"/>
    <w:rsid w:val="00C51EB3"/>
    <w:rsid w:val="00C51F0A"/>
    <w:rsid w:val="00C52616"/>
    <w:rsid w:val="00C52BD2"/>
    <w:rsid w:val="00C52BE0"/>
    <w:rsid w:val="00C53043"/>
    <w:rsid w:val="00C5343B"/>
    <w:rsid w:val="00C5397E"/>
    <w:rsid w:val="00C53B6A"/>
    <w:rsid w:val="00C54CF8"/>
    <w:rsid w:val="00C54E7F"/>
    <w:rsid w:val="00C5512D"/>
    <w:rsid w:val="00C55191"/>
    <w:rsid w:val="00C552F4"/>
    <w:rsid w:val="00C554C9"/>
    <w:rsid w:val="00C555A6"/>
    <w:rsid w:val="00C56093"/>
    <w:rsid w:val="00C56140"/>
    <w:rsid w:val="00C567F0"/>
    <w:rsid w:val="00C56E89"/>
    <w:rsid w:val="00C571A0"/>
    <w:rsid w:val="00C576B6"/>
    <w:rsid w:val="00C579B8"/>
    <w:rsid w:val="00C57E4D"/>
    <w:rsid w:val="00C6010D"/>
    <w:rsid w:val="00C60D47"/>
    <w:rsid w:val="00C60F40"/>
    <w:rsid w:val="00C60F73"/>
    <w:rsid w:val="00C61200"/>
    <w:rsid w:val="00C61215"/>
    <w:rsid w:val="00C61AE9"/>
    <w:rsid w:val="00C622A3"/>
    <w:rsid w:val="00C626E2"/>
    <w:rsid w:val="00C628C8"/>
    <w:rsid w:val="00C6299A"/>
    <w:rsid w:val="00C62C40"/>
    <w:rsid w:val="00C632FB"/>
    <w:rsid w:val="00C639B5"/>
    <w:rsid w:val="00C63AD7"/>
    <w:rsid w:val="00C63B7C"/>
    <w:rsid w:val="00C63D86"/>
    <w:rsid w:val="00C64713"/>
    <w:rsid w:val="00C64933"/>
    <w:rsid w:val="00C6499E"/>
    <w:rsid w:val="00C64CAE"/>
    <w:rsid w:val="00C64E3A"/>
    <w:rsid w:val="00C64EAA"/>
    <w:rsid w:val="00C65352"/>
    <w:rsid w:val="00C65360"/>
    <w:rsid w:val="00C656F8"/>
    <w:rsid w:val="00C65D0D"/>
    <w:rsid w:val="00C65DFA"/>
    <w:rsid w:val="00C6609F"/>
    <w:rsid w:val="00C6686A"/>
    <w:rsid w:val="00C6723F"/>
    <w:rsid w:val="00C673F8"/>
    <w:rsid w:val="00C67619"/>
    <w:rsid w:val="00C678DC"/>
    <w:rsid w:val="00C67B26"/>
    <w:rsid w:val="00C67CED"/>
    <w:rsid w:val="00C70072"/>
    <w:rsid w:val="00C70091"/>
    <w:rsid w:val="00C700FA"/>
    <w:rsid w:val="00C702E2"/>
    <w:rsid w:val="00C70B31"/>
    <w:rsid w:val="00C71019"/>
    <w:rsid w:val="00C71648"/>
    <w:rsid w:val="00C718E1"/>
    <w:rsid w:val="00C71A5D"/>
    <w:rsid w:val="00C71B59"/>
    <w:rsid w:val="00C721CC"/>
    <w:rsid w:val="00C7246A"/>
    <w:rsid w:val="00C727EE"/>
    <w:rsid w:val="00C72ACE"/>
    <w:rsid w:val="00C72D22"/>
    <w:rsid w:val="00C72E0F"/>
    <w:rsid w:val="00C72FF8"/>
    <w:rsid w:val="00C72FFC"/>
    <w:rsid w:val="00C730D4"/>
    <w:rsid w:val="00C73105"/>
    <w:rsid w:val="00C7311E"/>
    <w:rsid w:val="00C73340"/>
    <w:rsid w:val="00C736E7"/>
    <w:rsid w:val="00C7447B"/>
    <w:rsid w:val="00C748E8"/>
    <w:rsid w:val="00C749A1"/>
    <w:rsid w:val="00C7519E"/>
    <w:rsid w:val="00C75BC8"/>
    <w:rsid w:val="00C75EB2"/>
    <w:rsid w:val="00C76AAB"/>
    <w:rsid w:val="00C77434"/>
    <w:rsid w:val="00C777BF"/>
    <w:rsid w:val="00C77BF4"/>
    <w:rsid w:val="00C77F38"/>
    <w:rsid w:val="00C80646"/>
    <w:rsid w:val="00C80759"/>
    <w:rsid w:val="00C81A12"/>
    <w:rsid w:val="00C81C82"/>
    <w:rsid w:val="00C81CD0"/>
    <w:rsid w:val="00C82261"/>
    <w:rsid w:val="00C82407"/>
    <w:rsid w:val="00C824E4"/>
    <w:rsid w:val="00C825EA"/>
    <w:rsid w:val="00C826E7"/>
    <w:rsid w:val="00C82805"/>
    <w:rsid w:val="00C8296F"/>
    <w:rsid w:val="00C82E19"/>
    <w:rsid w:val="00C83001"/>
    <w:rsid w:val="00C83341"/>
    <w:rsid w:val="00C833B6"/>
    <w:rsid w:val="00C833DA"/>
    <w:rsid w:val="00C8369D"/>
    <w:rsid w:val="00C83B58"/>
    <w:rsid w:val="00C83D51"/>
    <w:rsid w:val="00C8401D"/>
    <w:rsid w:val="00C844AB"/>
    <w:rsid w:val="00C846BE"/>
    <w:rsid w:val="00C84A00"/>
    <w:rsid w:val="00C84C02"/>
    <w:rsid w:val="00C84E30"/>
    <w:rsid w:val="00C84E75"/>
    <w:rsid w:val="00C85B89"/>
    <w:rsid w:val="00C85C1D"/>
    <w:rsid w:val="00C85CDB"/>
    <w:rsid w:val="00C860D2"/>
    <w:rsid w:val="00C8612E"/>
    <w:rsid w:val="00C86384"/>
    <w:rsid w:val="00C8647B"/>
    <w:rsid w:val="00C869AB"/>
    <w:rsid w:val="00C87120"/>
    <w:rsid w:val="00C872ED"/>
    <w:rsid w:val="00C87385"/>
    <w:rsid w:val="00C8777E"/>
    <w:rsid w:val="00C87A82"/>
    <w:rsid w:val="00C87ADF"/>
    <w:rsid w:val="00C87F5E"/>
    <w:rsid w:val="00C9053E"/>
    <w:rsid w:val="00C90840"/>
    <w:rsid w:val="00C90846"/>
    <w:rsid w:val="00C90A6E"/>
    <w:rsid w:val="00C90AA7"/>
    <w:rsid w:val="00C9161F"/>
    <w:rsid w:val="00C916A4"/>
    <w:rsid w:val="00C917ED"/>
    <w:rsid w:val="00C918A6"/>
    <w:rsid w:val="00C920A1"/>
    <w:rsid w:val="00C92C85"/>
    <w:rsid w:val="00C92CBD"/>
    <w:rsid w:val="00C92F80"/>
    <w:rsid w:val="00C931DE"/>
    <w:rsid w:val="00C934DC"/>
    <w:rsid w:val="00C93624"/>
    <w:rsid w:val="00C9371C"/>
    <w:rsid w:val="00C93787"/>
    <w:rsid w:val="00C93901"/>
    <w:rsid w:val="00C93C3F"/>
    <w:rsid w:val="00C94643"/>
    <w:rsid w:val="00C94747"/>
    <w:rsid w:val="00C948D9"/>
    <w:rsid w:val="00C94EBB"/>
    <w:rsid w:val="00C9505E"/>
    <w:rsid w:val="00C950C6"/>
    <w:rsid w:val="00C951C6"/>
    <w:rsid w:val="00C95279"/>
    <w:rsid w:val="00C9575C"/>
    <w:rsid w:val="00C95E10"/>
    <w:rsid w:val="00C96237"/>
    <w:rsid w:val="00C963DE"/>
    <w:rsid w:val="00C96538"/>
    <w:rsid w:val="00C969AB"/>
    <w:rsid w:val="00C96AB7"/>
    <w:rsid w:val="00C972D0"/>
    <w:rsid w:val="00C97BB5"/>
    <w:rsid w:val="00C97D12"/>
    <w:rsid w:val="00C97FD6"/>
    <w:rsid w:val="00CA044D"/>
    <w:rsid w:val="00CA0469"/>
    <w:rsid w:val="00CA06E7"/>
    <w:rsid w:val="00CA0702"/>
    <w:rsid w:val="00CA0B52"/>
    <w:rsid w:val="00CA0C26"/>
    <w:rsid w:val="00CA0CC4"/>
    <w:rsid w:val="00CA0D3B"/>
    <w:rsid w:val="00CA2BEF"/>
    <w:rsid w:val="00CA2CFF"/>
    <w:rsid w:val="00CA2DDE"/>
    <w:rsid w:val="00CA3534"/>
    <w:rsid w:val="00CA3888"/>
    <w:rsid w:val="00CA3EB6"/>
    <w:rsid w:val="00CA4438"/>
    <w:rsid w:val="00CA4954"/>
    <w:rsid w:val="00CA4D83"/>
    <w:rsid w:val="00CA4EC7"/>
    <w:rsid w:val="00CA5515"/>
    <w:rsid w:val="00CA5B0D"/>
    <w:rsid w:val="00CA5FF0"/>
    <w:rsid w:val="00CA63CB"/>
    <w:rsid w:val="00CA6569"/>
    <w:rsid w:val="00CA6632"/>
    <w:rsid w:val="00CA6670"/>
    <w:rsid w:val="00CA69AC"/>
    <w:rsid w:val="00CA6B74"/>
    <w:rsid w:val="00CA6D8A"/>
    <w:rsid w:val="00CA6FB9"/>
    <w:rsid w:val="00CA72C0"/>
    <w:rsid w:val="00CA7535"/>
    <w:rsid w:val="00CA75B3"/>
    <w:rsid w:val="00CA75C7"/>
    <w:rsid w:val="00CA77CC"/>
    <w:rsid w:val="00CA7884"/>
    <w:rsid w:val="00CA7D31"/>
    <w:rsid w:val="00CB07A8"/>
    <w:rsid w:val="00CB0A29"/>
    <w:rsid w:val="00CB0C1A"/>
    <w:rsid w:val="00CB0D50"/>
    <w:rsid w:val="00CB141E"/>
    <w:rsid w:val="00CB1772"/>
    <w:rsid w:val="00CB1A54"/>
    <w:rsid w:val="00CB1AAD"/>
    <w:rsid w:val="00CB1AD3"/>
    <w:rsid w:val="00CB1BFB"/>
    <w:rsid w:val="00CB1D49"/>
    <w:rsid w:val="00CB204B"/>
    <w:rsid w:val="00CB2072"/>
    <w:rsid w:val="00CB2C26"/>
    <w:rsid w:val="00CB2D92"/>
    <w:rsid w:val="00CB325F"/>
    <w:rsid w:val="00CB3504"/>
    <w:rsid w:val="00CB3910"/>
    <w:rsid w:val="00CB40BF"/>
    <w:rsid w:val="00CB41E9"/>
    <w:rsid w:val="00CB500C"/>
    <w:rsid w:val="00CB5389"/>
    <w:rsid w:val="00CB5D05"/>
    <w:rsid w:val="00CB63D6"/>
    <w:rsid w:val="00CB65C1"/>
    <w:rsid w:val="00CB6649"/>
    <w:rsid w:val="00CB66D3"/>
    <w:rsid w:val="00CB6989"/>
    <w:rsid w:val="00CB6CF3"/>
    <w:rsid w:val="00CB6FC6"/>
    <w:rsid w:val="00CB717B"/>
    <w:rsid w:val="00CB719C"/>
    <w:rsid w:val="00CB770E"/>
    <w:rsid w:val="00CB7994"/>
    <w:rsid w:val="00CB7A9B"/>
    <w:rsid w:val="00CB7CCD"/>
    <w:rsid w:val="00CC009B"/>
    <w:rsid w:val="00CC09A5"/>
    <w:rsid w:val="00CC0B3B"/>
    <w:rsid w:val="00CC1096"/>
    <w:rsid w:val="00CC10E1"/>
    <w:rsid w:val="00CC1B3C"/>
    <w:rsid w:val="00CC1E34"/>
    <w:rsid w:val="00CC20E3"/>
    <w:rsid w:val="00CC27B0"/>
    <w:rsid w:val="00CC2ACA"/>
    <w:rsid w:val="00CC2DAA"/>
    <w:rsid w:val="00CC3543"/>
    <w:rsid w:val="00CC356E"/>
    <w:rsid w:val="00CC3705"/>
    <w:rsid w:val="00CC3972"/>
    <w:rsid w:val="00CC40C8"/>
    <w:rsid w:val="00CC4D15"/>
    <w:rsid w:val="00CC4DE6"/>
    <w:rsid w:val="00CC4EFC"/>
    <w:rsid w:val="00CC52DC"/>
    <w:rsid w:val="00CC5321"/>
    <w:rsid w:val="00CC53FA"/>
    <w:rsid w:val="00CC5473"/>
    <w:rsid w:val="00CC56EB"/>
    <w:rsid w:val="00CC57D8"/>
    <w:rsid w:val="00CC61EB"/>
    <w:rsid w:val="00CC65E7"/>
    <w:rsid w:val="00CC6917"/>
    <w:rsid w:val="00CC6B7E"/>
    <w:rsid w:val="00CC77BE"/>
    <w:rsid w:val="00CC79A7"/>
    <w:rsid w:val="00CC7AA6"/>
    <w:rsid w:val="00CC7C29"/>
    <w:rsid w:val="00CC7EC7"/>
    <w:rsid w:val="00CC7FC8"/>
    <w:rsid w:val="00CD00E0"/>
    <w:rsid w:val="00CD04E2"/>
    <w:rsid w:val="00CD04FB"/>
    <w:rsid w:val="00CD0857"/>
    <w:rsid w:val="00CD0D60"/>
    <w:rsid w:val="00CD12E3"/>
    <w:rsid w:val="00CD150A"/>
    <w:rsid w:val="00CD1742"/>
    <w:rsid w:val="00CD1A90"/>
    <w:rsid w:val="00CD1CB1"/>
    <w:rsid w:val="00CD269F"/>
    <w:rsid w:val="00CD2816"/>
    <w:rsid w:val="00CD28D0"/>
    <w:rsid w:val="00CD2AC9"/>
    <w:rsid w:val="00CD2F07"/>
    <w:rsid w:val="00CD2F41"/>
    <w:rsid w:val="00CD3001"/>
    <w:rsid w:val="00CD305B"/>
    <w:rsid w:val="00CD30E6"/>
    <w:rsid w:val="00CD3138"/>
    <w:rsid w:val="00CD34E4"/>
    <w:rsid w:val="00CD3934"/>
    <w:rsid w:val="00CD394B"/>
    <w:rsid w:val="00CD3DA9"/>
    <w:rsid w:val="00CD435E"/>
    <w:rsid w:val="00CD444B"/>
    <w:rsid w:val="00CD53F8"/>
    <w:rsid w:val="00CD5BA3"/>
    <w:rsid w:val="00CD5BEE"/>
    <w:rsid w:val="00CD5DA0"/>
    <w:rsid w:val="00CD62D5"/>
    <w:rsid w:val="00CD6327"/>
    <w:rsid w:val="00CD6756"/>
    <w:rsid w:val="00CD6DBA"/>
    <w:rsid w:val="00CD7445"/>
    <w:rsid w:val="00CD754A"/>
    <w:rsid w:val="00CD78EA"/>
    <w:rsid w:val="00CD7A48"/>
    <w:rsid w:val="00CE00B8"/>
    <w:rsid w:val="00CE03B7"/>
    <w:rsid w:val="00CE088E"/>
    <w:rsid w:val="00CE0A92"/>
    <w:rsid w:val="00CE0ECD"/>
    <w:rsid w:val="00CE0F6C"/>
    <w:rsid w:val="00CE119E"/>
    <w:rsid w:val="00CE14C7"/>
    <w:rsid w:val="00CE1D73"/>
    <w:rsid w:val="00CE2B04"/>
    <w:rsid w:val="00CE2B78"/>
    <w:rsid w:val="00CE2D6D"/>
    <w:rsid w:val="00CE332F"/>
    <w:rsid w:val="00CE353B"/>
    <w:rsid w:val="00CE3B08"/>
    <w:rsid w:val="00CE3B79"/>
    <w:rsid w:val="00CE3C4E"/>
    <w:rsid w:val="00CE4102"/>
    <w:rsid w:val="00CE412C"/>
    <w:rsid w:val="00CE441F"/>
    <w:rsid w:val="00CE4672"/>
    <w:rsid w:val="00CE47A0"/>
    <w:rsid w:val="00CE4842"/>
    <w:rsid w:val="00CE4885"/>
    <w:rsid w:val="00CE4BA0"/>
    <w:rsid w:val="00CE5338"/>
    <w:rsid w:val="00CE5848"/>
    <w:rsid w:val="00CE59D7"/>
    <w:rsid w:val="00CE5F6D"/>
    <w:rsid w:val="00CE6196"/>
    <w:rsid w:val="00CE64BE"/>
    <w:rsid w:val="00CE65AE"/>
    <w:rsid w:val="00CE6669"/>
    <w:rsid w:val="00CE6E61"/>
    <w:rsid w:val="00CE702F"/>
    <w:rsid w:val="00CE70FA"/>
    <w:rsid w:val="00CE731B"/>
    <w:rsid w:val="00CE74A3"/>
    <w:rsid w:val="00CE75CB"/>
    <w:rsid w:val="00CE7989"/>
    <w:rsid w:val="00CE7A3F"/>
    <w:rsid w:val="00CE7AE0"/>
    <w:rsid w:val="00CE7D92"/>
    <w:rsid w:val="00CF0163"/>
    <w:rsid w:val="00CF0738"/>
    <w:rsid w:val="00CF09CB"/>
    <w:rsid w:val="00CF0CF3"/>
    <w:rsid w:val="00CF1153"/>
    <w:rsid w:val="00CF12B4"/>
    <w:rsid w:val="00CF17E4"/>
    <w:rsid w:val="00CF24E2"/>
    <w:rsid w:val="00CF25C1"/>
    <w:rsid w:val="00CF2796"/>
    <w:rsid w:val="00CF2838"/>
    <w:rsid w:val="00CF2AAF"/>
    <w:rsid w:val="00CF2B76"/>
    <w:rsid w:val="00CF2C5A"/>
    <w:rsid w:val="00CF3408"/>
    <w:rsid w:val="00CF360D"/>
    <w:rsid w:val="00CF3AA0"/>
    <w:rsid w:val="00CF3B9B"/>
    <w:rsid w:val="00CF3E05"/>
    <w:rsid w:val="00CF4240"/>
    <w:rsid w:val="00CF437B"/>
    <w:rsid w:val="00CF4607"/>
    <w:rsid w:val="00CF49DA"/>
    <w:rsid w:val="00CF4D98"/>
    <w:rsid w:val="00CF4EC8"/>
    <w:rsid w:val="00CF4F6E"/>
    <w:rsid w:val="00CF4FC5"/>
    <w:rsid w:val="00CF529A"/>
    <w:rsid w:val="00CF5487"/>
    <w:rsid w:val="00CF54C2"/>
    <w:rsid w:val="00CF56DC"/>
    <w:rsid w:val="00CF5792"/>
    <w:rsid w:val="00CF58E6"/>
    <w:rsid w:val="00CF5FBB"/>
    <w:rsid w:val="00CF6860"/>
    <w:rsid w:val="00CF726E"/>
    <w:rsid w:val="00CF7E85"/>
    <w:rsid w:val="00D012F7"/>
    <w:rsid w:val="00D014F6"/>
    <w:rsid w:val="00D01782"/>
    <w:rsid w:val="00D01A30"/>
    <w:rsid w:val="00D021FE"/>
    <w:rsid w:val="00D0230C"/>
    <w:rsid w:val="00D026F7"/>
    <w:rsid w:val="00D02726"/>
    <w:rsid w:val="00D02F9E"/>
    <w:rsid w:val="00D02FB0"/>
    <w:rsid w:val="00D03294"/>
    <w:rsid w:val="00D03462"/>
    <w:rsid w:val="00D034DD"/>
    <w:rsid w:val="00D03855"/>
    <w:rsid w:val="00D03A16"/>
    <w:rsid w:val="00D03D35"/>
    <w:rsid w:val="00D03FC0"/>
    <w:rsid w:val="00D040E6"/>
    <w:rsid w:val="00D046D3"/>
    <w:rsid w:val="00D04865"/>
    <w:rsid w:val="00D04952"/>
    <w:rsid w:val="00D04C26"/>
    <w:rsid w:val="00D04D0B"/>
    <w:rsid w:val="00D04E0E"/>
    <w:rsid w:val="00D04EF6"/>
    <w:rsid w:val="00D051BD"/>
    <w:rsid w:val="00D05BB9"/>
    <w:rsid w:val="00D05DD0"/>
    <w:rsid w:val="00D05FE7"/>
    <w:rsid w:val="00D0617B"/>
    <w:rsid w:val="00D06276"/>
    <w:rsid w:val="00D06366"/>
    <w:rsid w:val="00D0650D"/>
    <w:rsid w:val="00D0673A"/>
    <w:rsid w:val="00D06A16"/>
    <w:rsid w:val="00D06B7A"/>
    <w:rsid w:val="00D07468"/>
    <w:rsid w:val="00D0750B"/>
    <w:rsid w:val="00D07706"/>
    <w:rsid w:val="00D1078F"/>
    <w:rsid w:val="00D10E60"/>
    <w:rsid w:val="00D10F43"/>
    <w:rsid w:val="00D1106A"/>
    <w:rsid w:val="00D11132"/>
    <w:rsid w:val="00D11203"/>
    <w:rsid w:val="00D11888"/>
    <w:rsid w:val="00D11C2F"/>
    <w:rsid w:val="00D12550"/>
    <w:rsid w:val="00D125ED"/>
    <w:rsid w:val="00D12B73"/>
    <w:rsid w:val="00D12CB9"/>
    <w:rsid w:val="00D12CD2"/>
    <w:rsid w:val="00D12DF1"/>
    <w:rsid w:val="00D1307F"/>
    <w:rsid w:val="00D130D9"/>
    <w:rsid w:val="00D136A4"/>
    <w:rsid w:val="00D13B54"/>
    <w:rsid w:val="00D13D0D"/>
    <w:rsid w:val="00D13FB1"/>
    <w:rsid w:val="00D140DF"/>
    <w:rsid w:val="00D140F8"/>
    <w:rsid w:val="00D14224"/>
    <w:rsid w:val="00D14553"/>
    <w:rsid w:val="00D14577"/>
    <w:rsid w:val="00D149F4"/>
    <w:rsid w:val="00D14D23"/>
    <w:rsid w:val="00D15675"/>
    <w:rsid w:val="00D1571D"/>
    <w:rsid w:val="00D15755"/>
    <w:rsid w:val="00D15D8B"/>
    <w:rsid w:val="00D16570"/>
    <w:rsid w:val="00D169E6"/>
    <w:rsid w:val="00D16B96"/>
    <w:rsid w:val="00D16D36"/>
    <w:rsid w:val="00D17984"/>
    <w:rsid w:val="00D17D22"/>
    <w:rsid w:val="00D206B9"/>
    <w:rsid w:val="00D20E08"/>
    <w:rsid w:val="00D21203"/>
    <w:rsid w:val="00D216CD"/>
    <w:rsid w:val="00D21B05"/>
    <w:rsid w:val="00D21BA5"/>
    <w:rsid w:val="00D2223A"/>
    <w:rsid w:val="00D2272E"/>
    <w:rsid w:val="00D228D6"/>
    <w:rsid w:val="00D22E8E"/>
    <w:rsid w:val="00D22EF4"/>
    <w:rsid w:val="00D22F94"/>
    <w:rsid w:val="00D2305E"/>
    <w:rsid w:val="00D23207"/>
    <w:rsid w:val="00D23220"/>
    <w:rsid w:val="00D2342E"/>
    <w:rsid w:val="00D23ADA"/>
    <w:rsid w:val="00D23DE0"/>
    <w:rsid w:val="00D24062"/>
    <w:rsid w:val="00D241E6"/>
    <w:rsid w:val="00D242F1"/>
    <w:rsid w:val="00D24324"/>
    <w:rsid w:val="00D244C2"/>
    <w:rsid w:val="00D245F1"/>
    <w:rsid w:val="00D24D4B"/>
    <w:rsid w:val="00D24DAD"/>
    <w:rsid w:val="00D2546B"/>
    <w:rsid w:val="00D25511"/>
    <w:rsid w:val="00D25538"/>
    <w:rsid w:val="00D25916"/>
    <w:rsid w:val="00D25953"/>
    <w:rsid w:val="00D25BA0"/>
    <w:rsid w:val="00D262DB"/>
    <w:rsid w:val="00D26BB7"/>
    <w:rsid w:val="00D26D97"/>
    <w:rsid w:val="00D274C5"/>
    <w:rsid w:val="00D27B71"/>
    <w:rsid w:val="00D30033"/>
    <w:rsid w:val="00D30323"/>
    <w:rsid w:val="00D3046C"/>
    <w:rsid w:val="00D307CF"/>
    <w:rsid w:val="00D30AA5"/>
    <w:rsid w:val="00D30ACE"/>
    <w:rsid w:val="00D30BD3"/>
    <w:rsid w:val="00D30F7C"/>
    <w:rsid w:val="00D30FFC"/>
    <w:rsid w:val="00D311F0"/>
    <w:rsid w:val="00D313B3"/>
    <w:rsid w:val="00D314A2"/>
    <w:rsid w:val="00D3167B"/>
    <w:rsid w:val="00D31ABF"/>
    <w:rsid w:val="00D31CFE"/>
    <w:rsid w:val="00D32033"/>
    <w:rsid w:val="00D322D5"/>
    <w:rsid w:val="00D32603"/>
    <w:rsid w:val="00D329E6"/>
    <w:rsid w:val="00D32B21"/>
    <w:rsid w:val="00D33D8F"/>
    <w:rsid w:val="00D340C0"/>
    <w:rsid w:val="00D34ACC"/>
    <w:rsid w:val="00D34AF4"/>
    <w:rsid w:val="00D34EBB"/>
    <w:rsid w:val="00D34FDF"/>
    <w:rsid w:val="00D353C5"/>
    <w:rsid w:val="00D35C98"/>
    <w:rsid w:val="00D3696A"/>
    <w:rsid w:val="00D36DC9"/>
    <w:rsid w:val="00D36DE9"/>
    <w:rsid w:val="00D371EF"/>
    <w:rsid w:val="00D37357"/>
    <w:rsid w:val="00D37751"/>
    <w:rsid w:val="00D37972"/>
    <w:rsid w:val="00D37CA4"/>
    <w:rsid w:val="00D37D13"/>
    <w:rsid w:val="00D37D42"/>
    <w:rsid w:val="00D37E17"/>
    <w:rsid w:val="00D40067"/>
    <w:rsid w:val="00D40896"/>
    <w:rsid w:val="00D40D35"/>
    <w:rsid w:val="00D410E4"/>
    <w:rsid w:val="00D41534"/>
    <w:rsid w:val="00D4155F"/>
    <w:rsid w:val="00D4177A"/>
    <w:rsid w:val="00D41814"/>
    <w:rsid w:val="00D4183B"/>
    <w:rsid w:val="00D41B20"/>
    <w:rsid w:val="00D41B37"/>
    <w:rsid w:val="00D41C5C"/>
    <w:rsid w:val="00D41FB8"/>
    <w:rsid w:val="00D41FC7"/>
    <w:rsid w:val="00D423D2"/>
    <w:rsid w:val="00D42927"/>
    <w:rsid w:val="00D4299C"/>
    <w:rsid w:val="00D42CE3"/>
    <w:rsid w:val="00D43B0F"/>
    <w:rsid w:val="00D44016"/>
    <w:rsid w:val="00D440B2"/>
    <w:rsid w:val="00D442AD"/>
    <w:rsid w:val="00D44717"/>
    <w:rsid w:val="00D448BF"/>
    <w:rsid w:val="00D44971"/>
    <w:rsid w:val="00D44B32"/>
    <w:rsid w:val="00D44F9D"/>
    <w:rsid w:val="00D450EE"/>
    <w:rsid w:val="00D451FC"/>
    <w:rsid w:val="00D453BD"/>
    <w:rsid w:val="00D45A7E"/>
    <w:rsid w:val="00D45DC5"/>
    <w:rsid w:val="00D461D4"/>
    <w:rsid w:val="00D467A5"/>
    <w:rsid w:val="00D4680E"/>
    <w:rsid w:val="00D46C33"/>
    <w:rsid w:val="00D47D31"/>
    <w:rsid w:val="00D5060B"/>
    <w:rsid w:val="00D5097B"/>
    <w:rsid w:val="00D50CC1"/>
    <w:rsid w:val="00D50E85"/>
    <w:rsid w:val="00D50EAA"/>
    <w:rsid w:val="00D50F37"/>
    <w:rsid w:val="00D50F47"/>
    <w:rsid w:val="00D519B1"/>
    <w:rsid w:val="00D519FD"/>
    <w:rsid w:val="00D51C4E"/>
    <w:rsid w:val="00D5216A"/>
    <w:rsid w:val="00D5238F"/>
    <w:rsid w:val="00D52F78"/>
    <w:rsid w:val="00D539C9"/>
    <w:rsid w:val="00D53C26"/>
    <w:rsid w:val="00D53F67"/>
    <w:rsid w:val="00D53F99"/>
    <w:rsid w:val="00D541AA"/>
    <w:rsid w:val="00D54836"/>
    <w:rsid w:val="00D54E43"/>
    <w:rsid w:val="00D55073"/>
    <w:rsid w:val="00D55643"/>
    <w:rsid w:val="00D55815"/>
    <w:rsid w:val="00D55A8B"/>
    <w:rsid w:val="00D55D5F"/>
    <w:rsid w:val="00D55E0F"/>
    <w:rsid w:val="00D55EDD"/>
    <w:rsid w:val="00D563D6"/>
    <w:rsid w:val="00D56892"/>
    <w:rsid w:val="00D56894"/>
    <w:rsid w:val="00D56938"/>
    <w:rsid w:val="00D56A71"/>
    <w:rsid w:val="00D56DD8"/>
    <w:rsid w:val="00D56F4A"/>
    <w:rsid w:val="00D5700F"/>
    <w:rsid w:val="00D57176"/>
    <w:rsid w:val="00D5767F"/>
    <w:rsid w:val="00D579FE"/>
    <w:rsid w:val="00D57B35"/>
    <w:rsid w:val="00D57B49"/>
    <w:rsid w:val="00D600ED"/>
    <w:rsid w:val="00D6010C"/>
    <w:rsid w:val="00D6055A"/>
    <w:rsid w:val="00D605F0"/>
    <w:rsid w:val="00D6060D"/>
    <w:rsid w:val="00D60638"/>
    <w:rsid w:val="00D60C16"/>
    <w:rsid w:val="00D60F66"/>
    <w:rsid w:val="00D610E2"/>
    <w:rsid w:val="00D614DF"/>
    <w:rsid w:val="00D615DD"/>
    <w:rsid w:val="00D61D54"/>
    <w:rsid w:val="00D61F15"/>
    <w:rsid w:val="00D61FB0"/>
    <w:rsid w:val="00D62263"/>
    <w:rsid w:val="00D62348"/>
    <w:rsid w:val="00D62574"/>
    <w:rsid w:val="00D627AA"/>
    <w:rsid w:val="00D63892"/>
    <w:rsid w:val="00D63C48"/>
    <w:rsid w:val="00D63FF0"/>
    <w:rsid w:val="00D64289"/>
    <w:rsid w:val="00D643D4"/>
    <w:rsid w:val="00D644D7"/>
    <w:rsid w:val="00D64B35"/>
    <w:rsid w:val="00D64B53"/>
    <w:rsid w:val="00D64F6C"/>
    <w:rsid w:val="00D65178"/>
    <w:rsid w:val="00D65431"/>
    <w:rsid w:val="00D65F27"/>
    <w:rsid w:val="00D661BF"/>
    <w:rsid w:val="00D6667B"/>
    <w:rsid w:val="00D66E28"/>
    <w:rsid w:val="00D67030"/>
    <w:rsid w:val="00D6721D"/>
    <w:rsid w:val="00D673DA"/>
    <w:rsid w:val="00D67575"/>
    <w:rsid w:val="00D675F3"/>
    <w:rsid w:val="00D67727"/>
    <w:rsid w:val="00D67999"/>
    <w:rsid w:val="00D67D4A"/>
    <w:rsid w:val="00D67E8D"/>
    <w:rsid w:val="00D702BF"/>
    <w:rsid w:val="00D7045C"/>
    <w:rsid w:val="00D70497"/>
    <w:rsid w:val="00D70573"/>
    <w:rsid w:val="00D70766"/>
    <w:rsid w:val="00D70964"/>
    <w:rsid w:val="00D70DD2"/>
    <w:rsid w:val="00D71194"/>
    <w:rsid w:val="00D71400"/>
    <w:rsid w:val="00D7174E"/>
    <w:rsid w:val="00D71CCE"/>
    <w:rsid w:val="00D71D2E"/>
    <w:rsid w:val="00D72416"/>
    <w:rsid w:val="00D7290A"/>
    <w:rsid w:val="00D7296B"/>
    <w:rsid w:val="00D729AF"/>
    <w:rsid w:val="00D72CB3"/>
    <w:rsid w:val="00D73948"/>
    <w:rsid w:val="00D743DE"/>
    <w:rsid w:val="00D746EB"/>
    <w:rsid w:val="00D74A49"/>
    <w:rsid w:val="00D74AC2"/>
    <w:rsid w:val="00D74F75"/>
    <w:rsid w:val="00D74FDE"/>
    <w:rsid w:val="00D75660"/>
    <w:rsid w:val="00D756B4"/>
    <w:rsid w:val="00D7587E"/>
    <w:rsid w:val="00D75C88"/>
    <w:rsid w:val="00D7655E"/>
    <w:rsid w:val="00D766C1"/>
    <w:rsid w:val="00D768A0"/>
    <w:rsid w:val="00D76EBC"/>
    <w:rsid w:val="00D7728D"/>
    <w:rsid w:val="00D7769A"/>
    <w:rsid w:val="00D77B52"/>
    <w:rsid w:val="00D80053"/>
    <w:rsid w:val="00D80862"/>
    <w:rsid w:val="00D80B73"/>
    <w:rsid w:val="00D813BE"/>
    <w:rsid w:val="00D81635"/>
    <w:rsid w:val="00D81744"/>
    <w:rsid w:val="00D818F3"/>
    <w:rsid w:val="00D81B0C"/>
    <w:rsid w:val="00D824FA"/>
    <w:rsid w:val="00D8287B"/>
    <w:rsid w:val="00D82D12"/>
    <w:rsid w:val="00D82E32"/>
    <w:rsid w:val="00D83163"/>
    <w:rsid w:val="00D835AA"/>
    <w:rsid w:val="00D835FA"/>
    <w:rsid w:val="00D83633"/>
    <w:rsid w:val="00D8366C"/>
    <w:rsid w:val="00D83A34"/>
    <w:rsid w:val="00D83CE3"/>
    <w:rsid w:val="00D8441F"/>
    <w:rsid w:val="00D84716"/>
    <w:rsid w:val="00D84894"/>
    <w:rsid w:val="00D84B6C"/>
    <w:rsid w:val="00D84E54"/>
    <w:rsid w:val="00D858A5"/>
    <w:rsid w:val="00D858D4"/>
    <w:rsid w:val="00D85D63"/>
    <w:rsid w:val="00D867FB"/>
    <w:rsid w:val="00D86918"/>
    <w:rsid w:val="00D86C87"/>
    <w:rsid w:val="00D86E3E"/>
    <w:rsid w:val="00D873B7"/>
    <w:rsid w:val="00D87BFD"/>
    <w:rsid w:val="00D87CD2"/>
    <w:rsid w:val="00D87EDA"/>
    <w:rsid w:val="00D9054B"/>
    <w:rsid w:val="00D905D7"/>
    <w:rsid w:val="00D90B6B"/>
    <w:rsid w:val="00D90D1F"/>
    <w:rsid w:val="00D91215"/>
    <w:rsid w:val="00D9151F"/>
    <w:rsid w:val="00D91848"/>
    <w:rsid w:val="00D91AEB"/>
    <w:rsid w:val="00D91C77"/>
    <w:rsid w:val="00D91E95"/>
    <w:rsid w:val="00D92183"/>
    <w:rsid w:val="00D92209"/>
    <w:rsid w:val="00D927FE"/>
    <w:rsid w:val="00D938C1"/>
    <w:rsid w:val="00D93937"/>
    <w:rsid w:val="00D93BEE"/>
    <w:rsid w:val="00D93CA3"/>
    <w:rsid w:val="00D93D75"/>
    <w:rsid w:val="00D94281"/>
    <w:rsid w:val="00D95394"/>
    <w:rsid w:val="00D95BD2"/>
    <w:rsid w:val="00D96723"/>
    <w:rsid w:val="00D9689C"/>
    <w:rsid w:val="00D96A18"/>
    <w:rsid w:val="00D96A85"/>
    <w:rsid w:val="00D96B74"/>
    <w:rsid w:val="00D96CF3"/>
    <w:rsid w:val="00D96D86"/>
    <w:rsid w:val="00D9700D"/>
    <w:rsid w:val="00D970E7"/>
    <w:rsid w:val="00D970E8"/>
    <w:rsid w:val="00D97202"/>
    <w:rsid w:val="00D97413"/>
    <w:rsid w:val="00D97540"/>
    <w:rsid w:val="00D9781E"/>
    <w:rsid w:val="00D97DD4"/>
    <w:rsid w:val="00DA01E5"/>
    <w:rsid w:val="00DA032B"/>
    <w:rsid w:val="00DA0456"/>
    <w:rsid w:val="00DA05A4"/>
    <w:rsid w:val="00DA08A3"/>
    <w:rsid w:val="00DA0917"/>
    <w:rsid w:val="00DA0D4B"/>
    <w:rsid w:val="00DA0DA5"/>
    <w:rsid w:val="00DA1679"/>
    <w:rsid w:val="00DA1769"/>
    <w:rsid w:val="00DA1783"/>
    <w:rsid w:val="00DA1926"/>
    <w:rsid w:val="00DA1DE8"/>
    <w:rsid w:val="00DA21CD"/>
    <w:rsid w:val="00DA2390"/>
    <w:rsid w:val="00DA2398"/>
    <w:rsid w:val="00DA2527"/>
    <w:rsid w:val="00DA279E"/>
    <w:rsid w:val="00DA2A1D"/>
    <w:rsid w:val="00DA2E14"/>
    <w:rsid w:val="00DA30B5"/>
    <w:rsid w:val="00DA322D"/>
    <w:rsid w:val="00DA3C09"/>
    <w:rsid w:val="00DA3D08"/>
    <w:rsid w:val="00DA3F73"/>
    <w:rsid w:val="00DA431D"/>
    <w:rsid w:val="00DA4836"/>
    <w:rsid w:val="00DA4B36"/>
    <w:rsid w:val="00DA4D9A"/>
    <w:rsid w:val="00DA5315"/>
    <w:rsid w:val="00DA546D"/>
    <w:rsid w:val="00DA5535"/>
    <w:rsid w:val="00DA55BB"/>
    <w:rsid w:val="00DA56C2"/>
    <w:rsid w:val="00DA573A"/>
    <w:rsid w:val="00DA5838"/>
    <w:rsid w:val="00DA59E8"/>
    <w:rsid w:val="00DA5C03"/>
    <w:rsid w:val="00DA653E"/>
    <w:rsid w:val="00DA66FC"/>
    <w:rsid w:val="00DA678A"/>
    <w:rsid w:val="00DA6BCE"/>
    <w:rsid w:val="00DA6F00"/>
    <w:rsid w:val="00DA7355"/>
    <w:rsid w:val="00DA73EE"/>
    <w:rsid w:val="00DA7B4A"/>
    <w:rsid w:val="00DA7D67"/>
    <w:rsid w:val="00DA7FC2"/>
    <w:rsid w:val="00DB0036"/>
    <w:rsid w:val="00DB003F"/>
    <w:rsid w:val="00DB0A83"/>
    <w:rsid w:val="00DB0B34"/>
    <w:rsid w:val="00DB0D00"/>
    <w:rsid w:val="00DB104E"/>
    <w:rsid w:val="00DB131C"/>
    <w:rsid w:val="00DB18ED"/>
    <w:rsid w:val="00DB21DA"/>
    <w:rsid w:val="00DB2404"/>
    <w:rsid w:val="00DB2484"/>
    <w:rsid w:val="00DB2582"/>
    <w:rsid w:val="00DB2B54"/>
    <w:rsid w:val="00DB2EC6"/>
    <w:rsid w:val="00DB2F60"/>
    <w:rsid w:val="00DB38AB"/>
    <w:rsid w:val="00DB3A60"/>
    <w:rsid w:val="00DB3AFF"/>
    <w:rsid w:val="00DB40D0"/>
    <w:rsid w:val="00DB496D"/>
    <w:rsid w:val="00DB4D65"/>
    <w:rsid w:val="00DB5A11"/>
    <w:rsid w:val="00DB5D3F"/>
    <w:rsid w:val="00DB64BA"/>
    <w:rsid w:val="00DB6FB8"/>
    <w:rsid w:val="00DB705D"/>
    <w:rsid w:val="00DB71CA"/>
    <w:rsid w:val="00DB7C86"/>
    <w:rsid w:val="00DB7DE9"/>
    <w:rsid w:val="00DB7F14"/>
    <w:rsid w:val="00DB7F65"/>
    <w:rsid w:val="00DC07DD"/>
    <w:rsid w:val="00DC08C4"/>
    <w:rsid w:val="00DC09BB"/>
    <w:rsid w:val="00DC0F54"/>
    <w:rsid w:val="00DC127F"/>
    <w:rsid w:val="00DC1743"/>
    <w:rsid w:val="00DC18B9"/>
    <w:rsid w:val="00DC1929"/>
    <w:rsid w:val="00DC273B"/>
    <w:rsid w:val="00DC27DF"/>
    <w:rsid w:val="00DC2E1E"/>
    <w:rsid w:val="00DC31E6"/>
    <w:rsid w:val="00DC32C4"/>
    <w:rsid w:val="00DC381B"/>
    <w:rsid w:val="00DC3DA7"/>
    <w:rsid w:val="00DC404D"/>
    <w:rsid w:val="00DC4544"/>
    <w:rsid w:val="00DC47E7"/>
    <w:rsid w:val="00DC4CC9"/>
    <w:rsid w:val="00DC4CEA"/>
    <w:rsid w:val="00DC4FFB"/>
    <w:rsid w:val="00DC524E"/>
    <w:rsid w:val="00DC5E18"/>
    <w:rsid w:val="00DC66C7"/>
    <w:rsid w:val="00DC6CBE"/>
    <w:rsid w:val="00DC6F32"/>
    <w:rsid w:val="00DC7473"/>
    <w:rsid w:val="00DC7746"/>
    <w:rsid w:val="00DC7848"/>
    <w:rsid w:val="00DD08BB"/>
    <w:rsid w:val="00DD152C"/>
    <w:rsid w:val="00DD1869"/>
    <w:rsid w:val="00DD1928"/>
    <w:rsid w:val="00DD1F38"/>
    <w:rsid w:val="00DD2213"/>
    <w:rsid w:val="00DD2229"/>
    <w:rsid w:val="00DD2365"/>
    <w:rsid w:val="00DD2409"/>
    <w:rsid w:val="00DD2838"/>
    <w:rsid w:val="00DD2F3D"/>
    <w:rsid w:val="00DD3049"/>
    <w:rsid w:val="00DD30CC"/>
    <w:rsid w:val="00DD373C"/>
    <w:rsid w:val="00DD387D"/>
    <w:rsid w:val="00DD3C31"/>
    <w:rsid w:val="00DD4AB8"/>
    <w:rsid w:val="00DD535A"/>
    <w:rsid w:val="00DD5714"/>
    <w:rsid w:val="00DD5833"/>
    <w:rsid w:val="00DD5ED9"/>
    <w:rsid w:val="00DD6174"/>
    <w:rsid w:val="00DD624A"/>
    <w:rsid w:val="00DD6332"/>
    <w:rsid w:val="00DD6584"/>
    <w:rsid w:val="00DD671C"/>
    <w:rsid w:val="00DD67A5"/>
    <w:rsid w:val="00DD6972"/>
    <w:rsid w:val="00DD6D06"/>
    <w:rsid w:val="00DD6ECC"/>
    <w:rsid w:val="00DD704E"/>
    <w:rsid w:val="00DD73CA"/>
    <w:rsid w:val="00DD754E"/>
    <w:rsid w:val="00DD7812"/>
    <w:rsid w:val="00DD7DA3"/>
    <w:rsid w:val="00DD7EE0"/>
    <w:rsid w:val="00DE06B3"/>
    <w:rsid w:val="00DE1087"/>
    <w:rsid w:val="00DE18FC"/>
    <w:rsid w:val="00DE1B96"/>
    <w:rsid w:val="00DE1CDC"/>
    <w:rsid w:val="00DE1F52"/>
    <w:rsid w:val="00DE20A2"/>
    <w:rsid w:val="00DE268E"/>
    <w:rsid w:val="00DE30E2"/>
    <w:rsid w:val="00DE3158"/>
    <w:rsid w:val="00DE343C"/>
    <w:rsid w:val="00DE3532"/>
    <w:rsid w:val="00DE35A0"/>
    <w:rsid w:val="00DE3760"/>
    <w:rsid w:val="00DE3A9A"/>
    <w:rsid w:val="00DE3B42"/>
    <w:rsid w:val="00DE3EAB"/>
    <w:rsid w:val="00DE3FF6"/>
    <w:rsid w:val="00DE42A0"/>
    <w:rsid w:val="00DE4652"/>
    <w:rsid w:val="00DE46C7"/>
    <w:rsid w:val="00DE477A"/>
    <w:rsid w:val="00DE4FD5"/>
    <w:rsid w:val="00DE5333"/>
    <w:rsid w:val="00DE587D"/>
    <w:rsid w:val="00DE613C"/>
    <w:rsid w:val="00DE6421"/>
    <w:rsid w:val="00DE6CED"/>
    <w:rsid w:val="00DE706B"/>
    <w:rsid w:val="00DE74A7"/>
    <w:rsid w:val="00DF0082"/>
    <w:rsid w:val="00DF02C5"/>
    <w:rsid w:val="00DF04BB"/>
    <w:rsid w:val="00DF05C1"/>
    <w:rsid w:val="00DF0689"/>
    <w:rsid w:val="00DF0901"/>
    <w:rsid w:val="00DF0EA5"/>
    <w:rsid w:val="00DF0F10"/>
    <w:rsid w:val="00DF12A3"/>
    <w:rsid w:val="00DF1456"/>
    <w:rsid w:val="00DF16C0"/>
    <w:rsid w:val="00DF1A90"/>
    <w:rsid w:val="00DF1ECA"/>
    <w:rsid w:val="00DF2A52"/>
    <w:rsid w:val="00DF2C14"/>
    <w:rsid w:val="00DF2D1A"/>
    <w:rsid w:val="00DF2D46"/>
    <w:rsid w:val="00DF323F"/>
    <w:rsid w:val="00DF33A6"/>
    <w:rsid w:val="00DF3A42"/>
    <w:rsid w:val="00DF3B71"/>
    <w:rsid w:val="00DF46C7"/>
    <w:rsid w:val="00DF47D7"/>
    <w:rsid w:val="00DF49CE"/>
    <w:rsid w:val="00DF4B73"/>
    <w:rsid w:val="00DF548B"/>
    <w:rsid w:val="00DF5736"/>
    <w:rsid w:val="00DF5FF7"/>
    <w:rsid w:val="00DF678F"/>
    <w:rsid w:val="00DF67DC"/>
    <w:rsid w:val="00DF6876"/>
    <w:rsid w:val="00DF6FD5"/>
    <w:rsid w:val="00DF70CC"/>
    <w:rsid w:val="00DF7284"/>
    <w:rsid w:val="00DF72A8"/>
    <w:rsid w:val="00DF733E"/>
    <w:rsid w:val="00DF7D25"/>
    <w:rsid w:val="00E00109"/>
    <w:rsid w:val="00E007A8"/>
    <w:rsid w:val="00E00B50"/>
    <w:rsid w:val="00E00B55"/>
    <w:rsid w:val="00E01465"/>
    <w:rsid w:val="00E01494"/>
    <w:rsid w:val="00E015BC"/>
    <w:rsid w:val="00E01A3F"/>
    <w:rsid w:val="00E01CEF"/>
    <w:rsid w:val="00E01D22"/>
    <w:rsid w:val="00E01E0B"/>
    <w:rsid w:val="00E020AB"/>
    <w:rsid w:val="00E0242B"/>
    <w:rsid w:val="00E02B0C"/>
    <w:rsid w:val="00E02EAF"/>
    <w:rsid w:val="00E03295"/>
    <w:rsid w:val="00E034EA"/>
    <w:rsid w:val="00E041E4"/>
    <w:rsid w:val="00E0502C"/>
    <w:rsid w:val="00E050AF"/>
    <w:rsid w:val="00E050D8"/>
    <w:rsid w:val="00E05250"/>
    <w:rsid w:val="00E055FB"/>
    <w:rsid w:val="00E05877"/>
    <w:rsid w:val="00E05DBA"/>
    <w:rsid w:val="00E05FBC"/>
    <w:rsid w:val="00E06A32"/>
    <w:rsid w:val="00E06E62"/>
    <w:rsid w:val="00E070C5"/>
    <w:rsid w:val="00E07959"/>
    <w:rsid w:val="00E07F34"/>
    <w:rsid w:val="00E10201"/>
    <w:rsid w:val="00E10B7D"/>
    <w:rsid w:val="00E10FEC"/>
    <w:rsid w:val="00E11051"/>
    <w:rsid w:val="00E1147C"/>
    <w:rsid w:val="00E11485"/>
    <w:rsid w:val="00E115FE"/>
    <w:rsid w:val="00E11796"/>
    <w:rsid w:val="00E11E5C"/>
    <w:rsid w:val="00E12030"/>
    <w:rsid w:val="00E120BD"/>
    <w:rsid w:val="00E127A1"/>
    <w:rsid w:val="00E12AAC"/>
    <w:rsid w:val="00E13186"/>
    <w:rsid w:val="00E13B38"/>
    <w:rsid w:val="00E13C26"/>
    <w:rsid w:val="00E1441C"/>
    <w:rsid w:val="00E14479"/>
    <w:rsid w:val="00E14562"/>
    <w:rsid w:val="00E14796"/>
    <w:rsid w:val="00E147EC"/>
    <w:rsid w:val="00E1505F"/>
    <w:rsid w:val="00E150EB"/>
    <w:rsid w:val="00E151B0"/>
    <w:rsid w:val="00E1531E"/>
    <w:rsid w:val="00E1565C"/>
    <w:rsid w:val="00E15675"/>
    <w:rsid w:val="00E15C3C"/>
    <w:rsid w:val="00E15D85"/>
    <w:rsid w:val="00E15E78"/>
    <w:rsid w:val="00E168D3"/>
    <w:rsid w:val="00E169CA"/>
    <w:rsid w:val="00E16A7A"/>
    <w:rsid w:val="00E170AE"/>
    <w:rsid w:val="00E17478"/>
    <w:rsid w:val="00E17B05"/>
    <w:rsid w:val="00E17D7E"/>
    <w:rsid w:val="00E20276"/>
    <w:rsid w:val="00E20705"/>
    <w:rsid w:val="00E20B42"/>
    <w:rsid w:val="00E211B4"/>
    <w:rsid w:val="00E213DE"/>
    <w:rsid w:val="00E21626"/>
    <w:rsid w:val="00E21C95"/>
    <w:rsid w:val="00E21F7D"/>
    <w:rsid w:val="00E221EC"/>
    <w:rsid w:val="00E22557"/>
    <w:rsid w:val="00E2267B"/>
    <w:rsid w:val="00E227EA"/>
    <w:rsid w:val="00E22881"/>
    <w:rsid w:val="00E22D91"/>
    <w:rsid w:val="00E22DDE"/>
    <w:rsid w:val="00E2319F"/>
    <w:rsid w:val="00E23426"/>
    <w:rsid w:val="00E23660"/>
    <w:rsid w:val="00E236E3"/>
    <w:rsid w:val="00E23A2A"/>
    <w:rsid w:val="00E23F92"/>
    <w:rsid w:val="00E24358"/>
    <w:rsid w:val="00E24AF0"/>
    <w:rsid w:val="00E24C86"/>
    <w:rsid w:val="00E24D3F"/>
    <w:rsid w:val="00E2518B"/>
    <w:rsid w:val="00E25A18"/>
    <w:rsid w:val="00E25A1F"/>
    <w:rsid w:val="00E25AB9"/>
    <w:rsid w:val="00E26339"/>
    <w:rsid w:val="00E264A6"/>
    <w:rsid w:val="00E26CEB"/>
    <w:rsid w:val="00E26E55"/>
    <w:rsid w:val="00E2761D"/>
    <w:rsid w:val="00E27C0E"/>
    <w:rsid w:val="00E27EA2"/>
    <w:rsid w:val="00E3005A"/>
    <w:rsid w:val="00E301F0"/>
    <w:rsid w:val="00E3031D"/>
    <w:rsid w:val="00E30A61"/>
    <w:rsid w:val="00E30D6A"/>
    <w:rsid w:val="00E30DF2"/>
    <w:rsid w:val="00E3107B"/>
    <w:rsid w:val="00E31326"/>
    <w:rsid w:val="00E31A1E"/>
    <w:rsid w:val="00E31B9C"/>
    <w:rsid w:val="00E31CDE"/>
    <w:rsid w:val="00E32169"/>
    <w:rsid w:val="00E32406"/>
    <w:rsid w:val="00E32783"/>
    <w:rsid w:val="00E32C18"/>
    <w:rsid w:val="00E33200"/>
    <w:rsid w:val="00E33518"/>
    <w:rsid w:val="00E3361B"/>
    <w:rsid w:val="00E33B93"/>
    <w:rsid w:val="00E33CB2"/>
    <w:rsid w:val="00E34004"/>
    <w:rsid w:val="00E34286"/>
    <w:rsid w:val="00E3446A"/>
    <w:rsid w:val="00E34484"/>
    <w:rsid w:val="00E34647"/>
    <w:rsid w:val="00E34729"/>
    <w:rsid w:val="00E34AFF"/>
    <w:rsid w:val="00E34F5F"/>
    <w:rsid w:val="00E35055"/>
    <w:rsid w:val="00E35158"/>
    <w:rsid w:val="00E3533C"/>
    <w:rsid w:val="00E354A8"/>
    <w:rsid w:val="00E35B55"/>
    <w:rsid w:val="00E35F6E"/>
    <w:rsid w:val="00E36373"/>
    <w:rsid w:val="00E368D8"/>
    <w:rsid w:val="00E369D4"/>
    <w:rsid w:val="00E37006"/>
    <w:rsid w:val="00E37424"/>
    <w:rsid w:val="00E37442"/>
    <w:rsid w:val="00E37930"/>
    <w:rsid w:val="00E4000A"/>
    <w:rsid w:val="00E403A0"/>
    <w:rsid w:val="00E40541"/>
    <w:rsid w:val="00E405BE"/>
    <w:rsid w:val="00E40D2B"/>
    <w:rsid w:val="00E40EDE"/>
    <w:rsid w:val="00E41039"/>
    <w:rsid w:val="00E41495"/>
    <w:rsid w:val="00E41A6F"/>
    <w:rsid w:val="00E41B4B"/>
    <w:rsid w:val="00E424B5"/>
    <w:rsid w:val="00E4262C"/>
    <w:rsid w:val="00E429AC"/>
    <w:rsid w:val="00E4311B"/>
    <w:rsid w:val="00E43237"/>
    <w:rsid w:val="00E434B3"/>
    <w:rsid w:val="00E435C5"/>
    <w:rsid w:val="00E439C3"/>
    <w:rsid w:val="00E43A5B"/>
    <w:rsid w:val="00E43EA5"/>
    <w:rsid w:val="00E43EBC"/>
    <w:rsid w:val="00E44B3F"/>
    <w:rsid w:val="00E44C0B"/>
    <w:rsid w:val="00E44D63"/>
    <w:rsid w:val="00E44FF4"/>
    <w:rsid w:val="00E45180"/>
    <w:rsid w:val="00E45305"/>
    <w:rsid w:val="00E45325"/>
    <w:rsid w:val="00E45433"/>
    <w:rsid w:val="00E4564E"/>
    <w:rsid w:val="00E456A0"/>
    <w:rsid w:val="00E45B03"/>
    <w:rsid w:val="00E45E7E"/>
    <w:rsid w:val="00E45F5A"/>
    <w:rsid w:val="00E466FD"/>
    <w:rsid w:val="00E46913"/>
    <w:rsid w:val="00E46AC9"/>
    <w:rsid w:val="00E46BBA"/>
    <w:rsid w:val="00E46F36"/>
    <w:rsid w:val="00E474DE"/>
    <w:rsid w:val="00E476E2"/>
    <w:rsid w:val="00E477C6"/>
    <w:rsid w:val="00E479C6"/>
    <w:rsid w:val="00E47A1F"/>
    <w:rsid w:val="00E47F68"/>
    <w:rsid w:val="00E500E2"/>
    <w:rsid w:val="00E50753"/>
    <w:rsid w:val="00E50C56"/>
    <w:rsid w:val="00E515AF"/>
    <w:rsid w:val="00E51AE4"/>
    <w:rsid w:val="00E51E77"/>
    <w:rsid w:val="00E51FC7"/>
    <w:rsid w:val="00E52194"/>
    <w:rsid w:val="00E52255"/>
    <w:rsid w:val="00E5240C"/>
    <w:rsid w:val="00E5248B"/>
    <w:rsid w:val="00E526D9"/>
    <w:rsid w:val="00E529CB"/>
    <w:rsid w:val="00E52B1D"/>
    <w:rsid w:val="00E52B2F"/>
    <w:rsid w:val="00E531A0"/>
    <w:rsid w:val="00E5323E"/>
    <w:rsid w:val="00E53407"/>
    <w:rsid w:val="00E53410"/>
    <w:rsid w:val="00E534C6"/>
    <w:rsid w:val="00E53822"/>
    <w:rsid w:val="00E5385F"/>
    <w:rsid w:val="00E53DB6"/>
    <w:rsid w:val="00E53E47"/>
    <w:rsid w:val="00E54100"/>
    <w:rsid w:val="00E546D0"/>
    <w:rsid w:val="00E54701"/>
    <w:rsid w:val="00E54ACA"/>
    <w:rsid w:val="00E54D89"/>
    <w:rsid w:val="00E54FB3"/>
    <w:rsid w:val="00E551E8"/>
    <w:rsid w:val="00E55286"/>
    <w:rsid w:val="00E55904"/>
    <w:rsid w:val="00E55B58"/>
    <w:rsid w:val="00E55E72"/>
    <w:rsid w:val="00E56173"/>
    <w:rsid w:val="00E564D7"/>
    <w:rsid w:val="00E566BE"/>
    <w:rsid w:val="00E569BD"/>
    <w:rsid w:val="00E56B04"/>
    <w:rsid w:val="00E56E48"/>
    <w:rsid w:val="00E56FAB"/>
    <w:rsid w:val="00E57521"/>
    <w:rsid w:val="00E57691"/>
    <w:rsid w:val="00E57CE3"/>
    <w:rsid w:val="00E57D9C"/>
    <w:rsid w:val="00E57FEC"/>
    <w:rsid w:val="00E60005"/>
    <w:rsid w:val="00E60057"/>
    <w:rsid w:val="00E600DA"/>
    <w:rsid w:val="00E6031A"/>
    <w:rsid w:val="00E6034E"/>
    <w:rsid w:val="00E6041B"/>
    <w:rsid w:val="00E60616"/>
    <w:rsid w:val="00E609FE"/>
    <w:rsid w:val="00E60A1B"/>
    <w:rsid w:val="00E60BB9"/>
    <w:rsid w:val="00E60CB1"/>
    <w:rsid w:val="00E6153F"/>
    <w:rsid w:val="00E6157A"/>
    <w:rsid w:val="00E620A9"/>
    <w:rsid w:val="00E62170"/>
    <w:rsid w:val="00E622E2"/>
    <w:rsid w:val="00E628DC"/>
    <w:rsid w:val="00E62C74"/>
    <w:rsid w:val="00E62D33"/>
    <w:rsid w:val="00E62DC9"/>
    <w:rsid w:val="00E62E4C"/>
    <w:rsid w:val="00E6346D"/>
    <w:rsid w:val="00E6387B"/>
    <w:rsid w:val="00E64002"/>
    <w:rsid w:val="00E6440D"/>
    <w:rsid w:val="00E64D0D"/>
    <w:rsid w:val="00E656BC"/>
    <w:rsid w:val="00E657C3"/>
    <w:rsid w:val="00E65C15"/>
    <w:rsid w:val="00E65F3E"/>
    <w:rsid w:val="00E6606A"/>
    <w:rsid w:val="00E660F9"/>
    <w:rsid w:val="00E665B9"/>
    <w:rsid w:val="00E66614"/>
    <w:rsid w:val="00E66881"/>
    <w:rsid w:val="00E66924"/>
    <w:rsid w:val="00E66B34"/>
    <w:rsid w:val="00E670E6"/>
    <w:rsid w:val="00E671FB"/>
    <w:rsid w:val="00E673CF"/>
    <w:rsid w:val="00E6758D"/>
    <w:rsid w:val="00E678C4"/>
    <w:rsid w:val="00E70305"/>
    <w:rsid w:val="00E7068C"/>
    <w:rsid w:val="00E70C1D"/>
    <w:rsid w:val="00E70CBF"/>
    <w:rsid w:val="00E70CD0"/>
    <w:rsid w:val="00E714FA"/>
    <w:rsid w:val="00E716A1"/>
    <w:rsid w:val="00E7176C"/>
    <w:rsid w:val="00E71CEB"/>
    <w:rsid w:val="00E71F75"/>
    <w:rsid w:val="00E72594"/>
    <w:rsid w:val="00E72611"/>
    <w:rsid w:val="00E730C5"/>
    <w:rsid w:val="00E7398B"/>
    <w:rsid w:val="00E73D68"/>
    <w:rsid w:val="00E74154"/>
    <w:rsid w:val="00E74647"/>
    <w:rsid w:val="00E74825"/>
    <w:rsid w:val="00E752C6"/>
    <w:rsid w:val="00E758F0"/>
    <w:rsid w:val="00E759BE"/>
    <w:rsid w:val="00E76659"/>
    <w:rsid w:val="00E766FE"/>
    <w:rsid w:val="00E76A74"/>
    <w:rsid w:val="00E76D06"/>
    <w:rsid w:val="00E777A6"/>
    <w:rsid w:val="00E778EE"/>
    <w:rsid w:val="00E77982"/>
    <w:rsid w:val="00E77CBF"/>
    <w:rsid w:val="00E80035"/>
    <w:rsid w:val="00E807D1"/>
    <w:rsid w:val="00E80931"/>
    <w:rsid w:val="00E80995"/>
    <w:rsid w:val="00E8167F"/>
    <w:rsid w:val="00E81774"/>
    <w:rsid w:val="00E819A9"/>
    <w:rsid w:val="00E819FC"/>
    <w:rsid w:val="00E81A75"/>
    <w:rsid w:val="00E81AB0"/>
    <w:rsid w:val="00E81F43"/>
    <w:rsid w:val="00E8203C"/>
    <w:rsid w:val="00E82571"/>
    <w:rsid w:val="00E8269B"/>
    <w:rsid w:val="00E826BB"/>
    <w:rsid w:val="00E82B46"/>
    <w:rsid w:val="00E82BB5"/>
    <w:rsid w:val="00E830AC"/>
    <w:rsid w:val="00E83228"/>
    <w:rsid w:val="00E8324E"/>
    <w:rsid w:val="00E8381F"/>
    <w:rsid w:val="00E83823"/>
    <w:rsid w:val="00E8412E"/>
    <w:rsid w:val="00E8429D"/>
    <w:rsid w:val="00E84703"/>
    <w:rsid w:val="00E847EB"/>
    <w:rsid w:val="00E84B16"/>
    <w:rsid w:val="00E84B41"/>
    <w:rsid w:val="00E84CAF"/>
    <w:rsid w:val="00E84F5A"/>
    <w:rsid w:val="00E850AD"/>
    <w:rsid w:val="00E8513B"/>
    <w:rsid w:val="00E853A1"/>
    <w:rsid w:val="00E853BD"/>
    <w:rsid w:val="00E85860"/>
    <w:rsid w:val="00E858A3"/>
    <w:rsid w:val="00E85CEB"/>
    <w:rsid w:val="00E85DC8"/>
    <w:rsid w:val="00E85FAB"/>
    <w:rsid w:val="00E86711"/>
    <w:rsid w:val="00E8677B"/>
    <w:rsid w:val="00E86D40"/>
    <w:rsid w:val="00E86F16"/>
    <w:rsid w:val="00E87215"/>
    <w:rsid w:val="00E872DB"/>
    <w:rsid w:val="00E87692"/>
    <w:rsid w:val="00E8793C"/>
    <w:rsid w:val="00E87A22"/>
    <w:rsid w:val="00E87B11"/>
    <w:rsid w:val="00E902D8"/>
    <w:rsid w:val="00E902E4"/>
    <w:rsid w:val="00E90830"/>
    <w:rsid w:val="00E90BD3"/>
    <w:rsid w:val="00E91064"/>
    <w:rsid w:val="00E91311"/>
    <w:rsid w:val="00E91518"/>
    <w:rsid w:val="00E915D3"/>
    <w:rsid w:val="00E91626"/>
    <w:rsid w:val="00E91946"/>
    <w:rsid w:val="00E92510"/>
    <w:rsid w:val="00E92B30"/>
    <w:rsid w:val="00E92E45"/>
    <w:rsid w:val="00E930FA"/>
    <w:rsid w:val="00E93202"/>
    <w:rsid w:val="00E933B6"/>
    <w:rsid w:val="00E937EC"/>
    <w:rsid w:val="00E93937"/>
    <w:rsid w:val="00E93A93"/>
    <w:rsid w:val="00E93B5E"/>
    <w:rsid w:val="00E93CF8"/>
    <w:rsid w:val="00E93D7D"/>
    <w:rsid w:val="00E940C0"/>
    <w:rsid w:val="00E94250"/>
    <w:rsid w:val="00E9472D"/>
    <w:rsid w:val="00E952F2"/>
    <w:rsid w:val="00E9541C"/>
    <w:rsid w:val="00E96133"/>
    <w:rsid w:val="00E961C1"/>
    <w:rsid w:val="00E96570"/>
    <w:rsid w:val="00E96603"/>
    <w:rsid w:val="00E976DF"/>
    <w:rsid w:val="00E97BD7"/>
    <w:rsid w:val="00EA00B7"/>
    <w:rsid w:val="00EA01A1"/>
    <w:rsid w:val="00EA02A7"/>
    <w:rsid w:val="00EA02E6"/>
    <w:rsid w:val="00EA032E"/>
    <w:rsid w:val="00EA0835"/>
    <w:rsid w:val="00EA0D94"/>
    <w:rsid w:val="00EA0F33"/>
    <w:rsid w:val="00EA1027"/>
    <w:rsid w:val="00EA1367"/>
    <w:rsid w:val="00EA1417"/>
    <w:rsid w:val="00EA1B29"/>
    <w:rsid w:val="00EA1E6D"/>
    <w:rsid w:val="00EA21F6"/>
    <w:rsid w:val="00EA28C8"/>
    <w:rsid w:val="00EA2B07"/>
    <w:rsid w:val="00EA2C6B"/>
    <w:rsid w:val="00EA326E"/>
    <w:rsid w:val="00EA3288"/>
    <w:rsid w:val="00EA344A"/>
    <w:rsid w:val="00EA35F9"/>
    <w:rsid w:val="00EA36C7"/>
    <w:rsid w:val="00EA3A4D"/>
    <w:rsid w:val="00EA3A5A"/>
    <w:rsid w:val="00EA3D53"/>
    <w:rsid w:val="00EA3FAF"/>
    <w:rsid w:val="00EA4369"/>
    <w:rsid w:val="00EA47DA"/>
    <w:rsid w:val="00EA4B65"/>
    <w:rsid w:val="00EA4CAB"/>
    <w:rsid w:val="00EA529A"/>
    <w:rsid w:val="00EA5552"/>
    <w:rsid w:val="00EA56BD"/>
    <w:rsid w:val="00EA584C"/>
    <w:rsid w:val="00EA5F86"/>
    <w:rsid w:val="00EA655D"/>
    <w:rsid w:val="00EA66E6"/>
    <w:rsid w:val="00EA6856"/>
    <w:rsid w:val="00EA696B"/>
    <w:rsid w:val="00EA6B25"/>
    <w:rsid w:val="00EA701D"/>
    <w:rsid w:val="00EA7281"/>
    <w:rsid w:val="00EB0167"/>
    <w:rsid w:val="00EB01CB"/>
    <w:rsid w:val="00EB023F"/>
    <w:rsid w:val="00EB051B"/>
    <w:rsid w:val="00EB07FF"/>
    <w:rsid w:val="00EB091B"/>
    <w:rsid w:val="00EB0C15"/>
    <w:rsid w:val="00EB0C59"/>
    <w:rsid w:val="00EB14E3"/>
    <w:rsid w:val="00EB20BB"/>
    <w:rsid w:val="00EB2186"/>
    <w:rsid w:val="00EB23D2"/>
    <w:rsid w:val="00EB295A"/>
    <w:rsid w:val="00EB2CF1"/>
    <w:rsid w:val="00EB2D09"/>
    <w:rsid w:val="00EB30DB"/>
    <w:rsid w:val="00EB360C"/>
    <w:rsid w:val="00EB396F"/>
    <w:rsid w:val="00EB3C67"/>
    <w:rsid w:val="00EB3D08"/>
    <w:rsid w:val="00EB3D32"/>
    <w:rsid w:val="00EB3F0F"/>
    <w:rsid w:val="00EB426B"/>
    <w:rsid w:val="00EB47B0"/>
    <w:rsid w:val="00EB4E02"/>
    <w:rsid w:val="00EB4F9F"/>
    <w:rsid w:val="00EB5067"/>
    <w:rsid w:val="00EB5242"/>
    <w:rsid w:val="00EB563B"/>
    <w:rsid w:val="00EB574C"/>
    <w:rsid w:val="00EB5E6D"/>
    <w:rsid w:val="00EB6504"/>
    <w:rsid w:val="00EB65E9"/>
    <w:rsid w:val="00EB6675"/>
    <w:rsid w:val="00EB7639"/>
    <w:rsid w:val="00EB7852"/>
    <w:rsid w:val="00EC0529"/>
    <w:rsid w:val="00EC0755"/>
    <w:rsid w:val="00EC07B4"/>
    <w:rsid w:val="00EC092B"/>
    <w:rsid w:val="00EC0DAE"/>
    <w:rsid w:val="00EC1014"/>
    <w:rsid w:val="00EC136D"/>
    <w:rsid w:val="00EC1504"/>
    <w:rsid w:val="00EC16B5"/>
    <w:rsid w:val="00EC1BB1"/>
    <w:rsid w:val="00EC1CC4"/>
    <w:rsid w:val="00EC1D8F"/>
    <w:rsid w:val="00EC29B5"/>
    <w:rsid w:val="00EC2C6C"/>
    <w:rsid w:val="00EC2F8E"/>
    <w:rsid w:val="00EC300D"/>
    <w:rsid w:val="00EC32A5"/>
    <w:rsid w:val="00EC36FA"/>
    <w:rsid w:val="00EC3C93"/>
    <w:rsid w:val="00EC3E47"/>
    <w:rsid w:val="00EC3E6F"/>
    <w:rsid w:val="00EC4064"/>
    <w:rsid w:val="00EC4162"/>
    <w:rsid w:val="00EC423D"/>
    <w:rsid w:val="00EC4716"/>
    <w:rsid w:val="00EC4758"/>
    <w:rsid w:val="00EC4932"/>
    <w:rsid w:val="00EC4A4A"/>
    <w:rsid w:val="00EC4EA5"/>
    <w:rsid w:val="00EC504E"/>
    <w:rsid w:val="00EC535D"/>
    <w:rsid w:val="00EC541A"/>
    <w:rsid w:val="00EC577B"/>
    <w:rsid w:val="00EC57D3"/>
    <w:rsid w:val="00EC5D74"/>
    <w:rsid w:val="00EC5EB6"/>
    <w:rsid w:val="00EC651B"/>
    <w:rsid w:val="00EC671C"/>
    <w:rsid w:val="00EC6741"/>
    <w:rsid w:val="00EC689A"/>
    <w:rsid w:val="00EC6959"/>
    <w:rsid w:val="00EC6C84"/>
    <w:rsid w:val="00EC757D"/>
    <w:rsid w:val="00EC77EC"/>
    <w:rsid w:val="00EC7866"/>
    <w:rsid w:val="00EC7BEA"/>
    <w:rsid w:val="00EC7C38"/>
    <w:rsid w:val="00EC7E7E"/>
    <w:rsid w:val="00ED00F3"/>
    <w:rsid w:val="00ED08CD"/>
    <w:rsid w:val="00ED0958"/>
    <w:rsid w:val="00ED0D02"/>
    <w:rsid w:val="00ED0EF9"/>
    <w:rsid w:val="00ED12BF"/>
    <w:rsid w:val="00ED1354"/>
    <w:rsid w:val="00ED13F4"/>
    <w:rsid w:val="00ED1432"/>
    <w:rsid w:val="00ED15DD"/>
    <w:rsid w:val="00ED1D82"/>
    <w:rsid w:val="00ED1EA3"/>
    <w:rsid w:val="00ED1EEA"/>
    <w:rsid w:val="00ED20E0"/>
    <w:rsid w:val="00ED29A2"/>
    <w:rsid w:val="00ED2B72"/>
    <w:rsid w:val="00ED38C1"/>
    <w:rsid w:val="00ED3E76"/>
    <w:rsid w:val="00ED40B7"/>
    <w:rsid w:val="00ED43EE"/>
    <w:rsid w:val="00ED457F"/>
    <w:rsid w:val="00ED47F3"/>
    <w:rsid w:val="00ED483E"/>
    <w:rsid w:val="00ED4970"/>
    <w:rsid w:val="00ED5042"/>
    <w:rsid w:val="00ED50A1"/>
    <w:rsid w:val="00ED50B5"/>
    <w:rsid w:val="00ED50F3"/>
    <w:rsid w:val="00ED5422"/>
    <w:rsid w:val="00ED5BB3"/>
    <w:rsid w:val="00ED5D59"/>
    <w:rsid w:val="00ED5D95"/>
    <w:rsid w:val="00ED5DE9"/>
    <w:rsid w:val="00ED630B"/>
    <w:rsid w:val="00ED63AA"/>
    <w:rsid w:val="00ED66D0"/>
    <w:rsid w:val="00ED68B5"/>
    <w:rsid w:val="00ED694B"/>
    <w:rsid w:val="00ED7509"/>
    <w:rsid w:val="00ED78D8"/>
    <w:rsid w:val="00ED7997"/>
    <w:rsid w:val="00EE0533"/>
    <w:rsid w:val="00EE06C9"/>
    <w:rsid w:val="00EE06E3"/>
    <w:rsid w:val="00EE0DFA"/>
    <w:rsid w:val="00EE0FD3"/>
    <w:rsid w:val="00EE1BEE"/>
    <w:rsid w:val="00EE1C57"/>
    <w:rsid w:val="00EE1E08"/>
    <w:rsid w:val="00EE1ED9"/>
    <w:rsid w:val="00EE238E"/>
    <w:rsid w:val="00EE2852"/>
    <w:rsid w:val="00EE3051"/>
    <w:rsid w:val="00EE30C8"/>
    <w:rsid w:val="00EE3BE6"/>
    <w:rsid w:val="00EE3CF5"/>
    <w:rsid w:val="00EE40D3"/>
    <w:rsid w:val="00EE4312"/>
    <w:rsid w:val="00EE4F8C"/>
    <w:rsid w:val="00EE5014"/>
    <w:rsid w:val="00EE5065"/>
    <w:rsid w:val="00EE5F83"/>
    <w:rsid w:val="00EE6458"/>
    <w:rsid w:val="00EE65F2"/>
    <w:rsid w:val="00EE6647"/>
    <w:rsid w:val="00EE6652"/>
    <w:rsid w:val="00EE6C5D"/>
    <w:rsid w:val="00EE6F45"/>
    <w:rsid w:val="00EE7208"/>
    <w:rsid w:val="00EE758F"/>
    <w:rsid w:val="00EE7781"/>
    <w:rsid w:val="00EE798A"/>
    <w:rsid w:val="00EF0064"/>
    <w:rsid w:val="00EF0E54"/>
    <w:rsid w:val="00EF0F08"/>
    <w:rsid w:val="00EF1208"/>
    <w:rsid w:val="00EF1401"/>
    <w:rsid w:val="00EF1684"/>
    <w:rsid w:val="00EF1C51"/>
    <w:rsid w:val="00EF1D8F"/>
    <w:rsid w:val="00EF20F7"/>
    <w:rsid w:val="00EF2426"/>
    <w:rsid w:val="00EF267C"/>
    <w:rsid w:val="00EF27B6"/>
    <w:rsid w:val="00EF2A10"/>
    <w:rsid w:val="00EF2EF5"/>
    <w:rsid w:val="00EF3150"/>
    <w:rsid w:val="00EF3200"/>
    <w:rsid w:val="00EF3278"/>
    <w:rsid w:val="00EF365F"/>
    <w:rsid w:val="00EF3B4F"/>
    <w:rsid w:val="00EF3B77"/>
    <w:rsid w:val="00EF3BA1"/>
    <w:rsid w:val="00EF3E8B"/>
    <w:rsid w:val="00EF3EDF"/>
    <w:rsid w:val="00EF3F05"/>
    <w:rsid w:val="00EF4178"/>
    <w:rsid w:val="00EF45ED"/>
    <w:rsid w:val="00EF4971"/>
    <w:rsid w:val="00EF5FE3"/>
    <w:rsid w:val="00EF5FF0"/>
    <w:rsid w:val="00EF61AA"/>
    <w:rsid w:val="00EF62E4"/>
    <w:rsid w:val="00EF690D"/>
    <w:rsid w:val="00EF6B65"/>
    <w:rsid w:val="00EF7977"/>
    <w:rsid w:val="00EF79AA"/>
    <w:rsid w:val="00EF7BB3"/>
    <w:rsid w:val="00EF7FC7"/>
    <w:rsid w:val="00F001F2"/>
    <w:rsid w:val="00F0036D"/>
    <w:rsid w:val="00F00678"/>
    <w:rsid w:val="00F00836"/>
    <w:rsid w:val="00F00C67"/>
    <w:rsid w:val="00F0152D"/>
    <w:rsid w:val="00F01723"/>
    <w:rsid w:val="00F02056"/>
    <w:rsid w:val="00F02213"/>
    <w:rsid w:val="00F02585"/>
    <w:rsid w:val="00F0258F"/>
    <w:rsid w:val="00F025C8"/>
    <w:rsid w:val="00F02820"/>
    <w:rsid w:val="00F028D5"/>
    <w:rsid w:val="00F02A88"/>
    <w:rsid w:val="00F03484"/>
    <w:rsid w:val="00F03745"/>
    <w:rsid w:val="00F03925"/>
    <w:rsid w:val="00F040CA"/>
    <w:rsid w:val="00F041ED"/>
    <w:rsid w:val="00F04472"/>
    <w:rsid w:val="00F0461A"/>
    <w:rsid w:val="00F049EC"/>
    <w:rsid w:val="00F04F1F"/>
    <w:rsid w:val="00F051E0"/>
    <w:rsid w:val="00F052DF"/>
    <w:rsid w:val="00F0542E"/>
    <w:rsid w:val="00F06051"/>
    <w:rsid w:val="00F0628D"/>
    <w:rsid w:val="00F063BD"/>
    <w:rsid w:val="00F0645B"/>
    <w:rsid w:val="00F0666B"/>
    <w:rsid w:val="00F0685B"/>
    <w:rsid w:val="00F0697F"/>
    <w:rsid w:val="00F06AFF"/>
    <w:rsid w:val="00F06E38"/>
    <w:rsid w:val="00F06F6A"/>
    <w:rsid w:val="00F06FFF"/>
    <w:rsid w:val="00F07336"/>
    <w:rsid w:val="00F07468"/>
    <w:rsid w:val="00F07516"/>
    <w:rsid w:val="00F07648"/>
    <w:rsid w:val="00F076CD"/>
    <w:rsid w:val="00F07926"/>
    <w:rsid w:val="00F07AE7"/>
    <w:rsid w:val="00F07F12"/>
    <w:rsid w:val="00F07FC6"/>
    <w:rsid w:val="00F103D7"/>
    <w:rsid w:val="00F10792"/>
    <w:rsid w:val="00F10DAA"/>
    <w:rsid w:val="00F1127C"/>
    <w:rsid w:val="00F112B5"/>
    <w:rsid w:val="00F1131A"/>
    <w:rsid w:val="00F11458"/>
    <w:rsid w:val="00F114E0"/>
    <w:rsid w:val="00F11B86"/>
    <w:rsid w:val="00F11E06"/>
    <w:rsid w:val="00F12951"/>
    <w:rsid w:val="00F12971"/>
    <w:rsid w:val="00F12C89"/>
    <w:rsid w:val="00F12EA9"/>
    <w:rsid w:val="00F12ED0"/>
    <w:rsid w:val="00F130FB"/>
    <w:rsid w:val="00F13348"/>
    <w:rsid w:val="00F133D5"/>
    <w:rsid w:val="00F13779"/>
    <w:rsid w:val="00F13CFE"/>
    <w:rsid w:val="00F14036"/>
    <w:rsid w:val="00F145A6"/>
    <w:rsid w:val="00F14771"/>
    <w:rsid w:val="00F14829"/>
    <w:rsid w:val="00F1482E"/>
    <w:rsid w:val="00F14A71"/>
    <w:rsid w:val="00F14F7A"/>
    <w:rsid w:val="00F152BF"/>
    <w:rsid w:val="00F1546C"/>
    <w:rsid w:val="00F15A79"/>
    <w:rsid w:val="00F15A89"/>
    <w:rsid w:val="00F165A4"/>
    <w:rsid w:val="00F16853"/>
    <w:rsid w:val="00F16D26"/>
    <w:rsid w:val="00F16DE1"/>
    <w:rsid w:val="00F17132"/>
    <w:rsid w:val="00F171E5"/>
    <w:rsid w:val="00F1747C"/>
    <w:rsid w:val="00F1749F"/>
    <w:rsid w:val="00F1759B"/>
    <w:rsid w:val="00F17982"/>
    <w:rsid w:val="00F17A3F"/>
    <w:rsid w:val="00F20CC1"/>
    <w:rsid w:val="00F20E13"/>
    <w:rsid w:val="00F214EF"/>
    <w:rsid w:val="00F21FC2"/>
    <w:rsid w:val="00F226A1"/>
    <w:rsid w:val="00F22C87"/>
    <w:rsid w:val="00F22E86"/>
    <w:rsid w:val="00F22F02"/>
    <w:rsid w:val="00F22F9D"/>
    <w:rsid w:val="00F235B8"/>
    <w:rsid w:val="00F23DF6"/>
    <w:rsid w:val="00F23E85"/>
    <w:rsid w:val="00F23ED7"/>
    <w:rsid w:val="00F24E21"/>
    <w:rsid w:val="00F25032"/>
    <w:rsid w:val="00F259DF"/>
    <w:rsid w:val="00F25FF4"/>
    <w:rsid w:val="00F26024"/>
    <w:rsid w:val="00F2616B"/>
    <w:rsid w:val="00F2638E"/>
    <w:rsid w:val="00F266F1"/>
    <w:rsid w:val="00F266F8"/>
    <w:rsid w:val="00F26B4B"/>
    <w:rsid w:val="00F26C78"/>
    <w:rsid w:val="00F26D63"/>
    <w:rsid w:val="00F26DFE"/>
    <w:rsid w:val="00F26E07"/>
    <w:rsid w:val="00F2706C"/>
    <w:rsid w:val="00F2709D"/>
    <w:rsid w:val="00F2742E"/>
    <w:rsid w:val="00F30020"/>
    <w:rsid w:val="00F30141"/>
    <w:rsid w:val="00F30372"/>
    <w:rsid w:val="00F30528"/>
    <w:rsid w:val="00F30541"/>
    <w:rsid w:val="00F3059C"/>
    <w:rsid w:val="00F3085F"/>
    <w:rsid w:val="00F308A6"/>
    <w:rsid w:val="00F3094A"/>
    <w:rsid w:val="00F30979"/>
    <w:rsid w:val="00F30D22"/>
    <w:rsid w:val="00F3102A"/>
    <w:rsid w:val="00F3120E"/>
    <w:rsid w:val="00F3157A"/>
    <w:rsid w:val="00F31710"/>
    <w:rsid w:val="00F31A58"/>
    <w:rsid w:val="00F31EE5"/>
    <w:rsid w:val="00F31FEB"/>
    <w:rsid w:val="00F324CB"/>
    <w:rsid w:val="00F32CAA"/>
    <w:rsid w:val="00F32D8E"/>
    <w:rsid w:val="00F32E17"/>
    <w:rsid w:val="00F32FD3"/>
    <w:rsid w:val="00F3323A"/>
    <w:rsid w:val="00F3360B"/>
    <w:rsid w:val="00F337A1"/>
    <w:rsid w:val="00F33D44"/>
    <w:rsid w:val="00F33DCC"/>
    <w:rsid w:val="00F34B99"/>
    <w:rsid w:val="00F34DF3"/>
    <w:rsid w:val="00F3545A"/>
    <w:rsid w:val="00F35557"/>
    <w:rsid w:val="00F35AB9"/>
    <w:rsid w:val="00F35B04"/>
    <w:rsid w:val="00F36331"/>
    <w:rsid w:val="00F3640B"/>
    <w:rsid w:val="00F364EE"/>
    <w:rsid w:val="00F36956"/>
    <w:rsid w:val="00F36C9B"/>
    <w:rsid w:val="00F3707F"/>
    <w:rsid w:val="00F375C2"/>
    <w:rsid w:val="00F375F3"/>
    <w:rsid w:val="00F37864"/>
    <w:rsid w:val="00F37935"/>
    <w:rsid w:val="00F379B1"/>
    <w:rsid w:val="00F37A01"/>
    <w:rsid w:val="00F37D69"/>
    <w:rsid w:val="00F37DEB"/>
    <w:rsid w:val="00F402E3"/>
    <w:rsid w:val="00F408A9"/>
    <w:rsid w:val="00F40A32"/>
    <w:rsid w:val="00F40ED0"/>
    <w:rsid w:val="00F412C6"/>
    <w:rsid w:val="00F42095"/>
    <w:rsid w:val="00F426F9"/>
    <w:rsid w:val="00F42789"/>
    <w:rsid w:val="00F42792"/>
    <w:rsid w:val="00F42BDC"/>
    <w:rsid w:val="00F42BF0"/>
    <w:rsid w:val="00F42E46"/>
    <w:rsid w:val="00F43218"/>
    <w:rsid w:val="00F43270"/>
    <w:rsid w:val="00F432FC"/>
    <w:rsid w:val="00F43C87"/>
    <w:rsid w:val="00F43D39"/>
    <w:rsid w:val="00F4445A"/>
    <w:rsid w:val="00F446A2"/>
    <w:rsid w:val="00F44C26"/>
    <w:rsid w:val="00F44C9C"/>
    <w:rsid w:val="00F44D66"/>
    <w:rsid w:val="00F44DA3"/>
    <w:rsid w:val="00F44E36"/>
    <w:rsid w:val="00F4526C"/>
    <w:rsid w:val="00F45862"/>
    <w:rsid w:val="00F46127"/>
    <w:rsid w:val="00F46802"/>
    <w:rsid w:val="00F4691D"/>
    <w:rsid w:val="00F4699F"/>
    <w:rsid w:val="00F46A5B"/>
    <w:rsid w:val="00F46AAB"/>
    <w:rsid w:val="00F46D67"/>
    <w:rsid w:val="00F46FCD"/>
    <w:rsid w:val="00F4762B"/>
    <w:rsid w:val="00F47660"/>
    <w:rsid w:val="00F47D63"/>
    <w:rsid w:val="00F47F80"/>
    <w:rsid w:val="00F507D4"/>
    <w:rsid w:val="00F50840"/>
    <w:rsid w:val="00F512F7"/>
    <w:rsid w:val="00F51532"/>
    <w:rsid w:val="00F5178D"/>
    <w:rsid w:val="00F51845"/>
    <w:rsid w:val="00F51946"/>
    <w:rsid w:val="00F51F0D"/>
    <w:rsid w:val="00F526E4"/>
    <w:rsid w:val="00F528B3"/>
    <w:rsid w:val="00F52A3A"/>
    <w:rsid w:val="00F52C2D"/>
    <w:rsid w:val="00F52FAD"/>
    <w:rsid w:val="00F5351F"/>
    <w:rsid w:val="00F535CF"/>
    <w:rsid w:val="00F53AF9"/>
    <w:rsid w:val="00F53CF1"/>
    <w:rsid w:val="00F53DC7"/>
    <w:rsid w:val="00F53E8B"/>
    <w:rsid w:val="00F54135"/>
    <w:rsid w:val="00F547CB"/>
    <w:rsid w:val="00F54AC3"/>
    <w:rsid w:val="00F54ED0"/>
    <w:rsid w:val="00F5550C"/>
    <w:rsid w:val="00F5559E"/>
    <w:rsid w:val="00F5576D"/>
    <w:rsid w:val="00F55875"/>
    <w:rsid w:val="00F55B79"/>
    <w:rsid w:val="00F56247"/>
    <w:rsid w:val="00F56314"/>
    <w:rsid w:val="00F56775"/>
    <w:rsid w:val="00F56D19"/>
    <w:rsid w:val="00F56E4D"/>
    <w:rsid w:val="00F5730C"/>
    <w:rsid w:val="00F573E3"/>
    <w:rsid w:val="00F573EF"/>
    <w:rsid w:val="00F57B83"/>
    <w:rsid w:val="00F57F5C"/>
    <w:rsid w:val="00F60099"/>
    <w:rsid w:val="00F60972"/>
    <w:rsid w:val="00F60AF0"/>
    <w:rsid w:val="00F60D29"/>
    <w:rsid w:val="00F60F14"/>
    <w:rsid w:val="00F6165C"/>
    <w:rsid w:val="00F6177B"/>
    <w:rsid w:val="00F61B96"/>
    <w:rsid w:val="00F61E38"/>
    <w:rsid w:val="00F623E7"/>
    <w:rsid w:val="00F625E7"/>
    <w:rsid w:val="00F625F2"/>
    <w:rsid w:val="00F62882"/>
    <w:rsid w:val="00F628A9"/>
    <w:rsid w:val="00F62B32"/>
    <w:rsid w:val="00F62B76"/>
    <w:rsid w:val="00F62EA1"/>
    <w:rsid w:val="00F62FC5"/>
    <w:rsid w:val="00F63027"/>
    <w:rsid w:val="00F630C9"/>
    <w:rsid w:val="00F63217"/>
    <w:rsid w:val="00F632FB"/>
    <w:rsid w:val="00F63762"/>
    <w:rsid w:val="00F638E9"/>
    <w:rsid w:val="00F6396D"/>
    <w:rsid w:val="00F642C4"/>
    <w:rsid w:val="00F644A6"/>
    <w:rsid w:val="00F646E7"/>
    <w:rsid w:val="00F647A3"/>
    <w:rsid w:val="00F64D13"/>
    <w:rsid w:val="00F64E79"/>
    <w:rsid w:val="00F65305"/>
    <w:rsid w:val="00F66130"/>
    <w:rsid w:val="00F6618B"/>
    <w:rsid w:val="00F6618D"/>
    <w:rsid w:val="00F663F9"/>
    <w:rsid w:val="00F6681A"/>
    <w:rsid w:val="00F6698F"/>
    <w:rsid w:val="00F67331"/>
    <w:rsid w:val="00F67BB0"/>
    <w:rsid w:val="00F70A6C"/>
    <w:rsid w:val="00F70EEA"/>
    <w:rsid w:val="00F70F5D"/>
    <w:rsid w:val="00F71064"/>
    <w:rsid w:val="00F71834"/>
    <w:rsid w:val="00F71AEB"/>
    <w:rsid w:val="00F71CAD"/>
    <w:rsid w:val="00F71D06"/>
    <w:rsid w:val="00F72565"/>
    <w:rsid w:val="00F7259D"/>
    <w:rsid w:val="00F72808"/>
    <w:rsid w:val="00F72812"/>
    <w:rsid w:val="00F72B42"/>
    <w:rsid w:val="00F72BB2"/>
    <w:rsid w:val="00F72BF2"/>
    <w:rsid w:val="00F72DAA"/>
    <w:rsid w:val="00F730C9"/>
    <w:rsid w:val="00F731EF"/>
    <w:rsid w:val="00F733F3"/>
    <w:rsid w:val="00F73879"/>
    <w:rsid w:val="00F73A39"/>
    <w:rsid w:val="00F73DEE"/>
    <w:rsid w:val="00F73E47"/>
    <w:rsid w:val="00F73EA8"/>
    <w:rsid w:val="00F74A34"/>
    <w:rsid w:val="00F74B82"/>
    <w:rsid w:val="00F74BA0"/>
    <w:rsid w:val="00F74CF0"/>
    <w:rsid w:val="00F753C9"/>
    <w:rsid w:val="00F75510"/>
    <w:rsid w:val="00F75576"/>
    <w:rsid w:val="00F75659"/>
    <w:rsid w:val="00F758FF"/>
    <w:rsid w:val="00F759C2"/>
    <w:rsid w:val="00F75B9F"/>
    <w:rsid w:val="00F75BB4"/>
    <w:rsid w:val="00F75D14"/>
    <w:rsid w:val="00F75D3A"/>
    <w:rsid w:val="00F7640A"/>
    <w:rsid w:val="00F765A7"/>
    <w:rsid w:val="00F76630"/>
    <w:rsid w:val="00F77190"/>
    <w:rsid w:val="00F77191"/>
    <w:rsid w:val="00F7743A"/>
    <w:rsid w:val="00F77528"/>
    <w:rsid w:val="00F77666"/>
    <w:rsid w:val="00F77A21"/>
    <w:rsid w:val="00F77EDE"/>
    <w:rsid w:val="00F80139"/>
    <w:rsid w:val="00F80311"/>
    <w:rsid w:val="00F8073A"/>
    <w:rsid w:val="00F80754"/>
    <w:rsid w:val="00F8082E"/>
    <w:rsid w:val="00F80C45"/>
    <w:rsid w:val="00F80E99"/>
    <w:rsid w:val="00F81138"/>
    <w:rsid w:val="00F81F7D"/>
    <w:rsid w:val="00F822F5"/>
    <w:rsid w:val="00F825B5"/>
    <w:rsid w:val="00F82B2E"/>
    <w:rsid w:val="00F82B55"/>
    <w:rsid w:val="00F82CAE"/>
    <w:rsid w:val="00F82E05"/>
    <w:rsid w:val="00F82EA5"/>
    <w:rsid w:val="00F83126"/>
    <w:rsid w:val="00F833A3"/>
    <w:rsid w:val="00F836A9"/>
    <w:rsid w:val="00F83C4C"/>
    <w:rsid w:val="00F84145"/>
    <w:rsid w:val="00F841CA"/>
    <w:rsid w:val="00F84563"/>
    <w:rsid w:val="00F8459A"/>
    <w:rsid w:val="00F84DDA"/>
    <w:rsid w:val="00F84E24"/>
    <w:rsid w:val="00F84FB8"/>
    <w:rsid w:val="00F85156"/>
    <w:rsid w:val="00F851CD"/>
    <w:rsid w:val="00F857CF"/>
    <w:rsid w:val="00F85A7E"/>
    <w:rsid w:val="00F8618B"/>
    <w:rsid w:val="00F86F6C"/>
    <w:rsid w:val="00F872A1"/>
    <w:rsid w:val="00F87849"/>
    <w:rsid w:val="00F87C31"/>
    <w:rsid w:val="00F87D63"/>
    <w:rsid w:val="00F87DD4"/>
    <w:rsid w:val="00F9010E"/>
    <w:rsid w:val="00F902B7"/>
    <w:rsid w:val="00F90679"/>
    <w:rsid w:val="00F909A0"/>
    <w:rsid w:val="00F90CC4"/>
    <w:rsid w:val="00F90DFA"/>
    <w:rsid w:val="00F9122A"/>
    <w:rsid w:val="00F91271"/>
    <w:rsid w:val="00F915B4"/>
    <w:rsid w:val="00F915DA"/>
    <w:rsid w:val="00F9189E"/>
    <w:rsid w:val="00F91B26"/>
    <w:rsid w:val="00F91CC3"/>
    <w:rsid w:val="00F9210A"/>
    <w:rsid w:val="00F9212E"/>
    <w:rsid w:val="00F92BA9"/>
    <w:rsid w:val="00F92D50"/>
    <w:rsid w:val="00F92D6C"/>
    <w:rsid w:val="00F93266"/>
    <w:rsid w:val="00F9353C"/>
    <w:rsid w:val="00F935BB"/>
    <w:rsid w:val="00F93AEA"/>
    <w:rsid w:val="00F93FE9"/>
    <w:rsid w:val="00F943C2"/>
    <w:rsid w:val="00F9445F"/>
    <w:rsid w:val="00F949B4"/>
    <w:rsid w:val="00F94DE8"/>
    <w:rsid w:val="00F94E6C"/>
    <w:rsid w:val="00F9546C"/>
    <w:rsid w:val="00F959EC"/>
    <w:rsid w:val="00F95C8A"/>
    <w:rsid w:val="00F95F0A"/>
    <w:rsid w:val="00F964BA"/>
    <w:rsid w:val="00F96A4F"/>
    <w:rsid w:val="00F96E21"/>
    <w:rsid w:val="00F9711A"/>
    <w:rsid w:val="00F976D1"/>
    <w:rsid w:val="00F9786F"/>
    <w:rsid w:val="00F97A9C"/>
    <w:rsid w:val="00F97F46"/>
    <w:rsid w:val="00F97F91"/>
    <w:rsid w:val="00FA00F8"/>
    <w:rsid w:val="00FA0233"/>
    <w:rsid w:val="00FA0292"/>
    <w:rsid w:val="00FA0329"/>
    <w:rsid w:val="00FA069A"/>
    <w:rsid w:val="00FA085C"/>
    <w:rsid w:val="00FA0A36"/>
    <w:rsid w:val="00FA0BCD"/>
    <w:rsid w:val="00FA0EBE"/>
    <w:rsid w:val="00FA1A77"/>
    <w:rsid w:val="00FA20AE"/>
    <w:rsid w:val="00FA24C0"/>
    <w:rsid w:val="00FA2AC8"/>
    <w:rsid w:val="00FA31E0"/>
    <w:rsid w:val="00FA3738"/>
    <w:rsid w:val="00FA374C"/>
    <w:rsid w:val="00FA39F2"/>
    <w:rsid w:val="00FA3CB0"/>
    <w:rsid w:val="00FA3D8A"/>
    <w:rsid w:val="00FA3DEF"/>
    <w:rsid w:val="00FA40BE"/>
    <w:rsid w:val="00FA4804"/>
    <w:rsid w:val="00FA4C8B"/>
    <w:rsid w:val="00FA4ED6"/>
    <w:rsid w:val="00FA4F23"/>
    <w:rsid w:val="00FA5263"/>
    <w:rsid w:val="00FA5323"/>
    <w:rsid w:val="00FA5504"/>
    <w:rsid w:val="00FA5D93"/>
    <w:rsid w:val="00FA61AD"/>
    <w:rsid w:val="00FA638E"/>
    <w:rsid w:val="00FA6B51"/>
    <w:rsid w:val="00FA6B7E"/>
    <w:rsid w:val="00FA6B8F"/>
    <w:rsid w:val="00FA7126"/>
    <w:rsid w:val="00FA7560"/>
    <w:rsid w:val="00FA758A"/>
    <w:rsid w:val="00FA758D"/>
    <w:rsid w:val="00FA77FB"/>
    <w:rsid w:val="00FB0205"/>
    <w:rsid w:val="00FB0345"/>
    <w:rsid w:val="00FB0D91"/>
    <w:rsid w:val="00FB10F3"/>
    <w:rsid w:val="00FB1684"/>
    <w:rsid w:val="00FB1926"/>
    <w:rsid w:val="00FB1BFE"/>
    <w:rsid w:val="00FB20AE"/>
    <w:rsid w:val="00FB2585"/>
    <w:rsid w:val="00FB283B"/>
    <w:rsid w:val="00FB2917"/>
    <w:rsid w:val="00FB29FD"/>
    <w:rsid w:val="00FB2D48"/>
    <w:rsid w:val="00FB2E37"/>
    <w:rsid w:val="00FB2FA4"/>
    <w:rsid w:val="00FB31F4"/>
    <w:rsid w:val="00FB3CDB"/>
    <w:rsid w:val="00FB4901"/>
    <w:rsid w:val="00FB495B"/>
    <w:rsid w:val="00FB5146"/>
    <w:rsid w:val="00FB57DB"/>
    <w:rsid w:val="00FB6591"/>
    <w:rsid w:val="00FB6669"/>
    <w:rsid w:val="00FB74EF"/>
    <w:rsid w:val="00FB7864"/>
    <w:rsid w:val="00FB7C84"/>
    <w:rsid w:val="00FB7FD5"/>
    <w:rsid w:val="00FC0371"/>
    <w:rsid w:val="00FC06DD"/>
    <w:rsid w:val="00FC06E3"/>
    <w:rsid w:val="00FC07EF"/>
    <w:rsid w:val="00FC0C0C"/>
    <w:rsid w:val="00FC1355"/>
    <w:rsid w:val="00FC13F5"/>
    <w:rsid w:val="00FC147D"/>
    <w:rsid w:val="00FC15DE"/>
    <w:rsid w:val="00FC1861"/>
    <w:rsid w:val="00FC199B"/>
    <w:rsid w:val="00FC209B"/>
    <w:rsid w:val="00FC22AB"/>
    <w:rsid w:val="00FC23AB"/>
    <w:rsid w:val="00FC2604"/>
    <w:rsid w:val="00FC2691"/>
    <w:rsid w:val="00FC272E"/>
    <w:rsid w:val="00FC294A"/>
    <w:rsid w:val="00FC2F29"/>
    <w:rsid w:val="00FC30F3"/>
    <w:rsid w:val="00FC329C"/>
    <w:rsid w:val="00FC33B2"/>
    <w:rsid w:val="00FC3858"/>
    <w:rsid w:val="00FC3969"/>
    <w:rsid w:val="00FC3A8D"/>
    <w:rsid w:val="00FC4AEE"/>
    <w:rsid w:val="00FC4DBD"/>
    <w:rsid w:val="00FC5536"/>
    <w:rsid w:val="00FC553A"/>
    <w:rsid w:val="00FC594B"/>
    <w:rsid w:val="00FC5F05"/>
    <w:rsid w:val="00FC6266"/>
    <w:rsid w:val="00FC64BB"/>
    <w:rsid w:val="00FC68BA"/>
    <w:rsid w:val="00FC6AED"/>
    <w:rsid w:val="00FC70EB"/>
    <w:rsid w:val="00FC7D4C"/>
    <w:rsid w:val="00FC7DDB"/>
    <w:rsid w:val="00FC7EF4"/>
    <w:rsid w:val="00FC7F0A"/>
    <w:rsid w:val="00FD000F"/>
    <w:rsid w:val="00FD02A1"/>
    <w:rsid w:val="00FD0339"/>
    <w:rsid w:val="00FD047C"/>
    <w:rsid w:val="00FD07C6"/>
    <w:rsid w:val="00FD08A6"/>
    <w:rsid w:val="00FD0DA5"/>
    <w:rsid w:val="00FD1088"/>
    <w:rsid w:val="00FD1E31"/>
    <w:rsid w:val="00FD2322"/>
    <w:rsid w:val="00FD2394"/>
    <w:rsid w:val="00FD2978"/>
    <w:rsid w:val="00FD2C58"/>
    <w:rsid w:val="00FD2E62"/>
    <w:rsid w:val="00FD3285"/>
    <w:rsid w:val="00FD335E"/>
    <w:rsid w:val="00FD364D"/>
    <w:rsid w:val="00FD3BA5"/>
    <w:rsid w:val="00FD3FD3"/>
    <w:rsid w:val="00FD4211"/>
    <w:rsid w:val="00FD5295"/>
    <w:rsid w:val="00FD5726"/>
    <w:rsid w:val="00FD59BA"/>
    <w:rsid w:val="00FD5A79"/>
    <w:rsid w:val="00FD5FAA"/>
    <w:rsid w:val="00FD7044"/>
    <w:rsid w:val="00FD7841"/>
    <w:rsid w:val="00FD7EBE"/>
    <w:rsid w:val="00FE0A63"/>
    <w:rsid w:val="00FE0A77"/>
    <w:rsid w:val="00FE0CE5"/>
    <w:rsid w:val="00FE0CF9"/>
    <w:rsid w:val="00FE0E8A"/>
    <w:rsid w:val="00FE104A"/>
    <w:rsid w:val="00FE104B"/>
    <w:rsid w:val="00FE1187"/>
    <w:rsid w:val="00FE1AE7"/>
    <w:rsid w:val="00FE1B08"/>
    <w:rsid w:val="00FE1DD7"/>
    <w:rsid w:val="00FE2153"/>
    <w:rsid w:val="00FE2431"/>
    <w:rsid w:val="00FE2DB5"/>
    <w:rsid w:val="00FE2ED1"/>
    <w:rsid w:val="00FE3CCA"/>
    <w:rsid w:val="00FE47AC"/>
    <w:rsid w:val="00FE4ADC"/>
    <w:rsid w:val="00FE4BEA"/>
    <w:rsid w:val="00FE4C58"/>
    <w:rsid w:val="00FE50AB"/>
    <w:rsid w:val="00FE5283"/>
    <w:rsid w:val="00FE52E1"/>
    <w:rsid w:val="00FE542A"/>
    <w:rsid w:val="00FE65C8"/>
    <w:rsid w:val="00FE6746"/>
    <w:rsid w:val="00FE696F"/>
    <w:rsid w:val="00FE6BD0"/>
    <w:rsid w:val="00FE6C35"/>
    <w:rsid w:val="00FE72B3"/>
    <w:rsid w:val="00FE7795"/>
    <w:rsid w:val="00FE7EE9"/>
    <w:rsid w:val="00FE7F40"/>
    <w:rsid w:val="00FF0134"/>
    <w:rsid w:val="00FF03E6"/>
    <w:rsid w:val="00FF0B31"/>
    <w:rsid w:val="00FF0C5C"/>
    <w:rsid w:val="00FF1136"/>
    <w:rsid w:val="00FF113C"/>
    <w:rsid w:val="00FF145D"/>
    <w:rsid w:val="00FF15A3"/>
    <w:rsid w:val="00FF1B4B"/>
    <w:rsid w:val="00FF2293"/>
    <w:rsid w:val="00FF2550"/>
    <w:rsid w:val="00FF26B0"/>
    <w:rsid w:val="00FF2859"/>
    <w:rsid w:val="00FF2D71"/>
    <w:rsid w:val="00FF321A"/>
    <w:rsid w:val="00FF3592"/>
    <w:rsid w:val="00FF4221"/>
    <w:rsid w:val="00FF43EE"/>
    <w:rsid w:val="00FF4532"/>
    <w:rsid w:val="00FF4690"/>
    <w:rsid w:val="00FF5089"/>
    <w:rsid w:val="00FF5299"/>
    <w:rsid w:val="00FF54C6"/>
    <w:rsid w:val="00FF57A4"/>
    <w:rsid w:val="00FF57BA"/>
    <w:rsid w:val="00FF5C3A"/>
    <w:rsid w:val="00FF5F34"/>
    <w:rsid w:val="00FF610D"/>
    <w:rsid w:val="00FF6197"/>
    <w:rsid w:val="00FF65C7"/>
    <w:rsid w:val="00FF6F8B"/>
    <w:rsid w:val="00FF7304"/>
    <w:rsid w:val="00FF7375"/>
    <w:rsid w:val="00FF7A65"/>
    <w:rsid w:val="00FF7EB7"/>
    <w:rsid w:val="00FF7F88"/>
    <w:rsid w:val="00FF7FAA"/>
    <w:rsid w:val="024E0C9E"/>
    <w:rsid w:val="18120870"/>
    <w:rsid w:val="1932C2B5"/>
    <w:rsid w:val="1DACF633"/>
    <w:rsid w:val="2297C670"/>
    <w:rsid w:val="2587E486"/>
    <w:rsid w:val="265ADBE3"/>
    <w:rsid w:val="28B0E6E3"/>
    <w:rsid w:val="297C2563"/>
    <w:rsid w:val="2AF48F0D"/>
    <w:rsid w:val="2E36BEBC"/>
    <w:rsid w:val="31C8D11B"/>
    <w:rsid w:val="38EA5981"/>
    <w:rsid w:val="3A03CCA2"/>
    <w:rsid w:val="4688B2F1"/>
    <w:rsid w:val="46B48CE0"/>
    <w:rsid w:val="4C674502"/>
    <w:rsid w:val="542FCC88"/>
    <w:rsid w:val="56C7D5D0"/>
    <w:rsid w:val="599F60E2"/>
    <w:rsid w:val="5E29FF7A"/>
    <w:rsid w:val="64BA8DA0"/>
    <w:rsid w:val="652709AD"/>
    <w:rsid w:val="655EDDD7"/>
    <w:rsid w:val="709C69C9"/>
    <w:rsid w:val="72DA3548"/>
    <w:rsid w:val="734346AF"/>
    <w:rsid w:val="7A971A8F"/>
    <w:rsid w:val="7ACCA18C"/>
    <w:rsid w:val="7D51851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AE2A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0" w:unhideWhenUsed="1" w:qFormat="1"/>
    <w:lsdException w:name="heading 6" w:semiHidden="1" w:uiPriority="12" w:unhideWhenUsed="1" w:qFormat="1"/>
    <w:lsdException w:name="heading 7" w:semiHidden="1" w:uiPriority="12" w:unhideWhenUsed="1" w:qFormat="1"/>
    <w:lsdException w:name="heading 8" w:semiHidden="1" w:uiPriority="7" w:unhideWhenUsed="1" w:qFormat="1"/>
    <w:lsdException w:name="heading 9" w:semiHidden="1" w:uiPriority="12"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9" w:unhideWhenUsed="1"/>
    <w:lsdException w:name="Normal Indent" w:semiHidden="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nhideWhenUsed="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unhideWhenUsed="1" w:qFormat="1"/>
    <w:lsdException w:name="Closing" w:semiHidden="1"/>
    <w:lsdException w:name="Signature" w:semiHidden="1"/>
    <w:lsdException w:name="Default Paragraph Font" w:semiHidden="1" w:uiPriority="1" w:unhideWhenUsed="1"/>
    <w:lsdException w:name="Body Text" w:semiHidden="1" w:unhideWhenUsed="1" w:qFormat="1"/>
    <w:lsdException w:name="Body Text Indent" w:semiHidden="1" w:uiPriority="9"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uiPriority="9" w:unhideWhenUsed="1"/>
    <w:lsdException w:name="Body Text 3" w:semiHidden="1" w:uiPriority="9" w:unhideWhenUsed="1"/>
    <w:lsdException w:name="Body Text Indent 2" w:semiHidden="1"/>
    <w:lsdException w:name="Body Text Indent 3" w:semiHidden="1"/>
    <w:lsdException w:name="Block Text" w:semiHidden="1"/>
    <w:lsdException w:name="Hyperlink" w:semiHidden="1" w:uiPriority="0" w:unhideWhenUsed="1"/>
    <w:lsdException w:name="FollowedHyperlink" w:semiHidden="1" w:unhideWhenUsed="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unhideWhenUsed="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2"/>
    <w:lsdException w:name="Intense Quote" w:semiHidden="1" w:uiPriority="33"/>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2"/>
    <w:lsdException w:name="Intense Emphasis" w:semiHidden="1" w:uiPriority="24"/>
    <w:lsdException w:name="Subtle Reference" w:semiHidden="1" w:uiPriority="34"/>
    <w:lsdException w:name="Intense Reference" w:semiHidden="1" w:uiPriority="35"/>
    <w:lsdException w:name="Book Title" w:semiHidden="1" w:uiPriority="36"/>
    <w:lsdException w:name="Bibliography" w:semiHidden="1" w:uiPriority="37" w:unhideWhenUsed="1"/>
    <w:lsdException w:name="TOC Heading" w:semiHidden="1" w:uiPriority="4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639"/>
    <w:pPr>
      <w:spacing w:before="120" w:line="240" w:lineRule="auto"/>
      <w:jc w:val="both"/>
    </w:pPr>
    <w:rPr>
      <w:sz w:val="24"/>
    </w:rPr>
  </w:style>
  <w:style w:type="paragraph" w:styleId="Heading1">
    <w:name w:val="heading 1"/>
    <w:next w:val="MSACESParagraph"/>
    <w:link w:val="Heading1Char"/>
    <w:uiPriority w:val="9"/>
    <w:qFormat/>
    <w:rsid w:val="00325545"/>
    <w:pPr>
      <w:keepNext/>
      <w:keepLines/>
      <w:numPr>
        <w:numId w:val="31"/>
      </w:numPr>
      <w:spacing w:before="400" w:after="120"/>
      <w:outlineLvl w:val="0"/>
    </w:pPr>
    <w:rPr>
      <w:rFonts w:eastAsiaTheme="majorEastAsia" w:cstheme="majorBidi"/>
      <w:b/>
      <w:sz w:val="32"/>
      <w:szCs w:val="28"/>
    </w:rPr>
  </w:style>
  <w:style w:type="paragraph" w:styleId="Heading2">
    <w:name w:val="heading 2"/>
    <w:basedOn w:val="Normal"/>
    <w:next w:val="Normal"/>
    <w:link w:val="Heading2Char"/>
    <w:uiPriority w:val="9"/>
    <w:qFormat/>
    <w:rsid w:val="004A5746"/>
    <w:pPr>
      <w:keepNext/>
      <w:keepLines/>
      <w:numPr>
        <w:ilvl w:val="3"/>
        <w:numId w:val="31"/>
      </w:numPr>
      <w:spacing w:before="360" w:after="120"/>
      <w:jc w:val="left"/>
      <w:outlineLvl w:val="1"/>
    </w:pPr>
    <w:rPr>
      <w:rFonts w:ascii="Arial" w:eastAsiaTheme="majorEastAsia" w:hAnsi="Arial" w:cstheme="majorBidi"/>
      <w:b/>
      <w:i/>
      <w:snapToGrid w:val="0"/>
      <w:sz w:val="28"/>
      <w:szCs w:val="28"/>
    </w:rPr>
  </w:style>
  <w:style w:type="paragraph" w:styleId="Heading3">
    <w:name w:val="heading 3"/>
    <w:basedOn w:val="Normal"/>
    <w:next w:val="Normal"/>
    <w:link w:val="Heading3Char"/>
    <w:uiPriority w:val="9"/>
    <w:qFormat/>
    <w:rsid w:val="00186307"/>
    <w:pPr>
      <w:keepNext/>
      <w:keepLines/>
      <w:numPr>
        <w:ilvl w:val="5"/>
        <w:numId w:val="31"/>
      </w:numPr>
      <w:spacing w:after="120"/>
      <w:outlineLvl w:val="2"/>
    </w:pPr>
    <w:rPr>
      <w:rFonts w:eastAsiaTheme="majorEastAsia" w:cstheme="majorBidi"/>
      <w:b/>
      <w:sz w:val="28"/>
      <w:szCs w:val="28"/>
    </w:rPr>
  </w:style>
  <w:style w:type="paragraph" w:styleId="Heading4">
    <w:name w:val="heading 4"/>
    <w:basedOn w:val="Heading1"/>
    <w:next w:val="Normal"/>
    <w:link w:val="Heading4Char"/>
    <w:uiPriority w:val="9"/>
    <w:qFormat/>
    <w:rsid w:val="00BB6875"/>
    <w:pPr>
      <w:numPr>
        <w:ilvl w:val="6"/>
      </w:numPr>
      <w:spacing w:before="240" w:after="0"/>
      <w:outlineLvl w:val="3"/>
    </w:pPr>
    <w:rPr>
      <w:color w:val="000000" w:themeColor="text1"/>
      <w:sz w:val="24"/>
    </w:rPr>
  </w:style>
  <w:style w:type="paragraph" w:styleId="Heading5">
    <w:name w:val="heading 5"/>
    <w:aliases w:val="Heading 2 - Body"/>
    <w:basedOn w:val="Heading2"/>
    <w:next w:val="Normal"/>
    <w:link w:val="Heading5Char"/>
    <w:uiPriority w:val="10"/>
    <w:semiHidden/>
    <w:qFormat/>
    <w:rsid w:val="003B095E"/>
    <w:pPr>
      <w:outlineLvl w:val="4"/>
    </w:pPr>
  </w:style>
  <w:style w:type="paragraph" w:styleId="Heading6">
    <w:name w:val="heading 6"/>
    <w:aliases w:val="Heading 3 - Body"/>
    <w:basedOn w:val="Heading3"/>
    <w:next w:val="Normal"/>
    <w:link w:val="Heading6Char"/>
    <w:uiPriority w:val="12"/>
    <w:semiHidden/>
    <w:qFormat/>
    <w:rsid w:val="00624315"/>
    <w:pPr>
      <w:outlineLvl w:val="5"/>
    </w:pPr>
    <w:rPr>
      <w:sz w:val="24"/>
    </w:rPr>
  </w:style>
  <w:style w:type="paragraph" w:styleId="Heading7">
    <w:name w:val="heading 7"/>
    <w:basedOn w:val="Heading1"/>
    <w:next w:val="Normal"/>
    <w:link w:val="Heading7Char"/>
    <w:uiPriority w:val="12"/>
    <w:semiHidden/>
    <w:qFormat/>
    <w:rsid w:val="00472D4D"/>
    <w:pPr>
      <w:spacing w:before="120"/>
      <w:ind w:left="1296" w:hanging="1296"/>
      <w:outlineLvl w:val="6"/>
    </w:pPr>
    <w:rPr>
      <w:i/>
      <w:sz w:val="24"/>
      <w:szCs w:val="24"/>
    </w:rPr>
  </w:style>
  <w:style w:type="paragraph" w:styleId="Heading8">
    <w:name w:val="heading 8"/>
    <w:basedOn w:val="Normal"/>
    <w:next w:val="Normal"/>
    <w:link w:val="Heading8Char"/>
    <w:uiPriority w:val="7"/>
    <w:semiHidden/>
    <w:qFormat/>
    <w:rsid w:val="002B5D74"/>
    <w:pPr>
      <w:keepNext/>
      <w:keepLines/>
      <w:numPr>
        <w:ilvl w:val="7"/>
        <w:numId w:val="3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Section heading - Body"/>
    <w:basedOn w:val="Heading1"/>
    <w:next w:val="Normal"/>
    <w:link w:val="Heading9Char"/>
    <w:uiPriority w:val="12"/>
    <w:semiHidden/>
    <w:qFormat/>
    <w:rsid w:val="002A4503"/>
    <w:pPr>
      <w:numPr>
        <w:ilvl w:val="8"/>
      </w:numP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545"/>
    <w:rPr>
      <w:rFonts w:eastAsiaTheme="majorEastAsia" w:cstheme="majorBidi"/>
      <w:b/>
      <w:sz w:val="32"/>
      <w:szCs w:val="28"/>
    </w:rPr>
  </w:style>
  <w:style w:type="character" w:customStyle="1" w:styleId="Heading2Char">
    <w:name w:val="Heading 2 Char"/>
    <w:basedOn w:val="DefaultParagraphFont"/>
    <w:link w:val="Heading2"/>
    <w:uiPriority w:val="9"/>
    <w:rsid w:val="00245AD1"/>
    <w:rPr>
      <w:rFonts w:ascii="Arial" w:eastAsiaTheme="majorEastAsia" w:hAnsi="Arial" w:cstheme="majorBidi"/>
      <w:b/>
      <w:i/>
      <w:snapToGrid w:val="0"/>
      <w:sz w:val="28"/>
      <w:szCs w:val="28"/>
    </w:rPr>
  </w:style>
  <w:style w:type="character" w:customStyle="1" w:styleId="Heading3Char">
    <w:name w:val="Heading 3 Char"/>
    <w:basedOn w:val="DefaultParagraphFont"/>
    <w:link w:val="Heading3"/>
    <w:uiPriority w:val="9"/>
    <w:rsid w:val="00245AD1"/>
    <w:rPr>
      <w:rFonts w:eastAsiaTheme="majorEastAsia" w:cstheme="majorBidi"/>
      <w:b/>
      <w:sz w:val="28"/>
      <w:szCs w:val="28"/>
    </w:rPr>
  </w:style>
  <w:style w:type="paragraph" w:styleId="ListParagraph">
    <w:name w:val="List Paragraph"/>
    <w:aliases w:val="PBAC ES Paragraph,Body Text Bullet Points,Numbered para,BulletPoints,List Paragraph1,Bullet point,List Paragraph11,Recommendation,Section heading,Footnote,ES Paragraph,PBAC normal points,Bullet List,Bullet 1,Bullet1,Summary Bullets,lp1,L"/>
    <w:basedOn w:val="Normal"/>
    <w:link w:val="ListParagraphChar"/>
    <w:uiPriority w:val="34"/>
    <w:qFormat/>
    <w:rsid w:val="004908B7"/>
    <w:pPr>
      <w:numPr>
        <w:ilvl w:val="4"/>
        <w:numId w:val="3"/>
      </w:numPr>
    </w:pPr>
    <w:rPr>
      <w:color w:val="000000" w:themeColor="text1"/>
    </w:rPr>
  </w:style>
  <w:style w:type="paragraph" w:styleId="BalloonText">
    <w:name w:val="Balloon Text"/>
    <w:basedOn w:val="Normal"/>
    <w:link w:val="BalloonTextChar"/>
    <w:uiPriority w:val="9"/>
    <w:semiHidden/>
    <w:unhideWhenUsed/>
    <w:rsid w:val="00F0542E"/>
    <w:pPr>
      <w:spacing w:before="0" w:after="0"/>
    </w:pPr>
    <w:rPr>
      <w:rFonts w:ascii="Segoe UI" w:hAnsi="Segoe UI" w:cs="Segoe UI"/>
      <w:sz w:val="18"/>
      <w:szCs w:val="18"/>
    </w:rPr>
  </w:style>
  <w:style w:type="paragraph" w:customStyle="1" w:styleId="InstructionalText">
    <w:name w:val="Instructional Text"/>
    <w:basedOn w:val="MSACESParagraph"/>
    <w:link w:val="InstructionalTextChar"/>
    <w:uiPriority w:val="3"/>
    <w:qFormat/>
    <w:rsid w:val="00DD373C"/>
    <w:pPr>
      <w:jc w:val="both"/>
    </w:pPr>
    <w:rPr>
      <w:rFonts w:asciiTheme="minorHAnsi" w:hAnsiTheme="minorHAnsi" w:cstheme="minorHAnsi"/>
      <w:color w:val="3366FF"/>
    </w:rPr>
  </w:style>
  <w:style w:type="character" w:customStyle="1" w:styleId="Heading4Char">
    <w:name w:val="Heading 4 Char"/>
    <w:basedOn w:val="DefaultParagraphFont"/>
    <w:link w:val="Heading4"/>
    <w:uiPriority w:val="9"/>
    <w:rsid w:val="00245AD1"/>
    <w:rPr>
      <w:rFonts w:eastAsiaTheme="majorEastAsia" w:cstheme="majorBidi"/>
      <w:b/>
      <w:color w:val="000000" w:themeColor="text1"/>
      <w:sz w:val="24"/>
      <w:szCs w:val="28"/>
    </w:rPr>
  </w:style>
  <w:style w:type="character" w:customStyle="1" w:styleId="Heading5Char">
    <w:name w:val="Heading 5 Char"/>
    <w:aliases w:val="Heading 2 - Body Char"/>
    <w:basedOn w:val="DefaultParagraphFont"/>
    <w:link w:val="Heading5"/>
    <w:uiPriority w:val="10"/>
    <w:semiHidden/>
    <w:rsid w:val="00481549"/>
    <w:rPr>
      <w:rFonts w:ascii="Arial" w:eastAsiaTheme="majorEastAsia" w:hAnsi="Arial" w:cstheme="majorBidi"/>
      <w:b/>
      <w:i/>
      <w:snapToGrid w:val="0"/>
      <w:sz w:val="28"/>
      <w:szCs w:val="28"/>
    </w:rPr>
  </w:style>
  <w:style w:type="character" w:customStyle="1" w:styleId="Heading6Char">
    <w:name w:val="Heading 6 Char"/>
    <w:aliases w:val="Heading 3 - Body Char"/>
    <w:basedOn w:val="DefaultParagraphFont"/>
    <w:link w:val="Heading6"/>
    <w:uiPriority w:val="12"/>
    <w:semiHidden/>
    <w:rsid w:val="00481549"/>
    <w:rPr>
      <w:rFonts w:eastAsiaTheme="majorEastAsia" w:cstheme="majorBidi"/>
      <w:b/>
      <w:sz w:val="24"/>
      <w:szCs w:val="28"/>
    </w:rPr>
  </w:style>
  <w:style w:type="character" w:customStyle="1" w:styleId="Heading7Char">
    <w:name w:val="Heading 7 Char"/>
    <w:basedOn w:val="DefaultParagraphFont"/>
    <w:link w:val="Heading7"/>
    <w:uiPriority w:val="12"/>
    <w:semiHidden/>
    <w:rsid w:val="00481549"/>
    <w:rPr>
      <w:rFonts w:eastAsiaTheme="majorEastAsia" w:cstheme="majorBidi"/>
      <w:b/>
      <w:i/>
      <w:sz w:val="24"/>
      <w:szCs w:val="24"/>
    </w:rPr>
  </w:style>
  <w:style w:type="character" w:customStyle="1" w:styleId="Heading8Char">
    <w:name w:val="Heading 8 Char"/>
    <w:basedOn w:val="DefaultParagraphFont"/>
    <w:link w:val="Heading8"/>
    <w:uiPriority w:val="7"/>
    <w:semiHidden/>
    <w:rsid w:val="004E6CFF"/>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Section heading - Body Char"/>
    <w:basedOn w:val="DefaultParagraphFont"/>
    <w:link w:val="Heading9"/>
    <w:uiPriority w:val="12"/>
    <w:semiHidden/>
    <w:rsid w:val="00645AB3"/>
    <w:rPr>
      <w:rFonts w:eastAsiaTheme="majorEastAsia" w:cstheme="majorBidi"/>
      <w:b/>
      <w:sz w:val="36"/>
      <w:szCs w:val="28"/>
    </w:rPr>
  </w:style>
  <w:style w:type="character" w:customStyle="1" w:styleId="BalloonTextChar">
    <w:name w:val="Balloon Text Char"/>
    <w:basedOn w:val="DefaultParagraphFont"/>
    <w:link w:val="BalloonText"/>
    <w:uiPriority w:val="9"/>
    <w:semiHidden/>
    <w:rsid w:val="00F0542E"/>
    <w:rPr>
      <w:rFonts w:ascii="Segoe UI" w:hAnsi="Segoe UI" w:cs="Segoe UI"/>
      <w:sz w:val="18"/>
      <w:szCs w:val="18"/>
    </w:rPr>
  </w:style>
  <w:style w:type="table" w:styleId="TableGrid">
    <w:name w:val="Table Grid"/>
    <w:aliases w:val="Summary box,Table Gridbeth,CMA Table Template,ASD Table,MSD Table Grid,RTI AMCP Table,new style,HTAtableplain,HealthConsult,PBAC table"/>
    <w:basedOn w:val="TableNormal"/>
    <w:uiPriority w:val="39"/>
    <w:rsid w:val="004033BF"/>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Narrow" w:hAnsi="Arial Narrow"/>
        <w:b/>
        <w:sz w:val="20"/>
      </w:rPr>
      <w:tblPr/>
      <w:tcPr>
        <w:shd w:val="clear" w:color="auto" w:fill="F2F2F2" w:themeFill="background1" w:themeFillShade="F2"/>
      </w:tcPr>
    </w:tblStylePr>
    <w:tblStylePr w:type="lastRow">
      <w:rPr>
        <w:i/>
        <w:iCs/>
      </w:rPr>
    </w:tblStylePr>
    <w:tblStylePr w:type="firstCol">
      <w:rPr>
        <w:rFonts w:ascii="Arial Narrow" w:hAnsi="Arial Narrow"/>
        <w:sz w:val="20"/>
      </w:rPr>
    </w:tblStylePr>
    <w:tblStylePr w:type="lastCol">
      <w:rPr>
        <w:rFonts w:ascii="Arial Narrow" w:hAnsi="Arial Narrow"/>
        <w:i/>
        <w:iCs/>
        <w:sz w:val="20"/>
      </w:rPr>
    </w:tblStyle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 H17"/>
    <w:next w:val="Normal"/>
    <w:link w:val="CaptionChar"/>
    <w:autoRedefine/>
    <w:uiPriority w:val="35"/>
    <w:qFormat/>
    <w:rsid w:val="00A354B6"/>
    <w:pPr>
      <w:keepNext/>
      <w:keepLines/>
      <w:tabs>
        <w:tab w:val="left" w:pos="0"/>
      </w:tabs>
      <w:spacing w:after="0" w:line="240" w:lineRule="auto"/>
      <w:contextualSpacing/>
      <w:jc w:val="both"/>
    </w:pPr>
    <w:rPr>
      <w:rFonts w:ascii="Arial Narrow" w:hAnsi="Arial Narrow"/>
      <w:b/>
      <w:iCs/>
      <w:sz w:val="24"/>
      <w:szCs w:val="20"/>
    </w:rPr>
  </w:style>
  <w:style w:type="paragraph" w:customStyle="1" w:styleId="TableText">
    <w:name w:val="Table Text"/>
    <w:basedOn w:val="Normal"/>
    <w:link w:val="TableTextChar"/>
    <w:qFormat/>
    <w:rsid w:val="007D3BFB"/>
    <w:pPr>
      <w:widowControl w:val="0"/>
      <w:spacing w:before="0" w:after="0"/>
      <w:jc w:val="left"/>
    </w:pPr>
    <w:rPr>
      <w:rFonts w:ascii="Arial Narrow" w:hAnsi="Arial Narrow"/>
      <w:sz w:val="20"/>
    </w:rPr>
  </w:style>
  <w:style w:type="character" w:styleId="Hyperlink">
    <w:name w:val="Hyperlink"/>
    <w:basedOn w:val="DefaultParagraphFont"/>
    <w:rsid w:val="00BA3306"/>
    <w:rPr>
      <w:color w:val="00B0F0"/>
      <w:u w:val="single"/>
    </w:rPr>
  </w:style>
  <w:style w:type="paragraph" w:styleId="FootnoteText">
    <w:name w:val="footnote text"/>
    <w:aliases w:val="Footnote Text Char Char,Footnote Text Char2,Footnote Text Char Char1"/>
    <w:basedOn w:val="Normal"/>
    <w:link w:val="FootnoteTextChar"/>
    <w:uiPriority w:val="99"/>
    <w:rsid w:val="00BA3306"/>
    <w:pPr>
      <w:spacing w:before="0" w:after="0"/>
    </w:pPr>
    <w:rPr>
      <w:sz w:val="18"/>
      <w:szCs w:val="20"/>
    </w:rPr>
  </w:style>
  <w:style w:type="character" w:customStyle="1" w:styleId="FootnoteTextChar">
    <w:name w:val="Footnote Text Char"/>
    <w:aliases w:val="Footnote Text Char Char Char,Footnote Text Char2 Char,Footnote Text Char Char1 Char"/>
    <w:basedOn w:val="DefaultParagraphFont"/>
    <w:link w:val="FootnoteText"/>
    <w:uiPriority w:val="99"/>
    <w:rsid w:val="00481549"/>
    <w:rPr>
      <w:sz w:val="18"/>
      <w:szCs w:val="20"/>
    </w:rPr>
  </w:style>
  <w:style w:type="character" w:styleId="FootnoteReference">
    <w:name w:val="footnote reference"/>
    <w:basedOn w:val="DefaultParagraphFont"/>
    <w:uiPriority w:val="99"/>
    <w:rsid w:val="00BA3306"/>
    <w:rPr>
      <w:vertAlign w:val="superscript"/>
    </w:rPr>
  </w:style>
  <w:style w:type="character" w:styleId="CommentReference">
    <w:name w:val="annotation reference"/>
    <w:aliases w:val="Table Title,-H18,Annotationmark"/>
    <w:basedOn w:val="DefaultParagraphFont"/>
    <w:uiPriority w:val="99"/>
    <w:qFormat/>
    <w:rsid w:val="00F12ED0"/>
    <w:rPr>
      <w:rFonts w:ascii="Arial Narrow" w:hAnsi="Arial Narrow"/>
      <w:b/>
      <w:sz w:val="20"/>
      <w:szCs w:val="16"/>
    </w:rPr>
  </w:style>
  <w:style w:type="paragraph" w:styleId="CommentSubject">
    <w:name w:val="annotation subject"/>
    <w:basedOn w:val="Normal"/>
    <w:link w:val="CommentSubjectChar"/>
    <w:uiPriority w:val="99"/>
    <w:semiHidden/>
    <w:rsid w:val="004E6CFF"/>
    <w:rPr>
      <w:b/>
      <w:bCs/>
      <w:sz w:val="20"/>
      <w:szCs w:val="20"/>
    </w:rPr>
  </w:style>
  <w:style w:type="character" w:customStyle="1" w:styleId="CommentSubjectChar">
    <w:name w:val="Comment Subject Char"/>
    <w:basedOn w:val="DefaultParagraphFont"/>
    <w:link w:val="CommentSubject"/>
    <w:uiPriority w:val="99"/>
    <w:semiHidden/>
    <w:rsid w:val="004E6CFF"/>
    <w:rPr>
      <w:b/>
      <w:bCs/>
      <w:sz w:val="20"/>
      <w:szCs w:val="20"/>
    </w:rPr>
  </w:style>
  <w:style w:type="character" w:customStyle="1" w:styleId="InstructionalTextChar">
    <w:name w:val="Instructional Text Char"/>
    <w:basedOn w:val="DefaultParagraphFont"/>
    <w:link w:val="InstructionalText"/>
    <w:uiPriority w:val="3"/>
    <w:rsid w:val="00DD373C"/>
    <w:rPr>
      <w:rFonts w:cstheme="minorHAnsi"/>
      <w:color w:val="3366FF"/>
      <w:sz w:val="24"/>
    </w:rPr>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H17 Char"/>
    <w:link w:val="Caption"/>
    <w:uiPriority w:val="35"/>
    <w:rsid w:val="00A354B6"/>
    <w:rPr>
      <w:rFonts w:ascii="Arial Narrow" w:hAnsi="Arial Narrow"/>
      <w:b/>
      <w:iCs/>
      <w:sz w:val="24"/>
      <w:szCs w:val="20"/>
    </w:rPr>
  </w:style>
  <w:style w:type="paragraph" w:customStyle="1" w:styleId="TableFooter">
    <w:name w:val="Table Footer"/>
    <w:basedOn w:val="Normal"/>
    <w:link w:val="TableFooterChar"/>
    <w:qFormat/>
    <w:rsid w:val="00EA0D94"/>
    <w:pPr>
      <w:widowControl w:val="0"/>
      <w:spacing w:before="0" w:after="0"/>
      <w:contextualSpacing/>
    </w:pPr>
    <w:rPr>
      <w:rFonts w:ascii="Arial Narrow" w:eastAsia="Times New Roman" w:hAnsi="Arial Narrow" w:cs="Arial"/>
      <w:snapToGrid w:val="0"/>
      <w:sz w:val="18"/>
      <w:szCs w:val="20"/>
    </w:rPr>
  </w:style>
  <w:style w:type="character" w:customStyle="1" w:styleId="TableFooterChar">
    <w:name w:val="Table Footer Char"/>
    <w:link w:val="TableFooter"/>
    <w:rsid w:val="00EA0D94"/>
    <w:rPr>
      <w:rFonts w:ascii="Arial Narrow" w:eastAsia="Times New Roman" w:hAnsi="Arial Narrow" w:cs="Arial"/>
      <w:snapToGrid w:val="0"/>
      <w:sz w:val="18"/>
      <w:szCs w:val="20"/>
    </w:rPr>
  </w:style>
  <w:style w:type="paragraph" w:styleId="Header">
    <w:name w:val="header"/>
    <w:aliases w:val="Page Header,Header title,he=header,cntr/bld"/>
    <w:basedOn w:val="Normal"/>
    <w:link w:val="HeaderChar"/>
    <w:uiPriority w:val="99"/>
    <w:rsid w:val="00C317F3"/>
    <w:pPr>
      <w:tabs>
        <w:tab w:val="center" w:pos="4513"/>
        <w:tab w:val="right" w:pos="9026"/>
      </w:tabs>
      <w:spacing w:before="0" w:after="0"/>
    </w:pPr>
  </w:style>
  <w:style w:type="character" w:customStyle="1" w:styleId="HeaderChar">
    <w:name w:val="Header Char"/>
    <w:aliases w:val="Page Header Char,Header title Char,he=header Char,cntr/bld Char"/>
    <w:basedOn w:val="DefaultParagraphFont"/>
    <w:link w:val="Header"/>
    <w:uiPriority w:val="99"/>
    <w:rsid w:val="00481549"/>
    <w:rPr>
      <w:sz w:val="24"/>
    </w:rPr>
  </w:style>
  <w:style w:type="paragraph" w:styleId="Footer">
    <w:name w:val="footer"/>
    <w:basedOn w:val="Normal"/>
    <w:link w:val="FooterChar"/>
    <w:uiPriority w:val="99"/>
    <w:rsid w:val="00C317F3"/>
    <w:pPr>
      <w:tabs>
        <w:tab w:val="center" w:pos="4513"/>
        <w:tab w:val="right" w:pos="9026"/>
      </w:tabs>
      <w:spacing w:before="0" w:after="0"/>
    </w:pPr>
  </w:style>
  <w:style w:type="character" w:customStyle="1" w:styleId="FooterChar">
    <w:name w:val="Footer Char"/>
    <w:basedOn w:val="DefaultParagraphFont"/>
    <w:link w:val="Footer"/>
    <w:uiPriority w:val="99"/>
    <w:rsid w:val="00481549"/>
    <w:rPr>
      <w:sz w:val="24"/>
    </w:rPr>
  </w:style>
  <w:style w:type="paragraph" w:styleId="TOC2">
    <w:name w:val="toc 2"/>
    <w:basedOn w:val="Normal"/>
    <w:next w:val="Normal"/>
    <w:autoRedefine/>
    <w:uiPriority w:val="39"/>
    <w:rsid w:val="00F825B5"/>
    <w:pPr>
      <w:widowControl w:val="0"/>
      <w:tabs>
        <w:tab w:val="left" w:pos="1134"/>
        <w:tab w:val="right" w:leader="dot" w:pos="9016"/>
      </w:tabs>
      <w:spacing w:after="0"/>
      <w:ind w:left="1134" w:hanging="624"/>
    </w:pPr>
    <w:rPr>
      <w:rFonts w:ascii="Arial" w:eastAsia="Times New Roman" w:hAnsi="Arial" w:cs="Arial"/>
      <w:iCs/>
      <w:snapToGrid w:val="0"/>
      <w:sz w:val="20"/>
      <w:szCs w:val="20"/>
    </w:rPr>
  </w:style>
  <w:style w:type="paragraph" w:styleId="TOC1">
    <w:name w:val="toc 1"/>
    <w:basedOn w:val="Normal"/>
    <w:next w:val="Normal"/>
    <w:autoRedefine/>
    <w:uiPriority w:val="39"/>
    <w:rsid w:val="00F825B5"/>
    <w:pPr>
      <w:widowControl w:val="0"/>
      <w:tabs>
        <w:tab w:val="left" w:pos="510"/>
        <w:tab w:val="left" w:pos="1077"/>
        <w:tab w:val="right" w:leader="dot" w:pos="9015"/>
      </w:tabs>
      <w:spacing w:before="240" w:after="120"/>
    </w:pPr>
    <w:rPr>
      <w:rFonts w:ascii="Arial" w:eastAsia="Times New Roman" w:hAnsi="Arial" w:cs="Arial"/>
      <w:b/>
      <w:bCs/>
      <w:snapToGrid w:val="0"/>
      <w:sz w:val="20"/>
      <w:szCs w:val="20"/>
    </w:rPr>
  </w:style>
  <w:style w:type="paragraph" w:styleId="NoSpacing">
    <w:name w:val="No Spacing"/>
    <w:uiPriority w:val="1"/>
    <w:qFormat/>
    <w:rsid w:val="00C317F3"/>
    <w:pPr>
      <w:widowControl w:val="0"/>
      <w:spacing w:after="0" w:line="240" w:lineRule="auto"/>
      <w:jc w:val="both"/>
    </w:pPr>
    <w:rPr>
      <w:rFonts w:ascii="Arial" w:eastAsia="Times New Roman" w:hAnsi="Arial" w:cs="Arial"/>
      <w:snapToGrid w:val="0"/>
      <w:szCs w:val="20"/>
    </w:rPr>
  </w:style>
  <w:style w:type="paragraph" w:styleId="NormalWeb">
    <w:name w:val="Normal (Web)"/>
    <w:basedOn w:val="Normal"/>
    <w:uiPriority w:val="99"/>
    <w:semiHidden/>
    <w:rsid w:val="00C317F3"/>
    <w:pPr>
      <w:spacing w:before="100" w:after="100"/>
    </w:pPr>
    <w:rPr>
      <w:rFonts w:ascii="Times New Roman" w:eastAsia="Times New Roman" w:hAnsi="Times New Roman" w:cs="Times New Roman"/>
      <w:szCs w:val="20"/>
      <w:lang w:val="en-GB"/>
    </w:rPr>
  </w:style>
  <w:style w:type="paragraph" w:styleId="TOCHeading">
    <w:name w:val="TOC Heading"/>
    <w:basedOn w:val="Heading1"/>
    <w:next w:val="Normal"/>
    <w:uiPriority w:val="42"/>
    <w:qFormat/>
    <w:rsid w:val="00C317F3"/>
    <w:pPr>
      <w:spacing w:before="480" w:after="0" w:line="276" w:lineRule="auto"/>
      <w:outlineLvl w:val="9"/>
    </w:pPr>
    <w:rPr>
      <w:rFonts w:asciiTheme="majorHAnsi" w:hAnsiTheme="majorHAnsi"/>
      <w:bCs/>
      <w:caps/>
      <w:color w:val="2E74B5" w:themeColor="accent1" w:themeShade="BF"/>
      <w:sz w:val="28"/>
      <w:lang w:val="en-US" w:eastAsia="ja-JP"/>
    </w:rPr>
  </w:style>
  <w:style w:type="paragraph" w:styleId="TOC3">
    <w:name w:val="toc 3"/>
    <w:basedOn w:val="Normal"/>
    <w:next w:val="Normal"/>
    <w:autoRedefine/>
    <w:uiPriority w:val="39"/>
    <w:rsid w:val="00D93D75"/>
    <w:pPr>
      <w:widowControl w:val="0"/>
      <w:tabs>
        <w:tab w:val="right" w:pos="1134"/>
        <w:tab w:val="right" w:leader="dot" w:pos="9015"/>
      </w:tabs>
      <w:spacing w:after="0"/>
      <w:ind w:left="1758" w:hanging="879"/>
    </w:pPr>
    <w:rPr>
      <w:rFonts w:ascii="Arial" w:eastAsia="Times New Roman" w:hAnsi="Arial" w:cs="Arial"/>
      <w:snapToGrid w:val="0"/>
      <w:sz w:val="20"/>
      <w:szCs w:val="20"/>
    </w:rPr>
  </w:style>
  <w:style w:type="paragraph" w:styleId="TOC4">
    <w:name w:val="toc 4"/>
    <w:basedOn w:val="Normal"/>
    <w:next w:val="Normal"/>
    <w:autoRedefine/>
    <w:uiPriority w:val="39"/>
    <w:rsid w:val="00C317F3"/>
    <w:pPr>
      <w:widowControl w:val="0"/>
      <w:spacing w:before="0" w:after="0"/>
      <w:ind w:left="660"/>
    </w:pPr>
    <w:rPr>
      <w:rFonts w:eastAsia="Times New Roman" w:cs="Arial"/>
      <w:snapToGrid w:val="0"/>
      <w:sz w:val="20"/>
      <w:szCs w:val="20"/>
    </w:rPr>
  </w:style>
  <w:style w:type="paragraph" w:styleId="TOC5">
    <w:name w:val="toc 5"/>
    <w:basedOn w:val="Normal"/>
    <w:next w:val="Normal"/>
    <w:autoRedefine/>
    <w:uiPriority w:val="39"/>
    <w:rsid w:val="00C317F3"/>
    <w:pPr>
      <w:widowControl w:val="0"/>
      <w:spacing w:before="0" w:after="0"/>
      <w:ind w:left="880"/>
    </w:pPr>
    <w:rPr>
      <w:rFonts w:eastAsia="Times New Roman" w:cs="Arial"/>
      <w:snapToGrid w:val="0"/>
      <w:sz w:val="20"/>
      <w:szCs w:val="20"/>
    </w:rPr>
  </w:style>
  <w:style w:type="paragraph" w:styleId="TOC6">
    <w:name w:val="toc 6"/>
    <w:basedOn w:val="Normal"/>
    <w:next w:val="Normal"/>
    <w:autoRedefine/>
    <w:uiPriority w:val="39"/>
    <w:rsid w:val="00C317F3"/>
    <w:pPr>
      <w:widowControl w:val="0"/>
      <w:spacing w:before="0" w:after="0"/>
      <w:ind w:left="1100"/>
    </w:pPr>
    <w:rPr>
      <w:rFonts w:eastAsia="Times New Roman" w:cs="Arial"/>
      <w:snapToGrid w:val="0"/>
      <w:sz w:val="20"/>
      <w:szCs w:val="20"/>
    </w:rPr>
  </w:style>
  <w:style w:type="paragraph" w:styleId="TOC7">
    <w:name w:val="toc 7"/>
    <w:basedOn w:val="Normal"/>
    <w:next w:val="Normal"/>
    <w:autoRedefine/>
    <w:uiPriority w:val="39"/>
    <w:rsid w:val="00C317F3"/>
    <w:pPr>
      <w:widowControl w:val="0"/>
      <w:spacing w:before="0" w:after="0"/>
      <w:ind w:left="1320"/>
    </w:pPr>
    <w:rPr>
      <w:rFonts w:eastAsia="Times New Roman" w:cs="Arial"/>
      <w:snapToGrid w:val="0"/>
      <w:sz w:val="20"/>
      <w:szCs w:val="20"/>
    </w:rPr>
  </w:style>
  <w:style w:type="paragraph" w:styleId="TOC8">
    <w:name w:val="toc 8"/>
    <w:basedOn w:val="Normal"/>
    <w:next w:val="Normal"/>
    <w:autoRedefine/>
    <w:uiPriority w:val="39"/>
    <w:rsid w:val="00C317F3"/>
    <w:pPr>
      <w:widowControl w:val="0"/>
      <w:spacing w:before="0" w:after="0"/>
      <w:ind w:left="1540"/>
    </w:pPr>
    <w:rPr>
      <w:rFonts w:eastAsia="Times New Roman" w:cs="Arial"/>
      <w:snapToGrid w:val="0"/>
      <w:sz w:val="20"/>
      <w:szCs w:val="20"/>
    </w:rPr>
  </w:style>
  <w:style w:type="paragraph" w:styleId="TOC9">
    <w:name w:val="toc 9"/>
    <w:basedOn w:val="Normal"/>
    <w:next w:val="Normal"/>
    <w:autoRedefine/>
    <w:uiPriority w:val="9"/>
    <w:rsid w:val="00C317F3"/>
    <w:pPr>
      <w:widowControl w:val="0"/>
      <w:spacing w:before="0" w:after="0"/>
      <w:ind w:left="1760"/>
    </w:pPr>
    <w:rPr>
      <w:rFonts w:eastAsia="Times New Roman" w:cs="Arial"/>
      <w:snapToGrid w:val="0"/>
      <w:sz w:val="20"/>
      <w:szCs w:val="20"/>
    </w:rPr>
  </w:style>
  <w:style w:type="paragraph" w:styleId="Revision">
    <w:name w:val="Revision"/>
    <w:hidden/>
    <w:uiPriority w:val="99"/>
    <w:semiHidden/>
    <w:rsid w:val="00C317F3"/>
    <w:pPr>
      <w:spacing w:after="0" w:line="240" w:lineRule="auto"/>
    </w:pPr>
    <w:rPr>
      <w:rFonts w:ascii="Arial" w:eastAsia="Times New Roman" w:hAnsi="Arial" w:cs="Arial"/>
      <w:snapToGrid w:val="0"/>
      <w:szCs w:val="20"/>
    </w:rPr>
  </w:style>
  <w:style w:type="character" w:customStyle="1" w:styleId="ListParagraphChar">
    <w:name w:val="List Paragraph Char"/>
    <w:aliases w:val="PBAC ES Paragraph Char,Body Text Bullet Points Char,Numbered para Char,BulletPoints Char,List Paragraph1 Char,Bullet point Char,List Paragraph11 Char,Recommendation Char,Section heading Char,Footnote Char,ES Paragraph Char,lp1 Char"/>
    <w:basedOn w:val="DefaultParagraphFont"/>
    <w:link w:val="ListParagraph"/>
    <w:uiPriority w:val="34"/>
    <w:qFormat/>
    <w:locked/>
    <w:rsid w:val="00F12ED0"/>
    <w:rPr>
      <w:color w:val="000000" w:themeColor="text1"/>
      <w:sz w:val="24"/>
    </w:rPr>
  </w:style>
  <w:style w:type="numbering" w:customStyle="1" w:styleId="Headings">
    <w:name w:val="Headings"/>
    <w:uiPriority w:val="99"/>
    <w:rsid w:val="00C317F3"/>
    <w:pPr>
      <w:numPr>
        <w:numId w:val="1"/>
      </w:numPr>
    </w:pPr>
  </w:style>
  <w:style w:type="character" w:styleId="FollowedHyperlink">
    <w:name w:val="FollowedHyperlink"/>
    <w:basedOn w:val="DefaultParagraphFont"/>
    <w:uiPriority w:val="99"/>
    <w:semiHidden/>
    <w:rsid w:val="00177893"/>
    <w:rPr>
      <w:color w:val="954F72" w:themeColor="followedHyperlink"/>
      <w:u w:val="single"/>
    </w:rPr>
  </w:style>
  <w:style w:type="paragraph" w:customStyle="1" w:styleId="PBACESHeading1">
    <w:name w:val="PBAC ES Heading 1"/>
    <w:basedOn w:val="Heading1"/>
    <w:next w:val="ListParagraph"/>
    <w:link w:val="PBACESHeading1Char"/>
    <w:uiPriority w:val="1"/>
    <w:qFormat/>
    <w:rsid w:val="009A580E"/>
    <w:pPr>
      <w:numPr>
        <w:numId w:val="3"/>
      </w:numPr>
      <w:tabs>
        <w:tab w:val="left" w:pos="1077"/>
      </w:tabs>
      <w:spacing w:before="240" w:line="240" w:lineRule="auto"/>
    </w:pPr>
    <w:rPr>
      <w:rFonts w:eastAsia="Times New Roman" w:cs="Arial"/>
      <w:snapToGrid w:val="0"/>
      <w:szCs w:val="32"/>
    </w:rPr>
  </w:style>
  <w:style w:type="paragraph" w:customStyle="1" w:styleId="Heading1subheading">
    <w:name w:val="Heading 1 subheading"/>
    <w:basedOn w:val="Heading1"/>
    <w:next w:val="Normal"/>
    <w:link w:val="Heading1subheadingChar"/>
    <w:uiPriority w:val="3"/>
    <w:qFormat/>
    <w:rsid w:val="004C0ACC"/>
    <w:pPr>
      <w:numPr>
        <w:ilvl w:val="1"/>
      </w:numPr>
    </w:pPr>
    <w:rPr>
      <w:caps/>
    </w:rPr>
  </w:style>
  <w:style w:type="paragraph" w:customStyle="1" w:styleId="Heading2SECTION2">
    <w:name w:val="Heading 2 SECTION 2"/>
    <w:basedOn w:val="Heading2"/>
    <w:next w:val="Normal"/>
    <w:link w:val="Heading2SECTION2Char"/>
    <w:uiPriority w:val="3"/>
    <w:qFormat/>
    <w:rsid w:val="000374AD"/>
    <w:pPr>
      <w:numPr>
        <w:ilvl w:val="2"/>
      </w:numPr>
      <w:tabs>
        <w:tab w:val="left" w:pos="1134"/>
      </w:tabs>
    </w:pPr>
  </w:style>
  <w:style w:type="character" w:customStyle="1" w:styleId="Heading1subheadingChar">
    <w:name w:val="Heading 1 subheading Char"/>
    <w:basedOn w:val="Heading1Char"/>
    <w:link w:val="Heading1subheading"/>
    <w:uiPriority w:val="3"/>
    <w:rsid w:val="004C0ACC"/>
    <w:rPr>
      <w:rFonts w:eastAsiaTheme="majorEastAsia" w:cstheme="majorBidi"/>
      <w:b/>
      <w:caps/>
      <w:sz w:val="32"/>
      <w:szCs w:val="28"/>
    </w:rPr>
  </w:style>
  <w:style w:type="character" w:customStyle="1" w:styleId="Heading2SECTION2Char">
    <w:name w:val="Heading 2 SECTION 2 Char"/>
    <w:basedOn w:val="Heading2Char"/>
    <w:link w:val="Heading2SECTION2"/>
    <w:uiPriority w:val="3"/>
    <w:rsid w:val="000374AD"/>
    <w:rPr>
      <w:rFonts w:ascii="Arial" w:eastAsiaTheme="majorEastAsia" w:hAnsi="Arial" w:cstheme="majorBidi"/>
      <w:b/>
      <w:i/>
      <w:snapToGrid w:val="0"/>
      <w:sz w:val="28"/>
      <w:szCs w:val="28"/>
    </w:rPr>
  </w:style>
  <w:style w:type="paragraph" w:customStyle="1" w:styleId="Comment">
    <w:name w:val="Comment"/>
    <w:basedOn w:val="Normal"/>
    <w:link w:val="CommentChar"/>
    <w:uiPriority w:val="4"/>
    <w:semiHidden/>
    <w:rsid w:val="0048761C"/>
    <w:pPr>
      <w:tabs>
        <w:tab w:val="num" w:pos="720"/>
      </w:tabs>
      <w:spacing w:before="0" w:after="240" w:line="312" w:lineRule="auto"/>
    </w:pPr>
    <w:rPr>
      <w:rFonts w:ascii="Calibri" w:eastAsia="Times New Roman" w:hAnsi="Calibri" w:cs="Tahoma"/>
      <w:i/>
      <w:color w:val="C00000"/>
      <w:sz w:val="22"/>
      <w:lang w:eastAsia="en-AU"/>
    </w:rPr>
  </w:style>
  <w:style w:type="character" w:customStyle="1" w:styleId="CommentChar">
    <w:name w:val="Comment Char"/>
    <w:basedOn w:val="DefaultParagraphFont"/>
    <w:link w:val="Comment"/>
    <w:uiPriority w:val="4"/>
    <w:semiHidden/>
    <w:rsid w:val="00481549"/>
    <w:rPr>
      <w:rFonts w:ascii="Calibri" w:eastAsia="Times New Roman" w:hAnsi="Calibri" w:cs="Tahoma"/>
      <w:i/>
      <w:color w:val="C00000"/>
      <w:lang w:eastAsia="en-AU"/>
    </w:rPr>
  </w:style>
  <w:style w:type="character" w:customStyle="1" w:styleId="TableTextChar">
    <w:name w:val="Table Text Char"/>
    <w:link w:val="TableText"/>
    <w:rsid w:val="007D3BFB"/>
    <w:rPr>
      <w:rFonts w:ascii="Arial Narrow" w:hAnsi="Arial Narrow"/>
      <w:sz w:val="20"/>
    </w:rPr>
  </w:style>
  <w:style w:type="paragraph" w:customStyle="1" w:styleId="OutlineHeading1">
    <w:name w:val="Outline Heading 1"/>
    <w:basedOn w:val="Heading1"/>
    <w:next w:val="Normal"/>
    <w:link w:val="OutlineHeading1Char"/>
    <w:uiPriority w:val="3"/>
    <w:qFormat/>
    <w:rsid w:val="00325545"/>
    <w:pPr>
      <w:numPr>
        <w:numId w:val="0"/>
      </w:numPr>
    </w:pPr>
  </w:style>
  <w:style w:type="table" w:customStyle="1" w:styleId="PBACTableStyle">
    <w:name w:val="PBAC Table Style"/>
    <w:basedOn w:val="TableGrid1"/>
    <w:uiPriority w:val="99"/>
    <w:rsid w:val="004A5746"/>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styleId="ListTable1Light">
    <w:name w:val="List Table 1 Light"/>
    <w:basedOn w:val="TableNormal"/>
    <w:uiPriority w:val="46"/>
    <w:rsid w:val="00062018"/>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Accent6">
    <w:name w:val="List Table 7 Colorful Accent 6"/>
    <w:basedOn w:val="TableNormal"/>
    <w:uiPriority w:val="52"/>
    <w:rsid w:val="00062018"/>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InstructionBulletpoint">
    <w:name w:val="Instruction Bullet point"/>
    <w:basedOn w:val="InstructionalText"/>
    <w:link w:val="InstructionBulletpointChar"/>
    <w:uiPriority w:val="3"/>
    <w:qFormat/>
    <w:rsid w:val="002532B4"/>
    <w:pPr>
      <w:numPr>
        <w:numId w:val="15"/>
      </w:numPr>
      <w:spacing w:after="120"/>
      <w:jc w:val="left"/>
    </w:pPr>
    <w:rPr>
      <w:rFonts w:ascii="Calibri" w:hAnsi="Calibri"/>
    </w:rPr>
  </w:style>
  <w:style w:type="paragraph" w:customStyle="1" w:styleId="PBACESHeading2">
    <w:name w:val="PBAC ES Heading 2"/>
    <w:basedOn w:val="Heading2"/>
    <w:link w:val="PBACESHeading2Char"/>
    <w:uiPriority w:val="1"/>
    <w:qFormat/>
    <w:rsid w:val="00E54ACA"/>
    <w:pPr>
      <w:numPr>
        <w:ilvl w:val="2"/>
        <w:numId w:val="3"/>
      </w:numPr>
    </w:pPr>
    <w:rPr>
      <w:rFonts w:asciiTheme="majorHAnsi" w:hAnsiTheme="majorHAnsi"/>
    </w:rPr>
  </w:style>
  <w:style w:type="character" w:customStyle="1" w:styleId="InstructionBulletpointChar">
    <w:name w:val="Instruction Bullet point Char"/>
    <w:basedOn w:val="InstructionalTextChar"/>
    <w:link w:val="InstructionBulletpoint"/>
    <w:uiPriority w:val="3"/>
    <w:rsid w:val="002532B4"/>
    <w:rPr>
      <w:rFonts w:ascii="Calibri" w:hAnsi="Calibri" w:cstheme="minorHAnsi"/>
      <w:color w:val="3366FF"/>
      <w:sz w:val="24"/>
    </w:rPr>
  </w:style>
  <w:style w:type="character" w:customStyle="1" w:styleId="PBACESHeading2Char">
    <w:name w:val="PBAC ES Heading 2 Char"/>
    <w:basedOn w:val="Heading2Char"/>
    <w:link w:val="PBACESHeading2"/>
    <w:uiPriority w:val="1"/>
    <w:rsid w:val="00245AD1"/>
    <w:rPr>
      <w:rFonts w:asciiTheme="majorHAnsi" w:eastAsiaTheme="majorEastAsia" w:hAnsiTheme="majorHAnsi" w:cstheme="majorBidi"/>
      <w:b/>
      <w:i/>
      <w:snapToGrid w:val="0"/>
      <w:sz w:val="28"/>
      <w:szCs w:val="28"/>
    </w:rPr>
  </w:style>
  <w:style w:type="paragraph" w:customStyle="1" w:styleId="CommentTabletext">
    <w:name w:val="Comment Table text"/>
    <w:basedOn w:val="Normal"/>
    <w:uiPriority w:val="4"/>
    <w:semiHidden/>
    <w:rsid w:val="00900174"/>
    <w:pPr>
      <w:tabs>
        <w:tab w:val="num" w:pos="720"/>
      </w:tabs>
      <w:spacing w:before="40" w:after="40"/>
      <w:ind w:left="720"/>
    </w:pPr>
    <w:rPr>
      <w:rFonts w:ascii="Arial Narrow" w:eastAsia="Times New Roman" w:hAnsi="Arial Narrow" w:cs="Tahoma"/>
      <w:i/>
      <w:sz w:val="20"/>
      <w:szCs w:val="20"/>
      <w:lang w:eastAsia="en-AU"/>
    </w:rPr>
  </w:style>
  <w:style w:type="paragraph" w:customStyle="1" w:styleId="PBACESHeadingCAPS">
    <w:name w:val="PBAC ES Heading CAPS"/>
    <w:basedOn w:val="PBACESHeading2"/>
    <w:link w:val="PBACESHeadingCAPSChar"/>
    <w:uiPriority w:val="1"/>
    <w:qFormat/>
    <w:rsid w:val="00BC1ECD"/>
    <w:pPr>
      <w:numPr>
        <w:ilvl w:val="1"/>
      </w:numPr>
    </w:pPr>
    <w:rPr>
      <w:i w:val="0"/>
      <w:smallCaps/>
      <w:sz w:val="32"/>
    </w:rPr>
  </w:style>
  <w:style w:type="paragraph" w:customStyle="1" w:styleId="PBACESHeading3">
    <w:name w:val="PBAC ES Heading 3"/>
    <w:basedOn w:val="PBACESHeading2"/>
    <w:link w:val="PBACESHeading3Char"/>
    <w:uiPriority w:val="1"/>
    <w:qFormat/>
    <w:rsid w:val="00396339"/>
    <w:pPr>
      <w:numPr>
        <w:ilvl w:val="3"/>
      </w:numPr>
    </w:pPr>
    <w:rPr>
      <w:i w:val="0"/>
      <w:sz w:val="24"/>
    </w:rPr>
  </w:style>
  <w:style w:type="character" w:customStyle="1" w:styleId="PBACESHeadingCAPSChar">
    <w:name w:val="PBAC ES Heading CAPS Char"/>
    <w:basedOn w:val="PBACESHeading2Char"/>
    <w:link w:val="PBACESHeadingCAPS"/>
    <w:uiPriority w:val="1"/>
    <w:rsid w:val="00245AD1"/>
    <w:rPr>
      <w:rFonts w:asciiTheme="majorHAnsi" w:eastAsiaTheme="majorEastAsia" w:hAnsiTheme="majorHAnsi" w:cstheme="majorBidi"/>
      <w:b/>
      <w:i w:val="0"/>
      <w:smallCaps/>
      <w:snapToGrid w:val="0"/>
      <w:sz w:val="32"/>
      <w:szCs w:val="28"/>
    </w:rPr>
  </w:style>
  <w:style w:type="character" w:customStyle="1" w:styleId="PBACESHeading3Char">
    <w:name w:val="PBAC ES Heading 3 Char"/>
    <w:basedOn w:val="PBACESHeading2Char"/>
    <w:link w:val="PBACESHeading3"/>
    <w:uiPriority w:val="1"/>
    <w:rsid w:val="00245AD1"/>
    <w:rPr>
      <w:rFonts w:asciiTheme="majorHAnsi" w:eastAsiaTheme="majorEastAsia" w:hAnsiTheme="majorHAnsi" w:cstheme="majorBidi"/>
      <w:b/>
      <w:i w:val="0"/>
      <w:snapToGrid w:val="0"/>
      <w:sz w:val="24"/>
      <w:szCs w:val="28"/>
    </w:rPr>
  </w:style>
  <w:style w:type="paragraph" w:customStyle="1" w:styleId="Level1">
    <w:name w:val="Level 1"/>
    <w:basedOn w:val="Normal"/>
    <w:uiPriority w:val="3"/>
    <w:semiHidden/>
    <w:rsid w:val="001059D6"/>
  </w:style>
  <w:style w:type="paragraph" w:customStyle="1" w:styleId="PBACESParagraphBulletPoint">
    <w:name w:val="PBAC ES Paragraph Bullet Point"/>
    <w:basedOn w:val="ListParagraph"/>
    <w:link w:val="PBACESParagraphBulletPointChar"/>
    <w:uiPriority w:val="1"/>
    <w:qFormat/>
    <w:rsid w:val="00F0152D"/>
    <w:pPr>
      <w:numPr>
        <w:ilvl w:val="0"/>
        <w:numId w:val="6"/>
      </w:numPr>
      <w:spacing w:after="120"/>
      <w:ind w:left="1491" w:hanging="357"/>
    </w:pPr>
  </w:style>
  <w:style w:type="character" w:customStyle="1" w:styleId="PBACESParagraphBulletPointChar">
    <w:name w:val="PBAC ES Paragraph Bullet Point Char"/>
    <w:basedOn w:val="ListParagraphChar"/>
    <w:link w:val="PBACESParagraphBulletPoint"/>
    <w:uiPriority w:val="1"/>
    <w:rsid w:val="00245AD1"/>
    <w:rPr>
      <w:color w:val="000000" w:themeColor="text1"/>
      <w:sz w:val="24"/>
    </w:rPr>
  </w:style>
  <w:style w:type="paragraph" w:customStyle="1" w:styleId="OutlineHeading2">
    <w:name w:val="Outline Heading 2"/>
    <w:basedOn w:val="Heading2"/>
    <w:link w:val="OutlineHeading2Char"/>
    <w:uiPriority w:val="3"/>
    <w:qFormat/>
    <w:rsid w:val="007109D8"/>
  </w:style>
  <w:style w:type="character" w:customStyle="1" w:styleId="OutlineHeading2Char">
    <w:name w:val="Outline Heading 2 Char"/>
    <w:basedOn w:val="Heading2Char"/>
    <w:link w:val="OutlineHeading2"/>
    <w:uiPriority w:val="3"/>
    <w:rsid w:val="00133B1C"/>
    <w:rPr>
      <w:rFonts w:ascii="Arial" w:eastAsiaTheme="majorEastAsia" w:hAnsi="Arial" w:cstheme="majorBidi"/>
      <w:b/>
      <w:i/>
      <w:snapToGrid w:val="0"/>
      <w:sz w:val="28"/>
      <w:szCs w:val="28"/>
    </w:rPr>
  </w:style>
  <w:style w:type="table" w:styleId="TableGrid1">
    <w:name w:val="Table Grid 1"/>
    <w:basedOn w:val="TableNormal"/>
    <w:uiPriority w:val="99"/>
    <w:semiHidden/>
    <w:unhideWhenUsed/>
    <w:rsid w:val="00264773"/>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7A0C94"/>
    <w:pPr>
      <w:tabs>
        <w:tab w:val="decimal" w:pos="396"/>
      </w:tabs>
      <w:jc w:val="center"/>
    </w:pPr>
  </w:style>
  <w:style w:type="paragraph" w:customStyle="1" w:styleId="TableRowHeader">
    <w:name w:val="Table Row Header"/>
    <w:basedOn w:val="TableText"/>
    <w:link w:val="TableRowHeaderChar"/>
    <w:qFormat/>
    <w:rsid w:val="0015150F"/>
    <w:pPr>
      <w:jc w:val="center"/>
    </w:pPr>
    <w:rPr>
      <w:b/>
    </w:rPr>
  </w:style>
  <w:style w:type="character" w:styleId="HTMLCite">
    <w:name w:val="HTML Cite"/>
    <w:basedOn w:val="DefaultParagraphFont"/>
    <w:uiPriority w:val="99"/>
    <w:semiHidden/>
    <w:rsid w:val="00D61F15"/>
    <w:rPr>
      <w:i/>
      <w:iCs/>
    </w:rPr>
  </w:style>
  <w:style w:type="paragraph" w:customStyle="1" w:styleId="Heading2Clinical">
    <w:name w:val="Heading 2 Clinical"/>
    <w:basedOn w:val="Heading3"/>
    <w:next w:val="Normal"/>
    <w:link w:val="Heading2ClinicalChar"/>
    <w:uiPriority w:val="1"/>
    <w:semiHidden/>
    <w:rsid w:val="000B35EA"/>
    <w:pPr>
      <w:numPr>
        <w:ilvl w:val="4"/>
      </w:numPr>
      <w:tabs>
        <w:tab w:val="left" w:pos="1418"/>
      </w:tabs>
    </w:pPr>
    <w:rPr>
      <w:i/>
    </w:rPr>
  </w:style>
  <w:style w:type="character" w:customStyle="1" w:styleId="Heading2ClinicalChar">
    <w:name w:val="Heading 2 Clinical Char"/>
    <w:basedOn w:val="Heading4Char"/>
    <w:link w:val="Heading2Clinical"/>
    <w:uiPriority w:val="1"/>
    <w:semiHidden/>
    <w:rsid w:val="00394C83"/>
    <w:rPr>
      <w:rFonts w:eastAsiaTheme="majorEastAsia" w:cstheme="majorBidi"/>
      <w:b/>
      <w:i/>
      <w:color w:val="000000" w:themeColor="text1"/>
      <w:sz w:val="28"/>
      <w:szCs w:val="28"/>
    </w:rPr>
  </w:style>
  <w:style w:type="paragraph" w:customStyle="1" w:styleId="MSACSubtitle">
    <w:name w:val="MSAC Subtitle"/>
    <w:basedOn w:val="Normal"/>
    <w:next w:val="Normal"/>
    <w:link w:val="MSACSubtitleChar"/>
    <w:uiPriority w:val="1"/>
    <w:rsid w:val="00111951"/>
    <w:pPr>
      <w:spacing w:before="0" w:after="240"/>
      <w:jc w:val="center"/>
    </w:pPr>
    <w:rPr>
      <w:rFonts w:ascii="Arial" w:hAnsi="Arial"/>
      <w:b/>
      <w:i/>
      <w:color w:val="000080"/>
      <w:sz w:val="28"/>
    </w:rPr>
  </w:style>
  <w:style w:type="character" w:customStyle="1" w:styleId="PBACESHeading1Char">
    <w:name w:val="PBAC ES Heading 1 Char"/>
    <w:basedOn w:val="Heading1Char"/>
    <w:link w:val="PBACESHeading1"/>
    <w:uiPriority w:val="1"/>
    <w:rsid w:val="00245AD1"/>
    <w:rPr>
      <w:rFonts w:eastAsia="Times New Roman" w:cs="Arial"/>
      <w:b/>
      <w:snapToGrid w:val="0"/>
      <w:sz w:val="32"/>
      <w:szCs w:val="32"/>
    </w:rPr>
  </w:style>
  <w:style w:type="character" w:customStyle="1" w:styleId="MSACSubtitleChar">
    <w:name w:val="MSAC Subtitle Char"/>
    <w:basedOn w:val="DefaultParagraphFont"/>
    <w:link w:val="MSACSubtitle"/>
    <w:uiPriority w:val="1"/>
    <w:rsid w:val="00245AD1"/>
    <w:rPr>
      <w:rFonts w:ascii="Arial" w:hAnsi="Arial"/>
      <w:b/>
      <w:i/>
      <w:color w:val="000080"/>
      <w:sz w:val="28"/>
    </w:rPr>
  </w:style>
  <w:style w:type="paragraph" w:customStyle="1" w:styleId="MSACHeading1">
    <w:name w:val="MSAC Heading 1"/>
    <w:basedOn w:val="Heading1"/>
    <w:next w:val="MSACESParagraph"/>
    <w:link w:val="MSACHeading1Char"/>
    <w:uiPriority w:val="1"/>
    <w:qFormat/>
    <w:rsid w:val="001E1827"/>
    <w:pPr>
      <w:numPr>
        <w:ilvl w:val="5"/>
        <w:numId w:val="3"/>
      </w:numPr>
      <w:spacing w:before="160" w:after="240"/>
    </w:pPr>
    <w:rPr>
      <w:rFonts w:ascii="Arial" w:hAnsi="Arial"/>
      <w:sz w:val="24"/>
    </w:rPr>
  </w:style>
  <w:style w:type="paragraph" w:customStyle="1" w:styleId="MSACESParagraph">
    <w:name w:val="MSAC ES Paragraph"/>
    <w:link w:val="MSACESParagraphChar"/>
    <w:uiPriority w:val="1"/>
    <w:qFormat/>
    <w:rsid w:val="00EB360C"/>
    <w:pPr>
      <w:spacing w:after="240" w:line="240" w:lineRule="auto"/>
    </w:pPr>
    <w:rPr>
      <w:rFonts w:ascii="Times New Roman" w:hAnsi="Times New Roman"/>
      <w:sz w:val="24"/>
    </w:rPr>
  </w:style>
  <w:style w:type="character" w:customStyle="1" w:styleId="MSACHeading1Char">
    <w:name w:val="MSAC Heading 1 Char"/>
    <w:basedOn w:val="DefaultParagraphFont"/>
    <w:link w:val="MSACHeading1"/>
    <w:uiPriority w:val="1"/>
    <w:rsid w:val="00245AD1"/>
    <w:rPr>
      <w:rFonts w:ascii="Arial" w:eastAsiaTheme="majorEastAsia" w:hAnsi="Arial" w:cstheme="majorBidi"/>
      <w:b/>
      <w:sz w:val="24"/>
      <w:szCs w:val="28"/>
    </w:rPr>
  </w:style>
  <w:style w:type="paragraph" w:customStyle="1" w:styleId="MSACESHeading2">
    <w:name w:val="MSAC ES Heading 2"/>
    <w:basedOn w:val="Heading2"/>
    <w:next w:val="MSACESParagraph"/>
    <w:link w:val="MSACESHeading2Char"/>
    <w:uiPriority w:val="1"/>
    <w:qFormat/>
    <w:rsid w:val="001E1827"/>
    <w:pPr>
      <w:numPr>
        <w:ilvl w:val="6"/>
        <w:numId w:val="3"/>
      </w:numPr>
    </w:pPr>
    <w:rPr>
      <w:rFonts w:ascii="Cambria" w:hAnsi="Cambria"/>
      <w:i w:val="0"/>
      <w:sz w:val="24"/>
    </w:rPr>
  </w:style>
  <w:style w:type="paragraph" w:customStyle="1" w:styleId="MSACESBulletPoint">
    <w:name w:val="MSAC ES Bullet Point"/>
    <w:basedOn w:val="MSACESParagraph"/>
    <w:link w:val="MSACESBulletPointChar"/>
    <w:uiPriority w:val="1"/>
    <w:rsid w:val="002532B4"/>
    <w:pPr>
      <w:numPr>
        <w:numId w:val="2"/>
      </w:numPr>
      <w:spacing w:before="120" w:after="120"/>
      <w:ind w:left="714" w:hanging="357"/>
    </w:pPr>
  </w:style>
  <w:style w:type="character" w:customStyle="1" w:styleId="MSACESHeading2Char">
    <w:name w:val="MSAC ES Heading 2 Char"/>
    <w:basedOn w:val="DefaultParagraphFont"/>
    <w:link w:val="MSACESHeading2"/>
    <w:uiPriority w:val="1"/>
    <w:rsid w:val="00245AD1"/>
    <w:rPr>
      <w:rFonts w:ascii="Cambria" w:eastAsiaTheme="majorEastAsia" w:hAnsi="Cambria" w:cstheme="majorBidi"/>
      <w:b/>
      <w:snapToGrid w:val="0"/>
      <w:sz w:val="24"/>
      <w:szCs w:val="28"/>
    </w:rPr>
  </w:style>
  <w:style w:type="character" w:customStyle="1" w:styleId="TableNumberChar">
    <w:name w:val="Table Number Char"/>
    <w:basedOn w:val="TableTextChar"/>
    <w:link w:val="TableNumber"/>
    <w:rsid w:val="007A0C94"/>
    <w:rPr>
      <w:rFonts w:ascii="Arial Narrow" w:hAnsi="Arial Narrow"/>
      <w:sz w:val="20"/>
    </w:rPr>
  </w:style>
  <w:style w:type="character" w:customStyle="1" w:styleId="MSACESParagraphChar">
    <w:name w:val="MSAC ES Paragraph Char"/>
    <w:basedOn w:val="DefaultParagraphFont"/>
    <w:link w:val="MSACESParagraph"/>
    <w:uiPriority w:val="1"/>
    <w:rsid w:val="004E6CFF"/>
    <w:rPr>
      <w:rFonts w:ascii="Times New Roman" w:hAnsi="Times New Roman"/>
      <w:sz w:val="24"/>
    </w:rPr>
  </w:style>
  <w:style w:type="character" w:customStyle="1" w:styleId="MSACESBulletPointChar">
    <w:name w:val="MSAC ES Bullet Point Char"/>
    <w:basedOn w:val="MSACESParagraphChar"/>
    <w:link w:val="MSACESBulletPoint"/>
    <w:uiPriority w:val="1"/>
    <w:rsid w:val="00394C83"/>
    <w:rPr>
      <w:rFonts w:ascii="Times New Roman" w:hAnsi="Times New Roman"/>
      <w:sz w:val="24"/>
    </w:rPr>
  </w:style>
  <w:style w:type="paragraph" w:customStyle="1" w:styleId="ESHeading10">
    <w:name w:val="ES Heading 1"/>
    <w:basedOn w:val="Heading1"/>
    <w:next w:val="Heading1"/>
    <w:uiPriority w:val="8"/>
    <w:semiHidden/>
    <w:rsid w:val="00703418"/>
    <w:pPr>
      <w:spacing w:before="240" w:line="240" w:lineRule="auto"/>
      <w:ind w:left="720" w:hanging="720"/>
    </w:pPr>
    <w:rPr>
      <w:rFonts w:eastAsia="Times New Roman" w:cs="Arial"/>
      <w:snapToGrid w:val="0"/>
      <w:szCs w:val="32"/>
    </w:rPr>
  </w:style>
  <w:style w:type="paragraph" w:customStyle="1" w:styleId="ESHeading2">
    <w:name w:val="ES Heading 2"/>
    <w:basedOn w:val="Heading2"/>
    <w:uiPriority w:val="8"/>
    <w:semiHidden/>
    <w:rsid w:val="00703418"/>
    <w:pPr>
      <w:ind w:left="720" w:hanging="720"/>
    </w:pPr>
    <w:rPr>
      <w:rFonts w:asciiTheme="majorHAnsi" w:hAnsiTheme="majorHAnsi"/>
    </w:rPr>
  </w:style>
  <w:style w:type="paragraph" w:customStyle="1" w:styleId="ESHeadingCAPS">
    <w:name w:val="ES Heading CAPS"/>
    <w:basedOn w:val="ESHeading2"/>
    <w:uiPriority w:val="8"/>
    <w:semiHidden/>
    <w:rsid w:val="00703418"/>
    <w:rPr>
      <w:i w:val="0"/>
      <w:smallCaps/>
      <w:sz w:val="32"/>
    </w:rPr>
  </w:style>
  <w:style w:type="paragraph" w:customStyle="1" w:styleId="ESHeading3">
    <w:name w:val="ES Heading 3"/>
    <w:basedOn w:val="ESHeading2"/>
    <w:uiPriority w:val="8"/>
    <w:semiHidden/>
    <w:rsid w:val="00703418"/>
    <w:pPr>
      <w:ind w:left="1080" w:hanging="1080"/>
    </w:pPr>
    <w:rPr>
      <w:i w:val="0"/>
      <w:sz w:val="24"/>
    </w:rPr>
  </w:style>
  <w:style w:type="numbering" w:customStyle="1" w:styleId="MSACESBulletpoints">
    <w:name w:val="MSAC ES Bullet points"/>
    <w:uiPriority w:val="99"/>
    <w:rsid w:val="00FA1A77"/>
    <w:pPr>
      <w:numPr>
        <w:numId w:val="4"/>
      </w:numPr>
    </w:pPr>
  </w:style>
  <w:style w:type="paragraph" w:customStyle="1" w:styleId="MainBodyBulletPoint">
    <w:name w:val="MainBody Bullet Point"/>
    <w:basedOn w:val="InstructionBulletpoint"/>
    <w:link w:val="MainBodyBulletPointChar"/>
    <w:uiPriority w:val="1"/>
    <w:qFormat/>
    <w:rsid w:val="002532B4"/>
    <w:pPr>
      <w:numPr>
        <w:numId w:val="5"/>
      </w:numPr>
    </w:pPr>
    <w:rPr>
      <w:color w:val="auto"/>
    </w:rPr>
  </w:style>
  <w:style w:type="character" w:customStyle="1" w:styleId="MainBodyBulletPointChar">
    <w:name w:val="MainBody Bullet Point Char"/>
    <w:basedOn w:val="InstructionBulletpointChar"/>
    <w:link w:val="MainBodyBulletPoint"/>
    <w:uiPriority w:val="1"/>
    <w:rsid w:val="00F61E38"/>
    <w:rPr>
      <w:rFonts w:ascii="Calibri" w:hAnsi="Calibri" w:cstheme="minorHAnsi"/>
      <w:color w:val="3366FF"/>
      <w:sz w:val="24"/>
    </w:rPr>
  </w:style>
  <w:style w:type="character" w:customStyle="1" w:styleId="OutlineHeading1Char">
    <w:name w:val="Outline Heading 1 Char"/>
    <w:basedOn w:val="Heading1Char"/>
    <w:link w:val="OutlineHeading1"/>
    <w:uiPriority w:val="3"/>
    <w:rsid w:val="00325545"/>
    <w:rPr>
      <w:rFonts w:eastAsiaTheme="majorEastAsia" w:cstheme="majorBidi"/>
      <w:b/>
      <w:sz w:val="32"/>
      <w:szCs w:val="28"/>
    </w:rPr>
  </w:style>
  <w:style w:type="numbering" w:customStyle="1" w:styleId="Style1">
    <w:name w:val="Style1"/>
    <w:uiPriority w:val="99"/>
    <w:rsid w:val="009A580E"/>
    <w:pPr>
      <w:numPr>
        <w:numId w:val="7"/>
      </w:numPr>
    </w:pPr>
  </w:style>
  <w:style w:type="numbering" w:customStyle="1" w:styleId="Style2">
    <w:name w:val="Style2"/>
    <w:uiPriority w:val="99"/>
    <w:rsid w:val="002A391F"/>
    <w:pPr>
      <w:numPr>
        <w:numId w:val="9"/>
      </w:numPr>
    </w:pPr>
  </w:style>
  <w:style w:type="table" w:customStyle="1" w:styleId="ListTable1Light1">
    <w:name w:val="List Table 1 Light1"/>
    <w:basedOn w:val="TableNormal"/>
    <w:uiPriority w:val="46"/>
    <w:rsid w:val="00104A1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
    <w:name w:val="List Table 7 Colorful - Accent 61"/>
    <w:basedOn w:val="TableNormal"/>
    <w:uiPriority w:val="52"/>
    <w:rsid w:val="00104A1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mphasis">
    <w:name w:val="Emphasis"/>
    <w:basedOn w:val="DefaultParagraphFont"/>
    <w:uiPriority w:val="20"/>
    <w:qFormat/>
    <w:rsid w:val="003D1FB3"/>
    <w:rPr>
      <w:i/>
      <w:iCs/>
    </w:rPr>
  </w:style>
  <w:style w:type="numbering" w:customStyle="1" w:styleId="Style3">
    <w:name w:val="Style3"/>
    <w:uiPriority w:val="99"/>
    <w:rsid w:val="0076446C"/>
    <w:pPr>
      <w:numPr>
        <w:numId w:val="10"/>
      </w:numPr>
    </w:pPr>
  </w:style>
  <w:style w:type="character" w:customStyle="1" w:styleId="TableRowHeaderChar">
    <w:name w:val="Table Row Header Char"/>
    <w:basedOn w:val="TableTextChar"/>
    <w:link w:val="TableRowHeader"/>
    <w:rsid w:val="0015150F"/>
    <w:rPr>
      <w:rFonts w:ascii="Arial Narrow" w:hAnsi="Arial Narrow"/>
      <w:b/>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Comment Text Char1 Char"/>
    <w:basedOn w:val="Normal"/>
    <w:link w:val="CommentTextChar"/>
    <w:uiPriority w:val="99"/>
    <w:unhideWhenUsed/>
    <w:qFormat/>
    <w:rsid w:val="001952BB"/>
    <w:rPr>
      <w:sz w:val="20"/>
      <w:szCs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uiPriority w:val="99"/>
    <w:rsid w:val="001952BB"/>
    <w:rPr>
      <w:sz w:val="20"/>
      <w:szCs w:val="20"/>
    </w:rPr>
  </w:style>
  <w:style w:type="paragraph" w:customStyle="1" w:styleId="Guidelinescross-ref">
    <w:name w:val="Guidelines cross-ref"/>
    <w:basedOn w:val="Normal"/>
    <w:uiPriority w:val="99"/>
    <w:qFormat/>
    <w:rsid w:val="001952BB"/>
    <w:pPr>
      <w:spacing w:before="240" w:after="240" w:line="259" w:lineRule="auto"/>
      <w:jc w:val="left"/>
    </w:pPr>
    <w:rPr>
      <w:rFonts w:ascii="Franklin Gothic Book" w:hAnsi="Franklin Gothic Book"/>
      <w:b/>
      <w:color w:val="0070C0"/>
    </w:rPr>
  </w:style>
  <w:style w:type="paragraph" w:customStyle="1" w:styleId="Instructionaltext0">
    <w:name w:val="Instructional text"/>
    <w:basedOn w:val="Normal"/>
    <w:link w:val="InstructionaltextChar0"/>
    <w:qFormat/>
    <w:rsid w:val="001952BB"/>
    <w:pPr>
      <w:spacing w:line="259" w:lineRule="auto"/>
      <w:jc w:val="left"/>
    </w:pPr>
    <w:rPr>
      <w:rFonts w:ascii="Franklin Gothic Book" w:hAnsi="Franklin Gothic Book"/>
      <w:color w:val="258221"/>
      <w:sz w:val="22"/>
    </w:rPr>
  </w:style>
  <w:style w:type="character" w:customStyle="1" w:styleId="InstructionaltextChar0">
    <w:name w:val="Instructional text Char"/>
    <w:basedOn w:val="DefaultParagraphFont"/>
    <w:link w:val="Instructionaltext0"/>
    <w:rsid w:val="001952BB"/>
    <w:rPr>
      <w:rFonts w:ascii="Franklin Gothic Book" w:hAnsi="Franklin Gothic Book"/>
      <w:color w:val="258221"/>
    </w:rPr>
  </w:style>
  <w:style w:type="paragraph" w:customStyle="1" w:styleId="Instructionaltext-afterfiguretable">
    <w:name w:val="Instructional text - after figure/table"/>
    <w:basedOn w:val="Instructionaltext0"/>
    <w:uiPriority w:val="99"/>
    <w:qFormat/>
    <w:rsid w:val="008A41CD"/>
    <w:pPr>
      <w:spacing w:before="360"/>
    </w:pPr>
  </w:style>
  <w:style w:type="paragraph" w:customStyle="1" w:styleId="Instructionaltext-bullet">
    <w:name w:val="Instructional text - bullet"/>
    <w:basedOn w:val="Instructionaltext0"/>
    <w:uiPriority w:val="99"/>
    <w:qFormat/>
    <w:rsid w:val="00FD07C6"/>
    <w:pPr>
      <w:numPr>
        <w:numId w:val="11"/>
      </w:numPr>
      <w:spacing w:before="0" w:after="0"/>
      <w:ind w:left="714" w:hanging="357"/>
    </w:pPr>
  </w:style>
  <w:style w:type="paragraph" w:customStyle="1" w:styleId="TableFigureFooter">
    <w:name w:val="Table/Figure Footer"/>
    <w:basedOn w:val="Normal"/>
    <w:link w:val="TableFigureFooterChar"/>
    <w:qFormat/>
    <w:rsid w:val="00817447"/>
    <w:pPr>
      <w:tabs>
        <w:tab w:val="left" w:pos="284"/>
      </w:tabs>
      <w:spacing w:before="0" w:after="0"/>
      <w:jc w:val="left"/>
    </w:pPr>
    <w:rPr>
      <w:rFonts w:ascii="Arial Narrow" w:eastAsia="Times New Roman" w:hAnsi="Arial Narrow" w:cs="Arial"/>
      <w:snapToGrid w:val="0"/>
      <w:sz w:val="18"/>
      <w:lang w:eastAsia="en-AU"/>
    </w:rPr>
  </w:style>
  <w:style w:type="character" w:customStyle="1" w:styleId="TableFigureFooterChar">
    <w:name w:val="Table/Figure Footer Char"/>
    <w:link w:val="TableFigureFooter"/>
    <w:rsid w:val="00817447"/>
    <w:rPr>
      <w:rFonts w:ascii="Arial Narrow" w:eastAsia="Times New Roman" w:hAnsi="Arial Narrow" w:cs="Arial"/>
      <w:snapToGrid w:val="0"/>
      <w:sz w:val="18"/>
      <w:lang w:eastAsia="en-AU"/>
    </w:rPr>
  </w:style>
  <w:style w:type="paragraph" w:customStyle="1" w:styleId="Bullet">
    <w:name w:val="Bullet"/>
    <w:basedOn w:val="Normal"/>
    <w:qFormat/>
    <w:rsid w:val="00E44C0B"/>
    <w:pPr>
      <w:numPr>
        <w:numId w:val="12"/>
      </w:numPr>
      <w:spacing w:after="120"/>
      <w:jc w:val="left"/>
    </w:pPr>
    <w:rPr>
      <w:sz w:val="22"/>
    </w:rPr>
  </w:style>
  <w:style w:type="paragraph" w:customStyle="1" w:styleId="Summaryboxheading">
    <w:name w:val="Summary box heading"/>
    <w:basedOn w:val="Normal"/>
    <w:uiPriority w:val="99"/>
    <w:rsid w:val="00276C8F"/>
    <w:pPr>
      <w:spacing w:after="100" w:afterAutospacing="1" w:line="259" w:lineRule="auto"/>
    </w:pPr>
    <w:rPr>
      <w:rFonts w:ascii="Arial Narrow" w:eastAsia="Times New Roman" w:hAnsi="Arial Narrow" w:cs="Tahoma"/>
      <w:b/>
      <w:sz w:val="22"/>
      <w:lang w:eastAsia="en-AU"/>
    </w:rPr>
  </w:style>
  <w:style w:type="paragraph" w:customStyle="1" w:styleId="In-tableHeading">
    <w:name w:val="In-table Heading"/>
    <w:uiPriority w:val="99"/>
    <w:qFormat/>
    <w:rsid w:val="000239BE"/>
    <w:pPr>
      <w:keepNext/>
      <w:spacing w:after="0" w:line="240" w:lineRule="auto"/>
    </w:pPr>
    <w:rPr>
      <w:rFonts w:ascii="Arial Narrow" w:eastAsiaTheme="majorEastAsia" w:hAnsi="Arial Narrow" w:cs="Times New Roman"/>
      <w:b/>
      <w:sz w:val="20"/>
      <w:szCs w:val="24"/>
      <w:lang w:val="en-US" w:eastAsia="en-AU"/>
    </w:rPr>
  </w:style>
  <w:style w:type="paragraph" w:customStyle="1" w:styleId="Tabletext0">
    <w:name w:val="Table text"/>
    <w:basedOn w:val="Normal"/>
    <w:link w:val="TabletextChar0"/>
    <w:qFormat/>
    <w:rsid w:val="00F4445A"/>
    <w:pPr>
      <w:spacing w:before="0" w:after="0"/>
      <w:jc w:val="left"/>
    </w:pPr>
    <w:rPr>
      <w:rFonts w:ascii="Arial Narrow" w:eastAsia="Times New Roman" w:hAnsi="Arial Narrow" w:cs="Times New Roman"/>
      <w:snapToGrid w:val="0"/>
      <w:sz w:val="20"/>
      <w:szCs w:val="24"/>
      <w:lang w:eastAsia="en-AU"/>
    </w:rPr>
  </w:style>
  <w:style w:type="character" w:customStyle="1" w:styleId="TabletextChar0">
    <w:name w:val="Table text Char"/>
    <w:link w:val="Tabletext0"/>
    <w:rsid w:val="00F4445A"/>
    <w:rPr>
      <w:rFonts w:ascii="Arial Narrow" w:eastAsia="Times New Roman" w:hAnsi="Arial Narrow" w:cs="Times New Roman"/>
      <w:snapToGrid w:val="0"/>
      <w:sz w:val="20"/>
      <w:szCs w:val="24"/>
      <w:lang w:eastAsia="en-AU"/>
    </w:rPr>
  </w:style>
  <w:style w:type="paragraph" w:customStyle="1" w:styleId="TableFigureHeading">
    <w:name w:val="Table/Figure Heading"/>
    <w:next w:val="In-tableHeading"/>
    <w:link w:val="TableFigureHeadingChar"/>
    <w:qFormat/>
    <w:rsid w:val="00F4445A"/>
    <w:pPr>
      <w:keepNext/>
      <w:spacing w:after="0" w:line="240" w:lineRule="auto"/>
    </w:pPr>
    <w:rPr>
      <w:rFonts w:ascii="Arial Narrow" w:eastAsiaTheme="majorEastAsia" w:hAnsi="Arial Narrow" w:cstheme="majorBidi"/>
      <w:b/>
      <w:bCs/>
      <w:sz w:val="20"/>
      <w:szCs w:val="24"/>
      <w:lang w:eastAsia="en-AU"/>
    </w:rPr>
  </w:style>
  <w:style w:type="character" w:customStyle="1" w:styleId="TableFigureHeadingChar">
    <w:name w:val="Table/Figure Heading Char"/>
    <w:basedOn w:val="DefaultParagraphFont"/>
    <w:link w:val="TableFigureHeading"/>
    <w:rsid w:val="00F4445A"/>
    <w:rPr>
      <w:rFonts w:ascii="Arial Narrow" w:eastAsiaTheme="majorEastAsia" w:hAnsi="Arial Narrow" w:cstheme="majorBidi"/>
      <w:b/>
      <w:bCs/>
      <w:sz w:val="20"/>
      <w:szCs w:val="24"/>
      <w:lang w:eastAsia="en-AU"/>
    </w:rPr>
  </w:style>
  <w:style w:type="table" w:customStyle="1" w:styleId="ASDTable1">
    <w:name w:val="ASD Table1"/>
    <w:basedOn w:val="TableNormal"/>
    <w:next w:val="TableGrid"/>
    <w:rsid w:val="00CD7A48"/>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ListParagraph"/>
    <w:uiPriority w:val="99"/>
    <w:rsid w:val="00636D93"/>
    <w:pPr>
      <w:numPr>
        <w:ilvl w:val="0"/>
        <w:numId w:val="13"/>
      </w:numPr>
      <w:spacing w:before="0" w:after="120"/>
      <w:contextualSpacing/>
    </w:pPr>
    <w:rPr>
      <w:rFonts w:eastAsia="Times New Roman" w:cs="Arial"/>
      <w:snapToGrid w:val="0"/>
      <w:color w:val="auto"/>
      <w:szCs w:val="24"/>
      <w:lang w:eastAsia="en-AU"/>
    </w:rPr>
  </w:style>
  <w:style w:type="paragraph" w:customStyle="1" w:styleId="Commentitalics">
    <w:name w:val="Comment (italics)"/>
    <w:basedOn w:val="Normal"/>
    <w:next w:val="Normal"/>
    <w:uiPriority w:val="99"/>
    <w:rsid w:val="00571D72"/>
    <w:pPr>
      <w:spacing w:before="0" w:after="0"/>
    </w:pPr>
    <w:rPr>
      <w:rFonts w:ascii="Calibri" w:eastAsia="Times New Roman" w:hAnsi="Calibri" w:cs="Arial"/>
      <w:i/>
      <w:szCs w:val="24"/>
      <w:lang w:eastAsia="en-AU"/>
    </w:rPr>
  </w:style>
  <w:style w:type="paragraph" w:customStyle="1" w:styleId="2-SectionHeading">
    <w:name w:val="2-Section Heading"/>
    <w:qFormat/>
    <w:rsid w:val="00571D72"/>
    <w:pPr>
      <w:keepNext/>
      <w:spacing w:before="240" w:after="120" w:line="240" w:lineRule="auto"/>
      <w:ind w:left="720" w:hanging="720"/>
      <w:outlineLvl w:val="0"/>
    </w:pPr>
    <w:rPr>
      <w:rFonts w:eastAsia="Times New Roman" w:cs="Arial"/>
      <w:b/>
      <w:snapToGrid w:val="0"/>
      <w:sz w:val="32"/>
      <w:szCs w:val="32"/>
      <w:lang w:eastAsia="en-AU"/>
    </w:rPr>
  </w:style>
  <w:style w:type="paragraph" w:customStyle="1" w:styleId="3-BodyText">
    <w:name w:val="3-Body Text"/>
    <w:basedOn w:val="ListParagraph"/>
    <w:link w:val="3-BodyTextChar"/>
    <w:qFormat/>
    <w:rsid w:val="00571D72"/>
    <w:pPr>
      <w:numPr>
        <w:ilvl w:val="0"/>
        <w:numId w:val="0"/>
      </w:numPr>
      <w:spacing w:before="0" w:after="120"/>
      <w:ind w:left="720" w:hanging="720"/>
    </w:pPr>
    <w:rPr>
      <w:rFonts w:eastAsia="Times New Roman" w:cs="Arial"/>
      <w:snapToGrid w:val="0"/>
      <w:color w:val="auto"/>
      <w:szCs w:val="24"/>
      <w:lang w:eastAsia="en-AU"/>
    </w:rPr>
  </w:style>
  <w:style w:type="character" w:customStyle="1" w:styleId="3-BodyTextChar">
    <w:name w:val="3-Body Text Char"/>
    <w:basedOn w:val="ListParagraphChar"/>
    <w:link w:val="3-BodyText"/>
    <w:rsid w:val="009E2636"/>
    <w:rPr>
      <w:rFonts w:eastAsia="Times New Roman" w:cs="Arial"/>
      <w:snapToGrid w:val="0"/>
      <w:color w:val="000000" w:themeColor="text1"/>
      <w:sz w:val="24"/>
      <w:szCs w:val="24"/>
      <w:lang w:eastAsia="en-AU"/>
    </w:rPr>
  </w:style>
  <w:style w:type="paragraph" w:customStyle="1" w:styleId="RegularText">
    <w:name w:val="Regular Text"/>
    <w:basedOn w:val="BodyText"/>
    <w:link w:val="RegularTextChar"/>
    <w:rsid w:val="009E2636"/>
    <w:pPr>
      <w:spacing w:before="0" w:after="0"/>
      <w:jc w:val="left"/>
    </w:pPr>
    <w:rPr>
      <w:rFonts w:ascii="Calibri" w:eastAsia="Times New Roman" w:hAnsi="Calibri" w:cs="Arial"/>
      <w:b/>
      <w:szCs w:val="24"/>
      <w:lang w:eastAsia="en-AU"/>
    </w:rPr>
  </w:style>
  <w:style w:type="character" w:customStyle="1" w:styleId="RegularTextChar">
    <w:name w:val="Regular Text Char"/>
    <w:basedOn w:val="BodyTextChar"/>
    <w:link w:val="RegularText"/>
    <w:rsid w:val="009E2636"/>
    <w:rPr>
      <w:rFonts w:ascii="Calibri" w:eastAsia="Times New Roman" w:hAnsi="Calibri" w:cs="Arial"/>
      <w:b/>
      <w:sz w:val="24"/>
      <w:szCs w:val="24"/>
      <w:lang w:eastAsia="en-AU"/>
    </w:rPr>
  </w:style>
  <w:style w:type="paragraph" w:styleId="BodyText">
    <w:name w:val="Body Text"/>
    <w:aliases w:val="- H16,Char1,Body Text PP,Body Text Char1 Char,Body Text Char3 Char Char,Body Text Char2 Char1 Char Char,Body Text Char1 Char Char1 Char Char,Body Text Char Char Char Char1 Char Char,Body Text Char1 Char Char Char Char1 Char Char"/>
    <w:basedOn w:val="Normal"/>
    <w:link w:val="BodyTextChar"/>
    <w:uiPriority w:val="99"/>
    <w:unhideWhenUsed/>
    <w:qFormat/>
    <w:rsid w:val="009E2636"/>
    <w:pPr>
      <w:spacing w:after="120"/>
    </w:pPr>
  </w:style>
  <w:style w:type="character" w:customStyle="1" w:styleId="BodyTextChar">
    <w:name w:val="Body Text Char"/>
    <w:aliases w:val="- H16 Char,Char1 Char,Body Text PP Char,Body Text Char1 Char Char,Body Text Char3 Char Char Char,Body Text Char2 Char1 Char Char Char,Body Text Char1 Char Char1 Char Char Char,Body Text Char Char Char Char1 Char Char Char"/>
    <w:basedOn w:val="DefaultParagraphFont"/>
    <w:link w:val="BodyText"/>
    <w:uiPriority w:val="99"/>
    <w:rsid w:val="009E2636"/>
    <w:rPr>
      <w:sz w:val="24"/>
    </w:rPr>
  </w:style>
  <w:style w:type="paragraph" w:customStyle="1" w:styleId="4-SubsectionHeading">
    <w:name w:val="4-Subsection Heading"/>
    <w:basedOn w:val="Heading2"/>
    <w:next w:val="3-BodyText"/>
    <w:link w:val="4-SubsectionHeadingChar"/>
    <w:qFormat/>
    <w:rsid w:val="00C15EDC"/>
    <w:pPr>
      <w:keepLines w:val="0"/>
      <w:spacing w:before="120"/>
      <w:jc w:val="both"/>
    </w:pPr>
    <w:rPr>
      <w:snapToGrid/>
      <w:spacing w:val="5"/>
      <w:kern w:val="28"/>
      <w:szCs w:val="36"/>
      <w:lang w:eastAsia="en-AU"/>
    </w:rPr>
  </w:style>
  <w:style w:type="character" w:customStyle="1" w:styleId="4-SubsectionHeadingChar">
    <w:name w:val="4-Subsection Heading Char"/>
    <w:basedOn w:val="Heading2Char"/>
    <w:link w:val="4-SubsectionHeading"/>
    <w:rsid w:val="00C15EDC"/>
    <w:rPr>
      <w:rFonts w:ascii="Arial" w:eastAsiaTheme="majorEastAsia" w:hAnsi="Arial" w:cstheme="majorBidi"/>
      <w:b/>
      <w:i/>
      <w:snapToGrid/>
      <w:spacing w:val="5"/>
      <w:kern w:val="28"/>
      <w:sz w:val="28"/>
      <w:szCs w:val="36"/>
      <w:lang w:eastAsia="en-AU"/>
    </w:rPr>
  </w:style>
  <w:style w:type="paragraph" w:customStyle="1" w:styleId="TableHeading">
    <w:name w:val="TableHeading"/>
    <w:basedOn w:val="Normal"/>
    <w:link w:val="TableHeadingChar"/>
    <w:qFormat/>
    <w:rsid w:val="00082422"/>
    <w:pPr>
      <w:keepNext/>
      <w:spacing w:after="60"/>
      <w:jc w:val="left"/>
    </w:pPr>
    <w:rPr>
      <w:rFonts w:ascii="Arial Narrow" w:hAnsi="Arial Narrow"/>
      <w:b/>
      <w:sz w:val="20"/>
    </w:rPr>
  </w:style>
  <w:style w:type="character" w:customStyle="1" w:styleId="TableHeadingChar">
    <w:name w:val="TableHeading Char"/>
    <w:link w:val="TableHeading"/>
    <w:rsid w:val="00082422"/>
    <w:rPr>
      <w:rFonts w:ascii="Arial Narrow" w:hAnsi="Arial Narrow"/>
      <w:b/>
      <w:sz w:val="20"/>
    </w:rPr>
  </w:style>
  <w:style w:type="paragraph" w:customStyle="1" w:styleId="ReportDate">
    <w:name w:val="ReportDate"/>
    <w:basedOn w:val="Normal"/>
    <w:uiPriority w:val="99"/>
    <w:locked/>
    <w:rsid w:val="006F28F1"/>
    <w:pPr>
      <w:spacing w:before="0" w:after="0" w:line="360" w:lineRule="auto"/>
      <w:jc w:val="right"/>
    </w:pPr>
    <w:rPr>
      <w:rFonts w:ascii="Arial" w:eastAsia="Times New Roman" w:hAnsi="Arial" w:cs="Arial"/>
      <w:sz w:val="40"/>
      <w:szCs w:val="40"/>
    </w:rPr>
  </w:style>
  <w:style w:type="paragraph" w:styleId="EndnoteText">
    <w:name w:val="endnote text"/>
    <w:basedOn w:val="Normal"/>
    <w:link w:val="EndnoteTextChar"/>
    <w:uiPriority w:val="99"/>
    <w:semiHidden/>
    <w:rsid w:val="00E60CB1"/>
    <w:pPr>
      <w:spacing w:before="0" w:after="0"/>
    </w:pPr>
    <w:rPr>
      <w:sz w:val="20"/>
      <w:szCs w:val="20"/>
    </w:rPr>
  </w:style>
  <w:style w:type="character" w:customStyle="1" w:styleId="EndnoteTextChar">
    <w:name w:val="Endnote Text Char"/>
    <w:basedOn w:val="DefaultParagraphFont"/>
    <w:link w:val="EndnoteText"/>
    <w:uiPriority w:val="99"/>
    <w:semiHidden/>
    <w:rsid w:val="00E60CB1"/>
    <w:rPr>
      <w:sz w:val="20"/>
      <w:szCs w:val="20"/>
    </w:rPr>
  </w:style>
  <w:style w:type="character" w:styleId="EndnoteReference">
    <w:name w:val="endnote reference"/>
    <w:basedOn w:val="DefaultParagraphFont"/>
    <w:uiPriority w:val="99"/>
    <w:semiHidden/>
    <w:rsid w:val="00E60CB1"/>
    <w:rPr>
      <w:vertAlign w:val="superscript"/>
    </w:rPr>
  </w:style>
  <w:style w:type="table" w:customStyle="1" w:styleId="MSDTableGrid1">
    <w:name w:val="MSD Table Grid1"/>
    <w:basedOn w:val="TableNormal"/>
    <w:next w:val="TableGrid"/>
    <w:uiPriority w:val="39"/>
    <w:rsid w:val="005C3E6F"/>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TableText"/>
    <w:link w:val="TableHeadingChar0"/>
    <w:qFormat/>
    <w:rsid w:val="00F53E8B"/>
    <w:pPr>
      <w:keepNext/>
      <w:keepLines/>
      <w:widowControl/>
      <w:spacing w:before="20" w:after="20" w:line="276" w:lineRule="auto"/>
      <w:jc w:val="both"/>
    </w:pPr>
    <w:rPr>
      <w:rFonts w:eastAsiaTheme="majorEastAsia" w:cs="Arial"/>
      <w:b/>
      <w:szCs w:val="20"/>
      <w:lang w:eastAsia="en-AU" w:bidi="en-US"/>
    </w:rPr>
  </w:style>
  <w:style w:type="table" w:customStyle="1" w:styleId="AZTable">
    <w:name w:val="AZ Table"/>
    <w:basedOn w:val="TableNormal"/>
    <w:uiPriority w:val="99"/>
    <w:rsid w:val="00F53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StylePr>
  </w:style>
  <w:style w:type="character" w:customStyle="1" w:styleId="TableHeadingChar0">
    <w:name w:val="Table Heading Char"/>
    <w:basedOn w:val="DefaultParagraphFont"/>
    <w:link w:val="TableHeading0"/>
    <w:locked/>
    <w:rsid w:val="00F53E8B"/>
    <w:rPr>
      <w:rFonts w:ascii="Arial Narrow" w:eastAsiaTheme="majorEastAsia" w:hAnsi="Arial Narrow" w:cs="Arial"/>
      <w:b/>
      <w:sz w:val="20"/>
      <w:szCs w:val="20"/>
      <w:lang w:eastAsia="en-AU" w:bidi="en-US"/>
    </w:rPr>
  </w:style>
  <w:style w:type="paragraph" w:customStyle="1" w:styleId="TableBodyText-H54">
    <w:name w:val="Table Body Text - H54"/>
    <w:basedOn w:val="BodyText"/>
    <w:link w:val="TableBodyText-H54Char"/>
    <w:qFormat/>
    <w:rsid w:val="0007664C"/>
    <w:pPr>
      <w:keepNext/>
      <w:widowControl w:val="0"/>
      <w:spacing w:before="20" w:after="20" w:line="360" w:lineRule="auto"/>
      <w:jc w:val="left"/>
    </w:pPr>
    <w:rPr>
      <w:rFonts w:ascii="Arial Narrow" w:eastAsia="Times New Roman" w:hAnsi="Arial Narrow" w:cs="Times New Roman"/>
      <w:color w:val="000000" w:themeColor="text1"/>
      <w:sz w:val="20"/>
      <w:szCs w:val="20"/>
      <w:lang w:val="en-GB"/>
    </w:rPr>
  </w:style>
  <w:style w:type="character" w:customStyle="1" w:styleId="TableBodyText-H54Char">
    <w:name w:val="Table Body Text - H54 Char"/>
    <w:basedOn w:val="DefaultParagraphFont"/>
    <w:link w:val="TableBodyText-H54"/>
    <w:rsid w:val="0007664C"/>
    <w:rPr>
      <w:rFonts w:ascii="Arial Narrow" w:eastAsia="Times New Roman" w:hAnsi="Arial Narrow" w:cs="Times New Roman"/>
      <w:color w:val="000000" w:themeColor="text1"/>
      <w:sz w:val="20"/>
      <w:szCs w:val="20"/>
      <w:lang w:val="en-GB"/>
    </w:rPr>
  </w:style>
  <w:style w:type="paragraph" w:customStyle="1" w:styleId="Heading5Alt">
    <w:name w:val="Heading 5 Alt"/>
    <w:basedOn w:val="Heading5"/>
    <w:uiPriority w:val="99"/>
    <w:qFormat/>
    <w:rsid w:val="00CC20E3"/>
    <w:pPr>
      <w:keepNext w:val="0"/>
      <w:keepLines w:val="0"/>
      <w:spacing w:before="240" w:after="60" w:line="360" w:lineRule="auto"/>
      <w:jc w:val="both"/>
    </w:pPr>
    <w:rPr>
      <w:rFonts w:eastAsia="Times New Roman" w:cs="Times New Roman"/>
      <w:bCs/>
      <w:i w:val="0"/>
      <w:iCs/>
      <w:snapToGrid/>
      <w:sz w:val="22"/>
      <w:szCs w:val="26"/>
      <w:lang w:eastAsia="zh-CN"/>
    </w:rPr>
  </w:style>
  <w:style w:type="table" w:customStyle="1" w:styleId="AZTable1">
    <w:name w:val="AZ Table1"/>
    <w:basedOn w:val="TableNormal"/>
    <w:uiPriority w:val="99"/>
    <w:rsid w:val="0079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StylePr>
  </w:style>
  <w:style w:type="paragraph" w:customStyle="1" w:styleId="Heading1Alt">
    <w:name w:val="Heading 1 Alt"/>
    <w:basedOn w:val="Heading1"/>
    <w:uiPriority w:val="99"/>
    <w:qFormat/>
    <w:rsid w:val="006D1BF3"/>
    <w:pPr>
      <w:tabs>
        <w:tab w:val="left" w:pos="1134"/>
      </w:tabs>
      <w:spacing w:before="240" w:after="240" w:line="360" w:lineRule="auto"/>
      <w:ind w:left="2268" w:hanging="2268"/>
      <w:jc w:val="both"/>
    </w:pPr>
    <w:rPr>
      <w:rFonts w:ascii="Arial" w:hAnsi="Arial"/>
      <w:smallCaps/>
      <w:color w:val="000000" w:themeColor="text1"/>
      <w:sz w:val="36"/>
      <w:szCs w:val="32"/>
    </w:rPr>
  </w:style>
  <w:style w:type="paragraph" w:customStyle="1" w:styleId="Heading2Alt">
    <w:name w:val="Heading 2 Alt"/>
    <w:basedOn w:val="Heading2"/>
    <w:uiPriority w:val="99"/>
    <w:qFormat/>
    <w:rsid w:val="006D1BF3"/>
    <w:pPr>
      <w:spacing w:before="0" w:after="0" w:line="360" w:lineRule="auto"/>
      <w:ind w:left="1134" w:hanging="1134"/>
      <w:jc w:val="both"/>
    </w:pPr>
    <w:rPr>
      <w:i w:val="0"/>
      <w:snapToGrid/>
      <w:color w:val="000000" w:themeColor="text1"/>
      <w:sz w:val="32"/>
      <w:szCs w:val="26"/>
    </w:rPr>
  </w:style>
  <w:style w:type="paragraph" w:customStyle="1" w:styleId="Heading3Alt">
    <w:name w:val="Heading 3 Alt"/>
    <w:basedOn w:val="Heading3"/>
    <w:link w:val="Heading3AltChar"/>
    <w:qFormat/>
    <w:rsid w:val="006D1BF3"/>
    <w:pPr>
      <w:spacing w:before="40" w:after="0" w:line="360" w:lineRule="auto"/>
      <w:ind w:left="1134" w:hanging="1134"/>
    </w:pPr>
    <w:rPr>
      <w:rFonts w:ascii="Arial" w:hAnsi="Arial"/>
      <w:color w:val="000000" w:themeColor="text1"/>
      <w:szCs w:val="24"/>
    </w:rPr>
  </w:style>
  <w:style w:type="paragraph" w:customStyle="1" w:styleId="Tabletextleft">
    <w:name w:val="Table text left"/>
    <w:basedOn w:val="Normal"/>
    <w:link w:val="TabletextleftChar"/>
    <w:qFormat/>
    <w:rsid w:val="006D1BF3"/>
    <w:pPr>
      <w:spacing w:before="20" w:after="20"/>
      <w:jc w:val="left"/>
    </w:pPr>
    <w:rPr>
      <w:rFonts w:eastAsia="Times New Roman" w:cs="Times New Roman"/>
      <w:sz w:val="18"/>
      <w:szCs w:val="20"/>
      <w:lang w:eastAsia="en-AU"/>
    </w:rPr>
  </w:style>
  <w:style w:type="character" w:customStyle="1" w:styleId="TabletextleftChar">
    <w:name w:val="Table text left Char"/>
    <w:basedOn w:val="DefaultParagraphFont"/>
    <w:link w:val="Tabletextleft"/>
    <w:rsid w:val="006D1BF3"/>
    <w:rPr>
      <w:rFonts w:eastAsia="Times New Roman" w:cs="Times New Roman"/>
      <w:sz w:val="18"/>
      <w:szCs w:val="20"/>
      <w:lang w:eastAsia="en-AU"/>
    </w:rPr>
  </w:style>
  <w:style w:type="paragraph" w:customStyle="1" w:styleId="TableHeadingleft">
    <w:name w:val="Table Heading left"/>
    <w:basedOn w:val="Normal"/>
    <w:next w:val="Tabletextleft"/>
    <w:uiPriority w:val="99"/>
    <w:qFormat/>
    <w:rsid w:val="006D1BF3"/>
    <w:pPr>
      <w:spacing w:before="40" w:after="40"/>
      <w:jc w:val="left"/>
    </w:pPr>
    <w:rPr>
      <w:rFonts w:cs="Tahoma"/>
      <w:b/>
      <w:sz w:val="20"/>
      <w:szCs w:val="18"/>
      <w:lang w:val="de-DE"/>
    </w:rPr>
  </w:style>
  <w:style w:type="table" w:customStyle="1" w:styleId="HTATableshaded">
    <w:name w:val="HTA Table shaded"/>
    <w:basedOn w:val="TableNormal"/>
    <w:rsid w:val="006D1BF3"/>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Heading3AltChar">
    <w:name w:val="Heading 3 Alt Char"/>
    <w:basedOn w:val="Heading3Char"/>
    <w:link w:val="Heading3Alt"/>
    <w:rsid w:val="006D1BF3"/>
    <w:rPr>
      <w:rFonts w:ascii="Arial" w:eastAsiaTheme="majorEastAsia" w:hAnsi="Arial" w:cstheme="majorBidi"/>
      <w:b/>
      <w:color w:val="000000" w:themeColor="text1"/>
      <w:sz w:val="28"/>
      <w:szCs w:val="24"/>
    </w:rPr>
  </w:style>
  <w:style w:type="paragraph" w:customStyle="1" w:styleId="Tabletextbold">
    <w:name w:val="Table text bold"/>
    <w:basedOn w:val="Tabletextleft"/>
    <w:link w:val="TabletextboldChar"/>
    <w:qFormat/>
    <w:rsid w:val="00D62574"/>
    <w:pPr>
      <w:ind w:left="57" w:right="57"/>
    </w:pPr>
    <w:rPr>
      <w:rFonts w:eastAsia="Arial"/>
      <w:b/>
      <w:lang w:val="de-DE"/>
    </w:rPr>
  </w:style>
  <w:style w:type="character" w:customStyle="1" w:styleId="TabletextboldChar">
    <w:name w:val="Table text bold Char"/>
    <w:basedOn w:val="TabletextleftChar"/>
    <w:link w:val="Tabletextbold"/>
    <w:rsid w:val="00D62574"/>
    <w:rPr>
      <w:rFonts w:eastAsia="Arial" w:cs="Times New Roman"/>
      <w:b/>
      <w:sz w:val="18"/>
      <w:szCs w:val="20"/>
      <w:lang w:val="de-DE" w:eastAsia="en-AU"/>
    </w:rPr>
  </w:style>
  <w:style w:type="character" w:customStyle="1" w:styleId="secondary-date">
    <w:name w:val="secondary-date"/>
    <w:basedOn w:val="DefaultParagraphFont"/>
    <w:rsid w:val="00D62574"/>
  </w:style>
  <w:style w:type="paragraph" w:customStyle="1" w:styleId="Tablenotes">
    <w:name w:val="Tablenotes"/>
    <w:basedOn w:val="Normal"/>
    <w:link w:val="TablenotesChar"/>
    <w:qFormat/>
    <w:rsid w:val="00DE343C"/>
    <w:pPr>
      <w:widowControl w:val="0"/>
      <w:spacing w:before="0" w:after="360" w:line="269" w:lineRule="auto"/>
      <w:contextualSpacing/>
      <w:jc w:val="left"/>
    </w:pPr>
    <w:rPr>
      <w:rFonts w:ascii="Arial Narrow" w:eastAsia="Times New Roman" w:hAnsi="Arial Narrow" w:cs="Arial"/>
      <w:snapToGrid w:val="0"/>
      <w:sz w:val="18"/>
      <w:szCs w:val="20"/>
    </w:rPr>
  </w:style>
  <w:style w:type="character" w:customStyle="1" w:styleId="TablenotesChar">
    <w:name w:val="Tablenotes Char"/>
    <w:basedOn w:val="DefaultParagraphFont"/>
    <w:link w:val="Tablenotes"/>
    <w:rsid w:val="00DE343C"/>
    <w:rPr>
      <w:rFonts w:ascii="Arial Narrow" w:eastAsia="Times New Roman" w:hAnsi="Arial Narrow" w:cs="Arial"/>
      <w:snapToGrid w:val="0"/>
      <w:sz w:val="18"/>
      <w:szCs w:val="20"/>
    </w:rPr>
  </w:style>
  <w:style w:type="table" w:styleId="GridTable4-Accent3">
    <w:name w:val="Grid Table 4 Accent 3"/>
    <w:basedOn w:val="TableNormal"/>
    <w:uiPriority w:val="49"/>
    <w:rsid w:val="00F857C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H2S2">
    <w:name w:val="H2 S2"/>
    <w:basedOn w:val="Heading2"/>
    <w:uiPriority w:val="99"/>
    <w:qFormat/>
    <w:rsid w:val="006E0564"/>
    <w:pPr>
      <w:numPr>
        <w:ilvl w:val="1"/>
        <w:numId w:val="30"/>
      </w:numPr>
      <w:spacing w:before="0" w:after="200" w:line="276" w:lineRule="auto"/>
    </w:pPr>
    <w:rPr>
      <w:rFonts w:eastAsiaTheme="minorHAnsi" w:cs="Tahoma"/>
      <w:snapToGrid/>
      <w:szCs w:val="22"/>
    </w:rPr>
  </w:style>
  <w:style w:type="paragraph" w:customStyle="1" w:styleId="H1S2">
    <w:name w:val="H1 S2"/>
    <w:basedOn w:val="Heading1"/>
    <w:uiPriority w:val="99"/>
    <w:qFormat/>
    <w:rsid w:val="00AE7DE6"/>
    <w:pPr>
      <w:keepLines w:val="0"/>
      <w:numPr>
        <w:numId w:val="30"/>
      </w:numPr>
      <w:spacing w:before="0" w:after="200" w:line="276" w:lineRule="auto"/>
    </w:pPr>
    <w:rPr>
      <w:rFonts w:eastAsiaTheme="minorHAnsi" w:cs="Tahoma"/>
      <w:szCs w:val="22"/>
    </w:rPr>
  </w:style>
  <w:style w:type="paragraph" w:customStyle="1" w:styleId="H3S2">
    <w:name w:val="H3 S2"/>
    <w:basedOn w:val="Heading3"/>
    <w:next w:val="BodyText"/>
    <w:uiPriority w:val="99"/>
    <w:qFormat/>
    <w:rsid w:val="00F857CF"/>
    <w:pPr>
      <w:numPr>
        <w:ilvl w:val="2"/>
        <w:numId w:val="30"/>
      </w:numPr>
      <w:spacing w:before="0" w:after="200" w:line="276" w:lineRule="auto"/>
      <w:jc w:val="left"/>
    </w:pPr>
    <w:rPr>
      <w:rFonts w:ascii="Arial" w:eastAsiaTheme="minorHAnsi" w:hAnsi="Arial" w:cs="Tahoma"/>
      <w:szCs w:val="22"/>
    </w:rPr>
  </w:style>
  <w:style w:type="paragraph" w:customStyle="1" w:styleId="TableBodyHeading-H54">
    <w:name w:val="Table Body Heading - H54"/>
    <w:basedOn w:val="TableBodyText-H54"/>
    <w:uiPriority w:val="99"/>
    <w:qFormat/>
    <w:rsid w:val="00A354B6"/>
    <w:pPr>
      <w:spacing w:before="0" w:after="0" w:line="240" w:lineRule="auto"/>
    </w:pPr>
    <w:rPr>
      <w:b/>
      <w:bCs/>
      <w:lang w:eastAsia="zh-CN"/>
    </w:rPr>
  </w:style>
  <w:style w:type="paragraph" w:customStyle="1" w:styleId="ListBullet-H41">
    <w:name w:val="List Bullet - H41"/>
    <w:basedOn w:val="Normal"/>
    <w:qFormat/>
    <w:rsid w:val="00F70EEA"/>
    <w:pPr>
      <w:keepLines/>
      <w:widowControl w:val="0"/>
      <w:numPr>
        <w:numId w:val="16"/>
      </w:numPr>
      <w:spacing w:before="240" w:after="120"/>
    </w:pPr>
    <w:rPr>
      <w:rFonts w:ascii="Arial" w:eastAsia="Times New Roman" w:hAnsi="Arial" w:cs="Times New Roman"/>
      <w:color w:val="000000" w:themeColor="text1"/>
      <w:sz w:val="20"/>
      <w:szCs w:val="24"/>
      <w:lang w:val="en-GB"/>
    </w:rPr>
  </w:style>
  <w:style w:type="paragraph" w:customStyle="1" w:styleId="ListLevel2-H41a">
    <w:name w:val="List Level 2 - H41a"/>
    <w:basedOn w:val="ListBullet-H41"/>
    <w:qFormat/>
    <w:rsid w:val="00F70EEA"/>
    <w:pPr>
      <w:numPr>
        <w:ilvl w:val="1"/>
      </w:numPr>
      <w:tabs>
        <w:tab w:val="num" w:pos="851"/>
      </w:tabs>
      <w:ind w:left="851" w:hanging="851"/>
    </w:pPr>
  </w:style>
  <w:style w:type="table" w:customStyle="1" w:styleId="Summarybox1">
    <w:name w:val="Summary box1"/>
    <w:basedOn w:val="TableNormal"/>
    <w:next w:val="TableGrid"/>
    <w:uiPriority w:val="59"/>
    <w:rsid w:val="00F70EEA"/>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1">
    <w:name w:val="Heading 5 Char1"/>
    <w:aliases w:val="Heading 2 - Body Char1"/>
    <w:basedOn w:val="DefaultParagraphFont"/>
    <w:uiPriority w:val="10"/>
    <w:semiHidden/>
    <w:rsid w:val="00F17982"/>
    <w:rPr>
      <w:rFonts w:asciiTheme="majorHAnsi" w:eastAsiaTheme="majorEastAsia" w:hAnsiTheme="majorHAnsi" w:cstheme="majorBidi"/>
      <w:color w:val="2E74B5" w:themeColor="accent1" w:themeShade="BF"/>
      <w:sz w:val="24"/>
      <w:szCs w:val="22"/>
    </w:rPr>
  </w:style>
  <w:style w:type="character" w:customStyle="1" w:styleId="Heading6Char1">
    <w:name w:val="Heading 6 Char1"/>
    <w:aliases w:val="Heading 3 - Body Char1"/>
    <w:basedOn w:val="DefaultParagraphFont"/>
    <w:uiPriority w:val="12"/>
    <w:semiHidden/>
    <w:rsid w:val="00F17982"/>
    <w:rPr>
      <w:rFonts w:asciiTheme="majorHAnsi" w:eastAsiaTheme="majorEastAsia" w:hAnsiTheme="majorHAnsi" w:cstheme="majorBidi"/>
      <w:color w:val="1F4D78" w:themeColor="accent1" w:themeShade="7F"/>
      <w:sz w:val="24"/>
      <w:szCs w:val="22"/>
    </w:rPr>
  </w:style>
  <w:style w:type="paragraph" w:customStyle="1" w:styleId="msonormal0">
    <w:name w:val="msonormal"/>
    <w:basedOn w:val="Normal"/>
    <w:uiPriority w:val="99"/>
    <w:semiHidden/>
    <w:rsid w:val="00F17982"/>
    <w:pPr>
      <w:spacing w:before="100" w:after="100"/>
    </w:pPr>
    <w:rPr>
      <w:rFonts w:ascii="Times New Roman" w:eastAsia="Times New Roman" w:hAnsi="Times New Roman" w:cs="Times New Roman"/>
      <w:szCs w:val="20"/>
      <w:lang w:val="en-GB"/>
    </w:rPr>
  </w:style>
  <w:style w:type="character" w:customStyle="1" w:styleId="Heading9Char1">
    <w:name w:val="Heading 9 Char1"/>
    <w:aliases w:val="Section heading - Body Char1"/>
    <w:basedOn w:val="DefaultParagraphFont"/>
    <w:uiPriority w:val="12"/>
    <w:semiHidden/>
    <w:rsid w:val="00F17982"/>
    <w:rPr>
      <w:rFonts w:asciiTheme="majorHAnsi" w:eastAsiaTheme="majorEastAsia" w:hAnsiTheme="majorHAnsi" w:cstheme="majorBidi"/>
      <w:i/>
      <w:iCs/>
      <w:color w:val="272727" w:themeColor="text1" w:themeTint="D8"/>
      <w:sz w:val="21"/>
      <w:szCs w:val="21"/>
    </w:rPr>
  </w:style>
  <w:style w:type="character" w:customStyle="1" w:styleId="FootnoteTextChar1">
    <w:name w:val="Footnote Text Char1"/>
    <w:aliases w:val="Footnote Text Char Char Char1,Footnote Text Char2 Char1,Footnote Text Char Char1 Char1"/>
    <w:basedOn w:val="DefaultParagraphFont"/>
    <w:uiPriority w:val="99"/>
    <w:semiHidden/>
    <w:rsid w:val="00F17982"/>
    <w:rPr>
      <w:sz w:val="20"/>
      <w:szCs w:val="20"/>
    </w:rPr>
  </w:style>
  <w:style w:type="character" w:customStyle="1" w:styleId="CommentTextChar1">
    <w:name w:val="Comment Text Char1"/>
    <w:aliases w:val="- H19 Char1,Comment Text Char2 Char1,Comment Text Char Char1 Char1,Comment Text Char2 Char Char Char1,Comment Text Char Char1 Char Char Char1,Comment Text Char2 Char Char Char Char Char1"/>
    <w:basedOn w:val="DefaultParagraphFont"/>
    <w:semiHidden/>
    <w:rsid w:val="00F17982"/>
    <w:rPr>
      <w:sz w:val="20"/>
      <w:szCs w:val="20"/>
    </w:rPr>
  </w:style>
  <w:style w:type="character" w:customStyle="1" w:styleId="HeaderChar1">
    <w:name w:val="Header Char1"/>
    <w:aliases w:val="Page Header Char1,Header title Char1,he=header Char1,cntr/bld Char1"/>
    <w:basedOn w:val="DefaultParagraphFont"/>
    <w:uiPriority w:val="99"/>
    <w:semiHidden/>
    <w:rsid w:val="00F17982"/>
    <w:rPr>
      <w:sz w:val="24"/>
    </w:rPr>
  </w:style>
  <w:style w:type="character" w:customStyle="1" w:styleId="BodyTextChar1">
    <w:name w:val="Body Text Char1"/>
    <w:aliases w:val="- H16 Char1,Char1 Char1,Body Text PP Char1,Body Text Char1 Char Char1,Body Text Char3 Char Char Char1,Body Text Char2 Char1 Char Char Char1,Body Text Char1 Char Char1 Char Char Char1,Body Text Char Char Char Char1 Char Char Char1"/>
    <w:basedOn w:val="DefaultParagraphFont"/>
    <w:uiPriority w:val="99"/>
    <w:semiHidden/>
    <w:rsid w:val="00F17982"/>
    <w:rPr>
      <w:sz w:val="24"/>
    </w:rPr>
  </w:style>
  <w:style w:type="table" w:customStyle="1" w:styleId="ASDTable2">
    <w:name w:val="ASD Table2"/>
    <w:basedOn w:val="TableNormal"/>
    <w:next w:val="TableGrid"/>
    <w:uiPriority w:val="39"/>
    <w:rsid w:val="006B1AFE"/>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2">
    <w:name w:val="MSD Table Grid2"/>
    <w:basedOn w:val="TableNormal"/>
    <w:next w:val="TableGrid"/>
    <w:uiPriority w:val="39"/>
    <w:rsid w:val="003E335B"/>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Heading1">
    <w:name w:val="PBAC Heading 1"/>
    <w:qFormat/>
    <w:rsid w:val="00ED43EE"/>
    <w:pPr>
      <w:spacing w:after="0" w:line="240" w:lineRule="auto"/>
      <w:ind w:left="720" w:hanging="720"/>
      <w:outlineLvl w:val="0"/>
    </w:pPr>
    <w:rPr>
      <w:rFonts w:ascii="Calibri" w:eastAsia="Times New Roman" w:hAnsi="Calibri" w:cs="Calibri"/>
      <w:b/>
      <w:snapToGrid w:val="0"/>
      <w:sz w:val="32"/>
      <w:szCs w:val="32"/>
    </w:rPr>
  </w:style>
  <w:style w:type="numbering" w:customStyle="1" w:styleId="NoList1">
    <w:name w:val="No List1"/>
    <w:next w:val="NoList"/>
    <w:uiPriority w:val="99"/>
    <w:semiHidden/>
    <w:unhideWhenUsed/>
    <w:rsid w:val="000C4977"/>
  </w:style>
  <w:style w:type="table" w:customStyle="1" w:styleId="TableGrid10">
    <w:name w:val="Table Grid1"/>
    <w:basedOn w:val="TableNormal"/>
    <w:next w:val="TableGrid"/>
    <w:locked/>
    <w:rsid w:val="000C4977"/>
    <w:pPr>
      <w:spacing w:before="40" w:after="40" w:line="240" w:lineRule="auto"/>
    </w:pPr>
    <w:rPr>
      <w:rFonts w:ascii="Arial Narrow" w:eastAsia="Times New Roman" w:hAnsi="Arial Narrow"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Narrow" w:hAnsi="Arial Narrow"/>
        <w:b w:val="0"/>
        <w:sz w:val="20"/>
      </w:rPr>
    </w:tblStylePr>
  </w:style>
  <w:style w:type="table" w:customStyle="1" w:styleId="PBACtable1">
    <w:name w:val="PBAC table1"/>
    <w:basedOn w:val="TableNormal"/>
    <w:next w:val="TableGrid"/>
    <w:uiPriority w:val="39"/>
    <w:rsid w:val="000C4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igNote">
    <w:name w:val="TableFigNote"/>
    <w:basedOn w:val="Normal"/>
    <w:qFormat/>
    <w:rsid w:val="000C4977"/>
    <w:pPr>
      <w:spacing w:after="360"/>
      <w:contextualSpacing/>
      <w:jc w:val="left"/>
    </w:pPr>
    <w:rPr>
      <w:rFonts w:ascii="Franklin Gothic Book" w:hAnsi="Franklin Gothic Book"/>
      <w:sz w:val="18"/>
    </w:rPr>
  </w:style>
  <w:style w:type="character" w:styleId="Strong">
    <w:name w:val="Strong"/>
    <w:basedOn w:val="DefaultParagraphFont"/>
    <w:uiPriority w:val="22"/>
    <w:qFormat/>
    <w:rsid w:val="000C4977"/>
    <w:rPr>
      <w:b/>
      <w:bCs/>
    </w:rPr>
  </w:style>
  <w:style w:type="paragraph" w:customStyle="1" w:styleId="TableName">
    <w:name w:val="TableName"/>
    <w:basedOn w:val="Normal"/>
    <w:qFormat/>
    <w:rsid w:val="000C4977"/>
    <w:pPr>
      <w:keepNext/>
      <w:spacing w:after="240"/>
      <w:ind w:left="1418" w:hanging="1418"/>
      <w:jc w:val="left"/>
    </w:pPr>
    <w:rPr>
      <w:rFonts w:ascii="Franklin Gothic Medium" w:hAnsi="Franklin Gothic Medium"/>
      <w:sz w:val="22"/>
    </w:rPr>
  </w:style>
  <w:style w:type="paragraph" w:customStyle="1" w:styleId="TableFigNoteHangingLast">
    <w:name w:val="TableFigNoteHanging Last"/>
    <w:basedOn w:val="TableFigNote"/>
    <w:qFormat/>
    <w:rsid w:val="000C4977"/>
    <w:pPr>
      <w:ind w:left="142" w:hanging="142"/>
    </w:pPr>
  </w:style>
  <w:style w:type="paragraph" w:customStyle="1" w:styleId="TableTextCA">
    <w:name w:val="Table Text CA"/>
    <w:basedOn w:val="TableText"/>
    <w:qFormat/>
    <w:rsid w:val="000C4977"/>
    <w:pPr>
      <w:widowControl/>
      <w:spacing w:before="40" w:after="40"/>
      <w:jc w:val="center"/>
    </w:pPr>
  </w:style>
  <w:style w:type="paragraph" w:customStyle="1" w:styleId="TableHeadingCA">
    <w:name w:val="Table Heading CA"/>
    <w:basedOn w:val="TableHeading0"/>
    <w:qFormat/>
    <w:rsid w:val="000C4977"/>
    <w:pPr>
      <w:keepNext w:val="0"/>
      <w:keepLines w:val="0"/>
      <w:spacing w:before="120" w:after="60" w:line="240" w:lineRule="auto"/>
      <w:jc w:val="center"/>
    </w:pPr>
    <w:rPr>
      <w:rFonts w:eastAsiaTheme="minorHAnsi" w:cstheme="minorBidi"/>
      <w:szCs w:val="22"/>
      <w:lang w:eastAsia="en-US" w:bidi="ar-SA"/>
    </w:rPr>
  </w:style>
  <w:style w:type="paragraph" w:customStyle="1" w:styleId="TableFigNoteLast">
    <w:name w:val="TableFigNote Last"/>
    <w:basedOn w:val="TableFigNote"/>
    <w:qFormat/>
    <w:rsid w:val="000C4977"/>
  </w:style>
  <w:style w:type="paragraph" w:customStyle="1" w:styleId="2ChapterText">
    <w:name w:val="2ChapterText"/>
    <w:basedOn w:val="Normal"/>
    <w:qFormat/>
    <w:rsid w:val="000C4977"/>
    <w:pPr>
      <w:spacing w:line="259" w:lineRule="auto"/>
      <w:jc w:val="left"/>
    </w:pPr>
    <w:rPr>
      <w:rFonts w:ascii="Franklin Gothic Book" w:hAnsi="Franklin Gothic Book"/>
      <w:sz w:val="22"/>
      <w:shd w:val="clear" w:color="auto" w:fill="BDD6EE" w:themeFill="accent1" w:themeFillTint="66"/>
    </w:rPr>
  </w:style>
  <w:style w:type="paragraph" w:customStyle="1" w:styleId="1ExplanatoryText">
    <w:name w:val="1ExplanatoryText"/>
    <w:basedOn w:val="Normal"/>
    <w:qFormat/>
    <w:rsid w:val="000C4977"/>
    <w:pPr>
      <w:shd w:val="clear" w:color="auto" w:fill="C5E0B3" w:themeFill="accent6" w:themeFillTint="66"/>
      <w:spacing w:line="259" w:lineRule="auto"/>
      <w:jc w:val="left"/>
    </w:pPr>
    <w:rPr>
      <w:rFonts w:ascii="Franklin Gothic Book" w:hAnsi="Franklin Gothic Book"/>
      <w:sz w:val="22"/>
    </w:rPr>
  </w:style>
  <w:style w:type="paragraph" w:styleId="Date">
    <w:name w:val="Date"/>
    <w:basedOn w:val="Normal"/>
    <w:next w:val="Normal"/>
    <w:link w:val="DateChar"/>
    <w:rsid w:val="000C4977"/>
    <w:pPr>
      <w:spacing w:before="1134" w:after="800" w:line="259" w:lineRule="auto"/>
      <w:ind w:left="4536"/>
      <w:jc w:val="left"/>
    </w:pPr>
    <w:rPr>
      <w:rFonts w:ascii="Arial" w:eastAsia="Times New Roman" w:hAnsi="Arial" w:cs="Tahoma"/>
      <w:b/>
      <w:sz w:val="36"/>
      <w:lang w:eastAsia="en-AU"/>
    </w:rPr>
  </w:style>
  <w:style w:type="character" w:customStyle="1" w:styleId="DateChar">
    <w:name w:val="Date Char"/>
    <w:basedOn w:val="DefaultParagraphFont"/>
    <w:link w:val="Date"/>
    <w:rsid w:val="000C4977"/>
    <w:rPr>
      <w:rFonts w:ascii="Arial" w:eastAsia="Times New Roman" w:hAnsi="Arial" w:cs="Tahoma"/>
      <w:b/>
      <w:sz w:val="36"/>
      <w:lang w:eastAsia="en-AU"/>
    </w:rPr>
  </w:style>
  <w:style w:type="paragraph" w:customStyle="1" w:styleId="PublicationTitle">
    <w:name w:val="PublicationTitle"/>
    <w:basedOn w:val="Normal"/>
    <w:rsid w:val="000C4977"/>
    <w:pPr>
      <w:tabs>
        <w:tab w:val="left" w:pos="4536"/>
      </w:tabs>
      <w:spacing w:before="4536" w:after="800" w:line="480" w:lineRule="exact"/>
      <w:ind w:left="4536" w:right="113"/>
      <w:jc w:val="right"/>
    </w:pPr>
    <w:rPr>
      <w:rFonts w:ascii="Arial" w:eastAsia="Times New Roman" w:hAnsi="Arial" w:cs="Tahoma"/>
      <w:b/>
      <w:i/>
      <w:sz w:val="44"/>
      <w:lang w:eastAsia="en-AU"/>
    </w:rPr>
  </w:style>
  <w:style w:type="paragraph" w:customStyle="1" w:styleId="Sub-title">
    <w:name w:val="Sub-title"/>
    <w:basedOn w:val="Normal"/>
    <w:locked/>
    <w:rsid w:val="000C4977"/>
    <w:pPr>
      <w:spacing w:before="1701" w:line="259" w:lineRule="auto"/>
      <w:ind w:left="4536"/>
      <w:jc w:val="left"/>
    </w:pPr>
    <w:rPr>
      <w:rFonts w:ascii="Arial" w:eastAsia="Times New Roman" w:hAnsi="Arial" w:cs="Tahoma"/>
      <w:b/>
      <w:sz w:val="32"/>
      <w:lang w:eastAsia="en-AU"/>
    </w:rPr>
  </w:style>
  <w:style w:type="paragraph" w:customStyle="1" w:styleId="Nnumberedlist">
    <w:name w:val="Nnumbered list"/>
    <w:basedOn w:val="Normal"/>
    <w:rsid w:val="000C4977"/>
    <w:pPr>
      <w:numPr>
        <w:numId w:val="32"/>
      </w:numPr>
      <w:spacing w:line="259" w:lineRule="auto"/>
    </w:pPr>
    <w:rPr>
      <w:rFonts w:ascii="Calibri" w:eastAsia="Times New Roman" w:hAnsi="Calibri" w:cs="Tahoma"/>
      <w:sz w:val="22"/>
      <w:lang w:eastAsia="en-AU"/>
    </w:rPr>
  </w:style>
  <w:style w:type="table" w:customStyle="1" w:styleId="TableGridLight1">
    <w:name w:val="Table Grid Light1"/>
    <w:basedOn w:val="TableNormal"/>
    <w:uiPriority w:val="40"/>
    <w:rsid w:val="000C49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Tablenotes0">
    <w:name w:val="Table notes"/>
    <w:basedOn w:val="Normal"/>
    <w:link w:val="TablenotesChar0"/>
    <w:qFormat/>
    <w:rsid w:val="000C4977"/>
    <w:pPr>
      <w:spacing w:after="240" w:line="259" w:lineRule="auto"/>
      <w:contextualSpacing/>
    </w:pPr>
    <w:rPr>
      <w:rFonts w:ascii="Arial Narrow" w:hAnsi="Arial Narrow" w:cs="Arial"/>
      <w:sz w:val="18"/>
    </w:rPr>
  </w:style>
  <w:style w:type="character" w:customStyle="1" w:styleId="TablenotesChar0">
    <w:name w:val="Table notes Char"/>
    <w:basedOn w:val="DefaultParagraphFont"/>
    <w:link w:val="Tablenotes0"/>
    <w:rsid w:val="000C4977"/>
    <w:rPr>
      <w:rFonts w:ascii="Arial Narrow" w:hAnsi="Arial Narrow" w:cs="Arial"/>
      <w:sz w:val="18"/>
    </w:rPr>
  </w:style>
  <w:style w:type="numbering" w:customStyle="1" w:styleId="ESSectionheading-numbered">
    <w:name w:val="ES. Section heading - numbered"/>
    <w:uiPriority w:val="99"/>
    <w:rsid w:val="000C4977"/>
    <w:pPr>
      <w:numPr>
        <w:numId w:val="33"/>
      </w:numPr>
    </w:pPr>
  </w:style>
  <w:style w:type="paragraph" w:customStyle="1" w:styleId="BoxName">
    <w:name w:val="Box Name"/>
    <w:basedOn w:val="Normal"/>
    <w:qFormat/>
    <w:rsid w:val="000C4977"/>
    <w:pPr>
      <w:pBdr>
        <w:top w:val="single" w:sz="4" w:space="4" w:color="auto"/>
        <w:left w:val="single" w:sz="4" w:space="4" w:color="auto"/>
        <w:bottom w:val="single" w:sz="4" w:space="4" w:color="auto"/>
        <w:right w:val="single" w:sz="4" w:space="4" w:color="auto"/>
      </w:pBdr>
      <w:spacing w:after="120"/>
      <w:jc w:val="left"/>
    </w:pPr>
    <w:rPr>
      <w:rFonts w:ascii="Franklin Gothic Medium" w:hAnsi="Franklin Gothic Medium"/>
      <w:sz w:val="21"/>
    </w:rPr>
  </w:style>
  <w:style w:type="table" w:customStyle="1" w:styleId="PBACTableStyle1">
    <w:name w:val="PBAC Table Style1"/>
    <w:basedOn w:val="TableGrid1"/>
    <w:uiPriority w:val="99"/>
    <w:rsid w:val="000C4977"/>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00" w:beforeAutospacing="1" w:afterLines="0" w:after="100" w:afterAutospacing="1" w:line="240" w:lineRule="auto"/>
        <w:ind w:leftChars="0" w:left="0" w:rightChars="0" w:right="0" w:firstLineChars="0" w:firstLine="0"/>
        <w:contextualSpacing/>
        <w:jc w:val="center"/>
      </w:pPr>
      <w:rPr>
        <w:rFonts w:ascii="Arial Narrow" w:hAnsi="Arial Narrow" w:hint="default"/>
        <w:b/>
        <w:sz w:val="20"/>
        <w:szCs w:val="20"/>
      </w:rPr>
    </w:tblStylePr>
    <w:tblStylePr w:type="lastRow">
      <w:rPr>
        <w:i/>
        <w:iCs/>
      </w:rPr>
      <w:tblPr/>
      <w:tcPr>
        <w:tcBorders>
          <w:tl2br w:val="none" w:sz="0" w:space="0" w:color="auto"/>
          <w:tr2bl w:val="none" w:sz="0" w:space="0" w:color="auto"/>
        </w:tcBorders>
      </w:tcPr>
    </w:tblStylePr>
    <w:tblStylePr w:type="firstCol">
      <w:pPr>
        <w:wordWrap/>
        <w:spacing w:beforeLines="0" w:before="100" w:beforeAutospacing="1" w:afterLines="0" w:after="100" w:afterAutospacing="1" w:line="240" w:lineRule="auto"/>
        <w:ind w:leftChars="0" w:left="0" w:rightChars="0" w:right="0"/>
        <w:contextualSpacing/>
        <w:jc w:val="left"/>
      </w:pPr>
      <w:rPr>
        <w:rFonts w:ascii="Arial Narrow" w:hAnsi="Arial Narrow" w:hint="default"/>
        <w:sz w:val="20"/>
        <w:szCs w:val="20"/>
      </w:rPr>
    </w:tblStylePr>
    <w:tblStylePr w:type="lastCol">
      <w:pPr>
        <w:wordWrap/>
        <w:spacing w:beforeLines="0" w:before="100" w:beforeAutospacing="1" w:afterLines="0" w:after="100" w:afterAutospacing="1" w:line="240" w:lineRule="auto"/>
        <w:ind w:leftChars="0" w:left="0" w:rightChars="0" w:right="0" w:firstLineChars="0" w:firstLine="0"/>
        <w:contextualSpacing/>
      </w:pPr>
      <w:rPr>
        <w:rFonts w:ascii="Arial Narrow" w:hAnsi="Arial Narrow" w:hint="default"/>
        <w:i/>
        <w:iCs/>
        <w:sz w:val="20"/>
        <w:szCs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TableGrid11">
    <w:name w:val="Table Grid 11"/>
    <w:basedOn w:val="TableNormal"/>
    <w:next w:val="TableGrid1"/>
    <w:uiPriority w:val="99"/>
    <w:semiHidden/>
    <w:unhideWhenUsed/>
    <w:rsid w:val="000C497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FigNoteHanging">
    <w:name w:val="TableFigNoteHanging"/>
    <w:basedOn w:val="TableFigNoteHangingLast"/>
    <w:qFormat/>
    <w:rsid w:val="000C4977"/>
    <w:pPr>
      <w:spacing w:after="0"/>
      <w:contextualSpacing w:val="0"/>
    </w:pPr>
    <w:rPr>
      <w:rFonts w:asciiTheme="minorHAnsi" w:hAnsiTheme="minorHAnsi"/>
    </w:rPr>
  </w:style>
  <w:style w:type="table" w:customStyle="1" w:styleId="TableGrid2">
    <w:name w:val="Table Grid2"/>
    <w:basedOn w:val="TableNormal"/>
    <w:next w:val="TableGrid"/>
    <w:uiPriority w:val="59"/>
    <w:rsid w:val="000C4977"/>
    <w:pPr>
      <w:spacing w:after="240" w:line="240" w:lineRule="auto"/>
      <w:ind w:left="720"/>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Text"/>
    <w:basedOn w:val="Normal"/>
    <w:link w:val="TableTextChar1"/>
    <w:rsid w:val="000C4977"/>
    <w:pPr>
      <w:keepNext/>
      <w:spacing w:before="40" w:after="40" w:line="259" w:lineRule="auto"/>
    </w:pPr>
    <w:rPr>
      <w:rFonts w:ascii="Arial Narrow" w:eastAsia="Times New Roman" w:hAnsi="Arial Narrow" w:cs="Tahoma"/>
      <w:sz w:val="18"/>
      <w:lang w:eastAsia="en-AU"/>
    </w:rPr>
  </w:style>
  <w:style w:type="character" w:customStyle="1" w:styleId="TableTextChar1">
    <w:name w:val="TableText Char"/>
    <w:link w:val="TableText1"/>
    <w:rsid w:val="000C4977"/>
    <w:rPr>
      <w:rFonts w:ascii="Arial Narrow" w:eastAsia="Times New Roman" w:hAnsi="Arial Narrow" w:cs="Tahoma"/>
      <w:sz w:val="18"/>
      <w:lang w:eastAsia="en-AU"/>
    </w:rPr>
  </w:style>
  <w:style w:type="paragraph" w:customStyle="1" w:styleId="References">
    <w:name w:val="References"/>
    <w:basedOn w:val="Normal"/>
    <w:rsid w:val="000C4977"/>
    <w:pPr>
      <w:keepLines/>
      <w:spacing w:after="240" w:line="312" w:lineRule="auto"/>
      <w:ind w:left="1440" w:hanging="720"/>
      <w:jc w:val="left"/>
    </w:pPr>
    <w:rPr>
      <w:rFonts w:ascii="Calibri" w:eastAsia="Times New Roman" w:hAnsi="Calibri" w:cs="Tahoma"/>
      <w:sz w:val="22"/>
      <w:lang w:eastAsia="en-AU"/>
    </w:rPr>
  </w:style>
  <w:style w:type="paragraph" w:styleId="Title">
    <w:name w:val="Title"/>
    <w:basedOn w:val="Normal"/>
    <w:next w:val="Normal"/>
    <w:link w:val="TitleChar"/>
    <w:qFormat/>
    <w:rsid w:val="000C4977"/>
    <w:pPr>
      <w:spacing w:before="480" w:after="240"/>
      <w:jc w:val="center"/>
    </w:pPr>
    <w:rPr>
      <w:rFonts w:ascii="Arial" w:eastAsia="Times New Roman" w:hAnsi="Arial" w:cs="Arial"/>
      <w:b/>
      <w:bCs/>
      <w:color w:val="000080"/>
      <w:sz w:val="36"/>
      <w:szCs w:val="36"/>
      <w:lang w:eastAsia="en-AU"/>
    </w:rPr>
  </w:style>
  <w:style w:type="character" w:customStyle="1" w:styleId="TitleChar">
    <w:name w:val="Title Char"/>
    <w:basedOn w:val="DefaultParagraphFont"/>
    <w:link w:val="Title"/>
    <w:rsid w:val="000C4977"/>
    <w:rPr>
      <w:rFonts w:ascii="Arial" w:eastAsia="Times New Roman" w:hAnsi="Arial" w:cs="Arial"/>
      <w:b/>
      <w:bCs/>
      <w:color w:val="000080"/>
      <w:sz w:val="36"/>
      <w:szCs w:val="36"/>
      <w:lang w:eastAsia="en-AU"/>
    </w:rPr>
  </w:style>
  <w:style w:type="paragraph" w:styleId="Subtitle">
    <w:name w:val="Subtitle"/>
    <w:basedOn w:val="Normal"/>
    <w:next w:val="Normal"/>
    <w:link w:val="SubtitleChar"/>
    <w:qFormat/>
    <w:rsid w:val="000C4977"/>
    <w:pPr>
      <w:spacing w:after="240"/>
      <w:jc w:val="center"/>
    </w:pPr>
    <w:rPr>
      <w:rFonts w:ascii="Arial" w:eastAsia="Times New Roman" w:hAnsi="Arial" w:cs="Arial"/>
      <w:b/>
      <w:bCs/>
      <w:i/>
      <w:color w:val="000080"/>
      <w:sz w:val="28"/>
      <w:szCs w:val="28"/>
      <w:lang w:eastAsia="en-AU"/>
    </w:rPr>
  </w:style>
  <w:style w:type="character" w:customStyle="1" w:styleId="SubtitleChar">
    <w:name w:val="Subtitle Char"/>
    <w:basedOn w:val="DefaultParagraphFont"/>
    <w:link w:val="Subtitle"/>
    <w:rsid w:val="000C4977"/>
    <w:rPr>
      <w:rFonts w:ascii="Arial" w:eastAsia="Times New Roman" w:hAnsi="Arial" w:cs="Arial"/>
      <w:b/>
      <w:bCs/>
      <w:i/>
      <w:color w:val="000080"/>
      <w:sz w:val="28"/>
      <w:szCs w:val="28"/>
      <w:lang w:eastAsia="en-AU"/>
    </w:rPr>
  </w:style>
  <w:style w:type="paragraph" w:customStyle="1" w:styleId="ESHeading1">
    <w:name w:val="ES Heading1"/>
    <w:basedOn w:val="Heading2"/>
    <w:next w:val="Normal"/>
    <w:qFormat/>
    <w:rsid w:val="000C4977"/>
    <w:pPr>
      <w:numPr>
        <w:ilvl w:val="0"/>
        <w:numId w:val="34"/>
      </w:numPr>
      <w:spacing w:before="240" w:after="240"/>
      <w:ind w:left="2154" w:hanging="357"/>
    </w:pPr>
    <w:rPr>
      <w:rFonts w:ascii="Franklin Gothic Medium" w:hAnsi="Franklin Gothic Medium"/>
      <w:b w:val="0"/>
      <w:i w:val="0"/>
      <w:snapToGrid/>
      <w:color w:val="000000" w:themeColor="text1"/>
      <w:sz w:val="32"/>
      <w:szCs w:val="26"/>
    </w:rPr>
  </w:style>
  <w:style w:type="paragraph" w:customStyle="1" w:styleId="NormalBeforeBullet">
    <w:name w:val="Normal Before Bullet"/>
    <w:basedOn w:val="Normal"/>
    <w:qFormat/>
    <w:rsid w:val="000C4977"/>
    <w:pPr>
      <w:keepNext/>
      <w:spacing w:after="120"/>
      <w:jc w:val="left"/>
    </w:pPr>
    <w:rPr>
      <w:sz w:val="22"/>
    </w:rPr>
  </w:style>
  <w:style w:type="paragraph" w:customStyle="1" w:styleId="Dash">
    <w:name w:val="Dash"/>
    <w:basedOn w:val="Bullet"/>
    <w:qFormat/>
    <w:rsid w:val="000C4977"/>
    <w:pPr>
      <w:numPr>
        <w:numId w:val="35"/>
      </w:numPr>
      <w:spacing w:after="40"/>
      <w:ind w:left="714" w:hanging="357"/>
    </w:pPr>
  </w:style>
  <w:style w:type="character" w:customStyle="1" w:styleId="UnresolvedMention10">
    <w:name w:val="Unresolved Mention10"/>
    <w:basedOn w:val="DefaultParagraphFont"/>
    <w:uiPriority w:val="99"/>
    <w:semiHidden/>
    <w:unhideWhenUsed/>
    <w:rsid w:val="000C4977"/>
    <w:rPr>
      <w:color w:val="605E5C"/>
      <w:shd w:val="clear" w:color="auto" w:fill="E1DFDD"/>
    </w:rPr>
  </w:style>
  <w:style w:type="character" w:customStyle="1" w:styleId="UnresolvedMention2">
    <w:name w:val="Unresolved Mention2"/>
    <w:basedOn w:val="DefaultParagraphFont"/>
    <w:uiPriority w:val="99"/>
    <w:semiHidden/>
    <w:unhideWhenUsed/>
    <w:rsid w:val="000C4977"/>
    <w:rPr>
      <w:color w:val="605E5C"/>
      <w:shd w:val="clear" w:color="auto" w:fill="E1DFDD"/>
    </w:rPr>
  </w:style>
  <w:style w:type="table" w:customStyle="1" w:styleId="PBACtable11">
    <w:name w:val="PBAC table11"/>
    <w:basedOn w:val="TableNormal"/>
    <w:next w:val="TableGrid"/>
    <w:uiPriority w:val="39"/>
    <w:rsid w:val="000C49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Narrow" w:hAnsi="Arial Narrow"/>
        <w:b/>
        <w:sz w:val="20"/>
      </w:rPr>
      <w:tblPr/>
      <w:tcPr>
        <w:shd w:val="clear" w:color="auto" w:fill="F2F2F2" w:themeFill="background1" w:themeFillShade="F2"/>
      </w:tcPr>
    </w:tblStylePr>
    <w:tblStylePr w:type="lastRow">
      <w:rPr>
        <w:i/>
        <w:iCs/>
      </w:rPr>
    </w:tblStylePr>
    <w:tblStylePr w:type="firstCol">
      <w:rPr>
        <w:rFonts w:ascii="Arial Narrow" w:hAnsi="Arial Narrow"/>
        <w:sz w:val="20"/>
      </w:rPr>
    </w:tblStylePr>
    <w:tblStylePr w:type="lastCol">
      <w:rPr>
        <w:rFonts w:ascii="Arial Narrow" w:hAnsi="Arial Narrow"/>
        <w:i/>
        <w:iCs/>
        <w:sz w:val="20"/>
      </w:rPr>
    </w:tblStylePr>
  </w:style>
  <w:style w:type="table" w:customStyle="1" w:styleId="PBACtable2">
    <w:name w:val="PBAC table2"/>
    <w:basedOn w:val="TableNormal"/>
    <w:next w:val="TableGrid"/>
    <w:uiPriority w:val="39"/>
    <w:rsid w:val="000C49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Narrow" w:hAnsi="Arial Narrow"/>
        <w:b/>
        <w:sz w:val="20"/>
      </w:rPr>
      <w:tblPr/>
      <w:tcPr>
        <w:shd w:val="clear" w:color="auto" w:fill="F2F2F2" w:themeFill="background1" w:themeFillShade="F2"/>
      </w:tcPr>
    </w:tblStylePr>
    <w:tblStylePr w:type="lastRow">
      <w:rPr>
        <w:i/>
        <w:iCs/>
      </w:rPr>
    </w:tblStylePr>
    <w:tblStylePr w:type="firstCol">
      <w:rPr>
        <w:rFonts w:ascii="Arial Narrow" w:hAnsi="Arial Narrow"/>
        <w:sz w:val="20"/>
      </w:rPr>
    </w:tblStylePr>
    <w:tblStylePr w:type="lastCol">
      <w:rPr>
        <w:rFonts w:ascii="Arial Narrow" w:hAnsi="Arial Narrow"/>
        <w:i/>
        <w:iCs/>
        <w:sz w:val="20"/>
      </w:rPr>
    </w:tblStylePr>
  </w:style>
  <w:style w:type="table" w:customStyle="1" w:styleId="PBACtable3">
    <w:name w:val="PBAC table3"/>
    <w:basedOn w:val="TableNormal"/>
    <w:next w:val="TableGrid"/>
    <w:uiPriority w:val="39"/>
    <w:rsid w:val="000C49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Narrow" w:hAnsi="Arial Narrow"/>
        <w:b/>
        <w:sz w:val="20"/>
      </w:rPr>
      <w:tblPr/>
      <w:tcPr>
        <w:shd w:val="clear" w:color="auto" w:fill="F2F2F2" w:themeFill="background1" w:themeFillShade="F2"/>
      </w:tcPr>
    </w:tblStylePr>
    <w:tblStylePr w:type="lastRow">
      <w:rPr>
        <w:i/>
        <w:iCs/>
      </w:rPr>
    </w:tblStylePr>
    <w:tblStylePr w:type="firstCol">
      <w:rPr>
        <w:rFonts w:ascii="Arial Narrow" w:hAnsi="Arial Narrow"/>
        <w:sz w:val="20"/>
      </w:rPr>
    </w:tblStylePr>
    <w:tblStylePr w:type="lastCol">
      <w:rPr>
        <w:rFonts w:ascii="Arial Narrow" w:hAnsi="Arial Narrow"/>
        <w:i/>
        <w:iCs/>
        <w:sz w:val="20"/>
      </w:rPr>
    </w:tblStylePr>
  </w:style>
  <w:style w:type="table" w:customStyle="1" w:styleId="AZTable2">
    <w:name w:val="AZ Table2"/>
    <w:basedOn w:val="TableNormal"/>
    <w:uiPriority w:val="99"/>
    <w:rsid w:val="000C4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StylePr>
  </w:style>
  <w:style w:type="table" w:customStyle="1" w:styleId="PBACtable4">
    <w:name w:val="PBAC table4"/>
    <w:basedOn w:val="TableNormal"/>
    <w:next w:val="TableGrid"/>
    <w:uiPriority w:val="39"/>
    <w:rsid w:val="000C49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Narrow" w:hAnsi="Arial Narrow"/>
        <w:b/>
        <w:sz w:val="20"/>
      </w:rPr>
      <w:tblPr/>
      <w:tcPr>
        <w:shd w:val="clear" w:color="auto" w:fill="F2F2F2" w:themeFill="background1" w:themeFillShade="F2"/>
      </w:tcPr>
    </w:tblStylePr>
    <w:tblStylePr w:type="lastRow">
      <w:rPr>
        <w:i/>
        <w:iCs/>
      </w:rPr>
    </w:tblStylePr>
    <w:tblStylePr w:type="firstCol">
      <w:rPr>
        <w:rFonts w:ascii="Arial Narrow" w:hAnsi="Arial Narrow"/>
        <w:sz w:val="20"/>
      </w:rPr>
    </w:tblStylePr>
    <w:tblStylePr w:type="lastCol">
      <w:rPr>
        <w:rFonts w:ascii="Arial Narrow" w:hAnsi="Arial Narrow"/>
        <w:i/>
        <w:iCs/>
        <w:sz w:val="20"/>
      </w:rPr>
    </w:tblStylePr>
  </w:style>
  <w:style w:type="table" w:customStyle="1" w:styleId="PBACtable5">
    <w:name w:val="PBAC table5"/>
    <w:basedOn w:val="TableNormal"/>
    <w:next w:val="TableGrid"/>
    <w:uiPriority w:val="39"/>
    <w:rsid w:val="000C49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Narrow" w:hAnsi="Arial Narrow"/>
        <w:b/>
        <w:sz w:val="20"/>
      </w:rPr>
      <w:tblPr/>
      <w:tcPr>
        <w:shd w:val="clear" w:color="auto" w:fill="F2F2F2" w:themeFill="background1" w:themeFillShade="F2"/>
      </w:tcPr>
    </w:tblStylePr>
    <w:tblStylePr w:type="lastRow">
      <w:rPr>
        <w:i/>
        <w:iCs/>
      </w:rPr>
    </w:tblStylePr>
    <w:tblStylePr w:type="firstCol">
      <w:rPr>
        <w:rFonts w:ascii="Arial Narrow" w:hAnsi="Arial Narrow"/>
        <w:sz w:val="20"/>
      </w:rPr>
    </w:tblStylePr>
    <w:tblStylePr w:type="lastCol">
      <w:rPr>
        <w:rFonts w:ascii="Arial Narrow" w:hAnsi="Arial Narrow"/>
        <w:i/>
        <w:iCs/>
        <w:sz w:val="20"/>
      </w:rPr>
    </w:tblStylePr>
  </w:style>
  <w:style w:type="numbering" w:customStyle="1" w:styleId="NoList11">
    <w:name w:val="No List11"/>
    <w:next w:val="NoList"/>
    <w:uiPriority w:val="99"/>
    <w:semiHidden/>
    <w:unhideWhenUsed/>
    <w:rsid w:val="000C4977"/>
  </w:style>
  <w:style w:type="table" w:customStyle="1" w:styleId="PBACtable6">
    <w:name w:val="PBAC table6"/>
    <w:basedOn w:val="TableNormal"/>
    <w:next w:val="TableGrid"/>
    <w:uiPriority w:val="39"/>
    <w:rsid w:val="000C4977"/>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ascii="Arial Narrow" w:hAnsi="Arial Narrow"/>
        <w:b/>
        <w:sz w:val="20"/>
      </w:rPr>
      <w:tblPr/>
      <w:tcPr>
        <w:shd w:val="clear" w:color="auto" w:fill="F2F2F2" w:themeFill="background1" w:themeFillShade="F2"/>
      </w:tcPr>
    </w:tblStylePr>
    <w:tblStylePr w:type="lastRow">
      <w:rPr>
        <w:i/>
        <w:iCs/>
      </w:rPr>
    </w:tblStylePr>
    <w:tblStylePr w:type="firstCol">
      <w:rPr>
        <w:rFonts w:ascii="Arial Narrow" w:hAnsi="Arial Narrow"/>
        <w:sz w:val="20"/>
      </w:rPr>
    </w:tblStylePr>
    <w:tblStylePr w:type="lastCol">
      <w:rPr>
        <w:rFonts w:ascii="Arial Narrow" w:hAnsi="Arial Narrow"/>
        <w:i/>
        <w:iCs/>
        <w:sz w:val="20"/>
      </w:rPr>
    </w:tblStylePr>
  </w:style>
  <w:style w:type="numbering" w:customStyle="1" w:styleId="Headings1">
    <w:name w:val="Headings1"/>
    <w:uiPriority w:val="99"/>
    <w:rsid w:val="000C4977"/>
    <w:pPr>
      <w:numPr>
        <w:numId w:val="23"/>
      </w:numPr>
    </w:pPr>
  </w:style>
  <w:style w:type="table" w:customStyle="1" w:styleId="PBACTableStyle11">
    <w:name w:val="PBAC Table Style11"/>
    <w:basedOn w:val="TableGrid1"/>
    <w:uiPriority w:val="99"/>
    <w:rsid w:val="000C4977"/>
    <w:pPr>
      <w:widowControl w:val="0"/>
      <w:spacing w:after="0"/>
      <w:contextualSpacing/>
      <w:jc w:val="center"/>
    </w:pPr>
    <w:rPr>
      <w:rFonts w:ascii="Arial Narrow" w:hAnsi="Arial Narrow"/>
      <w:color w:val="000000" w:themeColor="text1"/>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one" w:sz="0" w:space="0" w:color="auto"/>
          <w:tr2bl w:val="none" w:sz="0" w:space="0" w:color="auto"/>
        </w:tcBorders>
      </w:tcPr>
    </w:tblStylePr>
  </w:style>
  <w:style w:type="table" w:customStyle="1" w:styleId="ListTable1Light2">
    <w:name w:val="List Table 1 Light2"/>
    <w:basedOn w:val="TableNormal"/>
    <w:next w:val="ListTable1Light"/>
    <w:uiPriority w:val="46"/>
    <w:rsid w:val="000C49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2">
    <w:name w:val="List Table 7 Colorful - Accent 62"/>
    <w:basedOn w:val="TableNormal"/>
    <w:next w:val="ListTable7Colorful-Accent6"/>
    <w:uiPriority w:val="52"/>
    <w:rsid w:val="000C497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11">
    <w:name w:val="Table Grid 111"/>
    <w:basedOn w:val="TableNormal"/>
    <w:next w:val="TableGrid1"/>
    <w:uiPriority w:val="99"/>
    <w:semiHidden/>
    <w:unhideWhenUsed/>
    <w:rsid w:val="000C4977"/>
    <w:pPr>
      <w:spacing w:before="120" w:line="24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MSACESBulletpoints1">
    <w:name w:val="MSAC ES Bullet points1"/>
    <w:uiPriority w:val="99"/>
    <w:rsid w:val="000C4977"/>
    <w:pPr>
      <w:numPr>
        <w:numId w:val="24"/>
      </w:numPr>
    </w:pPr>
  </w:style>
  <w:style w:type="numbering" w:customStyle="1" w:styleId="Style11">
    <w:name w:val="Style11"/>
    <w:uiPriority w:val="99"/>
    <w:rsid w:val="000C4977"/>
    <w:pPr>
      <w:numPr>
        <w:numId w:val="37"/>
      </w:numPr>
    </w:pPr>
  </w:style>
  <w:style w:type="numbering" w:customStyle="1" w:styleId="Style21">
    <w:name w:val="Style21"/>
    <w:uiPriority w:val="99"/>
    <w:rsid w:val="000C4977"/>
    <w:pPr>
      <w:numPr>
        <w:numId w:val="36"/>
      </w:numPr>
    </w:pPr>
  </w:style>
  <w:style w:type="table" w:customStyle="1" w:styleId="ListTable1Light11">
    <w:name w:val="List Table 1 Light11"/>
    <w:basedOn w:val="TableNormal"/>
    <w:uiPriority w:val="46"/>
    <w:rsid w:val="000C497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7Colorful-Accent611">
    <w:name w:val="List Table 7 Colorful - Accent 611"/>
    <w:basedOn w:val="TableNormal"/>
    <w:uiPriority w:val="52"/>
    <w:rsid w:val="000C4977"/>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Style31">
    <w:name w:val="Style31"/>
    <w:uiPriority w:val="99"/>
    <w:rsid w:val="000C4977"/>
    <w:pPr>
      <w:numPr>
        <w:numId w:val="27"/>
      </w:numPr>
    </w:pPr>
  </w:style>
  <w:style w:type="table" w:customStyle="1" w:styleId="ASDTable11">
    <w:name w:val="ASD Table11"/>
    <w:basedOn w:val="TableNormal"/>
    <w:next w:val="TableGrid"/>
    <w:rsid w:val="000C49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11">
    <w:name w:val="MSD Table Grid11"/>
    <w:basedOn w:val="TableNormal"/>
    <w:next w:val="TableGrid"/>
    <w:uiPriority w:val="39"/>
    <w:rsid w:val="000C4977"/>
    <w:pPr>
      <w:spacing w:after="0" w:line="240"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ZTable11">
    <w:name w:val="AZ Table11"/>
    <w:basedOn w:val="TableNormal"/>
    <w:uiPriority w:val="99"/>
    <w:rsid w:val="000C4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Arial Narrow" w:hAnsi="Arial Narrow"/>
        <w:b/>
        <w:sz w:val="20"/>
      </w:rPr>
      <w:tblPr/>
      <w:tcPr>
        <w:vAlign w:val="center"/>
      </w:tcPr>
    </w:tblStylePr>
    <w:tblStylePr w:type="lastRow">
      <w:rPr>
        <w:i/>
        <w:iCs/>
      </w:rPr>
    </w:tblStylePr>
    <w:tblStylePr w:type="firstCol">
      <w:pPr>
        <w:wordWrap/>
        <w:spacing w:beforeLines="0" w:before="0" w:beforeAutospacing="0" w:afterLines="0" w:after="0" w:afterAutospacing="0" w:line="240" w:lineRule="auto"/>
        <w:ind w:leftChars="0" w:left="0" w:rightChars="0" w:right="0"/>
        <w:contextualSpacing/>
        <w:jc w:val="left"/>
      </w:pPr>
      <w:rPr>
        <w:rFonts w:ascii="Arial Narrow" w:hAnsi="Arial Narrow"/>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Arial Narrow" w:hAnsi="Arial Narrow"/>
        <w:i/>
        <w:iCs/>
        <w:sz w:val="20"/>
      </w:rPr>
    </w:tblStylePr>
  </w:style>
  <w:style w:type="table" w:customStyle="1" w:styleId="HTATableshaded1">
    <w:name w:val="HTA Table shaded1"/>
    <w:basedOn w:val="TableNormal"/>
    <w:rsid w:val="000C4977"/>
    <w:pPr>
      <w:spacing w:before="40" w:after="20" w:line="240" w:lineRule="auto"/>
    </w:pPr>
    <w:rPr>
      <w:rFonts w:ascii="Calibri" w:eastAsia="Times New Roman" w:hAnsi="Calibri" w:cs="Times New Roman"/>
      <w:sz w:val="18"/>
      <w:szCs w:val="18"/>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heme="minorHAnsi" w:hAnsiTheme="minorHAnsi"/>
        <w:b w:val="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GridTable4-Accent31">
    <w:name w:val="Grid Table 4 - Accent 31"/>
    <w:basedOn w:val="TableNormal"/>
    <w:next w:val="GridTable4-Accent3"/>
    <w:uiPriority w:val="49"/>
    <w:rsid w:val="000C4977"/>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Summarybox11">
    <w:name w:val="Summary box11"/>
    <w:basedOn w:val="TableNormal"/>
    <w:next w:val="TableGrid"/>
    <w:uiPriority w:val="59"/>
    <w:rsid w:val="000C4977"/>
    <w:pPr>
      <w:spacing w:after="0" w:line="360" w:lineRule="auto"/>
    </w:pPr>
    <w:rPr>
      <w:rFonts w:ascii="Times New Roman" w:eastAsia="SimSu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21">
    <w:name w:val="ASD Table21"/>
    <w:basedOn w:val="TableNormal"/>
    <w:next w:val="TableGrid"/>
    <w:uiPriority w:val="39"/>
    <w:rsid w:val="000C49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SDTableGrid21">
    <w:name w:val="MSD Table Grid21"/>
    <w:basedOn w:val="TableNormal"/>
    <w:next w:val="TableGrid"/>
    <w:uiPriority w:val="39"/>
    <w:rsid w:val="000C4977"/>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6E6027"/>
    <w:pPr>
      <w:keepLines w:val="0"/>
      <w:numPr>
        <w:ilvl w:val="0"/>
        <w:numId w:val="0"/>
      </w:numPr>
      <w:spacing w:before="120"/>
      <w:jc w:val="both"/>
      <w:outlineLvl w:val="9"/>
    </w:pPr>
    <w:rPr>
      <w:snapToGrid/>
      <w:spacing w:val="5"/>
      <w:kern w:val="28"/>
      <w:szCs w:val="36"/>
    </w:rPr>
  </w:style>
  <w:style w:type="character" w:customStyle="1" w:styleId="3-SubsectionHeadingChar">
    <w:name w:val="3-Subsection Heading Char"/>
    <w:basedOn w:val="Heading2Char"/>
    <w:link w:val="3-SubsectionHeading"/>
    <w:rsid w:val="006E6027"/>
    <w:rPr>
      <w:rFonts w:ascii="Arial" w:eastAsiaTheme="majorEastAsia" w:hAnsi="Arial" w:cstheme="majorBidi"/>
      <w:b/>
      <w:i/>
      <w:snapToGrid/>
      <w:spacing w:val="5"/>
      <w:kern w:val="28"/>
      <w:sz w:val="28"/>
      <w:szCs w:val="36"/>
    </w:rPr>
  </w:style>
  <w:style w:type="character" w:styleId="UnresolvedMention">
    <w:name w:val="Unresolved Mention"/>
    <w:basedOn w:val="DefaultParagraphFont"/>
    <w:uiPriority w:val="99"/>
    <w:semiHidden/>
    <w:unhideWhenUsed/>
    <w:rsid w:val="00935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3532">
      <w:bodyDiv w:val="1"/>
      <w:marLeft w:val="0"/>
      <w:marRight w:val="0"/>
      <w:marTop w:val="0"/>
      <w:marBottom w:val="0"/>
      <w:divBdr>
        <w:top w:val="none" w:sz="0" w:space="0" w:color="auto"/>
        <w:left w:val="none" w:sz="0" w:space="0" w:color="auto"/>
        <w:bottom w:val="none" w:sz="0" w:space="0" w:color="auto"/>
        <w:right w:val="none" w:sz="0" w:space="0" w:color="auto"/>
      </w:divBdr>
    </w:div>
    <w:div w:id="22218924">
      <w:bodyDiv w:val="1"/>
      <w:marLeft w:val="0"/>
      <w:marRight w:val="0"/>
      <w:marTop w:val="0"/>
      <w:marBottom w:val="0"/>
      <w:divBdr>
        <w:top w:val="none" w:sz="0" w:space="0" w:color="auto"/>
        <w:left w:val="none" w:sz="0" w:space="0" w:color="auto"/>
        <w:bottom w:val="none" w:sz="0" w:space="0" w:color="auto"/>
        <w:right w:val="none" w:sz="0" w:space="0" w:color="auto"/>
      </w:divBdr>
    </w:div>
    <w:div w:id="34163133">
      <w:bodyDiv w:val="1"/>
      <w:marLeft w:val="0"/>
      <w:marRight w:val="0"/>
      <w:marTop w:val="0"/>
      <w:marBottom w:val="0"/>
      <w:divBdr>
        <w:top w:val="none" w:sz="0" w:space="0" w:color="auto"/>
        <w:left w:val="none" w:sz="0" w:space="0" w:color="auto"/>
        <w:bottom w:val="none" w:sz="0" w:space="0" w:color="auto"/>
        <w:right w:val="none" w:sz="0" w:space="0" w:color="auto"/>
      </w:divBdr>
    </w:div>
    <w:div w:id="40638712">
      <w:bodyDiv w:val="1"/>
      <w:marLeft w:val="0"/>
      <w:marRight w:val="0"/>
      <w:marTop w:val="0"/>
      <w:marBottom w:val="0"/>
      <w:divBdr>
        <w:top w:val="none" w:sz="0" w:space="0" w:color="auto"/>
        <w:left w:val="none" w:sz="0" w:space="0" w:color="auto"/>
        <w:bottom w:val="none" w:sz="0" w:space="0" w:color="auto"/>
        <w:right w:val="none" w:sz="0" w:space="0" w:color="auto"/>
      </w:divBdr>
    </w:div>
    <w:div w:id="45494256">
      <w:bodyDiv w:val="1"/>
      <w:marLeft w:val="0"/>
      <w:marRight w:val="0"/>
      <w:marTop w:val="0"/>
      <w:marBottom w:val="0"/>
      <w:divBdr>
        <w:top w:val="none" w:sz="0" w:space="0" w:color="auto"/>
        <w:left w:val="none" w:sz="0" w:space="0" w:color="auto"/>
        <w:bottom w:val="none" w:sz="0" w:space="0" w:color="auto"/>
        <w:right w:val="none" w:sz="0" w:space="0" w:color="auto"/>
      </w:divBdr>
      <w:divsChild>
        <w:div w:id="2141340246">
          <w:marLeft w:val="360"/>
          <w:marRight w:val="0"/>
          <w:marTop w:val="200"/>
          <w:marBottom w:val="0"/>
          <w:divBdr>
            <w:top w:val="none" w:sz="0" w:space="0" w:color="auto"/>
            <w:left w:val="none" w:sz="0" w:space="0" w:color="auto"/>
            <w:bottom w:val="none" w:sz="0" w:space="0" w:color="auto"/>
            <w:right w:val="none" w:sz="0" w:space="0" w:color="auto"/>
          </w:divBdr>
        </w:div>
      </w:divsChild>
    </w:div>
    <w:div w:id="53047586">
      <w:bodyDiv w:val="1"/>
      <w:marLeft w:val="0"/>
      <w:marRight w:val="0"/>
      <w:marTop w:val="0"/>
      <w:marBottom w:val="0"/>
      <w:divBdr>
        <w:top w:val="none" w:sz="0" w:space="0" w:color="auto"/>
        <w:left w:val="none" w:sz="0" w:space="0" w:color="auto"/>
        <w:bottom w:val="none" w:sz="0" w:space="0" w:color="auto"/>
        <w:right w:val="none" w:sz="0" w:space="0" w:color="auto"/>
      </w:divBdr>
    </w:div>
    <w:div w:id="92746524">
      <w:bodyDiv w:val="1"/>
      <w:marLeft w:val="0"/>
      <w:marRight w:val="0"/>
      <w:marTop w:val="0"/>
      <w:marBottom w:val="0"/>
      <w:divBdr>
        <w:top w:val="none" w:sz="0" w:space="0" w:color="auto"/>
        <w:left w:val="none" w:sz="0" w:space="0" w:color="auto"/>
        <w:bottom w:val="none" w:sz="0" w:space="0" w:color="auto"/>
        <w:right w:val="none" w:sz="0" w:space="0" w:color="auto"/>
      </w:divBdr>
    </w:div>
    <w:div w:id="103692235">
      <w:bodyDiv w:val="1"/>
      <w:marLeft w:val="0"/>
      <w:marRight w:val="0"/>
      <w:marTop w:val="0"/>
      <w:marBottom w:val="0"/>
      <w:divBdr>
        <w:top w:val="none" w:sz="0" w:space="0" w:color="auto"/>
        <w:left w:val="none" w:sz="0" w:space="0" w:color="auto"/>
        <w:bottom w:val="none" w:sz="0" w:space="0" w:color="auto"/>
        <w:right w:val="none" w:sz="0" w:space="0" w:color="auto"/>
      </w:divBdr>
    </w:div>
    <w:div w:id="130174438">
      <w:bodyDiv w:val="1"/>
      <w:marLeft w:val="0"/>
      <w:marRight w:val="0"/>
      <w:marTop w:val="0"/>
      <w:marBottom w:val="0"/>
      <w:divBdr>
        <w:top w:val="none" w:sz="0" w:space="0" w:color="auto"/>
        <w:left w:val="none" w:sz="0" w:space="0" w:color="auto"/>
        <w:bottom w:val="none" w:sz="0" w:space="0" w:color="auto"/>
        <w:right w:val="none" w:sz="0" w:space="0" w:color="auto"/>
      </w:divBdr>
    </w:div>
    <w:div w:id="132187410">
      <w:bodyDiv w:val="1"/>
      <w:marLeft w:val="0"/>
      <w:marRight w:val="0"/>
      <w:marTop w:val="0"/>
      <w:marBottom w:val="0"/>
      <w:divBdr>
        <w:top w:val="none" w:sz="0" w:space="0" w:color="auto"/>
        <w:left w:val="none" w:sz="0" w:space="0" w:color="auto"/>
        <w:bottom w:val="none" w:sz="0" w:space="0" w:color="auto"/>
        <w:right w:val="none" w:sz="0" w:space="0" w:color="auto"/>
      </w:divBdr>
    </w:div>
    <w:div w:id="141316008">
      <w:bodyDiv w:val="1"/>
      <w:marLeft w:val="0"/>
      <w:marRight w:val="0"/>
      <w:marTop w:val="0"/>
      <w:marBottom w:val="0"/>
      <w:divBdr>
        <w:top w:val="none" w:sz="0" w:space="0" w:color="auto"/>
        <w:left w:val="none" w:sz="0" w:space="0" w:color="auto"/>
        <w:bottom w:val="none" w:sz="0" w:space="0" w:color="auto"/>
        <w:right w:val="none" w:sz="0" w:space="0" w:color="auto"/>
      </w:divBdr>
    </w:div>
    <w:div w:id="156386980">
      <w:bodyDiv w:val="1"/>
      <w:marLeft w:val="0"/>
      <w:marRight w:val="0"/>
      <w:marTop w:val="0"/>
      <w:marBottom w:val="0"/>
      <w:divBdr>
        <w:top w:val="none" w:sz="0" w:space="0" w:color="auto"/>
        <w:left w:val="none" w:sz="0" w:space="0" w:color="auto"/>
        <w:bottom w:val="none" w:sz="0" w:space="0" w:color="auto"/>
        <w:right w:val="none" w:sz="0" w:space="0" w:color="auto"/>
      </w:divBdr>
    </w:div>
    <w:div w:id="161094526">
      <w:bodyDiv w:val="1"/>
      <w:marLeft w:val="0"/>
      <w:marRight w:val="0"/>
      <w:marTop w:val="0"/>
      <w:marBottom w:val="0"/>
      <w:divBdr>
        <w:top w:val="none" w:sz="0" w:space="0" w:color="auto"/>
        <w:left w:val="none" w:sz="0" w:space="0" w:color="auto"/>
        <w:bottom w:val="none" w:sz="0" w:space="0" w:color="auto"/>
        <w:right w:val="none" w:sz="0" w:space="0" w:color="auto"/>
      </w:divBdr>
      <w:divsChild>
        <w:div w:id="630674478">
          <w:marLeft w:val="446"/>
          <w:marRight w:val="0"/>
          <w:marTop w:val="0"/>
          <w:marBottom w:val="0"/>
          <w:divBdr>
            <w:top w:val="none" w:sz="0" w:space="0" w:color="auto"/>
            <w:left w:val="none" w:sz="0" w:space="0" w:color="auto"/>
            <w:bottom w:val="none" w:sz="0" w:space="0" w:color="auto"/>
            <w:right w:val="none" w:sz="0" w:space="0" w:color="auto"/>
          </w:divBdr>
        </w:div>
        <w:div w:id="1744137894">
          <w:marLeft w:val="446"/>
          <w:marRight w:val="0"/>
          <w:marTop w:val="0"/>
          <w:marBottom w:val="0"/>
          <w:divBdr>
            <w:top w:val="none" w:sz="0" w:space="0" w:color="auto"/>
            <w:left w:val="none" w:sz="0" w:space="0" w:color="auto"/>
            <w:bottom w:val="none" w:sz="0" w:space="0" w:color="auto"/>
            <w:right w:val="none" w:sz="0" w:space="0" w:color="auto"/>
          </w:divBdr>
        </w:div>
        <w:div w:id="2117212493">
          <w:marLeft w:val="446"/>
          <w:marRight w:val="0"/>
          <w:marTop w:val="0"/>
          <w:marBottom w:val="0"/>
          <w:divBdr>
            <w:top w:val="none" w:sz="0" w:space="0" w:color="auto"/>
            <w:left w:val="none" w:sz="0" w:space="0" w:color="auto"/>
            <w:bottom w:val="none" w:sz="0" w:space="0" w:color="auto"/>
            <w:right w:val="none" w:sz="0" w:space="0" w:color="auto"/>
          </w:divBdr>
        </w:div>
        <w:div w:id="2005205589">
          <w:marLeft w:val="446"/>
          <w:marRight w:val="0"/>
          <w:marTop w:val="0"/>
          <w:marBottom w:val="0"/>
          <w:divBdr>
            <w:top w:val="none" w:sz="0" w:space="0" w:color="auto"/>
            <w:left w:val="none" w:sz="0" w:space="0" w:color="auto"/>
            <w:bottom w:val="none" w:sz="0" w:space="0" w:color="auto"/>
            <w:right w:val="none" w:sz="0" w:space="0" w:color="auto"/>
          </w:divBdr>
        </w:div>
        <w:div w:id="822963348">
          <w:marLeft w:val="446"/>
          <w:marRight w:val="0"/>
          <w:marTop w:val="0"/>
          <w:marBottom w:val="0"/>
          <w:divBdr>
            <w:top w:val="none" w:sz="0" w:space="0" w:color="auto"/>
            <w:left w:val="none" w:sz="0" w:space="0" w:color="auto"/>
            <w:bottom w:val="none" w:sz="0" w:space="0" w:color="auto"/>
            <w:right w:val="none" w:sz="0" w:space="0" w:color="auto"/>
          </w:divBdr>
        </w:div>
      </w:divsChild>
    </w:div>
    <w:div w:id="169567324">
      <w:bodyDiv w:val="1"/>
      <w:marLeft w:val="0"/>
      <w:marRight w:val="0"/>
      <w:marTop w:val="0"/>
      <w:marBottom w:val="0"/>
      <w:divBdr>
        <w:top w:val="none" w:sz="0" w:space="0" w:color="auto"/>
        <w:left w:val="none" w:sz="0" w:space="0" w:color="auto"/>
        <w:bottom w:val="none" w:sz="0" w:space="0" w:color="auto"/>
        <w:right w:val="none" w:sz="0" w:space="0" w:color="auto"/>
      </w:divBdr>
    </w:div>
    <w:div w:id="174851779">
      <w:bodyDiv w:val="1"/>
      <w:marLeft w:val="0"/>
      <w:marRight w:val="0"/>
      <w:marTop w:val="0"/>
      <w:marBottom w:val="0"/>
      <w:divBdr>
        <w:top w:val="none" w:sz="0" w:space="0" w:color="auto"/>
        <w:left w:val="none" w:sz="0" w:space="0" w:color="auto"/>
        <w:bottom w:val="none" w:sz="0" w:space="0" w:color="auto"/>
        <w:right w:val="none" w:sz="0" w:space="0" w:color="auto"/>
      </w:divBdr>
    </w:div>
    <w:div w:id="197007052">
      <w:bodyDiv w:val="1"/>
      <w:marLeft w:val="0"/>
      <w:marRight w:val="0"/>
      <w:marTop w:val="0"/>
      <w:marBottom w:val="0"/>
      <w:divBdr>
        <w:top w:val="none" w:sz="0" w:space="0" w:color="auto"/>
        <w:left w:val="none" w:sz="0" w:space="0" w:color="auto"/>
        <w:bottom w:val="none" w:sz="0" w:space="0" w:color="auto"/>
        <w:right w:val="none" w:sz="0" w:space="0" w:color="auto"/>
      </w:divBdr>
    </w:div>
    <w:div w:id="203254904">
      <w:bodyDiv w:val="1"/>
      <w:marLeft w:val="0"/>
      <w:marRight w:val="0"/>
      <w:marTop w:val="0"/>
      <w:marBottom w:val="0"/>
      <w:divBdr>
        <w:top w:val="none" w:sz="0" w:space="0" w:color="auto"/>
        <w:left w:val="none" w:sz="0" w:space="0" w:color="auto"/>
        <w:bottom w:val="none" w:sz="0" w:space="0" w:color="auto"/>
        <w:right w:val="none" w:sz="0" w:space="0" w:color="auto"/>
      </w:divBdr>
      <w:divsChild>
        <w:div w:id="384335804">
          <w:marLeft w:val="0"/>
          <w:marRight w:val="0"/>
          <w:marTop w:val="0"/>
          <w:marBottom w:val="0"/>
          <w:divBdr>
            <w:top w:val="none" w:sz="0" w:space="0" w:color="auto"/>
            <w:left w:val="none" w:sz="0" w:space="0" w:color="auto"/>
            <w:bottom w:val="none" w:sz="0" w:space="0" w:color="auto"/>
            <w:right w:val="none" w:sz="0" w:space="0" w:color="auto"/>
          </w:divBdr>
          <w:divsChild>
            <w:div w:id="11189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7305">
      <w:bodyDiv w:val="1"/>
      <w:marLeft w:val="0"/>
      <w:marRight w:val="0"/>
      <w:marTop w:val="0"/>
      <w:marBottom w:val="0"/>
      <w:divBdr>
        <w:top w:val="none" w:sz="0" w:space="0" w:color="auto"/>
        <w:left w:val="none" w:sz="0" w:space="0" w:color="auto"/>
        <w:bottom w:val="none" w:sz="0" w:space="0" w:color="auto"/>
        <w:right w:val="none" w:sz="0" w:space="0" w:color="auto"/>
      </w:divBdr>
    </w:div>
    <w:div w:id="208152601">
      <w:bodyDiv w:val="1"/>
      <w:marLeft w:val="0"/>
      <w:marRight w:val="0"/>
      <w:marTop w:val="0"/>
      <w:marBottom w:val="0"/>
      <w:divBdr>
        <w:top w:val="none" w:sz="0" w:space="0" w:color="auto"/>
        <w:left w:val="none" w:sz="0" w:space="0" w:color="auto"/>
        <w:bottom w:val="none" w:sz="0" w:space="0" w:color="auto"/>
        <w:right w:val="none" w:sz="0" w:space="0" w:color="auto"/>
      </w:divBdr>
      <w:divsChild>
        <w:div w:id="1321422363">
          <w:marLeft w:val="0"/>
          <w:marRight w:val="0"/>
          <w:marTop w:val="0"/>
          <w:marBottom w:val="0"/>
          <w:divBdr>
            <w:top w:val="none" w:sz="0" w:space="0" w:color="auto"/>
            <w:left w:val="none" w:sz="0" w:space="0" w:color="auto"/>
            <w:bottom w:val="none" w:sz="0" w:space="0" w:color="auto"/>
            <w:right w:val="none" w:sz="0" w:space="0" w:color="auto"/>
          </w:divBdr>
          <w:divsChild>
            <w:div w:id="10466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2679">
      <w:bodyDiv w:val="1"/>
      <w:marLeft w:val="0"/>
      <w:marRight w:val="0"/>
      <w:marTop w:val="0"/>
      <w:marBottom w:val="0"/>
      <w:divBdr>
        <w:top w:val="none" w:sz="0" w:space="0" w:color="auto"/>
        <w:left w:val="none" w:sz="0" w:space="0" w:color="auto"/>
        <w:bottom w:val="none" w:sz="0" w:space="0" w:color="auto"/>
        <w:right w:val="none" w:sz="0" w:space="0" w:color="auto"/>
      </w:divBdr>
    </w:div>
    <w:div w:id="211694994">
      <w:bodyDiv w:val="1"/>
      <w:marLeft w:val="0"/>
      <w:marRight w:val="0"/>
      <w:marTop w:val="0"/>
      <w:marBottom w:val="0"/>
      <w:divBdr>
        <w:top w:val="none" w:sz="0" w:space="0" w:color="auto"/>
        <w:left w:val="none" w:sz="0" w:space="0" w:color="auto"/>
        <w:bottom w:val="none" w:sz="0" w:space="0" w:color="auto"/>
        <w:right w:val="none" w:sz="0" w:space="0" w:color="auto"/>
      </w:divBdr>
    </w:div>
    <w:div w:id="231159495">
      <w:bodyDiv w:val="1"/>
      <w:marLeft w:val="0"/>
      <w:marRight w:val="0"/>
      <w:marTop w:val="0"/>
      <w:marBottom w:val="0"/>
      <w:divBdr>
        <w:top w:val="none" w:sz="0" w:space="0" w:color="auto"/>
        <w:left w:val="none" w:sz="0" w:space="0" w:color="auto"/>
        <w:bottom w:val="none" w:sz="0" w:space="0" w:color="auto"/>
        <w:right w:val="none" w:sz="0" w:space="0" w:color="auto"/>
      </w:divBdr>
    </w:div>
    <w:div w:id="236137363">
      <w:bodyDiv w:val="1"/>
      <w:marLeft w:val="0"/>
      <w:marRight w:val="0"/>
      <w:marTop w:val="0"/>
      <w:marBottom w:val="0"/>
      <w:divBdr>
        <w:top w:val="none" w:sz="0" w:space="0" w:color="auto"/>
        <w:left w:val="none" w:sz="0" w:space="0" w:color="auto"/>
        <w:bottom w:val="none" w:sz="0" w:space="0" w:color="auto"/>
        <w:right w:val="none" w:sz="0" w:space="0" w:color="auto"/>
      </w:divBdr>
    </w:div>
    <w:div w:id="263076018">
      <w:bodyDiv w:val="1"/>
      <w:marLeft w:val="0"/>
      <w:marRight w:val="0"/>
      <w:marTop w:val="0"/>
      <w:marBottom w:val="0"/>
      <w:divBdr>
        <w:top w:val="none" w:sz="0" w:space="0" w:color="auto"/>
        <w:left w:val="none" w:sz="0" w:space="0" w:color="auto"/>
        <w:bottom w:val="none" w:sz="0" w:space="0" w:color="auto"/>
        <w:right w:val="none" w:sz="0" w:space="0" w:color="auto"/>
      </w:divBdr>
      <w:divsChild>
        <w:div w:id="797532170">
          <w:marLeft w:val="360"/>
          <w:marRight w:val="0"/>
          <w:marTop w:val="200"/>
          <w:marBottom w:val="0"/>
          <w:divBdr>
            <w:top w:val="none" w:sz="0" w:space="0" w:color="auto"/>
            <w:left w:val="none" w:sz="0" w:space="0" w:color="auto"/>
            <w:bottom w:val="none" w:sz="0" w:space="0" w:color="auto"/>
            <w:right w:val="none" w:sz="0" w:space="0" w:color="auto"/>
          </w:divBdr>
        </w:div>
      </w:divsChild>
    </w:div>
    <w:div w:id="273175284">
      <w:bodyDiv w:val="1"/>
      <w:marLeft w:val="0"/>
      <w:marRight w:val="0"/>
      <w:marTop w:val="0"/>
      <w:marBottom w:val="0"/>
      <w:divBdr>
        <w:top w:val="none" w:sz="0" w:space="0" w:color="auto"/>
        <w:left w:val="none" w:sz="0" w:space="0" w:color="auto"/>
        <w:bottom w:val="none" w:sz="0" w:space="0" w:color="auto"/>
        <w:right w:val="none" w:sz="0" w:space="0" w:color="auto"/>
      </w:divBdr>
    </w:div>
    <w:div w:id="276957444">
      <w:bodyDiv w:val="1"/>
      <w:marLeft w:val="0"/>
      <w:marRight w:val="0"/>
      <w:marTop w:val="0"/>
      <w:marBottom w:val="0"/>
      <w:divBdr>
        <w:top w:val="none" w:sz="0" w:space="0" w:color="auto"/>
        <w:left w:val="none" w:sz="0" w:space="0" w:color="auto"/>
        <w:bottom w:val="none" w:sz="0" w:space="0" w:color="auto"/>
        <w:right w:val="none" w:sz="0" w:space="0" w:color="auto"/>
      </w:divBdr>
      <w:divsChild>
        <w:div w:id="1321926850">
          <w:marLeft w:val="547"/>
          <w:marRight w:val="0"/>
          <w:marTop w:val="154"/>
          <w:marBottom w:val="0"/>
          <w:divBdr>
            <w:top w:val="none" w:sz="0" w:space="0" w:color="auto"/>
            <w:left w:val="none" w:sz="0" w:space="0" w:color="auto"/>
            <w:bottom w:val="none" w:sz="0" w:space="0" w:color="auto"/>
            <w:right w:val="none" w:sz="0" w:space="0" w:color="auto"/>
          </w:divBdr>
        </w:div>
      </w:divsChild>
    </w:div>
    <w:div w:id="374046150">
      <w:bodyDiv w:val="1"/>
      <w:marLeft w:val="0"/>
      <w:marRight w:val="0"/>
      <w:marTop w:val="0"/>
      <w:marBottom w:val="0"/>
      <w:divBdr>
        <w:top w:val="none" w:sz="0" w:space="0" w:color="auto"/>
        <w:left w:val="none" w:sz="0" w:space="0" w:color="auto"/>
        <w:bottom w:val="none" w:sz="0" w:space="0" w:color="auto"/>
        <w:right w:val="none" w:sz="0" w:space="0" w:color="auto"/>
      </w:divBdr>
    </w:div>
    <w:div w:id="397214490">
      <w:bodyDiv w:val="1"/>
      <w:marLeft w:val="0"/>
      <w:marRight w:val="0"/>
      <w:marTop w:val="0"/>
      <w:marBottom w:val="0"/>
      <w:divBdr>
        <w:top w:val="none" w:sz="0" w:space="0" w:color="auto"/>
        <w:left w:val="none" w:sz="0" w:space="0" w:color="auto"/>
        <w:bottom w:val="none" w:sz="0" w:space="0" w:color="auto"/>
        <w:right w:val="none" w:sz="0" w:space="0" w:color="auto"/>
      </w:divBdr>
    </w:div>
    <w:div w:id="410081824">
      <w:bodyDiv w:val="1"/>
      <w:marLeft w:val="0"/>
      <w:marRight w:val="0"/>
      <w:marTop w:val="0"/>
      <w:marBottom w:val="0"/>
      <w:divBdr>
        <w:top w:val="none" w:sz="0" w:space="0" w:color="auto"/>
        <w:left w:val="none" w:sz="0" w:space="0" w:color="auto"/>
        <w:bottom w:val="none" w:sz="0" w:space="0" w:color="auto"/>
        <w:right w:val="none" w:sz="0" w:space="0" w:color="auto"/>
      </w:divBdr>
    </w:div>
    <w:div w:id="426269267">
      <w:bodyDiv w:val="1"/>
      <w:marLeft w:val="0"/>
      <w:marRight w:val="0"/>
      <w:marTop w:val="0"/>
      <w:marBottom w:val="0"/>
      <w:divBdr>
        <w:top w:val="none" w:sz="0" w:space="0" w:color="auto"/>
        <w:left w:val="none" w:sz="0" w:space="0" w:color="auto"/>
        <w:bottom w:val="none" w:sz="0" w:space="0" w:color="auto"/>
        <w:right w:val="none" w:sz="0" w:space="0" w:color="auto"/>
      </w:divBdr>
    </w:div>
    <w:div w:id="433285969">
      <w:bodyDiv w:val="1"/>
      <w:marLeft w:val="0"/>
      <w:marRight w:val="0"/>
      <w:marTop w:val="0"/>
      <w:marBottom w:val="0"/>
      <w:divBdr>
        <w:top w:val="none" w:sz="0" w:space="0" w:color="auto"/>
        <w:left w:val="none" w:sz="0" w:space="0" w:color="auto"/>
        <w:bottom w:val="none" w:sz="0" w:space="0" w:color="auto"/>
        <w:right w:val="none" w:sz="0" w:space="0" w:color="auto"/>
      </w:divBdr>
    </w:div>
    <w:div w:id="443892654">
      <w:bodyDiv w:val="1"/>
      <w:marLeft w:val="0"/>
      <w:marRight w:val="0"/>
      <w:marTop w:val="0"/>
      <w:marBottom w:val="0"/>
      <w:divBdr>
        <w:top w:val="none" w:sz="0" w:space="0" w:color="auto"/>
        <w:left w:val="none" w:sz="0" w:space="0" w:color="auto"/>
        <w:bottom w:val="none" w:sz="0" w:space="0" w:color="auto"/>
        <w:right w:val="none" w:sz="0" w:space="0" w:color="auto"/>
      </w:divBdr>
    </w:div>
    <w:div w:id="474418239">
      <w:bodyDiv w:val="1"/>
      <w:marLeft w:val="0"/>
      <w:marRight w:val="0"/>
      <w:marTop w:val="0"/>
      <w:marBottom w:val="0"/>
      <w:divBdr>
        <w:top w:val="none" w:sz="0" w:space="0" w:color="auto"/>
        <w:left w:val="none" w:sz="0" w:space="0" w:color="auto"/>
        <w:bottom w:val="none" w:sz="0" w:space="0" w:color="auto"/>
        <w:right w:val="none" w:sz="0" w:space="0" w:color="auto"/>
      </w:divBdr>
    </w:div>
    <w:div w:id="477065723">
      <w:bodyDiv w:val="1"/>
      <w:marLeft w:val="0"/>
      <w:marRight w:val="0"/>
      <w:marTop w:val="0"/>
      <w:marBottom w:val="0"/>
      <w:divBdr>
        <w:top w:val="none" w:sz="0" w:space="0" w:color="auto"/>
        <w:left w:val="none" w:sz="0" w:space="0" w:color="auto"/>
        <w:bottom w:val="none" w:sz="0" w:space="0" w:color="auto"/>
        <w:right w:val="none" w:sz="0" w:space="0" w:color="auto"/>
      </w:divBdr>
    </w:div>
    <w:div w:id="478154052">
      <w:bodyDiv w:val="1"/>
      <w:marLeft w:val="0"/>
      <w:marRight w:val="0"/>
      <w:marTop w:val="0"/>
      <w:marBottom w:val="0"/>
      <w:divBdr>
        <w:top w:val="none" w:sz="0" w:space="0" w:color="auto"/>
        <w:left w:val="none" w:sz="0" w:space="0" w:color="auto"/>
        <w:bottom w:val="none" w:sz="0" w:space="0" w:color="auto"/>
        <w:right w:val="none" w:sz="0" w:space="0" w:color="auto"/>
      </w:divBdr>
    </w:div>
    <w:div w:id="478612994">
      <w:bodyDiv w:val="1"/>
      <w:marLeft w:val="0"/>
      <w:marRight w:val="0"/>
      <w:marTop w:val="0"/>
      <w:marBottom w:val="0"/>
      <w:divBdr>
        <w:top w:val="none" w:sz="0" w:space="0" w:color="auto"/>
        <w:left w:val="none" w:sz="0" w:space="0" w:color="auto"/>
        <w:bottom w:val="none" w:sz="0" w:space="0" w:color="auto"/>
        <w:right w:val="none" w:sz="0" w:space="0" w:color="auto"/>
      </w:divBdr>
    </w:div>
    <w:div w:id="483475782">
      <w:bodyDiv w:val="1"/>
      <w:marLeft w:val="0"/>
      <w:marRight w:val="0"/>
      <w:marTop w:val="0"/>
      <w:marBottom w:val="0"/>
      <w:divBdr>
        <w:top w:val="none" w:sz="0" w:space="0" w:color="auto"/>
        <w:left w:val="none" w:sz="0" w:space="0" w:color="auto"/>
        <w:bottom w:val="none" w:sz="0" w:space="0" w:color="auto"/>
        <w:right w:val="none" w:sz="0" w:space="0" w:color="auto"/>
      </w:divBdr>
    </w:div>
    <w:div w:id="514736953">
      <w:bodyDiv w:val="1"/>
      <w:marLeft w:val="0"/>
      <w:marRight w:val="0"/>
      <w:marTop w:val="0"/>
      <w:marBottom w:val="0"/>
      <w:divBdr>
        <w:top w:val="none" w:sz="0" w:space="0" w:color="auto"/>
        <w:left w:val="none" w:sz="0" w:space="0" w:color="auto"/>
        <w:bottom w:val="none" w:sz="0" w:space="0" w:color="auto"/>
        <w:right w:val="none" w:sz="0" w:space="0" w:color="auto"/>
      </w:divBdr>
    </w:div>
    <w:div w:id="518472947">
      <w:bodyDiv w:val="1"/>
      <w:marLeft w:val="0"/>
      <w:marRight w:val="0"/>
      <w:marTop w:val="0"/>
      <w:marBottom w:val="0"/>
      <w:divBdr>
        <w:top w:val="none" w:sz="0" w:space="0" w:color="auto"/>
        <w:left w:val="none" w:sz="0" w:space="0" w:color="auto"/>
        <w:bottom w:val="none" w:sz="0" w:space="0" w:color="auto"/>
        <w:right w:val="none" w:sz="0" w:space="0" w:color="auto"/>
      </w:divBdr>
      <w:divsChild>
        <w:div w:id="1686399458">
          <w:marLeft w:val="360"/>
          <w:marRight w:val="0"/>
          <w:marTop w:val="200"/>
          <w:marBottom w:val="0"/>
          <w:divBdr>
            <w:top w:val="none" w:sz="0" w:space="0" w:color="auto"/>
            <w:left w:val="none" w:sz="0" w:space="0" w:color="auto"/>
            <w:bottom w:val="none" w:sz="0" w:space="0" w:color="auto"/>
            <w:right w:val="none" w:sz="0" w:space="0" w:color="auto"/>
          </w:divBdr>
        </w:div>
      </w:divsChild>
    </w:div>
    <w:div w:id="527917685">
      <w:bodyDiv w:val="1"/>
      <w:marLeft w:val="0"/>
      <w:marRight w:val="0"/>
      <w:marTop w:val="0"/>
      <w:marBottom w:val="0"/>
      <w:divBdr>
        <w:top w:val="none" w:sz="0" w:space="0" w:color="auto"/>
        <w:left w:val="none" w:sz="0" w:space="0" w:color="auto"/>
        <w:bottom w:val="none" w:sz="0" w:space="0" w:color="auto"/>
        <w:right w:val="none" w:sz="0" w:space="0" w:color="auto"/>
      </w:divBdr>
      <w:divsChild>
        <w:div w:id="629475426">
          <w:marLeft w:val="0"/>
          <w:marRight w:val="0"/>
          <w:marTop w:val="0"/>
          <w:marBottom w:val="0"/>
          <w:divBdr>
            <w:top w:val="none" w:sz="0" w:space="0" w:color="auto"/>
            <w:left w:val="none" w:sz="0" w:space="0" w:color="auto"/>
            <w:bottom w:val="none" w:sz="0" w:space="0" w:color="auto"/>
            <w:right w:val="none" w:sz="0" w:space="0" w:color="auto"/>
          </w:divBdr>
          <w:divsChild>
            <w:div w:id="3002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5357">
      <w:bodyDiv w:val="1"/>
      <w:marLeft w:val="0"/>
      <w:marRight w:val="0"/>
      <w:marTop w:val="0"/>
      <w:marBottom w:val="0"/>
      <w:divBdr>
        <w:top w:val="none" w:sz="0" w:space="0" w:color="auto"/>
        <w:left w:val="none" w:sz="0" w:space="0" w:color="auto"/>
        <w:bottom w:val="none" w:sz="0" w:space="0" w:color="auto"/>
        <w:right w:val="none" w:sz="0" w:space="0" w:color="auto"/>
      </w:divBdr>
      <w:divsChild>
        <w:div w:id="510920979">
          <w:marLeft w:val="0"/>
          <w:marRight w:val="0"/>
          <w:marTop w:val="0"/>
          <w:marBottom w:val="0"/>
          <w:divBdr>
            <w:top w:val="none" w:sz="0" w:space="0" w:color="auto"/>
            <w:left w:val="none" w:sz="0" w:space="0" w:color="auto"/>
            <w:bottom w:val="none" w:sz="0" w:space="0" w:color="auto"/>
            <w:right w:val="none" w:sz="0" w:space="0" w:color="auto"/>
          </w:divBdr>
          <w:divsChild>
            <w:div w:id="191909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22031">
      <w:bodyDiv w:val="1"/>
      <w:marLeft w:val="0"/>
      <w:marRight w:val="0"/>
      <w:marTop w:val="0"/>
      <w:marBottom w:val="0"/>
      <w:divBdr>
        <w:top w:val="none" w:sz="0" w:space="0" w:color="auto"/>
        <w:left w:val="none" w:sz="0" w:space="0" w:color="auto"/>
        <w:bottom w:val="none" w:sz="0" w:space="0" w:color="auto"/>
        <w:right w:val="none" w:sz="0" w:space="0" w:color="auto"/>
      </w:divBdr>
    </w:div>
    <w:div w:id="556665986">
      <w:bodyDiv w:val="1"/>
      <w:marLeft w:val="0"/>
      <w:marRight w:val="0"/>
      <w:marTop w:val="0"/>
      <w:marBottom w:val="0"/>
      <w:divBdr>
        <w:top w:val="none" w:sz="0" w:space="0" w:color="auto"/>
        <w:left w:val="none" w:sz="0" w:space="0" w:color="auto"/>
        <w:bottom w:val="none" w:sz="0" w:space="0" w:color="auto"/>
        <w:right w:val="none" w:sz="0" w:space="0" w:color="auto"/>
      </w:divBdr>
      <w:divsChild>
        <w:div w:id="649603005">
          <w:marLeft w:val="1080"/>
          <w:marRight w:val="0"/>
          <w:marTop w:val="100"/>
          <w:marBottom w:val="0"/>
          <w:divBdr>
            <w:top w:val="none" w:sz="0" w:space="0" w:color="auto"/>
            <w:left w:val="none" w:sz="0" w:space="0" w:color="auto"/>
            <w:bottom w:val="none" w:sz="0" w:space="0" w:color="auto"/>
            <w:right w:val="none" w:sz="0" w:space="0" w:color="auto"/>
          </w:divBdr>
        </w:div>
      </w:divsChild>
    </w:div>
    <w:div w:id="601451248">
      <w:bodyDiv w:val="1"/>
      <w:marLeft w:val="0"/>
      <w:marRight w:val="0"/>
      <w:marTop w:val="0"/>
      <w:marBottom w:val="0"/>
      <w:divBdr>
        <w:top w:val="none" w:sz="0" w:space="0" w:color="auto"/>
        <w:left w:val="none" w:sz="0" w:space="0" w:color="auto"/>
        <w:bottom w:val="none" w:sz="0" w:space="0" w:color="auto"/>
        <w:right w:val="none" w:sz="0" w:space="0" w:color="auto"/>
      </w:divBdr>
    </w:div>
    <w:div w:id="611284384">
      <w:bodyDiv w:val="1"/>
      <w:marLeft w:val="0"/>
      <w:marRight w:val="0"/>
      <w:marTop w:val="0"/>
      <w:marBottom w:val="0"/>
      <w:divBdr>
        <w:top w:val="none" w:sz="0" w:space="0" w:color="auto"/>
        <w:left w:val="none" w:sz="0" w:space="0" w:color="auto"/>
        <w:bottom w:val="none" w:sz="0" w:space="0" w:color="auto"/>
        <w:right w:val="none" w:sz="0" w:space="0" w:color="auto"/>
      </w:divBdr>
    </w:div>
    <w:div w:id="618417767">
      <w:bodyDiv w:val="1"/>
      <w:marLeft w:val="0"/>
      <w:marRight w:val="0"/>
      <w:marTop w:val="0"/>
      <w:marBottom w:val="0"/>
      <w:divBdr>
        <w:top w:val="none" w:sz="0" w:space="0" w:color="auto"/>
        <w:left w:val="none" w:sz="0" w:space="0" w:color="auto"/>
        <w:bottom w:val="none" w:sz="0" w:space="0" w:color="auto"/>
        <w:right w:val="none" w:sz="0" w:space="0" w:color="auto"/>
      </w:divBdr>
    </w:div>
    <w:div w:id="624577652">
      <w:bodyDiv w:val="1"/>
      <w:marLeft w:val="0"/>
      <w:marRight w:val="0"/>
      <w:marTop w:val="0"/>
      <w:marBottom w:val="0"/>
      <w:divBdr>
        <w:top w:val="none" w:sz="0" w:space="0" w:color="auto"/>
        <w:left w:val="none" w:sz="0" w:space="0" w:color="auto"/>
        <w:bottom w:val="none" w:sz="0" w:space="0" w:color="auto"/>
        <w:right w:val="none" w:sz="0" w:space="0" w:color="auto"/>
      </w:divBdr>
      <w:divsChild>
        <w:div w:id="944389295">
          <w:marLeft w:val="0"/>
          <w:marRight w:val="0"/>
          <w:marTop w:val="0"/>
          <w:marBottom w:val="0"/>
          <w:divBdr>
            <w:top w:val="none" w:sz="0" w:space="0" w:color="auto"/>
            <w:left w:val="none" w:sz="0" w:space="0" w:color="auto"/>
            <w:bottom w:val="none" w:sz="0" w:space="0" w:color="auto"/>
            <w:right w:val="none" w:sz="0" w:space="0" w:color="auto"/>
          </w:divBdr>
          <w:divsChild>
            <w:div w:id="146119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08097">
      <w:bodyDiv w:val="1"/>
      <w:marLeft w:val="0"/>
      <w:marRight w:val="0"/>
      <w:marTop w:val="0"/>
      <w:marBottom w:val="0"/>
      <w:divBdr>
        <w:top w:val="none" w:sz="0" w:space="0" w:color="auto"/>
        <w:left w:val="none" w:sz="0" w:space="0" w:color="auto"/>
        <w:bottom w:val="none" w:sz="0" w:space="0" w:color="auto"/>
        <w:right w:val="none" w:sz="0" w:space="0" w:color="auto"/>
      </w:divBdr>
    </w:div>
    <w:div w:id="658385345">
      <w:bodyDiv w:val="1"/>
      <w:marLeft w:val="0"/>
      <w:marRight w:val="0"/>
      <w:marTop w:val="0"/>
      <w:marBottom w:val="0"/>
      <w:divBdr>
        <w:top w:val="none" w:sz="0" w:space="0" w:color="auto"/>
        <w:left w:val="none" w:sz="0" w:space="0" w:color="auto"/>
        <w:bottom w:val="none" w:sz="0" w:space="0" w:color="auto"/>
        <w:right w:val="none" w:sz="0" w:space="0" w:color="auto"/>
      </w:divBdr>
    </w:div>
    <w:div w:id="674311200">
      <w:bodyDiv w:val="1"/>
      <w:marLeft w:val="0"/>
      <w:marRight w:val="0"/>
      <w:marTop w:val="0"/>
      <w:marBottom w:val="0"/>
      <w:divBdr>
        <w:top w:val="none" w:sz="0" w:space="0" w:color="auto"/>
        <w:left w:val="none" w:sz="0" w:space="0" w:color="auto"/>
        <w:bottom w:val="none" w:sz="0" w:space="0" w:color="auto"/>
        <w:right w:val="none" w:sz="0" w:space="0" w:color="auto"/>
      </w:divBdr>
    </w:div>
    <w:div w:id="701636569">
      <w:bodyDiv w:val="1"/>
      <w:marLeft w:val="0"/>
      <w:marRight w:val="0"/>
      <w:marTop w:val="0"/>
      <w:marBottom w:val="0"/>
      <w:divBdr>
        <w:top w:val="none" w:sz="0" w:space="0" w:color="auto"/>
        <w:left w:val="none" w:sz="0" w:space="0" w:color="auto"/>
        <w:bottom w:val="none" w:sz="0" w:space="0" w:color="auto"/>
        <w:right w:val="none" w:sz="0" w:space="0" w:color="auto"/>
      </w:divBdr>
      <w:divsChild>
        <w:div w:id="1815175266">
          <w:marLeft w:val="0"/>
          <w:marRight w:val="0"/>
          <w:marTop w:val="0"/>
          <w:marBottom w:val="0"/>
          <w:divBdr>
            <w:top w:val="none" w:sz="0" w:space="0" w:color="auto"/>
            <w:left w:val="none" w:sz="0" w:space="0" w:color="auto"/>
            <w:bottom w:val="none" w:sz="0" w:space="0" w:color="auto"/>
            <w:right w:val="none" w:sz="0" w:space="0" w:color="auto"/>
          </w:divBdr>
          <w:divsChild>
            <w:div w:id="174549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31613">
      <w:bodyDiv w:val="1"/>
      <w:marLeft w:val="0"/>
      <w:marRight w:val="0"/>
      <w:marTop w:val="0"/>
      <w:marBottom w:val="0"/>
      <w:divBdr>
        <w:top w:val="none" w:sz="0" w:space="0" w:color="auto"/>
        <w:left w:val="none" w:sz="0" w:space="0" w:color="auto"/>
        <w:bottom w:val="none" w:sz="0" w:space="0" w:color="auto"/>
        <w:right w:val="none" w:sz="0" w:space="0" w:color="auto"/>
      </w:divBdr>
    </w:div>
    <w:div w:id="764226960">
      <w:bodyDiv w:val="1"/>
      <w:marLeft w:val="0"/>
      <w:marRight w:val="0"/>
      <w:marTop w:val="0"/>
      <w:marBottom w:val="0"/>
      <w:divBdr>
        <w:top w:val="none" w:sz="0" w:space="0" w:color="auto"/>
        <w:left w:val="none" w:sz="0" w:space="0" w:color="auto"/>
        <w:bottom w:val="none" w:sz="0" w:space="0" w:color="auto"/>
        <w:right w:val="none" w:sz="0" w:space="0" w:color="auto"/>
      </w:divBdr>
    </w:div>
    <w:div w:id="788672029">
      <w:bodyDiv w:val="1"/>
      <w:marLeft w:val="0"/>
      <w:marRight w:val="0"/>
      <w:marTop w:val="0"/>
      <w:marBottom w:val="0"/>
      <w:divBdr>
        <w:top w:val="none" w:sz="0" w:space="0" w:color="auto"/>
        <w:left w:val="none" w:sz="0" w:space="0" w:color="auto"/>
        <w:bottom w:val="none" w:sz="0" w:space="0" w:color="auto"/>
        <w:right w:val="none" w:sz="0" w:space="0" w:color="auto"/>
      </w:divBdr>
    </w:div>
    <w:div w:id="809514623">
      <w:bodyDiv w:val="1"/>
      <w:marLeft w:val="0"/>
      <w:marRight w:val="0"/>
      <w:marTop w:val="0"/>
      <w:marBottom w:val="0"/>
      <w:divBdr>
        <w:top w:val="none" w:sz="0" w:space="0" w:color="auto"/>
        <w:left w:val="none" w:sz="0" w:space="0" w:color="auto"/>
        <w:bottom w:val="none" w:sz="0" w:space="0" w:color="auto"/>
        <w:right w:val="none" w:sz="0" w:space="0" w:color="auto"/>
      </w:divBdr>
    </w:div>
    <w:div w:id="841355343">
      <w:bodyDiv w:val="1"/>
      <w:marLeft w:val="0"/>
      <w:marRight w:val="0"/>
      <w:marTop w:val="0"/>
      <w:marBottom w:val="0"/>
      <w:divBdr>
        <w:top w:val="none" w:sz="0" w:space="0" w:color="auto"/>
        <w:left w:val="none" w:sz="0" w:space="0" w:color="auto"/>
        <w:bottom w:val="none" w:sz="0" w:space="0" w:color="auto"/>
        <w:right w:val="none" w:sz="0" w:space="0" w:color="auto"/>
      </w:divBdr>
    </w:div>
    <w:div w:id="844127300">
      <w:bodyDiv w:val="1"/>
      <w:marLeft w:val="0"/>
      <w:marRight w:val="0"/>
      <w:marTop w:val="0"/>
      <w:marBottom w:val="0"/>
      <w:divBdr>
        <w:top w:val="none" w:sz="0" w:space="0" w:color="auto"/>
        <w:left w:val="none" w:sz="0" w:space="0" w:color="auto"/>
        <w:bottom w:val="none" w:sz="0" w:space="0" w:color="auto"/>
        <w:right w:val="none" w:sz="0" w:space="0" w:color="auto"/>
      </w:divBdr>
    </w:div>
    <w:div w:id="879512144">
      <w:bodyDiv w:val="1"/>
      <w:marLeft w:val="0"/>
      <w:marRight w:val="0"/>
      <w:marTop w:val="0"/>
      <w:marBottom w:val="0"/>
      <w:divBdr>
        <w:top w:val="none" w:sz="0" w:space="0" w:color="auto"/>
        <w:left w:val="none" w:sz="0" w:space="0" w:color="auto"/>
        <w:bottom w:val="none" w:sz="0" w:space="0" w:color="auto"/>
        <w:right w:val="none" w:sz="0" w:space="0" w:color="auto"/>
      </w:divBdr>
      <w:divsChild>
        <w:div w:id="1862695836">
          <w:marLeft w:val="0"/>
          <w:marRight w:val="0"/>
          <w:marTop w:val="0"/>
          <w:marBottom w:val="0"/>
          <w:divBdr>
            <w:top w:val="none" w:sz="0" w:space="0" w:color="auto"/>
            <w:left w:val="none" w:sz="0" w:space="0" w:color="auto"/>
            <w:bottom w:val="none" w:sz="0" w:space="0" w:color="auto"/>
            <w:right w:val="none" w:sz="0" w:space="0" w:color="auto"/>
          </w:divBdr>
          <w:divsChild>
            <w:div w:id="142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1577">
      <w:bodyDiv w:val="1"/>
      <w:marLeft w:val="0"/>
      <w:marRight w:val="0"/>
      <w:marTop w:val="0"/>
      <w:marBottom w:val="0"/>
      <w:divBdr>
        <w:top w:val="none" w:sz="0" w:space="0" w:color="auto"/>
        <w:left w:val="none" w:sz="0" w:space="0" w:color="auto"/>
        <w:bottom w:val="none" w:sz="0" w:space="0" w:color="auto"/>
        <w:right w:val="none" w:sz="0" w:space="0" w:color="auto"/>
      </w:divBdr>
    </w:div>
    <w:div w:id="888955481">
      <w:bodyDiv w:val="1"/>
      <w:marLeft w:val="0"/>
      <w:marRight w:val="0"/>
      <w:marTop w:val="0"/>
      <w:marBottom w:val="0"/>
      <w:divBdr>
        <w:top w:val="none" w:sz="0" w:space="0" w:color="auto"/>
        <w:left w:val="none" w:sz="0" w:space="0" w:color="auto"/>
        <w:bottom w:val="none" w:sz="0" w:space="0" w:color="auto"/>
        <w:right w:val="none" w:sz="0" w:space="0" w:color="auto"/>
      </w:divBdr>
    </w:div>
    <w:div w:id="911038212">
      <w:bodyDiv w:val="1"/>
      <w:marLeft w:val="0"/>
      <w:marRight w:val="0"/>
      <w:marTop w:val="0"/>
      <w:marBottom w:val="0"/>
      <w:divBdr>
        <w:top w:val="none" w:sz="0" w:space="0" w:color="auto"/>
        <w:left w:val="none" w:sz="0" w:space="0" w:color="auto"/>
        <w:bottom w:val="none" w:sz="0" w:space="0" w:color="auto"/>
        <w:right w:val="none" w:sz="0" w:space="0" w:color="auto"/>
      </w:divBdr>
    </w:div>
    <w:div w:id="913973948">
      <w:bodyDiv w:val="1"/>
      <w:marLeft w:val="0"/>
      <w:marRight w:val="0"/>
      <w:marTop w:val="0"/>
      <w:marBottom w:val="0"/>
      <w:divBdr>
        <w:top w:val="none" w:sz="0" w:space="0" w:color="auto"/>
        <w:left w:val="none" w:sz="0" w:space="0" w:color="auto"/>
        <w:bottom w:val="none" w:sz="0" w:space="0" w:color="auto"/>
        <w:right w:val="none" w:sz="0" w:space="0" w:color="auto"/>
      </w:divBdr>
    </w:div>
    <w:div w:id="917522720">
      <w:bodyDiv w:val="1"/>
      <w:marLeft w:val="0"/>
      <w:marRight w:val="0"/>
      <w:marTop w:val="0"/>
      <w:marBottom w:val="0"/>
      <w:divBdr>
        <w:top w:val="none" w:sz="0" w:space="0" w:color="auto"/>
        <w:left w:val="none" w:sz="0" w:space="0" w:color="auto"/>
        <w:bottom w:val="none" w:sz="0" w:space="0" w:color="auto"/>
        <w:right w:val="none" w:sz="0" w:space="0" w:color="auto"/>
      </w:divBdr>
    </w:div>
    <w:div w:id="923879100">
      <w:bodyDiv w:val="1"/>
      <w:marLeft w:val="0"/>
      <w:marRight w:val="0"/>
      <w:marTop w:val="0"/>
      <w:marBottom w:val="0"/>
      <w:divBdr>
        <w:top w:val="none" w:sz="0" w:space="0" w:color="auto"/>
        <w:left w:val="none" w:sz="0" w:space="0" w:color="auto"/>
        <w:bottom w:val="none" w:sz="0" w:space="0" w:color="auto"/>
        <w:right w:val="none" w:sz="0" w:space="0" w:color="auto"/>
      </w:divBdr>
    </w:div>
    <w:div w:id="971904189">
      <w:bodyDiv w:val="1"/>
      <w:marLeft w:val="0"/>
      <w:marRight w:val="0"/>
      <w:marTop w:val="0"/>
      <w:marBottom w:val="0"/>
      <w:divBdr>
        <w:top w:val="none" w:sz="0" w:space="0" w:color="auto"/>
        <w:left w:val="none" w:sz="0" w:space="0" w:color="auto"/>
        <w:bottom w:val="none" w:sz="0" w:space="0" w:color="auto"/>
        <w:right w:val="none" w:sz="0" w:space="0" w:color="auto"/>
      </w:divBdr>
    </w:div>
    <w:div w:id="972098410">
      <w:bodyDiv w:val="1"/>
      <w:marLeft w:val="0"/>
      <w:marRight w:val="0"/>
      <w:marTop w:val="0"/>
      <w:marBottom w:val="0"/>
      <w:divBdr>
        <w:top w:val="none" w:sz="0" w:space="0" w:color="auto"/>
        <w:left w:val="none" w:sz="0" w:space="0" w:color="auto"/>
        <w:bottom w:val="none" w:sz="0" w:space="0" w:color="auto"/>
        <w:right w:val="none" w:sz="0" w:space="0" w:color="auto"/>
      </w:divBdr>
    </w:div>
    <w:div w:id="975331122">
      <w:bodyDiv w:val="1"/>
      <w:marLeft w:val="0"/>
      <w:marRight w:val="0"/>
      <w:marTop w:val="0"/>
      <w:marBottom w:val="0"/>
      <w:divBdr>
        <w:top w:val="none" w:sz="0" w:space="0" w:color="auto"/>
        <w:left w:val="none" w:sz="0" w:space="0" w:color="auto"/>
        <w:bottom w:val="none" w:sz="0" w:space="0" w:color="auto"/>
        <w:right w:val="none" w:sz="0" w:space="0" w:color="auto"/>
      </w:divBdr>
    </w:div>
    <w:div w:id="982076601">
      <w:bodyDiv w:val="1"/>
      <w:marLeft w:val="0"/>
      <w:marRight w:val="0"/>
      <w:marTop w:val="0"/>
      <w:marBottom w:val="0"/>
      <w:divBdr>
        <w:top w:val="none" w:sz="0" w:space="0" w:color="auto"/>
        <w:left w:val="none" w:sz="0" w:space="0" w:color="auto"/>
        <w:bottom w:val="none" w:sz="0" w:space="0" w:color="auto"/>
        <w:right w:val="none" w:sz="0" w:space="0" w:color="auto"/>
      </w:divBdr>
    </w:div>
    <w:div w:id="988704350">
      <w:bodyDiv w:val="1"/>
      <w:marLeft w:val="0"/>
      <w:marRight w:val="0"/>
      <w:marTop w:val="0"/>
      <w:marBottom w:val="0"/>
      <w:divBdr>
        <w:top w:val="none" w:sz="0" w:space="0" w:color="auto"/>
        <w:left w:val="none" w:sz="0" w:space="0" w:color="auto"/>
        <w:bottom w:val="none" w:sz="0" w:space="0" w:color="auto"/>
        <w:right w:val="none" w:sz="0" w:space="0" w:color="auto"/>
      </w:divBdr>
      <w:divsChild>
        <w:div w:id="420179770">
          <w:marLeft w:val="1080"/>
          <w:marRight w:val="0"/>
          <w:marTop w:val="100"/>
          <w:marBottom w:val="0"/>
          <w:divBdr>
            <w:top w:val="none" w:sz="0" w:space="0" w:color="auto"/>
            <w:left w:val="none" w:sz="0" w:space="0" w:color="auto"/>
            <w:bottom w:val="none" w:sz="0" w:space="0" w:color="auto"/>
            <w:right w:val="none" w:sz="0" w:space="0" w:color="auto"/>
          </w:divBdr>
        </w:div>
      </w:divsChild>
    </w:div>
    <w:div w:id="994797719">
      <w:bodyDiv w:val="1"/>
      <w:marLeft w:val="0"/>
      <w:marRight w:val="0"/>
      <w:marTop w:val="0"/>
      <w:marBottom w:val="0"/>
      <w:divBdr>
        <w:top w:val="none" w:sz="0" w:space="0" w:color="auto"/>
        <w:left w:val="none" w:sz="0" w:space="0" w:color="auto"/>
        <w:bottom w:val="none" w:sz="0" w:space="0" w:color="auto"/>
        <w:right w:val="none" w:sz="0" w:space="0" w:color="auto"/>
      </w:divBdr>
    </w:div>
    <w:div w:id="1003320280">
      <w:bodyDiv w:val="1"/>
      <w:marLeft w:val="0"/>
      <w:marRight w:val="0"/>
      <w:marTop w:val="0"/>
      <w:marBottom w:val="0"/>
      <w:divBdr>
        <w:top w:val="none" w:sz="0" w:space="0" w:color="auto"/>
        <w:left w:val="none" w:sz="0" w:space="0" w:color="auto"/>
        <w:bottom w:val="none" w:sz="0" w:space="0" w:color="auto"/>
        <w:right w:val="none" w:sz="0" w:space="0" w:color="auto"/>
      </w:divBdr>
      <w:divsChild>
        <w:div w:id="1860461069">
          <w:marLeft w:val="0"/>
          <w:marRight w:val="0"/>
          <w:marTop w:val="0"/>
          <w:marBottom w:val="0"/>
          <w:divBdr>
            <w:top w:val="none" w:sz="0" w:space="0" w:color="auto"/>
            <w:left w:val="none" w:sz="0" w:space="0" w:color="auto"/>
            <w:bottom w:val="none" w:sz="0" w:space="0" w:color="auto"/>
            <w:right w:val="none" w:sz="0" w:space="0" w:color="auto"/>
          </w:divBdr>
          <w:divsChild>
            <w:div w:id="84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6443">
      <w:bodyDiv w:val="1"/>
      <w:marLeft w:val="0"/>
      <w:marRight w:val="0"/>
      <w:marTop w:val="0"/>
      <w:marBottom w:val="0"/>
      <w:divBdr>
        <w:top w:val="none" w:sz="0" w:space="0" w:color="auto"/>
        <w:left w:val="none" w:sz="0" w:space="0" w:color="auto"/>
        <w:bottom w:val="none" w:sz="0" w:space="0" w:color="auto"/>
        <w:right w:val="none" w:sz="0" w:space="0" w:color="auto"/>
      </w:divBdr>
      <w:divsChild>
        <w:div w:id="938678232">
          <w:marLeft w:val="0"/>
          <w:marRight w:val="0"/>
          <w:marTop w:val="0"/>
          <w:marBottom w:val="0"/>
          <w:divBdr>
            <w:top w:val="none" w:sz="0" w:space="0" w:color="auto"/>
            <w:left w:val="none" w:sz="0" w:space="0" w:color="auto"/>
            <w:bottom w:val="none" w:sz="0" w:space="0" w:color="auto"/>
            <w:right w:val="none" w:sz="0" w:space="0" w:color="auto"/>
          </w:divBdr>
          <w:divsChild>
            <w:div w:id="880439516">
              <w:marLeft w:val="0"/>
              <w:marRight w:val="0"/>
              <w:marTop w:val="0"/>
              <w:marBottom w:val="0"/>
              <w:divBdr>
                <w:top w:val="none" w:sz="0" w:space="0" w:color="auto"/>
                <w:left w:val="none" w:sz="0" w:space="0" w:color="auto"/>
                <w:bottom w:val="none" w:sz="0" w:space="0" w:color="auto"/>
                <w:right w:val="none" w:sz="0" w:space="0" w:color="auto"/>
              </w:divBdr>
            </w:div>
            <w:div w:id="15023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047293">
      <w:bodyDiv w:val="1"/>
      <w:marLeft w:val="0"/>
      <w:marRight w:val="0"/>
      <w:marTop w:val="0"/>
      <w:marBottom w:val="0"/>
      <w:divBdr>
        <w:top w:val="none" w:sz="0" w:space="0" w:color="auto"/>
        <w:left w:val="none" w:sz="0" w:space="0" w:color="auto"/>
        <w:bottom w:val="none" w:sz="0" w:space="0" w:color="auto"/>
        <w:right w:val="none" w:sz="0" w:space="0" w:color="auto"/>
      </w:divBdr>
      <w:divsChild>
        <w:div w:id="1719818414">
          <w:marLeft w:val="1080"/>
          <w:marRight w:val="0"/>
          <w:marTop w:val="100"/>
          <w:marBottom w:val="0"/>
          <w:divBdr>
            <w:top w:val="none" w:sz="0" w:space="0" w:color="auto"/>
            <w:left w:val="none" w:sz="0" w:space="0" w:color="auto"/>
            <w:bottom w:val="none" w:sz="0" w:space="0" w:color="auto"/>
            <w:right w:val="none" w:sz="0" w:space="0" w:color="auto"/>
          </w:divBdr>
        </w:div>
      </w:divsChild>
    </w:div>
    <w:div w:id="1042752545">
      <w:bodyDiv w:val="1"/>
      <w:marLeft w:val="0"/>
      <w:marRight w:val="0"/>
      <w:marTop w:val="0"/>
      <w:marBottom w:val="0"/>
      <w:divBdr>
        <w:top w:val="none" w:sz="0" w:space="0" w:color="auto"/>
        <w:left w:val="none" w:sz="0" w:space="0" w:color="auto"/>
        <w:bottom w:val="none" w:sz="0" w:space="0" w:color="auto"/>
        <w:right w:val="none" w:sz="0" w:space="0" w:color="auto"/>
      </w:divBdr>
    </w:div>
    <w:div w:id="1064371672">
      <w:bodyDiv w:val="1"/>
      <w:marLeft w:val="0"/>
      <w:marRight w:val="0"/>
      <w:marTop w:val="0"/>
      <w:marBottom w:val="0"/>
      <w:divBdr>
        <w:top w:val="none" w:sz="0" w:space="0" w:color="auto"/>
        <w:left w:val="none" w:sz="0" w:space="0" w:color="auto"/>
        <w:bottom w:val="none" w:sz="0" w:space="0" w:color="auto"/>
        <w:right w:val="none" w:sz="0" w:space="0" w:color="auto"/>
      </w:divBdr>
    </w:div>
    <w:div w:id="1069767600">
      <w:bodyDiv w:val="1"/>
      <w:marLeft w:val="0"/>
      <w:marRight w:val="0"/>
      <w:marTop w:val="0"/>
      <w:marBottom w:val="0"/>
      <w:divBdr>
        <w:top w:val="none" w:sz="0" w:space="0" w:color="auto"/>
        <w:left w:val="none" w:sz="0" w:space="0" w:color="auto"/>
        <w:bottom w:val="none" w:sz="0" w:space="0" w:color="auto"/>
        <w:right w:val="none" w:sz="0" w:space="0" w:color="auto"/>
      </w:divBdr>
    </w:div>
    <w:div w:id="1117598648">
      <w:bodyDiv w:val="1"/>
      <w:marLeft w:val="0"/>
      <w:marRight w:val="0"/>
      <w:marTop w:val="0"/>
      <w:marBottom w:val="0"/>
      <w:divBdr>
        <w:top w:val="none" w:sz="0" w:space="0" w:color="auto"/>
        <w:left w:val="none" w:sz="0" w:space="0" w:color="auto"/>
        <w:bottom w:val="none" w:sz="0" w:space="0" w:color="auto"/>
        <w:right w:val="none" w:sz="0" w:space="0" w:color="auto"/>
      </w:divBdr>
    </w:div>
    <w:div w:id="1132597820">
      <w:bodyDiv w:val="1"/>
      <w:marLeft w:val="0"/>
      <w:marRight w:val="0"/>
      <w:marTop w:val="0"/>
      <w:marBottom w:val="0"/>
      <w:divBdr>
        <w:top w:val="none" w:sz="0" w:space="0" w:color="auto"/>
        <w:left w:val="none" w:sz="0" w:space="0" w:color="auto"/>
        <w:bottom w:val="none" w:sz="0" w:space="0" w:color="auto"/>
        <w:right w:val="none" w:sz="0" w:space="0" w:color="auto"/>
      </w:divBdr>
    </w:div>
    <w:div w:id="1172914593">
      <w:bodyDiv w:val="1"/>
      <w:marLeft w:val="0"/>
      <w:marRight w:val="0"/>
      <w:marTop w:val="0"/>
      <w:marBottom w:val="0"/>
      <w:divBdr>
        <w:top w:val="none" w:sz="0" w:space="0" w:color="auto"/>
        <w:left w:val="none" w:sz="0" w:space="0" w:color="auto"/>
        <w:bottom w:val="none" w:sz="0" w:space="0" w:color="auto"/>
        <w:right w:val="none" w:sz="0" w:space="0" w:color="auto"/>
      </w:divBdr>
    </w:div>
    <w:div w:id="1191380141">
      <w:bodyDiv w:val="1"/>
      <w:marLeft w:val="0"/>
      <w:marRight w:val="0"/>
      <w:marTop w:val="0"/>
      <w:marBottom w:val="0"/>
      <w:divBdr>
        <w:top w:val="none" w:sz="0" w:space="0" w:color="auto"/>
        <w:left w:val="none" w:sz="0" w:space="0" w:color="auto"/>
        <w:bottom w:val="none" w:sz="0" w:space="0" w:color="auto"/>
        <w:right w:val="none" w:sz="0" w:space="0" w:color="auto"/>
      </w:divBdr>
    </w:div>
    <w:div w:id="1197695293">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
    <w:div w:id="1201162926">
      <w:bodyDiv w:val="1"/>
      <w:marLeft w:val="0"/>
      <w:marRight w:val="0"/>
      <w:marTop w:val="0"/>
      <w:marBottom w:val="0"/>
      <w:divBdr>
        <w:top w:val="none" w:sz="0" w:space="0" w:color="auto"/>
        <w:left w:val="none" w:sz="0" w:space="0" w:color="auto"/>
        <w:bottom w:val="none" w:sz="0" w:space="0" w:color="auto"/>
        <w:right w:val="none" w:sz="0" w:space="0" w:color="auto"/>
      </w:divBdr>
    </w:div>
    <w:div w:id="1203635752">
      <w:bodyDiv w:val="1"/>
      <w:marLeft w:val="0"/>
      <w:marRight w:val="0"/>
      <w:marTop w:val="0"/>
      <w:marBottom w:val="0"/>
      <w:divBdr>
        <w:top w:val="none" w:sz="0" w:space="0" w:color="auto"/>
        <w:left w:val="none" w:sz="0" w:space="0" w:color="auto"/>
        <w:bottom w:val="none" w:sz="0" w:space="0" w:color="auto"/>
        <w:right w:val="none" w:sz="0" w:space="0" w:color="auto"/>
      </w:divBdr>
    </w:div>
    <w:div w:id="1210915088">
      <w:bodyDiv w:val="1"/>
      <w:marLeft w:val="0"/>
      <w:marRight w:val="0"/>
      <w:marTop w:val="0"/>
      <w:marBottom w:val="0"/>
      <w:divBdr>
        <w:top w:val="none" w:sz="0" w:space="0" w:color="auto"/>
        <w:left w:val="none" w:sz="0" w:space="0" w:color="auto"/>
        <w:bottom w:val="none" w:sz="0" w:space="0" w:color="auto"/>
        <w:right w:val="none" w:sz="0" w:space="0" w:color="auto"/>
      </w:divBdr>
    </w:div>
    <w:div w:id="1234506963">
      <w:bodyDiv w:val="1"/>
      <w:marLeft w:val="0"/>
      <w:marRight w:val="0"/>
      <w:marTop w:val="0"/>
      <w:marBottom w:val="0"/>
      <w:divBdr>
        <w:top w:val="none" w:sz="0" w:space="0" w:color="auto"/>
        <w:left w:val="none" w:sz="0" w:space="0" w:color="auto"/>
        <w:bottom w:val="none" w:sz="0" w:space="0" w:color="auto"/>
        <w:right w:val="none" w:sz="0" w:space="0" w:color="auto"/>
      </w:divBdr>
    </w:div>
    <w:div w:id="1240556994">
      <w:bodyDiv w:val="1"/>
      <w:marLeft w:val="0"/>
      <w:marRight w:val="0"/>
      <w:marTop w:val="0"/>
      <w:marBottom w:val="0"/>
      <w:divBdr>
        <w:top w:val="none" w:sz="0" w:space="0" w:color="auto"/>
        <w:left w:val="none" w:sz="0" w:space="0" w:color="auto"/>
        <w:bottom w:val="none" w:sz="0" w:space="0" w:color="auto"/>
        <w:right w:val="none" w:sz="0" w:space="0" w:color="auto"/>
      </w:divBdr>
    </w:div>
    <w:div w:id="1250046798">
      <w:bodyDiv w:val="1"/>
      <w:marLeft w:val="0"/>
      <w:marRight w:val="0"/>
      <w:marTop w:val="0"/>
      <w:marBottom w:val="0"/>
      <w:divBdr>
        <w:top w:val="none" w:sz="0" w:space="0" w:color="auto"/>
        <w:left w:val="none" w:sz="0" w:space="0" w:color="auto"/>
        <w:bottom w:val="none" w:sz="0" w:space="0" w:color="auto"/>
        <w:right w:val="none" w:sz="0" w:space="0" w:color="auto"/>
      </w:divBdr>
    </w:div>
    <w:div w:id="1250307813">
      <w:bodyDiv w:val="1"/>
      <w:marLeft w:val="0"/>
      <w:marRight w:val="0"/>
      <w:marTop w:val="0"/>
      <w:marBottom w:val="0"/>
      <w:divBdr>
        <w:top w:val="none" w:sz="0" w:space="0" w:color="auto"/>
        <w:left w:val="none" w:sz="0" w:space="0" w:color="auto"/>
        <w:bottom w:val="none" w:sz="0" w:space="0" w:color="auto"/>
        <w:right w:val="none" w:sz="0" w:space="0" w:color="auto"/>
      </w:divBdr>
    </w:div>
    <w:div w:id="1251041256">
      <w:bodyDiv w:val="1"/>
      <w:marLeft w:val="0"/>
      <w:marRight w:val="0"/>
      <w:marTop w:val="0"/>
      <w:marBottom w:val="0"/>
      <w:divBdr>
        <w:top w:val="none" w:sz="0" w:space="0" w:color="auto"/>
        <w:left w:val="none" w:sz="0" w:space="0" w:color="auto"/>
        <w:bottom w:val="none" w:sz="0" w:space="0" w:color="auto"/>
        <w:right w:val="none" w:sz="0" w:space="0" w:color="auto"/>
      </w:divBdr>
    </w:div>
    <w:div w:id="1278025284">
      <w:bodyDiv w:val="1"/>
      <w:marLeft w:val="0"/>
      <w:marRight w:val="0"/>
      <w:marTop w:val="0"/>
      <w:marBottom w:val="0"/>
      <w:divBdr>
        <w:top w:val="none" w:sz="0" w:space="0" w:color="auto"/>
        <w:left w:val="none" w:sz="0" w:space="0" w:color="auto"/>
        <w:bottom w:val="none" w:sz="0" w:space="0" w:color="auto"/>
        <w:right w:val="none" w:sz="0" w:space="0" w:color="auto"/>
      </w:divBdr>
      <w:divsChild>
        <w:div w:id="77097303">
          <w:marLeft w:val="1166"/>
          <w:marRight w:val="0"/>
          <w:marTop w:val="134"/>
          <w:marBottom w:val="0"/>
          <w:divBdr>
            <w:top w:val="none" w:sz="0" w:space="0" w:color="auto"/>
            <w:left w:val="none" w:sz="0" w:space="0" w:color="auto"/>
            <w:bottom w:val="none" w:sz="0" w:space="0" w:color="auto"/>
            <w:right w:val="none" w:sz="0" w:space="0" w:color="auto"/>
          </w:divBdr>
        </w:div>
      </w:divsChild>
    </w:div>
    <w:div w:id="1294948841">
      <w:bodyDiv w:val="1"/>
      <w:marLeft w:val="0"/>
      <w:marRight w:val="0"/>
      <w:marTop w:val="0"/>
      <w:marBottom w:val="0"/>
      <w:divBdr>
        <w:top w:val="none" w:sz="0" w:space="0" w:color="auto"/>
        <w:left w:val="none" w:sz="0" w:space="0" w:color="auto"/>
        <w:bottom w:val="none" w:sz="0" w:space="0" w:color="auto"/>
        <w:right w:val="none" w:sz="0" w:space="0" w:color="auto"/>
      </w:divBdr>
    </w:div>
    <w:div w:id="1326326730">
      <w:bodyDiv w:val="1"/>
      <w:marLeft w:val="0"/>
      <w:marRight w:val="0"/>
      <w:marTop w:val="0"/>
      <w:marBottom w:val="0"/>
      <w:divBdr>
        <w:top w:val="none" w:sz="0" w:space="0" w:color="auto"/>
        <w:left w:val="none" w:sz="0" w:space="0" w:color="auto"/>
        <w:bottom w:val="none" w:sz="0" w:space="0" w:color="auto"/>
        <w:right w:val="none" w:sz="0" w:space="0" w:color="auto"/>
      </w:divBdr>
    </w:div>
    <w:div w:id="1326670460">
      <w:bodyDiv w:val="1"/>
      <w:marLeft w:val="0"/>
      <w:marRight w:val="0"/>
      <w:marTop w:val="0"/>
      <w:marBottom w:val="0"/>
      <w:divBdr>
        <w:top w:val="none" w:sz="0" w:space="0" w:color="auto"/>
        <w:left w:val="none" w:sz="0" w:space="0" w:color="auto"/>
        <w:bottom w:val="none" w:sz="0" w:space="0" w:color="auto"/>
        <w:right w:val="none" w:sz="0" w:space="0" w:color="auto"/>
      </w:divBdr>
    </w:div>
    <w:div w:id="1379469477">
      <w:bodyDiv w:val="1"/>
      <w:marLeft w:val="0"/>
      <w:marRight w:val="0"/>
      <w:marTop w:val="0"/>
      <w:marBottom w:val="0"/>
      <w:divBdr>
        <w:top w:val="none" w:sz="0" w:space="0" w:color="auto"/>
        <w:left w:val="none" w:sz="0" w:space="0" w:color="auto"/>
        <w:bottom w:val="none" w:sz="0" w:space="0" w:color="auto"/>
        <w:right w:val="none" w:sz="0" w:space="0" w:color="auto"/>
      </w:divBdr>
    </w:div>
    <w:div w:id="1384672754">
      <w:bodyDiv w:val="1"/>
      <w:marLeft w:val="0"/>
      <w:marRight w:val="0"/>
      <w:marTop w:val="0"/>
      <w:marBottom w:val="0"/>
      <w:divBdr>
        <w:top w:val="none" w:sz="0" w:space="0" w:color="auto"/>
        <w:left w:val="none" w:sz="0" w:space="0" w:color="auto"/>
        <w:bottom w:val="none" w:sz="0" w:space="0" w:color="auto"/>
        <w:right w:val="none" w:sz="0" w:space="0" w:color="auto"/>
      </w:divBdr>
    </w:div>
    <w:div w:id="1387725168">
      <w:bodyDiv w:val="1"/>
      <w:marLeft w:val="0"/>
      <w:marRight w:val="0"/>
      <w:marTop w:val="0"/>
      <w:marBottom w:val="0"/>
      <w:divBdr>
        <w:top w:val="none" w:sz="0" w:space="0" w:color="auto"/>
        <w:left w:val="none" w:sz="0" w:space="0" w:color="auto"/>
        <w:bottom w:val="none" w:sz="0" w:space="0" w:color="auto"/>
        <w:right w:val="none" w:sz="0" w:space="0" w:color="auto"/>
      </w:divBdr>
    </w:div>
    <w:div w:id="1406562358">
      <w:bodyDiv w:val="1"/>
      <w:marLeft w:val="0"/>
      <w:marRight w:val="0"/>
      <w:marTop w:val="0"/>
      <w:marBottom w:val="0"/>
      <w:divBdr>
        <w:top w:val="none" w:sz="0" w:space="0" w:color="auto"/>
        <w:left w:val="none" w:sz="0" w:space="0" w:color="auto"/>
        <w:bottom w:val="none" w:sz="0" w:space="0" w:color="auto"/>
        <w:right w:val="none" w:sz="0" w:space="0" w:color="auto"/>
      </w:divBdr>
    </w:div>
    <w:div w:id="1413813325">
      <w:bodyDiv w:val="1"/>
      <w:marLeft w:val="0"/>
      <w:marRight w:val="0"/>
      <w:marTop w:val="0"/>
      <w:marBottom w:val="0"/>
      <w:divBdr>
        <w:top w:val="none" w:sz="0" w:space="0" w:color="auto"/>
        <w:left w:val="none" w:sz="0" w:space="0" w:color="auto"/>
        <w:bottom w:val="none" w:sz="0" w:space="0" w:color="auto"/>
        <w:right w:val="none" w:sz="0" w:space="0" w:color="auto"/>
      </w:divBdr>
    </w:div>
    <w:div w:id="1413892503">
      <w:bodyDiv w:val="1"/>
      <w:marLeft w:val="0"/>
      <w:marRight w:val="0"/>
      <w:marTop w:val="0"/>
      <w:marBottom w:val="0"/>
      <w:divBdr>
        <w:top w:val="none" w:sz="0" w:space="0" w:color="auto"/>
        <w:left w:val="none" w:sz="0" w:space="0" w:color="auto"/>
        <w:bottom w:val="none" w:sz="0" w:space="0" w:color="auto"/>
        <w:right w:val="none" w:sz="0" w:space="0" w:color="auto"/>
      </w:divBdr>
    </w:div>
    <w:div w:id="1416437287">
      <w:bodyDiv w:val="1"/>
      <w:marLeft w:val="0"/>
      <w:marRight w:val="0"/>
      <w:marTop w:val="0"/>
      <w:marBottom w:val="0"/>
      <w:divBdr>
        <w:top w:val="none" w:sz="0" w:space="0" w:color="auto"/>
        <w:left w:val="none" w:sz="0" w:space="0" w:color="auto"/>
        <w:bottom w:val="none" w:sz="0" w:space="0" w:color="auto"/>
        <w:right w:val="none" w:sz="0" w:space="0" w:color="auto"/>
      </w:divBdr>
    </w:div>
    <w:div w:id="1423406538">
      <w:bodyDiv w:val="1"/>
      <w:marLeft w:val="0"/>
      <w:marRight w:val="0"/>
      <w:marTop w:val="0"/>
      <w:marBottom w:val="0"/>
      <w:divBdr>
        <w:top w:val="none" w:sz="0" w:space="0" w:color="auto"/>
        <w:left w:val="none" w:sz="0" w:space="0" w:color="auto"/>
        <w:bottom w:val="none" w:sz="0" w:space="0" w:color="auto"/>
        <w:right w:val="none" w:sz="0" w:space="0" w:color="auto"/>
      </w:divBdr>
    </w:div>
    <w:div w:id="1439329483">
      <w:bodyDiv w:val="1"/>
      <w:marLeft w:val="0"/>
      <w:marRight w:val="0"/>
      <w:marTop w:val="0"/>
      <w:marBottom w:val="0"/>
      <w:divBdr>
        <w:top w:val="none" w:sz="0" w:space="0" w:color="auto"/>
        <w:left w:val="none" w:sz="0" w:space="0" w:color="auto"/>
        <w:bottom w:val="none" w:sz="0" w:space="0" w:color="auto"/>
        <w:right w:val="none" w:sz="0" w:space="0" w:color="auto"/>
      </w:divBdr>
    </w:div>
    <w:div w:id="1471942414">
      <w:bodyDiv w:val="1"/>
      <w:marLeft w:val="0"/>
      <w:marRight w:val="0"/>
      <w:marTop w:val="0"/>
      <w:marBottom w:val="0"/>
      <w:divBdr>
        <w:top w:val="none" w:sz="0" w:space="0" w:color="auto"/>
        <w:left w:val="none" w:sz="0" w:space="0" w:color="auto"/>
        <w:bottom w:val="none" w:sz="0" w:space="0" w:color="auto"/>
        <w:right w:val="none" w:sz="0" w:space="0" w:color="auto"/>
      </w:divBdr>
    </w:div>
    <w:div w:id="1486164747">
      <w:bodyDiv w:val="1"/>
      <w:marLeft w:val="0"/>
      <w:marRight w:val="0"/>
      <w:marTop w:val="0"/>
      <w:marBottom w:val="0"/>
      <w:divBdr>
        <w:top w:val="none" w:sz="0" w:space="0" w:color="auto"/>
        <w:left w:val="none" w:sz="0" w:space="0" w:color="auto"/>
        <w:bottom w:val="none" w:sz="0" w:space="0" w:color="auto"/>
        <w:right w:val="none" w:sz="0" w:space="0" w:color="auto"/>
      </w:divBdr>
    </w:div>
    <w:div w:id="1507983686">
      <w:bodyDiv w:val="1"/>
      <w:marLeft w:val="0"/>
      <w:marRight w:val="0"/>
      <w:marTop w:val="0"/>
      <w:marBottom w:val="0"/>
      <w:divBdr>
        <w:top w:val="none" w:sz="0" w:space="0" w:color="auto"/>
        <w:left w:val="none" w:sz="0" w:space="0" w:color="auto"/>
        <w:bottom w:val="none" w:sz="0" w:space="0" w:color="auto"/>
        <w:right w:val="none" w:sz="0" w:space="0" w:color="auto"/>
      </w:divBdr>
    </w:div>
    <w:div w:id="1509758366">
      <w:bodyDiv w:val="1"/>
      <w:marLeft w:val="0"/>
      <w:marRight w:val="0"/>
      <w:marTop w:val="0"/>
      <w:marBottom w:val="0"/>
      <w:divBdr>
        <w:top w:val="none" w:sz="0" w:space="0" w:color="auto"/>
        <w:left w:val="none" w:sz="0" w:space="0" w:color="auto"/>
        <w:bottom w:val="none" w:sz="0" w:space="0" w:color="auto"/>
        <w:right w:val="none" w:sz="0" w:space="0" w:color="auto"/>
      </w:divBdr>
      <w:divsChild>
        <w:div w:id="2016181973">
          <w:marLeft w:val="1080"/>
          <w:marRight w:val="0"/>
          <w:marTop w:val="100"/>
          <w:marBottom w:val="0"/>
          <w:divBdr>
            <w:top w:val="none" w:sz="0" w:space="0" w:color="auto"/>
            <w:left w:val="none" w:sz="0" w:space="0" w:color="auto"/>
            <w:bottom w:val="none" w:sz="0" w:space="0" w:color="auto"/>
            <w:right w:val="none" w:sz="0" w:space="0" w:color="auto"/>
          </w:divBdr>
        </w:div>
      </w:divsChild>
    </w:div>
    <w:div w:id="1557162566">
      <w:bodyDiv w:val="1"/>
      <w:marLeft w:val="0"/>
      <w:marRight w:val="0"/>
      <w:marTop w:val="0"/>
      <w:marBottom w:val="0"/>
      <w:divBdr>
        <w:top w:val="none" w:sz="0" w:space="0" w:color="auto"/>
        <w:left w:val="none" w:sz="0" w:space="0" w:color="auto"/>
        <w:bottom w:val="none" w:sz="0" w:space="0" w:color="auto"/>
        <w:right w:val="none" w:sz="0" w:space="0" w:color="auto"/>
      </w:divBdr>
    </w:div>
    <w:div w:id="1563443721">
      <w:bodyDiv w:val="1"/>
      <w:marLeft w:val="0"/>
      <w:marRight w:val="0"/>
      <w:marTop w:val="0"/>
      <w:marBottom w:val="0"/>
      <w:divBdr>
        <w:top w:val="none" w:sz="0" w:space="0" w:color="auto"/>
        <w:left w:val="none" w:sz="0" w:space="0" w:color="auto"/>
        <w:bottom w:val="none" w:sz="0" w:space="0" w:color="auto"/>
        <w:right w:val="none" w:sz="0" w:space="0" w:color="auto"/>
      </w:divBdr>
      <w:divsChild>
        <w:div w:id="686449423">
          <w:marLeft w:val="0"/>
          <w:marRight w:val="0"/>
          <w:marTop w:val="0"/>
          <w:marBottom w:val="0"/>
          <w:divBdr>
            <w:top w:val="none" w:sz="0" w:space="0" w:color="auto"/>
            <w:left w:val="none" w:sz="0" w:space="0" w:color="auto"/>
            <w:bottom w:val="none" w:sz="0" w:space="0" w:color="auto"/>
            <w:right w:val="none" w:sz="0" w:space="0" w:color="auto"/>
          </w:divBdr>
          <w:divsChild>
            <w:div w:id="1266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795040">
      <w:bodyDiv w:val="1"/>
      <w:marLeft w:val="0"/>
      <w:marRight w:val="0"/>
      <w:marTop w:val="0"/>
      <w:marBottom w:val="0"/>
      <w:divBdr>
        <w:top w:val="none" w:sz="0" w:space="0" w:color="auto"/>
        <w:left w:val="none" w:sz="0" w:space="0" w:color="auto"/>
        <w:bottom w:val="none" w:sz="0" w:space="0" w:color="auto"/>
        <w:right w:val="none" w:sz="0" w:space="0" w:color="auto"/>
      </w:divBdr>
      <w:divsChild>
        <w:div w:id="156073195">
          <w:marLeft w:val="1080"/>
          <w:marRight w:val="0"/>
          <w:marTop w:val="100"/>
          <w:marBottom w:val="0"/>
          <w:divBdr>
            <w:top w:val="none" w:sz="0" w:space="0" w:color="auto"/>
            <w:left w:val="none" w:sz="0" w:space="0" w:color="auto"/>
            <w:bottom w:val="none" w:sz="0" w:space="0" w:color="auto"/>
            <w:right w:val="none" w:sz="0" w:space="0" w:color="auto"/>
          </w:divBdr>
        </w:div>
      </w:divsChild>
    </w:div>
    <w:div w:id="1593854289">
      <w:bodyDiv w:val="1"/>
      <w:marLeft w:val="0"/>
      <w:marRight w:val="0"/>
      <w:marTop w:val="0"/>
      <w:marBottom w:val="0"/>
      <w:divBdr>
        <w:top w:val="none" w:sz="0" w:space="0" w:color="auto"/>
        <w:left w:val="none" w:sz="0" w:space="0" w:color="auto"/>
        <w:bottom w:val="none" w:sz="0" w:space="0" w:color="auto"/>
        <w:right w:val="none" w:sz="0" w:space="0" w:color="auto"/>
      </w:divBdr>
    </w:div>
    <w:div w:id="1602178841">
      <w:bodyDiv w:val="1"/>
      <w:marLeft w:val="0"/>
      <w:marRight w:val="0"/>
      <w:marTop w:val="0"/>
      <w:marBottom w:val="0"/>
      <w:divBdr>
        <w:top w:val="none" w:sz="0" w:space="0" w:color="auto"/>
        <w:left w:val="none" w:sz="0" w:space="0" w:color="auto"/>
        <w:bottom w:val="none" w:sz="0" w:space="0" w:color="auto"/>
        <w:right w:val="none" w:sz="0" w:space="0" w:color="auto"/>
      </w:divBdr>
    </w:div>
    <w:div w:id="1607495924">
      <w:bodyDiv w:val="1"/>
      <w:marLeft w:val="0"/>
      <w:marRight w:val="0"/>
      <w:marTop w:val="0"/>
      <w:marBottom w:val="0"/>
      <w:divBdr>
        <w:top w:val="none" w:sz="0" w:space="0" w:color="auto"/>
        <w:left w:val="none" w:sz="0" w:space="0" w:color="auto"/>
        <w:bottom w:val="none" w:sz="0" w:space="0" w:color="auto"/>
        <w:right w:val="none" w:sz="0" w:space="0" w:color="auto"/>
      </w:divBdr>
    </w:div>
    <w:div w:id="1626034192">
      <w:bodyDiv w:val="1"/>
      <w:marLeft w:val="0"/>
      <w:marRight w:val="0"/>
      <w:marTop w:val="0"/>
      <w:marBottom w:val="0"/>
      <w:divBdr>
        <w:top w:val="none" w:sz="0" w:space="0" w:color="auto"/>
        <w:left w:val="none" w:sz="0" w:space="0" w:color="auto"/>
        <w:bottom w:val="none" w:sz="0" w:space="0" w:color="auto"/>
        <w:right w:val="none" w:sz="0" w:space="0" w:color="auto"/>
      </w:divBdr>
    </w:div>
    <w:div w:id="1628507856">
      <w:bodyDiv w:val="1"/>
      <w:marLeft w:val="0"/>
      <w:marRight w:val="0"/>
      <w:marTop w:val="0"/>
      <w:marBottom w:val="0"/>
      <w:divBdr>
        <w:top w:val="none" w:sz="0" w:space="0" w:color="auto"/>
        <w:left w:val="none" w:sz="0" w:space="0" w:color="auto"/>
        <w:bottom w:val="none" w:sz="0" w:space="0" w:color="auto"/>
        <w:right w:val="none" w:sz="0" w:space="0" w:color="auto"/>
      </w:divBdr>
    </w:div>
    <w:div w:id="1630357966">
      <w:bodyDiv w:val="1"/>
      <w:marLeft w:val="0"/>
      <w:marRight w:val="0"/>
      <w:marTop w:val="0"/>
      <w:marBottom w:val="0"/>
      <w:divBdr>
        <w:top w:val="none" w:sz="0" w:space="0" w:color="auto"/>
        <w:left w:val="none" w:sz="0" w:space="0" w:color="auto"/>
        <w:bottom w:val="none" w:sz="0" w:space="0" w:color="auto"/>
        <w:right w:val="none" w:sz="0" w:space="0" w:color="auto"/>
      </w:divBdr>
    </w:div>
    <w:div w:id="1631980516">
      <w:bodyDiv w:val="1"/>
      <w:marLeft w:val="0"/>
      <w:marRight w:val="0"/>
      <w:marTop w:val="0"/>
      <w:marBottom w:val="0"/>
      <w:divBdr>
        <w:top w:val="none" w:sz="0" w:space="0" w:color="auto"/>
        <w:left w:val="none" w:sz="0" w:space="0" w:color="auto"/>
        <w:bottom w:val="none" w:sz="0" w:space="0" w:color="auto"/>
        <w:right w:val="none" w:sz="0" w:space="0" w:color="auto"/>
      </w:divBdr>
      <w:divsChild>
        <w:div w:id="2076540339">
          <w:marLeft w:val="446"/>
          <w:marRight w:val="0"/>
          <w:marTop w:val="0"/>
          <w:marBottom w:val="0"/>
          <w:divBdr>
            <w:top w:val="none" w:sz="0" w:space="0" w:color="auto"/>
            <w:left w:val="none" w:sz="0" w:space="0" w:color="auto"/>
            <w:bottom w:val="none" w:sz="0" w:space="0" w:color="auto"/>
            <w:right w:val="none" w:sz="0" w:space="0" w:color="auto"/>
          </w:divBdr>
        </w:div>
        <w:div w:id="1452237208">
          <w:marLeft w:val="446"/>
          <w:marRight w:val="0"/>
          <w:marTop w:val="0"/>
          <w:marBottom w:val="0"/>
          <w:divBdr>
            <w:top w:val="none" w:sz="0" w:space="0" w:color="auto"/>
            <w:left w:val="none" w:sz="0" w:space="0" w:color="auto"/>
            <w:bottom w:val="none" w:sz="0" w:space="0" w:color="auto"/>
            <w:right w:val="none" w:sz="0" w:space="0" w:color="auto"/>
          </w:divBdr>
        </w:div>
        <w:div w:id="1708989001">
          <w:marLeft w:val="446"/>
          <w:marRight w:val="0"/>
          <w:marTop w:val="0"/>
          <w:marBottom w:val="0"/>
          <w:divBdr>
            <w:top w:val="none" w:sz="0" w:space="0" w:color="auto"/>
            <w:left w:val="none" w:sz="0" w:space="0" w:color="auto"/>
            <w:bottom w:val="none" w:sz="0" w:space="0" w:color="auto"/>
            <w:right w:val="none" w:sz="0" w:space="0" w:color="auto"/>
          </w:divBdr>
        </w:div>
      </w:divsChild>
    </w:div>
    <w:div w:id="1640648026">
      <w:bodyDiv w:val="1"/>
      <w:marLeft w:val="0"/>
      <w:marRight w:val="0"/>
      <w:marTop w:val="0"/>
      <w:marBottom w:val="0"/>
      <w:divBdr>
        <w:top w:val="none" w:sz="0" w:space="0" w:color="auto"/>
        <w:left w:val="none" w:sz="0" w:space="0" w:color="auto"/>
        <w:bottom w:val="none" w:sz="0" w:space="0" w:color="auto"/>
        <w:right w:val="none" w:sz="0" w:space="0" w:color="auto"/>
      </w:divBdr>
      <w:divsChild>
        <w:div w:id="739328461">
          <w:marLeft w:val="446"/>
          <w:marRight w:val="0"/>
          <w:marTop w:val="0"/>
          <w:marBottom w:val="0"/>
          <w:divBdr>
            <w:top w:val="none" w:sz="0" w:space="0" w:color="auto"/>
            <w:left w:val="none" w:sz="0" w:space="0" w:color="auto"/>
            <w:bottom w:val="none" w:sz="0" w:space="0" w:color="auto"/>
            <w:right w:val="none" w:sz="0" w:space="0" w:color="auto"/>
          </w:divBdr>
        </w:div>
        <w:div w:id="1537304627">
          <w:marLeft w:val="446"/>
          <w:marRight w:val="0"/>
          <w:marTop w:val="0"/>
          <w:marBottom w:val="0"/>
          <w:divBdr>
            <w:top w:val="none" w:sz="0" w:space="0" w:color="auto"/>
            <w:left w:val="none" w:sz="0" w:space="0" w:color="auto"/>
            <w:bottom w:val="none" w:sz="0" w:space="0" w:color="auto"/>
            <w:right w:val="none" w:sz="0" w:space="0" w:color="auto"/>
          </w:divBdr>
        </w:div>
        <w:div w:id="1356541852">
          <w:marLeft w:val="446"/>
          <w:marRight w:val="0"/>
          <w:marTop w:val="0"/>
          <w:marBottom w:val="0"/>
          <w:divBdr>
            <w:top w:val="none" w:sz="0" w:space="0" w:color="auto"/>
            <w:left w:val="none" w:sz="0" w:space="0" w:color="auto"/>
            <w:bottom w:val="none" w:sz="0" w:space="0" w:color="auto"/>
            <w:right w:val="none" w:sz="0" w:space="0" w:color="auto"/>
          </w:divBdr>
        </w:div>
        <w:div w:id="230503270">
          <w:marLeft w:val="446"/>
          <w:marRight w:val="0"/>
          <w:marTop w:val="0"/>
          <w:marBottom w:val="0"/>
          <w:divBdr>
            <w:top w:val="none" w:sz="0" w:space="0" w:color="auto"/>
            <w:left w:val="none" w:sz="0" w:space="0" w:color="auto"/>
            <w:bottom w:val="none" w:sz="0" w:space="0" w:color="auto"/>
            <w:right w:val="none" w:sz="0" w:space="0" w:color="auto"/>
          </w:divBdr>
        </w:div>
      </w:divsChild>
    </w:div>
    <w:div w:id="1643273698">
      <w:bodyDiv w:val="1"/>
      <w:marLeft w:val="0"/>
      <w:marRight w:val="0"/>
      <w:marTop w:val="0"/>
      <w:marBottom w:val="0"/>
      <w:divBdr>
        <w:top w:val="none" w:sz="0" w:space="0" w:color="auto"/>
        <w:left w:val="none" w:sz="0" w:space="0" w:color="auto"/>
        <w:bottom w:val="none" w:sz="0" w:space="0" w:color="auto"/>
        <w:right w:val="none" w:sz="0" w:space="0" w:color="auto"/>
      </w:divBdr>
    </w:div>
    <w:div w:id="1647514447">
      <w:bodyDiv w:val="1"/>
      <w:marLeft w:val="0"/>
      <w:marRight w:val="0"/>
      <w:marTop w:val="0"/>
      <w:marBottom w:val="0"/>
      <w:divBdr>
        <w:top w:val="none" w:sz="0" w:space="0" w:color="auto"/>
        <w:left w:val="none" w:sz="0" w:space="0" w:color="auto"/>
        <w:bottom w:val="none" w:sz="0" w:space="0" w:color="auto"/>
        <w:right w:val="none" w:sz="0" w:space="0" w:color="auto"/>
      </w:divBdr>
    </w:div>
    <w:div w:id="1651866572">
      <w:bodyDiv w:val="1"/>
      <w:marLeft w:val="0"/>
      <w:marRight w:val="0"/>
      <w:marTop w:val="0"/>
      <w:marBottom w:val="0"/>
      <w:divBdr>
        <w:top w:val="none" w:sz="0" w:space="0" w:color="auto"/>
        <w:left w:val="none" w:sz="0" w:space="0" w:color="auto"/>
        <w:bottom w:val="none" w:sz="0" w:space="0" w:color="auto"/>
        <w:right w:val="none" w:sz="0" w:space="0" w:color="auto"/>
      </w:divBdr>
    </w:div>
    <w:div w:id="1688091700">
      <w:bodyDiv w:val="1"/>
      <w:marLeft w:val="0"/>
      <w:marRight w:val="0"/>
      <w:marTop w:val="0"/>
      <w:marBottom w:val="0"/>
      <w:divBdr>
        <w:top w:val="none" w:sz="0" w:space="0" w:color="auto"/>
        <w:left w:val="none" w:sz="0" w:space="0" w:color="auto"/>
        <w:bottom w:val="none" w:sz="0" w:space="0" w:color="auto"/>
        <w:right w:val="none" w:sz="0" w:space="0" w:color="auto"/>
      </w:divBdr>
    </w:div>
    <w:div w:id="1693802508">
      <w:bodyDiv w:val="1"/>
      <w:marLeft w:val="0"/>
      <w:marRight w:val="0"/>
      <w:marTop w:val="0"/>
      <w:marBottom w:val="0"/>
      <w:divBdr>
        <w:top w:val="none" w:sz="0" w:space="0" w:color="auto"/>
        <w:left w:val="none" w:sz="0" w:space="0" w:color="auto"/>
        <w:bottom w:val="none" w:sz="0" w:space="0" w:color="auto"/>
        <w:right w:val="none" w:sz="0" w:space="0" w:color="auto"/>
      </w:divBdr>
    </w:div>
    <w:div w:id="1697537015">
      <w:bodyDiv w:val="1"/>
      <w:marLeft w:val="0"/>
      <w:marRight w:val="0"/>
      <w:marTop w:val="0"/>
      <w:marBottom w:val="0"/>
      <w:divBdr>
        <w:top w:val="none" w:sz="0" w:space="0" w:color="auto"/>
        <w:left w:val="none" w:sz="0" w:space="0" w:color="auto"/>
        <w:bottom w:val="none" w:sz="0" w:space="0" w:color="auto"/>
        <w:right w:val="none" w:sz="0" w:space="0" w:color="auto"/>
      </w:divBdr>
    </w:div>
    <w:div w:id="1704164142">
      <w:bodyDiv w:val="1"/>
      <w:marLeft w:val="0"/>
      <w:marRight w:val="0"/>
      <w:marTop w:val="0"/>
      <w:marBottom w:val="0"/>
      <w:divBdr>
        <w:top w:val="none" w:sz="0" w:space="0" w:color="auto"/>
        <w:left w:val="none" w:sz="0" w:space="0" w:color="auto"/>
        <w:bottom w:val="none" w:sz="0" w:space="0" w:color="auto"/>
        <w:right w:val="none" w:sz="0" w:space="0" w:color="auto"/>
      </w:divBdr>
    </w:div>
    <w:div w:id="1706103546">
      <w:bodyDiv w:val="1"/>
      <w:marLeft w:val="0"/>
      <w:marRight w:val="0"/>
      <w:marTop w:val="0"/>
      <w:marBottom w:val="0"/>
      <w:divBdr>
        <w:top w:val="none" w:sz="0" w:space="0" w:color="auto"/>
        <w:left w:val="none" w:sz="0" w:space="0" w:color="auto"/>
        <w:bottom w:val="none" w:sz="0" w:space="0" w:color="auto"/>
        <w:right w:val="none" w:sz="0" w:space="0" w:color="auto"/>
      </w:divBdr>
      <w:divsChild>
        <w:div w:id="299460506">
          <w:marLeft w:val="1080"/>
          <w:marRight w:val="0"/>
          <w:marTop w:val="100"/>
          <w:marBottom w:val="0"/>
          <w:divBdr>
            <w:top w:val="none" w:sz="0" w:space="0" w:color="auto"/>
            <w:left w:val="none" w:sz="0" w:space="0" w:color="auto"/>
            <w:bottom w:val="none" w:sz="0" w:space="0" w:color="auto"/>
            <w:right w:val="none" w:sz="0" w:space="0" w:color="auto"/>
          </w:divBdr>
        </w:div>
        <w:div w:id="402720206">
          <w:marLeft w:val="1080"/>
          <w:marRight w:val="0"/>
          <w:marTop w:val="100"/>
          <w:marBottom w:val="0"/>
          <w:divBdr>
            <w:top w:val="none" w:sz="0" w:space="0" w:color="auto"/>
            <w:left w:val="none" w:sz="0" w:space="0" w:color="auto"/>
            <w:bottom w:val="none" w:sz="0" w:space="0" w:color="auto"/>
            <w:right w:val="none" w:sz="0" w:space="0" w:color="auto"/>
          </w:divBdr>
        </w:div>
        <w:div w:id="2126659117">
          <w:marLeft w:val="1080"/>
          <w:marRight w:val="0"/>
          <w:marTop w:val="100"/>
          <w:marBottom w:val="0"/>
          <w:divBdr>
            <w:top w:val="none" w:sz="0" w:space="0" w:color="auto"/>
            <w:left w:val="none" w:sz="0" w:space="0" w:color="auto"/>
            <w:bottom w:val="none" w:sz="0" w:space="0" w:color="auto"/>
            <w:right w:val="none" w:sz="0" w:space="0" w:color="auto"/>
          </w:divBdr>
        </w:div>
      </w:divsChild>
    </w:div>
    <w:div w:id="1712534821">
      <w:bodyDiv w:val="1"/>
      <w:marLeft w:val="0"/>
      <w:marRight w:val="0"/>
      <w:marTop w:val="0"/>
      <w:marBottom w:val="0"/>
      <w:divBdr>
        <w:top w:val="none" w:sz="0" w:space="0" w:color="auto"/>
        <w:left w:val="none" w:sz="0" w:space="0" w:color="auto"/>
        <w:bottom w:val="none" w:sz="0" w:space="0" w:color="auto"/>
        <w:right w:val="none" w:sz="0" w:space="0" w:color="auto"/>
      </w:divBdr>
    </w:div>
    <w:div w:id="1736780550">
      <w:bodyDiv w:val="1"/>
      <w:marLeft w:val="0"/>
      <w:marRight w:val="0"/>
      <w:marTop w:val="0"/>
      <w:marBottom w:val="0"/>
      <w:divBdr>
        <w:top w:val="none" w:sz="0" w:space="0" w:color="auto"/>
        <w:left w:val="none" w:sz="0" w:space="0" w:color="auto"/>
        <w:bottom w:val="none" w:sz="0" w:space="0" w:color="auto"/>
        <w:right w:val="none" w:sz="0" w:space="0" w:color="auto"/>
      </w:divBdr>
    </w:div>
    <w:div w:id="1747267615">
      <w:bodyDiv w:val="1"/>
      <w:marLeft w:val="0"/>
      <w:marRight w:val="0"/>
      <w:marTop w:val="0"/>
      <w:marBottom w:val="0"/>
      <w:divBdr>
        <w:top w:val="none" w:sz="0" w:space="0" w:color="auto"/>
        <w:left w:val="none" w:sz="0" w:space="0" w:color="auto"/>
        <w:bottom w:val="none" w:sz="0" w:space="0" w:color="auto"/>
        <w:right w:val="none" w:sz="0" w:space="0" w:color="auto"/>
      </w:divBdr>
    </w:div>
    <w:div w:id="1765035094">
      <w:bodyDiv w:val="1"/>
      <w:marLeft w:val="0"/>
      <w:marRight w:val="0"/>
      <w:marTop w:val="0"/>
      <w:marBottom w:val="0"/>
      <w:divBdr>
        <w:top w:val="none" w:sz="0" w:space="0" w:color="auto"/>
        <w:left w:val="none" w:sz="0" w:space="0" w:color="auto"/>
        <w:bottom w:val="none" w:sz="0" w:space="0" w:color="auto"/>
        <w:right w:val="none" w:sz="0" w:space="0" w:color="auto"/>
      </w:divBdr>
    </w:div>
    <w:div w:id="1808008003">
      <w:bodyDiv w:val="1"/>
      <w:marLeft w:val="0"/>
      <w:marRight w:val="0"/>
      <w:marTop w:val="0"/>
      <w:marBottom w:val="0"/>
      <w:divBdr>
        <w:top w:val="none" w:sz="0" w:space="0" w:color="auto"/>
        <w:left w:val="none" w:sz="0" w:space="0" w:color="auto"/>
        <w:bottom w:val="none" w:sz="0" w:space="0" w:color="auto"/>
        <w:right w:val="none" w:sz="0" w:space="0" w:color="auto"/>
      </w:divBdr>
      <w:divsChild>
        <w:div w:id="1744331737">
          <w:marLeft w:val="446"/>
          <w:marRight w:val="0"/>
          <w:marTop w:val="0"/>
          <w:marBottom w:val="0"/>
          <w:divBdr>
            <w:top w:val="none" w:sz="0" w:space="0" w:color="auto"/>
            <w:left w:val="none" w:sz="0" w:space="0" w:color="auto"/>
            <w:bottom w:val="none" w:sz="0" w:space="0" w:color="auto"/>
            <w:right w:val="none" w:sz="0" w:space="0" w:color="auto"/>
          </w:divBdr>
        </w:div>
        <w:div w:id="950935191">
          <w:marLeft w:val="446"/>
          <w:marRight w:val="0"/>
          <w:marTop w:val="0"/>
          <w:marBottom w:val="0"/>
          <w:divBdr>
            <w:top w:val="none" w:sz="0" w:space="0" w:color="auto"/>
            <w:left w:val="none" w:sz="0" w:space="0" w:color="auto"/>
            <w:bottom w:val="none" w:sz="0" w:space="0" w:color="auto"/>
            <w:right w:val="none" w:sz="0" w:space="0" w:color="auto"/>
          </w:divBdr>
        </w:div>
        <w:div w:id="1625306582">
          <w:marLeft w:val="446"/>
          <w:marRight w:val="0"/>
          <w:marTop w:val="0"/>
          <w:marBottom w:val="0"/>
          <w:divBdr>
            <w:top w:val="none" w:sz="0" w:space="0" w:color="auto"/>
            <w:left w:val="none" w:sz="0" w:space="0" w:color="auto"/>
            <w:bottom w:val="none" w:sz="0" w:space="0" w:color="auto"/>
            <w:right w:val="none" w:sz="0" w:space="0" w:color="auto"/>
          </w:divBdr>
        </w:div>
        <w:div w:id="327834436">
          <w:marLeft w:val="446"/>
          <w:marRight w:val="0"/>
          <w:marTop w:val="0"/>
          <w:marBottom w:val="0"/>
          <w:divBdr>
            <w:top w:val="none" w:sz="0" w:space="0" w:color="auto"/>
            <w:left w:val="none" w:sz="0" w:space="0" w:color="auto"/>
            <w:bottom w:val="none" w:sz="0" w:space="0" w:color="auto"/>
            <w:right w:val="none" w:sz="0" w:space="0" w:color="auto"/>
          </w:divBdr>
        </w:div>
      </w:divsChild>
    </w:div>
    <w:div w:id="1820346978">
      <w:bodyDiv w:val="1"/>
      <w:marLeft w:val="0"/>
      <w:marRight w:val="0"/>
      <w:marTop w:val="0"/>
      <w:marBottom w:val="0"/>
      <w:divBdr>
        <w:top w:val="none" w:sz="0" w:space="0" w:color="auto"/>
        <w:left w:val="none" w:sz="0" w:space="0" w:color="auto"/>
        <w:bottom w:val="none" w:sz="0" w:space="0" w:color="auto"/>
        <w:right w:val="none" w:sz="0" w:space="0" w:color="auto"/>
      </w:divBdr>
      <w:divsChild>
        <w:div w:id="1003313231">
          <w:marLeft w:val="0"/>
          <w:marRight w:val="0"/>
          <w:marTop w:val="0"/>
          <w:marBottom w:val="0"/>
          <w:divBdr>
            <w:top w:val="none" w:sz="0" w:space="0" w:color="auto"/>
            <w:left w:val="none" w:sz="0" w:space="0" w:color="auto"/>
            <w:bottom w:val="none" w:sz="0" w:space="0" w:color="auto"/>
            <w:right w:val="none" w:sz="0" w:space="0" w:color="auto"/>
          </w:divBdr>
          <w:divsChild>
            <w:div w:id="583346510">
              <w:marLeft w:val="0"/>
              <w:marRight w:val="0"/>
              <w:marTop w:val="0"/>
              <w:marBottom w:val="0"/>
              <w:divBdr>
                <w:top w:val="none" w:sz="0" w:space="0" w:color="auto"/>
                <w:left w:val="none" w:sz="0" w:space="0" w:color="auto"/>
                <w:bottom w:val="none" w:sz="0" w:space="0" w:color="auto"/>
                <w:right w:val="none" w:sz="0" w:space="0" w:color="auto"/>
              </w:divBdr>
            </w:div>
            <w:div w:id="92746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9333">
      <w:bodyDiv w:val="1"/>
      <w:marLeft w:val="0"/>
      <w:marRight w:val="0"/>
      <w:marTop w:val="0"/>
      <w:marBottom w:val="0"/>
      <w:divBdr>
        <w:top w:val="none" w:sz="0" w:space="0" w:color="auto"/>
        <w:left w:val="none" w:sz="0" w:space="0" w:color="auto"/>
        <w:bottom w:val="none" w:sz="0" w:space="0" w:color="auto"/>
        <w:right w:val="none" w:sz="0" w:space="0" w:color="auto"/>
      </w:divBdr>
    </w:div>
    <w:div w:id="1849709557">
      <w:bodyDiv w:val="1"/>
      <w:marLeft w:val="0"/>
      <w:marRight w:val="0"/>
      <w:marTop w:val="0"/>
      <w:marBottom w:val="0"/>
      <w:divBdr>
        <w:top w:val="none" w:sz="0" w:space="0" w:color="auto"/>
        <w:left w:val="none" w:sz="0" w:space="0" w:color="auto"/>
        <w:bottom w:val="none" w:sz="0" w:space="0" w:color="auto"/>
        <w:right w:val="none" w:sz="0" w:space="0" w:color="auto"/>
      </w:divBdr>
    </w:div>
    <w:div w:id="1857846875">
      <w:bodyDiv w:val="1"/>
      <w:marLeft w:val="0"/>
      <w:marRight w:val="0"/>
      <w:marTop w:val="0"/>
      <w:marBottom w:val="0"/>
      <w:divBdr>
        <w:top w:val="none" w:sz="0" w:space="0" w:color="auto"/>
        <w:left w:val="none" w:sz="0" w:space="0" w:color="auto"/>
        <w:bottom w:val="none" w:sz="0" w:space="0" w:color="auto"/>
        <w:right w:val="none" w:sz="0" w:space="0" w:color="auto"/>
      </w:divBdr>
    </w:div>
    <w:div w:id="1887066797">
      <w:bodyDiv w:val="1"/>
      <w:marLeft w:val="0"/>
      <w:marRight w:val="0"/>
      <w:marTop w:val="0"/>
      <w:marBottom w:val="0"/>
      <w:divBdr>
        <w:top w:val="none" w:sz="0" w:space="0" w:color="auto"/>
        <w:left w:val="none" w:sz="0" w:space="0" w:color="auto"/>
        <w:bottom w:val="none" w:sz="0" w:space="0" w:color="auto"/>
        <w:right w:val="none" w:sz="0" w:space="0" w:color="auto"/>
      </w:divBdr>
    </w:div>
    <w:div w:id="1889146430">
      <w:bodyDiv w:val="1"/>
      <w:marLeft w:val="0"/>
      <w:marRight w:val="0"/>
      <w:marTop w:val="0"/>
      <w:marBottom w:val="0"/>
      <w:divBdr>
        <w:top w:val="none" w:sz="0" w:space="0" w:color="auto"/>
        <w:left w:val="none" w:sz="0" w:space="0" w:color="auto"/>
        <w:bottom w:val="none" w:sz="0" w:space="0" w:color="auto"/>
        <w:right w:val="none" w:sz="0" w:space="0" w:color="auto"/>
      </w:divBdr>
    </w:div>
    <w:div w:id="1898588608">
      <w:bodyDiv w:val="1"/>
      <w:marLeft w:val="0"/>
      <w:marRight w:val="0"/>
      <w:marTop w:val="0"/>
      <w:marBottom w:val="0"/>
      <w:divBdr>
        <w:top w:val="none" w:sz="0" w:space="0" w:color="auto"/>
        <w:left w:val="none" w:sz="0" w:space="0" w:color="auto"/>
        <w:bottom w:val="none" w:sz="0" w:space="0" w:color="auto"/>
        <w:right w:val="none" w:sz="0" w:space="0" w:color="auto"/>
      </w:divBdr>
    </w:div>
    <w:div w:id="1933583484">
      <w:bodyDiv w:val="1"/>
      <w:marLeft w:val="0"/>
      <w:marRight w:val="0"/>
      <w:marTop w:val="0"/>
      <w:marBottom w:val="0"/>
      <w:divBdr>
        <w:top w:val="none" w:sz="0" w:space="0" w:color="auto"/>
        <w:left w:val="none" w:sz="0" w:space="0" w:color="auto"/>
        <w:bottom w:val="none" w:sz="0" w:space="0" w:color="auto"/>
        <w:right w:val="none" w:sz="0" w:space="0" w:color="auto"/>
      </w:divBdr>
    </w:div>
    <w:div w:id="1936358579">
      <w:bodyDiv w:val="1"/>
      <w:marLeft w:val="0"/>
      <w:marRight w:val="0"/>
      <w:marTop w:val="0"/>
      <w:marBottom w:val="0"/>
      <w:divBdr>
        <w:top w:val="none" w:sz="0" w:space="0" w:color="auto"/>
        <w:left w:val="none" w:sz="0" w:space="0" w:color="auto"/>
        <w:bottom w:val="none" w:sz="0" w:space="0" w:color="auto"/>
        <w:right w:val="none" w:sz="0" w:space="0" w:color="auto"/>
      </w:divBdr>
      <w:divsChild>
        <w:div w:id="681132036">
          <w:marLeft w:val="0"/>
          <w:marRight w:val="0"/>
          <w:marTop w:val="0"/>
          <w:marBottom w:val="0"/>
          <w:divBdr>
            <w:top w:val="none" w:sz="0" w:space="0" w:color="auto"/>
            <w:left w:val="none" w:sz="0" w:space="0" w:color="auto"/>
            <w:bottom w:val="none" w:sz="0" w:space="0" w:color="auto"/>
            <w:right w:val="none" w:sz="0" w:space="0" w:color="auto"/>
          </w:divBdr>
          <w:divsChild>
            <w:div w:id="1549873335">
              <w:marLeft w:val="0"/>
              <w:marRight w:val="0"/>
              <w:marTop w:val="0"/>
              <w:marBottom w:val="0"/>
              <w:divBdr>
                <w:top w:val="none" w:sz="0" w:space="0" w:color="auto"/>
                <w:left w:val="none" w:sz="0" w:space="0" w:color="auto"/>
                <w:bottom w:val="none" w:sz="0" w:space="0" w:color="auto"/>
                <w:right w:val="none" w:sz="0" w:space="0" w:color="auto"/>
              </w:divBdr>
            </w:div>
            <w:div w:id="186143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22136">
      <w:bodyDiv w:val="1"/>
      <w:marLeft w:val="0"/>
      <w:marRight w:val="0"/>
      <w:marTop w:val="0"/>
      <w:marBottom w:val="0"/>
      <w:divBdr>
        <w:top w:val="none" w:sz="0" w:space="0" w:color="auto"/>
        <w:left w:val="none" w:sz="0" w:space="0" w:color="auto"/>
        <w:bottom w:val="none" w:sz="0" w:space="0" w:color="auto"/>
        <w:right w:val="none" w:sz="0" w:space="0" w:color="auto"/>
      </w:divBdr>
    </w:div>
    <w:div w:id="1953856209">
      <w:bodyDiv w:val="1"/>
      <w:marLeft w:val="0"/>
      <w:marRight w:val="0"/>
      <w:marTop w:val="0"/>
      <w:marBottom w:val="0"/>
      <w:divBdr>
        <w:top w:val="none" w:sz="0" w:space="0" w:color="auto"/>
        <w:left w:val="none" w:sz="0" w:space="0" w:color="auto"/>
        <w:bottom w:val="none" w:sz="0" w:space="0" w:color="auto"/>
        <w:right w:val="none" w:sz="0" w:space="0" w:color="auto"/>
      </w:divBdr>
    </w:div>
    <w:div w:id="1956865639">
      <w:bodyDiv w:val="1"/>
      <w:marLeft w:val="0"/>
      <w:marRight w:val="0"/>
      <w:marTop w:val="0"/>
      <w:marBottom w:val="0"/>
      <w:divBdr>
        <w:top w:val="none" w:sz="0" w:space="0" w:color="auto"/>
        <w:left w:val="none" w:sz="0" w:space="0" w:color="auto"/>
        <w:bottom w:val="none" w:sz="0" w:space="0" w:color="auto"/>
        <w:right w:val="none" w:sz="0" w:space="0" w:color="auto"/>
      </w:divBdr>
      <w:divsChild>
        <w:div w:id="2109890072">
          <w:marLeft w:val="1080"/>
          <w:marRight w:val="0"/>
          <w:marTop w:val="100"/>
          <w:marBottom w:val="0"/>
          <w:divBdr>
            <w:top w:val="none" w:sz="0" w:space="0" w:color="auto"/>
            <w:left w:val="none" w:sz="0" w:space="0" w:color="auto"/>
            <w:bottom w:val="none" w:sz="0" w:space="0" w:color="auto"/>
            <w:right w:val="none" w:sz="0" w:space="0" w:color="auto"/>
          </w:divBdr>
        </w:div>
        <w:div w:id="1825122159">
          <w:marLeft w:val="1800"/>
          <w:marRight w:val="0"/>
          <w:marTop w:val="100"/>
          <w:marBottom w:val="0"/>
          <w:divBdr>
            <w:top w:val="none" w:sz="0" w:space="0" w:color="auto"/>
            <w:left w:val="none" w:sz="0" w:space="0" w:color="auto"/>
            <w:bottom w:val="none" w:sz="0" w:space="0" w:color="auto"/>
            <w:right w:val="none" w:sz="0" w:space="0" w:color="auto"/>
          </w:divBdr>
        </w:div>
        <w:div w:id="458886858">
          <w:marLeft w:val="1800"/>
          <w:marRight w:val="0"/>
          <w:marTop w:val="100"/>
          <w:marBottom w:val="0"/>
          <w:divBdr>
            <w:top w:val="none" w:sz="0" w:space="0" w:color="auto"/>
            <w:left w:val="none" w:sz="0" w:space="0" w:color="auto"/>
            <w:bottom w:val="none" w:sz="0" w:space="0" w:color="auto"/>
            <w:right w:val="none" w:sz="0" w:space="0" w:color="auto"/>
          </w:divBdr>
        </w:div>
      </w:divsChild>
    </w:div>
    <w:div w:id="1999844102">
      <w:bodyDiv w:val="1"/>
      <w:marLeft w:val="0"/>
      <w:marRight w:val="0"/>
      <w:marTop w:val="0"/>
      <w:marBottom w:val="0"/>
      <w:divBdr>
        <w:top w:val="none" w:sz="0" w:space="0" w:color="auto"/>
        <w:left w:val="none" w:sz="0" w:space="0" w:color="auto"/>
        <w:bottom w:val="none" w:sz="0" w:space="0" w:color="auto"/>
        <w:right w:val="none" w:sz="0" w:space="0" w:color="auto"/>
      </w:divBdr>
    </w:div>
    <w:div w:id="2028482431">
      <w:bodyDiv w:val="1"/>
      <w:marLeft w:val="0"/>
      <w:marRight w:val="0"/>
      <w:marTop w:val="0"/>
      <w:marBottom w:val="0"/>
      <w:divBdr>
        <w:top w:val="none" w:sz="0" w:space="0" w:color="auto"/>
        <w:left w:val="none" w:sz="0" w:space="0" w:color="auto"/>
        <w:bottom w:val="none" w:sz="0" w:space="0" w:color="auto"/>
        <w:right w:val="none" w:sz="0" w:space="0" w:color="auto"/>
      </w:divBdr>
      <w:divsChild>
        <w:div w:id="2131242034">
          <w:marLeft w:val="360"/>
          <w:marRight w:val="0"/>
          <w:marTop w:val="200"/>
          <w:marBottom w:val="0"/>
          <w:divBdr>
            <w:top w:val="none" w:sz="0" w:space="0" w:color="auto"/>
            <w:left w:val="none" w:sz="0" w:space="0" w:color="auto"/>
            <w:bottom w:val="none" w:sz="0" w:space="0" w:color="auto"/>
            <w:right w:val="none" w:sz="0" w:space="0" w:color="auto"/>
          </w:divBdr>
        </w:div>
        <w:div w:id="423916400">
          <w:marLeft w:val="360"/>
          <w:marRight w:val="0"/>
          <w:marTop w:val="200"/>
          <w:marBottom w:val="0"/>
          <w:divBdr>
            <w:top w:val="none" w:sz="0" w:space="0" w:color="auto"/>
            <w:left w:val="none" w:sz="0" w:space="0" w:color="auto"/>
            <w:bottom w:val="none" w:sz="0" w:space="0" w:color="auto"/>
            <w:right w:val="none" w:sz="0" w:space="0" w:color="auto"/>
          </w:divBdr>
        </w:div>
        <w:div w:id="431557233">
          <w:marLeft w:val="360"/>
          <w:marRight w:val="0"/>
          <w:marTop w:val="200"/>
          <w:marBottom w:val="0"/>
          <w:divBdr>
            <w:top w:val="none" w:sz="0" w:space="0" w:color="auto"/>
            <w:left w:val="none" w:sz="0" w:space="0" w:color="auto"/>
            <w:bottom w:val="none" w:sz="0" w:space="0" w:color="auto"/>
            <w:right w:val="none" w:sz="0" w:space="0" w:color="auto"/>
          </w:divBdr>
        </w:div>
        <w:div w:id="983197633">
          <w:marLeft w:val="360"/>
          <w:marRight w:val="0"/>
          <w:marTop w:val="200"/>
          <w:marBottom w:val="0"/>
          <w:divBdr>
            <w:top w:val="none" w:sz="0" w:space="0" w:color="auto"/>
            <w:left w:val="none" w:sz="0" w:space="0" w:color="auto"/>
            <w:bottom w:val="none" w:sz="0" w:space="0" w:color="auto"/>
            <w:right w:val="none" w:sz="0" w:space="0" w:color="auto"/>
          </w:divBdr>
        </w:div>
        <w:div w:id="1046297160">
          <w:marLeft w:val="360"/>
          <w:marRight w:val="0"/>
          <w:marTop w:val="200"/>
          <w:marBottom w:val="0"/>
          <w:divBdr>
            <w:top w:val="none" w:sz="0" w:space="0" w:color="auto"/>
            <w:left w:val="none" w:sz="0" w:space="0" w:color="auto"/>
            <w:bottom w:val="none" w:sz="0" w:space="0" w:color="auto"/>
            <w:right w:val="none" w:sz="0" w:space="0" w:color="auto"/>
          </w:divBdr>
        </w:div>
        <w:div w:id="967509468">
          <w:marLeft w:val="360"/>
          <w:marRight w:val="0"/>
          <w:marTop w:val="200"/>
          <w:marBottom w:val="0"/>
          <w:divBdr>
            <w:top w:val="none" w:sz="0" w:space="0" w:color="auto"/>
            <w:left w:val="none" w:sz="0" w:space="0" w:color="auto"/>
            <w:bottom w:val="none" w:sz="0" w:space="0" w:color="auto"/>
            <w:right w:val="none" w:sz="0" w:space="0" w:color="auto"/>
          </w:divBdr>
        </w:div>
        <w:div w:id="1695302377">
          <w:marLeft w:val="360"/>
          <w:marRight w:val="0"/>
          <w:marTop w:val="200"/>
          <w:marBottom w:val="0"/>
          <w:divBdr>
            <w:top w:val="none" w:sz="0" w:space="0" w:color="auto"/>
            <w:left w:val="none" w:sz="0" w:space="0" w:color="auto"/>
            <w:bottom w:val="none" w:sz="0" w:space="0" w:color="auto"/>
            <w:right w:val="none" w:sz="0" w:space="0" w:color="auto"/>
          </w:divBdr>
        </w:div>
      </w:divsChild>
    </w:div>
    <w:div w:id="2041933685">
      <w:bodyDiv w:val="1"/>
      <w:marLeft w:val="0"/>
      <w:marRight w:val="0"/>
      <w:marTop w:val="0"/>
      <w:marBottom w:val="0"/>
      <w:divBdr>
        <w:top w:val="none" w:sz="0" w:space="0" w:color="auto"/>
        <w:left w:val="none" w:sz="0" w:space="0" w:color="auto"/>
        <w:bottom w:val="none" w:sz="0" w:space="0" w:color="auto"/>
        <w:right w:val="none" w:sz="0" w:space="0" w:color="auto"/>
      </w:divBdr>
    </w:div>
    <w:div w:id="2043356934">
      <w:bodyDiv w:val="1"/>
      <w:marLeft w:val="0"/>
      <w:marRight w:val="0"/>
      <w:marTop w:val="0"/>
      <w:marBottom w:val="0"/>
      <w:divBdr>
        <w:top w:val="none" w:sz="0" w:space="0" w:color="auto"/>
        <w:left w:val="none" w:sz="0" w:space="0" w:color="auto"/>
        <w:bottom w:val="none" w:sz="0" w:space="0" w:color="auto"/>
        <w:right w:val="none" w:sz="0" w:space="0" w:color="auto"/>
      </w:divBdr>
    </w:div>
    <w:div w:id="2044095081">
      <w:bodyDiv w:val="1"/>
      <w:marLeft w:val="0"/>
      <w:marRight w:val="0"/>
      <w:marTop w:val="0"/>
      <w:marBottom w:val="0"/>
      <w:divBdr>
        <w:top w:val="none" w:sz="0" w:space="0" w:color="auto"/>
        <w:left w:val="none" w:sz="0" w:space="0" w:color="auto"/>
        <w:bottom w:val="none" w:sz="0" w:space="0" w:color="auto"/>
        <w:right w:val="none" w:sz="0" w:space="0" w:color="auto"/>
      </w:divBdr>
    </w:div>
    <w:div w:id="2045517137">
      <w:bodyDiv w:val="1"/>
      <w:marLeft w:val="0"/>
      <w:marRight w:val="0"/>
      <w:marTop w:val="0"/>
      <w:marBottom w:val="0"/>
      <w:divBdr>
        <w:top w:val="none" w:sz="0" w:space="0" w:color="auto"/>
        <w:left w:val="none" w:sz="0" w:space="0" w:color="auto"/>
        <w:bottom w:val="none" w:sz="0" w:space="0" w:color="auto"/>
        <w:right w:val="none" w:sz="0" w:space="0" w:color="auto"/>
      </w:divBdr>
    </w:div>
    <w:div w:id="2047750647">
      <w:bodyDiv w:val="1"/>
      <w:marLeft w:val="0"/>
      <w:marRight w:val="0"/>
      <w:marTop w:val="0"/>
      <w:marBottom w:val="0"/>
      <w:divBdr>
        <w:top w:val="none" w:sz="0" w:space="0" w:color="auto"/>
        <w:left w:val="none" w:sz="0" w:space="0" w:color="auto"/>
        <w:bottom w:val="none" w:sz="0" w:space="0" w:color="auto"/>
        <w:right w:val="none" w:sz="0" w:space="0" w:color="auto"/>
      </w:divBdr>
    </w:div>
    <w:div w:id="2066248601">
      <w:bodyDiv w:val="1"/>
      <w:marLeft w:val="0"/>
      <w:marRight w:val="0"/>
      <w:marTop w:val="0"/>
      <w:marBottom w:val="0"/>
      <w:divBdr>
        <w:top w:val="none" w:sz="0" w:space="0" w:color="auto"/>
        <w:left w:val="none" w:sz="0" w:space="0" w:color="auto"/>
        <w:bottom w:val="none" w:sz="0" w:space="0" w:color="auto"/>
        <w:right w:val="none" w:sz="0" w:space="0" w:color="auto"/>
      </w:divBdr>
    </w:div>
    <w:div w:id="2073699753">
      <w:bodyDiv w:val="1"/>
      <w:marLeft w:val="0"/>
      <w:marRight w:val="0"/>
      <w:marTop w:val="0"/>
      <w:marBottom w:val="0"/>
      <w:divBdr>
        <w:top w:val="none" w:sz="0" w:space="0" w:color="auto"/>
        <w:left w:val="none" w:sz="0" w:space="0" w:color="auto"/>
        <w:bottom w:val="none" w:sz="0" w:space="0" w:color="auto"/>
        <w:right w:val="none" w:sz="0" w:space="0" w:color="auto"/>
      </w:divBdr>
    </w:div>
    <w:div w:id="2116318141">
      <w:bodyDiv w:val="1"/>
      <w:marLeft w:val="0"/>
      <w:marRight w:val="0"/>
      <w:marTop w:val="0"/>
      <w:marBottom w:val="0"/>
      <w:divBdr>
        <w:top w:val="none" w:sz="0" w:space="0" w:color="auto"/>
        <w:left w:val="none" w:sz="0" w:space="0" w:color="auto"/>
        <w:bottom w:val="none" w:sz="0" w:space="0" w:color="auto"/>
        <w:right w:val="none" w:sz="0" w:space="0" w:color="auto"/>
      </w:divBdr>
    </w:div>
    <w:div w:id="2122796017">
      <w:bodyDiv w:val="1"/>
      <w:marLeft w:val="0"/>
      <w:marRight w:val="0"/>
      <w:marTop w:val="0"/>
      <w:marBottom w:val="0"/>
      <w:divBdr>
        <w:top w:val="none" w:sz="0" w:space="0" w:color="auto"/>
        <w:left w:val="none" w:sz="0" w:space="0" w:color="auto"/>
        <w:bottom w:val="none" w:sz="0" w:space="0" w:color="auto"/>
        <w:right w:val="none" w:sz="0" w:space="0" w:color="auto"/>
      </w:divBdr>
    </w:div>
    <w:div w:id="2133202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AlD14</b:Tag>
    <b:SourceType>JournalArticle</b:SourceType>
    <b:Guid>{7687532C-3FCA-4DCE-B328-BEC613DF30B8}</b:Guid>
    <b:Author>
      <b:Author>
        <b:Corporate>Al-Dakkak et al</b:Corporate>
      </b:Author>
    </b:Author>
    <b:Title>A Systematic Review of Health State Utility Values for Advanced Ovarian Cancer</b:Title>
    <b:JournalName>Cancer – Patient-Reported Outcomes &amp; Patient Preference Studies</b:JournalName>
    <b:Year>2014</b:Year>
    <b:RefOrder>1</b:RefOrder>
  </b:Source>
  <b:Source>
    <b:Tag>Hav09</b:Tag>
    <b:SourceType>JournalArticle</b:SourceType>
    <b:Guid>{F71D12A4-6D1D-44AC-8EAC-41CABF9EAE24}</b:Guid>
    <b:Author>
      <b:Author>
        <b:Corporate> Havrilesky et al</b:Corporate>
      </b:Author>
    </b:Author>
    <b:Title>Determination of quality of life-related utilities for health states relevant to ovarian cancer diagnosis and treatment</b:Title>
    <b:JournalName>Gynecologic Oncology</b:JournalName>
    <b:Year>2009</b:Year>
    <b:RefOrder>2</b:RefOrder>
  </b:Source>
  <b:Source>
    <b:Tag>Edw15</b:Tag>
    <b:SourceType>JournalArticle</b:SourceType>
    <b:Guid>{99D76989-A3F5-40DE-8A80-95903532BB11}</b:Guid>
    <b:Author>
      <b:Author>
        <b:Corporate>Edwards et al</b:Corporate>
      </b:Author>
    </b:Author>
    <b:Title>Topotecan, pegylated liposomal doxorubicin hydrochloride, paclitaxel, trabectedin and gemcitabine for advanced recurrent or refractory ovarian cancer: a systematic review and economic evaluation</b:Title>
    <b:JournalName>NICE submission</b:JournalName>
    <b:Year>2015</b:Year>
    <b:RefOrder>3</b:RefOrder>
  </b:Source>
  <b:Source>
    <b:Tag>Nat131</b:Tag>
    <b:SourceType>DocumentFromInternetSite</b:SourceType>
    <b:Guid>{24FF11CA-95DF-499D-BF5A-1831D9E6875C}</b:Guid>
    <b:Author>
      <b:Author>
        <b:Corporate>National Institute for Health and Care Excellence TA285</b:Corporate>
      </b:Author>
    </b:Author>
    <b:Title>NICE Technology Appraisal TA285</b:Title>
    <b:Year>2013</b:Year>
    <b:URL>https://www.nice.org.uk/guidance/TA285</b:URL>
    <b:RefOrder>4</b:RefOrder>
  </b:Source>
  <b:Source>
    <b:Tag>Ney18</b:Tag>
    <b:SourceType>JournalArticle</b:SourceType>
    <b:Guid>{D6C64269-5DA7-48C5-A823-7CEE61ED4AA1}</b:Guid>
    <b:Author>
      <b:Author>
        <b:Corporate>Neyt et al</b:Corporate>
      </b:Author>
    </b:Author>
    <b:Title>First- and second-line bevacizumab in ovarian cancer: A Belgian cost-utility analysis</b:Title>
    <b:JournalName>PLoS ONE </b:JournalName>
    <b:Year>2018</b:Year>
    <b:Pages>13(4)</b:Pages>
    <b:RefOrder>5</b:RefOrder>
  </b:Source>
</b:Sources>
</file>

<file path=customXml/itemProps1.xml><?xml version="1.0" encoding="utf-8"?>
<ds:datastoreItem xmlns:ds="http://schemas.openxmlformats.org/officeDocument/2006/customXml" ds:itemID="{CCFA36FB-322B-4FA6-8544-4893B21AB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20734</Words>
  <Characters>118185</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2022-10-24T01:20:00Z</dcterms:created>
  <dcterms:modified xsi:type="dcterms:W3CDTF">2022-10-24T01:20:00Z</dcterms:modified>
</cp:coreProperties>
</file>