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EEF2" w14:textId="314E44FD" w:rsidR="00172C1C" w:rsidRDefault="00172C1C" w:rsidP="0001384B">
      <w:pPr>
        <w:pStyle w:val="1-MainHeading"/>
        <w:ind w:left="1134" w:hanging="1134"/>
      </w:pPr>
      <w:bookmarkStart w:id="0" w:name="_Toc103767679"/>
      <w:bookmarkStart w:id="1" w:name="_Toc22898867"/>
      <w:r>
        <w:t>6</w:t>
      </w:r>
      <w:r w:rsidRPr="00C12C14">
        <w:t>.</w:t>
      </w:r>
      <w:r>
        <w:t>06</w:t>
      </w:r>
      <w:r>
        <w:tab/>
      </w:r>
      <w:r w:rsidRPr="008F3113">
        <w:t>NIVOLUMAB,</w:t>
      </w:r>
      <w:r>
        <w:br/>
        <w:t>Injection concentrate for I.V. infusion</w:t>
      </w:r>
      <w:r>
        <w:br/>
        <w:t>40 mg in 4 mL</w:t>
      </w:r>
      <w:r>
        <w:br/>
        <w:t>Injection concentrate for I.V. infusion</w:t>
      </w:r>
      <w:r>
        <w:br/>
        <w:t>100 mg in 10 mL</w:t>
      </w:r>
      <w:r>
        <w:br/>
      </w:r>
      <w:proofErr w:type="spellStart"/>
      <w:r w:rsidRPr="003273BA">
        <w:t>Opdivo</w:t>
      </w:r>
      <w:proofErr w:type="spellEnd"/>
      <w:r w:rsidRPr="003273BA">
        <w:t>®</w:t>
      </w:r>
      <w:r w:rsidRPr="004A6040">
        <w:br/>
      </w:r>
      <w:r w:rsidRPr="003273BA">
        <w:t>Bristol-Myers Squibb Australia Pty Ltd</w:t>
      </w:r>
      <w:r w:rsidRPr="004A6040">
        <w:t>.</w:t>
      </w:r>
      <w:bookmarkEnd w:id="0"/>
    </w:p>
    <w:p w14:paraId="425BD39B" w14:textId="1B4CA426" w:rsidR="00172C1C" w:rsidRPr="00407F2D" w:rsidRDefault="00172C1C" w:rsidP="00172C1C">
      <w:pPr>
        <w:pStyle w:val="2-SectionHeading"/>
      </w:pPr>
      <w:bookmarkStart w:id="2" w:name="_Toc103767681"/>
      <w:r w:rsidRPr="00407F2D">
        <w:t xml:space="preserve">Purpose of </w:t>
      </w:r>
      <w:r>
        <w:t>submission</w:t>
      </w:r>
      <w:bookmarkEnd w:id="2"/>
    </w:p>
    <w:p w14:paraId="57D1B800" w14:textId="653EA8DC" w:rsidR="00172C1C" w:rsidRPr="008B1757" w:rsidRDefault="00172C1C" w:rsidP="00172C1C">
      <w:pPr>
        <w:pStyle w:val="3-BodyText"/>
      </w:pPr>
      <w:r>
        <w:t xml:space="preserve">The Category 2 submission </w:t>
      </w:r>
      <w:r w:rsidRPr="004E18E9">
        <w:t xml:space="preserve">requested </w:t>
      </w:r>
      <w:r w:rsidR="006870E0">
        <w:t>Section 100 (Efficient Funding of Chemotherapy Program) Authority Required listing for the adjuvant treatment of patients with oesophageal carcinoma (O</w:t>
      </w:r>
      <w:r w:rsidR="00441732">
        <w:t>C</w:t>
      </w:r>
      <w:r w:rsidR="006870E0">
        <w:t>) or gastroesophageal junction carcinoma (GOJC) who have received platinum-based chemoradiotherapy and surgery</w:t>
      </w:r>
      <w:r w:rsidR="0045393F">
        <w:t>.</w:t>
      </w:r>
    </w:p>
    <w:p w14:paraId="238CB7E9" w14:textId="64DD8771" w:rsidR="00172C1C" w:rsidRPr="00734A0B" w:rsidRDefault="00172C1C" w:rsidP="00172C1C">
      <w:pPr>
        <w:pStyle w:val="3-BodyText"/>
      </w:pPr>
      <w:r w:rsidRPr="005750C5">
        <w:t xml:space="preserve">Listing was requested on the basis of a </w:t>
      </w:r>
      <w:r>
        <w:t>cost</w:t>
      </w:r>
      <w:r w:rsidR="002A1993">
        <w:t>-</w:t>
      </w:r>
      <w:r>
        <w:t>utility</w:t>
      </w:r>
      <w:r w:rsidRPr="005750C5">
        <w:t xml:space="preserve"> analysis versus</w:t>
      </w:r>
      <w:r>
        <w:t xml:space="preserve"> standard of care (watch and wait surveillance).</w:t>
      </w:r>
      <w:r w:rsidRPr="00696F51">
        <w:rPr>
          <w:color w:val="0066FF"/>
        </w:rPr>
        <w:t xml:space="preserve"> </w:t>
      </w:r>
    </w:p>
    <w:p w14:paraId="68782C4D" w14:textId="4BF06C35" w:rsidR="00172C1C" w:rsidRDefault="00172C1C" w:rsidP="00172C1C">
      <w:pPr>
        <w:pStyle w:val="3-BodyText"/>
      </w:pPr>
      <w:r>
        <w:rPr>
          <w:color w:val="000000" w:themeColor="text1"/>
        </w:rPr>
        <w:t>A summary of key components of the clinical issue addressed by the submission is presented in</w:t>
      </w:r>
      <w:r w:rsidRPr="00734A0B">
        <w:t xml:space="preserve"> </w:t>
      </w:r>
      <w:r w:rsidRPr="00734A0B">
        <w:fldChar w:fldCharType="begin"/>
      </w:r>
      <w:r w:rsidRPr="00734A0B">
        <w:instrText xml:space="preserve"> REF _Ref100766253 \h </w:instrText>
      </w:r>
      <w:r>
        <w:instrText xml:space="preserve"> \* MERGEFORMAT </w:instrText>
      </w:r>
      <w:r w:rsidRPr="00734A0B">
        <w:fldChar w:fldCharType="separate"/>
      </w:r>
      <w:r w:rsidR="00267758" w:rsidRPr="00267758">
        <w:t>Table 1</w:t>
      </w:r>
      <w:r w:rsidRPr="00734A0B">
        <w:fldChar w:fldCharType="end"/>
      </w:r>
      <w:r>
        <w:t>.</w:t>
      </w:r>
    </w:p>
    <w:p w14:paraId="65486AD3" w14:textId="7B19BAB3" w:rsidR="00172C1C" w:rsidRPr="00422044" w:rsidRDefault="00172C1C" w:rsidP="00172C1C">
      <w:pPr>
        <w:pStyle w:val="TableFigureHeading"/>
        <w:rPr>
          <w:b w:val="0"/>
          <w:bCs w:val="0"/>
        </w:rPr>
      </w:pPr>
      <w:bookmarkStart w:id="3" w:name="_Ref100766253"/>
      <w:r w:rsidRPr="00422044">
        <w:rPr>
          <w:rStyle w:val="CommentReference"/>
          <w:b/>
          <w:bCs w:val="0"/>
        </w:rPr>
        <w:t xml:space="preserve">Table </w:t>
      </w:r>
      <w:r w:rsidRPr="00422044">
        <w:rPr>
          <w:rStyle w:val="CommentReference"/>
          <w:b/>
          <w:bCs w:val="0"/>
        </w:rPr>
        <w:fldChar w:fldCharType="begin"/>
      </w:r>
      <w:r w:rsidRPr="00422044">
        <w:rPr>
          <w:rStyle w:val="CommentReference"/>
          <w:b/>
          <w:bCs w:val="0"/>
        </w:rPr>
        <w:instrText xml:space="preserve"> SEQ Table \* MERGEFORMAT </w:instrText>
      </w:r>
      <w:r w:rsidRPr="00422044">
        <w:rPr>
          <w:rStyle w:val="CommentReference"/>
          <w:b/>
          <w:bCs w:val="0"/>
        </w:rPr>
        <w:fldChar w:fldCharType="separate"/>
      </w:r>
      <w:r w:rsidR="00267758">
        <w:rPr>
          <w:rStyle w:val="CommentReference"/>
          <w:b/>
          <w:bCs w:val="0"/>
          <w:noProof/>
        </w:rPr>
        <w:t>1</w:t>
      </w:r>
      <w:r w:rsidRPr="00422044">
        <w:rPr>
          <w:rStyle w:val="CommentReference"/>
          <w:b/>
          <w:bCs w:val="0"/>
        </w:rPr>
        <w:fldChar w:fldCharType="end"/>
      </w:r>
      <w:bookmarkEnd w:id="3"/>
      <w:r w:rsidRPr="00422044">
        <w:rPr>
          <w:rStyle w:val="CommentReference"/>
          <w:b/>
          <w:bCs w:val="0"/>
        </w:rPr>
        <w:t xml:space="preserve">: </w:t>
      </w:r>
      <w:r w:rsidRPr="00422044">
        <w:rPr>
          <w:rStyle w:val="CommentReference"/>
          <w:b/>
          <w:bCs w:val="0"/>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172C1C" w:rsidRPr="004C54EE" w14:paraId="78B3A877" w14:textId="77777777" w:rsidTr="00A07366">
        <w:tc>
          <w:tcPr>
            <w:tcW w:w="911" w:type="pct"/>
            <w:vAlign w:val="center"/>
          </w:tcPr>
          <w:p w14:paraId="26370D3A" w14:textId="77777777" w:rsidR="00172C1C" w:rsidRPr="004C54EE" w:rsidRDefault="00172C1C" w:rsidP="00A0461D">
            <w:pPr>
              <w:pStyle w:val="In-tableHeading"/>
              <w:rPr>
                <w:lang w:val="en-AU"/>
              </w:rPr>
            </w:pPr>
            <w:r w:rsidRPr="004C54EE">
              <w:rPr>
                <w:lang w:val="en-AU"/>
              </w:rPr>
              <w:t>Component</w:t>
            </w:r>
          </w:p>
        </w:tc>
        <w:tc>
          <w:tcPr>
            <w:tcW w:w="4089" w:type="pct"/>
            <w:vAlign w:val="center"/>
          </w:tcPr>
          <w:p w14:paraId="2903251E" w14:textId="77777777" w:rsidR="00172C1C" w:rsidRPr="004C54EE" w:rsidRDefault="00172C1C" w:rsidP="00A0461D">
            <w:pPr>
              <w:pStyle w:val="In-tableHeading"/>
              <w:rPr>
                <w:lang w:val="en-AU"/>
              </w:rPr>
            </w:pPr>
            <w:r w:rsidRPr="004C54EE">
              <w:rPr>
                <w:lang w:val="en-AU"/>
              </w:rPr>
              <w:t>Description</w:t>
            </w:r>
          </w:p>
        </w:tc>
      </w:tr>
      <w:tr w:rsidR="00172C1C" w:rsidRPr="004C54EE" w14:paraId="11BD7A02" w14:textId="77777777" w:rsidTr="00A07366">
        <w:tc>
          <w:tcPr>
            <w:tcW w:w="911" w:type="pct"/>
            <w:vAlign w:val="center"/>
          </w:tcPr>
          <w:p w14:paraId="1F52E2C1" w14:textId="77777777" w:rsidR="00172C1C" w:rsidRPr="004C54EE" w:rsidRDefault="00172C1C" w:rsidP="00A0461D">
            <w:pPr>
              <w:pStyle w:val="TableText0"/>
            </w:pPr>
            <w:r w:rsidRPr="004C54EE">
              <w:t>Population</w:t>
            </w:r>
          </w:p>
        </w:tc>
        <w:tc>
          <w:tcPr>
            <w:tcW w:w="4089" w:type="pct"/>
            <w:tcBorders>
              <w:bottom w:val="single" w:sz="4" w:space="0" w:color="auto"/>
            </w:tcBorders>
            <w:vAlign w:val="center"/>
          </w:tcPr>
          <w:p w14:paraId="49D1D3F7" w14:textId="1A6249C1" w:rsidR="00172C1C" w:rsidRPr="004C54EE" w:rsidRDefault="00172C1C" w:rsidP="00A0461D">
            <w:pPr>
              <w:pStyle w:val="TableText0"/>
            </w:pPr>
            <w:r w:rsidRPr="004C54EE">
              <w:t xml:space="preserve">Patients with </w:t>
            </w:r>
            <w:r>
              <w:t xml:space="preserve">stage II or III </w:t>
            </w:r>
            <w:r w:rsidRPr="004C54EE">
              <w:t xml:space="preserve">oesophageal </w:t>
            </w:r>
            <w:r>
              <w:t xml:space="preserve">carcinoma (OC) </w:t>
            </w:r>
            <w:r w:rsidRPr="004C54EE">
              <w:t xml:space="preserve">or gastro-oesophageal junction carcinoma </w:t>
            </w:r>
            <w:r>
              <w:t xml:space="preserve">(GOJC) </w:t>
            </w:r>
            <w:r w:rsidRPr="004C54EE">
              <w:t>who have received chemoradiotherapy (CRT) prior to surgery</w:t>
            </w:r>
            <w:r>
              <w:t xml:space="preserve"> who then subsequently have complete surgical resection </w:t>
            </w:r>
            <w:r w:rsidR="008D0D5F">
              <w:t xml:space="preserve">and </w:t>
            </w:r>
            <w:r>
              <w:t>have residual disease of either ypT1 or greater or ypN1 or greater in the resected specimen</w:t>
            </w:r>
            <w:r w:rsidR="008F177B">
              <w:t>.</w:t>
            </w:r>
          </w:p>
        </w:tc>
      </w:tr>
      <w:tr w:rsidR="00172C1C" w:rsidRPr="004C54EE" w14:paraId="09C0B5DE" w14:textId="77777777" w:rsidTr="00A07366">
        <w:tc>
          <w:tcPr>
            <w:tcW w:w="911" w:type="pct"/>
            <w:vAlign w:val="center"/>
          </w:tcPr>
          <w:p w14:paraId="2CFE58F3" w14:textId="77777777" w:rsidR="00172C1C" w:rsidRPr="004C54EE" w:rsidRDefault="00172C1C" w:rsidP="00A0461D">
            <w:pPr>
              <w:pStyle w:val="TableText0"/>
            </w:pPr>
            <w:r w:rsidRPr="004C54EE">
              <w:t>Intervention</w:t>
            </w:r>
          </w:p>
        </w:tc>
        <w:tc>
          <w:tcPr>
            <w:tcW w:w="4089" w:type="pct"/>
            <w:tcBorders>
              <w:bottom w:val="single" w:sz="4" w:space="0" w:color="auto"/>
            </w:tcBorders>
            <w:vAlign w:val="center"/>
          </w:tcPr>
          <w:p w14:paraId="34A71AED" w14:textId="1C217ADE" w:rsidR="00172C1C" w:rsidRPr="004C54EE" w:rsidRDefault="00172C1C" w:rsidP="00A0461D">
            <w:pPr>
              <w:pStyle w:val="TableText0"/>
            </w:pPr>
            <w:r w:rsidRPr="004C54EE">
              <w:t>Nivolumab 240 mg every 2 weeks or 480 mg every 4 weeks for the first 16 weeks, followed by nivolumab 480 mg administered every 4 weeks. Treatment is to be continued until disease progression or unacceptable toxicity, to a maximum 1-year duration of treatment</w:t>
            </w:r>
            <w:r w:rsidR="008F177B">
              <w:t>.</w:t>
            </w:r>
          </w:p>
        </w:tc>
      </w:tr>
      <w:tr w:rsidR="00172C1C" w:rsidRPr="004C54EE" w14:paraId="5077C4B9" w14:textId="77777777" w:rsidTr="00A07366">
        <w:tc>
          <w:tcPr>
            <w:tcW w:w="911" w:type="pct"/>
            <w:vAlign w:val="center"/>
          </w:tcPr>
          <w:p w14:paraId="410DA8DD" w14:textId="77777777" w:rsidR="00172C1C" w:rsidRPr="004C54EE" w:rsidRDefault="00172C1C" w:rsidP="00A0461D">
            <w:pPr>
              <w:pStyle w:val="TableText0"/>
            </w:pPr>
            <w:r w:rsidRPr="004C54EE">
              <w:t>Comparator</w:t>
            </w:r>
          </w:p>
        </w:tc>
        <w:tc>
          <w:tcPr>
            <w:tcW w:w="4089" w:type="pct"/>
            <w:tcBorders>
              <w:top w:val="single" w:sz="4" w:space="0" w:color="auto"/>
            </w:tcBorders>
            <w:vAlign w:val="center"/>
          </w:tcPr>
          <w:p w14:paraId="44140E5C" w14:textId="25170F73" w:rsidR="00172C1C" w:rsidRPr="004C54EE" w:rsidRDefault="00172C1C" w:rsidP="00A0461D">
            <w:pPr>
              <w:pStyle w:val="TableText0"/>
            </w:pPr>
            <w:r w:rsidRPr="004C54EE">
              <w:t>Standard of care</w:t>
            </w:r>
            <w:r>
              <w:t xml:space="preserve"> (SOC)</w:t>
            </w:r>
            <w:r w:rsidRPr="004C54EE">
              <w:t xml:space="preserve"> - watch and wait surveillance</w:t>
            </w:r>
            <w:r w:rsidR="008F177B">
              <w:t>.</w:t>
            </w:r>
          </w:p>
        </w:tc>
      </w:tr>
      <w:tr w:rsidR="00172C1C" w:rsidRPr="004C54EE" w14:paraId="401520EF" w14:textId="77777777" w:rsidTr="00A07366">
        <w:tc>
          <w:tcPr>
            <w:tcW w:w="911" w:type="pct"/>
            <w:vAlign w:val="center"/>
          </w:tcPr>
          <w:p w14:paraId="1DC2DD3A" w14:textId="77777777" w:rsidR="00172C1C" w:rsidRPr="004C54EE" w:rsidRDefault="00172C1C" w:rsidP="00A0461D">
            <w:pPr>
              <w:pStyle w:val="TableText0"/>
            </w:pPr>
            <w:r w:rsidRPr="004C54EE">
              <w:t>Outcomes</w:t>
            </w:r>
          </w:p>
        </w:tc>
        <w:tc>
          <w:tcPr>
            <w:tcW w:w="4089" w:type="pct"/>
            <w:vAlign w:val="center"/>
          </w:tcPr>
          <w:p w14:paraId="57ADC2C0" w14:textId="6964930E" w:rsidR="00172C1C" w:rsidRPr="004C54EE" w:rsidRDefault="00172C1C" w:rsidP="00A0461D">
            <w:pPr>
              <w:pStyle w:val="TableText0"/>
            </w:pPr>
            <w:r w:rsidRPr="004C54EE">
              <w:t xml:space="preserve">Disease-free survival, overall survival, quality of life during treatment, safety (based on frequency of deaths, AEs, </w:t>
            </w:r>
            <w:proofErr w:type="gramStart"/>
            <w:r w:rsidRPr="004C54EE">
              <w:t>SAEs</w:t>
            </w:r>
            <w:proofErr w:type="gramEnd"/>
            <w:r w:rsidRPr="004C54EE">
              <w:t xml:space="preserve"> and AEs leading to discontinuation)</w:t>
            </w:r>
            <w:r w:rsidR="008F177B">
              <w:t>.</w:t>
            </w:r>
          </w:p>
        </w:tc>
      </w:tr>
      <w:tr w:rsidR="00172C1C" w:rsidRPr="004C54EE" w14:paraId="0140676D" w14:textId="77777777" w:rsidTr="00A07366">
        <w:tc>
          <w:tcPr>
            <w:tcW w:w="911" w:type="pct"/>
            <w:vAlign w:val="center"/>
          </w:tcPr>
          <w:p w14:paraId="059D3ADB" w14:textId="77777777" w:rsidR="00172C1C" w:rsidRPr="004C54EE" w:rsidRDefault="00172C1C" w:rsidP="00A0461D">
            <w:pPr>
              <w:pStyle w:val="TableText0"/>
            </w:pPr>
            <w:r w:rsidRPr="004C54EE">
              <w:t>Clinical claim</w:t>
            </w:r>
          </w:p>
        </w:tc>
        <w:tc>
          <w:tcPr>
            <w:tcW w:w="4089" w:type="pct"/>
            <w:vAlign w:val="center"/>
          </w:tcPr>
          <w:p w14:paraId="7BE7A8B7" w14:textId="526A62EA" w:rsidR="00172C1C" w:rsidRPr="004C54EE" w:rsidRDefault="00172C1C" w:rsidP="00A0461D">
            <w:pPr>
              <w:pStyle w:val="TableText0"/>
            </w:pPr>
            <w:r w:rsidRPr="004C54EE">
              <w:t>Nivolumab is superior in terms of efficacy and has an inferior safety profile compared with SOC for the treatment of patients with OC or GOJC who have received CRT prior to surgery</w:t>
            </w:r>
            <w:r w:rsidR="00DD265A">
              <w:t>.</w:t>
            </w:r>
          </w:p>
        </w:tc>
      </w:tr>
    </w:tbl>
    <w:p w14:paraId="477DAC9E" w14:textId="77777777" w:rsidR="008F177B" w:rsidRDefault="00172C1C" w:rsidP="00172C1C">
      <w:pPr>
        <w:pStyle w:val="TableFigureFooter"/>
      </w:pPr>
      <w:r w:rsidRPr="004C54EE">
        <w:t xml:space="preserve">Source: Table 1, p13 of the submission. </w:t>
      </w:r>
    </w:p>
    <w:p w14:paraId="1ECC664A" w14:textId="03ED73BC" w:rsidR="00172C1C" w:rsidRPr="004C54EE" w:rsidRDefault="00172C1C" w:rsidP="00172C1C">
      <w:pPr>
        <w:pStyle w:val="TableFigureFooter"/>
      </w:pPr>
      <w:r w:rsidRPr="004C54EE">
        <w:t>AE = adverse event; SAE = serious adverse events</w:t>
      </w:r>
    </w:p>
    <w:p w14:paraId="227CE660" w14:textId="77777777" w:rsidR="00172C1C" w:rsidRPr="00407F2D" w:rsidRDefault="00172C1C" w:rsidP="009F65BF">
      <w:pPr>
        <w:pStyle w:val="2-SectionHeading"/>
      </w:pPr>
      <w:bookmarkStart w:id="4" w:name="_Toc103767682"/>
      <w:r w:rsidRPr="00407F2D">
        <w:t>Background</w:t>
      </w:r>
      <w:bookmarkEnd w:id="4"/>
    </w:p>
    <w:p w14:paraId="2C9EA66A" w14:textId="77777777" w:rsidR="00172C1C" w:rsidRPr="004151CF" w:rsidRDefault="00172C1C" w:rsidP="00172C1C">
      <w:pPr>
        <w:pStyle w:val="4-SubsectionHeading"/>
      </w:pPr>
      <w:bookmarkStart w:id="5" w:name="_Toc22897638"/>
      <w:bookmarkStart w:id="6" w:name="_Toc103767683"/>
      <w:r w:rsidRPr="004151CF">
        <w:t>Registration status</w:t>
      </w:r>
      <w:bookmarkEnd w:id="5"/>
      <w:bookmarkEnd w:id="6"/>
    </w:p>
    <w:p w14:paraId="5D62EECF" w14:textId="56619B40" w:rsidR="00172C1C" w:rsidRDefault="00172C1C" w:rsidP="00172C1C">
      <w:pPr>
        <w:pStyle w:val="3-BodyText"/>
      </w:pPr>
      <w:r w:rsidRPr="004C54EE">
        <w:t xml:space="preserve">Nivolumab was approved by the TGA on 29 November 2021 for the following indication: </w:t>
      </w:r>
    </w:p>
    <w:p w14:paraId="37706988" w14:textId="77777777" w:rsidR="00172C1C" w:rsidRPr="002C21D8" w:rsidRDefault="00172C1C" w:rsidP="00E27AA1">
      <w:pPr>
        <w:pStyle w:val="3-BodyText"/>
        <w:numPr>
          <w:ilvl w:val="0"/>
          <w:numId w:val="8"/>
        </w:numPr>
        <w:ind w:left="1134" w:hanging="425"/>
      </w:pPr>
      <w:r w:rsidRPr="00A66690">
        <w:lastRenderedPageBreak/>
        <w:t>as monotherapy, for the adjuvant treatment of resected oesophageal or gastro-oesophageal junction cancer in patients who have received neoadjuvant chemoradiotherapy</w:t>
      </w:r>
    </w:p>
    <w:p w14:paraId="06F02ACD" w14:textId="7148690A" w:rsidR="003D1614" w:rsidRPr="003D1614" w:rsidRDefault="00E20117" w:rsidP="003D1614">
      <w:pPr>
        <w:pStyle w:val="3-BodyText"/>
      </w:pPr>
      <w:r>
        <w:t xml:space="preserve">Nivolumab was evaluated by the TGA via the Project Orbis pathway. </w:t>
      </w:r>
      <w:r w:rsidR="00172C1C" w:rsidRPr="002C21D8">
        <w:t>The TGA Delegate’s Overview was</w:t>
      </w:r>
      <w:r>
        <w:t xml:space="preserve"> provided with the submission. </w:t>
      </w:r>
      <w:r w:rsidR="00172C1C" w:rsidRPr="002C21D8">
        <w:t xml:space="preserve"> </w:t>
      </w:r>
      <w:bookmarkStart w:id="7" w:name="_Ref101951386"/>
    </w:p>
    <w:p w14:paraId="6F738358" w14:textId="01F2A032" w:rsidR="003D1614" w:rsidRDefault="002C21D8" w:rsidP="003D1614">
      <w:pPr>
        <w:pStyle w:val="3-BodyText"/>
      </w:pPr>
      <w:r w:rsidRPr="003D1614">
        <w:t>Nivolumab is currently TGA-approved as a treatment for several other types of cancer</w:t>
      </w:r>
      <w:r w:rsidR="005C6ADC" w:rsidRPr="003D1614">
        <w:t>, including for the first line treatment of patients with HER2 negative advanced or metastatic gastric</w:t>
      </w:r>
      <w:r w:rsidR="005C6ADC">
        <w:t xml:space="preserve"> </w:t>
      </w:r>
      <w:r w:rsidR="005C6ADC" w:rsidRPr="003D1614">
        <w:t xml:space="preserve">or gastro-oesophageal junction or oesophageal adenocarcinoma and for the second line treatment of patients with unresectable, advanced, </w:t>
      </w:r>
      <w:proofErr w:type="gramStart"/>
      <w:r w:rsidR="005C6ADC" w:rsidRPr="003D1614">
        <w:t>recurrent</w:t>
      </w:r>
      <w:proofErr w:type="gramEnd"/>
      <w:r w:rsidR="005C6ADC" w:rsidRPr="003D1614">
        <w:t xml:space="preserve"> or metastatic oesophageal squamous cell carcinoma.</w:t>
      </w:r>
      <w:r w:rsidR="005C6ADC" w:rsidRPr="00CF1B63">
        <w:t xml:space="preserve"> </w:t>
      </w:r>
    </w:p>
    <w:p w14:paraId="408144C2" w14:textId="30F7A039" w:rsidR="00172C1C" w:rsidRDefault="00172C1C" w:rsidP="003D1614">
      <w:pPr>
        <w:pStyle w:val="2-SectionHeading"/>
      </w:pPr>
      <w:bookmarkStart w:id="8" w:name="_Toc103767684"/>
      <w:bookmarkEnd w:id="7"/>
      <w:r w:rsidRPr="00407F2D">
        <w:t>Requested listing</w:t>
      </w:r>
      <w:bookmarkEnd w:id="8"/>
    </w:p>
    <w:p w14:paraId="21C1C11D" w14:textId="51EEBB58" w:rsidR="008F0D46" w:rsidRDefault="00DE7BDC" w:rsidP="008F0D46">
      <w:pPr>
        <w:pStyle w:val="4Bodytextnumbered"/>
        <w:numPr>
          <w:ilvl w:val="1"/>
          <w:numId w:val="1"/>
        </w:numPr>
      </w:pPr>
      <w:r w:rsidRPr="008F0D46">
        <w:t>Suggestions and additions proposed by the Secretariat are added in italics and suggested deletions are crossed out with strikethrough</w:t>
      </w:r>
      <w: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48"/>
        <w:gridCol w:w="2363"/>
        <w:gridCol w:w="1019"/>
        <w:gridCol w:w="2533"/>
        <w:gridCol w:w="1264"/>
      </w:tblGrid>
      <w:tr w:rsidR="00441732" w:rsidRPr="004C54EE" w14:paraId="5CA4A665" w14:textId="77777777" w:rsidTr="00654FE5">
        <w:tc>
          <w:tcPr>
            <w:tcW w:w="1024" w:type="pct"/>
          </w:tcPr>
          <w:p w14:paraId="03527D4C" w14:textId="77777777" w:rsidR="00441732" w:rsidRPr="004C54EE" w:rsidRDefault="00441732" w:rsidP="00654FE5">
            <w:pPr>
              <w:jc w:val="left"/>
              <w:rPr>
                <w:rFonts w:ascii="Arial Narrow" w:hAnsi="Arial Narrow"/>
                <w:b/>
                <w:sz w:val="20"/>
                <w:szCs w:val="20"/>
              </w:rPr>
            </w:pPr>
            <w:r w:rsidRPr="004C54EE">
              <w:rPr>
                <w:rFonts w:ascii="Arial Narrow" w:hAnsi="Arial Narrow"/>
                <w:b/>
                <w:sz w:val="20"/>
                <w:szCs w:val="20"/>
              </w:rPr>
              <w:t>Name, restriction, manner of administration, form</w:t>
            </w:r>
          </w:p>
        </w:tc>
        <w:tc>
          <w:tcPr>
            <w:tcW w:w="1309" w:type="pct"/>
          </w:tcPr>
          <w:p w14:paraId="0E9D779F" w14:textId="77777777" w:rsidR="00441732" w:rsidRPr="004C54EE" w:rsidRDefault="00441732" w:rsidP="00654FE5">
            <w:pPr>
              <w:jc w:val="center"/>
              <w:rPr>
                <w:rFonts w:ascii="Arial Narrow" w:hAnsi="Arial Narrow"/>
                <w:b/>
                <w:sz w:val="20"/>
                <w:szCs w:val="20"/>
              </w:rPr>
            </w:pPr>
            <w:r w:rsidRPr="004C54EE">
              <w:rPr>
                <w:rFonts w:ascii="Arial Narrow" w:hAnsi="Arial Narrow"/>
                <w:b/>
                <w:sz w:val="20"/>
                <w:szCs w:val="20"/>
              </w:rPr>
              <w:t>Maximum amount (units)</w:t>
            </w:r>
          </w:p>
        </w:tc>
        <w:tc>
          <w:tcPr>
            <w:tcW w:w="564" w:type="pct"/>
          </w:tcPr>
          <w:p w14:paraId="4A02CC48" w14:textId="77777777" w:rsidR="00441732" w:rsidRPr="004C54EE" w:rsidRDefault="00441732" w:rsidP="00654FE5">
            <w:pPr>
              <w:jc w:val="center"/>
              <w:rPr>
                <w:rFonts w:ascii="Arial Narrow" w:hAnsi="Arial Narrow"/>
                <w:b/>
                <w:sz w:val="20"/>
                <w:szCs w:val="20"/>
              </w:rPr>
            </w:pPr>
            <w:r w:rsidRPr="004C54EE">
              <w:rPr>
                <w:rFonts w:ascii="Arial Narrow" w:hAnsi="Arial Narrow"/>
                <w:b/>
                <w:sz w:val="20"/>
                <w:szCs w:val="20"/>
              </w:rPr>
              <w:t>No. of repeats</w:t>
            </w:r>
          </w:p>
        </w:tc>
        <w:tc>
          <w:tcPr>
            <w:tcW w:w="1403" w:type="pct"/>
          </w:tcPr>
          <w:p w14:paraId="6863B581" w14:textId="77777777" w:rsidR="00441732" w:rsidRPr="004C54EE" w:rsidRDefault="00441732" w:rsidP="00654FE5">
            <w:pPr>
              <w:jc w:val="left"/>
              <w:rPr>
                <w:rFonts w:ascii="Arial Narrow" w:hAnsi="Arial Narrow"/>
                <w:b/>
                <w:sz w:val="20"/>
                <w:szCs w:val="20"/>
              </w:rPr>
            </w:pPr>
            <w:r w:rsidRPr="004C54EE">
              <w:rPr>
                <w:rFonts w:ascii="Arial Narrow" w:hAnsi="Arial Narrow"/>
                <w:b/>
                <w:sz w:val="20"/>
                <w:szCs w:val="20"/>
              </w:rPr>
              <w:t>Dispensed price for maximum amount</w:t>
            </w:r>
          </w:p>
        </w:tc>
        <w:tc>
          <w:tcPr>
            <w:tcW w:w="700" w:type="pct"/>
          </w:tcPr>
          <w:p w14:paraId="5436FD6A" w14:textId="77777777" w:rsidR="00441732" w:rsidRPr="004C54EE" w:rsidRDefault="00441732" w:rsidP="00654FE5">
            <w:pPr>
              <w:rPr>
                <w:rFonts w:ascii="Arial Narrow" w:hAnsi="Arial Narrow"/>
                <w:b/>
                <w:sz w:val="20"/>
                <w:szCs w:val="20"/>
              </w:rPr>
            </w:pPr>
            <w:r w:rsidRPr="004C54EE">
              <w:rPr>
                <w:rFonts w:ascii="Arial Narrow" w:hAnsi="Arial Narrow"/>
                <w:b/>
                <w:sz w:val="20"/>
                <w:szCs w:val="20"/>
              </w:rPr>
              <w:t>Proprietary name and manufacturer</w:t>
            </w:r>
          </w:p>
        </w:tc>
      </w:tr>
      <w:tr w:rsidR="00441732" w:rsidRPr="004C54EE" w14:paraId="1864B083" w14:textId="77777777" w:rsidTr="00654FE5">
        <w:tc>
          <w:tcPr>
            <w:tcW w:w="1024" w:type="pct"/>
            <w:vAlign w:val="center"/>
          </w:tcPr>
          <w:p w14:paraId="33905732" w14:textId="77777777" w:rsidR="00441732" w:rsidRPr="004C54EE" w:rsidRDefault="00441732" w:rsidP="00654FE5">
            <w:pPr>
              <w:pStyle w:val="Tabletext"/>
            </w:pPr>
            <w:r w:rsidRPr="004C54EE">
              <w:t>NIVOLUAB</w:t>
            </w:r>
          </w:p>
          <w:p w14:paraId="436DDF39" w14:textId="77777777" w:rsidR="00441732" w:rsidRPr="004C54EE" w:rsidRDefault="00441732" w:rsidP="00654FE5">
            <w:pPr>
              <w:pStyle w:val="Tabletext"/>
            </w:pPr>
            <w:r w:rsidRPr="004C54EE">
              <w:t>Injection</w:t>
            </w:r>
          </w:p>
          <w:p w14:paraId="6919612D" w14:textId="77777777" w:rsidR="00441732" w:rsidRPr="004C54EE" w:rsidRDefault="00441732" w:rsidP="00654FE5">
            <w:pPr>
              <w:pStyle w:val="Tabletext"/>
            </w:pPr>
            <w:r w:rsidRPr="004C54EE">
              <w:t>100 mg in 10 mL (vial)</w:t>
            </w:r>
          </w:p>
          <w:p w14:paraId="0DB1E287" w14:textId="77777777" w:rsidR="00441732" w:rsidRPr="004C54EE" w:rsidRDefault="00441732" w:rsidP="00654FE5">
            <w:pPr>
              <w:pStyle w:val="Tabletext"/>
            </w:pPr>
          </w:p>
          <w:p w14:paraId="7C4C0D16" w14:textId="77777777" w:rsidR="00441732" w:rsidRPr="004C54EE" w:rsidRDefault="00441732" w:rsidP="00654FE5">
            <w:pPr>
              <w:pStyle w:val="Tabletext"/>
            </w:pPr>
            <w:r w:rsidRPr="004C54EE">
              <w:t>NIVOLUMAB</w:t>
            </w:r>
          </w:p>
          <w:p w14:paraId="0C9F001A" w14:textId="77777777" w:rsidR="00441732" w:rsidRPr="004C54EE" w:rsidRDefault="00441732" w:rsidP="00654FE5">
            <w:pPr>
              <w:pStyle w:val="Tabletext"/>
            </w:pPr>
            <w:r w:rsidRPr="004C54EE">
              <w:t>Injection</w:t>
            </w:r>
          </w:p>
          <w:p w14:paraId="4AD3A9B4" w14:textId="77777777" w:rsidR="00441732" w:rsidRPr="004C54EE" w:rsidRDefault="00441732" w:rsidP="00654FE5">
            <w:pPr>
              <w:pStyle w:val="Tabletext"/>
            </w:pPr>
            <w:r w:rsidRPr="004C54EE">
              <w:t>40 mg in 4 mL (vial)</w:t>
            </w:r>
          </w:p>
        </w:tc>
        <w:tc>
          <w:tcPr>
            <w:tcW w:w="1309" w:type="pct"/>
            <w:vAlign w:val="center"/>
          </w:tcPr>
          <w:p w14:paraId="35224A70" w14:textId="77777777" w:rsidR="00441732" w:rsidRPr="004C54EE" w:rsidRDefault="00441732" w:rsidP="00654FE5">
            <w:pPr>
              <w:pStyle w:val="Tabletext"/>
              <w:jc w:val="center"/>
            </w:pPr>
            <w:r w:rsidRPr="004C54EE">
              <w:t>480mg</w:t>
            </w:r>
          </w:p>
        </w:tc>
        <w:tc>
          <w:tcPr>
            <w:tcW w:w="564" w:type="pct"/>
            <w:vAlign w:val="center"/>
          </w:tcPr>
          <w:p w14:paraId="7F8E81AD" w14:textId="77777777" w:rsidR="00441732" w:rsidRPr="004C54EE" w:rsidRDefault="00441732" w:rsidP="00654FE5">
            <w:pPr>
              <w:pStyle w:val="Tabletext"/>
              <w:jc w:val="center"/>
            </w:pPr>
            <w:r w:rsidRPr="004C54EE">
              <w:rPr>
                <w:rFonts w:cs="Arial"/>
                <w:color w:val="000000" w:themeColor="text1"/>
                <w:szCs w:val="20"/>
              </w:rPr>
              <w:t>3 (initial treatment) 8 (continuing treatment</w:t>
            </w:r>
            <w:r w:rsidRPr="004C54EE">
              <w:rPr>
                <w:rFonts w:cs="Arial"/>
                <w:color w:val="000000" w:themeColor="text1"/>
                <w:sz w:val="18"/>
                <w:szCs w:val="18"/>
              </w:rPr>
              <w:t>)</w:t>
            </w:r>
          </w:p>
        </w:tc>
        <w:tc>
          <w:tcPr>
            <w:tcW w:w="1403" w:type="pct"/>
            <w:vAlign w:val="center"/>
          </w:tcPr>
          <w:p w14:paraId="1911C5A2" w14:textId="30EEF993" w:rsidR="00441732" w:rsidRPr="004C54EE" w:rsidRDefault="00441732" w:rsidP="00654FE5">
            <w:pPr>
              <w:pStyle w:val="Tabletext"/>
              <w:jc w:val="center"/>
            </w:pPr>
            <w:r w:rsidRPr="004C54EE">
              <w:t>$</w:t>
            </w:r>
            <w:r w:rsidR="000A25B4" w:rsidRPr="000A25B4">
              <w:rPr>
                <w:color w:val="000000"/>
                <w:shd w:val="solid" w:color="000000" w:fill="000000"/>
                <w14:textFill>
                  <w14:solidFill>
                    <w14:srgbClr w14:val="000000">
                      <w14:alpha w14:val="100000"/>
                    </w14:srgbClr>
                  </w14:solidFill>
                </w14:textFill>
              </w:rPr>
              <w:t>|</w:t>
            </w:r>
          </w:p>
          <w:p w14:paraId="59D78E06" w14:textId="77777777" w:rsidR="00441732" w:rsidRPr="004C54EE" w:rsidRDefault="00441732" w:rsidP="00654FE5">
            <w:pPr>
              <w:pStyle w:val="Tabletext"/>
              <w:jc w:val="center"/>
            </w:pPr>
            <w:r w:rsidRPr="004C54EE">
              <w:t>[Published, Private Hospital]</w:t>
            </w:r>
          </w:p>
          <w:p w14:paraId="3D706288" w14:textId="74FC57C9" w:rsidR="00441732" w:rsidRPr="004C54EE" w:rsidRDefault="00441732" w:rsidP="00654FE5">
            <w:pPr>
              <w:pStyle w:val="Tabletext"/>
              <w:jc w:val="center"/>
            </w:pPr>
            <w:r w:rsidRPr="004C54EE">
              <w:t>$</w:t>
            </w:r>
            <w:r w:rsidR="000A25B4" w:rsidRPr="000A25B4">
              <w:rPr>
                <w:color w:val="000000"/>
                <w:shd w:val="solid" w:color="000000" w:fill="000000"/>
                <w14:textFill>
                  <w14:solidFill>
                    <w14:srgbClr w14:val="000000">
                      <w14:alpha w14:val="100000"/>
                    </w14:srgbClr>
                  </w14:solidFill>
                </w14:textFill>
              </w:rPr>
              <w:t>|</w:t>
            </w:r>
          </w:p>
          <w:p w14:paraId="1B80D9E5" w14:textId="77777777" w:rsidR="00441732" w:rsidRPr="004C54EE" w:rsidRDefault="00441732" w:rsidP="00654FE5">
            <w:pPr>
              <w:pStyle w:val="Tabletext"/>
              <w:jc w:val="center"/>
            </w:pPr>
            <w:r w:rsidRPr="004C54EE">
              <w:t>[Published, Public Hospital]</w:t>
            </w:r>
          </w:p>
          <w:p w14:paraId="3933DB8B" w14:textId="77777777" w:rsidR="00441732" w:rsidRPr="004C54EE" w:rsidRDefault="00441732" w:rsidP="00654FE5">
            <w:pPr>
              <w:pStyle w:val="Tabletext"/>
              <w:jc w:val="center"/>
            </w:pPr>
          </w:p>
          <w:p w14:paraId="157A2390" w14:textId="715519B0" w:rsidR="00441732" w:rsidRPr="004C54EE" w:rsidRDefault="00441732" w:rsidP="00654FE5">
            <w:pPr>
              <w:pStyle w:val="Tabletext"/>
              <w:jc w:val="center"/>
            </w:pPr>
            <w:r w:rsidRPr="004C54EE">
              <w:t>$</w:t>
            </w:r>
            <w:r w:rsidR="000A25B4" w:rsidRPr="000A25B4">
              <w:rPr>
                <w:color w:val="000000"/>
                <w:shd w:val="solid" w:color="000000" w:fill="000000"/>
                <w14:textFill>
                  <w14:solidFill>
                    <w14:srgbClr w14:val="000000">
                      <w14:alpha w14:val="100000"/>
                    </w14:srgbClr>
                  </w14:solidFill>
                </w14:textFill>
              </w:rPr>
              <w:t>|</w:t>
            </w:r>
          </w:p>
          <w:p w14:paraId="09B30A68" w14:textId="77777777" w:rsidR="00441732" w:rsidRPr="004C54EE" w:rsidRDefault="00441732" w:rsidP="00654FE5">
            <w:pPr>
              <w:pStyle w:val="Tabletext"/>
              <w:jc w:val="center"/>
            </w:pPr>
            <w:r w:rsidRPr="004C54EE">
              <w:t>[Effective, Private Hospital]</w:t>
            </w:r>
          </w:p>
          <w:p w14:paraId="34A2E903" w14:textId="7F7E899D" w:rsidR="00441732" w:rsidRPr="004C54EE" w:rsidRDefault="00441732" w:rsidP="00654FE5">
            <w:pPr>
              <w:pStyle w:val="Tabletext"/>
              <w:jc w:val="center"/>
            </w:pPr>
            <w:r w:rsidRPr="004C54EE">
              <w:t>$</w:t>
            </w:r>
            <w:r w:rsidR="000A25B4" w:rsidRPr="000A25B4">
              <w:rPr>
                <w:color w:val="000000"/>
                <w:shd w:val="solid" w:color="000000" w:fill="000000"/>
                <w14:textFill>
                  <w14:solidFill>
                    <w14:srgbClr w14:val="000000">
                      <w14:alpha w14:val="100000"/>
                    </w14:srgbClr>
                  </w14:solidFill>
                </w14:textFill>
              </w:rPr>
              <w:t>|</w:t>
            </w:r>
          </w:p>
          <w:p w14:paraId="68D1D887" w14:textId="77777777" w:rsidR="00441732" w:rsidRPr="004C54EE" w:rsidRDefault="00441732" w:rsidP="00654FE5">
            <w:pPr>
              <w:pStyle w:val="Tabletext"/>
              <w:jc w:val="center"/>
            </w:pPr>
            <w:r w:rsidRPr="004C54EE">
              <w:t>[Effective, Public Hospital]</w:t>
            </w:r>
          </w:p>
        </w:tc>
        <w:tc>
          <w:tcPr>
            <w:tcW w:w="700" w:type="pct"/>
            <w:vAlign w:val="center"/>
          </w:tcPr>
          <w:p w14:paraId="556C94F9" w14:textId="77777777" w:rsidR="00441732" w:rsidRDefault="00441732" w:rsidP="00654FE5">
            <w:pPr>
              <w:pStyle w:val="Tabletext"/>
              <w:jc w:val="center"/>
            </w:pPr>
            <w:proofErr w:type="spellStart"/>
            <w:r w:rsidRPr="00726EA4">
              <w:t>Opdivo</w:t>
            </w:r>
            <w:proofErr w:type="spellEnd"/>
            <w:r w:rsidRPr="00726EA4">
              <w:t>®</w:t>
            </w:r>
          </w:p>
          <w:p w14:paraId="419BFDCE" w14:textId="77777777" w:rsidR="00441732" w:rsidRPr="004C54EE" w:rsidRDefault="00441732" w:rsidP="00654FE5">
            <w:pPr>
              <w:pStyle w:val="Tabletext"/>
              <w:jc w:val="center"/>
            </w:pPr>
            <w:r w:rsidRPr="004C54EE">
              <w:t>Bristol-Myers Squibb Australia Pty Ltd [BQ]</w:t>
            </w:r>
          </w:p>
        </w:tc>
      </w:tr>
    </w:tbl>
    <w:p w14:paraId="4E9602EC" w14:textId="77777777" w:rsidR="00441732" w:rsidRPr="00F120FB" w:rsidRDefault="00441732" w:rsidP="00441732">
      <w:pPr>
        <w:pStyle w:val="4Bodytextnumbered"/>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441732" w:rsidRPr="00F120FB" w14:paraId="288772DA" w14:textId="77777777" w:rsidTr="00441732">
        <w:trPr>
          <w:cantSplit/>
          <w:trHeight w:val="297"/>
        </w:trPr>
        <w:tc>
          <w:tcPr>
            <w:tcW w:w="5000" w:type="pct"/>
          </w:tcPr>
          <w:p w14:paraId="1538364A" w14:textId="77777777" w:rsidR="00441732" w:rsidRPr="006D7DEF" w:rsidRDefault="00441732" w:rsidP="00C45033">
            <w:pPr>
              <w:keepNext/>
              <w:ind w:left="-57"/>
              <w:rPr>
                <w:rFonts w:ascii="Arial Narrow" w:hAnsi="Arial Narrow"/>
                <w:sz w:val="20"/>
                <w:szCs w:val="20"/>
              </w:rPr>
            </w:pPr>
            <w:r w:rsidRPr="006D7DEF">
              <w:rPr>
                <w:rFonts w:ascii="Arial Narrow" w:hAnsi="Arial Narrow"/>
                <w:b/>
                <w:sz w:val="20"/>
                <w:szCs w:val="20"/>
              </w:rPr>
              <w:t xml:space="preserve">Category / Program: </w:t>
            </w:r>
            <w:r w:rsidRPr="006D7DEF">
              <w:rPr>
                <w:rFonts w:ascii="Arial Narrow" w:hAnsi="Arial Narrow"/>
                <w:sz w:val="20"/>
                <w:szCs w:val="20"/>
              </w:rPr>
              <w:t xml:space="preserve">Section 100 – Efficient Funding of Chemotherapy Public/Private hospitals  </w:t>
            </w:r>
          </w:p>
        </w:tc>
      </w:tr>
      <w:tr w:rsidR="00441732" w:rsidRPr="00F120FB" w14:paraId="0BEA01DD" w14:textId="77777777" w:rsidTr="00441732">
        <w:trPr>
          <w:cantSplit/>
          <w:trHeight w:val="20"/>
        </w:trPr>
        <w:tc>
          <w:tcPr>
            <w:tcW w:w="5000" w:type="pct"/>
          </w:tcPr>
          <w:p w14:paraId="175751CE" w14:textId="77777777" w:rsidR="00441732" w:rsidRPr="006D7DEF" w:rsidRDefault="00441732" w:rsidP="00C45033">
            <w:pPr>
              <w:keepNext/>
              <w:ind w:left="-57"/>
              <w:rPr>
                <w:rFonts w:ascii="Arial Narrow" w:hAnsi="Arial Narrow"/>
                <w:b/>
                <w:sz w:val="20"/>
                <w:szCs w:val="20"/>
              </w:rPr>
            </w:pPr>
            <w:r w:rsidRPr="006D7DEF">
              <w:rPr>
                <w:rFonts w:ascii="Arial Narrow" w:hAnsi="Arial Narrow"/>
                <w:b/>
                <w:sz w:val="20"/>
                <w:szCs w:val="20"/>
              </w:rPr>
              <w:t xml:space="preserve">Prescriber type: </w:t>
            </w:r>
            <w:r w:rsidRPr="006D7DEF">
              <w:rPr>
                <w:rFonts w:ascii="Arial Narrow" w:hAnsi="Arial Narrow"/>
                <w:i/>
                <w:iCs/>
                <w:sz w:val="20"/>
                <w:szCs w:val="20"/>
              </w:rPr>
              <w:fldChar w:fldCharType="begin">
                <w:ffData>
                  <w:name w:val=""/>
                  <w:enabled/>
                  <w:calcOnExit w:val="0"/>
                  <w:checkBox>
                    <w:sizeAuto/>
                    <w:default w:val="1"/>
                  </w:checkBox>
                </w:ffData>
              </w:fldChar>
            </w:r>
            <w:r w:rsidRPr="006D7DEF">
              <w:rPr>
                <w:rFonts w:ascii="Arial Narrow" w:hAnsi="Arial Narrow"/>
                <w:i/>
                <w:iCs/>
                <w:sz w:val="20"/>
                <w:szCs w:val="20"/>
              </w:rPr>
              <w:instrText xml:space="preserve"> FORMCHECKBOX </w:instrText>
            </w:r>
            <w:r w:rsidR="00B73889">
              <w:rPr>
                <w:rFonts w:ascii="Arial Narrow" w:hAnsi="Arial Narrow"/>
                <w:i/>
                <w:iCs/>
                <w:sz w:val="20"/>
                <w:szCs w:val="20"/>
              </w:rPr>
            </w:r>
            <w:r w:rsidR="00B73889">
              <w:rPr>
                <w:rFonts w:ascii="Arial Narrow" w:hAnsi="Arial Narrow"/>
                <w:i/>
                <w:iCs/>
                <w:sz w:val="20"/>
                <w:szCs w:val="20"/>
              </w:rPr>
              <w:fldChar w:fldCharType="separate"/>
            </w:r>
            <w:r w:rsidRPr="006D7DEF">
              <w:rPr>
                <w:rFonts w:ascii="Arial Narrow" w:hAnsi="Arial Narrow"/>
                <w:i/>
                <w:iCs/>
                <w:sz w:val="20"/>
                <w:szCs w:val="20"/>
              </w:rPr>
              <w:fldChar w:fldCharType="end"/>
            </w:r>
            <w:r w:rsidRPr="006D7DEF">
              <w:rPr>
                <w:rFonts w:ascii="Arial Narrow" w:hAnsi="Arial Narrow"/>
                <w:sz w:val="20"/>
                <w:szCs w:val="20"/>
              </w:rPr>
              <w:t xml:space="preserve">Medical Practitioners </w:t>
            </w:r>
          </w:p>
        </w:tc>
      </w:tr>
      <w:tr w:rsidR="00441732" w:rsidRPr="00F120FB" w14:paraId="00485F10" w14:textId="77777777" w:rsidTr="00441732">
        <w:trPr>
          <w:cantSplit/>
          <w:trHeight w:val="20"/>
        </w:trPr>
        <w:tc>
          <w:tcPr>
            <w:tcW w:w="5000" w:type="pct"/>
          </w:tcPr>
          <w:p w14:paraId="241622F9" w14:textId="77777777" w:rsidR="00441732" w:rsidRPr="006D7DEF" w:rsidRDefault="00441732" w:rsidP="00C45033">
            <w:pPr>
              <w:ind w:left="-57"/>
              <w:rPr>
                <w:rFonts w:ascii="Arial Narrow" w:eastAsia="Calibri" w:hAnsi="Arial Narrow"/>
                <w:sz w:val="20"/>
                <w:szCs w:val="20"/>
              </w:rPr>
            </w:pPr>
            <w:r w:rsidRPr="006D7DEF">
              <w:rPr>
                <w:rFonts w:ascii="Arial Narrow" w:hAnsi="Arial Narrow"/>
                <w:b/>
                <w:sz w:val="20"/>
                <w:szCs w:val="20"/>
              </w:rPr>
              <w:t xml:space="preserve">Restriction type: </w:t>
            </w:r>
            <w:r w:rsidRPr="006D7DEF">
              <w:rPr>
                <w:rFonts w:ascii="Arial Narrow" w:eastAsia="Calibri" w:hAnsi="Arial Narrow"/>
                <w:sz w:val="20"/>
                <w:szCs w:val="20"/>
              </w:rPr>
              <w:fldChar w:fldCharType="begin">
                <w:ffData>
                  <w:name w:val="Check3"/>
                  <w:enabled/>
                  <w:calcOnExit w:val="0"/>
                  <w:checkBox>
                    <w:sizeAuto/>
                    <w:default w:val="1"/>
                  </w:checkBox>
                </w:ffData>
              </w:fldChar>
            </w:r>
            <w:r w:rsidRPr="006D7DEF">
              <w:rPr>
                <w:rFonts w:ascii="Arial Narrow" w:eastAsia="Calibri" w:hAnsi="Arial Narrow"/>
                <w:sz w:val="20"/>
                <w:szCs w:val="20"/>
              </w:rPr>
              <w:instrText xml:space="preserve"> FORMCHECKBOX </w:instrText>
            </w:r>
            <w:r w:rsidR="00B73889">
              <w:rPr>
                <w:rFonts w:ascii="Arial Narrow" w:eastAsia="Calibri" w:hAnsi="Arial Narrow"/>
                <w:sz w:val="20"/>
                <w:szCs w:val="20"/>
              </w:rPr>
            </w:r>
            <w:r w:rsidR="00B73889">
              <w:rPr>
                <w:rFonts w:ascii="Arial Narrow" w:eastAsia="Calibri" w:hAnsi="Arial Narrow"/>
                <w:sz w:val="20"/>
                <w:szCs w:val="20"/>
              </w:rPr>
              <w:fldChar w:fldCharType="separate"/>
            </w:r>
            <w:r w:rsidRPr="006D7DEF">
              <w:rPr>
                <w:rFonts w:ascii="Arial Narrow" w:eastAsia="Calibri" w:hAnsi="Arial Narrow"/>
                <w:sz w:val="20"/>
                <w:szCs w:val="20"/>
              </w:rPr>
              <w:fldChar w:fldCharType="end"/>
            </w:r>
            <w:r w:rsidRPr="006D7DEF">
              <w:rPr>
                <w:rFonts w:ascii="Arial Narrow" w:eastAsia="Calibri" w:hAnsi="Arial Narrow"/>
                <w:sz w:val="20"/>
                <w:szCs w:val="20"/>
              </w:rPr>
              <w:t xml:space="preserve">Authority Required (telephone/online PBS Authorities system) </w:t>
            </w:r>
          </w:p>
        </w:tc>
      </w:tr>
      <w:tr w:rsidR="00441732" w:rsidRPr="00F120FB" w14:paraId="326F8AB2" w14:textId="77777777" w:rsidTr="00441732">
        <w:trPr>
          <w:cantSplit/>
          <w:trHeight w:val="20"/>
        </w:trPr>
        <w:tc>
          <w:tcPr>
            <w:tcW w:w="5000" w:type="pct"/>
          </w:tcPr>
          <w:p w14:paraId="3270F4E4" w14:textId="77777777" w:rsidR="00441732" w:rsidRPr="006D7DEF" w:rsidRDefault="00441732" w:rsidP="00C45033">
            <w:pPr>
              <w:ind w:left="-57"/>
              <w:rPr>
                <w:rFonts w:ascii="Arial Narrow" w:hAnsi="Arial Narrow"/>
                <w:b/>
                <w:sz w:val="20"/>
                <w:szCs w:val="20"/>
              </w:rPr>
            </w:pPr>
          </w:p>
        </w:tc>
      </w:tr>
      <w:tr w:rsidR="00441732" w:rsidRPr="00F120FB" w14:paraId="697C835D" w14:textId="77777777" w:rsidTr="00441732">
        <w:tblPrEx>
          <w:tblLook w:val="0000" w:firstRow="0" w:lastRow="0" w:firstColumn="0" w:lastColumn="0" w:noHBand="0" w:noVBand="0"/>
        </w:tblPrEx>
        <w:trPr>
          <w:trHeight w:val="96"/>
        </w:trPr>
        <w:tc>
          <w:tcPr>
            <w:tcW w:w="5000" w:type="pct"/>
            <w:tcBorders>
              <w:top w:val="single" w:sz="4" w:space="0" w:color="auto"/>
              <w:left w:val="single" w:sz="4" w:space="0" w:color="auto"/>
              <w:bottom w:val="single" w:sz="4" w:space="0" w:color="auto"/>
              <w:right w:val="single" w:sz="4" w:space="0" w:color="auto"/>
            </w:tcBorders>
          </w:tcPr>
          <w:p w14:paraId="51EC2B93" w14:textId="77777777" w:rsidR="00441732" w:rsidRPr="006D7DEF" w:rsidRDefault="00441732" w:rsidP="00C45033">
            <w:pPr>
              <w:ind w:left="-57"/>
              <w:rPr>
                <w:rFonts w:ascii="Arial Narrow" w:hAnsi="Arial Narrow"/>
                <w:b/>
                <w:bCs/>
                <w:i/>
                <w:iCs/>
                <w:color w:val="333333"/>
                <w:sz w:val="20"/>
                <w:szCs w:val="20"/>
              </w:rPr>
            </w:pPr>
            <w:r w:rsidRPr="006D7DEF">
              <w:rPr>
                <w:rFonts w:ascii="Arial Narrow" w:hAnsi="Arial Narrow"/>
                <w:b/>
                <w:bCs/>
                <w:i/>
                <w:iCs/>
                <w:color w:val="333333"/>
                <w:sz w:val="20"/>
                <w:szCs w:val="20"/>
              </w:rPr>
              <w:t>Administrative Advice:</w:t>
            </w:r>
          </w:p>
          <w:p w14:paraId="6C508EA0" w14:textId="77777777" w:rsidR="00441732" w:rsidRPr="006D7DEF" w:rsidRDefault="00441732" w:rsidP="00C45033">
            <w:pPr>
              <w:keepLines/>
              <w:ind w:left="-57"/>
              <w:rPr>
                <w:rFonts w:ascii="Arial Narrow" w:hAnsi="Arial Narrow"/>
                <w:b/>
                <w:bCs/>
                <w:i/>
                <w:iCs/>
                <w:color w:val="333333"/>
                <w:sz w:val="20"/>
                <w:szCs w:val="20"/>
              </w:rPr>
            </w:pPr>
            <w:r w:rsidRPr="006D7DEF">
              <w:rPr>
                <w:rFonts w:ascii="Arial Narrow" w:hAnsi="Arial Narrow"/>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441732" w:rsidRPr="00F120FB" w14:paraId="7D7F04EB" w14:textId="77777777" w:rsidTr="00441732">
        <w:trPr>
          <w:trHeight w:val="96"/>
        </w:trPr>
        <w:tc>
          <w:tcPr>
            <w:tcW w:w="5000" w:type="pct"/>
            <w:vAlign w:val="center"/>
          </w:tcPr>
          <w:p w14:paraId="3D944DF2" w14:textId="77777777" w:rsidR="00441732" w:rsidRPr="006D7DEF" w:rsidRDefault="00441732" w:rsidP="00C45033">
            <w:pPr>
              <w:keepLines/>
              <w:ind w:left="-57"/>
              <w:rPr>
                <w:rFonts w:ascii="Arial Narrow" w:hAnsi="Arial Narrow"/>
                <w:color w:val="333333"/>
                <w:sz w:val="20"/>
                <w:szCs w:val="20"/>
              </w:rPr>
            </w:pPr>
            <w:r w:rsidRPr="006D7DEF">
              <w:rPr>
                <w:rFonts w:ascii="Arial Narrow" w:hAnsi="Arial Narrow"/>
                <w:b/>
                <w:bCs/>
                <w:color w:val="333333"/>
                <w:sz w:val="20"/>
                <w:szCs w:val="20"/>
              </w:rPr>
              <w:t xml:space="preserve">Administrative Advice: </w:t>
            </w:r>
            <w:r w:rsidRPr="006D7DEF">
              <w:rPr>
                <w:rFonts w:ascii="Arial Narrow" w:hAnsi="Arial Narrow"/>
                <w:sz w:val="20"/>
                <w:szCs w:val="20"/>
              </w:rPr>
              <w:t>Special Pricing Arrangements apply.</w:t>
            </w:r>
          </w:p>
        </w:tc>
      </w:tr>
      <w:tr w:rsidR="00441732" w:rsidRPr="00F120FB" w14:paraId="5E554F97" w14:textId="77777777" w:rsidTr="00441732">
        <w:trPr>
          <w:trHeight w:val="45"/>
        </w:trPr>
        <w:tc>
          <w:tcPr>
            <w:tcW w:w="5000" w:type="pct"/>
            <w:vAlign w:val="center"/>
          </w:tcPr>
          <w:p w14:paraId="4F8FE51C" w14:textId="77777777" w:rsidR="00441732" w:rsidRPr="006D7DEF" w:rsidRDefault="00441732" w:rsidP="00C45033">
            <w:pPr>
              <w:ind w:left="-57"/>
              <w:rPr>
                <w:rFonts w:ascii="Arial Narrow" w:hAnsi="Arial Narrow" w:cs="Times New Roman"/>
                <w:color w:val="333333"/>
                <w:sz w:val="20"/>
                <w:szCs w:val="20"/>
              </w:rPr>
            </w:pPr>
            <w:r w:rsidRPr="006D7DEF">
              <w:rPr>
                <w:rFonts w:ascii="Arial Narrow" w:hAnsi="Arial Narrow"/>
                <w:b/>
                <w:bCs/>
                <w:color w:val="333333"/>
                <w:sz w:val="20"/>
                <w:szCs w:val="20"/>
              </w:rPr>
              <w:t xml:space="preserve">Administrative Advice: </w:t>
            </w:r>
            <w:r w:rsidRPr="006D7DEF">
              <w:rPr>
                <w:rFonts w:ascii="Arial Narrow" w:hAnsi="Arial Narrow" w:cs="Times New Roman"/>
                <w:color w:val="333333"/>
                <w:sz w:val="20"/>
                <w:szCs w:val="20"/>
              </w:rPr>
              <w:t xml:space="preserve">No increase in the maximum </w:t>
            </w:r>
            <w:r w:rsidRPr="006D7DEF">
              <w:rPr>
                <w:rFonts w:ascii="Arial Narrow" w:hAnsi="Arial Narrow" w:cs="Times New Roman"/>
                <w:strike/>
                <w:color w:val="333333"/>
                <w:sz w:val="20"/>
                <w:szCs w:val="20"/>
              </w:rPr>
              <w:t>quantity</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amount</w:t>
            </w:r>
            <w:r w:rsidRPr="006D7DEF">
              <w:rPr>
                <w:rFonts w:ascii="Arial Narrow" w:hAnsi="Arial Narrow" w:cs="Times New Roman"/>
                <w:color w:val="333333"/>
                <w:sz w:val="20"/>
                <w:szCs w:val="20"/>
              </w:rPr>
              <w:t xml:space="preserve"> or number of units may be authorised.</w:t>
            </w:r>
          </w:p>
        </w:tc>
      </w:tr>
      <w:tr w:rsidR="00441732" w:rsidRPr="00F120FB" w14:paraId="4527F6A8" w14:textId="77777777" w:rsidTr="00441732">
        <w:trPr>
          <w:trHeight w:val="45"/>
        </w:trPr>
        <w:tc>
          <w:tcPr>
            <w:tcW w:w="5000" w:type="pct"/>
            <w:vAlign w:val="center"/>
          </w:tcPr>
          <w:p w14:paraId="64E876F1" w14:textId="77777777" w:rsidR="00441732" w:rsidRPr="006D7DEF" w:rsidRDefault="00441732" w:rsidP="00C45033">
            <w:pPr>
              <w:ind w:left="-57"/>
              <w:rPr>
                <w:rFonts w:ascii="Arial Narrow" w:hAnsi="Arial Narrow" w:cs="Times New Roman"/>
                <w:strike/>
                <w:color w:val="333333"/>
                <w:sz w:val="20"/>
                <w:szCs w:val="20"/>
              </w:rPr>
            </w:pPr>
            <w:r w:rsidRPr="006D7DEF">
              <w:rPr>
                <w:rFonts w:ascii="Arial Narrow" w:hAnsi="Arial Narrow"/>
                <w:b/>
                <w:bCs/>
                <w:strike/>
                <w:color w:val="333333"/>
                <w:sz w:val="20"/>
                <w:szCs w:val="20"/>
              </w:rPr>
              <w:t xml:space="preserve">Administrative Advice: </w:t>
            </w:r>
            <w:r w:rsidRPr="006D7DEF">
              <w:rPr>
                <w:rFonts w:ascii="Arial Narrow" w:hAnsi="Arial Narrow" w:cs="Times New Roman"/>
                <w:strike/>
                <w:color w:val="333333"/>
                <w:sz w:val="20"/>
                <w:szCs w:val="20"/>
              </w:rPr>
              <w:t>The treatment must not exceed 12 months for this PBS indication.</w:t>
            </w:r>
          </w:p>
        </w:tc>
      </w:tr>
      <w:tr w:rsidR="00441732" w:rsidRPr="00F120FB" w14:paraId="5A2A492C" w14:textId="77777777" w:rsidTr="00441732">
        <w:trPr>
          <w:trHeight w:val="45"/>
        </w:trPr>
        <w:tc>
          <w:tcPr>
            <w:tcW w:w="5000" w:type="pct"/>
            <w:vAlign w:val="center"/>
          </w:tcPr>
          <w:p w14:paraId="1871A096" w14:textId="77777777" w:rsidR="00441732" w:rsidRPr="006D7DEF" w:rsidRDefault="00441732" w:rsidP="00C45033">
            <w:pPr>
              <w:ind w:left="-57"/>
              <w:rPr>
                <w:rFonts w:ascii="Arial Narrow" w:hAnsi="Arial Narrow"/>
                <w:b/>
                <w:bCs/>
                <w:color w:val="333333"/>
                <w:sz w:val="20"/>
                <w:szCs w:val="20"/>
              </w:rPr>
            </w:pPr>
            <w:r w:rsidRPr="006D7DEF">
              <w:rPr>
                <w:rFonts w:ascii="Arial Narrow" w:hAnsi="Arial Narrow"/>
                <w:b/>
                <w:bCs/>
                <w:color w:val="333333"/>
                <w:sz w:val="20"/>
                <w:szCs w:val="20"/>
              </w:rPr>
              <w:t xml:space="preserve">Administrative Advice: </w:t>
            </w:r>
            <w:r w:rsidRPr="006D7DEF">
              <w:rPr>
                <w:rFonts w:ascii="Arial Narrow" w:hAnsi="Arial Narrow" w:cs="Arial Narrow"/>
                <w:iCs/>
                <w:strike/>
                <w:color w:val="000000" w:themeColor="text1"/>
                <w:sz w:val="20"/>
                <w:szCs w:val="20"/>
              </w:rPr>
              <w:t>Patients must only receive a maximum of 240 mg every two weeks or 480 mg every four weeks.</w:t>
            </w:r>
            <w:r w:rsidRPr="006D7DEF">
              <w:rPr>
                <w:rFonts w:ascii="Arial Narrow" w:hAnsi="Arial Narrow"/>
                <w:i/>
                <w:sz w:val="20"/>
                <w:szCs w:val="20"/>
              </w:rPr>
              <w:t xml:space="preserve"> </w:t>
            </w:r>
            <w:r w:rsidRPr="006D7DEF">
              <w:rPr>
                <w:rFonts w:ascii="Arial Narrow" w:hAnsi="Arial Narrow" w:cs="Arial Narrow"/>
                <w:i/>
                <w:color w:val="000000" w:themeColor="text1"/>
                <w:sz w:val="20"/>
                <w:szCs w:val="20"/>
              </w:rPr>
              <w:t>Up to an additional 4 repeat prescriptions (7 in total) may be sought only where dosing is on a 2-weekly schedule. This listing’s stated number of repeat prescriptions is based on 4-weekly dosing.</w:t>
            </w:r>
          </w:p>
        </w:tc>
      </w:tr>
      <w:tr w:rsidR="00441732" w:rsidRPr="00F120FB" w14:paraId="363E7478" w14:textId="77777777" w:rsidTr="00441732">
        <w:trPr>
          <w:trHeight w:val="45"/>
        </w:trPr>
        <w:tc>
          <w:tcPr>
            <w:tcW w:w="5000" w:type="pct"/>
            <w:vAlign w:val="center"/>
          </w:tcPr>
          <w:p w14:paraId="4F096397" w14:textId="77777777" w:rsidR="00441732" w:rsidRPr="006D7DEF" w:rsidRDefault="00441732" w:rsidP="00C45033">
            <w:pPr>
              <w:ind w:left="-57"/>
              <w:rPr>
                <w:rFonts w:ascii="Arial Narrow" w:hAnsi="Arial Narrow"/>
                <w:b/>
                <w:bCs/>
                <w:color w:val="333333"/>
                <w:sz w:val="20"/>
                <w:szCs w:val="20"/>
              </w:rPr>
            </w:pPr>
          </w:p>
        </w:tc>
      </w:tr>
      <w:tr w:rsidR="00441732" w:rsidRPr="00F120FB" w14:paraId="35F61B94" w14:textId="77777777" w:rsidTr="00441732">
        <w:trPr>
          <w:cantSplit/>
          <w:trHeight w:val="20"/>
        </w:trPr>
        <w:tc>
          <w:tcPr>
            <w:tcW w:w="5000" w:type="pct"/>
            <w:vAlign w:val="center"/>
          </w:tcPr>
          <w:p w14:paraId="44C78996" w14:textId="77777777" w:rsidR="00441732" w:rsidRPr="006D7DEF" w:rsidRDefault="00441732" w:rsidP="00C45033">
            <w:pPr>
              <w:keepLines/>
              <w:ind w:left="-57"/>
              <w:rPr>
                <w:rFonts w:ascii="Arial Narrow" w:hAnsi="Arial Narrow"/>
                <w:bCs/>
                <w:color w:val="A6A6A6" w:themeColor="background1" w:themeShade="A6"/>
                <w:sz w:val="20"/>
                <w:szCs w:val="20"/>
              </w:rPr>
            </w:pPr>
            <w:proofErr w:type="spellStart"/>
            <w:r w:rsidRPr="006D7DEF">
              <w:rPr>
                <w:rFonts w:ascii="Arial Narrow" w:hAnsi="Arial Narrow"/>
                <w:b/>
                <w:bCs/>
                <w:color w:val="A6A6A6" w:themeColor="background1" w:themeShade="A6"/>
                <w:sz w:val="20"/>
                <w:szCs w:val="20"/>
              </w:rPr>
              <w:t>Episodicity</w:t>
            </w:r>
            <w:proofErr w:type="spellEnd"/>
            <w:r w:rsidRPr="006D7DEF">
              <w:rPr>
                <w:rFonts w:ascii="Arial Narrow" w:hAnsi="Arial Narrow"/>
                <w:b/>
                <w:bCs/>
                <w:color w:val="A6A6A6" w:themeColor="background1" w:themeShade="A6"/>
                <w:sz w:val="20"/>
                <w:szCs w:val="20"/>
              </w:rPr>
              <w:t xml:space="preserve">: </w:t>
            </w:r>
            <w:r w:rsidRPr="006D7DEF">
              <w:rPr>
                <w:rFonts w:ascii="Arial Narrow" w:hAnsi="Arial Narrow"/>
                <w:i/>
                <w:iCs/>
                <w:color w:val="A6A6A6" w:themeColor="background1" w:themeShade="A6"/>
                <w:sz w:val="20"/>
                <w:szCs w:val="20"/>
              </w:rPr>
              <w:t>Adjuvant treatment of</w:t>
            </w:r>
            <w:r w:rsidRPr="006D7DEF">
              <w:rPr>
                <w:rFonts w:ascii="Arial Narrow" w:hAnsi="Arial Narrow"/>
                <w:bCs/>
                <w:color w:val="A6A6A6" w:themeColor="background1" w:themeShade="A6"/>
                <w:sz w:val="20"/>
                <w:szCs w:val="20"/>
              </w:rPr>
              <w:t xml:space="preserve"> </w:t>
            </w:r>
          </w:p>
        </w:tc>
      </w:tr>
      <w:tr w:rsidR="00441732" w:rsidRPr="00F120FB" w14:paraId="67C68857" w14:textId="77777777" w:rsidTr="00441732">
        <w:trPr>
          <w:cantSplit/>
          <w:trHeight w:val="20"/>
        </w:trPr>
        <w:tc>
          <w:tcPr>
            <w:tcW w:w="5000" w:type="pct"/>
            <w:vAlign w:val="center"/>
          </w:tcPr>
          <w:p w14:paraId="606D9A55" w14:textId="77777777" w:rsidR="00441732" w:rsidRPr="006D7DEF" w:rsidRDefault="00441732" w:rsidP="00C45033">
            <w:pPr>
              <w:keepLines/>
              <w:ind w:left="-57"/>
              <w:rPr>
                <w:rFonts w:ascii="Arial Narrow" w:hAnsi="Arial Narrow"/>
                <w:b/>
                <w:bCs/>
                <w:color w:val="A6A6A6" w:themeColor="background1" w:themeShade="A6"/>
                <w:sz w:val="20"/>
                <w:szCs w:val="20"/>
              </w:rPr>
            </w:pPr>
            <w:r w:rsidRPr="006D7DEF">
              <w:rPr>
                <w:rFonts w:ascii="Arial Narrow" w:hAnsi="Arial Narrow"/>
                <w:b/>
                <w:bCs/>
                <w:color w:val="A6A6A6" w:themeColor="background1" w:themeShade="A6"/>
                <w:sz w:val="20"/>
                <w:szCs w:val="20"/>
              </w:rPr>
              <w:t xml:space="preserve">Severity: </w:t>
            </w:r>
            <w:r w:rsidRPr="006D7DEF">
              <w:rPr>
                <w:rFonts w:ascii="Arial Narrow" w:hAnsi="Arial Narrow"/>
                <w:bCs/>
                <w:color w:val="A6A6A6" w:themeColor="background1" w:themeShade="A6"/>
                <w:sz w:val="20"/>
                <w:szCs w:val="20"/>
              </w:rPr>
              <w:t>stage II</w:t>
            </w:r>
            <w:r w:rsidRPr="006D7DEF">
              <w:rPr>
                <w:rFonts w:ascii="Arial Narrow" w:hAnsi="Arial Narrow"/>
                <w:bCs/>
                <w:strike/>
                <w:color w:val="A6A6A6" w:themeColor="background1" w:themeShade="A6"/>
                <w:sz w:val="20"/>
                <w:szCs w:val="20"/>
              </w:rPr>
              <w:t>/</w:t>
            </w:r>
            <w:r w:rsidRPr="006D7DEF">
              <w:rPr>
                <w:rFonts w:ascii="Arial Narrow" w:hAnsi="Arial Narrow"/>
                <w:bCs/>
                <w:color w:val="A6A6A6" w:themeColor="background1" w:themeShade="A6"/>
                <w:sz w:val="20"/>
                <w:szCs w:val="20"/>
              </w:rPr>
              <w:t xml:space="preserve"> </w:t>
            </w:r>
            <w:r w:rsidRPr="006D7DEF">
              <w:rPr>
                <w:rFonts w:ascii="Arial Narrow" w:hAnsi="Arial Narrow"/>
                <w:bCs/>
                <w:i/>
                <w:iCs/>
                <w:color w:val="A6A6A6" w:themeColor="background1" w:themeShade="A6"/>
                <w:sz w:val="20"/>
                <w:szCs w:val="20"/>
              </w:rPr>
              <w:t>or</w:t>
            </w:r>
            <w:r w:rsidRPr="006D7DEF">
              <w:rPr>
                <w:rFonts w:ascii="Arial Narrow" w:hAnsi="Arial Narrow"/>
                <w:bCs/>
                <w:color w:val="A6A6A6" w:themeColor="background1" w:themeShade="A6"/>
                <w:sz w:val="20"/>
                <w:szCs w:val="20"/>
              </w:rPr>
              <w:t xml:space="preserve"> III</w:t>
            </w:r>
          </w:p>
        </w:tc>
      </w:tr>
      <w:tr w:rsidR="00441732" w:rsidRPr="00F120FB" w14:paraId="3708162E" w14:textId="77777777" w:rsidTr="00441732">
        <w:trPr>
          <w:cantSplit/>
          <w:trHeight w:val="20"/>
        </w:trPr>
        <w:tc>
          <w:tcPr>
            <w:tcW w:w="5000" w:type="pct"/>
            <w:vAlign w:val="center"/>
          </w:tcPr>
          <w:p w14:paraId="558DABE3" w14:textId="77777777" w:rsidR="00441732" w:rsidRPr="006D7DEF" w:rsidRDefault="00441732" w:rsidP="00C45033">
            <w:pPr>
              <w:keepLines/>
              <w:ind w:left="-57"/>
              <w:rPr>
                <w:rFonts w:ascii="Arial Narrow" w:hAnsi="Arial Narrow"/>
                <w:b/>
                <w:bCs/>
                <w:color w:val="A6A6A6" w:themeColor="background1" w:themeShade="A6"/>
                <w:sz w:val="20"/>
                <w:szCs w:val="20"/>
              </w:rPr>
            </w:pPr>
            <w:r w:rsidRPr="006D7DEF">
              <w:rPr>
                <w:rFonts w:ascii="Arial Narrow" w:hAnsi="Arial Narrow"/>
                <w:b/>
                <w:bCs/>
                <w:color w:val="A6A6A6" w:themeColor="background1" w:themeShade="A6"/>
                <w:sz w:val="20"/>
                <w:szCs w:val="20"/>
              </w:rPr>
              <w:t xml:space="preserve">Condition: </w:t>
            </w:r>
            <w:r w:rsidRPr="006D7DEF">
              <w:rPr>
                <w:rFonts w:ascii="Arial Narrow" w:hAnsi="Arial Narrow"/>
                <w:bCs/>
                <w:color w:val="A6A6A6" w:themeColor="background1" w:themeShade="A6"/>
                <w:sz w:val="20"/>
                <w:szCs w:val="20"/>
              </w:rPr>
              <w:t xml:space="preserve">oesophageal carcinoma </w:t>
            </w:r>
            <w:r w:rsidRPr="006D7DEF">
              <w:rPr>
                <w:rFonts w:ascii="Arial Narrow" w:hAnsi="Arial Narrow"/>
                <w:bCs/>
                <w:strike/>
                <w:color w:val="A6A6A6" w:themeColor="background1" w:themeShade="A6"/>
                <w:sz w:val="20"/>
                <w:szCs w:val="20"/>
              </w:rPr>
              <w:t>(OC)</w:t>
            </w:r>
            <w:r w:rsidRPr="006D7DEF">
              <w:rPr>
                <w:rFonts w:ascii="Arial Narrow" w:hAnsi="Arial Narrow"/>
                <w:bCs/>
                <w:color w:val="A6A6A6" w:themeColor="background1" w:themeShade="A6"/>
                <w:sz w:val="20"/>
                <w:szCs w:val="20"/>
              </w:rPr>
              <w:t xml:space="preserve"> or gastro-oesophageal carcinoma </w:t>
            </w:r>
            <w:r w:rsidRPr="006D7DEF">
              <w:rPr>
                <w:rFonts w:ascii="Arial Narrow" w:hAnsi="Arial Narrow"/>
                <w:bCs/>
                <w:strike/>
                <w:color w:val="A6A6A6" w:themeColor="background1" w:themeShade="A6"/>
                <w:sz w:val="20"/>
                <w:szCs w:val="20"/>
              </w:rPr>
              <w:t>(GOJC)</w:t>
            </w:r>
          </w:p>
        </w:tc>
      </w:tr>
      <w:tr w:rsidR="00441732" w:rsidRPr="00CA51C1" w14:paraId="5D7C2171" w14:textId="77777777" w:rsidTr="00441732">
        <w:trPr>
          <w:cantSplit/>
          <w:trHeight w:val="20"/>
        </w:trPr>
        <w:tc>
          <w:tcPr>
            <w:tcW w:w="5000" w:type="pct"/>
            <w:vAlign w:val="center"/>
            <w:hideMark/>
          </w:tcPr>
          <w:p w14:paraId="77A058D0" w14:textId="77777777" w:rsidR="00441732" w:rsidRPr="006D7DEF" w:rsidRDefault="00441732" w:rsidP="00C45033">
            <w:pPr>
              <w:keepLines/>
              <w:ind w:left="-57"/>
              <w:rPr>
                <w:rFonts w:ascii="Arial Narrow" w:hAnsi="Arial Narrow"/>
                <w:color w:val="333333"/>
                <w:sz w:val="20"/>
                <w:szCs w:val="20"/>
              </w:rPr>
            </w:pPr>
            <w:r w:rsidRPr="006D7DEF">
              <w:rPr>
                <w:rFonts w:ascii="Arial Narrow" w:hAnsi="Arial Narrow"/>
                <w:b/>
                <w:bCs/>
                <w:color w:val="333333"/>
                <w:sz w:val="20"/>
                <w:szCs w:val="20"/>
              </w:rPr>
              <w:t>Indication:</w:t>
            </w:r>
            <w:r w:rsidRPr="006D7DEF">
              <w:rPr>
                <w:rFonts w:ascii="Arial Narrow" w:hAnsi="Arial Narrow"/>
                <w:color w:val="333333"/>
                <w:sz w:val="20"/>
                <w:szCs w:val="20"/>
              </w:rPr>
              <w:t xml:space="preserve"> </w:t>
            </w:r>
            <w:r w:rsidRPr="006D7DEF">
              <w:rPr>
                <w:rFonts w:ascii="Arial Narrow" w:hAnsi="Arial Narrow"/>
                <w:i/>
                <w:iCs/>
                <w:color w:val="333333"/>
                <w:sz w:val="20"/>
                <w:szCs w:val="20"/>
              </w:rPr>
              <w:t>Adjuvant treatment of</w:t>
            </w:r>
            <w:r w:rsidRPr="006D7DEF">
              <w:rPr>
                <w:rFonts w:ascii="Arial Narrow" w:hAnsi="Arial Narrow"/>
                <w:color w:val="333333"/>
                <w:sz w:val="20"/>
                <w:szCs w:val="20"/>
              </w:rPr>
              <w:t xml:space="preserve"> stage II or III </w:t>
            </w:r>
            <w:r w:rsidRPr="006D7DEF">
              <w:rPr>
                <w:rFonts w:ascii="Arial Narrow" w:hAnsi="Arial Narrow"/>
                <w:bCs/>
                <w:sz w:val="20"/>
                <w:szCs w:val="20"/>
              </w:rPr>
              <w:t xml:space="preserve">oesophageal carcinoma </w:t>
            </w:r>
            <w:r w:rsidRPr="006D7DEF">
              <w:rPr>
                <w:rFonts w:ascii="Arial Narrow" w:hAnsi="Arial Narrow"/>
                <w:bCs/>
                <w:strike/>
                <w:sz w:val="20"/>
                <w:szCs w:val="20"/>
              </w:rPr>
              <w:t>(OC)</w:t>
            </w:r>
            <w:r w:rsidRPr="006D7DEF">
              <w:rPr>
                <w:rFonts w:ascii="Arial Narrow" w:hAnsi="Arial Narrow"/>
                <w:bCs/>
                <w:sz w:val="20"/>
                <w:szCs w:val="20"/>
              </w:rPr>
              <w:t xml:space="preserve"> or gastro-oesophageal carcinoma </w:t>
            </w:r>
            <w:r w:rsidRPr="006D7DEF">
              <w:rPr>
                <w:rFonts w:ascii="Arial Narrow" w:hAnsi="Arial Narrow"/>
                <w:bCs/>
                <w:strike/>
                <w:sz w:val="20"/>
                <w:szCs w:val="20"/>
              </w:rPr>
              <w:t>(GOJC)</w:t>
            </w:r>
          </w:p>
        </w:tc>
      </w:tr>
      <w:tr w:rsidR="00441732" w:rsidRPr="00CA51C1" w14:paraId="69D9584A" w14:textId="77777777" w:rsidTr="00441732">
        <w:trPr>
          <w:cantSplit/>
          <w:trHeight w:val="20"/>
        </w:trPr>
        <w:tc>
          <w:tcPr>
            <w:tcW w:w="5000" w:type="pct"/>
            <w:vAlign w:val="center"/>
          </w:tcPr>
          <w:p w14:paraId="0B698328" w14:textId="77777777" w:rsidR="00441732" w:rsidRPr="006D7DEF" w:rsidRDefault="00441732" w:rsidP="00C45033">
            <w:pPr>
              <w:keepLines/>
              <w:ind w:left="-57"/>
              <w:rPr>
                <w:rFonts w:ascii="Arial Narrow" w:hAnsi="Arial Narrow"/>
                <w:b/>
                <w:bCs/>
                <w:color w:val="333333"/>
                <w:sz w:val="20"/>
                <w:szCs w:val="20"/>
              </w:rPr>
            </w:pPr>
          </w:p>
        </w:tc>
      </w:tr>
      <w:tr w:rsidR="00441732" w:rsidRPr="00CA51C1" w14:paraId="0DEB2202" w14:textId="77777777" w:rsidTr="00441732">
        <w:trPr>
          <w:cantSplit/>
          <w:trHeight w:val="20"/>
        </w:trPr>
        <w:tc>
          <w:tcPr>
            <w:tcW w:w="5000" w:type="pct"/>
            <w:vAlign w:val="center"/>
            <w:hideMark/>
          </w:tcPr>
          <w:p w14:paraId="3EEFBB24"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Treatment Phase:</w:t>
            </w:r>
            <w:r w:rsidRPr="006D7DEF">
              <w:rPr>
                <w:rFonts w:ascii="Arial Narrow" w:hAnsi="Arial Narrow"/>
                <w:color w:val="333333"/>
                <w:sz w:val="20"/>
                <w:szCs w:val="20"/>
              </w:rPr>
              <w:t xml:space="preserve"> Initial treatment</w:t>
            </w:r>
          </w:p>
        </w:tc>
      </w:tr>
      <w:tr w:rsidR="00441732" w:rsidRPr="00CA51C1" w14:paraId="27EFE8F4" w14:textId="77777777" w:rsidTr="00441732">
        <w:trPr>
          <w:cantSplit/>
          <w:trHeight w:val="20"/>
        </w:trPr>
        <w:tc>
          <w:tcPr>
            <w:tcW w:w="5000" w:type="pct"/>
            <w:vAlign w:val="center"/>
          </w:tcPr>
          <w:p w14:paraId="3FFB54C5" w14:textId="77777777" w:rsidR="00441732" w:rsidRPr="006D7DEF" w:rsidRDefault="00441732" w:rsidP="00C45033">
            <w:pPr>
              <w:ind w:left="-57"/>
              <w:rPr>
                <w:rFonts w:ascii="Arial Narrow" w:hAnsi="Arial Narrow"/>
                <w:b/>
                <w:bCs/>
                <w:color w:val="333333"/>
                <w:sz w:val="20"/>
                <w:szCs w:val="20"/>
              </w:rPr>
            </w:pPr>
          </w:p>
        </w:tc>
      </w:tr>
      <w:tr w:rsidR="00441732" w:rsidRPr="00CA51C1" w14:paraId="4A4D1BA3" w14:textId="77777777" w:rsidTr="00441732">
        <w:trPr>
          <w:cantSplit/>
          <w:trHeight w:val="20"/>
        </w:trPr>
        <w:tc>
          <w:tcPr>
            <w:tcW w:w="5000" w:type="pct"/>
            <w:vAlign w:val="center"/>
            <w:hideMark/>
          </w:tcPr>
          <w:p w14:paraId="5F047D70"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 xml:space="preserve">Clinical criteria: </w:t>
            </w:r>
          </w:p>
        </w:tc>
      </w:tr>
      <w:tr w:rsidR="00441732" w:rsidRPr="00CA51C1" w14:paraId="140C48D6" w14:textId="77777777" w:rsidTr="00441732">
        <w:trPr>
          <w:cantSplit/>
          <w:trHeight w:val="20"/>
        </w:trPr>
        <w:tc>
          <w:tcPr>
            <w:tcW w:w="5000" w:type="pct"/>
            <w:vAlign w:val="center"/>
            <w:hideMark/>
          </w:tcPr>
          <w:p w14:paraId="67B1335C"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strike/>
                <w:color w:val="333333"/>
                <w:sz w:val="20"/>
                <w:szCs w:val="20"/>
              </w:rPr>
              <w:t xml:space="preserve">Patient </w:t>
            </w:r>
            <w:r w:rsidRPr="006D7DEF">
              <w:rPr>
                <w:rFonts w:ascii="Arial Narrow" w:hAnsi="Arial Narrow" w:cs="Times New Roman"/>
                <w:i/>
                <w:iCs/>
                <w:color w:val="333333"/>
                <w:sz w:val="20"/>
                <w:szCs w:val="20"/>
              </w:rPr>
              <w:t xml:space="preserve">The condition </w:t>
            </w:r>
            <w:r w:rsidRPr="006D7DEF">
              <w:rPr>
                <w:rFonts w:ascii="Arial Narrow" w:hAnsi="Arial Narrow" w:cs="Times New Roman"/>
                <w:color w:val="333333"/>
                <w:sz w:val="20"/>
                <w:szCs w:val="20"/>
              </w:rPr>
              <w:t xml:space="preserve">must have </w:t>
            </w:r>
            <w:r w:rsidRPr="006D7DEF">
              <w:rPr>
                <w:rFonts w:ascii="Arial Narrow" w:hAnsi="Arial Narrow" w:cs="Times New Roman"/>
                <w:i/>
                <w:iCs/>
                <w:color w:val="333333"/>
                <w:sz w:val="20"/>
                <w:szCs w:val="20"/>
              </w:rPr>
              <w:t xml:space="preserve">histological evidence </w:t>
            </w:r>
            <w:r w:rsidRPr="006D7DEF">
              <w:rPr>
                <w:rFonts w:ascii="Arial Narrow" w:hAnsi="Arial Narrow" w:cs="Times New Roman"/>
                <w:color w:val="333333"/>
                <w:sz w:val="20"/>
                <w:szCs w:val="20"/>
              </w:rPr>
              <w:t>confirm</w:t>
            </w:r>
            <w:r w:rsidRPr="006D7DEF">
              <w:rPr>
                <w:rFonts w:ascii="Arial Narrow" w:hAnsi="Arial Narrow" w:cs="Times New Roman"/>
                <w:i/>
                <w:iCs/>
                <w:color w:val="333333"/>
                <w:sz w:val="20"/>
                <w:szCs w:val="20"/>
              </w:rPr>
              <w:t>ing a diagnosis of a least one of: (</w:t>
            </w:r>
            <w:proofErr w:type="spellStart"/>
            <w:r w:rsidRPr="006D7DEF">
              <w:rPr>
                <w:rFonts w:ascii="Arial Narrow" w:hAnsi="Arial Narrow" w:cs="Times New Roman"/>
                <w:i/>
                <w:iCs/>
                <w:color w:val="333333"/>
                <w:sz w:val="20"/>
                <w:szCs w:val="20"/>
              </w:rPr>
              <w:t>i</w:t>
            </w:r>
            <w:proofErr w:type="spellEnd"/>
            <w:r w:rsidRPr="006D7DEF">
              <w:rPr>
                <w:rFonts w:ascii="Arial Narrow" w:hAnsi="Arial Narrow" w:cs="Times New Roman"/>
                <w:i/>
                <w:iCs/>
                <w:color w:val="333333"/>
                <w:sz w:val="20"/>
                <w:szCs w:val="20"/>
              </w:rPr>
              <w:t xml:space="preserve">) </w:t>
            </w:r>
            <w:r w:rsidRPr="006D7DEF">
              <w:rPr>
                <w:rFonts w:ascii="Arial Narrow" w:hAnsi="Arial Narrow" w:cs="Times New Roman"/>
                <w:strike/>
                <w:color w:val="333333"/>
                <w:sz w:val="20"/>
                <w:szCs w:val="20"/>
              </w:rPr>
              <w:t>ed</w:t>
            </w:r>
            <w:r w:rsidRPr="006D7DEF">
              <w:rPr>
                <w:rFonts w:ascii="Arial Narrow" w:hAnsi="Arial Narrow" w:cs="Times New Roman"/>
                <w:i/>
                <w:iCs/>
                <w:color w:val="333333"/>
                <w:sz w:val="20"/>
                <w:szCs w:val="20"/>
              </w:rPr>
              <w:t xml:space="preserve"> </w:t>
            </w:r>
            <w:proofErr w:type="gramStart"/>
            <w:r w:rsidRPr="006D7DEF">
              <w:rPr>
                <w:rFonts w:ascii="Arial Narrow" w:hAnsi="Arial Narrow" w:cs="Times New Roman"/>
                <w:color w:val="333333"/>
                <w:sz w:val="20"/>
                <w:szCs w:val="20"/>
              </w:rPr>
              <w:t>adenocarcinoma</w:t>
            </w:r>
            <w:r w:rsidRPr="006D7DEF">
              <w:rPr>
                <w:rFonts w:ascii="Arial Narrow" w:hAnsi="Arial Narrow" w:cs="Times New Roman"/>
                <w:i/>
                <w:iCs/>
                <w:color w:val="333333"/>
                <w:sz w:val="20"/>
                <w:szCs w:val="20"/>
              </w:rPr>
              <w:t xml:space="preserve">, </w:t>
            </w:r>
            <w:r w:rsidRPr="006D7DEF">
              <w:rPr>
                <w:rFonts w:ascii="Arial Narrow" w:hAnsi="Arial Narrow" w:cs="Times New Roman"/>
                <w:color w:val="333333"/>
                <w:sz w:val="20"/>
                <w:szCs w:val="20"/>
              </w:rPr>
              <w:t xml:space="preserve"> </w:t>
            </w:r>
            <w:r w:rsidRPr="006D7DEF">
              <w:rPr>
                <w:rFonts w:ascii="Arial Narrow" w:hAnsi="Arial Narrow" w:cs="Times New Roman"/>
                <w:strike/>
                <w:color w:val="333333"/>
                <w:sz w:val="20"/>
                <w:szCs w:val="20"/>
              </w:rPr>
              <w:t>or</w:t>
            </w:r>
            <w:proofErr w:type="gramEnd"/>
            <w:r w:rsidRPr="006D7DEF">
              <w:rPr>
                <w:rFonts w:ascii="Arial Narrow" w:hAnsi="Arial Narrow" w:cs="Times New Roman"/>
                <w:strike/>
                <w:color w:val="333333"/>
                <w:sz w:val="20"/>
                <w:szCs w:val="20"/>
              </w:rPr>
              <w:t xml:space="preserve"> </w:t>
            </w:r>
            <w:r w:rsidRPr="006D7DEF">
              <w:rPr>
                <w:rFonts w:ascii="Arial Narrow" w:hAnsi="Arial Narrow" w:cs="Times New Roman"/>
                <w:i/>
                <w:iCs/>
                <w:color w:val="333333"/>
                <w:sz w:val="20"/>
                <w:szCs w:val="20"/>
              </w:rPr>
              <w:t xml:space="preserve">(ii) </w:t>
            </w:r>
            <w:r w:rsidRPr="006D7DEF">
              <w:rPr>
                <w:rFonts w:ascii="Arial Narrow" w:hAnsi="Arial Narrow" w:cs="Times New Roman"/>
                <w:color w:val="333333"/>
                <w:sz w:val="20"/>
                <w:szCs w:val="20"/>
              </w:rPr>
              <w:t>squamous cell carcinoma</w:t>
            </w:r>
            <w:r w:rsidRPr="006D7DEF">
              <w:rPr>
                <w:rFonts w:ascii="Arial Narrow" w:hAnsi="Arial Narrow" w:cs="Times New Roman"/>
                <w:i/>
                <w:iCs/>
                <w:color w:val="333333"/>
                <w:sz w:val="20"/>
                <w:szCs w:val="20"/>
              </w:rPr>
              <w:t xml:space="preserve">; document this evidence in the patient’s medical records </w:t>
            </w:r>
            <w:r w:rsidRPr="006D7DEF">
              <w:rPr>
                <w:rFonts w:ascii="Arial Narrow" w:hAnsi="Arial Narrow" w:cs="Times New Roman"/>
                <w:strike/>
                <w:color w:val="333333"/>
                <w:sz w:val="20"/>
                <w:szCs w:val="20"/>
              </w:rPr>
              <w:t xml:space="preserve">histology </w:t>
            </w:r>
          </w:p>
        </w:tc>
      </w:tr>
      <w:tr w:rsidR="00441732" w:rsidRPr="00CA51C1" w14:paraId="764739A2" w14:textId="77777777" w:rsidTr="00441732">
        <w:trPr>
          <w:cantSplit/>
          <w:trHeight w:val="20"/>
        </w:trPr>
        <w:tc>
          <w:tcPr>
            <w:tcW w:w="5000" w:type="pct"/>
            <w:vAlign w:val="center"/>
          </w:tcPr>
          <w:p w14:paraId="25CAF5DF" w14:textId="77777777" w:rsidR="00441732" w:rsidRPr="006D7DEF" w:rsidRDefault="00441732" w:rsidP="00C45033">
            <w:pPr>
              <w:ind w:left="-57"/>
              <w:rPr>
                <w:rFonts w:ascii="Arial Narrow" w:hAnsi="Arial Narrow"/>
                <w:b/>
                <w:bCs/>
                <w:color w:val="333333"/>
                <w:sz w:val="20"/>
                <w:szCs w:val="20"/>
              </w:rPr>
            </w:pPr>
            <w:r w:rsidRPr="006D7DEF">
              <w:rPr>
                <w:rFonts w:ascii="Arial Narrow" w:hAnsi="Arial Narrow"/>
                <w:b/>
                <w:bCs/>
                <w:color w:val="333333"/>
                <w:sz w:val="20"/>
                <w:szCs w:val="20"/>
              </w:rPr>
              <w:t>AND</w:t>
            </w:r>
          </w:p>
        </w:tc>
      </w:tr>
      <w:tr w:rsidR="00441732" w:rsidRPr="00CA51C1" w14:paraId="053DB7AE" w14:textId="77777777" w:rsidTr="00441732">
        <w:trPr>
          <w:cantSplit/>
          <w:trHeight w:val="20"/>
        </w:trPr>
        <w:tc>
          <w:tcPr>
            <w:tcW w:w="5000" w:type="pct"/>
            <w:vAlign w:val="center"/>
          </w:tcPr>
          <w:p w14:paraId="7B2CEAEE"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28C34C83" w14:textId="77777777" w:rsidTr="00441732">
        <w:trPr>
          <w:cantSplit/>
          <w:trHeight w:val="20"/>
        </w:trPr>
        <w:tc>
          <w:tcPr>
            <w:tcW w:w="5000" w:type="pct"/>
            <w:vAlign w:val="center"/>
          </w:tcPr>
          <w:p w14:paraId="73052E04"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strike/>
                <w:color w:val="333333"/>
                <w:sz w:val="20"/>
                <w:szCs w:val="20"/>
              </w:rPr>
              <w:t>Patient</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The condition</w:t>
            </w:r>
            <w:r w:rsidRPr="006D7DEF">
              <w:rPr>
                <w:rFonts w:ascii="Arial Narrow" w:hAnsi="Arial Narrow" w:cs="Times New Roman"/>
                <w:color w:val="333333"/>
                <w:sz w:val="20"/>
                <w:szCs w:val="20"/>
              </w:rPr>
              <w:t xml:space="preserve"> must have </w:t>
            </w:r>
            <w:r w:rsidRPr="006D7DEF">
              <w:rPr>
                <w:rFonts w:ascii="Arial Narrow" w:hAnsi="Arial Narrow" w:cs="Times New Roman"/>
                <w:strike/>
                <w:color w:val="333333"/>
                <w:sz w:val="20"/>
                <w:szCs w:val="20"/>
              </w:rPr>
              <w:t>received</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been treated with</w:t>
            </w:r>
            <w:r w:rsidRPr="006D7DEF">
              <w:rPr>
                <w:rFonts w:ascii="Arial Narrow" w:hAnsi="Arial Narrow" w:cs="Times New Roman"/>
                <w:color w:val="333333"/>
                <w:sz w:val="20"/>
                <w:szCs w:val="20"/>
              </w:rPr>
              <w:t xml:space="preserve"> platinum-based chemoradiotherapy </w:t>
            </w:r>
            <w:r w:rsidRPr="006D7DEF">
              <w:rPr>
                <w:rFonts w:ascii="Arial Narrow" w:hAnsi="Arial Narrow" w:cs="Times New Roman"/>
                <w:strike/>
                <w:color w:val="333333"/>
                <w:sz w:val="20"/>
                <w:szCs w:val="20"/>
              </w:rPr>
              <w:t>(CRT)</w:t>
            </w:r>
          </w:p>
        </w:tc>
      </w:tr>
      <w:tr w:rsidR="00441732" w:rsidRPr="00F120FB" w14:paraId="23724B42" w14:textId="77777777" w:rsidTr="00441732">
        <w:trPr>
          <w:cantSplit/>
          <w:trHeight w:val="20"/>
        </w:trPr>
        <w:tc>
          <w:tcPr>
            <w:tcW w:w="5000" w:type="pct"/>
            <w:vAlign w:val="center"/>
          </w:tcPr>
          <w:p w14:paraId="27CAA03F"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AND</w:t>
            </w:r>
          </w:p>
        </w:tc>
      </w:tr>
      <w:tr w:rsidR="00441732" w:rsidRPr="00F120FB" w14:paraId="30E50C26" w14:textId="77777777" w:rsidTr="00441732">
        <w:trPr>
          <w:cantSplit/>
          <w:trHeight w:val="20"/>
        </w:trPr>
        <w:tc>
          <w:tcPr>
            <w:tcW w:w="5000" w:type="pct"/>
            <w:vAlign w:val="center"/>
          </w:tcPr>
          <w:p w14:paraId="7AB5F0D5"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46E00DA2" w14:textId="77777777" w:rsidTr="00441732">
        <w:trPr>
          <w:cantSplit/>
          <w:trHeight w:val="20"/>
        </w:trPr>
        <w:tc>
          <w:tcPr>
            <w:tcW w:w="5000" w:type="pct"/>
            <w:vAlign w:val="center"/>
          </w:tcPr>
          <w:p w14:paraId="1F98E042"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strike/>
                <w:color w:val="333333"/>
                <w:sz w:val="20"/>
                <w:szCs w:val="20"/>
              </w:rPr>
              <w:t>Patient</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The treatment</w:t>
            </w:r>
            <w:r w:rsidRPr="006D7DEF">
              <w:rPr>
                <w:rFonts w:ascii="Arial Narrow" w:hAnsi="Arial Narrow" w:cs="Times New Roman"/>
                <w:color w:val="333333"/>
                <w:sz w:val="20"/>
                <w:szCs w:val="20"/>
              </w:rPr>
              <w:t xml:space="preserve"> must </w:t>
            </w:r>
            <w:r w:rsidRPr="006D7DEF">
              <w:rPr>
                <w:rFonts w:ascii="Arial Narrow" w:hAnsi="Arial Narrow" w:cs="Times New Roman"/>
                <w:strike/>
                <w:color w:val="333333"/>
                <w:sz w:val="20"/>
                <w:szCs w:val="20"/>
              </w:rPr>
              <w:t>have had</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be for the purposes of adjuvant use following</w:t>
            </w:r>
            <w:r w:rsidRPr="006D7DEF">
              <w:rPr>
                <w:rFonts w:ascii="Arial Narrow" w:hAnsi="Arial Narrow" w:cs="Times New Roman"/>
                <w:color w:val="333333"/>
                <w:sz w:val="20"/>
                <w:szCs w:val="20"/>
              </w:rPr>
              <w:t xml:space="preserve"> complete surgical resection </w:t>
            </w:r>
            <w:r w:rsidRPr="006D7DEF">
              <w:rPr>
                <w:rFonts w:ascii="Arial Narrow" w:hAnsi="Arial Narrow" w:cs="Times New Roman"/>
                <w:strike/>
                <w:color w:val="333333"/>
                <w:sz w:val="20"/>
                <w:szCs w:val="20"/>
              </w:rPr>
              <w:t>AND have residual disease of either ypT1 or greater or ypN1 or greater in the resected specimen</w:t>
            </w:r>
          </w:p>
        </w:tc>
      </w:tr>
      <w:tr w:rsidR="00441732" w:rsidRPr="00F120FB" w14:paraId="66B86CE2" w14:textId="77777777" w:rsidTr="00441732">
        <w:trPr>
          <w:cantSplit/>
          <w:trHeight w:val="20"/>
        </w:trPr>
        <w:tc>
          <w:tcPr>
            <w:tcW w:w="5000" w:type="pct"/>
            <w:vAlign w:val="center"/>
          </w:tcPr>
          <w:p w14:paraId="3A54EA97" w14:textId="77777777" w:rsidR="00441732" w:rsidRPr="006D7DEF" w:rsidRDefault="00441732" w:rsidP="00C45033">
            <w:pPr>
              <w:keepNext/>
              <w:ind w:left="-57"/>
              <w:rPr>
                <w:rFonts w:ascii="Arial Narrow" w:hAnsi="Arial Narrow" w:cs="Times New Roman"/>
                <w:b/>
                <w:bCs/>
                <w:i/>
                <w:iCs/>
                <w:color w:val="333333"/>
                <w:sz w:val="20"/>
                <w:szCs w:val="20"/>
              </w:rPr>
            </w:pPr>
            <w:r w:rsidRPr="006D7DEF">
              <w:rPr>
                <w:rFonts w:ascii="Arial Narrow" w:hAnsi="Arial Narrow" w:cs="Times New Roman"/>
                <w:b/>
                <w:bCs/>
                <w:i/>
                <w:iCs/>
                <w:color w:val="333333"/>
                <w:sz w:val="20"/>
                <w:szCs w:val="20"/>
              </w:rPr>
              <w:t>AND</w:t>
            </w:r>
          </w:p>
        </w:tc>
      </w:tr>
      <w:tr w:rsidR="00441732" w:rsidRPr="00F120FB" w14:paraId="6002A04B" w14:textId="77777777" w:rsidTr="00441732">
        <w:trPr>
          <w:cantSplit/>
          <w:trHeight w:val="20"/>
        </w:trPr>
        <w:tc>
          <w:tcPr>
            <w:tcW w:w="5000" w:type="pct"/>
            <w:vAlign w:val="center"/>
          </w:tcPr>
          <w:p w14:paraId="4F8297B3" w14:textId="77777777" w:rsidR="00441732" w:rsidRPr="006D7DEF" w:rsidRDefault="00441732" w:rsidP="00C45033">
            <w:pPr>
              <w:keepNext/>
              <w:ind w:left="-57"/>
              <w:rPr>
                <w:rFonts w:ascii="Arial Narrow" w:hAnsi="Arial Narrow" w:cs="Times New Roman"/>
                <w:b/>
                <w:bCs/>
                <w:i/>
                <w:iCs/>
                <w:color w:val="333333"/>
                <w:sz w:val="20"/>
                <w:szCs w:val="20"/>
              </w:rPr>
            </w:pPr>
            <w:r w:rsidRPr="006D7DEF">
              <w:rPr>
                <w:rFonts w:ascii="Arial Narrow" w:hAnsi="Arial Narrow" w:cs="Times New Roman"/>
                <w:b/>
                <w:bCs/>
                <w:i/>
                <w:iCs/>
                <w:color w:val="333333"/>
                <w:sz w:val="20"/>
                <w:szCs w:val="20"/>
              </w:rPr>
              <w:t>Clinical criteria:</w:t>
            </w:r>
          </w:p>
        </w:tc>
      </w:tr>
      <w:tr w:rsidR="00441732" w:rsidRPr="00F120FB" w14:paraId="4787750A" w14:textId="77777777" w:rsidTr="00441732">
        <w:trPr>
          <w:cantSplit/>
          <w:trHeight w:val="20"/>
        </w:trPr>
        <w:tc>
          <w:tcPr>
            <w:tcW w:w="5000" w:type="pct"/>
            <w:vAlign w:val="center"/>
          </w:tcPr>
          <w:p w14:paraId="386CF889" w14:textId="77777777" w:rsidR="00441732" w:rsidRPr="006D7DEF" w:rsidRDefault="00441732" w:rsidP="00C45033">
            <w:pPr>
              <w:keepNext/>
              <w:ind w:left="-57"/>
              <w:rPr>
                <w:rFonts w:ascii="Arial Narrow" w:hAnsi="Arial Narrow" w:cs="Times New Roman"/>
                <w:i/>
                <w:iCs/>
                <w:color w:val="333333"/>
                <w:sz w:val="20"/>
                <w:szCs w:val="20"/>
              </w:rPr>
            </w:pPr>
            <w:r w:rsidRPr="006D7DEF">
              <w:rPr>
                <w:rFonts w:ascii="Arial Narrow" w:hAnsi="Arial Narrow" w:cs="Times New Roman"/>
                <w:i/>
                <w:iCs/>
                <w:color w:val="333333"/>
                <w:sz w:val="20"/>
                <w:szCs w:val="20"/>
              </w:rPr>
              <w:t>The condition must have evidence, through resected specimen, that residual disease is present to the extent of either: (</w:t>
            </w:r>
            <w:proofErr w:type="spellStart"/>
            <w:r w:rsidRPr="006D7DEF">
              <w:rPr>
                <w:rFonts w:ascii="Arial Narrow" w:hAnsi="Arial Narrow" w:cs="Times New Roman"/>
                <w:i/>
                <w:iCs/>
                <w:color w:val="333333"/>
                <w:sz w:val="20"/>
                <w:szCs w:val="20"/>
              </w:rPr>
              <w:t>i</w:t>
            </w:r>
            <w:proofErr w:type="spellEnd"/>
            <w:r w:rsidRPr="006D7DEF">
              <w:rPr>
                <w:rFonts w:ascii="Arial Narrow" w:hAnsi="Arial Narrow" w:cs="Times New Roman"/>
                <w:i/>
                <w:iCs/>
                <w:color w:val="333333"/>
                <w:sz w:val="20"/>
                <w:szCs w:val="20"/>
              </w:rPr>
              <w:t>) at least ypT1, (ii) at least ypN1</w:t>
            </w:r>
          </w:p>
        </w:tc>
      </w:tr>
      <w:tr w:rsidR="00441732" w:rsidRPr="00F120FB" w14:paraId="55395F47" w14:textId="77777777" w:rsidTr="00441732">
        <w:trPr>
          <w:cantSplit/>
          <w:trHeight w:val="20"/>
        </w:trPr>
        <w:tc>
          <w:tcPr>
            <w:tcW w:w="5000" w:type="pct"/>
            <w:vAlign w:val="center"/>
          </w:tcPr>
          <w:p w14:paraId="0497F908"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AND</w:t>
            </w:r>
          </w:p>
        </w:tc>
      </w:tr>
      <w:tr w:rsidR="00441732" w:rsidRPr="00F120FB" w14:paraId="64F6DF0E" w14:textId="77777777" w:rsidTr="00441732">
        <w:trPr>
          <w:cantSplit/>
          <w:trHeight w:val="20"/>
        </w:trPr>
        <w:tc>
          <w:tcPr>
            <w:tcW w:w="5000" w:type="pct"/>
            <w:vAlign w:val="center"/>
          </w:tcPr>
          <w:p w14:paraId="16C02923"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2ACD9D00" w14:textId="77777777" w:rsidTr="00441732">
        <w:trPr>
          <w:cantSplit/>
          <w:trHeight w:val="20"/>
        </w:trPr>
        <w:tc>
          <w:tcPr>
            <w:tcW w:w="5000" w:type="pct"/>
            <w:vAlign w:val="center"/>
          </w:tcPr>
          <w:p w14:paraId="15F31DDE"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color w:val="333333"/>
                <w:sz w:val="20"/>
                <w:szCs w:val="20"/>
              </w:rPr>
              <w:t xml:space="preserve">Patient must </w:t>
            </w:r>
            <w:r w:rsidRPr="006D7DEF">
              <w:rPr>
                <w:rFonts w:ascii="Arial Narrow" w:hAnsi="Arial Narrow" w:cs="Times New Roman"/>
                <w:strike/>
                <w:color w:val="333333"/>
                <w:sz w:val="20"/>
                <w:szCs w:val="20"/>
              </w:rPr>
              <w:t>have a</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 xml:space="preserve">be in a state that </w:t>
            </w:r>
            <w:proofErr w:type="gramStart"/>
            <w:r w:rsidRPr="006D7DEF">
              <w:rPr>
                <w:rFonts w:ascii="Arial Narrow" w:hAnsi="Arial Narrow" w:cs="Times New Roman"/>
                <w:i/>
                <w:iCs/>
                <w:color w:val="333333"/>
                <w:sz w:val="20"/>
                <w:szCs w:val="20"/>
              </w:rPr>
              <w:t>they</w:t>
            </w:r>
            <w:proofErr w:type="gramEnd"/>
            <w:r w:rsidRPr="006D7DEF">
              <w:rPr>
                <w:rFonts w:ascii="Arial Narrow" w:hAnsi="Arial Narrow" w:cs="Times New Roman"/>
                <w:i/>
                <w:iCs/>
                <w:color w:val="333333"/>
                <w:sz w:val="20"/>
                <w:szCs w:val="20"/>
              </w:rPr>
              <w:t xml:space="preserve"> either: (</w:t>
            </w:r>
            <w:proofErr w:type="spellStart"/>
            <w:r w:rsidRPr="006D7DEF">
              <w:rPr>
                <w:rFonts w:ascii="Arial Narrow" w:hAnsi="Arial Narrow" w:cs="Times New Roman"/>
                <w:i/>
                <w:iCs/>
                <w:color w:val="333333"/>
                <w:sz w:val="20"/>
                <w:szCs w:val="20"/>
              </w:rPr>
              <w:t>i</w:t>
            </w:r>
            <w:proofErr w:type="spellEnd"/>
            <w:r w:rsidRPr="006D7DEF">
              <w:rPr>
                <w:rFonts w:ascii="Arial Narrow" w:hAnsi="Arial Narrow" w:cs="Times New Roman"/>
                <w:i/>
                <w:iCs/>
                <w:color w:val="333333"/>
                <w:sz w:val="20"/>
                <w:szCs w:val="20"/>
              </w:rPr>
              <w:t>) have a current</w:t>
            </w:r>
            <w:r w:rsidRPr="006D7DEF">
              <w:rPr>
                <w:rFonts w:ascii="Arial Narrow" w:hAnsi="Arial Narrow" w:cs="Times New Roman"/>
                <w:color w:val="333333"/>
                <w:sz w:val="20"/>
                <w:szCs w:val="20"/>
              </w:rPr>
              <w:t xml:space="preserve"> WHO performance status of </w:t>
            </w:r>
            <w:r w:rsidRPr="006D7DEF">
              <w:rPr>
                <w:rFonts w:ascii="Arial Narrow" w:hAnsi="Arial Narrow" w:cs="Times New Roman"/>
                <w:strike/>
                <w:color w:val="333333"/>
                <w:sz w:val="20"/>
                <w:szCs w:val="20"/>
              </w:rPr>
              <w:t>0 or 1</w:t>
            </w:r>
            <w:r w:rsidRPr="006D7DEF">
              <w:rPr>
                <w:rFonts w:ascii="Arial Narrow" w:hAnsi="Arial Narrow" w:cs="Times New Roman"/>
                <w:color w:val="333333"/>
                <w:sz w:val="20"/>
                <w:szCs w:val="20"/>
              </w:rPr>
              <w:t xml:space="preserve"> </w:t>
            </w:r>
            <w:r w:rsidRPr="006D7DEF">
              <w:rPr>
                <w:rFonts w:ascii="Arial Narrow" w:hAnsi="Arial Narrow" w:cs="Times New Roman"/>
                <w:i/>
                <w:iCs/>
                <w:color w:val="333333"/>
                <w:sz w:val="20"/>
                <w:szCs w:val="20"/>
              </w:rPr>
              <w:t>no higher than 1 at treatment initiation, (ii) had a WHO performance status no higher than 1 where treatment was initiated as non-PBS subsidised supply</w:t>
            </w:r>
          </w:p>
        </w:tc>
      </w:tr>
      <w:tr w:rsidR="00441732" w:rsidRPr="00F120FB" w14:paraId="71564CA7" w14:textId="77777777" w:rsidTr="00441732">
        <w:trPr>
          <w:cantSplit/>
          <w:trHeight w:val="20"/>
        </w:trPr>
        <w:tc>
          <w:tcPr>
            <w:tcW w:w="5000" w:type="pct"/>
            <w:vAlign w:val="center"/>
          </w:tcPr>
          <w:p w14:paraId="5EB56E53"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AND</w:t>
            </w:r>
          </w:p>
        </w:tc>
      </w:tr>
      <w:tr w:rsidR="00441732" w:rsidRPr="00F120FB" w14:paraId="4298BDB3" w14:textId="77777777" w:rsidTr="00441732">
        <w:trPr>
          <w:cantSplit/>
          <w:trHeight w:val="20"/>
        </w:trPr>
        <w:tc>
          <w:tcPr>
            <w:tcW w:w="5000" w:type="pct"/>
            <w:vAlign w:val="center"/>
          </w:tcPr>
          <w:p w14:paraId="00C938E8"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413F25D0" w14:textId="77777777" w:rsidTr="00441732">
        <w:trPr>
          <w:cantSplit/>
          <w:trHeight w:val="20"/>
        </w:trPr>
        <w:tc>
          <w:tcPr>
            <w:tcW w:w="5000" w:type="pct"/>
            <w:vAlign w:val="center"/>
          </w:tcPr>
          <w:p w14:paraId="6CA64202"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color w:val="333333"/>
                <w:sz w:val="20"/>
                <w:szCs w:val="20"/>
              </w:rPr>
              <w:t>Patient must not have experienced disease recurrence</w:t>
            </w:r>
          </w:p>
        </w:tc>
      </w:tr>
      <w:tr w:rsidR="00441732" w:rsidRPr="00F120FB" w14:paraId="66817E84" w14:textId="77777777" w:rsidTr="00441732">
        <w:trPr>
          <w:cantSplit/>
          <w:trHeight w:val="20"/>
        </w:trPr>
        <w:tc>
          <w:tcPr>
            <w:tcW w:w="5000" w:type="pct"/>
            <w:vAlign w:val="center"/>
          </w:tcPr>
          <w:p w14:paraId="73E2FFF0"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AND</w:t>
            </w:r>
          </w:p>
        </w:tc>
      </w:tr>
      <w:tr w:rsidR="00441732" w:rsidRPr="00F120FB" w14:paraId="2B213E04" w14:textId="77777777" w:rsidTr="00441732">
        <w:trPr>
          <w:cantSplit/>
          <w:trHeight w:val="20"/>
        </w:trPr>
        <w:tc>
          <w:tcPr>
            <w:tcW w:w="5000" w:type="pct"/>
            <w:vAlign w:val="center"/>
          </w:tcPr>
          <w:p w14:paraId="66DF99EE"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501F6575" w14:textId="77777777" w:rsidTr="00441732">
        <w:trPr>
          <w:cantSplit/>
          <w:trHeight w:val="20"/>
        </w:trPr>
        <w:tc>
          <w:tcPr>
            <w:tcW w:w="5000" w:type="pct"/>
            <w:vAlign w:val="center"/>
          </w:tcPr>
          <w:p w14:paraId="16B8F1C2"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color w:val="333333"/>
                <w:sz w:val="20"/>
                <w:szCs w:val="20"/>
              </w:rPr>
              <w:t>The treatment must be the sole PBS-subsidised therapy for this condition</w:t>
            </w:r>
          </w:p>
        </w:tc>
      </w:tr>
      <w:tr w:rsidR="00441732" w:rsidRPr="00F120FB" w14:paraId="5D55DC73" w14:textId="77777777" w:rsidTr="00441732">
        <w:trPr>
          <w:cantSplit/>
          <w:trHeight w:val="20"/>
        </w:trPr>
        <w:tc>
          <w:tcPr>
            <w:tcW w:w="5000" w:type="pct"/>
            <w:vAlign w:val="center"/>
          </w:tcPr>
          <w:p w14:paraId="6CA6FD71"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AND</w:t>
            </w:r>
          </w:p>
        </w:tc>
      </w:tr>
      <w:tr w:rsidR="00441732" w:rsidRPr="00F120FB" w14:paraId="2A58321E" w14:textId="77777777" w:rsidTr="00441732">
        <w:trPr>
          <w:cantSplit/>
          <w:trHeight w:val="20"/>
        </w:trPr>
        <w:tc>
          <w:tcPr>
            <w:tcW w:w="5000" w:type="pct"/>
            <w:vAlign w:val="center"/>
          </w:tcPr>
          <w:p w14:paraId="3BCC5EA8"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639F4226" w14:textId="77777777" w:rsidTr="00441732">
        <w:trPr>
          <w:cantSplit/>
          <w:trHeight w:val="20"/>
        </w:trPr>
        <w:tc>
          <w:tcPr>
            <w:tcW w:w="5000" w:type="pct"/>
            <w:vAlign w:val="center"/>
          </w:tcPr>
          <w:p w14:paraId="2AD25F50"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cs="Times New Roman"/>
                <w:color w:val="333333"/>
                <w:sz w:val="20"/>
                <w:szCs w:val="20"/>
              </w:rPr>
              <w:t xml:space="preserve">Patient must not have received prior </w:t>
            </w:r>
            <w:r w:rsidRPr="006D7DEF">
              <w:rPr>
                <w:rFonts w:ascii="Arial Narrow" w:hAnsi="Arial Narrow" w:cs="Times New Roman"/>
                <w:strike/>
                <w:color w:val="333333"/>
                <w:sz w:val="20"/>
                <w:szCs w:val="20"/>
              </w:rPr>
              <w:t xml:space="preserve">PBS-subsidised </w:t>
            </w:r>
            <w:r w:rsidRPr="006D7DEF">
              <w:rPr>
                <w:rFonts w:ascii="Arial Narrow" w:hAnsi="Arial Narrow" w:cs="Times New Roman"/>
                <w:color w:val="333333"/>
                <w:sz w:val="20"/>
                <w:szCs w:val="20"/>
              </w:rPr>
              <w:t xml:space="preserve">treatment with a programmed cell death-1 (PD-1) inhibitor or a programmed cell death ligand-1 (PD-L1) inhibitor for this condition </w:t>
            </w:r>
            <w:r w:rsidRPr="006D7DEF">
              <w:rPr>
                <w:rFonts w:ascii="Arial Narrow" w:hAnsi="Arial Narrow" w:cs="Times New Roman"/>
                <w:i/>
                <w:iCs/>
                <w:color w:val="333333"/>
                <w:sz w:val="20"/>
                <w:szCs w:val="20"/>
              </w:rPr>
              <w:t>or</w:t>
            </w:r>
          </w:p>
        </w:tc>
      </w:tr>
      <w:tr w:rsidR="00441732" w:rsidRPr="00F120FB" w14:paraId="1E6C24D6" w14:textId="77777777" w:rsidTr="00441732">
        <w:trPr>
          <w:cantSplit/>
          <w:trHeight w:val="20"/>
        </w:trPr>
        <w:tc>
          <w:tcPr>
            <w:tcW w:w="5000" w:type="pct"/>
            <w:vAlign w:val="center"/>
          </w:tcPr>
          <w:p w14:paraId="3C798EE8" w14:textId="77777777" w:rsidR="00441732" w:rsidRPr="006D7DEF" w:rsidRDefault="00441732" w:rsidP="00C45033">
            <w:pPr>
              <w:ind w:left="-57"/>
              <w:rPr>
                <w:rFonts w:ascii="Arial Narrow" w:hAnsi="Arial Narrow"/>
                <w:i/>
                <w:iCs/>
                <w:color w:val="333333"/>
                <w:sz w:val="20"/>
                <w:szCs w:val="20"/>
              </w:rPr>
            </w:pPr>
            <w:r w:rsidRPr="006D7DEF">
              <w:rPr>
                <w:rFonts w:ascii="Arial Narrow" w:hAnsi="Arial Narrow"/>
                <w:i/>
                <w:iCs/>
                <w:color w:val="333333"/>
                <w:sz w:val="20"/>
                <w:szCs w:val="20"/>
              </w:rPr>
              <w:t>The condition must have been treated with PD-1/PD-L1 inhibitor therapy obtained only through non-PBS supply, but at the time of treatment initiation, the condition was untreated with PD-1/PD-L1 inhibitor therapy</w:t>
            </w:r>
          </w:p>
        </w:tc>
      </w:tr>
      <w:tr w:rsidR="00441732" w:rsidRPr="00F120FB" w14:paraId="3FBF8ED7" w14:textId="77777777" w:rsidTr="00441732">
        <w:trPr>
          <w:cantSplit/>
          <w:trHeight w:val="20"/>
        </w:trPr>
        <w:tc>
          <w:tcPr>
            <w:tcW w:w="5000" w:type="pct"/>
            <w:vAlign w:val="center"/>
            <w:hideMark/>
          </w:tcPr>
          <w:p w14:paraId="3948FA85"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Treatment criteria:</w:t>
            </w:r>
          </w:p>
        </w:tc>
      </w:tr>
      <w:tr w:rsidR="00441732" w:rsidRPr="00F120FB" w14:paraId="72E838A2" w14:textId="77777777" w:rsidTr="00441732">
        <w:trPr>
          <w:cantSplit/>
          <w:trHeight w:val="20"/>
        </w:trPr>
        <w:tc>
          <w:tcPr>
            <w:tcW w:w="5000" w:type="pct"/>
            <w:vAlign w:val="center"/>
            <w:hideMark/>
          </w:tcPr>
          <w:p w14:paraId="1863A8CB" w14:textId="77777777" w:rsidR="00441732" w:rsidRPr="006D7DEF" w:rsidRDefault="00441732" w:rsidP="00C45033">
            <w:pPr>
              <w:autoSpaceDE w:val="0"/>
              <w:autoSpaceDN w:val="0"/>
              <w:adjustRightInd w:val="0"/>
              <w:ind w:left="-57"/>
              <w:rPr>
                <w:rFonts w:ascii="Arial Narrow" w:hAnsi="Arial Narrow" w:cs="Arial Narrow"/>
                <w:iCs/>
                <w:strike/>
                <w:color w:val="000000" w:themeColor="text1"/>
                <w:sz w:val="20"/>
                <w:szCs w:val="20"/>
              </w:rPr>
            </w:pPr>
            <w:r w:rsidRPr="006D7DEF">
              <w:rPr>
                <w:rFonts w:ascii="Arial Narrow" w:hAnsi="Arial Narrow" w:cs="Arial Narrow"/>
                <w:iCs/>
                <w:strike/>
                <w:color w:val="000000" w:themeColor="text1"/>
                <w:sz w:val="20"/>
                <w:szCs w:val="20"/>
              </w:rPr>
              <w:t>Patients must only receive a maximum of 240 mg every two weeks or 480 mg every four weeks.</w:t>
            </w:r>
          </w:p>
          <w:p w14:paraId="424F2FC4" w14:textId="77777777" w:rsidR="00441732" w:rsidRPr="006D7DEF" w:rsidRDefault="00441732" w:rsidP="00C45033">
            <w:pPr>
              <w:autoSpaceDE w:val="0"/>
              <w:autoSpaceDN w:val="0"/>
              <w:adjustRightInd w:val="0"/>
              <w:ind w:left="-57"/>
              <w:rPr>
                <w:rFonts w:ascii="Arial Narrow" w:hAnsi="Arial Narrow" w:cs="Arial Narrow"/>
                <w:i/>
                <w:iCs/>
                <w:sz w:val="20"/>
                <w:szCs w:val="20"/>
              </w:rPr>
            </w:pPr>
            <w:r w:rsidRPr="006D7DEF">
              <w:rPr>
                <w:rFonts w:ascii="Arial Narrow" w:hAnsi="Arial Narrow" w:cs="Arial Narrow"/>
                <w:i/>
                <w:iCs/>
                <w:sz w:val="20"/>
                <w:szCs w:val="20"/>
              </w:rPr>
              <w:t>Patient must be undergoing treatment with a dosing regimen as set out in the drug’s approved Australian Product Information</w:t>
            </w:r>
          </w:p>
        </w:tc>
      </w:tr>
      <w:tr w:rsidR="00441732" w:rsidRPr="00F120FB" w14:paraId="6AFE0B2B" w14:textId="77777777" w:rsidTr="00441732">
        <w:trPr>
          <w:cantSplit/>
          <w:trHeight w:val="20"/>
        </w:trPr>
        <w:tc>
          <w:tcPr>
            <w:tcW w:w="5000" w:type="pct"/>
            <w:vAlign w:val="center"/>
          </w:tcPr>
          <w:p w14:paraId="70543EE7" w14:textId="77777777" w:rsidR="00441732" w:rsidRPr="006D7DEF" w:rsidRDefault="00441732" w:rsidP="00C45033">
            <w:pPr>
              <w:autoSpaceDE w:val="0"/>
              <w:autoSpaceDN w:val="0"/>
              <w:adjustRightInd w:val="0"/>
              <w:ind w:left="-57"/>
              <w:rPr>
                <w:rFonts w:ascii="Arial Narrow" w:hAnsi="Arial Narrow" w:cs="Arial Narrow"/>
                <w:b/>
                <w:bCs/>
                <w:sz w:val="20"/>
                <w:szCs w:val="20"/>
              </w:rPr>
            </w:pPr>
          </w:p>
        </w:tc>
      </w:tr>
      <w:tr w:rsidR="00441732" w:rsidRPr="00F120FB" w14:paraId="45348856" w14:textId="77777777" w:rsidTr="00441732">
        <w:trPr>
          <w:cantSplit/>
          <w:trHeight w:val="20"/>
        </w:trPr>
        <w:tc>
          <w:tcPr>
            <w:tcW w:w="5000" w:type="pct"/>
            <w:vAlign w:val="center"/>
          </w:tcPr>
          <w:p w14:paraId="1498CE71" w14:textId="77777777" w:rsidR="00441732" w:rsidRPr="006D7DEF" w:rsidRDefault="00441732" w:rsidP="00C45033">
            <w:pPr>
              <w:autoSpaceDE w:val="0"/>
              <w:autoSpaceDN w:val="0"/>
              <w:adjustRightInd w:val="0"/>
              <w:ind w:left="-57"/>
              <w:rPr>
                <w:rFonts w:ascii="Arial Narrow" w:hAnsi="Arial Narrow" w:cs="Arial Narrow"/>
                <w:b/>
                <w:bCs/>
                <w:strike/>
                <w:sz w:val="20"/>
                <w:szCs w:val="20"/>
              </w:rPr>
            </w:pPr>
            <w:r w:rsidRPr="006D7DEF">
              <w:rPr>
                <w:rFonts w:ascii="Arial Narrow" w:hAnsi="Arial Narrow" w:cs="Arial Narrow"/>
                <w:b/>
                <w:bCs/>
                <w:strike/>
                <w:sz w:val="20"/>
                <w:szCs w:val="20"/>
              </w:rPr>
              <w:t>Treatment criteria:</w:t>
            </w:r>
          </w:p>
        </w:tc>
      </w:tr>
      <w:tr w:rsidR="00441732" w:rsidRPr="00F120FB" w14:paraId="11882906" w14:textId="77777777" w:rsidTr="00441732">
        <w:trPr>
          <w:cantSplit/>
          <w:trHeight w:val="20"/>
        </w:trPr>
        <w:tc>
          <w:tcPr>
            <w:tcW w:w="5000" w:type="pct"/>
            <w:vAlign w:val="center"/>
          </w:tcPr>
          <w:p w14:paraId="5CC520CC" w14:textId="77777777" w:rsidR="00441732" w:rsidRPr="006D7DEF" w:rsidRDefault="00441732" w:rsidP="00C45033">
            <w:pPr>
              <w:autoSpaceDE w:val="0"/>
              <w:autoSpaceDN w:val="0"/>
              <w:adjustRightInd w:val="0"/>
              <w:ind w:left="-57"/>
              <w:rPr>
                <w:rFonts w:ascii="Arial Narrow" w:hAnsi="Arial Narrow" w:cs="Arial Narrow"/>
                <w:strike/>
                <w:sz w:val="20"/>
                <w:szCs w:val="20"/>
              </w:rPr>
            </w:pPr>
            <w:r w:rsidRPr="006D7DEF">
              <w:rPr>
                <w:rFonts w:ascii="Arial Narrow" w:hAnsi="Arial Narrow" w:cs="Arial Narrow"/>
                <w:strike/>
                <w:sz w:val="20"/>
                <w:szCs w:val="20"/>
              </w:rPr>
              <w:t>Initial treatment</w:t>
            </w:r>
          </w:p>
        </w:tc>
      </w:tr>
      <w:tr w:rsidR="00441732" w:rsidRPr="00F120FB" w14:paraId="341DDE05" w14:textId="77777777" w:rsidTr="00441732">
        <w:trPr>
          <w:cantSplit/>
          <w:trHeight w:val="20"/>
        </w:trPr>
        <w:tc>
          <w:tcPr>
            <w:tcW w:w="5000" w:type="pct"/>
            <w:vAlign w:val="center"/>
          </w:tcPr>
          <w:p w14:paraId="567DD33E" w14:textId="77777777" w:rsidR="00441732" w:rsidRPr="006D7DEF" w:rsidRDefault="00441732" w:rsidP="00C45033">
            <w:pPr>
              <w:autoSpaceDE w:val="0"/>
              <w:autoSpaceDN w:val="0"/>
              <w:adjustRightInd w:val="0"/>
              <w:ind w:left="-57"/>
              <w:rPr>
                <w:rFonts w:ascii="Arial Narrow" w:hAnsi="Arial Narrow" w:cs="Arial Narrow"/>
                <w:i/>
                <w:iCs/>
                <w:sz w:val="20"/>
                <w:szCs w:val="20"/>
              </w:rPr>
            </w:pPr>
          </w:p>
        </w:tc>
      </w:tr>
      <w:tr w:rsidR="00441732" w:rsidRPr="00F120FB" w14:paraId="75274F7E" w14:textId="77777777" w:rsidTr="00441732">
        <w:trPr>
          <w:cantSplit/>
          <w:trHeight w:val="20"/>
        </w:trPr>
        <w:tc>
          <w:tcPr>
            <w:tcW w:w="5000" w:type="pct"/>
            <w:vAlign w:val="center"/>
            <w:hideMark/>
          </w:tcPr>
          <w:p w14:paraId="0E3CE0AC" w14:textId="77777777" w:rsidR="00441732" w:rsidRPr="006D7DEF" w:rsidRDefault="00441732" w:rsidP="00C45033">
            <w:pPr>
              <w:ind w:left="-57"/>
              <w:rPr>
                <w:rFonts w:ascii="Arial Narrow" w:hAnsi="Arial Narrow"/>
                <w:bCs/>
                <w:strike/>
                <w:color w:val="FF0000"/>
                <w:sz w:val="20"/>
                <w:szCs w:val="20"/>
              </w:rPr>
            </w:pPr>
            <w:r w:rsidRPr="006D7DEF">
              <w:rPr>
                <w:rFonts w:ascii="Arial Narrow" w:hAnsi="Arial Narrow"/>
                <w:b/>
                <w:bCs/>
                <w:strike/>
                <w:color w:val="333333"/>
                <w:sz w:val="20"/>
                <w:szCs w:val="20"/>
              </w:rPr>
              <w:t xml:space="preserve">Prescribing Instructions: </w:t>
            </w:r>
          </w:p>
          <w:p w14:paraId="5083DF0E" w14:textId="77777777" w:rsidR="00441732" w:rsidRPr="006D7DEF" w:rsidRDefault="00441732" w:rsidP="00C45033">
            <w:pPr>
              <w:ind w:left="-57"/>
              <w:rPr>
                <w:rFonts w:ascii="Arial Narrow" w:hAnsi="Arial Narrow" w:cs="Times New Roman"/>
                <w:strike/>
                <w:color w:val="333333"/>
                <w:sz w:val="20"/>
                <w:szCs w:val="20"/>
              </w:rPr>
            </w:pPr>
            <w:r w:rsidRPr="006D7DEF">
              <w:rPr>
                <w:rFonts w:ascii="Arial Narrow" w:hAnsi="Arial Narrow" w:cs="Times New Roman"/>
                <w:strike/>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14:paraId="6E10FB3E" w14:textId="77777777" w:rsidR="00441732" w:rsidRPr="006D7DEF" w:rsidRDefault="00441732" w:rsidP="00C45033">
            <w:pPr>
              <w:ind w:left="-57"/>
              <w:rPr>
                <w:rFonts w:ascii="Arial Narrow" w:hAnsi="Arial Narrow" w:cs="Times New Roman"/>
                <w:strike/>
                <w:color w:val="333333"/>
                <w:sz w:val="20"/>
                <w:szCs w:val="20"/>
              </w:rPr>
            </w:pPr>
            <w:r w:rsidRPr="006D7DEF">
              <w:rPr>
                <w:rFonts w:ascii="Arial Narrow" w:hAnsi="Arial Narrow" w:cs="Times New Roman"/>
                <w:strike/>
                <w:color w:val="333333"/>
                <w:sz w:val="20"/>
                <w:szCs w:val="20"/>
              </w:rPr>
              <w:t>No increase in the maximum quantity or number of units may be authorised.</w:t>
            </w:r>
          </w:p>
          <w:p w14:paraId="1C836D97" w14:textId="77777777" w:rsidR="00441732" w:rsidRPr="006D7DEF" w:rsidRDefault="00441732" w:rsidP="00C45033">
            <w:pPr>
              <w:ind w:left="-57"/>
              <w:rPr>
                <w:rFonts w:ascii="Arial Narrow" w:hAnsi="Arial Narrow" w:cs="Times New Roman"/>
                <w:strike/>
                <w:color w:val="333333"/>
                <w:sz w:val="20"/>
                <w:szCs w:val="20"/>
              </w:rPr>
            </w:pPr>
            <w:r w:rsidRPr="006D7DEF">
              <w:rPr>
                <w:rFonts w:ascii="Arial Narrow" w:hAnsi="Arial Narrow" w:cs="Times New Roman"/>
                <w:strike/>
                <w:color w:val="333333"/>
                <w:sz w:val="20"/>
                <w:szCs w:val="20"/>
              </w:rPr>
              <w:t>Up to 7 repeats may be authorised if dosing at 240mg every 2 weeks.</w:t>
            </w:r>
          </w:p>
          <w:p w14:paraId="790FFB44" w14:textId="77777777" w:rsidR="00441732" w:rsidRPr="006D7DEF" w:rsidRDefault="00441732" w:rsidP="00C45033">
            <w:pPr>
              <w:ind w:left="-57"/>
              <w:rPr>
                <w:rFonts w:ascii="Arial Narrow" w:hAnsi="Arial Narrow"/>
                <w:strike/>
                <w:sz w:val="20"/>
                <w:szCs w:val="20"/>
              </w:rPr>
            </w:pPr>
            <w:r w:rsidRPr="006D7DEF">
              <w:rPr>
                <w:rFonts w:ascii="Arial Narrow" w:hAnsi="Arial Narrow" w:cs="Times New Roman"/>
                <w:strike/>
                <w:color w:val="333333"/>
                <w:sz w:val="20"/>
                <w:szCs w:val="20"/>
              </w:rPr>
              <w:t>The treatment must not exceed 12 months for this PBS indication.</w:t>
            </w:r>
          </w:p>
        </w:tc>
      </w:tr>
      <w:tr w:rsidR="00441732" w:rsidRPr="00F120FB" w14:paraId="63EBD6CF" w14:textId="77777777" w:rsidTr="00441732">
        <w:trPr>
          <w:cantSplit/>
          <w:trHeight w:val="20"/>
        </w:trPr>
        <w:tc>
          <w:tcPr>
            <w:tcW w:w="5000" w:type="pct"/>
          </w:tcPr>
          <w:p w14:paraId="32438902" w14:textId="77777777" w:rsidR="00441732" w:rsidRPr="006D7DEF" w:rsidRDefault="00441732" w:rsidP="00C45033">
            <w:pPr>
              <w:keepNext/>
              <w:ind w:left="-57"/>
              <w:rPr>
                <w:rFonts w:ascii="Arial Narrow" w:hAnsi="Arial Narrow"/>
                <w:sz w:val="20"/>
                <w:szCs w:val="20"/>
              </w:rPr>
            </w:pPr>
            <w:r w:rsidRPr="006D7DEF">
              <w:rPr>
                <w:rFonts w:ascii="Arial Narrow" w:hAnsi="Arial Narrow"/>
                <w:b/>
                <w:sz w:val="20"/>
                <w:szCs w:val="20"/>
              </w:rPr>
              <w:lastRenderedPageBreak/>
              <w:t xml:space="preserve">Category / Program: </w:t>
            </w:r>
            <w:r w:rsidRPr="006D7DEF">
              <w:rPr>
                <w:rFonts w:ascii="Arial Narrow" w:hAnsi="Arial Narrow"/>
                <w:sz w:val="20"/>
                <w:szCs w:val="20"/>
              </w:rPr>
              <w:t xml:space="preserve">Section 100 – Efficient Funding of Chemotherapy Public/Private hospitals  </w:t>
            </w:r>
          </w:p>
        </w:tc>
      </w:tr>
      <w:tr w:rsidR="00441732" w:rsidRPr="00F120FB" w14:paraId="7CC25543" w14:textId="77777777" w:rsidTr="00441732">
        <w:trPr>
          <w:cantSplit/>
          <w:trHeight w:val="20"/>
        </w:trPr>
        <w:tc>
          <w:tcPr>
            <w:tcW w:w="5000" w:type="pct"/>
          </w:tcPr>
          <w:p w14:paraId="3AF8FB02" w14:textId="77777777" w:rsidR="00441732" w:rsidRPr="006D7DEF" w:rsidRDefault="00441732" w:rsidP="00C45033">
            <w:pPr>
              <w:keepNext/>
              <w:ind w:left="-57"/>
              <w:rPr>
                <w:rFonts w:ascii="Arial Narrow" w:hAnsi="Arial Narrow"/>
                <w:b/>
                <w:sz w:val="20"/>
                <w:szCs w:val="20"/>
              </w:rPr>
            </w:pPr>
            <w:r w:rsidRPr="006D7DEF">
              <w:rPr>
                <w:rFonts w:ascii="Arial Narrow" w:hAnsi="Arial Narrow"/>
                <w:b/>
                <w:sz w:val="20"/>
                <w:szCs w:val="20"/>
              </w:rPr>
              <w:t xml:space="preserve">Prescriber type: </w:t>
            </w:r>
            <w:r w:rsidRPr="006D7DEF">
              <w:rPr>
                <w:rFonts w:ascii="Arial Narrow" w:hAnsi="Arial Narrow"/>
                <w:i/>
                <w:iCs/>
                <w:sz w:val="20"/>
                <w:szCs w:val="20"/>
              </w:rPr>
              <w:fldChar w:fldCharType="begin">
                <w:ffData>
                  <w:name w:val=""/>
                  <w:enabled/>
                  <w:calcOnExit w:val="0"/>
                  <w:checkBox>
                    <w:sizeAuto/>
                    <w:default w:val="1"/>
                  </w:checkBox>
                </w:ffData>
              </w:fldChar>
            </w:r>
            <w:r w:rsidRPr="006D7DEF">
              <w:rPr>
                <w:rFonts w:ascii="Arial Narrow" w:hAnsi="Arial Narrow"/>
                <w:i/>
                <w:iCs/>
                <w:sz w:val="20"/>
                <w:szCs w:val="20"/>
              </w:rPr>
              <w:instrText xml:space="preserve"> FORMCHECKBOX </w:instrText>
            </w:r>
            <w:r w:rsidR="00B73889">
              <w:rPr>
                <w:rFonts w:ascii="Arial Narrow" w:hAnsi="Arial Narrow"/>
                <w:i/>
                <w:iCs/>
                <w:sz w:val="20"/>
                <w:szCs w:val="20"/>
              </w:rPr>
            </w:r>
            <w:r w:rsidR="00B73889">
              <w:rPr>
                <w:rFonts w:ascii="Arial Narrow" w:hAnsi="Arial Narrow"/>
                <w:i/>
                <w:iCs/>
                <w:sz w:val="20"/>
                <w:szCs w:val="20"/>
              </w:rPr>
              <w:fldChar w:fldCharType="separate"/>
            </w:r>
            <w:r w:rsidRPr="006D7DEF">
              <w:rPr>
                <w:rFonts w:ascii="Arial Narrow" w:hAnsi="Arial Narrow"/>
                <w:i/>
                <w:iCs/>
                <w:sz w:val="20"/>
                <w:szCs w:val="20"/>
              </w:rPr>
              <w:fldChar w:fldCharType="end"/>
            </w:r>
            <w:r w:rsidRPr="006D7DEF">
              <w:rPr>
                <w:rFonts w:ascii="Arial Narrow" w:hAnsi="Arial Narrow"/>
                <w:sz w:val="20"/>
                <w:szCs w:val="20"/>
              </w:rPr>
              <w:t xml:space="preserve">Medical Practitioners </w:t>
            </w:r>
          </w:p>
        </w:tc>
      </w:tr>
      <w:tr w:rsidR="00441732" w:rsidRPr="00F120FB" w14:paraId="5E29AE5C" w14:textId="77777777" w:rsidTr="00441732">
        <w:trPr>
          <w:cantSplit/>
          <w:trHeight w:val="20"/>
        </w:trPr>
        <w:tc>
          <w:tcPr>
            <w:tcW w:w="5000" w:type="pct"/>
          </w:tcPr>
          <w:p w14:paraId="36AB214F" w14:textId="77777777" w:rsidR="00441732" w:rsidRPr="006D7DEF" w:rsidRDefault="00441732" w:rsidP="00C45033">
            <w:pPr>
              <w:ind w:left="-57"/>
              <w:rPr>
                <w:rFonts w:ascii="Arial Narrow" w:eastAsia="Calibri" w:hAnsi="Arial Narrow"/>
                <w:sz w:val="20"/>
                <w:szCs w:val="20"/>
              </w:rPr>
            </w:pPr>
            <w:r w:rsidRPr="006D7DEF">
              <w:rPr>
                <w:rFonts w:ascii="Arial Narrow" w:hAnsi="Arial Narrow"/>
                <w:b/>
                <w:sz w:val="20"/>
                <w:szCs w:val="20"/>
              </w:rPr>
              <w:t xml:space="preserve">Restriction type: </w:t>
            </w:r>
            <w:r w:rsidRPr="006D7DEF">
              <w:rPr>
                <w:rFonts w:ascii="Arial Narrow" w:eastAsia="Calibri" w:hAnsi="Arial Narrow"/>
                <w:sz w:val="20"/>
                <w:szCs w:val="20"/>
              </w:rPr>
              <w:fldChar w:fldCharType="begin">
                <w:ffData>
                  <w:name w:val="Check3"/>
                  <w:enabled/>
                  <w:calcOnExit w:val="0"/>
                  <w:checkBox>
                    <w:sizeAuto/>
                    <w:default w:val="1"/>
                  </w:checkBox>
                </w:ffData>
              </w:fldChar>
            </w:r>
            <w:r w:rsidRPr="006D7DEF">
              <w:rPr>
                <w:rFonts w:ascii="Arial Narrow" w:eastAsia="Calibri" w:hAnsi="Arial Narrow"/>
                <w:sz w:val="20"/>
                <w:szCs w:val="20"/>
              </w:rPr>
              <w:instrText xml:space="preserve"> FORMCHECKBOX </w:instrText>
            </w:r>
            <w:r w:rsidR="00B73889">
              <w:rPr>
                <w:rFonts w:ascii="Arial Narrow" w:eastAsia="Calibri" w:hAnsi="Arial Narrow"/>
                <w:sz w:val="20"/>
                <w:szCs w:val="20"/>
              </w:rPr>
            </w:r>
            <w:r w:rsidR="00B73889">
              <w:rPr>
                <w:rFonts w:ascii="Arial Narrow" w:eastAsia="Calibri" w:hAnsi="Arial Narrow"/>
                <w:sz w:val="20"/>
                <w:szCs w:val="20"/>
              </w:rPr>
              <w:fldChar w:fldCharType="separate"/>
            </w:r>
            <w:r w:rsidRPr="006D7DEF">
              <w:rPr>
                <w:rFonts w:ascii="Arial Narrow" w:eastAsia="Calibri" w:hAnsi="Arial Narrow"/>
                <w:sz w:val="20"/>
                <w:szCs w:val="20"/>
              </w:rPr>
              <w:fldChar w:fldCharType="end"/>
            </w:r>
            <w:r w:rsidRPr="006D7DEF">
              <w:rPr>
                <w:rFonts w:ascii="Arial Narrow" w:eastAsia="Calibri" w:hAnsi="Arial Narrow"/>
                <w:sz w:val="20"/>
                <w:szCs w:val="20"/>
              </w:rPr>
              <w:t xml:space="preserve">Authority Required (telephone/online PBS Authorities system) </w:t>
            </w:r>
          </w:p>
        </w:tc>
      </w:tr>
      <w:tr w:rsidR="00441732" w:rsidRPr="00F120FB" w14:paraId="6196E187" w14:textId="77777777" w:rsidTr="00441732">
        <w:trPr>
          <w:cantSplit/>
          <w:trHeight w:val="20"/>
        </w:trPr>
        <w:tc>
          <w:tcPr>
            <w:tcW w:w="5000" w:type="pct"/>
          </w:tcPr>
          <w:p w14:paraId="72A93D05" w14:textId="77777777" w:rsidR="00441732" w:rsidRPr="006D7DEF" w:rsidRDefault="00441732" w:rsidP="00C45033">
            <w:pPr>
              <w:ind w:left="-57"/>
              <w:rPr>
                <w:rFonts w:ascii="Arial Narrow" w:hAnsi="Arial Narrow"/>
                <w:b/>
                <w:sz w:val="20"/>
                <w:szCs w:val="20"/>
              </w:rPr>
            </w:pPr>
          </w:p>
        </w:tc>
      </w:tr>
      <w:tr w:rsidR="00441732" w:rsidRPr="00F120FB" w14:paraId="79D10E69" w14:textId="77777777" w:rsidTr="00441732">
        <w:trPr>
          <w:cantSplit/>
          <w:trHeight w:val="20"/>
        </w:trPr>
        <w:tc>
          <w:tcPr>
            <w:tcW w:w="5000" w:type="pct"/>
            <w:vAlign w:val="center"/>
            <w:hideMark/>
          </w:tcPr>
          <w:p w14:paraId="41A1DE11" w14:textId="77777777" w:rsidR="00441732" w:rsidRPr="006D7DEF" w:rsidRDefault="00441732" w:rsidP="00C45033">
            <w:pPr>
              <w:keepLines/>
              <w:ind w:left="-57"/>
              <w:rPr>
                <w:rFonts w:ascii="Arial Narrow" w:hAnsi="Arial Narrow"/>
                <w:color w:val="333333"/>
                <w:sz w:val="20"/>
                <w:szCs w:val="20"/>
              </w:rPr>
            </w:pPr>
            <w:r w:rsidRPr="006D7DEF">
              <w:rPr>
                <w:rFonts w:ascii="Arial Narrow" w:hAnsi="Arial Narrow"/>
                <w:b/>
                <w:bCs/>
                <w:color w:val="333333"/>
                <w:sz w:val="20"/>
                <w:szCs w:val="20"/>
              </w:rPr>
              <w:t>Indication:</w:t>
            </w:r>
            <w:r w:rsidRPr="006D7DEF">
              <w:rPr>
                <w:rFonts w:ascii="Arial Narrow" w:hAnsi="Arial Narrow"/>
                <w:color w:val="333333"/>
                <w:sz w:val="20"/>
                <w:szCs w:val="20"/>
              </w:rPr>
              <w:t xml:space="preserve"> </w:t>
            </w:r>
            <w:r w:rsidRPr="006D7DEF">
              <w:rPr>
                <w:rFonts w:ascii="Arial Narrow" w:hAnsi="Arial Narrow"/>
                <w:i/>
                <w:iCs/>
                <w:color w:val="333333"/>
                <w:sz w:val="20"/>
                <w:szCs w:val="20"/>
              </w:rPr>
              <w:t>Adjuvant treatment of</w:t>
            </w:r>
            <w:r w:rsidRPr="006D7DEF">
              <w:rPr>
                <w:rFonts w:ascii="Arial Narrow" w:hAnsi="Arial Narrow"/>
                <w:color w:val="333333"/>
                <w:sz w:val="20"/>
                <w:szCs w:val="20"/>
              </w:rPr>
              <w:t xml:space="preserve"> stage II or III </w:t>
            </w:r>
            <w:r w:rsidRPr="006D7DEF">
              <w:rPr>
                <w:rFonts w:ascii="Arial Narrow" w:hAnsi="Arial Narrow"/>
                <w:bCs/>
                <w:sz w:val="20"/>
                <w:szCs w:val="20"/>
              </w:rPr>
              <w:t xml:space="preserve">oesophageal carcinoma </w:t>
            </w:r>
            <w:r w:rsidRPr="006D7DEF">
              <w:rPr>
                <w:rFonts w:ascii="Arial Narrow" w:hAnsi="Arial Narrow"/>
                <w:bCs/>
                <w:strike/>
                <w:sz w:val="20"/>
                <w:szCs w:val="20"/>
              </w:rPr>
              <w:t>(OC)</w:t>
            </w:r>
            <w:r w:rsidRPr="006D7DEF">
              <w:rPr>
                <w:rFonts w:ascii="Arial Narrow" w:hAnsi="Arial Narrow"/>
                <w:bCs/>
                <w:sz w:val="20"/>
                <w:szCs w:val="20"/>
              </w:rPr>
              <w:t xml:space="preserve"> or gastro-oesophageal carcinoma </w:t>
            </w:r>
            <w:r w:rsidRPr="006D7DEF">
              <w:rPr>
                <w:rFonts w:ascii="Arial Narrow" w:hAnsi="Arial Narrow"/>
                <w:bCs/>
                <w:strike/>
                <w:sz w:val="20"/>
                <w:szCs w:val="20"/>
              </w:rPr>
              <w:t>(GOJC)</w:t>
            </w:r>
          </w:p>
        </w:tc>
      </w:tr>
      <w:tr w:rsidR="00441732" w:rsidRPr="00F120FB" w14:paraId="09815DE9" w14:textId="77777777" w:rsidTr="00441732">
        <w:trPr>
          <w:cantSplit/>
          <w:trHeight w:val="20"/>
        </w:trPr>
        <w:tc>
          <w:tcPr>
            <w:tcW w:w="5000" w:type="pct"/>
            <w:vAlign w:val="center"/>
          </w:tcPr>
          <w:p w14:paraId="249F2CAB" w14:textId="77777777" w:rsidR="00441732" w:rsidRPr="006D7DEF" w:rsidRDefault="00441732" w:rsidP="00C45033">
            <w:pPr>
              <w:keepLines/>
              <w:ind w:left="-57"/>
              <w:rPr>
                <w:rFonts w:ascii="Arial Narrow" w:hAnsi="Arial Narrow"/>
                <w:b/>
                <w:bCs/>
                <w:color w:val="333333"/>
                <w:sz w:val="20"/>
                <w:szCs w:val="20"/>
              </w:rPr>
            </w:pPr>
          </w:p>
        </w:tc>
      </w:tr>
      <w:tr w:rsidR="00441732" w:rsidRPr="00F120FB" w14:paraId="48EE2851" w14:textId="77777777" w:rsidTr="00441732">
        <w:trPr>
          <w:cantSplit/>
          <w:trHeight w:val="20"/>
        </w:trPr>
        <w:tc>
          <w:tcPr>
            <w:tcW w:w="5000" w:type="pct"/>
            <w:vAlign w:val="center"/>
            <w:hideMark/>
          </w:tcPr>
          <w:p w14:paraId="6AD0021E"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Treatment Phase:</w:t>
            </w:r>
            <w:r w:rsidRPr="006D7DEF">
              <w:rPr>
                <w:rFonts w:ascii="Arial Narrow" w:hAnsi="Arial Narrow"/>
                <w:color w:val="333333"/>
                <w:sz w:val="20"/>
                <w:szCs w:val="20"/>
              </w:rPr>
              <w:t xml:space="preserve"> Continuing treatment</w:t>
            </w:r>
          </w:p>
        </w:tc>
      </w:tr>
      <w:tr w:rsidR="00441732" w:rsidRPr="00F120FB" w14:paraId="335EE5BB" w14:textId="77777777" w:rsidTr="00441732">
        <w:trPr>
          <w:cantSplit/>
          <w:trHeight w:val="20"/>
        </w:trPr>
        <w:tc>
          <w:tcPr>
            <w:tcW w:w="5000" w:type="pct"/>
            <w:vAlign w:val="center"/>
          </w:tcPr>
          <w:p w14:paraId="17D3CCA7" w14:textId="77777777" w:rsidR="00441732" w:rsidRPr="006D7DEF" w:rsidRDefault="00441732" w:rsidP="00C45033">
            <w:pPr>
              <w:ind w:left="-57"/>
              <w:rPr>
                <w:rFonts w:ascii="Arial Narrow" w:hAnsi="Arial Narrow"/>
                <w:b/>
                <w:bCs/>
                <w:color w:val="333333"/>
                <w:sz w:val="20"/>
                <w:szCs w:val="20"/>
              </w:rPr>
            </w:pPr>
          </w:p>
        </w:tc>
      </w:tr>
      <w:tr w:rsidR="00441732" w:rsidRPr="00F120FB" w14:paraId="58D47C7F" w14:textId="77777777" w:rsidTr="00441732">
        <w:trPr>
          <w:cantSplit/>
          <w:trHeight w:val="20"/>
        </w:trPr>
        <w:tc>
          <w:tcPr>
            <w:tcW w:w="5000" w:type="pct"/>
            <w:vAlign w:val="center"/>
            <w:hideMark/>
          </w:tcPr>
          <w:p w14:paraId="47350A2F"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 xml:space="preserve">Clinical criteria: </w:t>
            </w:r>
          </w:p>
        </w:tc>
      </w:tr>
      <w:tr w:rsidR="00441732" w:rsidRPr="00F120FB" w14:paraId="7C2921FC" w14:textId="77777777" w:rsidTr="00441732">
        <w:trPr>
          <w:cantSplit/>
          <w:trHeight w:val="20"/>
        </w:trPr>
        <w:tc>
          <w:tcPr>
            <w:tcW w:w="5000" w:type="pct"/>
            <w:vAlign w:val="center"/>
            <w:hideMark/>
          </w:tcPr>
          <w:p w14:paraId="56A7BDCC" w14:textId="77777777" w:rsidR="00441732" w:rsidRPr="006D7DEF" w:rsidRDefault="00441732" w:rsidP="00C45033">
            <w:pPr>
              <w:ind w:left="-57"/>
              <w:rPr>
                <w:rFonts w:ascii="Arial Narrow" w:hAnsi="Arial Narrow" w:cs="Times New Roman"/>
                <w:color w:val="333333"/>
                <w:sz w:val="20"/>
                <w:szCs w:val="20"/>
              </w:rPr>
            </w:pPr>
            <w:r w:rsidRPr="006D7DEF">
              <w:rPr>
                <w:rFonts w:ascii="Arial Narrow" w:hAnsi="Arial Narrow" w:cs="Times New Roman"/>
                <w:color w:val="333333"/>
                <w:sz w:val="20"/>
                <w:szCs w:val="20"/>
              </w:rPr>
              <w:t>Patient must have previously received PBS-subsidised treatment with this drug for this condition.</w:t>
            </w:r>
          </w:p>
        </w:tc>
      </w:tr>
      <w:tr w:rsidR="00441732" w:rsidRPr="00F120FB" w14:paraId="417FFFA1" w14:textId="77777777" w:rsidTr="00441732">
        <w:trPr>
          <w:cantSplit/>
          <w:trHeight w:val="20"/>
        </w:trPr>
        <w:tc>
          <w:tcPr>
            <w:tcW w:w="5000" w:type="pct"/>
            <w:vAlign w:val="center"/>
          </w:tcPr>
          <w:p w14:paraId="7AB65FA4" w14:textId="77777777" w:rsidR="00441732" w:rsidRPr="006D7DEF" w:rsidRDefault="00441732" w:rsidP="00C45033">
            <w:pPr>
              <w:ind w:left="-57"/>
              <w:rPr>
                <w:rFonts w:ascii="Arial Narrow" w:hAnsi="Arial Narrow"/>
                <w:b/>
                <w:bCs/>
                <w:color w:val="333333"/>
                <w:sz w:val="20"/>
                <w:szCs w:val="20"/>
              </w:rPr>
            </w:pPr>
            <w:r w:rsidRPr="006D7DEF">
              <w:rPr>
                <w:rFonts w:ascii="Arial Narrow" w:hAnsi="Arial Narrow"/>
                <w:b/>
                <w:bCs/>
                <w:color w:val="333333"/>
                <w:sz w:val="20"/>
                <w:szCs w:val="20"/>
              </w:rPr>
              <w:t>AND</w:t>
            </w:r>
          </w:p>
        </w:tc>
      </w:tr>
      <w:tr w:rsidR="00441732" w:rsidRPr="00F120FB" w14:paraId="37C1F2A2" w14:textId="77777777" w:rsidTr="00441732">
        <w:trPr>
          <w:cantSplit/>
          <w:trHeight w:val="20"/>
        </w:trPr>
        <w:tc>
          <w:tcPr>
            <w:tcW w:w="5000" w:type="pct"/>
            <w:vAlign w:val="center"/>
          </w:tcPr>
          <w:p w14:paraId="2078076F"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5A8057DC" w14:textId="77777777" w:rsidTr="00441732">
        <w:trPr>
          <w:cantSplit/>
          <w:trHeight w:val="20"/>
        </w:trPr>
        <w:tc>
          <w:tcPr>
            <w:tcW w:w="5000" w:type="pct"/>
            <w:vAlign w:val="center"/>
          </w:tcPr>
          <w:p w14:paraId="7F6ED8CE"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color w:val="333333"/>
                <w:sz w:val="20"/>
                <w:szCs w:val="20"/>
              </w:rPr>
              <w:t>Patient must not have experienced disease recurrence.</w:t>
            </w:r>
          </w:p>
        </w:tc>
      </w:tr>
      <w:tr w:rsidR="00441732" w:rsidRPr="00F120FB" w14:paraId="14C104CF" w14:textId="77777777" w:rsidTr="00441732">
        <w:trPr>
          <w:cantSplit/>
          <w:trHeight w:val="20"/>
        </w:trPr>
        <w:tc>
          <w:tcPr>
            <w:tcW w:w="5000" w:type="pct"/>
            <w:vAlign w:val="center"/>
          </w:tcPr>
          <w:p w14:paraId="045D9245" w14:textId="77777777" w:rsidR="00441732" w:rsidRPr="006D7DEF" w:rsidRDefault="00441732" w:rsidP="00C45033">
            <w:pPr>
              <w:ind w:left="-57"/>
              <w:rPr>
                <w:rFonts w:ascii="Arial Narrow" w:hAnsi="Arial Narrow"/>
                <w:color w:val="FF0000"/>
                <w:sz w:val="20"/>
                <w:szCs w:val="20"/>
              </w:rPr>
            </w:pPr>
            <w:r w:rsidRPr="006D7DEF">
              <w:rPr>
                <w:rFonts w:ascii="Arial Narrow" w:hAnsi="Arial Narrow"/>
                <w:b/>
                <w:bCs/>
                <w:color w:val="333333"/>
                <w:sz w:val="20"/>
                <w:szCs w:val="20"/>
              </w:rPr>
              <w:t>AND</w:t>
            </w:r>
          </w:p>
        </w:tc>
      </w:tr>
      <w:tr w:rsidR="00441732" w:rsidRPr="00F120FB" w14:paraId="53F66FBC" w14:textId="77777777" w:rsidTr="00441732">
        <w:trPr>
          <w:cantSplit/>
          <w:trHeight w:val="20"/>
        </w:trPr>
        <w:tc>
          <w:tcPr>
            <w:tcW w:w="5000" w:type="pct"/>
            <w:vAlign w:val="center"/>
          </w:tcPr>
          <w:p w14:paraId="428A6FF9"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Clinical criteria:</w:t>
            </w:r>
          </w:p>
        </w:tc>
      </w:tr>
      <w:tr w:rsidR="00441732" w:rsidRPr="00F120FB" w14:paraId="0C905963" w14:textId="77777777" w:rsidTr="00441732">
        <w:trPr>
          <w:cantSplit/>
          <w:trHeight w:val="20"/>
        </w:trPr>
        <w:tc>
          <w:tcPr>
            <w:tcW w:w="5000" w:type="pct"/>
            <w:vAlign w:val="center"/>
          </w:tcPr>
          <w:p w14:paraId="3CC92B56" w14:textId="77777777" w:rsidR="00441732" w:rsidRPr="006D7DEF" w:rsidRDefault="00441732" w:rsidP="00C45033">
            <w:pPr>
              <w:keepNext/>
              <w:ind w:left="-57"/>
              <w:rPr>
                <w:rFonts w:ascii="Arial Narrow" w:hAnsi="Arial Narrow" w:cs="Times New Roman"/>
                <w:color w:val="333333"/>
                <w:sz w:val="20"/>
                <w:szCs w:val="20"/>
              </w:rPr>
            </w:pPr>
            <w:r w:rsidRPr="006D7DEF">
              <w:rPr>
                <w:rFonts w:ascii="Arial Narrow" w:hAnsi="Arial Narrow" w:cs="Times New Roman"/>
                <w:color w:val="333333"/>
                <w:sz w:val="20"/>
                <w:szCs w:val="20"/>
              </w:rPr>
              <w:t>The treatment must be the sole PBS-subsidised therapy for this condition.</w:t>
            </w:r>
          </w:p>
        </w:tc>
      </w:tr>
      <w:tr w:rsidR="00441732" w:rsidRPr="00F120FB" w14:paraId="478328B6" w14:textId="77777777" w:rsidTr="00441732">
        <w:trPr>
          <w:cantSplit/>
          <w:trHeight w:val="20"/>
        </w:trPr>
        <w:tc>
          <w:tcPr>
            <w:tcW w:w="5000" w:type="pct"/>
            <w:vAlign w:val="center"/>
          </w:tcPr>
          <w:p w14:paraId="61EC764C" w14:textId="77777777" w:rsidR="00441732" w:rsidRPr="006D7DEF" w:rsidRDefault="00441732" w:rsidP="00C45033">
            <w:pPr>
              <w:ind w:left="-57"/>
              <w:rPr>
                <w:rFonts w:ascii="Arial Narrow" w:hAnsi="Arial Narrow"/>
                <w:b/>
                <w:bCs/>
                <w:i/>
                <w:iCs/>
                <w:color w:val="333333"/>
                <w:sz w:val="20"/>
                <w:szCs w:val="20"/>
              </w:rPr>
            </w:pPr>
            <w:r w:rsidRPr="006D7DEF">
              <w:rPr>
                <w:rFonts w:ascii="Arial Narrow" w:hAnsi="Arial Narrow"/>
                <w:b/>
                <w:bCs/>
                <w:i/>
                <w:iCs/>
                <w:color w:val="333333"/>
                <w:sz w:val="20"/>
                <w:szCs w:val="20"/>
              </w:rPr>
              <w:t>AND</w:t>
            </w:r>
          </w:p>
        </w:tc>
      </w:tr>
      <w:tr w:rsidR="00441732" w:rsidRPr="00F120FB" w14:paraId="74BB10BC" w14:textId="77777777" w:rsidTr="00441732">
        <w:trPr>
          <w:cantSplit/>
          <w:trHeight w:val="20"/>
        </w:trPr>
        <w:tc>
          <w:tcPr>
            <w:tcW w:w="5000" w:type="pct"/>
            <w:vAlign w:val="center"/>
          </w:tcPr>
          <w:p w14:paraId="3F8537D1" w14:textId="77777777" w:rsidR="00441732" w:rsidRPr="006D7DEF" w:rsidRDefault="00441732" w:rsidP="00C45033">
            <w:pPr>
              <w:ind w:left="-57"/>
              <w:rPr>
                <w:rFonts w:ascii="Arial Narrow" w:hAnsi="Arial Narrow"/>
                <w:i/>
                <w:iCs/>
                <w:color w:val="333333"/>
                <w:sz w:val="20"/>
                <w:szCs w:val="20"/>
              </w:rPr>
            </w:pPr>
            <w:r w:rsidRPr="006D7DEF">
              <w:rPr>
                <w:rFonts w:ascii="Arial Narrow" w:hAnsi="Arial Narrow"/>
                <w:b/>
                <w:bCs/>
                <w:i/>
                <w:iCs/>
                <w:color w:val="333333"/>
                <w:sz w:val="20"/>
                <w:szCs w:val="20"/>
              </w:rPr>
              <w:t>Clinical criteria:</w:t>
            </w:r>
          </w:p>
        </w:tc>
      </w:tr>
      <w:tr w:rsidR="00441732" w:rsidRPr="00F120FB" w14:paraId="2E0601D1" w14:textId="77777777" w:rsidTr="00441732">
        <w:trPr>
          <w:cantSplit/>
          <w:trHeight w:val="20"/>
        </w:trPr>
        <w:tc>
          <w:tcPr>
            <w:tcW w:w="5000" w:type="pct"/>
            <w:vAlign w:val="center"/>
          </w:tcPr>
          <w:p w14:paraId="43C314E9" w14:textId="77777777" w:rsidR="00441732" w:rsidRPr="006D7DEF" w:rsidRDefault="00441732" w:rsidP="00C45033">
            <w:pPr>
              <w:ind w:left="-57"/>
              <w:rPr>
                <w:rFonts w:ascii="Arial Narrow" w:hAnsi="Arial Narrow"/>
                <w:i/>
                <w:iCs/>
                <w:color w:val="333333"/>
                <w:sz w:val="20"/>
                <w:szCs w:val="20"/>
              </w:rPr>
            </w:pPr>
            <w:r w:rsidRPr="006D7DEF">
              <w:rPr>
                <w:rFonts w:ascii="Arial Narrow" w:hAnsi="Arial Narrow" w:cs="Times New Roman"/>
                <w:i/>
                <w:iCs/>
                <w:color w:val="333333"/>
                <w:sz w:val="20"/>
                <w:szCs w:val="20"/>
              </w:rPr>
              <w:t xml:space="preserve">The treatment must be for the purposes of adjuvant use following complete surgical resection </w:t>
            </w:r>
          </w:p>
        </w:tc>
      </w:tr>
      <w:tr w:rsidR="00441732" w:rsidRPr="00F120FB" w14:paraId="1B9863FA" w14:textId="77777777" w:rsidTr="00441732">
        <w:trPr>
          <w:cantSplit/>
          <w:trHeight w:val="20"/>
        </w:trPr>
        <w:tc>
          <w:tcPr>
            <w:tcW w:w="5000" w:type="pct"/>
            <w:vAlign w:val="center"/>
          </w:tcPr>
          <w:p w14:paraId="56DDF1F7" w14:textId="77777777" w:rsidR="00441732" w:rsidRPr="006D7DEF" w:rsidRDefault="00441732" w:rsidP="00C45033">
            <w:pPr>
              <w:ind w:left="-57"/>
              <w:rPr>
                <w:rFonts w:ascii="Arial Narrow" w:hAnsi="Arial Narrow" w:cs="Times New Roman"/>
                <w:color w:val="333333"/>
                <w:sz w:val="20"/>
                <w:szCs w:val="20"/>
              </w:rPr>
            </w:pPr>
          </w:p>
        </w:tc>
      </w:tr>
      <w:tr w:rsidR="00441732" w:rsidRPr="00F120FB" w14:paraId="7F83CE9B" w14:textId="77777777" w:rsidTr="00441732">
        <w:trPr>
          <w:cantSplit/>
          <w:trHeight w:val="20"/>
        </w:trPr>
        <w:tc>
          <w:tcPr>
            <w:tcW w:w="5000" w:type="pct"/>
            <w:vAlign w:val="center"/>
            <w:hideMark/>
          </w:tcPr>
          <w:p w14:paraId="7BE79D20" w14:textId="77777777" w:rsidR="00441732" w:rsidRPr="006D7DEF" w:rsidRDefault="00441732" w:rsidP="00C45033">
            <w:pPr>
              <w:ind w:left="-57"/>
              <w:rPr>
                <w:rFonts w:ascii="Arial Narrow" w:hAnsi="Arial Narrow"/>
                <w:color w:val="333333"/>
                <w:sz w:val="20"/>
                <w:szCs w:val="20"/>
              </w:rPr>
            </w:pPr>
            <w:r w:rsidRPr="006D7DEF">
              <w:rPr>
                <w:rFonts w:ascii="Arial Narrow" w:hAnsi="Arial Narrow"/>
                <w:b/>
                <w:bCs/>
                <w:color w:val="333333"/>
                <w:sz w:val="20"/>
                <w:szCs w:val="20"/>
              </w:rPr>
              <w:t>Treatment criteria:</w:t>
            </w:r>
          </w:p>
        </w:tc>
      </w:tr>
      <w:tr w:rsidR="00441732" w:rsidRPr="00F120FB" w14:paraId="7239D1FC" w14:textId="77777777" w:rsidTr="00441732">
        <w:trPr>
          <w:cantSplit/>
          <w:trHeight w:val="20"/>
        </w:trPr>
        <w:tc>
          <w:tcPr>
            <w:tcW w:w="5000" w:type="pct"/>
            <w:vAlign w:val="center"/>
            <w:hideMark/>
          </w:tcPr>
          <w:p w14:paraId="75CED679" w14:textId="77777777" w:rsidR="00441732" w:rsidRPr="006D7DEF" w:rsidRDefault="00441732" w:rsidP="00C45033">
            <w:pPr>
              <w:autoSpaceDE w:val="0"/>
              <w:autoSpaceDN w:val="0"/>
              <w:adjustRightInd w:val="0"/>
              <w:ind w:left="-57"/>
              <w:rPr>
                <w:rFonts w:ascii="Arial Narrow" w:hAnsi="Arial Narrow" w:cs="Arial Narrow"/>
                <w:iCs/>
                <w:strike/>
                <w:color w:val="000000" w:themeColor="text1"/>
                <w:sz w:val="20"/>
                <w:szCs w:val="20"/>
              </w:rPr>
            </w:pPr>
            <w:r w:rsidRPr="006D7DEF">
              <w:rPr>
                <w:rFonts w:ascii="Arial Narrow" w:hAnsi="Arial Narrow" w:cs="Arial Narrow"/>
                <w:iCs/>
                <w:strike/>
                <w:color w:val="000000" w:themeColor="text1"/>
                <w:sz w:val="20"/>
                <w:szCs w:val="20"/>
              </w:rPr>
              <w:t>Patients must only receive a maximum of 240 mg every two weeks or 480 mg every four weeks.</w:t>
            </w:r>
          </w:p>
          <w:p w14:paraId="1B06E2DC" w14:textId="77777777" w:rsidR="00441732" w:rsidRPr="006D7DEF" w:rsidRDefault="00441732" w:rsidP="00C45033">
            <w:pPr>
              <w:autoSpaceDE w:val="0"/>
              <w:autoSpaceDN w:val="0"/>
              <w:adjustRightInd w:val="0"/>
              <w:ind w:left="-57"/>
              <w:rPr>
                <w:rFonts w:ascii="Arial Narrow" w:hAnsi="Arial Narrow" w:cs="Arial Narrow"/>
                <w:strike/>
                <w:sz w:val="20"/>
                <w:szCs w:val="20"/>
              </w:rPr>
            </w:pPr>
            <w:r w:rsidRPr="006D7DEF">
              <w:rPr>
                <w:rFonts w:ascii="Arial Narrow" w:hAnsi="Arial Narrow" w:cs="Arial Narrow"/>
                <w:i/>
                <w:iCs/>
                <w:sz w:val="20"/>
                <w:szCs w:val="20"/>
              </w:rPr>
              <w:t>Patient must be undergoing treatment with a dosing regimen as set out in the drug’s approved Australian Product Information</w:t>
            </w:r>
          </w:p>
        </w:tc>
      </w:tr>
      <w:tr w:rsidR="00441732" w:rsidRPr="00F120FB" w14:paraId="58B22866" w14:textId="77777777" w:rsidTr="00441732">
        <w:trPr>
          <w:cantSplit/>
          <w:trHeight w:val="149"/>
        </w:trPr>
        <w:tc>
          <w:tcPr>
            <w:tcW w:w="5000" w:type="pct"/>
            <w:vAlign w:val="center"/>
          </w:tcPr>
          <w:p w14:paraId="4F3C55BE" w14:textId="77777777" w:rsidR="00441732" w:rsidRPr="006D7DEF" w:rsidRDefault="00441732" w:rsidP="00C45033">
            <w:pPr>
              <w:autoSpaceDE w:val="0"/>
              <w:autoSpaceDN w:val="0"/>
              <w:adjustRightInd w:val="0"/>
              <w:ind w:left="-57"/>
              <w:rPr>
                <w:rFonts w:ascii="Arial Narrow" w:hAnsi="Arial Narrow" w:cs="Arial Narrow"/>
                <w:b/>
                <w:bCs/>
                <w:i/>
                <w:iCs/>
                <w:sz w:val="20"/>
                <w:szCs w:val="20"/>
              </w:rPr>
            </w:pPr>
            <w:r w:rsidRPr="006D7DEF">
              <w:rPr>
                <w:rFonts w:ascii="Arial Narrow" w:hAnsi="Arial Narrow" w:cs="Arial Narrow"/>
                <w:b/>
                <w:bCs/>
                <w:i/>
                <w:iCs/>
                <w:sz w:val="20"/>
                <w:szCs w:val="20"/>
              </w:rPr>
              <w:t>AND</w:t>
            </w:r>
          </w:p>
        </w:tc>
      </w:tr>
      <w:tr w:rsidR="00441732" w:rsidRPr="00F120FB" w14:paraId="6CB7F7E4" w14:textId="77777777" w:rsidTr="00441732">
        <w:trPr>
          <w:cantSplit/>
          <w:trHeight w:val="20"/>
        </w:trPr>
        <w:tc>
          <w:tcPr>
            <w:tcW w:w="5000" w:type="pct"/>
            <w:vAlign w:val="center"/>
          </w:tcPr>
          <w:p w14:paraId="24D72520" w14:textId="77777777" w:rsidR="00441732" w:rsidRPr="006D7DEF" w:rsidRDefault="00441732" w:rsidP="00C45033">
            <w:pPr>
              <w:autoSpaceDE w:val="0"/>
              <w:autoSpaceDN w:val="0"/>
              <w:adjustRightInd w:val="0"/>
              <w:ind w:left="-57"/>
              <w:rPr>
                <w:rFonts w:ascii="Arial Narrow" w:hAnsi="Arial Narrow" w:cs="Arial Narrow"/>
                <w:i/>
                <w:iCs/>
                <w:sz w:val="20"/>
                <w:szCs w:val="20"/>
              </w:rPr>
            </w:pPr>
            <w:r w:rsidRPr="006D7DEF">
              <w:rPr>
                <w:rFonts w:ascii="Arial Narrow" w:hAnsi="Arial Narrow" w:cs="Arial Narrow"/>
                <w:b/>
                <w:bCs/>
                <w:sz w:val="20"/>
                <w:szCs w:val="20"/>
              </w:rPr>
              <w:t>Treatment criteria:</w:t>
            </w:r>
          </w:p>
        </w:tc>
      </w:tr>
      <w:tr w:rsidR="00441732" w:rsidRPr="00F120FB" w14:paraId="1DCD90F0" w14:textId="77777777" w:rsidTr="00441732">
        <w:trPr>
          <w:cantSplit/>
          <w:trHeight w:val="20"/>
        </w:trPr>
        <w:tc>
          <w:tcPr>
            <w:tcW w:w="5000" w:type="pct"/>
            <w:vAlign w:val="center"/>
          </w:tcPr>
          <w:p w14:paraId="70844810" w14:textId="77777777" w:rsidR="00441732" w:rsidRPr="006D7DEF" w:rsidRDefault="00441732" w:rsidP="00C45033">
            <w:pPr>
              <w:autoSpaceDE w:val="0"/>
              <w:autoSpaceDN w:val="0"/>
              <w:adjustRightInd w:val="0"/>
              <w:ind w:left="-57"/>
              <w:rPr>
                <w:rFonts w:ascii="Arial Narrow" w:hAnsi="Arial Narrow" w:cs="Arial Narrow"/>
                <w:i/>
                <w:iCs/>
                <w:sz w:val="20"/>
                <w:szCs w:val="20"/>
              </w:rPr>
            </w:pPr>
            <w:r w:rsidRPr="006D7DEF">
              <w:rPr>
                <w:rFonts w:ascii="Arial Narrow" w:hAnsi="Arial Narrow" w:cs="Arial Narrow"/>
                <w:strike/>
                <w:sz w:val="20"/>
                <w:szCs w:val="20"/>
              </w:rPr>
              <w:t xml:space="preserve">Continuing treatment </w:t>
            </w:r>
            <w:r w:rsidRPr="006D7DEF">
              <w:rPr>
                <w:rFonts w:ascii="Arial Narrow" w:hAnsi="Arial Narrow" w:cs="Open Sans"/>
                <w:i/>
                <w:iCs/>
                <w:color w:val="333333"/>
                <w:sz w:val="20"/>
                <w:szCs w:val="20"/>
              </w:rPr>
              <w:t>Patient must not be undergoing continuing PBS-subsidised treatment where this benefit is extending treatment beyond 12 cumulative months from the first administered dose, once in a lifetime</w:t>
            </w:r>
          </w:p>
        </w:tc>
      </w:tr>
      <w:tr w:rsidR="00441732" w:rsidRPr="00F120FB" w14:paraId="1C9D2D85" w14:textId="77777777" w:rsidTr="00441732">
        <w:trPr>
          <w:cantSplit/>
          <w:trHeight w:val="20"/>
        </w:trPr>
        <w:tc>
          <w:tcPr>
            <w:tcW w:w="5000" w:type="pct"/>
            <w:vAlign w:val="center"/>
          </w:tcPr>
          <w:p w14:paraId="53CDE37E" w14:textId="77777777" w:rsidR="00441732" w:rsidRPr="006D7DEF" w:rsidRDefault="00441732" w:rsidP="00C45033">
            <w:pPr>
              <w:autoSpaceDE w:val="0"/>
              <w:autoSpaceDN w:val="0"/>
              <w:adjustRightInd w:val="0"/>
              <w:ind w:left="-57"/>
              <w:rPr>
                <w:rFonts w:ascii="Arial Narrow" w:hAnsi="Arial Narrow" w:cs="Arial Narrow"/>
                <w:strike/>
                <w:sz w:val="20"/>
                <w:szCs w:val="20"/>
              </w:rPr>
            </w:pPr>
          </w:p>
        </w:tc>
      </w:tr>
      <w:tr w:rsidR="00441732" w:rsidRPr="00F120FB" w14:paraId="328406E9" w14:textId="77777777" w:rsidTr="00441732">
        <w:trPr>
          <w:cantSplit/>
          <w:trHeight w:val="20"/>
        </w:trPr>
        <w:tc>
          <w:tcPr>
            <w:tcW w:w="5000" w:type="pct"/>
            <w:vAlign w:val="center"/>
            <w:hideMark/>
          </w:tcPr>
          <w:p w14:paraId="650E1294" w14:textId="77777777" w:rsidR="00441732" w:rsidRPr="006D7DEF" w:rsidRDefault="00441732" w:rsidP="00C45033">
            <w:pPr>
              <w:ind w:left="-57"/>
              <w:rPr>
                <w:rFonts w:ascii="Arial Narrow" w:hAnsi="Arial Narrow"/>
                <w:bCs/>
                <w:strike/>
                <w:color w:val="FF0000"/>
                <w:sz w:val="20"/>
                <w:szCs w:val="20"/>
              </w:rPr>
            </w:pPr>
            <w:r w:rsidRPr="006D7DEF">
              <w:rPr>
                <w:rFonts w:ascii="Arial Narrow" w:hAnsi="Arial Narrow"/>
                <w:b/>
                <w:bCs/>
                <w:strike/>
                <w:color w:val="333333"/>
                <w:sz w:val="20"/>
                <w:szCs w:val="20"/>
              </w:rPr>
              <w:t xml:space="preserve">Prescribing Instructions: </w:t>
            </w:r>
          </w:p>
          <w:p w14:paraId="67EB92E0" w14:textId="77777777" w:rsidR="00441732" w:rsidRPr="006D7DEF" w:rsidRDefault="00441732" w:rsidP="00C45033">
            <w:pPr>
              <w:ind w:left="-57"/>
              <w:rPr>
                <w:rFonts w:ascii="Arial Narrow" w:hAnsi="Arial Narrow" w:cs="Times New Roman"/>
                <w:strike/>
                <w:color w:val="333333"/>
                <w:sz w:val="20"/>
                <w:szCs w:val="20"/>
              </w:rPr>
            </w:pPr>
            <w:r w:rsidRPr="006D7DEF">
              <w:rPr>
                <w:rFonts w:ascii="Arial Narrow" w:hAnsi="Arial Narrow" w:cs="Times New Roman"/>
                <w:strike/>
                <w:color w:val="333333"/>
                <w:sz w:val="20"/>
                <w:szCs w:val="20"/>
              </w:rPr>
              <w:t>No increase in the maximum quantity or number of units may be authorised.</w:t>
            </w:r>
          </w:p>
          <w:p w14:paraId="536E96C8" w14:textId="77777777" w:rsidR="00441732" w:rsidRPr="006D7DEF" w:rsidRDefault="00441732" w:rsidP="00C45033">
            <w:pPr>
              <w:ind w:left="-57"/>
              <w:rPr>
                <w:rFonts w:ascii="Arial Narrow" w:hAnsi="Arial Narrow" w:cs="Times New Roman"/>
                <w:strike/>
                <w:color w:val="333333"/>
                <w:sz w:val="20"/>
                <w:szCs w:val="20"/>
              </w:rPr>
            </w:pPr>
          </w:p>
          <w:p w14:paraId="549B56B7" w14:textId="77777777" w:rsidR="00441732" w:rsidRPr="006D7DEF" w:rsidRDefault="00441732" w:rsidP="00C45033">
            <w:pPr>
              <w:ind w:left="-57"/>
              <w:rPr>
                <w:rFonts w:ascii="Arial Narrow" w:hAnsi="Arial Narrow"/>
                <w:strike/>
                <w:sz w:val="20"/>
                <w:szCs w:val="20"/>
              </w:rPr>
            </w:pPr>
            <w:r w:rsidRPr="006D7DEF">
              <w:rPr>
                <w:rFonts w:ascii="Arial Narrow" w:hAnsi="Arial Narrow"/>
                <w:strike/>
                <w:sz w:val="20"/>
                <w:szCs w:val="20"/>
              </w:rPr>
              <w:t>No increase in the maximum number of repeats may be authorised.</w:t>
            </w:r>
          </w:p>
          <w:p w14:paraId="665A7F13" w14:textId="77777777" w:rsidR="00441732" w:rsidRPr="006D7DEF" w:rsidRDefault="00441732" w:rsidP="00C45033">
            <w:pPr>
              <w:ind w:left="-57"/>
              <w:rPr>
                <w:rFonts w:ascii="Arial Narrow" w:hAnsi="Arial Narrow" w:cs="Times New Roman"/>
                <w:color w:val="333333"/>
                <w:sz w:val="20"/>
                <w:szCs w:val="20"/>
              </w:rPr>
            </w:pPr>
          </w:p>
          <w:p w14:paraId="38C9D884" w14:textId="77777777" w:rsidR="00441732" w:rsidRPr="006D7DEF" w:rsidRDefault="00441732" w:rsidP="00C45033">
            <w:pPr>
              <w:ind w:left="-57"/>
              <w:rPr>
                <w:rFonts w:ascii="Arial Narrow" w:hAnsi="Arial Narrow"/>
                <w:strike/>
                <w:sz w:val="20"/>
                <w:szCs w:val="20"/>
              </w:rPr>
            </w:pPr>
            <w:r w:rsidRPr="006D7DEF">
              <w:rPr>
                <w:rFonts w:ascii="Arial Narrow" w:hAnsi="Arial Narrow" w:cs="Times New Roman"/>
                <w:strike/>
                <w:color w:val="333333"/>
                <w:sz w:val="20"/>
                <w:szCs w:val="20"/>
              </w:rPr>
              <w:t>The treatment must not exceed 12 months for this PBS indication.</w:t>
            </w:r>
          </w:p>
        </w:tc>
      </w:tr>
    </w:tbl>
    <w:p w14:paraId="525DED3F" w14:textId="34C8C0D8" w:rsidR="0095095D" w:rsidRPr="0095095D" w:rsidRDefault="004D03A8" w:rsidP="0095095D">
      <w:pPr>
        <w:pStyle w:val="3-BodyText"/>
        <w:spacing w:before="120"/>
        <w:rPr>
          <w:iCs/>
        </w:rPr>
      </w:pPr>
      <w:r w:rsidRPr="00B90EE9">
        <w:rPr>
          <w:color w:val="000000" w:themeColor="text1"/>
        </w:rPr>
        <w:t>The requested ex-manufacturer price (EMP) for each 100 mg vial is $</w:t>
      </w:r>
      <w:r w:rsidR="000A25B4" w:rsidRPr="000A25B4">
        <w:rPr>
          <w:color w:val="000000" w:themeColor="text1"/>
          <w:w w:val="62"/>
          <w:shd w:val="solid" w:color="000000" w:fill="000000"/>
          <w:fitText w:val="481" w:id="-1435755776"/>
          <w14:textFill>
            <w14:solidFill>
              <w14:schemeClr w14:val="tx1">
                <w14:alpha w14:val="100000"/>
              </w14:schemeClr>
            </w14:solidFill>
          </w14:textFill>
        </w:rPr>
        <w:t>||</w:t>
      </w:r>
      <w:proofErr w:type="gramStart"/>
      <w:r w:rsidR="000A25B4" w:rsidRPr="000A25B4">
        <w:rPr>
          <w:color w:val="000000" w:themeColor="text1"/>
          <w:w w:val="62"/>
          <w:shd w:val="solid" w:color="000000" w:fill="000000"/>
          <w:fitText w:val="481" w:id="-1435755776"/>
          <w14:textFill>
            <w14:solidFill>
              <w14:schemeClr w14:val="tx1">
                <w14:alpha w14:val="100000"/>
              </w14:schemeClr>
            </w14:solidFill>
          </w14:textFill>
        </w:rPr>
        <w:t>|  |</w:t>
      </w:r>
      <w:proofErr w:type="gramEnd"/>
      <w:r w:rsidR="000A25B4" w:rsidRPr="000A25B4">
        <w:rPr>
          <w:color w:val="000000" w:themeColor="text1"/>
          <w:w w:val="62"/>
          <w:shd w:val="solid" w:color="000000" w:fill="000000"/>
          <w:fitText w:val="481" w:id="-1435755776"/>
          <w14:textFill>
            <w14:solidFill>
              <w14:schemeClr w14:val="tx1">
                <w14:alpha w14:val="100000"/>
              </w14:schemeClr>
            </w14:solidFill>
          </w14:textFill>
        </w:rPr>
        <w:t>|</w:t>
      </w:r>
      <w:r w:rsidR="000A25B4" w:rsidRPr="000A25B4">
        <w:rPr>
          <w:color w:val="000000" w:themeColor="text1"/>
          <w:spacing w:val="3"/>
          <w:w w:val="62"/>
          <w:shd w:val="solid" w:color="000000" w:fill="000000"/>
          <w:fitText w:val="481" w:id="-1435755776"/>
          <w14:textFill>
            <w14:solidFill>
              <w14:schemeClr w14:val="tx1">
                <w14:alpha w14:val="100000"/>
              </w14:schemeClr>
            </w14:solidFill>
          </w14:textFill>
        </w:rPr>
        <w:t>|</w:t>
      </w:r>
      <w:r w:rsidRPr="00B90EE9">
        <w:rPr>
          <w:color w:val="000000" w:themeColor="text1"/>
        </w:rPr>
        <w:t xml:space="preserve">. </w:t>
      </w:r>
      <w:r w:rsidR="00172C1C" w:rsidRPr="00541530">
        <w:rPr>
          <w:color w:val="000000" w:themeColor="text1"/>
        </w:rPr>
        <w:t xml:space="preserve">The proposed PBS restriction was </w:t>
      </w:r>
      <w:r>
        <w:rPr>
          <w:color w:val="000000" w:themeColor="text1"/>
        </w:rPr>
        <w:t xml:space="preserve">consistent with </w:t>
      </w:r>
      <w:r w:rsidR="00172C1C" w:rsidRPr="00541530">
        <w:rPr>
          <w:color w:val="000000" w:themeColor="text1"/>
        </w:rPr>
        <w:t>the approved TGA indication</w:t>
      </w:r>
      <w:r>
        <w:rPr>
          <w:color w:val="000000" w:themeColor="text1"/>
        </w:rPr>
        <w:t xml:space="preserve"> and the enrolment criteria of the pivotal CM-577 trial</w:t>
      </w:r>
      <w:r w:rsidR="00142670">
        <w:rPr>
          <w:color w:val="000000" w:themeColor="text1"/>
        </w:rPr>
        <w:t>, with one exception.</w:t>
      </w:r>
      <w:r w:rsidR="0095095D">
        <w:rPr>
          <w:color w:val="000000" w:themeColor="text1"/>
        </w:rPr>
        <w:t xml:space="preserve"> </w:t>
      </w:r>
      <w:r w:rsidR="00172C1C" w:rsidRPr="00541530">
        <w:t xml:space="preserve">The requested restriction was broader than the enrolment criteria of </w:t>
      </w:r>
      <w:r w:rsidR="006C0386">
        <w:t xml:space="preserve">the pivotal </w:t>
      </w:r>
      <w:r w:rsidR="00172C1C" w:rsidRPr="00541530">
        <w:t>CM-577</w:t>
      </w:r>
      <w:r w:rsidR="006C0386">
        <w:t xml:space="preserve"> trial</w:t>
      </w:r>
      <w:r w:rsidR="00172C1C" w:rsidRPr="00541530">
        <w:t>, which required patients to have had complete resection in a window of 4 to 16 weeks prior to randomisation</w:t>
      </w:r>
      <w:r w:rsidR="00E20117">
        <w:t>. T</w:t>
      </w:r>
      <w:r w:rsidR="00172C1C" w:rsidRPr="00541530">
        <w:t>he</w:t>
      </w:r>
      <w:r w:rsidR="00F347FD">
        <w:t xml:space="preserve"> </w:t>
      </w:r>
      <w:r w:rsidR="00F347FD" w:rsidRPr="00F63D9B">
        <w:t>evaluation noted there</w:t>
      </w:r>
      <w:r w:rsidR="00F347FD">
        <w:t xml:space="preserve"> </w:t>
      </w:r>
      <w:r w:rsidR="00172C1C" w:rsidRPr="00541530">
        <w:t xml:space="preserve">were no restrictions on the time </w:t>
      </w:r>
      <w:r w:rsidR="00694B62" w:rsidRPr="00541530">
        <w:t>elapsed</w:t>
      </w:r>
      <w:r w:rsidR="00172C1C" w:rsidRPr="00541530">
        <w:t xml:space="preserve"> between resection and nivolumab</w:t>
      </w:r>
      <w:r w:rsidR="00AF3F6A">
        <w:t xml:space="preserve"> initiation</w:t>
      </w:r>
      <w:r w:rsidR="00172C1C" w:rsidRPr="00541530">
        <w:t xml:space="preserve"> in the requested restriction. </w:t>
      </w:r>
      <w:r w:rsidR="0095095D">
        <w:t xml:space="preserve">The PBAC considered </w:t>
      </w:r>
      <w:r w:rsidR="0095095D" w:rsidRPr="0095095D">
        <w:rPr>
          <w:iCs/>
          <w:color w:val="000000" w:themeColor="text1"/>
        </w:rPr>
        <w:t xml:space="preserve">a time restriction for treatment initiation post-surgical resection was appropriate for inclusion in the restriction and considered it should align with the Checkmate 577 trial (16 weeks). </w:t>
      </w:r>
    </w:p>
    <w:p w14:paraId="22FCC486" w14:textId="7F1DE3E7" w:rsidR="00EC4E03" w:rsidRPr="00EC4E03" w:rsidRDefault="0095095D" w:rsidP="00710CE3">
      <w:pPr>
        <w:pStyle w:val="3-BodyText"/>
        <w:rPr>
          <w:iCs/>
        </w:rPr>
      </w:pPr>
      <w:r>
        <w:rPr>
          <w:color w:val="000000" w:themeColor="text1"/>
        </w:rPr>
        <w:t xml:space="preserve">The PBAC noted </w:t>
      </w:r>
      <w:r w:rsidRPr="00CE0818">
        <w:rPr>
          <w:iCs/>
        </w:rPr>
        <w:t xml:space="preserve">70.9% of </w:t>
      </w:r>
      <w:r>
        <w:rPr>
          <w:iCs/>
        </w:rPr>
        <w:t xml:space="preserve">trial </w:t>
      </w:r>
      <w:r w:rsidRPr="00CE0818">
        <w:rPr>
          <w:iCs/>
        </w:rPr>
        <w:t xml:space="preserve">participants </w:t>
      </w:r>
      <w:r>
        <w:rPr>
          <w:iCs/>
        </w:rPr>
        <w:t xml:space="preserve">had </w:t>
      </w:r>
      <w:r w:rsidRPr="00CE0818">
        <w:rPr>
          <w:iCs/>
        </w:rPr>
        <w:t xml:space="preserve">adenocarcinoma </w:t>
      </w:r>
      <w:r>
        <w:rPr>
          <w:iCs/>
        </w:rPr>
        <w:t xml:space="preserve">histology </w:t>
      </w:r>
      <w:r w:rsidRPr="00CE0818">
        <w:rPr>
          <w:iCs/>
        </w:rPr>
        <w:t xml:space="preserve">and 29.0% of participants </w:t>
      </w:r>
      <w:r>
        <w:rPr>
          <w:iCs/>
        </w:rPr>
        <w:t xml:space="preserve">had </w:t>
      </w:r>
      <w:r w:rsidRPr="00CE0818">
        <w:rPr>
          <w:iCs/>
        </w:rPr>
        <w:t>squamous cell carcinoma histolog</w:t>
      </w:r>
      <w:r>
        <w:rPr>
          <w:iCs/>
        </w:rPr>
        <w:t xml:space="preserve">y and considered it was </w:t>
      </w:r>
      <w:r>
        <w:rPr>
          <w:iCs/>
        </w:rPr>
        <w:lastRenderedPageBreak/>
        <w:t>appropriate for the restriction criteria to include reference to histology.</w:t>
      </w:r>
      <w:r w:rsidR="00710CE3">
        <w:rPr>
          <w:iCs/>
        </w:rPr>
        <w:t xml:space="preserve"> </w:t>
      </w:r>
      <w:r w:rsidRPr="00710CE3">
        <w:rPr>
          <w:iCs/>
          <w:color w:val="000000" w:themeColor="text1"/>
        </w:rPr>
        <w:t xml:space="preserve">The PBAC </w:t>
      </w:r>
      <w:r w:rsidR="00710CE3" w:rsidRPr="00710CE3">
        <w:rPr>
          <w:iCs/>
          <w:color w:val="000000" w:themeColor="text1"/>
        </w:rPr>
        <w:t xml:space="preserve">also </w:t>
      </w:r>
      <w:r w:rsidRPr="00710CE3">
        <w:rPr>
          <w:iCs/>
          <w:color w:val="000000" w:themeColor="text1"/>
        </w:rPr>
        <w:t xml:space="preserve">considered that the prescriber instruction for a </w:t>
      </w:r>
      <w:r w:rsidRPr="00710CE3">
        <w:rPr>
          <w:bCs/>
          <w:iCs/>
          <w:color w:val="000000" w:themeColor="text1"/>
        </w:rPr>
        <w:t xml:space="preserve">confirmatory scan, taken at least 4 weeks after progression / transient tumour flare, was not </w:t>
      </w:r>
      <w:r w:rsidR="001722F0">
        <w:rPr>
          <w:bCs/>
          <w:iCs/>
          <w:color w:val="000000" w:themeColor="text1"/>
        </w:rPr>
        <w:t>required</w:t>
      </w:r>
      <w:r w:rsidR="00ED4593">
        <w:rPr>
          <w:bCs/>
          <w:iCs/>
          <w:color w:val="000000" w:themeColor="text1"/>
        </w:rPr>
        <w:t xml:space="preserve"> for an adjuvant listing</w:t>
      </w:r>
      <w:r w:rsidRPr="00710CE3">
        <w:rPr>
          <w:bCs/>
          <w:iCs/>
          <w:color w:val="000000" w:themeColor="text1"/>
        </w:rPr>
        <w:t xml:space="preserve"> </w:t>
      </w:r>
      <w:r w:rsidR="00AF3F6A">
        <w:rPr>
          <w:bCs/>
          <w:iCs/>
          <w:color w:val="000000" w:themeColor="text1"/>
        </w:rPr>
        <w:t xml:space="preserve">in </w:t>
      </w:r>
      <w:r w:rsidRPr="00710CE3">
        <w:rPr>
          <w:bCs/>
          <w:iCs/>
          <w:color w:val="000000" w:themeColor="text1"/>
        </w:rPr>
        <w:t xml:space="preserve">and advised it </w:t>
      </w:r>
      <w:r w:rsidR="00AF3F6A">
        <w:rPr>
          <w:bCs/>
          <w:iCs/>
          <w:color w:val="000000" w:themeColor="text1"/>
        </w:rPr>
        <w:t>c</w:t>
      </w:r>
      <w:r w:rsidRPr="00710CE3">
        <w:rPr>
          <w:bCs/>
          <w:iCs/>
          <w:color w:val="000000" w:themeColor="text1"/>
        </w:rPr>
        <w:t xml:space="preserve">ould be removed from the restriction. </w:t>
      </w:r>
    </w:p>
    <w:p w14:paraId="562A909C" w14:textId="47AF27CB" w:rsidR="00D65A3B" w:rsidRPr="00D65A3B" w:rsidRDefault="00D65A3B" w:rsidP="00D65A3B">
      <w:pPr>
        <w:pStyle w:val="3-BodyText"/>
        <w:numPr>
          <w:ilvl w:val="0"/>
          <w:numId w:val="0"/>
        </w:numPr>
        <w:ind w:left="720"/>
        <w:rPr>
          <w:i/>
        </w:rPr>
      </w:pPr>
      <w:r w:rsidRPr="00D65A3B">
        <w:rPr>
          <w:i/>
        </w:rPr>
        <w:t>For more detail on PBAC’s view, see section 7 PBAC outcome.</w:t>
      </w:r>
    </w:p>
    <w:p w14:paraId="795466F4" w14:textId="77777777" w:rsidR="00172C1C" w:rsidRPr="00407F2D" w:rsidRDefault="00172C1C" w:rsidP="00172C1C">
      <w:pPr>
        <w:pStyle w:val="2-SectionHeading"/>
      </w:pPr>
      <w:bookmarkStart w:id="9" w:name="_Toc103767685"/>
      <w:r>
        <w:t>Population and disease</w:t>
      </w:r>
      <w:bookmarkEnd w:id="9"/>
    </w:p>
    <w:p w14:paraId="35FE9F98" w14:textId="1EC6D301" w:rsidR="00172C1C" w:rsidRDefault="00172C1C" w:rsidP="00172C1C">
      <w:pPr>
        <w:pStyle w:val="3-BodyText"/>
      </w:pPr>
      <w:r w:rsidRPr="004C54EE">
        <w:t>OC and GOJC are diseases in which malignant (cancer) cells form in the tissues of the oesophagus, or the gastro-oesophageal junction (GOJ), the place where the oesophagus is connected to the stomach.</w:t>
      </w:r>
      <w:r>
        <w:t xml:space="preserve"> </w:t>
      </w:r>
      <w:r w:rsidRPr="004C54EE">
        <w:t>Survival data specific to OC and GOJC patients from the Surveillance, Epidemiology and End Results (SEER)</w:t>
      </w:r>
      <w:r w:rsidR="008268DA">
        <w:rPr>
          <w:rStyle w:val="FootnoteReference"/>
        </w:rPr>
        <w:footnoteReference w:id="2"/>
      </w:r>
      <w:r w:rsidRPr="004C54EE">
        <w:t xml:space="preserve"> program in the United States indicate a similar 24% and 32% 5-year relative survival for OC and GOJC respectively</w:t>
      </w:r>
      <w:r>
        <w:t>.</w:t>
      </w:r>
    </w:p>
    <w:p w14:paraId="1C0D66D2" w14:textId="71133AF2" w:rsidR="00235741" w:rsidRPr="00DF3BDF" w:rsidRDefault="00235741" w:rsidP="00235741">
      <w:pPr>
        <w:pStyle w:val="3-BodyText"/>
        <w:rPr>
          <w:color w:val="000000" w:themeColor="text1"/>
        </w:rPr>
      </w:pPr>
      <w:r w:rsidRPr="00DF3BDF">
        <w:rPr>
          <w:color w:val="000000" w:themeColor="text1"/>
        </w:rPr>
        <w:t xml:space="preserve">Nivolumab is a fully human immunoglobulin G4 (IgG4) monoclonal antibody which binds to the programmed death-1 (PD-1) receptor and blocks its interaction with PD-L1 and PD-L2. </w:t>
      </w:r>
      <w:r w:rsidRPr="00235741">
        <w:rPr>
          <w:color w:val="000000" w:themeColor="text1"/>
        </w:rPr>
        <w:t>This leads to the restoration of immune response against the tumour.</w:t>
      </w:r>
    </w:p>
    <w:p w14:paraId="043D54ED" w14:textId="1B7A6DA8" w:rsidR="00172C1C" w:rsidRDefault="00172C1C" w:rsidP="00172C1C">
      <w:pPr>
        <w:pStyle w:val="3-BodyText"/>
      </w:pPr>
      <w:r>
        <w:t>Nivolumab is proposed as an adjuvant therapy after chemoradiation therapy (CRT) and surgery in patients with Stage II or III disease</w:t>
      </w:r>
      <w:r w:rsidR="004E748B">
        <w:t xml:space="preserve"> (</w:t>
      </w:r>
      <w:r w:rsidR="004E748B" w:rsidRPr="004E748B">
        <w:rPr>
          <w:rFonts w:cstheme="minorHAnsi"/>
        </w:rPr>
        <w:fldChar w:fldCharType="begin"/>
      </w:r>
      <w:r w:rsidR="004E748B" w:rsidRPr="004E748B">
        <w:rPr>
          <w:rFonts w:cstheme="minorHAnsi"/>
        </w:rPr>
        <w:instrText xml:space="preserve"> REF _Ref102546015 \h  \* MERGEFORMAT </w:instrText>
      </w:r>
      <w:r w:rsidR="004E748B" w:rsidRPr="004E748B">
        <w:rPr>
          <w:rFonts w:cstheme="minorHAnsi"/>
        </w:rPr>
      </w:r>
      <w:r w:rsidR="004E748B" w:rsidRPr="004E748B">
        <w:rPr>
          <w:rFonts w:cstheme="minorHAnsi"/>
        </w:rPr>
        <w:fldChar w:fldCharType="separate"/>
      </w:r>
      <w:r w:rsidR="00267758" w:rsidRPr="00267758">
        <w:rPr>
          <w:rFonts w:cstheme="minorHAnsi"/>
        </w:rPr>
        <w:t xml:space="preserve">Figure </w:t>
      </w:r>
      <w:r w:rsidR="00267758" w:rsidRPr="00267758">
        <w:rPr>
          <w:rFonts w:cstheme="minorHAnsi"/>
          <w:noProof/>
        </w:rPr>
        <w:t>1</w:t>
      </w:r>
      <w:r w:rsidR="004E748B" w:rsidRPr="004E748B">
        <w:rPr>
          <w:rFonts w:cstheme="minorHAnsi"/>
        </w:rPr>
        <w:fldChar w:fldCharType="end"/>
      </w:r>
      <w:r w:rsidR="004E748B">
        <w:t>)</w:t>
      </w:r>
      <w:r>
        <w:t>.</w:t>
      </w:r>
    </w:p>
    <w:p w14:paraId="77174A0D" w14:textId="13D6AD36" w:rsidR="004E748B" w:rsidRPr="000D3E49" w:rsidRDefault="004E748B" w:rsidP="00D2166B">
      <w:pPr>
        <w:pStyle w:val="Caption"/>
        <w:keepNext/>
        <w:keepLines/>
        <w:rPr>
          <w:rFonts w:ascii="Arial Narrow" w:hAnsi="Arial Narrow"/>
          <w:color w:val="auto"/>
          <w:sz w:val="20"/>
          <w:szCs w:val="20"/>
        </w:rPr>
      </w:pPr>
      <w:bookmarkStart w:id="10" w:name="_Ref102546015"/>
      <w:r w:rsidRPr="000D3E49">
        <w:rPr>
          <w:rFonts w:ascii="Arial Narrow" w:hAnsi="Arial Narrow"/>
          <w:color w:val="auto"/>
          <w:sz w:val="20"/>
          <w:szCs w:val="20"/>
        </w:rPr>
        <w:lastRenderedPageBreak/>
        <w:t xml:space="preserve">Figure </w:t>
      </w:r>
      <w:r w:rsidRPr="000D3E49">
        <w:rPr>
          <w:rFonts w:ascii="Arial Narrow" w:hAnsi="Arial Narrow"/>
          <w:color w:val="auto"/>
          <w:sz w:val="20"/>
          <w:szCs w:val="20"/>
        </w:rPr>
        <w:fldChar w:fldCharType="begin"/>
      </w:r>
      <w:r w:rsidRPr="000D3E49">
        <w:rPr>
          <w:rFonts w:ascii="Arial Narrow" w:hAnsi="Arial Narrow"/>
          <w:color w:val="auto"/>
          <w:sz w:val="20"/>
          <w:szCs w:val="20"/>
        </w:rPr>
        <w:instrText xml:space="preserve"> SEQ Figure \* ARABIC </w:instrText>
      </w:r>
      <w:r w:rsidRPr="000D3E49">
        <w:rPr>
          <w:rFonts w:ascii="Arial Narrow" w:hAnsi="Arial Narrow"/>
          <w:color w:val="auto"/>
          <w:sz w:val="20"/>
          <w:szCs w:val="20"/>
        </w:rPr>
        <w:fldChar w:fldCharType="separate"/>
      </w:r>
      <w:r w:rsidR="00267758">
        <w:rPr>
          <w:rFonts w:ascii="Arial Narrow" w:hAnsi="Arial Narrow"/>
          <w:noProof/>
          <w:color w:val="auto"/>
          <w:sz w:val="20"/>
          <w:szCs w:val="20"/>
        </w:rPr>
        <w:t>1</w:t>
      </w:r>
      <w:r w:rsidRPr="000D3E49">
        <w:rPr>
          <w:rFonts w:ascii="Arial Narrow" w:hAnsi="Arial Narrow"/>
          <w:color w:val="auto"/>
          <w:sz w:val="20"/>
          <w:szCs w:val="20"/>
        </w:rPr>
        <w:fldChar w:fldCharType="end"/>
      </w:r>
      <w:bookmarkEnd w:id="10"/>
      <w:r w:rsidRPr="000D3E49">
        <w:rPr>
          <w:rFonts w:ascii="Arial Narrow" w:hAnsi="Arial Narrow"/>
          <w:color w:val="auto"/>
          <w:sz w:val="20"/>
          <w:szCs w:val="20"/>
        </w:rPr>
        <w:t>: Proposed clinical management algorithm</w:t>
      </w:r>
    </w:p>
    <w:p w14:paraId="4F24B45E" w14:textId="31EFBD3B" w:rsidR="004E748B" w:rsidRPr="000D3E49" w:rsidRDefault="004E748B" w:rsidP="000D3E49">
      <w:pPr>
        <w:pStyle w:val="3-BodyText"/>
        <w:keepNext/>
        <w:keepLines/>
        <w:numPr>
          <w:ilvl w:val="0"/>
          <w:numId w:val="0"/>
        </w:numPr>
        <w:jc w:val="center"/>
      </w:pPr>
      <w:r w:rsidRPr="000D3E49">
        <w:rPr>
          <w:noProof/>
        </w:rPr>
        <w:drawing>
          <wp:inline distT="0" distB="0" distL="0" distR="0" wp14:anchorId="156C844F" wp14:editId="7F1C7D1F">
            <wp:extent cx="4766945" cy="3589655"/>
            <wp:effectExtent l="0" t="0" r="0" b="0"/>
            <wp:docPr id="20" name="Picture 2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6945" cy="3589655"/>
                    </a:xfrm>
                    <a:prstGeom prst="rect">
                      <a:avLst/>
                    </a:prstGeom>
                    <a:noFill/>
                    <a:ln>
                      <a:noFill/>
                    </a:ln>
                  </pic:spPr>
                </pic:pic>
              </a:graphicData>
            </a:graphic>
          </wp:inline>
        </w:drawing>
      </w:r>
    </w:p>
    <w:p w14:paraId="1288BCC6" w14:textId="42A0D9C8" w:rsidR="004E748B" w:rsidRPr="000D3E49" w:rsidRDefault="00BA733A" w:rsidP="000D3E49">
      <w:pPr>
        <w:pStyle w:val="TableFigureFooter"/>
        <w:keepNext/>
        <w:keepLines/>
        <w:jc w:val="center"/>
      </w:pPr>
      <w:r w:rsidRPr="000D3E49">
        <w:t>5FU = Fluorouracil;</w:t>
      </w:r>
      <w:r w:rsidR="00B90EE9" w:rsidRPr="000D3E49">
        <w:t xml:space="preserve"> CROSS = </w:t>
      </w:r>
      <w:r w:rsidRPr="000D3E49">
        <w:t xml:space="preserve">Chemoradiotherapy for </w:t>
      </w:r>
      <w:r w:rsidR="00E97113" w:rsidRPr="000D3E49">
        <w:t>oesophageal</w:t>
      </w:r>
      <w:r w:rsidRPr="000D3E49">
        <w:t xml:space="preserve"> cancer followed by surgery study; CRT = chemoradiation therapy; FLOT = Fluorouracil, Leucovorin, Oxaliplatin and Docetaxel</w:t>
      </w:r>
    </w:p>
    <w:p w14:paraId="3FEFBF3F" w14:textId="77777777" w:rsidR="00172C1C" w:rsidRDefault="00172C1C" w:rsidP="00172C1C">
      <w:pPr>
        <w:pStyle w:val="3-BodyText"/>
      </w:pPr>
      <w:r>
        <w:t>The most likely prescribed treatment regimens prior to nivolumab treatment are:</w:t>
      </w:r>
    </w:p>
    <w:p w14:paraId="6B88A1BC" w14:textId="0EDC597F" w:rsidR="00172C1C" w:rsidRPr="004C54EE" w:rsidRDefault="00172C1C" w:rsidP="00E27AA1">
      <w:pPr>
        <w:pStyle w:val="ListParagraph"/>
        <w:numPr>
          <w:ilvl w:val="0"/>
          <w:numId w:val="9"/>
        </w:numPr>
        <w:spacing w:after="0"/>
        <w:ind w:left="1134" w:hanging="425"/>
      </w:pPr>
      <w:r>
        <w:t xml:space="preserve">The </w:t>
      </w:r>
      <w:r w:rsidRPr="00941B43">
        <w:t xml:space="preserve">Chemoradiotherapy for Oesophageal Cancer Followed by Surgery Study </w:t>
      </w:r>
      <w:r>
        <w:t>(</w:t>
      </w:r>
      <w:r w:rsidRPr="004C54EE">
        <w:t>CROSS</w:t>
      </w:r>
      <w:r>
        <w:t>) protocol</w:t>
      </w:r>
      <w:r w:rsidRPr="004C54EE">
        <w:t xml:space="preserve"> </w:t>
      </w:r>
      <w:r>
        <w:t xml:space="preserve">which includes </w:t>
      </w:r>
      <w:r w:rsidRPr="00D36D3B">
        <w:t xml:space="preserve">weekly administration of carboplatin and paclitaxel with concurrent radiotherapy, prior to surgery </w:t>
      </w:r>
      <w:r w:rsidRPr="004C54EE">
        <w:t>(Van Hagen, 2012)</w:t>
      </w:r>
      <w:r w:rsidR="008268DA">
        <w:rPr>
          <w:rStyle w:val="FootnoteReference"/>
        </w:rPr>
        <w:footnoteReference w:id="3"/>
      </w:r>
      <w:r w:rsidRPr="004C54EE">
        <w:t xml:space="preserve">; or </w:t>
      </w:r>
    </w:p>
    <w:p w14:paraId="73B19EEE" w14:textId="38677EF2" w:rsidR="00172C1C" w:rsidRDefault="00172C1C" w:rsidP="00E27AA1">
      <w:pPr>
        <w:pStyle w:val="ListParagraph"/>
        <w:numPr>
          <w:ilvl w:val="0"/>
          <w:numId w:val="9"/>
        </w:numPr>
        <w:ind w:left="1134" w:hanging="425"/>
      </w:pPr>
      <w:r>
        <w:t xml:space="preserve">Use of </w:t>
      </w:r>
      <w:proofErr w:type="spellStart"/>
      <w:r w:rsidRPr="003F4045">
        <w:t>flurouracil+leucovorin</w:t>
      </w:r>
      <w:proofErr w:type="spellEnd"/>
      <w:r w:rsidRPr="003F4045">
        <w:t xml:space="preserve">, oxaliplatin and docetaxel </w:t>
      </w:r>
      <w:r>
        <w:t>(</w:t>
      </w:r>
      <w:r w:rsidRPr="004C54EE">
        <w:t>FLOT</w:t>
      </w:r>
      <w:r>
        <w:t>)</w:t>
      </w:r>
      <w:r w:rsidRPr="004C54EE">
        <w:t xml:space="preserve"> before </w:t>
      </w:r>
      <w:r w:rsidRPr="00A405A2">
        <w:t>and after</w:t>
      </w:r>
      <w:r w:rsidRPr="004C54EE">
        <w:t xml:space="preserve"> surgery (Al</w:t>
      </w:r>
      <w:r w:rsidR="00E97113">
        <w:t>-</w:t>
      </w:r>
      <w:proofErr w:type="spellStart"/>
      <w:r w:rsidRPr="004C54EE">
        <w:t>Batran</w:t>
      </w:r>
      <w:proofErr w:type="spellEnd"/>
      <w:r w:rsidRPr="004C54EE">
        <w:t>, 2019)</w:t>
      </w:r>
      <w:r w:rsidR="000F5B32">
        <w:rPr>
          <w:rStyle w:val="FootnoteReference"/>
        </w:rPr>
        <w:footnoteReference w:id="4"/>
      </w:r>
      <w:r w:rsidR="003666F6">
        <w:t xml:space="preserve"> </w:t>
      </w:r>
      <w:r w:rsidR="003666F6" w:rsidRPr="00925F8E">
        <w:t xml:space="preserve">(evidence base in </w:t>
      </w:r>
      <w:r w:rsidR="0058424E" w:rsidRPr="00925F8E">
        <w:t xml:space="preserve">adenocarcinoma of the </w:t>
      </w:r>
      <w:r w:rsidR="003666F6" w:rsidRPr="00925F8E">
        <w:t>GOJ, not OC)</w:t>
      </w:r>
      <w:r w:rsidRPr="00925F8E">
        <w:t>.</w:t>
      </w:r>
    </w:p>
    <w:p w14:paraId="29109F51" w14:textId="7FE889EC" w:rsidR="004E748B" w:rsidRPr="00925F8E" w:rsidRDefault="004E748B" w:rsidP="004E748B">
      <w:pPr>
        <w:pStyle w:val="3-BodyText"/>
        <w:rPr>
          <w:iCs/>
        </w:rPr>
      </w:pPr>
      <w:r w:rsidRPr="00E7767C">
        <w:rPr>
          <w:iCs/>
        </w:rPr>
        <w:t xml:space="preserve">The sponsor’s advisory board reported that of patients with locally advanced OC and GOJC, </w:t>
      </w:r>
      <w:r w:rsidR="00F21AEE">
        <w:rPr>
          <w:iCs/>
        </w:rPr>
        <w:t>approximately</w:t>
      </w:r>
      <w:r w:rsidR="00F21AEE" w:rsidRPr="00E7767C">
        <w:rPr>
          <w:iCs/>
        </w:rPr>
        <w:t xml:space="preserve"> </w:t>
      </w:r>
      <w:r w:rsidRPr="00E7767C">
        <w:rPr>
          <w:iCs/>
        </w:rPr>
        <w:t xml:space="preserve">8% have surgery alone (typically patients with early stage I) and </w:t>
      </w:r>
      <w:r w:rsidR="00D62B85">
        <w:rPr>
          <w:iCs/>
        </w:rPr>
        <w:t>approximately</w:t>
      </w:r>
      <w:r w:rsidR="00D62B85" w:rsidRPr="00E7767C">
        <w:rPr>
          <w:iCs/>
        </w:rPr>
        <w:t xml:space="preserve"> </w:t>
      </w:r>
      <w:r w:rsidRPr="00E7767C">
        <w:rPr>
          <w:iCs/>
        </w:rPr>
        <w:t>20% have definitive CRT (</w:t>
      </w:r>
      <w:proofErr w:type="spellStart"/>
      <w:r w:rsidRPr="00E7767C">
        <w:rPr>
          <w:iCs/>
        </w:rPr>
        <w:t>dCRT</w:t>
      </w:r>
      <w:proofErr w:type="spellEnd"/>
      <w:r w:rsidRPr="00E7767C">
        <w:rPr>
          <w:iCs/>
        </w:rPr>
        <w:t>). There would then be an equal split between neoadjuvant CRT/CROSS and perioperative FLOT.</w:t>
      </w:r>
      <w:r w:rsidR="00D62B85">
        <w:rPr>
          <w:iCs/>
        </w:rPr>
        <w:t xml:space="preserve"> </w:t>
      </w:r>
      <w:r w:rsidR="00D62B85" w:rsidRPr="00925F8E">
        <w:rPr>
          <w:iCs/>
        </w:rPr>
        <w:t xml:space="preserve">The ESC noted that based </w:t>
      </w:r>
      <w:r w:rsidR="00D62B85" w:rsidRPr="00925F8E">
        <w:rPr>
          <w:iCs/>
        </w:rPr>
        <w:lastRenderedPageBreak/>
        <w:t>on current NCCN</w:t>
      </w:r>
      <w:r w:rsidR="0097165E" w:rsidRPr="00925F8E">
        <w:rPr>
          <w:rStyle w:val="FootnoteReference"/>
          <w:iCs/>
        </w:rPr>
        <w:footnoteReference w:id="5"/>
      </w:r>
      <w:r w:rsidR="00D62B85" w:rsidRPr="00925F8E">
        <w:rPr>
          <w:iCs/>
        </w:rPr>
        <w:t xml:space="preserve"> and ESMO</w:t>
      </w:r>
      <w:r w:rsidR="0097165E" w:rsidRPr="00925F8E">
        <w:rPr>
          <w:rStyle w:val="FootnoteReference"/>
          <w:iCs/>
        </w:rPr>
        <w:footnoteReference w:id="6"/>
      </w:r>
      <w:r w:rsidR="00D62B85" w:rsidRPr="00925F8E">
        <w:rPr>
          <w:iCs/>
        </w:rPr>
        <w:t xml:space="preserve"> guidelines, </w:t>
      </w:r>
      <w:r w:rsidR="0097165E" w:rsidRPr="00925F8E">
        <w:rPr>
          <w:iCs/>
        </w:rPr>
        <w:t xml:space="preserve">both </w:t>
      </w:r>
      <w:r w:rsidR="00D62B85" w:rsidRPr="00925F8E">
        <w:rPr>
          <w:iCs/>
        </w:rPr>
        <w:t>neoadjuvant CRT/CROSS and perioperative FLOT are</w:t>
      </w:r>
      <w:r w:rsidR="00CF7390" w:rsidRPr="00925F8E">
        <w:rPr>
          <w:iCs/>
        </w:rPr>
        <w:t xml:space="preserve"> currently</w:t>
      </w:r>
      <w:r w:rsidR="00D62B85" w:rsidRPr="00925F8E">
        <w:rPr>
          <w:iCs/>
        </w:rPr>
        <w:t xml:space="preserve"> </w:t>
      </w:r>
      <w:r w:rsidR="00CF7390" w:rsidRPr="00925F8E">
        <w:rPr>
          <w:iCs/>
        </w:rPr>
        <w:t>standard practice for</w:t>
      </w:r>
      <w:r w:rsidR="00D62B85" w:rsidRPr="00925F8E">
        <w:rPr>
          <w:iCs/>
        </w:rPr>
        <w:t xml:space="preserve"> adenocarcinoma</w:t>
      </w:r>
      <w:r w:rsidR="0058424E" w:rsidRPr="00925F8E">
        <w:rPr>
          <w:iCs/>
        </w:rPr>
        <w:t>s</w:t>
      </w:r>
      <w:r w:rsidR="00D62B85" w:rsidRPr="00925F8E">
        <w:rPr>
          <w:iCs/>
        </w:rPr>
        <w:t xml:space="preserve"> and also noted that these regimens are currently being assessed in a head-to-head trial (</w:t>
      </w:r>
      <w:r w:rsidR="002B3D36" w:rsidRPr="00925F8E">
        <w:rPr>
          <w:iCs/>
        </w:rPr>
        <w:t xml:space="preserve">the </w:t>
      </w:r>
      <w:r w:rsidR="00D62B85" w:rsidRPr="00925F8E">
        <w:rPr>
          <w:iCs/>
        </w:rPr>
        <w:t>ESOPEC</w:t>
      </w:r>
      <w:r w:rsidR="002B3D36" w:rsidRPr="00925F8E">
        <w:rPr>
          <w:rStyle w:val="FootnoteReference"/>
          <w:iCs/>
        </w:rPr>
        <w:footnoteReference w:id="7"/>
      </w:r>
      <w:r w:rsidR="002B3D36" w:rsidRPr="00925F8E">
        <w:rPr>
          <w:iCs/>
        </w:rPr>
        <w:t xml:space="preserve"> study</w:t>
      </w:r>
      <w:r w:rsidR="00D62B85" w:rsidRPr="00925F8E">
        <w:rPr>
          <w:iCs/>
        </w:rPr>
        <w:t>), due to report in 2023.</w:t>
      </w:r>
      <w:r w:rsidR="0058424E" w:rsidRPr="00925F8E">
        <w:rPr>
          <w:iCs/>
        </w:rPr>
        <w:t xml:space="preserve"> The ESC noted patients with squamous histology would be treated with the CROSS protocol. </w:t>
      </w:r>
    </w:p>
    <w:p w14:paraId="10338F9C" w14:textId="466F687F" w:rsidR="00172C1C" w:rsidRPr="00925F8E" w:rsidRDefault="00172C1C" w:rsidP="00172C1C">
      <w:pPr>
        <w:pStyle w:val="3-BodyText"/>
        <w:rPr>
          <w:iCs/>
        </w:rPr>
      </w:pPr>
      <w:r w:rsidRPr="00E7767C">
        <w:rPr>
          <w:iCs/>
        </w:rPr>
        <w:t xml:space="preserve">Given that patients who </w:t>
      </w:r>
      <w:r w:rsidR="00EB6D7A" w:rsidRPr="00E7767C">
        <w:rPr>
          <w:iCs/>
        </w:rPr>
        <w:t>received</w:t>
      </w:r>
      <w:r w:rsidRPr="00E7767C">
        <w:rPr>
          <w:iCs/>
        </w:rPr>
        <w:t xml:space="preserve"> the FLOT protocol would not be eligible for adjuvant nivolumab</w:t>
      </w:r>
      <w:r w:rsidR="00A94C5C" w:rsidRPr="00E7767C">
        <w:rPr>
          <w:iCs/>
        </w:rPr>
        <w:t xml:space="preserve"> as no radiation therapy was used</w:t>
      </w:r>
      <w:r w:rsidRPr="00E7767C">
        <w:rPr>
          <w:iCs/>
        </w:rPr>
        <w:t>, listing nivolumab could lead to higher uptake of CROSS treatment in anticipation of accessing nivolumab after surgery.</w:t>
      </w:r>
      <w:r w:rsidR="002F696A">
        <w:rPr>
          <w:iCs/>
        </w:rPr>
        <w:t xml:space="preserve"> </w:t>
      </w:r>
      <w:r w:rsidR="002F696A" w:rsidRPr="00925F8E">
        <w:rPr>
          <w:iCs/>
        </w:rPr>
        <w:t xml:space="preserve">The ESC agreed with the evaluation that the listing of nivolumab </w:t>
      </w:r>
      <w:r w:rsidR="00F4582C" w:rsidRPr="00925F8E">
        <w:rPr>
          <w:iCs/>
        </w:rPr>
        <w:t>is likely to</w:t>
      </w:r>
      <w:r w:rsidR="002F696A" w:rsidRPr="00925F8E">
        <w:rPr>
          <w:iCs/>
        </w:rPr>
        <w:t xml:space="preserve"> lead to an increase in adenocarcinoma patients receiving </w:t>
      </w:r>
      <w:r w:rsidR="00376CEA" w:rsidRPr="00925F8E">
        <w:rPr>
          <w:iCs/>
        </w:rPr>
        <w:t xml:space="preserve">the </w:t>
      </w:r>
      <w:r w:rsidR="002F696A" w:rsidRPr="00925F8E">
        <w:rPr>
          <w:iCs/>
        </w:rPr>
        <w:t xml:space="preserve">CROSS protocol over </w:t>
      </w:r>
      <w:proofErr w:type="gramStart"/>
      <w:r w:rsidR="002F696A" w:rsidRPr="00925F8E">
        <w:rPr>
          <w:iCs/>
        </w:rPr>
        <w:t>FLO</w:t>
      </w:r>
      <w:r w:rsidR="002B3D36" w:rsidRPr="00925F8E">
        <w:rPr>
          <w:iCs/>
        </w:rPr>
        <w:t>T</w:t>
      </w:r>
      <w:proofErr w:type="gramEnd"/>
      <w:r w:rsidR="002B3D36" w:rsidRPr="00925F8E">
        <w:rPr>
          <w:iCs/>
        </w:rPr>
        <w:t xml:space="preserve"> but the extent of the increase may depend on the outcome of the ESOPEC study</w:t>
      </w:r>
      <w:r w:rsidR="00CE154D" w:rsidRPr="00925F8E">
        <w:rPr>
          <w:iCs/>
        </w:rPr>
        <w:t xml:space="preserve"> </w:t>
      </w:r>
      <w:r w:rsidR="005F04F7" w:rsidRPr="00925F8E">
        <w:rPr>
          <w:iCs/>
        </w:rPr>
        <w:t>directly comparing FLOT and CROSS in oesophageal adenocarcinoma</w:t>
      </w:r>
      <w:r w:rsidR="002F696A" w:rsidRPr="00925F8E">
        <w:rPr>
          <w:iCs/>
        </w:rPr>
        <w:t>.</w:t>
      </w:r>
      <w:r w:rsidR="00CE0818" w:rsidRPr="00CE0818">
        <w:t xml:space="preserve"> </w:t>
      </w:r>
    </w:p>
    <w:p w14:paraId="2519122A" w14:textId="4D534646" w:rsidR="00172C1C" w:rsidRPr="00E7767C" w:rsidRDefault="00172C1C" w:rsidP="00172C1C">
      <w:pPr>
        <w:pStyle w:val="3-BodyText"/>
        <w:rPr>
          <w:iCs/>
        </w:rPr>
      </w:pPr>
      <w:r w:rsidRPr="00E7767C">
        <w:rPr>
          <w:iCs/>
        </w:rPr>
        <w:t xml:space="preserve">It was noted that since the lodging of the submission, nivolumab has received positive PBAC </w:t>
      </w:r>
      <w:r w:rsidR="002B3094" w:rsidRPr="00E7767C">
        <w:rPr>
          <w:iCs/>
        </w:rPr>
        <w:t>r</w:t>
      </w:r>
      <w:r w:rsidRPr="00E7767C">
        <w:rPr>
          <w:iCs/>
        </w:rPr>
        <w:t xml:space="preserve">ecommendations </w:t>
      </w:r>
      <w:r w:rsidR="002B3094" w:rsidRPr="00E7767C">
        <w:rPr>
          <w:iCs/>
        </w:rPr>
        <w:t>for the following gastro-oesophageal cancers as specified in the TGA approved product information:</w:t>
      </w:r>
    </w:p>
    <w:p w14:paraId="4DDAA9D5" w14:textId="2AC9DD56" w:rsidR="00172C1C" w:rsidRPr="00E7767C" w:rsidRDefault="00172C1C" w:rsidP="00E27AA1">
      <w:pPr>
        <w:pStyle w:val="ListParagraph"/>
        <w:numPr>
          <w:ilvl w:val="0"/>
          <w:numId w:val="6"/>
        </w:numPr>
        <w:ind w:left="1134"/>
        <w:rPr>
          <w:iCs/>
          <w:color w:val="000000" w:themeColor="text1"/>
        </w:rPr>
      </w:pPr>
      <w:r w:rsidRPr="00E7767C">
        <w:rPr>
          <w:iCs/>
          <w:color w:val="000000" w:themeColor="text1"/>
        </w:rPr>
        <w:t xml:space="preserve">non-HER2 positive advanced or metastatic gastric or gastro-oesophageal junction or oesophageal adenocarcinoma (in combination with platinum-containing plus fluoropyrimidine-containing chemotherapy) (6.10 March 2022 PBAC </w:t>
      </w:r>
      <w:r w:rsidR="00CA51C1">
        <w:rPr>
          <w:iCs/>
          <w:color w:val="000000" w:themeColor="text1"/>
        </w:rPr>
        <w:t>Public Summary Document (PSD)</w:t>
      </w:r>
      <w:r w:rsidRPr="00E7767C">
        <w:rPr>
          <w:iCs/>
          <w:color w:val="000000" w:themeColor="text1"/>
        </w:rPr>
        <w:t>)</w:t>
      </w:r>
      <w:r w:rsidR="00171A92" w:rsidRPr="00E7767C">
        <w:rPr>
          <w:iCs/>
          <w:color w:val="000000" w:themeColor="text1"/>
        </w:rPr>
        <w:t>; and</w:t>
      </w:r>
    </w:p>
    <w:p w14:paraId="58B234DB" w14:textId="1D3CEC15" w:rsidR="00172C1C" w:rsidRPr="00E7767C" w:rsidRDefault="00172C1C" w:rsidP="00E27AA1">
      <w:pPr>
        <w:pStyle w:val="ListParagraph"/>
        <w:numPr>
          <w:ilvl w:val="0"/>
          <w:numId w:val="6"/>
        </w:numPr>
        <w:ind w:left="1134"/>
        <w:rPr>
          <w:iCs/>
          <w:color w:val="000000" w:themeColor="text1"/>
        </w:rPr>
      </w:pPr>
      <w:r w:rsidRPr="00E7767C">
        <w:rPr>
          <w:iCs/>
          <w:color w:val="000000" w:themeColor="text1"/>
        </w:rPr>
        <w:t xml:space="preserve">second-line treatment of oesophageal squamous cell carcinoma (OSCC) after fluoropyrimidine and platinum (FP) based chemotherapy. (6.14 March 2022 PBAC </w:t>
      </w:r>
      <w:r w:rsidR="00CA51C1">
        <w:rPr>
          <w:iCs/>
          <w:color w:val="000000" w:themeColor="text1"/>
        </w:rPr>
        <w:t>PSD</w:t>
      </w:r>
      <w:r w:rsidRPr="00E7767C">
        <w:rPr>
          <w:iCs/>
          <w:color w:val="000000" w:themeColor="text1"/>
        </w:rPr>
        <w:t>)</w:t>
      </w:r>
    </w:p>
    <w:p w14:paraId="47A2A5A7" w14:textId="5F482D11" w:rsidR="00172C1C" w:rsidRPr="00E7767C" w:rsidRDefault="00172C1C" w:rsidP="00172C1C">
      <w:pPr>
        <w:pStyle w:val="3-BodyText"/>
        <w:rPr>
          <w:iCs/>
          <w:color w:val="000000" w:themeColor="text1"/>
        </w:rPr>
      </w:pPr>
      <w:r w:rsidRPr="00E7767C">
        <w:rPr>
          <w:iCs/>
          <w:color w:val="000000" w:themeColor="text1"/>
        </w:rPr>
        <w:t xml:space="preserve">Consequently, it would be expected that at least a proportion of patients with stage II or III OC or GOJC who progress after CRT and surgery, in both the current and proposed </w:t>
      </w:r>
      <w:r w:rsidR="00632AB7" w:rsidRPr="00E7767C">
        <w:rPr>
          <w:iCs/>
          <w:color w:val="000000" w:themeColor="text1"/>
        </w:rPr>
        <w:t xml:space="preserve">(i.e., with </w:t>
      </w:r>
      <w:r w:rsidR="00A913C7">
        <w:rPr>
          <w:iCs/>
          <w:color w:val="000000" w:themeColor="text1"/>
        </w:rPr>
        <w:t xml:space="preserve">adjuvant </w:t>
      </w:r>
      <w:r w:rsidR="00632AB7" w:rsidRPr="00E7767C">
        <w:rPr>
          <w:iCs/>
          <w:color w:val="000000" w:themeColor="text1"/>
        </w:rPr>
        <w:t>nivolumab</w:t>
      </w:r>
      <w:r w:rsidR="00AF18F4">
        <w:rPr>
          <w:iCs/>
          <w:color w:val="000000" w:themeColor="text1"/>
        </w:rPr>
        <w:t>)</w:t>
      </w:r>
      <w:r w:rsidR="00632AB7" w:rsidRPr="00E7767C">
        <w:rPr>
          <w:iCs/>
          <w:color w:val="000000" w:themeColor="text1"/>
        </w:rPr>
        <w:t xml:space="preserve"> </w:t>
      </w:r>
      <w:r w:rsidRPr="00E7767C">
        <w:rPr>
          <w:iCs/>
          <w:color w:val="000000" w:themeColor="text1"/>
        </w:rPr>
        <w:t>scenarios, would access nivolumab either as monotherapy or in combination with chemotherapy. However</w:t>
      </w:r>
      <w:r w:rsidR="00E91D40" w:rsidRPr="00E7767C">
        <w:rPr>
          <w:iCs/>
          <w:color w:val="000000" w:themeColor="text1"/>
        </w:rPr>
        <w:t>,</w:t>
      </w:r>
      <w:r w:rsidRPr="00E7767C">
        <w:rPr>
          <w:iCs/>
          <w:color w:val="000000" w:themeColor="text1"/>
        </w:rPr>
        <w:t xml:space="preserve"> it was unknown if failure (progression) </w:t>
      </w:r>
      <w:r w:rsidR="00A305D9" w:rsidRPr="00E7767C">
        <w:rPr>
          <w:iCs/>
          <w:color w:val="000000" w:themeColor="text1"/>
        </w:rPr>
        <w:t xml:space="preserve">during or </w:t>
      </w:r>
      <w:r w:rsidR="0035072B" w:rsidRPr="00E7767C">
        <w:rPr>
          <w:iCs/>
          <w:color w:val="000000" w:themeColor="text1"/>
        </w:rPr>
        <w:t>after nivolumab</w:t>
      </w:r>
      <w:r w:rsidRPr="00E7767C">
        <w:rPr>
          <w:iCs/>
          <w:color w:val="000000" w:themeColor="text1"/>
        </w:rPr>
        <w:t xml:space="preserve"> </w:t>
      </w:r>
      <w:r w:rsidR="005C6583">
        <w:rPr>
          <w:iCs/>
          <w:color w:val="000000" w:themeColor="text1"/>
        </w:rPr>
        <w:t>adjuvant therapy</w:t>
      </w:r>
      <w:r w:rsidR="005C6583" w:rsidRPr="00E7767C">
        <w:rPr>
          <w:iCs/>
          <w:color w:val="000000" w:themeColor="text1"/>
        </w:rPr>
        <w:t xml:space="preserve"> </w:t>
      </w:r>
      <w:r w:rsidRPr="00E7767C">
        <w:rPr>
          <w:iCs/>
          <w:color w:val="000000" w:themeColor="text1"/>
        </w:rPr>
        <w:t>within the scope of the current submission would affect the efficacy (and cost effectiveness) of nivolumab in post progression treatment.</w:t>
      </w:r>
      <w:r w:rsidR="00C5121F">
        <w:rPr>
          <w:iCs/>
          <w:color w:val="000000" w:themeColor="text1"/>
        </w:rPr>
        <w:t xml:space="preserve"> </w:t>
      </w:r>
    </w:p>
    <w:p w14:paraId="6372C14C" w14:textId="1D02749E" w:rsidR="00D65A3B" w:rsidRDefault="00E362AB" w:rsidP="00D65A3B">
      <w:pPr>
        <w:pStyle w:val="3-BodyText"/>
        <w:rPr>
          <w:iCs/>
          <w:color w:val="000000" w:themeColor="text1"/>
        </w:rPr>
      </w:pPr>
      <w:r w:rsidRPr="00E7767C">
        <w:rPr>
          <w:iCs/>
          <w:color w:val="000000" w:themeColor="text1"/>
        </w:rPr>
        <w:t xml:space="preserve">Pembrolizumab </w:t>
      </w:r>
      <w:r w:rsidR="00A02A7D">
        <w:rPr>
          <w:iCs/>
          <w:color w:val="000000" w:themeColor="text1"/>
        </w:rPr>
        <w:t xml:space="preserve">in combination with chemotherapy </w:t>
      </w:r>
      <w:r w:rsidR="0035072B" w:rsidRPr="00E7767C">
        <w:rPr>
          <w:iCs/>
          <w:color w:val="000000" w:themeColor="text1"/>
        </w:rPr>
        <w:t>was</w:t>
      </w:r>
      <w:r w:rsidRPr="00E7767C">
        <w:rPr>
          <w:iCs/>
          <w:color w:val="000000" w:themeColor="text1"/>
        </w:rPr>
        <w:t xml:space="preserve"> </w:t>
      </w:r>
      <w:r w:rsidR="00376CEA">
        <w:rPr>
          <w:iCs/>
          <w:color w:val="000000" w:themeColor="text1"/>
        </w:rPr>
        <w:t xml:space="preserve">recommended </w:t>
      </w:r>
      <w:r w:rsidRPr="00E7767C">
        <w:rPr>
          <w:iCs/>
          <w:color w:val="000000" w:themeColor="text1"/>
        </w:rPr>
        <w:t xml:space="preserve">at the May 2022 intracycle PBAC meeting </w:t>
      </w:r>
      <w:r w:rsidR="00A02A7D" w:rsidRPr="00A02A7D">
        <w:rPr>
          <w:iCs/>
          <w:color w:val="000000" w:themeColor="text1"/>
        </w:rPr>
        <w:t xml:space="preserve">for the first line treatment of advanced or metastatic </w:t>
      </w:r>
      <w:r w:rsidR="00A02A7D" w:rsidRPr="00A02A7D">
        <w:rPr>
          <w:iCs/>
          <w:color w:val="000000" w:themeColor="text1"/>
        </w:rPr>
        <w:lastRenderedPageBreak/>
        <w:t>gastro-oesophageal cancers as defined by the specific tumour types included in the approved Therapeutic Goods Administration indications.</w:t>
      </w:r>
    </w:p>
    <w:p w14:paraId="0240912B" w14:textId="06541D2F" w:rsidR="00D65A3B" w:rsidRPr="00D65A3B" w:rsidRDefault="00D65A3B" w:rsidP="00D65A3B">
      <w:pPr>
        <w:pStyle w:val="3-BodyText"/>
        <w:numPr>
          <w:ilvl w:val="0"/>
          <w:numId w:val="0"/>
        </w:numPr>
        <w:ind w:left="720"/>
        <w:rPr>
          <w:i/>
          <w:color w:val="000000" w:themeColor="text1"/>
        </w:rPr>
      </w:pPr>
      <w:r w:rsidRPr="00D65A3B">
        <w:rPr>
          <w:i/>
          <w:color w:val="000000" w:themeColor="text1"/>
        </w:rPr>
        <w:t>For more detail on PBAC’s view, see section 7 PBAC outcome.</w:t>
      </w:r>
    </w:p>
    <w:p w14:paraId="03204B7E" w14:textId="77777777" w:rsidR="00172C1C" w:rsidRPr="00407F2D" w:rsidRDefault="00172C1C" w:rsidP="00172C1C">
      <w:pPr>
        <w:pStyle w:val="2-SectionHeading"/>
      </w:pPr>
      <w:bookmarkStart w:id="11" w:name="_Toc103767686"/>
      <w:r w:rsidRPr="00407F2D">
        <w:t>Comparator</w:t>
      </w:r>
      <w:bookmarkEnd w:id="11"/>
    </w:p>
    <w:p w14:paraId="08FCC4D1" w14:textId="600E76EF" w:rsidR="00172C1C" w:rsidRPr="00925F8E" w:rsidRDefault="00172C1C" w:rsidP="00172C1C">
      <w:pPr>
        <w:pStyle w:val="3-BodyText"/>
        <w:rPr>
          <w:snapToGrid/>
          <w:lang w:val="en-US"/>
        </w:rPr>
      </w:pPr>
      <w:r w:rsidRPr="004C54EE">
        <w:t>The submission nominated standard of care</w:t>
      </w:r>
      <w:r>
        <w:t xml:space="preserve"> (SOC) or</w:t>
      </w:r>
      <w:r w:rsidRPr="004C54EE">
        <w:t xml:space="preserve"> ‘watch and wait’ surveillance as the </w:t>
      </w:r>
      <w:r w:rsidRPr="00E7767C">
        <w:rPr>
          <w:iCs/>
        </w:rPr>
        <w:t xml:space="preserve">appropriate </w:t>
      </w:r>
      <w:r w:rsidRPr="004C54EE">
        <w:t xml:space="preserve">main comparator. </w:t>
      </w:r>
      <w:r w:rsidR="002A1993" w:rsidRPr="00925F8E">
        <w:t xml:space="preserve">The ESC affirmed </w:t>
      </w:r>
      <w:r w:rsidR="008C3638" w:rsidRPr="00925F8E">
        <w:t>that this was reasonable.</w:t>
      </w:r>
      <w:r w:rsidR="002A1993" w:rsidRPr="00925F8E">
        <w:t xml:space="preserve"> </w:t>
      </w:r>
    </w:p>
    <w:p w14:paraId="64174790" w14:textId="3F10277A" w:rsidR="00172C1C" w:rsidRPr="00D65A3B" w:rsidRDefault="00172C1C" w:rsidP="00172C1C">
      <w:pPr>
        <w:pStyle w:val="3-BodyText"/>
        <w:rPr>
          <w:snapToGrid/>
          <w:lang w:val="en-US"/>
        </w:rPr>
      </w:pPr>
      <w:r w:rsidRPr="004C54EE">
        <w:t>The submission</w:t>
      </w:r>
      <w:r w:rsidR="00BB0062">
        <w:t xml:space="preserve"> </w:t>
      </w:r>
      <w:r w:rsidR="00771568">
        <w:t xml:space="preserve">stated </w:t>
      </w:r>
      <w:r w:rsidR="00771568" w:rsidRPr="004C54EE">
        <w:t>that</w:t>
      </w:r>
      <w:r w:rsidRPr="004C54EE">
        <w:t xml:space="preserve"> ‘watch and wait’ surveillance was identified as the standard treatment provided post CRT + surgery for patients in international treatment guidelines </w:t>
      </w:r>
      <w:r w:rsidR="00703FE9" w:rsidRPr="004C54EE">
        <w:t>(NCCN, 2020</w:t>
      </w:r>
      <w:r w:rsidR="00703FE9">
        <w:rPr>
          <w:rStyle w:val="FootnoteReference"/>
        </w:rPr>
        <w:footnoteReference w:id="8"/>
      </w:r>
      <w:r w:rsidR="00703FE9" w:rsidRPr="004C54EE">
        <w:t xml:space="preserve">; </w:t>
      </w:r>
      <w:proofErr w:type="spellStart"/>
      <w:r w:rsidR="00703FE9" w:rsidRPr="004C54EE">
        <w:t>Lordick</w:t>
      </w:r>
      <w:proofErr w:type="spellEnd"/>
      <w:r w:rsidR="00703FE9" w:rsidRPr="004C54EE">
        <w:t>, 2016</w:t>
      </w:r>
      <w:r w:rsidR="00703FE9">
        <w:rPr>
          <w:rStyle w:val="FootnoteReference"/>
        </w:rPr>
        <w:footnoteReference w:id="9"/>
      </w:r>
      <w:r w:rsidR="00376CEA">
        <w:t xml:space="preserve">) </w:t>
      </w:r>
      <w:r w:rsidRPr="004C54EE">
        <w:t>and as identified by the sponsor’s multidisciplinary advisory board</w:t>
      </w:r>
      <w:r w:rsidR="00376CEA">
        <w:t xml:space="preserve"> (minutes</w:t>
      </w:r>
      <w:r w:rsidRPr="004C54EE">
        <w:t xml:space="preserve"> </w:t>
      </w:r>
      <w:r w:rsidR="00703FE9">
        <w:t xml:space="preserve">provided with the </w:t>
      </w:r>
      <w:r w:rsidRPr="004C54EE">
        <w:t xml:space="preserve">submission). </w:t>
      </w:r>
    </w:p>
    <w:p w14:paraId="69C75ADF" w14:textId="662278B3" w:rsidR="00D65A3B" w:rsidRPr="00D65A3B" w:rsidRDefault="00D65A3B" w:rsidP="00D65A3B">
      <w:pPr>
        <w:pStyle w:val="3-BodyText"/>
        <w:numPr>
          <w:ilvl w:val="0"/>
          <w:numId w:val="0"/>
        </w:numPr>
        <w:ind w:left="720"/>
        <w:rPr>
          <w:i/>
          <w:color w:val="000000" w:themeColor="text1"/>
        </w:rPr>
      </w:pPr>
      <w:r w:rsidRPr="00D65A3B">
        <w:rPr>
          <w:i/>
          <w:color w:val="000000" w:themeColor="text1"/>
        </w:rPr>
        <w:t>For more detail on PBAC’s view, see section 7 PBAC outcome.</w:t>
      </w:r>
    </w:p>
    <w:p w14:paraId="6C2154A3" w14:textId="77777777" w:rsidR="00172C1C" w:rsidRPr="00407F2D" w:rsidRDefault="00172C1C" w:rsidP="00172C1C">
      <w:pPr>
        <w:pStyle w:val="2-SectionHeading"/>
      </w:pPr>
      <w:bookmarkStart w:id="12" w:name="_Toc103767687"/>
      <w:bookmarkStart w:id="13" w:name="_Toc22897640"/>
      <w:r>
        <w:t>C</w:t>
      </w:r>
      <w:r w:rsidRPr="00407F2D">
        <w:t>onsideration of the evidence</w:t>
      </w:r>
      <w:bookmarkEnd w:id="12"/>
    </w:p>
    <w:p w14:paraId="48180552" w14:textId="77777777" w:rsidR="00467044" w:rsidRPr="009D3BBB" w:rsidRDefault="00467044" w:rsidP="009D3BBB">
      <w:pPr>
        <w:pStyle w:val="4-SubsectionHeading"/>
        <w:rPr>
          <w:iCs/>
        </w:rPr>
      </w:pPr>
      <w:bookmarkStart w:id="14" w:name="_Toc103767688"/>
      <w:r w:rsidRPr="009D3BBB">
        <w:rPr>
          <w:iCs/>
        </w:rPr>
        <w:t>Sponsor hearing</w:t>
      </w:r>
    </w:p>
    <w:p w14:paraId="59E6619E" w14:textId="0811AC6E" w:rsidR="00A65599" w:rsidRDefault="00BF6F9D" w:rsidP="00467044">
      <w:pPr>
        <w:widowControl w:val="0"/>
        <w:numPr>
          <w:ilvl w:val="1"/>
          <w:numId w:val="1"/>
        </w:numPr>
        <w:spacing w:after="120"/>
        <w:rPr>
          <w:rFonts w:asciiTheme="minorHAnsi" w:hAnsiTheme="minorHAnsi"/>
          <w:bCs/>
          <w:snapToGrid w:val="0"/>
        </w:rPr>
      </w:pPr>
      <w:bookmarkStart w:id="15" w:name="_Hlk76382586"/>
      <w:r w:rsidRPr="00BF6F9D">
        <w:rPr>
          <w:rFonts w:asciiTheme="minorHAnsi" w:hAnsiTheme="minorHAnsi"/>
          <w:bCs/>
          <w:snapToGrid w:val="0"/>
        </w:rPr>
        <w:t>The sponsor requested a hearing for this item. The</w:t>
      </w:r>
      <w:r w:rsidR="00654FE5">
        <w:rPr>
          <w:rFonts w:asciiTheme="minorHAnsi" w:hAnsiTheme="minorHAnsi"/>
          <w:bCs/>
          <w:snapToGrid w:val="0"/>
        </w:rPr>
        <w:t xml:space="preserve"> clinician</w:t>
      </w:r>
      <w:r w:rsidRPr="00BF6F9D">
        <w:rPr>
          <w:rFonts w:asciiTheme="minorHAnsi" w:hAnsiTheme="minorHAnsi"/>
          <w:bCs/>
          <w:snapToGrid w:val="0"/>
        </w:rPr>
        <w:t xml:space="preserve"> </w:t>
      </w:r>
      <w:r w:rsidR="00A65599">
        <w:rPr>
          <w:rFonts w:asciiTheme="minorHAnsi" w:hAnsiTheme="minorHAnsi"/>
          <w:bCs/>
          <w:snapToGrid w:val="0"/>
        </w:rPr>
        <w:t>noted that while neo-adjuvant chemoradiation</w:t>
      </w:r>
      <w:r w:rsidR="0097749B">
        <w:rPr>
          <w:rFonts w:asciiTheme="minorHAnsi" w:hAnsiTheme="minorHAnsi"/>
          <w:bCs/>
          <w:snapToGrid w:val="0"/>
        </w:rPr>
        <w:t xml:space="preserve"> (CROSS)</w:t>
      </w:r>
      <w:r w:rsidR="00A65599">
        <w:rPr>
          <w:rFonts w:asciiTheme="minorHAnsi" w:hAnsiTheme="minorHAnsi"/>
          <w:bCs/>
          <w:snapToGrid w:val="0"/>
        </w:rPr>
        <w:t xml:space="preserve"> in this setting was associated with improved </w:t>
      </w:r>
      <w:r w:rsidR="0097749B">
        <w:rPr>
          <w:rFonts w:asciiTheme="minorHAnsi" w:hAnsiTheme="minorHAnsi"/>
          <w:bCs/>
          <w:snapToGrid w:val="0"/>
        </w:rPr>
        <w:t xml:space="preserve">health </w:t>
      </w:r>
      <w:r w:rsidR="00A65599">
        <w:rPr>
          <w:rFonts w:asciiTheme="minorHAnsi" w:hAnsiTheme="minorHAnsi"/>
          <w:bCs/>
          <w:snapToGrid w:val="0"/>
        </w:rPr>
        <w:t xml:space="preserve">outcomes, the </w:t>
      </w:r>
      <w:r w:rsidR="006C3853">
        <w:rPr>
          <w:rFonts w:asciiTheme="minorHAnsi" w:hAnsiTheme="minorHAnsi"/>
          <w:bCs/>
          <w:snapToGrid w:val="0"/>
        </w:rPr>
        <w:t>prognosis</w:t>
      </w:r>
      <w:r w:rsidR="00A65599">
        <w:rPr>
          <w:rFonts w:asciiTheme="minorHAnsi" w:hAnsiTheme="minorHAnsi"/>
          <w:bCs/>
          <w:snapToGrid w:val="0"/>
        </w:rPr>
        <w:t xml:space="preserve"> </w:t>
      </w:r>
      <w:r w:rsidR="006C3853">
        <w:rPr>
          <w:rFonts w:asciiTheme="minorHAnsi" w:hAnsiTheme="minorHAnsi"/>
          <w:bCs/>
          <w:snapToGrid w:val="0"/>
        </w:rPr>
        <w:t>of</w:t>
      </w:r>
      <w:r w:rsidR="00A65599">
        <w:rPr>
          <w:rFonts w:asciiTheme="minorHAnsi" w:hAnsiTheme="minorHAnsi"/>
          <w:bCs/>
          <w:snapToGrid w:val="0"/>
        </w:rPr>
        <w:t xml:space="preserve"> patients with oesophageal cancer remain</w:t>
      </w:r>
      <w:r w:rsidR="00654FE5">
        <w:rPr>
          <w:rFonts w:asciiTheme="minorHAnsi" w:hAnsiTheme="minorHAnsi"/>
          <w:bCs/>
          <w:snapToGrid w:val="0"/>
        </w:rPr>
        <w:t>ed</w:t>
      </w:r>
      <w:r w:rsidR="00A65599">
        <w:rPr>
          <w:rFonts w:asciiTheme="minorHAnsi" w:hAnsiTheme="minorHAnsi"/>
          <w:bCs/>
          <w:snapToGrid w:val="0"/>
        </w:rPr>
        <w:t xml:space="preserve"> poor. The</w:t>
      </w:r>
      <w:r w:rsidR="00654FE5">
        <w:rPr>
          <w:rFonts w:asciiTheme="minorHAnsi" w:hAnsiTheme="minorHAnsi"/>
          <w:bCs/>
          <w:snapToGrid w:val="0"/>
        </w:rPr>
        <w:t xml:space="preserve"> clinician</w:t>
      </w:r>
      <w:r w:rsidR="002B1FB9">
        <w:rPr>
          <w:rFonts w:asciiTheme="minorHAnsi" w:hAnsiTheme="minorHAnsi"/>
          <w:bCs/>
          <w:snapToGrid w:val="0"/>
        </w:rPr>
        <w:t xml:space="preserve"> considered</w:t>
      </w:r>
      <w:r w:rsidR="00A65599">
        <w:rPr>
          <w:rFonts w:asciiTheme="minorHAnsi" w:hAnsiTheme="minorHAnsi"/>
          <w:bCs/>
          <w:snapToGrid w:val="0"/>
        </w:rPr>
        <w:t xml:space="preserve"> the improvement in disease free survival (DFS) observed for nivolumab patients in the </w:t>
      </w:r>
      <w:r w:rsidR="0061727E">
        <w:rPr>
          <w:rFonts w:asciiTheme="minorHAnsi" w:hAnsiTheme="minorHAnsi"/>
          <w:bCs/>
          <w:snapToGrid w:val="0"/>
        </w:rPr>
        <w:t>adjuvant setting is a meaningful</w:t>
      </w:r>
      <w:r w:rsidR="00A0013F">
        <w:rPr>
          <w:rFonts w:asciiTheme="minorHAnsi" w:hAnsiTheme="minorHAnsi"/>
          <w:bCs/>
          <w:snapToGrid w:val="0"/>
        </w:rPr>
        <w:t xml:space="preserve"> outcome</w:t>
      </w:r>
      <w:r w:rsidR="0061727E">
        <w:rPr>
          <w:rFonts w:asciiTheme="minorHAnsi" w:hAnsiTheme="minorHAnsi"/>
          <w:bCs/>
          <w:snapToGrid w:val="0"/>
        </w:rPr>
        <w:t xml:space="preserve"> </w:t>
      </w:r>
      <w:r w:rsidR="00A0013F">
        <w:rPr>
          <w:rFonts w:asciiTheme="minorHAnsi" w:hAnsiTheme="minorHAnsi"/>
          <w:bCs/>
          <w:snapToGrid w:val="0"/>
        </w:rPr>
        <w:t xml:space="preserve">that </w:t>
      </w:r>
      <w:r w:rsidR="0061727E">
        <w:rPr>
          <w:rFonts w:asciiTheme="minorHAnsi" w:hAnsiTheme="minorHAnsi"/>
          <w:bCs/>
          <w:snapToGrid w:val="0"/>
        </w:rPr>
        <w:t>is likely to translate into long-term improvement in overall survival (OS)</w:t>
      </w:r>
      <w:r w:rsidR="00A0013F">
        <w:rPr>
          <w:rFonts w:asciiTheme="minorHAnsi" w:hAnsiTheme="minorHAnsi"/>
          <w:bCs/>
          <w:snapToGrid w:val="0"/>
        </w:rPr>
        <w:t xml:space="preserve">. </w:t>
      </w:r>
      <w:r w:rsidR="006C3853">
        <w:rPr>
          <w:rFonts w:asciiTheme="minorHAnsi" w:hAnsiTheme="minorHAnsi"/>
          <w:bCs/>
          <w:snapToGrid w:val="0"/>
        </w:rPr>
        <w:t>In making this claim, the</w:t>
      </w:r>
      <w:r w:rsidR="00654FE5">
        <w:rPr>
          <w:rFonts w:asciiTheme="minorHAnsi" w:hAnsiTheme="minorHAnsi"/>
          <w:bCs/>
          <w:snapToGrid w:val="0"/>
        </w:rPr>
        <w:t xml:space="preserve"> clinician</w:t>
      </w:r>
      <w:r w:rsidR="00A0013F">
        <w:rPr>
          <w:rFonts w:asciiTheme="minorHAnsi" w:hAnsiTheme="minorHAnsi"/>
          <w:bCs/>
          <w:snapToGrid w:val="0"/>
        </w:rPr>
        <w:t xml:space="preserve"> </w:t>
      </w:r>
      <w:r w:rsidR="0061727E">
        <w:rPr>
          <w:rFonts w:asciiTheme="minorHAnsi" w:hAnsiTheme="minorHAnsi"/>
          <w:bCs/>
          <w:snapToGrid w:val="0"/>
        </w:rPr>
        <w:t>reference</w:t>
      </w:r>
      <w:r w:rsidR="006C3853">
        <w:rPr>
          <w:rFonts w:asciiTheme="minorHAnsi" w:hAnsiTheme="minorHAnsi"/>
          <w:bCs/>
          <w:snapToGrid w:val="0"/>
        </w:rPr>
        <w:t>d</w:t>
      </w:r>
      <w:r w:rsidR="00DE7BDC">
        <w:rPr>
          <w:rFonts w:asciiTheme="minorHAnsi" w:hAnsiTheme="minorHAnsi"/>
          <w:bCs/>
          <w:snapToGrid w:val="0"/>
        </w:rPr>
        <w:t xml:space="preserve"> a</w:t>
      </w:r>
      <w:r w:rsidR="0061727E">
        <w:rPr>
          <w:rFonts w:asciiTheme="minorHAnsi" w:hAnsiTheme="minorHAnsi"/>
          <w:bCs/>
          <w:snapToGrid w:val="0"/>
        </w:rPr>
        <w:t xml:space="preserve"> stud</w:t>
      </w:r>
      <w:r w:rsidR="00DE7BDC">
        <w:rPr>
          <w:rFonts w:asciiTheme="minorHAnsi" w:hAnsiTheme="minorHAnsi"/>
          <w:bCs/>
          <w:snapToGrid w:val="0"/>
        </w:rPr>
        <w:t>y</w:t>
      </w:r>
      <w:r w:rsidR="0061727E">
        <w:rPr>
          <w:rFonts w:asciiTheme="minorHAnsi" w:hAnsiTheme="minorHAnsi"/>
          <w:bCs/>
          <w:snapToGrid w:val="0"/>
        </w:rPr>
        <w:t xml:space="preserve"> in </w:t>
      </w:r>
      <w:proofErr w:type="spellStart"/>
      <w:r w:rsidR="0061727E">
        <w:rPr>
          <w:rFonts w:asciiTheme="minorHAnsi" w:hAnsiTheme="minorHAnsi"/>
          <w:bCs/>
          <w:snapToGrid w:val="0"/>
        </w:rPr>
        <w:t>oesophago</w:t>
      </w:r>
      <w:proofErr w:type="spellEnd"/>
      <w:r w:rsidR="0061727E">
        <w:rPr>
          <w:rFonts w:asciiTheme="minorHAnsi" w:hAnsiTheme="minorHAnsi"/>
          <w:bCs/>
          <w:snapToGrid w:val="0"/>
        </w:rPr>
        <w:t xml:space="preserve">-gastric cancer demonstrating </w:t>
      </w:r>
      <w:r w:rsidR="006C3853">
        <w:rPr>
          <w:rFonts w:asciiTheme="minorHAnsi" w:hAnsiTheme="minorHAnsi"/>
          <w:bCs/>
          <w:snapToGrid w:val="0"/>
        </w:rPr>
        <w:t>a</w:t>
      </w:r>
      <w:r w:rsidR="0061727E">
        <w:rPr>
          <w:rFonts w:asciiTheme="minorHAnsi" w:hAnsiTheme="minorHAnsi"/>
          <w:bCs/>
          <w:snapToGrid w:val="0"/>
        </w:rPr>
        <w:t xml:space="preserve"> correlation between DFS and OS (</w:t>
      </w:r>
      <w:proofErr w:type="spellStart"/>
      <w:r w:rsidR="00A0013F">
        <w:t>Ronellenfitsch</w:t>
      </w:r>
      <w:proofErr w:type="spellEnd"/>
      <w:r w:rsidR="00A0013F">
        <w:t xml:space="preserve"> et al 2019). The</w:t>
      </w:r>
      <w:r w:rsidR="00654FE5">
        <w:t xml:space="preserve"> clinician</w:t>
      </w:r>
      <w:r w:rsidR="00A0013F">
        <w:t xml:space="preserve"> emphasised that improvement in DFS is also a meaningful outcome for patients</w:t>
      </w:r>
      <w:r w:rsidR="006C3853">
        <w:t>, noting that</w:t>
      </w:r>
      <w:r w:rsidR="00A0013F">
        <w:t xml:space="preserve"> the maintenance of good health and overall quality of life </w:t>
      </w:r>
      <w:r w:rsidR="006C3853">
        <w:t>was especially important to patients. The</w:t>
      </w:r>
      <w:r w:rsidR="00654FE5">
        <w:t xml:space="preserve"> clinician</w:t>
      </w:r>
      <w:r w:rsidR="006C3853">
        <w:t xml:space="preserve"> considered that the benefit to risk ratio of adjuvant nivolumab was highly favourable and argued that preventing future recurrence with adjuvant therapy was preferable to delivering immunotherapy in the metastatic setting where long term remission may be less likely.</w:t>
      </w:r>
    </w:p>
    <w:bookmarkEnd w:id="15"/>
    <w:p w14:paraId="403F9D66" w14:textId="77777777" w:rsidR="00467044" w:rsidRPr="009D3BBB" w:rsidRDefault="00467044" w:rsidP="009D3BBB">
      <w:pPr>
        <w:pStyle w:val="4-SubsectionHeading"/>
        <w:rPr>
          <w:iCs/>
        </w:rPr>
      </w:pPr>
      <w:r w:rsidRPr="009D3BBB">
        <w:rPr>
          <w:iCs/>
        </w:rPr>
        <w:t>Consumer comments</w:t>
      </w:r>
    </w:p>
    <w:p w14:paraId="63863316" w14:textId="162481A5" w:rsidR="00467044" w:rsidRPr="00DE7BDC" w:rsidRDefault="00467044" w:rsidP="00EE1BD3">
      <w:pPr>
        <w:widowControl w:val="0"/>
        <w:numPr>
          <w:ilvl w:val="1"/>
          <w:numId w:val="1"/>
        </w:numPr>
        <w:spacing w:after="120"/>
        <w:rPr>
          <w:rFonts w:asciiTheme="minorHAnsi" w:hAnsiTheme="minorHAnsi"/>
          <w:bCs/>
          <w:snapToGrid w:val="0"/>
        </w:rPr>
      </w:pPr>
      <w:r w:rsidRPr="00DE7BDC">
        <w:rPr>
          <w:rFonts w:asciiTheme="minorHAnsi" w:hAnsiTheme="minorHAnsi"/>
          <w:bCs/>
          <w:snapToGrid w:val="0"/>
        </w:rPr>
        <w:t>The PBAC noted and welcomed the input from individuals (</w:t>
      </w:r>
      <w:r w:rsidR="001F3156" w:rsidRPr="00DE7BDC">
        <w:rPr>
          <w:rFonts w:asciiTheme="minorHAnsi" w:hAnsiTheme="minorHAnsi"/>
          <w:bCs/>
          <w:snapToGrid w:val="0"/>
        </w:rPr>
        <w:t>1</w:t>
      </w:r>
      <w:r w:rsidRPr="00DE7BDC">
        <w:rPr>
          <w:rFonts w:asciiTheme="minorHAnsi" w:hAnsiTheme="minorHAnsi"/>
          <w:bCs/>
          <w:snapToGrid w:val="0"/>
        </w:rPr>
        <w:t>), health care professionals (</w:t>
      </w:r>
      <w:r w:rsidR="001F3156" w:rsidRPr="00DE7BDC">
        <w:rPr>
          <w:rFonts w:asciiTheme="minorHAnsi" w:hAnsiTheme="minorHAnsi"/>
          <w:bCs/>
          <w:snapToGrid w:val="0"/>
        </w:rPr>
        <w:t>1</w:t>
      </w:r>
      <w:r w:rsidRPr="00DE7BDC">
        <w:rPr>
          <w:rFonts w:asciiTheme="minorHAnsi" w:hAnsiTheme="minorHAnsi"/>
          <w:bCs/>
          <w:snapToGrid w:val="0"/>
        </w:rPr>
        <w:t>) and organisations (</w:t>
      </w:r>
      <w:r w:rsidR="001F3156" w:rsidRPr="00DE7BDC">
        <w:rPr>
          <w:rFonts w:asciiTheme="minorHAnsi" w:hAnsiTheme="minorHAnsi"/>
          <w:bCs/>
          <w:snapToGrid w:val="0"/>
        </w:rPr>
        <w:t>2</w:t>
      </w:r>
      <w:r w:rsidRPr="00DE7BDC">
        <w:rPr>
          <w:rFonts w:asciiTheme="minorHAnsi" w:hAnsiTheme="minorHAnsi"/>
          <w:bCs/>
          <w:snapToGrid w:val="0"/>
        </w:rPr>
        <w:t>) via the Consumer Comments facility on the PBS website.</w:t>
      </w:r>
      <w:r w:rsidR="00EE1BD3" w:rsidRPr="00DE7BDC">
        <w:rPr>
          <w:rFonts w:asciiTheme="minorHAnsi" w:hAnsiTheme="minorHAnsi"/>
          <w:bCs/>
          <w:snapToGrid w:val="0"/>
        </w:rPr>
        <w:t xml:space="preserve"> </w:t>
      </w:r>
      <w:r w:rsidR="0008303D" w:rsidRPr="00DE7BDC">
        <w:rPr>
          <w:rFonts w:asciiTheme="minorHAnsi" w:hAnsiTheme="minorHAnsi" w:cstheme="minorHAnsi"/>
          <w:bCs/>
        </w:rPr>
        <w:t>The health professional</w:t>
      </w:r>
      <w:r w:rsidR="0097749B" w:rsidRPr="00DE7BDC">
        <w:rPr>
          <w:rFonts w:asciiTheme="minorHAnsi" w:hAnsiTheme="minorHAnsi" w:cstheme="minorHAnsi"/>
          <w:bCs/>
        </w:rPr>
        <w:t xml:space="preserve"> stated </w:t>
      </w:r>
      <w:r w:rsidR="00670000" w:rsidRPr="00DE7BDC">
        <w:rPr>
          <w:rFonts w:asciiTheme="minorHAnsi" w:hAnsiTheme="minorHAnsi" w:cstheme="minorHAnsi"/>
          <w:bCs/>
        </w:rPr>
        <w:t xml:space="preserve">that despite the availability of </w:t>
      </w:r>
      <w:r w:rsidR="00670000" w:rsidRPr="00DE7BDC">
        <w:rPr>
          <w:rFonts w:cs="Calibri"/>
        </w:rPr>
        <w:lastRenderedPageBreak/>
        <w:t xml:space="preserve">chemoradiotherapy prior to surgery (CROSS), </w:t>
      </w:r>
      <w:r w:rsidR="0097749B" w:rsidRPr="00DE7BDC">
        <w:rPr>
          <w:rFonts w:asciiTheme="minorHAnsi" w:hAnsiTheme="minorHAnsi" w:cstheme="minorHAnsi"/>
          <w:bCs/>
        </w:rPr>
        <w:t>further treatment options were needed for patients with early GOJC</w:t>
      </w:r>
      <w:r w:rsidR="00670000" w:rsidRPr="00DE7BDC">
        <w:rPr>
          <w:rFonts w:asciiTheme="minorHAnsi" w:hAnsiTheme="minorHAnsi" w:cstheme="minorHAnsi"/>
          <w:bCs/>
        </w:rPr>
        <w:t xml:space="preserve">. </w:t>
      </w:r>
      <w:r w:rsidR="0097749B" w:rsidRPr="00DE7BDC">
        <w:rPr>
          <w:rFonts w:cs="Calibri"/>
        </w:rPr>
        <w:t xml:space="preserve">The health professional </w:t>
      </w:r>
      <w:r w:rsidR="00670000" w:rsidRPr="00DE7BDC">
        <w:rPr>
          <w:rFonts w:cs="Calibri"/>
        </w:rPr>
        <w:t xml:space="preserve">noted that adjuvant nivolumab was associated with improved </w:t>
      </w:r>
      <w:r w:rsidR="00A913C7">
        <w:rPr>
          <w:rFonts w:cs="Calibri"/>
        </w:rPr>
        <w:t>D</w:t>
      </w:r>
      <w:r w:rsidR="00670000" w:rsidRPr="00DE7BDC">
        <w:rPr>
          <w:rFonts w:cs="Calibri"/>
        </w:rPr>
        <w:t>FS and relatively low rates of ser</w:t>
      </w:r>
      <w:r w:rsidR="00654FE5">
        <w:rPr>
          <w:rFonts w:cs="Calibri"/>
        </w:rPr>
        <w:t>i</w:t>
      </w:r>
      <w:r w:rsidR="00670000" w:rsidRPr="00DE7BDC">
        <w:rPr>
          <w:rFonts w:cs="Calibri"/>
        </w:rPr>
        <w:t>ous adverse events. The health professional also noted disadvantages associated with adjuvant nivolumab, including that it remains a costly medication and there is no known overall survival benefit associated with the therapy.</w:t>
      </w:r>
      <w:r w:rsidR="009B3DAC" w:rsidRPr="00DE7BDC">
        <w:rPr>
          <w:rFonts w:cs="Calibri"/>
        </w:rPr>
        <w:t xml:space="preserve"> </w:t>
      </w:r>
      <w:r w:rsidR="00EE1BD3" w:rsidRPr="00DE7BDC">
        <w:rPr>
          <w:rFonts w:asciiTheme="minorHAnsi" w:hAnsiTheme="minorHAnsi"/>
          <w:bCs/>
          <w:snapToGrid w:val="0"/>
        </w:rPr>
        <w:t>Comments from</w:t>
      </w:r>
      <w:r w:rsidR="00E0492B" w:rsidRPr="00DE7BDC">
        <w:rPr>
          <w:rFonts w:asciiTheme="minorHAnsi" w:hAnsiTheme="minorHAnsi"/>
          <w:bCs/>
          <w:snapToGrid w:val="0"/>
        </w:rPr>
        <w:t xml:space="preserve"> an individual</w:t>
      </w:r>
      <w:r w:rsidR="00EE1BD3" w:rsidRPr="00DE7BDC">
        <w:rPr>
          <w:rFonts w:asciiTheme="minorHAnsi" w:hAnsiTheme="minorHAnsi"/>
          <w:bCs/>
          <w:snapToGrid w:val="0"/>
        </w:rPr>
        <w:t xml:space="preserve"> </w:t>
      </w:r>
      <w:r w:rsidR="00E0492B" w:rsidRPr="00DE7BDC">
        <w:rPr>
          <w:rFonts w:asciiTheme="minorHAnsi" w:hAnsiTheme="minorHAnsi"/>
          <w:bCs/>
          <w:snapToGrid w:val="0"/>
        </w:rPr>
        <w:t>and those quote</w:t>
      </w:r>
      <w:r w:rsidR="004F4DB7" w:rsidRPr="00DE7BDC">
        <w:rPr>
          <w:rFonts w:asciiTheme="minorHAnsi" w:hAnsiTheme="minorHAnsi"/>
          <w:bCs/>
          <w:snapToGrid w:val="0"/>
        </w:rPr>
        <w:t>d</w:t>
      </w:r>
      <w:r w:rsidR="00E0492B" w:rsidRPr="00DE7BDC">
        <w:rPr>
          <w:rFonts w:asciiTheme="minorHAnsi" w:hAnsiTheme="minorHAnsi"/>
          <w:bCs/>
          <w:snapToGrid w:val="0"/>
        </w:rPr>
        <w:t xml:space="preserve"> from the health consumer organisation</w:t>
      </w:r>
      <w:r w:rsidR="00EE1BD3" w:rsidRPr="00DE7BDC">
        <w:rPr>
          <w:rFonts w:asciiTheme="minorHAnsi" w:hAnsiTheme="minorHAnsi"/>
          <w:bCs/>
          <w:snapToGrid w:val="0"/>
        </w:rPr>
        <w:t xml:space="preserve"> described a range of benefits associated with receiving nivolumab</w:t>
      </w:r>
      <w:r w:rsidR="00EE1BD3" w:rsidRPr="00DE7BDC">
        <w:rPr>
          <w:rFonts w:asciiTheme="minorHAnsi" w:hAnsiTheme="minorHAnsi" w:cstheme="minorHAnsi"/>
          <w:bCs/>
        </w:rPr>
        <w:t>, including improved clinical outcomes and quality of life while experiencing minimal side effects.</w:t>
      </w:r>
      <w:r w:rsidR="00E0492B" w:rsidRPr="00DE7BDC">
        <w:rPr>
          <w:rFonts w:asciiTheme="minorHAnsi" w:hAnsiTheme="minorHAnsi" w:cstheme="minorHAnsi"/>
          <w:bCs/>
        </w:rPr>
        <w:t xml:space="preserve"> </w:t>
      </w:r>
      <w:proofErr w:type="spellStart"/>
      <w:r w:rsidR="00E0492B" w:rsidRPr="00DE7BDC">
        <w:rPr>
          <w:rFonts w:asciiTheme="minorHAnsi" w:hAnsiTheme="minorHAnsi"/>
          <w:bCs/>
          <w:snapToGrid w:val="0"/>
        </w:rPr>
        <w:t>Pancare</w:t>
      </w:r>
      <w:proofErr w:type="spellEnd"/>
      <w:r w:rsidR="00285ADB" w:rsidRPr="00DE7BDC">
        <w:rPr>
          <w:rFonts w:asciiTheme="minorHAnsi" w:hAnsiTheme="minorHAnsi"/>
          <w:bCs/>
          <w:snapToGrid w:val="0"/>
        </w:rPr>
        <w:t xml:space="preserve"> also</w:t>
      </w:r>
      <w:r w:rsidR="00E0492B" w:rsidRPr="00DE7BDC">
        <w:rPr>
          <w:rFonts w:asciiTheme="minorHAnsi" w:hAnsiTheme="minorHAnsi"/>
          <w:bCs/>
          <w:snapToGrid w:val="0"/>
        </w:rPr>
        <w:t xml:space="preserve"> </w:t>
      </w:r>
      <w:r w:rsidR="00285ADB" w:rsidRPr="00DE7BDC">
        <w:rPr>
          <w:rFonts w:asciiTheme="minorHAnsi" w:hAnsiTheme="minorHAnsi"/>
          <w:bCs/>
          <w:snapToGrid w:val="0"/>
        </w:rPr>
        <w:t>provided support for the PBS listing of adjuvant nivolumab, noting that nivolumab was likely to improve survival and quality of life for this group of patients.</w:t>
      </w:r>
    </w:p>
    <w:p w14:paraId="43444DD7" w14:textId="1D28771C" w:rsidR="001F3156" w:rsidRPr="00DE7BDC" w:rsidRDefault="001F3156" w:rsidP="00467044">
      <w:pPr>
        <w:widowControl w:val="0"/>
        <w:numPr>
          <w:ilvl w:val="1"/>
          <w:numId w:val="1"/>
        </w:numPr>
        <w:spacing w:after="120"/>
        <w:rPr>
          <w:rFonts w:asciiTheme="minorHAnsi" w:hAnsiTheme="minorHAnsi"/>
          <w:bCs/>
          <w:snapToGrid w:val="0"/>
        </w:rPr>
      </w:pPr>
      <w:r w:rsidRPr="00DE7BDC">
        <w:rPr>
          <w:rFonts w:asciiTheme="minorHAnsi" w:hAnsiTheme="minorHAnsi"/>
          <w:bCs/>
          <w:snapToGrid w:val="0"/>
        </w:rPr>
        <w:t xml:space="preserve">The Medical Oncology Group of Australia (MOGA) also expressed its strong support for the use of nivolumab as an adjuvant treatment for patients with oesophageal cancer or gastro-oesophageal cancer, categorising it as one of the therapies of “highest priority for PBS listing” on the basis of the Checkmate 577 </w:t>
      </w:r>
      <w:r w:rsidR="00A913C7">
        <w:rPr>
          <w:rFonts w:asciiTheme="minorHAnsi" w:hAnsiTheme="minorHAnsi"/>
          <w:bCs/>
          <w:snapToGrid w:val="0"/>
        </w:rPr>
        <w:t xml:space="preserve">(CM-577) </w:t>
      </w:r>
      <w:r w:rsidRPr="00DE7BDC">
        <w:rPr>
          <w:rFonts w:asciiTheme="minorHAnsi" w:hAnsiTheme="minorHAnsi"/>
          <w:bCs/>
          <w:snapToGrid w:val="0"/>
        </w:rPr>
        <w:t xml:space="preserve">trial. The PBAC noted that the MOGA presented </w:t>
      </w:r>
      <w:r w:rsidR="00B96065" w:rsidRPr="00DE7BDC">
        <w:rPr>
          <w:rFonts w:asciiTheme="minorHAnsi" w:hAnsiTheme="minorHAnsi"/>
          <w:bCs/>
          <w:snapToGrid w:val="0"/>
        </w:rPr>
        <w:t>the</w:t>
      </w:r>
      <w:r w:rsidRPr="00DE7BDC">
        <w:rPr>
          <w:rFonts w:asciiTheme="minorHAnsi" w:hAnsiTheme="minorHAnsi"/>
          <w:bCs/>
          <w:snapToGrid w:val="0"/>
        </w:rPr>
        <w:t xml:space="preserve"> European Society for Medical Oncology Magnitude of Clinical Benefit Scale (ESMO-MCBS) </w:t>
      </w:r>
      <w:r w:rsidRPr="00DE7BDC">
        <w:t>for nivolumab</w:t>
      </w:r>
      <w:r w:rsidR="00B96065" w:rsidRPr="00DE7BDC">
        <w:t xml:space="preserve">, which was a </w:t>
      </w:r>
      <w:r w:rsidR="00B96065" w:rsidRPr="00DE7BDC">
        <w:rPr>
          <w:rFonts w:asciiTheme="minorHAnsi" w:hAnsiTheme="minorHAnsi"/>
          <w:bCs/>
          <w:snapToGrid w:val="0"/>
        </w:rPr>
        <w:t>Grade A, the highest grade (</w:t>
      </w:r>
      <w:r w:rsidR="003B11D0">
        <w:rPr>
          <w:rFonts w:asciiTheme="minorHAnsi" w:hAnsiTheme="minorHAnsi"/>
          <w:bCs/>
          <w:snapToGrid w:val="0"/>
        </w:rPr>
        <w:t xml:space="preserve">on a scale from A to </w:t>
      </w:r>
      <w:r w:rsidR="00B96065" w:rsidRPr="00DE7BDC">
        <w:rPr>
          <w:rFonts w:asciiTheme="minorHAnsi" w:hAnsiTheme="minorHAnsi"/>
          <w:bCs/>
          <w:snapToGrid w:val="0"/>
        </w:rPr>
        <w:t xml:space="preserve">C, where A and B represent the grades with substantial improvement for new approaches to adjuvant therapy </w:t>
      </w:r>
      <w:r w:rsidR="002B1FB9">
        <w:rPr>
          <w:rFonts w:asciiTheme="minorHAnsi" w:hAnsiTheme="minorHAnsi"/>
          <w:bCs/>
          <w:snapToGrid w:val="0"/>
        </w:rPr>
        <w:t>or new</w:t>
      </w:r>
      <w:r w:rsidR="00B96065" w:rsidRPr="00DE7BDC">
        <w:rPr>
          <w:rFonts w:asciiTheme="minorHAnsi" w:hAnsiTheme="minorHAnsi"/>
          <w:bCs/>
          <w:snapToGrid w:val="0"/>
        </w:rPr>
        <w:t xml:space="preserve"> potentially curative</w:t>
      </w:r>
      <w:r w:rsidR="002B1FB9">
        <w:rPr>
          <w:rFonts w:asciiTheme="minorHAnsi" w:hAnsiTheme="minorHAnsi"/>
          <w:bCs/>
          <w:snapToGrid w:val="0"/>
        </w:rPr>
        <w:t xml:space="preserve"> therapies</w:t>
      </w:r>
      <w:r w:rsidR="00B96065" w:rsidRPr="00DE7BDC">
        <w:rPr>
          <w:rFonts w:asciiTheme="minorHAnsi" w:hAnsiTheme="minorHAnsi"/>
          <w:bCs/>
          <w:snapToGrid w:val="0"/>
        </w:rPr>
        <w:t>).</w:t>
      </w:r>
      <w:r w:rsidRPr="00DE7BDC">
        <w:rPr>
          <w:rStyle w:val="FootnoteReference"/>
          <w:rFonts w:asciiTheme="minorHAnsi" w:hAnsiTheme="minorHAnsi"/>
          <w:bCs/>
          <w:snapToGrid w:val="0"/>
        </w:rPr>
        <w:footnoteReference w:id="10"/>
      </w:r>
      <w:r w:rsidRPr="00DE7BDC">
        <w:rPr>
          <w:rFonts w:asciiTheme="minorHAnsi" w:hAnsiTheme="minorHAnsi"/>
          <w:bCs/>
          <w:snapToGrid w:val="0"/>
        </w:rPr>
        <w:t xml:space="preserve"> </w:t>
      </w:r>
    </w:p>
    <w:p w14:paraId="55B8F35D" w14:textId="168E82F7" w:rsidR="00172C1C" w:rsidRPr="0001264D" w:rsidRDefault="00172C1C" w:rsidP="00172C1C">
      <w:pPr>
        <w:pStyle w:val="4-SubsectionHeading"/>
        <w:rPr>
          <w:iCs/>
        </w:rPr>
      </w:pPr>
      <w:r w:rsidRPr="0001264D">
        <w:rPr>
          <w:iCs/>
        </w:rPr>
        <w:t xml:space="preserve">Clinical </w:t>
      </w:r>
      <w:bookmarkEnd w:id="13"/>
      <w:r w:rsidRPr="0001264D">
        <w:rPr>
          <w:iCs/>
        </w:rPr>
        <w:t>trial</w:t>
      </w:r>
      <w:bookmarkEnd w:id="14"/>
    </w:p>
    <w:p w14:paraId="335D2442" w14:textId="599EAEAD" w:rsidR="00172C1C" w:rsidRPr="00401496" w:rsidRDefault="00172C1C" w:rsidP="00172C1C">
      <w:pPr>
        <w:pStyle w:val="3-BodyText"/>
      </w:pPr>
      <w:r>
        <w:rPr>
          <w:snapToGrid/>
          <w:lang w:val="en-US"/>
        </w:rPr>
        <w:t xml:space="preserve">The </w:t>
      </w:r>
      <w:r w:rsidRPr="004C54EE">
        <w:t xml:space="preserve">submission was based on one randomised </w:t>
      </w:r>
      <w:r w:rsidR="00EB6D7A" w:rsidRPr="004C54EE">
        <w:t>placebo-controlled</w:t>
      </w:r>
      <w:r w:rsidRPr="004C54EE">
        <w:t xml:space="preserve"> trial (CM</w:t>
      </w:r>
      <w:r>
        <w:t>-</w:t>
      </w:r>
      <w:r w:rsidRPr="004C54EE">
        <w:t xml:space="preserve">577; N=794) of adjuvant nivolumab in </w:t>
      </w:r>
      <w:bookmarkStart w:id="16" w:name="_Hlk109897834"/>
      <w:r w:rsidRPr="004C54EE">
        <w:t xml:space="preserve">resected oesophageal or gastro-oesophageal junction cancer following neoadjuvant chemoradiotherapy </w:t>
      </w:r>
      <w:bookmarkEnd w:id="16"/>
      <w:r w:rsidRPr="004C54EE">
        <w:t>(CRT)</w:t>
      </w:r>
      <w:r>
        <w:t>.</w:t>
      </w:r>
    </w:p>
    <w:p w14:paraId="1744B9EB" w14:textId="0B2C766D" w:rsidR="00172C1C" w:rsidRPr="00B50DB8" w:rsidRDefault="00172C1C" w:rsidP="00172C1C">
      <w:pPr>
        <w:pStyle w:val="3-BodyText"/>
      </w:pPr>
      <w:r w:rsidRPr="00401496">
        <w:rPr>
          <w:snapToGrid/>
          <w:lang w:val="en-US"/>
        </w:rPr>
        <w:t xml:space="preserve">Details of CM-577 presented in the submission are provided in </w:t>
      </w:r>
      <w:r w:rsidRPr="00401496">
        <w:fldChar w:fldCharType="begin"/>
      </w:r>
      <w:r w:rsidRPr="00401496">
        <w:instrText xml:space="preserve"> REF _Ref100816992 \h  \* MERGEFORMAT </w:instrText>
      </w:r>
      <w:r w:rsidRPr="00401496">
        <w:fldChar w:fldCharType="separate"/>
      </w:r>
      <w:r w:rsidR="00267758" w:rsidRPr="00267758">
        <w:t>Table 2</w:t>
      </w:r>
      <w:r w:rsidRPr="00401496">
        <w:fldChar w:fldCharType="end"/>
      </w:r>
      <w:r w:rsidRPr="008F6E45">
        <w:t>.</w:t>
      </w:r>
      <w:r>
        <w:rPr>
          <w:snapToGrid/>
          <w:lang w:val="en-US"/>
        </w:rPr>
        <w:t xml:space="preserve"> </w:t>
      </w:r>
    </w:p>
    <w:p w14:paraId="429D19DA" w14:textId="00C8777A" w:rsidR="00172C1C" w:rsidRPr="00401496" w:rsidRDefault="00172C1C" w:rsidP="00172C1C">
      <w:pPr>
        <w:pStyle w:val="TableFigureHeading"/>
        <w:rPr>
          <w:rStyle w:val="CommentReference"/>
          <w:b/>
          <w:bCs w:val="0"/>
        </w:rPr>
      </w:pPr>
      <w:bookmarkStart w:id="17" w:name="_Ref100816992"/>
      <w:r w:rsidRPr="00401496">
        <w:rPr>
          <w:rStyle w:val="CommentReference"/>
          <w:b/>
          <w:bCs w:val="0"/>
        </w:rPr>
        <w:lastRenderedPageBreak/>
        <w:t xml:space="preserve">Table </w:t>
      </w:r>
      <w:r w:rsidRPr="00401496">
        <w:rPr>
          <w:rStyle w:val="CommentReference"/>
          <w:b/>
          <w:bCs w:val="0"/>
        </w:rPr>
        <w:fldChar w:fldCharType="begin"/>
      </w:r>
      <w:r w:rsidRPr="00401496">
        <w:rPr>
          <w:rStyle w:val="CommentReference"/>
          <w:b/>
          <w:bCs w:val="0"/>
        </w:rPr>
        <w:instrText xml:space="preserve"> SEQ Table \* MERGEFORMAT </w:instrText>
      </w:r>
      <w:r w:rsidRPr="00401496">
        <w:rPr>
          <w:rStyle w:val="CommentReference"/>
          <w:b/>
          <w:bCs w:val="0"/>
        </w:rPr>
        <w:fldChar w:fldCharType="separate"/>
      </w:r>
      <w:r w:rsidR="00267758">
        <w:rPr>
          <w:rStyle w:val="CommentReference"/>
          <w:b/>
          <w:bCs w:val="0"/>
          <w:noProof/>
        </w:rPr>
        <w:t>2</w:t>
      </w:r>
      <w:r w:rsidRPr="00401496">
        <w:rPr>
          <w:rStyle w:val="CommentReference"/>
          <w:b/>
          <w:bCs w:val="0"/>
        </w:rPr>
        <w:fldChar w:fldCharType="end"/>
      </w:r>
      <w:bookmarkEnd w:id="17"/>
      <w:r w:rsidRPr="00401496">
        <w:rPr>
          <w:rStyle w:val="CommentReference"/>
          <w:b/>
          <w:bCs w:val="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741"/>
        <w:gridCol w:w="2044"/>
      </w:tblGrid>
      <w:tr w:rsidR="00172C1C" w:rsidRPr="004C54EE" w14:paraId="67C85056" w14:textId="77777777" w:rsidTr="00A0461D">
        <w:trPr>
          <w:tblHeader/>
        </w:trPr>
        <w:tc>
          <w:tcPr>
            <w:tcW w:w="596" w:type="pct"/>
            <w:tcBorders>
              <w:bottom w:val="single" w:sz="4" w:space="0" w:color="auto"/>
            </w:tcBorders>
            <w:vAlign w:val="center"/>
          </w:tcPr>
          <w:p w14:paraId="1FF5A3DA" w14:textId="77777777" w:rsidR="00172C1C" w:rsidRPr="004C54EE" w:rsidRDefault="00172C1C" w:rsidP="00A0461D">
            <w:pPr>
              <w:pStyle w:val="In-tableHeading"/>
              <w:rPr>
                <w:lang w:val="en-AU"/>
              </w:rPr>
            </w:pPr>
            <w:r w:rsidRPr="004C54EE">
              <w:rPr>
                <w:lang w:val="en-AU"/>
              </w:rPr>
              <w:t>Trial ID</w:t>
            </w:r>
          </w:p>
        </w:tc>
        <w:tc>
          <w:tcPr>
            <w:tcW w:w="3227" w:type="pct"/>
            <w:tcBorders>
              <w:bottom w:val="single" w:sz="4" w:space="0" w:color="auto"/>
            </w:tcBorders>
            <w:vAlign w:val="center"/>
          </w:tcPr>
          <w:p w14:paraId="2D9BAC00" w14:textId="77777777" w:rsidR="00172C1C" w:rsidRPr="004C54EE" w:rsidRDefault="00172C1C" w:rsidP="00A0461D">
            <w:pPr>
              <w:pStyle w:val="In-tableHeading"/>
              <w:rPr>
                <w:lang w:val="en-AU"/>
              </w:rPr>
            </w:pPr>
            <w:r w:rsidRPr="004C54EE">
              <w:rPr>
                <w:lang w:val="en-AU"/>
              </w:rPr>
              <w:t>Protocol title/ Publication title</w:t>
            </w:r>
          </w:p>
        </w:tc>
        <w:tc>
          <w:tcPr>
            <w:tcW w:w="1177" w:type="pct"/>
            <w:tcBorders>
              <w:bottom w:val="single" w:sz="4" w:space="0" w:color="auto"/>
            </w:tcBorders>
            <w:vAlign w:val="center"/>
          </w:tcPr>
          <w:p w14:paraId="4822529E" w14:textId="77777777" w:rsidR="00172C1C" w:rsidRPr="004C54EE" w:rsidRDefault="00172C1C" w:rsidP="00A0461D">
            <w:pPr>
              <w:pStyle w:val="In-tableHeading"/>
              <w:rPr>
                <w:lang w:val="en-AU"/>
              </w:rPr>
            </w:pPr>
            <w:r w:rsidRPr="004C54EE">
              <w:rPr>
                <w:lang w:val="en-AU"/>
              </w:rPr>
              <w:t>Publication citation</w:t>
            </w:r>
          </w:p>
        </w:tc>
      </w:tr>
      <w:tr w:rsidR="00172C1C" w:rsidRPr="004C54EE" w14:paraId="22241413" w14:textId="77777777" w:rsidTr="00A0461D">
        <w:tc>
          <w:tcPr>
            <w:tcW w:w="596" w:type="pct"/>
            <w:tcBorders>
              <w:bottom w:val="nil"/>
            </w:tcBorders>
            <w:vAlign w:val="center"/>
          </w:tcPr>
          <w:p w14:paraId="0ABEE463" w14:textId="77777777" w:rsidR="00172C1C" w:rsidRPr="004C54EE" w:rsidRDefault="00172C1C" w:rsidP="00A0461D">
            <w:pPr>
              <w:pStyle w:val="TableText0"/>
            </w:pPr>
            <w:r w:rsidRPr="004C54EE">
              <w:t>CM-577</w:t>
            </w:r>
          </w:p>
        </w:tc>
        <w:tc>
          <w:tcPr>
            <w:tcW w:w="3227" w:type="pct"/>
            <w:tcBorders>
              <w:bottom w:val="single" w:sz="4" w:space="0" w:color="auto"/>
            </w:tcBorders>
            <w:vAlign w:val="center"/>
          </w:tcPr>
          <w:p w14:paraId="584C6814" w14:textId="37A0109E" w:rsidR="00172C1C" w:rsidRPr="004C54EE" w:rsidRDefault="00172C1C" w:rsidP="009D3CDA">
            <w:pPr>
              <w:pStyle w:val="TableText0"/>
              <w:rPr>
                <w:szCs w:val="18"/>
              </w:rPr>
            </w:pPr>
            <w:r w:rsidRPr="004C54EE">
              <w:rPr>
                <w:szCs w:val="18"/>
              </w:rPr>
              <w:t>CheckMate-</w:t>
            </w:r>
            <w:proofErr w:type="gramStart"/>
            <w:r w:rsidRPr="004C54EE">
              <w:rPr>
                <w:szCs w:val="18"/>
              </w:rPr>
              <w:t>577  primary</w:t>
            </w:r>
            <w:proofErr w:type="gramEnd"/>
            <w:r w:rsidRPr="004C54EE">
              <w:rPr>
                <w:szCs w:val="18"/>
              </w:rPr>
              <w:t xml:space="preserve"> CSR </w:t>
            </w:r>
          </w:p>
        </w:tc>
        <w:tc>
          <w:tcPr>
            <w:tcW w:w="1177" w:type="pct"/>
            <w:tcBorders>
              <w:bottom w:val="single" w:sz="4" w:space="0" w:color="auto"/>
            </w:tcBorders>
            <w:vAlign w:val="center"/>
          </w:tcPr>
          <w:p w14:paraId="0641B75D" w14:textId="77777777" w:rsidR="00172C1C" w:rsidRPr="004C54EE" w:rsidRDefault="00172C1C" w:rsidP="00A0461D">
            <w:pPr>
              <w:pStyle w:val="TableText0"/>
            </w:pPr>
            <w:r w:rsidRPr="004C54EE">
              <w:rPr>
                <w:szCs w:val="18"/>
              </w:rPr>
              <w:t>October 2020</w:t>
            </w:r>
          </w:p>
        </w:tc>
      </w:tr>
      <w:tr w:rsidR="00172C1C" w:rsidRPr="004C54EE" w14:paraId="346B8E37" w14:textId="77777777" w:rsidTr="00A0461D">
        <w:tc>
          <w:tcPr>
            <w:tcW w:w="596" w:type="pct"/>
            <w:tcBorders>
              <w:top w:val="nil"/>
              <w:bottom w:val="nil"/>
            </w:tcBorders>
            <w:vAlign w:val="center"/>
          </w:tcPr>
          <w:p w14:paraId="5D22D399" w14:textId="5D489D55" w:rsidR="00172C1C" w:rsidRPr="004C54EE" w:rsidRDefault="009D3CDA" w:rsidP="00A0461D">
            <w:pPr>
              <w:pStyle w:val="TableText0"/>
            </w:pPr>
            <w:r>
              <w:rPr>
                <w:szCs w:val="18"/>
              </w:rPr>
              <w:t>(</w:t>
            </w:r>
            <w:r w:rsidRPr="004C54EE">
              <w:rPr>
                <w:szCs w:val="18"/>
              </w:rPr>
              <w:t>NCT02743494</w:t>
            </w:r>
            <w:r>
              <w:rPr>
                <w:szCs w:val="18"/>
              </w:rPr>
              <w:t>)</w:t>
            </w:r>
          </w:p>
        </w:tc>
        <w:tc>
          <w:tcPr>
            <w:tcW w:w="3227" w:type="pct"/>
            <w:tcBorders>
              <w:bottom w:val="single" w:sz="4" w:space="0" w:color="auto"/>
            </w:tcBorders>
            <w:vAlign w:val="center"/>
          </w:tcPr>
          <w:p w14:paraId="1C1C855A" w14:textId="77777777" w:rsidR="00172C1C" w:rsidRPr="004C54EE" w:rsidRDefault="00172C1C" w:rsidP="00A0461D">
            <w:pPr>
              <w:pStyle w:val="TableText0"/>
              <w:rPr>
                <w:szCs w:val="18"/>
              </w:rPr>
            </w:pPr>
            <w:r w:rsidRPr="004C54EE">
              <w:rPr>
                <w:szCs w:val="18"/>
              </w:rPr>
              <w:t xml:space="preserve">CheckMate-577 ad-hoc descriptive analysis </w:t>
            </w:r>
          </w:p>
        </w:tc>
        <w:tc>
          <w:tcPr>
            <w:tcW w:w="1177" w:type="pct"/>
            <w:tcBorders>
              <w:bottom w:val="single" w:sz="4" w:space="0" w:color="auto"/>
            </w:tcBorders>
            <w:vAlign w:val="center"/>
          </w:tcPr>
          <w:p w14:paraId="0D348F56" w14:textId="77777777" w:rsidR="00172C1C" w:rsidRPr="004C54EE" w:rsidRDefault="00172C1C" w:rsidP="00A0461D">
            <w:pPr>
              <w:pStyle w:val="TableText0"/>
              <w:rPr>
                <w:szCs w:val="18"/>
              </w:rPr>
            </w:pPr>
            <w:r w:rsidRPr="004C54EE">
              <w:rPr>
                <w:szCs w:val="18"/>
              </w:rPr>
              <w:t>February 2021</w:t>
            </w:r>
          </w:p>
        </w:tc>
      </w:tr>
      <w:tr w:rsidR="00172C1C" w:rsidRPr="004C54EE" w14:paraId="113B400F" w14:textId="77777777" w:rsidTr="00A0461D">
        <w:tc>
          <w:tcPr>
            <w:tcW w:w="596" w:type="pct"/>
            <w:tcBorders>
              <w:top w:val="nil"/>
              <w:bottom w:val="nil"/>
            </w:tcBorders>
            <w:vAlign w:val="center"/>
          </w:tcPr>
          <w:p w14:paraId="1D3BA1C2" w14:textId="77777777" w:rsidR="00172C1C" w:rsidRPr="004C54EE" w:rsidRDefault="00172C1C" w:rsidP="00A0461D">
            <w:pPr>
              <w:pStyle w:val="TableText0"/>
            </w:pPr>
          </w:p>
        </w:tc>
        <w:tc>
          <w:tcPr>
            <w:tcW w:w="3227" w:type="pct"/>
            <w:tcBorders>
              <w:top w:val="single" w:sz="4" w:space="0" w:color="auto"/>
              <w:bottom w:val="single" w:sz="4" w:space="0" w:color="auto"/>
            </w:tcBorders>
            <w:vAlign w:val="center"/>
          </w:tcPr>
          <w:p w14:paraId="13B957C9" w14:textId="77777777" w:rsidR="00172C1C" w:rsidRPr="004C54EE" w:rsidRDefault="00172C1C" w:rsidP="00A0461D">
            <w:pPr>
              <w:pStyle w:val="TableText0"/>
              <w:rPr>
                <w:szCs w:val="18"/>
              </w:rPr>
            </w:pPr>
            <w:r w:rsidRPr="004C54EE">
              <w:rPr>
                <w:szCs w:val="18"/>
              </w:rPr>
              <w:t xml:space="preserve">Kelly, R. J., Ajani, J. A., </w:t>
            </w:r>
            <w:proofErr w:type="spellStart"/>
            <w:r w:rsidRPr="004C54EE">
              <w:rPr>
                <w:szCs w:val="18"/>
              </w:rPr>
              <w:t>Kuzdzal</w:t>
            </w:r>
            <w:proofErr w:type="spellEnd"/>
            <w:r w:rsidRPr="004C54EE">
              <w:rPr>
                <w:szCs w:val="18"/>
              </w:rPr>
              <w:t xml:space="preserve">, J., et al. Adjuvant nivolumab in resected </w:t>
            </w:r>
            <w:proofErr w:type="spellStart"/>
            <w:r w:rsidRPr="004C54EE">
              <w:rPr>
                <w:szCs w:val="18"/>
              </w:rPr>
              <w:t>esophageal</w:t>
            </w:r>
            <w:proofErr w:type="spellEnd"/>
            <w:r w:rsidRPr="004C54EE">
              <w:rPr>
                <w:szCs w:val="18"/>
              </w:rPr>
              <w:t xml:space="preserve"> or gastroesophageal junction cancer. </w:t>
            </w:r>
          </w:p>
        </w:tc>
        <w:tc>
          <w:tcPr>
            <w:tcW w:w="1177" w:type="pct"/>
            <w:tcBorders>
              <w:top w:val="single" w:sz="4" w:space="0" w:color="auto"/>
              <w:bottom w:val="single" w:sz="4" w:space="0" w:color="auto"/>
            </w:tcBorders>
            <w:vAlign w:val="center"/>
          </w:tcPr>
          <w:p w14:paraId="4869785C" w14:textId="77777777" w:rsidR="00172C1C" w:rsidRPr="004C54EE" w:rsidRDefault="00172C1C" w:rsidP="00A0461D">
            <w:pPr>
              <w:pStyle w:val="TableText0"/>
              <w:rPr>
                <w:i/>
                <w:szCs w:val="18"/>
              </w:rPr>
            </w:pPr>
            <w:r w:rsidRPr="004C54EE">
              <w:rPr>
                <w:i/>
                <w:iCs/>
                <w:szCs w:val="18"/>
              </w:rPr>
              <w:t>NEJM</w:t>
            </w:r>
            <w:r w:rsidRPr="004C54EE">
              <w:rPr>
                <w:szCs w:val="18"/>
              </w:rPr>
              <w:t xml:space="preserve"> 2021; 384: 1191-1203</w:t>
            </w:r>
          </w:p>
        </w:tc>
      </w:tr>
      <w:tr w:rsidR="00172C1C" w:rsidRPr="004C54EE" w14:paraId="009D7D04" w14:textId="77777777" w:rsidTr="00A0461D">
        <w:tc>
          <w:tcPr>
            <w:tcW w:w="596" w:type="pct"/>
            <w:tcBorders>
              <w:top w:val="nil"/>
              <w:bottom w:val="nil"/>
            </w:tcBorders>
            <w:vAlign w:val="center"/>
          </w:tcPr>
          <w:p w14:paraId="291542BD" w14:textId="77777777" w:rsidR="00172C1C" w:rsidRPr="004C54EE" w:rsidRDefault="00172C1C" w:rsidP="00A0461D">
            <w:pPr>
              <w:pStyle w:val="TableText0"/>
            </w:pPr>
          </w:p>
        </w:tc>
        <w:tc>
          <w:tcPr>
            <w:tcW w:w="3227" w:type="pct"/>
            <w:tcBorders>
              <w:bottom w:val="single" w:sz="4" w:space="0" w:color="auto"/>
            </w:tcBorders>
            <w:vAlign w:val="center"/>
          </w:tcPr>
          <w:p w14:paraId="2FAE047C" w14:textId="77777777" w:rsidR="00172C1C" w:rsidRPr="004C54EE" w:rsidRDefault="00172C1C" w:rsidP="00A0461D">
            <w:pPr>
              <w:pStyle w:val="TableText0"/>
              <w:rPr>
                <w:szCs w:val="18"/>
              </w:rPr>
            </w:pPr>
            <w:proofErr w:type="spellStart"/>
            <w:r w:rsidRPr="004C54EE">
              <w:rPr>
                <w:szCs w:val="18"/>
              </w:rPr>
              <w:t>Moehler</w:t>
            </w:r>
            <w:proofErr w:type="spellEnd"/>
            <w:r w:rsidRPr="004C54EE">
              <w:rPr>
                <w:szCs w:val="18"/>
              </w:rPr>
              <w:t xml:space="preserve">, M., Ajani, J. A., </w:t>
            </w:r>
            <w:proofErr w:type="spellStart"/>
            <w:r w:rsidRPr="004C54EE">
              <w:rPr>
                <w:szCs w:val="18"/>
              </w:rPr>
              <w:t>Kuzdzal</w:t>
            </w:r>
            <w:proofErr w:type="spellEnd"/>
            <w:r w:rsidRPr="004C54EE">
              <w:rPr>
                <w:szCs w:val="18"/>
              </w:rPr>
              <w:t xml:space="preserve">, J., et al. 2021. 1381P Adjuvant nivolumab in resected </w:t>
            </w:r>
            <w:proofErr w:type="spellStart"/>
            <w:r w:rsidRPr="004C54EE">
              <w:rPr>
                <w:szCs w:val="18"/>
              </w:rPr>
              <w:t>esophageal</w:t>
            </w:r>
            <w:proofErr w:type="spellEnd"/>
            <w:r w:rsidRPr="004C54EE">
              <w:rPr>
                <w:szCs w:val="18"/>
              </w:rPr>
              <w:t xml:space="preserve"> or gastroesophageal junction cancer (EC/GEJC) following neoadjuvant chemoradiotherapy (CRT): 14-month follow-up of </w:t>
            </w:r>
            <w:proofErr w:type="spellStart"/>
            <w:r w:rsidRPr="004C54EE">
              <w:rPr>
                <w:szCs w:val="18"/>
              </w:rPr>
              <w:t>CheckMate</w:t>
            </w:r>
            <w:proofErr w:type="spellEnd"/>
            <w:r w:rsidRPr="004C54EE">
              <w:rPr>
                <w:szCs w:val="18"/>
              </w:rPr>
              <w:t xml:space="preserve"> 577.</w:t>
            </w:r>
          </w:p>
        </w:tc>
        <w:tc>
          <w:tcPr>
            <w:tcW w:w="1177" w:type="pct"/>
            <w:tcBorders>
              <w:bottom w:val="single" w:sz="4" w:space="0" w:color="auto"/>
            </w:tcBorders>
            <w:vAlign w:val="center"/>
          </w:tcPr>
          <w:p w14:paraId="41EEC8E3" w14:textId="77777777" w:rsidR="00172C1C" w:rsidRPr="004C54EE" w:rsidRDefault="00172C1C" w:rsidP="00A0461D">
            <w:pPr>
              <w:pStyle w:val="TableText0"/>
            </w:pPr>
            <w:r w:rsidRPr="004C54EE">
              <w:rPr>
                <w:i/>
                <w:iCs/>
                <w:szCs w:val="18"/>
              </w:rPr>
              <w:t>Annals of Oncology</w:t>
            </w:r>
            <w:r w:rsidRPr="004C54EE">
              <w:rPr>
                <w:szCs w:val="18"/>
              </w:rPr>
              <w:t xml:space="preserve"> 2021; 32: S1045-S1046.</w:t>
            </w:r>
          </w:p>
        </w:tc>
      </w:tr>
      <w:tr w:rsidR="00172C1C" w:rsidRPr="004C54EE" w14:paraId="0E8940D0" w14:textId="77777777" w:rsidTr="00A0461D">
        <w:tc>
          <w:tcPr>
            <w:tcW w:w="596" w:type="pct"/>
            <w:tcBorders>
              <w:top w:val="nil"/>
              <w:bottom w:val="nil"/>
            </w:tcBorders>
            <w:vAlign w:val="center"/>
          </w:tcPr>
          <w:p w14:paraId="34D1C00C" w14:textId="77777777" w:rsidR="00172C1C" w:rsidRPr="004C54EE" w:rsidRDefault="00172C1C" w:rsidP="00A0461D">
            <w:pPr>
              <w:pStyle w:val="TableText0"/>
            </w:pPr>
          </w:p>
        </w:tc>
        <w:tc>
          <w:tcPr>
            <w:tcW w:w="3227" w:type="pct"/>
            <w:tcBorders>
              <w:bottom w:val="single" w:sz="4" w:space="0" w:color="auto"/>
            </w:tcBorders>
            <w:vAlign w:val="center"/>
          </w:tcPr>
          <w:p w14:paraId="6DC14BAC" w14:textId="77777777" w:rsidR="00172C1C" w:rsidRPr="004C54EE" w:rsidRDefault="00172C1C" w:rsidP="00A0461D">
            <w:pPr>
              <w:pStyle w:val="TableText0"/>
              <w:rPr>
                <w:szCs w:val="18"/>
              </w:rPr>
            </w:pPr>
            <w:proofErr w:type="spellStart"/>
            <w:r w:rsidRPr="004C54EE">
              <w:rPr>
                <w:szCs w:val="18"/>
              </w:rPr>
              <w:t>Lawrance</w:t>
            </w:r>
            <w:proofErr w:type="spellEnd"/>
            <w:r w:rsidRPr="004C54EE">
              <w:rPr>
                <w:szCs w:val="18"/>
              </w:rPr>
              <w:t xml:space="preserve">, R., Singh, P., </w:t>
            </w:r>
            <w:proofErr w:type="spellStart"/>
            <w:r w:rsidRPr="004C54EE">
              <w:rPr>
                <w:szCs w:val="18"/>
              </w:rPr>
              <w:t>Leso</w:t>
            </w:r>
            <w:proofErr w:type="spellEnd"/>
            <w:r w:rsidRPr="004C54EE">
              <w:rPr>
                <w:szCs w:val="18"/>
              </w:rPr>
              <w:t xml:space="preserve">, A., et al. PCN83 Healthcare Resource Utilization (HCRU) of Patients with Resected </w:t>
            </w:r>
            <w:proofErr w:type="spellStart"/>
            <w:r w:rsidRPr="004C54EE">
              <w:rPr>
                <w:szCs w:val="18"/>
              </w:rPr>
              <w:t>Esophageal</w:t>
            </w:r>
            <w:proofErr w:type="spellEnd"/>
            <w:r w:rsidRPr="004C54EE">
              <w:rPr>
                <w:szCs w:val="18"/>
              </w:rPr>
              <w:t xml:space="preserve"> Cancer or Gastroesophageal Junction Cancer (EC/GEJC) Receiving Adjuvant Nivolumab Treatment Versus Placebo. </w:t>
            </w:r>
          </w:p>
        </w:tc>
        <w:tc>
          <w:tcPr>
            <w:tcW w:w="1177" w:type="pct"/>
            <w:tcBorders>
              <w:bottom w:val="single" w:sz="4" w:space="0" w:color="auto"/>
            </w:tcBorders>
            <w:vAlign w:val="center"/>
          </w:tcPr>
          <w:p w14:paraId="2B80FD7C" w14:textId="77777777" w:rsidR="00172C1C" w:rsidRPr="004C54EE" w:rsidRDefault="00172C1C" w:rsidP="00A0461D">
            <w:pPr>
              <w:pStyle w:val="TableText0"/>
            </w:pPr>
            <w:r w:rsidRPr="004C54EE">
              <w:rPr>
                <w:i/>
                <w:iCs/>
                <w:szCs w:val="18"/>
              </w:rPr>
              <w:t>Value in Health</w:t>
            </w:r>
            <w:r w:rsidRPr="004C54EE">
              <w:rPr>
                <w:szCs w:val="18"/>
              </w:rPr>
              <w:t xml:space="preserve"> 2021; 24: S34-S35.</w:t>
            </w:r>
          </w:p>
        </w:tc>
      </w:tr>
      <w:tr w:rsidR="00172C1C" w:rsidRPr="004C54EE" w14:paraId="7D2E465E" w14:textId="77777777" w:rsidTr="00A0461D">
        <w:tc>
          <w:tcPr>
            <w:tcW w:w="596" w:type="pct"/>
            <w:tcBorders>
              <w:top w:val="nil"/>
              <w:bottom w:val="nil"/>
            </w:tcBorders>
            <w:vAlign w:val="center"/>
          </w:tcPr>
          <w:p w14:paraId="428818F8" w14:textId="77777777" w:rsidR="00172C1C" w:rsidRPr="004C54EE" w:rsidRDefault="00172C1C" w:rsidP="00A0461D">
            <w:pPr>
              <w:pStyle w:val="TableText0"/>
            </w:pPr>
          </w:p>
        </w:tc>
        <w:tc>
          <w:tcPr>
            <w:tcW w:w="3227" w:type="pct"/>
            <w:tcBorders>
              <w:bottom w:val="single" w:sz="4" w:space="0" w:color="auto"/>
            </w:tcBorders>
            <w:vAlign w:val="center"/>
          </w:tcPr>
          <w:p w14:paraId="7A32BEC7" w14:textId="77777777" w:rsidR="00172C1C" w:rsidRPr="004C54EE" w:rsidRDefault="00172C1C" w:rsidP="00A0461D">
            <w:pPr>
              <w:pStyle w:val="TableText0"/>
              <w:rPr>
                <w:szCs w:val="18"/>
              </w:rPr>
            </w:pPr>
            <w:r w:rsidRPr="004C54EE">
              <w:rPr>
                <w:szCs w:val="18"/>
              </w:rPr>
              <w:t xml:space="preserve">Van </w:t>
            </w:r>
            <w:proofErr w:type="spellStart"/>
            <w:r w:rsidRPr="004C54EE">
              <w:rPr>
                <w:szCs w:val="18"/>
              </w:rPr>
              <w:t>Cutsem</w:t>
            </w:r>
            <w:proofErr w:type="spellEnd"/>
            <w:r w:rsidRPr="004C54EE">
              <w:rPr>
                <w:szCs w:val="18"/>
              </w:rPr>
              <w:t xml:space="preserve">, E., Singh, P., Cleary, J. M., et al. Checkmate </w:t>
            </w:r>
            <w:proofErr w:type="gramStart"/>
            <w:r w:rsidRPr="004C54EE">
              <w:rPr>
                <w:szCs w:val="18"/>
              </w:rPr>
              <w:t>577:Health</w:t>
            </w:r>
            <w:proofErr w:type="gramEnd"/>
            <w:r w:rsidRPr="004C54EE">
              <w:rPr>
                <w:szCs w:val="18"/>
              </w:rPr>
              <w:t>-related quality of life (</w:t>
            </w:r>
            <w:proofErr w:type="spellStart"/>
            <w:r w:rsidRPr="004C54EE">
              <w:rPr>
                <w:szCs w:val="18"/>
              </w:rPr>
              <w:t>HRQoL</w:t>
            </w:r>
            <w:proofErr w:type="spellEnd"/>
            <w:r w:rsidRPr="004C54EE">
              <w:rPr>
                <w:szCs w:val="18"/>
              </w:rPr>
              <w:t xml:space="preserve">) in a randomized, double-blind phase III study of nivolumab (NIVO) versus placebo (PBO) as adjuvant treatment in patients (pts) with resected </w:t>
            </w:r>
            <w:proofErr w:type="spellStart"/>
            <w:r w:rsidRPr="004C54EE">
              <w:rPr>
                <w:szCs w:val="18"/>
              </w:rPr>
              <w:t>esophageal</w:t>
            </w:r>
            <w:proofErr w:type="spellEnd"/>
            <w:r w:rsidRPr="004C54EE">
              <w:rPr>
                <w:szCs w:val="18"/>
              </w:rPr>
              <w:t xml:space="preserve"> or gastroesophageal junction cancer (EC/GEJC). </w:t>
            </w:r>
          </w:p>
        </w:tc>
        <w:tc>
          <w:tcPr>
            <w:tcW w:w="1177" w:type="pct"/>
            <w:tcBorders>
              <w:bottom w:val="single" w:sz="4" w:space="0" w:color="auto"/>
            </w:tcBorders>
            <w:vAlign w:val="center"/>
          </w:tcPr>
          <w:p w14:paraId="07CDCC96" w14:textId="77777777" w:rsidR="00172C1C" w:rsidRPr="004C54EE" w:rsidRDefault="00172C1C" w:rsidP="00A0461D">
            <w:pPr>
              <w:pStyle w:val="TableText0"/>
            </w:pPr>
            <w:r w:rsidRPr="004C54EE">
              <w:rPr>
                <w:i/>
                <w:iCs/>
                <w:szCs w:val="18"/>
              </w:rPr>
              <w:t xml:space="preserve">Journal of Clinical Oncology </w:t>
            </w:r>
            <w:r w:rsidRPr="004C54EE">
              <w:rPr>
                <w:szCs w:val="18"/>
              </w:rPr>
              <w:t>2021; 39: 167-167.</w:t>
            </w:r>
          </w:p>
        </w:tc>
      </w:tr>
      <w:tr w:rsidR="00172C1C" w:rsidRPr="004C54EE" w14:paraId="0C48CC1C" w14:textId="77777777" w:rsidTr="00A0461D">
        <w:tc>
          <w:tcPr>
            <w:tcW w:w="596" w:type="pct"/>
            <w:tcBorders>
              <w:top w:val="nil"/>
              <w:bottom w:val="nil"/>
            </w:tcBorders>
            <w:vAlign w:val="center"/>
          </w:tcPr>
          <w:p w14:paraId="734E86F8" w14:textId="77777777" w:rsidR="00172C1C" w:rsidRPr="004C54EE" w:rsidRDefault="00172C1C" w:rsidP="00A0461D">
            <w:pPr>
              <w:pStyle w:val="TableText0"/>
            </w:pPr>
          </w:p>
        </w:tc>
        <w:tc>
          <w:tcPr>
            <w:tcW w:w="3227" w:type="pct"/>
            <w:tcBorders>
              <w:top w:val="single" w:sz="4" w:space="0" w:color="auto"/>
              <w:bottom w:val="single" w:sz="4" w:space="0" w:color="auto"/>
            </w:tcBorders>
            <w:vAlign w:val="center"/>
          </w:tcPr>
          <w:p w14:paraId="269CDDFE" w14:textId="77777777" w:rsidR="00172C1C" w:rsidRPr="004C54EE" w:rsidRDefault="00172C1C" w:rsidP="00A0461D">
            <w:pPr>
              <w:pStyle w:val="TableText0"/>
              <w:rPr>
                <w:szCs w:val="18"/>
              </w:rPr>
            </w:pPr>
            <w:r w:rsidRPr="004C54EE">
              <w:rPr>
                <w:szCs w:val="18"/>
              </w:rPr>
              <w:t xml:space="preserve">Zander, T., Kelly, R. J., Ajani, J. A., et al. Adjuvant nivolumab (NIVO) in resected </w:t>
            </w:r>
            <w:proofErr w:type="spellStart"/>
            <w:r w:rsidRPr="004C54EE">
              <w:rPr>
                <w:szCs w:val="18"/>
              </w:rPr>
              <w:t>esophageal</w:t>
            </w:r>
            <w:proofErr w:type="spellEnd"/>
            <w:r w:rsidRPr="004C54EE">
              <w:rPr>
                <w:szCs w:val="18"/>
              </w:rPr>
              <w:t xml:space="preserve"> or gastroesophageal junction cancer (EC/GEJC) following neoadjuvant chemoradiotherapy (CRT): Expanded efficacy and safety analyses from </w:t>
            </w:r>
            <w:proofErr w:type="spellStart"/>
            <w:r w:rsidRPr="004C54EE">
              <w:rPr>
                <w:szCs w:val="18"/>
              </w:rPr>
              <w:t>CheckMate</w:t>
            </w:r>
            <w:proofErr w:type="spellEnd"/>
            <w:r w:rsidRPr="004C54EE">
              <w:rPr>
                <w:szCs w:val="18"/>
              </w:rPr>
              <w:t xml:space="preserve"> 577. </w:t>
            </w:r>
          </w:p>
        </w:tc>
        <w:tc>
          <w:tcPr>
            <w:tcW w:w="1177" w:type="pct"/>
            <w:tcBorders>
              <w:top w:val="single" w:sz="4" w:space="0" w:color="auto"/>
              <w:bottom w:val="single" w:sz="4" w:space="0" w:color="auto"/>
            </w:tcBorders>
            <w:vAlign w:val="center"/>
          </w:tcPr>
          <w:p w14:paraId="6AFD2386" w14:textId="77777777" w:rsidR="00172C1C" w:rsidRPr="004C54EE" w:rsidRDefault="00172C1C" w:rsidP="00A0461D">
            <w:pPr>
              <w:pStyle w:val="TableText0"/>
              <w:rPr>
                <w:i/>
              </w:rPr>
            </w:pPr>
            <w:r w:rsidRPr="004C54EE">
              <w:rPr>
                <w:i/>
                <w:iCs/>
                <w:szCs w:val="18"/>
              </w:rPr>
              <w:t>Oncology Research and Treatment</w:t>
            </w:r>
            <w:r w:rsidRPr="004C54EE">
              <w:rPr>
                <w:szCs w:val="18"/>
              </w:rPr>
              <w:t xml:space="preserve"> 2021; 44: 80-81.</w:t>
            </w:r>
          </w:p>
        </w:tc>
      </w:tr>
      <w:tr w:rsidR="00172C1C" w:rsidRPr="004C54EE" w14:paraId="2985D6B8" w14:textId="77777777" w:rsidTr="00A0461D">
        <w:tc>
          <w:tcPr>
            <w:tcW w:w="596" w:type="pct"/>
            <w:tcBorders>
              <w:top w:val="nil"/>
              <w:bottom w:val="nil"/>
            </w:tcBorders>
            <w:vAlign w:val="center"/>
          </w:tcPr>
          <w:p w14:paraId="5FCB0E89" w14:textId="77777777" w:rsidR="00172C1C" w:rsidRPr="004C54EE" w:rsidRDefault="00172C1C" w:rsidP="00A0461D">
            <w:pPr>
              <w:pStyle w:val="TableText0"/>
            </w:pPr>
          </w:p>
        </w:tc>
        <w:tc>
          <w:tcPr>
            <w:tcW w:w="3227" w:type="pct"/>
            <w:tcBorders>
              <w:top w:val="single" w:sz="4" w:space="0" w:color="auto"/>
              <w:bottom w:val="single" w:sz="4" w:space="0" w:color="auto"/>
            </w:tcBorders>
            <w:vAlign w:val="center"/>
          </w:tcPr>
          <w:p w14:paraId="0BF978BC" w14:textId="77777777" w:rsidR="00172C1C" w:rsidRPr="004C54EE" w:rsidRDefault="00172C1C" w:rsidP="00A0461D">
            <w:pPr>
              <w:pStyle w:val="TableText0"/>
              <w:rPr>
                <w:szCs w:val="18"/>
              </w:rPr>
            </w:pPr>
            <w:r w:rsidRPr="004C54EE">
              <w:rPr>
                <w:szCs w:val="18"/>
              </w:rPr>
              <w:t xml:space="preserve">Kelly, R. J., Ajani, J. A., </w:t>
            </w:r>
            <w:proofErr w:type="spellStart"/>
            <w:r w:rsidRPr="004C54EE">
              <w:rPr>
                <w:szCs w:val="18"/>
              </w:rPr>
              <w:t>Kuzdzal</w:t>
            </w:r>
            <w:proofErr w:type="spellEnd"/>
            <w:r w:rsidRPr="004C54EE">
              <w:rPr>
                <w:szCs w:val="18"/>
              </w:rPr>
              <w:t xml:space="preserve">, J., et al. Adjuvant nivolumab in resected </w:t>
            </w:r>
            <w:proofErr w:type="spellStart"/>
            <w:r w:rsidRPr="004C54EE">
              <w:rPr>
                <w:szCs w:val="18"/>
              </w:rPr>
              <w:t>esophageal</w:t>
            </w:r>
            <w:proofErr w:type="spellEnd"/>
            <w:r w:rsidRPr="004C54EE">
              <w:rPr>
                <w:szCs w:val="18"/>
              </w:rPr>
              <w:t xml:space="preserve"> or gastroesophageal junction cancer (EC/GEJC) following neoadjuvant chemoradiation therapy (CRT): First results of the </w:t>
            </w:r>
            <w:proofErr w:type="spellStart"/>
            <w:r w:rsidRPr="004C54EE">
              <w:rPr>
                <w:szCs w:val="18"/>
              </w:rPr>
              <w:t>CheckMate</w:t>
            </w:r>
            <w:proofErr w:type="spellEnd"/>
            <w:r w:rsidRPr="004C54EE">
              <w:rPr>
                <w:szCs w:val="18"/>
              </w:rPr>
              <w:t xml:space="preserve"> 577 study. </w:t>
            </w:r>
          </w:p>
        </w:tc>
        <w:tc>
          <w:tcPr>
            <w:tcW w:w="1177" w:type="pct"/>
            <w:tcBorders>
              <w:top w:val="single" w:sz="4" w:space="0" w:color="auto"/>
              <w:bottom w:val="single" w:sz="4" w:space="0" w:color="auto"/>
            </w:tcBorders>
            <w:vAlign w:val="center"/>
          </w:tcPr>
          <w:p w14:paraId="7C998B67" w14:textId="77777777" w:rsidR="00172C1C" w:rsidRPr="004C54EE" w:rsidRDefault="00172C1C" w:rsidP="00A0461D">
            <w:pPr>
              <w:pStyle w:val="TableText0"/>
            </w:pPr>
            <w:r w:rsidRPr="004C54EE">
              <w:rPr>
                <w:i/>
                <w:iCs/>
                <w:szCs w:val="18"/>
              </w:rPr>
              <w:t>Annals of Oncology</w:t>
            </w:r>
            <w:r w:rsidRPr="004C54EE">
              <w:rPr>
                <w:szCs w:val="18"/>
              </w:rPr>
              <w:t xml:space="preserve"> 2020; 31: S1193-S1194.</w:t>
            </w:r>
          </w:p>
        </w:tc>
      </w:tr>
      <w:tr w:rsidR="00172C1C" w:rsidRPr="004C54EE" w14:paraId="32A1B8CC" w14:textId="77777777" w:rsidTr="009D3CDA">
        <w:tc>
          <w:tcPr>
            <w:tcW w:w="596" w:type="pct"/>
            <w:tcBorders>
              <w:top w:val="nil"/>
              <w:bottom w:val="single" w:sz="4" w:space="0" w:color="auto"/>
            </w:tcBorders>
            <w:vAlign w:val="center"/>
          </w:tcPr>
          <w:p w14:paraId="0E8B24B1" w14:textId="77777777" w:rsidR="00172C1C" w:rsidRPr="004C54EE" w:rsidRDefault="00172C1C" w:rsidP="00A0461D">
            <w:pPr>
              <w:pStyle w:val="TableText0"/>
            </w:pPr>
          </w:p>
        </w:tc>
        <w:tc>
          <w:tcPr>
            <w:tcW w:w="3227" w:type="pct"/>
            <w:tcBorders>
              <w:bottom w:val="single" w:sz="4" w:space="0" w:color="auto"/>
            </w:tcBorders>
            <w:vAlign w:val="center"/>
          </w:tcPr>
          <w:p w14:paraId="0B0B5798" w14:textId="77777777" w:rsidR="00172C1C" w:rsidRPr="004C54EE" w:rsidRDefault="00172C1C" w:rsidP="00A0461D">
            <w:pPr>
              <w:pStyle w:val="TableText0"/>
            </w:pPr>
            <w:r w:rsidRPr="004C54EE">
              <w:t xml:space="preserve">Kelly, R. J., Lockhart, A. C., Jonker, D. J., et al. </w:t>
            </w:r>
            <w:proofErr w:type="spellStart"/>
            <w:r w:rsidRPr="004C54EE">
              <w:t>CheckMate</w:t>
            </w:r>
            <w:proofErr w:type="spellEnd"/>
            <w:r w:rsidRPr="004C54EE">
              <w:t xml:space="preserve"> 577: A randomized, double-blind, phase 3 study of nivolumab (</w:t>
            </w:r>
            <w:proofErr w:type="spellStart"/>
            <w:r w:rsidRPr="004C54EE">
              <w:t>Nivo</w:t>
            </w:r>
            <w:proofErr w:type="spellEnd"/>
            <w:r w:rsidRPr="004C54EE">
              <w:t xml:space="preserve">) or placebo in patients (Pts) with resected lower </w:t>
            </w:r>
            <w:proofErr w:type="spellStart"/>
            <w:r w:rsidRPr="004C54EE">
              <w:t>esophageal</w:t>
            </w:r>
            <w:proofErr w:type="spellEnd"/>
            <w:r w:rsidRPr="004C54EE">
              <w:t xml:space="preserve"> I or gastroesophageal junction (GEJ) cancer. </w:t>
            </w:r>
          </w:p>
        </w:tc>
        <w:tc>
          <w:tcPr>
            <w:tcW w:w="1177" w:type="pct"/>
            <w:tcBorders>
              <w:bottom w:val="single" w:sz="4" w:space="0" w:color="auto"/>
            </w:tcBorders>
            <w:vAlign w:val="center"/>
          </w:tcPr>
          <w:p w14:paraId="4D2C2C06" w14:textId="77777777" w:rsidR="00172C1C" w:rsidRPr="004C54EE" w:rsidRDefault="00172C1C" w:rsidP="00A0461D">
            <w:pPr>
              <w:pStyle w:val="TableText0"/>
            </w:pPr>
            <w:r w:rsidRPr="004C54EE">
              <w:rPr>
                <w:i/>
                <w:iCs/>
              </w:rPr>
              <w:t>Journal of Clinical Oncology</w:t>
            </w:r>
            <w:r w:rsidRPr="004C54EE">
              <w:t xml:space="preserve"> 2017; 35: TPS212-TPS212</w:t>
            </w:r>
          </w:p>
        </w:tc>
      </w:tr>
    </w:tbl>
    <w:p w14:paraId="6C1B40DE" w14:textId="77777777" w:rsidR="00172C1C" w:rsidRPr="004C54EE" w:rsidRDefault="00172C1C" w:rsidP="00172C1C">
      <w:pPr>
        <w:pStyle w:val="TableFigureFooter"/>
        <w:rPr>
          <w:sz w:val="20"/>
        </w:rPr>
      </w:pPr>
      <w:r w:rsidRPr="004C54EE">
        <w:t xml:space="preserve">Source: Table 14, p39-40 of the submission. </w:t>
      </w:r>
    </w:p>
    <w:p w14:paraId="6C94775C" w14:textId="4CD1251E" w:rsidR="00172C1C" w:rsidRPr="00FC296A" w:rsidRDefault="00172C1C" w:rsidP="00172C1C">
      <w:pPr>
        <w:pStyle w:val="3-BodyText"/>
      </w:pPr>
      <w:r w:rsidRPr="00B50DB8">
        <w:t xml:space="preserve">The key features of the </w:t>
      </w:r>
      <w:r>
        <w:t xml:space="preserve">CM-577 trial </w:t>
      </w:r>
      <w:r w:rsidRPr="00B50DB8">
        <w:t xml:space="preserve">are summarised in </w:t>
      </w:r>
      <w:r w:rsidRPr="00C8062E">
        <w:fldChar w:fldCharType="begin"/>
      </w:r>
      <w:r w:rsidRPr="00C8062E">
        <w:instrText xml:space="preserve"> REF _Ref100824803 \h </w:instrText>
      </w:r>
      <w:r>
        <w:instrText xml:space="preserve"> \* MERGEFORMAT </w:instrText>
      </w:r>
      <w:r w:rsidRPr="00C8062E">
        <w:fldChar w:fldCharType="separate"/>
      </w:r>
      <w:r w:rsidR="00267758" w:rsidRPr="00267758">
        <w:t>Table 3</w:t>
      </w:r>
      <w:r w:rsidRPr="00C8062E">
        <w:fldChar w:fldCharType="end"/>
      </w:r>
      <w:r>
        <w:t>.</w:t>
      </w:r>
      <w:r w:rsidR="00284CC9">
        <w:t xml:space="preserve"> </w:t>
      </w:r>
    </w:p>
    <w:p w14:paraId="16B40839" w14:textId="56F3307C" w:rsidR="00172C1C" w:rsidRPr="003541EC" w:rsidRDefault="00172C1C" w:rsidP="00FC296A">
      <w:pPr>
        <w:pStyle w:val="TableFigureHeading"/>
        <w:keepLines/>
        <w:rPr>
          <w:rStyle w:val="CommentReference"/>
          <w:b/>
          <w:bCs w:val="0"/>
        </w:rPr>
      </w:pPr>
      <w:bookmarkStart w:id="18" w:name="_Ref100824803"/>
      <w:r w:rsidRPr="003541EC">
        <w:rPr>
          <w:rStyle w:val="CommentReference"/>
          <w:b/>
          <w:bCs w:val="0"/>
        </w:rPr>
        <w:t xml:space="preserve">Table </w:t>
      </w:r>
      <w:r w:rsidRPr="003541EC">
        <w:rPr>
          <w:rStyle w:val="CommentReference"/>
          <w:b/>
          <w:bCs w:val="0"/>
        </w:rPr>
        <w:fldChar w:fldCharType="begin"/>
      </w:r>
      <w:r w:rsidRPr="003541EC">
        <w:rPr>
          <w:rStyle w:val="CommentReference"/>
          <w:b/>
          <w:bCs w:val="0"/>
        </w:rPr>
        <w:instrText xml:space="preserve"> SEQ Table \* MERGEFORMAT </w:instrText>
      </w:r>
      <w:r w:rsidRPr="003541EC">
        <w:rPr>
          <w:rStyle w:val="CommentReference"/>
          <w:b/>
          <w:bCs w:val="0"/>
        </w:rPr>
        <w:fldChar w:fldCharType="separate"/>
      </w:r>
      <w:r w:rsidR="00267758">
        <w:rPr>
          <w:rStyle w:val="CommentReference"/>
          <w:b/>
          <w:bCs w:val="0"/>
          <w:noProof/>
        </w:rPr>
        <w:t>3</w:t>
      </w:r>
      <w:r w:rsidRPr="003541EC">
        <w:rPr>
          <w:rStyle w:val="CommentReference"/>
          <w:b/>
          <w:bCs w:val="0"/>
        </w:rPr>
        <w:fldChar w:fldCharType="end"/>
      </w:r>
      <w:bookmarkEnd w:id="18"/>
      <w:r w:rsidRPr="003541EC">
        <w:rPr>
          <w:rStyle w:val="CommentReference"/>
          <w:b/>
          <w:bCs w:val="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172C1C" w:rsidRPr="00B41614" w14:paraId="71493002" w14:textId="77777777" w:rsidTr="00A0461D">
        <w:trPr>
          <w:cantSplit/>
          <w:tblHeader/>
        </w:trPr>
        <w:tc>
          <w:tcPr>
            <w:tcW w:w="713" w:type="pct"/>
            <w:shd w:val="clear" w:color="auto" w:fill="auto"/>
            <w:vAlign w:val="center"/>
          </w:tcPr>
          <w:p w14:paraId="13AC39AB" w14:textId="77777777" w:rsidR="00172C1C" w:rsidRPr="00B41614" w:rsidRDefault="00172C1C" w:rsidP="00FC296A">
            <w:pPr>
              <w:pStyle w:val="In-tableHeading"/>
              <w:keepLines/>
            </w:pPr>
            <w:r w:rsidRPr="00B41614">
              <w:t>Trial</w:t>
            </w:r>
          </w:p>
        </w:tc>
        <w:tc>
          <w:tcPr>
            <w:tcW w:w="466" w:type="pct"/>
            <w:shd w:val="clear" w:color="auto" w:fill="auto"/>
            <w:vAlign w:val="center"/>
          </w:tcPr>
          <w:p w14:paraId="512D091F" w14:textId="77777777" w:rsidR="00172C1C" w:rsidRPr="00B41614" w:rsidRDefault="00172C1C" w:rsidP="00FC296A">
            <w:pPr>
              <w:pStyle w:val="In-tableHeading"/>
              <w:keepLines/>
              <w:jc w:val="center"/>
            </w:pPr>
            <w:r w:rsidRPr="00B41614">
              <w:t>N</w:t>
            </w:r>
          </w:p>
        </w:tc>
        <w:tc>
          <w:tcPr>
            <w:tcW w:w="782" w:type="pct"/>
            <w:shd w:val="clear" w:color="auto" w:fill="auto"/>
            <w:vAlign w:val="center"/>
          </w:tcPr>
          <w:p w14:paraId="47C3C659" w14:textId="77777777" w:rsidR="00172C1C" w:rsidRPr="00B41614" w:rsidRDefault="00172C1C" w:rsidP="00FC296A">
            <w:pPr>
              <w:pStyle w:val="In-tableHeading"/>
              <w:keepLines/>
              <w:jc w:val="center"/>
            </w:pPr>
            <w:r w:rsidRPr="00B41614">
              <w:t>Design/ duration</w:t>
            </w:r>
          </w:p>
        </w:tc>
        <w:tc>
          <w:tcPr>
            <w:tcW w:w="621" w:type="pct"/>
            <w:shd w:val="clear" w:color="auto" w:fill="auto"/>
            <w:vAlign w:val="center"/>
          </w:tcPr>
          <w:p w14:paraId="3C9D273D" w14:textId="77777777" w:rsidR="00172C1C" w:rsidRPr="00B41614" w:rsidRDefault="00172C1C" w:rsidP="00FC296A">
            <w:pPr>
              <w:pStyle w:val="In-tableHeading"/>
              <w:keepLines/>
              <w:jc w:val="center"/>
            </w:pPr>
            <w:r w:rsidRPr="00B41614">
              <w:t>Risk of bias</w:t>
            </w:r>
          </w:p>
        </w:tc>
        <w:tc>
          <w:tcPr>
            <w:tcW w:w="857" w:type="pct"/>
            <w:shd w:val="clear" w:color="auto" w:fill="auto"/>
            <w:vAlign w:val="center"/>
          </w:tcPr>
          <w:p w14:paraId="73F72001" w14:textId="77777777" w:rsidR="00172C1C" w:rsidRPr="00B41614" w:rsidRDefault="00172C1C" w:rsidP="00FC296A">
            <w:pPr>
              <w:pStyle w:val="In-tableHeading"/>
              <w:keepLines/>
              <w:jc w:val="center"/>
            </w:pPr>
            <w:r w:rsidRPr="00B41614">
              <w:t>Patient population</w:t>
            </w:r>
          </w:p>
        </w:tc>
        <w:tc>
          <w:tcPr>
            <w:tcW w:w="622" w:type="pct"/>
            <w:shd w:val="clear" w:color="auto" w:fill="auto"/>
            <w:vAlign w:val="center"/>
          </w:tcPr>
          <w:p w14:paraId="6A93C630" w14:textId="77777777" w:rsidR="00172C1C" w:rsidRPr="00B41614" w:rsidRDefault="00172C1C" w:rsidP="00FC296A">
            <w:pPr>
              <w:pStyle w:val="In-tableHeading"/>
              <w:keepLines/>
              <w:jc w:val="center"/>
            </w:pPr>
            <w:r w:rsidRPr="00B41614">
              <w:t>Outcomes</w:t>
            </w:r>
          </w:p>
        </w:tc>
        <w:tc>
          <w:tcPr>
            <w:tcW w:w="939" w:type="pct"/>
            <w:shd w:val="clear" w:color="auto" w:fill="auto"/>
            <w:vAlign w:val="center"/>
          </w:tcPr>
          <w:p w14:paraId="42271B25" w14:textId="77777777" w:rsidR="00172C1C" w:rsidRPr="00B41614" w:rsidRDefault="00172C1C" w:rsidP="00FC296A">
            <w:pPr>
              <w:pStyle w:val="In-tableHeading"/>
              <w:keepLines/>
              <w:jc w:val="center"/>
            </w:pPr>
            <w:r w:rsidRPr="00B41614">
              <w:t>Use in modelled evaluation</w:t>
            </w:r>
          </w:p>
        </w:tc>
      </w:tr>
      <w:tr w:rsidR="00172C1C" w:rsidRPr="00E2771E" w14:paraId="2FF22DB7" w14:textId="77777777" w:rsidTr="00A0461D">
        <w:trPr>
          <w:cantSplit/>
        </w:trPr>
        <w:tc>
          <w:tcPr>
            <w:tcW w:w="5000" w:type="pct"/>
            <w:gridSpan w:val="7"/>
            <w:shd w:val="clear" w:color="auto" w:fill="auto"/>
            <w:vAlign w:val="center"/>
          </w:tcPr>
          <w:p w14:paraId="1FC3A734" w14:textId="77777777" w:rsidR="00172C1C" w:rsidRPr="00EC5836" w:rsidRDefault="00172C1C" w:rsidP="00FC296A">
            <w:pPr>
              <w:pStyle w:val="In-tableHeading"/>
              <w:keepLines/>
            </w:pPr>
            <w:r>
              <w:t>Nivolumab versus placebo</w:t>
            </w:r>
          </w:p>
        </w:tc>
      </w:tr>
      <w:tr w:rsidR="00172C1C" w:rsidRPr="00E7767C" w14:paraId="7FFF4316" w14:textId="77777777" w:rsidTr="00A0461D">
        <w:trPr>
          <w:cantSplit/>
        </w:trPr>
        <w:tc>
          <w:tcPr>
            <w:tcW w:w="713" w:type="pct"/>
            <w:shd w:val="clear" w:color="auto" w:fill="auto"/>
            <w:vAlign w:val="center"/>
          </w:tcPr>
          <w:p w14:paraId="78D08551" w14:textId="77777777" w:rsidR="00172C1C" w:rsidRPr="00E7767C" w:rsidRDefault="00172C1C" w:rsidP="00FC296A">
            <w:pPr>
              <w:pStyle w:val="TableText0"/>
              <w:keepLines/>
              <w:rPr>
                <w:lang w:val="en-US"/>
              </w:rPr>
            </w:pPr>
            <w:r w:rsidRPr="00E7767C">
              <w:rPr>
                <w:lang w:val="en-US"/>
              </w:rPr>
              <w:t>CM-577</w:t>
            </w:r>
          </w:p>
        </w:tc>
        <w:tc>
          <w:tcPr>
            <w:tcW w:w="466" w:type="pct"/>
            <w:shd w:val="clear" w:color="auto" w:fill="auto"/>
            <w:vAlign w:val="center"/>
          </w:tcPr>
          <w:p w14:paraId="72976B56" w14:textId="77777777" w:rsidR="00172C1C" w:rsidRPr="00E7767C" w:rsidRDefault="00172C1C" w:rsidP="00FC296A">
            <w:pPr>
              <w:pStyle w:val="TableText0"/>
              <w:keepLines/>
              <w:jc w:val="center"/>
              <w:rPr>
                <w:lang w:val="en-US"/>
              </w:rPr>
            </w:pPr>
            <w:r w:rsidRPr="00E7767C">
              <w:rPr>
                <w:lang w:val="en-US"/>
              </w:rPr>
              <w:t>794</w:t>
            </w:r>
          </w:p>
        </w:tc>
        <w:tc>
          <w:tcPr>
            <w:tcW w:w="782" w:type="pct"/>
            <w:shd w:val="clear" w:color="auto" w:fill="auto"/>
            <w:vAlign w:val="center"/>
          </w:tcPr>
          <w:p w14:paraId="35FDA646" w14:textId="77777777" w:rsidR="00172C1C" w:rsidRPr="00E7767C" w:rsidRDefault="00172C1C" w:rsidP="00FC296A">
            <w:pPr>
              <w:pStyle w:val="TableText0"/>
              <w:keepLines/>
              <w:jc w:val="center"/>
              <w:rPr>
                <w:vertAlign w:val="superscript"/>
                <w:lang w:val="en-US"/>
              </w:rPr>
            </w:pPr>
            <w:r w:rsidRPr="00E7767C">
              <w:rPr>
                <w:lang w:val="en-US"/>
              </w:rPr>
              <w:t xml:space="preserve">R, DB, MC, median follow-up time 32.2 </w:t>
            </w:r>
            <w:proofErr w:type="spellStart"/>
            <w:r w:rsidRPr="00E7767C">
              <w:rPr>
                <w:lang w:val="en-US"/>
              </w:rPr>
              <w:t>months</w:t>
            </w:r>
            <w:r w:rsidRPr="00E7767C">
              <w:rPr>
                <w:vertAlign w:val="superscript"/>
                <w:lang w:val="en-US"/>
              </w:rPr>
              <w:t>a</w:t>
            </w:r>
            <w:proofErr w:type="spellEnd"/>
          </w:p>
        </w:tc>
        <w:tc>
          <w:tcPr>
            <w:tcW w:w="621" w:type="pct"/>
            <w:shd w:val="clear" w:color="auto" w:fill="auto"/>
            <w:vAlign w:val="center"/>
          </w:tcPr>
          <w:p w14:paraId="5EE091C9" w14:textId="05C0F0C9" w:rsidR="00172C1C" w:rsidRPr="00E7767C" w:rsidRDefault="00172C1C" w:rsidP="00FC296A">
            <w:pPr>
              <w:pStyle w:val="TableText0"/>
              <w:keepLines/>
              <w:jc w:val="center"/>
              <w:rPr>
                <w:vertAlign w:val="superscript"/>
                <w:lang w:val="en-US"/>
              </w:rPr>
            </w:pPr>
            <w:proofErr w:type="spellStart"/>
            <w:r w:rsidRPr="00E7767C">
              <w:rPr>
                <w:lang w:val="en-US"/>
              </w:rPr>
              <w:t>Low</w:t>
            </w:r>
            <w:r w:rsidR="00FF7D30" w:rsidRPr="00E7767C">
              <w:rPr>
                <w:vertAlign w:val="superscript"/>
                <w:lang w:val="en-US"/>
              </w:rPr>
              <w:t>b</w:t>
            </w:r>
            <w:proofErr w:type="spellEnd"/>
          </w:p>
        </w:tc>
        <w:tc>
          <w:tcPr>
            <w:tcW w:w="857" w:type="pct"/>
            <w:shd w:val="clear" w:color="auto" w:fill="auto"/>
            <w:vAlign w:val="center"/>
          </w:tcPr>
          <w:p w14:paraId="6845BB5C" w14:textId="77777777" w:rsidR="00172C1C" w:rsidRPr="00E7767C" w:rsidRDefault="00172C1C" w:rsidP="00FC296A">
            <w:pPr>
              <w:pStyle w:val="TableText0"/>
              <w:keepLines/>
              <w:jc w:val="center"/>
              <w:rPr>
                <w:lang w:val="en-US"/>
              </w:rPr>
            </w:pPr>
            <w:r w:rsidRPr="00E7767C">
              <w:rPr>
                <w:lang w:val="en-US"/>
              </w:rPr>
              <w:t>OC and GOJC after surgery and CRT</w:t>
            </w:r>
          </w:p>
        </w:tc>
        <w:tc>
          <w:tcPr>
            <w:tcW w:w="622" w:type="pct"/>
            <w:shd w:val="clear" w:color="auto" w:fill="auto"/>
            <w:vAlign w:val="center"/>
          </w:tcPr>
          <w:p w14:paraId="5631B57A" w14:textId="77777777" w:rsidR="00172C1C" w:rsidRPr="00E7767C" w:rsidRDefault="00172C1C" w:rsidP="00FC296A">
            <w:pPr>
              <w:pStyle w:val="TableText0"/>
              <w:keepLines/>
              <w:jc w:val="center"/>
              <w:rPr>
                <w:lang w:val="en-US"/>
              </w:rPr>
            </w:pPr>
            <w:r w:rsidRPr="00E7767C">
              <w:rPr>
                <w:lang w:val="en-US"/>
              </w:rPr>
              <w:t>DFS, DMFS</w:t>
            </w:r>
          </w:p>
        </w:tc>
        <w:tc>
          <w:tcPr>
            <w:tcW w:w="939" w:type="pct"/>
            <w:shd w:val="clear" w:color="auto" w:fill="auto"/>
            <w:vAlign w:val="center"/>
          </w:tcPr>
          <w:p w14:paraId="4C0BE93A" w14:textId="1D7E4C66" w:rsidR="00172C1C" w:rsidRPr="00E7767C" w:rsidRDefault="00172C1C" w:rsidP="00FC296A">
            <w:pPr>
              <w:pStyle w:val="TableText0"/>
              <w:keepLines/>
              <w:jc w:val="center"/>
              <w:rPr>
                <w:vertAlign w:val="superscript"/>
                <w:lang w:val="en-US"/>
              </w:rPr>
            </w:pPr>
            <w:proofErr w:type="spellStart"/>
            <w:r w:rsidRPr="00E7767C">
              <w:rPr>
                <w:lang w:val="en-US"/>
              </w:rPr>
              <w:t>TTR</w:t>
            </w:r>
            <w:r w:rsidR="00FF7D30" w:rsidRPr="00E7767C">
              <w:rPr>
                <w:vertAlign w:val="superscript"/>
                <w:lang w:val="en-US"/>
              </w:rPr>
              <w:t>c</w:t>
            </w:r>
            <w:proofErr w:type="spellEnd"/>
          </w:p>
        </w:tc>
      </w:tr>
    </w:tbl>
    <w:p w14:paraId="7EBDAE35" w14:textId="060396ED" w:rsidR="00172C1C" w:rsidRDefault="00172C1C" w:rsidP="00FC296A">
      <w:pPr>
        <w:pStyle w:val="TableFigureFooter"/>
        <w:keepNext/>
        <w:keepLines/>
      </w:pPr>
      <w:r>
        <w:t xml:space="preserve">Source: </w:t>
      </w:r>
      <w:r w:rsidR="005A2E9F">
        <w:t>constructed during evaluation</w:t>
      </w:r>
    </w:p>
    <w:p w14:paraId="4DD113F9" w14:textId="416687C2" w:rsidR="00172C1C" w:rsidRDefault="00172C1C" w:rsidP="00FC296A">
      <w:pPr>
        <w:pStyle w:val="TableFigureFooter"/>
        <w:keepNext/>
        <w:keepLines/>
      </w:pPr>
      <w:r>
        <w:t xml:space="preserve">CRT = chemoradiation therapy; </w:t>
      </w:r>
      <w:r w:rsidRPr="0072416F">
        <w:t>DB</w:t>
      </w:r>
      <w:r>
        <w:t xml:space="preserve"> </w:t>
      </w:r>
      <w:r w:rsidRPr="0072416F">
        <w:t>=</w:t>
      </w:r>
      <w:r>
        <w:t xml:space="preserve"> </w:t>
      </w:r>
      <w:r w:rsidRPr="0072416F">
        <w:t>double blind;</w:t>
      </w:r>
      <w:r>
        <w:t xml:space="preserve"> DFS = disease free survival; DMFS = distant metastasis free survival; GOJC = gastro-</w:t>
      </w:r>
      <w:r w:rsidR="003C3B0E">
        <w:t>o</w:t>
      </w:r>
      <w:r>
        <w:t>esophageal cancer;</w:t>
      </w:r>
      <w:r w:rsidRPr="0072416F">
        <w:t xml:space="preserve"> MC</w:t>
      </w:r>
      <w:r>
        <w:t xml:space="preserve"> </w:t>
      </w:r>
      <w:r w:rsidRPr="0072416F">
        <w:t>=</w:t>
      </w:r>
      <w:r>
        <w:t xml:space="preserve"> </w:t>
      </w:r>
      <w:r w:rsidRPr="0072416F">
        <w:t>multi-centre;</w:t>
      </w:r>
      <w:r>
        <w:t xml:space="preserve"> OC = oesophageal cancer; </w:t>
      </w:r>
      <w:r w:rsidRPr="0072416F">
        <w:t>R</w:t>
      </w:r>
      <w:r>
        <w:t xml:space="preserve"> </w:t>
      </w:r>
      <w:r w:rsidRPr="0072416F">
        <w:t>=</w:t>
      </w:r>
      <w:r>
        <w:t xml:space="preserve"> </w:t>
      </w:r>
      <w:r w:rsidRPr="0072416F">
        <w:t>randomise</w:t>
      </w:r>
      <w:r>
        <w:t>d; TTR = time to recurrence</w:t>
      </w:r>
    </w:p>
    <w:p w14:paraId="68F826E0" w14:textId="12AA5B36" w:rsidR="00172C1C" w:rsidRDefault="00172C1C" w:rsidP="00FC296A">
      <w:pPr>
        <w:pStyle w:val="TableFigureFooter"/>
        <w:keepNext/>
        <w:keepLines/>
        <w:tabs>
          <w:tab w:val="left" w:pos="284"/>
        </w:tabs>
      </w:pPr>
      <w:r>
        <w:rPr>
          <w:vertAlign w:val="superscript"/>
        </w:rPr>
        <w:t>a</w:t>
      </w:r>
      <w:r>
        <w:rPr>
          <w:vertAlign w:val="superscript"/>
        </w:rPr>
        <w:tab/>
      </w:r>
      <w:r>
        <w:t xml:space="preserve">February 2021 </w:t>
      </w:r>
      <w:r w:rsidR="003D2FC3">
        <w:t>Data cut</w:t>
      </w:r>
    </w:p>
    <w:p w14:paraId="46D43E23" w14:textId="606BDE90" w:rsidR="00FF7D30" w:rsidRPr="00FF7D30" w:rsidRDefault="00172C1C" w:rsidP="00FC296A">
      <w:pPr>
        <w:pStyle w:val="TableFigureFooter"/>
        <w:keepNext/>
        <w:keepLines/>
        <w:tabs>
          <w:tab w:val="left" w:pos="284"/>
        </w:tabs>
      </w:pPr>
      <w:r>
        <w:rPr>
          <w:vertAlign w:val="superscript"/>
        </w:rPr>
        <w:t>b</w:t>
      </w:r>
      <w:r>
        <w:rPr>
          <w:vertAlign w:val="superscript"/>
        </w:rPr>
        <w:tab/>
      </w:r>
      <w:proofErr w:type="gramStart"/>
      <w:r w:rsidR="00FF7D30" w:rsidRPr="00FF7D30">
        <w:t>The</w:t>
      </w:r>
      <w:proofErr w:type="gramEnd"/>
      <w:r w:rsidR="00FF7D30" w:rsidRPr="00FF7D30">
        <w:t xml:space="preserve"> trial adequately concealed randomisation from participants and study staff, and outcome assessors, and intention to treat study sets were used in efficacy analyses. The submission noted that the reporting of outcomes was prespecified before the trial. The submission also noted the protocol amendment of changing overall survival (OS) from a primary outcome to a secondary endpoint due to low uptake of participants during enrolment.</w:t>
      </w:r>
    </w:p>
    <w:p w14:paraId="12F83D0A" w14:textId="2E6519A4" w:rsidR="00172C1C" w:rsidRPr="00C8062E" w:rsidRDefault="00FF7D30" w:rsidP="00FC296A">
      <w:pPr>
        <w:pStyle w:val="TableFigureFooter"/>
        <w:keepNext/>
        <w:keepLines/>
        <w:tabs>
          <w:tab w:val="left" w:pos="284"/>
        </w:tabs>
        <w:rPr>
          <w:sz w:val="20"/>
        </w:rPr>
      </w:pPr>
      <w:r>
        <w:rPr>
          <w:vertAlign w:val="superscript"/>
        </w:rPr>
        <w:t>c</w:t>
      </w:r>
      <w:r>
        <w:rPr>
          <w:vertAlign w:val="superscript"/>
        </w:rPr>
        <w:tab/>
      </w:r>
      <w:r w:rsidR="00172C1C">
        <w:t>not a pre-specified outcome in CM-577</w:t>
      </w:r>
    </w:p>
    <w:p w14:paraId="584A5E0E" w14:textId="252CF95B" w:rsidR="00172C1C" w:rsidRPr="003541EC" w:rsidRDefault="00172C1C" w:rsidP="00172C1C">
      <w:pPr>
        <w:pStyle w:val="3-BodyText"/>
      </w:pPr>
      <w:r w:rsidRPr="004C54EE">
        <w:t>The original</w:t>
      </w:r>
      <w:r>
        <w:t xml:space="preserve"> trial</w:t>
      </w:r>
      <w:r w:rsidRPr="004C54EE">
        <w:t xml:space="preserve"> protocol listed DFS and OS as dual primary endpoints for CM-577. The submission stated that, due to slower than expected enrolment, a protocol amendment was made in June 2019, demoting OS from a dual primary endpoint to an exploratory secondary </w:t>
      </w:r>
      <w:r w:rsidRPr="003541EC">
        <w:t xml:space="preserve">endpoint. The projected enrolment period was also revised to </w:t>
      </w:r>
      <w:r w:rsidRPr="003541EC">
        <w:lastRenderedPageBreak/>
        <w:t xml:space="preserve">26 months from 15 months. At the time of this amendment, there were already 700 participants randomised into the study. Consequently, DFS became the single primary endpoint with OS changing from the coprimary end point to the first secondary end point to be assessed hierarchically. </w:t>
      </w:r>
    </w:p>
    <w:p w14:paraId="38072C7B" w14:textId="77777777" w:rsidR="00172C1C" w:rsidRPr="003541EC" w:rsidRDefault="00172C1C" w:rsidP="00172C1C">
      <w:pPr>
        <w:pStyle w:val="3-BodyText"/>
      </w:pPr>
      <w:r w:rsidRPr="004C54EE">
        <w:t xml:space="preserve">The submission stated that the OS data were not mature (49.6% of total OS events were observed) </w:t>
      </w:r>
      <w:r w:rsidRPr="003541EC">
        <w:t>and did not meet the prespecified boundary for declaring statistical significance of 0.003; therefore, OS efficacy analyses were not released to the sponsor.</w:t>
      </w:r>
    </w:p>
    <w:p w14:paraId="06424C05" w14:textId="55E6C684" w:rsidR="00172C1C" w:rsidRPr="003541EC" w:rsidRDefault="00172C1C" w:rsidP="00172C1C">
      <w:pPr>
        <w:pStyle w:val="3-BodyText"/>
      </w:pPr>
      <w:r w:rsidRPr="003541EC">
        <w:t xml:space="preserve">The </w:t>
      </w:r>
      <w:r w:rsidRPr="003541EC">
        <w:rPr>
          <w:i/>
          <w:iCs/>
        </w:rPr>
        <w:t>ad-hoc</w:t>
      </w:r>
      <w:r w:rsidRPr="003541EC">
        <w:t xml:space="preserve"> descriptive analysis (</w:t>
      </w:r>
      <w:r w:rsidR="00654FE5">
        <w:t>database lock</w:t>
      </w:r>
      <w:r w:rsidRPr="003541EC">
        <w:t xml:space="preserve"> 18-Feb-21, CSR update February 2021) was performed to provide longer term data to support the previously reported DFS, </w:t>
      </w:r>
      <w:r w:rsidR="0004634A">
        <w:t>distant metastasis free survival</w:t>
      </w:r>
      <w:r w:rsidR="0004634A" w:rsidRPr="003541EC">
        <w:t xml:space="preserve"> </w:t>
      </w:r>
      <w:r w:rsidR="0004634A">
        <w:t>(</w:t>
      </w:r>
      <w:r w:rsidRPr="003541EC">
        <w:t>DMFS</w:t>
      </w:r>
      <w:r w:rsidR="0004634A">
        <w:t>)</w:t>
      </w:r>
      <w:r w:rsidRPr="003541EC">
        <w:t xml:space="preserve"> and </w:t>
      </w:r>
      <w:r w:rsidR="009D3CDA">
        <w:t>p</w:t>
      </w:r>
      <w:r w:rsidRPr="003541EC">
        <w:t xml:space="preserve">rogression-free survival after subsequent systemic therapy (PFS2) efficacy endpoints. </w:t>
      </w:r>
      <w:r w:rsidR="00A913C7">
        <w:t>There submission stated d</w:t>
      </w:r>
      <w:r w:rsidRPr="003541EC">
        <w:t xml:space="preserve">ata for OS </w:t>
      </w:r>
      <w:r w:rsidR="003541EC">
        <w:t>remained</w:t>
      </w:r>
      <w:r w:rsidRPr="003541EC">
        <w:t xml:space="preserve"> immature at the time of this submission and as such, OS was not </w:t>
      </w:r>
      <w:r w:rsidR="001A5015">
        <w:t>available</w:t>
      </w:r>
      <w:r w:rsidRPr="003541EC">
        <w:t>.</w:t>
      </w:r>
    </w:p>
    <w:p w14:paraId="386B0D6B" w14:textId="77777777" w:rsidR="00172C1C" w:rsidRPr="00C9624D" w:rsidRDefault="00172C1C" w:rsidP="00172C1C">
      <w:pPr>
        <w:pStyle w:val="4-SubsectionHeading"/>
      </w:pPr>
      <w:bookmarkStart w:id="19" w:name="_Toc22897641"/>
      <w:bookmarkStart w:id="20" w:name="_Toc103767689"/>
      <w:r w:rsidRPr="00C9624D">
        <w:t>Comparative effectiveness</w:t>
      </w:r>
      <w:bookmarkEnd w:id="19"/>
      <w:bookmarkEnd w:id="20"/>
    </w:p>
    <w:p w14:paraId="7DEEA526" w14:textId="39BC328A" w:rsidR="00172C1C" w:rsidRPr="003541EC" w:rsidRDefault="00172C1C" w:rsidP="00172C1C">
      <w:pPr>
        <w:pStyle w:val="3-BodyText"/>
      </w:pPr>
      <w:r>
        <w:t xml:space="preserve">The </w:t>
      </w:r>
      <w:r w:rsidR="003C5FB8">
        <w:t xml:space="preserve">interim </w:t>
      </w:r>
      <w:r>
        <w:t>analysis (October 2020) data demonstrated a statistically significant improvement in DFS for nivolumab compared to placebo (HR = 0.69</w:t>
      </w:r>
      <w:r w:rsidR="003F6D9A">
        <w:t>, 95%CI 0.56, 0.85, p=0.0003</w:t>
      </w:r>
      <w:r>
        <w:t>), with a median DFS of 22.41 months in the nivolumab arm compared to 11.04 months in the placebo arm</w:t>
      </w:r>
      <w:r w:rsidRPr="003541EC">
        <w:t xml:space="preserve">. This was based on a median follow-up </w:t>
      </w:r>
      <w:r w:rsidR="000F0934">
        <w:t xml:space="preserve">of </w:t>
      </w:r>
      <w:r w:rsidRPr="003541EC">
        <w:t>24.4 months and a maximum</w:t>
      </w:r>
      <w:r w:rsidR="000F0934">
        <w:t xml:space="preserve"> follow-up</w:t>
      </w:r>
      <w:r w:rsidRPr="003541EC">
        <w:t xml:space="preserve"> of 44.9 months.</w:t>
      </w:r>
    </w:p>
    <w:p w14:paraId="4742967E" w14:textId="6EF5D62A" w:rsidR="00172C1C" w:rsidRPr="003541EC" w:rsidRDefault="00E24C95" w:rsidP="00172C1C">
      <w:pPr>
        <w:pStyle w:val="3-BodyText"/>
      </w:pPr>
      <w:r>
        <w:t xml:space="preserve">The </w:t>
      </w:r>
      <w:r w:rsidR="00172C1C" w:rsidRPr="003541EC">
        <w:t xml:space="preserve">submission </w:t>
      </w:r>
      <w:r>
        <w:t xml:space="preserve">stated </w:t>
      </w:r>
      <w:r w:rsidR="00172C1C" w:rsidRPr="003541EC">
        <w:t>that the difference in DFS</w:t>
      </w:r>
      <w:r w:rsidR="003C5FB8">
        <w:t xml:space="preserve"> (HR = 0.67, 95% CI 0.55, 0.81, p-value not reported)</w:t>
      </w:r>
      <w:r w:rsidR="00172C1C" w:rsidRPr="003541EC">
        <w:t xml:space="preserve"> was sustained over </w:t>
      </w:r>
      <w:r w:rsidR="0031468B" w:rsidRPr="003541EC">
        <w:t>longer-term</w:t>
      </w:r>
      <w:r w:rsidR="00172C1C" w:rsidRPr="003541EC">
        <w:t xml:space="preserve"> follow-up (median 32.2 months, maximum 52.7 months) and was supported with improvements in DMFS and PFS2 with nivolumab treatment compared with placebo.</w:t>
      </w:r>
    </w:p>
    <w:p w14:paraId="60944AFF" w14:textId="6ACAB8E8" w:rsidR="00172C1C" w:rsidRPr="00FC7967" w:rsidRDefault="00172C1C" w:rsidP="00172C1C">
      <w:pPr>
        <w:pStyle w:val="3-BodyText"/>
      </w:pPr>
      <w:r>
        <w:t>R</w:t>
      </w:r>
      <w:r w:rsidRPr="004C54EE">
        <w:t>esults for DFS, DMFS and PFS2 from October 2020 and February 2021 analyses</w:t>
      </w:r>
      <w:r>
        <w:t xml:space="preserve"> of CM-577 are presented </w:t>
      </w:r>
      <w:r w:rsidRPr="00FC7967">
        <w:t xml:space="preserve">in </w:t>
      </w:r>
      <w:r w:rsidRPr="00FC7967">
        <w:fldChar w:fldCharType="begin"/>
      </w:r>
      <w:r w:rsidRPr="00FC7967">
        <w:instrText xml:space="preserve"> REF _Ref100825536 \h </w:instrText>
      </w:r>
      <w:r>
        <w:instrText xml:space="preserve"> \* MERGEFORMAT </w:instrText>
      </w:r>
      <w:r w:rsidRPr="00FC7967">
        <w:fldChar w:fldCharType="separate"/>
      </w:r>
      <w:r w:rsidR="00267758" w:rsidRPr="00267758">
        <w:t>Table 4</w:t>
      </w:r>
      <w:r w:rsidRPr="00FC7967">
        <w:fldChar w:fldCharType="end"/>
      </w:r>
      <w:r>
        <w:t>.</w:t>
      </w:r>
    </w:p>
    <w:p w14:paraId="340DEFB4" w14:textId="7DAA9287" w:rsidR="00172C1C" w:rsidRPr="00FB1EC4" w:rsidRDefault="00172C1C" w:rsidP="00172C1C">
      <w:pPr>
        <w:pStyle w:val="TableFigureHeading"/>
        <w:rPr>
          <w:rStyle w:val="CommentReference"/>
          <w:b/>
          <w:bCs w:val="0"/>
        </w:rPr>
      </w:pPr>
      <w:bookmarkStart w:id="21" w:name="_Ref100825536"/>
      <w:r w:rsidRPr="00FB1EC4">
        <w:rPr>
          <w:rStyle w:val="CommentReference"/>
          <w:b/>
          <w:bCs w:val="0"/>
        </w:rPr>
        <w:t xml:space="preserve">Table </w:t>
      </w:r>
      <w:r w:rsidRPr="00FB1EC4">
        <w:rPr>
          <w:rStyle w:val="CommentReference"/>
          <w:b/>
          <w:bCs w:val="0"/>
        </w:rPr>
        <w:fldChar w:fldCharType="begin"/>
      </w:r>
      <w:r w:rsidRPr="00FB1EC4">
        <w:rPr>
          <w:rStyle w:val="CommentReference"/>
          <w:b/>
          <w:bCs w:val="0"/>
        </w:rPr>
        <w:instrText xml:space="preserve"> SEQ Table \* MERGEFORMAT </w:instrText>
      </w:r>
      <w:r w:rsidRPr="00FB1EC4">
        <w:rPr>
          <w:rStyle w:val="CommentReference"/>
          <w:b/>
          <w:bCs w:val="0"/>
        </w:rPr>
        <w:fldChar w:fldCharType="separate"/>
      </w:r>
      <w:r w:rsidR="00267758">
        <w:rPr>
          <w:rStyle w:val="CommentReference"/>
          <w:b/>
          <w:bCs w:val="0"/>
          <w:noProof/>
        </w:rPr>
        <w:t>4</w:t>
      </w:r>
      <w:r w:rsidRPr="00FB1EC4">
        <w:rPr>
          <w:rStyle w:val="CommentReference"/>
          <w:b/>
          <w:bCs w:val="0"/>
        </w:rPr>
        <w:fldChar w:fldCharType="end"/>
      </w:r>
      <w:bookmarkEnd w:id="21"/>
      <w:r w:rsidRPr="00FB1EC4">
        <w:rPr>
          <w:rStyle w:val="CommentReference"/>
          <w:b/>
          <w:bCs w:val="0"/>
        </w:rPr>
        <w:t>: Summary of the efficacy results of CM-577</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612"/>
        <w:gridCol w:w="1614"/>
        <w:gridCol w:w="1612"/>
        <w:gridCol w:w="1614"/>
      </w:tblGrid>
      <w:tr w:rsidR="00172C1C" w:rsidRPr="004C54EE" w14:paraId="434739A6" w14:textId="77777777" w:rsidTr="00A0461D">
        <w:trPr>
          <w:tblHeader/>
        </w:trPr>
        <w:tc>
          <w:tcPr>
            <w:tcW w:w="1402" w:type="pct"/>
            <w:vAlign w:val="center"/>
          </w:tcPr>
          <w:p w14:paraId="15B1A8C8" w14:textId="77777777" w:rsidR="00172C1C" w:rsidRPr="004C54EE" w:rsidRDefault="00172C1C" w:rsidP="00A0461D">
            <w:pPr>
              <w:pStyle w:val="In-tableHeading"/>
              <w:rPr>
                <w:lang w:val="en-AU"/>
              </w:rPr>
            </w:pPr>
          </w:p>
        </w:tc>
        <w:tc>
          <w:tcPr>
            <w:tcW w:w="1799" w:type="pct"/>
            <w:gridSpan w:val="2"/>
            <w:vAlign w:val="center"/>
          </w:tcPr>
          <w:p w14:paraId="5BA4B2B5" w14:textId="5F85B809" w:rsidR="00172C1C" w:rsidRPr="004C54EE" w:rsidRDefault="00172C1C" w:rsidP="00A0461D">
            <w:pPr>
              <w:pStyle w:val="In-tableHeading"/>
              <w:jc w:val="center"/>
              <w:rPr>
                <w:lang w:val="en-AU"/>
              </w:rPr>
            </w:pPr>
            <w:r w:rsidRPr="004C54EE">
              <w:rPr>
                <w:lang w:val="en-AU"/>
              </w:rPr>
              <w:t>October 2020</w:t>
            </w:r>
            <w:r w:rsidR="00FB1EC4">
              <w:rPr>
                <w:lang w:val="en-AU"/>
              </w:rPr>
              <w:t xml:space="preserve"> (interim analysis)</w:t>
            </w:r>
          </w:p>
        </w:tc>
        <w:tc>
          <w:tcPr>
            <w:tcW w:w="1799" w:type="pct"/>
            <w:gridSpan w:val="2"/>
            <w:vAlign w:val="center"/>
          </w:tcPr>
          <w:p w14:paraId="5868B07B" w14:textId="1793D632" w:rsidR="00172C1C" w:rsidRPr="00FB1EC4" w:rsidRDefault="00172C1C" w:rsidP="00A0461D">
            <w:pPr>
              <w:pStyle w:val="In-tableHeading"/>
              <w:jc w:val="center"/>
              <w:rPr>
                <w:lang w:val="en-AU"/>
              </w:rPr>
            </w:pPr>
            <w:r w:rsidRPr="004C54EE">
              <w:rPr>
                <w:lang w:val="en-AU"/>
              </w:rPr>
              <w:t>February 2021</w:t>
            </w:r>
            <w:r w:rsidR="00FB1EC4">
              <w:rPr>
                <w:lang w:val="en-AU"/>
              </w:rPr>
              <w:t xml:space="preserve"> (</w:t>
            </w:r>
            <w:r w:rsidR="00FB1EC4">
              <w:rPr>
                <w:i/>
                <w:iCs/>
                <w:lang w:val="en-AU"/>
              </w:rPr>
              <w:t>ad hoc</w:t>
            </w:r>
            <w:r w:rsidR="00FB1EC4">
              <w:rPr>
                <w:lang w:val="en-AU"/>
              </w:rPr>
              <w:t xml:space="preserve"> analysis)</w:t>
            </w:r>
          </w:p>
        </w:tc>
      </w:tr>
      <w:tr w:rsidR="00172C1C" w:rsidRPr="004C54EE" w14:paraId="3D6C31A7" w14:textId="77777777" w:rsidTr="00A0461D">
        <w:trPr>
          <w:tblHeader/>
        </w:trPr>
        <w:tc>
          <w:tcPr>
            <w:tcW w:w="1402" w:type="pct"/>
            <w:vAlign w:val="center"/>
          </w:tcPr>
          <w:p w14:paraId="1E7B5C6A" w14:textId="77777777" w:rsidR="00172C1C" w:rsidRPr="004C54EE" w:rsidRDefault="00172C1C" w:rsidP="00A0461D">
            <w:pPr>
              <w:pStyle w:val="In-tableHeading"/>
              <w:rPr>
                <w:lang w:val="en-AU"/>
              </w:rPr>
            </w:pPr>
            <w:r w:rsidRPr="004C54EE">
              <w:rPr>
                <w:lang w:val="en-AU"/>
              </w:rPr>
              <w:t>Trial ID</w:t>
            </w:r>
          </w:p>
        </w:tc>
        <w:tc>
          <w:tcPr>
            <w:tcW w:w="899" w:type="pct"/>
            <w:vAlign w:val="center"/>
          </w:tcPr>
          <w:p w14:paraId="7D951071" w14:textId="77777777" w:rsidR="00172C1C" w:rsidRPr="004C54EE" w:rsidRDefault="00172C1C" w:rsidP="00A0461D">
            <w:pPr>
              <w:pStyle w:val="In-tableHeading"/>
              <w:jc w:val="center"/>
              <w:rPr>
                <w:lang w:val="en-AU"/>
              </w:rPr>
            </w:pPr>
            <w:r w:rsidRPr="004C54EE">
              <w:rPr>
                <w:lang w:val="en-AU"/>
              </w:rPr>
              <w:t>Nivolumab</w:t>
            </w:r>
          </w:p>
          <w:p w14:paraId="5AA4B942" w14:textId="77777777" w:rsidR="00172C1C" w:rsidRPr="004C54EE" w:rsidRDefault="00172C1C" w:rsidP="00A0461D">
            <w:pPr>
              <w:pStyle w:val="In-tableHeading"/>
              <w:jc w:val="center"/>
              <w:rPr>
                <w:lang w:val="en-AU"/>
              </w:rPr>
            </w:pPr>
            <w:r w:rsidRPr="004C54EE">
              <w:rPr>
                <w:lang w:val="en-AU"/>
              </w:rPr>
              <w:t>(N=532)</w:t>
            </w:r>
          </w:p>
        </w:tc>
        <w:tc>
          <w:tcPr>
            <w:tcW w:w="900" w:type="pct"/>
            <w:vAlign w:val="center"/>
          </w:tcPr>
          <w:p w14:paraId="7C63FCB4" w14:textId="77777777" w:rsidR="00172C1C" w:rsidRPr="004C54EE" w:rsidRDefault="00172C1C" w:rsidP="00A0461D">
            <w:pPr>
              <w:pStyle w:val="In-tableHeading"/>
              <w:jc w:val="center"/>
              <w:rPr>
                <w:lang w:val="en-AU"/>
              </w:rPr>
            </w:pPr>
            <w:r w:rsidRPr="004C54EE">
              <w:rPr>
                <w:lang w:val="en-AU"/>
              </w:rPr>
              <w:t>Placebo</w:t>
            </w:r>
          </w:p>
          <w:p w14:paraId="22E27C87" w14:textId="77777777" w:rsidR="00172C1C" w:rsidRPr="004C54EE" w:rsidRDefault="00172C1C" w:rsidP="00A0461D">
            <w:pPr>
              <w:pStyle w:val="In-tableHeading"/>
              <w:jc w:val="center"/>
              <w:rPr>
                <w:lang w:val="en-AU"/>
              </w:rPr>
            </w:pPr>
            <w:r w:rsidRPr="004C54EE">
              <w:rPr>
                <w:lang w:val="en-AU"/>
              </w:rPr>
              <w:t>(N=262</w:t>
            </w:r>
            <w:r>
              <w:rPr>
                <w:lang w:val="en-AU"/>
              </w:rPr>
              <w:t>)</w:t>
            </w:r>
          </w:p>
        </w:tc>
        <w:tc>
          <w:tcPr>
            <w:tcW w:w="899" w:type="pct"/>
            <w:vAlign w:val="center"/>
          </w:tcPr>
          <w:p w14:paraId="65D019B0" w14:textId="77777777" w:rsidR="00172C1C" w:rsidRPr="004C54EE" w:rsidRDefault="00172C1C" w:rsidP="00A0461D">
            <w:pPr>
              <w:pStyle w:val="In-tableHeading"/>
              <w:jc w:val="center"/>
              <w:rPr>
                <w:lang w:val="en-AU"/>
              </w:rPr>
            </w:pPr>
            <w:r w:rsidRPr="004C54EE">
              <w:rPr>
                <w:lang w:val="en-AU"/>
              </w:rPr>
              <w:t>Nivolumab</w:t>
            </w:r>
          </w:p>
          <w:p w14:paraId="7B765C2F" w14:textId="77777777" w:rsidR="00172C1C" w:rsidRPr="004C54EE" w:rsidRDefault="00172C1C" w:rsidP="00A0461D">
            <w:pPr>
              <w:pStyle w:val="In-tableHeading"/>
              <w:jc w:val="center"/>
              <w:rPr>
                <w:lang w:val="en-AU"/>
              </w:rPr>
            </w:pPr>
            <w:r w:rsidRPr="004C54EE">
              <w:rPr>
                <w:lang w:val="en-AU"/>
              </w:rPr>
              <w:t>(N=532)</w:t>
            </w:r>
          </w:p>
        </w:tc>
        <w:tc>
          <w:tcPr>
            <w:tcW w:w="900" w:type="pct"/>
            <w:vAlign w:val="center"/>
          </w:tcPr>
          <w:p w14:paraId="06BB82D2" w14:textId="77777777" w:rsidR="00172C1C" w:rsidRPr="004C54EE" w:rsidRDefault="00172C1C" w:rsidP="00A0461D">
            <w:pPr>
              <w:pStyle w:val="In-tableHeading"/>
              <w:jc w:val="center"/>
              <w:rPr>
                <w:lang w:val="en-AU"/>
              </w:rPr>
            </w:pPr>
            <w:r w:rsidRPr="004C54EE">
              <w:rPr>
                <w:lang w:val="en-AU"/>
              </w:rPr>
              <w:t>Placebo</w:t>
            </w:r>
          </w:p>
          <w:p w14:paraId="62965C9F" w14:textId="05CA7765" w:rsidR="00172C1C" w:rsidRPr="004C54EE" w:rsidRDefault="00172C1C" w:rsidP="00A0461D">
            <w:pPr>
              <w:pStyle w:val="In-tableHeading"/>
              <w:jc w:val="center"/>
              <w:rPr>
                <w:lang w:val="en-AU"/>
              </w:rPr>
            </w:pPr>
            <w:r w:rsidRPr="004C54EE">
              <w:rPr>
                <w:lang w:val="en-AU"/>
              </w:rPr>
              <w:t>(N=262</w:t>
            </w:r>
            <w:r w:rsidR="00363BF5">
              <w:rPr>
                <w:lang w:val="en-AU"/>
              </w:rPr>
              <w:t>)</w:t>
            </w:r>
          </w:p>
        </w:tc>
      </w:tr>
      <w:tr w:rsidR="00172C1C" w:rsidRPr="004C54EE" w14:paraId="60D3FA03" w14:textId="77777777" w:rsidTr="00A0461D">
        <w:tc>
          <w:tcPr>
            <w:tcW w:w="1402" w:type="pct"/>
            <w:vAlign w:val="center"/>
          </w:tcPr>
          <w:p w14:paraId="7AB9B11A" w14:textId="77777777" w:rsidR="00172C1C" w:rsidRPr="004C54EE" w:rsidRDefault="00172C1C" w:rsidP="00A0461D">
            <w:pPr>
              <w:pStyle w:val="TableText0"/>
            </w:pPr>
            <w:r w:rsidRPr="004C54EE">
              <w:t>DFS</w:t>
            </w:r>
          </w:p>
        </w:tc>
        <w:tc>
          <w:tcPr>
            <w:tcW w:w="899" w:type="pct"/>
            <w:vAlign w:val="center"/>
          </w:tcPr>
          <w:p w14:paraId="40CC1FB1" w14:textId="77777777" w:rsidR="00172C1C" w:rsidRPr="004C54EE" w:rsidRDefault="00172C1C" w:rsidP="00A0461D">
            <w:pPr>
              <w:pStyle w:val="TableText0"/>
              <w:jc w:val="center"/>
            </w:pPr>
          </w:p>
        </w:tc>
        <w:tc>
          <w:tcPr>
            <w:tcW w:w="900" w:type="pct"/>
            <w:vAlign w:val="center"/>
          </w:tcPr>
          <w:p w14:paraId="71E89CD8" w14:textId="77777777" w:rsidR="00172C1C" w:rsidRPr="004C54EE" w:rsidRDefault="00172C1C" w:rsidP="00A0461D">
            <w:pPr>
              <w:pStyle w:val="TableText0"/>
              <w:jc w:val="center"/>
            </w:pPr>
          </w:p>
        </w:tc>
        <w:tc>
          <w:tcPr>
            <w:tcW w:w="899" w:type="pct"/>
            <w:vAlign w:val="center"/>
          </w:tcPr>
          <w:p w14:paraId="03D5F89E" w14:textId="77777777" w:rsidR="00172C1C" w:rsidRPr="004C54EE" w:rsidRDefault="00172C1C" w:rsidP="00A0461D">
            <w:pPr>
              <w:pStyle w:val="TableText0"/>
              <w:jc w:val="center"/>
            </w:pPr>
          </w:p>
        </w:tc>
        <w:tc>
          <w:tcPr>
            <w:tcW w:w="900" w:type="pct"/>
            <w:vAlign w:val="center"/>
          </w:tcPr>
          <w:p w14:paraId="42AF7979" w14:textId="77777777" w:rsidR="00172C1C" w:rsidRPr="004C54EE" w:rsidRDefault="00172C1C" w:rsidP="00A0461D">
            <w:pPr>
              <w:pStyle w:val="TableText0"/>
              <w:jc w:val="center"/>
            </w:pPr>
          </w:p>
        </w:tc>
      </w:tr>
      <w:tr w:rsidR="00172C1C" w:rsidRPr="004C54EE" w14:paraId="0F68E8EE" w14:textId="77777777" w:rsidTr="00A0461D">
        <w:tc>
          <w:tcPr>
            <w:tcW w:w="1402" w:type="pct"/>
          </w:tcPr>
          <w:p w14:paraId="3F2B23E0" w14:textId="77777777" w:rsidR="00172C1C" w:rsidRPr="004C54EE" w:rsidRDefault="00172C1C" w:rsidP="00A0461D">
            <w:pPr>
              <w:pStyle w:val="TableText0"/>
            </w:pPr>
            <w:r w:rsidRPr="004C54EE">
              <w:t>Events, n (%)</w:t>
            </w:r>
          </w:p>
        </w:tc>
        <w:tc>
          <w:tcPr>
            <w:tcW w:w="899" w:type="pct"/>
          </w:tcPr>
          <w:p w14:paraId="750C1998" w14:textId="77777777" w:rsidR="00172C1C" w:rsidRPr="004C54EE" w:rsidRDefault="00172C1C" w:rsidP="00A0461D">
            <w:pPr>
              <w:pStyle w:val="TableText0"/>
              <w:jc w:val="center"/>
            </w:pPr>
            <w:r w:rsidRPr="004C54EE">
              <w:t>241 (45.3)</w:t>
            </w:r>
          </w:p>
        </w:tc>
        <w:tc>
          <w:tcPr>
            <w:tcW w:w="900" w:type="pct"/>
          </w:tcPr>
          <w:p w14:paraId="6C3ED886" w14:textId="77777777" w:rsidR="00172C1C" w:rsidRPr="004C54EE" w:rsidRDefault="00172C1C" w:rsidP="00A0461D">
            <w:pPr>
              <w:pStyle w:val="TableText0"/>
              <w:jc w:val="center"/>
            </w:pPr>
            <w:r w:rsidRPr="004C54EE">
              <w:t>155 (59.2)</w:t>
            </w:r>
          </w:p>
        </w:tc>
        <w:tc>
          <w:tcPr>
            <w:tcW w:w="899" w:type="pct"/>
          </w:tcPr>
          <w:p w14:paraId="420573B5" w14:textId="77777777" w:rsidR="00172C1C" w:rsidRPr="004C54EE" w:rsidRDefault="00172C1C" w:rsidP="00A0461D">
            <w:pPr>
              <w:pStyle w:val="TableText0"/>
              <w:jc w:val="center"/>
            </w:pPr>
            <w:r w:rsidRPr="004C54EE">
              <w:t>268 (50.4)</w:t>
            </w:r>
          </w:p>
        </w:tc>
        <w:tc>
          <w:tcPr>
            <w:tcW w:w="900" w:type="pct"/>
          </w:tcPr>
          <w:p w14:paraId="6634B74D" w14:textId="77777777" w:rsidR="00172C1C" w:rsidRPr="004C54EE" w:rsidRDefault="00172C1C" w:rsidP="00A0461D">
            <w:pPr>
              <w:pStyle w:val="TableText0"/>
              <w:jc w:val="center"/>
            </w:pPr>
            <w:r w:rsidRPr="004C54EE">
              <w:t>171 (65.3)</w:t>
            </w:r>
          </w:p>
        </w:tc>
      </w:tr>
      <w:tr w:rsidR="00172C1C" w:rsidRPr="004C54EE" w14:paraId="39B7193F" w14:textId="77777777" w:rsidTr="00A0461D">
        <w:tc>
          <w:tcPr>
            <w:tcW w:w="1402" w:type="pct"/>
          </w:tcPr>
          <w:p w14:paraId="46BCB1C6" w14:textId="77777777" w:rsidR="00172C1C" w:rsidRPr="004C54EE" w:rsidRDefault="00172C1C" w:rsidP="00A0461D">
            <w:pPr>
              <w:pStyle w:val="TableText0"/>
            </w:pPr>
            <w:r w:rsidRPr="004C54EE">
              <w:t>Median DFS, months</w:t>
            </w:r>
          </w:p>
          <w:p w14:paraId="4FFCE56D" w14:textId="77777777" w:rsidR="00172C1C" w:rsidRPr="004C54EE" w:rsidRDefault="00172C1C" w:rsidP="00A0461D">
            <w:pPr>
              <w:pStyle w:val="TableText0"/>
            </w:pPr>
            <w:r w:rsidRPr="004C54EE">
              <w:t>(95% CI)</w:t>
            </w:r>
          </w:p>
        </w:tc>
        <w:tc>
          <w:tcPr>
            <w:tcW w:w="899" w:type="pct"/>
          </w:tcPr>
          <w:p w14:paraId="33FA610A" w14:textId="77777777" w:rsidR="00172C1C" w:rsidRPr="004C54EE" w:rsidRDefault="00172C1C" w:rsidP="00A0461D">
            <w:pPr>
              <w:pStyle w:val="TableText0"/>
              <w:jc w:val="center"/>
            </w:pPr>
            <w:r w:rsidRPr="004C54EE">
              <w:t xml:space="preserve">22.41 </w:t>
            </w:r>
          </w:p>
          <w:p w14:paraId="27697954" w14:textId="77777777" w:rsidR="00172C1C" w:rsidRPr="004C54EE" w:rsidRDefault="00172C1C" w:rsidP="00A0461D">
            <w:pPr>
              <w:pStyle w:val="TableText0"/>
              <w:jc w:val="center"/>
            </w:pPr>
            <w:r w:rsidRPr="004C54EE">
              <w:t>(16.62, 34.00)</w:t>
            </w:r>
          </w:p>
        </w:tc>
        <w:tc>
          <w:tcPr>
            <w:tcW w:w="900" w:type="pct"/>
          </w:tcPr>
          <w:p w14:paraId="146043F1" w14:textId="77777777" w:rsidR="00172C1C" w:rsidRPr="004C54EE" w:rsidRDefault="00172C1C" w:rsidP="00A0461D">
            <w:pPr>
              <w:pStyle w:val="TableText0"/>
              <w:jc w:val="center"/>
            </w:pPr>
            <w:r w:rsidRPr="004C54EE">
              <w:t xml:space="preserve">11.04 </w:t>
            </w:r>
          </w:p>
          <w:p w14:paraId="4C1B1F69" w14:textId="77777777" w:rsidR="00172C1C" w:rsidRPr="004C54EE" w:rsidRDefault="00172C1C" w:rsidP="00A0461D">
            <w:pPr>
              <w:pStyle w:val="TableText0"/>
              <w:jc w:val="center"/>
            </w:pPr>
            <w:r w:rsidRPr="004C54EE">
              <w:t>(8.34, 14.32)</w:t>
            </w:r>
          </w:p>
        </w:tc>
        <w:tc>
          <w:tcPr>
            <w:tcW w:w="899" w:type="pct"/>
          </w:tcPr>
          <w:p w14:paraId="4790D516" w14:textId="77777777" w:rsidR="00172C1C" w:rsidRPr="004C54EE" w:rsidRDefault="00172C1C" w:rsidP="00A0461D">
            <w:pPr>
              <w:pStyle w:val="TableText0"/>
              <w:jc w:val="center"/>
            </w:pPr>
            <w:r w:rsidRPr="004C54EE">
              <w:t xml:space="preserve">22.41 </w:t>
            </w:r>
          </w:p>
          <w:p w14:paraId="1A4B93F2" w14:textId="77777777" w:rsidR="00172C1C" w:rsidRPr="004C54EE" w:rsidRDefault="00172C1C" w:rsidP="00A0461D">
            <w:pPr>
              <w:pStyle w:val="TableText0"/>
              <w:jc w:val="center"/>
            </w:pPr>
            <w:r w:rsidRPr="004C54EE">
              <w:t>(16.95, 33.64)</w:t>
            </w:r>
          </w:p>
        </w:tc>
        <w:tc>
          <w:tcPr>
            <w:tcW w:w="900" w:type="pct"/>
          </w:tcPr>
          <w:p w14:paraId="6077746B" w14:textId="77777777" w:rsidR="00172C1C" w:rsidRPr="004C54EE" w:rsidRDefault="00172C1C" w:rsidP="00A0461D">
            <w:pPr>
              <w:pStyle w:val="TableText0"/>
              <w:jc w:val="center"/>
            </w:pPr>
            <w:r w:rsidRPr="004C54EE">
              <w:t>10.35</w:t>
            </w:r>
          </w:p>
          <w:p w14:paraId="61BA0DFA" w14:textId="77777777" w:rsidR="00172C1C" w:rsidRPr="004C54EE" w:rsidRDefault="00172C1C" w:rsidP="00A0461D">
            <w:pPr>
              <w:pStyle w:val="TableText0"/>
              <w:jc w:val="center"/>
            </w:pPr>
            <w:r w:rsidRPr="004C54EE">
              <w:t xml:space="preserve"> (8.31, 13.93)</w:t>
            </w:r>
          </w:p>
        </w:tc>
      </w:tr>
      <w:tr w:rsidR="00172C1C" w:rsidRPr="004C54EE" w14:paraId="27F52D6C" w14:textId="77777777" w:rsidTr="00A0461D">
        <w:tc>
          <w:tcPr>
            <w:tcW w:w="1402" w:type="pct"/>
          </w:tcPr>
          <w:p w14:paraId="40504F2B" w14:textId="77777777" w:rsidR="00172C1C" w:rsidRPr="004C54EE" w:rsidRDefault="00172C1C" w:rsidP="00A0461D">
            <w:pPr>
              <w:pStyle w:val="TableText0"/>
            </w:pPr>
            <w:r w:rsidRPr="004C54EE">
              <w:t>Hazard ratio (95% CI)</w:t>
            </w:r>
          </w:p>
        </w:tc>
        <w:tc>
          <w:tcPr>
            <w:tcW w:w="1799" w:type="pct"/>
            <w:gridSpan w:val="2"/>
          </w:tcPr>
          <w:p w14:paraId="63F9F0D2" w14:textId="77777777" w:rsidR="00172C1C" w:rsidRPr="004C54EE" w:rsidRDefault="00172C1C" w:rsidP="00A0461D">
            <w:pPr>
              <w:pStyle w:val="TableText0"/>
              <w:jc w:val="center"/>
              <w:rPr>
                <w:b/>
                <w:bCs w:val="0"/>
              </w:rPr>
            </w:pPr>
            <w:r w:rsidRPr="004C54EE">
              <w:rPr>
                <w:b/>
                <w:bCs w:val="0"/>
              </w:rPr>
              <w:t>0.69 (0.56, 0.85) [p=0.0003]</w:t>
            </w:r>
          </w:p>
        </w:tc>
        <w:tc>
          <w:tcPr>
            <w:tcW w:w="1799" w:type="pct"/>
            <w:gridSpan w:val="2"/>
          </w:tcPr>
          <w:p w14:paraId="06989E15" w14:textId="77777777" w:rsidR="00172C1C" w:rsidRPr="004C54EE" w:rsidRDefault="00172C1C" w:rsidP="00A0461D">
            <w:pPr>
              <w:pStyle w:val="TableText0"/>
              <w:jc w:val="center"/>
              <w:rPr>
                <w:b/>
                <w:bCs w:val="0"/>
              </w:rPr>
            </w:pPr>
            <w:r w:rsidRPr="004C54EE">
              <w:rPr>
                <w:b/>
                <w:bCs w:val="0"/>
              </w:rPr>
              <w:t>0.67 (0.55, 0.81) [NR]</w:t>
            </w:r>
          </w:p>
        </w:tc>
      </w:tr>
      <w:tr w:rsidR="00172C1C" w:rsidRPr="004C54EE" w14:paraId="488A25A8" w14:textId="77777777" w:rsidTr="00A0461D">
        <w:tc>
          <w:tcPr>
            <w:tcW w:w="1402" w:type="pct"/>
          </w:tcPr>
          <w:p w14:paraId="03DC5F01" w14:textId="77777777" w:rsidR="00172C1C" w:rsidRPr="004C54EE" w:rsidRDefault="00172C1C" w:rsidP="00A0461D">
            <w:pPr>
              <w:pStyle w:val="TableText0"/>
            </w:pPr>
            <w:r w:rsidRPr="004C54EE">
              <w:t>DMFS</w:t>
            </w:r>
          </w:p>
        </w:tc>
        <w:tc>
          <w:tcPr>
            <w:tcW w:w="1799" w:type="pct"/>
            <w:gridSpan w:val="2"/>
          </w:tcPr>
          <w:p w14:paraId="383569E1" w14:textId="77777777" w:rsidR="00172C1C" w:rsidRPr="004C54EE" w:rsidRDefault="00172C1C" w:rsidP="00A0461D">
            <w:pPr>
              <w:pStyle w:val="TableText0"/>
              <w:jc w:val="center"/>
            </w:pPr>
          </w:p>
        </w:tc>
        <w:tc>
          <w:tcPr>
            <w:tcW w:w="1799" w:type="pct"/>
            <w:gridSpan w:val="2"/>
          </w:tcPr>
          <w:p w14:paraId="742B9F46" w14:textId="77777777" w:rsidR="00172C1C" w:rsidRPr="004C54EE" w:rsidRDefault="00172C1C" w:rsidP="00A0461D">
            <w:pPr>
              <w:pStyle w:val="TableText0"/>
              <w:jc w:val="center"/>
            </w:pPr>
          </w:p>
        </w:tc>
      </w:tr>
      <w:tr w:rsidR="00172C1C" w:rsidRPr="004C54EE" w14:paraId="7BD76383" w14:textId="77777777" w:rsidTr="00A0461D">
        <w:tc>
          <w:tcPr>
            <w:tcW w:w="1402" w:type="pct"/>
          </w:tcPr>
          <w:p w14:paraId="76D38727" w14:textId="77777777" w:rsidR="00172C1C" w:rsidRPr="004C54EE" w:rsidRDefault="00172C1C" w:rsidP="00A0461D">
            <w:pPr>
              <w:pStyle w:val="TableText0"/>
            </w:pPr>
            <w:r w:rsidRPr="004C54EE">
              <w:t>Events, n (%)</w:t>
            </w:r>
          </w:p>
        </w:tc>
        <w:tc>
          <w:tcPr>
            <w:tcW w:w="899" w:type="pct"/>
          </w:tcPr>
          <w:p w14:paraId="2BF4DD4D" w14:textId="77777777" w:rsidR="00172C1C" w:rsidRPr="004C54EE" w:rsidRDefault="00172C1C" w:rsidP="00A0461D">
            <w:pPr>
              <w:pStyle w:val="TableText0"/>
              <w:jc w:val="center"/>
            </w:pPr>
            <w:r w:rsidRPr="004C54EE">
              <w:t>218 (41.0)</w:t>
            </w:r>
          </w:p>
        </w:tc>
        <w:tc>
          <w:tcPr>
            <w:tcW w:w="900" w:type="pct"/>
          </w:tcPr>
          <w:p w14:paraId="6BDAAFCE" w14:textId="77777777" w:rsidR="00172C1C" w:rsidRPr="004C54EE" w:rsidRDefault="00172C1C" w:rsidP="00A0461D">
            <w:pPr>
              <w:pStyle w:val="TableText0"/>
              <w:jc w:val="center"/>
            </w:pPr>
            <w:r w:rsidRPr="004C54EE">
              <w:t>134 (51.1)</w:t>
            </w:r>
          </w:p>
        </w:tc>
        <w:tc>
          <w:tcPr>
            <w:tcW w:w="899" w:type="pct"/>
          </w:tcPr>
          <w:p w14:paraId="3F977410" w14:textId="77777777" w:rsidR="00172C1C" w:rsidRPr="004C54EE" w:rsidRDefault="00172C1C" w:rsidP="00A0461D">
            <w:pPr>
              <w:pStyle w:val="TableText0"/>
              <w:jc w:val="center"/>
            </w:pPr>
            <w:r w:rsidRPr="004C54EE">
              <w:t>253 (47.6)</w:t>
            </w:r>
          </w:p>
        </w:tc>
        <w:tc>
          <w:tcPr>
            <w:tcW w:w="900" w:type="pct"/>
          </w:tcPr>
          <w:p w14:paraId="304C57F7" w14:textId="77777777" w:rsidR="00172C1C" w:rsidRPr="004C54EE" w:rsidRDefault="00172C1C" w:rsidP="00A0461D">
            <w:pPr>
              <w:pStyle w:val="TableText0"/>
              <w:jc w:val="center"/>
            </w:pPr>
            <w:r w:rsidRPr="004C54EE">
              <w:t>154 (58.8)</w:t>
            </w:r>
          </w:p>
        </w:tc>
      </w:tr>
      <w:tr w:rsidR="00172C1C" w:rsidRPr="004C54EE" w14:paraId="352687F1" w14:textId="77777777" w:rsidTr="00A0461D">
        <w:tc>
          <w:tcPr>
            <w:tcW w:w="1402" w:type="pct"/>
          </w:tcPr>
          <w:p w14:paraId="11118F0E" w14:textId="77777777" w:rsidR="00172C1C" w:rsidRPr="004C54EE" w:rsidRDefault="00172C1C" w:rsidP="00A0461D">
            <w:pPr>
              <w:pStyle w:val="TableText0"/>
            </w:pPr>
            <w:r w:rsidRPr="004C54EE">
              <w:t>Median DMFS, months (95% CI)</w:t>
            </w:r>
          </w:p>
        </w:tc>
        <w:tc>
          <w:tcPr>
            <w:tcW w:w="899" w:type="pct"/>
          </w:tcPr>
          <w:p w14:paraId="69A9C64E" w14:textId="77777777" w:rsidR="00172C1C" w:rsidRPr="004C54EE" w:rsidRDefault="00172C1C" w:rsidP="00A0461D">
            <w:pPr>
              <w:pStyle w:val="TableText0"/>
              <w:jc w:val="center"/>
            </w:pPr>
            <w:r w:rsidRPr="004C54EE">
              <w:t xml:space="preserve">28.32 </w:t>
            </w:r>
          </w:p>
          <w:p w14:paraId="31297D59" w14:textId="77777777" w:rsidR="00172C1C" w:rsidRPr="004C54EE" w:rsidRDefault="00172C1C" w:rsidP="00A0461D">
            <w:pPr>
              <w:pStyle w:val="TableText0"/>
              <w:jc w:val="center"/>
            </w:pPr>
            <w:r w:rsidRPr="004C54EE">
              <w:t>(21.26, N/a)</w:t>
            </w:r>
          </w:p>
        </w:tc>
        <w:tc>
          <w:tcPr>
            <w:tcW w:w="900" w:type="pct"/>
          </w:tcPr>
          <w:p w14:paraId="1FBA7F19" w14:textId="77777777" w:rsidR="00172C1C" w:rsidRPr="004C54EE" w:rsidRDefault="00172C1C" w:rsidP="00A0461D">
            <w:pPr>
              <w:pStyle w:val="TableText0"/>
              <w:jc w:val="center"/>
            </w:pPr>
            <w:r w:rsidRPr="004C54EE">
              <w:t xml:space="preserve">17.61 </w:t>
            </w:r>
          </w:p>
          <w:p w14:paraId="50AAABA9" w14:textId="77777777" w:rsidR="00172C1C" w:rsidRPr="004C54EE" w:rsidRDefault="00172C1C" w:rsidP="00A0461D">
            <w:pPr>
              <w:pStyle w:val="TableText0"/>
              <w:jc w:val="center"/>
            </w:pPr>
            <w:r w:rsidRPr="004C54EE">
              <w:t>(12.45, 25.40)</w:t>
            </w:r>
          </w:p>
        </w:tc>
        <w:tc>
          <w:tcPr>
            <w:tcW w:w="899" w:type="pct"/>
          </w:tcPr>
          <w:p w14:paraId="3E885A78" w14:textId="77777777" w:rsidR="00172C1C" w:rsidRPr="004C54EE" w:rsidRDefault="00172C1C" w:rsidP="00A0461D">
            <w:pPr>
              <w:pStyle w:val="TableText0"/>
              <w:jc w:val="center"/>
            </w:pPr>
            <w:r w:rsidRPr="004C54EE">
              <w:t>29.37</w:t>
            </w:r>
          </w:p>
          <w:p w14:paraId="100392E6" w14:textId="77777777" w:rsidR="00172C1C" w:rsidRPr="004C54EE" w:rsidRDefault="00172C1C" w:rsidP="00A0461D">
            <w:pPr>
              <w:pStyle w:val="TableText0"/>
              <w:jc w:val="center"/>
            </w:pPr>
            <w:r w:rsidRPr="004C54EE">
              <w:t xml:space="preserve"> (23.66, 36.63)</w:t>
            </w:r>
          </w:p>
        </w:tc>
        <w:tc>
          <w:tcPr>
            <w:tcW w:w="900" w:type="pct"/>
          </w:tcPr>
          <w:p w14:paraId="74274B35" w14:textId="77777777" w:rsidR="00172C1C" w:rsidRPr="004C54EE" w:rsidRDefault="00172C1C" w:rsidP="00A0461D">
            <w:pPr>
              <w:pStyle w:val="TableText0"/>
              <w:jc w:val="center"/>
            </w:pPr>
            <w:r w:rsidRPr="004C54EE">
              <w:t xml:space="preserve">16.62 </w:t>
            </w:r>
          </w:p>
          <w:p w14:paraId="227D1F4D" w14:textId="77777777" w:rsidR="00172C1C" w:rsidRPr="004C54EE" w:rsidRDefault="00172C1C" w:rsidP="00A0461D">
            <w:pPr>
              <w:pStyle w:val="TableText0"/>
              <w:jc w:val="center"/>
            </w:pPr>
            <w:r w:rsidRPr="004C54EE">
              <w:t>(11.37, 24.87)</w:t>
            </w:r>
          </w:p>
        </w:tc>
      </w:tr>
      <w:tr w:rsidR="00172C1C" w:rsidRPr="004C54EE" w14:paraId="2925927C" w14:textId="77777777" w:rsidTr="00A0461D">
        <w:tc>
          <w:tcPr>
            <w:tcW w:w="1402" w:type="pct"/>
          </w:tcPr>
          <w:p w14:paraId="223A0085" w14:textId="77777777" w:rsidR="00172C1C" w:rsidRPr="004C54EE" w:rsidRDefault="00172C1C" w:rsidP="00A0461D">
            <w:pPr>
              <w:pStyle w:val="TableText0"/>
            </w:pPr>
            <w:r w:rsidRPr="004C54EE">
              <w:t>Hazard ratio (95% CI)</w:t>
            </w:r>
          </w:p>
        </w:tc>
        <w:tc>
          <w:tcPr>
            <w:tcW w:w="1799" w:type="pct"/>
            <w:gridSpan w:val="2"/>
          </w:tcPr>
          <w:p w14:paraId="2632AB3C" w14:textId="77777777" w:rsidR="00172C1C" w:rsidRPr="004C54EE" w:rsidRDefault="00172C1C" w:rsidP="00A0461D">
            <w:pPr>
              <w:pStyle w:val="TableText0"/>
              <w:jc w:val="center"/>
              <w:rPr>
                <w:b/>
                <w:bCs w:val="0"/>
              </w:rPr>
            </w:pPr>
            <w:r w:rsidRPr="004C54EE">
              <w:rPr>
                <w:b/>
                <w:bCs w:val="0"/>
              </w:rPr>
              <w:t>0.74 (0.60, 0.92)</w:t>
            </w:r>
          </w:p>
        </w:tc>
        <w:tc>
          <w:tcPr>
            <w:tcW w:w="1799" w:type="pct"/>
            <w:gridSpan w:val="2"/>
          </w:tcPr>
          <w:p w14:paraId="00DFEA21" w14:textId="77777777" w:rsidR="00172C1C" w:rsidRPr="004C54EE" w:rsidRDefault="00172C1C" w:rsidP="00A0461D">
            <w:pPr>
              <w:pStyle w:val="TableText0"/>
              <w:jc w:val="center"/>
              <w:rPr>
                <w:b/>
                <w:bCs w:val="0"/>
              </w:rPr>
            </w:pPr>
            <w:r w:rsidRPr="004C54EE">
              <w:rPr>
                <w:b/>
                <w:bCs w:val="0"/>
              </w:rPr>
              <w:t>0.71 (0.58, 0.87)</w:t>
            </w:r>
          </w:p>
        </w:tc>
      </w:tr>
      <w:tr w:rsidR="00172C1C" w:rsidRPr="004C54EE" w14:paraId="78230AC2" w14:textId="77777777" w:rsidTr="00A0461D">
        <w:tc>
          <w:tcPr>
            <w:tcW w:w="1402" w:type="pct"/>
          </w:tcPr>
          <w:p w14:paraId="2171761E" w14:textId="77777777" w:rsidR="00172C1C" w:rsidRPr="004C54EE" w:rsidRDefault="00172C1C" w:rsidP="00A0461D">
            <w:pPr>
              <w:pStyle w:val="TableText0"/>
            </w:pPr>
            <w:r w:rsidRPr="004C54EE">
              <w:t>PFS2</w:t>
            </w:r>
          </w:p>
        </w:tc>
        <w:tc>
          <w:tcPr>
            <w:tcW w:w="899" w:type="pct"/>
          </w:tcPr>
          <w:p w14:paraId="18CD1E6D" w14:textId="77777777" w:rsidR="00172C1C" w:rsidRPr="004C54EE" w:rsidRDefault="00172C1C" w:rsidP="00A0461D">
            <w:pPr>
              <w:pStyle w:val="TableText0"/>
              <w:jc w:val="center"/>
            </w:pPr>
          </w:p>
        </w:tc>
        <w:tc>
          <w:tcPr>
            <w:tcW w:w="900" w:type="pct"/>
          </w:tcPr>
          <w:p w14:paraId="1014FC4D" w14:textId="77777777" w:rsidR="00172C1C" w:rsidRPr="004C54EE" w:rsidRDefault="00172C1C" w:rsidP="00A0461D">
            <w:pPr>
              <w:pStyle w:val="TableText0"/>
              <w:jc w:val="center"/>
            </w:pPr>
          </w:p>
        </w:tc>
        <w:tc>
          <w:tcPr>
            <w:tcW w:w="899" w:type="pct"/>
          </w:tcPr>
          <w:p w14:paraId="101FD6C0" w14:textId="77777777" w:rsidR="00172C1C" w:rsidRPr="004C54EE" w:rsidRDefault="00172C1C" w:rsidP="00A0461D">
            <w:pPr>
              <w:pStyle w:val="TableText0"/>
              <w:jc w:val="center"/>
            </w:pPr>
          </w:p>
        </w:tc>
        <w:tc>
          <w:tcPr>
            <w:tcW w:w="900" w:type="pct"/>
          </w:tcPr>
          <w:p w14:paraId="307E4B7F" w14:textId="77777777" w:rsidR="00172C1C" w:rsidRPr="004C54EE" w:rsidRDefault="00172C1C" w:rsidP="00A0461D">
            <w:pPr>
              <w:pStyle w:val="TableText0"/>
              <w:jc w:val="center"/>
            </w:pPr>
          </w:p>
        </w:tc>
      </w:tr>
      <w:tr w:rsidR="00172C1C" w:rsidRPr="004C54EE" w14:paraId="45028ED3" w14:textId="77777777" w:rsidTr="00A0461D">
        <w:tc>
          <w:tcPr>
            <w:tcW w:w="1402" w:type="pct"/>
          </w:tcPr>
          <w:p w14:paraId="73609ED6" w14:textId="77777777" w:rsidR="00172C1C" w:rsidRPr="004C54EE" w:rsidRDefault="00172C1C" w:rsidP="00A0461D">
            <w:pPr>
              <w:pStyle w:val="TableText0"/>
            </w:pPr>
            <w:r w:rsidRPr="004C54EE">
              <w:t>Events, n (%)</w:t>
            </w:r>
          </w:p>
        </w:tc>
        <w:tc>
          <w:tcPr>
            <w:tcW w:w="899" w:type="pct"/>
          </w:tcPr>
          <w:p w14:paraId="5CBA5E9E" w14:textId="77777777" w:rsidR="00172C1C" w:rsidRPr="004C54EE" w:rsidRDefault="00172C1C" w:rsidP="00A0461D">
            <w:pPr>
              <w:pStyle w:val="TableText0"/>
              <w:jc w:val="center"/>
            </w:pPr>
            <w:r w:rsidRPr="004C54EE">
              <w:t>163 (30.6)</w:t>
            </w:r>
          </w:p>
        </w:tc>
        <w:tc>
          <w:tcPr>
            <w:tcW w:w="900" w:type="pct"/>
          </w:tcPr>
          <w:p w14:paraId="74CCBC5F" w14:textId="77777777" w:rsidR="00172C1C" w:rsidRPr="004C54EE" w:rsidRDefault="00172C1C" w:rsidP="00A0461D">
            <w:pPr>
              <w:pStyle w:val="TableText0"/>
              <w:jc w:val="center"/>
            </w:pPr>
            <w:r w:rsidRPr="004C54EE">
              <w:t>100 (38.2)</w:t>
            </w:r>
          </w:p>
        </w:tc>
        <w:tc>
          <w:tcPr>
            <w:tcW w:w="899" w:type="pct"/>
          </w:tcPr>
          <w:p w14:paraId="6D6374B5" w14:textId="77777777" w:rsidR="00172C1C" w:rsidRPr="004C54EE" w:rsidRDefault="00172C1C" w:rsidP="00A0461D">
            <w:pPr>
              <w:pStyle w:val="TableText0"/>
              <w:jc w:val="center"/>
            </w:pPr>
            <w:r w:rsidRPr="004C54EE">
              <w:t>203 (38.2)</w:t>
            </w:r>
          </w:p>
        </w:tc>
        <w:tc>
          <w:tcPr>
            <w:tcW w:w="900" w:type="pct"/>
          </w:tcPr>
          <w:p w14:paraId="1B8128AF" w14:textId="77777777" w:rsidR="00172C1C" w:rsidRPr="004C54EE" w:rsidRDefault="00172C1C" w:rsidP="00A0461D">
            <w:pPr>
              <w:pStyle w:val="TableText0"/>
              <w:jc w:val="center"/>
            </w:pPr>
            <w:r w:rsidRPr="004C54EE">
              <w:t>120 (45.8)</w:t>
            </w:r>
          </w:p>
        </w:tc>
      </w:tr>
      <w:tr w:rsidR="00172C1C" w:rsidRPr="004C54EE" w14:paraId="5AFA2A5E" w14:textId="77777777" w:rsidTr="00A0461D">
        <w:tc>
          <w:tcPr>
            <w:tcW w:w="1402" w:type="pct"/>
          </w:tcPr>
          <w:p w14:paraId="0E2E18E9" w14:textId="77777777" w:rsidR="00172C1C" w:rsidRPr="004C54EE" w:rsidRDefault="00172C1C" w:rsidP="00A0461D">
            <w:pPr>
              <w:pStyle w:val="TableText0"/>
            </w:pPr>
            <w:r w:rsidRPr="004C54EE">
              <w:t>Median PFS2, months</w:t>
            </w:r>
          </w:p>
          <w:p w14:paraId="197E5779" w14:textId="77777777" w:rsidR="00172C1C" w:rsidRPr="004C54EE" w:rsidRDefault="00172C1C" w:rsidP="00A0461D">
            <w:pPr>
              <w:pStyle w:val="TableText0"/>
            </w:pPr>
            <w:r w:rsidRPr="004C54EE">
              <w:t>(95% CI)</w:t>
            </w:r>
          </w:p>
        </w:tc>
        <w:tc>
          <w:tcPr>
            <w:tcW w:w="899" w:type="pct"/>
          </w:tcPr>
          <w:p w14:paraId="1EEE729C" w14:textId="77777777" w:rsidR="00172C1C" w:rsidRPr="004C54EE" w:rsidRDefault="00172C1C" w:rsidP="00A0461D">
            <w:pPr>
              <w:pStyle w:val="TableText0"/>
              <w:jc w:val="center"/>
            </w:pPr>
            <w:r w:rsidRPr="004C54EE">
              <w:t xml:space="preserve">N/a </w:t>
            </w:r>
          </w:p>
          <w:p w14:paraId="3CAF803F" w14:textId="77777777" w:rsidR="00172C1C" w:rsidRPr="004C54EE" w:rsidRDefault="00172C1C" w:rsidP="00A0461D">
            <w:pPr>
              <w:pStyle w:val="TableText0"/>
              <w:jc w:val="center"/>
            </w:pPr>
            <w:r w:rsidRPr="004C54EE">
              <w:t>(34.00, N/a)</w:t>
            </w:r>
          </w:p>
        </w:tc>
        <w:tc>
          <w:tcPr>
            <w:tcW w:w="900" w:type="pct"/>
          </w:tcPr>
          <w:p w14:paraId="33D7C5DB" w14:textId="77777777" w:rsidR="00172C1C" w:rsidRPr="004C54EE" w:rsidRDefault="00172C1C" w:rsidP="00A0461D">
            <w:pPr>
              <w:pStyle w:val="TableText0"/>
              <w:jc w:val="center"/>
            </w:pPr>
            <w:r w:rsidRPr="004C54EE">
              <w:t xml:space="preserve">32.07 </w:t>
            </w:r>
          </w:p>
          <w:p w14:paraId="77CE3BA5" w14:textId="77777777" w:rsidR="00172C1C" w:rsidRPr="004C54EE" w:rsidRDefault="00172C1C" w:rsidP="00A0461D">
            <w:pPr>
              <w:pStyle w:val="TableText0"/>
              <w:jc w:val="center"/>
            </w:pPr>
            <w:r w:rsidRPr="004C54EE">
              <w:t>(24.15, N/a)</w:t>
            </w:r>
          </w:p>
        </w:tc>
        <w:tc>
          <w:tcPr>
            <w:tcW w:w="899" w:type="pct"/>
          </w:tcPr>
          <w:p w14:paraId="3DD32805" w14:textId="77777777" w:rsidR="00172C1C" w:rsidRPr="004C54EE" w:rsidRDefault="00172C1C" w:rsidP="00A0461D">
            <w:pPr>
              <w:pStyle w:val="TableText0"/>
              <w:jc w:val="center"/>
            </w:pPr>
            <w:r w:rsidRPr="004C54EE">
              <w:t>N/a</w:t>
            </w:r>
          </w:p>
          <w:p w14:paraId="68B3240D" w14:textId="77777777" w:rsidR="00172C1C" w:rsidRPr="004C54EE" w:rsidRDefault="00172C1C" w:rsidP="00A0461D">
            <w:pPr>
              <w:pStyle w:val="TableText0"/>
              <w:jc w:val="center"/>
            </w:pPr>
            <w:r w:rsidRPr="004C54EE">
              <w:t xml:space="preserve"> (36.63, N/a)</w:t>
            </w:r>
          </w:p>
        </w:tc>
        <w:tc>
          <w:tcPr>
            <w:tcW w:w="900" w:type="pct"/>
          </w:tcPr>
          <w:p w14:paraId="3B7AF791" w14:textId="77777777" w:rsidR="00172C1C" w:rsidRPr="004C54EE" w:rsidRDefault="00172C1C" w:rsidP="00A0461D">
            <w:pPr>
              <w:pStyle w:val="TableText0"/>
              <w:jc w:val="center"/>
            </w:pPr>
            <w:r w:rsidRPr="004C54EE">
              <w:t>30.72</w:t>
            </w:r>
          </w:p>
          <w:p w14:paraId="77783E47" w14:textId="77777777" w:rsidR="00172C1C" w:rsidRPr="004C54EE" w:rsidRDefault="00172C1C" w:rsidP="00A0461D">
            <w:pPr>
              <w:pStyle w:val="TableText0"/>
              <w:jc w:val="center"/>
            </w:pPr>
            <w:r w:rsidRPr="004C54EE">
              <w:t xml:space="preserve"> (24.15, N/a)</w:t>
            </w:r>
          </w:p>
        </w:tc>
      </w:tr>
      <w:tr w:rsidR="00172C1C" w:rsidRPr="004C54EE" w14:paraId="55FA65CD" w14:textId="77777777" w:rsidTr="00A0461D">
        <w:tc>
          <w:tcPr>
            <w:tcW w:w="1402" w:type="pct"/>
          </w:tcPr>
          <w:p w14:paraId="4A384CA9" w14:textId="77777777" w:rsidR="00172C1C" w:rsidRPr="004C54EE" w:rsidRDefault="00172C1C" w:rsidP="00A0461D">
            <w:pPr>
              <w:pStyle w:val="TableText0"/>
            </w:pPr>
            <w:r w:rsidRPr="004C54EE">
              <w:t>Hazard ratio (95% CI)</w:t>
            </w:r>
          </w:p>
        </w:tc>
        <w:tc>
          <w:tcPr>
            <w:tcW w:w="1799" w:type="pct"/>
            <w:gridSpan w:val="2"/>
          </w:tcPr>
          <w:p w14:paraId="6CE1DA8A" w14:textId="77777777" w:rsidR="00172C1C" w:rsidRPr="004C54EE" w:rsidRDefault="00172C1C" w:rsidP="00A0461D">
            <w:pPr>
              <w:pStyle w:val="TableText0"/>
              <w:jc w:val="center"/>
              <w:rPr>
                <w:b/>
                <w:bCs w:val="0"/>
              </w:rPr>
            </w:pPr>
            <w:r w:rsidRPr="004C54EE">
              <w:rPr>
                <w:b/>
                <w:bCs w:val="0"/>
              </w:rPr>
              <w:t>0.77 (0.60, 0.99)</w:t>
            </w:r>
          </w:p>
        </w:tc>
        <w:tc>
          <w:tcPr>
            <w:tcW w:w="1799" w:type="pct"/>
            <w:gridSpan w:val="2"/>
          </w:tcPr>
          <w:p w14:paraId="2F89D699" w14:textId="77777777" w:rsidR="00172C1C" w:rsidRPr="004C54EE" w:rsidRDefault="00172C1C" w:rsidP="00A0461D">
            <w:pPr>
              <w:pStyle w:val="TableText0"/>
              <w:jc w:val="center"/>
              <w:rPr>
                <w:b/>
                <w:bCs w:val="0"/>
              </w:rPr>
            </w:pPr>
            <w:r w:rsidRPr="004C54EE">
              <w:rPr>
                <w:b/>
                <w:bCs w:val="0"/>
              </w:rPr>
              <w:t>0.77 (0.61, 0.96)</w:t>
            </w:r>
          </w:p>
        </w:tc>
      </w:tr>
    </w:tbl>
    <w:p w14:paraId="2812592D" w14:textId="77777777" w:rsidR="00677C1E" w:rsidRDefault="00172C1C" w:rsidP="00172C1C">
      <w:pPr>
        <w:pStyle w:val="TableFigureFooter"/>
      </w:pPr>
      <w:r w:rsidRPr="004C54EE">
        <w:t xml:space="preserve">Source: Table 29, p75 of the submission. </w:t>
      </w:r>
    </w:p>
    <w:p w14:paraId="0220487C" w14:textId="3EF3DAAA" w:rsidR="00172C1C" w:rsidRPr="004C54EE" w:rsidRDefault="00172C1C" w:rsidP="00172C1C">
      <w:pPr>
        <w:pStyle w:val="TableFigureFooter"/>
      </w:pPr>
      <w:r w:rsidRPr="004C54EE">
        <w:lastRenderedPageBreak/>
        <w:t>CI</w:t>
      </w:r>
      <w:r w:rsidR="00677C1E">
        <w:t xml:space="preserve"> =</w:t>
      </w:r>
      <w:r w:rsidRPr="004C54EE">
        <w:t xml:space="preserve"> confidence interval; DFS</w:t>
      </w:r>
      <w:r w:rsidR="00990C14">
        <w:t xml:space="preserve"> =</w:t>
      </w:r>
      <w:r w:rsidRPr="004C54EE">
        <w:t xml:space="preserve"> disease-free survival; DMFS</w:t>
      </w:r>
      <w:r w:rsidR="00990C14">
        <w:t xml:space="preserve"> =</w:t>
      </w:r>
      <w:r w:rsidRPr="004C54EE">
        <w:t xml:space="preserve"> distant metastasis free survival; </w:t>
      </w:r>
      <w:r>
        <w:t xml:space="preserve">N/a = not achieved; </w:t>
      </w:r>
      <w:r w:rsidRPr="004C54EE">
        <w:t>NR</w:t>
      </w:r>
      <w:r w:rsidR="00990C14">
        <w:t xml:space="preserve"> =</w:t>
      </w:r>
      <w:r w:rsidRPr="004C54EE">
        <w:t xml:space="preserve"> not reported; PFS2</w:t>
      </w:r>
      <w:r w:rsidR="00990C14">
        <w:t xml:space="preserve"> =</w:t>
      </w:r>
      <w:r w:rsidRPr="004C54EE">
        <w:t xml:space="preserve"> progression-free survival after subsequent systemic therapy</w:t>
      </w:r>
    </w:p>
    <w:p w14:paraId="54860125" w14:textId="25A72AE2" w:rsidR="00172C1C" w:rsidRPr="008F0800" w:rsidRDefault="00172C1C" w:rsidP="00172C1C">
      <w:pPr>
        <w:pStyle w:val="3-BodyText"/>
      </w:pPr>
      <w:r w:rsidRPr="00EC5836">
        <w:rPr>
          <w:snapToGrid/>
          <w:color w:val="0066FF"/>
          <w:lang w:val="en-US"/>
        </w:rPr>
        <w:t xml:space="preserve"> </w:t>
      </w:r>
      <w:r w:rsidRPr="004C54EE">
        <w:t>Kaplan</w:t>
      </w:r>
      <w:r w:rsidR="00E21E40">
        <w:t>-</w:t>
      </w:r>
      <w:r w:rsidRPr="008F0800">
        <w:t xml:space="preserve">Meier </w:t>
      </w:r>
      <w:r w:rsidR="00E21E40">
        <w:t xml:space="preserve">(KM) </w:t>
      </w:r>
      <w:r w:rsidRPr="008F0800">
        <w:t xml:space="preserve">curves for DFS are presented in </w:t>
      </w:r>
      <w:r w:rsidRPr="008F0800">
        <w:fldChar w:fldCharType="begin"/>
      </w:r>
      <w:r w:rsidRPr="008F0800">
        <w:instrText xml:space="preserve"> REF _Ref100825702 \h </w:instrText>
      </w:r>
      <w:r w:rsidRPr="008F0800">
        <w:fldChar w:fldCharType="separate"/>
      </w:r>
      <w:r w:rsidR="00267758">
        <w:t xml:space="preserve">Figure </w:t>
      </w:r>
      <w:r w:rsidR="00267758">
        <w:rPr>
          <w:noProof/>
        </w:rPr>
        <w:t>2</w:t>
      </w:r>
      <w:r w:rsidRPr="008F0800">
        <w:fldChar w:fldCharType="end"/>
      </w:r>
      <w:r w:rsidRPr="008F0800">
        <w:t>.</w:t>
      </w:r>
    </w:p>
    <w:p w14:paraId="368CF7C5" w14:textId="11FCADEA" w:rsidR="00172C1C" w:rsidRPr="004C54EE" w:rsidRDefault="00172C1C" w:rsidP="00172C1C">
      <w:pPr>
        <w:pStyle w:val="TableFigureHeading"/>
      </w:pPr>
      <w:bookmarkStart w:id="22" w:name="_Ref100825702"/>
      <w:r>
        <w:t xml:space="preserve">Figure </w:t>
      </w:r>
      <w:r w:rsidR="00B73889">
        <w:fldChar w:fldCharType="begin"/>
      </w:r>
      <w:r w:rsidR="00B73889">
        <w:instrText xml:space="preserve"> SEQ Figure \* MERGEFORMAT </w:instrText>
      </w:r>
      <w:r w:rsidR="00B73889">
        <w:fldChar w:fldCharType="separate"/>
      </w:r>
      <w:r w:rsidR="00267758">
        <w:rPr>
          <w:noProof/>
        </w:rPr>
        <w:t>2</w:t>
      </w:r>
      <w:r w:rsidR="00B73889">
        <w:rPr>
          <w:noProof/>
        </w:rPr>
        <w:fldChar w:fldCharType="end"/>
      </w:r>
      <w:bookmarkEnd w:id="22"/>
      <w:r>
        <w:t xml:space="preserve">: </w:t>
      </w:r>
      <w:r w:rsidRPr="004C54EE">
        <w:t xml:space="preserve">Kaplan-Meier </w:t>
      </w:r>
      <w:r w:rsidR="00E21E40">
        <w:t>p</w:t>
      </w:r>
      <w:r w:rsidRPr="004C54EE">
        <w:t xml:space="preserve">lot of </w:t>
      </w:r>
      <w:r w:rsidR="00E21E40">
        <w:t>d</w:t>
      </w:r>
      <w:r w:rsidRPr="004C54EE">
        <w:t>isease-</w:t>
      </w:r>
      <w:r w:rsidR="00E21E40">
        <w:t>f</w:t>
      </w:r>
      <w:r w:rsidRPr="004C54EE">
        <w:t xml:space="preserve">ree </w:t>
      </w:r>
      <w:r w:rsidR="00E21E40">
        <w:t>s</w:t>
      </w:r>
      <w:r w:rsidRPr="004C54EE">
        <w:t>urvival, CM-577</w:t>
      </w:r>
    </w:p>
    <w:p w14:paraId="590A0B0B" w14:textId="77777777" w:rsidR="00172C1C" w:rsidRPr="004C54EE" w:rsidRDefault="00172C1C" w:rsidP="00172C1C">
      <w:pPr>
        <w:pStyle w:val="In-tableHeading"/>
        <w:rPr>
          <w:lang w:val="en-AU"/>
        </w:rPr>
      </w:pPr>
      <w:r w:rsidRPr="004C54EE">
        <w:rPr>
          <w:noProof/>
          <w:lang w:val="en-AU"/>
        </w:rPr>
        <w:drawing>
          <wp:inline distT="0" distB="0" distL="0" distR="0" wp14:anchorId="093E475D" wp14:editId="354465DF">
            <wp:extent cx="5732145" cy="2490470"/>
            <wp:effectExtent l="0" t="0" r="0" b="0"/>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9"/>
                    <a:stretch>
                      <a:fillRect/>
                    </a:stretch>
                  </pic:blipFill>
                  <pic:spPr>
                    <a:xfrm>
                      <a:off x="0" y="0"/>
                      <a:ext cx="5732145" cy="2490470"/>
                    </a:xfrm>
                    <a:prstGeom prst="rect">
                      <a:avLst/>
                    </a:prstGeom>
                  </pic:spPr>
                </pic:pic>
              </a:graphicData>
            </a:graphic>
          </wp:inline>
        </w:drawing>
      </w:r>
    </w:p>
    <w:p w14:paraId="715693F6" w14:textId="77777777" w:rsidR="00172C1C" w:rsidRPr="00FC7967" w:rsidRDefault="00172C1C" w:rsidP="00172C1C">
      <w:pPr>
        <w:pStyle w:val="TableFigureFooter"/>
      </w:pPr>
      <w:r w:rsidRPr="004C54EE">
        <w:t>Source: Figure 8, p80 of the submission.</w:t>
      </w:r>
    </w:p>
    <w:p w14:paraId="779CC610" w14:textId="45845004" w:rsidR="00172C1C" w:rsidRPr="000B6838" w:rsidRDefault="00172C1C" w:rsidP="00172C1C">
      <w:pPr>
        <w:pStyle w:val="3-BodyText"/>
      </w:pPr>
      <w:r w:rsidRPr="000B6838">
        <w:t xml:space="preserve">Three monthly DFS survival rates per investigator are presented in </w:t>
      </w:r>
      <w:r w:rsidRPr="000B6838">
        <w:fldChar w:fldCharType="begin"/>
      </w:r>
      <w:r w:rsidRPr="000B6838">
        <w:instrText xml:space="preserve"> REF _Ref100825833 \h  \* MERGEFORMAT </w:instrText>
      </w:r>
      <w:r w:rsidRPr="000B6838">
        <w:fldChar w:fldCharType="separate"/>
      </w:r>
      <w:r w:rsidR="00267758" w:rsidRPr="00267758">
        <w:t>Table 5</w:t>
      </w:r>
      <w:r w:rsidRPr="000B6838">
        <w:fldChar w:fldCharType="end"/>
      </w:r>
      <w:r w:rsidRPr="000B6838">
        <w:t>.</w:t>
      </w:r>
    </w:p>
    <w:p w14:paraId="54673EF6" w14:textId="5679EA2D" w:rsidR="00172C1C" w:rsidRPr="000B6838" w:rsidRDefault="00172C1C" w:rsidP="00172C1C">
      <w:pPr>
        <w:pStyle w:val="TableFigureHeading"/>
      </w:pPr>
      <w:bookmarkStart w:id="23" w:name="_Ref100825833"/>
      <w:r w:rsidRPr="000B6838">
        <w:rPr>
          <w:rStyle w:val="CommentReference"/>
          <w:b/>
          <w:bCs w:val="0"/>
        </w:rPr>
        <w:t xml:space="preserve">Table </w:t>
      </w:r>
      <w:r w:rsidRPr="000B6838">
        <w:rPr>
          <w:rStyle w:val="CommentReference"/>
          <w:b/>
          <w:bCs w:val="0"/>
        </w:rPr>
        <w:fldChar w:fldCharType="begin"/>
      </w:r>
      <w:r w:rsidRPr="000B6838">
        <w:rPr>
          <w:rStyle w:val="CommentReference"/>
          <w:b/>
          <w:bCs w:val="0"/>
        </w:rPr>
        <w:instrText xml:space="preserve"> SEQ Table \* MERGEFORMAT </w:instrText>
      </w:r>
      <w:r w:rsidRPr="000B6838">
        <w:rPr>
          <w:rStyle w:val="CommentReference"/>
          <w:b/>
          <w:bCs w:val="0"/>
        </w:rPr>
        <w:fldChar w:fldCharType="separate"/>
      </w:r>
      <w:r w:rsidR="00267758">
        <w:rPr>
          <w:rStyle w:val="CommentReference"/>
          <w:b/>
          <w:bCs w:val="0"/>
          <w:noProof/>
        </w:rPr>
        <w:t>5</w:t>
      </w:r>
      <w:r w:rsidRPr="000B6838">
        <w:rPr>
          <w:rStyle w:val="CommentReference"/>
          <w:b/>
          <w:bCs w:val="0"/>
        </w:rPr>
        <w:fldChar w:fldCharType="end"/>
      </w:r>
      <w:bookmarkEnd w:id="23"/>
      <w:r w:rsidRPr="000B6838">
        <w:rPr>
          <w:rStyle w:val="CommentReference"/>
          <w:b/>
          <w:bCs w:val="0"/>
        </w:rPr>
        <w:t>:</w:t>
      </w:r>
      <w:r w:rsidRPr="000B6838">
        <w:rPr>
          <w:rStyle w:val="CommentReference"/>
        </w:rPr>
        <w:t xml:space="preserve"> </w:t>
      </w:r>
      <w:r w:rsidRPr="000B6838">
        <w:t>3-monthly DFS survival rates per investigator, CM-577 (February 2021)</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083"/>
        <w:gridCol w:w="2142"/>
      </w:tblGrid>
      <w:tr w:rsidR="00172C1C" w:rsidRPr="004C54EE" w14:paraId="2B47170C" w14:textId="77777777" w:rsidTr="00A0461D">
        <w:trPr>
          <w:trHeight w:val="61"/>
          <w:tblHeader/>
        </w:trPr>
        <w:tc>
          <w:tcPr>
            <w:tcW w:w="2087" w:type="pct"/>
            <w:vAlign w:val="center"/>
          </w:tcPr>
          <w:p w14:paraId="17E7339E" w14:textId="77777777" w:rsidR="00172C1C" w:rsidRPr="004C54EE" w:rsidRDefault="00172C1C" w:rsidP="00A0461D">
            <w:pPr>
              <w:pStyle w:val="In-tableHeading"/>
              <w:rPr>
                <w:lang w:val="en-AU"/>
              </w:rPr>
            </w:pPr>
            <w:r w:rsidRPr="004C54EE">
              <w:rPr>
                <w:lang w:val="en-AU"/>
              </w:rPr>
              <w:t xml:space="preserve">Disease-free survival (DFS) rate, % (95% CI) </w:t>
            </w:r>
          </w:p>
        </w:tc>
        <w:tc>
          <w:tcPr>
            <w:tcW w:w="1719" w:type="pct"/>
            <w:vAlign w:val="center"/>
          </w:tcPr>
          <w:p w14:paraId="1BB3FC7B" w14:textId="77777777" w:rsidR="00172C1C" w:rsidRPr="004C54EE" w:rsidRDefault="00172C1C" w:rsidP="00A0461D">
            <w:pPr>
              <w:pStyle w:val="In-tableHeading"/>
              <w:jc w:val="center"/>
              <w:rPr>
                <w:lang w:val="en-AU"/>
              </w:rPr>
            </w:pPr>
            <w:r w:rsidRPr="004C54EE">
              <w:rPr>
                <w:lang w:val="en-AU"/>
              </w:rPr>
              <w:t>Nivolumab</w:t>
            </w:r>
          </w:p>
          <w:p w14:paraId="62E9CA7B" w14:textId="71023281" w:rsidR="00E21E40" w:rsidRPr="004C54EE" w:rsidRDefault="00172C1C" w:rsidP="00E21E40">
            <w:pPr>
              <w:pStyle w:val="In-tableHeading"/>
              <w:jc w:val="center"/>
              <w:rPr>
                <w:lang w:val="en-AU"/>
              </w:rPr>
            </w:pPr>
            <w:r w:rsidRPr="004C54EE">
              <w:rPr>
                <w:lang w:val="en-AU"/>
              </w:rPr>
              <w:t>(N=532)</w:t>
            </w:r>
          </w:p>
        </w:tc>
        <w:tc>
          <w:tcPr>
            <w:tcW w:w="1194" w:type="pct"/>
            <w:vAlign w:val="center"/>
          </w:tcPr>
          <w:p w14:paraId="3E09BBAE" w14:textId="77777777" w:rsidR="00172C1C" w:rsidRPr="004C54EE" w:rsidRDefault="00172C1C" w:rsidP="00A0461D">
            <w:pPr>
              <w:pStyle w:val="In-tableHeading"/>
              <w:jc w:val="center"/>
              <w:rPr>
                <w:lang w:val="en-AU"/>
              </w:rPr>
            </w:pPr>
            <w:r w:rsidRPr="004C54EE">
              <w:rPr>
                <w:lang w:val="en-AU"/>
              </w:rPr>
              <w:t>Placebo</w:t>
            </w:r>
          </w:p>
          <w:p w14:paraId="1671EABD" w14:textId="7C58716D" w:rsidR="00E21E40" w:rsidRPr="004C54EE" w:rsidRDefault="00172C1C" w:rsidP="00E21E40">
            <w:pPr>
              <w:pStyle w:val="In-tableHeading"/>
              <w:jc w:val="center"/>
              <w:rPr>
                <w:lang w:val="en-AU"/>
              </w:rPr>
            </w:pPr>
            <w:r w:rsidRPr="004C54EE">
              <w:rPr>
                <w:lang w:val="en-AU"/>
              </w:rPr>
              <w:t>(N=262</w:t>
            </w:r>
            <w:r w:rsidR="003E3774">
              <w:rPr>
                <w:lang w:val="en-AU"/>
              </w:rPr>
              <w:t>)</w:t>
            </w:r>
          </w:p>
        </w:tc>
      </w:tr>
      <w:tr w:rsidR="00172C1C" w:rsidRPr="004C54EE" w14:paraId="0E7F72B5" w14:textId="77777777" w:rsidTr="00A0461D">
        <w:tc>
          <w:tcPr>
            <w:tcW w:w="2087" w:type="pct"/>
          </w:tcPr>
          <w:p w14:paraId="614BFEA6" w14:textId="77777777" w:rsidR="00172C1C" w:rsidRPr="004C54EE" w:rsidRDefault="00172C1C" w:rsidP="00A0461D">
            <w:pPr>
              <w:pStyle w:val="TableText0"/>
            </w:pPr>
            <w:r w:rsidRPr="004C54EE">
              <w:t>3-month</w:t>
            </w:r>
          </w:p>
        </w:tc>
        <w:tc>
          <w:tcPr>
            <w:tcW w:w="1719" w:type="pct"/>
          </w:tcPr>
          <w:p w14:paraId="3B751799" w14:textId="77777777" w:rsidR="00172C1C" w:rsidRPr="004C54EE" w:rsidRDefault="00172C1C" w:rsidP="00A0461D">
            <w:pPr>
              <w:pStyle w:val="TableText0"/>
              <w:jc w:val="center"/>
            </w:pPr>
            <w:r w:rsidRPr="004C54EE">
              <w:t>84.3 (80.9, 87.2)</w:t>
            </w:r>
          </w:p>
        </w:tc>
        <w:tc>
          <w:tcPr>
            <w:tcW w:w="1194" w:type="pct"/>
          </w:tcPr>
          <w:p w14:paraId="161714A3" w14:textId="77777777" w:rsidR="00172C1C" w:rsidRPr="004C54EE" w:rsidRDefault="00172C1C" w:rsidP="00A0461D">
            <w:pPr>
              <w:pStyle w:val="TableText0"/>
              <w:jc w:val="center"/>
            </w:pPr>
            <w:r w:rsidRPr="004C54EE">
              <w:t>82.1 (76.9, 86.3)</w:t>
            </w:r>
          </w:p>
        </w:tc>
      </w:tr>
      <w:tr w:rsidR="00172C1C" w:rsidRPr="004C54EE" w14:paraId="15F60C35" w14:textId="77777777" w:rsidTr="00A0461D">
        <w:tc>
          <w:tcPr>
            <w:tcW w:w="2087" w:type="pct"/>
          </w:tcPr>
          <w:p w14:paraId="4A6033CA" w14:textId="77777777" w:rsidR="00172C1C" w:rsidRPr="004C54EE" w:rsidRDefault="00172C1C" w:rsidP="00A0461D">
            <w:pPr>
              <w:pStyle w:val="TableText0"/>
            </w:pPr>
            <w:r w:rsidRPr="004C54EE">
              <w:t>6-month</w:t>
            </w:r>
          </w:p>
        </w:tc>
        <w:tc>
          <w:tcPr>
            <w:tcW w:w="1719" w:type="pct"/>
          </w:tcPr>
          <w:p w14:paraId="67AFA266" w14:textId="77777777" w:rsidR="00172C1C" w:rsidRPr="004C54EE" w:rsidRDefault="00172C1C" w:rsidP="00A0461D">
            <w:pPr>
              <w:pStyle w:val="TableText0"/>
              <w:jc w:val="center"/>
            </w:pPr>
            <w:r w:rsidRPr="004C54EE">
              <w:t>72.6 (68.5, 76.3)</w:t>
            </w:r>
          </w:p>
        </w:tc>
        <w:tc>
          <w:tcPr>
            <w:tcW w:w="1194" w:type="pct"/>
          </w:tcPr>
          <w:p w14:paraId="57F610F9" w14:textId="77777777" w:rsidR="00172C1C" w:rsidRPr="004C54EE" w:rsidRDefault="00172C1C" w:rsidP="00A0461D">
            <w:pPr>
              <w:pStyle w:val="TableText0"/>
              <w:jc w:val="center"/>
            </w:pPr>
            <w:r w:rsidRPr="004C54EE">
              <w:t>61.5 (55.3, 67.1)</w:t>
            </w:r>
          </w:p>
        </w:tc>
      </w:tr>
      <w:tr w:rsidR="00172C1C" w:rsidRPr="004C54EE" w14:paraId="45834BEF" w14:textId="77777777" w:rsidTr="00A0461D">
        <w:tc>
          <w:tcPr>
            <w:tcW w:w="2087" w:type="pct"/>
          </w:tcPr>
          <w:p w14:paraId="1B3F0860" w14:textId="77777777" w:rsidR="00172C1C" w:rsidRPr="004C54EE" w:rsidRDefault="00172C1C" w:rsidP="00A0461D">
            <w:pPr>
              <w:pStyle w:val="TableText0"/>
            </w:pPr>
            <w:r w:rsidRPr="004C54EE">
              <w:t>9-month</w:t>
            </w:r>
          </w:p>
        </w:tc>
        <w:tc>
          <w:tcPr>
            <w:tcW w:w="1719" w:type="pct"/>
          </w:tcPr>
          <w:p w14:paraId="5C310A6A" w14:textId="77777777" w:rsidR="00172C1C" w:rsidRPr="004C54EE" w:rsidRDefault="00172C1C" w:rsidP="00A0461D">
            <w:pPr>
              <w:pStyle w:val="TableText0"/>
              <w:jc w:val="center"/>
            </w:pPr>
            <w:r w:rsidRPr="004C54EE">
              <w:t>67.3 (63.1, 71.2)</w:t>
            </w:r>
          </w:p>
        </w:tc>
        <w:tc>
          <w:tcPr>
            <w:tcW w:w="1194" w:type="pct"/>
          </w:tcPr>
          <w:p w14:paraId="60695F8B" w14:textId="77777777" w:rsidR="00172C1C" w:rsidRPr="004C54EE" w:rsidRDefault="00172C1C" w:rsidP="00A0461D">
            <w:pPr>
              <w:pStyle w:val="TableText0"/>
              <w:jc w:val="center"/>
            </w:pPr>
            <w:r w:rsidRPr="004C54EE">
              <w:t>52.5 (46.2, 58.4)</w:t>
            </w:r>
          </w:p>
        </w:tc>
      </w:tr>
      <w:tr w:rsidR="00172C1C" w:rsidRPr="004C54EE" w14:paraId="4013D7E7" w14:textId="77777777" w:rsidTr="00A0461D">
        <w:tc>
          <w:tcPr>
            <w:tcW w:w="2087" w:type="pct"/>
          </w:tcPr>
          <w:p w14:paraId="5904F401" w14:textId="77777777" w:rsidR="00172C1C" w:rsidRPr="004C54EE" w:rsidRDefault="00172C1C" w:rsidP="00A0461D">
            <w:pPr>
              <w:pStyle w:val="TableText0"/>
            </w:pPr>
            <w:r w:rsidRPr="004C54EE">
              <w:t>12-month</w:t>
            </w:r>
          </w:p>
        </w:tc>
        <w:tc>
          <w:tcPr>
            <w:tcW w:w="1719" w:type="pct"/>
          </w:tcPr>
          <w:p w14:paraId="2E119E96" w14:textId="77777777" w:rsidR="00172C1C" w:rsidRPr="004C54EE" w:rsidRDefault="00172C1C" w:rsidP="00A0461D">
            <w:pPr>
              <w:pStyle w:val="TableText0"/>
              <w:jc w:val="center"/>
            </w:pPr>
            <w:r w:rsidRPr="004C54EE">
              <w:t>61.8 (57.4, 65.8)</w:t>
            </w:r>
          </w:p>
        </w:tc>
        <w:tc>
          <w:tcPr>
            <w:tcW w:w="1194" w:type="pct"/>
          </w:tcPr>
          <w:p w14:paraId="74FD9A42" w14:textId="77777777" w:rsidR="00172C1C" w:rsidRPr="004C54EE" w:rsidRDefault="00172C1C" w:rsidP="00A0461D">
            <w:pPr>
              <w:pStyle w:val="TableText0"/>
              <w:jc w:val="center"/>
            </w:pPr>
            <w:r w:rsidRPr="004C54EE">
              <w:t>45.5 (39.3, 51.4)</w:t>
            </w:r>
          </w:p>
        </w:tc>
      </w:tr>
      <w:tr w:rsidR="00172C1C" w:rsidRPr="004C54EE" w14:paraId="377EA625" w14:textId="77777777" w:rsidTr="00A0461D">
        <w:tc>
          <w:tcPr>
            <w:tcW w:w="2087" w:type="pct"/>
          </w:tcPr>
          <w:p w14:paraId="544E918F" w14:textId="77777777" w:rsidR="00172C1C" w:rsidRPr="004C54EE" w:rsidRDefault="00172C1C" w:rsidP="00A0461D">
            <w:pPr>
              <w:pStyle w:val="TableText0"/>
            </w:pPr>
            <w:r w:rsidRPr="004C54EE">
              <w:t>15-month</w:t>
            </w:r>
          </w:p>
        </w:tc>
        <w:tc>
          <w:tcPr>
            <w:tcW w:w="1719" w:type="pct"/>
          </w:tcPr>
          <w:p w14:paraId="6532F037" w14:textId="77777777" w:rsidR="00172C1C" w:rsidRPr="004C54EE" w:rsidRDefault="00172C1C" w:rsidP="00A0461D">
            <w:pPr>
              <w:pStyle w:val="TableText0"/>
              <w:jc w:val="center"/>
            </w:pPr>
            <w:r w:rsidRPr="004C54EE">
              <w:t>57.9 (53.5, 62.0)</w:t>
            </w:r>
          </w:p>
        </w:tc>
        <w:tc>
          <w:tcPr>
            <w:tcW w:w="1194" w:type="pct"/>
          </w:tcPr>
          <w:p w14:paraId="6E3662F1" w14:textId="77777777" w:rsidR="00172C1C" w:rsidRPr="004C54EE" w:rsidRDefault="00172C1C" w:rsidP="00A0461D">
            <w:pPr>
              <w:pStyle w:val="TableText0"/>
              <w:jc w:val="center"/>
            </w:pPr>
            <w:r w:rsidRPr="004C54EE">
              <w:t>43.4 (37.3, 49.4)</w:t>
            </w:r>
          </w:p>
        </w:tc>
      </w:tr>
      <w:tr w:rsidR="00172C1C" w:rsidRPr="004C54EE" w14:paraId="45B1468D" w14:textId="77777777" w:rsidTr="00A0461D">
        <w:tc>
          <w:tcPr>
            <w:tcW w:w="2087" w:type="pct"/>
          </w:tcPr>
          <w:p w14:paraId="10B8B72E" w14:textId="77777777" w:rsidR="00172C1C" w:rsidRPr="004C54EE" w:rsidRDefault="00172C1C" w:rsidP="00A0461D">
            <w:pPr>
              <w:pStyle w:val="TableText0"/>
            </w:pPr>
            <w:r w:rsidRPr="004C54EE">
              <w:t>18-month</w:t>
            </w:r>
          </w:p>
        </w:tc>
        <w:tc>
          <w:tcPr>
            <w:tcW w:w="1719" w:type="pct"/>
          </w:tcPr>
          <w:p w14:paraId="19581C1B" w14:textId="77777777" w:rsidR="00172C1C" w:rsidRPr="004C54EE" w:rsidRDefault="00172C1C" w:rsidP="00A0461D">
            <w:pPr>
              <w:pStyle w:val="TableText0"/>
              <w:jc w:val="center"/>
            </w:pPr>
            <w:r w:rsidRPr="004C54EE">
              <w:t>53.9 (49.5, 58.2)</w:t>
            </w:r>
          </w:p>
        </w:tc>
        <w:tc>
          <w:tcPr>
            <w:tcW w:w="1194" w:type="pct"/>
          </w:tcPr>
          <w:p w14:paraId="643AFAB8" w14:textId="77777777" w:rsidR="00172C1C" w:rsidRPr="004C54EE" w:rsidRDefault="00172C1C" w:rsidP="00A0461D">
            <w:pPr>
              <w:pStyle w:val="TableText0"/>
              <w:jc w:val="center"/>
            </w:pPr>
            <w:r w:rsidRPr="004C54EE">
              <w:t>40.4 (34.4, 46.4)</w:t>
            </w:r>
          </w:p>
        </w:tc>
      </w:tr>
      <w:tr w:rsidR="00172C1C" w:rsidRPr="004C54EE" w14:paraId="23993A51" w14:textId="77777777" w:rsidTr="00A0461D">
        <w:tc>
          <w:tcPr>
            <w:tcW w:w="2087" w:type="pct"/>
          </w:tcPr>
          <w:p w14:paraId="3CEC63AB" w14:textId="77777777" w:rsidR="00172C1C" w:rsidRPr="004C54EE" w:rsidRDefault="00172C1C" w:rsidP="00A0461D">
            <w:pPr>
              <w:pStyle w:val="TableText0"/>
            </w:pPr>
            <w:r w:rsidRPr="004C54EE">
              <w:t>21-month</w:t>
            </w:r>
          </w:p>
        </w:tc>
        <w:tc>
          <w:tcPr>
            <w:tcW w:w="1719" w:type="pct"/>
          </w:tcPr>
          <w:p w14:paraId="53B865CC" w14:textId="77777777" w:rsidR="00172C1C" w:rsidRPr="004C54EE" w:rsidRDefault="00172C1C" w:rsidP="00A0461D">
            <w:pPr>
              <w:pStyle w:val="TableText0"/>
              <w:jc w:val="center"/>
            </w:pPr>
            <w:r w:rsidRPr="004C54EE">
              <w:t>51.1 (46.6, 55.5)</w:t>
            </w:r>
          </w:p>
        </w:tc>
        <w:tc>
          <w:tcPr>
            <w:tcW w:w="1194" w:type="pct"/>
          </w:tcPr>
          <w:p w14:paraId="6426124F" w14:textId="77777777" w:rsidR="00172C1C" w:rsidRPr="004C54EE" w:rsidRDefault="00172C1C" w:rsidP="00A0461D">
            <w:pPr>
              <w:pStyle w:val="TableText0"/>
              <w:jc w:val="center"/>
            </w:pPr>
            <w:r w:rsidRPr="004C54EE">
              <w:t>37.6 (31.5, 43.6)</w:t>
            </w:r>
          </w:p>
        </w:tc>
      </w:tr>
      <w:tr w:rsidR="00172C1C" w:rsidRPr="004C54EE" w14:paraId="49581954" w14:textId="77777777" w:rsidTr="00A0461D">
        <w:tc>
          <w:tcPr>
            <w:tcW w:w="2087" w:type="pct"/>
          </w:tcPr>
          <w:p w14:paraId="485EF231" w14:textId="77777777" w:rsidR="00172C1C" w:rsidRPr="004C54EE" w:rsidRDefault="00172C1C" w:rsidP="00A0461D">
            <w:pPr>
              <w:pStyle w:val="TableText0"/>
            </w:pPr>
            <w:r w:rsidRPr="004C54EE">
              <w:t>24-month</w:t>
            </w:r>
          </w:p>
        </w:tc>
        <w:tc>
          <w:tcPr>
            <w:tcW w:w="1719" w:type="pct"/>
          </w:tcPr>
          <w:p w14:paraId="7D7E278D" w14:textId="77777777" w:rsidR="00172C1C" w:rsidRPr="004C54EE" w:rsidRDefault="00172C1C" w:rsidP="00A0461D">
            <w:pPr>
              <w:pStyle w:val="TableText0"/>
              <w:jc w:val="center"/>
            </w:pPr>
            <w:r w:rsidRPr="004C54EE">
              <w:t>48.3 (43.7, 52.8)</w:t>
            </w:r>
          </w:p>
        </w:tc>
        <w:tc>
          <w:tcPr>
            <w:tcW w:w="1194" w:type="pct"/>
          </w:tcPr>
          <w:p w14:paraId="6BC03FAF" w14:textId="77777777" w:rsidR="00172C1C" w:rsidRPr="004C54EE" w:rsidRDefault="00172C1C" w:rsidP="00A0461D">
            <w:pPr>
              <w:pStyle w:val="TableText0"/>
              <w:jc w:val="center"/>
            </w:pPr>
            <w:r w:rsidRPr="004C54EE">
              <w:t>36.0 (29.9, 42.0)</w:t>
            </w:r>
          </w:p>
        </w:tc>
      </w:tr>
    </w:tbl>
    <w:p w14:paraId="09C27612" w14:textId="77777777" w:rsidR="00E21E40" w:rsidRDefault="00172C1C" w:rsidP="00172C1C">
      <w:pPr>
        <w:pStyle w:val="TableFigureFooter"/>
      </w:pPr>
      <w:r w:rsidRPr="004C54EE">
        <w:t xml:space="preserve">Source: Table 34, p81 of the submission. </w:t>
      </w:r>
    </w:p>
    <w:p w14:paraId="53D095FD" w14:textId="416E6B6A" w:rsidR="00172C1C" w:rsidRPr="00F241BF" w:rsidRDefault="00172C1C" w:rsidP="00172C1C">
      <w:pPr>
        <w:pStyle w:val="TableFigureFooter"/>
      </w:pPr>
      <w:r w:rsidRPr="004C54EE">
        <w:t>CI</w:t>
      </w:r>
      <w:r w:rsidR="00990C14">
        <w:t xml:space="preserve"> =</w:t>
      </w:r>
      <w:r w:rsidRPr="004C54EE">
        <w:t xml:space="preserve"> confidence interval; DFS</w:t>
      </w:r>
      <w:r w:rsidR="00990C14">
        <w:t xml:space="preserve"> = </w:t>
      </w:r>
      <w:r w:rsidRPr="004C54EE">
        <w:t>disease-free survival</w:t>
      </w:r>
    </w:p>
    <w:p w14:paraId="3F952E01" w14:textId="04C279D7" w:rsidR="00DF4BE5" w:rsidRPr="00346022" w:rsidRDefault="00BF2D30" w:rsidP="00DF4BE5">
      <w:pPr>
        <w:pStyle w:val="3-BodyText"/>
      </w:pPr>
      <w:r w:rsidRPr="00E7767C">
        <w:rPr>
          <w:iCs/>
        </w:rPr>
        <w:t xml:space="preserve">The evaluation noted </w:t>
      </w:r>
      <w:r w:rsidR="00DF4BE5" w:rsidRPr="00E7767C">
        <w:rPr>
          <w:iCs/>
        </w:rPr>
        <w:t xml:space="preserve">that the </w:t>
      </w:r>
      <w:r w:rsidR="00276265" w:rsidRPr="00E7767C">
        <w:rPr>
          <w:iCs/>
        </w:rPr>
        <w:t xml:space="preserve">base case </w:t>
      </w:r>
      <w:r w:rsidR="00DF4BE5" w:rsidRPr="00E7767C">
        <w:rPr>
          <w:iCs/>
        </w:rPr>
        <w:t xml:space="preserve">economic analysis did not use DFS to model clinical </w:t>
      </w:r>
      <w:r w:rsidR="00276265" w:rsidRPr="00E7767C">
        <w:rPr>
          <w:iCs/>
        </w:rPr>
        <w:t>outcomes</w:t>
      </w:r>
      <w:r w:rsidR="00DF4BE5" w:rsidRPr="00E7767C">
        <w:rPr>
          <w:iCs/>
        </w:rPr>
        <w:t xml:space="preserve">, but rather time to recurrence (TTR), which was not a defined outcome in CM-577 and </w:t>
      </w:r>
      <w:r w:rsidR="00A84416" w:rsidRPr="00E7767C">
        <w:rPr>
          <w:iCs/>
        </w:rPr>
        <w:t>appears to have been</w:t>
      </w:r>
      <w:r w:rsidR="00DF4BE5" w:rsidRPr="00E7767C">
        <w:rPr>
          <w:iCs/>
        </w:rPr>
        <w:t xml:space="preserve"> constructed</w:t>
      </w:r>
      <w:r w:rsidR="00BB0C7B" w:rsidRPr="00E7767C">
        <w:rPr>
          <w:iCs/>
        </w:rPr>
        <w:t xml:space="preserve"> specifically for the purpose of the economic model</w:t>
      </w:r>
      <w:r w:rsidR="001E1629" w:rsidRPr="00E7767C">
        <w:rPr>
          <w:iCs/>
        </w:rPr>
        <w:t xml:space="preserve"> and as such was associated with more uncertainty than the primary outcome of DFS</w:t>
      </w:r>
      <w:r w:rsidR="00DF4BE5" w:rsidRPr="00E7767C">
        <w:rPr>
          <w:iCs/>
        </w:rPr>
        <w:t xml:space="preserve">. DFS was used </w:t>
      </w:r>
      <w:r w:rsidR="008F74BA" w:rsidRPr="00E7767C">
        <w:rPr>
          <w:iCs/>
        </w:rPr>
        <w:t xml:space="preserve">only </w:t>
      </w:r>
      <w:r w:rsidR="00DF4BE5" w:rsidRPr="00E7767C">
        <w:rPr>
          <w:iCs/>
        </w:rPr>
        <w:t xml:space="preserve">in a sensitivity analysis. </w:t>
      </w:r>
      <w:r w:rsidR="00806A9F" w:rsidRPr="00E7767C">
        <w:rPr>
          <w:iCs/>
        </w:rPr>
        <w:t>This modelling choice is further discussed below</w:t>
      </w:r>
      <w:r w:rsidR="00004A82" w:rsidRPr="00E7767C">
        <w:rPr>
          <w:iCs/>
        </w:rPr>
        <w:t xml:space="preserve"> in paragraph</w:t>
      </w:r>
      <w:r w:rsidR="00097657">
        <w:rPr>
          <w:iCs/>
        </w:rPr>
        <w:t xml:space="preserve"> </w:t>
      </w:r>
      <w:r w:rsidR="00097657">
        <w:rPr>
          <w:iCs/>
        </w:rPr>
        <w:fldChar w:fldCharType="begin"/>
      </w:r>
      <w:r w:rsidR="00097657">
        <w:rPr>
          <w:iCs/>
        </w:rPr>
        <w:instrText xml:space="preserve"> REF _Ref110495484 \r \h </w:instrText>
      </w:r>
      <w:r w:rsidR="00097657">
        <w:rPr>
          <w:iCs/>
        </w:rPr>
      </w:r>
      <w:r w:rsidR="00097657">
        <w:rPr>
          <w:iCs/>
        </w:rPr>
        <w:fldChar w:fldCharType="separate"/>
      </w:r>
      <w:r w:rsidR="00267758">
        <w:rPr>
          <w:iCs/>
        </w:rPr>
        <w:t>6.37</w:t>
      </w:r>
      <w:r w:rsidR="00097657">
        <w:rPr>
          <w:iCs/>
        </w:rPr>
        <w:fldChar w:fldCharType="end"/>
      </w:r>
      <w:r w:rsidR="00806A9F" w:rsidRPr="00E7767C">
        <w:rPr>
          <w:iCs/>
        </w:rPr>
        <w:t>.</w:t>
      </w:r>
    </w:p>
    <w:p w14:paraId="7917C02E" w14:textId="44AA5AF5" w:rsidR="00CA0786" w:rsidRPr="00CA0786" w:rsidRDefault="00172C1C" w:rsidP="00172C1C">
      <w:pPr>
        <w:pStyle w:val="3-BodyText"/>
      </w:pPr>
      <w:bookmarkStart w:id="24" w:name="_Ref104280539"/>
      <w:r w:rsidRPr="000B6838">
        <w:t xml:space="preserve">The submission noted that DFS benefit with nivolumab over placebo was observed in the prespecified subgroups regardless of histology, pathologic lymph node status, and </w:t>
      </w:r>
      <w:r w:rsidRPr="000B6838">
        <w:lastRenderedPageBreak/>
        <w:t xml:space="preserve">PD-L1 status. </w:t>
      </w:r>
      <w:r w:rsidR="005C4E2F" w:rsidRPr="00E7767C">
        <w:rPr>
          <w:iCs/>
        </w:rPr>
        <w:t>Th</w:t>
      </w:r>
      <w:r w:rsidR="00CF0EAD" w:rsidRPr="00E7767C">
        <w:rPr>
          <w:iCs/>
        </w:rPr>
        <w:t>e</w:t>
      </w:r>
      <w:r w:rsidR="005C4E2F" w:rsidRPr="00E7767C">
        <w:rPr>
          <w:iCs/>
        </w:rPr>
        <w:t>s</w:t>
      </w:r>
      <w:r w:rsidR="00CF0EAD" w:rsidRPr="00E7767C">
        <w:rPr>
          <w:iCs/>
        </w:rPr>
        <w:t>e</w:t>
      </w:r>
      <w:r w:rsidR="005C4E2F" w:rsidRPr="00E7767C">
        <w:rPr>
          <w:iCs/>
        </w:rPr>
        <w:t xml:space="preserve"> data, reported in </w:t>
      </w:r>
      <w:proofErr w:type="spellStart"/>
      <w:r w:rsidR="005C4E2F" w:rsidRPr="00E7767C">
        <w:rPr>
          <w:iCs/>
        </w:rPr>
        <w:t>Moehler</w:t>
      </w:r>
      <w:proofErr w:type="spellEnd"/>
      <w:r w:rsidR="005C4E2F" w:rsidRPr="00E7767C">
        <w:rPr>
          <w:iCs/>
        </w:rPr>
        <w:t xml:space="preserve"> 2021</w:t>
      </w:r>
      <w:r w:rsidR="000F5B32" w:rsidRPr="00E7767C">
        <w:rPr>
          <w:rStyle w:val="FootnoteReference"/>
          <w:iCs/>
        </w:rPr>
        <w:footnoteReference w:id="11"/>
      </w:r>
      <w:r w:rsidR="005C4E2F" w:rsidRPr="00E7767C">
        <w:rPr>
          <w:iCs/>
        </w:rPr>
        <w:t>, w</w:t>
      </w:r>
      <w:r w:rsidR="0070576C" w:rsidRPr="00E7767C">
        <w:rPr>
          <w:iCs/>
        </w:rPr>
        <w:t>ere</w:t>
      </w:r>
      <w:r w:rsidR="005C4E2F" w:rsidRPr="00E7767C">
        <w:rPr>
          <w:iCs/>
        </w:rPr>
        <w:t xml:space="preserve"> from a separate data cut (4 January 2021) to the interim analysis </w:t>
      </w:r>
      <w:r w:rsidR="003E3774" w:rsidRPr="00E7767C">
        <w:rPr>
          <w:iCs/>
        </w:rPr>
        <w:t xml:space="preserve">(October 2020) </w:t>
      </w:r>
      <w:r w:rsidR="005C4E2F" w:rsidRPr="00E7767C">
        <w:rPr>
          <w:iCs/>
        </w:rPr>
        <w:t xml:space="preserve">and the </w:t>
      </w:r>
      <w:r w:rsidR="005C4E2F">
        <w:t xml:space="preserve">ad </w:t>
      </w:r>
      <w:r w:rsidR="005C4E2F" w:rsidRPr="00190406">
        <w:t>hoc</w:t>
      </w:r>
      <w:r w:rsidR="005C4E2F" w:rsidRPr="00E7767C">
        <w:rPr>
          <w:iCs/>
        </w:rPr>
        <w:t xml:space="preserve"> analysis </w:t>
      </w:r>
      <w:r w:rsidR="003E3774" w:rsidRPr="00E7767C">
        <w:rPr>
          <w:iCs/>
        </w:rPr>
        <w:t xml:space="preserve">(February 2021) </w:t>
      </w:r>
      <w:r w:rsidR="005C4E2F" w:rsidRPr="00E7767C">
        <w:rPr>
          <w:iCs/>
        </w:rPr>
        <w:t>described above.</w:t>
      </w:r>
      <w:bookmarkEnd w:id="24"/>
    </w:p>
    <w:p w14:paraId="7B8E2D2E" w14:textId="47CEB127" w:rsidR="00BF2D30" w:rsidRPr="00F676A9" w:rsidRDefault="00BF2D30" w:rsidP="00BF2D30">
      <w:pPr>
        <w:pStyle w:val="3-BodyText"/>
      </w:pPr>
      <w:r w:rsidRPr="00E7767C">
        <w:rPr>
          <w:iCs/>
        </w:rPr>
        <w:t xml:space="preserve">It </w:t>
      </w:r>
      <w:r w:rsidR="004C78FA">
        <w:rPr>
          <w:iCs/>
        </w:rPr>
        <w:t>wa</w:t>
      </w:r>
      <w:r w:rsidRPr="00E7767C">
        <w:rPr>
          <w:iCs/>
        </w:rPr>
        <w:t xml:space="preserve">s acknowledged </w:t>
      </w:r>
      <w:r w:rsidR="00DF4588">
        <w:rPr>
          <w:iCs/>
        </w:rPr>
        <w:t>by</w:t>
      </w:r>
      <w:r w:rsidR="00A047B9">
        <w:rPr>
          <w:iCs/>
        </w:rPr>
        <w:t xml:space="preserve"> the evaluation </w:t>
      </w:r>
      <w:r w:rsidRPr="00E7767C">
        <w:rPr>
          <w:iCs/>
        </w:rPr>
        <w:t>that subgroup results should be interpreted with caution due to the lack of OS results, immaturity of the data, and the lack of tests for interactions provided for any of the subgroups. Nonetheless, the baseline characteristics of the proposed Australian patient population could differ to that observed in CM-577 and this could lead to lower efficacy of nivolumab in the proposed PBS population as the Australian population may be older at diagnosis and more patients may have higher tumour staging</w:t>
      </w:r>
      <w:r w:rsidR="009D2143" w:rsidRPr="00E7767C">
        <w:rPr>
          <w:iCs/>
        </w:rPr>
        <w:t xml:space="preserve"> (discussed below)</w:t>
      </w:r>
      <w:r w:rsidRPr="00E7767C">
        <w:rPr>
          <w:iCs/>
        </w:rPr>
        <w:t xml:space="preserve">. </w:t>
      </w:r>
    </w:p>
    <w:p w14:paraId="60293218" w14:textId="59C85D7A" w:rsidR="00172C1C" w:rsidRPr="00F241BF" w:rsidRDefault="00907572" w:rsidP="006014F9">
      <w:pPr>
        <w:pStyle w:val="3-BodyText"/>
      </w:pPr>
      <w:r w:rsidRPr="00E7767C">
        <w:rPr>
          <w:iCs/>
        </w:rPr>
        <w:t xml:space="preserve">On the basis of the presented </w:t>
      </w:r>
      <w:r w:rsidR="005A0664" w:rsidRPr="00E7767C">
        <w:rPr>
          <w:iCs/>
        </w:rPr>
        <w:t xml:space="preserve">subgroup </w:t>
      </w:r>
      <w:r w:rsidRPr="00E7767C">
        <w:rPr>
          <w:iCs/>
        </w:rPr>
        <w:t>DFS HRs, for which no confidence intervals were reported, there may be treatment effect differences in relation to</w:t>
      </w:r>
      <w:r w:rsidR="00806A9F" w:rsidRPr="00E7767C">
        <w:rPr>
          <w:iCs/>
        </w:rPr>
        <w:t xml:space="preserve"> age, tumour status, tumour location, time from complete resection to randomisation, and PD</w:t>
      </w:r>
      <w:r w:rsidR="00771568" w:rsidRPr="00E7767C">
        <w:rPr>
          <w:iCs/>
        </w:rPr>
        <w:t>-</w:t>
      </w:r>
      <w:r w:rsidR="00806A9F" w:rsidRPr="00E7767C">
        <w:rPr>
          <w:iCs/>
        </w:rPr>
        <w:t>L1 combined positive score. Gordon</w:t>
      </w:r>
      <w:r w:rsidR="001056FC">
        <w:rPr>
          <w:iCs/>
        </w:rPr>
        <w:t xml:space="preserve"> et al</w:t>
      </w:r>
      <w:r w:rsidR="00806A9F" w:rsidRPr="00E7767C">
        <w:rPr>
          <w:iCs/>
        </w:rPr>
        <w:t xml:space="preserve"> 2011</w:t>
      </w:r>
      <w:r w:rsidR="000F5B32" w:rsidRPr="00E7767C">
        <w:rPr>
          <w:rStyle w:val="FootnoteReference"/>
          <w:iCs/>
        </w:rPr>
        <w:footnoteReference w:id="12"/>
      </w:r>
      <w:r w:rsidR="00806A9F" w:rsidRPr="00E7767C">
        <w:rPr>
          <w:iCs/>
        </w:rPr>
        <w:t xml:space="preserve"> and Nguyen </w:t>
      </w:r>
      <w:r w:rsidR="001056FC">
        <w:rPr>
          <w:iCs/>
        </w:rPr>
        <w:t xml:space="preserve">et al </w:t>
      </w:r>
      <w:r w:rsidR="00806A9F" w:rsidRPr="00E7767C">
        <w:rPr>
          <w:iCs/>
        </w:rPr>
        <w:t>2019</w:t>
      </w:r>
      <w:r w:rsidR="000F5B32" w:rsidRPr="00E7767C">
        <w:rPr>
          <w:rStyle w:val="FootnoteReference"/>
          <w:iCs/>
        </w:rPr>
        <w:footnoteReference w:id="13"/>
      </w:r>
      <w:r w:rsidR="00806A9F" w:rsidRPr="00E7767C">
        <w:rPr>
          <w:iCs/>
        </w:rPr>
        <w:t xml:space="preserve"> </w:t>
      </w:r>
      <w:r w:rsidR="006014F9" w:rsidRPr="00E7767C">
        <w:rPr>
          <w:iCs/>
        </w:rPr>
        <w:t xml:space="preserve">reported the Australian population was generally older than in the clinical trial. </w:t>
      </w:r>
      <w:r w:rsidR="00806A9F" w:rsidRPr="00E7767C">
        <w:rPr>
          <w:iCs/>
        </w:rPr>
        <w:t>Nguyen</w:t>
      </w:r>
      <w:r w:rsidR="001056FC">
        <w:rPr>
          <w:iCs/>
        </w:rPr>
        <w:t xml:space="preserve"> et al</w:t>
      </w:r>
      <w:r w:rsidR="00806A9F" w:rsidRPr="00E7767C">
        <w:rPr>
          <w:iCs/>
        </w:rPr>
        <w:t xml:space="preserve"> 2019</w:t>
      </w:r>
      <w:r w:rsidR="006014F9" w:rsidRPr="00E7767C">
        <w:rPr>
          <w:iCs/>
        </w:rPr>
        <w:t xml:space="preserve"> also</w:t>
      </w:r>
      <w:r w:rsidR="00806A9F" w:rsidRPr="00E7767C">
        <w:rPr>
          <w:iCs/>
        </w:rPr>
        <w:t xml:space="preserve"> reported more T3 and T4 (65.3%) patients compared </w:t>
      </w:r>
      <w:r w:rsidR="004828DF">
        <w:rPr>
          <w:iCs/>
        </w:rPr>
        <w:t>with</w:t>
      </w:r>
      <w:r w:rsidR="00806A9F" w:rsidRPr="00E7767C">
        <w:rPr>
          <w:iCs/>
        </w:rPr>
        <w:t xml:space="preserve"> CM-577 (54.9%), suggesting that the efficacy of nivolumab could potentially be lower in the proposed PBS population than in CM-577</w:t>
      </w:r>
      <w:r w:rsidR="004828DF">
        <w:rPr>
          <w:iCs/>
        </w:rPr>
        <w:t>.</w:t>
      </w:r>
      <w:r w:rsidR="00C6197E">
        <w:rPr>
          <w:iCs/>
        </w:rPr>
        <w:t xml:space="preserve"> </w:t>
      </w:r>
      <w:r w:rsidR="00C6197E" w:rsidRPr="00925F8E">
        <w:rPr>
          <w:iCs/>
        </w:rPr>
        <w:t xml:space="preserve">The </w:t>
      </w:r>
      <w:r w:rsidR="009606C9">
        <w:rPr>
          <w:iCs/>
        </w:rPr>
        <w:t xml:space="preserve">PBAC agreed with the </w:t>
      </w:r>
      <w:r w:rsidR="00C6197E" w:rsidRPr="00925F8E">
        <w:rPr>
          <w:iCs/>
        </w:rPr>
        <w:t>ESC that, overall, the trial population was unlikely to be significantly different from the Australian patient population, with the exception that patients treated in Australia are likely to be older.</w:t>
      </w:r>
      <w:r w:rsidR="00C6197E">
        <w:rPr>
          <w:iCs/>
        </w:rPr>
        <w:t xml:space="preserve">  </w:t>
      </w:r>
    </w:p>
    <w:p w14:paraId="1C4F28D6" w14:textId="6C6FC334" w:rsidR="00172C1C" w:rsidRPr="00376CEA" w:rsidRDefault="00172C1C" w:rsidP="00172C1C">
      <w:pPr>
        <w:pStyle w:val="3-BodyText"/>
      </w:pPr>
      <w:r w:rsidRPr="00E7767C">
        <w:rPr>
          <w:iCs/>
        </w:rPr>
        <w:t xml:space="preserve">Regarding </w:t>
      </w:r>
      <w:proofErr w:type="spellStart"/>
      <w:r w:rsidRPr="00E7767C">
        <w:rPr>
          <w:iCs/>
        </w:rPr>
        <w:t>EuroQoL</w:t>
      </w:r>
      <w:proofErr w:type="spellEnd"/>
      <w:r w:rsidRPr="00E7767C">
        <w:rPr>
          <w:iCs/>
        </w:rPr>
        <w:t xml:space="preserve"> </w:t>
      </w:r>
      <w:proofErr w:type="gramStart"/>
      <w:r w:rsidRPr="00E7767C">
        <w:rPr>
          <w:iCs/>
        </w:rPr>
        <w:t>5 dimension</w:t>
      </w:r>
      <w:proofErr w:type="gramEnd"/>
      <w:r w:rsidRPr="00E7767C">
        <w:rPr>
          <w:iCs/>
        </w:rPr>
        <w:t xml:space="preserve"> (EQ-5D) results, except for a large jump in nivolumab patient scores between week 62 and 65, likely d</w:t>
      </w:r>
      <w:r w:rsidR="00747C7A" w:rsidRPr="00E7767C">
        <w:rPr>
          <w:iCs/>
        </w:rPr>
        <w:t>ue</w:t>
      </w:r>
      <w:r w:rsidRPr="00E7767C">
        <w:rPr>
          <w:iCs/>
        </w:rPr>
        <w:t xml:space="preserve"> to small patient numbers, there did not appear to be a clear difference in scores or trends between the two treatments.</w:t>
      </w:r>
    </w:p>
    <w:p w14:paraId="327EA291" w14:textId="606DCA6C" w:rsidR="00376CEA" w:rsidRPr="00925F8E" w:rsidRDefault="007F0388" w:rsidP="00172C1C">
      <w:pPr>
        <w:pStyle w:val="3-BodyText"/>
      </w:pPr>
      <w:r w:rsidRPr="00925F8E">
        <w:t xml:space="preserve">The ESC noted that 253/268 (94%) events in the nivolumab arm and 154/171 (90%) events in the placebo arm (February 2021 data cut) were distant metastatic events.  </w:t>
      </w:r>
    </w:p>
    <w:p w14:paraId="2A6F00EC" w14:textId="51754C4D" w:rsidR="007F0388" w:rsidRPr="00925F8E" w:rsidRDefault="007F0388" w:rsidP="00172C1C">
      <w:pPr>
        <w:pStyle w:val="3-BodyText"/>
      </w:pPr>
      <w:bookmarkStart w:id="25" w:name="_Ref106740905"/>
      <w:r w:rsidRPr="00925F8E">
        <w:t xml:space="preserve">The ESC noted the use of subsequent immunotherapy was low with 2.9% of </w:t>
      </w:r>
      <w:r w:rsidR="00D914CF" w:rsidRPr="00925F8E">
        <w:t xml:space="preserve">all randomised </w:t>
      </w:r>
      <w:r w:rsidRPr="00925F8E">
        <w:t xml:space="preserve">patients receiving immunotherapy </w:t>
      </w:r>
      <w:r w:rsidR="00D914CF" w:rsidRPr="00925F8E">
        <w:t xml:space="preserve">(0.8% in the nivolumab arm and 7.3% in the placebo arm). </w:t>
      </w:r>
      <w:r w:rsidRPr="00925F8E">
        <w:t xml:space="preserve">The ESC considered that given the </w:t>
      </w:r>
      <w:r w:rsidR="00D914CF" w:rsidRPr="00925F8E">
        <w:t xml:space="preserve">recent PBAC </w:t>
      </w:r>
      <w:r w:rsidRPr="00925F8E">
        <w:t>recommendation</w:t>
      </w:r>
      <w:r w:rsidR="00D914CF" w:rsidRPr="00925F8E">
        <w:t xml:space="preserve">s for the listing of </w:t>
      </w:r>
      <w:r w:rsidRPr="00925F8E">
        <w:t xml:space="preserve">immunotherapy </w:t>
      </w:r>
      <w:r w:rsidR="00D914CF" w:rsidRPr="00925F8E">
        <w:t xml:space="preserve">in the </w:t>
      </w:r>
      <w:r w:rsidRPr="00925F8E">
        <w:t xml:space="preserve">advanced or metastatic </w:t>
      </w:r>
      <w:r w:rsidR="00D914CF" w:rsidRPr="00925F8E">
        <w:t xml:space="preserve">treatment </w:t>
      </w:r>
      <w:r w:rsidRPr="00925F8E">
        <w:t xml:space="preserve">settings it would be expected that subsequent immunotherapy </w:t>
      </w:r>
      <w:r w:rsidR="000D10A7" w:rsidRPr="00925F8E">
        <w:t xml:space="preserve">in the placebo arm </w:t>
      </w:r>
      <w:r w:rsidRPr="00925F8E">
        <w:t>would be substantially higher in the Australian setting.</w:t>
      </w:r>
      <w:r w:rsidR="000D10A7" w:rsidRPr="00925F8E">
        <w:t xml:space="preserve"> </w:t>
      </w:r>
      <w:r w:rsidR="008F11B6">
        <w:t>T</w:t>
      </w:r>
      <w:r w:rsidR="000D10A7" w:rsidRPr="00925F8E">
        <w:t xml:space="preserve">he ESC considered this condition is not so responsive to immunotherapy that it is likely to provide benefit in patients who </w:t>
      </w:r>
      <w:r w:rsidR="000D10A7" w:rsidRPr="00925F8E">
        <w:lastRenderedPageBreak/>
        <w:t xml:space="preserve">recur after having received it in the adjuvant setting. The ESC considered access to immunotherapy should be restricted to one course of treatment per lifetime </w:t>
      </w:r>
      <w:r w:rsidR="00AB10DC">
        <w:t>unless</w:t>
      </w:r>
      <w:r w:rsidR="00AB10DC" w:rsidRPr="00925F8E">
        <w:t xml:space="preserve"> </w:t>
      </w:r>
      <w:r w:rsidR="000D10A7" w:rsidRPr="00925F8E">
        <w:t>there is adequate clinical and economic evidence available to support retreatment.</w:t>
      </w:r>
      <w:bookmarkEnd w:id="25"/>
      <w:r w:rsidR="00C76C4A">
        <w:t xml:space="preserve"> </w:t>
      </w:r>
      <w:r w:rsidR="0048383D">
        <w:t xml:space="preserve">The sponsor did not support </w:t>
      </w:r>
      <w:r w:rsidR="0048383D" w:rsidRPr="00925F8E">
        <w:rPr>
          <w:iCs/>
          <w:color w:val="000000" w:themeColor="text1"/>
        </w:rPr>
        <w:t>restrict</w:t>
      </w:r>
      <w:r w:rsidR="0048383D">
        <w:rPr>
          <w:iCs/>
          <w:color w:val="000000" w:themeColor="text1"/>
        </w:rPr>
        <w:t>ing nivolumab</w:t>
      </w:r>
      <w:r w:rsidR="0048383D" w:rsidRPr="00925F8E">
        <w:rPr>
          <w:iCs/>
          <w:color w:val="000000" w:themeColor="text1"/>
        </w:rPr>
        <w:t xml:space="preserve"> to one course of treatment per </w:t>
      </w:r>
      <w:r w:rsidR="008A3603">
        <w:rPr>
          <w:iCs/>
          <w:color w:val="000000" w:themeColor="text1"/>
        </w:rPr>
        <w:t xml:space="preserve">patient </w:t>
      </w:r>
      <w:r w:rsidR="0048383D" w:rsidRPr="00925F8E">
        <w:rPr>
          <w:iCs/>
          <w:color w:val="000000" w:themeColor="text1"/>
        </w:rPr>
        <w:t>lifetime</w:t>
      </w:r>
      <w:r w:rsidR="008A3603">
        <w:rPr>
          <w:iCs/>
          <w:color w:val="000000" w:themeColor="text1"/>
        </w:rPr>
        <w:t xml:space="preserve"> </w:t>
      </w:r>
      <w:r w:rsidR="008A3603">
        <w:t>(pre-PBAC response).</w:t>
      </w:r>
      <w:r w:rsidR="0048383D">
        <w:t xml:space="preserve"> </w:t>
      </w:r>
      <w:r w:rsidR="004D68E6">
        <w:t>As an alternative, the</w:t>
      </w:r>
      <w:r w:rsidR="008A3603">
        <w:t xml:space="preserve"> sponsor</w:t>
      </w:r>
      <w:r w:rsidR="0048383D">
        <w:t xml:space="preserve"> </w:t>
      </w:r>
      <w:r w:rsidR="006018A0">
        <w:t>proposed</w:t>
      </w:r>
      <w:r w:rsidR="0048383D">
        <w:t xml:space="preserve"> </w:t>
      </w:r>
      <w:r w:rsidR="00E728F2">
        <w:t>a revised</w:t>
      </w:r>
      <w:r w:rsidR="00835910">
        <w:t xml:space="preserve"> restriction criterion </w:t>
      </w:r>
      <w:r w:rsidR="00E728F2">
        <w:t>that</w:t>
      </w:r>
      <w:r w:rsidR="008A3603">
        <w:t xml:space="preserve"> </w:t>
      </w:r>
      <w:r w:rsidR="004D68E6">
        <w:t>only excludes</w:t>
      </w:r>
      <w:r w:rsidR="008A3603">
        <w:t xml:space="preserve"> patients who progress within 6 months of completing adjuvant </w:t>
      </w:r>
      <w:r w:rsidR="004D68E6">
        <w:t>immuno</w:t>
      </w:r>
      <w:r w:rsidR="008A3603">
        <w:t>therapy</w:t>
      </w:r>
      <w:r w:rsidR="005A536C">
        <w:t xml:space="preserve"> from retreatment</w:t>
      </w:r>
      <w:r w:rsidR="008A3603">
        <w:t xml:space="preserve"> </w:t>
      </w:r>
      <w:r w:rsidR="0048383D">
        <w:t>(pre-PBAC response).</w:t>
      </w:r>
    </w:p>
    <w:p w14:paraId="23DE50BE" w14:textId="77777777" w:rsidR="00172C1C" w:rsidRPr="00C9624D" w:rsidRDefault="00172C1C" w:rsidP="00172C1C">
      <w:pPr>
        <w:pStyle w:val="4-SubsectionHeading"/>
      </w:pPr>
      <w:bookmarkStart w:id="26" w:name="_Toc22897642"/>
      <w:bookmarkStart w:id="27" w:name="_Toc103767690"/>
      <w:r w:rsidRPr="00C9624D">
        <w:t>Comparative harms</w:t>
      </w:r>
      <w:bookmarkEnd w:id="26"/>
      <w:bookmarkEnd w:id="27"/>
    </w:p>
    <w:p w14:paraId="22CC48F0" w14:textId="3C6177A9" w:rsidR="00172C1C" w:rsidRPr="00477661" w:rsidRDefault="00172C1C" w:rsidP="00172C1C">
      <w:pPr>
        <w:pStyle w:val="3-BodyText"/>
      </w:pPr>
      <w:r>
        <w:t xml:space="preserve">A </w:t>
      </w:r>
      <w:r w:rsidRPr="004C54EE">
        <w:t>summary of safety outcomes in CM</w:t>
      </w:r>
      <w:r w:rsidR="009355FB">
        <w:t>-</w:t>
      </w:r>
      <w:r w:rsidRPr="004C54EE">
        <w:t>577</w:t>
      </w:r>
      <w:r>
        <w:t xml:space="preserve"> is presented</w:t>
      </w:r>
      <w:r w:rsidRPr="00477661">
        <w:t xml:space="preserve"> in </w:t>
      </w:r>
      <w:r w:rsidRPr="00477661">
        <w:fldChar w:fldCharType="begin"/>
      </w:r>
      <w:r w:rsidRPr="00477661">
        <w:instrText xml:space="preserve"> REF _Ref100826497 \h </w:instrText>
      </w:r>
      <w:r>
        <w:instrText xml:space="preserve"> \* MERGEFORMAT </w:instrText>
      </w:r>
      <w:r w:rsidRPr="00477661">
        <w:fldChar w:fldCharType="separate"/>
      </w:r>
      <w:r w:rsidR="00267758" w:rsidRPr="00267758">
        <w:t>Table 6</w:t>
      </w:r>
      <w:r w:rsidRPr="00477661">
        <w:fldChar w:fldCharType="end"/>
      </w:r>
      <w:r>
        <w:t>.</w:t>
      </w:r>
    </w:p>
    <w:p w14:paraId="1216F6B5" w14:textId="3B42D27A" w:rsidR="00172C1C" w:rsidRPr="004C54EE" w:rsidRDefault="00172C1C" w:rsidP="00803DB9">
      <w:pPr>
        <w:pStyle w:val="TableFigureHeading"/>
        <w:keepLines/>
      </w:pPr>
      <w:bookmarkStart w:id="28" w:name="_Ref100826497"/>
      <w:r w:rsidRPr="00B8057C">
        <w:rPr>
          <w:rStyle w:val="CommentReference"/>
          <w:b/>
          <w:bCs w:val="0"/>
        </w:rPr>
        <w:t>Table</w:t>
      </w:r>
      <w:r>
        <w:rPr>
          <w:rStyle w:val="CommentReference"/>
          <w:b/>
        </w:rPr>
        <w:t xml:space="preserve"> </w:t>
      </w:r>
      <w:r>
        <w:rPr>
          <w:rStyle w:val="CommentReference"/>
          <w:b/>
        </w:rPr>
        <w:fldChar w:fldCharType="begin"/>
      </w:r>
      <w:r>
        <w:rPr>
          <w:rStyle w:val="CommentReference"/>
          <w:b/>
        </w:rPr>
        <w:instrText xml:space="preserve"> SEQ Table \* MERGEFORMAT </w:instrText>
      </w:r>
      <w:r>
        <w:rPr>
          <w:rStyle w:val="CommentReference"/>
          <w:b/>
        </w:rPr>
        <w:fldChar w:fldCharType="separate"/>
      </w:r>
      <w:r w:rsidR="00267758">
        <w:rPr>
          <w:rStyle w:val="CommentReference"/>
          <w:b/>
          <w:noProof/>
        </w:rPr>
        <w:t>6</w:t>
      </w:r>
      <w:r>
        <w:rPr>
          <w:rStyle w:val="CommentReference"/>
          <w:b/>
        </w:rPr>
        <w:fldChar w:fldCharType="end"/>
      </w:r>
      <w:bookmarkEnd w:id="28"/>
      <w:r>
        <w:rPr>
          <w:rStyle w:val="CommentReference"/>
          <w:b/>
        </w:rPr>
        <w:t xml:space="preserve">: </w:t>
      </w:r>
      <w:r>
        <w:t>A</w:t>
      </w:r>
      <w:r w:rsidRPr="004C54EE">
        <w:t>dverse event summary</w:t>
      </w:r>
      <w:r w:rsidR="00094F89">
        <w:t xml:space="preserve"> in the</w:t>
      </w:r>
      <w:r w:rsidRPr="004C54EE">
        <w:t xml:space="preserve"> CM577</w:t>
      </w:r>
      <w:r w:rsidR="00094F89">
        <w:t xml:space="preserve"> </w:t>
      </w:r>
      <w:proofErr w:type="gramStart"/>
      <w:r w:rsidR="00094F89">
        <w:t xml:space="preserve">trial </w:t>
      </w:r>
      <w:r w:rsidR="00F86C30">
        <w:t xml:space="preserve"> (</w:t>
      </w:r>
      <w:proofErr w:type="gramEnd"/>
      <w:r w:rsidR="00F86C30">
        <w:t xml:space="preserve">all </w:t>
      </w:r>
      <w:r w:rsidR="003F7969">
        <w:t xml:space="preserve">treated </w:t>
      </w:r>
      <w:r w:rsidR="00F86C30">
        <w:t>patients)</w:t>
      </w:r>
    </w:p>
    <w:tbl>
      <w:tblPr>
        <w:tblStyle w:val="TableGrid"/>
        <w:tblpPr w:leftFromText="180" w:rightFromText="180" w:vertAnchor="text" w:horzAnchor="margin" w:tblpY="1"/>
        <w:tblW w:w="5000" w:type="pct"/>
        <w:tblCellMar>
          <w:left w:w="29" w:type="dxa"/>
          <w:right w:w="29" w:type="dxa"/>
        </w:tblCellMar>
        <w:tblLook w:val="04A0" w:firstRow="1" w:lastRow="0" w:firstColumn="1" w:lastColumn="0" w:noHBand="0" w:noVBand="1"/>
      </w:tblPr>
      <w:tblGrid>
        <w:gridCol w:w="2691"/>
        <w:gridCol w:w="931"/>
        <w:gridCol w:w="745"/>
        <w:gridCol w:w="1488"/>
        <w:gridCol w:w="931"/>
        <w:gridCol w:w="745"/>
        <w:gridCol w:w="1486"/>
      </w:tblGrid>
      <w:tr w:rsidR="00172C1C" w:rsidRPr="004C54EE" w14:paraId="40E18A63" w14:textId="77777777" w:rsidTr="00A07366">
        <w:tc>
          <w:tcPr>
            <w:tcW w:w="1493" w:type="pct"/>
            <w:vMerge w:val="restart"/>
          </w:tcPr>
          <w:p w14:paraId="1603373A" w14:textId="77777777" w:rsidR="00172C1C" w:rsidRPr="004C54EE" w:rsidRDefault="00172C1C" w:rsidP="00803DB9">
            <w:pPr>
              <w:pStyle w:val="TableText0"/>
              <w:keepLines/>
              <w:rPr>
                <w:b/>
                <w:bCs w:val="0"/>
              </w:rPr>
            </w:pPr>
            <w:r w:rsidRPr="004C54EE">
              <w:rPr>
                <w:b/>
                <w:bCs w:val="0"/>
              </w:rPr>
              <w:t>Safety outcome, n (%)</w:t>
            </w:r>
          </w:p>
        </w:tc>
        <w:tc>
          <w:tcPr>
            <w:tcW w:w="1754" w:type="pct"/>
            <w:gridSpan w:val="3"/>
          </w:tcPr>
          <w:p w14:paraId="146A6BC3" w14:textId="77777777" w:rsidR="00172C1C" w:rsidRPr="004C54EE" w:rsidRDefault="00172C1C" w:rsidP="00803DB9">
            <w:pPr>
              <w:pStyle w:val="TableText0"/>
              <w:keepLines/>
              <w:jc w:val="center"/>
              <w:rPr>
                <w:b/>
                <w:bCs w:val="0"/>
              </w:rPr>
            </w:pPr>
            <w:r w:rsidRPr="004C54EE">
              <w:rPr>
                <w:b/>
                <w:bCs w:val="0"/>
              </w:rPr>
              <w:t>Any grade</w:t>
            </w:r>
          </w:p>
        </w:tc>
        <w:tc>
          <w:tcPr>
            <w:tcW w:w="1754" w:type="pct"/>
            <w:gridSpan w:val="3"/>
          </w:tcPr>
          <w:p w14:paraId="222D59FA" w14:textId="616D65E2" w:rsidR="00172C1C" w:rsidRPr="004C54EE" w:rsidRDefault="00172C1C" w:rsidP="00803DB9">
            <w:pPr>
              <w:pStyle w:val="TableText0"/>
              <w:keepLines/>
              <w:jc w:val="center"/>
              <w:rPr>
                <w:b/>
                <w:bCs w:val="0"/>
              </w:rPr>
            </w:pPr>
            <w:r w:rsidRPr="004C54EE">
              <w:rPr>
                <w:b/>
                <w:bCs w:val="0"/>
              </w:rPr>
              <w:t>Grade</w:t>
            </w:r>
            <w:r w:rsidR="00570E3C">
              <w:rPr>
                <w:b/>
                <w:bCs w:val="0"/>
              </w:rPr>
              <w:t xml:space="preserve"> </w:t>
            </w:r>
            <w:r w:rsidRPr="004C54EE">
              <w:rPr>
                <w:b/>
                <w:bCs w:val="0"/>
              </w:rPr>
              <w:t>3-4</w:t>
            </w:r>
          </w:p>
        </w:tc>
      </w:tr>
      <w:tr w:rsidR="00172C1C" w:rsidRPr="004C54EE" w14:paraId="17C7F9CA" w14:textId="77777777" w:rsidTr="00A07366">
        <w:tc>
          <w:tcPr>
            <w:tcW w:w="1493" w:type="pct"/>
            <w:vMerge/>
          </w:tcPr>
          <w:p w14:paraId="2786C525" w14:textId="77777777" w:rsidR="00172C1C" w:rsidRPr="004C54EE" w:rsidRDefault="00172C1C" w:rsidP="00803DB9">
            <w:pPr>
              <w:pStyle w:val="TableText0"/>
              <w:keepLines/>
              <w:rPr>
                <w:b/>
                <w:bCs w:val="0"/>
              </w:rPr>
            </w:pPr>
          </w:p>
        </w:tc>
        <w:tc>
          <w:tcPr>
            <w:tcW w:w="516" w:type="pct"/>
          </w:tcPr>
          <w:p w14:paraId="7845D35C" w14:textId="77777777" w:rsidR="00172C1C" w:rsidRPr="004C54EE" w:rsidRDefault="00172C1C" w:rsidP="00803DB9">
            <w:pPr>
              <w:pStyle w:val="TableText0"/>
              <w:keepLines/>
              <w:jc w:val="center"/>
              <w:rPr>
                <w:b/>
                <w:bCs w:val="0"/>
              </w:rPr>
            </w:pPr>
            <w:r w:rsidRPr="004C54EE">
              <w:rPr>
                <w:b/>
                <w:bCs w:val="0"/>
              </w:rPr>
              <w:t>Nivolumab (n=532)</w:t>
            </w:r>
          </w:p>
        </w:tc>
        <w:tc>
          <w:tcPr>
            <w:tcW w:w="413" w:type="pct"/>
          </w:tcPr>
          <w:p w14:paraId="29CA7618" w14:textId="77777777" w:rsidR="00172C1C" w:rsidRPr="004C54EE" w:rsidRDefault="00172C1C" w:rsidP="00803DB9">
            <w:pPr>
              <w:pStyle w:val="TableText0"/>
              <w:keepLines/>
              <w:jc w:val="center"/>
              <w:rPr>
                <w:b/>
                <w:bCs w:val="0"/>
              </w:rPr>
            </w:pPr>
            <w:r w:rsidRPr="004C54EE">
              <w:rPr>
                <w:b/>
                <w:bCs w:val="0"/>
              </w:rPr>
              <w:t>Placebo (n=260)</w:t>
            </w:r>
          </w:p>
        </w:tc>
        <w:tc>
          <w:tcPr>
            <w:tcW w:w="825" w:type="pct"/>
          </w:tcPr>
          <w:p w14:paraId="5721525B" w14:textId="77777777" w:rsidR="00172C1C" w:rsidRPr="004C54EE" w:rsidRDefault="00172C1C" w:rsidP="00803DB9">
            <w:pPr>
              <w:pStyle w:val="TableText0"/>
              <w:keepLines/>
              <w:jc w:val="center"/>
              <w:rPr>
                <w:b/>
                <w:bCs w:val="0"/>
                <w:vertAlign w:val="superscript"/>
              </w:rPr>
            </w:pPr>
            <w:r w:rsidRPr="004C54EE">
              <w:rPr>
                <w:b/>
                <w:bCs w:val="0"/>
              </w:rPr>
              <w:t>Risk difference</w:t>
            </w:r>
          </w:p>
          <w:p w14:paraId="34614C85" w14:textId="77777777" w:rsidR="00172C1C" w:rsidRPr="004C54EE" w:rsidRDefault="00172C1C" w:rsidP="00803DB9">
            <w:pPr>
              <w:pStyle w:val="TableText0"/>
              <w:keepLines/>
              <w:jc w:val="center"/>
              <w:rPr>
                <w:b/>
                <w:bCs w:val="0"/>
              </w:rPr>
            </w:pPr>
            <w:r w:rsidRPr="004C54EE">
              <w:rPr>
                <w:b/>
                <w:bCs w:val="0"/>
              </w:rPr>
              <w:t>(95% CI)</w:t>
            </w:r>
          </w:p>
        </w:tc>
        <w:tc>
          <w:tcPr>
            <w:tcW w:w="516" w:type="pct"/>
          </w:tcPr>
          <w:p w14:paraId="13C14D88" w14:textId="77777777" w:rsidR="00172C1C" w:rsidRPr="004C54EE" w:rsidRDefault="00172C1C" w:rsidP="00803DB9">
            <w:pPr>
              <w:pStyle w:val="TableText0"/>
              <w:keepLines/>
              <w:jc w:val="center"/>
              <w:rPr>
                <w:b/>
                <w:bCs w:val="0"/>
              </w:rPr>
            </w:pPr>
            <w:r w:rsidRPr="004C54EE">
              <w:rPr>
                <w:b/>
                <w:bCs w:val="0"/>
              </w:rPr>
              <w:t>Nivolumab (n=532)</w:t>
            </w:r>
          </w:p>
        </w:tc>
        <w:tc>
          <w:tcPr>
            <w:tcW w:w="413" w:type="pct"/>
          </w:tcPr>
          <w:p w14:paraId="79C80B42" w14:textId="77777777" w:rsidR="00172C1C" w:rsidRPr="004C54EE" w:rsidRDefault="00172C1C" w:rsidP="00803DB9">
            <w:pPr>
              <w:pStyle w:val="TableText0"/>
              <w:keepLines/>
              <w:jc w:val="center"/>
              <w:rPr>
                <w:b/>
                <w:bCs w:val="0"/>
              </w:rPr>
            </w:pPr>
            <w:r w:rsidRPr="004C54EE">
              <w:rPr>
                <w:b/>
                <w:bCs w:val="0"/>
              </w:rPr>
              <w:t>Placebo (n=260)</w:t>
            </w:r>
          </w:p>
        </w:tc>
        <w:tc>
          <w:tcPr>
            <w:tcW w:w="825" w:type="pct"/>
          </w:tcPr>
          <w:p w14:paraId="0A64CD4E" w14:textId="77777777" w:rsidR="00172C1C" w:rsidRPr="004C54EE" w:rsidRDefault="00172C1C" w:rsidP="00803DB9">
            <w:pPr>
              <w:pStyle w:val="TableText0"/>
              <w:keepLines/>
              <w:jc w:val="center"/>
              <w:rPr>
                <w:b/>
                <w:bCs w:val="0"/>
                <w:vertAlign w:val="superscript"/>
              </w:rPr>
            </w:pPr>
            <w:r w:rsidRPr="004C54EE">
              <w:rPr>
                <w:b/>
                <w:bCs w:val="0"/>
              </w:rPr>
              <w:t>Risk difference</w:t>
            </w:r>
          </w:p>
          <w:p w14:paraId="5824D338" w14:textId="77777777" w:rsidR="00172C1C" w:rsidRPr="004C54EE" w:rsidRDefault="00172C1C" w:rsidP="00803DB9">
            <w:pPr>
              <w:pStyle w:val="TableText0"/>
              <w:keepLines/>
              <w:jc w:val="center"/>
              <w:rPr>
                <w:b/>
                <w:bCs w:val="0"/>
              </w:rPr>
            </w:pPr>
            <w:r w:rsidRPr="004C54EE">
              <w:rPr>
                <w:b/>
                <w:bCs w:val="0"/>
              </w:rPr>
              <w:t>(95% CI)</w:t>
            </w:r>
          </w:p>
        </w:tc>
      </w:tr>
      <w:tr w:rsidR="00172C1C" w:rsidRPr="004C54EE" w14:paraId="1CE440C2" w14:textId="77777777" w:rsidTr="00A07366">
        <w:tc>
          <w:tcPr>
            <w:tcW w:w="1493" w:type="pct"/>
          </w:tcPr>
          <w:p w14:paraId="6DC68A2E" w14:textId="77777777" w:rsidR="00172C1C" w:rsidRPr="004C54EE" w:rsidRDefault="00172C1C" w:rsidP="00803DB9">
            <w:pPr>
              <w:pStyle w:val="TableText0"/>
              <w:keepLines/>
              <w:rPr>
                <w:vertAlign w:val="superscript"/>
              </w:rPr>
            </w:pPr>
            <w:r w:rsidRPr="004C54EE">
              <w:t>Any AEs</w:t>
            </w:r>
          </w:p>
        </w:tc>
        <w:tc>
          <w:tcPr>
            <w:tcW w:w="516" w:type="pct"/>
          </w:tcPr>
          <w:p w14:paraId="74AFF1B5" w14:textId="77777777" w:rsidR="00172C1C" w:rsidRPr="004C54EE" w:rsidRDefault="00172C1C" w:rsidP="00803DB9">
            <w:pPr>
              <w:pStyle w:val="TableText0"/>
              <w:keepLines/>
              <w:jc w:val="center"/>
            </w:pPr>
            <w:r w:rsidRPr="004C54EE">
              <w:t>513 (96)</w:t>
            </w:r>
          </w:p>
        </w:tc>
        <w:tc>
          <w:tcPr>
            <w:tcW w:w="413" w:type="pct"/>
          </w:tcPr>
          <w:p w14:paraId="1CD89548" w14:textId="77777777" w:rsidR="00172C1C" w:rsidRPr="004C54EE" w:rsidRDefault="00172C1C" w:rsidP="00803DB9">
            <w:pPr>
              <w:pStyle w:val="TableText0"/>
              <w:keepLines/>
              <w:jc w:val="center"/>
            </w:pPr>
            <w:r w:rsidRPr="004C54EE">
              <w:t>243 (93)</w:t>
            </w:r>
          </w:p>
        </w:tc>
        <w:tc>
          <w:tcPr>
            <w:tcW w:w="825" w:type="pct"/>
          </w:tcPr>
          <w:p w14:paraId="3BE3AD9E" w14:textId="77777777" w:rsidR="00172C1C" w:rsidRPr="004C54EE" w:rsidRDefault="00172C1C" w:rsidP="00803DB9">
            <w:pPr>
              <w:pStyle w:val="TableText0"/>
              <w:keepLines/>
              <w:jc w:val="center"/>
            </w:pPr>
            <w:r w:rsidRPr="004C54EE">
              <w:t>0.03 (-0.00, 0.06)</w:t>
            </w:r>
          </w:p>
        </w:tc>
        <w:tc>
          <w:tcPr>
            <w:tcW w:w="516" w:type="pct"/>
          </w:tcPr>
          <w:p w14:paraId="288864A9" w14:textId="77777777" w:rsidR="00172C1C" w:rsidRPr="004C54EE" w:rsidRDefault="00172C1C" w:rsidP="00803DB9">
            <w:pPr>
              <w:pStyle w:val="TableText0"/>
              <w:keepLines/>
              <w:jc w:val="center"/>
            </w:pPr>
            <w:r w:rsidRPr="004C54EE">
              <w:t>186 (35)</w:t>
            </w:r>
          </w:p>
        </w:tc>
        <w:tc>
          <w:tcPr>
            <w:tcW w:w="413" w:type="pct"/>
          </w:tcPr>
          <w:p w14:paraId="138A6E34" w14:textId="77777777" w:rsidR="00172C1C" w:rsidRPr="004C54EE" w:rsidRDefault="00172C1C" w:rsidP="00803DB9">
            <w:pPr>
              <w:pStyle w:val="TableText0"/>
              <w:keepLines/>
              <w:jc w:val="center"/>
            </w:pPr>
            <w:r w:rsidRPr="004C54EE">
              <w:t>84 (32)</w:t>
            </w:r>
          </w:p>
        </w:tc>
        <w:tc>
          <w:tcPr>
            <w:tcW w:w="825" w:type="pct"/>
          </w:tcPr>
          <w:p w14:paraId="40B28D51" w14:textId="77777777" w:rsidR="00172C1C" w:rsidRPr="004C54EE" w:rsidRDefault="00172C1C" w:rsidP="00803DB9">
            <w:pPr>
              <w:pStyle w:val="TableText0"/>
              <w:keepLines/>
              <w:jc w:val="center"/>
            </w:pPr>
            <w:r w:rsidRPr="004C54EE">
              <w:t>0.03 (-0.04, 0.10)</w:t>
            </w:r>
          </w:p>
        </w:tc>
      </w:tr>
      <w:tr w:rsidR="00172C1C" w:rsidRPr="004C54EE" w14:paraId="4A789DAF" w14:textId="77777777" w:rsidTr="00A07366">
        <w:tc>
          <w:tcPr>
            <w:tcW w:w="1493" w:type="pct"/>
          </w:tcPr>
          <w:p w14:paraId="7B950E44" w14:textId="77777777" w:rsidR="00172C1C" w:rsidRPr="004C54EE" w:rsidRDefault="00172C1C" w:rsidP="00803DB9">
            <w:pPr>
              <w:pStyle w:val="TableText0"/>
              <w:keepLines/>
              <w:rPr>
                <w:vertAlign w:val="superscript"/>
              </w:rPr>
            </w:pPr>
            <w:r w:rsidRPr="004C54EE">
              <w:t>Serious AEs</w:t>
            </w:r>
          </w:p>
        </w:tc>
        <w:tc>
          <w:tcPr>
            <w:tcW w:w="516" w:type="pct"/>
          </w:tcPr>
          <w:p w14:paraId="205144F6" w14:textId="77777777" w:rsidR="00172C1C" w:rsidRPr="004C54EE" w:rsidRDefault="00172C1C" w:rsidP="00803DB9">
            <w:pPr>
              <w:pStyle w:val="TableText0"/>
              <w:keepLines/>
              <w:jc w:val="center"/>
            </w:pPr>
            <w:r w:rsidRPr="004C54EE">
              <w:t>160 (30)</w:t>
            </w:r>
          </w:p>
        </w:tc>
        <w:tc>
          <w:tcPr>
            <w:tcW w:w="413" w:type="pct"/>
          </w:tcPr>
          <w:p w14:paraId="68CF4763" w14:textId="77777777" w:rsidR="00172C1C" w:rsidRPr="004C54EE" w:rsidRDefault="00172C1C" w:rsidP="00803DB9">
            <w:pPr>
              <w:pStyle w:val="TableText0"/>
              <w:keepLines/>
              <w:jc w:val="center"/>
            </w:pPr>
            <w:r w:rsidRPr="004C54EE">
              <w:t>81 (31)</w:t>
            </w:r>
          </w:p>
        </w:tc>
        <w:tc>
          <w:tcPr>
            <w:tcW w:w="825" w:type="pct"/>
          </w:tcPr>
          <w:p w14:paraId="72F29FBE" w14:textId="77777777" w:rsidR="00172C1C" w:rsidRPr="004C54EE" w:rsidRDefault="00172C1C" w:rsidP="00803DB9">
            <w:pPr>
              <w:pStyle w:val="TableText0"/>
              <w:keepLines/>
              <w:jc w:val="center"/>
            </w:pPr>
            <w:r w:rsidRPr="004C54EE">
              <w:t>-0.01 (-0.08, 0.06)</w:t>
            </w:r>
          </w:p>
        </w:tc>
        <w:tc>
          <w:tcPr>
            <w:tcW w:w="516" w:type="pct"/>
          </w:tcPr>
          <w:p w14:paraId="60E722C0" w14:textId="77777777" w:rsidR="00172C1C" w:rsidRPr="004C54EE" w:rsidRDefault="00172C1C" w:rsidP="00803DB9">
            <w:pPr>
              <w:pStyle w:val="TableText0"/>
              <w:keepLines/>
              <w:jc w:val="center"/>
            </w:pPr>
            <w:r w:rsidRPr="004C54EE">
              <w:t>109 (20)</w:t>
            </w:r>
          </w:p>
        </w:tc>
        <w:tc>
          <w:tcPr>
            <w:tcW w:w="413" w:type="pct"/>
          </w:tcPr>
          <w:p w14:paraId="1E2CFACA" w14:textId="77777777" w:rsidR="00172C1C" w:rsidRPr="004C54EE" w:rsidRDefault="00172C1C" w:rsidP="00803DB9">
            <w:pPr>
              <w:pStyle w:val="TableText0"/>
              <w:keepLines/>
              <w:jc w:val="center"/>
            </w:pPr>
            <w:r w:rsidRPr="004C54EE">
              <w:t>53 (20)</w:t>
            </w:r>
          </w:p>
        </w:tc>
        <w:tc>
          <w:tcPr>
            <w:tcW w:w="825" w:type="pct"/>
          </w:tcPr>
          <w:p w14:paraId="3E9DE575" w14:textId="77777777" w:rsidR="00172C1C" w:rsidRPr="004C54EE" w:rsidRDefault="00172C1C" w:rsidP="00803DB9">
            <w:pPr>
              <w:pStyle w:val="TableText0"/>
              <w:keepLines/>
              <w:jc w:val="center"/>
            </w:pPr>
            <w:r w:rsidRPr="004C54EE">
              <w:t>0.00 (-0.06, 0.06)</w:t>
            </w:r>
          </w:p>
        </w:tc>
      </w:tr>
      <w:tr w:rsidR="00172C1C" w:rsidRPr="004C54EE" w14:paraId="111F3D9C" w14:textId="77777777" w:rsidTr="00A07366">
        <w:tc>
          <w:tcPr>
            <w:tcW w:w="1493" w:type="pct"/>
          </w:tcPr>
          <w:p w14:paraId="104616CC" w14:textId="77777777" w:rsidR="00172C1C" w:rsidRPr="004C54EE" w:rsidRDefault="00172C1C" w:rsidP="00803DB9">
            <w:pPr>
              <w:pStyle w:val="TableText0"/>
              <w:keepLines/>
              <w:rPr>
                <w:vertAlign w:val="superscript"/>
              </w:rPr>
            </w:pPr>
            <w:r w:rsidRPr="004C54EE">
              <w:t>AEs leading to discontinuation</w:t>
            </w:r>
          </w:p>
        </w:tc>
        <w:tc>
          <w:tcPr>
            <w:tcW w:w="516" w:type="pct"/>
          </w:tcPr>
          <w:p w14:paraId="6BE549E0" w14:textId="77777777" w:rsidR="00172C1C" w:rsidRPr="004C54EE" w:rsidRDefault="00172C1C" w:rsidP="00803DB9">
            <w:pPr>
              <w:pStyle w:val="TableText0"/>
              <w:keepLines/>
              <w:jc w:val="center"/>
            </w:pPr>
            <w:r w:rsidRPr="004C54EE">
              <w:t>71 (13)</w:t>
            </w:r>
          </w:p>
        </w:tc>
        <w:tc>
          <w:tcPr>
            <w:tcW w:w="413" w:type="pct"/>
          </w:tcPr>
          <w:p w14:paraId="5650184D" w14:textId="77777777" w:rsidR="00172C1C" w:rsidRPr="004C54EE" w:rsidRDefault="00172C1C" w:rsidP="00803DB9">
            <w:pPr>
              <w:pStyle w:val="TableText0"/>
              <w:keepLines/>
              <w:jc w:val="center"/>
            </w:pPr>
            <w:r w:rsidRPr="004C54EE">
              <w:t>21 (8)</w:t>
            </w:r>
          </w:p>
        </w:tc>
        <w:tc>
          <w:tcPr>
            <w:tcW w:w="825" w:type="pct"/>
          </w:tcPr>
          <w:p w14:paraId="59C11A9D" w14:textId="77777777" w:rsidR="00172C1C" w:rsidRPr="004C54EE" w:rsidRDefault="00172C1C" w:rsidP="00803DB9">
            <w:pPr>
              <w:pStyle w:val="TableText0"/>
              <w:keepLines/>
              <w:jc w:val="center"/>
            </w:pPr>
            <w:r w:rsidRPr="00EF5A52">
              <w:rPr>
                <w:b/>
                <w:bCs w:val="0"/>
              </w:rPr>
              <w:t>0.05 (0.01, 0.10</w:t>
            </w:r>
            <w:r w:rsidRPr="004C54EE">
              <w:t>)</w:t>
            </w:r>
          </w:p>
        </w:tc>
        <w:tc>
          <w:tcPr>
            <w:tcW w:w="516" w:type="pct"/>
          </w:tcPr>
          <w:p w14:paraId="6026CE4D" w14:textId="77777777" w:rsidR="00172C1C" w:rsidRPr="004C54EE" w:rsidRDefault="00172C1C" w:rsidP="00803DB9">
            <w:pPr>
              <w:pStyle w:val="TableText0"/>
              <w:keepLines/>
              <w:jc w:val="center"/>
            </w:pPr>
            <w:r w:rsidRPr="004C54EE">
              <w:t>39 (7)</w:t>
            </w:r>
          </w:p>
        </w:tc>
        <w:tc>
          <w:tcPr>
            <w:tcW w:w="413" w:type="pct"/>
          </w:tcPr>
          <w:p w14:paraId="4BC554EF" w14:textId="77777777" w:rsidR="00172C1C" w:rsidRPr="004C54EE" w:rsidRDefault="00172C1C" w:rsidP="00803DB9">
            <w:pPr>
              <w:pStyle w:val="TableText0"/>
              <w:keepLines/>
              <w:jc w:val="center"/>
            </w:pPr>
            <w:r w:rsidRPr="004C54EE">
              <w:t>16 (6)</w:t>
            </w:r>
          </w:p>
        </w:tc>
        <w:tc>
          <w:tcPr>
            <w:tcW w:w="825" w:type="pct"/>
          </w:tcPr>
          <w:p w14:paraId="6C58436A" w14:textId="77777777" w:rsidR="00172C1C" w:rsidRPr="004C54EE" w:rsidRDefault="00172C1C" w:rsidP="00803DB9">
            <w:pPr>
              <w:pStyle w:val="TableText0"/>
              <w:keepLines/>
              <w:jc w:val="center"/>
            </w:pPr>
            <w:r w:rsidRPr="004C54EE">
              <w:t>0.01 (-0.02, 0.05)</w:t>
            </w:r>
          </w:p>
        </w:tc>
      </w:tr>
      <w:tr w:rsidR="00172C1C" w:rsidRPr="004C54EE" w14:paraId="7460801B" w14:textId="77777777" w:rsidTr="00A07366">
        <w:tc>
          <w:tcPr>
            <w:tcW w:w="1493" w:type="pct"/>
          </w:tcPr>
          <w:p w14:paraId="768B4623" w14:textId="77777777" w:rsidR="00172C1C" w:rsidRPr="004C54EE" w:rsidRDefault="00172C1C" w:rsidP="00803DB9">
            <w:pPr>
              <w:pStyle w:val="TableText0"/>
              <w:keepLines/>
              <w:rPr>
                <w:vertAlign w:val="superscript"/>
              </w:rPr>
            </w:pPr>
            <w:r w:rsidRPr="004C54EE">
              <w:t>Any TRAEs</w:t>
            </w:r>
          </w:p>
        </w:tc>
        <w:tc>
          <w:tcPr>
            <w:tcW w:w="516" w:type="pct"/>
          </w:tcPr>
          <w:p w14:paraId="580E9CF5" w14:textId="77777777" w:rsidR="00172C1C" w:rsidRPr="004C54EE" w:rsidRDefault="00172C1C" w:rsidP="00803DB9">
            <w:pPr>
              <w:pStyle w:val="TableText0"/>
              <w:keepLines/>
              <w:jc w:val="center"/>
            </w:pPr>
            <w:r w:rsidRPr="004C54EE">
              <w:t>379 (71)</w:t>
            </w:r>
          </w:p>
        </w:tc>
        <w:tc>
          <w:tcPr>
            <w:tcW w:w="413" w:type="pct"/>
          </w:tcPr>
          <w:p w14:paraId="43A840BD" w14:textId="77777777" w:rsidR="00172C1C" w:rsidRPr="004C54EE" w:rsidRDefault="00172C1C" w:rsidP="00803DB9">
            <w:pPr>
              <w:pStyle w:val="TableText0"/>
              <w:keepLines/>
              <w:jc w:val="center"/>
            </w:pPr>
            <w:r w:rsidRPr="004C54EE">
              <w:t>122 (47)</w:t>
            </w:r>
          </w:p>
        </w:tc>
        <w:tc>
          <w:tcPr>
            <w:tcW w:w="825" w:type="pct"/>
          </w:tcPr>
          <w:p w14:paraId="28C8756B" w14:textId="77777777" w:rsidR="00172C1C" w:rsidRPr="00EF5A52" w:rsidRDefault="00172C1C" w:rsidP="00803DB9">
            <w:pPr>
              <w:pStyle w:val="TableText0"/>
              <w:keepLines/>
              <w:jc w:val="center"/>
              <w:rPr>
                <w:b/>
                <w:bCs w:val="0"/>
              </w:rPr>
            </w:pPr>
            <w:r w:rsidRPr="00EF5A52">
              <w:rPr>
                <w:b/>
                <w:bCs w:val="0"/>
              </w:rPr>
              <w:t>0.24 (0.17, 0.32)</w:t>
            </w:r>
          </w:p>
        </w:tc>
        <w:tc>
          <w:tcPr>
            <w:tcW w:w="516" w:type="pct"/>
          </w:tcPr>
          <w:p w14:paraId="2D4D4CC9" w14:textId="77777777" w:rsidR="00172C1C" w:rsidRPr="004C54EE" w:rsidRDefault="00172C1C" w:rsidP="00803DB9">
            <w:pPr>
              <w:pStyle w:val="TableText0"/>
              <w:keepLines/>
              <w:jc w:val="center"/>
            </w:pPr>
            <w:r w:rsidRPr="004C54EE">
              <w:t>74 (14)</w:t>
            </w:r>
          </w:p>
        </w:tc>
        <w:tc>
          <w:tcPr>
            <w:tcW w:w="413" w:type="pct"/>
          </w:tcPr>
          <w:p w14:paraId="0987765E" w14:textId="77777777" w:rsidR="00172C1C" w:rsidRPr="004C54EE" w:rsidRDefault="00172C1C" w:rsidP="00803DB9">
            <w:pPr>
              <w:pStyle w:val="TableText0"/>
              <w:keepLines/>
              <w:jc w:val="center"/>
            </w:pPr>
            <w:r w:rsidRPr="004C54EE">
              <w:t>16 (6)</w:t>
            </w:r>
          </w:p>
        </w:tc>
        <w:tc>
          <w:tcPr>
            <w:tcW w:w="825" w:type="pct"/>
          </w:tcPr>
          <w:p w14:paraId="2CD4A23B" w14:textId="77777777" w:rsidR="00172C1C" w:rsidRPr="00EF5A52" w:rsidRDefault="00172C1C" w:rsidP="00803DB9">
            <w:pPr>
              <w:pStyle w:val="TableText0"/>
              <w:keepLines/>
              <w:jc w:val="center"/>
              <w:rPr>
                <w:b/>
                <w:bCs w:val="0"/>
              </w:rPr>
            </w:pPr>
            <w:r w:rsidRPr="00EF5A52">
              <w:rPr>
                <w:b/>
                <w:bCs w:val="0"/>
              </w:rPr>
              <w:t>0.08 (0.04, 0.12)</w:t>
            </w:r>
          </w:p>
        </w:tc>
      </w:tr>
      <w:tr w:rsidR="00172C1C" w:rsidRPr="004C54EE" w14:paraId="469E6BBA" w14:textId="77777777" w:rsidTr="00A07366">
        <w:tc>
          <w:tcPr>
            <w:tcW w:w="1493" w:type="pct"/>
          </w:tcPr>
          <w:p w14:paraId="351F815F" w14:textId="77777777" w:rsidR="00172C1C" w:rsidRPr="004C54EE" w:rsidRDefault="00172C1C" w:rsidP="00803DB9">
            <w:pPr>
              <w:pStyle w:val="TableText0"/>
              <w:keepLines/>
            </w:pPr>
            <w:r w:rsidRPr="004C54EE">
              <w:t>Serious TRAEs</w:t>
            </w:r>
          </w:p>
        </w:tc>
        <w:tc>
          <w:tcPr>
            <w:tcW w:w="516" w:type="pct"/>
          </w:tcPr>
          <w:p w14:paraId="14B2F334" w14:textId="77777777" w:rsidR="00172C1C" w:rsidRPr="004C54EE" w:rsidRDefault="00172C1C" w:rsidP="00803DB9">
            <w:pPr>
              <w:pStyle w:val="TableText0"/>
              <w:keepLines/>
              <w:jc w:val="center"/>
            </w:pPr>
            <w:r w:rsidRPr="004C54EE">
              <w:t>41 (8)</w:t>
            </w:r>
          </w:p>
        </w:tc>
        <w:tc>
          <w:tcPr>
            <w:tcW w:w="413" w:type="pct"/>
          </w:tcPr>
          <w:p w14:paraId="3028D5A1" w14:textId="77777777" w:rsidR="00172C1C" w:rsidRPr="004C54EE" w:rsidRDefault="00172C1C" w:rsidP="00803DB9">
            <w:pPr>
              <w:pStyle w:val="TableText0"/>
              <w:keepLines/>
              <w:jc w:val="center"/>
            </w:pPr>
            <w:r w:rsidRPr="004C54EE">
              <w:t>7 (3)</w:t>
            </w:r>
          </w:p>
        </w:tc>
        <w:tc>
          <w:tcPr>
            <w:tcW w:w="825" w:type="pct"/>
          </w:tcPr>
          <w:p w14:paraId="29983CC2" w14:textId="77777777" w:rsidR="00172C1C" w:rsidRPr="00EF5A52" w:rsidRDefault="00172C1C" w:rsidP="00803DB9">
            <w:pPr>
              <w:pStyle w:val="TableText0"/>
              <w:keepLines/>
              <w:jc w:val="center"/>
              <w:rPr>
                <w:b/>
                <w:bCs w:val="0"/>
              </w:rPr>
            </w:pPr>
            <w:r w:rsidRPr="00EF5A52">
              <w:rPr>
                <w:b/>
                <w:bCs w:val="0"/>
              </w:rPr>
              <w:t>0.05 (0.02, 0.08)</w:t>
            </w:r>
          </w:p>
        </w:tc>
        <w:tc>
          <w:tcPr>
            <w:tcW w:w="516" w:type="pct"/>
          </w:tcPr>
          <w:p w14:paraId="505FABF4" w14:textId="77777777" w:rsidR="00172C1C" w:rsidRPr="004C54EE" w:rsidRDefault="00172C1C" w:rsidP="00803DB9">
            <w:pPr>
              <w:pStyle w:val="TableText0"/>
              <w:keepLines/>
              <w:jc w:val="center"/>
            </w:pPr>
            <w:r w:rsidRPr="004C54EE">
              <w:t>31 (6)</w:t>
            </w:r>
          </w:p>
        </w:tc>
        <w:tc>
          <w:tcPr>
            <w:tcW w:w="413" w:type="pct"/>
          </w:tcPr>
          <w:p w14:paraId="01548271" w14:textId="77777777" w:rsidR="00172C1C" w:rsidRPr="004C54EE" w:rsidRDefault="00172C1C" w:rsidP="00803DB9">
            <w:pPr>
              <w:pStyle w:val="TableText0"/>
              <w:keepLines/>
              <w:jc w:val="center"/>
            </w:pPr>
            <w:r w:rsidRPr="004C54EE">
              <w:t>3 (1)</w:t>
            </w:r>
          </w:p>
        </w:tc>
        <w:tc>
          <w:tcPr>
            <w:tcW w:w="825" w:type="pct"/>
          </w:tcPr>
          <w:p w14:paraId="221CD184" w14:textId="77777777" w:rsidR="00172C1C" w:rsidRPr="00EF5A52" w:rsidRDefault="00172C1C" w:rsidP="00803DB9">
            <w:pPr>
              <w:pStyle w:val="TableText0"/>
              <w:keepLines/>
              <w:jc w:val="center"/>
              <w:rPr>
                <w:b/>
                <w:bCs w:val="0"/>
              </w:rPr>
            </w:pPr>
            <w:r w:rsidRPr="00EF5A52">
              <w:rPr>
                <w:b/>
                <w:bCs w:val="0"/>
              </w:rPr>
              <w:t>0.05 (0.02, 0.07)</w:t>
            </w:r>
          </w:p>
        </w:tc>
      </w:tr>
      <w:tr w:rsidR="00172C1C" w:rsidRPr="004C54EE" w14:paraId="54589054" w14:textId="77777777" w:rsidTr="00A07366">
        <w:tc>
          <w:tcPr>
            <w:tcW w:w="1493" w:type="pct"/>
          </w:tcPr>
          <w:p w14:paraId="46979B72" w14:textId="77777777" w:rsidR="00172C1C" w:rsidRPr="004C54EE" w:rsidRDefault="00172C1C" w:rsidP="00803DB9">
            <w:pPr>
              <w:pStyle w:val="TableText0"/>
              <w:keepLines/>
            </w:pPr>
            <w:r w:rsidRPr="004C54EE">
              <w:t>TRAEs leading to discontinuation</w:t>
            </w:r>
          </w:p>
        </w:tc>
        <w:tc>
          <w:tcPr>
            <w:tcW w:w="516" w:type="pct"/>
          </w:tcPr>
          <w:p w14:paraId="4133308B" w14:textId="77777777" w:rsidR="00172C1C" w:rsidRPr="004C54EE" w:rsidRDefault="00172C1C" w:rsidP="00803DB9">
            <w:pPr>
              <w:pStyle w:val="TableText0"/>
              <w:keepLines/>
              <w:jc w:val="center"/>
            </w:pPr>
            <w:r w:rsidRPr="004C54EE">
              <w:t>49 (9)</w:t>
            </w:r>
          </w:p>
        </w:tc>
        <w:tc>
          <w:tcPr>
            <w:tcW w:w="413" w:type="pct"/>
          </w:tcPr>
          <w:p w14:paraId="63DA0CF3" w14:textId="77777777" w:rsidR="00172C1C" w:rsidRPr="004C54EE" w:rsidRDefault="00172C1C" w:rsidP="00803DB9">
            <w:pPr>
              <w:pStyle w:val="TableText0"/>
              <w:keepLines/>
              <w:jc w:val="center"/>
            </w:pPr>
            <w:r w:rsidRPr="004C54EE">
              <w:t>8 (3)</w:t>
            </w:r>
          </w:p>
        </w:tc>
        <w:tc>
          <w:tcPr>
            <w:tcW w:w="825" w:type="pct"/>
          </w:tcPr>
          <w:p w14:paraId="3F2FB8EB" w14:textId="77777777" w:rsidR="00172C1C" w:rsidRPr="00EF5A52" w:rsidRDefault="00172C1C" w:rsidP="00803DB9">
            <w:pPr>
              <w:pStyle w:val="TableText0"/>
              <w:keepLines/>
              <w:jc w:val="center"/>
              <w:rPr>
                <w:b/>
                <w:bCs w:val="0"/>
              </w:rPr>
            </w:pPr>
            <w:r w:rsidRPr="00EF5A52">
              <w:rPr>
                <w:b/>
                <w:bCs w:val="0"/>
              </w:rPr>
              <w:t>0.06 (0.03, 0.09)</w:t>
            </w:r>
          </w:p>
        </w:tc>
        <w:tc>
          <w:tcPr>
            <w:tcW w:w="516" w:type="pct"/>
          </w:tcPr>
          <w:p w14:paraId="24D5E5C4" w14:textId="77777777" w:rsidR="00172C1C" w:rsidRPr="004C54EE" w:rsidRDefault="00172C1C" w:rsidP="00803DB9">
            <w:pPr>
              <w:pStyle w:val="TableText0"/>
              <w:keepLines/>
              <w:jc w:val="center"/>
            </w:pPr>
            <w:r w:rsidRPr="004C54EE">
              <w:t>26 (5)</w:t>
            </w:r>
          </w:p>
        </w:tc>
        <w:tc>
          <w:tcPr>
            <w:tcW w:w="413" w:type="pct"/>
          </w:tcPr>
          <w:p w14:paraId="3CDC543D" w14:textId="77777777" w:rsidR="00172C1C" w:rsidRPr="004C54EE" w:rsidRDefault="00172C1C" w:rsidP="00803DB9">
            <w:pPr>
              <w:pStyle w:val="TableText0"/>
              <w:keepLines/>
              <w:jc w:val="center"/>
            </w:pPr>
            <w:r w:rsidRPr="004C54EE">
              <w:t>7 (3)</w:t>
            </w:r>
          </w:p>
        </w:tc>
        <w:tc>
          <w:tcPr>
            <w:tcW w:w="825" w:type="pct"/>
          </w:tcPr>
          <w:p w14:paraId="6B987F4D" w14:textId="77777777" w:rsidR="00172C1C" w:rsidRPr="004C54EE" w:rsidRDefault="00172C1C" w:rsidP="00803DB9">
            <w:pPr>
              <w:pStyle w:val="TableText0"/>
              <w:keepLines/>
              <w:jc w:val="center"/>
            </w:pPr>
            <w:r w:rsidRPr="004C54EE">
              <w:t>0.02 (-0.00, 0.05)</w:t>
            </w:r>
          </w:p>
        </w:tc>
      </w:tr>
      <w:tr w:rsidR="00172C1C" w:rsidRPr="004C54EE" w14:paraId="45023E0B" w14:textId="77777777" w:rsidTr="00A07366">
        <w:tc>
          <w:tcPr>
            <w:tcW w:w="5000" w:type="pct"/>
            <w:gridSpan w:val="7"/>
          </w:tcPr>
          <w:p w14:paraId="64A5BAF5" w14:textId="77777777" w:rsidR="00172C1C" w:rsidRPr="004C54EE" w:rsidRDefault="00172C1C" w:rsidP="00803DB9">
            <w:pPr>
              <w:pStyle w:val="TableText0"/>
              <w:keepLines/>
            </w:pPr>
            <w:r w:rsidRPr="004C54EE">
              <w:t>TRAEs in ≥10% of treated patients in either arm</w:t>
            </w:r>
          </w:p>
        </w:tc>
      </w:tr>
      <w:tr w:rsidR="00172C1C" w:rsidRPr="004C54EE" w14:paraId="657D0D29" w14:textId="77777777" w:rsidTr="00A07366">
        <w:tc>
          <w:tcPr>
            <w:tcW w:w="1493" w:type="pct"/>
          </w:tcPr>
          <w:p w14:paraId="0212FB33" w14:textId="77777777" w:rsidR="00172C1C" w:rsidRPr="004C54EE" w:rsidRDefault="00172C1C" w:rsidP="00803DB9">
            <w:pPr>
              <w:pStyle w:val="TableText0"/>
              <w:keepLines/>
            </w:pPr>
            <w:r w:rsidRPr="004C54EE">
              <w:t>Fatigue</w:t>
            </w:r>
          </w:p>
        </w:tc>
        <w:tc>
          <w:tcPr>
            <w:tcW w:w="516" w:type="pct"/>
          </w:tcPr>
          <w:p w14:paraId="2D3B86C8" w14:textId="77777777" w:rsidR="00172C1C" w:rsidRPr="004C54EE" w:rsidRDefault="00172C1C" w:rsidP="00803DB9">
            <w:pPr>
              <w:pStyle w:val="TableText0"/>
              <w:keepLines/>
              <w:jc w:val="center"/>
            </w:pPr>
            <w:r w:rsidRPr="004C54EE">
              <w:t>92 (17)</w:t>
            </w:r>
          </w:p>
        </w:tc>
        <w:tc>
          <w:tcPr>
            <w:tcW w:w="413" w:type="pct"/>
          </w:tcPr>
          <w:p w14:paraId="5FAE636D" w14:textId="77777777" w:rsidR="00172C1C" w:rsidRPr="004C54EE" w:rsidRDefault="00172C1C" w:rsidP="00803DB9">
            <w:pPr>
              <w:pStyle w:val="TableText0"/>
              <w:keepLines/>
              <w:jc w:val="center"/>
            </w:pPr>
            <w:r w:rsidRPr="004C54EE">
              <w:t>29 (11)</w:t>
            </w:r>
          </w:p>
        </w:tc>
        <w:tc>
          <w:tcPr>
            <w:tcW w:w="825" w:type="pct"/>
          </w:tcPr>
          <w:p w14:paraId="402922FE" w14:textId="77777777" w:rsidR="00172C1C" w:rsidRPr="00EF5A52" w:rsidRDefault="00172C1C" w:rsidP="00803DB9">
            <w:pPr>
              <w:pStyle w:val="TableText0"/>
              <w:keepLines/>
              <w:jc w:val="center"/>
              <w:rPr>
                <w:b/>
                <w:bCs w:val="0"/>
              </w:rPr>
            </w:pPr>
            <w:r w:rsidRPr="00EF5A52">
              <w:rPr>
                <w:b/>
                <w:bCs w:val="0"/>
              </w:rPr>
              <w:t>0.06 (0.01, 0.11)</w:t>
            </w:r>
          </w:p>
        </w:tc>
        <w:tc>
          <w:tcPr>
            <w:tcW w:w="516" w:type="pct"/>
          </w:tcPr>
          <w:p w14:paraId="05302E50" w14:textId="77777777" w:rsidR="00172C1C" w:rsidRPr="004C54EE" w:rsidRDefault="00172C1C" w:rsidP="00803DB9">
            <w:pPr>
              <w:pStyle w:val="TableText0"/>
              <w:keepLines/>
              <w:jc w:val="center"/>
            </w:pPr>
            <w:r w:rsidRPr="004C54EE">
              <w:t>6 (1)</w:t>
            </w:r>
          </w:p>
        </w:tc>
        <w:tc>
          <w:tcPr>
            <w:tcW w:w="413" w:type="pct"/>
          </w:tcPr>
          <w:p w14:paraId="246D63D8" w14:textId="77777777" w:rsidR="00172C1C" w:rsidRPr="004C54EE" w:rsidRDefault="00172C1C" w:rsidP="00803DB9">
            <w:pPr>
              <w:pStyle w:val="TableText0"/>
              <w:keepLines/>
              <w:jc w:val="center"/>
            </w:pPr>
            <w:r w:rsidRPr="004C54EE">
              <w:t>1 (&lt;1)</w:t>
            </w:r>
          </w:p>
        </w:tc>
        <w:tc>
          <w:tcPr>
            <w:tcW w:w="825" w:type="pct"/>
          </w:tcPr>
          <w:p w14:paraId="139C1277" w14:textId="77777777" w:rsidR="00172C1C" w:rsidRPr="004C54EE" w:rsidRDefault="00172C1C" w:rsidP="00803DB9">
            <w:pPr>
              <w:pStyle w:val="TableText0"/>
              <w:keepLines/>
              <w:jc w:val="center"/>
            </w:pPr>
            <w:r w:rsidRPr="004C54EE">
              <w:t>0.01 (-0.00, 0.02)</w:t>
            </w:r>
          </w:p>
        </w:tc>
      </w:tr>
      <w:tr w:rsidR="00172C1C" w:rsidRPr="004C54EE" w14:paraId="3B1CD23C" w14:textId="77777777" w:rsidTr="00A07366">
        <w:tc>
          <w:tcPr>
            <w:tcW w:w="1493" w:type="pct"/>
          </w:tcPr>
          <w:p w14:paraId="096EC500" w14:textId="77777777" w:rsidR="00172C1C" w:rsidRPr="004C54EE" w:rsidRDefault="00172C1C" w:rsidP="00803DB9">
            <w:pPr>
              <w:pStyle w:val="TableText0"/>
              <w:keepLines/>
            </w:pPr>
            <w:r w:rsidRPr="004C54EE">
              <w:t>Diarrhoea</w:t>
            </w:r>
          </w:p>
        </w:tc>
        <w:tc>
          <w:tcPr>
            <w:tcW w:w="516" w:type="pct"/>
          </w:tcPr>
          <w:p w14:paraId="79884213" w14:textId="77777777" w:rsidR="00172C1C" w:rsidRPr="004C54EE" w:rsidRDefault="00172C1C" w:rsidP="00803DB9">
            <w:pPr>
              <w:pStyle w:val="TableText0"/>
              <w:keepLines/>
              <w:jc w:val="center"/>
            </w:pPr>
            <w:r w:rsidRPr="004C54EE">
              <w:t>89 (17)</w:t>
            </w:r>
          </w:p>
        </w:tc>
        <w:tc>
          <w:tcPr>
            <w:tcW w:w="413" w:type="pct"/>
          </w:tcPr>
          <w:p w14:paraId="7B5BD221" w14:textId="77777777" w:rsidR="00172C1C" w:rsidRPr="004C54EE" w:rsidRDefault="00172C1C" w:rsidP="00803DB9">
            <w:pPr>
              <w:pStyle w:val="TableText0"/>
              <w:keepLines/>
              <w:jc w:val="center"/>
            </w:pPr>
            <w:r w:rsidRPr="004C54EE">
              <w:t>39 (15)</w:t>
            </w:r>
          </w:p>
        </w:tc>
        <w:tc>
          <w:tcPr>
            <w:tcW w:w="825" w:type="pct"/>
          </w:tcPr>
          <w:p w14:paraId="0C992651" w14:textId="77777777" w:rsidR="00172C1C" w:rsidRPr="004C54EE" w:rsidRDefault="00172C1C" w:rsidP="00803DB9">
            <w:pPr>
              <w:pStyle w:val="TableText0"/>
              <w:keepLines/>
              <w:jc w:val="center"/>
            </w:pPr>
            <w:r w:rsidRPr="004C54EE">
              <w:t>0.02 (-0.04, 0.07)</w:t>
            </w:r>
          </w:p>
        </w:tc>
        <w:tc>
          <w:tcPr>
            <w:tcW w:w="516" w:type="pct"/>
          </w:tcPr>
          <w:p w14:paraId="6A5F9B4F" w14:textId="77777777" w:rsidR="00172C1C" w:rsidRPr="004C54EE" w:rsidRDefault="00172C1C" w:rsidP="00803DB9">
            <w:pPr>
              <w:pStyle w:val="TableText0"/>
              <w:keepLines/>
              <w:jc w:val="center"/>
            </w:pPr>
            <w:r w:rsidRPr="004C54EE">
              <w:t>2 (&lt;1)</w:t>
            </w:r>
          </w:p>
        </w:tc>
        <w:tc>
          <w:tcPr>
            <w:tcW w:w="413" w:type="pct"/>
          </w:tcPr>
          <w:p w14:paraId="70D61424" w14:textId="77777777" w:rsidR="00172C1C" w:rsidRPr="004C54EE" w:rsidRDefault="00172C1C" w:rsidP="00803DB9">
            <w:pPr>
              <w:pStyle w:val="TableText0"/>
              <w:keepLines/>
              <w:jc w:val="center"/>
            </w:pPr>
            <w:r w:rsidRPr="004C54EE">
              <w:t>2 (&lt;1)</w:t>
            </w:r>
          </w:p>
        </w:tc>
        <w:tc>
          <w:tcPr>
            <w:tcW w:w="825" w:type="pct"/>
          </w:tcPr>
          <w:p w14:paraId="5FCF9F3D" w14:textId="77777777" w:rsidR="00172C1C" w:rsidRPr="004C54EE" w:rsidRDefault="00172C1C" w:rsidP="00803DB9">
            <w:pPr>
              <w:pStyle w:val="TableText0"/>
              <w:keepLines/>
              <w:jc w:val="center"/>
            </w:pPr>
            <w:r w:rsidRPr="004C54EE">
              <w:t>-0.00 (-0.02, 0.01)</w:t>
            </w:r>
          </w:p>
        </w:tc>
      </w:tr>
      <w:tr w:rsidR="00172C1C" w:rsidRPr="004C54EE" w14:paraId="5DBAEB20" w14:textId="77777777" w:rsidTr="00A07366">
        <w:tc>
          <w:tcPr>
            <w:tcW w:w="1493" w:type="pct"/>
          </w:tcPr>
          <w:p w14:paraId="5BBA10ED" w14:textId="77777777" w:rsidR="00172C1C" w:rsidRPr="004C54EE" w:rsidRDefault="00172C1C" w:rsidP="00803DB9">
            <w:pPr>
              <w:pStyle w:val="TableText0"/>
              <w:keepLines/>
            </w:pPr>
            <w:r w:rsidRPr="004C54EE">
              <w:t>Pruritis</w:t>
            </w:r>
          </w:p>
        </w:tc>
        <w:tc>
          <w:tcPr>
            <w:tcW w:w="516" w:type="pct"/>
          </w:tcPr>
          <w:p w14:paraId="0C2838BB" w14:textId="77777777" w:rsidR="00172C1C" w:rsidRPr="004C54EE" w:rsidRDefault="00172C1C" w:rsidP="00803DB9">
            <w:pPr>
              <w:pStyle w:val="TableText0"/>
              <w:keepLines/>
              <w:jc w:val="center"/>
            </w:pPr>
            <w:r w:rsidRPr="004C54EE">
              <w:t>53 (10)</w:t>
            </w:r>
          </w:p>
        </w:tc>
        <w:tc>
          <w:tcPr>
            <w:tcW w:w="413" w:type="pct"/>
          </w:tcPr>
          <w:p w14:paraId="7E150F3C" w14:textId="77777777" w:rsidR="00172C1C" w:rsidRPr="004C54EE" w:rsidRDefault="00172C1C" w:rsidP="00803DB9">
            <w:pPr>
              <w:pStyle w:val="TableText0"/>
              <w:keepLines/>
              <w:jc w:val="center"/>
            </w:pPr>
            <w:r w:rsidRPr="004C54EE">
              <w:t>9 (3)</w:t>
            </w:r>
          </w:p>
        </w:tc>
        <w:tc>
          <w:tcPr>
            <w:tcW w:w="825" w:type="pct"/>
          </w:tcPr>
          <w:p w14:paraId="08F65E92" w14:textId="77777777" w:rsidR="00172C1C" w:rsidRPr="00EF5A52" w:rsidRDefault="00172C1C" w:rsidP="00803DB9">
            <w:pPr>
              <w:pStyle w:val="TableText0"/>
              <w:keepLines/>
              <w:jc w:val="center"/>
              <w:rPr>
                <w:b/>
                <w:bCs w:val="0"/>
              </w:rPr>
            </w:pPr>
            <w:r w:rsidRPr="00EF5A52">
              <w:rPr>
                <w:b/>
                <w:bCs w:val="0"/>
              </w:rPr>
              <w:t>0.07 (0.03, 0.10)</w:t>
            </w:r>
          </w:p>
        </w:tc>
        <w:tc>
          <w:tcPr>
            <w:tcW w:w="516" w:type="pct"/>
          </w:tcPr>
          <w:p w14:paraId="6E96BE8F" w14:textId="77777777" w:rsidR="00172C1C" w:rsidRPr="004C54EE" w:rsidRDefault="00172C1C" w:rsidP="00803DB9">
            <w:pPr>
              <w:pStyle w:val="TableText0"/>
              <w:keepLines/>
              <w:jc w:val="center"/>
            </w:pPr>
            <w:r w:rsidRPr="004C54EE">
              <w:t>2 (&lt;1)</w:t>
            </w:r>
          </w:p>
        </w:tc>
        <w:tc>
          <w:tcPr>
            <w:tcW w:w="413" w:type="pct"/>
          </w:tcPr>
          <w:p w14:paraId="281964A5" w14:textId="77777777" w:rsidR="00172C1C" w:rsidRPr="004C54EE" w:rsidRDefault="00172C1C" w:rsidP="00803DB9">
            <w:pPr>
              <w:pStyle w:val="TableText0"/>
              <w:keepLines/>
              <w:jc w:val="center"/>
              <w:rPr>
                <w:vertAlign w:val="superscript"/>
              </w:rPr>
            </w:pPr>
            <w:r w:rsidRPr="004C54EE">
              <w:t>0</w:t>
            </w:r>
            <w:r w:rsidRPr="004C54EE">
              <w:rPr>
                <w:vertAlign w:val="superscript"/>
              </w:rPr>
              <w:t>i</w:t>
            </w:r>
          </w:p>
        </w:tc>
        <w:tc>
          <w:tcPr>
            <w:tcW w:w="825" w:type="pct"/>
          </w:tcPr>
          <w:p w14:paraId="7136C89C" w14:textId="77777777" w:rsidR="00172C1C" w:rsidRPr="004C54EE" w:rsidRDefault="00172C1C" w:rsidP="00803DB9">
            <w:pPr>
              <w:pStyle w:val="TableText0"/>
              <w:keepLines/>
              <w:jc w:val="center"/>
            </w:pPr>
            <w:r w:rsidRPr="004C54EE">
              <w:t>0.00 (-0.00, 0.01)</w:t>
            </w:r>
          </w:p>
        </w:tc>
      </w:tr>
      <w:tr w:rsidR="00172C1C" w:rsidRPr="004C54EE" w14:paraId="3AB82CC7" w14:textId="77777777" w:rsidTr="00A07366">
        <w:tc>
          <w:tcPr>
            <w:tcW w:w="1493" w:type="pct"/>
          </w:tcPr>
          <w:p w14:paraId="66DB1E89" w14:textId="77777777" w:rsidR="00172C1C" w:rsidRPr="004C54EE" w:rsidRDefault="00172C1C" w:rsidP="00803DB9">
            <w:pPr>
              <w:pStyle w:val="TableText0"/>
              <w:keepLines/>
            </w:pPr>
            <w:r w:rsidRPr="004C54EE">
              <w:t>Rash</w:t>
            </w:r>
          </w:p>
        </w:tc>
        <w:tc>
          <w:tcPr>
            <w:tcW w:w="516" w:type="pct"/>
          </w:tcPr>
          <w:p w14:paraId="7F2F6DE5" w14:textId="77777777" w:rsidR="00172C1C" w:rsidRPr="004C54EE" w:rsidRDefault="00172C1C" w:rsidP="00803DB9">
            <w:pPr>
              <w:pStyle w:val="TableText0"/>
              <w:keepLines/>
              <w:jc w:val="center"/>
            </w:pPr>
            <w:r w:rsidRPr="004C54EE">
              <w:t>51 (10)</w:t>
            </w:r>
          </w:p>
        </w:tc>
        <w:tc>
          <w:tcPr>
            <w:tcW w:w="413" w:type="pct"/>
          </w:tcPr>
          <w:p w14:paraId="5997DB42" w14:textId="77777777" w:rsidR="00172C1C" w:rsidRPr="004C54EE" w:rsidRDefault="00172C1C" w:rsidP="00803DB9">
            <w:pPr>
              <w:pStyle w:val="TableText0"/>
              <w:keepLines/>
              <w:jc w:val="center"/>
            </w:pPr>
            <w:r w:rsidRPr="004C54EE">
              <w:t>10 (4)</w:t>
            </w:r>
          </w:p>
        </w:tc>
        <w:tc>
          <w:tcPr>
            <w:tcW w:w="825" w:type="pct"/>
          </w:tcPr>
          <w:p w14:paraId="31C35090" w14:textId="77777777" w:rsidR="00172C1C" w:rsidRPr="00EF5A52" w:rsidRDefault="00172C1C" w:rsidP="00803DB9">
            <w:pPr>
              <w:pStyle w:val="TableText0"/>
              <w:keepLines/>
              <w:jc w:val="center"/>
              <w:rPr>
                <w:b/>
                <w:bCs w:val="0"/>
              </w:rPr>
            </w:pPr>
            <w:r w:rsidRPr="00EF5A52">
              <w:rPr>
                <w:b/>
                <w:bCs w:val="0"/>
              </w:rPr>
              <w:t>0.06 (0.02, 0.09)</w:t>
            </w:r>
          </w:p>
        </w:tc>
        <w:tc>
          <w:tcPr>
            <w:tcW w:w="516" w:type="pct"/>
          </w:tcPr>
          <w:p w14:paraId="2CF67922" w14:textId="77777777" w:rsidR="00172C1C" w:rsidRPr="004C54EE" w:rsidRDefault="00172C1C" w:rsidP="00803DB9">
            <w:pPr>
              <w:pStyle w:val="TableText0"/>
              <w:keepLines/>
              <w:jc w:val="center"/>
            </w:pPr>
            <w:r w:rsidRPr="004C54EE">
              <w:t>4 (&lt;1)</w:t>
            </w:r>
          </w:p>
        </w:tc>
        <w:tc>
          <w:tcPr>
            <w:tcW w:w="413" w:type="pct"/>
          </w:tcPr>
          <w:p w14:paraId="0691D882" w14:textId="77777777" w:rsidR="00172C1C" w:rsidRPr="004C54EE" w:rsidRDefault="00172C1C" w:rsidP="00803DB9">
            <w:pPr>
              <w:pStyle w:val="TableText0"/>
              <w:keepLines/>
              <w:jc w:val="center"/>
            </w:pPr>
            <w:r w:rsidRPr="004C54EE">
              <w:t>1 (&lt;1)</w:t>
            </w:r>
          </w:p>
        </w:tc>
        <w:tc>
          <w:tcPr>
            <w:tcW w:w="825" w:type="pct"/>
          </w:tcPr>
          <w:p w14:paraId="242BADD3" w14:textId="77777777" w:rsidR="00172C1C" w:rsidRPr="004C54EE" w:rsidRDefault="00172C1C" w:rsidP="00803DB9">
            <w:pPr>
              <w:pStyle w:val="TableText0"/>
              <w:keepLines/>
              <w:jc w:val="center"/>
            </w:pPr>
            <w:r w:rsidRPr="004C54EE">
              <w:t>0.00 (-0.01, 0.01)</w:t>
            </w:r>
          </w:p>
        </w:tc>
      </w:tr>
      <w:tr w:rsidR="00172C1C" w:rsidRPr="004C54EE" w14:paraId="55B67BBB" w14:textId="77777777" w:rsidTr="00A07366">
        <w:tc>
          <w:tcPr>
            <w:tcW w:w="1493" w:type="pct"/>
          </w:tcPr>
          <w:p w14:paraId="469A9FD1" w14:textId="77777777" w:rsidR="00172C1C" w:rsidRPr="004C54EE" w:rsidRDefault="00172C1C" w:rsidP="00803DB9">
            <w:pPr>
              <w:pStyle w:val="TableText0"/>
              <w:keepLines/>
            </w:pPr>
            <w:r w:rsidRPr="004C54EE">
              <w:t>Hypothyroidism</w:t>
            </w:r>
          </w:p>
        </w:tc>
        <w:tc>
          <w:tcPr>
            <w:tcW w:w="516" w:type="pct"/>
          </w:tcPr>
          <w:p w14:paraId="34F1E061" w14:textId="77777777" w:rsidR="00172C1C" w:rsidRPr="004C54EE" w:rsidRDefault="00172C1C" w:rsidP="00803DB9">
            <w:pPr>
              <w:pStyle w:val="TableText0"/>
              <w:keepLines/>
              <w:jc w:val="center"/>
            </w:pPr>
            <w:r w:rsidRPr="004C54EE">
              <w:t>51 (10)</w:t>
            </w:r>
          </w:p>
        </w:tc>
        <w:tc>
          <w:tcPr>
            <w:tcW w:w="413" w:type="pct"/>
          </w:tcPr>
          <w:p w14:paraId="3E39BFB5" w14:textId="77777777" w:rsidR="00172C1C" w:rsidRPr="004C54EE" w:rsidRDefault="00172C1C" w:rsidP="00803DB9">
            <w:pPr>
              <w:pStyle w:val="TableText0"/>
              <w:keepLines/>
              <w:jc w:val="center"/>
            </w:pPr>
            <w:r w:rsidRPr="004C54EE">
              <w:t>4 (2)</w:t>
            </w:r>
          </w:p>
        </w:tc>
        <w:tc>
          <w:tcPr>
            <w:tcW w:w="825" w:type="pct"/>
          </w:tcPr>
          <w:p w14:paraId="487C4DC2" w14:textId="77777777" w:rsidR="00172C1C" w:rsidRPr="00EF5A52" w:rsidRDefault="00172C1C" w:rsidP="00803DB9">
            <w:pPr>
              <w:pStyle w:val="TableText0"/>
              <w:keepLines/>
              <w:jc w:val="center"/>
              <w:rPr>
                <w:b/>
                <w:bCs w:val="0"/>
              </w:rPr>
            </w:pPr>
            <w:r w:rsidRPr="00EF5A52">
              <w:rPr>
                <w:b/>
                <w:bCs w:val="0"/>
              </w:rPr>
              <w:t>0.08(0.05, 0.11)</w:t>
            </w:r>
          </w:p>
        </w:tc>
        <w:tc>
          <w:tcPr>
            <w:tcW w:w="516" w:type="pct"/>
          </w:tcPr>
          <w:p w14:paraId="63BFDE7F" w14:textId="77777777" w:rsidR="00172C1C" w:rsidRPr="004C54EE" w:rsidRDefault="00172C1C" w:rsidP="00803DB9">
            <w:pPr>
              <w:pStyle w:val="TableText0"/>
              <w:keepLines/>
              <w:jc w:val="center"/>
            </w:pPr>
            <w:r w:rsidRPr="004C54EE">
              <w:t>0</w:t>
            </w:r>
          </w:p>
        </w:tc>
        <w:tc>
          <w:tcPr>
            <w:tcW w:w="413" w:type="pct"/>
          </w:tcPr>
          <w:p w14:paraId="52C791DE" w14:textId="77777777" w:rsidR="00172C1C" w:rsidRPr="004C54EE" w:rsidRDefault="00172C1C" w:rsidP="00803DB9">
            <w:pPr>
              <w:pStyle w:val="TableText0"/>
              <w:keepLines/>
              <w:jc w:val="center"/>
            </w:pPr>
            <w:r w:rsidRPr="004C54EE">
              <w:t>0</w:t>
            </w:r>
          </w:p>
        </w:tc>
        <w:tc>
          <w:tcPr>
            <w:tcW w:w="825" w:type="pct"/>
          </w:tcPr>
          <w:p w14:paraId="4D33C26C" w14:textId="77777777" w:rsidR="00172C1C" w:rsidRPr="004C54EE" w:rsidRDefault="00172C1C" w:rsidP="00803DB9">
            <w:pPr>
              <w:pStyle w:val="TableText0"/>
              <w:keepLines/>
              <w:jc w:val="center"/>
            </w:pPr>
            <w:r w:rsidRPr="004C54EE">
              <w:t>0.00 (-0.01, 0.01)</w:t>
            </w:r>
          </w:p>
        </w:tc>
      </w:tr>
    </w:tbl>
    <w:p w14:paraId="1C989CB5" w14:textId="77777777" w:rsidR="00E21E40" w:rsidRDefault="00172C1C" w:rsidP="00803DB9">
      <w:pPr>
        <w:pStyle w:val="TableFigureFooter"/>
        <w:keepNext/>
        <w:keepLines/>
      </w:pPr>
      <w:r w:rsidRPr="004C54EE">
        <w:t>Source: Table 38, p96 of th</w:t>
      </w:r>
      <w:r>
        <w:t>e</w:t>
      </w:r>
      <w:r w:rsidRPr="004C54EE">
        <w:t xml:space="preserve"> submission. </w:t>
      </w:r>
    </w:p>
    <w:p w14:paraId="54B58E3F" w14:textId="4D0E2519" w:rsidR="00172C1C" w:rsidRDefault="00172C1C" w:rsidP="00803DB9">
      <w:pPr>
        <w:pStyle w:val="TableFigureFooter"/>
        <w:keepNext/>
        <w:keepLines/>
      </w:pPr>
      <w:r w:rsidRPr="004C54EE">
        <w:t>AE = adverse event; CI = confidence interval; TRAE = treatment related adverse event</w:t>
      </w:r>
    </w:p>
    <w:p w14:paraId="668723C3" w14:textId="372247DB" w:rsidR="00EF5A52" w:rsidRPr="004C54EE" w:rsidRDefault="00EF5A52" w:rsidP="00803DB9">
      <w:pPr>
        <w:pStyle w:val="TableFigureFooter"/>
        <w:keepNext/>
        <w:keepLines/>
      </w:pPr>
      <w:r>
        <w:t xml:space="preserve">Text in </w:t>
      </w:r>
      <w:r w:rsidRPr="00094F89">
        <w:rPr>
          <w:b/>
          <w:bCs/>
        </w:rPr>
        <w:t>bold</w:t>
      </w:r>
      <w:r>
        <w:t xml:space="preserve"> indicate statistically significant differences</w:t>
      </w:r>
    </w:p>
    <w:p w14:paraId="541EF482" w14:textId="77777777" w:rsidR="00172C1C" w:rsidRPr="00477661" w:rsidRDefault="00172C1C" w:rsidP="00803DB9">
      <w:pPr>
        <w:pStyle w:val="TableFigureFooter"/>
        <w:keepNext/>
        <w:keepLines/>
      </w:pPr>
      <w:r w:rsidRPr="004C54EE">
        <w:t>The submission stated that RDs were calculated post-hoc using Review Manager Ver 5</w:t>
      </w:r>
    </w:p>
    <w:p w14:paraId="4296EF1A" w14:textId="3DB06158" w:rsidR="00172C1C" w:rsidRPr="00477661" w:rsidRDefault="00B8057C" w:rsidP="00172C1C">
      <w:pPr>
        <w:pStyle w:val="3-BodyText"/>
      </w:pPr>
      <w:r w:rsidRPr="00E7767C">
        <w:rPr>
          <w:iCs/>
        </w:rPr>
        <w:t>It was noted in the evaluation that</w:t>
      </w:r>
      <w:r w:rsidR="00172C1C" w:rsidRPr="00E7767C">
        <w:rPr>
          <w:iCs/>
        </w:rPr>
        <w:t xml:space="preserve"> there was an approximate 8% increase of grade 3 or 4 treatment related AEs associated with nivolumab treatment</w:t>
      </w:r>
      <w:r w:rsidR="00570E3C" w:rsidRPr="00E7767C">
        <w:rPr>
          <w:iCs/>
        </w:rPr>
        <w:t xml:space="preserve"> compared with placebo</w:t>
      </w:r>
      <w:r w:rsidR="00172C1C" w:rsidRPr="00E7767C">
        <w:rPr>
          <w:iCs/>
        </w:rPr>
        <w:t xml:space="preserve">. </w:t>
      </w:r>
    </w:p>
    <w:p w14:paraId="7259A4C3" w14:textId="77777777" w:rsidR="00172C1C" w:rsidRPr="00D2155B" w:rsidRDefault="00172C1C" w:rsidP="00172C1C">
      <w:pPr>
        <w:pStyle w:val="4-SubsectionHeading"/>
      </w:pPr>
      <w:bookmarkStart w:id="29" w:name="_Toc22897643"/>
      <w:bookmarkStart w:id="30" w:name="_Toc103767691"/>
      <w:r w:rsidRPr="00C9624D">
        <w:t>Benefits/harms</w:t>
      </w:r>
      <w:bookmarkEnd w:id="29"/>
      <w:bookmarkEnd w:id="30"/>
    </w:p>
    <w:p w14:paraId="7412B5F6" w14:textId="14093848" w:rsidR="00172C1C" w:rsidRPr="00690DFA" w:rsidRDefault="00172C1C" w:rsidP="00172C1C">
      <w:pPr>
        <w:pStyle w:val="3-BodyText"/>
        <w:rPr>
          <w:rStyle w:val="CommentReference"/>
        </w:rPr>
      </w:pPr>
      <w:r w:rsidRPr="00ED5BD4">
        <w:rPr>
          <w:lang w:val="en-US"/>
        </w:rPr>
        <w:t xml:space="preserve">A summary of the </w:t>
      </w:r>
      <w:r w:rsidRPr="00690DFA">
        <w:rPr>
          <w:lang w:val="en-US"/>
        </w:rPr>
        <w:t xml:space="preserve">comparative benefits and harms for nivolumab versus placebo is presented in </w:t>
      </w:r>
      <w:r w:rsidRPr="00690DFA">
        <w:fldChar w:fldCharType="begin"/>
      </w:r>
      <w:r w:rsidRPr="00690DFA">
        <w:instrText xml:space="preserve"> REF _Ref100828347 \h  \* MERGEFORMAT </w:instrText>
      </w:r>
      <w:r w:rsidRPr="00690DFA">
        <w:fldChar w:fldCharType="separate"/>
      </w:r>
      <w:r w:rsidR="00267758" w:rsidRPr="00267758">
        <w:t>Table 7</w:t>
      </w:r>
      <w:r w:rsidRPr="00690DFA">
        <w:fldChar w:fldCharType="end"/>
      </w:r>
      <w:r w:rsidRPr="00690DFA">
        <w:t>.</w:t>
      </w:r>
    </w:p>
    <w:p w14:paraId="0CDB9894" w14:textId="6BC42B18" w:rsidR="00172C1C" w:rsidRPr="00161ABF" w:rsidRDefault="00172C1C" w:rsidP="00172C1C">
      <w:pPr>
        <w:pStyle w:val="TableFigureHeading"/>
        <w:rPr>
          <w:rStyle w:val="CommentReference"/>
          <w:b/>
          <w:bCs w:val="0"/>
        </w:rPr>
      </w:pPr>
      <w:bookmarkStart w:id="31" w:name="_Ref100828347"/>
      <w:r w:rsidRPr="00161ABF">
        <w:rPr>
          <w:rStyle w:val="CommentReference"/>
          <w:b/>
          <w:bCs w:val="0"/>
        </w:rPr>
        <w:lastRenderedPageBreak/>
        <w:t xml:space="preserve">Table </w:t>
      </w:r>
      <w:r w:rsidRPr="00161ABF">
        <w:rPr>
          <w:rStyle w:val="CommentReference"/>
          <w:b/>
          <w:bCs w:val="0"/>
        </w:rPr>
        <w:fldChar w:fldCharType="begin"/>
      </w:r>
      <w:r w:rsidRPr="00161ABF">
        <w:rPr>
          <w:rStyle w:val="CommentReference"/>
          <w:b/>
          <w:bCs w:val="0"/>
        </w:rPr>
        <w:instrText xml:space="preserve"> SEQ Table \* MERGEFORMAT </w:instrText>
      </w:r>
      <w:r w:rsidRPr="00161ABF">
        <w:rPr>
          <w:rStyle w:val="CommentReference"/>
          <w:b/>
          <w:bCs w:val="0"/>
        </w:rPr>
        <w:fldChar w:fldCharType="separate"/>
      </w:r>
      <w:r w:rsidR="00267758">
        <w:rPr>
          <w:rStyle w:val="CommentReference"/>
          <w:b/>
          <w:bCs w:val="0"/>
          <w:noProof/>
        </w:rPr>
        <w:t>7</w:t>
      </w:r>
      <w:r w:rsidRPr="00161ABF">
        <w:rPr>
          <w:rStyle w:val="CommentReference"/>
          <w:b/>
          <w:bCs w:val="0"/>
        </w:rPr>
        <w:fldChar w:fldCharType="end"/>
      </w:r>
      <w:bookmarkEnd w:id="31"/>
      <w:r w:rsidRPr="00161ABF">
        <w:rPr>
          <w:rStyle w:val="CommentReference"/>
          <w:b/>
          <w:bCs w:val="0"/>
        </w:rPr>
        <w:t xml:space="preserve">: Summary of comparative benefits and harms for </w:t>
      </w:r>
      <w:r w:rsidR="00770107">
        <w:rPr>
          <w:rStyle w:val="CommentReference"/>
          <w:b/>
          <w:bCs w:val="0"/>
        </w:rPr>
        <w:t>n</w:t>
      </w:r>
      <w:r w:rsidRPr="00161ABF">
        <w:rPr>
          <w:rStyle w:val="CommentReference"/>
          <w:b/>
          <w:bCs w:val="0"/>
        </w:rPr>
        <w:t xml:space="preserve">ivolumab </w:t>
      </w:r>
      <w:r w:rsidR="00770107">
        <w:rPr>
          <w:rStyle w:val="CommentReference"/>
          <w:b/>
          <w:bCs w:val="0"/>
        </w:rPr>
        <w:t>versus</w:t>
      </w:r>
      <w:r w:rsidR="00770107" w:rsidRPr="00161ABF">
        <w:rPr>
          <w:rStyle w:val="CommentReference"/>
          <w:b/>
          <w:bCs w:val="0"/>
        </w:rPr>
        <w:t xml:space="preserve"> </w:t>
      </w:r>
      <w:r w:rsidRPr="00161ABF">
        <w:rPr>
          <w:rStyle w:val="CommentReference"/>
          <w:b/>
          <w:bCs w:val="0"/>
        </w:rPr>
        <w:t>placebo</w:t>
      </w:r>
    </w:p>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515"/>
        <w:gridCol w:w="2225"/>
        <w:gridCol w:w="1367"/>
      </w:tblGrid>
      <w:tr w:rsidR="00172C1C" w:rsidRPr="00712C73" w14:paraId="4545A020" w14:textId="77777777" w:rsidTr="00A0461D">
        <w:trPr>
          <w:trHeight w:val="20"/>
        </w:trPr>
        <w:tc>
          <w:tcPr>
            <w:tcW w:w="5000" w:type="pct"/>
            <w:gridSpan w:val="5"/>
            <w:shd w:val="clear" w:color="auto" w:fill="auto"/>
          </w:tcPr>
          <w:p w14:paraId="5F792321" w14:textId="77777777" w:rsidR="00172C1C" w:rsidRPr="00330DAA" w:rsidRDefault="00172C1C" w:rsidP="00A0461D">
            <w:pPr>
              <w:pStyle w:val="In-tableHeading"/>
            </w:pPr>
            <w:r>
              <w:t>Disease</w:t>
            </w:r>
            <w:r w:rsidRPr="00330DAA">
              <w:t xml:space="preserve"> free survival </w:t>
            </w:r>
          </w:p>
        </w:tc>
      </w:tr>
      <w:tr w:rsidR="00172C1C" w:rsidRPr="00712C73" w14:paraId="38B68494" w14:textId="77777777" w:rsidTr="00A0461D">
        <w:trPr>
          <w:trHeight w:val="20"/>
        </w:trPr>
        <w:tc>
          <w:tcPr>
            <w:tcW w:w="5000" w:type="pct"/>
            <w:gridSpan w:val="5"/>
            <w:shd w:val="clear" w:color="auto" w:fill="auto"/>
          </w:tcPr>
          <w:p w14:paraId="1B1CBE20" w14:textId="4436A34E" w:rsidR="00172C1C" w:rsidRDefault="00551DDD" w:rsidP="00A0461D">
            <w:pPr>
              <w:pStyle w:val="In-tableHeading"/>
            </w:pPr>
            <w:r>
              <w:t xml:space="preserve">Interim </w:t>
            </w:r>
            <w:r w:rsidR="00172C1C">
              <w:t>analysis*</w:t>
            </w:r>
          </w:p>
        </w:tc>
      </w:tr>
      <w:tr w:rsidR="00172C1C" w:rsidRPr="00511320" w14:paraId="02BBE6B5" w14:textId="77777777" w:rsidTr="00107EF2">
        <w:trPr>
          <w:trHeight w:val="20"/>
        </w:trPr>
        <w:tc>
          <w:tcPr>
            <w:tcW w:w="1366" w:type="pct"/>
            <w:tcBorders>
              <w:bottom w:val="single" w:sz="4" w:space="0" w:color="auto"/>
            </w:tcBorders>
            <w:shd w:val="clear" w:color="auto" w:fill="auto"/>
            <w:vAlign w:val="center"/>
          </w:tcPr>
          <w:p w14:paraId="4D08E906" w14:textId="4C411C17" w:rsidR="00172C1C" w:rsidRPr="00330DAA" w:rsidRDefault="00172C1C" w:rsidP="00251030">
            <w:pPr>
              <w:pStyle w:val="In-tableHeading"/>
            </w:pPr>
            <w:r w:rsidRPr="00330DAA">
              <w:t>Event</w:t>
            </w:r>
            <w:r>
              <w:t xml:space="preserve"> </w:t>
            </w:r>
          </w:p>
        </w:tc>
        <w:tc>
          <w:tcPr>
            <w:tcW w:w="802" w:type="pct"/>
            <w:tcBorders>
              <w:bottom w:val="single" w:sz="4" w:space="0" w:color="auto"/>
            </w:tcBorders>
            <w:shd w:val="clear" w:color="auto" w:fill="auto"/>
            <w:vAlign w:val="center"/>
          </w:tcPr>
          <w:p w14:paraId="335DF542" w14:textId="161F286E" w:rsidR="00172C1C" w:rsidRDefault="00172C1C" w:rsidP="00251030">
            <w:pPr>
              <w:pStyle w:val="In-tableHeading"/>
              <w:jc w:val="center"/>
            </w:pPr>
            <w:r>
              <w:t>Nivolumab</w:t>
            </w:r>
          </w:p>
          <w:p w14:paraId="69E05B0D" w14:textId="4CEBC59F" w:rsidR="00251030" w:rsidRPr="00330DAA" w:rsidRDefault="00251030" w:rsidP="00251030">
            <w:pPr>
              <w:pStyle w:val="In-tableHeading"/>
              <w:jc w:val="center"/>
            </w:pPr>
            <w:r>
              <w:t>(N=532)</w:t>
            </w:r>
          </w:p>
        </w:tc>
        <w:tc>
          <w:tcPr>
            <w:tcW w:w="840" w:type="pct"/>
            <w:tcBorders>
              <w:bottom w:val="single" w:sz="4" w:space="0" w:color="auto"/>
            </w:tcBorders>
            <w:shd w:val="clear" w:color="auto" w:fill="auto"/>
            <w:vAlign w:val="center"/>
          </w:tcPr>
          <w:p w14:paraId="5B45D983" w14:textId="77777777" w:rsidR="00172C1C" w:rsidRDefault="00172C1C" w:rsidP="00251030">
            <w:pPr>
              <w:pStyle w:val="In-tableHeading"/>
              <w:jc w:val="center"/>
            </w:pPr>
            <w:r>
              <w:t>Placebo</w:t>
            </w:r>
          </w:p>
          <w:p w14:paraId="5F11F3B0" w14:textId="0904BEFA" w:rsidR="00251030" w:rsidRPr="00330DAA" w:rsidRDefault="00251030" w:rsidP="00251030">
            <w:pPr>
              <w:pStyle w:val="In-tableHeading"/>
              <w:jc w:val="center"/>
            </w:pPr>
            <w:r>
              <w:t>(N=262)</w:t>
            </w:r>
          </w:p>
        </w:tc>
        <w:tc>
          <w:tcPr>
            <w:tcW w:w="1234" w:type="pct"/>
            <w:tcBorders>
              <w:bottom w:val="single" w:sz="4" w:space="0" w:color="auto"/>
            </w:tcBorders>
            <w:shd w:val="clear" w:color="auto" w:fill="auto"/>
            <w:vAlign w:val="center"/>
          </w:tcPr>
          <w:p w14:paraId="4EBE8B57" w14:textId="77777777" w:rsidR="00172C1C" w:rsidRPr="00330DAA" w:rsidRDefault="00172C1C" w:rsidP="00251030">
            <w:pPr>
              <w:pStyle w:val="In-tableHeading"/>
              <w:jc w:val="center"/>
              <w:rPr>
                <w:rFonts w:asciiTheme="minorHAnsi" w:hAnsiTheme="minorHAnsi"/>
              </w:rPr>
            </w:pPr>
            <w:r w:rsidRPr="00330DAA">
              <w:t>Absolute Difference</w:t>
            </w:r>
          </w:p>
        </w:tc>
        <w:tc>
          <w:tcPr>
            <w:tcW w:w="758" w:type="pct"/>
            <w:tcBorders>
              <w:bottom w:val="single" w:sz="4" w:space="0" w:color="auto"/>
            </w:tcBorders>
            <w:shd w:val="clear" w:color="auto" w:fill="auto"/>
            <w:vAlign w:val="center"/>
          </w:tcPr>
          <w:p w14:paraId="7EF471BA" w14:textId="0302EE9B" w:rsidR="00172C1C" w:rsidRPr="00511320" w:rsidRDefault="00172C1C" w:rsidP="00251030">
            <w:pPr>
              <w:pStyle w:val="In-tableHeading"/>
              <w:jc w:val="center"/>
            </w:pPr>
            <w:r w:rsidRPr="00511320">
              <w:t>HR (95% CI)</w:t>
            </w:r>
            <w:r w:rsidR="00770107">
              <w:t xml:space="preserve"> [p-value]</w:t>
            </w:r>
          </w:p>
        </w:tc>
      </w:tr>
      <w:tr w:rsidR="00172C1C" w:rsidRPr="00E7767C" w14:paraId="02783F6A" w14:textId="77777777" w:rsidTr="00107EF2">
        <w:trPr>
          <w:trHeight w:val="20"/>
        </w:trPr>
        <w:tc>
          <w:tcPr>
            <w:tcW w:w="1366" w:type="pct"/>
            <w:tcBorders>
              <w:bottom w:val="single" w:sz="4" w:space="0" w:color="auto"/>
              <w:right w:val="single" w:sz="4" w:space="0" w:color="auto"/>
            </w:tcBorders>
            <w:shd w:val="clear" w:color="auto" w:fill="auto"/>
            <w:vAlign w:val="center"/>
          </w:tcPr>
          <w:p w14:paraId="7D8E6439" w14:textId="77777777" w:rsidR="00172C1C" w:rsidRPr="00E7767C" w:rsidRDefault="00172C1C" w:rsidP="00251030">
            <w:pPr>
              <w:pStyle w:val="TableText0"/>
              <w:keepLines/>
              <w:widowControl w:val="0"/>
            </w:pPr>
            <w:r w:rsidRPr="00E7767C">
              <w:t>Events, n (%)</w:t>
            </w:r>
          </w:p>
        </w:tc>
        <w:tc>
          <w:tcPr>
            <w:tcW w:w="802" w:type="pct"/>
            <w:tcBorders>
              <w:left w:val="single" w:sz="4" w:space="0" w:color="auto"/>
              <w:bottom w:val="single" w:sz="4" w:space="0" w:color="auto"/>
              <w:right w:val="single" w:sz="4" w:space="0" w:color="auto"/>
            </w:tcBorders>
            <w:shd w:val="clear" w:color="auto" w:fill="auto"/>
            <w:vAlign w:val="center"/>
          </w:tcPr>
          <w:p w14:paraId="5AA7E0EF" w14:textId="77777777" w:rsidR="00172C1C" w:rsidRPr="00E7767C" w:rsidRDefault="00172C1C" w:rsidP="001628F0">
            <w:pPr>
              <w:pStyle w:val="TableText0"/>
              <w:keepLines/>
              <w:widowControl w:val="0"/>
              <w:jc w:val="center"/>
            </w:pPr>
            <w:r w:rsidRPr="00E7767C">
              <w:t>241 (45.3)</w:t>
            </w:r>
          </w:p>
        </w:tc>
        <w:tc>
          <w:tcPr>
            <w:tcW w:w="840" w:type="pct"/>
            <w:tcBorders>
              <w:left w:val="single" w:sz="4" w:space="0" w:color="auto"/>
              <w:bottom w:val="single" w:sz="4" w:space="0" w:color="auto"/>
              <w:right w:val="single" w:sz="4" w:space="0" w:color="auto"/>
            </w:tcBorders>
            <w:shd w:val="clear" w:color="auto" w:fill="auto"/>
            <w:vAlign w:val="center"/>
          </w:tcPr>
          <w:p w14:paraId="756D15E6" w14:textId="77777777" w:rsidR="00172C1C" w:rsidRPr="00E7767C" w:rsidRDefault="00172C1C" w:rsidP="001628F0">
            <w:pPr>
              <w:pStyle w:val="TableText0"/>
              <w:keepLines/>
              <w:widowControl w:val="0"/>
              <w:jc w:val="center"/>
            </w:pPr>
            <w:r w:rsidRPr="00E7767C">
              <w:t>155 (59.2)</w:t>
            </w:r>
          </w:p>
        </w:tc>
        <w:tc>
          <w:tcPr>
            <w:tcW w:w="1234" w:type="pct"/>
            <w:tcBorders>
              <w:left w:val="single" w:sz="4" w:space="0" w:color="auto"/>
              <w:bottom w:val="single" w:sz="4" w:space="0" w:color="auto"/>
              <w:right w:val="single" w:sz="4" w:space="0" w:color="auto"/>
            </w:tcBorders>
            <w:shd w:val="clear" w:color="auto" w:fill="auto"/>
            <w:vAlign w:val="center"/>
          </w:tcPr>
          <w:p w14:paraId="74EE1A07" w14:textId="720FF5A5" w:rsidR="00172C1C" w:rsidRPr="00E7767C" w:rsidRDefault="006B5E07" w:rsidP="001628F0">
            <w:pPr>
              <w:pStyle w:val="TableText0"/>
              <w:keepLines/>
              <w:widowControl w:val="0"/>
              <w:jc w:val="center"/>
              <w:rPr>
                <w:iCs/>
              </w:rPr>
            </w:pPr>
            <w:r w:rsidRPr="00E7767C">
              <w:rPr>
                <w:iCs/>
              </w:rPr>
              <w:t xml:space="preserve"> -</w:t>
            </w:r>
          </w:p>
        </w:tc>
        <w:tc>
          <w:tcPr>
            <w:tcW w:w="758" w:type="pct"/>
            <w:tcBorders>
              <w:left w:val="single" w:sz="4" w:space="0" w:color="auto"/>
              <w:bottom w:val="nil"/>
            </w:tcBorders>
            <w:shd w:val="clear" w:color="auto" w:fill="auto"/>
            <w:vAlign w:val="center"/>
          </w:tcPr>
          <w:p w14:paraId="6D6979F3" w14:textId="77777777" w:rsidR="00172C1C" w:rsidRPr="00E7767C" w:rsidRDefault="00172C1C" w:rsidP="001628F0">
            <w:pPr>
              <w:pStyle w:val="TableText0"/>
              <w:keepLines/>
              <w:widowControl w:val="0"/>
              <w:jc w:val="center"/>
              <w:rPr>
                <w:b/>
                <w:bCs w:val="0"/>
              </w:rPr>
            </w:pPr>
            <w:r w:rsidRPr="00E7767C">
              <w:rPr>
                <w:b/>
                <w:bCs w:val="0"/>
              </w:rPr>
              <w:t>0.69 (0.56, 0.85) [p=0.0003]</w:t>
            </w:r>
          </w:p>
        </w:tc>
      </w:tr>
      <w:tr w:rsidR="00172C1C" w:rsidRPr="00C67006" w14:paraId="33E4757A" w14:textId="77777777" w:rsidTr="00771568">
        <w:trPr>
          <w:trHeight w:val="20"/>
        </w:trPr>
        <w:tc>
          <w:tcPr>
            <w:tcW w:w="1366" w:type="pct"/>
            <w:tcBorders>
              <w:bottom w:val="single" w:sz="4" w:space="0" w:color="auto"/>
              <w:right w:val="single" w:sz="4" w:space="0" w:color="auto"/>
            </w:tcBorders>
            <w:shd w:val="clear" w:color="auto" w:fill="auto"/>
            <w:vAlign w:val="center"/>
          </w:tcPr>
          <w:p w14:paraId="5A257AC8" w14:textId="77777777" w:rsidR="00172C1C" w:rsidRPr="004C54EE" w:rsidRDefault="00172C1C" w:rsidP="00251030">
            <w:pPr>
              <w:pStyle w:val="TableText0"/>
            </w:pPr>
            <w:r w:rsidRPr="004C54EE">
              <w:t>Median DFS, months</w:t>
            </w:r>
          </w:p>
          <w:p w14:paraId="6AE42A1D" w14:textId="77777777" w:rsidR="00172C1C" w:rsidRPr="00330DAA" w:rsidRDefault="00172C1C" w:rsidP="00251030">
            <w:pPr>
              <w:pStyle w:val="TableText0"/>
              <w:keepLines/>
              <w:widowControl w:val="0"/>
            </w:pPr>
            <w:r w:rsidRPr="004C54EE">
              <w:t>(95% CI)</w:t>
            </w:r>
          </w:p>
        </w:tc>
        <w:tc>
          <w:tcPr>
            <w:tcW w:w="802" w:type="pct"/>
            <w:tcBorders>
              <w:left w:val="single" w:sz="4" w:space="0" w:color="auto"/>
              <w:bottom w:val="single" w:sz="4" w:space="0" w:color="auto"/>
              <w:right w:val="single" w:sz="4" w:space="0" w:color="auto"/>
            </w:tcBorders>
            <w:shd w:val="clear" w:color="auto" w:fill="auto"/>
            <w:vAlign w:val="center"/>
          </w:tcPr>
          <w:p w14:paraId="4E309B1D" w14:textId="44439DE3" w:rsidR="00172C1C" w:rsidRPr="004C54EE" w:rsidRDefault="00172C1C" w:rsidP="001628F0">
            <w:pPr>
              <w:pStyle w:val="TableText0"/>
              <w:jc w:val="center"/>
            </w:pPr>
            <w:r w:rsidRPr="004C54EE">
              <w:t>22.41</w:t>
            </w:r>
          </w:p>
          <w:p w14:paraId="39BB75B0" w14:textId="77777777" w:rsidR="00172C1C" w:rsidRPr="00330DAA" w:rsidRDefault="00172C1C" w:rsidP="001628F0">
            <w:pPr>
              <w:pStyle w:val="TableText0"/>
              <w:keepLines/>
              <w:widowControl w:val="0"/>
              <w:jc w:val="center"/>
              <w:rPr>
                <w:rFonts w:cs="Times New Roman"/>
                <w:szCs w:val="20"/>
              </w:rPr>
            </w:pPr>
            <w:r w:rsidRPr="004C54EE">
              <w:t>(16.62, 34.00)</w:t>
            </w:r>
          </w:p>
        </w:tc>
        <w:tc>
          <w:tcPr>
            <w:tcW w:w="840" w:type="pct"/>
            <w:tcBorders>
              <w:left w:val="single" w:sz="4" w:space="0" w:color="auto"/>
              <w:bottom w:val="single" w:sz="4" w:space="0" w:color="auto"/>
              <w:right w:val="single" w:sz="4" w:space="0" w:color="auto"/>
            </w:tcBorders>
            <w:shd w:val="clear" w:color="auto" w:fill="auto"/>
            <w:vAlign w:val="center"/>
          </w:tcPr>
          <w:p w14:paraId="679EA5B8" w14:textId="710CEA73" w:rsidR="00172C1C" w:rsidRPr="004C54EE" w:rsidRDefault="00172C1C" w:rsidP="001628F0">
            <w:pPr>
              <w:pStyle w:val="TableText0"/>
              <w:jc w:val="center"/>
            </w:pPr>
            <w:r w:rsidRPr="004C54EE">
              <w:t>11.04</w:t>
            </w:r>
          </w:p>
          <w:p w14:paraId="4C487A4E" w14:textId="77777777" w:rsidR="00172C1C" w:rsidRPr="00330DAA" w:rsidRDefault="00172C1C" w:rsidP="001628F0">
            <w:pPr>
              <w:pStyle w:val="TableText0"/>
              <w:keepLines/>
              <w:widowControl w:val="0"/>
              <w:jc w:val="center"/>
              <w:rPr>
                <w:rFonts w:cs="Times New Roman"/>
                <w:szCs w:val="20"/>
              </w:rPr>
            </w:pPr>
            <w:r w:rsidRPr="004C54EE">
              <w:t>(8.34, 14.32)</w:t>
            </w:r>
          </w:p>
        </w:tc>
        <w:tc>
          <w:tcPr>
            <w:tcW w:w="1234" w:type="pct"/>
            <w:tcBorders>
              <w:left w:val="single" w:sz="4" w:space="0" w:color="auto"/>
              <w:bottom w:val="single" w:sz="4" w:space="0" w:color="auto"/>
              <w:right w:val="single" w:sz="4" w:space="0" w:color="auto"/>
            </w:tcBorders>
            <w:shd w:val="clear" w:color="auto" w:fill="auto"/>
            <w:vAlign w:val="center"/>
          </w:tcPr>
          <w:p w14:paraId="1388E2D9" w14:textId="77777777" w:rsidR="00172C1C" w:rsidRPr="00330DAA" w:rsidRDefault="00172C1C" w:rsidP="001628F0">
            <w:pPr>
              <w:pStyle w:val="TableText0"/>
              <w:keepLines/>
              <w:widowControl w:val="0"/>
              <w:jc w:val="center"/>
            </w:pPr>
            <w:r>
              <w:t>11.37</w:t>
            </w:r>
          </w:p>
        </w:tc>
        <w:tc>
          <w:tcPr>
            <w:tcW w:w="758" w:type="pct"/>
            <w:tcBorders>
              <w:top w:val="nil"/>
              <w:left w:val="single" w:sz="4" w:space="0" w:color="auto"/>
              <w:bottom w:val="single" w:sz="4" w:space="0" w:color="auto"/>
            </w:tcBorders>
            <w:shd w:val="clear" w:color="auto" w:fill="auto"/>
            <w:vAlign w:val="center"/>
          </w:tcPr>
          <w:p w14:paraId="05735083" w14:textId="77777777" w:rsidR="00172C1C" w:rsidRPr="00C67006" w:rsidRDefault="00172C1C" w:rsidP="001628F0">
            <w:pPr>
              <w:pStyle w:val="TableText0"/>
              <w:keepLines/>
              <w:widowControl w:val="0"/>
              <w:jc w:val="center"/>
              <w:rPr>
                <w:szCs w:val="20"/>
              </w:rPr>
            </w:pPr>
          </w:p>
        </w:tc>
      </w:tr>
      <w:tr w:rsidR="00172C1C" w:rsidRPr="00C67006" w14:paraId="27D418BC" w14:textId="77777777" w:rsidTr="00771568">
        <w:trPr>
          <w:trHeight w:val="20"/>
        </w:trPr>
        <w:tc>
          <w:tcPr>
            <w:tcW w:w="1366" w:type="pct"/>
            <w:tcBorders>
              <w:bottom w:val="single" w:sz="4" w:space="0" w:color="auto"/>
              <w:right w:val="nil"/>
            </w:tcBorders>
            <w:shd w:val="clear" w:color="auto" w:fill="auto"/>
          </w:tcPr>
          <w:p w14:paraId="5E7B9286" w14:textId="77777777" w:rsidR="00172C1C" w:rsidRPr="00014F51" w:rsidRDefault="00172C1C" w:rsidP="00A0461D">
            <w:pPr>
              <w:pStyle w:val="TableText0"/>
              <w:keepLines/>
              <w:widowControl w:val="0"/>
              <w:rPr>
                <w:b/>
                <w:bCs w:val="0"/>
              </w:rPr>
            </w:pPr>
            <w:r>
              <w:rPr>
                <w:b/>
                <w:bCs w:val="0"/>
              </w:rPr>
              <w:t>February 2021 update*</w:t>
            </w:r>
          </w:p>
        </w:tc>
        <w:tc>
          <w:tcPr>
            <w:tcW w:w="802" w:type="pct"/>
            <w:tcBorders>
              <w:left w:val="nil"/>
              <w:bottom w:val="single" w:sz="4" w:space="0" w:color="auto"/>
              <w:right w:val="nil"/>
            </w:tcBorders>
            <w:shd w:val="clear" w:color="auto" w:fill="auto"/>
          </w:tcPr>
          <w:p w14:paraId="45B10A47" w14:textId="77777777" w:rsidR="00172C1C" w:rsidRPr="004C54EE" w:rsidRDefault="00172C1C" w:rsidP="00A0461D">
            <w:pPr>
              <w:pStyle w:val="TableText0"/>
              <w:jc w:val="center"/>
            </w:pPr>
          </w:p>
        </w:tc>
        <w:tc>
          <w:tcPr>
            <w:tcW w:w="840" w:type="pct"/>
            <w:tcBorders>
              <w:left w:val="nil"/>
              <w:bottom w:val="single" w:sz="4" w:space="0" w:color="auto"/>
              <w:right w:val="nil"/>
            </w:tcBorders>
            <w:shd w:val="clear" w:color="auto" w:fill="auto"/>
          </w:tcPr>
          <w:p w14:paraId="33E41957" w14:textId="77777777" w:rsidR="00172C1C" w:rsidRPr="004C54EE" w:rsidRDefault="00172C1C" w:rsidP="00A0461D">
            <w:pPr>
              <w:pStyle w:val="TableText0"/>
              <w:jc w:val="center"/>
            </w:pPr>
          </w:p>
        </w:tc>
        <w:tc>
          <w:tcPr>
            <w:tcW w:w="1234" w:type="pct"/>
            <w:tcBorders>
              <w:left w:val="nil"/>
              <w:bottom w:val="single" w:sz="4" w:space="0" w:color="auto"/>
              <w:right w:val="nil"/>
            </w:tcBorders>
            <w:shd w:val="clear" w:color="auto" w:fill="auto"/>
          </w:tcPr>
          <w:p w14:paraId="50ACE663" w14:textId="77777777" w:rsidR="00172C1C" w:rsidRDefault="00172C1C" w:rsidP="00A0461D">
            <w:pPr>
              <w:pStyle w:val="TableText0"/>
              <w:keepLines/>
              <w:widowControl w:val="0"/>
              <w:jc w:val="center"/>
            </w:pPr>
          </w:p>
        </w:tc>
        <w:tc>
          <w:tcPr>
            <w:tcW w:w="758" w:type="pct"/>
            <w:tcBorders>
              <w:top w:val="single" w:sz="4" w:space="0" w:color="auto"/>
              <w:left w:val="nil"/>
              <w:bottom w:val="nil"/>
            </w:tcBorders>
            <w:shd w:val="clear" w:color="auto" w:fill="auto"/>
          </w:tcPr>
          <w:p w14:paraId="140F3E42" w14:textId="77777777" w:rsidR="00172C1C" w:rsidRPr="00C67006" w:rsidRDefault="00172C1C" w:rsidP="00A0461D">
            <w:pPr>
              <w:pStyle w:val="TableText0"/>
              <w:keepLines/>
              <w:widowControl w:val="0"/>
              <w:jc w:val="center"/>
              <w:rPr>
                <w:szCs w:val="20"/>
              </w:rPr>
            </w:pPr>
          </w:p>
        </w:tc>
      </w:tr>
      <w:tr w:rsidR="00172C1C" w:rsidRPr="006E0EC9" w14:paraId="2A09F24B"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0EC5A4F7" w14:textId="77777777" w:rsidR="00172C1C" w:rsidRPr="006E0EC9" w:rsidRDefault="00172C1C" w:rsidP="00A0461D">
            <w:pPr>
              <w:pStyle w:val="TableText0"/>
              <w:keepLines/>
              <w:widowControl w:val="0"/>
              <w:rPr>
                <w:b/>
                <w:bCs w:val="0"/>
              </w:rPr>
            </w:pPr>
            <w:r w:rsidRPr="006E0EC9">
              <w:rPr>
                <w:b/>
                <w:bCs w:val="0"/>
              </w:rPr>
              <w:t xml:space="preserve">% </w:t>
            </w:r>
            <w:r>
              <w:rPr>
                <w:b/>
                <w:bCs w:val="0"/>
              </w:rPr>
              <w:t>Disease free</w:t>
            </w:r>
            <w:r w:rsidRPr="006E0EC9">
              <w:rPr>
                <w:b/>
                <w:bCs w:val="0"/>
              </w:rPr>
              <w:t xml:space="preserve"> at</w:t>
            </w:r>
            <w:r>
              <w:rPr>
                <w:b/>
                <w:bCs w:val="0"/>
              </w:rPr>
              <w:t>:</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F5641D7" w14:textId="77777777" w:rsidR="00172C1C" w:rsidRPr="006E0EC9" w:rsidRDefault="00172C1C" w:rsidP="00A0461D">
            <w:pPr>
              <w:pStyle w:val="TableText0"/>
              <w:keepLines/>
              <w:widowControl w:val="0"/>
              <w:jc w:val="center"/>
              <w:rPr>
                <w:b/>
                <w:bCs w:val="0"/>
              </w:rPr>
            </w:pPr>
            <w:r w:rsidRPr="006E0EC9">
              <w:rPr>
                <w:b/>
                <w:bCs w:val="0"/>
                <w:szCs w:val="20"/>
              </w:rPr>
              <w:t>% (95% CI)</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B28B218" w14:textId="77777777" w:rsidR="00172C1C" w:rsidRPr="006E0EC9" w:rsidRDefault="00172C1C" w:rsidP="00A0461D">
            <w:pPr>
              <w:pStyle w:val="TableText0"/>
              <w:keepLines/>
              <w:widowControl w:val="0"/>
              <w:jc w:val="center"/>
              <w:rPr>
                <w:b/>
                <w:bCs w:val="0"/>
                <w:szCs w:val="20"/>
              </w:rPr>
            </w:pPr>
            <w:r w:rsidRPr="006E0EC9">
              <w:rPr>
                <w:b/>
                <w:bCs w:val="0"/>
                <w:szCs w:val="20"/>
              </w:rPr>
              <w:t>% (95% CI)</w:t>
            </w:r>
          </w:p>
        </w:tc>
        <w:tc>
          <w:tcPr>
            <w:tcW w:w="1992" w:type="pct"/>
            <w:gridSpan w:val="2"/>
            <w:tcBorders>
              <w:top w:val="single" w:sz="4" w:space="0" w:color="auto"/>
              <w:left w:val="single" w:sz="4" w:space="0" w:color="auto"/>
              <w:bottom w:val="single" w:sz="4" w:space="0" w:color="auto"/>
            </w:tcBorders>
            <w:shd w:val="clear" w:color="auto" w:fill="auto"/>
          </w:tcPr>
          <w:p w14:paraId="23450628" w14:textId="77777777" w:rsidR="00172C1C" w:rsidRPr="006E0EC9" w:rsidRDefault="00172C1C" w:rsidP="00A0461D">
            <w:pPr>
              <w:pStyle w:val="TableText0"/>
              <w:keepLines/>
              <w:widowControl w:val="0"/>
              <w:jc w:val="center"/>
              <w:rPr>
                <w:b/>
                <w:bCs w:val="0"/>
              </w:rPr>
            </w:pPr>
            <w:r>
              <w:rPr>
                <w:b/>
                <w:bCs w:val="0"/>
              </w:rPr>
              <w:t>Absolute difference (</w:t>
            </w:r>
            <w:r w:rsidRPr="006E0EC9">
              <w:rPr>
                <w:b/>
                <w:bCs w:val="0"/>
              </w:rPr>
              <w:t>%</w:t>
            </w:r>
            <w:r>
              <w:rPr>
                <w:b/>
                <w:bCs w:val="0"/>
              </w:rPr>
              <w:t>)</w:t>
            </w:r>
          </w:p>
        </w:tc>
      </w:tr>
      <w:tr w:rsidR="00172C1C" w:rsidRPr="00511320" w14:paraId="4DD59407"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5AA0DED7" w14:textId="77777777" w:rsidR="00172C1C" w:rsidRPr="00330DAA" w:rsidRDefault="00172C1C" w:rsidP="00A0461D">
            <w:pPr>
              <w:pStyle w:val="TableText0"/>
              <w:keepLines/>
              <w:widowControl w:val="0"/>
            </w:pPr>
            <w:r>
              <w:tab/>
            </w:r>
            <w:r w:rsidRPr="004C54EE">
              <w:t>3-month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891D5C4" w14:textId="77777777" w:rsidR="00172C1C" w:rsidRPr="00330DAA" w:rsidRDefault="00172C1C" w:rsidP="00A0461D">
            <w:pPr>
              <w:pStyle w:val="TableText0"/>
              <w:keepLines/>
              <w:widowControl w:val="0"/>
              <w:jc w:val="center"/>
              <w:rPr>
                <w:szCs w:val="20"/>
              </w:rPr>
            </w:pPr>
            <w:r w:rsidRPr="004C54EE">
              <w:t>84.3 (80.9, 87.2)</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DC29D1D" w14:textId="77777777" w:rsidR="00172C1C" w:rsidRPr="00330DAA" w:rsidRDefault="00172C1C" w:rsidP="00A0461D">
            <w:pPr>
              <w:pStyle w:val="TableText0"/>
              <w:keepLines/>
              <w:widowControl w:val="0"/>
              <w:jc w:val="center"/>
              <w:rPr>
                <w:szCs w:val="20"/>
              </w:rPr>
            </w:pPr>
            <w:r w:rsidRPr="004C54EE">
              <w:t>82.1 (76.9, 86.3)</w:t>
            </w:r>
          </w:p>
        </w:tc>
        <w:tc>
          <w:tcPr>
            <w:tcW w:w="1992" w:type="pct"/>
            <w:gridSpan w:val="2"/>
            <w:tcBorders>
              <w:top w:val="single" w:sz="4" w:space="0" w:color="auto"/>
              <w:left w:val="single" w:sz="4" w:space="0" w:color="auto"/>
              <w:bottom w:val="single" w:sz="4" w:space="0" w:color="auto"/>
            </w:tcBorders>
            <w:shd w:val="clear" w:color="auto" w:fill="auto"/>
            <w:vAlign w:val="bottom"/>
          </w:tcPr>
          <w:p w14:paraId="6E12445D" w14:textId="77777777" w:rsidR="00172C1C" w:rsidRPr="00511320" w:rsidRDefault="00172C1C" w:rsidP="00A0461D">
            <w:pPr>
              <w:pStyle w:val="TableText0"/>
              <w:keepLines/>
              <w:widowControl w:val="0"/>
              <w:jc w:val="center"/>
            </w:pPr>
            <w:r w:rsidRPr="00E7767C">
              <w:rPr>
                <w:iCs/>
              </w:rPr>
              <w:t>2.2</w:t>
            </w:r>
          </w:p>
        </w:tc>
      </w:tr>
      <w:tr w:rsidR="00172C1C" w:rsidRPr="00511320" w14:paraId="53B495E4"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159CAE48" w14:textId="77777777" w:rsidR="00172C1C" w:rsidRPr="00330DAA" w:rsidRDefault="00172C1C" w:rsidP="00A0461D">
            <w:pPr>
              <w:pStyle w:val="TableText0"/>
              <w:keepLines/>
              <w:widowControl w:val="0"/>
            </w:pPr>
            <w:r>
              <w:tab/>
            </w:r>
            <w:r w:rsidRPr="004C54EE">
              <w:t>6-month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6D6BC8D" w14:textId="77777777" w:rsidR="00172C1C" w:rsidRPr="00330DAA" w:rsidRDefault="00172C1C" w:rsidP="00A0461D">
            <w:pPr>
              <w:pStyle w:val="TableText0"/>
              <w:keepLines/>
              <w:widowControl w:val="0"/>
              <w:jc w:val="center"/>
              <w:rPr>
                <w:szCs w:val="20"/>
              </w:rPr>
            </w:pPr>
            <w:r w:rsidRPr="004C54EE">
              <w:t>72.6 (68.5, 76.3)</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70C3022" w14:textId="77777777" w:rsidR="00172C1C" w:rsidRPr="00330DAA" w:rsidRDefault="00172C1C" w:rsidP="00A0461D">
            <w:pPr>
              <w:pStyle w:val="TableText0"/>
              <w:keepLines/>
              <w:widowControl w:val="0"/>
              <w:jc w:val="center"/>
              <w:rPr>
                <w:szCs w:val="20"/>
              </w:rPr>
            </w:pPr>
            <w:r w:rsidRPr="004C54EE">
              <w:t>61.5 (55.3, 67.1)</w:t>
            </w:r>
          </w:p>
        </w:tc>
        <w:tc>
          <w:tcPr>
            <w:tcW w:w="1992" w:type="pct"/>
            <w:gridSpan w:val="2"/>
            <w:tcBorders>
              <w:top w:val="single" w:sz="4" w:space="0" w:color="auto"/>
              <w:left w:val="single" w:sz="4" w:space="0" w:color="auto"/>
              <w:bottom w:val="single" w:sz="4" w:space="0" w:color="auto"/>
            </w:tcBorders>
            <w:shd w:val="clear" w:color="auto" w:fill="auto"/>
            <w:vAlign w:val="bottom"/>
          </w:tcPr>
          <w:p w14:paraId="599F6A0F" w14:textId="77777777" w:rsidR="00172C1C" w:rsidRPr="00511320" w:rsidRDefault="00172C1C" w:rsidP="00A0461D">
            <w:pPr>
              <w:pStyle w:val="TableText0"/>
              <w:keepLines/>
              <w:widowControl w:val="0"/>
              <w:jc w:val="center"/>
            </w:pPr>
            <w:r w:rsidRPr="00E7767C">
              <w:rPr>
                <w:iCs/>
              </w:rPr>
              <w:t>11.1</w:t>
            </w:r>
          </w:p>
        </w:tc>
      </w:tr>
      <w:tr w:rsidR="00172C1C" w:rsidRPr="00511320" w14:paraId="77233F3F"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51E740DE" w14:textId="77777777" w:rsidR="00172C1C" w:rsidRPr="00330DAA" w:rsidRDefault="00172C1C" w:rsidP="00A0461D">
            <w:pPr>
              <w:pStyle w:val="TableText0"/>
              <w:keepLines/>
              <w:widowControl w:val="0"/>
            </w:pPr>
            <w:r>
              <w:tab/>
            </w:r>
            <w:r w:rsidRPr="004C54EE">
              <w:t>9-month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FB053D9" w14:textId="77777777" w:rsidR="00172C1C" w:rsidRPr="00330DAA" w:rsidRDefault="00172C1C" w:rsidP="00A0461D">
            <w:pPr>
              <w:pStyle w:val="TableText0"/>
              <w:keepLines/>
              <w:widowControl w:val="0"/>
              <w:jc w:val="center"/>
              <w:rPr>
                <w:szCs w:val="20"/>
              </w:rPr>
            </w:pPr>
            <w:r w:rsidRPr="004C54EE">
              <w:t>67.3 (63.1, 71.2)</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A8D8573" w14:textId="77777777" w:rsidR="00172C1C" w:rsidRPr="00330DAA" w:rsidRDefault="00172C1C" w:rsidP="00A0461D">
            <w:pPr>
              <w:pStyle w:val="TableText0"/>
              <w:keepLines/>
              <w:widowControl w:val="0"/>
              <w:jc w:val="center"/>
              <w:rPr>
                <w:szCs w:val="20"/>
              </w:rPr>
            </w:pPr>
            <w:r w:rsidRPr="004C54EE">
              <w:t>52.5 (46.2, 58.4)</w:t>
            </w:r>
          </w:p>
        </w:tc>
        <w:tc>
          <w:tcPr>
            <w:tcW w:w="1992" w:type="pct"/>
            <w:gridSpan w:val="2"/>
            <w:tcBorders>
              <w:top w:val="single" w:sz="4" w:space="0" w:color="auto"/>
              <w:left w:val="single" w:sz="4" w:space="0" w:color="auto"/>
              <w:bottom w:val="single" w:sz="4" w:space="0" w:color="auto"/>
            </w:tcBorders>
            <w:shd w:val="clear" w:color="auto" w:fill="auto"/>
            <w:vAlign w:val="bottom"/>
          </w:tcPr>
          <w:p w14:paraId="4245498B" w14:textId="77777777" w:rsidR="00172C1C" w:rsidRPr="00511320" w:rsidRDefault="00172C1C" w:rsidP="00A0461D">
            <w:pPr>
              <w:pStyle w:val="TableText0"/>
              <w:keepLines/>
              <w:widowControl w:val="0"/>
              <w:jc w:val="center"/>
            </w:pPr>
            <w:r w:rsidRPr="00E7767C">
              <w:rPr>
                <w:iCs/>
              </w:rPr>
              <w:t>14.8</w:t>
            </w:r>
          </w:p>
        </w:tc>
      </w:tr>
      <w:tr w:rsidR="00172C1C" w:rsidRPr="00511320" w14:paraId="37E981F3"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1E3E475B" w14:textId="77777777" w:rsidR="00172C1C" w:rsidRPr="00330DAA" w:rsidRDefault="00172C1C" w:rsidP="00A0461D">
            <w:pPr>
              <w:pStyle w:val="TableText0"/>
              <w:keepLines/>
              <w:widowControl w:val="0"/>
            </w:pPr>
            <w:r>
              <w:tab/>
            </w:r>
            <w:r w:rsidRPr="004C54EE">
              <w:t>12-month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6441E16" w14:textId="77777777" w:rsidR="00172C1C" w:rsidRPr="00330DAA" w:rsidRDefault="00172C1C" w:rsidP="00A0461D">
            <w:pPr>
              <w:pStyle w:val="TableText0"/>
              <w:keepLines/>
              <w:widowControl w:val="0"/>
              <w:jc w:val="center"/>
              <w:rPr>
                <w:szCs w:val="20"/>
              </w:rPr>
            </w:pPr>
            <w:r w:rsidRPr="004C54EE">
              <w:t>61.8 (57.4, 65.8)</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E431C65" w14:textId="77777777" w:rsidR="00172C1C" w:rsidRPr="00330DAA" w:rsidRDefault="00172C1C" w:rsidP="00A0461D">
            <w:pPr>
              <w:pStyle w:val="TableText0"/>
              <w:keepLines/>
              <w:widowControl w:val="0"/>
              <w:jc w:val="center"/>
              <w:rPr>
                <w:szCs w:val="20"/>
              </w:rPr>
            </w:pPr>
            <w:r w:rsidRPr="004C54EE">
              <w:t>45.5 (39.3, 51.4)</w:t>
            </w:r>
          </w:p>
        </w:tc>
        <w:tc>
          <w:tcPr>
            <w:tcW w:w="1992" w:type="pct"/>
            <w:gridSpan w:val="2"/>
            <w:tcBorders>
              <w:top w:val="single" w:sz="4" w:space="0" w:color="auto"/>
              <w:left w:val="single" w:sz="4" w:space="0" w:color="auto"/>
              <w:bottom w:val="single" w:sz="4" w:space="0" w:color="auto"/>
            </w:tcBorders>
            <w:shd w:val="clear" w:color="auto" w:fill="auto"/>
            <w:vAlign w:val="bottom"/>
          </w:tcPr>
          <w:p w14:paraId="3FA4FF78" w14:textId="77777777" w:rsidR="00172C1C" w:rsidRPr="00511320" w:rsidRDefault="00172C1C" w:rsidP="00A0461D">
            <w:pPr>
              <w:pStyle w:val="TableText0"/>
              <w:keepLines/>
              <w:widowControl w:val="0"/>
              <w:jc w:val="center"/>
            </w:pPr>
            <w:r w:rsidRPr="00E7767C">
              <w:rPr>
                <w:iCs/>
              </w:rPr>
              <w:t>16.3</w:t>
            </w:r>
          </w:p>
        </w:tc>
      </w:tr>
      <w:tr w:rsidR="00172C1C" w:rsidRPr="00511320" w14:paraId="0A1F290A"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142B1B93" w14:textId="77777777" w:rsidR="00172C1C" w:rsidRPr="00330DAA" w:rsidRDefault="00172C1C" w:rsidP="00A0461D">
            <w:pPr>
              <w:pStyle w:val="TableText0"/>
              <w:keepLines/>
              <w:widowControl w:val="0"/>
            </w:pPr>
            <w:r>
              <w:tab/>
            </w:r>
            <w:r w:rsidRPr="004C54EE">
              <w:t>15-month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CD9724" w14:textId="77777777" w:rsidR="00172C1C" w:rsidRPr="00330DAA" w:rsidRDefault="00172C1C" w:rsidP="00A0461D">
            <w:pPr>
              <w:pStyle w:val="TableText0"/>
              <w:keepLines/>
              <w:widowControl w:val="0"/>
              <w:jc w:val="center"/>
              <w:rPr>
                <w:szCs w:val="20"/>
              </w:rPr>
            </w:pPr>
            <w:r w:rsidRPr="004C54EE">
              <w:t>57.9 (53.5, 62.0)</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E2C1784" w14:textId="77777777" w:rsidR="00172C1C" w:rsidRPr="00330DAA" w:rsidRDefault="00172C1C" w:rsidP="00A0461D">
            <w:pPr>
              <w:pStyle w:val="TableText0"/>
              <w:keepLines/>
              <w:widowControl w:val="0"/>
              <w:jc w:val="center"/>
              <w:rPr>
                <w:szCs w:val="20"/>
              </w:rPr>
            </w:pPr>
            <w:r w:rsidRPr="004C54EE">
              <w:t>43.4 (37.3, 49.4)</w:t>
            </w:r>
          </w:p>
        </w:tc>
        <w:tc>
          <w:tcPr>
            <w:tcW w:w="1992" w:type="pct"/>
            <w:gridSpan w:val="2"/>
            <w:tcBorders>
              <w:top w:val="single" w:sz="4" w:space="0" w:color="auto"/>
              <w:left w:val="single" w:sz="4" w:space="0" w:color="auto"/>
              <w:bottom w:val="single" w:sz="4" w:space="0" w:color="auto"/>
            </w:tcBorders>
            <w:shd w:val="clear" w:color="auto" w:fill="auto"/>
            <w:vAlign w:val="bottom"/>
          </w:tcPr>
          <w:p w14:paraId="2C8F222F" w14:textId="77777777" w:rsidR="00172C1C" w:rsidRPr="00511320" w:rsidRDefault="00172C1C" w:rsidP="00A0461D">
            <w:pPr>
              <w:pStyle w:val="TableText0"/>
              <w:keepLines/>
              <w:widowControl w:val="0"/>
              <w:jc w:val="center"/>
            </w:pPr>
            <w:r w:rsidRPr="00E7767C">
              <w:rPr>
                <w:iCs/>
              </w:rPr>
              <w:t>14.5</w:t>
            </w:r>
          </w:p>
        </w:tc>
      </w:tr>
      <w:tr w:rsidR="00172C1C" w:rsidRPr="00511320" w14:paraId="46E4BAF6"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68760E71" w14:textId="77777777" w:rsidR="00172C1C" w:rsidRPr="00330DAA" w:rsidRDefault="00172C1C" w:rsidP="00A0461D">
            <w:pPr>
              <w:pStyle w:val="TableText0"/>
              <w:keepLines/>
              <w:widowControl w:val="0"/>
            </w:pPr>
            <w:r>
              <w:tab/>
            </w:r>
            <w:r w:rsidRPr="004C54EE">
              <w:t>18-month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414EC88" w14:textId="77777777" w:rsidR="00172C1C" w:rsidRPr="00330DAA" w:rsidRDefault="00172C1C" w:rsidP="00A0461D">
            <w:pPr>
              <w:pStyle w:val="TableText0"/>
              <w:keepLines/>
              <w:widowControl w:val="0"/>
              <w:jc w:val="center"/>
              <w:rPr>
                <w:szCs w:val="20"/>
              </w:rPr>
            </w:pPr>
            <w:r w:rsidRPr="004C54EE">
              <w:t>53.9 (49.5, 58.2)</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1C2CAF7" w14:textId="77777777" w:rsidR="00172C1C" w:rsidRPr="00330DAA" w:rsidRDefault="00172C1C" w:rsidP="00A0461D">
            <w:pPr>
              <w:pStyle w:val="TableText0"/>
              <w:keepLines/>
              <w:widowControl w:val="0"/>
              <w:jc w:val="center"/>
              <w:rPr>
                <w:szCs w:val="20"/>
              </w:rPr>
            </w:pPr>
            <w:r w:rsidRPr="004C54EE">
              <w:t>40.4 (34.4, 46.4)</w:t>
            </w:r>
          </w:p>
        </w:tc>
        <w:tc>
          <w:tcPr>
            <w:tcW w:w="1992" w:type="pct"/>
            <w:gridSpan w:val="2"/>
            <w:tcBorders>
              <w:top w:val="single" w:sz="4" w:space="0" w:color="auto"/>
              <w:left w:val="single" w:sz="4" w:space="0" w:color="auto"/>
              <w:bottom w:val="single" w:sz="4" w:space="0" w:color="auto"/>
            </w:tcBorders>
            <w:shd w:val="clear" w:color="auto" w:fill="auto"/>
            <w:vAlign w:val="bottom"/>
          </w:tcPr>
          <w:p w14:paraId="28F129FE" w14:textId="77777777" w:rsidR="00172C1C" w:rsidRPr="00511320" w:rsidRDefault="00172C1C" w:rsidP="00A0461D">
            <w:pPr>
              <w:pStyle w:val="TableText0"/>
              <w:keepLines/>
              <w:widowControl w:val="0"/>
              <w:jc w:val="center"/>
            </w:pPr>
            <w:r w:rsidRPr="00E7767C">
              <w:rPr>
                <w:iCs/>
              </w:rPr>
              <w:t>13.5</w:t>
            </w:r>
          </w:p>
        </w:tc>
      </w:tr>
      <w:tr w:rsidR="00172C1C" w:rsidRPr="00511320" w14:paraId="096CF74E"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4FE536FF" w14:textId="77777777" w:rsidR="00172C1C" w:rsidRPr="00330DAA" w:rsidRDefault="00172C1C" w:rsidP="00A0461D">
            <w:pPr>
              <w:pStyle w:val="TableText0"/>
              <w:keepLines/>
              <w:widowControl w:val="0"/>
            </w:pPr>
            <w:r>
              <w:tab/>
            </w:r>
            <w:r w:rsidRPr="004C54EE">
              <w:t>21-month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77BC75B" w14:textId="77777777" w:rsidR="00172C1C" w:rsidRPr="00330DAA" w:rsidRDefault="00172C1C" w:rsidP="00A0461D">
            <w:pPr>
              <w:pStyle w:val="TableText0"/>
              <w:keepLines/>
              <w:widowControl w:val="0"/>
              <w:jc w:val="center"/>
              <w:rPr>
                <w:szCs w:val="20"/>
              </w:rPr>
            </w:pPr>
            <w:r w:rsidRPr="004C54EE">
              <w:t>51.1 (46.6, 55.5)</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529BA50E" w14:textId="77777777" w:rsidR="00172C1C" w:rsidRPr="00330DAA" w:rsidRDefault="00172C1C" w:rsidP="00A0461D">
            <w:pPr>
              <w:pStyle w:val="TableText0"/>
              <w:keepLines/>
              <w:widowControl w:val="0"/>
              <w:jc w:val="center"/>
              <w:rPr>
                <w:szCs w:val="20"/>
              </w:rPr>
            </w:pPr>
            <w:r w:rsidRPr="004C54EE">
              <w:t>37.6 (31.5, 43.6)</w:t>
            </w:r>
          </w:p>
        </w:tc>
        <w:tc>
          <w:tcPr>
            <w:tcW w:w="1992" w:type="pct"/>
            <w:gridSpan w:val="2"/>
            <w:tcBorders>
              <w:top w:val="single" w:sz="4" w:space="0" w:color="auto"/>
              <w:left w:val="single" w:sz="4" w:space="0" w:color="auto"/>
              <w:bottom w:val="single" w:sz="4" w:space="0" w:color="auto"/>
            </w:tcBorders>
            <w:shd w:val="clear" w:color="auto" w:fill="auto"/>
            <w:vAlign w:val="bottom"/>
          </w:tcPr>
          <w:p w14:paraId="3817F05D" w14:textId="77777777" w:rsidR="00172C1C" w:rsidRPr="00511320" w:rsidRDefault="00172C1C" w:rsidP="00A0461D">
            <w:pPr>
              <w:pStyle w:val="TableText0"/>
              <w:keepLines/>
              <w:widowControl w:val="0"/>
              <w:jc w:val="center"/>
            </w:pPr>
            <w:r w:rsidRPr="00E7767C">
              <w:rPr>
                <w:iCs/>
              </w:rPr>
              <w:t>13.5</w:t>
            </w:r>
          </w:p>
        </w:tc>
      </w:tr>
      <w:tr w:rsidR="00172C1C" w:rsidRPr="00511320" w14:paraId="24EE7408" w14:textId="77777777" w:rsidTr="00A0461D">
        <w:trPr>
          <w:trHeight w:val="20"/>
        </w:trPr>
        <w:tc>
          <w:tcPr>
            <w:tcW w:w="1366" w:type="pct"/>
            <w:tcBorders>
              <w:top w:val="single" w:sz="4" w:space="0" w:color="auto"/>
              <w:bottom w:val="single" w:sz="4" w:space="0" w:color="auto"/>
              <w:right w:val="single" w:sz="4" w:space="0" w:color="auto"/>
            </w:tcBorders>
            <w:shd w:val="clear" w:color="auto" w:fill="auto"/>
          </w:tcPr>
          <w:p w14:paraId="345824CF" w14:textId="77777777" w:rsidR="00172C1C" w:rsidRPr="00330DAA" w:rsidRDefault="00172C1C" w:rsidP="00A0461D">
            <w:pPr>
              <w:pStyle w:val="TableText0"/>
              <w:keepLines/>
              <w:widowControl w:val="0"/>
            </w:pPr>
            <w:r>
              <w:tab/>
            </w:r>
            <w:r w:rsidRPr="004C54EE">
              <w:t>24-month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488D8E4" w14:textId="77777777" w:rsidR="00172C1C" w:rsidRPr="00330DAA" w:rsidRDefault="00172C1C" w:rsidP="00A0461D">
            <w:pPr>
              <w:pStyle w:val="TableText0"/>
              <w:keepLines/>
              <w:widowControl w:val="0"/>
              <w:jc w:val="center"/>
              <w:rPr>
                <w:szCs w:val="20"/>
              </w:rPr>
            </w:pPr>
            <w:r w:rsidRPr="004C54EE">
              <w:t>48.3 (43.7, 52.8)</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0F56572" w14:textId="77777777" w:rsidR="00172C1C" w:rsidRPr="00330DAA" w:rsidRDefault="00172C1C" w:rsidP="00A0461D">
            <w:pPr>
              <w:pStyle w:val="TableText0"/>
              <w:keepLines/>
              <w:widowControl w:val="0"/>
              <w:jc w:val="center"/>
              <w:rPr>
                <w:szCs w:val="20"/>
              </w:rPr>
            </w:pPr>
            <w:r w:rsidRPr="004C54EE">
              <w:t>36.0 (29.9, 42.0)</w:t>
            </w:r>
          </w:p>
        </w:tc>
        <w:tc>
          <w:tcPr>
            <w:tcW w:w="1992" w:type="pct"/>
            <w:gridSpan w:val="2"/>
            <w:tcBorders>
              <w:top w:val="single" w:sz="4" w:space="0" w:color="auto"/>
              <w:left w:val="single" w:sz="4" w:space="0" w:color="auto"/>
              <w:bottom w:val="single" w:sz="4" w:space="0" w:color="auto"/>
            </w:tcBorders>
            <w:shd w:val="clear" w:color="auto" w:fill="auto"/>
            <w:vAlign w:val="bottom"/>
          </w:tcPr>
          <w:p w14:paraId="614165E2" w14:textId="77777777" w:rsidR="00172C1C" w:rsidRPr="00511320" w:rsidRDefault="00172C1C" w:rsidP="00A0461D">
            <w:pPr>
              <w:pStyle w:val="TableText0"/>
              <w:keepLines/>
              <w:widowControl w:val="0"/>
              <w:jc w:val="center"/>
            </w:pPr>
            <w:r w:rsidRPr="00E7767C">
              <w:rPr>
                <w:iCs/>
              </w:rPr>
              <w:t>12.3</w:t>
            </w:r>
          </w:p>
        </w:tc>
      </w:tr>
    </w:tbl>
    <w:tbl>
      <w:tblPr>
        <w:tblW w:w="5000" w:type="pct"/>
        <w:tblLayout w:type="fixed"/>
        <w:tblCellMar>
          <w:left w:w="28" w:type="dxa"/>
          <w:right w:w="28" w:type="dxa"/>
        </w:tblCellMar>
        <w:tblLook w:val="04A0" w:firstRow="1" w:lastRow="0" w:firstColumn="1" w:lastColumn="0" w:noHBand="0" w:noVBand="1"/>
      </w:tblPr>
      <w:tblGrid>
        <w:gridCol w:w="2515"/>
        <w:gridCol w:w="1529"/>
        <w:gridCol w:w="1351"/>
        <w:gridCol w:w="1169"/>
        <w:gridCol w:w="1055"/>
        <w:gridCol w:w="1398"/>
      </w:tblGrid>
      <w:tr w:rsidR="00172C1C" w:rsidRPr="00E2771E" w14:paraId="1BBAE321" w14:textId="77777777" w:rsidTr="00A0461D">
        <w:tc>
          <w:tcPr>
            <w:tcW w:w="5000" w:type="pct"/>
            <w:gridSpan w:val="6"/>
            <w:tcBorders>
              <w:top w:val="double" w:sz="4" w:space="0" w:color="auto"/>
              <w:left w:val="single" w:sz="4" w:space="0" w:color="auto"/>
              <w:bottom w:val="single" w:sz="4" w:space="0" w:color="auto"/>
              <w:right w:val="single" w:sz="4" w:space="0" w:color="auto"/>
            </w:tcBorders>
            <w:shd w:val="clear" w:color="auto" w:fill="auto"/>
            <w:vAlign w:val="center"/>
          </w:tcPr>
          <w:p w14:paraId="6AE62F8B" w14:textId="77777777" w:rsidR="00172C1C" w:rsidRPr="00E2771E" w:rsidRDefault="00172C1C" w:rsidP="00A0461D">
            <w:pPr>
              <w:pStyle w:val="In-tableHeading"/>
            </w:pPr>
            <w:r w:rsidRPr="00E2771E">
              <w:t xml:space="preserve">Harms </w:t>
            </w:r>
          </w:p>
        </w:tc>
      </w:tr>
      <w:tr w:rsidR="00172C1C" w:rsidRPr="00E2771E" w14:paraId="72F4724A" w14:textId="77777777" w:rsidTr="00A0461D">
        <w:trPr>
          <w:trHeight w:val="70"/>
        </w:trPr>
        <w:tc>
          <w:tcPr>
            <w:tcW w:w="1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A837BC" w14:textId="77777777" w:rsidR="00172C1C" w:rsidRPr="00E2771E" w:rsidRDefault="00172C1C" w:rsidP="00A0461D">
            <w:pPr>
              <w:pStyle w:val="In-tableHeading"/>
            </w:pPr>
          </w:p>
        </w:tc>
        <w:tc>
          <w:tcPr>
            <w:tcW w:w="848" w:type="pct"/>
            <w:vMerge w:val="restart"/>
            <w:tcBorders>
              <w:top w:val="single" w:sz="4" w:space="0" w:color="auto"/>
              <w:left w:val="single" w:sz="4" w:space="0" w:color="auto"/>
              <w:bottom w:val="single" w:sz="4" w:space="0" w:color="auto"/>
              <w:right w:val="single" w:sz="4" w:space="0" w:color="auto"/>
            </w:tcBorders>
            <w:vAlign w:val="center"/>
          </w:tcPr>
          <w:p w14:paraId="188CB402" w14:textId="77777777" w:rsidR="00172C1C" w:rsidRDefault="00172C1C" w:rsidP="00A0461D">
            <w:pPr>
              <w:pStyle w:val="In-tableHeading"/>
              <w:jc w:val="center"/>
            </w:pPr>
            <w:r>
              <w:t>Nivolumab</w:t>
            </w:r>
          </w:p>
          <w:p w14:paraId="2F6F23D4" w14:textId="4C24E5DE" w:rsidR="00771568" w:rsidRPr="00E2771E" w:rsidRDefault="00771568" w:rsidP="00A0461D">
            <w:pPr>
              <w:pStyle w:val="In-tableHeading"/>
              <w:jc w:val="center"/>
            </w:pPr>
            <w:r>
              <w:t>(n=532)</w:t>
            </w:r>
          </w:p>
        </w:tc>
        <w:tc>
          <w:tcPr>
            <w:tcW w:w="749" w:type="pct"/>
            <w:vMerge w:val="restart"/>
            <w:tcBorders>
              <w:top w:val="single" w:sz="4" w:space="0" w:color="auto"/>
              <w:left w:val="single" w:sz="4" w:space="0" w:color="auto"/>
              <w:right w:val="single" w:sz="4" w:space="0" w:color="auto"/>
            </w:tcBorders>
            <w:vAlign w:val="center"/>
          </w:tcPr>
          <w:p w14:paraId="334F0C3D" w14:textId="77777777" w:rsidR="00172C1C" w:rsidRDefault="00172C1C" w:rsidP="00A0461D">
            <w:pPr>
              <w:pStyle w:val="In-tableHeading"/>
              <w:jc w:val="center"/>
            </w:pPr>
            <w:r>
              <w:t>Placebo</w:t>
            </w:r>
          </w:p>
          <w:p w14:paraId="55BE51A8" w14:textId="50E85B8F" w:rsidR="00771568" w:rsidRPr="00E2771E" w:rsidRDefault="00771568" w:rsidP="00A0461D">
            <w:pPr>
              <w:pStyle w:val="In-tableHeading"/>
              <w:jc w:val="center"/>
            </w:pPr>
            <w:r>
              <w:t>(n=260)</w:t>
            </w:r>
          </w:p>
        </w:tc>
        <w:tc>
          <w:tcPr>
            <w:tcW w:w="1233" w:type="pct"/>
            <w:gridSpan w:val="2"/>
            <w:tcBorders>
              <w:top w:val="single" w:sz="4" w:space="0" w:color="auto"/>
              <w:left w:val="single" w:sz="4" w:space="0" w:color="auto"/>
              <w:bottom w:val="single" w:sz="4" w:space="0" w:color="auto"/>
              <w:right w:val="single" w:sz="4" w:space="0" w:color="auto"/>
            </w:tcBorders>
            <w:vAlign w:val="center"/>
          </w:tcPr>
          <w:p w14:paraId="014F8B7A" w14:textId="77777777" w:rsidR="00172C1C" w:rsidRPr="00E2771E" w:rsidRDefault="00172C1C" w:rsidP="00A0461D">
            <w:pPr>
              <w:pStyle w:val="In-tableHeading"/>
              <w:jc w:val="center"/>
            </w:pPr>
            <w:r w:rsidRPr="00E2771E">
              <w:t>Event rate/100 patients*</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14:paraId="63A67AF2" w14:textId="77777777" w:rsidR="00172C1C" w:rsidRPr="00E2771E" w:rsidRDefault="00172C1C" w:rsidP="00A0461D">
            <w:pPr>
              <w:pStyle w:val="In-tableHeading"/>
              <w:jc w:val="center"/>
            </w:pPr>
            <w:r w:rsidRPr="00E2771E">
              <w:t>RD</w:t>
            </w:r>
          </w:p>
          <w:p w14:paraId="04C77587" w14:textId="77777777" w:rsidR="00172C1C" w:rsidRPr="00E2771E" w:rsidRDefault="00172C1C" w:rsidP="00A0461D">
            <w:pPr>
              <w:pStyle w:val="In-tableHeading"/>
              <w:jc w:val="center"/>
            </w:pPr>
            <w:r w:rsidRPr="00E2771E">
              <w:t>(95% CI)</w:t>
            </w:r>
          </w:p>
        </w:tc>
      </w:tr>
      <w:tr w:rsidR="00172C1C" w:rsidRPr="00E2771E" w14:paraId="67919F60" w14:textId="77777777" w:rsidTr="00A0461D">
        <w:trPr>
          <w:trHeight w:val="390"/>
        </w:trPr>
        <w:tc>
          <w:tcPr>
            <w:tcW w:w="139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D16E34" w14:textId="77777777" w:rsidR="00172C1C" w:rsidRPr="00E2771E" w:rsidRDefault="00172C1C" w:rsidP="00A0461D">
            <w:pPr>
              <w:pStyle w:val="In-tableHeading"/>
            </w:pPr>
          </w:p>
        </w:tc>
        <w:tc>
          <w:tcPr>
            <w:tcW w:w="848" w:type="pct"/>
            <w:vMerge/>
            <w:tcBorders>
              <w:top w:val="single" w:sz="4" w:space="0" w:color="auto"/>
              <w:left w:val="single" w:sz="4" w:space="0" w:color="auto"/>
              <w:bottom w:val="single" w:sz="4" w:space="0" w:color="auto"/>
              <w:right w:val="single" w:sz="4" w:space="0" w:color="auto"/>
            </w:tcBorders>
            <w:vAlign w:val="center"/>
          </w:tcPr>
          <w:p w14:paraId="4B7D9B54" w14:textId="77777777" w:rsidR="00172C1C" w:rsidRPr="00E2771E" w:rsidRDefault="00172C1C" w:rsidP="00A0461D">
            <w:pPr>
              <w:pStyle w:val="In-tableHeading"/>
            </w:pPr>
          </w:p>
        </w:tc>
        <w:tc>
          <w:tcPr>
            <w:tcW w:w="749" w:type="pct"/>
            <w:vMerge/>
            <w:tcBorders>
              <w:left w:val="single" w:sz="4" w:space="0" w:color="auto"/>
              <w:bottom w:val="single" w:sz="4" w:space="0" w:color="auto"/>
              <w:right w:val="single" w:sz="4" w:space="0" w:color="auto"/>
            </w:tcBorders>
            <w:vAlign w:val="center"/>
          </w:tcPr>
          <w:p w14:paraId="2CBCC893" w14:textId="77777777" w:rsidR="00172C1C" w:rsidRPr="00E2771E" w:rsidRDefault="00172C1C" w:rsidP="00A0461D">
            <w:pPr>
              <w:pStyle w:val="In-tableHeading"/>
            </w:pPr>
          </w:p>
        </w:tc>
        <w:tc>
          <w:tcPr>
            <w:tcW w:w="648" w:type="pct"/>
            <w:tcBorders>
              <w:top w:val="single" w:sz="4" w:space="0" w:color="auto"/>
              <w:left w:val="single" w:sz="4" w:space="0" w:color="auto"/>
              <w:bottom w:val="single" w:sz="4" w:space="0" w:color="auto"/>
              <w:right w:val="single" w:sz="4" w:space="0" w:color="auto"/>
            </w:tcBorders>
            <w:vAlign w:val="center"/>
          </w:tcPr>
          <w:p w14:paraId="616767D2" w14:textId="77777777" w:rsidR="00172C1C" w:rsidRPr="00E2771E" w:rsidRDefault="00172C1C" w:rsidP="00A0461D">
            <w:pPr>
              <w:pStyle w:val="In-tableHeading"/>
              <w:jc w:val="center"/>
            </w:pPr>
            <w:r>
              <w:t>Nivolumab</w:t>
            </w:r>
          </w:p>
        </w:tc>
        <w:tc>
          <w:tcPr>
            <w:tcW w:w="585" w:type="pct"/>
            <w:tcBorders>
              <w:top w:val="single" w:sz="4" w:space="0" w:color="auto"/>
              <w:left w:val="single" w:sz="4" w:space="0" w:color="auto"/>
              <w:bottom w:val="single" w:sz="4" w:space="0" w:color="auto"/>
              <w:right w:val="single" w:sz="4" w:space="0" w:color="auto"/>
            </w:tcBorders>
            <w:vAlign w:val="center"/>
          </w:tcPr>
          <w:p w14:paraId="5706DAE0" w14:textId="77777777" w:rsidR="00172C1C" w:rsidRPr="00E2771E" w:rsidRDefault="00172C1C" w:rsidP="00A0461D">
            <w:pPr>
              <w:pStyle w:val="In-tableHeading"/>
              <w:jc w:val="center"/>
            </w:pPr>
            <w:r>
              <w:t>Placebo</w:t>
            </w:r>
          </w:p>
        </w:tc>
        <w:tc>
          <w:tcPr>
            <w:tcW w:w="775" w:type="pct"/>
            <w:vMerge/>
            <w:tcBorders>
              <w:top w:val="single" w:sz="4" w:space="0" w:color="auto"/>
              <w:left w:val="single" w:sz="4" w:space="0" w:color="auto"/>
              <w:bottom w:val="single" w:sz="4" w:space="0" w:color="auto"/>
              <w:right w:val="single" w:sz="4" w:space="0" w:color="auto"/>
            </w:tcBorders>
            <w:vAlign w:val="center"/>
          </w:tcPr>
          <w:p w14:paraId="3D079951" w14:textId="77777777" w:rsidR="00172C1C" w:rsidRPr="00E2771E" w:rsidRDefault="00172C1C" w:rsidP="00A0461D">
            <w:pPr>
              <w:pStyle w:val="In-tableHeading"/>
            </w:pPr>
          </w:p>
        </w:tc>
      </w:tr>
      <w:tr w:rsidR="00172C1C" w:rsidRPr="00E7767C" w14:paraId="1E07AEBB" w14:textId="77777777" w:rsidTr="00251030">
        <w:tc>
          <w:tcPr>
            <w:tcW w:w="1395" w:type="pct"/>
            <w:tcBorders>
              <w:top w:val="single" w:sz="4" w:space="0" w:color="auto"/>
              <w:left w:val="single" w:sz="4" w:space="0" w:color="auto"/>
              <w:bottom w:val="single" w:sz="4" w:space="0" w:color="auto"/>
              <w:right w:val="single" w:sz="4" w:space="0" w:color="auto"/>
            </w:tcBorders>
            <w:shd w:val="clear" w:color="auto" w:fill="auto"/>
          </w:tcPr>
          <w:p w14:paraId="589C15BE" w14:textId="3B8C8057" w:rsidR="00172C1C" w:rsidRPr="00E7767C" w:rsidRDefault="00172C1C" w:rsidP="00A0461D">
            <w:pPr>
              <w:pStyle w:val="TableText0"/>
            </w:pPr>
            <w:r w:rsidRPr="00E7767C">
              <w:t>Any TRAEs</w:t>
            </w:r>
            <w:r w:rsidR="00771568" w:rsidRPr="00E7767C">
              <w:t>, n (%)</w:t>
            </w:r>
          </w:p>
        </w:tc>
        <w:tc>
          <w:tcPr>
            <w:tcW w:w="848" w:type="pct"/>
            <w:tcBorders>
              <w:top w:val="single" w:sz="4" w:space="0" w:color="auto"/>
              <w:left w:val="single" w:sz="4" w:space="0" w:color="auto"/>
              <w:bottom w:val="single" w:sz="4" w:space="0" w:color="auto"/>
              <w:right w:val="single" w:sz="4" w:space="0" w:color="auto"/>
            </w:tcBorders>
            <w:vAlign w:val="center"/>
          </w:tcPr>
          <w:p w14:paraId="76FAFB21" w14:textId="77777777" w:rsidR="00172C1C" w:rsidRPr="00E7767C" w:rsidRDefault="00172C1C" w:rsidP="00251030">
            <w:pPr>
              <w:pStyle w:val="TableText0"/>
              <w:jc w:val="center"/>
            </w:pPr>
            <w:r w:rsidRPr="00E7767C">
              <w:t>379 (71)</w:t>
            </w:r>
          </w:p>
        </w:tc>
        <w:tc>
          <w:tcPr>
            <w:tcW w:w="749" w:type="pct"/>
            <w:tcBorders>
              <w:top w:val="single" w:sz="4" w:space="0" w:color="auto"/>
              <w:left w:val="single" w:sz="4" w:space="0" w:color="auto"/>
              <w:bottom w:val="single" w:sz="4" w:space="0" w:color="auto"/>
              <w:right w:val="single" w:sz="4" w:space="0" w:color="auto"/>
            </w:tcBorders>
            <w:vAlign w:val="center"/>
          </w:tcPr>
          <w:p w14:paraId="15810A6A" w14:textId="77777777" w:rsidR="00172C1C" w:rsidRPr="00E7767C" w:rsidRDefault="00172C1C" w:rsidP="00251030">
            <w:pPr>
              <w:pStyle w:val="TableText0"/>
              <w:jc w:val="center"/>
            </w:pPr>
            <w:r w:rsidRPr="00E7767C">
              <w:t>122 (47)</w:t>
            </w:r>
          </w:p>
        </w:tc>
        <w:tc>
          <w:tcPr>
            <w:tcW w:w="648" w:type="pct"/>
            <w:tcBorders>
              <w:top w:val="single" w:sz="4" w:space="0" w:color="auto"/>
              <w:left w:val="single" w:sz="4" w:space="0" w:color="auto"/>
              <w:bottom w:val="single" w:sz="4" w:space="0" w:color="auto"/>
              <w:right w:val="single" w:sz="4" w:space="0" w:color="auto"/>
            </w:tcBorders>
            <w:vAlign w:val="center"/>
          </w:tcPr>
          <w:p w14:paraId="12794DDE" w14:textId="77777777" w:rsidR="00172C1C" w:rsidRPr="00E7767C" w:rsidRDefault="00172C1C" w:rsidP="00251030">
            <w:pPr>
              <w:pStyle w:val="TableText0"/>
              <w:jc w:val="center"/>
              <w:rPr>
                <w:iCs/>
              </w:rPr>
            </w:pPr>
            <w:r w:rsidRPr="00E7767C">
              <w:rPr>
                <w:iCs/>
              </w:rPr>
              <w:t>71%</w:t>
            </w:r>
          </w:p>
        </w:tc>
        <w:tc>
          <w:tcPr>
            <w:tcW w:w="585" w:type="pct"/>
            <w:tcBorders>
              <w:top w:val="single" w:sz="4" w:space="0" w:color="auto"/>
              <w:left w:val="single" w:sz="4" w:space="0" w:color="auto"/>
              <w:bottom w:val="single" w:sz="4" w:space="0" w:color="auto"/>
              <w:right w:val="single" w:sz="4" w:space="0" w:color="auto"/>
            </w:tcBorders>
            <w:vAlign w:val="center"/>
          </w:tcPr>
          <w:p w14:paraId="52ACEA74" w14:textId="77777777" w:rsidR="00172C1C" w:rsidRPr="00E7767C" w:rsidRDefault="00172C1C" w:rsidP="00251030">
            <w:pPr>
              <w:pStyle w:val="TableText0"/>
              <w:jc w:val="center"/>
              <w:rPr>
                <w:iCs/>
              </w:rPr>
            </w:pPr>
            <w:r w:rsidRPr="00E7767C">
              <w:rPr>
                <w:iCs/>
              </w:rPr>
              <w:t>47%</w:t>
            </w:r>
          </w:p>
        </w:tc>
        <w:tc>
          <w:tcPr>
            <w:tcW w:w="775" w:type="pct"/>
            <w:tcBorders>
              <w:top w:val="single" w:sz="4" w:space="0" w:color="auto"/>
              <w:left w:val="single" w:sz="4" w:space="0" w:color="auto"/>
              <w:bottom w:val="single" w:sz="4" w:space="0" w:color="auto"/>
              <w:right w:val="single" w:sz="4" w:space="0" w:color="auto"/>
            </w:tcBorders>
            <w:vAlign w:val="center"/>
          </w:tcPr>
          <w:p w14:paraId="4EAB55CE" w14:textId="172C04DE" w:rsidR="00172C1C" w:rsidRPr="00E7767C" w:rsidRDefault="00172C1C" w:rsidP="00251030">
            <w:pPr>
              <w:pStyle w:val="TableText0"/>
              <w:jc w:val="center"/>
              <w:rPr>
                <w:b/>
                <w:bCs w:val="0"/>
              </w:rPr>
            </w:pPr>
            <w:r w:rsidRPr="00E7767C">
              <w:rPr>
                <w:b/>
                <w:bCs w:val="0"/>
              </w:rPr>
              <w:t>0.24 (0.17, 0.32</w:t>
            </w:r>
            <w:r w:rsidR="00747C7A" w:rsidRPr="00E7767C">
              <w:rPr>
                <w:b/>
                <w:bCs w:val="0"/>
              </w:rPr>
              <w:t>)</w:t>
            </w:r>
          </w:p>
        </w:tc>
      </w:tr>
      <w:tr w:rsidR="00172C1C" w:rsidRPr="00E7767C" w14:paraId="18B0FAFE" w14:textId="77777777" w:rsidTr="00251030">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14:paraId="27C70F2E" w14:textId="59FEE965" w:rsidR="00172C1C" w:rsidRPr="00E7767C" w:rsidRDefault="00172C1C" w:rsidP="00A0461D">
            <w:pPr>
              <w:pStyle w:val="TableText0"/>
            </w:pPr>
            <w:r w:rsidRPr="00E7767C">
              <w:t>Any severe (Grade 3 or 4) TRAEs</w:t>
            </w:r>
            <w:r w:rsidR="00771568" w:rsidRPr="00E7767C">
              <w:t>, n (%)</w:t>
            </w:r>
          </w:p>
        </w:tc>
        <w:tc>
          <w:tcPr>
            <w:tcW w:w="848" w:type="pct"/>
            <w:tcBorders>
              <w:top w:val="single" w:sz="4" w:space="0" w:color="auto"/>
              <w:left w:val="single" w:sz="4" w:space="0" w:color="auto"/>
              <w:bottom w:val="single" w:sz="4" w:space="0" w:color="auto"/>
              <w:right w:val="single" w:sz="4" w:space="0" w:color="auto"/>
            </w:tcBorders>
            <w:vAlign w:val="center"/>
          </w:tcPr>
          <w:p w14:paraId="1A9E29FC" w14:textId="77777777" w:rsidR="00172C1C" w:rsidRPr="00E7767C" w:rsidRDefault="00172C1C" w:rsidP="00251030">
            <w:pPr>
              <w:pStyle w:val="TableText0"/>
              <w:jc w:val="center"/>
            </w:pPr>
            <w:r w:rsidRPr="00E7767C">
              <w:t>74 (14)</w:t>
            </w:r>
          </w:p>
        </w:tc>
        <w:tc>
          <w:tcPr>
            <w:tcW w:w="749" w:type="pct"/>
            <w:tcBorders>
              <w:top w:val="single" w:sz="4" w:space="0" w:color="auto"/>
              <w:left w:val="single" w:sz="4" w:space="0" w:color="auto"/>
              <w:bottom w:val="single" w:sz="4" w:space="0" w:color="auto"/>
              <w:right w:val="single" w:sz="4" w:space="0" w:color="auto"/>
            </w:tcBorders>
            <w:vAlign w:val="center"/>
          </w:tcPr>
          <w:p w14:paraId="40BD6CF5" w14:textId="77777777" w:rsidR="00172C1C" w:rsidRPr="00E7767C" w:rsidRDefault="00172C1C" w:rsidP="00251030">
            <w:pPr>
              <w:pStyle w:val="TableText0"/>
              <w:jc w:val="center"/>
            </w:pPr>
            <w:r w:rsidRPr="00E7767C">
              <w:t>16 (6)</w:t>
            </w:r>
          </w:p>
        </w:tc>
        <w:tc>
          <w:tcPr>
            <w:tcW w:w="648" w:type="pct"/>
            <w:tcBorders>
              <w:top w:val="single" w:sz="4" w:space="0" w:color="auto"/>
              <w:left w:val="single" w:sz="4" w:space="0" w:color="auto"/>
              <w:bottom w:val="single" w:sz="4" w:space="0" w:color="auto"/>
              <w:right w:val="single" w:sz="4" w:space="0" w:color="auto"/>
            </w:tcBorders>
            <w:vAlign w:val="center"/>
          </w:tcPr>
          <w:p w14:paraId="3E09C6A0" w14:textId="77777777" w:rsidR="00172C1C" w:rsidRPr="00E7767C" w:rsidRDefault="00172C1C" w:rsidP="00251030">
            <w:pPr>
              <w:pStyle w:val="TableText0"/>
              <w:jc w:val="center"/>
              <w:rPr>
                <w:iCs/>
              </w:rPr>
            </w:pPr>
            <w:r w:rsidRPr="00E7767C">
              <w:rPr>
                <w:iCs/>
              </w:rPr>
              <w:t>14%</w:t>
            </w:r>
          </w:p>
        </w:tc>
        <w:tc>
          <w:tcPr>
            <w:tcW w:w="585" w:type="pct"/>
            <w:tcBorders>
              <w:top w:val="single" w:sz="4" w:space="0" w:color="auto"/>
              <w:left w:val="single" w:sz="4" w:space="0" w:color="auto"/>
              <w:bottom w:val="single" w:sz="4" w:space="0" w:color="auto"/>
              <w:right w:val="single" w:sz="4" w:space="0" w:color="auto"/>
            </w:tcBorders>
            <w:vAlign w:val="center"/>
          </w:tcPr>
          <w:p w14:paraId="1815B6E1" w14:textId="77777777" w:rsidR="00172C1C" w:rsidRPr="00E7767C" w:rsidRDefault="00172C1C" w:rsidP="00251030">
            <w:pPr>
              <w:pStyle w:val="TableText0"/>
              <w:jc w:val="center"/>
              <w:rPr>
                <w:iCs/>
              </w:rPr>
            </w:pPr>
            <w:r w:rsidRPr="00E7767C">
              <w:rPr>
                <w:iCs/>
              </w:rPr>
              <w:t>6%</w:t>
            </w:r>
          </w:p>
        </w:tc>
        <w:tc>
          <w:tcPr>
            <w:tcW w:w="775" w:type="pct"/>
            <w:tcBorders>
              <w:top w:val="single" w:sz="4" w:space="0" w:color="auto"/>
              <w:left w:val="single" w:sz="4" w:space="0" w:color="auto"/>
              <w:bottom w:val="single" w:sz="4" w:space="0" w:color="auto"/>
              <w:right w:val="single" w:sz="4" w:space="0" w:color="auto"/>
            </w:tcBorders>
            <w:vAlign w:val="center"/>
          </w:tcPr>
          <w:p w14:paraId="1415858C" w14:textId="77777777" w:rsidR="00172C1C" w:rsidRPr="00E7767C" w:rsidRDefault="00172C1C" w:rsidP="00251030">
            <w:pPr>
              <w:pStyle w:val="TableText0"/>
              <w:jc w:val="center"/>
              <w:rPr>
                <w:b/>
                <w:bCs w:val="0"/>
              </w:rPr>
            </w:pPr>
            <w:r w:rsidRPr="00E7767C">
              <w:rPr>
                <w:b/>
                <w:bCs w:val="0"/>
              </w:rPr>
              <w:t>0.08 (0.04, 0.12)</w:t>
            </w:r>
          </w:p>
        </w:tc>
      </w:tr>
    </w:tbl>
    <w:p w14:paraId="58999F6A" w14:textId="77777777" w:rsidR="00172C1C" w:rsidRPr="00B1011F" w:rsidRDefault="00172C1C" w:rsidP="00172C1C">
      <w:pPr>
        <w:pStyle w:val="TableFigureFooter"/>
        <w:rPr>
          <w:sz w:val="20"/>
        </w:rPr>
      </w:pPr>
      <w:r>
        <w:t xml:space="preserve">Source: </w:t>
      </w:r>
      <w:r w:rsidRPr="004C54EE">
        <w:t>Table 29, p</w:t>
      </w:r>
      <w:proofErr w:type="gramStart"/>
      <w:r w:rsidRPr="004C54EE">
        <w:t xml:space="preserve">75 </w:t>
      </w:r>
      <w:r>
        <w:t>,</w:t>
      </w:r>
      <w:proofErr w:type="gramEnd"/>
      <w:r>
        <w:t xml:space="preserve"> </w:t>
      </w:r>
      <w:r w:rsidRPr="004C54EE">
        <w:t>Table 34, p81</w:t>
      </w:r>
      <w:r>
        <w:t xml:space="preserve"> and </w:t>
      </w:r>
      <w:r w:rsidRPr="004C54EE">
        <w:t>Table 38, p96</w:t>
      </w:r>
      <w:r>
        <w:t xml:space="preserve"> </w:t>
      </w:r>
      <w:r w:rsidRPr="00D13A3E">
        <w:t xml:space="preserve">of the </w:t>
      </w:r>
      <w:r>
        <w:t>submission.</w:t>
      </w:r>
    </w:p>
    <w:p w14:paraId="188587BE" w14:textId="20A135D5" w:rsidR="00172C1C" w:rsidRPr="0072416F" w:rsidRDefault="00377DD1" w:rsidP="00172C1C">
      <w:pPr>
        <w:pStyle w:val="TableFigureFooter"/>
      </w:pPr>
      <w:r>
        <w:t>DFS = disease free survival</w:t>
      </w:r>
      <w:r w:rsidR="003D2FC3">
        <w:t xml:space="preserve">; </w:t>
      </w:r>
      <w:r w:rsidR="00172C1C">
        <w:t xml:space="preserve">HR = hazard ratio; </w:t>
      </w:r>
      <w:r w:rsidR="00172C1C" w:rsidRPr="0072416F">
        <w:t xml:space="preserve">RD = risk difference; </w:t>
      </w:r>
      <w:r w:rsidR="00172C1C">
        <w:t>TRAE = treatment related adverse event</w:t>
      </w:r>
    </w:p>
    <w:p w14:paraId="55B53C85" w14:textId="7F23CAB0" w:rsidR="00172C1C" w:rsidRDefault="00172C1C" w:rsidP="00172C1C">
      <w:pPr>
        <w:pStyle w:val="TableFigureFooter"/>
      </w:pPr>
      <w:r>
        <w:t>*</w:t>
      </w:r>
      <w:r w:rsidRPr="00C42CEE">
        <w:t xml:space="preserve"> </w:t>
      </w:r>
      <w:proofErr w:type="gramStart"/>
      <w:r>
        <w:t>the</w:t>
      </w:r>
      <w:proofErr w:type="gramEnd"/>
      <w:r>
        <w:t xml:space="preserve"> </w:t>
      </w:r>
      <w:r w:rsidR="00551DDD">
        <w:t xml:space="preserve">interim </w:t>
      </w:r>
      <w:r>
        <w:t xml:space="preserve">October 2020 analysis had </w:t>
      </w:r>
      <w:r w:rsidRPr="00C42CEE">
        <w:t>minimum follow-up 6.2 months</w:t>
      </w:r>
      <w:r>
        <w:t xml:space="preserve">; median follow-up time was </w:t>
      </w:r>
      <w:r w:rsidRPr="00C42CEE">
        <w:t>24.4 months</w:t>
      </w:r>
      <w:r>
        <w:t>. T</w:t>
      </w:r>
      <w:r w:rsidRPr="004C54EE">
        <w:t>he updated February 2021 database lock had minimum follow-up time of 14.0 months; median follow-up time</w:t>
      </w:r>
      <w:r>
        <w:t xml:space="preserve"> was</w:t>
      </w:r>
      <w:r w:rsidRPr="004C54EE">
        <w:t xml:space="preserve"> 32.2 months</w:t>
      </w:r>
    </w:p>
    <w:p w14:paraId="24DF9282" w14:textId="77777777" w:rsidR="00172C1C" w:rsidRPr="0072416F" w:rsidRDefault="00172C1C" w:rsidP="00172C1C">
      <w:pPr>
        <w:pStyle w:val="TableFigureFooter"/>
      </w:pPr>
    </w:p>
    <w:p w14:paraId="3004570D" w14:textId="3A338E6A" w:rsidR="00172C1C" w:rsidRDefault="00172C1C" w:rsidP="00172C1C">
      <w:pPr>
        <w:pStyle w:val="3-BodyText"/>
      </w:pPr>
      <w:r>
        <w:t xml:space="preserve">On the basis of </w:t>
      </w:r>
      <w:r w:rsidR="00771568">
        <w:t xml:space="preserve">the </w:t>
      </w:r>
      <w:r>
        <w:t xml:space="preserve">CM-577 trial, </w:t>
      </w:r>
      <w:r w:rsidR="004828DF" w:rsidRPr="00925F8E">
        <w:t>it is estimated</w:t>
      </w:r>
      <w:r w:rsidR="004828DF">
        <w:t xml:space="preserve"> </w:t>
      </w:r>
      <w:r>
        <w:t>for every 100 patients treated with nivolumab in comparison with placebo</w:t>
      </w:r>
      <w:r w:rsidR="00592883">
        <w:t xml:space="preserve"> over a </w:t>
      </w:r>
      <w:r w:rsidR="00592883" w:rsidRPr="00592883">
        <w:t xml:space="preserve">median follow-up time </w:t>
      </w:r>
      <w:r w:rsidR="00771568">
        <w:t>of</w:t>
      </w:r>
      <w:r w:rsidR="004828DF">
        <w:t xml:space="preserve"> </w:t>
      </w:r>
      <w:r w:rsidR="00592883" w:rsidRPr="00592883">
        <w:t>32.2 months</w:t>
      </w:r>
      <w:r>
        <w:t>:</w:t>
      </w:r>
    </w:p>
    <w:p w14:paraId="76A5D93C" w14:textId="3ADC97C1" w:rsidR="00172C1C" w:rsidRDefault="00172C1C" w:rsidP="00E81DC5">
      <w:pPr>
        <w:pStyle w:val="ListBullet"/>
        <w:tabs>
          <w:tab w:val="clear" w:pos="360"/>
          <w:tab w:val="num" w:pos="720"/>
        </w:tabs>
        <w:ind w:left="1134"/>
      </w:pPr>
      <w:r>
        <w:t>12</w:t>
      </w:r>
      <w:r w:rsidR="00592883">
        <w:t xml:space="preserve"> </w:t>
      </w:r>
      <w:r>
        <w:t>more patients would be disease free at 24 months</w:t>
      </w:r>
      <w:r w:rsidR="00770107">
        <w:t>.</w:t>
      </w:r>
    </w:p>
    <w:p w14:paraId="538BBE2B" w14:textId="3BB69929" w:rsidR="00172C1C" w:rsidRDefault="00172C1C" w:rsidP="00E81DC5">
      <w:pPr>
        <w:pStyle w:val="ListBullet"/>
        <w:tabs>
          <w:tab w:val="clear" w:pos="360"/>
          <w:tab w:val="num" w:pos="720"/>
        </w:tabs>
        <w:ind w:left="1134"/>
      </w:pPr>
      <w:r>
        <w:t>24 more patients would have treatment related adverse events</w:t>
      </w:r>
      <w:r w:rsidR="00770107">
        <w:t>.</w:t>
      </w:r>
    </w:p>
    <w:p w14:paraId="330B5CB3" w14:textId="671E8FC3" w:rsidR="00172C1C" w:rsidRPr="00EC5666" w:rsidRDefault="00172C1C" w:rsidP="00E81DC5">
      <w:pPr>
        <w:pStyle w:val="ListBullet"/>
        <w:ind w:left="1134"/>
      </w:pPr>
      <w:r>
        <w:t xml:space="preserve">8 more patients would have severe (grade 3 or 4) treatment related adverse events. </w:t>
      </w:r>
    </w:p>
    <w:p w14:paraId="55F01A24" w14:textId="77777777" w:rsidR="00172C1C" w:rsidRPr="00C9624D" w:rsidRDefault="00172C1C" w:rsidP="00172C1C">
      <w:pPr>
        <w:pStyle w:val="4-SubsectionHeading"/>
      </w:pPr>
      <w:bookmarkStart w:id="32" w:name="_Toc22897644"/>
      <w:bookmarkStart w:id="33" w:name="_Toc103767692"/>
      <w:r w:rsidRPr="00C9624D">
        <w:t>Clinical claim</w:t>
      </w:r>
      <w:bookmarkEnd w:id="32"/>
      <w:bookmarkEnd w:id="33"/>
    </w:p>
    <w:p w14:paraId="7727AC1E" w14:textId="13AF6FCF" w:rsidR="00172C1C" w:rsidRDefault="00172C1C" w:rsidP="00172C1C">
      <w:pPr>
        <w:pStyle w:val="3-BodyText"/>
      </w:pPr>
      <w:r w:rsidRPr="004C54EE">
        <w:t xml:space="preserve">The submission claimed that adjuvant nivolumab demonstrated superior efficacy </w:t>
      </w:r>
      <w:r w:rsidR="00031632">
        <w:t xml:space="preserve">and inferior safety compared </w:t>
      </w:r>
      <w:r w:rsidRPr="004C54EE">
        <w:t xml:space="preserve">to placebo in patients with resected OC or GOJC </w:t>
      </w:r>
      <w:r w:rsidRPr="00E44A0E">
        <w:t>whom</w:t>
      </w:r>
      <w:r w:rsidRPr="004C54EE">
        <w:t xml:space="preserve"> had received prior CRT.</w:t>
      </w:r>
    </w:p>
    <w:p w14:paraId="232AC9AC" w14:textId="16E89FFB" w:rsidR="00592883" w:rsidRDefault="00172C1C" w:rsidP="00172C1C">
      <w:pPr>
        <w:pStyle w:val="3-BodyText"/>
      </w:pPr>
      <w:r w:rsidRPr="004C54EE">
        <w:t xml:space="preserve">The submission </w:t>
      </w:r>
      <w:r w:rsidR="00573FCD">
        <w:t xml:space="preserve">stated </w:t>
      </w:r>
      <w:r w:rsidRPr="004C54EE">
        <w:t>that this claim was demonstrated by a statistically significant and clinically meaningful DFS benefit as well as a consistent benefit across DMFS and PFS2</w:t>
      </w:r>
      <w:r w:rsidR="00401C66">
        <w:t xml:space="preserve"> </w:t>
      </w:r>
      <w:r w:rsidR="00573FCD">
        <w:t xml:space="preserve">for </w:t>
      </w:r>
      <w:r w:rsidR="00401C66">
        <w:t>adjuvant nivolumab treatment versus placebo</w:t>
      </w:r>
      <w:r w:rsidRPr="004C54EE">
        <w:t>.</w:t>
      </w:r>
    </w:p>
    <w:p w14:paraId="2ECDFAF5" w14:textId="55B4CBCD" w:rsidR="00172C1C" w:rsidRPr="00532BB3" w:rsidRDefault="00172C1C" w:rsidP="00592883">
      <w:pPr>
        <w:pStyle w:val="3-BodyText"/>
      </w:pPr>
      <w:r w:rsidRPr="00E7767C">
        <w:rPr>
          <w:iCs/>
        </w:rPr>
        <w:t>On the basis of DFS, there appeared to be a benefit of nivolumab</w:t>
      </w:r>
      <w:r w:rsidR="002569F9" w:rsidRPr="00E7767C">
        <w:rPr>
          <w:iCs/>
        </w:rPr>
        <w:t xml:space="preserve"> compared with placebo</w:t>
      </w:r>
      <w:r w:rsidRPr="00E7767C">
        <w:rPr>
          <w:iCs/>
        </w:rPr>
        <w:t xml:space="preserve"> in this treatment setting. However, the </w:t>
      </w:r>
      <w:r w:rsidR="00AC4197" w:rsidRPr="00E7767C">
        <w:rPr>
          <w:iCs/>
        </w:rPr>
        <w:t xml:space="preserve">clinical relevance </w:t>
      </w:r>
      <w:r w:rsidRPr="00E7767C">
        <w:rPr>
          <w:iCs/>
        </w:rPr>
        <w:t xml:space="preserve">of this benefit was unclear due primarily to the lack of </w:t>
      </w:r>
      <w:r w:rsidR="00592883" w:rsidRPr="00E7767C">
        <w:rPr>
          <w:iCs/>
        </w:rPr>
        <w:t>currently available OS data</w:t>
      </w:r>
      <w:r w:rsidR="00DF4F3D">
        <w:rPr>
          <w:iCs/>
        </w:rPr>
        <w:t>.</w:t>
      </w:r>
      <w:r w:rsidR="00156F87">
        <w:rPr>
          <w:iCs/>
        </w:rPr>
        <w:t xml:space="preserve"> </w:t>
      </w:r>
      <w:r w:rsidR="00156F87" w:rsidRPr="00925F8E">
        <w:rPr>
          <w:iCs/>
        </w:rPr>
        <w:t xml:space="preserve">The </w:t>
      </w:r>
      <w:r w:rsidR="00CA51C1">
        <w:rPr>
          <w:iCs/>
        </w:rPr>
        <w:t xml:space="preserve">Pre-Sub </w:t>
      </w:r>
      <w:r w:rsidR="00CA51C1">
        <w:rPr>
          <w:iCs/>
        </w:rPr>
        <w:lastRenderedPageBreak/>
        <w:t>Committee Response (</w:t>
      </w:r>
      <w:r w:rsidR="00156F87" w:rsidRPr="00925F8E">
        <w:rPr>
          <w:iCs/>
        </w:rPr>
        <w:t>PSCR</w:t>
      </w:r>
      <w:r w:rsidR="00CA51C1">
        <w:rPr>
          <w:iCs/>
        </w:rPr>
        <w:t>)</w:t>
      </w:r>
      <w:r w:rsidR="00156F87" w:rsidRPr="00925F8E">
        <w:rPr>
          <w:iCs/>
        </w:rPr>
        <w:t xml:space="preserve"> </w:t>
      </w:r>
      <w:r w:rsidR="00F4582C" w:rsidRPr="00925F8E">
        <w:rPr>
          <w:iCs/>
        </w:rPr>
        <w:t>stated that</w:t>
      </w:r>
      <w:r w:rsidR="00156F87" w:rsidRPr="00925F8E">
        <w:rPr>
          <w:iCs/>
        </w:rPr>
        <w:t xml:space="preserve"> OS data will be available when 460 events are observed (estimated to occur in 2024). The</w:t>
      </w:r>
      <w:r w:rsidR="005E19FB" w:rsidRPr="00925F8E">
        <w:rPr>
          <w:iCs/>
        </w:rPr>
        <w:t xml:space="preserve"> ESC noted the</w:t>
      </w:r>
      <w:r w:rsidR="00156F87" w:rsidRPr="00925F8E">
        <w:rPr>
          <w:iCs/>
        </w:rPr>
        <w:t xml:space="preserve"> </w:t>
      </w:r>
      <w:r w:rsidR="00F4582C" w:rsidRPr="00925F8E">
        <w:rPr>
          <w:iCs/>
        </w:rPr>
        <w:t xml:space="preserve">pooled </w:t>
      </w:r>
      <w:r w:rsidR="00156F87" w:rsidRPr="00925F8E">
        <w:rPr>
          <w:iCs/>
        </w:rPr>
        <w:t>analyses in the treatment of OC and GOJC (Leung</w:t>
      </w:r>
      <w:r w:rsidR="00F4582C" w:rsidRPr="00925F8E">
        <w:rPr>
          <w:iCs/>
        </w:rPr>
        <w:t xml:space="preserve"> et al</w:t>
      </w:r>
      <w:r w:rsidR="00156F87" w:rsidRPr="00925F8E">
        <w:rPr>
          <w:iCs/>
        </w:rPr>
        <w:t xml:space="preserve"> 2021 and </w:t>
      </w:r>
      <w:proofErr w:type="spellStart"/>
      <w:r w:rsidR="00156F87" w:rsidRPr="00925F8E">
        <w:rPr>
          <w:iCs/>
        </w:rPr>
        <w:t>Ronellenfitsch</w:t>
      </w:r>
      <w:proofErr w:type="spellEnd"/>
      <w:r w:rsidR="00F4582C" w:rsidRPr="00925F8E">
        <w:rPr>
          <w:iCs/>
        </w:rPr>
        <w:t xml:space="preserve"> et al</w:t>
      </w:r>
      <w:r w:rsidR="00156F87" w:rsidRPr="00925F8E">
        <w:rPr>
          <w:iCs/>
        </w:rPr>
        <w:t xml:space="preserve"> 2019) and gastric cancer (Oba</w:t>
      </w:r>
      <w:r w:rsidR="00F4582C" w:rsidRPr="00925F8E">
        <w:rPr>
          <w:iCs/>
        </w:rPr>
        <w:t xml:space="preserve"> et al</w:t>
      </w:r>
      <w:r w:rsidR="00156F87" w:rsidRPr="00925F8E">
        <w:rPr>
          <w:iCs/>
        </w:rPr>
        <w:t xml:space="preserve"> 2013) </w:t>
      </w:r>
      <w:r w:rsidR="00F4582C" w:rsidRPr="00925F8E">
        <w:rPr>
          <w:iCs/>
        </w:rPr>
        <w:t>referenced in th</w:t>
      </w:r>
      <w:r w:rsidR="00A60B6A" w:rsidRPr="00925F8E">
        <w:rPr>
          <w:iCs/>
        </w:rPr>
        <w:t>e</w:t>
      </w:r>
      <w:r w:rsidR="00156F87" w:rsidRPr="00925F8E">
        <w:rPr>
          <w:iCs/>
        </w:rPr>
        <w:t xml:space="preserve"> PSCR </w:t>
      </w:r>
      <w:r w:rsidR="005E19FB" w:rsidRPr="00925F8E">
        <w:rPr>
          <w:iCs/>
        </w:rPr>
        <w:t xml:space="preserve">to support the claim of a strong positive correlation between </w:t>
      </w:r>
      <w:r w:rsidR="00156F87" w:rsidRPr="00925F8E">
        <w:rPr>
          <w:iCs/>
        </w:rPr>
        <w:t xml:space="preserve">DFS </w:t>
      </w:r>
      <w:r w:rsidR="005E19FB" w:rsidRPr="00925F8E">
        <w:rPr>
          <w:iCs/>
        </w:rPr>
        <w:t>and</w:t>
      </w:r>
      <w:r w:rsidR="00156F87" w:rsidRPr="00925F8E">
        <w:rPr>
          <w:iCs/>
        </w:rPr>
        <w:t xml:space="preserve"> OS</w:t>
      </w:r>
      <w:r w:rsidR="005E19FB" w:rsidRPr="00925F8E">
        <w:rPr>
          <w:iCs/>
        </w:rPr>
        <w:t xml:space="preserve"> in this setting</w:t>
      </w:r>
      <w:r w:rsidR="00156F87" w:rsidRPr="00925F8E">
        <w:rPr>
          <w:iCs/>
        </w:rPr>
        <w:t>.</w:t>
      </w:r>
      <w:r w:rsidR="004D133E" w:rsidRPr="00925F8E">
        <w:rPr>
          <w:iCs/>
        </w:rPr>
        <w:t xml:space="preserve"> However, it also noted these studies were conducted for chemotherapies</w:t>
      </w:r>
      <w:r w:rsidR="00F4582C" w:rsidRPr="00925F8E">
        <w:rPr>
          <w:iCs/>
        </w:rPr>
        <w:t xml:space="preserve"> and considered that the studies may not be applicable to</w:t>
      </w:r>
      <w:r w:rsidR="004D133E" w:rsidRPr="00925F8E">
        <w:rPr>
          <w:iCs/>
        </w:rPr>
        <w:t xml:space="preserve"> immunotherapy.</w:t>
      </w:r>
      <w:r w:rsidRPr="00925F8E">
        <w:rPr>
          <w:iCs/>
        </w:rPr>
        <w:t xml:space="preserve"> </w:t>
      </w:r>
      <w:r w:rsidR="00753CD5" w:rsidRPr="00753CD5">
        <w:rPr>
          <w:iCs/>
        </w:rPr>
        <w:t xml:space="preserve">The PBAC </w:t>
      </w:r>
      <w:r w:rsidR="00753CD5">
        <w:rPr>
          <w:iCs/>
        </w:rPr>
        <w:t xml:space="preserve">agreed with the ESC </w:t>
      </w:r>
      <w:r w:rsidR="00753CD5" w:rsidRPr="00753CD5">
        <w:rPr>
          <w:iCs/>
        </w:rPr>
        <w:t>that the relationship between DFS and OS observed for adjuvant chemotherapy does not necessarily hold for adjuvant immunotherapy, and further the relationship will be impacted by subsequent therapy, including immunotherapy, received in the metastatic setting for patients who have disease recurrence</w:t>
      </w:r>
      <w:r w:rsidR="00753CD5">
        <w:rPr>
          <w:iCs/>
        </w:rPr>
        <w:t>.</w:t>
      </w:r>
    </w:p>
    <w:p w14:paraId="2F2147B8" w14:textId="4FA8778E" w:rsidR="00172C1C" w:rsidRPr="0054463B" w:rsidRDefault="00172C1C" w:rsidP="00172C1C">
      <w:pPr>
        <w:pStyle w:val="3-BodyText"/>
      </w:pPr>
      <w:r w:rsidRPr="00E7767C">
        <w:rPr>
          <w:iCs/>
        </w:rPr>
        <w:t xml:space="preserve">Based on the CM-577 trial results </w:t>
      </w:r>
      <w:r w:rsidR="00A60B6A" w:rsidRPr="00925F8E">
        <w:rPr>
          <w:iCs/>
        </w:rPr>
        <w:t>the ESC considered</w:t>
      </w:r>
      <w:r w:rsidR="00A60B6A">
        <w:rPr>
          <w:iCs/>
        </w:rPr>
        <w:t xml:space="preserve"> </w:t>
      </w:r>
      <w:r w:rsidRPr="00E7767C">
        <w:rPr>
          <w:iCs/>
        </w:rPr>
        <w:t xml:space="preserve">a claim of inferior </w:t>
      </w:r>
      <w:r w:rsidR="00D75BE0" w:rsidRPr="00E7767C">
        <w:rPr>
          <w:iCs/>
        </w:rPr>
        <w:t xml:space="preserve">safety </w:t>
      </w:r>
      <w:r w:rsidRPr="00E7767C">
        <w:rPr>
          <w:iCs/>
        </w:rPr>
        <w:t xml:space="preserve">was reasonable. </w:t>
      </w:r>
    </w:p>
    <w:p w14:paraId="39CC0751" w14:textId="16CF5D33" w:rsidR="0054463B" w:rsidRPr="001F4597" w:rsidRDefault="0054463B" w:rsidP="0054463B">
      <w:pPr>
        <w:widowControl w:val="0"/>
        <w:numPr>
          <w:ilvl w:val="1"/>
          <w:numId w:val="1"/>
        </w:numPr>
        <w:spacing w:after="120"/>
        <w:rPr>
          <w:rFonts w:asciiTheme="minorHAnsi" w:hAnsiTheme="minorHAnsi"/>
          <w:snapToGrid w:val="0"/>
          <w:szCs w:val="20"/>
        </w:rPr>
      </w:pPr>
      <w:bookmarkStart w:id="34" w:name="_Hlk76376200"/>
      <w:r w:rsidRPr="001F4597">
        <w:rPr>
          <w:rFonts w:asciiTheme="minorHAnsi" w:hAnsiTheme="minorHAnsi"/>
          <w:iCs/>
          <w:snapToGrid w:val="0"/>
        </w:rPr>
        <w:t>The</w:t>
      </w:r>
      <w:r w:rsidRPr="001F4597">
        <w:rPr>
          <w:rFonts w:asciiTheme="minorHAnsi" w:hAnsiTheme="minorHAnsi"/>
          <w:snapToGrid w:val="0"/>
          <w:szCs w:val="20"/>
        </w:rPr>
        <w:t xml:space="preserve"> PBAC considered that the claim of superior comparative effectiveness was reasonable</w:t>
      </w:r>
      <w:r w:rsidR="000B7014" w:rsidRPr="001F4597">
        <w:rPr>
          <w:rFonts w:asciiTheme="minorHAnsi" w:hAnsiTheme="minorHAnsi"/>
          <w:snapToGrid w:val="0"/>
          <w:szCs w:val="20"/>
        </w:rPr>
        <w:t>.</w:t>
      </w:r>
    </w:p>
    <w:p w14:paraId="0CFF50D1" w14:textId="393D2BFC" w:rsidR="0054463B" w:rsidRPr="001F4597" w:rsidRDefault="0054463B" w:rsidP="0054463B">
      <w:pPr>
        <w:widowControl w:val="0"/>
        <w:numPr>
          <w:ilvl w:val="1"/>
          <w:numId w:val="1"/>
        </w:numPr>
        <w:spacing w:after="120"/>
        <w:rPr>
          <w:rFonts w:asciiTheme="minorHAnsi" w:hAnsiTheme="minorHAnsi"/>
          <w:snapToGrid w:val="0"/>
          <w:szCs w:val="20"/>
        </w:rPr>
      </w:pPr>
      <w:r w:rsidRPr="001F4597">
        <w:rPr>
          <w:rFonts w:asciiTheme="minorHAnsi" w:hAnsiTheme="minorHAnsi"/>
          <w:snapToGrid w:val="0"/>
          <w:szCs w:val="20"/>
        </w:rPr>
        <w:t xml:space="preserve">The PBAC considered that the claim of </w:t>
      </w:r>
      <w:r w:rsidR="00ED4593" w:rsidRPr="001F4597">
        <w:rPr>
          <w:rFonts w:asciiTheme="minorHAnsi" w:hAnsiTheme="minorHAnsi"/>
          <w:snapToGrid w:val="0"/>
          <w:szCs w:val="20"/>
        </w:rPr>
        <w:t>inferior comparative</w:t>
      </w:r>
      <w:r w:rsidRPr="001F4597">
        <w:rPr>
          <w:rFonts w:asciiTheme="minorHAnsi" w:hAnsiTheme="minorHAnsi"/>
          <w:snapToGrid w:val="0"/>
          <w:szCs w:val="20"/>
        </w:rPr>
        <w:t xml:space="preserve"> safety was reasonable</w:t>
      </w:r>
      <w:bookmarkEnd w:id="34"/>
      <w:r w:rsidR="000B7014" w:rsidRPr="001F4597">
        <w:rPr>
          <w:rFonts w:asciiTheme="minorHAnsi" w:hAnsiTheme="minorHAnsi"/>
          <w:snapToGrid w:val="0"/>
          <w:szCs w:val="20"/>
        </w:rPr>
        <w:t>.</w:t>
      </w:r>
    </w:p>
    <w:p w14:paraId="2AC938F5" w14:textId="77777777" w:rsidR="00172C1C" w:rsidRPr="00A12D51" w:rsidRDefault="00172C1C" w:rsidP="00172C1C">
      <w:pPr>
        <w:pStyle w:val="4-SubsectionHeading"/>
      </w:pPr>
      <w:bookmarkStart w:id="35" w:name="_Toc22897645"/>
      <w:bookmarkStart w:id="36" w:name="_Toc103767693"/>
      <w:r w:rsidRPr="00C9624D">
        <w:t>Economic analysis</w:t>
      </w:r>
      <w:bookmarkEnd w:id="35"/>
      <w:bookmarkEnd w:id="36"/>
      <w:r w:rsidRPr="00C9624D">
        <w:t xml:space="preserve"> </w:t>
      </w:r>
    </w:p>
    <w:p w14:paraId="049AE40D" w14:textId="04DD366A" w:rsidR="00172C1C" w:rsidRPr="00D24E15" w:rsidRDefault="00172C1C" w:rsidP="00172C1C">
      <w:pPr>
        <w:pStyle w:val="3-BodyText"/>
      </w:pPr>
      <w:bookmarkStart w:id="37" w:name="_Ref106782827"/>
      <w:r w:rsidRPr="00A12D51">
        <w:t>The submission presented a</w:t>
      </w:r>
      <w:r w:rsidR="002569F9">
        <w:t xml:space="preserve"> stepped economic evaluation based on the direct randomised trial (CM-577). The type of economic evaluation presented was a </w:t>
      </w:r>
      <w:r w:rsidRPr="00A12D51">
        <w:t>cost</w:t>
      </w:r>
      <w:r w:rsidR="002569F9">
        <w:t>-</w:t>
      </w:r>
      <w:r w:rsidRPr="00A12D51">
        <w:t>utility analysis</w:t>
      </w:r>
      <w:r w:rsidR="002569F9">
        <w:t>. The key components of the economic evaluation are presented</w:t>
      </w:r>
      <w:r w:rsidR="00D24E15">
        <w:t xml:space="preserve"> in </w:t>
      </w:r>
      <w:r w:rsidR="00D24E15">
        <w:fldChar w:fldCharType="begin"/>
      </w:r>
      <w:r w:rsidR="00D24E15">
        <w:instrText xml:space="preserve"> REF _Ref101037129 \h  \* MERGEFORMAT </w:instrText>
      </w:r>
      <w:r w:rsidR="00D24E15">
        <w:fldChar w:fldCharType="separate"/>
      </w:r>
      <w:r w:rsidR="00267758" w:rsidRPr="00267758">
        <w:t>Table 8</w:t>
      </w:r>
      <w:r w:rsidR="00D24E15">
        <w:fldChar w:fldCharType="end"/>
      </w:r>
      <w:r w:rsidRPr="00A12D51">
        <w:t>.</w:t>
      </w:r>
      <w:bookmarkEnd w:id="37"/>
    </w:p>
    <w:p w14:paraId="452B806B" w14:textId="3A6CE0AD" w:rsidR="00172C1C" w:rsidRPr="00604030" w:rsidRDefault="00172C1C" w:rsidP="00172C1C">
      <w:pPr>
        <w:pStyle w:val="TableFigureHeading"/>
        <w:rPr>
          <w:rStyle w:val="CommentReference"/>
          <w:b/>
          <w:bCs w:val="0"/>
        </w:rPr>
      </w:pPr>
      <w:bookmarkStart w:id="38" w:name="_Ref101037129"/>
      <w:r w:rsidRPr="00604030">
        <w:rPr>
          <w:rStyle w:val="CommentReference"/>
          <w:b/>
          <w:bCs w:val="0"/>
        </w:rPr>
        <w:t xml:space="preserve">Table </w:t>
      </w:r>
      <w:r w:rsidRPr="00604030">
        <w:rPr>
          <w:rStyle w:val="CommentReference"/>
          <w:b/>
          <w:bCs w:val="0"/>
        </w:rPr>
        <w:fldChar w:fldCharType="begin"/>
      </w:r>
      <w:r w:rsidRPr="00604030">
        <w:rPr>
          <w:rStyle w:val="CommentReference"/>
          <w:b/>
          <w:bCs w:val="0"/>
        </w:rPr>
        <w:instrText xml:space="preserve"> SEQ Table \* MERGEFORMAT </w:instrText>
      </w:r>
      <w:r w:rsidRPr="00604030">
        <w:rPr>
          <w:rStyle w:val="CommentReference"/>
          <w:b/>
          <w:bCs w:val="0"/>
        </w:rPr>
        <w:fldChar w:fldCharType="separate"/>
      </w:r>
      <w:r w:rsidR="00267758">
        <w:rPr>
          <w:rStyle w:val="CommentReference"/>
          <w:b/>
          <w:bCs w:val="0"/>
          <w:noProof/>
        </w:rPr>
        <w:t>8</w:t>
      </w:r>
      <w:r w:rsidRPr="00604030">
        <w:rPr>
          <w:rStyle w:val="CommentReference"/>
          <w:b/>
          <w:bCs w:val="0"/>
        </w:rPr>
        <w:fldChar w:fldCharType="end"/>
      </w:r>
      <w:bookmarkEnd w:id="38"/>
      <w:r w:rsidRPr="00604030">
        <w:rPr>
          <w:rStyle w:val="CommentReference"/>
          <w:b/>
          <w:bCs w:val="0"/>
        </w:rPr>
        <w:t xml:space="preserve">: Summary of model structure, key </w:t>
      </w:r>
      <w:proofErr w:type="gramStart"/>
      <w:r w:rsidRPr="00604030">
        <w:rPr>
          <w:rStyle w:val="CommentReference"/>
          <w:b/>
          <w:bCs w:val="0"/>
        </w:rPr>
        <w:t>inputs</w:t>
      </w:r>
      <w:proofErr w:type="gramEnd"/>
      <w:r w:rsidRPr="00604030">
        <w:rPr>
          <w:rStyle w:val="CommentReference"/>
          <w:b/>
          <w:bCs w:val="0"/>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26"/>
        <w:gridCol w:w="7491"/>
      </w:tblGrid>
      <w:tr w:rsidR="00172C1C" w:rsidRPr="003D1DE4" w14:paraId="5545776D" w14:textId="77777777" w:rsidTr="00A0461D">
        <w:trPr>
          <w:tblHeader/>
        </w:trPr>
        <w:tc>
          <w:tcPr>
            <w:tcW w:w="846" w:type="pct"/>
            <w:shd w:val="clear" w:color="auto" w:fill="auto"/>
            <w:vAlign w:val="center"/>
          </w:tcPr>
          <w:p w14:paraId="30EA5D77" w14:textId="77777777" w:rsidR="00172C1C" w:rsidRPr="00641FB3" w:rsidRDefault="00172C1C" w:rsidP="00763516">
            <w:pPr>
              <w:pStyle w:val="In-tableHeading"/>
              <w:keepNext w:val="0"/>
            </w:pPr>
            <w:r w:rsidRPr="00641FB3">
              <w:t>Component</w:t>
            </w:r>
          </w:p>
        </w:tc>
        <w:tc>
          <w:tcPr>
            <w:tcW w:w="4154" w:type="pct"/>
            <w:shd w:val="clear" w:color="auto" w:fill="auto"/>
            <w:vAlign w:val="center"/>
          </w:tcPr>
          <w:p w14:paraId="2A107AD8" w14:textId="77777777" w:rsidR="00172C1C" w:rsidRPr="00641FB3" w:rsidRDefault="00172C1C" w:rsidP="00763516">
            <w:pPr>
              <w:pStyle w:val="In-tableHeading"/>
              <w:keepNext w:val="0"/>
            </w:pPr>
            <w:r w:rsidRPr="00641FB3">
              <w:t>Summary</w:t>
            </w:r>
          </w:p>
        </w:tc>
      </w:tr>
      <w:tr w:rsidR="00172C1C" w:rsidRPr="00E2771E" w14:paraId="4894B40C" w14:textId="77777777" w:rsidTr="00A0461D">
        <w:tc>
          <w:tcPr>
            <w:tcW w:w="846" w:type="pct"/>
            <w:shd w:val="clear" w:color="auto" w:fill="auto"/>
            <w:vAlign w:val="center"/>
          </w:tcPr>
          <w:p w14:paraId="65036AF6" w14:textId="77777777" w:rsidR="00172C1C" w:rsidRPr="00E2771E" w:rsidRDefault="00172C1C" w:rsidP="00763516">
            <w:pPr>
              <w:pStyle w:val="TableText0"/>
              <w:keepNext w:val="0"/>
            </w:pPr>
            <w:r>
              <w:t>Treatments</w:t>
            </w:r>
          </w:p>
        </w:tc>
        <w:tc>
          <w:tcPr>
            <w:tcW w:w="4154" w:type="pct"/>
            <w:shd w:val="clear" w:color="auto" w:fill="auto"/>
            <w:vAlign w:val="center"/>
          </w:tcPr>
          <w:p w14:paraId="4F2B3B74" w14:textId="7AF058FB" w:rsidR="00172C1C" w:rsidRPr="00E2771E" w:rsidRDefault="00604030" w:rsidP="00763516">
            <w:pPr>
              <w:pStyle w:val="TableText0"/>
              <w:keepNext w:val="0"/>
            </w:pPr>
            <w:r>
              <w:t xml:space="preserve">Nivolumab </w:t>
            </w:r>
            <w:r w:rsidR="005D40E8">
              <w:t>for up to one year compared to standard of care (</w:t>
            </w:r>
            <w:r w:rsidR="00625736">
              <w:t>‘watch and wait’</w:t>
            </w:r>
            <w:r w:rsidR="005D40E8">
              <w:t xml:space="preserve">) </w:t>
            </w:r>
          </w:p>
        </w:tc>
      </w:tr>
      <w:tr w:rsidR="00172C1C" w:rsidRPr="004C54EE" w14:paraId="269B930A" w14:textId="77777777" w:rsidTr="00A0461D">
        <w:tblPrEx>
          <w:tblLook w:val="0000" w:firstRow="0" w:lastRow="0" w:firstColumn="0" w:lastColumn="0" w:noHBand="0" w:noVBand="0"/>
        </w:tblPrEx>
        <w:tc>
          <w:tcPr>
            <w:tcW w:w="846" w:type="pct"/>
            <w:vAlign w:val="center"/>
          </w:tcPr>
          <w:p w14:paraId="0BCC0136" w14:textId="77777777" w:rsidR="00172C1C" w:rsidRPr="004C54EE" w:rsidRDefault="00172C1C" w:rsidP="00763516">
            <w:pPr>
              <w:pStyle w:val="TableText0"/>
              <w:keepNext w:val="0"/>
            </w:pPr>
            <w:r w:rsidRPr="004C54EE">
              <w:t>Outcomes</w:t>
            </w:r>
          </w:p>
        </w:tc>
        <w:tc>
          <w:tcPr>
            <w:tcW w:w="4154" w:type="pct"/>
            <w:vAlign w:val="center"/>
          </w:tcPr>
          <w:p w14:paraId="2C5727B8" w14:textId="77777777" w:rsidR="00172C1C" w:rsidRPr="004C54EE" w:rsidRDefault="00172C1C" w:rsidP="00763516">
            <w:pPr>
              <w:pStyle w:val="TableText0"/>
              <w:keepNext w:val="0"/>
            </w:pPr>
            <w:r w:rsidRPr="004C54EE">
              <w:t>Life years gained, quality-adjusted life years</w:t>
            </w:r>
          </w:p>
        </w:tc>
      </w:tr>
      <w:tr w:rsidR="00172C1C" w:rsidRPr="004C54EE" w14:paraId="12797D73" w14:textId="77777777" w:rsidTr="00A0461D">
        <w:tblPrEx>
          <w:tblLook w:val="0000" w:firstRow="0" w:lastRow="0" w:firstColumn="0" w:lastColumn="0" w:noHBand="0" w:noVBand="0"/>
        </w:tblPrEx>
        <w:tc>
          <w:tcPr>
            <w:tcW w:w="846" w:type="pct"/>
            <w:vAlign w:val="center"/>
          </w:tcPr>
          <w:p w14:paraId="3964AE44" w14:textId="77777777" w:rsidR="00172C1C" w:rsidRPr="004C54EE" w:rsidRDefault="00172C1C" w:rsidP="00763516">
            <w:pPr>
              <w:pStyle w:val="TableText0"/>
              <w:keepNext w:val="0"/>
            </w:pPr>
            <w:r w:rsidRPr="004C54EE">
              <w:t>Time horizon</w:t>
            </w:r>
          </w:p>
        </w:tc>
        <w:tc>
          <w:tcPr>
            <w:tcW w:w="4154" w:type="pct"/>
            <w:vAlign w:val="center"/>
          </w:tcPr>
          <w:p w14:paraId="667E330E" w14:textId="6262815F" w:rsidR="00172C1C" w:rsidRPr="00F26D5A" w:rsidRDefault="00172C1C" w:rsidP="00763516">
            <w:pPr>
              <w:pStyle w:val="TableText0"/>
              <w:keepNext w:val="0"/>
              <w:rPr>
                <w:i/>
                <w:iCs/>
              </w:rPr>
            </w:pPr>
            <w:r w:rsidRPr="004C54EE">
              <w:t>25 years in the model base case</w:t>
            </w:r>
            <w:r w:rsidR="002156E1" w:rsidRPr="004C54EE">
              <w:t xml:space="preserve"> </w:t>
            </w:r>
            <w:r w:rsidR="002156E1">
              <w:t xml:space="preserve">versus a median follow-up of 32.2 months in the </w:t>
            </w:r>
            <w:r w:rsidR="002156E1" w:rsidRPr="004C54EE">
              <w:t xml:space="preserve">CM-577 trial </w:t>
            </w:r>
            <w:r w:rsidRPr="004C54EE">
              <w:t>(the February 2021</w:t>
            </w:r>
            <w:r w:rsidR="002156E1">
              <w:t xml:space="preserve"> data cut)</w:t>
            </w:r>
            <w:r w:rsidR="00F26D5A">
              <w:t xml:space="preserve">. </w:t>
            </w:r>
          </w:p>
        </w:tc>
      </w:tr>
      <w:tr w:rsidR="00172C1C" w:rsidRPr="004C54EE" w14:paraId="4F277EC2" w14:textId="77777777" w:rsidTr="00A0461D">
        <w:tblPrEx>
          <w:tblLook w:val="0000" w:firstRow="0" w:lastRow="0" w:firstColumn="0" w:lastColumn="0" w:noHBand="0" w:noVBand="0"/>
        </w:tblPrEx>
        <w:tc>
          <w:tcPr>
            <w:tcW w:w="846" w:type="pct"/>
            <w:vAlign w:val="center"/>
          </w:tcPr>
          <w:p w14:paraId="59CE64B1" w14:textId="77777777" w:rsidR="00172C1C" w:rsidRPr="004C54EE" w:rsidRDefault="00172C1C" w:rsidP="00763516">
            <w:pPr>
              <w:pStyle w:val="TableText0"/>
              <w:keepNext w:val="0"/>
            </w:pPr>
            <w:r w:rsidRPr="004C54EE">
              <w:t>Methods used to generate results</w:t>
            </w:r>
          </w:p>
        </w:tc>
        <w:tc>
          <w:tcPr>
            <w:tcW w:w="4154" w:type="pct"/>
            <w:vAlign w:val="center"/>
          </w:tcPr>
          <w:p w14:paraId="5DF9B1D1" w14:textId="04ADCA48" w:rsidR="00172C1C" w:rsidRPr="004C54EE" w:rsidRDefault="00172C1C" w:rsidP="00763516">
            <w:pPr>
              <w:pStyle w:val="TableText0"/>
              <w:keepNext w:val="0"/>
            </w:pPr>
            <w:r w:rsidRPr="004C54EE">
              <w:t>A three-health state Markov model; costs and health effects (utility values)</w:t>
            </w:r>
            <w:r w:rsidR="005A6DD0">
              <w:t>.</w:t>
            </w:r>
          </w:p>
        </w:tc>
      </w:tr>
      <w:tr w:rsidR="00172C1C" w:rsidRPr="004C54EE" w14:paraId="79B0C7A5" w14:textId="77777777" w:rsidTr="00A0461D">
        <w:tblPrEx>
          <w:tblLook w:val="0000" w:firstRow="0" w:lastRow="0" w:firstColumn="0" w:lastColumn="0" w:noHBand="0" w:noVBand="0"/>
        </w:tblPrEx>
        <w:tc>
          <w:tcPr>
            <w:tcW w:w="846" w:type="pct"/>
            <w:vAlign w:val="center"/>
          </w:tcPr>
          <w:p w14:paraId="3936BE88" w14:textId="77777777" w:rsidR="00172C1C" w:rsidRPr="004C54EE" w:rsidRDefault="00172C1C" w:rsidP="00763516">
            <w:pPr>
              <w:pStyle w:val="TableText0"/>
              <w:keepNext w:val="0"/>
            </w:pPr>
            <w:r w:rsidRPr="004C54EE">
              <w:t>Health states</w:t>
            </w:r>
          </w:p>
        </w:tc>
        <w:tc>
          <w:tcPr>
            <w:tcW w:w="4154" w:type="pct"/>
            <w:vAlign w:val="center"/>
          </w:tcPr>
          <w:p w14:paraId="04382A05" w14:textId="7C4362BE" w:rsidR="00172C1C" w:rsidRPr="00CE41A3" w:rsidRDefault="00172C1C" w:rsidP="00763516">
            <w:pPr>
              <w:pStyle w:val="TableText0"/>
              <w:keepNext w:val="0"/>
              <w:rPr>
                <w:i/>
                <w:iCs/>
              </w:rPr>
            </w:pPr>
            <w:r w:rsidRPr="004C54EE">
              <w:t>Pre-recurrence, post-recurrence, death</w:t>
            </w:r>
            <w:r w:rsidR="002569F9">
              <w:t>.</w:t>
            </w:r>
            <w:r w:rsidR="00CE41A3">
              <w:t xml:space="preserve"> </w:t>
            </w:r>
            <w:r w:rsidR="00CE41A3" w:rsidRPr="00925F8E">
              <w:t>The ESC considered it reasonable to combine locoregional and distant metastases in</w:t>
            </w:r>
            <w:r w:rsidR="00641A27" w:rsidRPr="00925F8E">
              <w:t>to</w:t>
            </w:r>
            <w:r w:rsidR="00CE41A3" w:rsidRPr="00925F8E">
              <w:t xml:space="preserve"> one disease health state, as it was considered that </w:t>
            </w:r>
            <w:r w:rsidR="00641A27" w:rsidRPr="00925F8E">
              <w:t>a recurrence, local or distant, in this setting is generally non-curative and therefore a similar progression of disease can be assumed for all patients.</w:t>
            </w:r>
            <w:r w:rsidR="00250C85" w:rsidRPr="00925F8E">
              <w:t xml:space="preserve"> The ESC noted only a small proportion of recurrences would be local in this population given the nature of the surgical resection.</w:t>
            </w:r>
            <w:r w:rsidR="00250C85">
              <w:rPr>
                <w:i/>
                <w:iCs/>
              </w:rPr>
              <w:t xml:space="preserve">    </w:t>
            </w:r>
          </w:p>
        </w:tc>
      </w:tr>
      <w:tr w:rsidR="00172C1C" w:rsidRPr="004C54EE" w14:paraId="5D1FFF9D" w14:textId="77777777" w:rsidTr="00A0461D">
        <w:tblPrEx>
          <w:tblLook w:val="0000" w:firstRow="0" w:lastRow="0" w:firstColumn="0" w:lastColumn="0" w:noHBand="0" w:noVBand="0"/>
        </w:tblPrEx>
        <w:tc>
          <w:tcPr>
            <w:tcW w:w="846" w:type="pct"/>
            <w:vAlign w:val="center"/>
          </w:tcPr>
          <w:p w14:paraId="0DE8103D" w14:textId="77777777" w:rsidR="00172C1C" w:rsidRPr="004C54EE" w:rsidRDefault="00172C1C" w:rsidP="00763516">
            <w:pPr>
              <w:pStyle w:val="TableText0"/>
              <w:keepNext w:val="0"/>
            </w:pPr>
            <w:r w:rsidRPr="004C54EE">
              <w:t>Cycle length</w:t>
            </w:r>
          </w:p>
        </w:tc>
        <w:tc>
          <w:tcPr>
            <w:tcW w:w="4154" w:type="pct"/>
            <w:vAlign w:val="center"/>
          </w:tcPr>
          <w:p w14:paraId="1AC39B0D" w14:textId="1A35E16F" w:rsidR="00172C1C" w:rsidRPr="004C54EE" w:rsidRDefault="00172C1C" w:rsidP="00763516">
            <w:pPr>
              <w:pStyle w:val="TableText0"/>
              <w:keepNext w:val="0"/>
            </w:pPr>
            <w:r w:rsidRPr="004C54EE">
              <w:t>4 weekly for one year; 3 monthly thereafter</w:t>
            </w:r>
            <w:r w:rsidR="005A6DD0">
              <w:t>.</w:t>
            </w:r>
          </w:p>
        </w:tc>
      </w:tr>
      <w:tr w:rsidR="00172C1C" w:rsidRPr="004C54EE" w14:paraId="7733BD36" w14:textId="77777777" w:rsidTr="00A0461D">
        <w:tblPrEx>
          <w:tblLook w:val="0000" w:firstRow="0" w:lastRow="0" w:firstColumn="0" w:lastColumn="0" w:noHBand="0" w:noVBand="0"/>
        </w:tblPrEx>
        <w:tc>
          <w:tcPr>
            <w:tcW w:w="846" w:type="pct"/>
            <w:vAlign w:val="center"/>
          </w:tcPr>
          <w:p w14:paraId="2F9E0539" w14:textId="77777777" w:rsidR="00172C1C" w:rsidRPr="004C54EE" w:rsidRDefault="00172C1C" w:rsidP="00763516">
            <w:pPr>
              <w:pStyle w:val="TableText0"/>
              <w:keepNext w:val="0"/>
            </w:pPr>
            <w:r w:rsidRPr="004C54EE">
              <w:t>Transition probabilities</w:t>
            </w:r>
          </w:p>
        </w:tc>
        <w:tc>
          <w:tcPr>
            <w:tcW w:w="4154" w:type="pct"/>
            <w:vAlign w:val="center"/>
          </w:tcPr>
          <w:p w14:paraId="5C3B37B8" w14:textId="73A83654" w:rsidR="00172C1C" w:rsidRPr="004C54EE" w:rsidRDefault="00172C1C" w:rsidP="00763516">
            <w:pPr>
              <w:pStyle w:val="TableText0"/>
              <w:keepNext w:val="0"/>
            </w:pPr>
            <w:r w:rsidRPr="004C54EE">
              <w:t>Individual patient data</w:t>
            </w:r>
            <w:r w:rsidR="00212C42">
              <w:t xml:space="preserve"> </w:t>
            </w:r>
            <w:r w:rsidRPr="004C54EE">
              <w:t>for TTR from the CM-577 trial</w:t>
            </w:r>
            <w:r w:rsidR="00212C42">
              <w:t xml:space="preserve"> </w:t>
            </w:r>
            <w:r w:rsidR="00A40980">
              <w:t xml:space="preserve">(from the February 2021 analysis) </w:t>
            </w:r>
            <w:r w:rsidR="007230AD">
              <w:t xml:space="preserve">was used until </w:t>
            </w:r>
            <w:r w:rsidR="00212C42">
              <w:t>up to month 27 (</w:t>
            </w:r>
            <w:r w:rsidR="007230AD">
              <w:t>which was the median follow-up for TTR from the updated February 2021 database lock)</w:t>
            </w:r>
            <w:r w:rsidRPr="004C54EE">
              <w:t xml:space="preserve"> followed by extrapolation of TTR applied to individual treatment arms was used to determine the transitions from pre-recurrence to post-recurrence for a period of 5 years.</w:t>
            </w:r>
            <w:r w:rsidR="005C4862">
              <w:t xml:space="preserve"> </w:t>
            </w:r>
            <w:r w:rsidR="005C4862" w:rsidRPr="00584FE8">
              <w:t>After 5 years, patients in the pre-recurrence state were assumed to be cured and will not transition to post-recurrence but can still die.</w:t>
            </w:r>
            <w:r w:rsidR="00FD2F01">
              <w:t xml:space="preserve"> </w:t>
            </w:r>
          </w:p>
          <w:p w14:paraId="66D569C7" w14:textId="1AF38AD8" w:rsidR="00172C1C" w:rsidRPr="00BE2E41" w:rsidRDefault="00172C1C" w:rsidP="00763516">
            <w:pPr>
              <w:pStyle w:val="TableText0"/>
              <w:keepNext w:val="0"/>
              <w:rPr>
                <w:i/>
                <w:iCs/>
              </w:rPr>
            </w:pPr>
            <w:r w:rsidRPr="004C54EE">
              <w:t>Given there was no OS data available from CM-577 at the time of submission, transitions from post-recurrence to death were independent of treatment and informed in the base case by a real-world data registry set from the Netherlands</w:t>
            </w:r>
            <w:r w:rsidR="0041736C">
              <w:t xml:space="preserve"> (van </w:t>
            </w:r>
            <w:proofErr w:type="spellStart"/>
            <w:r w:rsidR="0041736C">
              <w:t>Putten</w:t>
            </w:r>
            <w:proofErr w:type="spellEnd"/>
            <w:r w:rsidR="0041736C">
              <w:t xml:space="preserve"> </w:t>
            </w:r>
            <w:r w:rsidR="005363E8">
              <w:t xml:space="preserve">et al </w:t>
            </w:r>
            <w:r w:rsidR="0041736C">
              <w:t>2018)</w:t>
            </w:r>
            <w:r w:rsidR="005A6DD0">
              <w:t>.</w:t>
            </w:r>
            <w:r w:rsidR="00DE3315">
              <w:t xml:space="preserve"> It was assumed that patients in the post-recurrence health</w:t>
            </w:r>
            <w:r w:rsidR="000D6154">
              <w:t xml:space="preserve"> state</w:t>
            </w:r>
            <w:r w:rsidR="00DE3315">
              <w:t xml:space="preserve"> could not be cured and maintained a constant death rate</w:t>
            </w:r>
            <w:r w:rsidR="00ED5200">
              <w:t xml:space="preserve">, calculated from van </w:t>
            </w:r>
            <w:proofErr w:type="spellStart"/>
            <w:r w:rsidR="00ED5200">
              <w:t>Putten</w:t>
            </w:r>
            <w:proofErr w:type="spellEnd"/>
            <w:r w:rsidR="005363E8">
              <w:t xml:space="preserve"> et al</w:t>
            </w:r>
            <w:r w:rsidR="00ED5200">
              <w:t>, 2018</w:t>
            </w:r>
            <w:r w:rsidR="00DE3315">
              <w:t>.</w:t>
            </w:r>
            <w:r w:rsidR="00BE2E41">
              <w:t xml:space="preserve"> </w:t>
            </w:r>
            <w:r w:rsidR="00BE2E41" w:rsidRPr="00925F8E">
              <w:t>The ESC noted that</w:t>
            </w:r>
            <w:r w:rsidR="004B5944" w:rsidRPr="00925F8E">
              <w:t xml:space="preserve"> the</w:t>
            </w:r>
            <w:r w:rsidR="00BE2E41" w:rsidRPr="00925F8E">
              <w:t xml:space="preserve"> Netherlands Cancer registry sourced for </w:t>
            </w:r>
            <w:r w:rsidR="004B5944" w:rsidRPr="00925F8E">
              <w:t xml:space="preserve">the transition </w:t>
            </w:r>
            <w:r w:rsidR="004B5944" w:rsidRPr="00925F8E">
              <w:lastRenderedPageBreak/>
              <w:t xml:space="preserve">between </w:t>
            </w:r>
            <w:r w:rsidR="00BE2E41" w:rsidRPr="00925F8E">
              <w:t xml:space="preserve">post-recurrence </w:t>
            </w:r>
            <w:r w:rsidR="004B5944" w:rsidRPr="00925F8E">
              <w:t>and</w:t>
            </w:r>
            <w:r w:rsidR="00BE2E41" w:rsidRPr="00925F8E">
              <w:t xml:space="preserve"> death was based on 2010−2014</w:t>
            </w:r>
            <w:r w:rsidR="00F11247" w:rsidRPr="00925F8E">
              <w:t xml:space="preserve"> data</w:t>
            </w:r>
            <w:r w:rsidR="00BE2E41" w:rsidRPr="00925F8E">
              <w:t xml:space="preserve">. As these data </w:t>
            </w:r>
            <w:r w:rsidR="00D225C3" w:rsidRPr="00925F8E">
              <w:t>d</w:t>
            </w:r>
            <w:r w:rsidR="00BE2E41" w:rsidRPr="00925F8E">
              <w:t xml:space="preserve">o not reflect current practice with immunotherapy in the metastatic setting these transitions </w:t>
            </w:r>
            <w:r w:rsidR="004B5944" w:rsidRPr="00925F8E">
              <w:t>are likely</w:t>
            </w:r>
            <w:r w:rsidR="00BE2E41" w:rsidRPr="00925F8E">
              <w:t xml:space="preserve"> </w:t>
            </w:r>
            <w:r w:rsidR="004B5944" w:rsidRPr="00925F8E">
              <w:t xml:space="preserve">to have been </w:t>
            </w:r>
            <w:r w:rsidR="00BE2E41" w:rsidRPr="00925F8E">
              <w:t>overestimated.</w:t>
            </w:r>
            <w:r w:rsidR="00BE2E41">
              <w:rPr>
                <w:i/>
                <w:iCs/>
              </w:rPr>
              <w:t xml:space="preserve"> </w:t>
            </w:r>
          </w:p>
          <w:p w14:paraId="2447F2A0" w14:textId="0F48834C" w:rsidR="00172C1C" w:rsidRPr="008C1CA3" w:rsidRDefault="00AD1506" w:rsidP="00763516">
            <w:pPr>
              <w:pStyle w:val="TableText0"/>
              <w:keepNext w:val="0"/>
              <w:rPr>
                <w:i/>
                <w:iCs/>
              </w:rPr>
            </w:pPr>
            <w:r w:rsidRPr="00AD1506">
              <w:t>In the base case, Australian population mortality data were elevated with an SMR of x2.5 up to the assumed point of cure (5 years). After this point, those remaining in the pre-recurrence health state were assumed to have the same mortality as the general population.</w:t>
            </w:r>
            <w:r w:rsidR="008C1CA3">
              <w:t xml:space="preserve"> </w:t>
            </w:r>
            <w:r w:rsidR="008C1CA3" w:rsidRPr="00925F8E">
              <w:t xml:space="preserve">The ESC </w:t>
            </w:r>
            <w:r w:rsidR="000F0C9E" w:rsidRPr="00925F8E">
              <w:t>advised</w:t>
            </w:r>
            <w:r w:rsidR="008C1CA3" w:rsidRPr="00925F8E">
              <w:t xml:space="preserve"> that it </w:t>
            </w:r>
            <w:r w:rsidR="00DB1380" w:rsidRPr="00925F8E">
              <w:t xml:space="preserve">is </w:t>
            </w:r>
            <w:r w:rsidR="008C1CA3" w:rsidRPr="00925F8E">
              <w:t>not reasonable to assume the same mortality as the general population</w:t>
            </w:r>
            <w:r w:rsidR="00DB1380" w:rsidRPr="00925F8E">
              <w:t xml:space="preserve"> for </w:t>
            </w:r>
            <w:r w:rsidR="000F0C9E" w:rsidRPr="00925F8E">
              <w:t xml:space="preserve">the subset of </w:t>
            </w:r>
            <w:r w:rsidR="00DB1380" w:rsidRPr="00925F8E">
              <w:t>patients who have not recurred</w:t>
            </w:r>
            <w:r w:rsidR="000F0C9E" w:rsidRPr="00925F8E">
              <w:t xml:space="preserve"> at 5 years</w:t>
            </w:r>
            <w:r w:rsidR="0051049A" w:rsidRPr="00925F8E">
              <w:t xml:space="preserve"> (cured fraction)</w:t>
            </w:r>
            <w:r w:rsidR="000F0C9E" w:rsidRPr="00925F8E">
              <w:t>, as these patients suffer from complications associated with a complete surgical resection and risk factors associated with OC and GOJC</w:t>
            </w:r>
            <w:r w:rsidR="0051049A" w:rsidRPr="00925F8E">
              <w:t xml:space="preserve"> that </w:t>
            </w:r>
            <w:r w:rsidR="00872211" w:rsidRPr="00925F8E">
              <w:t xml:space="preserve">do </w:t>
            </w:r>
            <w:r w:rsidR="000F0C9E" w:rsidRPr="00925F8E">
              <w:t xml:space="preserve">not reflect </w:t>
            </w:r>
            <w:r w:rsidR="00872211" w:rsidRPr="00925F8E">
              <w:t>the</w:t>
            </w:r>
            <w:r w:rsidR="000F0C9E" w:rsidRPr="00925F8E">
              <w:t xml:space="preserve"> risk profile of the general population.</w:t>
            </w:r>
            <w:r w:rsidR="00241391">
              <w:t xml:space="preserve"> </w:t>
            </w:r>
          </w:p>
        </w:tc>
      </w:tr>
      <w:tr w:rsidR="00172C1C" w:rsidRPr="00E2771E" w14:paraId="63185CA9" w14:textId="77777777" w:rsidTr="00A0461D">
        <w:tc>
          <w:tcPr>
            <w:tcW w:w="846" w:type="pct"/>
            <w:shd w:val="clear" w:color="auto" w:fill="auto"/>
            <w:vAlign w:val="center"/>
          </w:tcPr>
          <w:p w14:paraId="16EEBFB3" w14:textId="77777777" w:rsidR="00172C1C" w:rsidRPr="00E2771E" w:rsidRDefault="00172C1C" w:rsidP="00763516">
            <w:pPr>
              <w:pStyle w:val="TableText0"/>
              <w:keepNext w:val="0"/>
            </w:pPr>
            <w:r>
              <w:lastRenderedPageBreak/>
              <w:t>Extrapolation method</w:t>
            </w:r>
          </w:p>
        </w:tc>
        <w:tc>
          <w:tcPr>
            <w:tcW w:w="4154" w:type="pct"/>
            <w:shd w:val="clear" w:color="auto" w:fill="auto"/>
            <w:vAlign w:val="center"/>
          </w:tcPr>
          <w:p w14:paraId="1C32C766" w14:textId="5F205192" w:rsidR="00172C1C" w:rsidRPr="00E2771E" w:rsidRDefault="00172C1C" w:rsidP="00763516">
            <w:pPr>
              <w:pStyle w:val="TableText0"/>
              <w:keepNext w:val="0"/>
            </w:pPr>
            <w:r>
              <w:t>In the base case</w:t>
            </w:r>
            <w:r w:rsidR="005A6DD0">
              <w:t>,</w:t>
            </w:r>
            <w:r>
              <w:t xml:space="preserve"> KM estimates were used until the median TTR follow-up of 27 months, at which point </w:t>
            </w:r>
            <w:r w:rsidR="00460A79" w:rsidRPr="00925F8E">
              <w:t>independently fit</w:t>
            </w:r>
            <w:r w:rsidR="00460A79">
              <w:t xml:space="preserve"> </w:t>
            </w:r>
            <w:r>
              <w:t>generalised gamma curves were applied to both</w:t>
            </w:r>
            <w:r w:rsidR="00460A79">
              <w:t xml:space="preserve"> the</w:t>
            </w:r>
            <w:r>
              <w:t xml:space="preserve"> nivolumab and SOC arms up to 5 years, at which point cure was assumed</w:t>
            </w:r>
            <w:r w:rsidR="00460A79">
              <w:t xml:space="preserve"> and the</w:t>
            </w:r>
            <w:r>
              <w:t xml:space="preserve"> Australian background mortality was applied exclusively. </w:t>
            </w:r>
          </w:p>
        </w:tc>
      </w:tr>
      <w:tr w:rsidR="00172C1C" w:rsidRPr="00E2771E" w14:paraId="5673C187" w14:textId="77777777" w:rsidTr="00A0461D">
        <w:tc>
          <w:tcPr>
            <w:tcW w:w="846" w:type="pct"/>
            <w:shd w:val="clear" w:color="auto" w:fill="auto"/>
            <w:vAlign w:val="center"/>
          </w:tcPr>
          <w:p w14:paraId="38A7999C" w14:textId="77777777" w:rsidR="00172C1C" w:rsidRPr="001F4081" w:rsidRDefault="00172C1C" w:rsidP="00763516">
            <w:pPr>
              <w:pStyle w:val="TableText0"/>
              <w:keepNext w:val="0"/>
            </w:pPr>
            <w:r>
              <w:t>Health related quality of life</w:t>
            </w:r>
          </w:p>
        </w:tc>
        <w:tc>
          <w:tcPr>
            <w:tcW w:w="4154" w:type="pct"/>
            <w:shd w:val="clear" w:color="auto" w:fill="auto"/>
            <w:vAlign w:val="center"/>
          </w:tcPr>
          <w:p w14:paraId="10BCC3D3" w14:textId="77777777" w:rsidR="00172C1C" w:rsidRDefault="00172C1C" w:rsidP="00763516">
            <w:pPr>
              <w:pStyle w:val="TableText0"/>
              <w:keepNext w:val="0"/>
            </w:pPr>
            <w:r>
              <w:t>Based on mean EQ-5D scores by health state in the CM-577 trial, with Australian preference weights applied.</w:t>
            </w:r>
          </w:p>
          <w:p w14:paraId="34B13A70" w14:textId="77777777" w:rsidR="00172C1C" w:rsidRDefault="00172C1C" w:rsidP="00763516">
            <w:pPr>
              <w:pStyle w:val="TableText0"/>
              <w:keepNext w:val="0"/>
            </w:pPr>
            <w:r>
              <w:t>Pre-recurrence: 0.840</w:t>
            </w:r>
          </w:p>
          <w:p w14:paraId="0CB53EBD" w14:textId="77777777" w:rsidR="00172C1C" w:rsidRDefault="00172C1C" w:rsidP="00763516">
            <w:pPr>
              <w:pStyle w:val="TableText0"/>
              <w:keepNext w:val="0"/>
            </w:pPr>
            <w:r>
              <w:t>Post-recurrence: 0.771</w:t>
            </w:r>
          </w:p>
          <w:p w14:paraId="0E1BAACA" w14:textId="3E12C3D0" w:rsidR="008A48D3" w:rsidRPr="005A536C" w:rsidRDefault="00CE154D" w:rsidP="00763516">
            <w:pPr>
              <w:ind w:right="264"/>
              <w:rPr>
                <w:rFonts w:ascii="Arial Narrow" w:eastAsiaTheme="majorEastAsia" w:hAnsi="Arial Narrow" w:cstheme="majorBidi"/>
                <w:bCs/>
                <w:sz w:val="20"/>
              </w:rPr>
            </w:pPr>
            <w:r w:rsidRPr="00925F8E">
              <w:rPr>
                <w:rFonts w:ascii="Arial Narrow" w:eastAsiaTheme="majorEastAsia" w:hAnsi="Arial Narrow" w:cstheme="majorBidi"/>
                <w:bCs/>
                <w:sz w:val="20"/>
              </w:rPr>
              <w:t>The pooling of utility weights pre- and post-regression might not be appropriate given relative safety profiles. The ESC noted the inclusion of disutility associated with AEs,</w:t>
            </w:r>
            <w:r w:rsidR="00CE05A0">
              <w:rPr>
                <w:rFonts w:ascii="Arial Narrow" w:eastAsiaTheme="majorEastAsia" w:hAnsi="Arial Narrow" w:cstheme="majorBidi"/>
                <w:bCs/>
                <w:sz w:val="20"/>
              </w:rPr>
              <w:t xml:space="preserve"> </w:t>
            </w:r>
            <w:r w:rsidRPr="00925F8E">
              <w:rPr>
                <w:rFonts w:ascii="Arial Narrow" w:eastAsiaTheme="majorEastAsia" w:hAnsi="Arial Narrow" w:cstheme="majorBidi"/>
                <w:bCs/>
                <w:sz w:val="20"/>
              </w:rPr>
              <w:t xml:space="preserve">but considered that arm-specific utility scores would be informative, at least as part of a sensitivity analysis. </w:t>
            </w:r>
            <w:r w:rsidR="00CE05A0">
              <w:rPr>
                <w:rFonts w:ascii="Arial Narrow" w:eastAsiaTheme="majorEastAsia" w:hAnsi="Arial Narrow" w:cstheme="majorBidi"/>
                <w:bCs/>
                <w:sz w:val="20"/>
              </w:rPr>
              <w:t>The sponsor</w:t>
            </w:r>
            <w:r w:rsidR="00A34835">
              <w:rPr>
                <w:rFonts w:ascii="Arial Narrow" w:eastAsiaTheme="majorEastAsia" w:hAnsi="Arial Narrow" w:cstheme="majorBidi"/>
                <w:bCs/>
                <w:sz w:val="20"/>
              </w:rPr>
              <w:t xml:space="preserve"> </w:t>
            </w:r>
            <w:r w:rsidR="00CE05A0">
              <w:rPr>
                <w:rFonts w:ascii="Arial Narrow" w:eastAsiaTheme="majorEastAsia" w:hAnsi="Arial Narrow" w:cstheme="majorBidi"/>
                <w:bCs/>
                <w:sz w:val="20"/>
              </w:rPr>
              <w:t>provided a revised economic evaluation in the pre-PBAC response</w:t>
            </w:r>
            <w:r w:rsidR="00C32241">
              <w:rPr>
                <w:rFonts w:ascii="Arial Narrow" w:eastAsiaTheme="majorEastAsia" w:hAnsi="Arial Narrow" w:cstheme="majorBidi"/>
                <w:bCs/>
                <w:sz w:val="20"/>
              </w:rPr>
              <w:t>. The revised economic model included</w:t>
            </w:r>
            <w:r w:rsidR="00A34835">
              <w:rPr>
                <w:rFonts w:ascii="Arial Narrow" w:eastAsiaTheme="majorEastAsia" w:hAnsi="Arial Narrow" w:cstheme="majorBidi"/>
                <w:bCs/>
                <w:sz w:val="20"/>
              </w:rPr>
              <w:t xml:space="preserve"> treatment specific utilities</w:t>
            </w:r>
            <w:r w:rsidR="00C32241">
              <w:rPr>
                <w:rFonts w:ascii="Arial Narrow" w:eastAsiaTheme="majorEastAsia" w:hAnsi="Arial Narrow" w:cstheme="majorBidi"/>
                <w:bCs/>
                <w:sz w:val="20"/>
              </w:rPr>
              <w:t xml:space="preserve"> that </w:t>
            </w:r>
            <w:r w:rsidR="004F0EA2">
              <w:rPr>
                <w:rFonts w:ascii="Arial Narrow" w:eastAsiaTheme="majorEastAsia" w:hAnsi="Arial Narrow" w:cstheme="majorBidi"/>
                <w:bCs/>
                <w:sz w:val="20"/>
              </w:rPr>
              <w:t>led to a</w:t>
            </w:r>
            <w:r w:rsidR="005A536C">
              <w:rPr>
                <w:rFonts w:ascii="Arial Narrow" w:eastAsiaTheme="majorEastAsia" w:hAnsi="Arial Narrow" w:cstheme="majorBidi"/>
                <w:bCs/>
                <w:sz w:val="20"/>
              </w:rPr>
              <w:t xml:space="preserve"> 3.7%</w:t>
            </w:r>
            <w:r w:rsidR="004F0EA2">
              <w:rPr>
                <w:rFonts w:ascii="Arial Narrow" w:eastAsiaTheme="majorEastAsia" w:hAnsi="Arial Narrow" w:cstheme="majorBidi"/>
                <w:bCs/>
                <w:sz w:val="20"/>
              </w:rPr>
              <w:t xml:space="preserve"> increase </w:t>
            </w:r>
            <w:r w:rsidR="00C32241">
              <w:rPr>
                <w:rFonts w:ascii="Arial Narrow" w:eastAsiaTheme="majorEastAsia" w:hAnsi="Arial Narrow" w:cstheme="majorBidi"/>
                <w:bCs/>
                <w:sz w:val="20"/>
              </w:rPr>
              <w:t>in</w:t>
            </w:r>
            <w:r w:rsidR="00A34835">
              <w:rPr>
                <w:rFonts w:ascii="Arial Narrow" w:eastAsiaTheme="majorEastAsia" w:hAnsi="Arial Narrow" w:cstheme="majorBidi"/>
                <w:bCs/>
                <w:sz w:val="20"/>
              </w:rPr>
              <w:t xml:space="preserve"> the base case </w:t>
            </w:r>
            <w:r w:rsidR="004F0EA2">
              <w:rPr>
                <w:rFonts w:ascii="Arial Narrow" w:eastAsiaTheme="majorEastAsia" w:hAnsi="Arial Narrow" w:cstheme="majorBidi"/>
                <w:bCs/>
                <w:sz w:val="20"/>
              </w:rPr>
              <w:t xml:space="preserve">ICER </w:t>
            </w:r>
            <w:r w:rsidR="00A34835">
              <w:rPr>
                <w:rFonts w:ascii="Arial Narrow" w:eastAsiaTheme="majorEastAsia" w:hAnsi="Arial Narrow" w:cstheme="majorBidi"/>
                <w:bCs/>
                <w:sz w:val="20"/>
              </w:rPr>
              <w:t>($</w:t>
            </w:r>
            <w:r w:rsidR="00C035D6">
              <w:rPr>
                <w:rFonts w:ascii="Arial Narrow" w:eastAsiaTheme="majorEastAsia" w:hAnsi="Arial Narrow" w:cstheme="majorBidi"/>
                <w:bCs/>
                <w:sz w:val="20"/>
              </w:rPr>
              <w:t>$35,000 to &lt; $45,000</w:t>
            </w:r>
            <w:r w:rsidR="00A34835">
              <w:rPr>
                <w:rFonts w:ascii="Arial Narrow" w:eastAsiaTheme="majorEastAsia" w:hAnsi="Arial Narrow" w:cstheme="majorBidi"/>
                <w:bCs/>
                <w:sz w:val="20"/>
              </w:rPr>
              <w:t>/QALY gained)</w:t>
            </w:r>
            <w:r w:rsidR="00763516">
              <w:rPr>
                <w:rFonts w:ascii="Arial Narrow" w:eastAsiaTheme="majorEastAsia" w:hAnsi="Arial Narrow" w:cstheme="majorBidi"/>
                <w:bCs/>
                <w:sz w:val="20"/>
              </w:rPr>
              <w:t>.</w:t>
            </w:r>
          </w:p>
        </w:tc>
      </w:tr>
    </w:tbl>
    <w:p w14:paraId="6DB7A571" w14:textId="77777777" w:rsidR="002569F9" w:rsidRDefault="00172C1C" w:rsidP="00172C1C">
      <w:pPr>
        <w:pStyle w:val="TableFigureFooter"/>
      </w:pPr>
      <w:r>
        <w:t xml:space="preserve">Source:  </w:t>
      </w:r>
      <w:r w:rsidRPr="004C54EE">
        <w:t xml:space="preserve">Table 50, p127 of the submission. </w:t>
      </w:r>
    </w:p>
    <w:p w14:paraId="31D43016" w14:textId="1EE4C8AC" w:rsidR="00172C1C" w:rsidRPr="0072416F" w:rsidRDefault="00172C1C" w:rsidP="00172C1C">
      <w:pPr>
        <w:pStyle w:val="TableFigureFooter"/>
      </w:pPr>
      <w:r w:rsidRPr="004C54EE">
        <w:t>TTR: time to treatment recurrence; OS = overall survival</w:t>
      </w:r>
      <w:r w:rsidR="003766A0">
        <w:t>; SMR = standardised mortality ratio</w:t>
      </w:r>
    </w:p>
    <w:p w14:paraId="16B1EF81" w14:textId="70EED3C8" w:rsidR="00C6197E" w:rsidRPr="00925F8E" w:rsidRDefault="00C6197E" w:rsidP="00172C1C">
      <w:pPr>
        <w:pStyle w:val="3-BodyText"/>
        <w:rPr>
          <w:color w:val="000000" w:themeColor="text1"/>
        </w:rPr>
      </w:pPr>
      <w:bookmarkStart w:id="39" w:name="_Ref110590015"/>
      <w:r w:rsidRPr="00925F8E">
        <w:t>While the PSCR maintain</w:t>
      </w:r>
      <w:r w:rsidR="00CE3CB4" w:rsidRPr="00925F8E">
        <w:t>ed</w:t>
      </w:r>
      <w:r w:rsidRPr="00925F8E">
        <w:t xml:space="preserve"> that the appropriate time horizon is 25 years, the ESC considered that it was not reasonable given the long-term complications associated with complete surgical resection and risk factors associated with OC and GOJC. The ESC advised that a 15−</w:t>
      </w:r>
      <w:proofErr w:type="gramStart"/>
      <w:r w:rsidRPr="00925F8E">
        <w:t>20 year</w:t>
      </w:r>
      <w:proofErr w:type="gramEnd"/>
      <w:r w:rsidRPr="00925F8E">
        <w:t xml:space="preserve"> time horizon represents a more realistic maximum life expectancy for this patient population.</w:t>
      </w:r>
      <w:bookmarkEnd w:id="39"/>
    </w:p>
    <w:p w14:paraId="34457FE1" w14:textId="7CB1156C" w:rsidR="00172C1C" w:rsidRPr="00293AD6" w:rsidRDefault="00172C1C" w:rsidP="00172C1C">
      <w:pPr>
        <w:pStyle w:val="3-BodyText"/>
        <w:rPr>
          <w:color w:val="000000" w:themeColor="text1"/>
        </w:rPr>
      </w:pPr>
      <w:r w:rsidRPr="00293AD6">
        <w:rPr>
          <w:color w:val="000000" w:themeColor="text1"/>
        </w:rPr>
        <w:t>The average recurrence or death events per patient in CM-577 versus in the economic model are presented in</w:t>
      </w:r>
      <w:r w:rsidRPr="00293AD6">
        <w:t xml:space="preserve"> </w:t>
      </w:r>
      <w:r w:rsidRPr="00293AD6">
        <w:fldChar w:fldCharType="begin"/>
      </w:r>
      <w:r w:rsidRPr="00293AD6">
        <w:instrText xml:space="preserve"> REF _Ref100831497 \h </w:instrText>
      </w:r>
      <w:r>
        <w:instrText xml:space="preserve"> \* MERGEFORMAT </w:instrText>
      </w:r>
      <w:r w:rsidRPr="00293AD6">
        <w:fldChar w:fldCharType="separate"/>
      </w:r>
      <w:r w:rsidR="00267758" w:rsidRPr="00267758">
        <w:t>Table 9</w:t>
      </w:r>
      <w:r w:rsidRPr="00293AD6">
        <w:fldChar w:fldCharType="end"/>
      </w:r>
      <w:r>
        <w:t>.</w:t>
      </w:r>
    </w:p>
    <w:p w14:paraId="6947A3F1" w14:textId="3EF15E85" w:rsidR="00172C1C" w:rsidRPr="00E7767C" w:rsidRDefault="00172C1C" w:rsidP="00172C1C">
      <w:pPr>
        <w:keepNext/>
        <w:keepLines/>
        <w:spacing w:before="120"/>
        <w:rPr>
          <w:rFonts w:ascii="Arial Narrow" w:hAnsi="Arial Narrow"/>
          <w:b/>
          <w:bCs/>
          <w:sz w:val="20"/>
          <w:szCs w:val="20"/>
          <w:vertAlign w:val="superscript"/>
        </w:rPr>
      </w:pPr>
      <w:bookmarkStart w:id="40" w:name="_Ref100831497"/>
      <w:r w:rsidRPr="00293AD6">
        <w:rPr>
          <w:rStyle w:val="TableFigureHeadingChar"/>
          <w:sz w:val="20"/>
          <w:szCs w:val="20"/>
        </w:rPr>
        <w:t xml:space="preserve">Table </w:t>
      </w:r>
      <w:r w:rsidRPr="00293AD6">
        <w:rPr>
          <w:rStyle w:val="TableFigureHeadingChar"/>
          <w:sz w:val="20"/>
          <w:szCs w:val="20"/>
        </w:rPr>
        <w:fldChar w:fldCharType="begin"/>
      </w:r>
      <w:r w:rsidRPr="00293AD6">
        <w:rPr>
          <w:rStyle w:val="TableFigureHeadingChar"/>
          <w:sz w:val="20"/>
          <w:szCs w:val="20"/>
        </w:rPr>
        <w:instrText xml:space="preserve"> SEQ Table \* MERGEFORMAT </w:instrText>
      </w:r>
      <w:r w:rsidRPr="00293AD6">
        <w:rPr>
          <w:rStyle w:val="TableFigureHeadingChar"/>
          <w:sz w:val="20"/>
          <w:szCs w:val="20"/>
        </w:rPr>
        <w:fldChar w:fldCharType="separate"/>
      </w:r>
      <w:r w:rsidR="00267758">
        <w:rPr>
          <w:rStyle w:val="TableFigureHeadingChar"/>
          <w:noProof/>
          <w:sz w:val="20"/>
          <w:szCs w:val="20"/>
        </w:rPr>
        <w:t>9</w:t>
      </w:r>
      <w:r w:rsidRPr="00293AD6">
        <w:rPr>
          <w:rStyle w:val="TableFigureHeadingChar"/>
          <w:sz w:val="20"/>
          <w:szCs w:val="20"/>
        </w:rPr>
        <w:fldChar w:fldCharType="end"/>
      </w:r>
      <w:bookmarkEnd w:id="40"/>
      <w:r w:rsidRPr="00293AD6">
        <w:rPr>
          <w:rStyle w:val="TableFigureHeadingChar"/>
          <w:sz w:val="20"/>
          <w:szCs w:val="20"/>
        </w:rPr>
        <w:t xml:space="preserve">: Average </w:t>
      </w:r>
      <w:r w:rsidR="00686C0B">
        <w:rPr>
          <w:rFonts w:ascii="Arial Narrow" w:hAnsi="Arial Narrow"/>
          <w:b/>
          <w:bCs/>
          <w:sz w:val="20"/>
        </w:rPr>
        <w:t>r</w:t>
      </w:r>
      <w:r w:rsidRPr="000F7EA0">
        <w:rPr>
          <w:rFonts w:ascii="Arial Narrow" w:hAnsi="Arial Narrow"/>
          <w:b/>
          <w:bCs/>
          <w:sz w:val="20"/>
        </w:rPr>
        <w:t>ecurrence or death events per patient in the trial versus the economic model</w:t>
      </w:r>
    </w:p>
    <w:tbl>
      <w:tblPr>
        <w:tblStyle w:val="TableGrid"/>
        <w:tblW w:w="5000" w:type="pct"/>
        <w:tblLook w:val="04A0" w:firstRow="1" w:lastRow="0" w:firstColumn="1" w:lastColumn="0" w:noHBand="0" w:noVBand="1"/>
      </w:tblPr>
      <w:tblGrid>
        <w:gridCol w:w="2140"/>
        <w:gridCol w:w="1062"/>
        <w:gridCol w:w="1165"/>
        <w:gridCol w:w="947"/>
        <w:gridCol w:w="1001"/>
        <w:gridCol w:w="1001"/>
        <w:gridCol w:w="1701"/>
      </w:tblGrid>
      <w:tr w:rsidR="007979C2" w:rsidRPr="004C54EE" w14:paraId="2D040281" w14:textId="77777777" w:rsidTr="00790D68">
        <w:trPr>
          <w:trHeight w:val="227"/>
          <w:tblHeader/>
        </w:trPr>
        <w:tc>
          <w:tcPr>
            <w:tcW w:w="1187" w:type="pct"/>
            <w:vMerge w:val="restart"/>
            <w:shd w:val="clear" w:color="auto" w:fill="auto"/>
            <w:noWrap/>
            <w:vAlign w:val="center"/>
          </w:tcPr>
          <w:p w14:paraId="7C694025" w14:textId="77777777" w:rsidR="00172C1C" w:rsidRPr="004C54EE" w:rsidRDefault="00172C1C" w:rsidP="00A0461D">
            <w:pPr>
              <w:keepNext/>
              <w:keepLines/>
              <w:jc w:val="left"/>
              <w:rPr>
                <w:rFonts w:ascii="Arial Narrow" w:hAnsi="Arial Narrow"/>
                <w:b/>
                <w:sz w:val="20"/>
                <w:szCs w:val="20"/>
              </w:rPr>
            </w:pPr>
          </w:p>
        </w:tc>
        <w:tc>
          <w:tcPr>
            <w:tcW w:w="1759" w:type="pct"/>
            <w:gridSpan w:val="3"/>
            <w:tcBorders>
              <w:bottom w:val="single" w:sz="4" w:space="0" w:color="auto"/>
            </w:tcBorders>
          </w:tcPr>
          <w:p w14:paraId="6CCEC559" w14:textId="77777777" w:rsidR="00172C1C" w:rsidRPr="004C54EE" w:rsidRDefault="00172C1C" w:rsidP="00A0461D">
            <w:pPr>
              <w:keepNext/>
              <w:keepLines/>
              <w:jc w:val="center"/>
              <w:rPr>
                <w:rFonts w:ascii="Arial Narrow" w:hAnsi="Arial Narrow"/>
                <w:b/>
                <w:sz w:val="20"/>
                <w:szCs w:val="20"/>
              </w:rPr>
            </w:pPr>
            <w:r w:rsidRPr="004C54EE">
              <w:rPr>
                <w:rFonts w:ascii="Arial Narrow" w:hAnsi="Arial Narrow"/>
                <w:b/>
                <w:sz w:val="20"/>
                <w:szCs w:val="20"/>
              </w:rPr>
              <w:t>CM-577</w:t>
            </w:r>
          </w:p>
          <w:p w14:paraId="5375D58D" w14:textId="77777777" w:rsidR="00172C1C" w:rsidRPr="004C54EE" w:rsidRDefault="00172C1C" w:rsidP="00A0461D">
            <w:pPr>
              <w:keepNext/>
              <w:keepLines/>
              <w:jc w:val="center"/>
              <w:rPr>
                <w:rFonts w:ascii="Arial Narrow" w:hAnsi="Arial Narrow"/>
                <w:b/>
                <w:sz w:val="20"/>
                <w:szCs w:val="20"/>
              </w:rPr>
            </w:pPr>
            <w:r w:rsidRPr="004C54EE">
              <w:rPr>
                <w:rFonts w:ascii="Arial Narrow" w:hAnsi="Arial Narrow"/>
                <w:b/>
                <w:sz w:val="20"/>
                <w:szCs w:val="20"/>
              </w:rPr>
              <w:t>(Median follow-up: 32.2 months)</w:t>
            </w:r>
          </w:p>
        </w:tc>
        <w:tc>
          <w:tcPr>
            <w:tcW w:w="2054" w:type="pct"/>
            <w:gridSpan w:val="3"/>
            <w:tcBorders>
              <w:bottom w:val="single" w:sz="4" w:space="0" w:color="auto"/>
            </w:tcBorders>
            <w:shd w:val="clear" w:color="auto" w:fill="auto"/>
            <w:noWrap/>
          </w:tcPr>
          <w:p w14:paraId="6A8E638D" w14:textId="77777777" w:rsidR="00172C1C" w:rsidRPr="004C54EE" w:rsidRDefault="00172C1C" w:rsidP="00A0461D">
            <w:pPr>
              <w:keepNext/>
              <w:keepLines/>
              <w:jc w:val="center"/>
              <w:rPr>
                <w:rFonts w:ascii="Arial Narrow" w:hAnsi="Arial Narrow"/>
                <w:b/>
                <w:sz w:val="20"/>
                <w:szCs w:val="20"/>
              </w:rPr>
            </w:pPr>
            <w:r w:rsidRPr="004C54EE">
              <w:rPr>
                <w:rFonts w:ascii="Arial Narrow" w:hAnsi="Arial Narrow"/>
                <w:b/>
                <w:sz w:val="20"/>
                <w:szCs w:val="20"/>
              </w:rPr>
              <w:t>Economic model</w:t>
            </w:r>
          </w:p>
          <w:p w14:paraId="738E168D" w14:textId="77777777" w:rsidR="00172C1C" w:rsidRPr="004C54EE" w:rsidRDefault="00172C1C" w:rsidP="00A0461D">
            <w:pPr>
              <w:keepNext/>
              <w:keepLines/>
              <w:jc w:val="center"/>
              <w:rPr>
                <w:rFonts w:ascii="Arial Narrow" w:hAnsi="Arial Narrow"/>
                <w:b/>
                <w:sz w:val="20"/>
                <w:szCs w:val="20"/>
              </w:rPr>
            </w:pPr>
            <w:r w:rsidRPr="004C54EE">
              <w:rPr>
                <w:rFonts w:ascii="Arial Narrow" w:hAnsi="Arial Narrow"/>
                <w:b/>
                <w:sz w:val="20"/>
                <w:szCs w:val="20"/>
              </w:rPr>
              <w:t>(Over 25 years, undiscounted)</w:t>
            </w:r>
          </w:p>
        </w:tc>
      </w:tr>
      <w:tr w:rsidR="007979C2" w:rsidRPr="004C54EE" w14:paraId="6708AEEF" w14:textId="77777777" w:rsidTr="00790D68">
        <w:trPr>
          <w:trHeight w:val="227"/>
        </w:trPr>
        <w:tc>
          <w:tcPr>
            <w:tcW w:w="1187" w:type="pct"/>
            <w:vMerge/>
            <w:noWrap/>
            <w:vAlign w:val="center"/>
          </w:tcPr>
          <w:p w14:paraId="0DE0DC45" w14:textId="77777777" w:rsidR="00172C1C" w:rsidRPr="004C54EE" w:rsidRDefault="00172C1C" w:rsidP="00A0461D">
            <w:pPr>
              <w:keepNext/>
              <w:keepLines/>
              <w:jc w:val="left"/>
              <w:rPr>
                <w:rFonts w:ascii="Arial Narrow" w:hAnsi="Arial Narrow"/>
                <w:sz w:val="20"/>
                <w:szCs w:val="20"/>
              </w:rPr>
            </w:pPr>
          </w:p>
        </w:tc>
        <w:tc>
          <w:tcPr>
            <w:tcW w:w="589" w:type="pct"/>
            <w:vAlign w:val="center"/>
          </w:tcPr>
          <w:p w14:paraId="066EE889" w14:textId="77777777" w:rsidR="00172C1C" w:rsidRPr="004C54EE" w:rsidRDefault="00172C1C" w:rsidP="00A0461D">
            <w:pPr>
              <w:keepNext/>
              <w:keepLines/>
              <w:jc w:val="center"/>
              <w:rPr>
                <w:rFonts w:ascii="Arial Narrow" w:hAnsi="Arial Narrow"/>
                <w:sz w:val="20"/>
                <w:szCs w:val="20"/>
              </w:rPr>
            </w:pPr>
            <w:r w:rsidRPr="004C54EE">
              <w:rPr>
                <w:rFonts w:ascii="Arial Narrow" w:hAnsi="Arial Narrow"/>
                <w:sz w:val="20"/>
                <w:szCs w:val="20"/>
              </w:rPr>
              <w:t>Nivolumab</w:t>
            </w:r>
          </w:p>
        </w:tc>
        <w:tc>
          <w:tcPr>
            <w:tcW w:w="646" w:type="pct"/>
            <w:noWrap/>
            <w:vAlign w:val="center"/>
          </w:tcPr>
          <w:p w14:paraId="67DB7C5A" w14:textId="77777777" w:rsidR="00172C1C" w:rsidRPr="004C54EE" w:rsidRDefault="00172C1C" w:rsidP="00A0461D">
            <w:pPr>
              <w:keepNext/>
              <w:keepLines/>
              <w:jc w:val="center"/>
              <w:rPr>
                <w:rFonts w:ascii="Arial Narrow" w:hAnsi="Arial Narrow"/>
                <w:sz w:val="20"/>
                <w:szCs w:val="20"/>
              </w:rPr>
            </w:pPr>
            <w:r w:rsidRPr="004C54EE">
              <w:rPr>
                <w:rFonts w:ascii="Arial Narrow" w:hAnsi="Arial Narrow"/>
                <w:sz w:val="20"/>
                <w:szCs w:val="20"/>
              </w:rPr>
              <w:t>Placebo</w:t>
            </w:r>
          </w:p>
        </w:tc>
        <w:tc>
          <w:tcPr>
            <w:tcW w:w="525" w:type="pct"/>
            <w:vAlign w:val="center"/>
          </w:tcPr>
          <w:p w14:paraId="6A3E6574" w14:textId="77777777" w:rsidR="00172C1C" w:rsidRPr="004C54EE" w:rsidRDefault="00172C1C" w:rsidP="00A0461D">
            <w:pPr>
              <w:keepNext/>
              <w:keepLines/>
              <w:jc w:val="center"/>
              <w:rPr>
                <w:rFonts w:ascii="Arial Narrow" w:hAnsi="Arial Narrow"/>
                <w:sz w:val="20"/>
                <w:szCs w:val="20"/>
              </w:rPr>
            </w:pPr>
            <w:r w:rsidRPr="004C54EE">
              <w:rPr>
                <w:rFonts w:ascii="Arial Narrow" w:hAnsi="Arial Narrow"/>
                <w:sz w:val="20"/>
                <w:szCs w:val="20"/>
              </w:rPr>
              <w:t>Increment</w:t>
            </w:r>
          </w:p>
        </w:tc>
        <w:tc>
          <w:tcPr>
            <w:tcW w:w="555" w:type="pct"/>
            <w:noWrap/>
            <w:vAlign w:val="center"/>
          </w:tcPr>
          <w:p w14:paraId="76C70E65" w14:textId="77777777" w:rsidR="00172C1C" w:rsidRPr="004C54EE" w:rsidRDefault="00172C1C" w:rsidP="00A0461D">
            <w:pPr>
              <w:keepNext/>
              <w:keepLines/>
              <w:jc w:val="center"/>
              <w:rPr>
                <w:rFonts w:ascii="Arial Narrow" w:hAnsi="Arial Narrow" w:cstheme="minorHAnsi"/>
                <w:sz w:val="20"/>
                <w:szCs w:val="20"/>
              </w:rPr>
            </w:pPr>
            <w:r w:rsidRPr="004C54EE">
              <w:rPr>
                <w:rFonts w:ascii="Arial Narrow" w:hAnsi="Arial Narrow"/>
                <w:sz w:val="20"/>
                <w:szCs w:val="20"/>
              </w:rPr>
              <w:t>Nivolumab</w:t>
            </w:r>
          </w:p>
        </w:tc>
        <w:tc>
          <w:tcPr>
            <w:tcW w:w="555" w:type="pct"/>
            <w:noWrap/>
            <w:vAlign w:val="center"/>
          </w:tcPr>
          <w:p w14:paraId="4D80312D" w14:textId="77777777" w:rsidR="00172C1C" w:rsidRPr="004C54EE" w:rsidRDefault="00172C1C" w:rsidP="00A0461D">
            <w:pPr>
              <w:keepNext/>
              <w:keepLines/>
              <w:jc w:val="center"/>
              <w:rPr>
                <w:rFonts w:ascii="Arial Narrow" w:hAnsi="Arial Narrow" w:cstheme="minorHAnsi"/>
                <w:sz w:val="20"/>
                <w:szCs w:val="20"/>
              </w:rPr>
            </w:pPr>
            <w:r w:rsidRPr="004C54EE">
              <w:rPr>
                <w:rFonts w:ascii="Arial Narrow" w:hAnsi="Arial Narrow"/>
                <w:sz w:val="20"/>
                <w:szCs w:val="20"/>
              </w:rPr>
              <w:t>Placebo</w:t>
            </w:r>
          </w:p>
        </w:tc>
        <w:tc>
          <w:tcPr>
            <w:tcW w:w="944" w:type="pct"/>
            <w:vAlign w:val="center"/>
          </w:tcPr>
          <w:p w14:paraId="49EB682F" w14:textId="77777777" w:rsidR="00172C1C" w:rsidRPr="004C54EE" w:rsidRDefault="00172C1C" w:rsidP="00A0461D">
            <w:pPr>
              <w:keepNext/>
              <w:keepLines/>
              <w:jc w:val="center"/>
              <w:rPr>
                <w:rFonts w:ascii="Arial Narrow" w:hAnsi="Arial Narrow" w:cstheme="minorHAnsi"/>
                <w:sz w:val="20"/>
                <w:szCs w:val="20"/>
              </w:rPr>
            </w:pPr>
            <w:r w:rsidRPr="004C54EE">
              <w:rPr>
                <w:rFonts w:ascii="Arial Narrow" w:hAnsi="Arial Narrow"/>
                <w:sz w:val="20"/>
                <w:szCs w:val="20"/>
              </w:rPr>
              <w:t>Increment</w:t>
            </w:r>
          </w:p>
        </w:tc>
      </w:tr>
      <w:tr w:rsidR="007979C2" w:rsidRPr="004C54EE" w14:paraId="066A3A6E" w14:textId="77777777" w:rsidTr="00790D68">
        <w:trPr>
          <w:trHeight w:val="227"/>
        </w:trPr>
        <w:tc>
          <w:tcPr>
            <w:tcW w:w="1187" w:type="pct"/>
            <w:noWrap/>
            <w:vAlign w:val="center"/>
          </w:tcPr>
          <w:p w14:paraId="532BFB30" w14:textId="77777777" w:rsidR="00172C1C" w:rsidRPr="004C54EE" w:rsidRDefault="00172C1C" w:rsidP="00A0461D">
            <w:pPr>
              <w:pStyle w:val="TableText0"/>
              <w:rPr>
                <w:szCs w:val="20"/>
              </w:rPr>
            </w:pPr>
            <w:r w:rsidRPr="004C54EE">
              <w:t>Recurrence or death, %</w:t>
            </w:r>
          </w:p>
        </w:tc>
        <w:tc>
          <w:tcPr>
            <w:tcW w:w="589" w:type="pct"/>
            <w:tcBorders>
              <w:top w:val="single" w:sz="4" w:space="0" w:color="auto"/>
              <w:bottom w:val="single" w:sz="4" w:space="0" w:color="auto"/>
              <w:right w:val="single" w:sz="4" w:space="0" w:color="auto"/>
            </w:tcBorders>
          </w:tcPr>
          <w:p w14:paraId="59503DA6" w14:textId="77777777" w:rsidR="00172C1C" w:rsidRPr="004C54EE" w:rsidRDefault="00172C1C" w:rsidP="00A0461D">
            <w:pPr>
              <w:pStyle w:val="TableText0"/>
              <w:jc w:val="center"/>
              <w:rPr>
                <w:szCs w:val="20"/>
              </w:rPr>
            </w:pPr>
            <w:r w:rsidRPr="004C54EE">
              <w:t>50.4%</w:t>
            </w:r>
          </w:p>
        </w:tc>
        <w:tc>
          <w:tcPr>
            <w:tcW w:w="646" w:type="pct"/>
            <w:tcBorders>
              <w:top w:val="single" w:sz="4" w:space="0" w:color="auto"/>
              <w:left w:val="single" w:sz="4" w:space="0" w:color="auto"/>
              <w:bottom w:val="single" w:sz="4" w:space="0" w:color="auto"/>
              <w:right w:val="single" w:sz="4" w:space="0" w:color="auto"/>
            </w:tcBorders>
            <w:noWrap/>
          </w:tcPr>
          <w:p w14:paraId="7659E1A4" w14:textId="77777777" w:rsidR="00172C1C" w:rsidRPr="004C54EE" w:rsidRDefault="00172C1C" w:rsidP="00A0461D">
            <w:pPr>
              <w:pStyle w:val="TableText0"/>
              <w:jc w:val="center"/>
              <w:rPr>
                <w:szCs w:val="20"/>
              </w:rPr>
            </w:pPr>
            <w:r w:rsidRPr="004C54EE">
              <w:t>65.3%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13256B2" w14:textId="77777777" w:rsidR="00172C1C" w:rsidRPr="004C54EE" w:rsidRDefault="00172C1C" w:rsidP="00A0461D">
            <w:pPr>
              <w:keepNext/>
              <w:keepLines/>
              <w:jc w:val="center"/>
              <w:rPr>
                <w:rFonts w:ascii="Arial Narrow" w:hAnsi="Arial Narrow" w:cstheme="minorHAnsi"/>
                <w:sz w:val="20"/>
                <w:szCs w:val="20"/>
              </w:rPr>
            </w:pPr>
            <w:r w:rsidRPr="004C54EE">
              <w:rPr>
                <w:rFonts w:ascii="Arial Narrow" w:hAnsi="Arial Narrow" w:cstheme="minorHAnsi"/>
                <w:sz w:val="20"/>
                <w:szCs w:val="20"/>
              </w:rPr>
              <w:t>14.9%</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4F043" w14:textId="77777777" w:rsidR="00172C1C" w:rsidRPr="004C54EE" w:rsidRDefault="00172C1C" w:rsidP="00A0461D">
            <w:pPr>
              <w:keepNext/>
              <w:keepLines/>
              <w:jc w:val="center"/>
              <w:rPr>
                <w:rFonts w:ascii="Arial Narrow" w:hAnsi="Arial Narrow"/>
                <w:sz w:val="20"/>
                <w:szCs w:val="20"/>
              </w:rPr>
            </w:pPr>
            <w:r w:rsidRPr="004C54EE">
              <w:rPr>
                <w:rFonts w:ascii="Arial Narrow" w:hAnsi="Arial Narrow"/>
                <w:sz w:val="20"/>
                <w:szCs w:val="20"/>
              </w:rPr>
              <w:t>80.3%*</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20F16" w14:textId="77777777" w:rsidR="00172C1C" w:rsidRPr="004C54EE" w:rsidRDefault="00172C1C" w:rsidP="00A0461D">
            <w:pPr>
              <w:keepNext/>
              <w:keepLines/>
              <w:jc w:val="center"/>
              <w:rPr>
                <w:rFonts w:ascii="Arial Narrow" w:hAnsi="Arial Narrow"/>
                <w:sz w:val="20"/>
                <w:szCs w:val="20"/>
              </w:rPr>
            </w:pPr>
            <w:r w:rsidRPr="004C54EE">
              <w:rPr>
                <w:rFonts w:ascii="Arial Narrow" w:hAnsi="Arial Narrow"/>
                <w:sz w:val="20"/>
                <w:szCs w:val="20"/>
              </w:rPr>
              <w:t>87.9%**</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139832E" w14:textId="77777777" w:rsidR="00172C1C" w:rsidRPr="004C54EE" w:rsidRDefault="00172C1C" w:rsidP="00A0461D">
            <w:pPr>
              <w:keepNext/>
              <w:keepLines/>
              <w:jc w:val="center"/>
              <w:rPr>
                <w:rFonts w:ascii="Arial Narrow" w:hAnsi="Arial Narrow" w:cstheme="minorHAnsi"/>
                <w:sz w:val="20"/>
                <w:szCs w:val="20"/>
              </w:rPr>
            </w:pPr>
            <w:r w:rsidRPr="004C54EE">
              <w:rPr>
                <w:rFonts w:ascii="Arial Narrow" w:hAnsi="Arial Narrow" w:cstheme="minorHAnsi"/>
                <w:sz w:val="20"/>
                <w:szCs w:val="20"/>
              </w:rPr>
              <w:t>7.6%</w:t>
            </w:r>
          </w:p>
        </w:tc>
      </w:tr>
      <w:tr w:rsidR="005329FB" w:rsidRPr="00E7767C" w14:paraId="5891E6E1" w14:textId="77777777" w:rsidTr="00790D68">
        <w:trPr>
          <w:trHeight w:val="227"/>
        </w:trPr>
        <w:tc>
          <w:tcPr>
            <w:tcW w:w="1187" w:type="pct"/>
            <w:noWrap/>
            <w:vAlign w:val="center"/>
          </w:tcPr>
          <w:p w14:paraId="2A481225" w14:textId="2CA721F0" w:rsidR="00790D68" w:rsidRPr="00E7767C" w:rsidRDefault="00790D68" w:rsidP="00A0461D">
            <w:pPr>
              <w:pStyle w:val="TableText0"/>
            </w:pPr>
            <w:r w:rsidRPr="00E7767C">
              <w:t>Proportion assumed cured</w:t>
            </w:r>
          </w:p>
        </w:tc>
        <w:tc>
          <w:tcPr>
            <w:tcW w:w="1759" w:type="pct"/>
            <w:gridSpan w:val="3"/>
            <w:tcBorders>
              <w:top w:val="single" w:sz="4" w:space="0" w:color="auto"/>
              <w:bottom w:val="single" w:sz="4" w:space="0" w:color="auto"/>
              <w:right w:val="single" w:sz="4" w:space="0" w:color="auto"/>
            </w:tcBorders>
          </w:tcPr>
          <w:p w14:paraId="39FB146F" w14:textId="4DCF4A58" w:rsidR="00790D68" w:rsidRPr="00E7767C" w:rsidRDefault="00790D68" w:rsidP="00A0461D">
            <w:pPr>
              <w:keepNext/>
              <w:keepLines/>
              <w:jc w:val="center"/>
              <w:rPr>
                <w:rFonts w:ascii="Arial Narrow" w:hAnsi="Arial Narrow" w:cstheme="minorHAnsi"/>
                <w:sz w:val="20"/>
                <w:szCs w:val="20"/>
              </w:rPr>
            </w:pPr>
            <w:r w:rsidRPr="00E7767C">
              <w:rPr>
                <w:rFonts w:ascii="Arial Narrow" w:hAnsi="Arial Narrow" w:cstheme="minorHAnsi"/>
                <w:sz w:val="20"/>
                <w:szCs w:val="20"/>
              </w:rPr>
              <w:t>Not assumed in CM-577</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BB1B3" w14:textId="1DE23CB9" w:rsidR="00790D68" w:rsidRPr="00E7767C" w:rsidRDefault="00515131" w:rsidP="00A0461D">
            <w:pPr>
              <w:keepNext/>
              <w:keepLines/>
              <w:jc w:val="center"/>
              <w:rPr>
                <w:rFonts w:ascii="Arial Narrow" w:hAnsi="Arial Narrow"/>
                <w:iCs/>
                <w:sz w:val="20"/>
                <w:szCs w:val="20"/>
              </w:rPr>
            </w:pPr>
            <w:r w:rsidRPr="00E7767C">
              <w:rPr>
                <w:rFonts w:ascii="Arial Narrow" w:hAnsi="Arial Narrow"/>
                <w:iCs/>
                <w:sz w:val="20"/>
                <w:szCs w:val="20"/>
              </w:rPr>
              <w:t>36.1%</w:t>
            </w:r>
            <w:r w:rsidR="007979C2" w:rsidRPr="00E7767C">
              <w:rPr>
                <w:rFonts w:ascii="Arial Narrow" w:hAnsi="Arial Narrow"/>
                <w:iCs/>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D2447" w14:textId="2FEF0218" w:rsidR="00790D68" w:rsidRPr="00E7767C" w:rsidRDefault="00515131" w:rsidP="00A0461D">
            <w:pPr>
              <w:keepNext/>
              <w:keepLines/>
              <w:jc w:val="center"/>
              <w:rPr>
                <w:rFonts w:ascii="Arial Narrow" w:hAnsi="Arial Narrow"/>
                <w:iCs/>
                <w:sz w:val="20"/>
                <w:szCs w:val="20"/>
              </w:rPr>
            </w:pPr>
            <w:r w:rsidRPr="00E7767C">
              <w:rPr>
                <w:rFonts w:ascii="Arial Narrow" w:hAnsi="Arial Narrow"/>
                <w:iCs/>
                <w:sz w:val="20"/>
                <w:szCs w:val="20"/>
              </w:rPr>
              <w:t>22.2%</w:t>
            </w:r>
            <w:r w:rsidR="007979C2" w:rsidRPr="00E7767C">
              <w:rPr>
                <w:rFonts w:ascii="Arial Narrow" w:hAnsi="Arial Narrow"/>
                <w:iCs/>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E958231" w14:textId="1B493558" w:rsidR="00790D68" w:rsidRPr="00E7767C" w:rsidRDefault="00515131" w:rsidP="00A0461D">
            <w:pPr>
              <w:keepNext/>
              <w:keepLines/>
              <w:jc w:val="center"/>
              <w:rPr>
                <w:rFonts w:ascii="Arial Narrow" w:hAnsi="Arial Narrow" w:cstheme="minorHAnsi"/>
                <w:iCs/>
                <w:sz w:val="20"/>
                <w:szCs w:val="20"/>
              </w:rPr>
            </w:pPr>
            <w:r w:rsidRPr="00E7767C">
              <w:rPr>
                <w:rFonts w:ascii="Arial Narrow" w:hAnsi="Arial Narrow" w:cstheme="minorHAnsi"/>
                <w:iCs/>
                <w:sz w:val="20"/>
                <w:szCs w:val="20"/>
              </w:rPr>
              <w:t>13.9%</w:t>
            </w:r>
          </w:p>
        </w:tc>
      </w:tr>
      <w:tr w:rsidR="000107CF" w:rsidRPr="004C54EE" w14:paraId="74A41B0B" w14:textId="77777777" w:rsidTr="00790D68">
        <w:trPr>
          <w:trHeight w:val="227"/>
        </w:trPr>
        <w:tc>
          <w:tcPr>
            <w:tcW w:w="1187" w:type="pct"/>
            <w:noWrap/>
            <w:vAlign w:val="center"/>
          </w:tcPr>
          <w:p w14:paraId="345042B6" w14:textId="77777777" w:rsidR="00172C1C" w:rsidRPr="004C54EE" w:rsidRDefault="00172C1C" w:rsidP="00A0461D">
            <w:pPr>
              <w:pStyle w:val="TableText0"/>
            </w:pPr>
            <w:r w:rsidRPr="004C54EE">
              <w:t>Death at 5 years</w:t>
            </w:r>
          </w:p>
        </w:tc>
        <w:tc>
          <w:tcPr>
            <w:tcW w:w="1759" w:type="pct"/>
            <w:gridSpan w:val="3"/>
            <w:tcBorders>
              <w:top w:val="single" w:sz="4" w:space="0" w:color="auto"/>
              <w:bottom w:val="single" w:sz="4" w:space="0" w:color="auto"/>
              <w:right w:val="single" w:sz="4" w:space="0" w:color="auto"/>
            </w:tcBorders>
          </w:tcPr>
          <w:p w14:paraId="061C152A" w14:textId="009638DA" w:rsidR="00172C1C" w:rsidRPr="00763516" w:rsidRDefault="00172C1C" w:rsidP="00A0461D">
            <w:pPr>
              <w:keepNext/>
              <w:keepLines/>
              <w:jc w:val="center"/>
              <w:rPr>
                <w:rFonts w:ascii="Arial Narrow" w:hAnsi="Arial Narrow" w:cstheme="minorHAnsi"/>
                <w:sz w:val="20"/>
                <w:szCs w:val="20"/>
              </w:rPr>
            </w:pPr>
            <w:r w:rsidRPr="00763516">
              <w:rPr>
                <w:rFonts w:ascii="Arial Narrow" w:hAnsi="Arial Narrow" w:cstheme="minorHAnsi"/>
                <w:sz w:val="20"/>
                <w:szCs w:val="20"/>
              </w:rPr>
              <w:t>Not available (</w:t>
            </w:r>
            <w:r w:rsidR="00CE154D" w:rsidRPr="00763516">
              <w:rPr>
                <w:rFonts w:ascii="Arial Narrow" w:hAnsi="Arial Narrow" w:cstheme="minorHAnsi"/>
                <w:sz w:val="20"/>
                <w:szCs w:val="20"/>
              </w:rPr>
              <w:t>68</w:t>
            </w:r>
            <w:r w:rsidRPr="00763516">
              <w:rPr>
                <w:rFonts w:ascii="Arial Narrow" w:hAnsi="Arial Narrow" w:cstheme="minorHAnsi"/>
                <w:sz w:val="20"/>
                <w:szCs w:val="20"/>
              </w:rPr>
              <w:t>%</w:t>
            </w:r>
            <w:r w:rsidR="00763516" w:rsidRPr="00763516">
              <w:rPr>
                <w:vertAlign w:val="superscript"/>
              </w:rPr>
              <w:t>Ψ</w:t>
            </w:r>
            <w:r w:rsidRPr="00763516">
              <w:rPr>
                <w:rFonts w:ascii="Arial Narrow" w:hAnsi="Arial Narrow" w:cstheme="minorHAnsi"/>
                <w:sz w:val="20"/>
                <w:szCs w:val="20"/>
              </w:rPr>
              <w:t xml:space="preserve"> for non-metastatic OC patients in </w:t>
            </w:r>
            <w:r w:rsidR="001056FC" w:rsidRPr="00763516">
              <w:rPr>
                <w:rFonts w:ascii="Arial Narrow" w:hAnsi="Arial Narrow" w:cstheme="minorHAnsi"/>
                <w:sz w:val="20"/>
                <w:szCs w:val="20"/>
              </w:rPr>
              <w:t>v</w:t>
            </w:r>
            <w:r w:rsidRPr="00763516">
              <w:rPr>
                <w:rFonts w:ascii="Arial Narrow" w:hAnsi="Arial Narrow" w:cstheme="minorHAnsi"/>
                <w:sz w:val="20"/>
                <w:szCs w:val="20"/>
              </w:rPr>
              <w:t xml:space="preserve">an </w:t>
            </w:r>
            <w:proofErr w:type="spellStart"/>
            <w:r w:rsidRPr="00763516">
              <w:rPr>
                <w:rFonts w:ascii="Arial Narrow" w:hAnsi="Arial Narrow" w:cstheme="minorHAnsi"/>
                <w:sz w:val="20"/>
                <w:szCs w:val="20"/>
              </w:rPr>
              <w:t>Putten</w:t>
            </w:r>
            <w:proofErr w:type="spellEnd"/>
            <w:r w:rsidR="005363E8" w:rsidRPr="00763516">
              <w:rPr>
                <w:rFonts w:ascii="Arial Narrow" w:hAnsi="Arial Narrow" w:cstheme="minorHAnsi"/>
                <w:sz w:val="20"/>
                <w:szCs w:val="20"/>
              </w:rPr>
              <w:t xml:space="preserve"> et al</w:t>
            </w:r>
            <w:r w:rsidRPr="00763516">
              <w:rPr>
                <w:rFonts w:ascii="Arial Narrow" w:hAnsi="Arial Narrow" w:cstheme="minorHAnsi"/>
                <w:sz w:val="20"/>
                <w:szCs w:val="20"/>
              </w:rPr>
              <w:t xml:space="preserve"> 2018)</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4A5F3" w14:textId="7E7A448D" w:rsidR="00172C1C" w:rsidRPr="00763516" w:rsidRDefault="005166C7" w:rsidP="00A0461D">
            <w:pPr>
              <w:keepNext/>
              <w:keepLines/>
              <w:jc w:val="center"/>
              <w:rPr>
                <w:rFonts w:ascii="Arial Narrow" w:hAnsi="Arial Narrow"/>
                <w:sz w:val="20"/>
                <w:szCs w:val="20"/>
              </w:rPr>
            </w:pPr>
            <w:r w:rsidRPr="00763516">
              <w:rPr>
                <w:rFonts w:ascii="Arial Narrow" w:hAnsi="Arial Narrow"/>
                <w:sz w:val="20"/>
                <w:szCs w:val="20"/>
              </w:rPr>
              <w:t>61.3</w:t>
            </w:r>
            <w:r w:rsidR="00172C1C" w:rsidRPr="00763516">
              <w:rPr>
                <w:rFonts w:ascii="Arial Narrow" w:hAnsi="Arial Narrow"/>
                <w:sz w:val="20"/>
                <w:szCs w:val="20"/>
              </w:rPr>
              <w:t>%</w:t>
            </w:r>
            <w:r w:rsidR="00763516" w:rsidRPr="00763516">
              <w:rPr>
                <w:vertAlign w:val="superscript"/>
              </w:rPr>
              <w:t xml:space="preserve"> Ψ</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F563B" w14:textId="549F93B9" w:rsidR="00172C1C" w:rsidRPr="00763516" w:rsidRDefault="005166C7" w:rsidP="00A0461D">
            <w:pPr>
              <w:keepNext/>
              <w:keepLines/>
              <w:jc w:val="center"/>
              <w:rPr>
                <w:rFonts w:ascii="Arial Narrow" w:hAnsi="Arial Narrow"/>
                <w:sz w:val="20"/>
                <w:szCs w:val="20"/>
              </w:rPr>
            </w:pPr>
            <w:r w:rsidRPr="00763516">
              <w:rPr>
                <w:rFonts w:ascii="Arial Narrow" w:hAnsi="Arial Narrow"/>
                <w:sz w:val="20"/>
                <w:szCs w:val="20"/>
              </w:rPr>
              <w:t>75.4</w:t>
            </w:r>
            <w:r w:rsidR="00172C1C" w:rsidRPr="00763516">
              <w:rPr>
                <w:rFonts w:ascii="Arial Narrow" w:hAnsi="Arial Narrow"/>
                <w:sz w:val="20"/>
                <w:szCs w:val="20"/>
              </w:rPr>
              <w:t>%</w:t>
            </w:r>
            <w:r w:rsidR="00763516" w:rsidRPr="00763516">
              <w:rPr>
                <w:vertAlign w:val="superscript"/>
              </w:rPr>
              <w:t xml:space="preserve"> Ψ</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6DC187B" w14:textId="700466C6" w:rsidR="00172C1C" w:rsidRPr="00763516" w:rsidRDefault="00172C1C" w:rsidP="00A0461D">
            <w:pPr>
              <w:keepNext/>
              <w:keepLines/>
              <w:jc w:val="center"/>
              <w:rPr>
                <w:rFonts w:ascii="Arial Narrow" w:hAnsi="Arial Narrow" w:cstheme="minorHAnsi"/>
                <w:sz w:val="20"/>
                <w:szCs w:val="20"/>
              </w:rPr>
            </w:pPr>
            <w:r w:rsidRPr="00763516">
              <w:rPr>
                <w:rFonts w:ascii="Arial Narrow" w:hAnsi="Arial Narrow" w:cstheme="minorHAnsi"/>
                <w:sz w:val="20"/>
                <w:szCs w:val="20"/>
              </w:rPr>
              <w:t>14.1%</w:t>
            </w:r>
            <w:r w:rsidR="00763516" w:rsidRPr="00763516">
              <w:rPr>
                <w:vertAlign w:val="superscript"/>
              </w:rPr>
              <w:t xml:space="preserve"> Ψ</w:t>
            </w:r>
          </w:p>
        </w:tc>
      </w:tr>
      <w:tr w:rsidR="007979C2" w:rsidRPr="004C54EE" w14:paraId="0C1CAA6A" w14:textId="77777777" w:rsidTr="00790D68">
        <w:trPr>
          <w:trHeight w:val="227"/>
        </w:trPr>
        <w:tc>
          <w:tcPr>
            <w:tcW w:w="1187" w:type="pct"/>
            <w:noWrap/>
            <w:vAlign w:val="center"/>
          </w:tcPr>
          <w:p w14:paraId="56AE78A5" w14:textId="02BD503E" w:rsidR="00172C1C" w:rsidRPr="004C54EE" w:rsidRDefault="00172C1C" w:rsidP="00A0461D">
            <w:pPr>
              <w:pStyle w:val="TableText0"/>
            </w:pPr>
            <w:r w:rsidRPr="004C54EE">
              <w:t>Life years (undiscounted</w:t>
            </w:r>
            <w:r w:rsidR="00584FE8">
              <w:t>)</w:t>
            </w:r>
          </w:p>
        </w:tc>
        <w:tc>
          <w:tcPr>
            <w:tcW w:w="589" w:type="pct"/>
            <w:tcBorders>
              <w:top w:val="single" w:sz="4" w:space="0" w:color="auto"/>
              <w:bottom w:val="single" w:sz="4" w:space="0" w:color="auto"/>
              <w:right w:val="single" w:sz="4" w:space="0" w:color="auto"/>
            </w:tcBorders>
          </w:tcPr>
          <w:p w14:paraId="7E573152" w14:textId="77777777" w:rsidR="00172C1C" w:rsidRPr="004C54EE" w:rsidRDefault="00172C1C" w:rsidP="00A0461D">
            <w:pPr>
              <w:pStyle w:val="TableText0"/>
              <w:jc w:val="center"/>
            </w:pPr>
            <w:r w:rsidRPr="004C54EE">
              <w:t>-</w:t>
            </w:r>
          </w:p>
        </w:tc>
        <w:tc>
          <w:tcPr>
            <w:tcW w:w="646" w:type="pct"/>
            <w:tcBorders>
              <w:top w:val="single" w:sz="4" w:space="0" w:color="auto"/>
              <w:left w:val="single" w:sz="4" w:space="0" w:color="auto"/>
              <w:bottom w:val="single" w:sz="4" w:space="0" w:color="auto"/>
              <w:right w:val="single" w:sz="4" w:space="0" w:color="auto"/>
            </w:tcBorders>
            <w:noWrap/>
          </w:tcPr>
          <w:p w14:paraId="720C1FC1" w14:textId="77777777" w:rsidR="00172C1C" w:rsidRPr="004C54EE" w:rsidRDefault="00172C1C" w:rsidP="00A0461D">
            <w:pPr>
              <w:pStyle w:val="TableText0"/>
              <w:jc w:val="center"/>
            </w:pPr>
            <w:r w:rsidRPr="004C54EE">
              <w:t>-</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62B30D0" w14:textId="77777777" w:rsidR="00172C1C" w:rsidRPr="004C54EE" w:rsidRDefault="00172C1C" w:rsidP="00A0461D">
            <w:pPr>
              <w:keepNext/>
              <w:keepLines/>
              <w:jc w:val="center"/>
              <w:rPr>
                <w:rFonts w:ascii="Arial Narrow" w:hAnsi="Arial Narrow" w:cs="Calibri"/>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C8596" w14:textId="77777777" w:rsidR="00172C1C" w:rsidRPr="004C54EE" w:rsidRDefault="00172C1C" w:rsidP="00A0461D">
            <w:pPr>
              <w:pStyle w:val="TableText0"/>
              <w:jc w:val="center"/>
              <w:rPr>
                <w:szCs w:val="20"/>
              </w:rPr>
            </w:pPr>
            <w:r w:rsidRPr="004C54EE">
              <w:t>9.075</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DA627" w14:textId="77777777" w:rsidR="00172C1C" w:rsidRPr="004C54EE" w:rsidRDefault="00172C1C" w:rsidP="00A0461D">
            <w:pPr>
              <w:pStyle w:val="TableText0"/>
              <w:jc w:val="center"/>
              <w:rPr>
                <w:szCs w:val="20"/>
              </w:rPr>
            </w:pPr>
            <w:r w:rsidRPr="004C54EE">
              <w:t>6.199</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14:paraId="3DFC1E21" w14:textId="77777777" w:rsidR="00172C1C" w:rsidRPr="004C54EE" w:rsidRDefault="00172C1C" w:rsidP="00A0461D">
            <w:pPr>
              <w:pStyle w:val="TableText0"/>
              <w:jc w:val="center"/>
              <w:rPr>
                <w:szCs w:val="20"/>
              </w:rPr>
            </w:pPr>
            <w:r w:rsidRPr="004C54EE">
              <w:t>2.876</w:t>
            </w:r>
          </w:p>
        </w:tc>
      </w:tr>
    </w:tbl>
    <w:p w14:paraId="42C2507E" w14:textId="34DA3D19" w:rsidR="00172C1C" w:rsidRDefault="00172C1C" w:rsidP="00172C1C">
      <w:pPr>
        <w:pStyle w:val="TableFigureFooter"/>
      </w:pPr>
      <w:r w:rsidRPr="004C54EE">
        <w:t>Source: Model worksheet of attached economic evaluation and Table 29, p75 of the submission.</w:t>
      </w:r>
    </w:p>
    <w:p w14:paraId="3396BD27" w14:textId="6FE0B267" w:rsidR="00172C1C" w:rsidRPr="004C54EE" w:rsidRDefault="00172C1C" w:rsidP="00172C1C">
      <w:pPr>
        <w:pStyle w:val="TableFigureFooter"/>
      </w:pPr>
      <w:r w:rsidRPr="004C54EE">
        <w:t xml:space="preserve">*Calculated as </w:t>
      </w:r>
      <w:r w:rsidR="00BB4914">
        <w:t>=</w:t>
      </w:r>
      <w:r w:rsidRPr="004C54EE">
        <w:t>sum(W209:X:209) in model worksheet of economic model</w:t>
      </w:r>
      <w:r w:rsidR="00BB4914">
        <w:t>.</w:t>
      </w:r>
    </w:p>
    <w:p w14:paraId="38E350AB" w14:textId="224944CA" w:rsidR="00172C1C" w:rsidRDefault="00172C1C" w:rsidP="00172C1C">
      <w:pPr>
        <w:pStyle w:val="TableFigureFooter"/>
      </w:pPr>
      <w:r w:rsidRPr="004C54EE">
        <w:t xml:space="preserve">** </w:t>
      </w:r>
      <w:r w:rsidR="00BB4914">
        <w:t>C</w:t>
      </w:r>
      <w:r w:rsidRPr="004C54EE">
        <w:t xml:space="preserve">alculated as </w:t>
      </w:r>
      <w:r w:rsidR="00BB4914">
        <w:t>=</w:t>
      </w:r>
      <w:proofErr w:type="gramStart"/>
      <w:r w:rsidRPr="004C54EE">
        <w:t>sum(</w:t>
      </w:r>
      <w:proofErr w:type="gramEnd"/>
      <w:r w:rsidRPr="004C54EE">
        <w:t>AO209:AP209) in model worksheet of economic model</w:t>
      </w:r>
      <w:r w:rsidR="00BB4914">
        <w:t>.</w:t>
      </w:r>
    </w:p>
    <w:p w14:paraId="73246991" w14:textId="32863D0F" w:rsidR="007979C2" w:rsidRDefault="007979C2" w:rsidP="00172C1C">
      <w:pPr>
        <w:pStyle w:val="TableFigureFooter"/>
      </w:pPr>
      <w:r>
        <w:t>^</w:t>
      </w:r>
      <w:r w:rsidR="00763516">
        <w:t xml:space="preserve"> </w:t>
      </w:r>
      <w:r>
        <w:t>Cell V130 in model worksheet of attached economic model</w:t>
      </w:r>
    </w:p>
    <w:p w14:paraId="4FDEBACE" w14:textId="3F1F050B" w:rsidR="007979C2" w:rsidRDefault="007979C2" w:rsidP="007979C2">
      <w:pPr>
        <w:pStyle w:val="TableFigureFooter"/>
      </w:pPr>
      <w:r>
        <w:t>^^Cell AN130 in model worksheet of attached economic model</w:t>
      </w:r>
    </w:p>
    <w:p w14:paraId="24115795" w14:textId="089F1AEA" w:rsidR="00763516" w:rsidRPr="00763516" w:rsidRDefault="00763516" w:rsidP="007979C2">
      <w:pPr>
        <w:pStyle w:val="TableFigureFooter"/>
        <w:rPr>
          <w:color w:val="3366FF"/>
        </w:rPr>
      </w:pPr>
      <w:r w:rsidRPr="00763516">
        <w:rPr>
          <w:vertAlign w:val="superscript"/>
        </w:rPr>
        <w:t>Ψ</w:t>
      </w:r>
      <w:r w:rsidRPr="00763516">
        <w:t xml:space="preserve"> Inputs calculated during the evaluation.</w:t>
      </w:r>
    </w:p>
    <w:p w14:paraId="59106688" w14:textId="2FAAA417" w:rsidR="00172C1C" w:rsidRPr="00E7767C" w:rsidRDefault="00D651B9" w:rsidP="00172C1C">
      <w:pPr>
        <w:pStyle w:val="3-BodyText"/>
        <w:rPr>
          <w:iCs/>
          <w:color w:val="000000" w:themeColor="text1"/>
        </w:rPr>
      </w:pPr>
      <w:bookmarkStart w:id="41" w:name="_Ref109819461"/>
      <w:r w:rsidRPr="00E7767C">
        <w:rPr>
          <w:iCs/>
          <w:color w:val="000000" w:themeColor="text1"/>
        </w:rPr>
        <w:t>The base case of the economic model (</w:t>
      </w:r>
      <w:r w:rsidR="008757DF" w:rsidRPr="00E7767C">
        <w:rPr>
          <w:iCs/>
          <w:color w:val="000000" w:themeColor="text1"/>
        </w:rPr>
        <w:t>25-year</w:t>
      </w:r>
      <w:r w:rsidRPr="00E7767C">
        <w:rPr>
          <w:iCs/>
          <w:color w:val="000000" w:themeColor="text1"/>
        </w:rPr>
        <w:t xml:space="preserve"> time horizon) </w:t>
      </w:r>
      <w:r w:rsidR="000D6154" w:rsidRPr="00E7767C">
        <w:rPr>
          <w:iCs/>
          <w:color w:val="000000" w:themeColor="text1"/>
        </w:rPr>
        <w:t>estimated</w:t>
      </w:r>
      <w:r w:rsidRPr="00E7767C">
        <w:rPr>
          <w:iCs/>
          <w:color w:val="000000" w:themeColor="text1"/>
        </w:rPr>
        <w:t xml:space="preserve"> f</w:t>
      </w:r>
      <w:r w:rsidR="00172C1C" w:rsidRPr="00E7767C">
        <w:rPr>
          <w:iCs/>
          <w:color w:val="000000" w:themeColor="text1"/>
        </w:rPr>
        <w:t>or every patient treated with nivolumab:</w:t>
      </w:r>
      <w:bookmarkEnd w:id="41"/>
    </w:p>
    <w:p w14:paraId="653A56A8" w14:textId="052E7793" w:rsidR="00172C1C" w:rsidRPr="00E7767C" w:rsidRDefault="00F0503B" w:rsidP="00E27AA1">
      <w:pPr>
        <w:pStyle w:val="3-BodyText"/>
        <w:numPr>
          <w:ilvl w:val="0"/>
          <w:numId w:val="10"/>
        </w:numPr>
        <w:ind w:left="1134"/>
        <w:rPr>
          <w:iCs/>
          <w:color w:val="000000" w:themeColor="text1"/>
        </w:rPr>
      </w:pPr>
      <w:r w:rsidRPr="00E7767C">
        <w:rPr>
          <w:iCs/>
          <w:color w:val="000000" w:themeColor="text1"/>
        </w:rPr>
        <w:lastRenderedPageBreak/>
        <w:t>a</w:t>
      </w:r>
      <w:r w:rsidR="00172C1C" w:rsidRPr="00E7767C">
        <w:rPr>
          <w:iCs/>
          <w:color w:val="000000" w:themeColor="text1"/>
        </w:rPr>
        <w:t xml:space="preserve"> </w:t>
      </w:r>
      <w:r w:rsidR="00AE3279" w:rsidRPr="00E7767C">
        <w:rPr>
          <w:iCs/>
          <w:color w:val="000000" w:themeColor="text1"/>
        </w:rPr>
        <w:t xml:space="preserve">primary </w:t>
      </w:r>
      <w:r w:rsidR="00172C1C" w:rsidRPr="00E7767C">
        <w:rPr>
          <w:iCs/>
          <w:color w:val="000000" w:themeColor="text1"/>
        </w:rPr>
        <w:t>drug cost of $</w:t>
      </w:r>
      <w:proofErr w:type="gramStart"/>
      <w:r w:rsidR="000A25B4" w:rsidRPr="00B73889">
        <w:rPr>
          <w:iCs/>
          <w:color w:val="000000" w:themeColor="text1"/>
          <w:w w:val="15"/>
          <w:shd w:val="solid" w:color="000000" w:fill="000000"/>
          <w:fitText w:val="-20" w:id="-1435755775"/>
          <w14:textFill>
            <w14:solidFill>
              <w14:schemeClr w14:val="tx1">
                <w14:alpha w14:val="100000"/>
              </w14:schemeClr>
            </w14:solidFill>
          </w14:textFill>
        </w:rPr>
        <w:t xml:space="preserve">|  </w:t>
      </w:r>
      <w:r w:rsidR="000A25B4" w:rsidRPr="00B73889">
        <w:rPr>
          <w:iCs/>
          <w:color w:val="000000" w:themeColor="text1"/>
          <w:spacing w:val="-69"/>
          <w:w w:val="15"/>
          <w:shd w:val="solid" w:color="000000" w:fill="000000"/>
          <w:fitText w:val="-20" w:id="-1435755775"/>
          <w14:textFill>
            <w14:solidFill>
              <w14:schemeClr w14:val="tx1">
                <w14:alpha w14:val="100000"/>
              </w14:schemeClr>
            </w14:solidFill>
          </w14:textFill>
        </w:rPr>
        <w:t>|</w:t>
      </w:r>
      <w:proofErr w:type="gramEnd"/>
      <w:r w:rsidR="00172C1C" w:rsidRPr="00E7767C">
        <w:rPr>
          <w:iCs/>
          <w:color w:val="000000" w:themeColor="text1"/>
        </w:rPr>
        <w:t xml:space="preserve"> per patient</w:t>
      </w:r>
      <w:r w:rsidR="00031926" w:rsidRPr="00E7767C">
        <w:rPr>
          <w:iCs/>
          <w:color w:val="000000" w:themeColor="text1"/>
        </w:rPr>
        <w:t xml:space="preserve"> (</w:t>
      </w:r>
      <w:r w:rsidR="006D13B8" w:rsidRPr="00E7767C">
        <w:rPr>
          <w:iCs/>
          <w:color w:val="000000" w:themeColor="text1"/>
        </w:rPr>
        <w:t>un</w:t>
      </w:r>
      <w:r w:rsidR="00031926" w:rsidRPr="00E7767C">
        <w:rPr>
          <w:iCs/>
          <w:color w:val="000000" w:themeColor="text1"/>
        </w:rPr>
        <w:t>discounted)</w:t>
      </w:r>
      <w:r w:rsidR="00172C1C" w:rsidRPr="00E7767C">
        <w:rPr>
          <w:iCs/>
          <w:color w:val="000000" w:themeColor="text1"/>
        </w:rPr>
        <w:t>;</w:t>
      </w:r>
      <w:r w:rsidR="00C46D1C" w:rsidRPr="00E7767C">
        <w:rPr>
          <w:iCs/>
          <w:color w:val="000000" w:themeColor="text1"/>
        </w:rPr>
        <w:t xml:space="preserve"> and</w:t>
      </w:r>
    </w:p>
    <w:p w14:paraId="44DDD47C" w14:textId="29A2956D" w:rsidR="00540A5D" w:rsidRPr="00E7767C" w:rsidRDefault="00F0503B" w:rsidP="00540A5D">
      <w:pPr>
        <w:pStyle w:val="3-BodyText"/>
        <w:numPr>
          <w:ilvl w:val="0"/>
          <w:numId w:val="3"/>
        </w:numPr>
        <w:ind w:left="1134"/>
        <w:rPr>
          <w:iCs/>
          <w:color w:val="000000" w:themeColor="text1"/>
        </w:rPr>
      </w:pPr>
      <w:r w:rsidRPr="00E7767C">
        <w:rPr>
          <w:iCs/>
          <w:color w:val="000000" w:themeColor="text1"/>
        </w:rPr>
        <w:t>a</w:t>
      </w:r>
      <w:r w:rsidR="00172C1C" w:rsidRPr="00E7767C">
        <w:rPr>
          <w:iCs/>
          <w:color w:val="000000" w:themeColor="text1"/>
        </w:rPr>
        <w:t xml:space="preserve"> mean gain of 2.876 life years </w:t>
      </w:r>
      <w:r w:rsidR="00DE449D" w:rsidRPr="00E7767C">
        <w:rPr>
          <w:iCs/>
          <w:color w:val="000000" w:themeColor="text1"/>
        </w:rPr>
        <w:t>(LY)</w:t>
      </w:r>
      <w:r w:rsidR="00031926" w:rsidRPr="00E7767C">
        <w:rPr>
          <w:iCs/>
          <w:color w:val="000000" w:themeColor="text1"/>
        </w:rPr>
        <w:t xml:space="preserve"> </w:t>
      </w:r>
      <w:r w:rsidR="00172C1C" w:rsidRPr="00E7767C">
        <w:rPr>
          <w:iCs/>
          <w:color w:val="000000" w:themeColor="text1"/>
        </w:rPr>
        <w:t>per patient</w:t>
      </w:r>
      <w:r w:rsidR="00AE3279" w:rsidRPr="00E7767C">
        <w:rPr>
          <w:iCs/>
          <w:color w:val="000000" w:themeColor="text1"/>
        </w:rPr>
        <w:t xml:space="preserve"> (undiscounted)</w:t>
      </w:r>
      <w:r w:rsidR="00172C1C" w:rsidRPr="00E7767C">
        <w:rPr>
          <w:iCs/>
          <w:color w:val="000000" w:themeColor="text1"/>
        </w:rPr>
        <w:t>.</w:t>
      </w:r>
    </w:p>
    <w:p w14:paraId="54E89CC4" w14:textId="22B21A30" w:rsidR="00172C1C" w:rsidRPr="00E7767C" w:rsidRDefault="00172C1C" w:rsidP="00172C1C">
      <w:pPr>
        <w:pStyle w:val="3-BodyText"/>
        <w:rPr>
          <w:iCs/>
          <w:color w:val="000000" w:themeColor="text1"/>
        </w:rPr>
      </w:pPr>
      <w:r w:rsidRPr="001F46C2">
        <w:rPr>
          <w:color w:val="000000" w:themeColor="text1"/>
        </w:rPr>
        <w:t xml:space="preserve">The probability of recurrence or death </w:t>
      </w:r>
      <w:r w:rsidR="005F2251">
        <w:rPr>
          <w:color w:val="000000" w:themeColor="text1"/>
        </w:rPr>
        <w:t xml:space="preserve">in both treatment arms </w:t>
      </w:r>
      <w:r w:rsidRPr="001F46C2">
        <w:rPr>
          <w:color w:val="000000" w:themeColor="text1"/>
        </w:rPr>
        <w:t>was higher in the economic model than in CM-</w:t>
      </w:r>
      <w:r w:rsidRPr="00D225C3">
        <w:rPr>
          <w:iCs/>
          <w:color w:val="000000" w:themeColor="text1"/>
        </w:rPr>
        <w:t>577</w:t>
      </w:r>
      <w:r w:rsidR="00D225C3" w:rsidRPr="00D225C3">
        <w:rPr>
          <w:iCs/>
          <w:color w:val="000000" w:themeColor="text1"/>
        </w:rPr>
        <w:t xml:space="preserve"> (</w:t>
      </w:r>
      <w:r w:rsidR="00D225C3" w:rsidRPr="00D225C3">
        <w:rPr>
          <w:iCs/>
          <w:color w:val="000000" w:themeColor="text1"/>
        </w:rPr>
        <w:fldChar w:fldCharType="begin"/>
      </w:r>
      <w:r w:rsidR="00D225C3" w:rsidRPr="00D225C3">
        <w:rPr>
          <w:iCs/>
          <w:color w:val="000000" w:themeColor="text1"/>
        </w:rPr>
        <w:instrText xml:space="preserve"> REF _Ref100831497 \h  \* MERGEFORMAT </w:instrText>
      </w:r>
      <w:r w:rsidR="00D225C3" w:rsidRPr="00D225C3">
        <w:rPr>
          <w:iCs/>
          <w:color w:val="000000" w:themeColor="text1"/>
        </w:rPr>
      </w:r>
      <w:r w:rsidR="00D225C3" w:rsidRPr="00D225C3">
        <w:rPr>
          <w:iCs/>
          <w:color w:val="000000" w:themeColor="text1"/>
        </w:rPr>
        <w:fldChar w:fldCharType="separate"/>
      </w:r>
      <w:r w:rsidR="00267758" w:rsidRPr="00267758">
        <w:rPr>
          <w:iCs/>
          <w:color w:val="000000" w:themeColor="text1"/>
        </w:rPr>
        <w:t>Table 9</w:t>
      </w:r>
      <w:r w:rsidR="00D225C3" w:rsidRPr="00D225C3">
        <w:rPr>
          <w:iCs/>
          <w:color w:val="000000" w:themeColor="text1"/>
        </w:rPr>
        <w:fldChar w:fldCharType="end"/>
      </w:r>
      <w:r w:rsidR="00D225C3" w:rsidRPr="00D225C3">
        <w:rPr>
          <w:iCs/>
          <w:color w:val="000000" w:themeColor="text1"/>
        </w:rPr>
        <w:t>)</w:t>
      </w:r>
      <w:r w:rsidR="00DD5845" w:rsidRPr="00D225C3">
        <w:rPr>
          <w:iCs/>
          <w:color w:val="000000" w:themeColor="text1"/>
        </w:rPr>
        <w:t>.</w:t>
      </w:r>
      <w:r w:rsidRPr="00D225C3">
        <w:rPr>
          <w:iCs/>
          <w:color w:val="000000" w:themeColor="text1"/>
        </w:rPr>
        <w:t xml:space="preserve"> </w:t>
      </w:r>
      <w:r w:rsidR="00177B58" w:rsidRPr="00D225C3">
        <w:rPr>
          <w:iCs/>
          <w:color w:val="000000" w:themeColor="text1"/>
        </w:rPr>
        <w:t>This was</w:t>
      </w:r>
      <w:r w:rsidRPr="00E7767C">
        <w:rPr>
          <w:iCs/>
          <w:color w:val="000000" w:themeColor="text1"/>
        </w:rPr>
        <w:t xml:space="preserve"> expected given the longer time horizon (lifetime horizon) used in the model compared to the trial</w:t>
      </w:r>
      <w:r w:rsidR="006444F2" w:rsidRPr="00E7767C">
        <w:rPr>
          <w:iCs/>
          <w:color w:val="000000" w:themeColor="text1"/>
        </w:rPr>
        <w:t xml:space="preserve">. </w:t>
      </w:r>
      <w:r w:rsidR="001056FC">
        <w:rPr>
          <w:iCs/>
          <w:color w:val="000000" w:themeColor="text1"/>
        </w:rPr>
        <w:t>v</w:t>
      </w:r>
      <w:r w:rsidR="00177B58" w:rsidRPr="00E7767C">
        <w:rPr>
          <w:iCs/>
          <w:color w:val="000000" w:themeColor="text1"/>
        </w:rPr>
        <w:t xml:space="preserve">an </w:t>
      </w:r>
      <w:proofErr w:type="spellStart"/>
      <w:r w:rsidRPr="00E7767C">
        <w:rPr>
          <w:iCs/>
          <w:color w:val="000000" w:themeColor="text1"/>
        </w:rPr>
        <w:t>Putten</w:t>
      </w:r>
      <w:proofErr w:type="spellEnd"/>
      <w:r w:rsidR="005363E8">
        <w:rPr>
          <w:iCs/>
          <w:color w:val="000000" w:themeColor="text1"/>
        </w:rPr>
        <w:t xml:space="preserve"> et al</w:t>
      </w:r>
      <w:r w:rsidRPr="00E7767C">
        <w:rPr>
          <w:iCs/>
          <w:color w:val="000000" w:themeColor="text1"/>
        </w:rPr>
        <w:t xml:space="preserve"> 2018</w:t>
      </w:r>
      <w:r w:rsidR="00FE0D90" w:rsidRPr="00E7767C">
        <w:rPr>
          <w:rStyle w:val="FootnoteReference"/>
          <w:iCs/>
          <w:color w:val="000000" w:themeColor="text1"/>
        </w:rPr>
        <w:footnoteReference w:id="14"/>
      </w:r>
      <w:r w:rsidRPr="00E7767C">
        <w:rPr>
          <w:iCs/>
          <w:color w:val="000000" w:themeColor="text1"/>
        </w:rPr>
        <w:t xml:space="preserve"> estimated that 5-year survival for non-metastatic </w:t>
      </w:r>
      <w:r w:rsidR="00E324DB" w:rsidRPr="00E7767C">
        <w:rPr>
          <w:iCs/>
          <w:color w:val="000000" w:themeColor="text1"/>
        </w:rPr>
        <w:t>o</w:t>
      </w:r>
      <w:r w:rsidRPr="00E7767C">
        <w:rPr>
          <w:iCs/>
          <w:color w:val="000000" w:themeColor="text1"/>
        </w:rPr>
        <w:t xml:space="preserve">esophageal cancer was 32% between 2010 and 2014. The economic evaluation estimated a 5-year survival of 24.6% and 38.7% for standard of care and nivolumab, respectively. It was likely that the </w:t>
      </w:r>
      <w:r w:rsidR="001056FC">
        <w:rPr>
          <w:iCs/>
          <w:color w:val="000000" w:themeColor="text1"/>
        </w:rPr>
        <w:t>v</w:t>
      </w:r>
      <w:r w:rsidRPr="00E7767C">
        <w:rPr>
          <w:iCs/>
          <w:color w:val="000000" w:themeColor="text1"/>
        </w:rPr>
        <w:t xml:space="preserve">an </w:t>
      </w:r>
      <w:proofErr w:type="spellStart"/>
      <w:r w:rsidRPr="00E7767C">
        <w:rPr>
          <w:iCs/>
          <w:color w:val="000000" w:themeColor="text1"/>
        </w:rPr>
        <w:t>Putten</w:t>
      </w:r>
      <w:proofErr w:type="spellEnd"/>
      <w:r w:rsidR="005363E8">
        <w:rPr>
          <w:iCs/>
          <w:color w:val="000000" w:themeColor="text1"/>
        </w:rPr>
        <w:t xml:space="preserve"> et al 2018</w:t>
      </w:r>
      <w:r w:rsidRPr="00E7767C">
        <w:rPr>
          <w:iCs/>
          <w:color w:val="000000" w:themeColor="text1"/>
        </w:rPr>
        <w:t xml:space="preserve"> estimates were not directly comparable as they included all non-metastatic patients as opposed to only those included in the trial but</w:t>
      </w:r>
      <w:r w:rsidR="00177B58" w:rsidRPr="00E7767C">
        <w:rPr>
          <w:iCs/>
          <w:color w:val="000000" w:themeColor="text1"/>
        </w:rPr>
        <w:t xml:space="preserve">, nevertheless, these differences </w:t>
      </w:r>
      <w:r w:rsidRPr="00E7767C">
        <w:rPr>
          <w:iCs/>
          <w:color w:val="000000" w:themeColor="text1"/>
        </w:rPr>
        <w:t xml:space="preserve">might suggest an underestimation of overall survival in the SOC arm. </w:t>
      </w:r>
    </w:p>
    <w:p w14:paraId="506EDE57" w14:textId="74010428" w:rsidR="00EE3378" w:rsidRPr="00A81E8E" w:rsidRDefault="00415F3B" w:rsidP="00EE3378">
      <w:pPr>
        <w:pStyle w:val="3-BodyText"/>
        <w:rPr>
          <w:color w:val="000000" w:themeColor="text1"/>
        </w:rPr>
      </w:pPr>
      <w:bookmarkStart w:id="42" w:name="_Ref103265452"/>
      <w:bookmarkStart w:id="43" w:name="_Ref110495484"/>
      <w:r w:rsidRPr="004C54EE">
        <w:t>In the base case analysis, TTR is utilised to determine transitions from recurrence free to recurred</w:t>
      </w:r>
      <w:r w:rsidR="00EE3378">
        <w:t xml:space="preserve"> with </w:t>
      </w:r>
      <w:r w:rsidRPr="004C54EE">
        <w:t xml:space="preserve">DFS data utilised in a sensitivity analysis. The submission stated that the rationale for the use of TTR over DFS in the base case </w:t>
      </w:r>
      <w:r>
        <w:t>was that t</w:t>
      </w:r>
      <w:r w:rsidRPr="004C54EE">
        <w:t>he use of DFS may lead to a potential double counting of deaths for nivolumab. Therefore, this is utilised in the base case for the economic evaluation.</w:t>
      </w:r>
      <w:r w:rsidR="006041B7" w:rsidRPr="00E7767C">
        <w:rPr>
          <w:iCs/>
          <w:color w:val="000000" w:themeColor="text1"/>
        </w:rPr>
        <w:t xml:space="preserve"> </w:t>
      </w:r>
      <w:r w:rsidRPr="004C54EE">
        <w:t>DFS is the primary endpoint for CM-577 and allows for external validation with clinical experts and published literature. Therefore, DFS is utilised as the data source to estimate the transition from pre-recurrence to post-recurrence in a sensitivity analysis</w:t>
      </w:r>
      <w:r w:rsidR="006041B7">
        <w:t xml:space="preserve">. </w:t>
      </w:r>
      <w:r w:rsidR="004149A2" w:rsidRPr="00925F8E">
        <w:t xml:space="preserve">It was </w:t>
      </w:r>
      <w:r w:rsidR="000F329D" w:rsidRPr="00925F8E">
        <w:t>noted</w:t>
      </w:r>
      <w:r w:rsidR="004149A2" w:rsidRPr="00925F8E">
        <w:t xml:space="preserve"> in the evaluation that TTR estimates were calculated post hoc and therefore </w:t>
      </w:r>
      <w:r w:rsidR="00C367A5" w:rsidRPr="00925F8E">
        <w:t xml:space="preserve">may </w:t>
      </w:r>
      <w:r w:rsidR="004149A2" w:rsidRPr="00925F8E">
        <w:t xml:space="preserve">be associated with more uncertainty compared with DFS, the primary outcome of CM-577. </w:t>
      </w:r>
      <w:r w:rsidR="000C0726" w:rsidRPr="00925F8E">
        <w:t>The PSCR reiterate</w:t>
      </w:r>
      <w:r w:rsidR="00511F9A" w:rsidRPr="00925F8E">
        <w:t>d</w:t>
      </w:r>
      <w:r w:rsidR="000C0726" w:rsidRPr="00925F8E">
        <w:t xml:space="preserve"> that TTR is equal in its validity to DFS, and a more accurate approach to modelling recurrence, as DFS includes both recurrence and death events in CM-577 and its use in the economic model leads to the double counting of death in the pre-recurrence health state. </w:t>
      </w:r>
      <w:r w:rsidR="00CC5B96" w:rsidRPr="00925F8E">
        <w:t>The ESC considered that</w:t>
      </w:r>
      <w:r w:rsidR="004149A2" w:rsidRPr="00925F8E">
        <w:t xml:space="preserve"> the TTR curves</w:t>
      </w:r>
      <w:r w:rsidR="00C367A5" w:rsidRPr="00925F8E">
        <w:t xml:space="preserve"> used for the base case in the submission</w:t>
      </w:r>
      <w:r w:rsidR="004149A2" w:rsidRPr="00925F8E">
        <w:t xml:space="preserve"> </w:t>
      </w:r>
      <w:r w:rsidR="00666055" w:rsidRPr="00925F8E">
        <w:t xml:space="preserve">may be </w:t>
      </w:r>
      <w:r w:rsidR="004149A2" w:rsidRPr="00925F8E">
        <w:t>reasonable</w:t>
      </w:r>
      <w:r w:rsidR="00666055" w:rsidRPr="00925F8E">
        <w:t xml:space="preserve">, </w:t>
      </w:r>
      <w:bookmarkEnd w:id="42"/>
      <w:r w:rsidR="00666055" w:rsidRPr="00925F8E">
        <w:t>and further</w:t>
      </w:r>
      <w:r w:rsidR="00C367A5" w:rsidRPr="00925F8E">
        <w:t xml:space="preserve"> </w:t>
      </w:r>
      <w:r w:rsidR="00CC5B96" w:rsidRPr="00925F8E">
        <w:t xml:space="preserve">noted that the choice of data source for this transition (TTR versus DFS) was not a </w:t>
      </w:r>
      <w:r w:rsidR="00666055" w:rsidRPr="00925F8E">
        <w:t xml:space="preserve">key </w:t>
      </w:r>
      <w:r w:rsidR="00CC5B96" w:rsidRPr="00925F8E">
        <w:t>driver of the economic model</w:t>
      </w:r>
      <w:r w:rsidR="004149A2" w:rsidRPr="00925F8E">
        <w:t>.</w:t>
      </w:r>
      <w:bookmarkEnd w:id="43"/>
    </w:p>
    <w:p w14:paraId="309A8302" w14:textId="4384E77D" w:rsidR="007B065D" w:rsidRPr="00E7767C" w:rsidRDefault="00172C1C" w:rsidP="00172C1C">
      <w:pPr>
        <w:pStyle w:val="3-BodyText"/>
        <w:rPr>
          <w:iCs/>
          <w:color w:val="000000" w:themeColor="text1"/>
        </w:rPr>
      </w:pPr>
      <w:r w:rsidRPr="00E7767C">
        <w:rPr>
          <w:iCs/>
          <w:color w:val="000000" w:themeColor="text1"/>
        </w:rPr>
        <w:t xml:space="preserve">The key limitation of the model was the absence of comparative overall survival data to assess </w:t>
      </w:r>
      <w:r w:rsidR="00377B93" w:rsidRPr="00E7767C">
        <w:rPr>
          <w:iCs/>
          <w:color w:val="000000" w:themeColor="text1"/>
        </w:rPr>
        <w:t xml:space="preserve">the </w:t>
      </w:r>
      <w:r w:rsidRPr="00E7767C">
        <w:rPr>
          <w:iCs/>
          <w:color w:val="000000" w:themeColor="text1"/>
        </w:rPr>
        <w:t xml:space="preserve">magnitude of benefit of nivolumab. The submission relied on calculating </w:t>
      </w:r>
      <w:r w:rsidR="00F11247">
        <w:rPr>
          <w:iCs/>
          <w:color w:val="000000" w:themeColor="text1"/>
        </w:rPr>
        <w:t>the</w:t>
      </w:r>
      <w:r w:rsidRPr="00E7767C">
        <w:rPr>
          <w:iCs/>
          <w:color w:val="000000" w:themeColor="text1"/>
        </w:rPr>
        <w:t xml:space="preserve"> transition from post-recurrence to death on a </w:t>
      </w:r>
      <w:r w:rsidR="008757DF" w:rsidRPr="00E7767C">
        <w:rPr>
          <w:iCs/>
          <w:color w:val="000000" w:themeColor="text1"/>
        </w:rPr>
        <w:t>one-year</w:t>
      </w:r>
      <w:r w:rsidRPr="00E7767C">
        <w:rPr>
          <w:iCs/>
          <w:color w:val="000000" w:themeColor="text1"/>
        </w:rPr>
        <w:t xml:space="preserve"> overall survival of 22% from </w:t>
      </w:r>
      <w:r w:rsidR="00265121" w:rsidRPr="00E7767C">
        <w:rPr>
          <w:iCs/>
          <w:color w:val="000000" w:themeColor="text1"/>
        </w:rPr>
        <w:t xml:space="preserve">a </w:t>
      </w:r>
      <w:r w:rsidRPr="00E7767C">
        <w:rPr>
          <w:iCs/>
          <w:color w:val="000000" w:themeColor="text1"/>
        </w:rPr>
        <w:t>Dutch registry dataset (</w:t>
      </w:r>
      <w:r w:rsidR="001056FC">
        <w:rPr>
          <w:iCs/>
          <w:color w:val="000000" w:themeColor="text1"/>
        </w:rPr>
        <w:t>v</w:t>
      </w:r>
      <w:r w:rsidRPr="00E7767C">
        <w:rPr>
          <w:iCs/>
          <w:color w:val="000000" w:themeColor="text1"/>
        </w:rPr>
        <w:t xml:space="preserve">an </w:t>
      </w:r>
      <w:proofErr w:type="spellStart"/>
      <w:r w:rsidRPr="00E7767C">
        <w:rPr>
          <w:iCs/>
          <w:color w:val="000000" w:themeColor="text1"/>
        </w:rPr>
        <w:t>Putten</w:t>
      </w:r>
      <w:proofErr w:type="spellEnd"/>
      <w:r w:rsidR="005363E8">
        <w:rPr>
          <w:iCs/>
          <w:color w:val="000000" w:themeColor="text1"/>
        </w:rPr>
        <w:t xml:space="preserve"> et al</w:t>
      </w:r>
      <w:r w:rsidRPr="00E7767C">
        <w:rPr>
          <w:iCs/>
          <w:color w:val="000000" w:themeColor="text1"/>
        </w:rPr>
        <w:t xml:space="preserve"> 2018; </w:t>
      </w:r>
      <w:r w:rsidR="008845A6" w:rsidRPr="00E7767C">
        <w:rPr>
          <w:iCs/>
          <w:color w:val="000000" w:themeColor="text1"/>
        </w:rPr>
        <w:t xml:space="preserve">also referred to as </w:t>
      </w:r>
      <w:r w:rsidRPr="00E7767C">
        <w:rPr>
          <w:iCs/>
          <w:color w:val="000000" w:themeColor="text1"/>
        </w:rPr>
        <w:t>IKNL</w:t>
      </w:r>
      <w:r w:rsidR="008845A6" w:rsidRPr="00E7767C">
        <w:rPr>
          <w:iCs/>
          <w:color w:val="000000" w:themeColor="text1"/>
        </w:rPr>
        <w:t xml:space="preserve"> data</w:t>
      </w:r>
      <w:r w:rsidRPr="00E7767C">
        <w:rPr>
          <w:iCs/>
          <w:color w:val="000000" w:themeColor="text1"/>
        </w:rPr>
        <w:t>)</w:t>
      </w:r>
      <w:r w:rsidR="000909C3" w:rsidRPr="00E7767C">
        <w:rPr>
          <w:iCs/>
          <w:color w:val="000000" w:themeColor="text1"/>
        </w:rPr>
        <w:t xml:space="preserve">. The data from </w:t>
      </w:r>
      <w:r w:rsidR="001056FC">
        <w:rPr>
          <w:iCs/>
          <w:color w:val="000000" w:themeColor="text1"/>
        </w:rPr>
        <w:t>v</w:t>
      </w:r>
      <w:r w:rsidR="000909C3" w:rsidRPr="00E7767C">
        <w:rPr>
          <w:iCs/>
          <w:color w:val="000000" w:themeColor="text1"/>
        </w:rPr>
        <w:t xml:space="preserve">an </w:t>
      </w:r>
      <w:proofErr w:type="spellStart"/>
      <w:r w:rsidR="000909C3" w:rsidRPr="00E7767C">
        <w:rPr>
          <w:iCs/>
          <w:color w:val="000000" w:themeColor="text1"/>
        </w:rPr>
        <w:t>Putten</w:t>
      </w:r>
      <w:proofErr w:type="spellEnd"/>
      <w:r w:rsidR="005363E8">
        <w:rPr>
          <w:iCs/>
          <w:color w:val="000000" w:themeColor="text1"/>
        </w:rPr>
        <w:t xml:space="preserve"> et al</w:t>
      </w:r>
      <w:r w:rsidR="000909C3" w:rsidRPr="00E7767C">
        <w:rPr>
          <w:iCs/>
          <w:color w:val="000000" w:themeColor="text1"/>
        </w:rPr>
        <w:t xml:space="preserve"> 2018</w:t>
      </w:r>
      <w:r w:rsidRPr="00E7767C">
        <w:rPr>
          <w:iCs/>
          <w:color w:val="000000" w:themeColor="text1"/>
        </w:rPr>
        <w:t xml:space="preserve"> may not be applicable </w:t>
      </w:r>
      <w:r w:rsidR="000909C3" w:rsidRPr="00E7767C">
        <w:rPr>
          <w:iCs/>
          <w:color w:val="000000" w:themeColor="text1"/>
        </w:rPr>
        <w:t xml:space="preserve">to the proposed Australian population </w:t>
      </w:r>
      <w:r w:rsidRPr="00E7767C">
        <w:rPr>
          <w:iCs/>
          <w:color w:val="000000" w:themeColor="text1"/>
        </w:rPr>
        <w:t xml:space="preserve">due </w:t>
      </w:r>
      <w:r w:rsidR="000909C3" w:rsidRPr="00E7767C">
        <w:rPr>
          <w:iCs/>
          <w:color w:val="000000" w:themeColor="text1"/>
        </w:rPr>
        <w:t>to</w:t>
      </w:r>
      <w:r w:rsidR="00E94D5E" w:rsidRPr="00E7767C">
        <w:rPr>
          <w:iCs/>
          <w:color w:val="000000" w:themeColor="text1"/>
        </w:rPr>
        <w:t xml:space="preserve"> differences in </w:t>
      </w:r>
      <w:r w:rsidR="00744FFA" w:rsidRPr="00E7767C">
        <w:rPr>
          <w:iCs/>
          <w:color w:val="000000" w:themeColor="text1"/>
        </w:rPr>
        <w:t>previous treatment</w:t>
      </w:r>
      <w:r w:rsidR="00265121" w:rsidRPr="00E7767C">
        <w:rPr>
          <w:iCs/>
          <w:color w:val="000000" w:themeColor="text1"/>
        </w:rPr>
        <w:t>,</w:t>
      </w:r>
      <w:r w:rsidR="00E94D5E" w:rsidRPr="00E7767C">
        <w:rPr>
          <w:iCs/>
          <w:color w:val="000000" w:themeColor="text1"/>
        </w:rPr>
        <w:t xml:space="preserve"> </w:t>
      </w:r>
      <w:r w:rsidR="0060635A" w:rsidRPr="00E7767C">
        <w:rPr>
          <w:iCs/>
          <w:color w:val="000000" w:themeColor="text1"/>
        </w:rPr>
        <w:t xml:space="preserve">as </w:t>
      </w:r>
      <w:r w:rsidR="00D95E51" w:rsidRPr="00E7767C">
        <w:rPr>
          <w:iCs/>
          <w:color w:val="000000" w:themeColor="text1"/>
        </w:rPr>
        <w:t xml:space="preserve">only 29% had </w:t>
      </w:r>
      <w:r w:rsidR="008301D9" w:rsidRPr="00E7767C">
        <w:rPr>
          <w:iCs/>
          <w:color w:val="000000" w:themeColor="text1"/>
        </w:rPr>
        <w:t xml:space="preserve">surgical </w:t>
      </w:r>
      <w:r w:rsidR="00D95E51" w:rsidRPr="00E7767C">
        <w:rPr>
          <w:iCs/>
          <w:color w:val="000000" w:themeColor="text1"/>
        </w:rPr>
        <w:t>resection</w:t>
      </w:r>
      <w:r w:rsidR="00227D0B" w:rsidRPr="00E7767C">
        <w:rPr>
          <w:iCs/>
          <w:color w:val="000000" w:themeColor="text1"/>
        </w:rPr>
        <w:t xml:space="preserve"> between 2010</w:t>
      </w:r>
      <w:r w:rsidR="00F11247">
        <w:rPr>
          <w:rFonts w:cstheme="minorHAnsi"/>
          <w:iCs/>
          <w:color w:val="000000" w:themeColor="text1"/>
        </w:rPr>
        <w:t>−</w:t>
      </w:r>
      <w:r w:rsidR="00227D0B" w:rsidRPr="00E7767C">
        <w:rPr>
          <w:iCs/>
          <w:color w:val="000000" w:themeColor="text1"/>
        </w:rPr>
        <w:t>2014</w:t>
      </w:r>
      <w:r w:rsidR="00B30015" w:rsidRPr="00E7767C">
        <w:rPr>
          <w:iCs/>
          <w:color w:val="000000" w:themeColor="text1"/>
        </w:rPr>
        <w:t xml:space="preserve"> in the IKNL data whereas all patients were required to have had complete surgical resection </w:t>
      </w:r>
      <w:r w:rsidR="0064785F" w:rsidRPr="00E7767C">
        <w:rPr>
          <w:iCs/>
          <w:color w:val="000000" w:themeColor="text1"/>
        </w:rPr>
        <w:t>with the requested restriction</w:t>
      </w:r>
      <w:r w:rsidRPr="00E7767C">
        <w:rPr>
          <w:iCs/>
          <w:color w:val="000000" w:themeColor="text1"/>
        </w:rPr>
        <w:t>.</w:t>
      </w:r>
      <w:r w:rsidR="00F11247" w:rsidRPr="00F11247">
        <w:rPr>
          <w:i/>
          <w:iCs/>
        </w:rPr>
        <w:t xml:space="preserve"> </w:t>
      </w:r>
      <w:r w:rsidR="005904D4" w:rsidRPr="00925F8E">
        <w:t>Furthermore, the</w:t>
      </w:r>
      <w:r w:rsidR="00F11247" w:rsidRPr="00925F8E">
        <w:t xml:space="preserve"> ESC noted that </w:t>
      </w:r>
      <w:r w:rsidR="00D55511" w:rsidRPr="00925F8E">
        <w:t xml:space="preserve">the </w:t>
      </w:r>
      <w:r w:rsidR="00F11247" w:rsidRPr="00925F8E">
        <w:t>Netherlands Cancer registry was based on 2010−2014 data</w:t>
      </w:r>
      <w:r w:rsidR="001D25E4" w:rsidRPr="00925F8E">
        <w:t xml:space="preserve"> and </w:t>
      </w:r>
      <w:r w:rsidR="001D25E4" w:rsidRPr="00925F8E">
        <w:lastRenderedPageBreak/>
        <w:t xml:space="preserve">would </w:t>
      </w:r>
      <w:r w:rsidR="00F11247" w:rsidRPr="00925F8E">
        <w:t xml:space="preserve">not include immunotherapy </w:t>
      </w:r>
      <w:r w:rsidR="0025581F" w:rsidRPr="00925F8E">
        <w:t xml:space="preserve">as a treatment option </w:t>
      </w:r>
      <w:r w:rsidR="00F11247" w:rsidRPr="00925F8E">
        <w:t>in the metastatic</w:t>
      </w:r>
      <w:r w:rsidR="00511F9A" w:rsidRPr="00925F8E">
        <w:t xml:space="preserve"> setting (which would be current clinical practice in the placebo arm)</w:t>
      </w:r>
      <w:r w:rsidR="001D25E4" w:rsidRPr="00925F8E">
        <w:t>. The ESC</w:t>
      </w:r>
      <w:r w:rsidR="00511F9A" w:rsidRPr="00925F8E">
        <w:t xml:space="preserve"> considered using these </w:t>
      </w:r>
      <w:r w:rsidR="00F11247" w:rsidRPr="00925F8E">
        <w:t>transitions</w:t>
      </w:r>
      <w:r w:rsidR="00D55511" w:rsidRPr="00925F8E">
        <w:t xml:space="preserve"> for post-recurrence to death</w:t>
      </w:r>
      <w:r w:rsidR="00F11247" w:rsidRPr="00925F8E">
        <w:t xml:space="preserve"> </w:t>
      </w:r>
      <w:r w:rsidR="00511F9A" w:rsidRPr="00925F8E">
        <w:t>may overestimate the incremental OS benefit associated with nivolumab</w:t>
      </w:r>
      <w:r w:rsidR="00D55511" w:rsidRPr="00925F8E">
        <w:t>.</w:t>
      </w:r>
      <w:r w:rsidR="00065D88">
        <w:t xml:space="preserve"> </w:t>
      </w:r>
    </w:p>
    <w:p w14:paraId="7AD2F61F" w14:textId="66ACB115" w:rsidR="00172C1C" w:rsidRPr="00925F8E" w:rsidRDefault="00744FFA" w:rsidP="00172C1C">
      <w:pPr>
        <w:pStyle w:val="3-BodyText"/>
        <w:rPr>
          <w:iCs/>
          <w:color w:val="000000" w:themeColor="text1"/>
        </w:rPr>
      </w:pPr>
      <w:bookmarkStart w:id="44" w:name="_Ref106782760"/>
      <w:r w:rsidRPr="00E7767C">
        <w:rPr>
          <w:iCs/>
          <w:color w:val="000000" w:themeColor="text1"/>
        </w:rPr>
        <w:t xml:space="preserve">In comparison, </w:t>
      </w:r>
      <w:r w:rsidR="0041736C" w:rsidRPr="00E7767C">
        <w:rPr>
          <w:iCs/>
          <w:color w:val="000000" w:themeColor="text1"/>
        </w:rPr>
        <w:t>Lou et al 2013, which was used in the NICE evaluation of nivolumab in OC and GOJC (NICE TA746)</w:t>
      </w:r>
      <w:r w:rsidR="0005465E" w:rsidRPr="00E7767C">
        <w:rPr>
          <w:rStyle w:val="FootnoteReference"/>
          <w:iCs/>
          <w:color w:val="000000" w:themeColor="text1"/>
        </w:rPr>
        <w:footnoteReference w:id="15"/>
      </w:r>
      <w:r w:rsidR="0041736C" w:rsidRPr="00E7767C">
        <w:rPr>
          <w:iCs/>
          <w:color w:val="000000" w:themeColor="text1"/>
        </w:rPr>
        <w:t xml:space="preserve"> to inform post recurrence mortality, </w:t>
      </w:r>
      <w:r w:rsidR="00A57837" w:rsidRPr="00E7767C">
        <w:rPr>
          <w:iCs/>
          <w:color w:val="000000" w:themeColor="text1"/>
        </w:rPr>
        <w:t xml:space="preserve">would be more relevant to the current submission. Lou et al 2013 </w:t>
      </w:r>
      <w:r w:rsidR="0041736C" w:rsidRPr="00E7767C">
        <w:rPr>
          <w:iCs/>
          <w:color w:val="000000" w:themeColor="text1"/>
        </w:rPr>
        <w:t xml:space="preserve">reported a </w:t>
      </w:r>
      <w:r w:rsidR="008757DF" w:rsidRPr="00E7767C">
        <w:rPr>
          <w:iCs/>
          <w:color w:val="000000" w:themeColor="text1"/>
        </w:rPr>
        <w:t>one-year</w:t>
      </w:r>
      <w:r w:rsidR="0041736C" w:rsidRPr="00E7767C">
        <w:rPr>
          <w:iCs/>
          <w:color w:val="000000" w:themeColor="text1"/>
        </w:rPr>
        <w:t xml:space="preserve"> survival of 46.9% in 1147 patients in the US who had surgery</w:t>
      </w:r>
      <w:r w:rsidR="00F64013" w:rsidRPr="00E7767C">
        <w:rPr>
          <w:iCs/>
          <w:color w:val="000000" w:themeColor="text1"/>
        </w:rPr>
        <w:t xml:space="preserve"> (93.3% R0 resection)</w:t>
      </w:r>
      <w:r w:rsidR="0041736C" w:rsidRPr="00E7767C">
        <w:rPr>
          <w:iCs/>
          <w:color w:val="000000" w:themeColor="text1"/>
        </w:rPr>
        <w:t>, o</w:t>
      </w:r>
      <w:r w:rsidR="009A52DC" w:rsidRPr="00E7767C">
        <w:rPr>
          <w:iCs/>
          <w:color w:val="000000" w:themeColor="text1"/>
        </w:rPr>
        <w:t>f</w:t>
      </w:r>
      <w:r w:rsidR="0041736C" w:rsidRPr="00E7767C">
        <w:rPr>
          <w:iCs/>
          <w:color w:val="000000" w:themeColor="text1"/>
        </w:rPr>
        <w:t xml:space="preserve"> whom 63% also had neoadjuvant CRT. </w:t>
      </w:r>
      <w:r w:rsidR="008A48D3" w:rsidRPr="00925F8E">
        <w:rPr>
          <w:iCs/>
          <w:color w:val="000000" w:themeColor="text1"/>
        </w:rPr>
        <w:t xml:space="preserve">The ESC </w:t>
      </w:r>
      <w:r w:rsidR="003D159B" w:rsidRPr="00925F8E">
        <w:rPr>
          <w:iCs/>
          <w:color w:val="000000" w:themeColor="text1"/>
        </w:rPr>
        <w:t>advised</w:t>
      </w:r>
      <w:r w:rsidR="008A48D3" w:rsidRPr="00925F8E">
        <w:rPr>
          <w:iCs/>
          <w:color w:val="000000" w:themeColor="text1"/>
        </w:rPr>
        <w:t xml:space="preserve"> that Lou et al</w:t>
      </w:r>
      <w:r w:rsidR="00F5002F" w:rsidRPr="00925F8E">
        <w:rPr>
          <w:iCs/>
          <w:color w:val="000000" w:themeColor="text1"/>
        </w:rPr>
        <w:t xml:space="preserve"> (2013)</w:t>
      </w:r>
      <w:r w:rsidR="008A48D3" w:rsidRPr="00925F8E">
        <w:rPr>
          <w:iCs/>
          <w:color w:val="000000" w:themeColor="text1"/>
        </w:rPr>
        <w:t xml:space="preserve"> was the preferable dataset for populating this transition</w:t>
      </w:r>
      <w:r w:rsidR="00F11247" w:rsidRPr="00925F8E">
        <w:rPr>
          <w:iCs/>
          <w:color w:val="000000" w:themeColor="text1"/>
        </w:rPr>
        <w:t>, however noted that the choice of data (Lou et</w:t>
      </w:r>
      <w:r w:rsidR="00D55D2C" w:rsidRPr="00925F8E">
        <w:rPr>
          <w:iCs/>
          <w:color w:val="000000" w:themeColor="text1"/>
        </w:rPr>
        <w:t xml:space="preserve"> </w:t>
      </w:r>
      <w:r w:rsidR="00F11247" w:rsidRPr="00925F8E">
        <w:rPr>
          <w:iCs/>
          <w:color w:val="000000" w:themeColor="text1"/>
        </w:rPr>
        <w:t>al 2013 versus the Netherlands Cancer registry) was not a driver of the economic model</w:t>
      </w:r>
      <w:r w:rsidR="00BA4A79">
        <w:rPr>
          <w:iCs/>
          <w:color w:val="000000" w:themeColor="text1"/>
        </w:rPr>
        <w:t xml:space="preserve"> (see paragraph </w:t>
      </w:r>
      <w:r w:rsidR="00BA4A79">
        <w:rPr>
          <w:iCs/>
          <w:color w:val="000000" w:themeColor="text1"/>
        </w:rPr>
        <w:fldChar w:fldCharType="begin"/>
      </w:r>
      <w:r w:rsidR="00BA4A79">
        <w:rPr>
          <w:iCs/>
          <w:color w:val="000000" w:themeColor="text1"/>
        </w:rPr>
        <w:instrText xml:space="preserve"> REF _Ref106782648 \r \h </w:instrText>
      </w:r>
      <w:r w:rsidR="00BA4A79">
        <w:rPr>
          <w:iCs/>
          <w:color w:val="000000" w:themeColor="text1"/>
        </w:rPr>
      </w:r>
      <w:r w:rsidR="00BA4A79">
        <w:rPr>
          <w:iCs/>
          <w:color w:val="000000" w:themeColor="text1"/>
        </w:rPr>
        <w:fldChar w:fldCharType="separate"/>
      </w:r>
      <w:r w:rsidR="00267758">
        <w:rPr>
          <w:iCs/>
          <w:color w:val="000000" w:themeColor="text1"/>
        </w:rPr>
        <w:t>6.55</w:t>
      </w:r>
      <w:r w:rsidR="00BA4A79">
        <w:rPr>
          <w:iCs/>
          <w:color w:val="000000" w:themeColor="text1"/>
        </w:rPr>
        <w:fldChar w:fldCharType="end"/>
      </w:r>
      <w:r w:rsidR="00BA4A79">
        <w:rPr>
          <w:iCs/>
          <w:color w:val="000000" w:themeColor="text1"/>
        </w:rPr>
        <w:t>)</w:t>
      </w:r>
      <w:r w:rsidR="00F11247" w:rsidRPr="00925F8E">
        <w:rPr>
          <w:iCs/>
          <w:color w:val="000000" w:themeColor="text1"/>
        </w:rPr>
        <w:t>.</w:t>
      </w:r>
      <w:bookmarkEnd w:id="44"/>
      <w:r w:rsidR="00065D88" w:rsidRPr="00065D88">
        <w:t xml:space="preserve"> </w:t>
      </w:r>
    </w:p>
    <w:p w14:paraId="0A390B2F" w14:textId="7F7EB816" w:rsidR="00172C1C" w:rsidRPr="00E7767C" w:rsidRDefault="00172C1C" w:rsidP="00172C1C">
      <w:pPr>
        <w:pStyle w:val="3-BodyText"/>
        <w:rPr>
          <w:iCs/>
          <w:color w:val="000000" w:themeColor="text1"/>
        </w:rPr>
      </w:pPr>
      <w:r w:rsidRPr="00284A83">
        <w:rPr>
          <w:color w:val="000000" w:themeColor="text1"/>
        </w:rPr>
        <w:t xml:space="preserve">The modelled </w:t>
      </w:r>
      <w:r w:rsidR="004F3DD9">
        <w:rPr>
          <w:color w:val="000000" w:themeColor="text1"/>
        </w:rPr>
        <w:t xml:space="preserve">recurrence-free survival and </w:t>
      </w:r>
      <w:r w:rsidRPr="00284A83">
        <w:rPr>
          <w:color w:val="000000" w:themeColor="text1"/>
        </w:rPr>
        <w:t xml:space="preserve">overall survival in the base case </w:t>
      </w:r>
      <w:r w:rsidR="004F3DD9">
        <w:rPr>
          <w:color w:val="000000" w:themeColor="text1"/>
        </w:rPr>
        <w:t>are</w:t>
      </w:r>
      <w:r w:rsidR="004F3DD9" w:rsidRPr="00284A83">
        <w:rPr>
          <w:color w:val="000000" w:themeColor="text1"/>
        </w:rPr>
        <w:t xml:space="preserve"> </w:t>
      </w:r>
      <w:r w:rsidRPr="00284A83">
        <w:rPr>
          <w:color w:val="000000" w:themeColor="text1"/>
        </w:rPr>
        <w:t>presented in</w:t>
      </w:r>
      <w:r w:rsidR="004F3DD9">
        <w:rPr>
          <w:color w:val="000000" w:themeColor="text1"/>
        </w:rPr>
        <w:t xml:space="preserve"> </w:t>
      </w:r>
      <w:r w:rsidR="004F3DD9">
        <w:rPr>
          <w:color w:val="000000" w:themeColor="text1"/>
        </w:rPr>
        <w:fldChar w:fldCharType="begin"/>
      </w:r>
      <w:r w:rsidR="004F3DD9">
        <w:rPr>
          <w:color w:val="000000" w:themeColor="text1"/>
        </w:rPr>
        <w:instrText xml:space="preserve"> REF _Ref102833517 \h </w:instrText>
      </w:r>
      <w:r w:rsidR="004F3DD9">
        <w:rPr>
          <w:color w:val="000000" w:themeColor="text1"/>
        </w:rPr>
      </w:r>
      <w:r w:rsidR="004F3DD9">
        <w:rPr>
          <w:color w:val="000000" w:themeColor="text1"/>
        </w:rPr>
        <w:fldChar w:fldCharType="separate"/>
      </w:r>
      <w:r w:rsidR="00267758">
        <w:t xml:space="preserve">Figure </w:t>
      </w:r>
      <w:r w:rsidR="00267758">
        <w:rPr>
          <w:noProof/>
        </w:rPr>
        <w:t>3</w:t>
      </w:r>
      <w:r w:rsidR="004F3DD9">
        <w:rPr>
          <w:color w:val="000000" w:themeColor="text1"/>
        </w:rPr>
        <w:fldChar w:fldCharType="end"/>
      </w:r>
      <w:r w:rsidR="004F3DD9">
        <w:rPr>
          <w:color w:val="000000" w:themeColor="text1"/>
        </w:rPr>
        <w:t xml:space="preserve"> and</w:t>
      </w:r>
      <w:r w:rsidRPr="00284A83">
        <w:rPr>
          <w:color w:val="000000" w:themeColor="text1"/>
        </w:rPr>
        <w:t xml:space="preserve"> </w:t>
      </w:r>
      <w:r w:rsidRPr="00284A83">
        <w:rPr>
          <w:color w:val="000000" w:themeColor="text1"/>
        </w:rPr>
        <w:fldChar w:fldCharType="begin"/>
      </w:r>
      <w:r w:rsidRPr="00284A83">
        <w:rPr>
          <w:color w:val="000000" w:themeColor="text1"/>
        </w:rPr>
        <w:instrText xml:space="preserve"> REF _Ref100830734 \h </w:instrText>
      </w:r>
      <w:r w:rsidRPr="00284A83">
        <w:rPr>
          <w:color w:val="000000" w:themeColor="text1"/>
        </w:rPr>
      </w:r>
      <w:r w:rsidRPr="00284A83">
        <w:rPr>
          <w:color w:val="000000" w:themeColor="text1"/>
        </w:rPr>
        <w:fldChar w:fldCharType="separate"/>
      </w:r>
      <w:r w:rsidR="00267758">
        <w:t xml:space="preserve">Figure </w:t>
      </w:r>
      <w:r w:rsidR="00267758">
        <w:rPr>
          <w:noProof/>
        </w:rPr>
        <w:t>4</w:t>
      </w:r>
      <w:r w:rsidRPr="00284A83">
        <w:rPr>
          <w:color w:val="000000" w:themeColor="text1"/>
        </w:rPr>
        <w:fldChar w:fldCharType="end"/>
      </w:r>
      <w:r w:rsidR="00500017">
        <w:rPr>
          <w:color w:val="000000" w:themeColor="text1"/>
        </w:rPr>
        <w:t>.</w:t>
      </w:r>
      <w:r w:rsidR="00507691">
        <w:rPr>
          <w:color w:val="000000" w:themeColor="text1"/>
        </w:rPr>
        <w:t xml:space="preserve"> </w:t>
      </w:r>
    </w:p>
    <w:p w14:paraId="496ED0BB" w14:textId="5941EF40" w:rsidR="00172C1C" w:rsidRPr="00E7767C" w:rsidRDefault="004F3DD9" w:rsidP="008673D4">
      <w:pPr>
        <w:pStyle w:val="TableFigureHeading"/>
        <w:keepLines/>
        <w:rPr>
          <w:iCs/>
          <w:color w:val="000000" w:themeColor="text1"/>
        </w:rPr>
      </w:pPr>
      <w:bookmarkStart w:id="45" w:name="_Ref102833517"/>
      <w:r>
        <w:lastRenderedPageBreak/>
        <w:t xml:space="preserve">Figure </w:t>
      </w:r>
      <w:r w:rsidR="00B73889">
        <w:fldChar w:fldCharType="begin"/>
      </w:r>
      <w:r w:rsidR="00B73889">
        <w:instrText xml:space="preserve"> SEQ Figure \* MERGEFORMAT </w:instrText>
      </w:r>
      <w:r w:rsidR="00B73889">
        <w:fldChar w:fldCharType="separate"/>
      </w:r>
      <w:r w:rsidR="00267758">
        <w:rPr>
          <w:noProof/>
        </w:rPr>
        <w:t>3</w:t>
      </w:r>
      <w:r w:rsidR="00B73889">
        <w:rPr>
          <w:noProof/>
        </w:rPr>
        <w:fldChar w:fldCharType="end"/>
      </w:r>
      <w:bookmarkEnd w:id="45"/>
      <w:r>
        <w:t xml:space="preserve">: </w:t>
      </w:r>
      <w:r w:rsidRPr="004C54EE">
        <w:t xml:space="preserve">Modelled </w:t>
      </w:r>
      <w:r>
        <w:t>Recurrence</w:t>
      </w:r>
      <w:r w:rsidR="00C035D6">
        <w:t>-free</w:t>
      </w:r>
      <w:r>
        <w:t>-</w:t>
      </w:r>
      <w:r w:rsidRPr="004C54EE">
        <w:t>survival in base</w:t>
      </w:r>
      <w:r w:rsidR="00C035D6">
        <w:t xml:space="preserve"> case</w:t>
      </w:r>
      <w:r w:rsidR="00145057">
        <w:t xml:space="preserve"> </w:t>
      </w:r>
    </w:p>
    <w:p w14:paraId="3A708C25" w14:textId="7C3EB30B" w:rsidR="004F3DD9" w:rsidRPr="00E7767C" w:rsidRDefault="00462618" w:rsidP="008673D4">
      <w:pPr>
        <w:pStyle w:val="3-BodyText"/>
        <w:keepNext/>
        <w:keepLines/>
        <w:numPr>
          <w:ilvl w:val="0"/>
          <w:numId w:val="0"/>
        </w:numPr>
        <w:rPr>
          <w:iCs/>
          <w:color w:val="000000" w:themeColor="text1"/>
        </w:rPr>
      </w:pPr>
      <w:r>
        <w:rPr>
          <w:noProof/>
        </w:rPr>
        <w:drawing>
          <wp:inline distT="0" distB="0" distL="0" distR="0" wp14:anchorId="1F96BDAC" wp14:editId="57E77BB5">
            <wp:extent cx="4767511" cy="282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 b="821"/>
                    <a:stretch/>
                  </pic:blipFill>
                  <pic:spPr bwMode="auto">
                    <a:xfrm>
                      <a:off x="0" y="0"/>
                      <a:ext cx="4770855" cy="2824555"/>
                    </a:xfrm>
                    <a:prstGeom prst="rect">
                      <a:avLst/>
                    </a:prstGeom>
                    <a:ln>
                      <a:noFill/>
                    </a:ln>
                    <a:extLst>
                      <a:ext uri="{53640926-AAD7-44D8-BBD7-CCE9431645EC}">
                        <a14:shadowObscured xmlns:a14="http://schemas.microsoft.com/office/drawing/2010/main"/>
                      </a:ext>
                    </a:extLst>
                  </pic:spPr>
                </pic:pic>
              </a:graphicData>
            </a:graphic>
          </wp:inline>
        </w:drawing>
      </w:r>
    </w:p>
    <w:p w14:paraId="7B373E5F" w14:textId="7F9BECA1" w:rsidR="00105902" w:rsidRDefault="00105902" w:rsidP="008673D4">
      <w:pPr>
        <w:pStyle w:val="TableFigureFooter"/>
        <w:keepNext/>
        <w:keepLines/>
      </w:pPr>
      <w:r>
        <w:t>SOC = standard of care</w:t>
      </w:r>
    </w:p>
    <w:p w14:paraId="3D016669" w14:textId="00D15F07" w:rsidR="004F3DD9" w:rsidRPr="004C54EE" w:rsidRDefault="004F3DD9" w:rsidP="008673D4">
      <w:pPr>
        <w:pStyle w:val="TableFigureFooter"/>
        <w:keepNext/>
        <w:keepLines/>
      </w:pPr>
      <w:r w:rsidRPr="004C54EE">
        <w:t>Source: ‘Model’ worksheet of attached economic model.</w:t>
      </w:r>
    </w:p>
    <w:p w14:paraId="3B4A7ACA" w14:textId="5617E3C9" w:rsidR="00172C1C" w:rsidRPr="004C54EE" w:rsidRDefault="00172C1C" w:rsidP="008673D4">
      <w:pPr>
        <w:pStyle w:val="TableFigureHeading"/>
        <w:keepLines/>
      </w:pPr>
      <w:bookmarkStart w:id="46" w:name="_Ref100830734"/>
      <w:r>
        <w:t xml:space="preserve">Figure </w:t>
      </w:r>
      <w:r w:rsidR="00B73889">
        <w:fldChar w:fldCharType="begin"/>
      </w:r>
      <w:r w:rsidR="00B73889">
        <w:instrText xml:space="preserve"> SEQ Figure \* MERGEFORMAT </w:instrText>
      </w:r>
      <w:r w:rsidR="00B73889">
        <w:fldChar w:fldCharType="separate"/>
      </w:r>
      <w:r w:rsidR="00267758">
        <w:rPr>
          <w:noProof/>
        </w:rPr>
        <w:t>4</w:t>
      </w:r>
      <w:r w:rsidR="00B73889">
        <w:rPr>
          <w:noProof/>
        </w:rPr>
        <w:fldChar w:fldCharType="end"/>
      </w:r>
      <w:bookmarkEnd w:id="46"/>
      <w:r>
        <w:t xml:space="preserve">: </w:t>
      </w:r>
      <w:r w:rsidRPr="004C54EE">
        <w:t>Modelled overall survival in base case</w:t>
      </w:r>
    </w:p>
    <w:p w14:paraId="33555D97" w14:textId="6C773C13" w:rsidR="00172C1C" w:rsidRPr="004C54EE" w:rsidRDefault="000C7BA5" w:rsidP="008673D4">
      <w:pPr>
        <w:keepNext/>
        <w:keepLines/>
        <w:rPr>
          <w:color w:val="3366FF"/>
        </w:rPr>
      </w:pPr>
      <w:r>
        <w:rPr>
          <w:noProof/>
          <w:color w:val="3366FF"/>
        </w:rPr>
        <w:drawing>
          <wp:inline distT="0" distB="0" distL="0" distR="0" wp14:anchorId="461A85FB" wp14:editId="344C06E1">
            <wp:extent cx="4700270" cy="2737485"/>
            <wp:effectExtent l="0" t="0" r="508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0270" cy="2737485"/>
                    </a:xfrm>
                    <a:prstGeom prst="rect">
                      <a:avLst/>
                    </a:prstGeom>
                    <a:noFill/>
                  </pic:spPr>
                </pic:pic>
              </a:graphicData>
            </a:graphic>
          </wp:inline>
        </w:drawing>
      </w:r>
    </w:p>
    <w:p w14:paraId="23D99293" w14:textId="77777777" w:rsidR="00105902" w:rsidRDefault="00105902" w:rsidP="008673D4">
      <w:pPr>
        <w:pStyle w:val="TableFigureFooter"/>
        <w:keepNext/>
        <w:keepLines/>
      </w:pPr>
      <w:r>
        <w:t>SOC = standard of care</w:t>
      </w:r>
      <w:r w:rsidRPr="004C54EE">
        <w:t xml:space="preserve"> </w:t>
      </w:r>
    </w:p>
    <w:p w14:paraId="6CF44B43" w14:textId="431F53AB" w:rsidR="00172C1C" w:rsidRPr="004C54EE" w:rsidRDefault="00172C1C" w:rsidP="008673D4">
      <w:pPr>
        <w:pStyle w:val="TableFigureFooter"/>
        <w:keepNext/>
        <w:keepLines/>
      </w:pPr>
      <w:r w:rsidRPr="004C54EE">
        <w:t>Source: ‘Model’ worksheet of attached economic model.</w:t>
      </w:r>
    </w:p>
    <w:p w14:paraId="352DE4AA" w14:textId="37891F83" w:rsidR="00172C1C" w:rsidRPr="00E7767C" w:rsidRDefault="00172C1C" w:rsidP="00172C1C">
      <w:pPr>
        <w:pStyle w:val="3-BodyText"/>
        <w:rPr>
          <w:iCs/>
          <w:color w:val="000000" w:themeColor="text1"/>
        </w:rPr>
      </w:pPr>
      <w:r w:rsidRPr="00E7767C">
        <w:rPr>
          <w:iCs/>
          <w:color w:val="000000" w:themeColor="text1"/>
        </w:rPr>
        <w:t>In its consideration of nivolumab for melanoma in the adjuvant setting (</w:t>
      </w:r>
      <w:r w:rsidR="005112F6">
        <w:rPr>
          <w:iCs/>
          <w:color w:val="000000" w:themeColor="text1"/>
        </w:rPr>
        <w:t xml:space="preserve">paragraph 7.11, nivolumab </w:t>
      </w:r>
      <w:r w:rsidRPr="00E7767C">
        <w:rPr>
          <w:iCs/>
          <w:color w:val="000000" w:themeColor="text1"/>
        </w:rPr>
        <w:t>PSD</w:t>
      </w:r>
      <w:r w:rsidR="005112F6">
        <w:rPr>
          <w:iCs/>
          <w:color w:val="000000" w:themeColor="text1"/>
        </w:rPr>
        <w:t>,</w:t>
      </w:r>
      <w:r w:rsidRPr="00E7767C">
        <w:rPr>
          <w:iCs/>
          <w:color w:val="000000" w:themeColor="text1"/>
        </w:rPr>
        <w:t xml:space="preserve"> March 2019</w:t>
      </w:r>
      <w:r w:rsidR="005112F6">
        <w:rPr>
          <w:iCs/>
          <w:color w:val="000000" w:themeColor="text1"/>
        </w:rPr>
        <w:t xml:space="preserve"> PBAC meeting</w:t>
      </w:r>
      <w:r w:rsidRPr="00E7767C">
        <w:rPr>
          <w:iCs/>
          <w:color w:val="000000" w:themeColor="text1"/>
        </w:rPr>
        <w:t>), the PBAC had considered that in light of unavailable OS data in the trial, the PBAC had requested modelling OS (and DMFS and regression free survival)</w:t>
      </w:r>
      <w:r w:rsidR="00377B93" w:rsidRPr="00E7767C">
        <w:rPr>
          <w:iCs/>
          <w:color w:val="000000" w:themeColor="text1"/>
        </w:rPr>
        <w:t xml:space="preserve"> with</w:t>
      </w:r>
      <w:r w:rsidRPr="00E7767C">
        <w:rPr>
          <w:iCs/>
          <w:color w:val="000000" w:themeColor="text1"/>
        </w:rPr>
        <w:t xml:space="preserve"> converging curves, with the convergence occurring at 15 years. </w:t>
      </w:r>
    </w:p>
    <w:p w14:paraId="3CAA2281" w14:textId="2A9F908C" w:rsidR="00172C1C" w:rsidRPr="0064738F" w:rsidRDefault="00172C1C" w:rsidP="0064738F">
      <w:pPr>
        <w:pStyle w:val="3-BodyText"/>
        <w:rPr>
          <w:iCs/>
          <w:color w:val="000000" w:themeColor="text1"/>
        </w:rPr>
      </w:pPr>
      <w:bookmarkStart w:id="47" w:name="_Ref106782733"/>
      <w:r w:rsidRPr="00E7767C">
        <w:rPr>
          <w:iCs/>
          <w:color w:val="000000" w:themeColor="text1"/>
        </w:rPr>
        <w:t xml:space="preserve">The nivolumab model in the OC GOJC setting did not </w:t>
      </w:r>
      <w:bookmarkStart w:id="48" w:name="_Hlk105752512"/>
      <w:r w:rsidRPr="00E7767C">
        <w:rPr>
          <w:iCs/>
          <w:color w:val="000000" w:themeColor="text1"/>
        </w:rPr>
        <w:t>include operability for modelling convergence of survival curve</w:t>
      </w:r>
      <w:bookmarkEnd w:id="48"/>
      <w:r w:rsidRPr="00E7767C">
        <w:rPr>
          <w:iCs/>
          <w:color w:val="000000" w:themeColor="text1"/>
        </w:rPr>
        <w:t xml:space="preserve">s. </w:t>
      </w:r>
      <w:r w:rsidR="00D66004" w:rsidRPr="00925F8E">
        <w:rPr>
          <w:iCs/>
          <w:color w:val="000000" w:themeColor="text1"/>
        </w:rPr>
        <w:t xml:space="preserve">Ideally, the economic model would allow for OS </w:t>
      </w:r>
      <w:r w:rsidR="00D66004" w:rsidRPr="00925F8E">
        <w:rPr>
          <w:iCs/>
          <w:color w:val="000000" w:themeColor="text1"/>
        </w:rPr>
        <w:lastRenderedPageBreak/>
        <w:t>convergence</w:t>
      </w:r>
      <w:r w:rsidR="001D3B3A" w:rsidRPr="00925F8E">
        <w:rPr>
          <w:iCs/>
          <w:color w:val="000000" w:themeColor="text1"/>
        </w:rPr>
        <w:t xml:space="preserve"> through adjustment to the probability of mortality over time</w:t>
      </w:r>
      <w:r w:rsidR="00D66004" w:rsidRPr="00925F8E">
        <w:rPr>
          <w:iCs/>
          <w:color w:val="000000" w:themeColor="text1"/>
        </w:rPr>
        <w:t>.</w:t>
      </w:r>
      <w:r w:rsidR="00D66004">
        <w:rPr>
          <w:iCs/>
          <w:color w:val="000000" w:themeColor="text1"/>
        </w:rPr>
        <w:t xml:space="preserve"> </w:t>
      </w:r>
      <w:r w:rsidRPr="00E7767C">
        <w:rPr>
          <w:iCs/>
          <w:color w:val="000000" w:themeColor="text1"/>
        </w:rPr>
        <w:t xml:space="preserve">However, during the evaluation, it was found that selection of a loglogistic extrapolation for </w:t>
      </w:r>
      <w:r w:rsidR="00E61CFF" w:rsidRPr="003045D2">
        <w:rPr>
          <w:iCs/>
          <w:color w:val="000000" w:themeColor="text1"/>
        </w:rPr>
        <w:t xml:space="preserve">TTR in </w:t>
      </w:r>
      <w:r w:rsidRPr="003045D2">
        <w:rPr>
          <w:iCs/>
          <w:color w:val="000000" w:themeColor="text1"/>
        </w:rPr>
        <w:t xml:space="preserve">the nivolumab arm, while retaining the generalised gamma curve </w:t>
      </w:r>
      <w:r w:rsidR="00D66004" w:rsidRPr="003045D2">
        <w:rPr>
          <w:iCs/>
          <w:color w:val="000000" w:themeColor="text1"/>
        </w:rPr>
        <w:t>for the</w:t>
      </w:r>
      <w:r w:rsidRPr="003045D2">
        <w:rPr>
          <w:iCs/>
          <w:color w:val="000000" w:themeColor="text1"/>
        </w:rPr>
        <w:t xml:space="preserve"> SOC a</w:t>
      </w:r>
      <w:r w:rsidRPr="00E7767C">
        <w:rPr>
          <w:iCs/>
          <w:color w:val="000000" w:themeColor="text1"/>
        </w:rPr>
        <w:t>rm, and assuming cure at 15 years, resulted in an approximate</w:t>
      </w:r>
      <w:r w:rsidR="00D66004">
        <w:rPr>
          <w:iCs/>
          <w:color w:val="000000" w:themeColor="text1"/>
        </w:rPr>
        <w:t xml:space="preserve"> OS</w:t>
      </w:r>
      <w:r w:rsidRPr="00E7767C">
        <w:rPr>
          <w:iCs/>
          <w:color w:val="000000" w:themeColor="text1"/>
        </w:rPr>
        <w:t xml:space="preserve"> convergence at 15 years. </w:t>
      </w:r>
      <w:r w:rsidR="000C0726" w:rsidRPr="00925F8E">
        <w:rPr>
          <w:iCs/>
          <w:color w:val="000000" w:themeColor="text1"/>
        </w:rPr>
        <w:t>The PSCR argues that manipulations of the model to assume OS convergence</w:t>
      </w:r>
      <w:r w:rsidR="00E61CFF" w:rsidRPr="00925F8E">
        <w:rPr>
          <w:iCs/>
          <w:color w:val="000000" w:themeColor="text1"/>
        </w:rPr>
        <w:t xml:space="preserve"> conducted in the evaluation</w:t>
      </w:r>
      <w:r w:rsidR="000C0726" w:rsidRPr="00925F8E">
        <w:rPr>
          <w:iCs/>
          <w:color w:val="000000" w:themeColor="text1"/>
        </w:rPr>
        <w:t xml:space="preserve"> were inappropriate. </w:t>
      </w:r>
      <w:r w:rsidR="0064738F" w:rsidRPr="00925F8E">
        <w:rPr>
          <w:iCs/>
          <w:color w:val="000000" w:themeColor="text1"/>
        </w:rPr>
        <w:t>The sponsor considered i</w:t>
      </w:r>
      <w:r w:rsidR="005112F6" w:rsidRPr="00925F8E">
        <w:rPr>
          <w:iCs/>
          <w:color w:val="000000" w:themeColor="text1"/>
        </w:rPr>
        <w:t>t</w:t>
      </w:r>
      <w:r w:rsidR="0064738F" w:rsidRPr="00925F8E">
        <w:rPr>
          <w:iCs/>
          <w:color w:val="000000" w:themeColor="text1"/>
        </w:rPr>
        <w:t xml:space="preserve"> unreasonable to assume that economic modelling of adjuvant melanoma should also apply to adjuvant OC or GOJC. </w:t>
      </w:r>
      <w:r w:rsidR="00DB1380" w:rsidRPr="00925F8E">
        <w:rPr>
          <w:iCs/>
          <w:color w:val="000000" w:themeColor="text1"/>
        </w:rPr>
        <w:t>It was argued by the sponsor that the</w:t>
      </w:r>
      <w:r w:rsidR="0064738F" w:rsidRPr="00925F8E">
        <w:rPr>
          <w:iCs/>
          <w:color w:val="000000" w:themeColor="text1"/>
        </w:rPr>
        <w:t xml:space="preserve"> plot of</w:t>
      </w:r>
      <w:r w:rsidR="00DB1380" w:rsidRPr="00925F8E">
        <w:rPr>
          <w:iCs/>
          <w:color w:val="000000" w:themeColor="text1"/>
        </w:rPr>
        <w:t xml:space="preserve"> DFS hazards over time indicate</w:t>
      </w:r>
      <w:r w:rsidR="001A3603" w:rsidRPr="00925F8E">
        <w:rPr>
          <w:iCs/>
          <w:color w:val="000000" w:themeColor="text1"/>
        </w:rPr>
        <w:t>d</w:t>
      </w:r>
      <w:r w:rsidR="00DB1380" w:rsidRPr="00925F8E">
        <w:rPr>
          <w:iCs/>
          <w:color w:val="000000" w:themeColor="text1"/>
        </w:rPr>
        <w:t xml:space="preserve"> a convergence of the hazards for the nivolumab arm with general mortality </w:t>
      </w:r>
      <w:r w:rsidR="0064738F" w:rsidRPr="00925F8E">
        <w:rPr>
          <w:iCs/>
          <w:color w:val="000000" w:themeColor="text1"/>
        </w:rPr>
        <w:t>at</w:t>
      </w:r>
      <w:r w:rsidR="00DB1380" w:rsidRPr="00925F8E">
        <w:rPr>
          <w:iCs/>
          <w:color w:val="000000" w:themeColor="text1"/>
        </w:rPr>
        <w:t xml:space="preserve"> 3 years, supporting an assumption of </w:t>
      </w:r>
      <w:r w:rsidR="00E61CFF" w:rsidRPr="00925F8E">
        <w:rPr>
          <w:iCs/>
          <w:color w:val="000000" w:themeColor="text1"/>
        </w:rPr>
        <w:t>cure at 5 years, which</w:t>
      </w:r>
      <w:r w:rsidR="00DB1380" w:rsidRPr="00925F8E">
        <w:rPr>
          <w:iCs/>
          <w:color w:val="000000" w:themeColor="text1"/>
        </w:rPr>
        <w:t xml:space="preserve"> </w:t>
      </w:r>
      <w:r w:rsidR="00E61CFF" w:rsidRPr="00925F8E">
        <w:rPr>
          <w:iCs/>
          <w:color w:val="000000" w:themeColor="text1"/>
        </w:rPr>
        <w:t>wa</w:t>
      </w:r>
      <w:r w:rsidR="00DB1380" w:rsidRPr="00925F8E">
        <w:rPr>
          <w:iCs/>
          <w:color w:val="000000" w:themeColor="text1"/>
        </w:rPr>
        <w:t>s</w:t>
      </w:r>
      <w:r w:rsidR="0064738F" w:rsidRPr="00925F8E">
        <w:rPr>
          <w:iCs/>
          <w:color w:val="000000" w:themeColor="text1"/>
        </w:rPr>
        <w:t xml:space="preserve"> also</w:t>
      </w:r>
      <w:r w:rsidR="00DB1380" w:rsidRPr="00925F8E">
        <w:rPr>
          <w:iCs/>
          <w:color w:val="000000" w:themeColor="text1"/>
        </w:rPr>
        <w:t xml:space="preserve"> supported by a local advisory board. </w:t>
      </w:r>
      <w:r w:rsidR="0064738F" w:rsidRPr="00925F8E">
        <w:rPr>
          <w:iCs/>
          <w:color w:val="000000" w:themeColor="text1"/>
        </w:rPr>
        <w:t xml:space="preserve">The sponsor also maintained that the most appropriate parametric functions were applied to TTR, both visually and as reported by the lowest AIC/BIC and that the choice of parametric functions to force OS convergence </w:t>
      </w:r>
      <w:r w:rsidR="001D3B3A" w:rsidRPr="00925F8E">
        <w:rPr>
          <w:iCs/>
          <w:color w:val="000000" w:themeColor="text1"/>
        </w:rPr>
        <w:t xml:space="preserve">in the evaluation </w:t>
      </w:r>
      <w:r w:rsidR="0064738F" w:rsidRPr="00925F8E">
        <w:rPr>
          <w:iCs/>
          <w:color w:val="000000" w:themeColor="text1"/>
        </w:rPr>
        <w:t xml:space="preserve">was not appropriate. </w:t>
      </w:r>
      <w:r w:rsidR="00D47DC4" w:rsidRPr="00925F8E">
        <w:rPr>
          <w:iCs/>
          <w:color w:val="000000" w:themeColor="text1"/>
        </w:rPr>
        <w:t xml:space="preserve">While acknowledging that the multivariate analyses presented </w:t>
      </w:r>
      <w:r w:rsidR="001D3B3A" w:rsidRPr="00925F8E">
        <w:rPr>
          <w:iCs/>
          <w:color w:val="000000" w:themeColor="text1"/>
        </w:rPr>
        <w:t>were</w:t>
      </w:r>
      <w:r w:rsidR="00D47DC4" w:rsidRPr="00925F8E">
        <w:rPr>
          <w:iCs/>
          <w:color w:val="000000" w:themeColor="text1"/>
        </w:rPr>
        <w:t xml:space="preserve"> ad-hoc and not</w:t>
      </w:r>
      <w:r w:rsidR="00D66004" w:rsidRPr="00925F8E">
        <w:rPr>
          <w:iCs/>
          <w:color w:val="000000" w:themeColor="text1"/>
        </w:rPr>
        <w:t xml:space="preserve"> a</w:t>
      </w:r>
      <w:r w:rsidR="00D47DC4" w:rsidRPr="00925F8E">
        <w:rPr>
          <w:iCs/>
          <w:color w:val="000000" w:themeColor="text1"/>
        </w:rPr>
        <w:t xml:space="preserve"> precise method to estimate an ICER in a</w:t>
      </w:r>
      <w:r w:rsidR="001A3603" w:rsidRPr="00925F8E">
        <w:rPr>
          <w:iCs/>
          <w:color w:val="000000" w:themeColor="text1"/>
        </w:rPr>
        <w:t>n</w:t>
      </w:r>
      <w:r w:rsidR="00D47DC4" w:rsidRPr="00925F8E">
        <w:rPr>
          <w:iCs/>
          <w:color w:val="000000" w:themeColor="text1"/>
        </w:rPr>
        <w:t xml:space="preserve"> </w:t>
      </w:r>
      <w:r w:rsidR="001A3603" w:rsidRPr="00925F8E">
        <w:rPr>
          <w:iCs/>
          <w:color w:val="000000" w:themeColor="text1"/>
        </w:rPr>
        <w:t xml:space="preserve">OS </w:t>
      </w:r>
      <w:r w:rsidR="00D47DC4" w:rsidRPr="00925F8E">
        <w:rPr>
          <w:iCs/>
          <w:color w:val="000000" w:themeColor="text1"/>
        </w:rPr>
        <w:t>convergence scenario</w:t>
      </w:r>
      <w:r w:rsidR="00D66004" w:rsidRPr="00925F8E">
        <w:rPr>
          <w:iCs/>
          <w:color w:val="000000" w:themeColor="text1"/>
        </w:rPr>
        <w:t xml:space="preserve">, </w:t>
      </w:r>
      <w:r w:rsidR="005A51B6" w:rsidRPr="00925F8E">
        <w:rPr>
          <w:iCs/>
          <w:color w:val="000000" w:themeColor="text1"/>
        </w:rPr>
        <w:t>the</w:t>
      </w:r>
      <w:r w:rsidR="00F255A7" w:rsidRPr="00925F8E">
        <w:rPr>
          <w:iCs/>
          <w:color w:val="000000" w:themeColor="text1"/>
        </w:rPr>
        <w:t xml:space="preserve"> ESC</w:t>
      </w:r>
      <w:r w:rsidR="005A51B6" w:rsidRPr="00925F8E">
        <w:rPr>
          <w:iCs/>
          <w:color w:val="000000" w:themeColor="text1"/>
        </w:rPr>
        <w:t xml:space="preserve"> noted </w:t>
      </w:r>
      <w:r w:rsidR="00D66004" w:rsidRPr="00925F8E">
        <w:rPr>
          <w:iCs/>
          <w:color w:val="000000" w:themeColor="text1"/>
        </w:rPr>
        <w:t>it</w:t>
      </w:r>
      <w:r w:rsidR="00D47DC4" w:rsidRPr="00925F8E" w:rsidDel="00D47DC4">
        <w:rPr>
          <w:iCs/>
          <w:color w:val="000000" w:themeColor="text1"/>
        </w:rPr>
        <w:t xml:space="preserve"> </w:t>
      </w:r>
      <w:r w:rsidRPr="00925F8E">
        <w:rPr>
          <w:iCs/>
          <w:color w:val="000000" w:themeColor="text1"/>
        </w:rPr>
        <w:t xml:space="preserve">resulted in substantial differences in modelled OS </w:t>
      </w:r>
      <w:r w:rsidR="00640E00" w:rsidRPr="00925F8E">
        <w:rPr>
          <w:iCs/>
          <w:color w:val="000000" w:themeColor="text1"/>
        </w:rPr>
        <w:t xml:space="preserve">with </w:t>
      </w:r>
      <w:r w:rsidR="00315301" w:rsidRPr="00925F8E">
        <w:rPr>
          <w:iCs/>
          <w:color w:val="000000" w:themeColor="text1"/>
        </w:rPr>
        <w:t xml:space="preserve">an increase </w:t>
      </w:r>
      <w:r w:rsidR="00CE3618" w:rsidRPr="00925F8E">
        <w:rPr>
          <w:iCs/>
          <w:color w:val="000000" w:themeColor="text1"/>
        </w:rPr>
        <w:t>to</w:t>
      </w:r>
      <w:r w:rsidR="00315301" w:rsidRPr="00925F8E">
        <w:rPr>
          <w:iCs/>
          <w:color w:val="000000" w:themeColor="text1"/>
        </w:rPr>
        <w:t xml:space="preserve"> the </w:t>
      </w:r>
      <w:r w:rsidR="00634C63" w:rsidRPr="00925F8E">
        <w:rPr>
          <w:iCs/>
          <w:color w:val="000000" w:themeColor="text1"/>
        </w:rPr>
        <w:t>incremental cost effectiveness ratio (</w:t>
      </w:r>
      <w:r w:rsidRPr="00925F8E">
        <w:rPr>
          <w:iCs/>
          <w:color w:val="000000" w:themeColor="text1"/>
        </w:rPr>
        <w:t>ICER</w:t>
      </w:r>
      <w:r w:rsidR="00634C63" w:rsidRPr="00925F8E">
        <w:rPr>
          <w:iCs/>
          <w:color w:val="000000" w:themeColor="text1"/>
        </w:rPr>
        <w:t>)</w:t>
      </w:r>
      <w:r w:rsidRPr="00925F8E">
        <w:rPr>
          <w:iCs/>
          <w:color w:val="000000" w:themeColor="text1"/>
        </w:rPr>
        <w:t xml:space="preserve"> of over 100%</w:t>
      </w:r>
      <w:r w:rsidR="00ED1761" w:rsidRPr="00925F8E">
        <w:rPr>
          <w:iCs/>
          <w:color w:val="000000" w:themeColor="text1"/>
        </w:rPr>
        <w:t xml:space="preserve"> (</w:t>
      </w:r>
      <w:r w:rsidR="00ED1761" w:rsidRPr="00925F8E">
        <w:rPr>
          <w:iCs/>
          <w:color w:val="000000" w:themeColor="text1"/>
        </w:rPr>
        <w:fldChar w:fldCharType="begin"/>
      </w:r>
      <w:r w:rsidR="00ED1761" w:rsidRPr="00925F8E">
        <w:rPr>
          <w:iCs/>
          <w:color w:val="000000" w:themeColor="text1"/>
        </w:rPr>
        <w:instrText xml:space="preserve"> REF _Ref100834628 \h  \* MERGEFORMAT </w:instrText>
      </w:r>
      <w:r w:rsidR="00ED1761" w:rsidRPr="00925F8E">
        <w:rPr>
          <w:iCs/>
          <w:color w:val="000000" w:themeColor="text1"/>
        </w:rPr>
      </w:r>
      <w:r w:rsidR="00ED1761" w:rsidRPr="00925F8E">
        <w:rPr>
          <w:iCs/>
          <w:color w:val="000000" w:themeColor="text1"/>
        </w:rPr>
        <w:fldChar w:fldCharType="separate"/>
      </w:r>
      <w:r w:rsidR="00267758" w:rsidRPr="00267758">
        <w:rPr>
          <w:iCs/>
          <w:color w:val="000000" w:themeColor="text1"/>
        </w:rPr>
        <w:t>Table 12</w:t>
      </w:r>
      <w:r w:rsidR="00ED1761" w:rsidRPr="00925F8E">
        <w:rPr>
          <w:iCs/>
          <w:color w:val="000000" w:themeColor="text1"/>
        </w:rPr>
        <w:fldChar w:fldCharType="end"/>
      </w:r>
      <w:r w:rsidRPr="00925F8E">
        <w:rPr>
          <w:iCs/>
          <w:color w:val="000000" w:themeColor="text1"/>
        </w:rPr>
        <w:t>).</w:t>
      </w:r>
      <w:r w:rsidR="00355570" w:rsidRPr="00925F8E">
        <w:rPr>
          <w:iCs/>
          <w:color w:val="000000" w:themeColor="text1"/>
        </w:rPr>
        <w:t xml:space="preserve"> The ESC </w:t>
      </w:r>
      <w:r w:rsidR="00397C58" w:rsidRPr="00925F8E">
        <w:rPr>
          <w:iCs/>
          <w:color w:val="000000" w:themeColor="text1"/>
        </w:rPr>
        <w:t>considered</w:t>
      </w:r>
      <w:r w:rsidR="00DB1380" w:rsidRPr="00925F8E">
        <w:rPr>
          <w:iCs/>
          <w:color w:val="000000" w:themeColor="text1"/>
        </w:rPr>
        <w:t xml:space="preserve"> </w:t>
      </w:r>
      <w:r w:rsidR="00FB0DAD" w:rsidRPr="00925F8E">
        <w:rPr>
          <w:iCs/>
          <w:color w:val="000000" w:themeColor="text1"/>
        </w:rPr>
        <w:t xml:space="preserve">OS </w:t>
      </w:r>
      <w:r w:rsidR="00872D5A" w:rsidRPr="00925F8E">
        <w:rPr>
          <w:iCs/>
          <w:color w:val="000000" w:themeColor="text1"/>
        </w:rPr>
        <w:t>curve</w:t>
      </w:r>
      <w:r w:rsidR="00355570" w:rsidRPr="00925F8E">
        <w:rPr>
          <w:iCs/>
          <w:color w:val="000000" w:themeColor="text1"/>
        </w:rPr>
        <w:t xml:space="preserve"> </w:t>
      </w:r>
      <w:r w:rsidR="00FB0DAD" w:rsidRPr="00925F8E">
        <w:rPr>
          <w:iCs/>
          <w:color w:val="000000" w:themeColor="text1"/>
        </w:rPr>
        <w:t>convergence</w:t>
      </w:r>
      <w:r w:rsidR="00355570" w:rsidRPr="00925F8E">
        <w:rPr>
          <w:iCs/>
          <w:color w:val="000000" w:themeColor="text1"/>
        </w:rPr>
        <w:t xml:space="preserve"> would </w:t>
      </w:r>
      <w:r w:rsidR="00397C58" w:rsidRPr="00925F8E">
        <w:rPr>
          <w:iCs/>
          <w:color w:val="000000" w:themeColor="text1"/>
        </w:rPr>
        <w:t>be</w:t>
      </w:r>
      <w:r w:rsidR="00355570" w:rsidRPr="00925F8E">
        <w:rPr>
          <w:iCs/>
          <w:color w:val="000000" w:themeColor="text1"/>
        </w:rPr>
        <w:t xml:space="preserve"> reasonab</w:t>
      </w:r>
      <w:r w:rsidR="00D47DC4" w:rsidRPr="00925F8E">
        <w:rPr>
          <w:iCs/>
          <w:color w:val="000000" w:themeColor="text1"/>
        </w:rPr>
        <w:t>le</w:t>
      </w:r>
      <w:r w:rsidR="00355570" w:rsidRPr="00925F8E">
        <w:rPr>
          <w:iCs/>
          <w:color w:val="000000" w:themeColor="text1"/>
        </w:rPr>
        <w:t xml:space="preserve"> </w:t>
      </w:r>
      <w:r w:rsidR="0064738F" w:rsidRPr="00925F8E">
        <w:rPr>
          <w:iCs/>
          <w:color w:val="000000" w:themeColor="text1"/>
        </w:rPr>
        <w:t>at a point when</w:t>
      </w:r>
      <w:r w:rsidR="00355570" w:rsidRPr="00925F8E">
        <w:rPr>
          <w:iCs/>
          <w:color w:val="000000" w:themeColor="text1"/>
        </w:rPr>
        <w:t xml:space="preserve"> background mortality</w:t>
      </w:r>
      <w:r w:rsidR="00E61CFF" w:rsidRPr="00925F8E">
        <w:rPr>
          <w:iCs/>
          <w:color w:val="000000" w:themeColor="text1"/>
        </w:rPr>
        <w:t xml:space="preserve"> </w:t>
      </w:r>
      <w:r w:rsidR="001D3B3A" w:rsidRPr="00925F8E">
        <w:rPr>
          <w:iCs/>
          <w:color w:val="000000" w:themeColor="text1"/>
        </w:rPr>
        <w:t>would be</w:t>
      </w:r>
      <w:r w:rsidR="0064738F" w:rsidRPr="00925F8E">
        <w:rPr>
          <w:iCs/>
          <w:color w:val="000000" w:themeColor="text1"/>
        </w:rPr>
        <w:t xml:space="preserve"> </w:t>
      </w:r>
      <w:r w:rsidR="00872D5A" w:rsidRPr="00925F8E">
        <w:rPr>
          <w:iCs/>
          <w:color w:val="000000" w:themeColor="text1"/>
        </w:rPr>
        <w:t>assumed to dominate over prior treatment benefit. The ESC considered that this would likely occur towards t</w:t>
      </w:r>
      <w:r w:rsidR="00AD5CA0" w:rsidRPr="00925F8E">
        <w:rPr>
          <w:iCs/>
          <w:color w:val="000000" w:themeColor="text1"/>
        </w:rPr>
        <w:t>he</w:t>
      </w:r>
      <w:r w:rsidR="00872D5A" w:rsidRPr="00925F8E">
        <w:rPr>
          <w:iCs/>
          <w:color w:val="000000" w:themeColor="text1"/>
        </w:rPr>
        <w:t xml:space="preserve"> end of the</w:t>
      </w:r>
      <w:r w:rsidR="00CF416E" w:rsidRPr="00925F8E">
        <w:rPr>
          <w:iCs/>
          <w:color w:val="000000" w:themeColor="text1"/>
        </w:rPr>
        <w:t xml:space="preserve"> model</w:t>
      </w:r>
      <w:r w:rsidR="00872D5A" w:rsidRPr="00925F8E">
        <w:rPr>
          <w:iCs/>
          <w:color w:val="000000" w:themeColor="text1"/>
        </w:rPr>
        <w:t xml:space="preserve"> time horizon</w:t>
      </w:r>
      <w:r w:rsidR="00CF416E" w:rsidRPr="00925F8E">
        <w:rPr>
          <w:iCs/>
          <w:color w:val="000000" w:themeColor="text1"/>
        </w:rPr>
        <w:t xml:space="preserve"> </w:t>
      </w:r>
      <w:r w:rsidR="00F255A7" w:rsidRPr="00925F8E">
        <w:rPr>
          <w:iCs/>
          <w:color w:val="000000" w:themeColor="text1"/>
        </w:rPr>
        <w:t xml:space="preserve">(which the ESC considered should be </w:t>
      </w:r>
      <w:r w:rsidR="00CF416E" w:rsidRPr="00925F8E">
        <w:rPr>
          <w:iCs/>
          <w:color w:val="000000" w:themeColor="text1"/>
        </w:rPr>
        <w:t>between 15 and 20 years</w:t>
      </w:r>
      <w:r w:rsidR="00F255A7" w:rsidRPr="00925F8E">
        <w:rPr>
          <w:iCs/>
          <w:color w:val="000000" w:themeColor="text1"/>
        </w:rPr>
        <w:t>)</w:t>
      </w:r>
      <w:r w:rsidR="00CF416E" w:rsidRPr="00925F8E">
        <w:rPr>
          <w:iCs/>
          <w:color w:val="000000" w:themeColor="text1"/>
        </w:rPr>
        <w:t>.</w:t>
      </w:r>
      <w:bookmarkEnd w:id="47"/>
      <w:r w:rsidR="00872D5A" w:rsidRPr="0064738F">
        <w:rPr>
          <w:i/>
          <w:color w:val="000000" w:themeColor="text1"/>
        </w:rPr>
        <w:t xml:space="preserve">  </w:t>
      </w:r>
    </w:p>
    <w:p w14:paraId="65FA730C" w14:textId="57C4FDC0" w:rsidR="00172C1C" w:rsidRPr="00E7767C" w:rsidRDefault="00172C1C" w:rsidP="00172C1C">
      <w:pPr>
        <w:pStyle w:val="3-BodyText"/>
        <w:rPr>
          <w:iCs/>
          <w:color w:val="000000" w:themeColor="text1"/>
        </w:rPr>
      </w:pPr>
      <w:r w:rsidRPr="00E7767C">
        <w:rPr>
          <w:iCs/>
          <w:color w:val="000000" w:themeColor="text1"/>
        </w:rPr>
        <w:t xml:space="preserve">It should be noted that the cure assumption at a particular timepoint </w:t>
      </w:r>
      <w:r w:rsidR="00640E00" w:rsidRPr="00E7767C">
        <w:rPr>
          <w:iCs/>
          <w:color w:val="000000" w:themeColor="text1"/>
        </w:rPr>
        <w:t>wa</w:t>
      </w:r>
      <w:r w:rsidRPr="00E7767C">
        <w:rPr>
          <w:iCs/>
          <w:color w:val="000000" w:themeColor="text1"/>
        </w:rPr>
        <w:t xml:space="preserve">s </w:t>
      </w:r>
      <w:r w:rsidR="00FD353D">
        <w:rPr>
          <w:iCs/>
          <w:color w:val="000000" w:themeColor="text1"/>
        </w:rPr>
        <w:t>based on</w:t>
      </w:r>
      <w:r w:rsidRPr="00E7767C">
        <w:rPr>
          <w:iCs/>
          <w:color w:val="000000" w:themeColor="text1"/>
        </w:rPr>
        <w:t xml:space="preserve"> assumption</w:t>
      </w:r>
      <w:r w:rsidR="00FD353D">
        <w:rPr>
          <w:iCs/>
          <w:color w:val="000000" w:themeColor="text1"/>
        </w:rPr>
        <w:t xml:space="preserve"> only</w:t>
      </w:r>
      <w:r w:rsidRPr="00E7767C">
        <w:rPr>
          <w:iCs/>
          <w:color w:val="000000" w:themeColor="text1"/>
        </w:rPr>
        <w:t xml:space="preserve"> reflecting the cured proportion rather than being a meaningful clinical marker. That is, setting a cure at 5 years instead of 15 years is analogous to assuming that nivolumab was associated with 36% o</w:t>
      </w:r>
      <w:r w:rsidR="00EB6D7A" w:rsidRPr="00E7767C">
        <w:rPr>
          <w:iCs/>
          <w:color w:val="000000" w:themeColor="text1"/>
        </w:rPr>
        <w:t>f</w:t>
      </w:r>
      <w:r w:rsidRPr="00E7767C">
        <w:rPr>
          <w:iCs/>
          <w:color w:val="000000" w:themeColor="text1"/>
        </w:rPr>
        <w:t xml:space="preserve"> patients cured in the base case (cure rate at 5 years) and 11.4% in this alternative case (cure rate at 15 years). </w:t>
      </w:r>
    </w:p>
    <w:p w14:paraId="541C7870" w14:textId="4160BB4D" w:rsidR="00172C1C" w:rsidRPr="00375D9E" w:rsidRDefault="00172C1C" w:rsidP="00172C1C">
      <w:pPr>
        <w:pStyle w:val="3-BodyText"/>
        <w:rPr>
          <w:color w:val="000000" w:themeColor="text1"/>
        </w:rPr>
      </w:pPr>
      <w:r w:rsidRPr="00375D9E">
        <w:rPr>
          <w:color w:val="000000" w:themeColor="text1"/>
        </w:rPr>
        <w:t xml:space="preserve">Key drivers of the model are presented in </w:t>
      </w:r>
      <w:r w:rsidRPr="00375D9E">
        <w:fldChar w:fldCharType="begin"/>
      </w:r>
      <w:r w:rsidRPr="00375D9E">
        <w:instrText xml:space="preserve"> REF _Ref100832269 \h </w:instrText>
      </w:r>
      <w:r>
        <w:instrText xml:space="preserve"> \* MERGEFORMAT </w:instrText>
      </w:r>
      <w:r w:rsidRPr="00375D9E">
        <w:fldChar w:fldCharType="separate"/>
      </w:r>
      <w:r w:rsidR="00267758" w:rsidRPr="00267758">
        <w:t>Table 10</w:t>
      </w:r>
      <w:r w:rsidRPr="00375D9E">
        <w:fldChar w:fldCharType="end"/>
      </w:r>
      <w:r>
        <w:t>.</w:t>
      </w:r>
    </w:p>
    <w:p w14:paraId="63453BCC" w14:textId="44BDEBE4" w:rsidR="00172C1C" w:rsidRPr="00BB00B3" w:rsidRDefault="00172C1C" w:rsidP="00172C1C">
      <w:pPr>
        <w:pStyle w:val="TableFigureHeading"/>
        <w:rPr>
          <w:rStyle w:val="CommentReference"/>
          <w:b/>
        </w:rPr>
      </w:pPr>
      <w:bookmarkStart w:id="49" w:name="_Ref100832269"/>
      <w:r w:rsidRPr="00375D9E">
        <w:rPr>
          <w:rStyle w:val="TableFigureHeadingChar"/>
          <w:b/>
          <w:bCs/>
          <w:szCs w:val="20"/>
        </w:rPr>
        <w:t xml:space="preserve">Table </w:t>
      </w:r>
      <w:r w:rsidRPr="00375D9E">
        <w:rPr>
          <w:rStyle w:val="TableFigureHeadingChar"/>
          <w:b/>
          <w:bCs/>
          <w:szCs w:val="20"/>
        </w:rPr>
        <w:fldChar w:fldCharType="begin"/>
      </w:r>
      <w:r w:rsidRPr="00375D9E">
        <w:rPr>
          <w:rStyle w:val="TableFigureHeadingChar"/>
          <w:b/>
          <w:bCs/>
          <w:szCs w:val="20"/>
        </w:rPr>
        <w:instrText xml:space="preserve"> SEQ Table \* MERGEFORMAT </w:instrText>
      </w:r>
      <w:r w:rsidRPr="00375D9E">
        <w:rPr>
          <w:rStyle w:val="TableFigureHeadingChar"/>
          <w:b/>
          <w:bCs/>
          <w:szCs w:val="20"/>
        </w:rPr>
        <w:fldChar w:fldCharType="separate"/>
      </w:r>
      <w:r w:rsidR="00267758">
        <w:rPr>
          <w:rStyle w:val="TableFigureHeadingChar"/>
          <w:b/>
          <w:bCs/>
          <w:noProof/>
          <w:szCs w:val="20"/>
        </w:rPr>
        <w:t>10</w:t>
      </w:r>
      <w:r w:rsidRPr="00375D9E">
        <w:rPr>
          <w:rStyle w:val="TableFigureHeadingChar"/>
          <w:b/>
          <w:bCs/>
          <w:szCs w:val="20"/>
        </w:rPr>
        <w:fldChar w:fldCharType="end"/>
      </w:r>
      <w:bookmarkEnd w:id="49"/>
      <w:r w:rsidRPr="00375D9E">
        <w:rPr>
          <w:rStyle w:val="TableFigureHeadingChar"/>
          <w:b/>
          <w:bCs/>
          <w:szCs w:val="20"/>
        </w:rPr>
        <w:t>:</w:t>
      </w:r>
      <w:r w:rsidRPr="00293AD6">
        <w:rPr>
          <w:rStyle w:val="TableFigureHeadingChar"/>
          <w:szCs w:val="20"/>
        </w:rPr>
        <w:t xml:space="preserve"> </w:t>
      </w:r>
      <w:r w:rsidRPr="00D24E15">
        <w:rPr>
          <w:rStyle w:val="CommentReference"/>
          <w:b/>
          <w:bCs w:val="0"/>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252"/>
        <w:gridCol w:w="3636"/>
      </w:tblGrid>
      <w:tr w:rsidR="00094813" w:rsidRPr="00EB6D7A" w14:paraId="55878D2D" w14:textId="77777777" w:rsidTr="002176B8">
        <w:trPr>
          <w:tblHeader/>
        </w:trPr>
        <w:tc>
          <w:tcPr>
            <w:tcW w:w="626" w:type="pct"/>
            <w:shd w:val="clear" w:color="auto" w:fill="auto"/>
            <w:vAlign w:val="center"/>
          </w:tcPr>
          <w:p w14:paraId="7213FC83" w14:textId="77777777" w:rsidR="00172C1C" w:rsidRPr="00EB6D7A" w:rsidRDefault="00172C1C" w:rsidP="00A0461D">
            <w:pPr>
              <w:pStyle w:val="In-tableHeading"/>
              <w:jc w:val="center"/>
              <w:rPr>
                <w:lang w:val="en-AU"/>
              </w:rPr>
            </w:pPr>
            <w:r w:rsidRPr="00EB6D7A">
              <w:rPr>
                <w:lang w:val="en-AU"/>
              </w:rPr>
              <w:t>Description</w:t>
            </w:r>
          </w:p>
        </w:tc>
        <w:tc>
          <w:tcPr>
            <w:tcW w:w="2358" w:type="pct"/>
            <w:shd w:val="clear" w:color="auto" w:fill="auto"/>
            <w:vAlign w:val="center"/>
          </w:tcPr>
          <w:p w14:paraId="03CB3404" w14:textId="77777777" w:rsidR="00172C1C" w:rsidRPr="00EB6D7A" w:rsidRDefault="00172C1C" w:rsidP="00A0461D">
            <w:pPr>
              <w:pStyle w:val="In-tableHeading"/>
              <w:jc w:val="center"/>
              <w:rPr>
                <w:lang w:val="en-AU"/>
              </w:rPr>
            </w:pPr>
            <w:r w:rsidRPr="00EB6D7A">
              <w:rPr>
                <w:lang w:val="en-AU"/>
              </w:rPr>
              <w:t>Method/Value</w:t>
            </w:r>
          </w:p>
        </w:tc>
        <w:tc>
          <w:tcPr>
            <w:tcW w:w="2016" w:type="pct"/>
            <w:shd w:val="clear" w:color="auto" w:fill="auto"/>
            <w:vAlign w:val="center"/>
          </w:tcPr>
          <w:p w14:paraId="25972BD6" w14:textId="77777777" w:rsidR="00172C1C" w:rsidRPr="00EB6D7A" w:rsidRDefault="00172C1C" w:rsidP="00A0461D">
            <w:pPr>
              <w:pStyle w:val="In-tableHeading"/>
              <w:jc w:val="center"/>
              <w:rPr>
                <w:lang w:val="en-AU"/>
              </w:rPr>
            </w:pPr>
            <w:r w:rsidRPr="00EB6D7A">
              <w:rPr>
                <w:lang w:val="en-AU"/>
              </w:rPr>
              <w:t>Impact</w:t>
            </w:r>
          </w:p>
          <w:p w14:paraId="337974EE" w14:textId="0195D78A" w:rsidR="00172C1C" w:rsidRPr="00EB6D7A" w:rsidRDefault="00172C1C" w:rsidP="00A0461D">
            <w:pPr>
              <w:pStyle w:val="In-tableHeading"/>
              <w:jc w:val="center"/>
              <w:rPr>
                <w:lang w:val="en-AU"/>
              </w:rPr>
            </w:pPr>
            <w:r w:rsidRPr="00EB6D7A">
              <w:rPr>
                <w:rFonts w:cs="Arial"/>
                <w:szCs w:val="20"/>
                <w:lang w:val="en-AU"/>
              </w:rPr>
              <w:t>Base case: $</w:t>
            </w:r>
            <w:r w:rsidR="000A25B4" w:rsidRPr="000A25B4">
              <w:rPr>
                <w:rFonts w:cs="Arial"/>
                <w:color w:val="000000"/>
                <w:szCs w:val="20"/>
                <w:shd w:val="solid" w:color="000000" w:fill="000000"/>
                <w:lang w:val="en-AU"/>
                <w14:textFill>
                  <w14:solidFill>
                    <w14:srgbClr w14:val="000000">
                      <w14:alpha w14:val="100000"/>
                    </w14:srgbClr>
                  </w14:solidFill>
                </w14:textFill>
              </w:rPr>
              <w:t>|</w:t>
            </w:r>
            <w:r w:rsidR="00495D41">
              <w:rPr>
                <w:rFonts w:cs="Arial"/>
                <w:szCs w:val="20"/>
                <w:vertAlign w:val="superscript"/>
                <w:lang w:val="en-AU"/>
              </w:rPr>
              <w:t>1</w:t>
            </w:r>
            <w:r w:rsidRPr="00EB6D7A">
              <w:rPr>
                <w:rFonts w:cs="Arial"/>
                <w:szCs w:val="20"/>
                <w:lang w:val="en-AU"/>
              </w:rPr>
              <w:t>/QALY gained</w:t>
            </w:r>
          </w:p>
        </w:tc>
      </w:tr>
      <w:tr w:rsidR="00094813" w:rsidRPr="00EB6D7A" w14:paraId="628ED5EA" w14:textId="77777777" w:rsidTr="00B52C43">
        <w:trPr>
          <w:trHeight w:val="2034"/>
        </w:trPr>
        <w:tc>
          <w:tcPr>
            <w:tcW w:w="626" w:type="pct"/>
            <w:shd w:val="clear" w:color="auto" w:fill="auto"/>
            <w:vAlign w:val="center"/>
          </w:tcPr>
          <w:p w14:paraId="4C3FD276" w14:textId="1CF4856F" w:rsidR="00172C1C" w:rsidRPr="00EB6D7A" w:rsidRDefault="00172C1C" w:rsidP="00A0461D">
            <w:pPr>
              <w:pStyle w:val="TableText0"/>
              <w:jc w:val="center"/>
            </w:pPr>
            <w:r w:rsidRPr="00EB6D7A">
              <w:t>Assumption of no convergence</w:t>
            </w:r>
            <w:r w:rsidR="00982557">
              <w:t xml:space="preserve"> of TTR curves</w:t>
            </w:r>
          </w:p>
        </w:tc>
        <w:tc>
          <w:tcPr>
            <w:tcW w:w="2358" w:type="pct"/>
            <w:shd w:val="clear" w:color="auto" w:fill="auto"/>
            <w:vAlign w:val="center"/>
          </w:tcPr>
          <w:p w14:paraId="4779CDE9" w14:textId="003A343D" w:rsidR="00172C1C" w:rsidRPr="00EB6D7A" w:rsidRDefault="00172C1C" w:rsidP="00A0461D">
            <w:pPr>
              <w:pStyle w:val="TableText0"/>
            </w:pPr>
            <w:r w:rsidRPr="00EB6D7A">
              <w:t xml:space="preserve">No convergence </w:t>
            </w:r>
            <w:r w:rsidR="008B332D">
              <w:t xml:space="preserve">for TTR (and by extension, OS) </w:t>
            </w:r>
            <w:r w:rsidRPr="00EB6D7A">
              <w:t xml:space="preserve">applied in the base case. </w:t>
            </w:r>
          </w:p>
          <w:p w14:paraId="26DD43B4" w14:textId="53F2BFC2" w:rsidR="00172C1C" w:rsidRPr="00EB6D7A" w:rsidRDefault="00172C1C" w:rsidP="00A0461D">
            <w:pPr>
              <w:pStyle w:val="TableText0"/>
            </w:pPr>
          </w:p>
          <w:p w14:paraId="3C46B429" w14:textId="1EB95729" w:rsidR="00172C1C" w:rsidRPr="00EB6D7A" w:rsidRDefault="00172C1C" w:rsidP="00A0461D">
            <w:pPr>
              <w:pStyle w:val="TableText0"/>
            </w:pPr>
            <w:r w:rsidRPr="00EB6D7A">
              <w:t xml:space="preserve">Based on PBAC consideration of nivolumab in the melanoma adjuvant setting, an </w:t>
            </w:r>
            <w:r w:rsidRPr="008B332D">
              <w:rPr>
                <w:i/>
                <w:iCs/>
              </w:rPr>
              <w:t>ad-hoc</w:t>
            </w:r>
            <w:r w:rsidRPr="00EB6D7A">
              <w:t xml:space="preserve"> approach to converge survival curves at 15 </w:t>
            </w:r>
            <w:r w:rsidR="007F46C1">
              <w:t xml:space="preserve">years </w:t>
            </w:r>
            <w:r w:rsidRPr="00EB6D7A">
              <w:t>was conducted by using different extrapolation functions for each arm (and altering the cure assumption</w:t>
            </w:r>
            <w:r w:rsidR="007F46C1">
              <w:t>)</w:t>
            </w:r>
            <w:r w:rsidRPr="00EB6D7A">
              <w:t>.</w:t>
            </w:r>
          </w:p>
        </w:tc>
        <w:tc>
          <w:tcPr>
            <w:tcW w:w="2016" w:type="pct"/>
            <w:shd w:val="clear" w:color="auto" w:fill="auto"/>
            <w:vAlign w:val="center"/>
          </w:tcPr>
          <w:p w14:paraId="4BB70547" w14:textId="1CB51ED0" w:rsidR="00982557" w:rsidRPr="00E7767C" w:rsidRDefault="00982557" w:rsidP="00A0461D">
            <w:pPr>
              <w:pStyle w:val="TableText0"/>
            </w:pPr>
            <w:r w:rsidRPr="00E7767C">
              <w:t>High, favours nivolumab</w:t>
            </w:r>
          </w:p>
          <w:p w14:paraId="7F7A4FD9" w14:textId="6CFF4387" w:rsidR="00172C1C" w:rsidRPr="00E7767C" w:rsidRDefault="00172C1C" w:rsidP="00A0461D">
            <w:pPr>
              <w:pStyle w:val="TableText0"/>
            </w:pPr>
            <w:r w:rsidRPr="00E7767C">
              <w:t xml:space="preserve">Use of a log logistic curve for nivolumab and a cure set at 15 years to model </w:t>
            </w:r>
            <w:proofErr w:type="gramStart"/>
            <w:r w:rsidRPr="00E7767C">
              <w:t>convergence  increased</w:t>
            </w:r>
            <w:proofErr w:type="gramEnd"/>
            <w:r w:rsidRPr="00E7767C">
              <w:t xml:space="preserve"> the ICER to $</w:t>
            </w:r>
            <w:r w:rsidR="000A25B4" w:rsidRPr="000A25B4">
              <w:rPr>
                <w:color w:val="000000"/>
                <w:spacing w:val="51"/>
                <w:shd w:val="solid" w:color="000000" w:fill="000000"/>
                <w:fitText w:val="325" w:id="-1435755774"/>
                <w14:textFill>
                  <w14:solidFill>
                    <w14:srgbClr w14:val="000000">
                      <w14:alpha w14:val="100000"/>
                    </w14:srgbClr>
                  </w14:solidFill>
                </w14:textFill>
              </w:rPr>
              <w:t>|||</w:t>
            </w:r>
            <w:r w:rsidR="000A25B4" w:rsidRPr="000A25B4">
              <w:rPr>
                <w:color w:val="000000"/>
                <w:spacing w:val="2"/>
                <w:shd w:val="solid" w:color="000000" w:fill="000000"/>
                <w:fitText w:val="325" w:id="-1435755774"/>
                <w14:textFill>
                  <w14:solidFill>
                    <w14:srgbClr w14:val="000000">
                      <w14:alpha w14:val="100000"/>
                    </w14:srgbClr>
                  </w14:solidFill>
                </w14:textFill>
              </w:rPr>
              <w:t>|</w:t>
            </w:r>
            <w:r w:rsidR="00495D41">
              <w:rPr>
                <w:vertAlign w:val="superscript"/>
              </w:rPr>
              <w:t>2</w:t>
            </w:r>
            <w:r w:rsidRPr="00E7767C">
              <w:t xml:space="preserve"> /QALY gained (15</w:t>
            </w:r>
            <w:r w:rsidR="00BA4A79">
              <w:t>1</w:t>
            </w:r>
            <w:r w:rsidRPr="00E7767C">
              <w:t>% increase)</w:t>
            </w:r>
          </w:p>
          <w:p w14:paraId="12563890" w14:textId="1D50432C" w:rsidR="00172C1C" w:rsidRPr="00E7767C" w:rsidRDefault="00172C1C" w:rsidP="00A0461D">
            <w:pPr>
              <w:pStyle w:val="TableText0"/>
            </w:pPr>
          </w:p>
          <w:p w14:paraId="10C4A230" w14:textId="5C595249" w:rsidR="00172C1C" w:rsidRPr="00EB6D7A" w:rsidRDefault="00172C1C" w:rsidP="00A0461D">
            <w:pPr>
              <w:pStyle w:val="TableText0"/>
              <w:rPr>
                <w:i/>
              </w:rPr>
            </w:pPr>
            <w:r w:rsidRPr="00E7767C">
              <w:t xml:space="preserve">Use of a </w:t>
            </w:r>
            <w:proofErr w:type="spellStart"/>
            <w:r w:rsidRPr="00E7767C">
              <w:t>Gompertz</w:t>
            </w:r>
            <w:proofErr w:type="spellEnd"/>
            <w:r w:rsidRPr="00E7767C">
              <w:t xml:space="preserve"> extrapolation for SOC and a cure set at 15 years increased the ICER to $</w:t>
            </w:r>
            <w:r w:rsidR="000A25B4" w:rsidRPr="000A25B4">
              <w:rPr>
                <w:color w:val="000000"/>
                <w:spacing w:val="51"/>
                <w:shd w:val="solid" w:color="000000" w:fill="000000"/>
                <w:fitText w:val="325" w:id="-1435755773"/>
                <w14:textFill>
                  <w14:solidFill>
                    <w14:srgbClr w14:val="000000">
                      <w14:alpha w14:val="100000"/>
                    </w14:srgbClr>
                  </w14:solidFill>
                </w14:textFill>
              </w:rPr>
              <w:t>|||</w:t>
            </w:r>
            <w:r w:rsidR="000A25B4" w:rsidRPr="000A25B4">
              <w:rPr>
                <w:color w:val="000000"/>
                <w:spacing w:val="2"/>
                <w:shd w:val="solid" w:color="000000" w:fill="000000"/>
                <w:fitText w:val="325" w:id="-1435755773"/>
                <w14:textFill>
                  <w14:solidFill>
                    <w14:srgbClr w14:val="000000">
                      <w14:alpha w14:val="100000"/>
                    </w14:srgbClr>
                  </w14:solidFill>
                </w14:textFill>
              </w:rPr>
              <w:t>|</w:t>
            </w:r>
            <w:r w:rsidR="00495D41">
              <w:rPr>
                <w:vertAlign w:val="superscript"/>
              </w:rPr>
              <w:t>3</w:t>
            </w:r>
            <w:r w:rsidRPr="00E7767C">
              <w:t>/QALY gained (12</w:t>
            </w:r>
            <w:r w:rsidR="00BA4A79">
              <w:t>3</w:t>
            </w:r>
            <w:r w:rsidRPr="00E7767C">
              <w:t>% increase)</w:t>
            </w:r>
          </w:p>
        </w:tc>
      </w:tr>
      <w:tr w:rsidR="00094813" w:rsidRPr="00EB6D7A" w14:paraId="6F64C7EA" w14:textId="77777777" w:rsidTr="00B52C43">
        <w:trPr>
          <w:trHeight w:val="803"/>
        </w:trPr>
        <w:tc>
          <w:tcPr>
            <w:tcW w:w="626" w:type="pct"/>
            <w:shd w:val="clear" w:color="auto" w:fill="auto"/>
            <w:vAlign w:val="center"/>
          </w:tcPr>
          <w:p w14:paraId="1CB160FB" w14:textId="77777777" w:rsidR="00172C1C" w:rsidRPr="00EB6D7A" w:rsidRDefault="00172C1C" w:rsidP="00A0461D">
            <w:pPr>
              <w:pStyle w:val="TableText0"/>
              <w:jc w:val="center"/>
            </w:pPr>
            <w:r w:rsidRPr="00EB6D7A">
              <w:t>Time horizon</w:t>
            </w:r>
          </w:p>
        </w:tc>
        <w:tc>
          <w:tcPr>
            <w:tcW w:w="2358" w:type="pct"/>
            <w:shd w:val="clear" w:color="auto" w:fill="auto"/>
            <w:vAlign w:val="center"/>
          </w:tcPr>
          <w:p w14:paraId="5BE23108" w14:textId="4C8F267B" w:rsidR="00172C1C" w:rsidRPr="00EB6D7A" w:rsidRDefault="008757DF" w:rsidP="00A0461D">
            <w:pPr>
              <w:pStyle w:val="TableText0"/>
            </w:pPr>
            <w:r w:rsidRPr="00EB6D7A">
              <w:t>25-year</w:t>
            </w:r>
            <w:r w:rsidR="00172C1C" w:rsidRPr="00EB6D7A">
              <w:t xml:space="preserve"> time horizon was selected in the base case</w:t>
            </w:r>
            <w:r w:rsidR="00601179">
              <w:t xml:space="preserve">, this was compared to a median follow up of 32.2 months using the latest data cut. </w:t>
            </w:r>
          </w:p>
        </w:tc>
        <w:tc>
          <w:tcPr>
            <w:tcW w:w="2016" w:type="pct"/>
            <w:shd w:val="clear" w:color="auto" w:fill="auto"/>
            <w:vAlign w:val="center"/>
          </w:tcPr>
          <w:p w14:paraId="0F7FF46C" w14:textId="77777777" w:rsidR="00172C1C" w:rsidRPr="00E7767C" w:rsidRDefault="00172C1C" w:rsidP="00A0461D">
            <w:pPr>
              <w:pStyle w:val="TableText0"/>
              <w:rPr>
                <w:rFonts w:cs="Arial"/>
                <w:color w:val="000000" w:themeColor="text1"/>
                <w:szCs w:val="20"/>
              </w:rPr>
            </w:pPr>
            <w:r w:rsidRPr="00E7767C">
              <w:rPr>
                <w:rFonts w:cs="Arial"/>
                <w:color w:val="000000" w:themeColor="text1"/>
                <w:szCs w:val="20"/>
              </w:rPr>
              <w:t>High, favours nivolumab</w:t>
            </w:r>
          </w:p>
          <w:p w14:paraId="3AD09805" w14:textId="1A5754D2" w:rsidR="00172C1C" w:rsidRPr="00EB6D7A" w:rsidRDefault="00172C1C" w:rsidP="00A0461D">
            <w:pPr>
              <w:pStyle w:val="TableText0"/>
              <w:rPr>
                <w:rFonts w:cs="Arial"/>
                <w:iCs/>
                <w:color w:val="000000" w:themeColor="text1"/>
                <w:szCs w:val="20"/>
              </w:rPr>
            </w:pPr>
            <w:r w:rsidRPr="00E7767C">
              <w:rPr>
                <w:rFonts w:cs="Arial"/>
                <w:color w:val="000000" w:themeColor="text1"/>
                <w:szCs w:val="20"/>
              </w:rPr>
              <w:t xml:space="preserve">Use of a </w:t>
            </w:r>
            <w:r w:rsidR="008757DF" w:rsidRPr="00E7767C">
              <w:rPr>
                <w:rFonts w:cs="Arial"/>
                <w:color w:val="000000" w:themeColor="text1"/>
                <w:szCs w:val="20"/>
              </w:rPr>
              <w:t>15-year</w:t>
            </w:r>
            <w:r w:rsidRPr="00E7767C">
              <w:rPr>
                <w:rFonts w:cs="Arial"/>
                <w:color w:val="000000" w:themeColor="text1"/>
                <w:szCs w:val="20"/>
              </w:rPr>
              <w:t xml:space="preserve"> time horizon increases the ICER to $</w:t>
            </w:r>
            <w:r w:rsidR="000A25B4" w:rsidRPr="000A25B4">
              <w:rPr>
                <w:rFonts w:cs="Arial"/>
                <w:color w:val="000000" w:themeColor="text1"/>
                <w:spacing w:val="51"/>
                <w:szCs w:val="20"/>
                <w:shd w:val="solid" w:color="000000" w:fill="000000"/>
                <w:fitText w:val="325" w:id="-1435755772"/>
                <w14:textFill>
                  <w14:solidFill>
                    <w14:schemeClr w14:val="tx1">
                      <w14:alpha w14:val="100000"/>
                    </w14:schemeClr>
                  </w14:solidFill>
                </w14:textFill>
              </w:rPr>
              <w:t>|||</w:t>
            </w:r>
            <w:r w:rsidR="000A25B4" w:rsidRPr="000A25B4">
              <w:rPr>
                <w:rFonts w:cs="Arial"/>
                <w:color w:val="000000" w:themeColor="text1"/>
                <w:spacing w:val="2"/>
                <w:szCs w:val="20"/>
                <w:shd w:val="solid" w:color="000000" w:fill="000000"/>
                <w:fitText w:val="325" w:id="-1435755772"/>
                <w14:textFill>
                  <w14:solidFill>
                    <w14:schemeClr w14:val="tx1">
                      <w14:alpha w14:val="100000"/>
                    </w14:schemeClr>
                  </w14:solidFill>
                </w14:textFill>
              </w:rPr>
              <w:t>|</w:t>
            </w:r>
            <w:r w:rsidR="00495D41">
              <w:rPr>
                <w:rFonts w:cs="Arial"/>
                <w:color w:val="000000" w:themeColor="text1"/>
                <w:szCs w:val="20"/>
                <w:vertAlign w:val="superscript"/>
              </w:rPr>
              <w:t>4</w:t>
            </w:r>
            <w:r w:rsidRPr="00E7767C">
              <w:rPr>
                <w:rFonts w:cs="Arial"/>
                <w:color w:val="000000" w:themeColor="text1"/>
                <w:szCs w:val="20"/>
              </w:rPr>
              <w:t>/QALY gained (2</w:t>
            </w:r>
            <w:r w:rsidR="00BA4A79">
              <w:rPr>
                <w:rFonts w:cs="Arial"/>
                <w:color w:val="000000" w:themeColor="text1"/>
                <w:szCs w:val="20"/>
              </w:rPr>
              <w:t>9</w:t>
            </w:r>
            <w:r w:rsidRPr="00E7767C">
              <w:rPr>
                <w:rFonts w:cs="Arial"/>
                <w:color w:val="000000" w:themeColor="text1"/>
                <w:szCs w:val="20"/>
              </w:rPr>
              <w:t>%</w:t>
            </w:r>
            <w:r w:rsidR="00982557" w:rsidRPr="00E7767C">
              <w:rPr>
                <w:rFonts w:cs="Arial"/>
                <w:color w:val="000000" w:themeColor="text1"/>
                <w:szCs w:val="20"/>
              </w:rPr>
              <w:t xml:space="preserve"> increase</w:t>
            </w:r>
            <w:r w:rsidRPr="00E7767C">
              <w:rPr>
                <w:rFonts w:cs="Arial"/>
                <w:color w:val="000000" w:themeColor="text1"/>
                <w:szCs w:val="20"/>
              </w:rPr>
              <w:t>)</w:t>
            </w:r>
          </w:p>
        </w:tc>
      </w:tr>
    </w:tbl>
    <w:p w14:paraId="7DADB19C" w14:textId="77777777" w:rsidR="00E91D40" w:rsidRDefault="00172C1C" w:rsidP="00E91D40">
      <w:pPr>
        <w:pStyle w:val="3-BodyText"/>
        <w:numPr>
          <w:ilvl w:val="0"/>
          <w:numId w:val="0"/>
        </w:numPr>
        <w:spacing w:after="0"/>
        <w:rPr>
          <w:rFonts w:ascii="Arial Narrow" w:hAnsi="Arial Narrow"/>
          <w:sz w:val="18"/>
          <w:szCs w:val="22"/>
        </w:rPr>
      </w:pPr>
      <w:r w:rsidRPr="00456592">
        <w:rPr>
          <w:rFonts w:ascii="Arial Narrow" w:hAnsi="Arial Narrow"/>
          <w:sz w:val="18"/>
          <w:szCs w:val="22"/>
        </w:rPr>
        <w:t xml:space="preserve">Source: Table 86, p186 of the submission and the attached economic model. </w:t>
      </w:r>
    </w:p>
    <w:p w14:paraId="1F4F415B" w14:textId="36345AFB" w:rsidR="00172C1C" w:rsidRDefault="00172C1C" w:rsidP="00495D41">
      <w:pPr>
        <w:pStyle w:val="3-BodyText"/>
        <w:numPr>
          <w:ilvl w:val="0"/>
          <w:numId w:val="0"/>
        </w:numPr>
        <w:spacing w:after="0"/>
        <w:rPr>
          <w:rFonts w:ascii="Arial Narrow" w:hAnsi="Arial Narrow"/>
          <w:sz w:val="18"/>
          <w:szCs w:val="22"/>
        </w:rPr>
      </w:pPr>
      <w:r>
        <w:rPr>
          <w:rFonts w:ascii="Arial Narrow" w:hAnsi="Arial Narrow"/>
          <w:sz w:val="18"/>
          <w:szCs w:val="22"/>
        </w:rPr>
        <w:t>ICER = incremental cost-effectiveness ratio;</w:t>
      </w:r>
      <w:r w:rsidRPr="00456592">
        <w:rPr>
          <w:rFonts w:ascii="Arial Narrow" w:hAnsi="Arial Narrow"/>
          <w:sz w:val="18"/>
          <w:szCs w:val="22"/>
        </w:rPr>
        <w:t xml:space="preserve"> </w:t>
      </w:r>
      <w:r>
        <w:rPr>
          <w:rFonts w:ascii="Arial Narrow" w:hAnsi="Arial Narrow"/>
          <w:sz w:val="18"/>
          <w:szCs w:val="22"/>
        </w:rPr>
        <w:t>PBAC</w:t>
      </w:r>
      <w:r w:rsidR="00AF01AB">
        <w:rPr>
          <w:rFonts w:ascii="Arial Narrow" w:hAnsi="Arial Narrow"/>
          <w:sz w:val="18"/>
          <w:szCs w:val="22"/>
        </w:rPr>
        <w:t xml:space="preserve"> </w:t>
      </w:r>
      <w:proofErr w:type="gramStart"/>
      <w:r w:rsidR="00AF01AB">
        <w:rPr>
          <w:rFonts w:ascii="Arial Narrow" w:hAnsi="Arial Narrow"/>
          <w:sz w:val="18"/>
          <w:szCs w:val="22"/>
        </w:rPr>
        <w:t xml:space="preserve">= </w:t>
      </w:r>
      <w:r>
        <w:rPr>
          <w:rFonts w:ascii="Arial Narrow" w:hAnsi="Arial Narrow"/>
          <w:sz w:val="18"/>
          <w:szCs w:val="22"/>
        </w:rPr>
        <w:t xml:space="preserve"> </w:t>
      </w:r>
      <w:r w:rsidR="00052515">
        <w:rPr>
          <w:rFonts w:ascii="Arial Narrow" w:hAnsi="Arial Narrow"/>
          <w:sz w:val="18"/>
          <w:szCs w:val="22"/>
        </w:rPr>
        <w:t>Pharmaceutical</w:t>
      </w:r>
      <w:proofErr w:type="gramEnd"/>
      <w:r>
        <w:rPr>
          <w:rFonts w:ascii="Arial Narrow" w:hAnsi="Arial Narrow"/>
          <w:sz w:val="18"/>
          <w:szCs w:val="22"/>
        </w:rPr>
        <w:t xml:space="preserve"> Benefits Advisory Committee; SOC = standard of Care; TTR = time to recurrence</w:t>
      </w:r>
    </w:p>
    <w:p w14:paraId="520A65D9" w14:textId="77777777" w:rsidR="00495D41" w:rsidRPr="009A6D58" w:rsidRDefault="00495D41" w:rsidP="00495D41">
      <w:pPr>
        <w:rPr>
          <w:rFonts w:ascii="Arial Narrow" w:hAnsi="Arial Narrow"/>
          <w:i/>
          <w:sz w:val="18"/>
          <w:szCs w:val="18"/>
        </w:rPr>
      </w:pPr>
      <w:r w:rsidRPr="009A6D58">
        <w:rPr>
          <w:rFonts w:ascii="Arial Narrow" w:hAnsi="Arial Narrow"/>
          <w:i/>
          <w:sz w:val="18"/>
          <w:szCs w:val="18"/>
        </w:rPr>
        <w:lastRenderedPageBreak/>
        <w:t xml:space="preserve">The redacted values correspond to the following ranges: </w:t>
      </w:r>
    </w:p>
    <w:p w14:paraId="69120955" w14:textId="77777777" w:rsidR="00495D41" w:rsidRPr="00495D41" w:rsidRDefault="00495D41" w:rsidP="00495D4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95D41">
        <w:rPr>
          <w:rFonts w:ascii="Arial Narrow" w:hAnsi="Arial Narrow"/>
          <w:i/>
          <w:sz w:val="18"/>
          <w:szCs w:val="18"/>
        </w:rPr>
        <w:t>$35,000 to &lt; $45,000</w:t>
      </w:r>
    </w:p>
    <w:p w14:paraId="3E836064" w14:textId="77777777" w:rsidR="00BC3F8B" w:rsidRDefault="00495D41" w:rsidP="00BC3F8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C3F8B" w:rsidRPr="00BC3F8B">
        <w:rPr>
          <w:rFonts w:ascii="Arial Narrow" w:hAnsi="Arial Narrow"/>
          <w:i/>
          <w:sz w:val="18"/>
          <w:szCs w:val="18"/>
        </w:rPr>
        <w:t xml:space="preserve">$95,000 to &lt; $115,000 </w:t>
      </w:r>
    </w:p>
    <w:p w14:paraId="7EBC77DA" w14:textId="5A3F03D8" w:rsidR="00BC3F8B" w:rsidRPr="00BC3F8B" w:rsidRDefault="00495D41" w:rsidP="00BC3F8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C3F8B" w:rsidRPr="00BC3F8B">
        <w:rPr>
          <w:rFonts w:ascii="Arial Narrow" w:hAnsi="Arial Narrow"/>
          <w:i/>
          <w:sz w:val="18"/>
          <w:szCs w:val="18"/>
        </w:rPr>
        <w:t>$</w:t>
      </w:r>
      <w:r w:rsidR="00BC3F8B">
        <w:rPr>
          <w:rFonts w:ascii="Arial Narrow" w:hAnsi="Arial Narrow"/>
          <w:i/>
          <w:sz w:val="18"/>
          <w:szCs w:val="18"/>
        </w:rPr>
        <w:t>7</w:t>
      </w:r>
      <w:r w:rsidR="00BC3F8B" w:rsidRPr="00BC3F8B">
        <w:rPr>
          <w:rFonts w:ascii="Arial Narrow" w:hAnsi="Arial Narrow"/>
          <w:i/>
          <w:sz w:val="18"/>
          <w:szCs w:val="18"/>
        </w:rPr>
        <w:t>5,000 to &lt; $</w:t>
      </w:r>
      <w:r w:rsidR="00BC3F8B">
        <w:rPr>
          <w:rFonts w:ascii="Arial Narrow" w:hAnsi="Arial Narrow"/>
          <w:i/>
          <w:sz w:val="18"/>
          <w:szCs w:val="18"/>
        </w:rPr>
        <w:t>9</w:t>
      </w:r>
      <w:r w:rsidR="00BC3F8B" w:rsidRPr="00BC3F8B">
        <w:rPr>
          <w:rFonts w:ascii="Arial Narrow" w:hAnsi="Arial Narrow"/>
          <w:i/>
          <w:sz w:val="18"/>
          <w:szCs w:val="18"/>
        </w:rPr>
        <w:t>5,000</w:t>
      </w:r>
    </w:p>
    <w:p w14:paraId="762F5E16" w14:textId="3E21B7B4" w:rsidR="00495D41" w:rsidRDefault="00495D41" w:rsidP="00495D4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495D41">
        <w:rPr>
          <w:rFonts w:ascii="Arial Narrow" w:hAnsi="Arial Narrow"/>
          <w:i/>
          <w:sz w:val="18"/>
          <w:szCs w:val="18"/>
        </w:rPr>
        <w:t>$45,000 to &lt; $55,000</w:t>
      </w:r>
    </w:p>
    <w:p w14:paraId="11931146" w14:textId="77777777" w:rsidR="00495D41" w:rsidRDefault="00495D41" w:rsidP="003D159B">
      <w:pPr>
        <w:pStyle w:val="3-BodyText"/>
        <w:numPr>
          <w:ilvl w:val="0"/>
          <w:numId w:val="0"/>
        </w:numPr>
        <w:rPr>
          <w:rFonts w:ascii="Arial Narrow" w:hAnsi="Arial Narrow"/>
          <w:sz w:val="18"/>
          <w:szCs w:val="22"/>
        </w:rPr>
      </w:pPr>
    </w:p>
    <w:p w14:paraId="7A1B14AA" w14:textId="443FAB9B" w:rsidR="00DF65B7" w:rsidRDefault="00DF65B7" w:rsidP="00DF65B7">
      <w:pPr>
        <w:pStyle w:val="3-BodyText"/>
      </w:pPr>
      <w:r>
        <w:t xml:space="preserve">Based on the model assumptions, patients do not remain in the post-recurrence health state for long before they die due to a high mortality rate assumed (one year survival of </w:t>
      </w:r>
      <w:r w:rsidR="00313FFB">
        <w:t>22.0</w:t>
      </w:r>
      <w:r>
        <w:t>%</w:t>
      </w:r>
      <w:r w:rsidR="00DE137D">
        <w:t xml:space="preserve">, sourced from </w:t>
      </w:r>
      <w:r w:rsidR="00EE6DC6">
        <w:t>v</w:t>
      </w:r>
      <w:r w:rsidR="00313FFB">
        <w:t xml:space="preserve">an </w:t>
      </w:r>
      <w:proofErr w:type="spellStart"/>
      <w:r w:rsidR="00313FFB">
        <w:t>Putten</w:t>
      </w:r>
      <w:proofErr w:type="spellEnd"/>
      <w:r w:rsidR="005363E8">
        <w:t xml:space="preserve"> et al</w:t>
      </w:r>
      <w:r w:rsidR="00313FFB">
        <w:t xml:space="preserve"> 2018</w:t>
      </w:r>
      <w:r>
        <w:t xml:space="preserve">), and as such, the TTR was a key driver of the model </w:t>
      </w:r>
      <w:r w:rsidR="00F83EE8">
        <w:t xml:space="preserve">due to </w:t>
      </w:r>
      <w:r>
        <w:t xml:space="preserve">its effect on predicting overall survival rather than the incremental differences in utility </w:t>
      </w:r>
      <w:r w:rsidR="00F83EE8">
        <w:t xml:space="preserve">assumed </w:t>
      </w:r>
      <w:r>
        <w:t>between health states</w:t>
      </w:r>
      <w:r w:rsidR="00F83EE8">
        <w:t xml:space="preserve"> (0.84 in pre recurrence and 0.771 in post recurrence)</w:t>
      </w:r>
      <w:r>
        <w:t xml:space="preserve">. </w:t>
      </w:r>
      <w:r w:rsidRPr="00E7767C">
        <w:rPr>
          <w:iCs/>
        </w:rPr>
        <w:t>For example, assuming there was no difference in utility between pre and post recurrence increased the ICER by only 0.5%.</w:t>
      </w:r>
    </w:p>
    <w:p w14:paraId="76D83BF8" w14:textId="137583A0" w:rsidR="00172C1C" w:rsidRPr="00E7767C" w:rsidRDefault="00172C1C" w:rsidP="00172C1C">
      <w:pPr>
        <w:pStyle w:val="3-BodyText"/>
        <w:rPr>
          <w:iCs/>
          <w:color w:val="000000" w:themeColor="text1"/>
        </w:rPr>
      </w:pPr>
      <w:r>
        <w:rPr>
          <w:color w:val="000000" w:themeColor="text1"/>
        </w:rPr>
        <w:t>Results of the economic evaluation are presented in</w:t>
      </w:r>
      <w:r w:rsidRPr="00456592">
        <w:t xml:space="preserve"> </w:t>
      </w:r>
      <w:r w:rsidRPr="00456592">
        <w:fldChar w:fldCharType="begin"/>
      </w:r>
      <w:r w:rsidRPr="00456592">
        <w:instrText xml:space="preserve"> REF _Ref100834376 \h </w:instrText>
      </w:r>
      <w:r>
        <w:instrText xml:space="preserve"> \* MERGEFORMAT </w:instrText>
      </w:r>
      <w:r w:rsidRPr="00456592">
        <w:fldChar w:fldCharType="separate"/>
      </w:r>
      <w:r w:rsidR="00267758" w:rsidRPr="00267758">
        <w:t>Table 11</w:t>
      </w:r>
      <w:r w:rsidRPr="00456592">
        <w:fldChar w:fldCharType="end"/>
      </w:r>
      <w:r>
        <w:t>.</w:t>
      </w:r>
    </w:p>
    <w:p w14:paraId="60818D9B" w14:textId="5709383B" w:rsidR="00172C1C" w:rsidRPr="004C54EE" w:rsidRDefault="00172C1C" w:rsidP="00383E2E">
      <w:pPr>
        <w:pStyle w:val="TableFigureHeading"/>
        <w:keepLines/>
        <w:rPr>
          <w:rStyle w:val="CommentReference"/>
          <w:b/>
          <w:szCs w:val="24"/>
        </w:rPr>
      </w:pPr>
      <w:bookmarkStart w:id="50" w:name="_Ref100834376"/>
      <w:r w:rsidRPr="00D24E15">
        <w:rPr>
          <w:rStyle w:val="CommentReference"/>
          <w:b/>
          <w:bCs w:val="0"/>
        </w:rPr>
        <w:t>Table</w:t>
      </w:r>
      <w:r w:rsidRPr="00BB00B3">
        <w:rPr>
          <w:rStyle w:val="CommentReference"/>
        </w:rPr>
        <w:t xml:space="preserve"> </w:t>
      </w:r>
      <w:r w:rsidRPr="00375D9E">
        <w:rPr>
          <w:rStyle w:val="TableFigureHeadingChar"/>
          <w:b/>
          <w:bCs/>
          <w:szCs w:val="20"/>
        </w:rPr>
        <w:fldChar w:fldCharType="begin"/>
      </w:r>
      <w:r w:rsidRPr="00375D9E">
        <w:rPr>
          <w:rStyle w:val="TableFigureHeadingChar"/>
          <w:b/>
          <w:bCs/>
          <w:szCs w:val="20"/>
        </w:rPr>
        <w:instrText xml:space="preserve"> SEQ Table \* MERGEFORMAT </w:instrText>
      </w:r>
      <w:r w:rsidRPr="00375D9E">
        <w:rPr>
          <w:rStyle w:val="TableFigureHeadingChar"/>
          <w:b/>
          <w:bCs/>
          <w:szCs w:val="20"/>
        </w:rPr>
        <w:fldChar w:fldCharType="separate"/>
      </w:r>
      <w:r w:rsidR="00267758">
        <w:rPr>
          <w:rStyle w:val="TableFigureHeadingChar"/>
          <w:b/>
          <w:bCs/>
          <w:noProof/>
          <w:szCs w:val="20"/>
        </w:rPr>
        <w:t>11</w:t>
      </w:r>
      <w:r w:rsidRPr="00375D9E">
        <w:rPr>
          <w:rStyle w:val="TableFigureHeadingChar"/>
          <w:b/>
          <w:bCs/>
          <w:szCs w:val="20"/>
        </w:rPr>
        <w:fldChar w:fldCharType="end"/>
      </w:r>
      <w:bookmarkEnd w:id="50"/>
      <w:r w:rsidRPr="00BB00B3">
        <w:rPr>
          <w:rStyle w:val="CommentReference"/>
        </w:rPr>
        <w:t xml:space="preserve">: </w:t>
      </w:r>
      <w:r w:rsidRPr="00456592">
        <w:rPr>
          <w:rStyle w:val="CommentReference"/>
          <w:b/>
          <w:bCs w:val="0"/>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D413E" w:rsidRPr="009D413E" w14:paraId="47E5A233" w14:textId="77777777" w:rsidTr="00A0461D">
        <w:trPr>
          <w:tblHeader/>
        </w:trPr>
        <w:tc>
          <w:tcPr>
            <w:tcW w:w="1529" w:type="pct"/>
            <w:vAlign w:val="center"/>
          </w:tcPr>
          <w:p w14:paraId="65225E87" w14:textId="77777777" w:rsidR="00172C1C" w:rsidRPr="004C54EE" w:rsidRDefault="00172C1C" w:rsidP="00383E2E">
            <w:pPr>
              <w:pStyle w:val="In-tableHeading"/>
              <w:keepLines/>
              <w:rPr>
                <w:lang w:val="en-AU"/>
              </w:rPr>
            </w:pPr>
            <w:r w:rsidRPr="004C54EE">
              <w:rPr>
                <w:lang w:val="en-AU"/>
              </w:rPr>
              <w:t>Step and component</w:t>
            </w:r>
          </w:p>
        </w:tc>
        <w:tc>
          <w:tcPr>
            <w:tcW w:w="1359" w:type="pct"/>
            <w:vAlign w:val="center"/>
          </w:tcPr>
          <w:p w14:paraId="72915E78" w14:textId="381E8AAF" w:rsidR="00172C1C" w:rsidRPr="009D413E" w:rsidRDefault="00520FC8" w:rsidP="00383E2E">
            <w:pPr>
              <w:pStyle w:val="In-tableHeading"/>
              <w:keepLines/>
              <w:jc w:val="center"/>
              <w:rPr>
                <w:color w:val="000000" w:themeColor="text1"/>
                <w:lang w:val="en-AU"/>
              </w:rPr>
            </w:pPr>
            <w:r w:rsidRPr="009D413E">
              <w:rPr>
                <w:color w:val="000000" w:themeColor="text1"/>
                <w:lang w:val="en-AU"/>
              </w:rPr>
              <w:t>Nivolumab</w:t>
            </w:r>
          </w:p>
        </w:tc>
        <w:tc>
          <w:tcPr>
            <w:tcW w:w="1274" w:type="pct"/>
            <w:vAlign w:val="center"/>
          </w:tcPr>
          <w:p w14:paraId="4DE22458" w14:textId="06BB3724" w:rsidR="00172C1C" w:rsidRPr="009D413E" w:rsidRDefault="00520FC8" w:rsidP="00383E2E">
            <w:pPr>
              <w:pStyle w:val="In-tableHeading"/>
              <w:keepLines/>
              <w:jc w:val="center"/>
              <w:rPr>
                <w:color w:val="000000" w:themeColor="text1"/>
                <w:lang w:val="en-AU"/>
              </w:rPr>
            </w:pPr>
            <w:r w:rsidRPr="009D413E">
              <w:rPr>
                <w:color w:val="000000" w:themeColor="text1"/>
                <w:lang w:val="en-AU"/>
              </w:rPr>
              <w:t xml:space="preserve">Standard care </w:t>
            </w:r>
          </w:p>
        </w:tc>
        <w:tc>
          <w:tcPr>
            <w:tcW w:w="838" w:type="pct"/>
            <w:vAlign w:val="center"/>
          </w:tcPr>
          <w:p w14:paraId="77991C75" w14:textId="77777777" w:rsidR="00172C1C" w:rsidRPr="009D413E" w:rsidRDefault="00172C1C" w:rsidP="00383E2E">
            <w:pPr>
              <w:pStyle w:val="In-tableHeading"/>
              <w:keepLines/>
              <w:jc w:val="center"/>
              <w:rPr>
                <w:color w:val="000000" w:themeColor="text1"/>
                <w:lang w:val="en-AU"/>
              </w:rPr>
            </w:pPr>
            <w:r w:rsidRPr="009D413E">
              <w:rPr>
                <w:color w:val="000000" w:themeColor="text1"/>
                <w:lang w:val="en-AU"/>
              </w:rPr>
              <w:t>Increment</w:t>
            </w:r>
          </w:p>
        </w:tc>
      </w:tr>
      <w:tr w:rsidR="00172C1C" w:rsidRPr="004C54EE" w14:paraId="55B3E4FE" w14:textId="77777777" w:rsidTr="00A0461D">
        <w:tc>
          <w:tcPr>
            <w:tcW w:w="5000" w:type="pct"/>
            <w:gridSpan w:val="4"/>
            <w:vAlign w:val="center"/>
          </w:tcPr>
          <w:p w14:paraId="4F8C555E" w14:textId="7E288D0F" w:rsidR="00172C1C" w:rsidRPr="00520FC8" w:rsidRDefault="00172C1C" w:rsidP="00383E2E">
            <w:pPr>
              <w:pStyle w:val="TableText0"/>
              <w:keepLines/>
              <w:rPr>
                <w:b/>
              </w:rPr>
            </w:pPr>
            <w:r w:rsidRPr="00520FC8">
              <w:rPr>
                <w:b/>
              </w:rPr>
              <w:t xml:space="preserve">Step 1: </w:t>
            </w:r>
            <w:r w:rsidR="00DE3E7E">
              <w:rPr>
                <w:b/>
              </w:rPr>
              <w:t>T</w:t>
            </w:r>
            <w:r w:rsidR="008757DF" w:rsidRPr="00520FC8">
              <w:rPr>
                <w:b/>
              </w:rPr>
              <w:t>rial</w:t>
            </w:r>
            <w:r w:rsidR="00DE3E7E">
              <w:rPr>
                <w:b/>
              </w:rPr>
              <w:t xml:space="preserve"> </w:t>
            </w:r>
            <w:r w:rsidR="008757DF" w:rsidRPr="00520FC8">
              <w:rPr>
                <w:b/>
              </w:rPr>
              <w:t>based</w:t>
            </w:r>
            <w:r w:rsidRPr="00520FC8">
              <w:rPr>
                <w:b/>
              </w:rPr>
              <w:t xml:space="preserve"> cost per recurrence</w:t>
            </w:r>
            <w:r w:rsidR="00DE3E7E">
              <w:rPr>
                <w:b/>
              </w:rPr>
              <w:t xml:space="preserve"> avoided</w:t>
            </w:r>
          </w:p>
        </w:tc>
      </w:tr>
      <w:tr w:rsidR="00172C1C" w:rsidRPr="004C54EE" w14:paraId="0DEC0340" w14:textId="77777777" w:rsidTr="00A0461D">
        <w:tc>
          <w:tcPr>
            <w:tcW w:w="1529" w:type="pct"/>
            <w:vAlign w:val="center"/>
          </w:tcPr>
          <w:p w14:paraId="7164C90D" w14:textId="77777777" w:rsidR="00172C1C" w:rsidRPr="004C54EE" w:rsidRDefault="00172C1C" w:rsidP="00383E2E">
            <w:pPr>
              <w:pStyle w:val="TableText0"/>
              <w:keepLines/>
              <w:rPr>
                <w:rFonts w:ascii="Times" w:hAnsi="Times"/>
              </w:rPr>
            </w:pPr>
            <w:r w:rsidRPr="004C54EE">
              <w:t>Costs</w:t>
            </w:r>
          </w:p>
        </w:tc>
        <w:tc>
          <w:tcPr>
            <w:tcW w:w="1359" w:type="pct"/>
          </w:tcPr>
          <w:p w14:paraId="4281DD53" w14:textId="35D44662"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c>
          <w:tcPr>
            <w:tcW w:w="1274" w:type="pct"/>
          </w:tcPr>
          <w:p w14:paraId="0B149EAF" w14:textId="77777777" w:rsidR="00172C1C" w:rsidRPr="004C54EE" w:rsidRDefault="00172C1C" w:rsidP="00383E2E">
            <w:pPr>
              <w:pStyle w:val="TableText0"/>
              <w:keepLines/>
              <w:jc w:val="center"/>
              <w:rPr>
                <w:rFonts w:ascii="Times" w:hAnsi="Times"/>
              </w:rPr>
            </w:pPr>
            <w:r w:rsidRPr="004C54EE">
              <w:t>$22,510</w:t>
            </w:r>
          </w:p>
        </w:tc>
        <w:tc>
          <w:tcPr>
            <w:tcW w:w="838" w:type="pct"/>
          </w:tcPr>
          <w:p w14:paraId="311857C6" w14:textId="21713CA9" w:rsidR="00172C1C" w:rsidRPr="00B91E69" w:rsidRDefault="00172C1C" w:rsidP="00383E2E">
            <w:pPr>
              <w:pStyle w:val="TableText0"/>
              <w:keepLines/>
              <w:jc w:val="center"/>
              <w:rPr>
                <w:rFonts w:ascii="Times" w:hAnsi="Times"/>
                <w:vertAlign w:val="superscript"/>
              </w:rPr>
            </w:pPr>
            <w:r w:rsidRPr="004C54EE">
              <w:t>$</w:t>
            </w:r>
            <w:r w:rsidR="000A25B4" w:rsidRPr="000A25B4">
              <w:rPr>
                <w:color w:val="000000"/>
                <w:shd w:val="solid" w:color="000000" w:fill="000000"/>
                <w14:textFill>
                  <w14:solidFill>
                    <w14:srgbClr w14:val="000000">
                      <w14:alpha w14:val="100000"/>
                    </w14:srgbClr>
                  </w14:solidFill>
                </w14:textFill>
              </w:rPr>
              <w:t>|</w:t>
            </w:r>
          </w:p>
        </w:tc>
      </w:tr>
      <w:tr w:rsidR="00172C1C" w:rsidRPr="004C54EE" w14:paraId="0689FE40" w14:textId="77777777" w:rsidTr="00A0461D">
        <w:tc>
          <w:tcPr>
            <w:tcW w:w="1529" w:type="pct"/>
            <w:vAlign w:val="center"/>
          </w:tcPr>
          <w:p w14:paraId="32456A32" w14:textId="573F1234" w:rsidR="00172C1C" w:rsidRPr="004C54EE" w:rsidRDefault="004B182B" w:rsidP="00383E2E">
            <w:pPr>
              <w:pStyle w:val="TableText0"/>
              <w:keepLines/>
              <w:rPr>
                <w:rFonts w:ascii="Times" w:hAnsi="Times"/>
              </w:rPr>
            </w:pPr>
            <w:r>
              <w:t>R</w:t>
            </w:r>
            <w:r w:rsidR="00172C1C" w:rsidRPr="004C54EE">
              <w:t>ecurrence</w:t>
            </w:r>
          </w:p>
        </w:tc>
        <w:tc>
          <w:tcPr>
            <w:tcW w:w="1359" w:type="pct"/>
          </w:tcPr>
          <w:p w14:paraId="2C07BFA1" w14:textId="77777777" w:rsidR="00172C1C" w:rsidRPr="004C54EE" w:rsidRDefault="00172C1C" w:rsidP="00383E2E">
            <w:pPr>
              <w:pStyle w:val="TableText0"/>
              <w:keepLines/>
              <w:jc w:val="center"/>
              <w:rPr>
                <w:rFonts w:ascii="Times" w:hAnsi="Times"/>
              </w:rPr>
            </w:pPr>
            <w:r w:rsidRPr="004C54EE">
              <w:t>44.9%</w:t>
            </w:r>
          </w:p>
        </w:tc>
        <w:tc>
          <w:tcPr>
            <w:tcW w:w="1274" w:type="pct"/>
          </w:tcPr>
          <w:p w14:paraId="404F578F" w14:textId="77777777" w:rsidR="00172C1C" w:rsidRPr="004C54EE" w:rsidRDefault="00172C1C" w:rsidP="00383E2E">
            <w:pPr>
              <w:pStyle w:val="TableText0"/>
              <w:keepLines/>
              <w:jc w:val="center"/>
              <w:rPr>
                <w:rFonts w:ascii="Times" w:hAnsi="Times"/>
              </w:rPr>
            </w:pPr>
            <w:r w:rsidRPr="004C54EE">
              <w:t>61.5%</w:t>
            </w:r>
          </w:p>
        </w:tc>
        <w:tc>
          <w:tcPr>
            <w:tcW w:w="838" w:type="pct"/>
          </w:tcPr>
          <w:p w14:paraId="3EDEDB25" w14:textId="77777777" w:rsidR="00172C1C" w:rsidRPr="004C54EE" w:rsidRDefault="00172C1C" w:rsidP="00383E2E">
            <w:pPr>
              <w:pStyle w:val="TableText0"/>
              <w:keepLines/>
              <w:jc w:val="center"/>
            </w:pPr>
            <w:r w:rsidRPr="004C54EE">
              <w:t>16.6%</w:t>
            </w:r>
          </w:p>
        </w:tc>
      </w:tr>
      <w:tr w:rsidR="00172C1C" w:rsidRPr="004C54EE" w14:paraId="2BB4EC20" w14:textId="77777777" w:rsidTr="00A0461D">
        <w:tc>
          <w:tcPr>
            <w:tcW w:w="4162" w:type="pct"/>
            <w:gridSpan w:val="3"/>
            <w:vAlign w:val="center"/>
          </w:tcPr>
          <w:p w14:paraId="76EB8EA0" w14:textId="77777777" w:rsidR="00172C1C" w:rsidRPr="004C54EE" w:rsidRDefault="00172C1C" w:rsidP="00383E2E">
            <w:pPr>
              <w:pStyle w:val="TableText0"/>
              <w:keepLines/>
              <w:rPr>
                <w:rFonts w:ascii="Times" w:hAnsi="Times"/>
              </w:rPr>
            </w:pPr>
            <w:r w:rsidRPr="004C54EE">
              <w:t>Incremental cost/recurrence avoided</w:t>
            </w:r>
          </w:p>
        </w:tc>
        <w:tc>
          <w:tcPr>
            <w:tcW w:w="838" w:type="pct"/>
            <w:vAlign w:val="center"/>
          </w:tcPr>
          <w:p w14:paraId="45CB84DD" w14:textId="55ED19B1" w:rsidR="00172C1C" w:rsidRPr="00B91E69" w:rsidRDefault="00172C1C" w:rsidP="00383E2E">
            <w:pPr>
              <w:pStyle w:val="TableText0"/>
              <w:keepLines/>
              <w:jc w:val="center"/>
              <w:rPr>
                <w:rFonts w:ascii="Times" w:hAnsi="Times"/>
                <w:vertAlign w:val="superscript"/>
              </w:rPr>
            </w:pPr>
            <w:r w:rsidRPr="004C54EE">
              <w:t>$</w:t>
            </w:r>
            <w:r w:rsidR="000A25B4" w:rsidRPr="000A25B4">
              <w:rPr>
                <w:color w:val="000000"/>
                <w:shd w:val="solid" w:color="000000" w:fill="000000"/>
                <w14:textFill>
                  <w14:solidFill>
                    <w14:srgbClr w14:val="000000">
                      <w14:alpha w14:val="100000"/>
                    </w14:srgbClr>
                  </w14:solidFill>
                </w14:textFill>
              </w:rPr>
              <w:t>|</w:t>
            </w:r>
            <w:r w:rsidR="00B91E69">
              <w:rPr>
                <w:vertAlign w:val="superscript"/>
              </w:rPr>
              <w:t>1</w:t>
            </w:r>
          </w:p>
        </w:tc>
      </w:tr>
      <w:tr w:rsidR="00172C1C" w:rsidRPr="004C54EE" w14:paraId="05159201" w14:textId="77777777" w:rsidTr="00A0461D">
        <w:tc>
          <w:tcPr>
            <w:tcW w:w="5000" w:type="pct"/>
            <w:gridSpan w:val="4"/>
            <w:vAlign w:val="center"/>
          </w:tcPr>
          <w:p w14:paraId="56D3594C" w14:textId="79113760" w:rsidR="00172C1C" w:rsidRPr="00DB06CC" w:rsidRDefault="00172C1C" w:rsidP="00383E2E">
            <w:pPr>
              <w:pStyle w:val="In-tableHeading"/>
              <w:keepLines/>
              <w:rPr>
                <w:vertAlign w:val="superscript"/>
                <w:lang w:val="en-AU"/>
              </w:rPr>
            </w:pPr>
            <w:r w:rsidRPr="004C54EE">
              <w:rPr>
                <w:lang w:val="en-AU"/>
              </w:rPr>
              <w:t xml:space="preserve">Step 2: Trial based cost per life year </w:t>
            </w:r>
            <w:proofErr w:type="spellStart"/>
            <w:r w:rsidRPr="004C54EE">
              <w:rPr>
                <w:lang w:val="en-AU"/>
              </w:rPr>
              <w:t>gained</w:t>
            </w:r>
            <w:r w:rsidR="00DB06CC">
              <w:rPr>
                <w:vertAlign w:val="superscript"/>
                <w:lang w:val="en-AU"/>
              </w:rPr>
              <w:t>a</w:t>
            </w:r>
            <w:proofErr w:type="spellEnd"/>
          </w:p>
        </w:tc>
      </w:tr>
      <w:tr w:rsidR="00172C1C" w:rsidRPr="004C54EE" w14:paraId="74A56C07" w14:textId="77777777" w:rsidTr="00A0461D">
        <w:tc>
          <w:tcPr>
            <w:tcW w:w="1529" w:type="pct"/>
            <w:vAlign w:val="center"/>
          </w:tcPr>
          <w:p w14:paraId="278ED83A" w14:textId="77777777" w:rsidR="00172C1C" w:rsidRPr="004C54EE" w:rsidRDefault="00172C1C" w:rsidP="00383E2E">
            <w:pPr>
              <w:pStyle w:val="TableText0"/>
              <w:keepLines/>
              <w:rPr>
                <w:rFonts w:ascii="Times" w:hAnsi="Times"/>
              </w:rPr>
            </w:pPr>
            <w:r w:rsidRPr="004C54EE">
              <w:t>Costs</w:t>
            </w:r>
          </w:p>
        </w:tc>
        <w:tc>
          <w:tcPr>
            <w:tcW w:w="1359" w:type="pct"/>
          </w:tcPr>
          <w:p w14:paraId="2E09F4D3" w14:textId="1440831A"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c>
          <w:tcPr>
            <w:tcW w:w="1274" w:type="pct"/>
          </w:tcPr>
          <w:p w14:paraId="4F020EA1" w14:textId="77777777" w:rsidR="00172C1C" w:rsidRPr="004C54EE" w:rsidRDefault="00172C1C" w:rsidP="00383E2E">
            <w:pPr>
              <w:pStyle w:val="TableText0"/>
              <w:keepLines/>
              <w:jc w:val="center"/>
              <w:rPr>
                <w:rFonts w:ascii="Times" w:hAnsi="Times"/>
              </w:rPr>
            </w:pPr>
            <w:r w:rsidRPr="004C54EE">
              <w:t>$22,510</w:t>
            </w:r>
          </w:p>
        </w:tc>
        <w:tc>
          <w:tcPr>
            <w:tcW w:w="838" w:type="pct"/>
          </w:tcPr>
          <w:p w14:paraId="1CF8175F" w14:textId="5040A285"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r>
      <w:tr w:rsidR="00172C1C" w:rsidRPr="004C54EE" w14:paraId="2DDFBF2C" w14:textId="77777777" w:rsidTr="00A0461D">
        <w:tc>
          <w:tcPr>
            <w:tcW w:w="1529" w:type="pct"/>
            <w:vAlign w:val="center"/>
          </w:tcPr>
          <w:p w14:paraId="092E448E" w14:textId="29AA4296" w:rsidR="00172C1C" w:rsidRPr="004C54EE" w:rsidRDefault="00172C1C" w:rsidP="00383E2E">
            <w:pPr>
              <w:pStyle w:val="TableText0"/>
              <w:keepLines/>
              <w:rPr>
                <w:rFonts w:ascii="Times" w:hAnsi="Times"/>
              </w:rPr>
            </w:pPr>
            <w:r w:rsidRPr="004C54EE">
              <w:t>LY</w:t>
            </w:r>
          </w:p>
        </w:tc>
        <w:tc>
          <w:tcPr>
            <w:tcW w:w="1359" w:type="pct"/>
          </w:tcPr>
          <w:p w14:paraId="4F08A060" w14:textId="77777777" w:rsidR="00172C1C" w:rsidRPr="004C54EE" w:rsidRDefault="00172C1C" w:rsidP="00383E2E">
            <w:pPr>
              <w:pStyle w:val="TableText0"/>
              <w:keepLines/>
              <w:jc w:val="center"/>
              <w:rPr>
                <w:rFonts w:ascii="Times" w:hAnsi="Times"/>
              </w:rPr>
            </w:pPr>
            <w:r w:rsidRPr="004C54EE">
              <w:t>1.845</w:t>
            </w:r>
          </w:p>
        </w:tc>
        <w:tc>
          <w:tcPr>
            <w:tcW w:w="1274" w:type="pct"/>
          </w:tcPr>
          <w:p w14:paraId="18FD63D6" w14:textId="77777777" w:rsidR="00172C1C" w:rsidRPr="004C54EE" w:rsidRDefault="00172C1C" w:rsidP="00383E2E">
            <w:pPr>
              <w:pStyle w:val="TableText0"/>
              <w:keepLines/>
              <w:jc w:val="center"/>
              <w:rPr>
                <w:rFonts w:ascii="Times" w:hAnsi="Times"/>
              </w:rPr>
            </w:pPr>
            <w:r w:rsidRPr="004C54EE">
              <w:t>1.653</w:t>
            </w:r>
          </w:p>
        </w:tc>
        <w:tc>
          <w:tcPr>
            <w:tcW w:w="838" w:type="pct"/>
          </w:tcPr>
          <w:p w14:paraId="4BEBBDDE" w14:textId="77777777" w:rsidR="00172C1C" w:rsidRPr="004C54EE" w:rsidRDefault="00172C1C" w:rsidP="00383E2E">
            <w:pPr>
              <w:pStyle w:val="TableText0"/>
              <w:keepLines/>
              <w:jc w:val="center"/>
            </w:pPr>
            <w:r w:rsidRPr="004C54EE">
              <w:t>0.193</w:t>
            </w:r>
          </w:p>
        </w:tc>
      </w:tr>
      <w:tr w:rsidR="00172C1C" w:rsidRPr="004C54EE" w14:paraId="695602AF" w14:textId="77777777" w:rsidTr="00A0461D">
        <w:tc>
          <w:tcPr>
            <w:tcW w:w="4162" w:type="pct"/>
            <w:gridSpan w:val="3"/>
            <w:vAlign w:val="center"/>
          </w:tcPr>
          <w:p w14:paraId="7BB5C66F" w14:textId="03C94B57" w:rsidR="00172C1C" w:rsidRPr="004C54EE" w:rsidRDefault="00172C1C" w:rsidP="00383E2E">
            <w:pPr>
              <w:pStyle w:val="TableText0"/>
              <w:keepLines/>
              <w:rPr>
                <w:rFonts w:ascii="Times" w:hAnsi="Times"/>
              </w:rPr>
            </w:pPr>
            <w:r w:rsidRPr="004C54EE">
              <w:t xml:space="preserve">Incremental cost/ LYG </w:t>
            </w:r>
          </w:p>
        </w:tc>
        <w:tc>
          <w:tcPr>
            <w:tcW w:w="838" w:type="pct"/>
            <w:vAlign w:val="center"/>
          </w:tcPr>
          <w:p w14:paraId="078A8D29" w14:textId="3D54D74C" w:rsidR="00172C1C" w:rsidRPr="00B91E69" w:rsidRDefault="00172C1C" w:rsidP="00383E2E">
            <w:pPr>
              <w:pStyle w:val="TableText0"/>
              <w:keepLines/>
              <w:jc w:val="center"/>
              <w:rPr>
                <w:rFonts w:ascii="Times" w:hAnsi="Times"/>
                <w:vertAlign w:val="superscript"/>
              </w:rPr>
            </w:pPr>
            <w:r w:rsidRPr="004C54EE">
              <w:t>$</w:t>
            </w:r>
            <w:r w:rsidR="000A25B4" w:rsidRPr="000A25B4">
              <w:rPr>
                <w:color w:val="000000"/>
                <w:shd w:val="solid" w:color="000000" w:fill="000000"/>
                <w14:textFill>
                  <w14:solidFill>
                    <w14:srgbClr w14:val="000000">
                      <w14:alpha w14:val="100000"/>
                    </w14:srgbClr>
                  </w14:solidFill>
                </w14:textFill>
              </w:rPr>
              <w:t>|</w:t>
            </w:r>
            <w:r w:rsidR="00B91E69">
              <w:rPr>
                <w:vertAlign w:val="superscript"/>
              </w:rPr>
              <w:t>1</w:t>
            </w:r>
          </w:p>
        </w:tc>
      </w:tr>
      <w:tr w:rsidR="00172C1C" w:rsidRPr="004C54EE" w14:paraId="783340E4" w14:textId="77777777" w:rsidTr="00A0461D">
        <w:trPr>
          <w:trHeight w:val="53"/>
        </w:trPr>
        <w:tc>
          <w:tcPr>
            <w:tcW w:w="5000" w:type="pct"/>
            <w:gridSpan w:val="4"/>
            <w:vAlign w:val="center"/>
          </w:tcPr>
          <w:p w14:paraId="23B1D489" w14:textId="49BFD32F" w:rsidR="00172C1C" w:rsidRPr="00DB06CC" w:rsidRDefault="00172C1C" w:rsidP="00383E2E">
            <w:pPr>
              <w:pStyle w:val="In-tableHeading"/>
              <w:keepLines/>
              <w:rPr>
                <w:vertAlign w:val="superscript"/>
                <w:lang w:val="en-AU"/>
              </w:rPr>
            </w:pPr>
            <w:r w:rsidRPr="004C54EE">
              <w:rPr>
                <w:lang w:val="en-AU"/>
              </w:rPr>
              <w:t>Step 3: Trial based cost per QALY</w:t>
            </w:r>
            <w:r w:rsidR="00DE3E7E">
              <w:rPr>
                <w:lang w:val="en-AU"/>
              </w:rPr>
              <w:t xml:space="preserve"> </w:t>
            </w:r>
            <w:proofErr w:type="spellStart"/>
            <w:r w:rsidR="00DE3E7E">
              <w:rPr>
                <w:lang w:val="en-AU"/>
              </w:rPr>
              <w:t>gained</w:t>
            </w:r>
            <w:r w:rsidR="00DB06CC">
              <w:rPr>
                <w:vertAlign w:val="superscript"/>
                <w:lang w:val="en-AU"/>
              </w:rPr>
              <w:t>a</w:t>
            </w:r>
            <w:proofErr w:type="spellEnd"/>
          </w:p>
        </w:tc>
      </w:tr>
      <w:tr w:rsidR="00172C1C" w:rsidRPr="004C54EE" w14:paraId="7BE14602" w14:textId="77777777" w:rsidTr="00A0461D">
        <w:tc>
          <w:tcPr>
            <w:tcW w:w="1529" w:type="pct"/>
            <w:vAlign w:val="center"/>
          </w:tcPr>
          <w:p w14:paraId="614D62B6" w14:textId="77777777" w:rsidR="00172C1C" w:rsidRPr="004C54EE" w:rsidRDefault="00172C1C" w:rsidP="00383E2E">
            <w:pPr>
              <w:pStyle w:val="TableText0"/>
              <w:keepLines/>
              <w:rPr>
                <w:rFonts w:ascii="Times" w:hAnsi="Times"/>
              </w:rPr>
            </w:pPr>
            <w:r w:rsidRPr="004C54EE">
              <w:t>Costs</w:t>
            </w:r>
          </w:p>
        </w:tc>
        <w:tc>
          <w:tcPr>
            <w:tcW w:w="1359" w:type="pct"/>
          </w:tcPr>
          <w:p w14:paraId="70D0D1EE" w14:textId="5CECAFAE"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c>
          <w:tcPr>
            <w:tcW w:w="1274" w:type="pct"/>
          </w:tcPr>
          <w:p w14:paraId="1612944B" w14:textId="77777777" w:rsidR="00172C1C" w:rsidRPr="004C54EE" w:rsidRDefault="00172C1C" w:rsidP="00383E2E">
            <w:pPr>
              <w:pStyle w:val="TableText0"/>
              <w:keepLines/>
              <w:jc w:val="center"/>
              <w:rPr>
                <w:rFonts w:ascii="Times" w:hAnsi="Times"/>
              </w:rPr>
            </w:pPr>
            <w:r w:rsidRPr="004C54EE">
              <w:t>$22,510</w:t>
            </w:r>
          </w:p>
        </w:tc>
        <w:tc>
          <w:tcPr>
            <w:tcW w:w="838" w:type="pct"/>
          </w:tcPr>
          <w:p w14:paraId="61CFCC66" w14:textId="4D72142C"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r>
      <w:tr w:rsidR="00172C1C" w:rsidRPr="004C54EE" w14:paraId="3CF87F53" w14:textId="77777777" w:rsidTr="00A0461D">
        <w:tc>
          <w:tcPr>
            <w:tcW w:w="1529" w:type="pct"/>
            <w:vAlign w:val="center"/>
          </w:tcPr>
          <w:p w14:paraId="0C47BC95" w14:textId="77777777" w:rsidR="00172C1C" w:rsidRPr="004C54EE" w:rsidRDefault="00172C1C" w:rsidP="00383E2E">
            <w:pPr>
              <w:pStyle w:val="TableText0"/>
              <w:keepLines/>
              <w:rPr>
                <w:rFonts w:ascii="Times" w:hAnsi="Times"/>
              </w:rPr>
            </w:pPr>
            <w:r w:rsidRPr="004C54EE">
              <w:t>QALY</w:t>
            </w:r>
          </w:p>
        </w:tc>
        <w:tc>
          <w:tcPr>
            <w:tcW w:w="1359" w:type="pct"/>
          </w:tcPr>
          <w:p w14:paraId="371A4B5D" w14:textId="77777777" w:rsidR="00172C1C" w:rsidRPr="004C54EE" w:rsidRDefault="00172C1C" w:rsidP="00383E2E">
            <w:pPr>
              <w:pStyle w:val="TableText0"/>
              <w:keepLines/>
              <w:jc w:val="center"/>
              <w:rPr>
                <w:rFonts w:ascii="Times" w:hAnsi="Times"/>
              </w:rPr>
            </w:pPr>
            <w:r w:rsidRPr="004C54EE">
              <w:rPr>
                <w:rFonts w:cs="Arial"/>
              </w:rPr>
              <w:t>1.528</w:t>
            </w:r>
          </w:p>
        </w:tc>
        <w:tc>
          <w:tcPr>
            <w:tcW w:w="1274" w:type="pct"/>
          </w:tcPr>
          <w:p w14:paraId="06CA0136" w14:textId="77777777" w:rsidR="00172C1C" w:rsidRPr="004C54EE" w:rsidRDefault="00172C1C" w:rsidP="00383E2E">
            <w:pPr>
              <w:pStyle w:val="TableText0"/>
              <w:keepLines/>
              <w:jc w:val="center"/>
              <w:rPr>
                <w:rFonts w:ascii="Times" w:hAnsi="Times"/>
              </w:rPr>
            </w:pPr>
            <w:r w:rsidRPr="004C54EE">
              <w:rPr>
                <w:rFonts w:cs="Arial"/>
              </w:rPr>
              <w:t>1.360</w:t>
            </w:r>
          </w:p>
        </w:tc>
        <w:tc>
          <w:tcPr>
            <w:tcW w:w="838" w:type="pct"/>
          </w:tcPr>
          <w:p w14:paraId="0E9D209A" w14:textId="77777777" w:rsidR="00172C1C" w:rsidRPr="004C54EE" w:rsidRDefault="00172C1C" w:rsidP="00383E2E">
            <w:pPr>
              <w:pStyle w:val="TableText0"/>
              <w:keepLines/>
              <w:jc w:val="center"/>
            </w:pPr>
            <w:r w:rsidRPr="004C54EE">
              <w:rPr>
                <w:rFonts w:cs="Arial"/>
              </w:rPr>
              <w:t>0.168</w:t>
            </w:r>
          </w:p>
        </w:tc>
      </w:tr>
      <w:tr w:rsidR="00172C1C" w:rsidRPr="004C54EE" w14:paraId="01EF9165" w14:textId="77777777" w:rsidTr="00A0461D">
        <w:tc>
          <w:tcPr>
            <w:tcW w:w="4162" w:type="pct"/>
            <w:gridSpan w:val="3"/>
            <w:vAlign w:val="center"/>
          </w:tcPr>
          <w:p w14:paraId="243962A7" w14:textId="5C5BE9B9" w:rsidR="00172C1C" w:rsidRPr="004C54EE" w:rsidRDefault="00172C1C" w:rsidP="00383E2E">
            <w:pPr>
              <w:pStyle w:val="TableText0"/>
              <w:keepLines/>
              <w:rPr>
                <w:rFonts w:ascii="Times" w:hAnsi="Times"/>
              </w:rPr>
            </w:pPr>
            <w:r w:rsidRPr="004C54EE">
              <w:t>Incremental cost/ QALY gained</w:t>
            </w:r>
          </w:p>
        </w:tc>
        <w:tc>
          <w:tcPr>
            <w:tcW w:w="838" w:type="pct"/>
            <w:vAlign w:val="center"/>
          </w:tcPr>
          <w:p w14:paraId="488A6FCB" w14:textId="5AA582B5" w:rsidR="00172C1C" w:rsidRPr="00B91E69" w:rsidRDefault="00172C1C" w:rsidP="00383E2E">
            <w:pPr>
              <w:pStyle w:val="TableText0"/>
              <w:keepLines/>
              <w:jc w:val="center"/>
              <w:rPr>
                <w:rFonts w:ascii="Times" w:hAnsi="Times"/>
                <w:vertAlign w:val="superscript"/>
              </w:rPr>
            </w:pPr>
            <w:r w:rsidRPr="004C54EE">
              <w:t>$</w:t>
            </w:r>
            <w:r w:rsidR="000A25B4" w:rsidRPr="000A25B4">
              <w:rPr>
                <w:color w:val="000000"/>
                <w:shd w:val="solid" w:color="000000" w:fill="000000"/>
                <w14:textFill>
                  <w14:solidFill>
                    <w14:srgbClr w14:val="000000">
                      <w14:alpha w14:val="100000"/>
                    </w14:srgbClr>
                  </w14:solidFill>
                </w14:textFill>
              </w:rPr>
              <w:t>|</w:t>
            </w:r>
            <w:r w:rsidR="00B91E69">
              <w:rPr>
                <w:vertAlign w:val="superscript"/>
              </w:rPr>
              <w:t>1</w:t>
            </w:r>
          </w:p>
        </w:tc>
      </w:tr>
      <w:tr w:rsidR="00172C1C" w:rsidRPr="004C54EE" w14:paraId="2A1C6326" w14:textId="77777777" w:rsidTr="00A0461D">
        <w:tc>
          <w:tcPr>
            <w:tcW w:w="5000" w:type="pct"/>
            <w:gridSpan w:val="4"/>
            <w:vAlign w:val="center"/>
          </w:tcPr>
          <w:p w14:paraId="5EA99094" w14:textId="7FAE0002" w:rsidR="00172C1C" w:rsidRPr="004C54EE" w:rsidRDefault="00172C1C" w:rsidP="00383E2E">
            <w:pPr>
              <w:pStyle w:val="In-tableHeading"/>
              <w:keepLines/>
              <w:rPr>
                <w:lang w:val="en-AU"/>
              </w:rPr>
            </w:pPr>
            <w:r w:rsidRPr="004C54EE">
              <w:rPr>
                <w:lang w:val="en-AU"/>
              </w:rPr>
              <w:t xml:space="preserve">Step 4: Cost per QALY </w:t>
            </w:r>
            <w:r w:rsidR="00DE3E7E">
              <w:rPr>
                <w:lang w:val="en-AU"/>
              </w:rPr>
              <w:t xml:space="preserve">gained, </w:t>
            </w:r>
            <w:r w:rsidRPr="004C54EE">
              <w:rPr>
                <w:lang w:val="en-AU"/>
              </w:rPr>
              <w:t>extrapolated to 25 years</w:t>
            </w:r>
          </w:p>
        </w:tc>
      </w:tr>
      <w:tr w:rsidR="00172C1C" w:rsidRPr="004C54EE" w14:paraId="10AF6961" w14:textId="77777777" w:rsidTr="00A0461D">
        <w:tc>
          <w:tcPr>
            <w:tcW w:w="1529" w:type="pct"/>
            <w:vAlign w:val="center"/>
          </w:tcPr>
          <w:p w14:paraId="1E146A12" w14:textId="77777777" w:rsidR="00172C1C" w:rsidRPr="004C54EE" w:rsidRDefault="00172C1C" w:rsidP="00383E2E">
            <w:pPr>
              <w:pStyle w:val="TableText0"/>
              <w:keepLines/>
              <w:rPr>
                <w:rFonts w:ascii="Times" w:hAnsi="Times"/>
              </w:rPr>
            </w:pPr>
            <w:r w:rsidRPr="004C54EE">
              <w:t>Costs</w:t>
            </w:r>
          </w:p>
        </w:tc>
        <w:tc>
          <w:tcPr>
            <w:tcW w:w="1359" w:type="pct"/>
          </w:tcPr>
          <w:p w14:paraId="1035F009" w14:textId="6A89BB53"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c>
          <w:tcPr>
            <w:tcW w:w="1274" w:type="pct"/>
          </w:tcPr>
          <w:p w14:paraId="0046454B" w14:textId="77777777" w:rsidR="00172C1C" w:rsidRPr="004C54EE" w:rsidRDefault="00172C1C" w:rsidP="00383E2E">
            <w:pPr>
              <w:pStyle w:val="TableText0"/>
              <w:keepLines/>
              <w:jc w:val="center"/>
              <w:rPr>
                <w:rFonts w:ascii="Times" w:hAnsi="Times"/>
              </w:rPr>
            </w:pPr>
            <w:r w:rsidRPr="004C54EE">
              <w:t>$29,507</w:t>
            </w:r>
          </w:p>
        </w:tc>
        <w:tc>
          <w:tcPr>
            <w:tcW w:w="838" w:type="pct"/>
          </w:tcPr>
          <w:p w14:paraId="22DCEE51" w14:textId="1C43853E" w:rsidR="00172C1C" w:rsidRPr="004C54EE" w:rsidRDefault="00172C1C" w:rsidP="00383E2E">
            <w:pPr>
              <w:pStyle w:val="TableText0"/>
              <w:keepLines/>
              <w:jc w:val="center"/>
              <w:rPr>
                <w:rFonts w:ascii="Times" w:hAnsi="Times"/>
              </w:rPr>
            </w:pPr>
            <w:r w:rsidRPr="004C54EE">
              <w:t>$</w:t>
            </w:r>
            <w:r w:rsidR="000A25B4" w:rsidRPr="000A25B4">
              <w:rPr>
                <w:color w:val="000000"/>
                <w:shd w:val="solid" w:color="000000" w:fill="000000"/>
                <w14:textFill>
                  <w14:solidFill>
                    <w14:srgbClr w14:val="000000">
                      <w14:alpha w14:val="100000"/>
                    </w14:srgbClr>
                  </w14:solidFill>
                </w14:textFill>
              </w:rPr>
              <w:t>|</w:t>
            </w:r>
          </w:p>
        </w:tc>
      </w:tr>
      <w:tr w:rsidR="00172C1C" w:rsidRPr="004C54EE" w14:paraId="688EA23A" w14:textId="77777777" w:rsidTr="00A0461D">
        <w:tc>
          <w:tcPr>
            <w:tcW w:w="1529" w:type="pct"/>
            <w:vAlign w:val="center"/>
          </w:tcPr>
          <w:p w14:paraId="346A68D5" w14:textId="77777777" w:rsidR="00172C1C" w:rsidRPr="004C54EE" w:rsidRDefault="00172C1C" w:rsidP="00383E2E">
            <w:pPr>
              <w:pStyle w:val="TableText0"/>
              <w:keepLines/>
              <w:rPr>
                <w:rFonts w:ascii="Times" w:hAnsi="Times"/>
              </w:rPr>
            </w:pPr>
            <w:r w:rsidRPr="004C54EE">
              <w:t>QALY</w:t>
            </w:r>
          </w:p>
        </w:tc>
        <w:tc>
          <w:tcPr>
            <w:tcW w:w="1359" w:type="pct"/>
          </w:tcPr>
          <w:p w14:paraId="71448EDD" w14:textId="77777777" w:rsidR="00172C1C" w:rsidRPr="004C54EE" w:rsidRDefault="00172C1C" w:rsidP="00383E2E">
            <w:pPr>
              <w:pStyle w:val="TableText0"/>
              <w:keepLines/>
              <w:jc w:val="center"/>
              <w:rPr>
                <w:rFonts w:ascii="Times" w:hAnsi="Times"/>
              </w:rPr>
            </w:pPr>
            <w:r w:rsidRPr="004C54EE">
              <w:rPr>
                <w:rFonts w:cs="Arial"/>
              </w:rPr>
              <w:t>5.050</w:t>
            </w:r>
          </w:p>
        </w:tc>
        <w:tc>
          <w:tcPr>
            <w:tcW w:w="1274" w:type="pct"/>
          </w:tcPr>
          <w:p w14:paraId="6E29AC2B" w14:textId="77777777" w:rsidR="00172C1C" w:rsidRPr="004C54EE" w:rsidRDefault="00172C1C" w:rsidP="00383E2E">
            <w:pPr>
              <w:pStyle w:val="TableText0"/>
              <w:keepLines/>
              <w:jc w:val="center"/>
              <w:rPr>
                <w:rFonts w:ascii="Times" w:hAnsi="Times"/>
              </w:rPr>
            </w:pPr>
            <w:r w:rsidRPr="004C54EE">
              <w:rPr>
                <w:rFonts w:cs="Arial"/>
              </w:rPr>
              <w:t>3.587</w:t>
            </w:r>
          </w:p>
        </w:tc>
        <w:tc>
          <w:tcPr>
            <w:tcW w:w="838" w:type="pct"/>
          </w:tcPr>
          <w:p w14:paraId="4FBEDF70" w14:textId="77777777" w:rsidR="00172C1C" w:rsidRPr="004C54EE" w:rsidRDefault="00172C1C" w:rsidP="00383E2E">
            <w:pPr>
              <w:pStyle w:val="TableText0"/>
              <w:keepLines/>
              <w:jc w:val="center"/>
            </w:pPr>
            <w:r w:rsidRPr="004C54EE">
              <w:rPr>
                <w:rFonts w:cs="Arial"/>
              </w:rPr>
              <w:t>1.463</w:t>
            </w:r>
          </w:p>
        </w:tc>
      </w:tr>
      <w:tr w:rsidR="00172C1C" w:rsidRPr="004C54EE" w14:paraId="036F2652" w14:textId="77777777" w:rsidTr="00A0461D">
        <w:tc>
          <w:tcPr>
            <w:tcW w:w="4162" w:type="pct"/>
            <w:gridSpan w:val="3"/>
            <w:vAlign w:val="center"/>
          </w:tcPr>
          <w:p w14:paraId="42F28368" w14:textId="74B87DE5" w:rsidR="00172C1C" w:rsidRPr="004C54EE" w:rsidRDefault="00172C1C" w:rsidP="00383E2E">
            <w:pPr>
              <w:pStyle w:val="TableText0"/>
              <w:keepLines/>
              <w:rPr>
                <w:rFonts w:ascii="Times" w:hAnsi="Times"/>
                <w:b/>
                <w:bCs w:val="0"/>
              </w:rPr>
            </w:pPr>
            <w:r w:rsidRPr="004C54EE">
              <w:rPr>
                <w:b/>
                <w:bCs w:val="0"/>
              </w:rPr>
              <w:t xml:space="preserve">Incremental cost/ </w:t>
            </w:r>
            <w:r w:rsidR="00520FC8">
              <w:rPr>
                <w:b/>
                <w:bCs w:val="0"/>
              </w:rPr>
              <w:t>QALY</w:t>
            </w:r>
            <w:r w:rsidRPr="004C54EE">
              <w:rPr>
                <w:b/>
                <w:bCs w:val="0"/>
              </w:rPr>
              <w:t xml:space="preserve"> gained</w:t>
            </w:r>
          </w:p>
        </w:tc>
        <w:tc>
          <w:tcPr>
            <w:tcW w:w="838" w:type="pct"/>
            <w:vAlign w:val="center"/>
          </w:tcPr>
          <w:p w14:paraId="6CA7FBAE" w14:textId="08FF5E17" w:rsidR="00172C1C" w:rsidRPr="00B91E69" w:rsidRDefault="00172C1C" w:rsidP="00383E2E">
            <w:pPr>
              <w:pStyle w:val="TableText0"/>
              <w:keepLines/>
              <w:jc w:val="center"/>
              <w:rPr>
                <w:rFonts w:ascii="Times" w:hAnsi="Times"/>
                <w:b/>
                <w:bCs w:val="0"/>
                <w:vertAlign w:val="superscript"/>
              </w:rPr>
            </w:pPr>
            <w:r w:rsidRPr="004C54EE">
              <w:rPr>
                <w:b/>
                <w:bCs w:val="0"/>
              </w:rPr>
              <w:t>$</w:t>
            </w:r>
            <w:r w:rsidR="000A25B4" w:rsidRPr="000A25B4">
              <w:rPr>
                <w:b/>
                <w:bCs w:val="0"/>
                <w:color w:val="000000"/>
                <w:shd w:val="solid" w:color="000000" w:fill="000000"/>
                <w14:textFill>
                  <w14:solidFill>
                    <w14:srgbClr w14:val="000000">
                      <w14:alpha w14:val="100000"/>
                    </w14:srgbClr>
                  </w14:solidFill>
                </w14:textFill>
              </w:rPr>
              <w:t>|</w:t>
            </w:r>
            <w:r w:rsidR="00B91E69">
              <w:rPr>
                <w:b/>
                <w:bCs w:val="0"/>
                <w:vertAlign w:val="superscript"/>
              </w:rPr>
              <w:t>2</w:t>
            </w:r>
          </w:p>
        </w:tc>
      </w:tr>
    </w:tbl>
    <w:p w14:paraId="3C10B601" w14:textId="77777777" w:rsidR="004B182B" w:rsidRDefault="00172C1C" w:rsidP="00383E2E">
      <w:pPr>
        <w:pStyle w:val="TableFigureFooter"/>
        <w:keepNext/>
        <w:keepLines/>
      </w:pPr>
      <w:r w:rsidRPr="004C54EE">
        <w:t xml:space="preserve">Source: Table 79, p181 of the submission. </w:t>
      </w:r>
    </w:p>
    <w:p w14:paraId="5A1DBEAD" w14:textId="5F15A10B" w:rsidR="00172C1C" w:rsidRDefault="00172C1C" w:rsidP="00383E2E">
      <w:pPr>
        <w:pStyle w:val="TableFigureFooter"/>
        <w:keepNext/>
        <w:keepLines/>
      </w:pPr>
      <w:r w:rsidRPr="004C54EE">
        <w:t>LYG = life year gained; QALY = Quality adjusted life-year</w:t>
      </w:r>
    </w:p>
    <w:p w14:paraId="5BCFFD35" w14:textId="4D440FEB" w:rsidR="00DB06CC" w:rsidRDefault="00DB06CC" w:rsidP="00B91E69">
      <w:pPr>
        <w:pStyle w:val="TableFigureFooter"/>
        <w:keepNext/>
        <w:keepLines/>
        <w:spacing w:after="0"/>
      </w:pPr>
      <w:r w:rsidRPr="00DB06CC">
        <w:rPr>
          <w:vertAlign w:val="superscript"/>
        </w:rPr>
        <w:t>a</w:t>
      </w:r>
      <w:r w:rsidRPr="00DB06CC">
        <w:rPr>
          <w:rFonts w:ascii="Trebuchet MS" w:hAnsi="Trebuchet MS"/>
          <w:sz w:val="16"/>
          <w:szCs w:val="16"/>
        </w:rPr>
        <w:t xml:space="preserve"> </w:t>
      </w:r>
      <w:r w:rsidRPr="00DB06CC">
        <w:t xml:space="preserve">Time horizon set to median follow-up of trial of 32.2 months </w:t>
      </w:r>
      <w:r w:rsidR="00B67574">
        <w:t>=</w:t>
      </w:r>
      <w:r w:rsidRPr="00DB06CC">
        <w:t xml:space="preserve"> 2.68 years</w:t>
      </w:r>
    </w:p>
    <w:p w14:paraId="3A5CE8BA" w14:textId="77777777" w:rsidR="00B91E69" w:rsidRPr="009A6D58" w:rsidRDefault="00B91E69" w:rsidP="00B91E6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958FDE4" w14:textId="5152D29A" w:rsidR="00B91E69" w:rsidRPr="009A6D58" w:rsidRDefault="00B91E69" w:rsidP="00B91E6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91E69">
        <w:rPr>
          <w:rFonts w:ascii="Arial Narrow" w:hAnsi="Arial Narrow"/>
          <w:i/>
          <w:sz w:val="18"/>
          <w:szCs w:val="18"/>
        </w:rPr>
        <w:t>$255,000 to &lt; $355,000</w:t>
      </w:r>
    </w:p>
    <w:p w14:paraId="0610D0E6" w14:textId="0503604C" w:rsidR="00B91E69" w:rsidRPr="009A6D58" w:rsidRDefault="00B91E69" w:rsidP="00B91E6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91E69">
        <w:rPr>
          <w:rFonts w:ascii="Arial Narrow" w:hAnsi="Arial Narrow"/>
          <w:i/>
          <w:sz w:val="18"/>
          <w:szCs w:val="18"/>
        </w:rPr>
        <w:t>$</w:t>
      </w:r>
      <w:r>
        <w:rPr>
          <w:rFonts w:ascii="Arial Narrow" w:hAnsi="Arial Narrow"/>
          <w:i/>
          <w:sz w:val="18"/>
          <w:szCs w:val="18"/>
        </w:rPr>
        <w:t>3</w:t>
      </w:r>
      <w:r w:rsidRPr="00B91E69">
        <w:rPr>
          <w:rFonts w:ascii="Arial Narrow" w:hAnsi="Arial Narrow"/>
          <w:i/>
          <w:sz w:val="18"/>
          <w:szCs w:val="18"/>
        </w:rPr>
        <w:t>5,000 to &lt; $</w:t>
      </w:r>
      <w:r>
        <w:rPr>
          <w:rFonts w:ascii="Arial Narrow" w:hAnsi="Arial Narrow"/>
          <w:i/>
          <w:sz w:val="18"/>
          <w:szCs w:val="18"/>
        </w:rPr>
        <w:t>4</w:t>
      </w:r>
      <w:r w:rsidRPr="00B91E69">
        <w:rPr>
          <w:rFonts w:ascii="Arial Narrow" w:hAnsi="Arial Narrow"/>
          <w:i/>
          <w:sz w:val="18"/>
          <w:szCs w:val="18"/>
        </w:rPr>
        <w:t>5,000</w:t>
      </w:r>
    </w:p>
    <w:p w14:paraId="47239020" w14:textId="77777777" w:rsidR="00B91E69" w:rsidRPr="00DB06CC" w:rsidRDefault="00B91E69" w:rsidP="00383E2E">
      <w:pPr>
        <w:pStyle w:val="TableFigureFooter"/>
        <w:keepNext/>
        <w:keepLines/>
        <w:rPr>
          <w:sz w:val="20"/>
        </w:rPr>
      </w:pPr>
    </w:p>
    <w:p w14:paraId="0D2259D4" w14:textId="143C2406" w:rsidR="003E739B" w:rsidRDefault="00A94F69" w:rsidP="00172C1C">
      <w:pPr>
        <w:pStyle w:val="3-BodyText"/>
      </w:pPr>
      <w:bookmarkStart w:id="51" w:name="_Ref103286065"/>
      <w:r>
        <w:t xml:space="preserve">The </w:t>
      </w:r>
      <w:r w:rsidR="002D0E7A">
        <w:t xml:space="preserve">incremental </w:t>
      </w:r>
      <w:r>
        <w:t xml:space="preserve">cost of nivolumab </w:t>
      </w:r>
      <w:r w:rsidR="002D0E7A">
        <w:t>treatment contributed to the largest component of the incremental cost ($</w:t>
      </w:r>
      <w:proofErr w:type="gramStart"/>
      <w:r w:rsidR="000A25B4" w:rsidRPr="00B73889">
        <w:rPr>
          <w:color w:val="000000"/>
          <w:w w:val="15"/>
          <w:shd w:val="solid" w:color="000000" w:fill="000000"/>
          <w:fitText w:val="-20" w:id="-1435755771"/>
          <w14:textFill>
            <w14:solidFill>
              <w14:srgbClr w14:val="000000">
                <w14:alpha w14:val="100000"/>
              </w14:srgbClr>
            </w14:solidFill>
          </w14:textFill>
        </w:rPr>
        <w:t xml:space="preserve">|  </w:t>
      </w:r>
      <w:r w:rsidR="000A25B4" w:rsidRPr="00B73889">
        <w:rPr>
          <w:color w:val="000000"/>
          <w:spacing w:val="-69"/>
          <w:w w:val="15"/>
          <w:shd w:val="solid" w:color="000000" w:fill="000000"/>
          <w:fitText w:val="-20" w:id="-1435755771"/>
          <w14:textFill>
            <w14:solidFill>
              <w14:srgbClr w14:val="000000">
                <w14:alpha w14:val="100000"/>
              </w14:srgbClr>
            </w14:solidFill>
          </w14:textFill>
        </w:rPr>
        <w:t>|</w:t>
      </w:r>
      <w:proofErr w:type="gramEnd"/>
      <w:r w:rsidR="002D0E7A">
        <w:t>, 98% of incremental cost). The incremental QALY gained in the pre-recurrence health state in the nivolumab arm (</w:t>
      </w:r>
      <w:r w:rsidR="00E261F7">
        <w:t>1.</w:t>
      </w:r>
      <w:r w:rsidR="00190BEB">
        <w:t>542</w:t>
      </w:r>
      <w:r w:rsidR="00E261F7">
        <w:t xml:space="preserve">, 105% of incremental QALY gain) </w:t>
      </w:r>
      <w:r w:rsidR="006A1729">
        <w:t>was the largest component of the increm</w:t>
      </w:r>
      <w:r w:rsidR="00417B4C">
        <w:t>e</w:t>
      </w:r>
      <w:r w:rsidR="006A1729">
        <w:t>nt</w:t>
      </w:r>
      <w:r w:rsidR="00417B4C">
        <w:t>a</w:t>
      </w:r>
      <w:r w:rsidR="006A1729">
        <w:t>l QALY</w:t>
      </w:r>
      <w:r w:rsidR="00DE3E7E">
        <w:t>s</w:t>
      </w:r>
      <w:r w:rsidR="006A1729">
        <w:t>, with the post recurrence health state decrement (-0.</w:t>
      </w:r>
      <w:r w:rsidR="00190BEB">
        <w:t>079</w:t>
      </w:r>
      <w:r w:rsidR="006A1729">
        <w:t xml:space="preserve">, </w:t>
      </w:r>
      <w:r w:rsidR="00417B4C">
        <w:t xml:space="preserve">-5% of incremental QALY gain) contributing </w:t>
      </w:r>
      <w:r w:rsidR="00B73B2C">
        <w:t>only a small proportion to the overall incremental QALY</w:t>
      </w:r>
      <w:r w:rsidR="00DE3E7E">
        <w:t>s</w:t>
      </w:r>
      <w:r w:rsidR="00B73B2C">
        <w:t>.</w:t>
      </w:r>
      <w:bookmarkEnd w:id="51"/>
      <w:r w:rsidR="00B73B2C">
        <w:t xml:space="preserve"> </w:t>
      </w:r>
    </w:p>
    <w:p w14:paraId="4D12E066" w14:textId="3CAFADD3" w:rsidR="004D66EE" w:rsidRPr="00285BBC" w:rsidRDefault="00476E2E" w:rsidP="004F4CE5">
      <w:pPr>
        <w:pStyle w:val="3-BodyText"/>
      </w:pPr>
      <w:bookmarkStart w:id="52" w:name="_Ref106782579"/>
      <w:bookmarkStart w:id="53" w:name="_Ref110507279"/>
      <w:r w:rsidRPr="00476E2E">
        <w:t xml:space="preserve">The submission assumed that adjuvant nivolumab would not preclude use of </w:t>
      </w:r>
      <w:r w:rsidR="00F255A7" w:rsidRPr="00925F8E">
        <w:t xml:space="preserve">immunotherapy (assumed to be </w:t>
      </w:r>
      <w:r w:rsidRPr="00925F8E">
        <w:t xml:space="preserve">pembrolizumab plus chemotherapy </w:t>
      </w:r>
      <w:r w:rsidR="00F255A7" w:rsidRPr="00925F8E">
        <w:t>in the submission)</w:t>
      </w:r>
      <w:r w:rsidR="00F255A7">
        <w:t xml:space="preserve"> </w:t>
      </w:r>
      <w:r w:rsidRPr="00476E2E">
        <w:t>in the metastatic setting</w:t>
      </w:r>
      <w:r w:rsidR="009A65BB">
        <w:t xml:space="preserve">. The economic model allowed for a sensitivity </w:t>
      </w:r>
      <w:r w:rsidR="009A65BB">
        <w:lastRenderedPageBreak/>
        <w:t>analysis in which post-recurrence survival from KEYNOTE 590 of pembrolizumab in the metastatic setting was used. A per cycle post-progression mortali</w:t>
      </w:r>
      <w:r w:rsidR="00E73E28">
        <w:t>t</w:t>
      </w:r>
      <w:r w:rsidR="009A65BB">
        <w:t xml:space="preserve">y risk of 0.05 </w:t>
      </w:r>
      <w:r w:rsidR="00E73E28">
        <w:t xml:space="preserve">(based on a </w:t>
      </w:r>
      <w:r w:rsidR="008757DF">
        <w:t>one-year</w:t>
      </w:r>
      <w:r w:rsidR="00E73E28">
        <w:t xml:space="preserve"> survival of 55% repo</w:t>
      </w:r>
      <w:r w:rsidR="00BE48AC">
        <w:t>r</w:t>
      </w:r>
      <w:r w:rsidR="00E73E28">
        <w:t xml:space="preserve">ted in KEYNOTE 590) </w:t>
      </w:r>
      <w:r w:rsidR="009A65BB">
        <w:t>instead of 0.126 in the base case (</w:t>
      </w:r>
      <w:r w:rsidR="00E73E28">
        <w:t xml:space="preserve">based on results </w:t>
      </w:r>
      <w:r w:rsidR="009A65BB">
        <w:t xml:space="preserve">from </w:t>
      </w:r>
      <w:r w:rsidR="00DF65B7">
        <w:t>v</w:t>
      </w:r>
      <w:r w:rsidR="009A65BB">
        <w:t xml:space="preserve">an </w:t>
      </w:r>
      <w:proofErr w:type="spellStart"/>
      <w:r w:rsidR="009A65BB">
        <w:t>Putten</w:t>
      </w:r>
      <w:proofErr w:type="spellEnd"/>
      <w:r w:rsidR="005363E8">
        <w:t xml:space="preserve"> et al</w:t>
      </w:r>
      <w:r w:rsidR="009A65BB">
        <w:t xml:space="preserve"> 2018) was applied to both treatment arms in the model and a total cost of $</w:t>
      </w:r>
      <w:proofErr w:type="gramStart"/>
      <w:r w:rsidR="000A25B4" w:rsidRPr="00B73889">
        <w:rPr>
          <w:color w:val="000000"/>
          <w:w w:val="15"/>
          <w:shd w:val="solid" w:color="000000" w:fill="000000"/>
          <w:fitText w:val="-20" w:id="-1435755770"/>
          <w14:textFill>
            <w14:solidFill>
              <w14:srgbClr w14:val="000000">
                <w14:alpha w14:val="100000"/>
              </w14:srgbClr>
            </w14:solidFill>
          </w14:textFill>
        </w:rPr>
        <w:t xml:space="preserve">|  </w:t>
      </w:r>
      <w:r w:rsidR="000A25B4" w:rsidRPr="00B73889">
        <w:rPr>
          <w:color w:val="000000"/>
          <w:spacing w:val="-69"/>
          <w:w w:val="15"/>
          <w:shd w:val="solid" w:color="000000" w:fill="000000"/>
          <w:fitText w:val="-20" w:id="-1435755770"/>
          <w14:textFill>
            <w14:solidFill>
              <w14:srgbClr w14:val="000000">
                <w14:alpha w14:val="100000"/>
              </w14:srgbClr>
            </w14:solidFill>
          </w14:textFill>
        </w:rPr>
        <w:t>|</w:t>
      </w:r>
      <w:proofErr w:type="gramEnd"/>
      <w:r w:rsidR="00AE2537">
        <w:rPr>
          <w:rStyle w:val="FootnoteReference"/>
        </w:rPr>
        <w:footnoteReference w:id="16"/>
      </w:r>
      <w:r w:rsidR="009A65BB">
        <w:t xml:space="preserve"> was also applied</w:t>
      </w:r>
      <w:r w:rsidR="00E73E28">
        <w:t xml:space="preserve"> for each recurrence</w:t>
      </w:r>
      <w:r w:rsidR="009A65BB" w:rsidRPr="00925F8E">
        <w:t>.</w:t>
      </w:r>
      <w:r w:rsidR="00E73E28" w:rsidRPr="00925F8E">
        <w:t xml:space="preserve"> </w:t>
      </w:r>
      <w:r w:rsidR="00AC1757" w:rsidRPr="00925F8E">
        <w:t xml:space="preserve">The ESC noted this sensitivity analysis should include the use of immunotherapy in the metastatic setting in the standard care arm only to better reflect </w:t>
      </w:r>
      <w:r w:rsidR="000D10A7" w:rsidRPr="00925F8E">
        <w:t xml:space="preserve">likely </w:t>
      </w:r>
      <w:r w:rsidR="00AC1757" w:rsidRPr="00925F8E">
        <w:t>Australian clinical practice</w:t>
      </w:r>
      <w:r w:rsidR="000D10A7" w:rsidRPr="00925F8E">
        <w:t xml:space="preserve"> (as discussed in paragraph </w:t>
      </w:r>
      <w:r w:rsidR="000D10A7" w:rsidRPr="00925F8E">
        <w:fldChar w:fldCharType="begin"/>
      </w:r>
      <w:r w:rsidR="000D10A7" w:rsidRPr="00925F8E">
        <w:instrText xml:space="preserve"> REF _Ref106740905 \r \h  \* MERGEFORMAT </w:instrText>
      </w:r>
      <w:r w:rsidR="000D10A7" w:rsidRPr="00925F8E">
        <w:fldChar w:fldCharType="separate"/>
      </w:r>
      <w:r w:rsidR="00267758">
        <w:t>6.21</w:t>
      </w:r>
      <w:r w:rsidR="000D10A7" w:rsidRPr="00925F8E">
        <w:fldChar w:fldCharType="end"/>
      </w:r>
      <w:r w:rsidR="000D10A7" w:rsidRPr="00925F8E">
        <w:t>)</w:t>
      </w:r>
      <w:r w:rsidR="00AC1757" w:rsidRPr="00925F8E">
        <w:t>.</w:t>
      </w:r>
      <w:bookmarkEnd w:id="52"/>
      <w:r w:rsidR="00AC1757" w:rsidRPr="00925F8E">
        <w:t xml:space="preserve"> </w:t>
      </w:r>
      <w:r w:rsidR="000F47E1">
        <w:t xml:space="preserve"> </w:t>
      </w:r>
      <w:r w:rsidR="00DF4588">
        <w:t xml:space="preserve">The PBAC noted that the </w:t>
      </w:r>
      <w:r w:rsidR="00FC144B">
        <w:t>cost</w:t>
      </w:r>
      <w:r w:rsidR="00DF4588">
        <w:t xml:space="preserve"> applied to </w:t>
      </w:r>
      <w:r w:rsidR="00FC144B">
        <w:t>this</w:t>
      </w:r>
      <w:r w:rsidR="00DF4588">
        <w:t xml:space="preserve"> sensitivity analysis was substantially higher than </w:t>
      </w:r>
      <w:r w:rsidR="00FC144B">
        <w:t>the</w:t>
      </w:r>
      <w:r w:rsidR="00DF4588">
        <w:t xml:space="preserve"> </w:t>
      </w:r>
      <w:r w:rsidR="001746DA">
        <w:t xml:space="preserve">recommended </w:t>
      </w:r>
      <w:r w:rsidR="00D67016">
        <w:t xml:space="preserve">cost per patient </w:t>
      </w:r>
      <w:r w:rsidR="00BB7915">
        <w:t>for</w:t>
      </w:r>
      <w:r w:rsidR="001746DA">
        <w:t xml:space="preserve"> nivolumab in the advanced/metastatic setting</w:t>
      </w:r>
      <w:r w:rsidR="00FC144B">
        <w:t xml:space="preserve">. Further to this, the </w:t>
      </w:r>
      <w:r w:rsidR="00FC144B">
        <w:rPr>
          <w:lang w:val="en-GB"/>
        </w:rPr>
        <w:t>PBAC advised</w:t>
      </w:r>
      <w:r w:rsidR="001A5191">
        <w:rPr>
          <w:lang w:val="en-GB"/>
        </w:rPr>
        <w:t xml:space="preserve"> that immunotherapy</w:t>
      </w:r>
      <w:r w:rsidR="00FC144B" w:rsidRPr="00925F8E">
        <w:t xml:space="preserve"> should be restricted to one course of treatment per lifetime </w:t>
      </w:r>
      <w:r w:rsidR="00FC144B">
        <w:t>for OC and GOJC (see paragraph</w:t>
      </w:r>
      <w:r w:rsidR="00E053BF">
        <w:t xml:space="preserve"> </w:t>
      </w:r>
      <w:r w:rsidR="00FC144B">
        <w:fldChar w:fldCharType="begin"/>
      </w:r>
      <w:r w:rsidR="00FC144B">
        <w:instrText xml:space="preserve"> REF _Ref110494306 \r \h </w:instrText>
      </w:r>
      <w:r w:rsidR="00FC144B">
        <w:fldChar w:fldCharType="separate"/>
      </w:r>
      <w:r w:rsidR="00267758">
        <w:t>7.4</w:t>
      </w:r>
      <w:r w:rsidR="00FC144B">
        <w:fldChar w:fldCharType="end"/>
      </w:r>
      <w:r w:rsidR="00FC144B">
        <w:t>), and therefore considered</w:t>
      </w:r>
      <w:r w:rsidR="0089438A">
        <w:t xml:space="preserve"> that</w:t>
      </w:r>
      <w:r w:rsidR="00FC144B">
        <w:t xml:space="preserve"> the sensitivity analysis </w:t>
      </w:r>
      <w:r w:rsidR="0089438A">
        <w:t xml:space="preserve">was </w:t>
      </w:r>
      <w:r w:rsidR="00FC144B">
        <w:t>not informative.</w:t>
      </w:r>
      <w:bookmarkEnd w:id="53"/>
    </w:p>
    <w:p w14:paraId="4228D71A" w14:textId="16802C0F" w:rsidR="00172C1C" w:rsidRPr="00D23D11" w:rsidRDefault="00E73E28" w:rsidP="00263BD0">
      <w:pPr>
        <w:pStyle w:val="3-BodyText"/>
      </w:pPr>
      <w:r w:rsidRPr="00D23D11">
        <w:t xml:space="preserve">The results of key </w:t>
      </w:r>
      <w:r>
        <w:t xml:space="preserve">univariate and multivariate </w:t>
      </w:r>
      <w:r w:rsidRPr="00D23D11">
        <w:t xml:space="preserve">sensitivity analyses are summarised </w:t>
      </w:r>
      <w:r>
        <w:t xml:space="preserve">in </w:t>
      </w:r>
      <w:r w:rsidRPr="00FE3EA5">
        <w:fldChar w:fldCharType="begin"/>
      </w:r>
      <w:r w:rsidRPr="00FE3EA5">
        <w:instrText xml:space="preserve"> REF _Ref100834628 \h </w:instrText>
      </w:r>
      <w:r>
        <w:instrText xml:space="preserve"> \* MERGEFORMAT </w:instrText>
      </w:r>
      <w:r w:rsidRPr="00FE3EA5">
        <w:fldChar w:fldCharType="separate"/>
      </w:r>
      <w:r w:rsidR="00267758" w:rsidRPr="00267758">
        <w:t>Table 12</w:t>
      </w:r>
      <w:r w:rsidRPr="00FE3EA5">
        <w:fldChar w:fldCharType="end"/>
      </w:r>
      <w:r>
        <w:t>.</w:t>
      </w:r>
    </w:p>
    <w:p w14:paraId="33D0DBA2" w14:textId="4A11B5C2" w:rsidR="00172C1C" w:rsidRPr="004C54EE" w:rsidRDefault="00172C1C" w:rsidP="00680C01">
      <w:pPr>
        <w:pStyle w:val="TableFigureHeading"/>
        <w:keepLines/>
        <w:rPr>
          <w:rStyle w:val="CommentReference"/>
          <w:b/>
          <w:szCs w:val="24"/>
        </w:rPr>
      </w:pPr>
      <w:bookmarkStart w:id="54" w:name="_Ref100834628"/>
      <w:r w:rsidRPr="00ED1761">
        <w:rPr>
          <w:rStyle w:val="CommentReference"/>
          <w:b/>
          <w:bCs w:val="0"/>
        </w:rPr>
        <w:lastRenderedPageBreak/>
        <w:t>Table</w:t>
      </w:r>
      <w:r w:rsidRPr="00BB732D">
        <w:rPr>
          <w:rStyle w:val="CommentReference"/>
        </w:rPr>
        <w:t xml:space="preserve"> </w:t>
      </w:r>
      <w:r w:rsidRPr="00375D9E">
        <w:rPr>
          <w:rStyle w:val="TableFigureHeadingChar"/>
          <w:b/>
          <w:bCs/>
          <w:szCs w:val="20"/>
        </w:rPr>
        <w:fldChar w:fldCharType="begin"/>
      </w:r>
      <w:r w:rsidRPr="00375D9E">
        <w:rPr>
          <w:rStyle w:val="TableFigureHeadingChar"/>
          <w:b/>
          <w:bCs/>
          <w:szCs w:val="20"/>
        </w:rPr>
        <w:instrText xml:space="preserve"> SEQ Table \* MERGEFORMAT </w:instrText>
      </w:r>
      <w:r w:rsidRPr="00375D9E">
        <w:rPr>
          <w:rStyle w:val="TableFigureHeadingChar"/>
          <w:b/>
          <w:bCs/>
          <w:szCs w:val="20"/>
        </w:rPr>
        <w:fldChar w:fldCharType="separate"/>
      </w:r>
      <w:r w:rsidR="00267758">
        <w:rPr>
          <w:rStyle w:val="TableFigureHeadingChar"/>
          <w:b/>
          <w:bCs/>
          <w:noProof/>
          <w:szCs w:val="20"/>
        </w:rPr>
        <w:t>12</w:t>
      </w:r>
      <w:r w:rsidRPr="00375D9E">
        <w:rPr>
          <w:rStyle w:val="TableFigureHeadingChar"/>
          <w:b/>
          <w:bCs/>
          <w:szCs w:val="20"/>
        </w:rPr>
        <w:fldChar w:fldCharType="end"/>
      </w:r>
      <w:bookmarkEnd w:id="54"/>
      <w:r w:rsidRPr="00BB732D">
        <w:rPr>
          <w:rStyle w:val="CommentReference"/>
        </w:rPr>
        <w:t xml:space="preserve">: </w:t>
      </w:r>
      <w:r w:rsidRPr="00FE3EA5">
        <w:rPr>
          <w:rStyle w:val="CommentReference"/>
          <w:b/>
          <w:bCs w:val="0"/>
          <w:szCs w:val="24"/>
        </w:rPr>
        <w:t>Results of sensitivity analyses</w:t>
      </w:r>
      <w:r w:rsidR="00263BD0">
        <w:rPr>
          <w:rStyle w:val="CommentReference"/>
          <w:b/>
          <w:bCs w:val="0"/>
          <w:szCs w:val="24"/>
        </w:rPr>
        <w:t xml:space="preserve"> </w:t>
      </w:r>
      <w:r w:rsidR="00263BD0" w:rsidRPr="00263BD0">
        <w:rPr>
          <w:rStyle w:val="CommentReference"/>
          <w:b/>
          <w:bCs w:val="0"/>
          <w:szCs w:val="24"/>
        </w:rPr>
        <w:t xml:space="preserve">  </w:t>
      </w:r>
      <w:r w:rsidR="00263BD0">
        <w:rPr>
          <w:iCs/>
        </w:rPr>
        <w:t xml:space="preserve"> </w:t>
      </w: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127"/>
        <w:gridCol w:w="279"/>
        <w:gridCol w:w="997"/>
        <w:gridCol w:w="1276"/>
        <w:gridCol w:w="993"/>
        <w:gridCol w:w="1123"/>
      </w:tblGrid>
      <w:tr w:rsidR="00F526CB" w:rsidRPr="004C54EE" w14:paraId="2B427C5C" w14:textId="77777777" w:rsidTr="00680C01">
        <w:trPr>
          <w:tblHeader/>
        </w:trPr>
        <w:tc>
          <w:tcPr>
            <w:tcW w:w="2340" w:type="pct"/>
            <w:gridSpan w:val="2"/>
            <w:vAlign w:val="center"/>
          </w:tcPr>
          <w:p w14:paraId="6E86B1DC" w14:textId="77777777" w:rsidR="00172C1C" w:rsidRPr="004C54EE" w:rsidRDefault="00172C1C" w:rsidP="00680C01">
            <w:pPr>
              <w:pStyle w:val="In-tableHeading"/>
              <w:keepLines/>
              <w:rPr>
                <w:lang w:val="en-AU"/>
              </w:rPr>
            </w:pPr>
            <w:r w:rsidRPr="004C54EE">
              <w:rPr>
                <w:lang w:val="en-AU"/>
              </w:rPr>
              <w:t>Analyses</w:t>
            </w:r>
          </w:p>
        </w:tc>
        <w:tc>
          <w:tcPr>
            <w:tcW w:w="727" w:type="pct"/>
            <w:gridSpan w:val="2"/>
            <w:vAlign w:val="center"/>
          </w:tcPr>
          <w:p w14:paraId="40624739" w14:textId="77777777" w:rsidR="00172C1C" w:rsidRPr="004C54EE" w:rsidRDefault="00172C1C" w:rsidP="00680C01">
            <w:pPr>
              <w:pStyle w:val="In-tableHeading"/>
              <w:keepLines/>
              <w:jc w:val="center"/>
              <w:rPr>
                <w:lang w:val="en-AU"/>
              </w:rPr>
            </w:pPr>
            <w:r w:rsidRPr="004C54EE">
              <w:rPr>
                <w:lang w:val="en-AU"/>
              </w:rPr>
              <w:t>Incremental cost</w:t>
            </w:r>
          </w:p>
        </w:tc>
        <w:tc>
          <w:tcPr>
            <w:tcW w:w="727" w:type="pct"/>
            <w:vAlign w:val="center"/>
          </w:tcPr>
          <w:p w14:paraId="15532AC1" w14:textId="77777777" w:rsidR="00172C1C" w:rsidRPr="004C54EE" w:rsidRDefault="00172C1C" w:rsidP="00680C01">
            <w:pPr>
              <w:pStyle w:val="In-tableHeading"/>
              <w:keepLines/>
              <w:jc w:val="center"/>
              <w:rPr>
                <w:lang w:val="en-AU"/>
              </w:rPr>
            </w:pPr>
            <w:r w:rsidRPr="004C54EE">
              <w:rPr>
                <w:lang w:val="en-AU"/>
              </w:rPr>
              <w:t>Incremental QALY</w:t>
            </w:r>
          </w:p>
        </w:tc>
        <w:tc>
          <w:tcPr>
            <w:tcW w:w="566" w:type="pct"/>
            <w:vAlign w:val="center"/>
          </w:tcPr>
          <w:p w14:paraId="329BE7CF" w14:textId="77777777" w:rsidR="00172C1C" w:rsidRPr="004C54EE" w:rsidRDefault="00172C1C" w:rsidP="00680C01">
            <w:pPr>
              <w:pStyle w:val="In-tableHeading"/>
              <w:keepLines/>
              <w:jc w:val="center"/>
              <w:rPr>
                <w:lang w:val="en-AU"/>
              </w:rPr>
            </w:pPr>
            <w:r w:rsidRPr="004C54EE">
              <w:rPr>
                <w:lang w:val="en-AU"/>
              </w:rPr>
              <w:t>ICER</w:t>
            </w:r>
          </w:p>
        </w:tc>
        <w:tc>
          <w:tcPr>
            <w:tcW w:w="640" w:type="pct"/>
            <w:vAlign w:val="center"/>
          </w:tcPr>
          <w:p w14:paraId="2218C4CC" w14:textId="77777777" w:rsidR="00172C1C" w:rsidRPr="004C54EE" w:rsidRDefault="00172C1C" w:rsidP="00680C01">
            <w:pPr>
              <w:pStyle w:val="In-tableHeading"/>
              <w:keepLines/>
              <w:jc w:val="center"/>
              <w:rPr>
                <w:lang w:val="en-AU"/>
              </w:rPr>
            </w:pPr>
            <w:r w:rsidRPr="004C54EE">
              <w:rPr>
                <w:lang w:val="en-AU"/>
              </w:rPr>
              <w:t>% Change in ICER from BC</w:t>
            </w:r>
          </w:p>
        </w:tc>
      </w:tr>
      <w:tr w:rsidR="00F526CB" w:rsidRPr="004C54EE" w14:paraId="534EF780" w14:textId="77777777" w:rsidTr="00680C01">
        <w:tc>
          <w:tcPr>
            <w:tcW w:w="2340" w:type="pct"/>
            <w:gridSpan w:val="2"/>
            <w:vAlign w:val="center"/>
          </w:tcPr>
          <w:p w14:paraId="30A99C61" w14:textId="77777777" w:rsidR="00172C1C" w:rsidRPr="004C54EE" w:rsidRDefault="00172C1C" w:rsidP="00680C01">
            <w:pPr>
              <w:pStyle w:val="TableText0"/>
              <w:keepLines/>
              <w:rPr>
                <w:b/>
              </w:rPr>
            </w:pPr>
            <w:r w:rsidRPr="004C54EE">
              <w:rPr>
                <w:b/>
              </w:rPr>
              <w:t>Base case</w:t>
            </w:r>
          </w:p>
        </w:tc>
        <w:tc>
          <w:tcPr>
            <w:tcW w:w="727" w:type="pct"/>
            <w:gridSpan w:val="2"/>
          </w:tcPr>
          <w:p w14:paraId="75E10F99" w14:textId="28AB4582" w:rsidR="00172C1C" w:rsidRPr="004C54EE" w:rsidRDefault="00172C1C" w:rsidP="00680C01">
            <w:pPr>
              <w:pStyle w:val="TableText0"/>
              <w:keepLines/>
              <w:jc w:val="center"/>
              <w:rPr>
                <w:b/>
                <w:bCs w:val="0"/>
              </w:rPr>
            </w:pPr>
            <w:r w:rsidRPr="004C54EE">
              <w:rPr>
                <w:b/>
                <w:bCs w:val="0"/>
              </w:rPr>
              <w:t>$</w:t>
            </w:r>
            <w:r w:rsidR="000A25B4" w:rsidRPr="000A25B4">
              <w:rPr>
                <w:rFonts w:hint="eastAsia"/>
                <w:b/>
                <w:bCs w:val="0"/>
                <w:color w:val="000000"/>
                <w:w w:val="22"/>
                <w:shd w:val="solid" w:color="000000" w:fill="000000"/>
                <w:fitText w:val="100" w:id="-1435755769"/>
                <w14:textFill>
                  <w14:solidFill>
                    <w14:srgbClr w14:val="000000">
                      <w14:alpha w14:val="100000"/>
                    </w14:srgbClr>
                  </w14:solidFill>
                </w14:textFill>
              </w:rPr>
              <w:t xml:space="preserve">　</w:t>
            </w:r>
            <w:r w:rsidR="000A25B4" w:rsidRPr="000A25B4">
              <w:rPr>
                <w:b/>
                <w:bCs w:val="0"/>
                <w:color w:val="000000"/>
                <w:w w:val="22"/>
                <w:shd w:val="solid" w:color="000000" w:fill="000000"/>
                <w:fitText w:val="100" w:id="-1435755769"/>
                <w14:textFill>
                  <w14:solidFill>
                    <w14:srgbClr w14:val="000000">
                      <w14:alpha w14:val="100000"/>
                    </w14:srgbClr>
                  </w14:solidFill>
                </w14:textFill>
              </w:rPr>
              <w:t>|</w:t>
            </w:r>
            <w:r w:rsidR="000A25B4" w:rsidRPr="000A25B4">
              <w:rPr>
                <w:rFonts w:hint="eastAsia"/>
                <w:b/>
                <w:bCs w:val="0"/>
                <w:color w:val="000000"/>
                <w:spacing w:val="2"/>
                <w:w w:val="22"/>
                <w:shd w:val="solid" w:color="000000" w:fill="000000"/>
                <w:fitText w:val="100" w:id="-1435755769"/>
                <w14:textFill>
                  <w14:solidFill>
                    <w14:srgbClr w14:val="000000">
                      <w14:alpha w14:val="100000"/>
                    </w14:srgbClr>
                  </w14:solidFill>
                </w14:textFill>
              </w:rPr>
              <w:t xml:space="preserve">　</w:t>
            </w:r>
          </w:p>
        </w:tc>
        <w:tc>
          <w:tcPr>
            <w:tcW w:w="727" w:type="pct"/>
          </w:tcPr>
          <w:p w14:paraId="56206308" w14:textId="77777777" w:rsidR="00172C1C" w:rsidRPr="004C54EE" w:rsidRDefault="00172C1C" w:rsidP="00680C01">
            <w:pPr>
              <w:pStyle w:val="TableText0"/>
              <w:keepLines/>
              <w:jc w:val="center"/>
              <w:rPr>
                <w:b/>
                <w:bCs w:val="0"/>
              </w:rPr>
            </w:pPr>
            <w:r w:rsidRPr="004C54EE">
              <w:rPr>
                <w:rFonts w:cs="Arial"/>
                <w:b/>
                <w:bCs w:val="0"/>
              </w:rPr>
              <w:t>1.463</w:t>
            </w:r>
          </w:p>
        </w:tc>
        <w:tc>
          <w:tcPr>
            <w:tcW w:w="566" w:type="pct"/>
          </w:tcPr>
          <w:p w14:paraId="33840CE3" w14:textId="78105B4D" w:rsidR="00172C1C" w:rsidRPr="00B91E69" w:rsidRDefault="00172C1C" w:rsidP="00680C01">
            <w:pPr>
              <w:pStyle w:val="TableText0"/>
              <w:keepLines/>
              <w:jc w:val="center"/>
              <w:rPr>
                <w:b/>
                <w:vertAlign w:val="superscript"/>
              </w:rPr>
            </w:pPr>
            <w:r w:rsidRPr="004C54EE">
              <w:rPr>
                <w:b/>
                <w:bCs w:val="0"/>
              </w:rPr>
              <w:t>$</w:t>
            </w:r>
            <w:r w:rsidR="000A25B4" w:rsidRPr="000A25B4">
              <w:rPr>
                <w:b/>
                <w:bCs w:val="0"/>
                <w:color w:val="000000"/>
                <w:spacing w:val="184"/>
                <w:shd w:val="solid" w:color="000000" w:fill="000000"/>
                <w:fitText w:val="276" w:id="-1435755768"/>
                <w14:textFill>
                  <w14:solidFill>
                    <w14:srgbClr w14:val="000000">
                      <w14:alpha w14:val="100000"/>
                    </w14:srgbClr>
                  </w14:solidFill>
                </w14:textFill>
              </w:rPr>
              <w:t>|</w:t>
            </w:r>
            <w:r w:rsidR="000A25B4" w:rsidRPr="000A25B4">
              <w:rPr>
                <w:b/>
                <w:bCs w:val="0"/>
                <w:color w:val="000000"/>
                <w:spacing w:val="1"/>
                <w:shd w:val="solid" w:color="000000" w:fill="000000"/>
                <w:fitText w:val="276" w:id="-1435755768"/>
                <w14:textFill>
                  <w14:solidFill>
                    <w14:srgbClr w14:val="000000">
                      <w14:alpha w14:val="100000"/>
                    </w14:srgbClr>
                  </w14:solidFill>
                </w14:textFill>
              </w:rPr>
              <w:t>|</w:t>
            </w:r>
            <w:r w:rsidR="00B91E69">
              <w:rPr>
                <w:b/>
                <w:bCs w:val="0"/>
                <w:vertAlign w:val="superscript"/>
              </w:rPr>
              <w:t>1</w:t>
            </w:r>
          </w:p>
        </w:tc>
        <w:tc>
          <w:tcPr>
            <w:tcW w:w="640" w:type="pct"/>
          </w:tcPr>
          <w:p w14:paraId="6BEF3847" w14:textId="77777777" w:rsidR="00172C1C" w:rsidRPr="004C54EE" w:rsidRDefault="00172C1C" w:rsidP="00680C01">
            <w:pPr>
              <w:pStyle w:val="TableText0"/>
              <w:keepLines/>
              <w:jc w:val="center"/>
              <w:rPr>
                <w:b/>
                <w:bCs w:val="0"/>
              </w:rPr>
            </w:pPr>
            <w:r>
              <w:rPr>
                <w:b/>
                <w:bCs w:val="0"/>
              </w:rPr>
              <w:t>-</w:t>
            </w:r>
          </w:p>
        </w:tc>
      </w:tr>
      <w:tr w:rsidR="00712F3B" w:rsidRPr="004C54EE" w14:paraId="370EAFC6" w14:textId="77777777" w:rsidTr="000D10A7">
        <w:tc>
          <w:tcPr>
            <w:tcW w:w="1128" w:type="pct"/>
            <w:vMerge w:val="restart"/>
            <w:vAlign w:val="center"/>
          </w:tcPr>
          <w:p w14:paraId="50B9C657" w14:textId="7887C68C" w:rsidR="00712F3B" w:rsidRPr="00925F8E" w:rsidRDefault="00712F3B" w:rsidP="00377BBF">
            <w:pPr>
              <w:pStyle w:val="TableText0"/>
              <w:keepLines/>
            </w:pPr>
            <w:r w:rsidRPr="00925F8E">
              <w:t>Discount rate (5% in BC)</w:t>
            </w:r>
          </w:p>
        </w:tc>
        <w:tc>
          <w:tcPr>
            <w:tcW w:w="1212" w:type="pct"/>
            <w:vAlign w:val="center"/>
          </w:tcPr>
          <w:p w14:paraId="01FAD738" w14:textId="0BD8EACA" w:rsidR="00712F3B" w:rsidRPr="00925F8E" w:rsidRDefault="00712F3B" w:rsidP="00377BBF">
            <w:pPr>
              <w:pStyle w:val="TableText0"/>
              <w:keepLines/>
            </w:pPr>
            <w:r w:rsidRPr="00925F8E">
              <w:t>3.5%</w:t>
            </w:r>
          </w:p>
        </w:tc>
        <w:tc>
          <w:tcPr>
            <w:tcW w:w="727" w:type="pct"/>
            <w:gridSpan w:val="2"/>
            <w:vAlign w:val="center"/>
          </w:tcPr>
          <w:p w14:paraId="0F1F2A22" w14:textId="69DD16E4" w:rsidR="00712F3B" w:rsidRPr="00925F8E" w:rsidRDefault="00712F3B" w:rsidP="00377BBF">
            <w:pPr>
              <w:pStyle w:val="TableText0"/>
              <w:keepLines/>
              <w:jc w:val="center"/>
            </w:pPr>
            <w:r w:rsidRPr="00925F8E">
              <w:t>$</w:t>
            </w:r>
            <w:r w:rsidR="000A25B4" w:rsidRPr="000A25B4">
              <w:rPr>
                <w:rFonts w:hint="eastAsia"/>
                <w:color w:val="000000"/>
                <w:w w:val="15"/>
                <w:shd w:val="solid" w:color="000000" w:fill="000000"/>
                <w:fitText w:val="63" w:id="-1435755767"/>
                <w14:textFill>
                  <w14:solidFill>
                    <w14:srgbClr w14:val="000000">
                      <w14:alpha w14:val="100000"/>
                    </w14:srgbClr>
                  </w14:solidFill>
                </w14:textFill>
              </w:rPr>
              <w:t xml:space="preserve">　</w:t>
            </w:r>
            <w:r w:rsidR="000A25B4" w:rsidRPr="000A25B4">
              <w:rPr>
                <w:color w:val="000000"/>
                <w:w w:val="15"/>
                <w:shd w:val="solid" w:color="000000" w:fill="000000"/>
                <w:fitText w:val="63" w:id="-1435755767"/>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7"/>
                <w14:textFill>
                  <w14:solidFill>
                    <w14:srgbClr w14:val="000000">
                      <w14:alpha w14:val="100000"/>
                    </w14:srgbClr>
                  </w14:solidFill>
                </w14:textFill>
              </w:rPr>
              <w:t xml:space="preserve">　</w:t>
            </w:r>
          </w:p>
        </w:tc>
        <w:tc>
          <w:tcPr>
            <w:tcW w:w="727" w:type="pct"/>
            <w:vAlign w:val="center"/>
          </w:tcPr>
          <w:p w14:paraId="39A002F7" w14:textId="627D9DA9" w:rsidR="00712F3B" w:rsidRPr="00925F8E" w:rsidRDefault="00712F3B" w:rsidP="00377BBF">
            <w:pPr>
              <w:pStyle w:val="TableText0"/>
              <w:keepLines/>
              <w:jc w:val="center"/>
            </w:pPr>
            <w:r w:rsidRPr="00925F8E">
              <w:t>1.679</w:t>
            </w:r>
          </w:p>
        </w:tc>
        <w:tc>
          <w:tcPr>
            <w:tcW w:w="566" w:type="pct"/>
            <w:vAlign w:val="center"/>
          </w:tcPr>
          <w:p w14:paraId="4A9E9971" w14:textId="2F90F4A2" w:rsidR="00712F3B" w:rsidRPr="00925F8E" w:rsidRDefault="00712F3B" w:rsidP="00377BBF">
            <w:pPr>
              <w:pStyle w:val="TableText0"/>
              <w:keepLines/>
              <w:jc w:val="center"/>
            </w:pPr>
            <w:r w:rsidRPr="00925F8E">
              <w:t>$</w:t>
            </w:r>
            <w:r w:rsidR="000A25B4" w:rsidRPr="000A25B4">
              <w:rPr>
                <w:color w:val="000000"/>
                <w:spacing w:val="48"/>
                <w:shd w:val="solid" w:color="000000" w:fill="000000"/>
                <w:fitText w:val="225" w:id="-1435755766"/>
                <w14:textFill>
                  <w14:solidFill>
                    <w14:srgbClr w14:val="000000">
                      <w14:alpha w14:val="100000"/>
                    </w14:srgbClr>
                  </w14:solidFill>
                </w14:textFill>
              </w:rPr>
              <w:t>||</w:t>
            </w:r>
            <w:r w:rsidR="000A25B4" w:rsidRPr="000A25B4">
              <w:rPr>
                <w:color w:val="000000"/>
                <w:spacing w:val="2"/>
                <w:shd w:val="solid" w:color="000000" w:fill="000000"/>
                <w:fitText w:val="225" w:id="-1435755766"/>
                <w14:textFill>
                  <w14:solidFill>
                    <w14:srgbClr w14:val="000000">
                      <w14:alpha w14:val="100000"/>
                    </w14:srgbClr>
                  </w14:solidFill>
                </w14:textFill>
              </w:rPr>
              <w:t>|</w:t>
            </w:r>
            <w:r w:rsidR="004E4E89">
              <w:rPr>
                <w:b/>
                <w:bCs w:val="0"/>
                <w:vertAlign w:val="superscript"/>
              </w:rPr>
              <w:t>2</w:t>
            </w:r>
          </w:p>
        </w:tc>
        <w:tc>
          <w:tcPr>
            <w:tcW w:w="640" w:type="pct"/>
            <w:vAlign w:val="center"/>
          </w:tcPr>
          <w:p w14:paraId="41716A7A" w14:textId="5B3BFEA7" w:rsidR="00712F3B" w:rsidRPr="00925F8E" w:rsidRDefault="00712F3B" w:rsidP="00377BBF">
            <w:pPr>
              <w:pStyle w:val="TableText0"/>
              <w:keepLines/>
              <w:jc w:val="center"/>
            </w:pPr>
            <w:r w:rsidRPr="00925F8E">
              <w:t>-12.6%</w:t>
            </w:r>
          </w:p>
        </w:tc>
      </w:tr>
      <w:tr w:rsidR="00712F3B" w:rsidRPr="004C54EE" w14:paraId="2D35FABA" w14:textId="77777777" w:rsidTr="000D10A7">
        <w:tc>
          <w:tcPr>
            <w:tcW w:w="1128" w:type="pct"/>
            <w:vMerge/>
            <w:vAlign w:val="center"/>
          </w:tcPr>
          <w:p w14:paraId="09BBCB08" w14:textId="77777777" w:rsidR="00712F3B" w:rsidRPr="00925F8E" w:rsidRDefault="00712F3B" w:rsidP="00377BBF">
            <w:pPr>
              <w:pStyle w:val="TableText0"/>
              <w:keepLines/>
            </w:pPr>
          </w:p>
        </w:tc>
        <w:tc>
          <w:tcPr>
            <w:tcW w:w="1212" w:type="pct"/>
            <w:shd w:val="clear" w:color="auto" w:fill="auto"/>
            <w:vAlign w:val="center"/>
          </w:tcPr>
          <w:p w14:paraId="0468962D" w14:textId="70A1D759" w:rsidR="00712F3B" w:rsidRPr="00925F8E" w:rsidRDefault="00712F3B" w:rsidP="00377BBF">
            <w:pPr>
              <w:pStyle w:val="TableText0"/>
              <w:keepLines/>
            </w:pPr>
            <w:r w:rsidRPr="00925F8E">
              <w:t>0%</w:t>
            </w:r>
          </w:p>
        </w:tc>
        <w:tc>
          <w:tcPr>
            <w:tcW w:w="727" w:type="pct"/>
            <w:gridSpan w:val="2"/>
            <w:shd w:val="clear" w:color="auto" w:fill="auto"/>
            <w:vAlign w:val="center"/>
          </w:tcPr>
          <w:p w14:paraId="3B55EC87" w14:textId="54F96512" w:rsidR="00712F3B" w:rsidRPr="00925F8E" w:rsidRDefault="00712F3B" w:rsidP="00377BBF">
            <w:pPr>
              <w:pStyle w:val="TableText0"/>
              <w:keepLines/>
              <w:jc w:val="center"/>
            </w:pPr>
            <w:r w:rsidRPr="00925F8E">
              <w:t>$</w:t>
            </w:r>
            <w:r w:rsidR="000A25B4" w:rsidRPr="000A25B4">
              <w:rPr>
                <w:rFonts w:hint="eastAsia"/>
                <w:color w:val="000000"/>
                <w:w w:val="15"/>
                <w:shd w:val="solid" w:color="000000" w:fill="000000"/>
                <w:fitText w:val="63" w:id="-1435755765"/>
                <w14:textFill>
                  <w14:solidFill>
                    <w14:srgbClr w14:val="000000">
                      <w14:alpha w14:val="100000"/>
                    </w14:srgbClr>
                  </w14:solidFill>
                </w14:textFill>
              </w:rPr>
              <w:t xml:space="preserve">　</w:t>
            </w:r>
            <w:r w:rsidR="000A25B4" w:rsidRPr="000A25B4">
              <w:rPr>
                <w:color w:val="000000"/>
                <w:w w:val="15"/>
                <w:shd w:val="solid" w:color="000000" w:fill="000000"/>
                <w:fitText w:val="63" w:id="-1435755765"/>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5"/>
                <w14:textFill>
                  <w14:solidFill>
                    <w14:srgbClr w14:val="000000">
                      <w14:alpha w14:val="100000"/>
                    </w14:srgbClr>
                  </w14:solidFill>
                </w14:textFill>
              </w:rPr>
              <w:t xml:space="preserve">　</w:t>
            </w:r>
          </w:p>
        </w:tc>
        <w:tc>
          <w:tcPr>
            <w:tcW w:w="727" w:type="pct"/>
            <w:shd w:val="clear" w:color="auto" w:fill="auto"/>
            <w:vAlign w:val="center"/>
          </w:tcPr>
          <w:p w14:paraId="6A5FC903" w14:textId="71424C0A" w:rsidR="00712F3B" w:rsidRPr="00925F8E" w:rsidRDefault="00712F3B" w:rsidP="00377BBF">
            <w:pPr>
              <w:pStyle w:val="TableText0"/>
              <w:keepLines/>
              <w:jc w:val="center"/>
            </w:pPr>
            <w:r w:rsidRPr="00925F8E">
              <w:t>2.422</w:t>
            </w:r>
          </w:p>
        </w:tc>
        <w:tc>
          <w:tcPr>
            <w:tcW w:w="566" w:type="pct"/>
            <w:shd w:val="clear" w:color="auto" w:fill="auto"/>
            <w:vAlign w:val="center"/>
          </w:tcPr>
          <w:p w14:paraId="77AF6D59" w14:textId="402BF662" w:rsidR="00712F3B" w:rsidRPr="00925F8E" w:rsidRDefault="00712F3B" w:rsidP="00377BBF">
            <w:pPr>
              <w:pStyle w:val="TableText0"/>
              <w:keepLines/>
              <w:jc w:val="center"/>
            </w:pPr>
            <w:r w:rsidRPr="00925F8E">
              <w:t>$</w:t>
            </w:r>
            <w:r w:rsidR="000A25B4" w:rsidRPr="000A25B4">
              <w:rPr>
                <w:color w:val="000000"/>
                <w:spacing w:val="48"/>
                <w:shd w:val="solid" w:color="000000" w:fill="000000"/>
                <w:fitText w:val="225" w:id="-1435755764"/>
                <w14:textFill>
                  <w14:solidFill>
                    <w14:srgbClr w14:val="000000">
                      <w14:alpha w14:val="100000"/>
                    </w14:srgbClr>
                  </w14:solidFill>
                </w14:textFill>
              </w:rPr>
              <w:t>||</w:t>
            </w:r>
            <w:r w:rsidR="000A25B4" w:rsidRPr="000A25B4">
              <w:rPr>
                <w:color w:val="000000"/>
                <w:spacing w:val="2"/>
                <w:shd w:val="solid" w:color="000000" w:fill="000000"/>
                <w:fitText w:val="225" w:id="-1435755764"/>
                <w14:textFill>
                  <w14:solidFill>
                    <w14:srgbClr w14:val="000000">
                      <w14:alpha w14:val="100000"/>
                    </w14:srgbClr>
                  </w14:solidFill>
                </w14:textFill>
              </w:rPr>
              <w:t>|</w:t>
            </w:r>
            <w:r w:rsidR="004E4E89">
              <w:rPr>
                <w:b/>
                <w:bCs w:val="0"/>
                <w:vertAlign w:val="superscript"/>
              </w:rPr>
              <w:t>3</w:t>
            </w:r>
          </w:p>
        </w:tc>
        <w:tc>
          <w:tcPr>
            <w:tcW w:w="640" w:type="pct"/>
            <w:shd w:val="clear" w:color="auto" w:fill="auto"/>
            <w:vAlign w:val="center"/>
          </w:tcPr>
          <w:p w14:paraId="2002F9CD" w14:textId="6F7F9C28" w:rsidR="00712F3B" w:rsidRPr="00925F8E" w:rsidRDefault="00712F3B" w:rsidP="00377BBF">
            <w:pPr>
              <w:pStyle w:val="TableText0"/>
              <w:keepLines/>
              <w:jc w:val="center"/>
            </w:pPr>
            <w:r w:rsidRPr="00925F8E">
              <w:t>-38.7%</w:t>
            </w:r>
          </w:p>
        </w:tc>
      </w:tr>
      <w:tr w:rsidR="00377BBF" w:rsidRPr="004C54EE" w14:paraId="4916C318" w14:textId="77777777" w:rsidTr="000D10A7">
        <w:tc>
          <w:tcPr>
            <w:tcW w:w="1128" w:type="pct"/>
            <w:vMerge w:val="restart"/>
            <w:vAlign w:val="center"/>
          </w:tcPr>
          <w:p w14:paraId="1779BF25" w14:textId="77777777" w:rsidR="00377BBF" w:rsidRPr="004C54EE" w:rsidRDefault="00377BBF" w:rsidP="00377BBF">
            <w:pPr>
              <w:pStyle w:val="TableText0"/>
              <w:keepLines/>
            </w:pPr>
            <w:r w:rsidRPr="004C54EE">
              <w:t>Time horizon (25 years in BC)</w:t>
            </w:r>
          </w:p>
        </w:tc>
        <w:tc>
          <w:tcPr>
            <w:tcW w:w="1212" w:type="pct"/>
            <w:vAlign w:val="center"/>
          </w:tcPr>
          <w:p w14:paraId="34A6B985" w14:textId="77777777" w:rsidR="00377BBF" w:rsidRPr="000D10A7" w:rsidRDefault="00377BBF" w:rsidP="00377BBF">
            <w:pPr>
              <w:pStyle w:val="TableText0"/>
              <w:keepLines/>
            </w:pPr>
            <w:r w:rsidRPr="000D10A7">
              <w:t>30</w:t>
            </w:r>
          </w:p>
        </w:tc>
        <w:tc>
          <w:tcPr>
            <w:tcW w:w="727" w:type="pct"/>
            <w:gridSpan w:val="2"/>
            <w:vAlign w:val="center"/>
          </w:tcPr>
          <w:p w14:paraId="7B27FD4D" w14:textId="27FB7DCA" w:rsidR="00377BBF" w:rsidRPr="000D10A7" w:rsidRDefault="00377BBF" w:rsidP="00377BBF">
            <w:pPr>
              <w:pStyle w:val="TableText0"/>
              <w:keepLines/>
              <w:jc w:val="center"/>
            </w:pPr>
            <w:r w:rsidRPr="000D10A7">
              <w:t>$</w:t>
            </w:r>
            <w:r w:rsidR="000A25B4" w:rsidRPr="000A25B4">
              <w:rPr>
                <w:rFonts w:hint="eastAsia"/>
                <w:color w:val="000000"/>
                <w:w w:val="15"/>
                <w:shd w:val="solid" w:color="000000" w:fill="000000"/>
                <w:fitText w:val="63" w:id="-1435755763"/>
                <w14:textFill>
                  <w14:solidFill>
                    <w14:srgbClr w14:val="000000">
                      <w14:alpha w14:val="100000"/>
                    </w14:srgbClr>
                  </w14:solidFill>
                </w14:textFill>
              </w:rPr>
              <w:t xml:space="preserve">　</w:t>
            </w:r>
            <w:r w:rsidR="000A25B4" w:rsidRPr="000A25B4">
              <w:rPr>
                <w:color w:val="000000"/>
                <w:w w:val="15"/>
                <w:shd w:val="solid" w:color="000000" w:fill="000000"/>
                <w:fitText w:val="63" w:id="-1435755763"/>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3"/>
                <w14:textFill>
                  <w14:solidFill>
                    <w14:srgbClr w14:val="000000">
                      <w14:alpha w14:val="100000"/>
                    </w14:srgbClr>
                  </w14:solidFill>
                </w14:textFill>
              </w:rPr>
              <w:t xml:space="preserve">　</w:t>
            </w:r>
          </w:p>
        </w:tc>
        <w:tc>
          <w:tcPr>
            <w:tcW w:w="727" w:type="pct"/>
            <w:vAlign w:val="center"/>
          </w:tcPr>
          <w:p w14:paraId="482D78F2" w14:textId="77777777" w:rsidR="00377BBF" w:rsidRPr="000D10A7" w:rsidRDefault="00377BBF" w:rsidP="00377BBF">
            <w:pPr>
              <w:pStyle w:val="TableText0"/>
              <w:keepLines/>
              <w:jc w:val="center"/>
            </w:pPr>
            <w:r w:rsidRPr="000D10A7">
              <w:t>1.531</w:t>
            </w:r>
          </w:p>
        </w:tc>
        <w:tc>
          <w:tcPr>
            <w:tcW w:w="566" w:type="pct"/>
            <w:vAlign w:val="center"/>
          </w:tcPr>
          <w:p w14:paraId="1385AD10" w14:textId="1755711C" w:rsidR="00377BBF" w:rsidRPr="000D10A7" w:rsidRDefault="00377BBF" w:rsidP="00377BBF">
            <w:pPr>
              <w:pStyle w:val="TableText0"/>
              <w:keepLines/>
              <w:jc w:val="center"/>
            </w:pPr>
            <w:r w:rsidRPr="000D10A7">
              <w:t>$</w:t>
            </w:r>
            <w:r w:rsidR="000A25B4" w:rsidRPr="000A25B4">
              <w:rPr>
                <w:color w:val="000000"/>
                <w:spacing w:val="48"/>
                <w:shd w:val="solid" w:color="000000" w:fill="000000"/>
                <w:fitText w:val="225" w:id="-1435755762"/>
                <w14:textFill>
                  <w14:solidFill>
                    <w14:srgbClr w14:val="000000">
                      <w14:alpha w14:val="100000"/>
                    </w14:srgbClr>
                  </w14:solidFill>
                </w14:textFill>
              </w:rPr>
              <w:t>||</w:t>
            </w:r>
            <w:r w:rsidR="000A25B4" w:rsidRPr="000A25B4">
              <w:rPr>
                <w:color w:val="000000"/>
                <w:spacing w:val="2"/>
                <w:shd w:val="solid" w:color="000000" w:fill="000000"/>
                <w:fitText w:val="225" w:id="-1435755762"/>
                <w14:textFill>
                  <w14:solidFill>
                    <w14:srgbClr w14:val="000000">
                      <w14:alpha w14:val="100000"/>
                    </w14:srgbClr>
                  </w14:solidFill>
                </w14:textFill>
              </w:rPr>
              <w:t>|</w:t>
            </w:r>
            <w:r w:rsidR="00B91E69">
              <w:rPr>
                <w:b/>
                <w:bCs w:val="0"/>
                <w:vertAlign w:val="superscript"/>
              </w:rPr>
              <w:t>1</w:t>
            </w:r>
          </w:p>
        </w:tc>
        <w:tc>
          <w:tcPr>
            <w:tcW w:w="640" w:type="pct"/>
            <w:vAlign w:val="center"/>
          </w:tcPr>
          <w:p w14:paraId="0A4D0DCA" w14:textId="77777777" w:rsidR="00377BBF" w:rsidRPr="000D10A7" w:rsidRDefault="00377BBF" w:rsidP="00377BBF">
            <w:pPr>
              <w:pStyle w:val="TableText0"/>
              <w:keepLines/>
              <w:jc w:val="center"/>
            </w:pPr>
            <w:r w:rsidRPr="000D10A7">
              <w:t>-4.1%</w:t>
            </w:r>
          </w:p>
        </w:tc>
      </w:tr>
      <w:tr w:rsidR="00377BBF" w:rsidRPr="004C54EE" w14:paraId="73C504D7" w14:textId="77777777" w:rsidTr="000D10A7">
        <w:tc>
          <w:tcPr>
            <w:tcW w:w="1128" w:type="pct"/>
            <w:vMerge/>
            <w:vAlign w:val="center"/>
          </w:tcPr>
          <w:p w14:paraId="094738DA" w14:textId="77777777" w:rsidR="00377BBF" w:rsidRPr="004C54EE" w:rsidRDefault="00377BBF" w:rsidP="00377BBF">
            <w:pPr>
              <w:pStyle w:val="TableText0"/>
              <w:keepLines/>
            </w:pPr>
          </w:p>
        </w:tc>
        <w:tc>
          <w:tcPr>
            <w:tcW w:w="1212" w:type="pct"/>
            <w:vAlign w:val="center"/>
          </w:tcPr>
          <w:p w14:paraId="0C5CC177" w14:textId="77777777" w:rsidR="00377BBF" w:rsidRPr="004C54EE" w:rsidRDefault="00377BBF" w:rsidP="00377BBF">
            <w:pPr>
              <w:pStyle w:val="TableText0"/>
              <w:keepLines/>
            </w:pPr>
            <w:r w:rsidRPr="004C54EE">
              <w:t>20</w:t>
            </w:r>
          </w:p>
        </w:tc>
        <w:tc>
          <w:tcPr>
            <w:tcW w:w="727" w:type="pct"/>
            <w:gridSpan w:val="2"/>
            <w:vAlign w:val="center"/>
          </w:tcPr>
          <w:p w14:paraId="5D76A388" w14:textId="284ACBF4" w:rsidR="00377BBF" w:rsidRPr="004C54EE" w:rsidRDefault="00377BBF" w:rsidP="00377BBF">
            <w:pPr>
              <w:pStyle w:val="TableText0"/>
              <w:keepLines/>
              <w:jc w:val="center"/>
            </w:pPr>
            <w:r w:rsidRPr="004C54EE">
              <w:t>$</w:t>
            </w:r>
            <w:r w:rsidR="000A25B4" w:rsidRPr="000A25B4">
              <w:rPr>
                <w:rFonts w:hint="eastAsia"/>
                <w:color w:val="000000"/>
                <w:w w:val="15"/>
                <w:shd w:val="solid" w:color="000000" w:fill="000000"/>
                <w:fitText w:val="63" w:id="-1435755761"/>
                <w14:textFill>
                  <w14:solidFill>
                    <w14:srgbClr w14:val="000000">
                      <w14:alpha w14:val="100000"/>
                    </w14:srgbClr>
                  </w14:solidFill>
                </w14:textFill>
              </w:rPr>
              <w:t xml:space="preserve">　</w:t>
            </w:r>
            <w:r w:rsidR="000A25B4" w:rsidRPr="000A25B4">
              <w:rPr>
                <w:color w:val="000000"/>
                <w:w w:val="15"/>
                <w:shd w:val="solid" w:color="000000" w:fill="000000"/>
                <w:fitText w:val="63" w:id="-1435755761"/>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1"/>
                <w14:textFill>
                  <w14:solidFill>
                    <w14:srgbClr w14:val="000000">
                      <w14:alpha w14:val="100000"/>
                    </w14:srgbClr>
                  </w14:solidFill>
                </w14:textFill>
              </w:rPr>
              <w:t xml:space="preserve">　</w:t>
            </w:r>
          </w:p>
        </w:tc>
        <w:tc>
          <w:tcPr>
            <w:tcW w:w="727" w:type="pct"/>
            <w:vAlign w:val="center"/>
          </w:tcPr>
          <w:p w14:paraId="2B6C862E" w14:textId="77777777" w:rsidR="00377BBF" w:rsidRPr="004C54EE" w:rsidRDefault="00377BBF" w:rsidP="00377BBF">
            <w:pPr>
              <w:pStyle w:val="TableText0"/>
              <w:keepLines/>
              <w:jc w:val="center"/>
            </w:pPr>
            <w:r w:rsidRPr="004C54EE">
              <w:t>1.333</w:t>
            </w:r>
          </w:p>
        </w:tc>
        <w:tc>
          <w:tcPr>
            <w:tcW w:w="566" w:type="pct"/>
            <w:vAlign w:val="center"/>
          </w:tcPr>
          <w:p w14:paraId="7D644A28" w14:textId="76CD1CC1" w:rsidR="00377BBF" w:rsidRPr="004C54EE" w:rsidRDefault="00377BBF" w:rsidP="00377BBF">
            <w:pPr>
              <w:pStyle w:val="TableText0"/>
              <w:keepLines/>
              <w:jc w:val="center"/>
            </w:pPr>
            <w:r w:rsidRPr="004C54EE">
              <w:t>$</w:t>
            </w:r>
            <w:r w:rsidR="000A25B4" w:rsidRPr="000A25B4">
              <w:rPr>
                <w:color w:val="000000"/>
                <w:spacing w:val="48"/>
                <w:shd w:val="solid" w:color="000000" w:fill="000000"/>
                <w:fitText w:val="225" w:id="-1435755760"/>
                <w14:textFill>
                  <w14:solidFill>
                    <w14:srgbClr w14:val="000000">
                      <w14:alpha w14:val="100000"/>
                    </w14:srgbClr>
                  </w14:solidFill>
                </w14:textFill>
              </w:rPr>
              <w:t>||</w:t>
            </w:r>
            <w:r w:rsidR="000A25B4" w:rsidRPr="000A25B4">
              <w:rPr>
                <w:color w:val="000000"/>
                <w:spacing w:val="2"/>
                <w:shd w:val="solid" w:color="000000" w:fill="000000"/>
                <w:fitText w:val="225" w:id="-1435755760"/>
                <w14:textFill>
                  <w14:solidFill>
                    <w14:srgbClr w14:val="000000">
                      <w14:alpha w14:val="100000"/>
                    </w14:srgbClr>
                  </w14:solidFill>
                </w14:textFill>
              </w:rPr>
              <w:t>|</w:t>
            </w:r>
            <w:r w:rsidR="00B91E69">
              <w:rPr>
                <w:b/>
                <w:bCs w:val="0"/>
                <w:vertAlign w:val="superscript"/>
              </w:rPr>
              <w:t>1</w:t>
            </w:r>
          </w:p>
        </w:tc>
        <w:tc>
          <w:tcPr>
            <w:tcW w:w="640" w:type="pct"/>
            <w:vAlign w:val="center"/>
          </w:tcPr>
          <w:p w14:paraId="0B7DCA42" w14:textId="77777777" w:rsidR="00377BBF" w:rsidRPr="004C54EE" w:rsidRDefault="00377BBF" w:rsidP="00377BBF">
            <w:pPr>
              <w:pStyle w:val="TableText0"/>
              <w:keepLines/>
              <w:jc w:val="center"/>
            </w:pPr>
            <w:r w:rsidRPr="004C54EE">
              <w:t>+9.3%</w:t>
            </w:r>
          </w:p>
        </w:tc>
      </w:tr>
      <w:tr w:rsidR="00377BBF" w:rsidRPr="00E7767C" w14:paraId="50A27E5A" w14:textId="77777777" w:rsidTr="000D10A7">
        <w:tc>
          <w:tcPr>
            <w:tcW w:w="1128" w:type="pct"/>
            <w:vMerge/>
            <w:vAlign w:val="center"/>
          </w:tcPr>
          <w:p w14:paraId="68579527" w14:textId="77777777" w:rsidR="00377BBF" w:rsidRPr="00E7767C" w:rsidRDefault="00377BBF" w:rsidP="00377BBF">
            <w:pPr>
              <w:pStyle w:val="TableText0"/>
              <w:keepLines/>
            </w:pPr>
          </w:p>
        </w:tc>
        <w:tc>
          <w:tcPr>
            <w:tcW w:w="1212" w:type="pct"/>
            <w:vAlign w:val="center"/>
          </w:tcPr>
          <w:p w14:paraId="0301EC7D" w14:textId="77777777" w:rsidR="00377BBF" w:rsidRPr="00E7767C" w:rsidRDefault="00377BBF" w:rsidP="00377BBF">
            <w:pPr>
              <w:pStyle w:val="TableText0"/>
              <w:keepLines/>
              <w:rPr>
                <w:iCs/>
              </w:rPr>
            </w:pPr>
            <w:r w:rsidRPr="00E7767C">
              <w:rPr>
                <w:iCs/>
              </w:rPr>
              <w:t>15</w:t>
            </w:r>
          </w:p>
        </w:tc>
        <w:tc>
          <w:tcPr>
            <w:tcW w:w="727" w:type="pct"/>
            <w:gridSpan w:val="2"/>
            <w:vAlign w:val="center"/>
          </w:tcPr>
          <w:p w14:paraId="7BDA196D" w14:textId="0CF3446D"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76"/>
                <w14:textFill>
                  <w14:solidFill>
                    <w14:srgbClr w14:val="000000">
                      <w14:alpha w14:val="100000"/>
                    </w14:srgbClr>
                  </w14:solidFill>
                </w14:textFill>
              </w:rPr>
              <w:t xml:space="preserve">　</w:t>
            </w:r>
            <w:r w:rsidR="000A25B4" w:rsidRPr="000A25B4">
              <w:rPr>
                <w:iCs/>
                <w:color w:val="000000"/>
                <w:w w:val="15"/>
                <w:shd w:val="solid" w:color="000000" w:fill="000000"/>
                <w:fitText w:val="63" w:id="-1435755776"/>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76"/>
                <w14:textFill>
                  <w14:solidFill>
                    <w14:srgbClr w14:val="000000">
                      <w14:alpha w14:val="100000"/>
                    </w14:srgbClr>
                  </w14:solidFill>
                </w14:textFill>
              </w:rPr>
              <w:t xml:space="preserve">　</w:t>
            </w:r>
          </w:p>
        </w:tc>
        <w:tc>
          <w:tcPr>
            <w:tcW w:w="727" w:type="pct"/>
            <w:vAlign w:val="center"/>
          </w:tcPr>
          <w:p w14:paraId="790E5645" w14:textId="77777777" w:rsidR="00377BBF" w:rsidRPr="00E7767C" w:rsidRDefault="00377BBF" w:rsidP="00377BBF">
            <w:pPr>
              <w:pStyle w:val="TableText0"/>
              <w:keepLines/>
              <w:jc w:val="center"/>
              <w:rPr>
                <w:iCs/>
              </w:rPr>
            </w:pPr>
            <w:r w:rsidRPr="00E7767C">
              <w:rPr>
                <w:iCs/>
              </w:rPr>
              <w:t>1.128</w:t>
            </w:r>
          </w:p>
        </w:tc>
        <w:tc>
          <w:tcPr>
            <w:tcW w:w="566" w:type="pct"/>
            <w:vAlign w:val="center"/>
          </w:tcPr>
          <w:p w14:paraId="36108695" w14:textId="435D2400"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75"/>
                <w14:textFill>
                  <w14:solidFill>
                    <w14:srgbClr w14:val="000000">
                      <w14:alpha w14:val="100000"/>
                    </w14:srgbClr>
                  </w14:solidFill>
                </w14:textFill>
              </w:rPr>
              <w:t>||</w:t>
            </w:r>
            <w:r w:rsidR="000A25B4" w:rsidRPr="000A25B4">
              <w:rPr>
                <w:iCs/>
                <w:color w:val="000000"/>
                <w:spacing w:val="2"/>
                <w:shd w:val="solid" w:color="000000" w:fill="000000"/>
                <w:fitText w:val="225" w:id="-1435755775"/>
                <w14:textFill>
                  <w14:solidFill>
                    <w14:srgbClr w14:val="000000">
                      <w14:alpha w14:val="100000"/>
                    </w14:srgbClr>
                  </w14:solidFill>
                </w14:textFill>
              </w:rPr>
              <w:t>|</w:t>
            </w:r>
            <w:r w:rsidR="004E4E89">
              <w:rPr>
                <w:b/>
                <w:bCs w:val="0"/>
                <w:vertAlign w:val="superscript"/>
              </w:rPr>
              <w:t>4</w:t>
            </w:r>
          </w:p>
        </w:tc>
        <w:tc>
          <w:tcPr>
            <w:tcW w:w="640" w:type="pct"/>
            <w:vAlign w:val="center"/>
          </w:tcPr>
          <w:p w14:paraId="3307E32A" w14:textId="77777777" w:rsidR="00377BBF" w:rsidRPr="00E7767C" w:rsidRDefault="00377BBF" w:rsidP="00377BBF">
            <w:pPr>
              <w:pStyle w:val="TableText0"/>
              <w:keepLines/>
              <w:jc w:val="center"/>
              <w:rPr>
                <w:iCs/>
              </w:rPr>
            </w:pPr>
            <w:r w:rsidRPr="00E7767C">
              <w:rPr>
                <w:iCs/>
              </w:rPr>
              <w:t>+28.8%</w:t>
            </w:r>
          </w:p>
        </w:tc>
      </w:tr>
      <w:tr w:rsidR="00377BBF" w:rsidRPr="004C54EE" w14:paraId="4BA39EFD" w14:textId="77777777" w:rsidTr="000D10A7">
        <w:tc>
          <w:tcPr>
            <w:tcW w:w="1128" w:type="pct"/>
            <w:vAlign w:val="center"/>
          </w:tcPr>
          <w:p w14:paraId="04D6101A" w14:textId="77777777" w:rsidR="00377BBF" w:rsidRPr="004C54EE" w:rsidRDefault="00377BBF" w:rsidP="00377BBF">
            <w:pPr>
              <w:pStyle w:val="TableText0"/>
              <w:keepLines/>
            </w:pPr>
            <w:r w:rsidRPr="004C54EE">
              <w:t>Pre-recurrence to post-recurrence transitions (based on TTR in BC)</w:t>
            </w:r>
          </w:p>
        </w:tc>
        <w:tc>
          <w:tcPr>
            <w:tcW w:w="1212" w:type="pct"/>
            <w:vAlign w:val="center"/>
          </w:tcPr>
          <w:p w14:paraId="23345AE9" w14:textId="77777777" w:rsidR="00377BBF" w:rsidRPr="004C54EE" w:rsidRDefault="00377BBF" w:rsidP="00377BBF">
            <w:pPr>
              <w:pStyle w:val="TableText0"/>
              <w:keepLines/>
            </w:pPr>
            <w:r w:rsidRPr="004C54EE">
              <w:t>Based on DFS</w:t>
            </w:r>
          </w:p>
        </w:tc>
        <w:tc>
          <w:tcPr>
            <w:tcW w:w="727" w:type="pct"/>
            <w:gridSpan w:val="2"/>
            <w:vAlign w:val="center"/>
          </w:tcPr>
          <w:p w14:paraId="2A906F97" w14:textId="3413DDF9" w:rsidR="00377BBF" w:rsidRPr="004C54EE" w:rsidRDefault="00377BBF" w:rsidP="00377BBF">
            <w:pPr>
              <w:pStyle w:val="TableText0"/>
              <w:keepLines/>
              <w:jc w:val="center"/>
            </w:pPr>
            <w:r w:rsidRPr="004C54EE">
              <w:t>$</w:t>
            </w:r>
            <w:r w:rsidR="000A25B4" w:rsidRPr="000A25B4">
              <w:rPr>
                <w:rFonts w:hint="eastAsia"/>
                <w:color w:val="000000"/>
                <w:w w:val="15"/>
                <w:shd w:val="solid" w:color="000000" w:fill="000000"/>
                <w:fitText w:val="63" w:id="-1435755774"/>
                <w14:textFill>
                  <w14:solidFill>
                    <w14:srgbClr w14:val="000000">
                      <w14:alpha w14:val="100000"/>
                    </w14:srgbClr>
                  </w14:solidFill>
                </w14:textFill>
              </w:rPr>
              <w:t xml:space="preserve">　</w:t>
            </w:r>
            <w:r w:rsidR="000A25B4" w:rsidRPr="000A25B4">
              <w:rPr>
                <w:color w:val="000000"/>
                <w:w w:val="15"/>
                <w:shd w:val="solid" w:color="000000" w:fill="000000"/>
                <w:fitText w:val="63" w:id="-1435755774"/>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74"/>
                <w14:textFill>
                  <w14:solidFill>
                    <w14:srgbClr w14:val="000000">
                      <w14:alpha w14:val="100000"/>
                    </w14:srgbClr>
                  </w14:solidFill>
                </w14:textFill>
              </w:rPr>
              <w:t xml:space="preserve">　</w:t>
            </w:r>
          </w:p>
        </w:tc>
        <w:tc>
          <w:tcPr>
            <w:tcW w:w="727" w:type="pct"/>
            <w:vAlign w:val="center"/>
          </w:tcPr>
          <w:p w14:paraId="0215D09F" w14:textId="77777777" w:rsidR="00377BBF" w:rsidRPr="004C54EE" w:rsidRDefault="00377BBF" w:rsidP="00377BBF">
            <w:pPr>
              <w:pStyle w:val="TableText0"/>
              <w:keepLines/>
              <w:jc w:val="center"/>
            </w:pPr>
            <w:r w:rsidRPr="004C54EE">
              <w:t>1.351</w:t>
            </w:r>
          </w:p>
        </w:tc>
        <w:tc>
          <w:tcPr>
            <w:tcW w:w="566" w:type="pct"/>
            <w:vAlign w:val="center"/>
          </w:tcPr>
          <w:p w14:paraId="19F1124B" w14:textId="029A379E" w:rsidR="00377BBF" w:rsidRPr="004C54EE" w:rsidRDefault="00377BBF" w:rsidP="00377BBF">
            <w:pPr>
              <w:pStyle w:val="TableText0"/>
              <w:keepLines/>
              <w:jc w:val="center"/>
            </w:pPr>
            <w:r w:rsidRPr="004C54EE">
              <w:t>$</w:t>
            </w:r>
            <w:r w:rsidR="000A25B4" w:rsidRPr="000A25B4">
              <w:rPr>
                <w:color w:val="000000"/>
                <w:spacing w:val="48"/>
                <w:shd w:val="solid" w:color="000000" w:fill="000000"/>
                <w:fitText w:val="225" w:id="-1435755773"/>
                <w14:textFill>
                  <w14:solidFill>
                    <w14:srgbClr w14:val="000000">
                      <w14:alpha w14:val="100000"/>
                    </w14:srgbClr>
                  </w14:solidFill>
                </w14:textFill>
              </w:rPr>
              <w:t>||</w:t>
            </w:r>
            <w:r w:rsidR="000A25B4" w:rsidRPr="000A25B4">
              <w:rPr>
                <w:color w:val="000000"/>
                <w:spacing w:val="2"/>
                <w:shd w:val="solid" w:color="000000" w:fill="000000"/>
                <w:fitText w:val="225" w:id="-1435755773"/>
                <w14:textFill>
                  <w14:solidFill>
                    <w14:srgbClr w14:val="000000">
                      <w14:alpha w14:val="100000"/>
                    </w14:srgbClr>
                  </w14:solidFill>
                </w14:textFill>
              </w:rPr>
              <w:t>|</w:t>
            </w:r>
            <w:r w:rsidR="00B91E69">
              <w:rPr>
                <w:b/>
                <w:bCs w:val="0"/>
                <w:vertAlign w:val="superscript"/>
              </w:rPr>
              <w:t>1</w:t>
            </w:r>
          </w:p>
        </w:tc>
        <w:tc>
          <w:tcPr>
            <w:tcW w:w="640" w:type="pct"/>
            <w:vAlign w:val="center"/>
          </w:tcPr>
          <w:p w14:paraId="5057995F" w14:textId="77777777" w:rsidR="00377BBF" w:rsidRPr="004C54EE" w:rsidRDefault="00377BBF" w:rsidP="00377BBF">
            <w:pPr>
              <w:pStyle w:val="TableText0"/>
              <w:keepLines/>
              <w:jc w:val="center"/>
            </w:pPr>
            <w:r w:rsidRPr="004C54EE">
              <w:t>+8.7%</w:t>
            </w:r>
          </w:p>
        </w:tc>
      </w:tr>
      <w:tr w:rsidR="00377BBF" w:rsidRPr="004C54EE" w14:paraId="466E36BB" w14:textId="77777777" w:rsidTr="000D10A7">
        <w:tc>
          <w:tcPr>
            <w:tcW w:w="1128" w:type="pct"/>
            <w:vMerge w:val="restart"/>
            <w:vAlign w:val="center"/>
          </w:tcPr>
          <w:p w14:paraId="1A790E6E" w14:textId="77777777" w:rsidR="00377BBF" w:rsidRPr="004C54EE" w:rsidRDefault="00377BBF" w:rsidP="00377BBF">
            <w:pPr>
              <w:pStyle w:val="TableText0"/>
              <w:keepLines/>
            </w:pPr>
            <w:r w:rsidRPr="004C54EE">
              <w:t>Cure assumption (5 years in BC</w:t>
            </w:r>
            <w:r>
              <w:t xml:space="preserve"> – </w:t>
            </w:r>
            <w:proofErr w:type="spellStart"/>
            <w:r>
              <w:t>Nivo</w:t>
            </w:r>
            <w:proofErr w:type="spellEnd"/>
            <w:r>
              <w:t xml:space="preserve"> 36.1%, SOC 22.2%)</w:t>
            </w:r>
          </w:p>
        </w:tc>
        <w:tc>
          <w:tcPr>
            <w:tcW w:w="1212" w:type="pct"/>
            <w:vAlign w:val="center"/>
          </w:tcPr>
          <w:p w14:paraId="312B3FEE" w14:textId="77777777" w:rsidR="00377BBF" w:rsidRPr="004C54EE" w:rsidRDefault="00377BBF" w:rsidP="00377BBF">
            <w:pPr>
              <w:pStyle w:val="TableText0"/>
              <w:keepLines/>
            </w:pPr>
            <w:r w:rsidRPr="004C54EE">
              <w:t>3 years</w:t>
            </w:r>
            <w:r>
              <w:t xml:space="preserve"> (44.7%, 29.9%)</w:t>
            </w:r>
          </w:p>
        </w:tc>
        <w:tc>
          <w:tcPr>
            <w:tcW w:w="727" w:type="pct"/>
            <w:gridSpan w:val="2"/>
            <w:vAlign w:val="center"/>
          </w:tcPr>
          <w:p w14:paraId="63404DDC" w14:textId="55531AF6" w:rsidR="00377BBF" w:rsidRPr="004C54EE" w:rsidRDefault="00377BBF" w:rsidP="00377BBF">
            <w:pPr>
              <w:pStyle w:val="TableText0"/>
              <w:keepLines/>
              <w:jc w:val="center"/>
            </w:pPr>
            <w:r w:rsidRPr="004C54EE">
              <w:t>$</w:t>
            </w:r>
            <w:r w:rsidR="000A25B4" w:rsidRPr="000A25B4">
              <w:rPr>
                <w:rFonts w:hint="eastAsia"/>
                <w:color w:val="000000"/>
                <w:w w:val="15"/>
                <w:shd w:val="solid" w:color="000000" w:fill="000000"/>
                <w:fitText w:val="63" w:id="-1435755772"/>
                <w14:textFill>
                  <w14:solidFill>
                    <w14:srgbClr w14:val="000000">
                      <w14:alpha w14:val="100000"/>
                    </w14:srgbClr>
                  </w14:solidFill>
                </w14:textFill>
              </w:rPr>
              <w:t xml:space="preserve">　</w:t>
            </w:r>
            <w:r w:rsidR="000A25B4" w:rsidRPr="000A25B4">
              <w:rPr>
                <w:color w:val="000000"/>
                <w:w w:val="15"/>
                <w:shd w:val="solid" w:color="000000" w:fill="000000"/>
                <w:fitText w:val="63" w:id="-1435755772"/>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72"/>
                <w14:textFill>
                  <w14:solidFill>
                    <w14:srgbClr w14:val="000000">
                      <w14:alpha w14:val="100000"/>
                    </w14:srgbClr>
                  </w14:solidFill>
                </w14:textFill>
              </w:rPr>
              <w:t xml:space="preserve">　</w:t>
            </w:r>
          </w:p>
        </w:tc>
        <w:tc>
          <w:tcPr>
            <w:tcW w:w="727" w:type="pct"/>
            <w:vAlign w:val="center"/>
          </w:tcPr>
          <w:p w14:paraId="34F7E28D" w14:textId="77777777" w:rsidR="00377BBF" w:rsidRPr="004C54EE" w:rsidRDefault="00377BBF" w:rsidP="00377BBF">
            <w:pPr>
              <w:pStyle w:val="TableText0"/>
              <w:keepLines/>
              <w:jc w:val="center"/>
            </w:pPr>
            <w:r w:rsidRPr="004C54EE">
              <w:t>1.493</w:t>
            </w:r>
          </w:p>
        </w:tc>
        <w:tc>
          <w:tcPr>
            <w:tcW w:w="566" w:type="pct"/>
            <w:vAlign w:val="center"/>
          </w:tcPr>
          <w:p w14:paraId="24BB137D" w14:textId="6CB18300" w:rsidR="00377BBF" w:rsidRPr="004C54EE" w:rsidRDefault="00377BBF" w:rsidP="00377BBF">
            <w:pPr>
              <w:pStyle w:val="TableText0"/>
              <w:keepLines/>
              <w:jc w:val="center"/>
            </w:pPr>
            <w:r w:rsidRPr="004C54EE">
              <w:t>$</w:t>
            </w:r>
            <w:r w:rsidR="000A25B4" w:rsidRPr="000A25B4">
              <w:rPr>
                <w:color w:val="000000"/>
                <w:spacing w:val="48"/>
                <w:shd w:val="solid" w:color="000000" w:fill="000000"/>
                <w:fitText w:val="225" w:id="-1435755771"/>
                <w14:textFill>
                  <w14:solidFill>
                    <w14:srgbClr w14:val="000000">
                      <w14:alpha w14:val="100000"/>
                    </w14:srgbClr>
                  </w14:solidFill>
                </w14:textFill>
              </w:rPr>
              <w:t>||</w:t>
            </w:r>
            <w:r w:rsidR="000A25B4" w:rsidRPr="000A25B4">
              <w:rPr>
                <w:color w:val="000000"/>
                <w:spacing w:val="2"/>
                <w:shd w:val="solid" w:color="000000" w:fill="000000"/>
                <w:fitText w:val="225" w:id="-1435755771"/>
                <w14:textFill>
                  <w14:solidFill>
                    <w14:srgbClr w14:val="000000">
                      <w14:alpha w14:val="100000"/>
                    </w14:srgbClr>
                  </w14:solidFill>
                </w14:textFill>
              </w:rPr>
              <w:t>|</w:t>
            </w:r>
            <w:r w:rsidR="00B91E69">
              <w:rPr>
                <w:b/>
                <w:bCs w:val="0"/>
                <w:vertAlign w:val="superscript"/>
              </w:rPr>
              <w:t>1</w:t>
            </w:r>
          </w:p>
        </w:tc>
        <w:tc>
          <w:tcPr>
            <w:tcW w:w="640" w:type="pct"/>
            <w:vAlign w:val="center"/>
          </w:tcPr>
          <w:p w14:paraId="37E77B33" w14:textId="77777777" w:rsidR="00377BBF" w:rsidRPr="004C54EE" w:rsidRDefault="00377BBF" w:rsidP="00377BBF">
            <w:pPr>
              <w:pStyle w:val="TableText0"/>
              <w:keepLines/>
              <w:jc w:val="center"/>
            </w:pPr>
            <w:r w:rsidRPr="004C54EE">
              <w:t>-2.6%</w:t>
            </w:r>
          </w:p>
        </w:tc>
      </w:tr>
      <w:tr w:rsidR="00377BBF" w:rsidRPr="004C54EE" w14:paraId="23DB45A9" w14:textId="77777777" w:rsidTr="000D10A7">
        <w:tc>
          <w:tcPr>
            <w:tcW w:w="1128" w:type="pct"/>
            <w:vMerge/>
            <w:vAlign w:val="center"/>
          </w:tcPr>
          <w:p w14:paraId="0D3690A8" w14:textId="77777777" w:rsidR="00377BBF" w:rsidRPr="004C54EE" w:rsidRDefault="00377BBF" w:rsidP="00377BBF">
            <w:pPr>
              <w:pStyle w:val="TableText0"/>
              <w:keepLines/>
            </w:pPr>
          </w:p>
        </w:tc>
        <w:tc>
          <w:tcPr>
            <w:tcW w:w="1212" w:type="pct"/>
            <w:vAlign w:val="center"/>
          </w:tcPr>
          <w:p w14:paraId="01584604" w14:textId="77777777" w:rsidR="00377BBF" w:rsidRPr="004C54EE" w:rsidRDefault="00377BBF" w:rsidP="00377BBF">
            <w:pPr>
              <w:pStyle w:val="TableText0"/>
              <w:keepLines/>
            </w:pPr>
            <w:r w:rsidRPr="004C54EE">
              <w:t>7 years</w:t>
            </w:r>
            <w:r>
              <w:t xml:space="preserve"> (31.3%, 18.3%)</w:t>
            </w:r>
          </w:p>
        </w:tc>
        <w:tc>
          <w:tcPr>
            <w:tcW w:w="727" w:type="pct"/>
            <w:gridSpan w:val="2"/>
            <w:vAlign w:val="center"/>
          </w:tcPr>
          <w:p w14:paraId="3282B7C8" w14:textId="3C21F682" w:rsidR="00377BBF" w:rsidRPr="004C54EE" w:rsidRDefault="00377BBF" w:rsidP="00377BBF">
            <w:pPr>
              <w:pStyle w:val="TableText0"/>
              <w:keepLines/>
              <w:jc w:val="center"/>
            </w:pPr>
            <w:r w:rsidRPr="004C54EE">
              <w:t>$</w:t>
            </w:r>
            <w:r w:rsidR="000A25B4" w:rsidRPr="000A25B4">
              <w:rPr>
                <w:rFonts w:hint="eastAsia"/>
                <w:color w:val="000000"/>
                <w:w w:val="15"/>
                <w:shd w:val="solid" w:color="000000" w:fill="000000"/>
                <w:fitText w:val="63" w:id="-1435755770"/>
                <w14:textFill>
                  <w14:solidFill>
                    <w14:srgbClr w14:val="000000">
                      <w14:alpha w14:val="100000"/>
                    </w14:srgbClr>
                  </w14:solidFill>
                </w14:textFill>
              </w:rPr>
              <w:t xml:space="preserve">　</w:t>
            </w:r>
            <w:r w:rsidR="000A25B4" w:rsidRPr="000A25B4">
              <w:rPr>
                <w:color w:val="000000"/>
                <w:w w:val="15"/>
                <w:shd w:val="solid" w:color="000000" w:fill="000000"/>
                <w:fitText w:val="63" w:id="-1435755770"/>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70"/>
                <w14:textFill>
                  <w14:solidFill>
                    <w14:srgbClr w14:val="000000">
                      <w14:alpha w14:val="100000"/>
                    </w14:srgbClr>
                  </w14:solidFill>
                </w14:textFill>
              </w:rPr>
              <w:t xml:space="preserve">　</w:t>
            </w:r>
          </w:p>
        </w:tc>
        <w:tc>
          <w:tcPr>
            <w:tcW w:w="727" w:type="pct"/>
            <w:vAlign w:val="center"/>
          </w:tcPr>
          <w:p w14:paraId="5BD15390" w14:textId="77777777" w:rsidR="00377BBF" w:rsidRPr="004C54EE" w:rsidRDefault="00377BBF" w:rsidP="00377BBF">
            <w:pPr>
              <w:pStyle w:val="TableText0"/>
              <w:keepLines/>
              <w:jc w:val="center"/>
            </w:pPr>
            <w:r w:rsidRPr="004C54EE">
              <w:t>1.426</w:t>
            </w:r>
          </w:p>
        </w:tc>
        <w:tc>
          <w:tcPr>
            <w:tcW w:w="566" w:type="pct"/>
            <w:vAlign w:val="center"/>
          </w:tcPr>
          <w:p w14:paraId="087FB3D7" w14:textId="02398661" w:rsidR="00377BBF" w:rsidRPr="004C54EE" w:rsidRDefault="00377BBF" w:rsidP="00377BBF">
            <w:pPr>
              <w:pStyle w:val="TableText0"/>
              <w:keepLines/>
              <w:jc w:val="center"/>
            </w:pPr>
            <w:r w:rsidRPr="004C54EE">
              <w:t>$</w:t>
            </w:r>
            <w:r w:rsidR="000A25B4" w:rsidRPr="000A25B4">
              <w:rPr>
                <w:color w:val="000000"/>
                <w:spacing w:val="48"/>
                <w:shd w:val="solid" w:color="000000" w:fill="000000"/>
                <w:fitText w:val="225" w:id="-1435755769"/>
                <w14:textFill>
                  <w14:solidFill>
                    <w14:srgbClr w14:val="000000">
                      <w14:alpha w14:val="100000"/>
                    </w14:srgbClr>
                  </w14:solidFill>
                </w14:textFill>
              </w:rPr>
              <w:t>||</w:t>
            </w:r>
            <w:r w:rsidR="000A25B4" w:rsidRPr="000A25B4">
              <w:rPr>
                <w:color w:val="000000"/>
                <w:spacing w:val="2"/>
                <w:shd w:val="solid" w:color="000000" w:fill="000000"/>
                <w:fitText w:val="225" w:id="-1435755769"/>
                <w14:textFill>
                  <w14:solidFill>
                    <w14:srgbClr w14:val="000000">
                      <w14:alpha w14:val="100000"/>
                    </w14:srgbClr>
                  </w14:solidFill>
                </w14:textFill>
              </w:rPr>
              <w:t>|</w:t>
            </w:r>
            <w:r w:rsidR="00B91E69">
              <w:rPr>
                <w:b/>
                <w:bCs w:val="0"/>
                <w:vertAlign w:val="superscript"/>
              </w:rPr>
              <w:t>1</w:t>
            </w:r>
          </w:p>
        </w:tc>
        <w:tc>
          <w:tcPr>
            <w:tcW w:w="640" w:type="pct"/>
            <w:vAlign w:val="center"/>
          </w:tcPr>
          <w:p w14:paraId="2622E5EC" w14:textId="77777777" w:rsidR="00377BBF" w:rsidRPr="004C54EE" w:rsidRDefault="00377BBF" w:rsidP="00377BBF">
            <w:pPr>
              <w:pStyle w:val="TableText0"/>
              <w:keepLines/>
              <w:jc w:val="center"/>
            </w:pPr>
            <w:r w:rsidRPr="004C54EE">
              <w:t>+3.2%</w:t>
            </w:r>
          </w:p>
        </w:tc>
      </w:tr>
      <w:tr w:rsidR="00377BBF" w:rsidRPr="00E7767C" w14:paraId="322C584D" w14:textId="77777777" w:rsidTr="000D10A7">
        <w:tc>
          <w:tcPr>
            <w:tcW w:w="1128" w:type="pct"/>
            <w:vMerge/>
            <w:vAlign w:val="center"/>
          </w:tcPr>
          <w:p w14:paraId="2E0C1D57" w14:textId="77777777" w:rsidR="00377BBF" w:rsidRPr="00E7767C" w:rsidRDefault="00377BBF" w:rsidP="00377BBF">
            <w:pPr>
              <w:pStyle w:val="TableText0"/>
              <w:keepLines/>
            </w:pPr>
          </w:p>
        </w:tc>
        <w:tc>
          <w:tcPr>
            <w:tcW w:w="1212" w:type="pct"/>
            <w:vAlign w:val="center"/>
          </w:tcPr>
          <w:p w14:paraId="21CE6E3F" w14:textId="77777777" w:rsidR="00377BBF" w:rsidRPr="00E7767C" w:rsidRDefault="00377BBF" w:rsidP="00377BBF">
            <w:pPr>
              <w:pStyle w:val="TableText0"/>
              <w:keepLines/>
              <w:rPr>
                <w:iCs/>
              </w:rPr>
            </w:pPr>
            <w:r w:rsidRPr="00E7767C">
              <w:rPr>
                <w:iCs/>
              </w:rPr>
              <w:t>10 years (26.5%, 14.7%)</w:t>
            </w:r>
          </w:p>
        </w:tc>
        <w:tc>
          <w:tcPr>
            <w:tcW w:w="727" w:type="pct"/>
            <w:gridSpan w:val="2"/>
            <w:vAlign w:val="center"/>
          </w:tcPr>
          <w:p w14:paraId="07681FFC" w14:textId="451450A0" w:rsidR="00377BBF" w:rsidRPr="00E7767C" w:rsidRDefault="00377BBF" w:rsidP="00377BBF">
            <w:pPr>
              <w:pStyle w:val="TableText0"/>
              <w:keepLines/>
              <w:jc w:val="center"/>
            </w:pPr>
            <w:r w:rsidRPr="00E7767C">
              <w:t>$</w:t>
            </w:r>
            <w:r w:rsidR="000A25B4" w:rsidRPr="000A25B4">
              <w:rPr>
                <w:rFonts w:hint="eastAsia"/>
                <w:color w:val="000000"/>
                <w:w w:val="15"/>
                <w:shd w:val="solid" w:color="000000" w:fill="000000"/>
                <w:fitText w:val="63" w:id="-1435755768"/>
                <w14:textFill>
                  <w14:solidFill>
                    <w14:srgbClr w14:val="000000">
                      <w14:alpha w14:val="100000"/>
                    </w14:srgbClr>
                  </w14:solidFill>
                </w14:textFill>
              </w:rPr>
              <w:t xml:space="preserve">　</w:t>
            </w:r>
            <w:r w:rsidR="000A25B4" w:rsidRPr="000A25B4">
              <w:rPr>
                <w:color w:val="000000"/>
                <w:w w:val="15"/>
                <w:shd w:val="solid" w:color="000000" w:fill="000000"/>
                <w:fitText w:val="63" w:id="-1435755768"/>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8"/>
                <w14:textFill>
                  <w14:solidFill>
                    <w14:srgbClr w14:val="000000">
                      <w14:alpha w14:val="100000"/>
                    </w14:srgbClr>
                  </w14:solidFill>
                </w14:textFill>
              </w:rPr>
              <w:t xml:space="preserve">　</w:t>
            </w:r>
          </w:p>
        </w:tc>
        <w:tc>
          <w:tcPr>
            <w:tcW w:w="727" w:type="pct"/>
            <w:vAlign w:val="center"/>
          </w:tcPr>
          <w:p w14:paraId="409FC9C2" w14:textId="77777777" w:rsidR="00377BBF" w:rsidRPr="00E7767C" w:rsidRDefault="00377BBF" w:rsidP="00377BBF">
            <w:pPr>
              <w:pStyle w:val="TableText0"/>
              <w:keepLines/>
              <w:jc w:val="center"/>
            </w:pPr>
            <w:r w:rsidRPr="00E7767C">
              <w:t>1.386</w:t>
            </w:r>
          </w:p>
        </w:tc>
        <w:tc>
          <w:tcPr>
            <w:tcW w:w="566" w:type="pct"/>
            <w:vAlign w:val="center"/>
          </w:tcPr>
          <w:p w14:paraId="4D0BEEB1" w14:textId="717E13C2" w:rsidR="00377BBF" w:rsidRPr="00E7767C" w:rsidRDefault="00377BBF" w:rsidP="00377BBF">
            <w:pPr>
              <w:pStyle w:val="TableText0"/>
              <w:keepLines/>
              <w:jc w:val="center"/>
            </w:pPr>
            <w:r w:rsidRPr="00E7767C">
              <w:t>$</w:t>
            </w:r>
            <w:r w:rsidR="000A25B4" w:rsidRPr="000A25B4">
              <w:rPr>
                <w:color w:val="000000"/>
                <w:spacing w:val="48"/>
                <w:shd w:val="solid" w:color="000000" w:fill="000000"/>
                <w:fitText w:val="225" w:id="-1435755767"/>
                <w14:textFill>
                  <w14:solidFill>
                    <w14:srgbClr w14:val="000000">
                      <w14:alpha w14:val="100000"/>
                    </w14:srgbClr>
                  </w14:solidFill>
                </w14:textFill>
              </w:rPr>
              <w:t>||</w:t>
            </w:r>
            <w:r w:rsidR="000A25B4" w:rsidRPr="000A25B4">
              <w:rPr>
                <w:color w:val="000000"/>
                <w:spacing w:val="2"/>
                <w:shd w:val="solid" w:color="000000" w:fill="000000"/>
                <w:fitText w:val="225" w:id="-1435755767"/>
                <w14:textFill>
                  <w14:solidFill>
                    <w14:srgbClr w14:val="000000">
                      <w14:alpha w14:val="100000"/>
                    </w14:srgbClr>
                  </w14:solidFill>
                </w14:textFill>
              </w:rPr>
              <w:t>|</w:t>
            </w:r>
            <w:r w:rsidR="00B91E69">
              <w:rPr>
                <w:b/>
                <w:bCs w:val="0"/>
                <w:vertAlign w:val="superscript"/>
              </w:rPr>
              <w:t>1</w:t>
            </w:r>
          </w:p>
        </w:tc>
        <w:tc>
          <w:tcPr>
            <w:tcW w:w="640" w:type="pct"/>
            <w:vAlign w:val="center"/>
          </w:tcPr>
          <w:p w14:paraId="5DD0E69F" w14:textId="77777777" w:rsidR="00377BBF" w:rsidRPr="00E7767C" w:rsidRDefault="00377BBF" w:rsidP="00377BBF">
            <w:pPr>
              <w:pStyle w:val="TableText0"/>
              <w:keepLines/>
              <w:jc w:val="center"/>
            </w:pPr>
            <w:r w:rsidRPr="00E7767C">
              <w:t>+6.9%</w:t>
            </w:r>
          </w:p>
        </w:tc>
      </w:tr>
      <w:tr w:rsidR="00377BBF" w:rsidRPr="00E7767C" w14:paraId="616C2C75" w14:textId="77777777" w:rsidTr="000D10A7">
        <w:tc>
          <w:tcPr>
            <w:tcW w:w="1128" w:type="pct"/>
            <w:vMerge/>
            <w:vAlign w:val="center"/>
          </w:tcPr>
          <w:p w14:paraId="6A444315" w14:textId="77777777" w:rsidR="00377BBF" w:rsidRPr="00E7767C" w:rsidRDefault="00377BBF" w:rsidP="00377BBF">
            <w:pPr>
              <w:pStyle w:val="TableText0"/>
              <w:keepLines/>
            </w:pPr>
          </w:p>
        </w:tc>
        <w:tc>
          <w:tcPr>
            <w:tcW w:w="1212" w:type="pct"/>
            <w:vAlign w:val="center"/>
          </w:tcPr>
          <w:p w14:paraId="57CE76E9" w14:textId="77777777" w:rsidR="00377BBF" w:rsidRPr="00E7767C" w:rsidRDefault="00377BBF" w:rsidP="00377BBF">
            <w:pPr>
              <w:pStyle w:val="TableText0"/>
              <w:keepLines/>
              <w:rPr>
                <w:iCs/>
              </w:rPr>
            </w:pPr>
            <w:r w:rsidRPr="00E7767C">
              <w:rPr>
                <w:iCs/>
              </w:rPr>
              <w:t>15 years (20.7%, 10.9%)</w:t>
            </w:r>
          </w:p>
        </w:tc>
        <w:tc>
          <w:tcPr>
            <w:tcW w:w="727" w:type="pct"/>
            <w:gridSpan w:val="2"/>
            <w:vAlign w:val="center"/>
          </w:tcPr>
          <w:p w14:paraId="26B4B345" w14:textId="6C815361" w:rsidR="00377BBF" w:rsidRPr="00E7767C" w:rsidRDefault="00377BBF" w:rsidP="00377BBF">
            <w:pPr>
              <w:pStyle w:val="TableText0"/>
              <w:keepLines/>
              <w:jc w:val="center"/>
            </w:pPr>
            <w:r w:rsidRPr="00E7767C">
              <w:t>$</w:t>
            </w:r>
            <w:r w:rsidR="000A25B4" w:rsidRPr="000A25B4">
              <w:rPr>
                <w:rFonts w:hint="eastAsia"/>
                <w:color w:val="000000"/>
                <w:w w:val="15"/>
                <w:shd w:val="solid" w:color="000000" w:fill="000000"/>
                <w:fitText w:val="63" w:id="-1435755766"/>
                <w14:textFill>
                  <w14:solidFill>
                    <w14:srgbClr w14:val="000000">
                      <w14:alpha w14:val="100000"/>
                    </w14:srgbClr>
                  </w14:solidFill>
                </w14:textFill>
              </w:rPr>
              <w:t xml:space="preserve">　</w:t>
            </w:r>
            <w:r w:rsidR="000A25B4" w:rsidRPr="000A25B4">
              <w:rPr>
                <w:color w:val="000000"/>
                <w:w w:val="15"/>
                <w:shd w:val="solid" w:color="000000" w:fill="000000"/>
                <w:fitText w:val="63" w:id="-1435755766"/>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6"/>
                <w14:textFill>
                  <w14:solidFill>
                    <w14:srgbClr w14:val="000000">
                      <w14:alpha w14:val="100000"/>
                    </w14:srgbClr>
                  </w14:solidFill>
                </w14:textFill>
              </w:rPr>
              <w:t xml:space="preserve">　</w:t>
            </w:r>
          </w:p>
        </w:tc>
        <w:tc>
          <w:tcPr>
            <w:tcW w:w="727" w:type="pct"/>
            <w:vAlign w:val="center"/>
          </w:tcPr>
          <w:p w14:paraId="7D4E23BF" w14:textId="77777777" w:rsidR="00377BBF" w:rsidRPr="00E7767C" w:rsidRDefault="00377BBF" w:rsidP="00377BBF">
            <w:pPr>
              <w:pStyle w:val="TableText0"/>
              <w:keepLines/>
              <w:jc w:val="center"/>
            </w:pPr>
            <w:r w:rsidRPr="00E7767C">
              <w:t>1.354</w:t>
            </w:r>
          </w:p>
        </w:tc>
        <w:tc>
          <w:tcPr>
            <w:tcW w:w="566" w:type="pct"/>
            <w:vAlign w:val="center"/>
          </w:tcPr>
          <w:p w14:paraId="39BE53BE" w14:textId="377DFE1C" w:rsidR="00377BBF" w:rsidRPr="00E7767C" w:rsidRDefault="00377BBF" w:rsidP="00377BBF">
            <w:pPr>
              <w:pStyle w:val="TableText0"/>
              <w:keepLines/>
              <w:jc w:val="center"/>
            </w:pPr>
            <w:r w:rsidRPr="00E7767C">
              <w:t>$</w:t>
            </w:r>
            <w:r w:rsidR="000A25B4" w:rsidRPr="000A25B4">
              <w:rPr>
                <w:color w:val="000000"/>
                <w:spacing w:val="48"/>
                <w:shd w:val="solid" w:color="000000" w:fill="000000"/>
                <w:fitText w:val="225" w:id="-1435755765"/>
                <w14:textFill>
                  <w14:solidFill>
                    <w14:srgbClr w14:val="000000">
                      <w14:alpha w14:val="100000"/>
                    </w14:srgbClr>
                  </w14:solidFill>
                </w14:textFill>
              </w:rPr>
              <w:t>||</w:t>
            </w:r>
            <w:r w:rsidR="000A25B4" w:rsidRPr="000A25B4">
              <w:rPr>
                <w:color w:val="000000"/>
                <w:spacing w:val="2"/>
                <w:shd w:val="solid" w:color="000000" w:fill="000000"/>
                <w:fitText w:val="225" w:id="-1435755765"/>
                <w14:textFill>
                  <w14:solidFill>
                    <w14:srgbClr w14:val="000000">
                      <w14:alpha w14:val="100000"/>
                    </w14:srgbClr>
                  </w14:solidFill>
                </w14:textFill>
              </w:rPr>
              <w:t>|</w:t>
            </w:r>
            <w:r w:rsidR="00B91E69">
              <w:rPr>
                <w:b/>
                <w:bCs w:val="0"/>
                <w:vertAlign w:val="superscript"/>
              </w:rPr>
              <w:t>1</w:t>
            </w:r>
          </w:p>
        </w:tc>
        <w:tc>
          <w:tcPr>
            <w:tcW w:w="640" w:type="pct"/>
            <w:vAlign w:val="center"/>
          </w:tcPr>
          <w:p w14:paraId="559F7584" w14:textId="77777777" w:rsidR="00377BBF" w:rsidRPr="00E7767C" w:rsidRDefault="00377BBF" w:rsidP="00377BBF">
            <w:pPr>
              <w:pStyle w:val="TableText0"/>
              <w:keepLines/>
              <w:jc w:val="center"/>
            </w:pPr>
            <w:r w:rsidRPr="00E7767C">
              <w:t>+10.2%</w:t>
            </w:r>
          </w:p>
        </w:tc>
      </w:tr>
      <w:tr w:rsidR="00377BBF" w:rsidRPr="00E7767C" w14:paraId="71F1D023" w14:textId="77777777" w:rsidTr="000D10A7">
        <w:tc>
          <w:tcPr>
            <w:tcW w:w="1128" w:type="pct"/>
            <w:vMerge/>
            <w:vAlign w:val="center"/>
          </w:tcPr>
          <w:p w14:paraId="0DF266BD" w14:textId="77777777" w:rsidR="00377BBF" w:rsidRPr="00E7767C" w:rsidRDefault="00377BBF" w:rsidP="00377BBF">
            <w:pPr>
              <w:pStyle w:val="TableText0"/>
              <w:keepLines/>
            </w:pPr>
          </w:p>
        </w:tc>
        <w:tc>
          <w:tcPr>
            <w:tcW w:w="1212" w:type="pct"/>
            <w:vAlign w:val="center"/>
          </w:tcPr>
          <w:p w14:paraId="275C1928" w14:textId="77777777" w:rsidR="00377BBF" w:rsidRPr="00E7767C" w:rsidRDefault="00377BBF" w:rsidP="00377BBF">
            <w:pPr>
              <w:pStyle w:val="TableText0"/>
              <w:keepLines/>
              <w:rPr>
                <w:iCs/>
              </w:rPr>
            </w:pPr>
            <w:r w:rsidRPr="00E7767C">
              <w:rPr>
                <w:iCs/>
              </w:rPr>
              <w:t>25 years (no cure)</w:t>
            </w:r>
          </w:p>
        </w:tc>
        <w:tc>
          <w:tcPr>
            <w:tcW w:w="727" w:type="pct"/>
            <w:gridSpan w:val="2"/>
            <w:vAlign w:val="center"/>
          </w:tcPr>
          <w:p w14:paraId="133DEBBA" w14:textId="3364082D" w:rsidR="00377BBF" w:rsidRPr="00E7767C" w:rsidRDefault="00377BBF" w:rsidP="00377BBF">
            <w:pPr>
              <w:pStyle w:val="TableText0"/>
              <w:keepLines/>
              <w:jc w:val="center"/>
            </w:pPr>
            <w:r w:rsidRPr="00E7767C">
              <w:t>$</w:t>
            </w:r>
            <w:r w:rsidR="000A25B4" w:rsidRPr="000A25B4">
              <w:rPr>
                <w:rFonts w:hint="eastAsia"/>
                <w:color w:val="000000"/>
                <w:w w:val="15"/>
                <w:shd w:val="solid" w:color="000000" w:fill="000000"/>
                <w:fitText w:val="63" w:id="-1435755764"/>
                <w14:textFill>
                  <w14:solidFill>
                    <w14:srgbClr w14:val="000000">
                      <w14:alpha w14:val="100000"/>
                    </w14:srgbClr>
                  </w14:solidFill>
                </w14:textFill>
              </w:rPr>
              <w:t xml:space="preserve">　</w:t>
            </w:r>
            <w:r w:rsidR="000A25B4" w:rsidRPr="000A25B4">
              <w:rPr>
                <w:color w:val="000000"/>
                <w:w w:val="15"/>
                <w:shd w:val="solid" w:color="000000" w:fill="000000"/>
                <w:fitText w:val="63" w:id="-1435755764"/>
                <w14:textFill>
                  <w14:solidFill>
                    <w14:srgbClr w14:val="000000">
                      <w14:alpha w14:val="100000"/>
                    </w14:srgbClr>
                  </w14:solidFill>
                </w14:textFill>
              </w:rPr>
              <w:t>|</w:t>
            </w:r>
            <w:r w:rsidR="000A25B4" w:rsidRPr="000A25B4">
              <w:rPr>
                <w:rFonts w:hint="eastAsia"/>
                <w:color w:val="000000"/>
                <w:spacing w:val="-2"/>
                <w:w w:val="15"/>
                <w:shd w:val="solid" w:color="000000" w:fill="000000"/>
                <w:fitText w:val="63" w:id="-1435755764"/>
                <w14:textFill>
                  <w14:solidFill>
                    <w14:srgbClr w14:val="000000">
                      <w14:alpha w14:val="100000"/>
                    </w14:srgbClr>
                  </w14:solidFill>
                </w14:textFill>
              </w:rPr>
              <w:t xml:space="preserve">　</w:t>
            </w:r>
          </w:p>
        </w:tc>
        <w:tc>
          <w:tcPr>
            <w:tcW w:w="727" w:type="pct"/>
            <w:vAlign w:val="center"/>
          </w:tcPr>
          <w:p w14:paraId="4988EA07" w14:textId="77777777" w:rsidR="00377BBF" w:rsidRPr="00E7767C" w:rsidRDefault="00377BBF" w:rsidP="00377BBF">
            <w:pPr>
              <w:pStyle w:val="TableText0"/>
              <w:keepLines/>
              <w:jc w:val="center"/>
            </w:pPr>
            <w:r w:rsidRPr="00E7767C">
              <w:t>1.356</w:t>
            </w:r>
          </w:p>
        </w:tc>
        <w:tc>
          <w:tcPr>
            <w:tcW w:w="566" w:type="pct"/>
            <w:vAlign w:val="center"/>
          </w:tcPr>
          <w:p w14:paraId="2486F5DF" w14:textId="263E106A" w:rsidR="00377BBF" w:rsidRPr="00E7767C" w:rsidRDefault="00377BBF" w:rsidP="00377BBF">
            <w:pPr>
              <w:pStyle w:val="TableText0"/>
              <w:keepLines/>
              <w:jc w:val="center"/>
            </w:pPr>
            <w:r w:rsidRPr="00E7767C">
              <w:t>$</w:t>
            </w:r>
            <w:r w:rsidR="000A25B4" w:rsidRPr="000A25B4">
              <w:rPr>
                <w:color w:val="000000"/>
                <w:spacing w:val="48"/>
                <w:shd w:val="solid" w:color="000000" w:fill="000000"/>
                <w:fitText w:val="225" w:id="-1435755763"/>
                <w14:textFill>
                  <w14:solidFill>
                    <w14:srgbClr w14:val="000000">
                      <w14:alpha w14:val="100000"/>
                    </w14:srgbClr>
                  </w14:solidFill>
                </w14:textFill>
              </w:rPr>
              <w:t>||</w:t>
            </w:r>
            <w:r w:rsidR="000A25B4" w:rsidRPr="000A25B4">
              <w:rPr>
                <w:color w:val="000000"/>
                <w:spacing w:val="2"/>
                <w:shd w:val="solid" w:color="000000" w:fill="000000"/>
                <w:fitText w:val="225" w:id="-1435755763"/>
                <w14:textFill>
                  <w14:solidFill>
                    <w14:srgbClr w14:val="000000">
                      <w14:alpha w14:val="100000"/>
                    </w14:srgbClr>
                  </w14:solidFill>
                </w14:textFill>
              </w:rPr>
              <w:t>|</w:t>
            </w:r>
            <w:r w:rsidR="00B91E69">
              <w:rPr>
                <w:b/>
                <w:bCs w:val="0"/>
                <w:vertAlign w:val="superscript"/>
              </w:rPr>
              <w:t>1</w:t>
            </w:r>
          </w:p>
        </w:tc>
        <w:tc>
          <w:tcPr>
            <w:tcW w:w="640" w:type="pct"/>
            <w:vAlign w:val="center"/>
          </w:tcPr>
          <w:p w14:paraId="689331FE" w14:textId="77777777" w:rsidR="00377BBF" w:rsidRPr="00E7767C" w:rsidRDefault="00377BBF" w:rsidP="00377BBF">
            <w:pPr>
              <w:pStyle w:val="TableText0"/>
              <w:keepLines/>
              <w:jc w:val="center"/>
            </w:pPr>
            <w:r w:rsidRPr="00E7767C">
              <w:t>+10.7%</w:t>
            </w:r>
          </w:p>
        </w:tc>
      </w:tr>
      <w:tr w:rsidR="00377BBF" w:rsidRPr="00E7767C" w14:paraId="5A802BFE" w14:textId="77777777" w:rsidTr="000D10A7">
        <w:tc>
          <w:tcPr>
            <w:tcW w:w="1128" w:type="pct"/>
            <w:vAlign w:val="center"/>
          </w:tcPr>
          <w:p w14:paraId="64CABA03" w14:textId="5F759242" w:rsidR="00377BBF" w:rsidRPr="00E7767C" w:rsidRDefault="00377BBF" w:rsidP="00377BBF">
            <w:pPr>
              <w:pStyle w:val="TableText0"/>
              <w:keepLines/>
              <w:rPr>
                <w:iCs/>
              </w:rPr>
            </w:pPr>
            <w:r w:rsidRPr="00E7767C">
              <w:rPr>
                <w:iCs/>
              </w:rPr>
              <w:t>Post -recurrence mortality (22% one-year survival in BC)</w:t>
            </w:r>
          </w:p>
        </w:tc>
        <w:tc>
          <w:tcPr>
            <w:tcW w:w="1212" w:type="pct"/>
            <w:vAlign w:val="center"/>
          </w:tcPr>
          <w:p w14:paraId="504EE320" w14:textId="77777777" w:rsidR="00377BBF" w:rsidRPr="00E7767C" w:rsidRDefault="00377BBF" w:rsidP="00377BBF">
            <w:pPr>
              <w:pStyle w:val="TableText0"/>
              <w:keepLines/>
              <w:rPr>
                <w:iCs/>
              </w:rPr>
            </w:pPr>
            <w:r w:rsidRPr="00E7767C">
              <w:rPr>
                <w:iCs/>
              </w:rPr>
              <w:t>46.9% (Lou et al 2013)</w:t>
            </w:r>
          </w:p>
        </w:tc>
        <w:tc>
          <w:tcPr>
            <w:tcW w:w="727" w:type="pct"/>
            <w:gridSpan w:val="2"/>
            <w:vAlign w:val="center"/>
          </w:tcPr>
          <w:p w14:paraId="7D6C1AE3" w14:textId="677E9C82"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62"/>
                <w14:textFill>
                  <w14:solidFill>
                    <w14:srgbClr w14:val="000000">
                      <w14:alpha w14:val="100000"/>
                    </w14:srgbClr>
                  </w14:solidFill>
                </w14:textFill>
              </w:rPr>
              <w:t xml:space="preserve">　</w:t>
            </w:r>
            <w:r w:rsidR="000A25B4" w:rsidRPr="000A25B4">
              <w:rPr>
                <w:iCs/>
                <w:color w:val="000000"/>
                <w:w w:val="15"/>
                <w:shd w:val="solid" w:color="000000" w:fill="000000"/>
                <w:fitText w:val="63" w:id="-1435755762"/>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62"/>
                <w14:textFill>
                  <w14:solidFill>
                    <w14:srgbClr w14:val="000000">
                      <w14:alpha w14:val="100000"/>
                    </w14:srgbClr>
                  </w14:solidFill>
                </w14:textFill>
              </w:rPr>
              <w:t xml:space="preserve">　</w:t>
            </w:r>
          </w:p>
        </w:tc>
        <w:tc>
          <w:tcPr>
            <w:tcW w:w="727" w:type="pct"/>
            <w:vAlign w:val="center"/>
          </w:tcPr>
          <w:p w14:paraId="3750759E" w14:textId="77777777" w:rsidR="00377BBF" w:rsidRPr="00E7767C" w:rsidRDefault="00377BBF" w:rsidP="00377BBF">
            <w:pPr>
              <w:pStyle w:val="TableText0"/>
              <w:keepLines/>
              <w:jc w:val="center"/>
              <w:rPr>
                <w:iCs/>
              </w:rPr>
            </w:pPr>
            <w:r w:rsidRPr="00E7767C">
              <w:rPr>
                <w:iCs/>
              </w:rPr>
              <w:t>1.393</w:t>
            </w:r>
          </w:p>
        </w:tc>
        <w:tc>
          <w:tcPr>
            <w:tcW w:w="566" w:type="pct"/>
            <w:vAlign w:val="center"/>
          </w:tcPr>
          <w:p w14:paraId="24BD11AE" w14:textId="2FCCD2DB"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61"/>
                <w14:textFill>
                  <w14:solidFill>
                    <w14:srgbClr w14:val="000000">
                      <w14:alpha w14:val="100000"/>
                    </w14:srgbClr>
                  </w14:solidFill>
                </w14:textFill>
              </w:rPr>
              <w:t>||</w:t>
            </w:r>
            <w:r w:rsidR="000A25B4" w:rsidRPr="000A25B4">
              <w:rPr>
                <w:iCs/>
                <w:color w:val="000000"/>
                <w:spacing w:val="2"/>
                <w:shd w:val="solid" w:color="000000" w:fill="000000"/>
                <w:fitText w:val="225" w:id="-1435755761"/>
                <w14:textFill>
                  <w14:solidFill>
                    <w14:srgbClr w14:val="000000">
                      <w14:alpha w14:val="100000"/>
                    </w14:srgbClr>
                  </w14:solidFill>
                </w14:textFill>
              </w:rPr>
              <w:t>|</w:t>
            </w:r>
            <w:r w:rsidR="00B91E69">
              <w:rPr>
                <w:b/>
                <w:bCs w:val="0"/>
                <w:vertAlign w:val="superscript"/>
              </w:rPr>
              <w:t>1</w:t>
            </w:r>
          </w:p>
        </w:tc>
        <w:tc>
          <w:tcPr>
            <w:tcW w:w="640" w:type="pct"/>
            <w:vAlign w:val="center"/>
          </w:tcPr>
          <w:p w14:paraId="045C0D8A" w14:textId="77777777" w:rsidR="00377BBF" w:rsidRPr="00E7767C" w:rsidRDefault="00377BBF" w:rsidP="00377BBF">
            <w:pPr>
              <w:pStyle w:val="TableText0"/>
              <w:keepLines/>
              <w:jc w:val="center"/>
              <w:rPr>
                <w:iCs/>
              </w:rPr>
            </w:pPr>
            <w:r w:rsidRPr="00E7767C">
              <w:rPr>
                <w:iCs/>
              </w:rPr>
              <w:t>+4.3%</w:t>
            </w:r>
          </w:p>
        </w:tc>
      </w:tr>
      <w:tr w:rsidR="00377BBF" w:rsidRPr="00E7767C" w14:paraId="2DFDD17B" w14:textId="77777777" w:rsidTr="000D10A7">
        <w:tc>
          <w:tcPr>
            <w:tcW w:w="1128" w:type="pct"/>
            <w:vAlign w:val="center"/>
          </w:tcPr>
          <w:p w14:paraId="53401119" w14:textId="77777777" w:rsidR="00377BBF" w:rsidRPr="00E7767C" w:rsidRDefault="00377BBF" w:rsidP="00377BBF">
            <w:pPr>
              <w:pStyle w:val="TableText0"/>
              <w:keepLines/>
              <w:rPr>
                <w:iCs/>
              </w:rPr>
            </w:pPr>
            <w:r w:rsidRPr="00E7767C">
              <w:rPr>
                <w:iCs/>
              </w:rPr>
              <w:t>Terminal care costs ($25,547 in BC)</w:t>
            </w:r>
          </w:p>
        </w:tc>
        <w:tc>
          <w:tcPr>
            <w:tcW w:w="1212" w:type="pct"/>
            <w:vAlign w:val="center"/>
          </w:tcPr>
          <w:p w14:paraId="5BDCD534" w14:textId="77777777" w:rsidR="00377BBF" w:rsidRPr="00E7767C" w:rsidRDefault="00377BBF" w:rsidP="00377BBF">
            <w:pPr>
              <w:pStyle w:val="TableText0"/>
              <w:keepLines/>
              <w:rPr>
                <w:iCs/>
              </w:rPr>
            </w:pPr>
            <w:r w:rsidRPr="00E7767C">
              <w:rPr>
                <w:iCs/>
              </w:rPr>
              <w:t>Removed</w:t>
            </w:r>
          </w:p>
        </w:tc>
        <w:tc>
          <w:tcPr>
            <w:tcW w:w="727" w:type="pct"/>
            <w:gridSpan w:val="2"/>
            <w:vAlign w:val="center"/>
          </w:tcPr>
          <w:p w14:paraId="41EC2606" w14:textId="35259027"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60"/>
                <w14:textFill>
                  <w14:solidFill>
                    <w14:srgbClr w14:val="000000">
                      <w14:alpha w14:val="100000"/>
                    </w14:srgbClr>
                  </w14:solidFill>
                </w14:textFill>
              </w:rPr>
              <w:t xml:space="preserve">　</w:t>
            </w:r>
            <w:r w:rsidR="000A25B4" w:rsidRPr="000A25B4">
              <w:rPr>
                <w:iCs/>
                <w:color w:val="000000"/>
                <w:w w:val="15"/>
                <w:shd w:val="solid" w:color="000000" w:fill="000000"/>
                <w:fitText w:val="63" w:id="-1435755760"/>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60"/>
                <w14:textFill>
                  <w14:solidFill>
                    <w14:srgbClr w14:val="000000">
                      <w14:alpha w14:val="100000"/>
                    </w14:srgbClr>
                  </w14:solidFill>
                </w14:textFill>
              </w:rPr>
              <w:t xml:space="preserve">　</w:t>
            </w:r>
          </w:p>
        </w:tc>
        <w:tc>
          <w:tcPr>
            <w:tcW w:w="727" w:type="pct"/>
            <w:vAlign w:val="center"/>
          </w:tcPr>
          <w:p w14:paraId="1B7B90DE" w14:textId="77777777" w:rsidR="00377BBF" w:rsidRPr="00E7767C" w:rsidRDefault="00377BBF" w:rsidP="00377BBF">
            <w:pPr>
              <w:pStyle w:val="TableText0"/>
              <w:keepLines/>
              <w:jc w:val="center"/>
              <w:rPr>
                <w:iCs/>
              </w:rPr>
            </w:pPr>
            <w:r w:rsidRPr="00E7767C">
              <w:rPr>
                <w:iCs/>
              </w:rPr>
              <w:t>1.463</w:t>
            </w:r>
          </w:p>
        </w:tc>
        <w:tc>
          <w:tcPr>
            <w:tcW w:w="566" w:type="pct"/>
            <w:vAlign w:val="center"/>
          </w:tcPr>
          <w:p w14:paraId="6E716292" w14:textId="4C1CDE2D"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76"/>
                <w14:textFill>
                  <w14:solidFill>
                    <w14:srgbClr w14:val="000000">
                      <w14:alpha w14:val="100000"/>
                    </w14:srgbClr>
                  </w14:solidFill>
                </w14:textFill>
              </w:rPr>
              <w:t>||</w:t>
            </w:r>
            <w:r w:rsidR="000A25B4" w:rsidRPr="000A25B4">
              <w:rPr>
                <w:iCs/>
                <w:color w:val="000000"/>
                <w:spacing w:val="2"/>
                <w:shd w:val="solid" w:color="000000" w:fill="000000"/>
                <w:fitText w:val="225" w:id="-1435755776"/>
                <w14:textFill>
                  <w14:solidFill>
                    <w14:srgbClr w14:val="000000">
                      <w14:alpha w14:val="100000"/>
                    </w14:srgbClr>
                  </w14:solidFill>
                </w14:textFill>
              </w:rPr>
              <w:t>|</w:t>
            </w:r>
            <w:r w:rsidR="00B91E69">
              <w:rPr>
                <w:b/>
                <w:bCs w:val="0"/>
                <w:vertAlign w:val="superscript"/>
              </w:rPr>
              <w:t>1</w:t>
            </w:r>
          </w:p>
        </w:tc>
        <w:tc>
          <w:tcPr>
            <w:tcW w:w="640" w:type="pct"/>
            <w:vAlign w:val="center"/>
          </w:tcPr>
          <w:p w14:paraId="0EDF77A6" w14:textId="77777777" w:rsidR="00377BBF" w:rsidRPr="00E7767C" w:rsidRDefault="00377BBF" w:rsidP="00377BBF">
            <w:pPr>
              <w:pStyle w:val="TableText0"/>
              <w:keepLines/>
              <w:jc w:val="center"/>
              <w:rPr>
                <w:iCs/>
              </w:rPr>
            </w:pPr>
            <w:r w:rsidRPr="00E7767C">
              <w:rPr>
                <w:iCs/>
              </w:rPr>
              <w:t>+4.8%</w:t>
            </w:r>
          </w:p>
        </w:tc>
      </w:tr>
      <w:tr w:rsidR="00377BBF" w:rsidRPr="00E7767C" w14:paraId="73670469" w14:textId="77777777" w:rsidTr="000D10A7">
        <w:tc>
          <w:tcPr>
            <w:tcW w:w="1128" w:type="pct"/>
            <w:vMerge w:val="restart"/>
            <w:vAlign w:val="center"/>
          </w:tcPr>
          <w:p w14:paraId="7D5A1BAB" w14:textId="77777777" w:rsidR="00377BBF" w:rsidRPr="00E7767C" w:rsidRDefault="00377BBF" w:rsidP="00377BBF">
            <w:pPr>
              <w:pStyle w:val="TableText0"/>
              <w:keepLines/>
              <w:rPr>
                <w:iCs/>
              </w:rPr>
            </w:pPr>
            <w:r w:rsidRPr="00E7767C">
              <w:rPr>
                <w:iCs/>
              </w:rPr>
              <w:t>Utilities (mean estimates in BC)</w:t>
            </w:r>
          </w:p>
        </w:tc>
        <w:tc>
          <w:tcPr>
            <w:tcW w:w="1212" w:type="pct"/>
            <w:vAlign w:val="center"/>
          </w:tcPr>
          <w:p w14:paraId="04E473F9" w14:textId="77777777" w:rsidR="00377BBF" w:rsidRPr="00E7767C" w:rsidRDefault="00377BBF" w:rsidP="00377BBF">
            <w:pPr>
              <w:pStyle w:val="TableText0"/>
              <w:keepLines/>
              <w:rPr>
                <w:iCs/>
              </w:rPr>
            </w:pPr>
            <w:r w:rsidRPr="00E7767C">
              <w:rPr>
                <w:iCs/>
              </w:rPr>
              <w:t>Lower 95% bounds</w:t>
            </w:r>
          </w:p>
        </w:tc>
        <w:tc>
          <w:tcPr>
            <w:tcW w:w="727" w:type="pct"/>
            <w:gridSpan w:val="2"/>
            <w:vAlign w:val="center"/>
          </w:tcPr>
          <w:p w14:paraId="4B41CCE1" w14:textId="3D4BBCC2"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75"/>
                <w14:textFill>
                  <w14:solidFill>
                    <w14:srgbClr w14:val="000000">
                      <w14:alpha w14:val="100000"/>
                    </w14:srgbClr>
                  </w14:solidFill>
                </w14:textFill>
              </w:rPr>
              <w:t xml:space="preserve">　</w:t>
            </w:r>
            <w:r w:rsidR="000A25B4" w:rsidRPr="000A25B4">
              <w:rPr>
                <w:iCs/>
                <w:color w:val="000000"/>
                <w:w w:val="15"/>
                <w:shd w:val="solid" w:color="000000" w:fill="000000"/>
                <w:fitText w:val="63" w:id="-1435755775"/>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75"/>
                <w14:textFill>
                  <w14:solidFill>
                    <w14:srgbClr w14:val="000000">
                      <w14:alpha w14:val="100000"/>
                    </w14:srgbClr>
                  </w14:solidFill>
                </w14:textFill>
              </w:rPr>
              <w:t xml:space="preserve">　</w:t>
            </w:r>
          </w:p>
        </w:tc>
        <w:tc>
          <w:tcPr>
            <w:tcW w:w="727" w:type="pct"/>
            <w:vAlign w:val="center"/>
          </w:tcPr>
          <w:p w14:paraId="365DC122" w14:textId="77777777" w:rsidR="00377BBF" w:rsidRPr="00E7767C" w:rsidRDefault="00377BBF" w:rsidP="00377BBF">
            <w:pPr>
              <w:pStyle w:val="TableText0"/>
              <w:keepLines/>
              <w:jc w:val="center"/>
              <w:rPr>
                <w:iCs/>
              </w:rPr>
            </w:pPr>
            <w:r w:rsidRPr="00E7767C">
              <w:rPr>
                <w:iCs/>
              </w:rPr>
              <w:t>1.446</w:t>
            </w:r>
          </w:p>
        </w:tc>
        <w:tc>
          <w:tcPr>
            <w:tcW w:w="566" w:type="pct"/>
            <w:vAlign w:val="center"/>
          </w:tcPr>
          <w:p w14:paraId="45C716AF" w14:textId="7D3CCEC4"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74"/>
                <w14:textFill>
                  <w14:solidFill>
                    <w14:srgbClr w14:val="000000">
                      <w14:alpha w14:val="100000"/>
                    </w14:srgbClr>
                  </w14:solidFill>
                </w14:textFill>
              </w:rPr>
              <w:t>||</w:t>
            </w:r>
            <w:r w:rsidR="000A25B4" w:rsidRPr="000A25B4">
              <w:rPr>
                <w:iCs/>
                <w:color w:val="000000"/>
                <w:spacing w:val="2"/>
                <w:shd w:val="solid" w:color="000000" w:fill="000000"/>
                <w:fitText w:val="225" w:id="-1435755774"/>
                <w14:textFill>
                  <w14:solidFill>
                    <w14:srgbClr w14:val="000000">
                      <w14:alpha w14:val="100000"/>
                    </w14:srgbClr>
                  </w14:solidFill>
                </w14:textFill>
              </w:rPr>
              <w:t>|</w:t>
            </w:r>
            <w:r w:rsidR="00B91E69">
              <w:rPr>
                <w:b/>
                <w:bCs w:val="0"/>
                <w:vertAlign w:val="superscript"/>
              </w:rPr>
              <w:t>1</w:t>
            </w:r>
          </w:p>
        </w:tc>
        <w:tc>
          <w:tcPr>
            <w:tcW w:w="640" w:type="pct"/>
            <w:vAlign w:val="center"/>
          </w:tcPr>
          <w:p w14:paraId="01BE0F8B" w14:textId="77777777" w:rsidR="00377BBF" w:rsidRPr="00E7767C" w:rsidRDefault="00377BBF" w:rsidP="00377BBF">
            <w:pPr>
              <w:pStyle w:val="TableText0"/>
              <w:keepLines/>
              <w:jc w:val="center"/>
              <w:rPr>
                <w:iCs/>
              </w:rPr>
            </w:pPr>
            <w:r w:rsidRPr="00E7767C">
              <w:rPr>
                <w:iCs/>
              </w:rPr>
              <w:t>+1.2%</w:t>
            </w:r>
          </w:p>
        </w:tc>
      </w:tr>
      <w:tr w:rsidR="00377BBF" w:rsidRPr="00E7767C" w14:paraId="03153655" w14:textId="77777777" w:rsidTr="000D10A7">
        <w:tc>
          <w:tcPr>
            <w:tcW w:w="1128" w:type="pct"/>
            <w:vMerge/>
          </w:tcPr>
          <w:p w14:paraId="522123D6" w14:textId="77777777" w:rsidR="00377BBF" w:rsidRPr="00E7767C" w:rsidRDefault="00377BBF" w:rsidP="00377BBF">
            <w:pPr>
              <w:pStyle w:val="TableText0"/>
              <w:keepLines/>
              <w:rPr>
                <w:iCs/>
              </w:rPr>
            </w:pPr>
          </w:p>
        </w:tc>
        <w:tc>
          <w:tcPr>
            <w:tcW w:w="1212" w:type="pct"/>
            <w:vAlign w:val="center"/>
          </w:tcPr>
          <w:p w14:paraId="5C68A4AE" w14:textId="77777777" w:rsidR="00377BBF" w:rsidRPr="00E7767C" w:rsidRDefault="00377BBF" w:rsidP="00377BBF">
            <w:pPr>
              <w:pStyle w:val="TableText0"/>
              <w:keepLines/>
              <w:rPr>
                <w:iCs/>
              </w:rPr>
            </w:pPr>
            <w:r w:rsidRPr="00E7767C">
              <w:rPr>
                <w:iCs/>
              </w:rPr>
              <w:t>Upper 95% bounds</w:t>
            </w:r>
          </w:p>
        </w:tc>
        <w:tc>
          <w:tcPr>
            <w:tcW w:w="727" w:type="pct"/>
            <w:gridSpan w:val="2"/>
            <w:vAlign w:val="center"/>
          </w:tcPr>
          <w:p w14:paraId="35827C2E" w14:textId="2AF79E78"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73"/>
                <w14:textFill>
                  <w14:solidFill>
                    <w14:srgbClr w14:val="000000">
                      <w14:alpha w14:val="100000"/>
                    </w14:srgbClr>
                  </w14:solidFill>
                </w14:textFill>
              </w:rPr>
              <w:t xml:space="preserve">　</w:t>
            </w:r>
            <w:r w:rsidR="000A25B4" w:rsidRPr="000A25B4">
              <w:rPr>
                <w:iCs/>
                <w:color w:val="000000"/>
                <w:w w:val="15"/>
                <w:shd w:val="solid" w:color="000000" w:fill="000000"/>
                <w:fitText w:val="63" w:id="-1435755773"/>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73"/>
                <w14:textFill>
                  <w14:solidFill>
                    <w14:srgbClr w14:val="000000">
                      <w14:alpha w14:val="100000"/>
                    </w14:srgbClr>
                  </w14:solidFill>
                </w14:textFill>
              </w:rPr>
              <w:t xml:space="preserve">　</w:t>
            </w:r>
          </w:p>
        </w:tc>
        <w:tc>
          <w:tcPr>
            <w:tcW w:w="727" w:type="pct"/>
            <w:vAlign w:val="center"/>
          </w:tcPr>
          <w:p w14:paraId="69E2C9CC" w14:textId="77777777" w:rsidR="00377BBF" w:rsidRPr="00E7767C" w:rsidRDefault="00377BBF" w:rsidP="00377BBF">
            <w:pPr>
              <w:pStyle w:val="TableText0"/>
              <w:keepLines/>
              <w:jc w:val="center"/>
              <w:rPr>
                <w:iCs/>
              </w:rPr>
            </w:pPr>
            <w:r w:rsidRPr="00E7767C">
              <w:rPr>
                <w:iCs/>
              </w:rPr>
              <w:t>1.478</w:t>
            </w:r>
          </w:p>
        </w:tc>
        <w:tc>
          <w:tcPr>
            <w:tcW w:w="566" w:type="pct"/>
            <w:vAlign w:val="center"/>
          </w:tcPr>
          <w:p w14:paraId="3C649630" w14:textId="43040D34"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72"/>
                <w14:textFill>
                  <w14:solidFill>
                    <w14:srgbClr w14:val="000000">
                      <w14:alpha w14:val="100000"/>
                    </w14:srgbClr>
                  </w14:solidFill>
                </w14:textFill>
              </w:rPr>
              <w:t>||</w:t>
            </w:r>
            <w:r w:rsidR="000A25B4" w:rsidRPr="000A25B4">
              <w:rPr>
                <w:iCs/>
                <w:color w:val="000000"/>
                <w:spacing w:val="2"/>
                <w:shd w:val="solid" w:color="000000" w:fill="000000"/>
                <w:fitText w:val="225" w:id="-1435755772"/>
                <w14:textFill>
                  <w14:solidFill>
                    <w14:srgbClr w14:val="000000">
                      <w14:alpha w14:val="100000"/>
                    </w14:srgbClr>
                  </w14:solidFill>
                </w14:textFill>
              </w:rPr>
              <w:t>|</w:t>
            </w:r>
            <w:r w:rsidR="00B91E69">
              <w:rPr>
                <w:b/>
                <w:bCs w:val="0"/>
                <w:vertAlign w:val="superscript"/>
              </w:rPr>
              <w:t>1</w:t>
            </w:r>
          </w:p>
        </w:tc>
        <w:tc>
          <w:tcPr>
            <w:tcW w:w="640" w:type="pct"/>
            <w:vAlign w:val="center"/>
          </w:tcPr>
          <w:p w14:paraId="79E28BAC" w14:textId="77777777" w:rsidR="00377BBF" w:rsidRPr="00E7767C" w:rsidRDefault="00377BBF" w:rsidP="00377BBF">
            <w:pPr>
              <w:pStyle w:val="TableText0"/>
              <w:keepLines/>
              <w:jc w:val="center"/>
              <w:rPr>
                <w:iCs/>
              </w:rPr>
            </w:pPr>
            <w:r w:rsidRPr="00E7767C">
              <w:rPr>
                <w:iCs/>
              </w:rPr>
              <w:t>-1.0%</w:t>
            </w:r>
          </w:p>
        </w:tc>
      </w:tr>
      <w:tr w:rsidR="00377BBF" w:rsidRPr="00E7767C" w14:paraId="6EF7CBF5" w14:textId="77777777" w:rsidTr="000D10A7">
        <w:tc>
          <w:tcPr>
            <w:tcW w:w="1128" w:type="pct"/>
            <w:vMerge/>
          </w:tcPr>
          <w:p w14:paraId="5FD1FD45" w14:textId="77777777" w:rsidR="00377BBF" w:rsidRPr="00E7767C" w:rsidRDefault="00377BBF" w:rsidP="00377BBF">
            <w:pPr>
              <w:pStyle w:val="TableText0"/>
              <w:keepLines/>
              <w:rPr>
                <w:iCs/>
              </w:rPr>
            </w:pPr>
          </w:p>
        </w:tc>
        <w:tc>
          <w:tcPr>
            <w:tcW w:w="1212" w:type="pct"/>
            <w:vAlign w:val="center"/>
          </w:tcPr>
          <w:p w14:paraId="15EE2839" w14:textId="77777777" w:rsidR="00377BBF" w:rsidRPr="00E7767C" w:rsidRDefault="00377BBF" w:rsidP="00377BBF">
            <w:pPr>
              <w:pStyle w:val="TableText0"/>
              <w:keepLines/>
              <w:rPr>
                <w:iCs/>
              </w:rPr>
            </w:pPr>
            <w:r w:rsidRPr="00E7767C">
              <w:rPr>
                <w:iCs/>
              </w:rPr>
              <w:t>Assume 0.84 for post recurrence</w:t>
            </w:r>
          </w:p>
        </w:tc>
        <w:tc>
          <w:tcPr>
            <w:tcW w:w="727" w:type="pct"/>
            <w:gridSpan w:val="2"/>
            <w:vAlign w:val="center"/>
          </w:tcPr>
          <w:p w14:paraId="6C89C941" w14:textId="42EEBC12"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71"/>
                <w14:textFill>
                  <w14:solidFill>
                    <w14:srgbClr w14:val="000000">
                      <w14:alpha w14:val="100000"/>
                    </w14:srgbClr>
                  </w14:solidFill>
                </w14:textFill>
              </w:rPr>
              <w:t xml:space="preserve">　</w:t>
            </w:r>
            <w:r w:rsidR="000A25B4" w:rsidRPr="000A25B4">
              <w:rPr>
                <w:iCs/>
                <w:color w:val="000000"/>
                <w:w w:val="15"/>
                <w:shd w:val="solid" w:color="000000" w:fill="000000"/>
                <w:fitText w:val="63" w:id="-1435755771"/>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71"/>
                <w14:textFill>
                  <w14:solidFill>
                    <w14:srgbClr w14:val="000000">
                      <w14:alpha w14:val="100000"/>
                    </w14:srgbClr>
                  </w14:solidFill>
                </w14:textFill>
              </w:rPr>
              <w:t xml:space="preserve">　</w:t>
            </w:r>
          </w:p>
        </w:tc>
        <w:tc>
          <w:tcPr>
            <w:tcW w:w="727" w:type="pct"/>
            <w:vAlign w:val="center"/>
          </w:tcPr>
          <w:p w14:paraId="7CFAA571" w14:textId="77777777" w:rsidR="00377BBF" w:rsidRPr="00E7767C" w:rsidRDefault="00377BBF" w:rsidP="00377BBF">
            <w:pPr>
              <w:pStyle w:val="TableText0"/>
              <w:keepLines/>
              <w:jc w:val="center"/>
              <w:rPr>
                <w:iCs/>
              </w:rPr>
            </w:pPr>
            <w:r w:rsidRPr="00E7767C">
              <w:rPr>
                <w:iCs/>
              </w:rPr>
              <w:t>1.456</w:t>
            </w:r>
          </w:p>
        </w:tc>
        <w:tc>
          <w:tcPr>
            <w:tcW w:w="566" w:type="pct"/>
            <w:vAlign w:val="center"/>
          </w:tcPr>
          <w:p w14:paraId="36A9D05F" w14:textId="325B73DE"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70"/>
                <w14:textFill>
                  <w14:solidFill>
                    <w14:srgbClr w14:val="000000">
                      <w14:alpha w14:val="100000"/>
                    </w14:srgbClr>
                  </w14:solidFill>
                </w14:textFill>
              </w:rPr>
              <w:t>||</w:t>
            </w:r>
            <w:r w:rsidR="000A25B4" w:rsidRPr="000A25B4">
              <w:rPr>
                <w:iCs/>
                <w:color w:val="000000"/>
                <w:spacing w:val="2"/>
                <w:shd w:val="solid" w:color="000000" w:fill="000000"/>
                <w:fitText w:val="225" w:id="-1435755770"/>
                <w14:textFill>
                  <w14:solidFill>
                    <w14:srgbClr w14:val="000000">
                      <w14:alpha w14:val="100000"/>
                    </w14:srgbClr>
                  </w14:solidFill>
                </w14:textFill>
              </w:rPr>
              <w:t>|</w:t>
            </w:r>
            <w:r w:rsidR="00B91E69">
              <w:rPr>
                <w:b/>
                <w:bCs w:val="0"/>
                <w:vertAlign w:val="superscript"/>
              </w:rPr>
              <w:t>1</w:t>
            </w:r>
          </w:p>
        </w:tc>
        <w:tc>
          <w:tcPr>
            <w:tcW w:w="640" w:type="pct"/>
            <w:vAlign w:val="center"/>
          </w:tcPr>
          <w:p w14:paraId="2BAB8AC7" w14:textId="77777777" w:rsidR="00377BBF" w:rsidRPr="00E7767C" w:rsidRDefault="00377BBF" w:rsidP="00377BBF">
            <w:pPr>
              <w:pStyle w:val="TableText0"/>
              <w:keepLines/>
              <w:jc w:val="center"/>
              <w:rPr>
                <w:iCs/>
              </w:rPr>
            </w:pPr>
            <w:r w:rsidRPr="00E7767C">
              <w:rPr>
                <w:iCs/>
              </w:rPr>
              <w:t>+0.5%</w:t>
            </w:r>
          </w:p>
        </w:tc>
      </w:tr>
      <w:tr w:rsidR="00377BBF" w:rsidRPr="004C54EE" w14:paraId="38729C41" w14:textId="77777777" w:rsidTr="00680C01">
        <w:tc>
          <w:tcPr>
            <w:tcW w:w="2499" w:type="pct"/>
            <w:gridSpan w:val="3"/>
          </w:tcPr>
          <w:p w14:paraId="335863C6" w14:textId="128E43AD" w:rsidR="00377BBF" w:rsidRPr="004C54EE" w:rsidRDefault="00377BBF" w:rsidP="00377BBF">
            <w:pPr>
              <w:pStyle w:val="In-tableHeading"/>
              <w:keepLines/>
              <w:rPr>
                <w:lang w:val="en-AU"/>
              </w:rPr>
            </w:pPr>
            <w:r w:rsidRPr="004C54EE">
              <w:rPr>
                <w:lang w:val="en-AU"/>
              </w:rPr>
              <w:t>Multivariate analyses</w:t>
            </w:r>
          </w:p>
        </w:tc>
        <w:tc>
          <w:tcPr>
            <w:tcW w:w="2501" w:type="pct"/>
            <w:gridSpan w:val="4"/>
          </w:tcPr>
          <w:p w14:paraId="60F880D0" w14:textId="77777777" w:rsidR="00377BBF" w:rsidRPr="004C54EE" w:rsidRDefault="00377BBF" w:rsidP="00377BBF">
            <w:pPr>
              <w:pStyle w:val="In-tableHeading"/>
              <w:keepLines/>
              <w:rPr>
                <w:lang w:val="en-AU"/>
              </w:rPr>
            </w:pPr>
          </w:p>
        </w:tc>
      </w:tr>
      <w:tr w:rsidR="00377BBF" w:rsidRPr="00E7767C" w14:paraId="41A1AE6A" w14:textId="77777777" w:rsidTr="00680C01">
        <w:tc>
          <w:tcPr>
            <w:tcW w:w="2340" w:type="pct"/>
            <w:gridSpan w:val="2"/>
          </w:tcPr>
          <w:p w14:paraId="1FE14AA6" w14:textId="77777777" w:rsidR="00377BBF" w:rsidRPr="00E7767C" w:rsidRDefault="00377BBF" w:rsidP="00377BBF">
            <w:pPr>
              <w:pStyle w:val="TableText0"/>
              <w:keepLines/>
              <w:rPr>
                <w:iCs/>
              </w:rPr>
            </w:pPr>
            <w:r w:rsidRPr="00E7767C">
              <w:rPr>
                <w:iCs/>
              </w:rPr>
              <w:t xml:space="preserve">Cure at 15 years, </w:t>
            </w:r>
            <w:proofErr w:type="spellStart"/>
            <w:r w:rsidRPr="00E7767C">
              <w:rPr>
                <w:iCs/>
              </w:rPr>
              <w:t>Gompertz</w:t>
            </w:r>
            <w:proofErr w:type="spellEnd"/>
            <w:r w:rsidRPr="00E7767C">
              <w:rPr>
                <w:iCs/>
              </w:rPr>
              <w:t xml:space="preserve"> for SOC</w:t>
            </w:r>
          </w:p>
        </w:tc>
        <w:tc>
          <w:tcPr>
            <w:tcW w:w="727" w:type="pct"/>
            <w:gridSpan w:val="2"/>
          </w:tcPr>
          <w:p w14:paraId="20F97E66" w14:textId="739CBAF0"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69"/>
                <w14:textFill>
                  <w14:solidFill>
                    <w14:srgbClr w14:val="000000">
                      <w14:alpha w14:val="100000"/>
                    </w14:srgbClr>
                  </w14:solidFill>
                </w14:textFill>
              </w:rPr>
              <w:t xml:space="preserve">　</w:t>
            </w:r>
            <w:r w:rsidR="000A25B4" w:rsidRPr="000A25B4">
              <w:rPr>
                <w:iCs/>
                <w:color w:val="000000"/>
                <w:w w:val="15"/>
                <w:shd w:val="solid" w:color="000000" w:fill="000000"/>
                <w:fitText w:val="63" w:id="-1435755769"/>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69"/>
                <w14:textFill>
                  <w14:solidFill>
                    <w14:srgbClr w14:val="000000">
                      <w14:alpha w14:val="100000"/>
                    </w14:srgbClr>
                  </w14:solidFill>
                </w14:textFill>
              </w:rPr>
              <w:t xml:space="preserve">　</w:t>
            </w:r>
          </w:p>
        </w:tc>
        <w:tc>
          <w:tcPr>
            <w:tcW w:w="727" w:type="pct"/>
          </w:tcPr>
          <w:p w14:paraId="1E72DC75" w14:textId="77777777" w:rsidR="00377BBF" w:rsidRPr="00E7767C" w:rsidRDefault="00377BBF" w:rsidP="00377BBF">
            <w:pPr>
              <w:pStyle w:val="TableText0"/>
              <w:keepLines/>
              <w:jc w:val="center"/>
              <w:rPr>
                <w:iCs/>
              </w:rPr>
            </w:pPr>
            <w:r w:rsidRPr="00E7767C">
              <w:rPr>
                <w:iCs/>
              </w:rPr>
              <w:t>0.691</w:t>
            </w:r>
          </w:p>
        </w:tc>
        <w:tc>
          <w:tcPr>
            <w:tcW w:w="566" w:type="pct"/>
          </w:tcPr>
          <w:p w14:paraId="37804055" w14:textId="2AD68364"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68"/>
                <w14:textFill>
                  <w14:solidFill>
                    <w14:srgbClr w14:val="000000">
                      <w14:alpha w14:val="100000"/>
                    </w14:srgbClr>
                  </w14:solidFill>
                </w14:textFill>
              </w:rPr>
              <w:t>||</w:t>
            </w:r>
            <w:r w:rsidR="000A25B4" w:rsidRPr="000A25B4">
              <w:rPr>
                <w:iCs/>
                <w:color w:val="000000"/>
                <w:spacing w:val="2"/>
                <w:shd w:val="solid" w:color="000000" w:fill="000000"/>
                <w:fitText w:val="225" w:id="-1435755768"/>
                <w14:textFill>
                  <w14:solidFill>
                    <w14:srgbClr w14:val="000000">
                      <w14:alpha w14:val="100000"/>
                    </w14:srgbClr>
                  </w14:solidFill>
                </w14:textFill>
              </w:rPr>
              <w:t>|</w:t>
            </w:r>
            <w:r w:rsidR="004E4E89">
              <w:rPr>
                <w:b/>
                <w:bCs w:val="0"/>
                <w:vertAlign w:val="superscript"/>
              </w:rPr>
              <w:t>5</w:t>
            </w:r>
          </w:p>
        </w:tc>
        <w:tc>
          <w:tcPr>
            <w:tcW w:w="640" w:type="pct"/>
          </w:tcPr>
          <w:p w14:paraId="4E30CFD3" w14:textId="77777777" w:rsidR="00377BBF" w:rsidRPr="00E7767C" w:rsidRDefault="00377BBF" w:rsidP="00377BBF">
            <w:pPr>
              <w:pStyle w:val="TableText0"/>
              <w:keepLines/>
              <w:jc w:val="center"/>
              <w:rPr>
                <w:iCs/>
              </w:rPr>
            </w:pPr>
            <w:r w:rsidRPr="00E7767C">
              <w:rPr>
                <w:iCs/>
              </w:rPr>
              <w:t>+122.7%</w:t>
            </w:r>
          </w:p>
        </w:tc>
      </w:tr>
      <w:tr w:rsidR="00377BBF" w:rsidRPr="00E7767C" w14:paraId="1ED8D778" w14:textId="77777777" w:rsidTr="00680C01">
        <w:tc>
          <w:tcPr>
            <w:tcW w:w="2340" w:type="pct"/>
            <w:gridSpan w:val="2"/>
          </w:tcPr>
          <w:p w14:paraId="72ACED66" w14:textId="77777777" w:rsidR="00377BBF" w:rsidRPr="00951C2A" w:rsidRDefault="00377BBF" w:rsidP="00377BBF">
            <w:pPr>
              <w:pStyle w:val="TableText0"/>
              <w:keepLines/>
              <w:rPr>
                <w:iCs/>
              </w:rPr>
            </w:pPr>
            <w:r w:rsidRPr="00951C2A">
              <w:rPr>
                <w:iCs/>
              </w:rPr>
              <w:t>Cure at 15 years, and loglogistic for Nivolumab</w:t>
            </w:r>
          </w:p>
        </w:tc>
        <w:tc>
          <w:tcPr>
            <w:tcW w:w="727" w:type="pct"/>
            <w:gridSpan w:val="2"/>
          </w:tcPr>
          <w:p w14:paraId="6F1C5A89" w14:textId="18A71A2D" w:rsidR="00377BBF" w:rsidRPr="00951C2A" w:rsidRDefault="00377BBF" w:rsidP="00377BBF">
            <w:pPr>
              <w:pStyle w:val="TableText0"/>
              <w:keepLines/>
              <w:jc w:val="center"/>
              <w:rPr>
                <w:iCs/>
              </w:rPr>
            </w:pPr>
            <w:r w:rsidRPr="00951C2A">
              <w:rPr>
                <w:iCs/>
              </w:rPr>
              <w:t>$</w:t>
            </w:r>
            <w:r w:rsidR="000A25B4" w:rsidRPr="000A25B4">
              <w:rPr>
                <w:rFonts w:hint="eastAsia"/>
                <w:iCs/>
                <w:color w:val="000000"/>
                <w:w w:val="15"/>
                <w:shd w:val="solid" w:color="000000" w:fill="000000"/>
                <w:fitText w:val="63" w:id="-1435755767"/>
                <w14:textFill>
                  <w14:solidFill>
                    <w14:srgbClr w14:val="000000">
                      <w14:alpha w14:val="100000"/>
                    </w14:srgbClr>
                  </w14:solidFill>
                </w14:textFill>
              </w:rPr>
              <w:t xml:space="preserve">　</w:t>
            </w:r>
            <w:r w:rsidR="000A25B4" w:rsidRPr="000A25B4">
              <w:rPr>
                <w:iCs/>
                <w:color w:val="000000"/>
                <w:w w:val="15"/>
                <w:shd w:val="solid" w:color="000000" w:fill="000000"/>
                <w:fitText w:val="63" w:id="-1435755767"/>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67"/>
                <w14:textFill>
                  <w14:solidFill>
                    <w14:srgbClr w14:val="000000">
                      <w14:alpha w14:val="100000"/>
                    </w14:srgbClr>
                  </w14:solidFill>
                </w14:textFill>
              </w:rPr>
              <w:t xml:space="preserve">　</w:t>
            </w:r>
          </w:p>
        </w:tc>
        <w:tc>
          <w:tcPr>
            <w:tcW w:w="727" w:type="pct"/>
          </w:tcPr>
          <w:p w14:paraId="2DCA3CF8" w14:textId="77777777" w:rsidR="00377BBF" w:rsidRPr="00951C2A" w:rsidRDefault="00377BBF" w:rsidP="00377BBF">
            <w:pPr>
              <w:pStyle w:val="TableText0"/>
              <w:keepLines/>
              <w:jc w:val="center"/>
              <w:rPr>
                <w:iCs/>
              </w:rPr>
            </w:pPr>
            <w:r w:rsidRPr="00951C2A">
              <w:rPr>
                <w:iCs/>
              </w:rPr>
              <w:t>0.614</w:t>
            </w:r>
          </w:p>
        </w:tc>
        <w:tc>
          <w:tcPr>
            <w:tcW w:w="566" w:type="pct"/>
          </w:tcPr>
          <w:p w14:paraId="4291D208" w14:textId="4DDB2671" w:rsidR="00377BBF" w:rsidRPr="00951C2A" w:rsidRDefault="00377BBF" w:rsidP="00377BBF">
            <w:pPr>
              <w:pStyle w:val="TableText0"/>
              <w:keepLines/>
              <w:jc w:val="center"/>
              <w:rPr>
                <w:iCs/>
              </w:rPr>
            </w:pPr>
            <w:r w:rsidRPr="00951C2A">
              <w:rPr>
                <w:iCs/>
              </w:rPr>
              <w:t>$</w:t>
            </w:r>
            <w:r w:rsidR="000A25B4" w:rsidRPr="000A25B4">
              <w:rPr>
                <w:iCs/>
                <w:color w:val="000000"/>
                <w:spacing w:val="48"/>
                <w:shd w:val="solid" w:color="000000" w:fill="000000"/>
                <w:fitText w:val="225" w:id="-1435755766"/>
                <w14:textFill>
                  <w14:solidFill>
                    <w14:srgbClr w14:val="000000">
                      <w14:alpha w14:val="100000"/>
                    </w14:srgbClr>
                  </w14:solidFill>
                </w14:textFill>
              </w:rPr>
              <w:t>||</w:t>
            </w:r>
            <w:r w:rsidR="000A25B4" w:rsidRPr="000A25B4">
              <w:rPr>
                <w:iCs/>
                <w:color w:val="000000"/>
                <w:spacing w:val="2"/>
                <w:shd w:val="solid" w:color="000000" w:fill="000000"/>
                <w:fitText w:val="225" w:id="-1435755766"/>
                <w14:textFill>
                  <w14:solidFill>
                    <w14:srgbClr w14:val="000000">
                      <w14:alpha w14:val="100000"/>
                    </w14:srgbClr>
                  </w14:solidFill>
                </w14:textFill>
              </w:rPr>
              <w:t>|</w:t>
            </w:r>
            <w:r w:rsidR="004E4E89">
              <w:rPr>
                <w:b/>
                <w:bCs w:val="0"/>
                <w:vertAlign w:val="superscript"/>
              </w:rPr>
              <w:t>6</w:t>
            </w:r>
          </w:p>
        </w:tc>
        <w:tc>
          <w:tcPr>
            <w:tcW w:w="640" w:type="pct"/>
          </w:tcPr>
          <w:p w14:paraId="6F3351DF" w14:textId="77777777" w:rsidR="00377BBF" w:rsidRPr="00951C2A" w:rsidRDefault="00377BBF" w:rsidP="00377BBF">
            <w:pPr>
              <w:pStyle w:val="TableText0"/>
              <w:keepLines/>
              <w:jc w:val="center"/>
              <w:rPr>
                <w:iCs/>
              </w:rPr>
            </w:pPr>
            <w:r w:rsidRPr="00951C2A">
              <w:rPr>
                <w:iCs/>
              </w:rPr>
              <w:t>+150.7%</w:t>
            </w:r>
          </w:p>
        </w:tc>
      </w:tr>
      <w:tr w:rsidR="00377BBF" w:rsidRPr="00E7767C" w14:paraId="00DC56B9" w14:textId="77777777" w:rsidTr="00680C01">
        <w:tc>
          <w:tcPr>
            <w:tcW w:w="2340" w:type="pct"/>
            <w:gridSpan w:val="2"/>
          </w:tcPr>
          <w:p w14:paraId="7FCEC904" w14:textId="00B8ED0D" w:rsidR="00377BBF" w:rsidRPr="00E7767C" w:rsidRDefault="00377BBF" w:rsidP="00377BBF">
            <w:pPr>
              <w:pStyle w:val="TableText0"/>
              <w:keepLines/>
              <w:rPr>
                <w:iCs/>
              </w:rPr>
            </w:pPr>
            <w:r w:rsidRPr="00E7767C">
              <w:rPr>
                <w:iCs/>
              </w:rPr>
              <w:t>15-year time horizon, DFS for transition, 46.9% post recurrent one year mortality</w:t>
            </w:r>
          </w:p>
        </w:tc>
        <w:tc>
          <w:tcPr>
            <w:tcW w:w="727" w:type="pct"/>
            <w:gridSpan w:val="2"/>
            <w:vAlign w:val="center"/>
          </w:tcPr>
          <w:p w14:paraId="3B02A806" w14:textId="76B10744" w:rsidR="00377BBF" w:rsidRPr="00E7767C" w:rsidRDefault="00377BBF" w:rsidP="00377BBF">
            <w:pPr>
              <w:pStyle w:val="TableText0"/>
              <w:keepLines/>
              <w:jc w:val="center"/>
              <w:rPr>
                <w:iCs/>
              </w:rPr>
            </w:pPr>
            <w:r w:rsidRPr="00E7767C">
              <w:rPr>
                <w:iCs/>
              </w:rPr>
              <w:t>$</w:t>
            </w:r>
            <w:r w:rsidR="000A25B4" w:rsidRPr="000A25B4">
              <w:rPr>
                <w:rFonts w:hint="eastAsia"/>
                <w:iCs/>
                <w:color w:val="000000"/>
                <w:w w:val="15"/>
                <w:shd w:val="solid" w:color="000000" w:fill="000000"/>
                <w:fitText w:val="63" w:id="-1435755765"/>
                <w14:textFill>
                  <w14:solidFill>
                    <w14:srgbClr w14:val="000000">
                      <w14:alpha w14:val="100000"/>
                    </w14:srgbClr>
                  </w14:solidFill>
                </w14:textFill>
              </w:rPr>
              <w:t xml:space="preserve">　</w:t>
            </w:r>
            <w:r w:rsidR="000A25B4" w:rsidRPr="000A25B4">
              <w:rPr>
                <w:iCs/>
                <w:color w:val="000000"/>
                <w:w w:val="15"/>
                <w:shd w:val="solid" w:color="000000" w:fill="000000"/>
                <w:fitText w:val="63" w:id="-1435755765"/>
                <w14:textFill>
                  <w14:solidFill>
                    <w14:srgbClr w14:val="000000">
                      <w14:alpha w14:val="100000"/>
                    </w14:srgbClr>
                  </w14:solidFill>
                </w14:textFill>
              </w:rPr>
              <w:t>|</w:t>
            </w:r>
            <w:r w:rsidR="000A25B4" w:rsidRPr="000A25B4">
              <w:rPr>
                <w:rFonts w:hint="eastAsia"/>
                <w:iCs/>
                <w:color w:val="000000"/>
                <w:spacing w:val="-2"/>
                <w:w w:val="15"/>
                <w:shd w:val="solid" w:color="000000" w:fill="000000"/>
                <w:fitText w:val="63" w:id="-1435755765"/>
                <w14:textFill>
                  <w14:solidFill>
                    <w14:srgbClr w14:val="000000">
                      <w14:alpha w14:val="100000"/>
                    </w14:srgbClr>
                  </w14:solidFill>
                </w14:textFill>
              </w:rPr>
              <w:t xml:space="preserve">　</w:t>
            </w:r>
          </w:p>
        </w:tc>
        <w:tc>
          <w:tcPr>
            <w:tcW w:w="727" w:type="pct"/>
            <w:vAlign w:val="center"/>
          </w:tcPr>
          <w:p w14:paraId="6FF4B489" w14:textId="77777777" w:rsidR="00377BBF" w:rsidRPr="00E7767C" w:rsidRDefault="00377BBF" w:rsidP="00377BBF">
            <w:pPr>
              <w:pStyle w:val="TableText0"/>
              <w:keepLines/>
              <w:jc w:val="center"/>
              <w:rPr>
                <w:iCs/>
              </w:rPr>
            </w:pPr>
            <w:r w:rsidRPr="00E7767C">
              <w:rPr>
                <w:iCs/>
              </w:rPr>
              <w:t>0.975</w:t>
            </w:r>
          </w:p>
        </w:tc>
        <w:tc>
          <w:tcPr>
            <w:tcW w:w="566" w:type="pct"/>
            <w:vAlign w:val="center"/>
          </w:tcPr>
          <w:p w14:paraId="19BEDB1E" w14:textId="63FDB2E4" w:rsidR="00377BBF" w:rsidRPr="00E7767C" w:rsidRDefault="00377BBF" w:rsidP="00377BBF">
            <w:pPr>
              <w:pStyle w:val="TableText0"/>
              <w:keepLines/>
              <w:jc w:val="center"/>
              <w:rPr>
                <w:iCs/>
              </w:rPr>
            </w:pPr>
            <w:r w:rsidRPr="00E7767C">
              <w:rPr>
                <w:iCs/>
              </w:rPr>
              <w:t>$</w:t>
            </w:r>
            <w:r w:rsidR="000A25B4" w:rsidRPr="000A25B4">
              <w:rPr>
                <w:iCs/>
                <w:color w:val="000000"/>
                <w:spacing w:val="48"/>
                <w:shd w:val="solid" w:color="000000" w:fill="000000"/>
                <w:fitText w:val="225" w:id="-1435755764"/>
                <w14:textFill>
                  <w14:solidFill>
                    <w14:srgbClr w14:val="000000">
                      <w14:alpha w14:val="100000"/>
                    </w14:srgbClr>
                  </w14:solidFill>
                </w14:textFill>
              </w:rPr>
              <w:t>||</w:t>
            </w:r>
            <w:r w:rsidR="000A25B4" w:rsidRPr="000A25B4">
              <w:rPr>
                <w:iCs/>
                <w:color w:val="000000"/>
                <w:spacing w:val="2"/>
                <w:shd w:val="solid" w:color="000000" w:fill="000000"/>
                <w:fitText w:val="225" w:id="-1435755764"/>
                <w14:textFill>
                  <w14:solidFill>
                    <w14:srgbClr w14:val="000000">
                      <w14:alpha w14:val="100000"/>
                    </w14:srgbClr>
                  </w14:solidFill>
                </w14:textFill>
              </w:rPr>
              <w:t>|</w:t>
            </w:r>
            <w:r w:rsidR="004E4E89">
              <w:rPr>
                <w:b/>
                <w:bCs w:val="0"/>
                <w:vertAlign w:val="superscript"/>
              </w:rPr>
              <w:t>7</w:t>
            </w:r>
          </w:p>
        </w:tc>
        <w:tc>
          <w:tcPr>
            <w:tcW w:w="640" w:type="pct"/>
            <w:vAlign w:val="center"/>
          </w:tcPr>
          <w:p w14:paraId="49E8BE60" w14:textId="77777777" w:rsidR="00377BBF" w:rsidRPr="00E7767C" w:rsidRDefault="00377BBF" w:rsidP="00377BBF">
            <w:pPr>
              <w:pStyle w:val="TableText0"/>
              <w:keepLines/>
              <w:jc w:val="center"/>
              <w:rPr>
                <w:iCs/>
              </w:rPr>
            </w:pPr>
            <w:r w:rsidRPr="00E7767C">
              <w:rPr>
                <w:iCs/>
              </w:rPr>
              <w:t>+48.73%</w:t>
            </w:r>
          </w:p>
        </w:tc>
      </w:tr>
    </w:tbl>
    <w:p w14:paraId="1F77D5D2" w14:textId="64C3ED1E" w:rsidR="002C506C" w:rsidRDefault="00172C1C" w:rsidP="00680C01">
      <w:pPr>
        <w:pStyle w:val="TableFigureFooter"/>
        <w:keepNext/>
        <w:keepLines/>
      </w:pPr>
      <w:r w:rsidRPr="004C54EE">
        <w:t xml:space="preserve">Source: Table 86, p186 of the submission and the attached economic model.  </w:t>
      </w:r>
    </w:p>
    <w:p w14:paraId="1FF7B5A0" w14:textId="749A8838" w:rsidR="00172C1C" w:rsidRDefault="00172C1C" w:rsidP="00680C01">
      <w:pPr>
        <w:pStyle w:val="TableFigureFooter"/>
        <w:keepNext/>
        <w:keepLines/>
      </w:pPr>
      <w:r w:rsidRPr="004C54EE">
        <w:t>BC = base case; DFS = disease free survival; ICER = incremental cost-effectiveness ratio SOC = standard of care; TTR = time to recurrence</w:t>
      </w:r>
    </w:p>
    <w:p w14:paraId="755DAC3B" w14:textId="77777777" w:rsidR="004E4E89" w:rsidRPr="009A6D58" w:rsidRDefault="004E4E89" w:rsidP="004E4E8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5A54BB2" w14:textId="0C1E948A" w:rsidR="004E4E89" w:rsidRPr="009A6D58" w:rsidRDefault="004E4E89" w:rsidP="004E4E8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E4E89">
        <w:rPr>
          <w:rFonts w:ascii="Arial Narrow" w:hAnsi="Arial Narrow"/>
          <w:i/>
          <w:sz w:val="18"/>
          <w:szCs w:val="18"/>
        </w:rPr>
        <w:t>$35,000 to &lt; $45,000</w:t>
      </w:r>
    </w:p>
    <w:p w14:paraId="5155B3AB" w14:textId="4D450E6F" w:rsidR="004E4E89" w:rsidRPr="009A6D58" w:rsidRDefault="004E4E89" w:rsidP="004E4E8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2</w:t>
      </w:r>
      <w:r w:rsidRPr="004E4E89">
        <w:rPr>
          <w:rFonts w:ascii="Arial Narrow" w:hAnsi="Arial Narrow"/>
          <w:i/>
          <w:sz w:val="18"/>
          <w:szCs w:val="18"/>
        </w:rPr>
        <w:t>5,000 to &lt; $</w:t>
      </w:r>
      <w:r>
        <w:rPr>
          <w:rFonts w:ascii="Arial Narrow" w:hAnsi="Arial Narrow"/>
          <w:i/>
          <w:sz w:val="18"/>
          <w:szCs w:val="18"/>
        </w:rPr>
        <w:t>3</w:t>
      </w:r>
      <w:r w:rsidRPr="004E4E89">
        <w:rPr>
          <w:rFonts w:ascii="Arial Narrow" w:hAnsi="Arial Narrow"/>
          <w:i/>
          <w:sz w:val="18"/>
          <w:szCs w:val="18"/>
        </w:rPr>
        <w:t>5,000</w:t>
      </w:r>
    </w:p>
    <w:p w14:paraId="5FDA9650" w14:textId="204472DD" w:rsidR="004E4E89" w:rsidRDefault="004E4E89" w:rsidP="004E4E89">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1</w:t>
      </w:r>
      <w:r w:rsidRPr="004E4E89">
        <w:rPr>
          <w:rFonts w:ascii="Arial Narrow" w:hAnsi="Arial Narrow"/>
          <w:i/>
          <w:sz w:val="18"/>
          <w:szCs w:val="18"/>
        </w:rPr>
        <w:t>5,000 to &lt; $</w:t>
      </w:r>
      <w:r>
        <w:rPr>
          <w:rFonts w:ascii="Arial Narrow" w:hAnsi="Arial Narrow"/>
          <w:i/>
          <w:sz w:val="18"/>
          <w:szCs w:val="18"/>
        </w:rPr>
        <w:t>2</w:t>
      </w:r>
      <w:r w:rsidRPr="004E4E89">
        <w:rPr>
          <w:rFonts w:ascii="Arial Narrow" w:hAnsi="Arial Narrow"/>
          <w:i/>
          <w:sz w:val="18"/>
          <w:szCs w:val="18"/>
        </w:rPr>
        <w:t>5,000</w:t>
      </w:r>
    </w:p>
    <w:p w14:paraId="5FC56A2E" w14:textId="1254B1B0" w:rsidR="004E4E89" w:rsidRDefault="004E4E89" w:rsidP="004E4E89">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4</w:t>
      </w:r>
      <w:r w:rsidRPr="004E4E89">
        <w:rPr>
          <w:rFonts w:ascii="Arial Narrow" w:hAnsi="Arial Narrow"/>
          <w:i/>
          <w:sz w:val="18"/>
          <w:szCs w:val="18"/>
        </w:rPr>
        <w:t>5,000 to &lt; $</w:t>
      </w:r>
      <w:r>
        <w:rPr>
          <w:rFonts w:ascii="Arial Narrow" w:hAnsi="Arial Narrow"/>
          <w:i/>
          <w:sz w:val="18"/>
          <w:szCs w:val="18"/>
        </w:rPr>
        <w:t>5</w:t>
      </w:r>
      <w:r w:rsidRPr="004E4E89">
        <w:rPr>
          <w:rFonts w:ascii="Arial Narrow" w:hAnsi="Arial Narrow"/>
          <w:i/>
          <w:sz w:val="18"/>
          <w:szCs w:val="18"/>
        </w:rPr>
        <w:t>5,000</w:t>
      </w:r>
    </w:p>
    <w:p w14:paraId="33874EDD" w14:textId="2AE5F4D0" w:rsidR="004E4E89" w:rsidRDefault="004E4E89" w:rsidP="004E4E89">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7</w:t>
      </w:r>
      <w:r w:rsidRPr="004E4E89">
        <w:rPr>
          <w:rFonts w:ascii="Arial Narrow" w:hAnsi="Arial Narrow"/>
          <w:i/>
          <w:sz w:val="18"/>
          <w:szCs w:val="18"/>
        </w:rPr>
        <w:t>5,000 to &lt; $</w:t>
      </w:r>
      <w:r>
        <w:rPr>
          <w:rFonts w:ascii="Arial Narrow" w:hAnsi="Arial Narrow"/>
          <w:i/>
          <w:sz w:val="18"/>
          <w:szCs w:val="18"/>
        </w:rPr>
        <w:t>9</w:t>
      </w:r>
      <w:r w:rsidRPr="004E4E89">
        <w:rPr>
          <w:rFonts w:ascii="Arial Narrow" w:hAnsi="Arial Narrow"/>
          <w:i/>
          <w:sz w:val="18"/>
          <w:szCs w:val="18"/>
        </w:rPr>
        <w:t>5,000</w:t>
      </w:r>
    </w:p>
    <w:p w14:paraId="68E93A31" w14:textId="21FEF09B" w:rsidR="004E4E89" w:rsidRDefault="004E4E89" w:rsidP="004E4E89">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9</w:t>
      </w:r>
      <w:r w:rsidRPr="004E4E89">
        <w:rPr>
          <w:rFonts w:ascii="Arial Narrow" w:hAnsi="Arial Narrow"/>
          <w:i/>
          <w:sz w:val="18"/>
          <w:szCs w:val="18"/>
        </w:rPr>
        <w:t>5,000 to &lt; $</w:t>
      </w:r>
      <w:r>
        <w:rPr>
          <w:rFonts w:ascii="Arial Narrow" w:hAnsi="Arial Narrow"/>
          <w:i/>
          <w:sz w:val="18"/>
          <w:szCs w:val="18"/>
        </w:rPr>
        <w:t>11</w:t>
      </w:r>
      <w:r w:rsidRPr="004E4E89">
        <w:rPr>
          <w:rFonts w:ascii="Arial Narrow" w:hAnsi="Arial Narrow"/>
          <w:i/>
          <w:sz w:val="18"/>
          <w:szCs w:val="18"/>
        </w:rPr>
        <w:t>5,000</w:t>
      </w:r>
    </w:p>
    <w:p w14:paraId="5693B421" w14:textId="61520A00" w:rsidR="004E4E89" w:rsidRDefault="004E4E89" w:rsidP="004E4E89">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4E4E89">
        <w:rPr>
          <w:rFonts w:ascii="Arial Narrow" w:hAnsi="Arial Narrow"/>
          <w:i/>
          <w:sz w:val="18"/>
          <w:szCs w:val="18"/>
        </w:rPr>
        <w:t>$</w:t>
      </w:r>
      <w:r>
        <w:rPr>
          <w:rFonts w:ascii="Arial Narrow" w:hAnsi="Arial Narrow"/>
          <w:i/>
          <w:sz w:val="18"/>
          <w:szCs w:val="18"/>
        </w:rPr>
        <w:t>5</w:t>
      </w:r>
      <w:r w:rsidRPr="004E4E89">
        <w:rPr>
          <w:rFonts w:ascii="Arial Narrow" w:hAnsi="Arial Narrow"/>
          <w:i/>
          <w:sz w:val="18"/>
          <w:szCs w:val="18"/>
        </w:rPr>
        <w:t>5,000 to &lt; $</w:t>
      </w:r>
      <w:r>
        <w:rPr>
          <w:rFonts w:ascii="Arial Narrow" w:hAnsi="Arial Narrow"/>
          <w:i/>
          <w:sz w:val="18"/>
          <w:szCs w:val="18"/>
        </w:rPr>
        <w:t>7</w:t>
      </w:r>
      <w:r w:rsidRPr="004E4E89">
        <w:rPr>
          <w:rFonts w:ascii="Arial Narrow" w:hAnsi="Arial Narrow"/>
          <w:i/>
          <w:sz w:val="18"/>
          <w:szCs w:val="18"/>
        </w:rPr>
        <w:t>5,000</w:t>
      </w:r>
    </w:p>
    <w:p w14:paraId="6768C7E7" w14:textId="77777777" w:rsidR="00B421AE" w:rsidRPr="004C54EE" w:rsidRDefault="00B421AE" w:rsidP="00172C1C">
      <w:pPr>
        <w:pStyle w:val="TableFigureFooter"/>
      </w:pPr>
    </w:p>
    <w:p w14:paraId="4ACAB443" w14:textId="4D07ABEA" w:rsidR="00CF6EF8" w:rsidRPr="00E7767C" w:rsidRDefault="00CF6EF8" w:rsidP="00CF6EF8">
      <w:pPr>
        <w:pStyle w:val="3-BodyText"/>
        <w:rPr>
          <w:iCs/>
          <w:color w:val="000000" w:themeColor="text1"/>
        </w:rPr>
      </w:pPr>
      <w:bookmarkStart w:id="55" w:name="_Ref106782684"/>
      <w:r w:rsidRPr="00E7767C">
        <w:rPr>
          <w:iCs/>
          <w:color w:val="000000" w:themeColor="text1"/>
        </w:rPr>
        <w:t xml:space="preserve">The model was overall most sensitive to variables which affected the time spent in pre-recurrence. This increased OS by proxy, as patients who transitioned to the post-recurrence health state die at an accelerated rate (22% survival at one year in the </w:t>
      </w:r>
      <w:r w:rsidRPr="00AC1757">
        <w:rPr>
          <w:iCs/>
          <w:color w:val="000000" w:themeColor="text1"/>
        </w:rPr>
        <w:t xml:space="preserve">model). </w:t>
      </w:r>
      <w:bookmarkEnd w:id="55"/>
    </w:p>
    <w:p w14:paraId="700632D0" w14:textId="19DD2949" w:rsidR="00172C1C" w:rsidRPr="00E7767C" w:rsidRDefault="00172C1C" w:rsidP="00172C1C">
      <w:pPr>
        <w:pStyle w:val="3-BodyText"/>
        <w:rPr>
          <w:iCs/>
          <w:color w:val="000000" w:themeColor="text1"/>
        </w:rPr>
      </w:pPr>
      <w:r w:rsidRPr="00E7767C">
        <w:rPr>
          <w:iCs/>
          <w:color w:val="000000" w:themeColor="text1"/>
        </w:rPr>
        <w:t xml:space="preserve">Notably, increasing the required amount of time to </w:t>
      </w:r>
      <w:r w:rsidR="00F5002F">
        <w:rPr>
          <w:iCs/>
          <w:color w:val="000000" w:themeColor="text1"/>
        </w:rPr>
        <w:t xml:space="preserve">a </w:t>
      </w:r>
      <w:r w:rsidRPr="00E7767C">
        <w:rPr>
          <w:iCs/>
          <w:color w:val="000000" w:themeColor="text1"/>
        </w:rPr>
        <w:t>cured status from 5 to 25 years (assuming no cure) only increased the ICER by approximately 10%</w:t>
      </w:r>
      <w:r w:rsidR="00F5002F">
        <w:rPr>
          <w:iCs/>
          <w:color w:val="000000" w:themeColor="text1"/>
        </w:rPr>
        <w:t>.</w:t>
      </w:r>
      <w:r w:rsidRPr="00E7767C">
        <w:rPr>
          <w:iCs/>
          <w:color w:val="000000" w:themeColor="text1"/>
        </w:rPr>
        <w:t xml:space="preserve"> </w:t>
      </w:r>
      <w:r w:rsidR="00F5002F">
        <w:rPr>
          <w:iCs/>
          <w:color w:val="000000" w:themeColor="text1"/>
        </w:rPr>
        <w:t>T</w:t>
      </w:r>
      <w:r w:rsidRPr="00E7767C">
        <w:rPr>
          <w:iCs/>
          <w:color w:val="000000" w:themeColor="text1"/>
        </w:rPr>
        <w:t>his may be driven by the fact that the</w:t>
      </w:r>
      <w:r w:rsidR="00605918" w:rsidRPr="00E7767C">
        <w:rPr>
          <w:iCs/>
          <w:color w:val="000000" w:themeColor="text1"/>
        </w:rPr>
        <w:t xml:space="preserve"> TTR </w:t>
      </w:r>
      <w:r w:rsidRPr="00E7767C">
        <w:rPr>
          <w:iCs/>
          <w:color w:val="000000" w:themeColor="text1"/>
        </w:rPr>
        <w:t xml:space="preserve">extrapolations already are modelled to plateau substantially after 5 years, essentially already assuming a cure for many patients. </w:t>
      </w:r>
    </w:p>
    <w:p w14:paraId="38D842E2" w14:textId="2BD26B05" w:rsidR="00172C1C" w:rsidRPr="00E7767C" w:rsidRDefault="00172C1C" w:rsidP="00172C1C">
      <w:pPr>
        <w:pStyle w:val="3-BodyText"/>
        <w:rPr>
          <w:iCs/>
          <w:color w:val="000000" w:themeColor="text1"/>
        </w:rPr>
      </w:pPr>
      <w:r w:rsidRPr="00E7767C">
        <w:rPr>
          <w:iCs/>
          <w:color w:val="000000" w:themeColor="text1"/>
        </w:rPr>
        <w:lastRenderedPageBreak/>
        <w:t xml:space="preserve">When applying the same extrapolation function to each arm of the model for </w:t>
      </w:r>
      <w:r w:rsidR="00230068" w:rsidRPr="00E7767C">
        <w:rPr>
          <w:iCs/>
          <w:color w:val="000000" w:themeColor="text1"/>
        </w:rPr>
        <w:t>TTR</w:t>
      </w:r>
      <w:r w:rsidRPr="00E7767C">
        <w:rPr>
          <w:iCs/>
          <w:color w:val="000000" w:themeColor="text1"/>
        </w:rPr>
        <w:t xml:space="preserve">, the only extrapolation resulting in a substantial increase in the ICER was the exponential curve resulting in a 12% increase. All other extrapolations resulted in decreases to the ICER.  </w:t>
      </w:r>
    </w:p>
    <w:p w14:paraId="283684DC" w14:textId="45FF3366" w:rsidR="005523B8" w:rsidRPr="005523B8" w:rsidRDefault="00E24177" w:rsidP="00E24177">
      <w:pPr>
        <w:pStyle w:val="3-BodyText"/>
      </w:pPr>
      <w:r w:rsidRPr="003F3EA6">
        <w:t xml:space="preserve">Generalised Gamma extrapolations </w:t>
      </w:r>
      <w:r>
        <w:t xml:space="preserve">were </w:t>
      </w:r>
      <w:r w:rsidRPr="003F3EA6">
        <w:t>used in both arms</w:t>
      </w:r>
      <w:r>
        <w:t xml:space="preserve"> for TTR in the base case</w:t>
      </w:r>
      <w:r w:rsidRPr="003F3EA6">
        <w:t xml:space="preserve">. </w:t>
      </w:r>
      <w:r w:rsidRPr="00E7767C">
        <w:rPr>
          <w:iCs/>
        </w:rPr>
        <w:t>Even though the statistical fit with the generalised gamma extrapolation seemed reasonable and had the lowest AIC and BIC among the parametric models fitted, it was noted that both the CADTH</w:t>
      </w:r>
      <w:r w:rsidRPr="00E7767C">
        <w:rPr>
          <w:rStyle w:val="FootnoteReference"/>
          <w:iCs/>
        </w:rPr>
        <w:footnoteReference w:id="17"/>
      </w:r>
      <w:r w:rsidRPr="00E7767C">
        <w:rPr>
          <w:iCs/>
        </w:rPr>
        <w:t xml:space="preserve"> and NICE evaluation of nivolumab in adjuvant GOJC used different extrapolations. </w:t>
      </w:r>
      <w:r w:rsidR="00AB6CC1" w:rsidRPr="00E7767C">
        <w:rPr>
          <w:iCs/>
        </w:rPr>
        <w:t>I</w:t>
      </w:r>
      <w:r w:rsidRPr="00E7767C">
        <w:rPr>
          <w:iCs/>
        </w:rPr>
        <w:t>n the CADTH evaluation</w:t>
      </w:r>
      <w:r w:rsidR="00AB6CC1" w:rsidRPr="00E7767C">
        <w:rPr>
          <w:iCs/>
        </w:rPr>
        <w:t>,</w:t>
      </w:r>
      <w:r w:rsidRPr="00E7767C">
        <w:rPr>
          <w:iCs/>
        </w:rPr>
        <w:t xml:space="preserve"> which appeared to </w:t>
      </w:r>
      <w:r w:rsidR="00AB6CC1" w:rsidRPr="00E7767C">
        <w:rPr>
          <w:iCs/>
        </w:rPr>
        <w:t xml:space="preserve">also have </w:t>
      </w:r>
      <w:r w:rsidRPr="00E7767C">
        <w:rPr>
          <w:iCs/>
        </w:rPr>
        <w:t>use</w:t>
      </w:r>
      <w:r w:rsidR="00AB6CC1" w:rsidRPr="00E7767C">
        <w:rPr>
          <w:iCs/>
        </w:rPr>
        <w:t>d</w:t>
      </w:r>
      <w:r w:rsidRPr="00E7767C">
        <w:rPr>
          <w:iCs/>
        </w:rPr>
        <w:t xml:space="preserve"> the earlier data cut of CM-577</w:t>
      </w:r>
      <w:r w:rsidR="00AB6CC1" w:rsidRPr="00E7767C">
        <w:rPr>
          <w:iCs/>
        </w:rPr>
        <w:t xml:space="preserve"> (see paragraph</w:t>
      </w:r>
      <w:r w:rsidR="00DB5712">
        <w:rPr>
          <w:iCs/>
        </w:rPr>
        <w:t xml:space="preserve"> </w:t>
      </w:r>
      <w:r w:rsidR="00DB5712">
        <w:rPr>
          <w:iCs/>
        </w:rPr>
        <w:fldChar w:fldCharType="begin"/>
      </w:r>
      <w:r w:rsidR="00DB5712">
        <w:rPr>
          <w:iCs/>
        </w:rPr>
        <w:instrText xml:space="preserve"> REF _Ref104280539 \r \h </w:instrText>
      </w:r>
      <w:r w:rsidR="00DB5712">
        <w:rPr>
          <w:iCs/>
        </w:rPr>
      </w:r>
      <w:r w:rsidR="00DB5712">
        <w:rPr>
          <w:iCs/>
        </w:rPr>
        <w:fldChar w:fldCharType="separate"/>
      </w:r>
      <w:r w:rsidR="00267758">
        <w:rPr>
          <w:iCs/>
        </w:rPr>
        <w:t>6.16</w:t>
      </w:r>
      <w:r w:rsidR="00DB5712">
        <w:rPr>
          <w:iCs/>
        </w:rPr>
        <w:fldChar w:fldCharType="end"/>
      </w:r>
      <w:r w:rsidR="00AB6CC1" w:rsidRPr="00E7767C">
        <w:rPr>
          <w:iCs/>
        </w:rPr>
        <w:t>)</w:t>
      </w:r>
      <w:r w:rsidRPr="00E7767C">
        <w:rPr>
          <w:iCs/>
        </w:rPr>
        <w:t>, a spline odds 2 knots model was used in the base case to predict DFS and a spline hazards 2 knots model was used as part of the reanalysis</w:t>
      </w:r>
      <w:r w:rsidR="00AB6CC1" w:rsidRPr="00E7767C">
        <w:rPr>
          <w:iCs/>
        </w:rPr>
        <w:t xml:space="preserve"> by CADTH</w:t>
      </w:r>
      <w:r w:rsidR="00C03888" w:rsidRPr="00E7767C">
        <w:rPr>
          <w:iCs/>
        </w:rPr>
        <w:t>, who</w:t>
      </w:r>
      <w:r w:rsidRPr="00E7767C">
        <w:rPr>
          <w:iCs/>
        </w:rPr>
        <w:t xml:space="preserve"> noted that the parametric model used to extrapolate DFS data was a driver of the model. In the NICE evaluation, </w:t>
      </w:r>
      <w:r w:rsidR="007D6162" w:rsidRPr="00E7767C">
        <w:rPr>
          <w:iCs/>
        </w:rPr>
        <w:t xml:space="preserve">a </w:t>
      </w:r>
      <w:r w:rsidRPr="00E7767C">
        <w:rPr>
          <w:iCs/>
        </w:rPr>
        <w:t xml:space="preserve">log normal 1 knot spline fit for nivolumab and </w:t>
      </w:r>
      <w:r w:rsidR="007D6162" w:rsidRPr="00E7767C">
        <w:rPr>
          <w:iCs/>
        </w:rPr>
        <w:t xml:space="preserve">a </w:t>
      </w:r>
      <w:r w:rsidRPr="00E7767C">
        <w:rPr>
          <w:iCs/>
        </w:rPr>
        <w:t xml:space="preserve">log normal 2 knot spline for SOC were assessed to be the most robust in the base case, however subsequently a generalised F distribution using data from a later database lock was used. </w:t>
      </w:r>
    </w:p>
    <w:p w14:paraId="19517C60" w14:textId="4ED71466" w:rsidR="00620506" w:rsidRPr="00620506" w:rsidRDefault="00E24177" w:rsidP="00CF6EF8">
      <w:pPr>
        <w:pStyle w:val="3-BodyText"/>
        <w:rPr>
          <w:iCs/>
          <w:color w:val="000000" w:themeColor="text1"/>
        </w:rPr>
      </w:pPr>
      <w:r w:rsidRPr="00E7767C">
        <w:rPr>
          <w:iCs/>
        </w:rPr>
        <w:t xml:space="preserve">The </w:t>
      </w:r>
      <w:r w:rsidR="005523B8" w:rsidRPr="00E7767C">
        <w:rPr>
          <w:iCs/>
        </w:rPr>
        <w:t xml:space="preserve">choice of the </w:t>
      </w:r>
      <w:r w:rsidRPr="00E7767C">
        <w:rPr>
          <w:iCs/>
        </w:rPr>
        <w:t xml:space="preserve">parametric </w:t>
      </w:r>
      <w:r w:rsidR="005523B8" w:rsidRPr="00E7767C">
        <w:rPr>
          <w:iCs/>
        </w:rPr>
        <w:t xml:space="preserve">function for </w:t>
      </w:r>
      <w:r w:rsidRPr="00E7767C">
        <w:rPr>
          <w:iCs/>
        </w:rPr>
        <w:t xml:space="preserve">extrapolation </w:t>
      </w:r>
      <w:r w:rsidR="005523B8" w:rsidRPr="00E7767C">
        <w:rPr>
          <w:iCs/>
        </w:rPr>
        <w:t xml:space="preserve">as opposed to spline models </w:t>
      </w:r>
      <w:r w:rsidRPr="00E7767C">
        <w:rPr>
          <w:iCs/>
        </w:rPr>
        <w:t xml:space="preserve">may have </w:t>
      </w:r>
      <w:r w:rsidRPr="00E7767C">
        <w:t>favoured nivolumab but the exact impact was unclear as spline models could not be tested during evaluation. When assuming</w:t>
      </w:r>
      <w:r w:rsidR="00F5002F">
        <w:t xml:space="preserve"> the</w:t>
      </w:r>
      <w:r w:rsidRPr="00E7767C">
        <w:t xml:space="preserve"> same discount rate (1.5% per year) and time horizon (30 years) as in </w:t>
      </w:r>
      <w:r w:rsidR="00F5002F">
        <w:t xml:space="preserve">the </w:t>
      </w:r>
      <w:r w:rsidRPr="00E7767C">
        <w:t xml:space="preserve">CADTH evaluation, </w:t>
      </w:r>
      <w:r w:rsidR="00F5002F">
        <w:t xml:space="preserve">the resulting </w:t>
      </w:r>
      <w:r w:rsidRPr="00E7767C">
        <w:t>incremental QALY</w:t>
      </w:r>
      <w:r w:rsidR="00F5002F">
        <w:t xml:space="preserve"> gained</w:t>
      </w:r>
      <w:r w:rsidRPr="00E7767C">
        <w:t xml:space="preserve"> </w:t>
      </w:r>
      <w:r w:rsidR="00AA2C58" w:rsidRPr="00E7767C">
        <w:t xml:space="preserve">estimated from the </w:t>
      </w:r>
      <w:r w:rsidRPr="00E7767C">
        <w:t xml:space="preserve">model was 2.22 QALYs compared to 1.11 QALYs in the CADTH model. Comparing landmark DFS proportions at up to two years in the model with those considered by NICE also showed that the DFS in the submission were higher in model </w:t>
      </w:r>
      <w:r w:rsidR="00B36C15" w:rsidRPr="00E7767C">
        <w:t xml:space="preserve">at all time points compared to the model </w:t>
      </w:r>
      <w:r w:rsidRPr="00E7767C">
        <w:t xml:space="preserve">presented to NICE. </w:t>
      </w:r>
    </w:p>
    <w:p w14:paraId="55F4C952" w14:textId="1531D258" w:rsidR="008D32BA" w:rsidRPr="00620506" w:rsidRDefault="00CF6EF8" w:rsidP="00620506">
      <w:pPr>
        <w:pStyle w:val="3-BodyText"/>
        <w:rPr>
          <w:iCs/>
          <w:color w:val="000000" w:themeColor="text1"/>
        </w:rPr>
      </w:pPr>
      <w:bookmarkStart w:id="56" w:name="_Ref106782648"/>
      <w:r w:rsidRPr="00E7767C">
        <w:rPr>
          <w:iCs/>
          <w:color w:val="000000" w:themeColor="text1"/>
        </w:rPr>
        <w:t>Using post-recurrence mortality estimates from Lou</w:t>
      </w:r>
      <w:r w:rsidR="00F5002F">
        <w:rPr>
          <w:iCs/>
          <w:color w:val="000000" w:themeColor="text1"/>
        </w:rPr>
        <w:t xml:space="preserve"> et al</w:t>
      </w:r>
      <w:r w:rsidRPr="00E7767C">
        <w:rPr>
          <w:iCs/>
          <w:color w:val="000000" w:themeColor="text1"/>
        </w:rPr>
        <w:t xml:space="preserve"> (2013) rather than van </w:t>
      </w:r>
      <w:proofErr w:type="spellStart"/>
      <w:r w:rsidRPr="00E7767C">
        <w:rPr>
          <w:iCs/>
          <w:color w:val="000000" w:themeColor="text1"/>
        </w:rPr>
        <w:t>Putten</w:t>
      </w:r>
      <w:proofErr w:type="spellEnd"/>
      <w:r w:rsidRPr="00E7767C">
        <w:rPr>
          <w:iCs/>
          <w:color w:val="000000" w:themeColor="text1"/>
        </w:rPr>
        <w:t xml:space="preserve"> </w:t>
      </w:r>
      <w:r w:rsidR="005363E8">
        <w:rPr>
          <w:iCs/>
          <w:color w:val="000000" w:themeColor="text1"/>
        </w:rPr>
        <w:t xml:space="preserve">et al </w:t>
      </w:r>
      <w:r w:rsidR="00F5002F">
        <w:rPr>
          <w:iCs/>
          <w:color w:val="000000" w:themeColor="text1"/>
        </w:rPr>
        <w:t xml:space="preserve">(2018) </w:t>
      </w:r>
      <w:r w:rsidRPr="00E7767C">
        <w:rPr>
          <w:iCs/>
          <w:color w:val="000000" w:themeColor="text1"/>
        </w:rPr>
        <w:t>in the base case (46.9% instead of 22%) resulted in an increase to the ICER of 4.3%.</w:t>
      </w:r>
      <w:bookmarkStart w:id="57" w:name="_Hlk103281644"/>
      <w:r w:rsidR="00620506">
        <w:rPr>
          <w:iCs/>
          <w:lang w:val="en-US"/>
        </w:rPr>
        <w:t xml:space="preserve"> </w:t>
      </w:r>
      <w:r w:rsidR="008D32BA" w:rsidRPr="00620506">
        <w:rPr>
          <w:iCs/>
          <w:lang w:val="en-US"/>
        </w:rPr>
        <w:t xml:space="preserve">The moderate </w:t>
      </w:r>
      <w:r w:rsidR="000922FC" w:rsidRPr="00620506">
        <w:rPr>
          <w:iCs/>
          <w:lang w:val="en-US"/>
        </w:rPr>
        <w:t xml:space="preserve">impact </w:t>
      </w:r>
      <w:r w:rsidR="008D32BA" w:rsidRPr="00620506">
        <w:rPr>
          <w:iCs/>
          <w:lang w:val="en-US"/>
        </w:rPr>
        <w:t>of this sensitivity analysis was due to two reasons. First</w:t>
      </w:r>
      <w:r w:rsidR="00F5002F" w:rsidRPr="00620506">
        <w:rPr>
          <w:iCs/>
          <w:lang w:val="en-US"/>
        </w:rPr>
        <w:t>ly</w:t>
      </w:r>
      <w:r w:rsidR="008D32BA" w:rsidRPr="00620506">
        <w:rPr>
          <w:iCs/>
          <w:lang w:val="en-US"/>
        </w:rPr>
        <w:t xml:space="preserve">, post-recurrence mortality </w:t>
      </w:r>
      <w:r w:rsidR="00F5002F" w:rsidRPr="00620506">
        <w:rPr>
          <w:iCs/>
          <w:lang w:val="en-US"/>
        </w:rPr>
        <w:t>was assumed to be independent of</w:t>
      </w:r>
      <w:r w:rsidR="008D32BA" w:rsidRPr="00620506">
        <w:rPr>
          <w:iCs/>
          <w:lang w:val="en-US"/>
        </w:rPr>
        <w:t xml:space="preserve"> treatment. Secondly, and more importantly, </w:t>
      </w:r>
      <w:r w:rsidR="005B0BC1" w:rsidRPr="00620506">
        <w:rPr>
          <w:iCs/>
          <w:lang w:val="en-US"/>
        </w:rPr>
        <w:t xml:space="preserve">as discussed in paragraph </w:t>
      </w:r>
      <w:r w:rsidR="005B0BC1" w:rsidRPr="00620506">
        <w:rPr>
          <w:iCs/>
          <w:lang w:val="en-US"/>
        </w:rPr>
        <w:fldChar w:fldCharType="begin"/>
      </w:r>
      <w:r w:rsidR="005B0BC1" w:rsidRPr="00620506">
        <w:rPr>
          <w:iCs/>
          <w:lang w:val="en-US"/>
        </w:rPr>
        <w:instrText xml:space="preserve"> REF _Ref103286065 \r \h </w:instrText>
      </w:r>
      <w:r w:rsidR="005B0BC1" w:rsidRPr="00620506">
        <w:rPr>
          <w:iCs/>
          <w:lang w:val="en-US"/>
        </w:rPr>
      </w:r>
      <w:r w:rsidR="005B0BC1" w:rsidRPr="00620506">
        <w:rPr>
          <w:iCs/>
          <w:lang w:val="en-US"/>
        </w:rPr>
        <w:fldChar w:fldCharType="separate"/>
      </w:r>
      <w:r w:rsidR="00267758">
        <w:rPr>
          <w:iCs/>
          <w:lang w:val="en-US"/>
        </w:rPr>
        <w:t>6.47</w:t>
      </w:r>
      <w:r w:rsidR="005B0BC1" w:rsidRPr="00620506">
        <w:rPr>
          <w:iCs/>
          <w:lang w:val="en-US"/>
        </w:rPr>
        <w:fldChar w:fldCharType="end"/>
      </w:r>
      <w:r w:rsidR="005B0BC1" w:rsidRPr="00620506">
        <w:rPr>
          <w:iCs/>
          <w:lang w:val="en-US"/>
        </w:rPr>
        <w:t xml:space="preserve">, only a small fraction </w:t>
      </w:r>
      <w:r w:rsidR="008D32BA" w:rsidRPr="00620506">
        <w:rPr>
          <w:iCs/>
          <w:lang w:val="en-US"/>
        </w:rPr>
        <w:t xml:space="preserve">of the treatment effect </w:t>
      </w:r>
      <w:r w:rsidR="00F5002F" w:rsidRPr="00620506">
        <w:rPr>
          <w:iCs/>
          <w:lang w:val="en-US"/>
        </w:rPr>
        <w:t>(</w:t>
      </w:r>
      <w:r w:rsidR="008D32BA" w:rsidRPr="00620506">
        <w:rPr>
          <w:iCs/>
          <w:lang w:val="en-US"/>
        </w:rPr>
        <w:t xml:space="preserve">QALYs </w:t>
      </w:r>
      <w:r w:rsidR="00F5002F" w:rsidRPr="00620506">
        <w:rPr>
          <w:iCs/>
          <w:lang w:val="en-US"/>
        </w:rPr>
        <w:t>and</w:t>
      </w:r>
      <w:r w:rsidR="00564758">
        <w:rPr>
          <w:iCs/>
          <w:lang w:val="en-US"/>
        </w:rPr>
        <w:t xml:space="preserve"> </w:t>
      </w:r>
      <w:r w:rsidR="008D32BA" w:rsidRPr="00620506">
        <w:rPr>
          <w:iCs/>
          <w:lang w:val="en-US"/>
        </w:rPr>
        <w:t>LYG</w:t>
      </w:r>
      <w:r w:rsidR="00564758">
        <w:rPr>
          <w:iCs/>
          <w:lang w:val="en-US"/>
        </w:rPr>
        <w:t>s</w:t>
      </w:r>
      <w:r w:rsidR="00F5002F" w:rsidRPr="00620506">
        <w:rPr>
          <w:iCs/>
          <w:lang w:val="en-US"/>
        </w:rPr>
        <w:t>)</w:t>
      </w:r>
      <w:r w:rsidR="008D32BA" w:rsidRPr="00620506">
        <w:rPr>
          <w:iCs/>
          <w:lang w:val="en-US"/>
        </w:rPr>
        <w:t xml:space="preserve"> was accrued in the post-recurrence state, so even doubling this estimate did not have a</w:t>
      </w:r>
      <w:r w:rsidR="005B0BC1" w:rsidRPr="00620506">
        <w:rPr>
          <w:iCs/>
          <w:lang w:val="en-US"/>
        </w:rPr>
        <w:t xml:space="preserve"> large </w:t>
      </w:r>
      <w:r w:rsidR="008D32BA" w:rsidRPr="00620506">
        <w:rPr>
          <w:iCs/>
          <w:lang w:val="en-US"/>
        </w:rPr>
        <w:t>impact</w:t>
      </w:r>
      <w:r w:rsidR="005B0BC1" w:rsidRPr="00620506">
        <w:rPr>
          <w:iCs/>
          <w:lang w:val="en-US"/>
        </w:rPr>
        <w:t xml:space="preserve"> on the overall ICER</w:t>
      </w:r>
      <w:r w:rsidR="008D32BA" w:rsidRPr="00620506">
        <w:rPr>
          <w:iCs/>
          <w:lang w:val="en-US"/>
        </w:rPr>
        <w:t>.</w:t>
      </w:r>
      <w:bookmarkEnd w:id="56"/>
    </w:p>
    <w:p w14:paraId="5D406964" w14:textId="03E23080" w:rsidR="000A30F9" w:rsidRPr="000A30F9" w:rsidRDefault="00C653A5" w:rsidP="000A30F9">
      <w:pPr>
        <w:pStyle w:val="3-BodyText"/>
        <w:rPr>
          <w:iCs/>
          <w:color w:val="000000" w:themeColor="text1"/>
        </w:rPr>
      </w:pPr>
      <w:bookmarkStart w:id="58" w:name="_Ref109282972"/>
      <w:bookmarkEnd w:id="57"/>
      <w:r>
        <w:rPr>
          <w:iCs/>
          <w:color w:val="000000" w:themeColor="text1"/>
        </w:rPr>
        <w:t xml:space="preserve">In response to </w:t>
      </w:r>
      <w:r w:rsidR="000F47E1">
        <w:rPr>
          <w:iCs/>
          <w:color w:val="000000" w:themeColor="text1"/>
        </w:rPr>
        <w:t xml:space="preserve">a number of concerns raised by </w:t>
      </w:r>
      <w:r w:rsidR="007403BD">
        <w:rPr>
          <w:iCs/>
          <w:color w:val="000000" w:themeColor="text1"/>
        </w:rPr>
        <w:t xml:space="preserve">the </w:t>
      </w:r>
      <w:r w:rsidR="000F47E1">
        <w:rPr>
          <w:iCs/>
          <w:color w:val="000000" w:themeColor="text1"/>
        </w:rPr>
        <w:t>ESC, the</w:t>
      </w:r>
      <w:r w:rsidR="00C32241">
        <w:rPr>
          <w:iCs/>
          <w:color w:val="000000" w:themeColor="text1"/>
        </w:rPr>
        <w:t xml:space="preserve"> sponsor provided a revised economic evaluation in the pre-PBAC response</w:t>
      </w:r>
      <w:r w:rsidR="00CA51C1">
        <w:rPr>
          <w:iCs/>
          <w:color w:val="000000" w:themeColor="text1"/>
        </w:rPr>
        <w:t>.</w:t>
      </w:r>
      <w:r w:rsidR="000F47E1">
        <w:rPr>
          <w:iCs/>
          <w:color w:val="000000" w:themeColor="text1"/>
        </w:rPr>
        <w:t xml:space="preserve"> </w:t>
      </w:r>
      <w:r w:rsidR="000A30F9">
        <w:t xml:space="preserve">The revised </w:t>
      </w:r>
      <w:r w:rsidR="000F47E1">
        <w:t xml:space="preserve">economic evaluation </w:t>
      </w:r>
      <w:r w:rsidR="000A30F9">
        <w:t>included the following steps</w:t>
      </w:r>
      <w:r w:rsidR="00F81288">
        <w:t xml:space="preserve"> (based on a </w:t>
      </w:r>
      <w:proofErr w:type="gramStart"/>
      <w:r w:rsidR="00F81288">
        <w:t>25 year</w:t>
      </w:r>
      <w:proofErr w:type="gramEnd"/>
      <w:r w:rsidR="00F81288">
        <w:t xml:space="preserve"> time horizon)</w:t>
      </w:r>
      <w:r w:rsidR="000A30F9">
        <w:t>:</w:t>
      </w:r>
      <w:bookmarkEnd w:id="58"/>
    </w:p>
    <w:p w14:paraId="5766983C" w14:textId="146A6365" w:rsidR="000A30F9" w:rsidRDefault="004D66EE" w:rsidP="008048FC">
      <w:pPr>
        <w:pStyle w:val="3-BodyText"/>
        <w:numPr>
          <w:ilvl w:val="3"/>
          <w:numId w:val="18"/>
        </w:numPr>
        <w:ind w:left="1134"/>
      </w:pPr>
      <w:r>
        <w:lastRenderedPageBreak/>
        <w:t>Step 1:</w:t>
      </w:r>
      <w:r w:rsidR="004E4E89">
        <w:t xml:space="preserve"> </w:t>
      </w:r>
      <w:r w:rsidR="000A30F9">
        <w:t xml:space="preserve">Use of a </w:t>
      </w:r>
      <w:proofErr w:type="spellStart"/>
      <w:r w:rsidR="000A30F9">
        <w:t>Gompertz</w:t>
      </w:r>
      <w:proofErr w:type="spellEnd"/>
      <w:r w:rsidR="000A30F9">
        <w:t xml:space="preserve"> extrapolation for TTR</w:t>
      </w:r>
      <w:r w:rsidR="00DD614C">
        <w:t xml:space="preserve"> (reducing the ICER to </w:t>
      </w:r>
      <w:r w:rsidR="004E4E89" w:rsidRPr="004E4E89">
        <w:t>$35,000 to &lt; $45,000</w:t>
      </w:r>
      <w:r w:rsidR="00DD614C">
        <w:t>/QALY gained)</w:t>
      </w:r>
      <w:r w:rsidR="000A30F9">
        <w:t>.</w:t>
      </w:r>
    </w:p>
    <w:p w14:paraId="5466E1B5" w14:textId="5073C812" w:rsidR="00DD614C" w:rsidRDefault="004D66EE" w:rsidP="008048FC">
      <w:pPr>
        <w:pStyle w:val="3-BodyText"/>
        <w:numPr>
          <w:ilvl w:val="3"/>
          <w:numId w:val="18"/>
        </w:numPr>
        <w:ind w:left="1134"/>
        <w:rPr>
          <w:iCs/>
          <w:color w:val="000000" w:themeColor="text1"/>
        </w:rPr>
      </w:pPr>
      <w:r>
        <w:rPr>
          <w:iCs/>
          <w:color w:val="000000" w:themeColor="text1"/>
        </w:rPr>
        <w:t xml:space="preserve">Step 2: </w:t>
      </w:r>
      <w:r w:rsidR="000A30F9">
        <w:rPr>
          <w:iCs/>
          <w:color w:val="000000" w:themeColor="text1"/>
        </w:rPr>
        <w:t>Cure assumption remov</w:t>
      </w:r>
      <w:r w:rsidR="00DD614C">
        <w:rPr>
          <w:iCs/>
          <w:color w:val="000000" w:themeColor="text1"/>
        </w:rPr>
        <w:t xml:space="preserve">ed (increasing the ICER to </w:t>
      </w:r>
      <w:r w:rsidR="004E4E89" w:rsidRPr="004E4E89">
        <w:rPr>
          <w:iCs/>
          <w:color w:val="000000" w:themeColor="text1"/>
        </w:rPr>
        <w:t>$35,000 to &lt; $45,000</w:t>
      </w:r>
      <w:r w:rsidR="00DD614C">
        <w:rPr>
          <w:iCs/>
          <w:color w:val="000000" w:themeColor="text1"/>
        </w:rPr>
        <w:t>/QALY gained).</w:t>
      </w:r>
    </w:p>
    <w:p w14:paraId="740A12F9" w14:textId="04CF4517" w:rsidR="008048FC" w:rsidRDefault="004D66EE" w:rsidP="008048FC">
      <w:pPr>
        <w:pStyle w:val="3-BodyText"/>
        <w:numPr>
          <w:ilvl w:val="3"/>
          <w:numId w:val="18"/>
        </w:numPr>
        <w:ind w:left="1134"/>
        <w:rPr>
          <w:iCs/>
          <w:color w:val="000000" w:themeColor="text1"/>
        </w:rPr>
      </w:pPr>
      <w:r>
        <w:rPr>
          <w:iCs/>
          <w:color w:val="000000" w:themeColor="text1"/>
        </w:rPr>
        <w:t xml:space="preserve">Step 3: </w:t>
      </w:r>
      <w:r w:rsidR="00DD614C">
        <w:rPr>
          <w:iCs/>
          <w:color w:val="000000" w:themeColor="text1"/>
        </w:rPr>
        <w:t xml:space="preserve">Use of </w:t>
      </w:r>
      <w:r w:rsidR="000A30F9">
        <w:t>Lou et al (2013)</w:t>
      </w:r>
      <w:r w:rsidR="00DD614C">
        <w:t xml:space="preserve"> for post-recurrence survival (increasing the ICER to </w:t>
      </w:r>
      <w:r w:rsidR="004E4E89" w:rsidRPr="004E4E89">
        <w:t>$35,000 to &lt; $45,000</w:t>
      </w:r>
      <w:r w:rsidR="00DD614C">
        <w:t>/QALY gained).</w:t>
      </w:r>
      <w:r w:rsidR="008048FC">
        <w:rPr>
          <w:iCs/>
          <w:color w:val="000000" w:themeColor="text1"/>
        </w:rPr>
        <w:t xml:space="preserve"> </w:t>
      </w:r>
    </w:p>
    <w:p w14:paraId="6924203F" w14:textId="1E9A4213" w:rsidR="008048FC" w:rsidRDefault="004D66EE" w:rsidP="008048FC">
      <w:pPr>
        <w:pStyle w:val="3-BodyText"/>
        <w:numPr>
          <w:ilvl w:val="3"/>
          <w:numId w:val="18"/>
        </w:numPr>
        <w:ind w:left="1134"/>
        <w:rPr>
          <w:iCs/>
          <w:color w:val="000000" w:themeColor="text1"/>
        </w:rPr>
      </w:pPr>
      <w:r w:rsidRPr="008048FC">
        <w:rPr>
          <w:iCs/>
          <w:color w:val="000000" w:themeColor="text1"/>
        </w:rPr>
        <w:t xml:space="preserve">Step 4: </w:t>
      </w:r>
      <w:r w:rsidR="00DD614C" w:rsidRPr="008048FC">
        <w:rPr>
          <w:iCs/>
          <w:color w:val="000000" w:themeColor="text1"/>
        </w:rPr>
        <w:t xml:space="preserve">Use of treatment specific utilities (increasing the ICER to </w:t>
      </w:r>
      <w:r w:rsidR="004E4E89" w:rsidRPr="004E4E89">
        <w:rPr>
          <w:iCs/>
          <w:color w:val="000000" w:themeColor="text1"/>
        </w:rPr>
        <w:t>$35,000 to &lt; $45,000</w:t>
      </w:r>
      <w:r w:rsidR="00DD614C" w:rsidRPr="008048FC">
        <w:rPr>
          <w:iCs/>
          <w:color w:val="000000" w:themeColor="text1"/>
        </w:rPr>
        <w:t>/QALY gained)</w:t>
      </w:r>
      <w:r w:rsidR="000A30F9" w:rsidRPr="008048FC">
        <w:rPr>
          <w:iCs/>
          <w:color w:val="000000" w:themeColor="text1"/>
        </w:rPr>
        <w:t xml:space="preserve">. </w:t>
      </w:r>
    </w:p>
    <w:p w14:paraId="7AD90A59" w14:textId="1EE587A7" w:rsidR="008048FC" w:rsidRPr="008048FC" w:rsidRDefault="004D66EE" w:rsidP="008048FC">
      <w:pPr>
        <w:pStyle w:val="3-BodyText"/>
        <w:numPr>
          <w:ilvl w:val="3"/>
          <w:numId w:val="18"/>
        </w:numPr>
        <w:ind w:left="1134"/>
        <w:rPr>
          <w:iCs/>
          <w:color w:val="000000" w:themeColor="text1"/>
        </w:rPr>
      </w:pPr>
      <w:r w:rsidRPr="008048FC">
        <w:rPr>
          <w:iCs/>
          <w:color w:val="000000" w:themeColor="text1"/>
        </w:rPr>
        <w:t xml:space="preserve">Step 5: </w:t>
      </w:r>
      <w:r w:rsidR="00DD614C" w:rsidRPr="008048FC">
        <w:rPr>
          <w:iCs/>
          <w:color w:val="000000" w:themeColor="text1"/>
        </w:rPr>
        <w:t xml:space="preserve">Use of </w:t>
      </w:r>
      <w:r w:rsidR="00E27AA1" w:rsidRPr="008048FC">
        <w:rPr>
          <w:iCs/>
          <w:color w:val="000000" w:themeColor="text1"/>
        </w:rPr>
        <w:t xml:space="preserve">continuous </w:t>
      </w:r>
      <w:r w:rsidR="00DD614C" w:rsidRPr="008048FC">
        <w:rPr>
          <w:iCs/>
          <w:color w:val="000000" w:themeColor="text1"/>
        </w:rPr>
        <w:t xml:space="preserve">background mortality multiplier </w:t>
      </w:r>
      <w:r w:rsidR="00E27AA1" w:rsidRPr="008048FC">
        <w:rPr>
          <w:iCs/>
          <w:color w:val="000000" w:themeColor="text1"/>
        </w:rPr>
        <w:t xml:space="preserve">of </w:t>
      </w:r>
      <w:r w:rsidR="00DD614C" w:rsidRPr="008048FC">
        <w:rPr>
          <w:iCs/>
          <w:color w:val="000000" w:themeColor="text1"/>
        </w:rPr>
        <w:t>x2.5</w:t>
      </w:r>
      <w:r w:rsidR="00E27AA1" w:rsidRPr="008048FC">
        <w:rPr>
          <w:iCs/>
          <w:color w:val="000000" w:themeColor="text1"/>
        </w:rPr>
        <w:t xml:space="preserve"> (increasing the ICER to </w:t>
      </w:r>
      <w:r w:rsidR="004E4E89" w:rsidRPr="004E4E89">
        <w:rPr>
          <w:iCs/>
          <w:color w:val="000000" w:themeColor="text1"/>
        </w:rPr>
        <w:t>$35,000 to &lt; $45,000</w:t>
      </w:r>
      <w:r w:rsidR="00E27AA1" w:rsidRPr="008048FC">
        <w:rPr>
          <w:iCs/>
          <w:color w:val="000000" w:themeColor="text1"/>
        </w:rPr>
        <w:t>/QALY gained). The sponsor stated that for this scenario</w:t>
      </w:r>
      <w:r w:rsidR="000A30F9" w:rsidRPr="008048FC">
        <w:rPr>
          <w:iCs/>
          <w:color w:val="000000" w:themeColor="text1"/>
        </w:rPr>
        <w:t xml:space="preserve"> 9% of patients in the nivolumab arm and 5% of patients in the </w:t>
      </w:r>
      <w:r w:rsidR="007403BD" w:rsidRPr="008048FC">
        <w:rPr>
          <w:iCs/>
          <w:color w:val="000000" w:themeColor="text1"/>
        </w:rPr>
        <w:t>‘watch and wait’</w:t>
      </w:r>
      <w:r w:rsidR="000A30F9" w:rsidRPr="008048FC">
        <w:rPr>
          <w:iCs/>
          <w:color w:val="000000" w:themeColor="text1"/>
        </w:rPr>
        <w:t xml:space="preserve"> arm </w:t>
      </w:r>
      <w:r w:rsidR="007403BD" w:rsidRPr="008048FC">
        <w:rPr>
          <w:iCs/>
          <w:color w:val="000000" w:themeColor="text1"/>
        </w:rPr>
        <w:t>remain</w:t>
      </w:r>
      <w:r w:rsidR="000A30F9" w:rsidRPr="008048FC">
        <w:rPr>
          <w:iCs/>
          <w:color w:val="000000" w:themeColor="text1"/>
        </w:rPr>
        <w:t xml:space="preserve"> alive at 25 years. </w:t>
      </w:r>
    </w:p>
    <w:p w14:paraId="24B56B2F" w14:textId="77777777" w:rsidR="0095095D" w:rsidRDefault="00483BBD" w:rsidP="002335E1">
      <w:pPr>
        <w:pStyle w:val="3-BodyText"/>
      </w:pPr>
      <w:bookmarkStart w:id="59" w:name="_Ref106741946"/>
      <w:bookmarkStart w:id="60" w:name="_Ref106380891"/>
      <w:r w:rsidRPr="00F81288">
        <w:t>The ESC considered it would be informative for the PBAC to be provided with a summary of key clinical data and economic and financial assumptions for submissions associated with adjuvant treatments.</w:t>
      </w:r>
      <w:r w:rsidR="002335E1">
        <w:t xml:space="preserve"> </w:t>
      </w:r>
    </w:p>
    <w:p w14:paraId="18034E6B" w14:textId="1705F1A3" w:rsidR="00483BBD" w:rsidRPr="00F81288" w:rsidRDefault="00F81288" w:rsidP="002335E1">
      <w:pPr>
        <w:pStyle w:val="3-BodyText"/>
      </w:pPr>
      <w:r w:rsidRPr="00F81288">
        <w:t xml:space="preserve">The PBAC noted it had previously considered an ICER of less than $30,000/ QALY to be reasonable in an adjuvant treatment setting (paragraph 5.11, nivolumab PSD, July 2019 PBAC meeting).  </w:t>
      </w:r>
      <w:bookmarkEnd w:id="59"/>
      <w:bookmarkEnd w:id="60"/>
    </w:p>
    <w:p w14:paraId="2DD12647" w14:textId="77777777" w:rsidR="00172C1C" w:rsidRDefault="00172C1C" w:rsidP="00BD6584">
      <w:pPr>
        <w:pStyle w:val="4-SubsectionHeading"/>
      </w:pPr>
      <w:bookmarkStart w:id="61" w:name="_Toc22897646"/>
      <w:bookmarkStart w:id="62" w:name="_Toc103767694"/>
      <w:r w:rsidRPr="002C2775">
        <w:t>Drug cost/patient/course</w:t>
      </w:r>
      <w:bookmarkEnd w:id="61"/>
      <w:bookmarkEnd w:id="62"/>
    </w:p>
    <w:p w14:paraId="4BB62E42" w14:textId="0E599245" w:rsidR="00172C1C" w:rsidRPr="004C54EE" w:rsidRDefault="00172C1C" w:rsidP="00172C1C">
      <w:pPr>
        <w:pStyle w:val="TableFigureHeading"/>
      </w:pPr>
      <w:r w:rsidRPr="0010770F">
        <w:rPr>
          <w:rStyle w:val="CommentReference"/>
          <w:b/>
          <w:bCs w:val="0"/>
        </w:rPr>
        <w:t>Table</w:t>
      </w:r>
      <w:r w:rsidRPr="00BB732D">
        <w:rPr>
          <w:rStyle w:val="CommentReference"/>
        </w:rPr>
        <w:t xml:space="preserve"> </w:t>
      </w:r>
      <w:r w:rsidRPr="00375D9E">
        <w:rPr>
          <w:rStyle w:val="TableFigureHeadingChar"/>
          <w:b/>
          <w:bCs/>
          <w:szCs w:val="20"/>
        </w:rPr>
        <w:fldChar w:fldCharType="begin"/>
      </w:r>
      <w:r w:rsidRPr="00375D9E">
        <w:rPr>
          <w:rStyle w:val="TableFigureHeadingChar"/>
          <w:b/>
          <w:bCs/>
          <w:szCs w:val="20"/>
        </w:rPr>
        <w:instrText xml:space="preserve"> SEQ Table \* MERGEFORMAT </w:instrText>
      </w:r>
      <w:r w:rsidRPr="00375D9E">
        <w:rPr>
          <w:rStyle w:val="TableFigureHeadingChar"/>
          <w:b/>
          <w:bCs/>
          <w:szCs w:val="20"/>
        </w:rPr>
        <w:fldChar w:fldCharType="separate"/>
      </w:r>
      <w:r w:rsidR="00267758">
        <w:rPr>
          <w:rStyle w:val="TableFigureHeadingChar"/>
          <w:b/>
          <w:bCs/>
          <w:noProof/>
          <w:szCs w:val="20"/>
        </w:rPr>
        <w:t>13</w:t>
      </w:r>
      <w:r w:rsidRPr="00375D9E">
        <w:rPr>
          <w:rStyle w:val="TableFigureHeadingChar"/>
          <w:b/>
          <w:bCs/>
          <w:szCs w:val="20"/>
        </w:rPr>
        <w:fldChar w:fldCharType="end"/>
      </w:r>
      <w:r w:rsidRPr="004C54EE">
        <w:t>: Nivolumab cost per patient</w:t>
      </w:r>
      <w:r>
        <w:t xml:space="preserve">/ course (applies to clinical, </w:t>
      </w:r>
      <w:proofErr w:type="gramStart"/>
      <w:r>
        <w:t>economic</w:t>
      </w:r>
      <w:proofErr w:type="gramEnd"/>
      <w:r>
        <w:t xml:space="preserve"> and financial estimates)</w:t>
      </w:r>
    </w:p>
    <w:tbl>
      <w:tblPr>
        <w:tblStyle w:val="LashStyleTable1"/>
        <w:tblW w:w="5000" w:type="pct"/>
        <w:tblLook w:val="04A0" w:firstRow="1" w:lastRow="0" w:firstColumn="1" w:lastColumn="0" w:noHBand="0" w:noVBand="1"/>
      </w:tblPr>
      <w:tblGrid>
        <w:gridCol w:w="3415"/>
        <w:gridCol w:w="1778"/>
        <w:gridCol w:w="1912"/>
        <w:gridCol w:w="1912"/>
      </w:tblGrid>
      <w:tr w:rsidR="00172C1C" w:rsidRPr="00E130EB" w14:paraId="02307EA9" w14:textId="77777777" w:rsidTr="00A0461D">
        <w:trPr>
          <w:trHeight w:val="227"/>
        </w:trPr>
        <w:tc>
          <w:tcPr>
            <w:tcW w:w="1894" w:type="pct"/>
          </w:tcPr>
          <w:p w14:paraId="27198A39" w14:textId="77777777" w:rsidR="00172C1C" w:rsidRPr="00E130EB" w:rsidRDefault="00172C1C" w:rsidP="00A0461D">
            <w:pPr>
              <w:pStyle w:val="TableText0"/>
              <w:rPr>
                <w:b/>
                <w:bCs w:val="0"/>
                <w:sz w:val="20"/>
                <w:szCs w:val="20"/>
              </w:rPr>
            </w:pPr>
          </w:p>
        </w:tc>
        <w:tc>
          <w:tcPr>
            <w:tcW w:w="986" w:type="pct"/>
          </w:tcPr>
          <w:p w14:paraId="19D863EF" w14:textId="5F3A762D" w:rsidR="00172C1C" w:rsidRPr="00E130EB" w:rsidRDefault="00172C1C" w:rsidP="00A0461D">
            <w:pPr>
              <w:pStyle w:val="TableText0"/>
              <w:jc w:val="center"/>
              <w:rPr>
                <w:b/>
                <w:bCs w:val="0"/>
                <w:sz w:val="20"/>
                <w:szCs w:val="20"/>
              </w:rPr>
            </w:pPr>
            <w:r w:rsidRPr="00E130EB">
              <w:rPr>
                <w:b/>
                <w:bCs w:val="0"/>
                <w:sz w:val="20"/>
                <w:szCs w:val="20"/>
              </w:rPr>
              <w:t>Nivolumab 240mg</w:t>
            </w:r>
            <w:r w:rsidR="00227561">
              <w:rPr>
                <w:b/>
                <w:bCs w:val="0"/>
                <w:sz w:val="20"/>
                <w:szCs w:val="20"/>
              </w:rPr>
              <w:t xml:space="preserve"> every 2 weeks</w:t>
            </w:r>
            <w:r w:rsidR="00F67F2F">
              <w:rPr>
                <w:b/>
                <w:bCs w:val="0"/>
                <w:sz w:val="20"/>
                <w:szCs w:val="20"/>
              </w:rPr>
              <w:t xml:space="preserve"> over first 16 weeks</w:t>
            </w:r>
          </w:p>
        </w:tc>
        <w:tc>
          <w:tcPr>
            <w:tcW w:w="1060" w:type="pct"/>
          </w:tcPr>
          <w:p w14:paraId="1D7E7648" w14:textId="04554770" w:rsidR="00172C1C" w:rsidRPr="00E130EB" w:rsidRDefault="00172C1C" w:rsidP="00A0461D">
            <w:pPr>
              <w:pStyle w:val="TableText0"/>
              <w:jc w:val="center"/>
              <w:rPr>
                <w:b/>
                <w:bCs w:val="0"/>
                <w:sz w:val="20"/>
                <w:szCs w:val="20"/>
              </w:rPr>
            </w:pPr>
            <w:r w:rsidRPr="00E130EB">
              <w:rPr>
                <w:b/>
                <w:bCs w:val="0"/>
                <w:sz w:val="20"/>
                <w:szCs w:val="20"/>
              </w:rPr>
              <w:t>Nivolumab 480mg</w:t>
            </w:r>
            <w:r w:rsidR="00F67F2F">
              <w:rPr>
                <w:b/>
                <w:bCs w:val="0"/>
                <w:sz w:val="20"/>
                <w:szCs w:val="20"/>
              </w:rPr>
              <w:t xml:space="preserve"> </w:t>
            </w:r>
            <w:r w:rsidR="00227561">
              <w:rPr>
                <w:b/>
                <w:bCs w:val="0"/>
                <w:sz w:val="20"/>
                <w:szCs w:val="20"/>
              </w:rPr>
              <w:t xml:space="preserve">every 4 weeks </w:t>
            </w:r>
            <w:r w:rsidR="00F67F2F">
              <w:rPr>
                <w:b/>
                <w:bCs w:val="0"/>
                <w:sz w:val="20"/>
                <w:szCs w:val="20"/>
              </w:rPr>
              <w:t>for remainder of 1 year of treatment</w:t>
            </w:r>
          </w:p>
        </w:tc>
        <w:tc>
          <w:tcPr>
            <w:tcW w:w="1060" w:type="pct"/>
          </w:tcPr>
          <w:p w14:paraId="178C7350" w14:textId="77777777" w:rsidR="00172C1C" w:rsidRPr="00E130EB" w:rsidRDefault="00172C1C" w:rsidP="00A0461D">
            <w:pPr>
              <w:pStyle w:val="TableText0"/>
              <w:jc w:val="center"/>
              <w:rPr>
                <w:b/>
                <w:bCs w:val="0"/>
                <w:sz w:val="20"/>
                <w:szCs w:val="20"/>
              </w:rPr>
            </w:pPr>
            <w:r w:rsidRPr="00E130EB">
              <w:rPr>
                <w:b/>
                <w:bCs w:val="0"/>
                <w:sz w:val="20"/>
                <w:szCs w:val="20"/>
              </w:rPr>
              <w:t>Total</w:t>
            </w:r>
          </w:p>
        </w:tc>
      </w:tr>
      <w:tr w:rsidR="00172C1C" w:rsidRPr="00E130EB" w14:paraId="6233C862" w14:textId="77777777" w:rsidTr="00A0461D">
        <w:trPr>
          <w:trHeight w:val="227"/>
        </w:trPr>
        <w:tc>
          <w:tcPr>
            <w:tcW w:w="1894" w:type="pct"/>
          </w:tcPr>
          <w:p w14:paraId="1977CE85" w14:textId="77777777" w:rsidR="00172C1C" w:rsidRPr="00E130EB" w:rsidRDefault="00172C1C" w:rsidP="00A0461D">
            <w:pPr>
              <w:pStyle w:val="TableText0"/>
              <w:rPr>
                <w:sz w:val="20"/>
                <w:szCs w:val="20"/>
              </w:rPr>
            </w:pPr>
            <w:r w:rsidRPr="00E130EB">
              <w:rPr>
                <w:sz w:val="20"/>
                <w:szCs w:val="20"/>
              </w:rPr>
              <w:t>Infusions per Treatment course</w:t>
            </w:r>
          </w:p>
        </w:tc>
        <w:tc>
          <w:tcPr>
            <w:tcW w:w="986" w:type="pct"/>
          </w:tcPr>
          <w:p w14:paraId="243A95D8" w14:textId="77777777" w:rsidR="00172C1C" w:rsidRPr="00E130EB" w:rsidRDefault="00172C1C" w:rsidP="00A0461D">
            <w:pPr>
              <w:pStyle w:val="TableText0"/>
              <w:jc w:val="center"/>
              <w:rPr>
                <w:sz w:val="20"/>
                <w:szCs w:val="20"/>
              </w:rPr>
            </w:pPr>
            <w:r w:rsidRPr="00E130EB">
              <w:rPr>
                <w:sz w:val="20"/>
                <w:szCs w:val="20"/>
              </w:rPr>
              <w:t>7.07</w:t>
            </w:r>
          </w:p>
        </w:tc>
        <w:tc>
          <w:tcPr>
            <w:tcW w:w="1060" w:type="pct"/>
          </w:tcPr>
          <w:p w14:paraId="76933B8F" w14:textId="77777777" w:rsidR="00172C1C" w:rsidRPr="00E130EB" w:rsidRDefault="00172C1C" w:rsidP="00A0461D">
            <w:pPr>
              <w:pStyle w:val="TableText0"/>
              <w:jc w:val="center"/>
              <w:rPr>
                <w:sz w:val="20"/>
                <w:szCs w:val="20"/>
              </w:rPr>
            </w:pPr>
            <w:r w:rsidRPr="00E130EB">
              <w:rPr>
                <w:sz w:val="20"/>
                <w:szCs w:val="20"/>
              </w:rPr>
              <w:t>5.23</w:t>
            </w:r>
          </w:p>
        </w:tc>
        <w:tc>
          <w:tcPr>
            <w:tcW w:w="1060" w:type="pct"/>
          </w:tcPr>
          <w:p w14:paraId="0960D0B8" w14:textId="77777777" w:rsidR="00172C1C" w:rsidRPr="00E130EB" w:rsidRDefault="00172C1C" w:rsidP="00A0461D">
            <w:pPr>
              <w:pStyle w:val="TableText0"/>
              <w:jc w:val="center"/>
              <w:rPr>
                <w:sz w:val="20"/>
                <w:szCs w:val="20"/>
              </w:rPr>
            </w:pPr>
            <w:r w:rsidRPr="00E130EB">
              <w:rPr>
                <w:sz w:val="20"/>
                <w:szCs w:val="20"/>
              </w:rPr>
              <w:t>12.3</w:t>
            </w:r>
          </w:p>
        </w:tc>
      </w:tr>
      <w:tr w:rsidR="0010770F" w:rsidRPr="00E7767C" w14:paraId="2A736437" w14:textId="77777777" w:rsidTr="00A0461D">
        <w:trPr>
          <w:trHeight w:val="227"/>
        </w:trPr>
        <w:tc>
          <w:tcPr>
            <w:tcW w:w="1894" w:type="pct"/>
          </w:tcPr>
          <w:p w14:paraId="779B3183" w14:textId="77777777" w:rsidR="0010770F" w:rsidRPr="00E7767C" w:rsidRDefault="0010770F" w:rsidP="0010770F">
            <w:pPr>
              <w:pStyle w:val="TableText0"/>
              <w:rPr>
                <w:sz w:val="20"/>
                <w:szCs w:val="20"/>
              </w:rPr>
            </w:pPr>
            <w:r w:rsidRPr="00E7767C">
              <w:rPr>
                <w:sz w:val="20"/>
                <w:szCs w:val="20"/>
              </w:rPr>
              <w:t>DPMA per infusion</w:t>
            </w:r>
          </w:p>
        </w:tc>
        <w:tc>
          <w:tcPr>
            <w:tcW w:w="986" w:type="pct"/>
          </w:tcPr>
          <w:p w14:paraId="17C76D99" w14:textId="7A88E600" w:rsidR="0010770F" w:rsidRPr="00E7767C" w:rsidRDefault="0010770F" w:rsidP="0010770F">
            <w:pPr>
              <w:pStyle w:val="TableText0"/>
              <w:jc w:val="center"/>
              <w:rPr>
                <w:sz w:val="20"/>
                <w:szCs w:val="20"/>
              </w:rPr>
            </w:pPr>
            <w:r w:rsidRPr="00E7767C">
              <w:rPr>
                <w:sz w:val="20"/>
                <w:szCs w:val="20"/>
              </w:rPr>
              <w:t>$</w:t>
            </w:r>
            <w:r w:rsidR="000A25B4" w:rsidRPr="000A25B4">
              <w:rPr>
                <w:color w:val="000000"/>
                <w:sz w:val="20"/>
                <w:szCs w:val="20"/>
                <w:shd w:val="solid" w:color="000000" w:fill="000000"/>
                <w14:textFill>
                  <w14:solidFill>
                    <w14:srgbClr w14:val="000000">
                      <w14:alpha w14:val="100000"/>
                    </w14:srgbClr>
                  </w14:solidFill>
                </w14:textFill>
              </w:rPr>
              <w:t>|</w:t>
            </w:r>
          </w:p>
        </w:tc>
        <w:tc>
          <w:tcPr>
            <w:tcW w:w="1060" w:type="pct"/>
          </w:tcPr>
          <w:p w14:paraId="58C43590" w14:textId="4AEAECD2" w:rsidR="0010770F" w:rsidRPr="00E7767C" w:rsidRDefault="0010770F" w:rsidP="0010770F">
            <w:pPr>
              <w:pStyle w:val="TableText0"/>
              <w:jc w:val="center"/>
              <w:rPr>
                <w:sz w:val="20"/>
                <w:szCs w:val="20"/>
              </w:rPr>
            </w:pPr>
            <w:r w:rsidRPr="00E7767C">
              <w:rPr>
                <w:sz w:val="20"/>
                <w:szCs w:val="20"/>
              </w:rPr>
              <w:t>$</w:t>
            </w:r>
            <w:r w:rsidR="000A25B4" w:rsidRPr="000A25B4">
              <w:rPr>
                <w:color w:val="000000"/>
                <w:sz w:val="20"/>
                <w:szCs w:val="20"/>
                <w:shd w:val="solid" w:color="000000" w:fill="000000"/>
                <w14:textFill>
                  <w14:solidFill>
                    <w14:srgbClr w14:val="000000">
                      <w14:alpha w14:val="100000"/>
                    </w14:srgbClr>
                  </w14:solidFill>
                </w14:textFill>
              </w:rPr>
              <w:t>|</w:t>
            </w:r>
          </w:p>
        </w:tc>
        <w:tc>
          <w:tcPr>
            <w:tcW w:w="1060" w:type="pct"/>
          </w:tcPr>
          <w:p w14:paraId="7A47AAE1" w14:textId="769E686E" w:rsidR="0010770F" w:rsidRPr="004E4E89" w:rsidRDefault="0010770F" w:rsidP="0010770F">
            <w:pPr>
              <w:pStyle w:val="TableText0"/>
              <w:jc w:val="center"/>
              <w:rPr>
                <w:iCs/>
                <w:sz w:val="20"/>
                <w:szCs w:val="20"/>
                <w:highlight w:val="darkGray"/>
              </w:rPr>
            </w:pPr>
            <w:r w:rsidRPr="004E4E89">
              <w:rPr>
                <w:iCs/>
                <w:sz w:val="20"/>
                <w:szCs w:val="20"/>
              </w:rPr>
              <w:t>$</w:t>
            </w:r>
            <w:r w:rsidR="000A25B4" w:rsidRPr="000A25B4">
              <w:rPr>
                <w:iCs/>
                <w:color w:val="000000"/>
                <w:sz w:val="20"/>
                <w:szCs w:val="20"/>
                <w:shd w:val="solid" w:color="000000" w:fill="000000"/>
                <w14:textFill>
                  <w14:solidFill>
                    <w14:srgbClr w14:val="000000">
                      <w14:alpha w14:val="100000"/>
                    </w14:srgbClr>
                  </w14:solidFill>
                </w14:textFill>
              </w:rPr>
              <w:t>|</w:t>
            </w:r>
          </w:p>
        </w:tc>
      </w:tr>
      <w:tr w:rsidR="0010770F" w:rsidRPr="00E7767C" w14:paraId="0D67E19F" w14:textId="77777777" w:rsidTr="00A0461D">
        <w:trPr>
          <w:trHeight w:val="227"/>
        </w:trPr>
        <w:tc>
          <w:tcPr>
            <w:tcW w:w="1894" w:type="pct"/>
          </w:tcPr>
          <w:p w14:paraId="27D849CE" w14:textId="77777777" w:rsidR="0010770F" w:rsidRPr="00E7767C" w:rsidRDefault="0010770F" w:rsidP="0010770F">
            <w:pPr>
              <w:pStyle w:val="TableText0"/>
              <w:rPr>
                <w:sz w:val="20"/>
                <w:szCs w:val="20"/>
              </w:rPr>
            </w:pPr>
            <w:r w:rsidRPr="00E7767C">
              <w:rPr>
                <w:sz w:val="20"/>
                <w:szCs w:val="20"/>
              </w:rPr>
              <w:t>Drug cost/patient/course</w:t>
            </w:r>
          </w:p>
        </w:tc>
        <w:tc>
          <w:tcPr>
            <w:tcW w:w="986" w:type="pct"/>
          </w:tcPr>
          <w:p w14:paraId="2F9423AD" w14:textId="2890B483" w:rsidR="0010770F" w:rsidRPr="00E7767C" w:rsidRDefault="0010770F" w:rsidP="0010770F">
            <w:pPr>
              <w:pStyle w:val="TableText0"/>
              <w:jc w:val="center"/>
              <w:rPr>
                <w:sz w:val="20"/>
                <w:szCs w:val="20"/>
              </w:rPr>
            </w:pPr>
            <w:r w:rsidRPr="00E7767C">
              <w:rPr>
                <w:sz w:val="20"/>
                <w:szCs w:val="20"/>
              </w:rPr>
              <w:t>$</w:t>
            </w:r>
            <w:r w:rsidR="000A25B4" w:rsidRPr="000A25B4">
              <w:rPr>
                <w:color w:val="000000"/>
                <w:sz w:val="20"/>
                <w:szCs w:val="20"/>
                <w:shd w:val="solid" w:color="000000" w:fill="000000"/>
                <w14:textFill>
                  <w14:solidFill>
                    <w14:srgbClr w14:val="000000">
                      <w14:alpha w14:val="100000"/>
                    </w14:srgbClr>
                  </w14:solidFill>
                </w14:textFill>
              </w:rPr>
              <w:t>|</w:t>
            </w:r>
          </w:p>
        </w:tc>
        <w:tc>
          <w:tcPr>
            <w:tcW w:w="1060" w:type="pct"/>
          </w:tcPr>
          <w:p w14:paraId="61297465" w14:textId="045F680B" w:rsidR="0010770F" w:rsidRPr="00E7767C" w:rsidRDefault="0010770F" w:rsidP="0010770F">
            <w:pPr>
              <w:pStyle w:val="TableText0"/>
              <w:jc w:val="center"/>
              <w:rPr>
                <w:sz w:val="20"/>
                <w:szCs w:val="20"/>
              </w:rPr>
            </w:pPr>
            <w:r w:rsidRPr="00E7767C">
              <w:rPr>
                <w:sz w:val="20"/>
                <w:szCs w:val="20"/>
              </w:rPr>
              <w:t>$</w:t>
            </w:r>
            <w:r w:rsidR="000A25B4" w:rsidRPr="000A25B4">
              <w:rPr>
                <w:color w:val="000000"/>
                <w:sz w:val="20"/>
                <w:szCs w:val="20"/>
                <w:shd w:val="solid" w:color="000000" w:fill="000000"/>
                <w14:textFill>
                  <w14:solidFill>
                    <w14:srgbClr w14:val="000000">
                      <w14:alpha w14:val="100000"/>
                    </w14:srgbClr>
                  </w14:solidFill>
                </w14:textFill>
              </w:rPr>
              <w:t>|</w:t>
            </w:r>
          </w:p>
        </w:tc>
        <w:tc>
          <w:tcPr>
            <w:tcW w:w="1060" w:type="pct"/>
          </w:tcPr>
          <w:p w14:paraId="0E632AA6" w14:textId="42913728" w:rsidR="0010770F" w:rsidRPr="004E4E89" w:rsidRDefault="0010770F" w:rsidP="0010770F">
            <w:pPr>
              <w:pStyle w:val="TableText0"/>
              <w:jc w:val="center"/>
              <w:rPr>
                <w:b/>
                <w:bCs w:val="0"/>
                <w:iCs/>
                <w:sz w:val="20"/>
                <w:szCs w:val="20"/>
                <w:highlight w:val="darkGray"/>
              </w:rPr>
            </w:pPr>
            <w:r w:rsidRPr="004E4E89">
              <w:rPr>
                <w:b/>
                <w:bCs w:val="0"/>
                <w:iCs/>
                <w:sz w:val="20"/>
                <w:szCs w:val="20"/>
              </w:rPr>
              <w:t>$</w:t>
            </w:r>
            <w:r w:rsidR="000A25B4" w:rsidRPr="000A25B4">
              <w:rPr>
                <w:b/>
                <w:bCs w:val="0"/>
                <w:iCs/>
                <w:color w:val="000000"/>
                <w:sz w:val="20"/>
                <w:szCs w:val="20"/>
                <w:shd w:val="solid" w:color="000000" w:fill="000000"/>
                <w14:textFill>
                  <w14:solidFill>
                    <w14:srgbClr w14:val="000000">
                      <w14:alpha w14:val="100000"/>
                    </w14:srgbClr>
                  </w14:solidFill>
                </w14:textFill>
              </w:rPr>
              <w:t>|</w:t>
            </w:r>
          </w:p>
        </w:tc>
      </w:tr>
    </w:tbl>
    <w:p w14:paraId="0AD00EFB" w14:textId="4D6BA061" w:rsidR="0010770F" w:rsidRPr="005A5244" w:rsidRDefault="0010770F" w:rsidP="0010770F">
      <w:pPr>
        <w:pStyle w:val="TableFigureFooter"/>
        <w:keepNext/>
        <w:keepLines/>
        <w:spacing w:after="0"/>
      </w:pPr>
      <w:r>
        <w:rPr>
          <w:vertAlign w:val="superscript"/>
        </w:rPr>
        <w:t>a</w:t>
      </w:r>
      <w:r>
        <w:t xml:space="preserve"> weighted by number of infusions for 240mg and 480mg</w:t>
      </w:r>
    </w:p>
    <w:p w14:paraId="654756E5" w14:textId="2C9D9C50" w:rsidR="00172C1C" w:rsidRPr="00896D5D" w:rsidRDefault="00172C1C" w:rsidP="00172C1C">
      <w:pPr>
        <w:pStyle w:val="TableFigureFooter"/>
      </w:pPr>
      <w:r w:rsidRPr="004C54EE">
        <w:t>Source: Table 78, p180 of the submission. DPMA = dispensed price per maximum amount; mg = milligram</w:t>
      </w:r>
    </w:p>
    <w:p w14:paraId="7DCFB95B" w14:textId="47A8F6F1" w:rsidR="007C6AE0" w:rsidRDefault="00172C1C" w:rsidP="007C6AE0">
      <w:pPr>
        <w:pStyle w:val="3-BodyText"/>
      </w:pPr>
      <w:r w:rsidRPr="00F51737">
        <w:rPr>
          <w:color w:val="000000" w:themeColor="text1"/>
        </w:rPr>
        <w:t>The submission estimated drug cost per patient by estimating the number of 240</w:t>
      </w:r>
      <w:r w:rsidR="004E4E89">
        <w:rPr>
          <w:color w:val="000000" w:themeColor="text1"/>
        </w:rPr>
        <w:t> </w:t>
      </w:r>
      <w:r w:rsidRPr="00F51737">
        <w:rPr>
          <w:color w:val="000000" w:themeColor="text1"/>
        </w:rPr>
        <w:t xml:space="preserve">mg infusions and the number of 480 mg infusions based on the distribution in the CM-577 trial, each was multiplied by the DPMA per infusion, and summed for a total cost/ per patient per course. As treatment is not to exceed one year, which was covered by the trial period, </w:t>
      </w:r>
      <w:r w:rsidR="0010770F">
        <w:rPr>
          <w:color w:val="000000" w:themeColor="text1"/>
        </w:rPr>
        <w:t>t</w:t>
      </w:r>
      <w:r w:rsidRPr="00F51737">
        <w:rPr>
          <w:color w:val="000000" w:themeColor="text1"/>
        </w:rPr>
        <w:t xml:space="preserve">here were no differences between the clinical, </w:t>
      </w:r>
      <w:proofErr w:type="gramStart"/>
      <w:r w:rsidRPr="00F51737">
        <w:rPr>
          <w:color w:val="000000" w:themeColor="text1"/>
        </w:rPr>
        <w:t>financial</w:t>
      </w:r>
      <w:proofErr w:type="gramEnd"/>
      <w:r w:rsidRPr="00F51737">
        <w:rPr>
          <w:color w:val="000000" w:themeColor="text1"/>
        </w:rPr>
        <w:t xml:space="preserve"> and economic sections. As the comparator was watch and wait standard of care, this was assumed to have no associated treatment costs.</w:t>
      </w:r>
      <w:r w:rsidR="007C6AE0">
        <w:rPr>
          <w:color w:val="000000" w:themeColor="text1"/>
        </w:rPr>
        <w:t xml:space="preserve"> </w:t>
      </w:r>
      <w:r w:rsidR="007C6AE0" w:rsidRPr="002335E1">
        <w:t xml:space="preserve">The PBAC noted the requested </w:t>
      </w:r>
      <w:r w:rsidR="007C6AE0">
        <w:t>price for each 100 mg vial of nivolumab</w:t>
      </w:r>
      <w:r w:rsidR="007C6AE0" w:rsidRPr="002335E1">
        <w:t xml:space="preserve"> was substantially higher than the price recommended for advanced/ metastatic gastro-oesophageal cancers.</w:t>
      </w:r>
    </w:p>
    <w:p w14:paraId="33C18E18" w14:textId="4F7F0333" w:rsidR="00D65A3B" w:rsidRPr="00D65A3B" w:rsidRDefault="00D65A3B" w:rsidP="00D65A3B">
      <w:pPr>
        <w:pStyle w:val="3-BodyText"/>
        <w:numPr>
          <w:ilvl w:val="0"/>
          <w:numId w:val="0"/>
        </w:numPr>
        <w:ind w:left="720"/>
        <w:rPr>
          <w:i/>
          <w:color w:val="000000" w:themeColor="text1"/>
        </w:rPr>
      </w:pPr>
      <w:r w:rsidRPr="00D65A3B">
        <w:rPr>
          <w:i/>
          <w:color w:val="000000" w:themeColor="text1"/>
        </w:rPr>
        <w:t>For more detail on PBAC’s view, see section 7 PBAC outcome.</w:t>
      </w:r>
    </w:p>
    <w:p w14:paraId="4D623B6E" w14:textId="77777777" w:rsidR="00172C1C" w:rsidRPr="00C9624D" w:rsidRDefault="00172C1C" w:rsidP="00A02A7D">
      <w:pPr>
        <w:pStyle w:val="4-SubsectionHeading"/>
        <w:tabs>
          <w:tab w:val="left" w:pos="2268"/>
        </w:tabs>
      </w:pPr>
      <w:bookmarkStart w:id="63" w:name="_Toc22897647"/>
      <w:bookmarkStart w:id="64" w:name="_Toc103767695"/>
      <w:r w:rsidRPr="00C9624D">
        <w:lastRenderedPageBreak/>
        <w:t>Estimated PBS usage &amp; financial implications</w:t>
      </w:r>
      <w:bookmarkEnd w:id="63"/>
      <w:bookmarkEnd w:id="64"/>
    </w:p>
    <w:p w14:paraId="3C13FA0D" w14:textId="77777777" w:rsidR="005D5E84" w:rsidRDefault="00172C1C" w:rsidP="00172C1C">
      <w:pPr>
        <w:pStyle w:val="3-BodyText"/>
      </w:pPr>
      <w:r>
        <w:t xml:space="preserve">This submission </w:t>
      </w:r>
      <w:r w:rsidR="005D5E84">
        <w:t>was not</w:t>
      </w:r>
      <w:r>
        <w:t xml:space="preserve"> considered by DUSC</w:t>
      </w:r>
      <w:r w:rsidRPr="0010770F">
        <w:t xml:space="preserve">. </w:t>
      </w:r>
    </w:p>
    <w:p w14:paraId="1CECD4F7" w14:textId="67A1A509" w:rsidR="00CB7AF2" w:rsidRDefault="00172C1C" w:rsidP="005D5E84">
      <w:pPr>
        <w:pStyle w:val="3-BodyText"/>
      </w:pPr>
      <w:r w:rsidRPr="0010770F">
        <w:t>The submission took an epidemiological approach to estimating financial impact.</w:t>
      </w:r>
      <w:r w:rsidR="005D5E84">
        <w:t xml:space="preserve"> </w:t>
      </w:r>
      <w:r w:rsidRPr="005D5E84">
        <w:rPr>
          <w:color w:val="000000" w:themeColor="text1"/>
        </w:rPr>
        <w:t>Key inputs of the financial estimates are presented in</w:t>
      </w:r>
      <w:r w:rsidRPr="005463A6">
        <w:t xml:space="preserve"> </w:t>
      </w:r>
      <w:r w:rsidRPr="005463A6">
        <w:fldChar w:fldCharType="begin"/>
      </w:r>
      <w:r w:rsidRPr="005463A6">
        <w:instrText xml:space="preserve"> REF _Ref100836524 \h </w:instrText>
      </w:r>
      <w:r>
        <w:instrText xml:space="preserve"> \* MERGEFORMAT </w:instrText>
      </w:r>
      <w:r w:rsidRPr="005463A6">
        <w:fldChar w:fldCharType="separate"/>
      </w:r>
      <w:r w:rsidR="00267758" w:rsidRPr="00267758">
        <w:t>Table 14</w:t>
      </w:r>
      <w:r w:rsidRPr="005463A6">
        <w:fldChar w:fldCharType="end"/>
      </w:r>
      <w:r>
        <w:t>.</w:t>
      </w:r>
    </w:p>
    <w:p w14:paraId="44B2C911" w14:textId="3161C6F0" w:rsidR="00172C1C" w:rsidRPr="009C1709" w:rsidRDefault="00172C1C" w:rsidP="00172C1C">
      <w:pPr>
        <w:pStyle w:val="TableFigureHeading"/>
        <w:keepLines/>
        <w:rPr>
          <w:rStyle w:val="CommentReference"/>
          <w:b/>
          <w:bCs w:val="0"/>
          <w:szCs w:val="24"/>
        </w:rPr>
      </w:pPr>
      <w:bookmarkStart w:id="65" w:name="_Ref100836524"/>
      <w:r w:rsidRPr="009C1709">
        <w:rPr>
          <w:rStyle w:val="CommentReference"/>
          <w:b/>
          <w:bCs w:val="0"/>
        </w:rPr>
        <w:t xml:space="preserve">Table </w:t>
      </w:r>
      <w:r w:rsidRPr="009C1709">
        <w:rPr>
          <w:rStyle w:val="TableFigureHeadingChar"/>
          <w:b/>
          <w:bCs/>
          <w:szCs w:val="20"/>
        </w:rPr>
        <w:fldChar w:fldCharType="begin"/>
      </w:r>
      <w:r w:rsidRPr="009C1709">
        <w:rPr>
          <w:rStyle w:val="TableFigureHeadingChar"/>
          <w:b/>
          <w:bCs/>
          <w:szCs w:val="20"/>
        </w:rPr>
        <w:instrText xml:space="preserve"> SEQ Table \* MERGEFORMAT </w:instrText>
      </w:r>
      <w:r w:rsidRPr="009C1709">
        <w:rPr>
          <w:rStyle w:val="TableFigureHeadingChar"/>
          <w:b/>
          <w:bCs/>
          <w:szCs w:val="20"/>
        </w:rPr>
        <w:fldChar w:fldCharType="separate"/>
      </w:r>
      <w:r w:rsidR="00267758">
        <w:rPr>
          <w:rStyle w:val="TableFigureHeadingChar"/>
          <w:b/>
          <w:bCs/>
          <w:noProof/>
          <w:szCs w:val="20"/>
        </w:rPr>
        <w:t>14</w:t>
      </w:r>
      <w:r w:rsidRPr="009C1709">
        <w:rPr>
          <w:rStyle w:val="TableFigureHeadingChar"/>
          <w:b/>
          <w:bCs/>
          <w:szCs w:val="20"/>
        </w:rPr>
        <w:fldChar w:fldCharType="end"/>
      </w:r>
      <w:bookmarkEnd w:id="65"/>
      <w:r w:rsidRPr="009C1709">
        <w:rPr>
          <w:rStyle w:val="TableFigureHeadingChar"/>
          <w:b/>
          <w:bCs/>
          <w:szCs w:val="20"/>
        </w:rPr>
        <w:t xml:space="preserve">: </w:t>
      </w:r>
      <w:r w:rsidRPr="009C1709">
        <w:rPr>
          <w:rStyle w:val="CommentReference"/>
          <w:b/>
          <w:bCs w:val="0"/>
        </w:rPr>
        <w:t>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25"/>
        <w:gridCol w:w="938"/>
        <w:gridCol w:w="1579"/>
        <w:gridCol w:w="4975"/>
      </w:tblGrid>
      <w:tr w:rsidR="00172C1C" w:rsidRPr="004C54EE" w14:paraId="3D3A8AC3" w14:textId="77777777" w:rsidTr="00A0461D">
        <w:trPr>
          <w:tblHeader/>
        </w:trPr>
        <w:tc>
          <w:tcPr>
            <w:tcW w:w="1525" w:type="dxa"/>
          </w:tcPr>
          <w:p w14:paraId="19D87A01" w14:textId="77777777" w:rsidR="00172C1C" w:rsidRPr="004C54EE" w:rsidRDefault="00172C1C" w:rsidP="00A4099D">
            <w:pPr>
              <w:pStyle w:val="In-tableHeading"/>
              <w:keepNext w:val="0"/>
              <w:keepLines/>
              <w:rPr>
                <w:lang w:val="en-AU"/>
              </w:rPr>
            </w:pPr>
            <w:r w:rsidRPr="004C54EE">
              <w:rPr>
                <w:lang w:val="en-AU"/>
              </w:rPr>
              <w:t>Data</w:t>
            </w:r>
          </w:p>
        </w:tc>
        <w:tc>
          <w:tcPr>
            <w:tcW w:w="938" w:type="dxa"/>
          </w:tcPr>
          <w:p w14:paraId="20CD3043" w14:textId="77777777" w:rsidR="00172C1C" w:rsidRPr="004C54EE" w:rsidRDefault="00172C1C" w:rsidP="00A4099D">
            <w:pPr>
              <w:pStyle w:val="In-tableHeading"/>
              <w:keepNext w:val="0"/>
              <w:keepLines/>
              <w:jc w:val="center"/>
              <w:rPr>
                <w:lang w:val="en-AU"/>
              </w:rPr>
            </w:pPr>
            <w:r w:rsidRPr="004C54EE">
              <w:rPr>
                <w:lang w:val="en-AU"/>
              </w:rPr>
              <w:t>Value</w:t>
            </w:r>
          </w:p>
        </w:tc>
        <w:tc>
          <w:tcPr>
            <w:tcW w:w="0" w:type="auto"/>
          </w:tcPr>
          <w:p w14:paraId="7AC14125" w14:textId="77777777" w:rsidR="00172C1C" w:rsidRPr="004C54EE" w:rsidRDefault="00172C1C" w:rsidP="00A4099D">
            <w:pPr>
              <w:pStyle w:val="In-tableHeading"/>
              <w:keepNext w:val="0"/>
              <w:keepLines/>
              <w:jc w:val="center"/>
              <w:rPr>
                <w:lang w:val="en-AU"/>
              </w:rPr>
            </w:pPr>
            <w:r w:rsidRPr="004C54EE">
              <w:rPr>
                <w:lang w:val="en-AU"/>
              </w:rPr>
              <w:t>Source</w:t>
            </w:r>
          </w:p>
        </w:tc>
        <w:tc>
          <w:tcPr>
            <w:tcW w:w="0" w:type="auto"/>
          </w:tcPr>
          <w:p w14:paraId="62ED1B3B" w14:textId="77777777" w:rsidR="00172C1C" w:rsidRPr="004C54EE" w:rsidRDefault="00172C1C" w:rsidP="00A4099D">
            <w:pPr>
              <w:pStyle w:val="In-tableHeading"/>
              <w:keepNext w:val="0"/>
              <w:keepLines/>
              <w:jc w:val="center"/>
              <w:rPr>
                <w:lang w:val="en-AU"/>
              </w:rPr>
            </w:pPr>
            <w:r w:rsidRPr="004C54EE">
              <w:rPr>
                <w:lang w:val="en-AU"/>
              </w:rPr>
              <w:t>Comment</w:t>
            </w:r>
          </w:p>
        </w:tc>
      </w:tr>
      <w:tr w:rsidR="00172C1C" w:rsidRPr="004C54EE" w14:paraId="7A32DA86" w14:textId="77777777" w:rsidTr="00A0461D">
        <w:tc>
          <w:tcPr>
            <w:tcW w:w="0" w:type="auto"/>
            <w:gridSpan w:val="4"/>
            <w:vAlign w:val="center"/>
          </w:tcPr>
          <w:p w14:paraId="09EA3D00" w14:textId="77777777" w:rsidR="00172C1C" w:rsidRPr="004C54EE" w:rsidRDefault="00172C1C" w:rsidP="00A4099D">
            <w:pPr>
              <w:pStyle w:val="In-tableHeading"/>
              <w:keepNext w:val="0"/>
              <w:keepLines/>
              <w:rPr>
                <w:lang w:val="en-AU"/>
              </w:rPr>
            </w:pPr>
            <w:r w:rsidRPr="004C54EE">
              <w:rPr>
                <w:lang w:val="en-AU"/>
              </w:rPr>
              <w:t>Eligible population</w:t>
            </w:r>
          </w:p>
        </w:tc>
      </w:tr>
      <w:tr w:rsidR="00172C1C" w:rsidRPr="00E7767C" w14:paraId="34A6A471" w14:textId="77777777" w:rsidTr="00A0461D">
        <w:tc>
          <w:tcPr>
            <w:tcW w:w="1525" w:type="dxa"/>
            <w:vAlign w:val="center"/>
          </w:tcPr>
          <w:p w14:paraId="0BF6495C" w14:textId="77777777" w:rsidR="00172C1C" w:rsidRPr="00E7767C" w:rsidRDefault="00172C1C" w:rsidP="00A4099D">
            <w:pPr>
              <w:pStyle w:val="TableText0"/>
              <w:keepNext w:val="0"/>
              <w:keepLines/>
            </w:pPr>
            <w:r w:rsidRPr="00E7767C">
              <w:t>OC and GC incidence</w:t>
            </w:r>
          </w:p>
        </w:tc>
        <w:tc>
          <w:tcPr>
            <w:tcW w:w="938" w:type="dxa"/>
            <w:vAlign w:val="center"/>
          </w:tcPr>
          <w:p w14:paraId="0268F982" w14:textId="77777777" w:rsidR="00172C1C" w:rsidRPr="00E7767C" w:rsidRDefault="00172C1C" w:rsidP="00A4099D">
            <w:pPr>
              <w:pStyle w:val="TableText0"/>
              <w:keepNext w:val="0"/>
              <w:keepLines/>
              <w:jc w:val="center"/>
            </w:pPr>
            <w:r w:rsidRPr="00E7767C">
              <w:t>OC: 1,649</w:t>
            </w:r>
          </w:p>
          <w:p w14:paraId="1038B4B7" w14:textId="77777777" w:rsidR="00172C1C" w:rsidRPr="00E7767C" w:rsidRDefault="00172C1C" w:rsidP="00A4099D">
            <w:pPr>
              <w:pStyle w:val="TableText0"/>
              <w:keepNext w:val="0"/>
              <w:keepLines/>
              <w:jc w:val="center"/>
            </w:pPr>
            <w:r w:rsidRPr="00E7767C">
              <w:t>GC: 2,392</w:t>
            </w:r>
          </w:p>
        </w:tc>
        <w:tc>
          <w:tcPr>
            <w:tcW w:w="0" w:type="auto"/>
            <w:vAlign w:val="center"/>
          </w:tcPr>
          <w:p w14:paraId="6A7984B5" w14:textId="77777777" w:rsidR="00172C1C" w:rsidRPr="00E7767C" w:rsidRDefault="00172C1C" w:rsidP="00A4099D">
            <w:pPr>
              <w:pStyle w:val="TableText0"/>
              <w:keepNext w:val="0"/>
              <w:keepLines/>
              <w:jc w:val="center"/>
            </w:pPr>
            <w:r w:rsidRPr="00E7767C">
              <w:t>AIHW 2020 estimate (Cancer Australia, 2021)</w:t>
            </w:r>
          </w:p>
        </w:tc>
        <w:tc>
          <w:tcPr>
            <w:tcW w:w="0" w:type="auto"/>
            <w:vAlign w:val="center"/>
          </w:tcPr>
          <w:p w14:paraId="52E4F562" w14:textId="07CE264A" w:rsidR="00172C1C" w:rsidRPr="00E7767C" w:rsidRDefault="00172C1C" w:rsidP="00A4099D">
            <w:pPr>
              <w:pStyle w:val="TableText0"/>
              <w:keepNext w:val="0"/>
              <w:keepLines/>
              <w:rPr>
                <w:iCs/>
              </w:rPr>
            </w:pPr>
            <w:r w:rsidRPr="00E7767C">
              <w:rPr>
                <w:iCs/>
              </w:rPr>
              <w:t xml:space="preserve">It appeared that the estimates only included incidence and did not factor in a prevalent population. </w:t>
            </w:r>
          </w:p>
        </w:tc>
      </w:tr>
      <w:tr w:rsidR="00172C1C" w:rsidRPr="004C54EE" w14:paraId="559FCC27" w14:textId="77777777" w:rsidTr="00A0461D">
        <w:tc>
          <w:tcPr>
            <w:tcW w:w="1525" w:type="dxa"/>
            <w:vAlign w:val="center"/>
          </w:tcPr>
          <w:p w14:paraId="77FF55D8" w14:textId="77777777" w:rsidR="00172C1C" w:rsidRPr="004C54EE" w:rsidRDefault="00172C1C" w:rsidP="00A4099D">
            <w:pPr>
              <w:pStyle w:val="TableText0"/>
              <w:keepNext w:val="0"/>
              <w:keepLines/>
            </w:pPr>
            <w:r w:rsidRPr="004C54EE">
              <w:rPr>
                <w:rFonts w:eastAsia="Times New Roman" w:cs="Times New Roman"/>
                <w:color w:val="000000"/>
                <w:szCs w:val="18"/>
              </w:rPr>
              <w:t>% Of GC with GOJC</w:t>
            </w:r>
          </w:p>
        </w:tc>
        <w:tc>
          <w:tcPr>
            <w:tcW w:w="938" w:type="dxa"/>
            <w:vAlign w:val="center"/>
          </w:tcPr>
          <w:p w14:paraId="198D34A9" w14:textId="77777777" w:rsidR="00172C1C" w:rsidRPr="004C54EE" w:rsidRDefault="00172C1C" w:rsidP="00A4099D">
            <w:pPr>
              <w:pStyle w:val="TableText0"/>
              <w:keepNext w:val="0"/>
              <w:keepLines/>
              <w:jc w:val="center"/>
            </w:pPr>
            <w:r w:rsidRPr="004C54EE">
              <w:rPr>
                <w:rFonts w:eastAsia="Times New Roman" w:cs="Times New Roman"/>
                <w:color w:val="000000"/>
                <w:szCs w:val="18"/>
              </w:rPr>
              <w:t>35.70%</w:t>
            </w:r>
          </w:p>
        </w:tc>
        <w:tc>
          <w:tcPr>
            <w:tcW w:w="0" w:type="auto"/>
            <w:vAlign w:val="center"/>
          </w:tcPr>
          <w:p w14:paraId="5929EE2A" w14:textId="77777777" w:rsidR="00172C1C" w:rsidRPr="004C54EE" w:rsidRDefault="00172C1C" w:rsidP="00A4099D">
            <w:pPr>
              <w:pStyle w:val="TableText0"/>
              <w:keepNext w:val="0"/>
              <w:keepLines/>
              <w:jc w:val="center"/>
            </w:pPr>
            <w:r w:rsidRPr="004C54EE">
              <w:t>AIHW 2021 - Sponsor commissioned report, referenced year 2016</w:t>
            </w:r>
          </w:p>
        </w:tc>
        <w:tc>
          <w:tcPr>
            <w:tcW w:w="0" w:type="auto"/>
            <w:vAlign w:val="center"/>
          </w:tcPr>
          <w:p w14:paraId="38A2B8FE" w14:textId="77777777" w:rsidR="00172C1C" w:rsidRPr="004C54EE" w:rsidRDefault="00172C1C" w:rsidP="00A4099D">
            <w:pPr>
              <w:pStyle w:val="TableText0"/>
              <w:keepNext w:val="0"/>
              <w:keepLines/>
              <w:rPr>
                <w:i/>
                <w:iCs/>
              </w:rPr>
            </w:pPr>
            <w:r w:rsidRPr="004C54EE">
              <w:t xml:space="preserve">The AIHW worksheet calculated this by dividing the number of new cases with the C16.0 – cardia subsite classification in 2016 (n=784) by the total number of new stomach cancer cases in 2016 (N= 2,197).  </w:t>
            </w:r>
            <w:r w:rsidRPr="00E7767C">
              <w:rPr>
                <w:iCs/>
              </w:rPr>
              <w:t>It was unclear if the C.16.0 classification tracked exactly to the Gastro-oesophageal junction, or whether this may include additional stomach cancer patients, but this likely constituted the best available evidence, and was otherwise reasonable.</w:t>
            </w:r>
          </w:p>
        </w:tc>
      </w:tr>
      <w:tr w:rsidR="00172C1C" w:rsidRPr="004C54EE" w14:paraId="15536535" w14:textId="77777777" w:rsidTr="00A0461D">
        <w:tc>
          <w:tcPr>
            <w:tcW w:w="1525" w:type="dxa"/>
            <w:vAlign w:val="center"/>
          </w:tcPr>
          <w:p w14:paraId="6E67D2E0" w14:textId="77777777" w:rsidR="00172C1C" w:rsidRPr="004C54EE" w:rsidRDefault="00172C1C" w:rsidP="00A4099D">
            <w:pPr>
              <w:pStyle w:val="TableText0"/>
              <w:keepNext w:val="0"/>
              <w:keepLines/>
            </w:pPr>
            <w:r w:rsidRPr="004C54EE">
              <w:t>% Receiving neoadjuvant CRT plus surgery</w:t>
            </w:r>
          </w:p>
        </w:tc>
        <w:tc>
          <w:tcPr>
            <w:tcW w:w="938" w:type="dxa"/>
            <w:vAlign w:val="center"/>
          </w:tcPr>
          <w:p w14:paraId="2011CBFF" w14:textId="77777777" w:rsidR="00172C1C" w:rsidRPr="004C54EE" w:rsidRDefault="00172C1C" w:rsidP="00A4099D">
            <w:pPr>
              <w:pStyle w:val="TableText0"/>
              <w:keepNext w:val="0"/>
              <w:keepLines/>
              <w:jc w:val="center"/>
            </w:pPr>
            <w:r w:rsidRPr="002F2E76">
              <w:t>42.35%</w:t>
            </w:r>
          </w:p>
        </w:tc>
        <w:tc>
          <w:tcPr>
            <w:tcW w:w="0" w:type="auto"/>
            <w:vAlign w:val="center"/>
          </w:tcPr>
          <w:p w14:paraId="65CBA969" w14:textId="5D257132" w:rsidR="00172C1C" w:rsidRPr="004C54EE" w:rsidRDefault="00172C1C" w:rsidP="00A4099D">
            <w:pPr>
              <w:pStyle w:val="TableText0"/>
              <w:keepNext w:val="0"/>
              <w:keepLines/>
              <w:jc w:val="center"/>
            </w:pPr>
            <w:r w:rsidRPr="004C54EE">
              <w:t>Nguyen</w:t>
            </w:r>
            <w:r w:rsidR="001056FC">
              <w:t xml:space="preserve"> et al</w:t>
            </w:r>
            <w:r w:rsidRPr="004C54EE">
              <w:t xml:space="preserve"> (2019)</w:t>
            </w:r>
          </w:p>
        </w:tc>
        <w:tc>
          <w:tcPr>
            <w:tcW w:w="0" w:type="auto"/>
            <w:vAlign w:val="center"/>
          </w:tcPr>
          <w:p w14:paraId="512F0EB0" w14:textId="3816582A" w:rsidR="00172C1C" w:rsidRPr="00342BC1" w:rsidRDefault="00172C1C" w:rsidP="00A4099D">
            <w:pPr>
              <w:pStyle w:val="TableText0"/>
              <w:keepNext w:val="0"/>
              <w:keepLines/>
              <w:rPr>
                <w:i/>
              </w:rPr>
            </w:pPr>
            <w:r w:rsidRPr="004C54EE">
              <w:t xml:space="preserve">The submission adjusted the estimate from Nguyen </w:t>
            </w:r>
            <w:r w:rsidR="001056FC">
              <w:t xml:space="preserve">et al </w:t>
            </w:r>
            <w:r w:rsidRPr="004C54EE">
              <w:t xml:space="preserve">2019 </w:t>
            </w:r>
            <w:r w:rsidR="00791A03">
              <w:t>(</w:t>
            </w:r>
            <w:r w:rsidRPr="004C54EE">
              <w:t xml:space="preserve">35.29%) to account for an expected 20% increase in patients accessing </w:t>
            </w:r>
            <w:proofErr w:type="spellStart"/>
            <w:r w:rsidR="00791A03">
              <w:t>n</w:t>
            </w:r>
            <w:r w:rsidRPr="004C54EE">
              <w:t>CRT</w:t>
            </w:r>
            <w:proofErr w:type="spellEnd"/>
            <w:r w:rsidRPr="004C54EE">
              <w:t xml:space="preserve"> as a result of nivolumab listing. The additional 20% was based on advice from the sponsor’s advisory board. </w:t>
            </w:r>
            <w:r w:rsidRPr="00E7767C">
              <w:rPr>
                <w:iCs/>
              </w:rPr>
              <w:t>It was unclear on what basis it would increase by 20% as opposed to more</w:t>
            </w:r>
            <w:r w:rsidR="00342BC1">
              <w:rPr>
                <w:iCs/>
              </w:rPr>
              <w:t xml:space="preserve"> than this</w:t>
            </w:r>
            <w:r w:rsidRPr="00E7767C">
              <w:rPr>
                <w:iCs/>
              </w:rPr>
              <w:t xml:space="preserve">, but accounting for this change was a reasonable approach. </w:t>
            </w:r>
            <w:r w:rsidR="00605918" w:rsidRPr="00E7767C">
              <w:rPr>
                <w:iCs/>
              </w:rPr>
              <w:t xml:space="preserve"> </w:t>
            </w:r>
            <w:r w:rsidR="00342BC1" w:rsidRPr="00925F8E">
              <w:rPr>
                <w:iCs/>
              </w:rPr>
              <w:t>The ESC noted that estimates from Nguye</w:t>
            </w:r>
            <w:r w:rsidR="001056FC" w:rsidRPr="00925F8E">
              <w:rPr>
                <w:iCs/>
              </w:rPr>
              <w:t>n et al</w:t>
            </w:r>
            <w:r w:rsidR="00342BC1" w:rsidRPr="00925F8E">
              <w:rPr>
                <w:iCs/>
              </w:rPr>
              <w:t xml:space="preserve"> 2019 were based on data (2012−2015) prior to evidence </w:t>
            </w:r>
            <w:r w:rsidR="00366C25" w:rsidRPr="00925F8E">
              <w:rPr>
                <w:iCs/>
              </w:rPr>
              <w:t>of</w:t>
            </w:r>
            <w:r w:rsidR="00342BC1" w:rsidRPr="00925F8E">
              <w:rPr>
                <w:iCs/>
              </w:rPr>
              <w:t xml:space="preserve"> FLOT peri-operative chemotherapy and therefore may</w:t>
            </w:r>
            <w:r w:rsidR="00CB7AF2" w:rsidRPr="00925F8E">
              <w:rPr>
                <w:iCs/>
              </w:rPr>
              <w:t xml:space="preserve"> overestimate</w:t>
            </w:r>
            <w:r w:rsidR="00342BC1" w:rsidRPr="00925F8E">
              <w:rPr>
                <w:iCs/>
              </w:rPr>
              <w:t xml:space="preserve"> the proportion of patients currently receiving </w:t>
            </w:r>
            <w:proofErr w:type="spellStart"/>
            <w:r w:rsidR="00342BC1" w:rsidRPr="00925F8E">
              <w:rPr>
                <w:iCs/>
              </w:rPr>
              <w:t>nCRT</w:t>
            </w:r>
            <w:proofErr w:type="spellEnd"/>
            <w:r w:rsidR="00342BC1" w:rsidRPr="00925F8E">
              <w:rPr>
                <w:iCs/>
              </w:rPr>
              <w:t xml:space="preserve"> vs peri-operative chemotherapy. The ESC also considered that it is likely that the percentage increase in </w:t>
            </w:r>
            <w:proofErr w:type="spellStart"/>
            <w:r w:rsidR="00342BC1" w:rsidRPr="00925F8E">
              <w:rPr>
                <w:iCs/>
              </w:rPr>
              <w:t>nCRT</w:t>
            </w:r>
            <w:proofErr w:type="spellEnd"/>
            <w:r w:rsidR="00342BC1" w:rsidRPr="00925F8E">
              <w:rPr>
                <w:iCs/>
              </w:rPr>
              <w:t xml:space="preserve"> uptake due to the listing of nivolumab </w:t>
            </w:r>
            <w:r w:rsidR="00EE6DC6" w:rsidRPr="00925F8E">
              <w:rPr>
                <w:iCs/>
              </w:rPr>
              <w:t>would</w:t>
            </w:r>
            <w:r w:rsidR="00366C25" w:rsidRPr="00925F8E">
              <w:rPr>
                <w:iCs/>
              </w:rPr>
              <w:t xml:space="preserve"> be</w:t>
            </w:r>
            <w:r w:rsidR="00342BC1" w:rsidRPr="00925F8E">
              <w:rPr>
                <w:iCs/>
              </w:rPr>
              <w:t xml:space="preserve"> higher than 20%</w:t>
            </w:r>
            <w:r w:rsidR="000B5890" w:rsidRPr="00925F8E">
              <w:rPr>
                <w:iCs/>
              </w:rPr>
              <w:t xml:space="preserve">. The PSCR stated that the percentage increase was based on the most reliable evidence </w:t>
            </w:r>
            <w:r w:rsidR="00EE6DC6" w:rsidRPr="00925F8E">
              <w:rPr>
                <w:iCs/>
              </w:rPr>
              <w:t>available,</w:t>
            </w:r>
            <w:r w:rsidR="000B5890" w:rsidRPr="00925F8E">
              <w:rPr>
                <w:iCs/>
              </w:rPr>
              <w:t xml:space="preserve"> and the sponsor </w:t>
            </w:r>
            <w:r w:rsidR="00EE6DC6" w:rsidRPr="00925F8E">
              <w:rPr>
                <w:iCs/>
              </w:rPr>
              <w:t>wa</w:t>
            </w:r>
            <w:r w:rsidR="000B5890" w:rsidRPr="00925F8E">
              <w:rPr>
                <w:iCs/>
              </w:rPr>
              <w:t>s willing to work with the Department of Health to determine the most appropriate estimate.</w:t>
            </w:r>
            <w:r w:rsidR="004016B0" w:rsidRPr="00925F8E">
              <w:rPr>
                <w:iCs/>
              </w:rPr>
              <w:t xml:space="preserve"> The </w:t>
            </w:r>
            <w:r w:rsidR="00BE2005">
              <w:rPr>
                <w:iCs/>
              </w:rPr>
              <w:t xml:space="preserve">PBAC and </w:t>
            </w:r>
            <w:r w:rsidR="004016B0" w:rsidRPr="00925F8E">
              <w:rPr>
                <w:iCs/>
              </w:rPr>
              <w:t>ESC acknowledged</w:t>
            </w:r>
            <w:r w:rsidR="00EE6DC6" w:rsidRPr="00925F8E">
              <w:rPr>
                <w:iCs/>
              </w:rPr>
              <w:t xml:space="preserve"> the</w:t>
            </w:r>
            <w:r w:rsidR="004016B0" w:rsidRPr="00925F8E">
              <w:rPr>
                <w:iCs/>
              </w:rPr>
              <w:t xml:space="preserve"> lack of local </w:t>
            </w:r>
            <w:proofErr w:type="gramStart"/>
            <w:r w:rsidR="004016B0" w:rsidRPr="00925F8E">
              <w:rPr>
                <w:iCs/>
              </w:rPr>
              <w:t>real world</w:t>
            </w:r>
            <w:proofErr w:type="gramEnd"/>
            <w:r w:rsidR="004016B0" w:rsidRPr="00925F8E">
              <w:rPr>
                <w:iCs/>
              </w:rPr>
              <w:t xml:space="preserve"> data to inform </w:t>
            </w:r>
            <w:r w:rsidR="00EE6DC6" w:rsidRPr="00925F8E">
              <w:rPr>
                <w:iCs/>
              </w:rPr>
              <w:t>this</w:t>
            </w:r>
            <w:r w:rsidR="004016B0" w:rsidRPr="00925F8E">
              <w:rPr>
                <w:iCs/>
              </w:rPr>
              <w:t xml:space="preserve"> input and considered </w:t>
            </w:r>
            <w:r w:rsidR="00EE6DC6" w:rsidRPr="00925F8E">
              <w:rPr>
                <w:iCs/>
              </w:rPr>
              <w:t xml:space="preserve">that </w:t>
            </w:r>
            <w:r w:rsidR="004016B0" w:rsidRPr="00925F8E">
              <w:rPr>
                <w:iCs/>
              </w:rPr>
              <w:t xml:space="preserve">the </w:t>
            </w:r>
            <w:r w:rsidR="00532549" w:rsidRPr="00925F8E">
              <w:rPr>
                <w:iCs/>
              </w:rPr>
              <w:t xml:space="preserve">overall </w:t>
            </w:r>
            <w:r w:rsidR="004016B0" w:rsidRPr="00925F8E">
              <w:rPr>
                <w:iCs/>
              </w:rPr>
              <w:t>estimate of those receiving neoadjuvant CRT + surgery may be reasonable</w:t>
            </w:r>
            <w:r w:rsidR="00CB7AF2" w:rsidRPr="00925F8E">
              <w:rPr>
                <w:iCs/>
              </w:rPr>
              <w:t xml:space="preserve">. </w:t>
            </w:r>
          </w:p>
        </w:tc>
      </w:tr>
      <w:tr w:rsidR="00172C1C" w:rsidRPr="004C54EE" w14:paraId="6C93B37A" w14:textId="77777777" w:rsidTr="00A0461D">
        <w:tc>
          <w:tcPr>
            <w:tcW w:w="1525" w:type="dxa"/>
            <w:vAlign w:val="center"/>
          </w:tcPr>
          <w:p w14:paraId="3B5E71FA" w14:textId="77777777" w:rsidR="00172C1C" w:rsidRPr="004C54EE" w:rsidRDefault="00172C1C" w:rsidP="00A4099D">
            <w:pPr>
              <w:pStyle w:val="TableText0"/>
              <w:keepNext w:val="0"/>
              <w:keepLines/>
            </w:pPr>
            <w:r w:rsidRPr="004C54EE">
              <w:t>% Patients with WHO PS 0 or 1</w:t>
            </w:r>
          </w:p>
        </w:tc>
        <w:tc>
          <w:tcPr>
            <w:tcW w:w="938" w:type="dxa"/>
            <w:vAlign w:val="center"/>
          </w:tcPr>
          <w:p w14:paraId="314767DA" w14:textId="77777777" w:rsidR="00172C1C" w:rsidRPr="004C54EE" w:rsidRDefault="00172C1C" w:rsidP="00A4099D">
            <w:pPr>
              <w:pStyle w:val="TableText0"/>
              <w:keepNext w:val="0"/>
              <w:keepLines/>
              <w:jc w:val="center"/>
            </w:pPr>
            <w:r w:rsidRPr="004C54EE">
              <w:t>100%</w:t>
            </w:r>
          </w:p>
        </w:tc>
        <w:tc>
          <w:tcPr>
            <w:tcW w:w="0" w:type="auto"/>
            <w:vAlign w:val="center"/>
          </w:tcPr>
          <w:p w14:paraId="1B67DC7B" w14:textId="77777777" w:rsidR="00172C1C" w:rsidRPr="004C54EE" w:rsidRDefault="00172C1C" w:rsidP="00A4099D">
            <w:pPr>
              <w:pStyle w:val="TableText0"/>
              <w:keepNext w:val="0"/>
              <w:keepLines/>
              <w:jc w:val="center"/>
            </w:pPr>
            <w:r w:rsidRPr="004C54EE">
              <w:t>NCCN (2020)</w:t>
            </w:r>
          </w:p>
        </w:tc>
        <w:tc>
          <w:tcPr>
            <w:tcW w:w="0" w:type="auto"/>
            <w:vAlign w:val="center"/>
          </w:tcPr>
          <w:p w14:paraId="7A821CB1" w14:textId="415D6C84" w:rsidR="00172C1C" w:rsidRPr="005937C1" w:rsidRDefault="00172C1C" w:rsidP="00A4099D">
            <w:pPr>
              <w:pStyle w:val="TableText0"/>
              <w:keepNext w:val="0"/>
              <w:keepLines/>
              <w:rPr>
                <w:i/>
              </w:rPr>
            </w:pPr>
            <w:r w:rsidRPr="004C54EE">
              <w:t xml:space="preserve">The submission argued that, as an adjustment had already been made to remove patients who have not received </w:t>
            </w:r>
            <w:proofErr w:type="spellStart"/>
            <w:r w:rsidRPr="004C54EE">
              <w:t>nCRT</w:t>
            </w:r>
            <w:proofErr w:type="spellEnd"/>
            <w:r w:rsidRPr="004C54EE">
              <w:t xml:space="preserve"> + surgery, the financial model implicitly assumes that those patients who did not receive </w:t>
            </w:r>
            <w:proofErr w:type="spellStart"/>
            <w:r w:rsidRPr="004C54EE">
              <w:t>nCRT</w:t>
            </w:r>
            <w:proofErr w:type="spellEnd"/>
            <w:r w:rsidRPr="004C54EE">
              <w:t xml:space="preserve"> + surgery included those with WHO performance status of 2 or higher. </w:t>
            </w:r>
            <w:r w:rsidRPr="00E7767C">
              <w:rPr>
                <w:iCs/>
              </w:rPr>
              <w:t>It was unclear if performance status could change between initiation of surgery and nivolumab initiation.</w:t>
            </w:r>
            <w:r w:rsidR="005937C1">
              <w:rPr>
                <w:iCs/>
              </w:rPr>
              <w:t xml:space="preserve"> </w:t>
            </w:r>
            <w:r w:rsidR="005937C1" w:rsidRPr="00925F8E">
              <w:rPr>
                <w:iCs/>
              </w:rPr>
              <w:t xml:space="preserve">The ESC advised that performance status </w:t>
            </w:r>
            <w:r w:rsidR="00586BDB" w:rsidRPr="00925F8E">
              <w:rPr>
                <w:iCs/>
              </w:rPr>
              <w:t xml:space="preserve">can </w:t>
            </w:r>
            <w:r w:rsidR="005937C1" w:rsidRPr="00925F8E">
              <w:rPr>
                <w:iCs/>
              </w:rPr>
              <w:t xml:space="preserve">deteriorate post-surgery and therefore it is likely that there is a percentage of patients who have </w:t>
            </w:r>
            <w:proofErr w:type="spellStart"/>
            <w:r w:rsidR="005937C1" w:rsidRPr="00925F8E">
              <w:rPr>
                <w:iCs/>
              </w:rPr>
              <w:t>nCRT</w:t>
            </w:r>
            <w:proofErr w:type="spellEnd"/>
            <w:r w:rsidR="005937C1" w:rsidRPr="00925F8E">
              <w:rPr>
                <w:iCs/>
              </w:rPr>
              <w:t xml:space="preserve"> + surgery who would subsequently not be eligible for nivolumab. The ESC considered that these patients may be accounted for in the </w:t>
            </w:r>
            <w:r w:rsidR="00C61A27" w:rsidRPr="00925F8E">
              <w:rPr>
                <w:iCs/>
              </w:rPr>
              <w:t>selected</w:t>
            </w:r>
            <w:r w:rsidR="005937C1" w:rsidRPr="00925F8E">
              <w:rPr>
                <w:iCs/>
              </w:rPr>
              <w:t xml:space="preserve"> uptake rate.</w:t>
            </w:r>
          </w:p>
        </w:tc>
      </w:tr>
      <w:tr w:rsidR="005B0BC1" w:rsidRPr="004C54EE" w14:paraId="1D5C19A9" w14:textId="77777777" w:rsidTr="00A0461D">
        <w:tc>
          <w:tcPr>
            <w:tcW w:w="1525" w:type="dxa"/>
            <w:vAlign w:val="center"/>
          </w:tcPr>
          <w:p w14:paraId="5C57183A" w14:textId="1344AE46" w:rsidR="00415F3B" w:rsidRPr="004C54EE" w:rsidRDefault="00415F3B" w:rsidP="00A4099D">
            <w:pPr>
              <w:pStyle w:val="TableText0"/>
              <w:keepNext w:val="0"/>
              <w:keepLines/>
            </w:pPr>
            <w:r w:rsidRPr="004C54EE">
              <w:t xml:space="preserve">% Complete surgical resection </w:t>
            </w:r>
            <w:r w:rsidR="008F11B6">
              <w:t>and r</w:t>
            </w:r>
            <w:r w:rsidRPr="004C54EE">
              <w:t>esidual disease</w:t>
            </w:r>
          </w:p>
        </w:tc>
        <w:tc>
          <w:tcPr>
            <w:tcW w:w="938" w:type="dxa"/>
            <w:vAlign w:val="center"/>
          </w:tcPr>
          <w:p w14:paraId="1449453C" w14:textId="00CE49EC" w:rsidR="00415F3B" w:rsidRPr="004C54EE" w:rsidRDefault="00415F3B" w:rsidP="00A4099D">
            <w:pPr>
              <w:pStyle w:val="TableText0"/>
              <w:keepNext w:val="0"/>
              <w:keepLines/>
              <w:jc w:val="center"/>
            </w:pPr>
            <w:r w:rsidRPr="004C54EE">
              <w:t>71%</w:t>
            </w:r>
          </w:p>
        </w:tc>
        <w:tc>
          <w:tcPr>
            <w:tcW w:w="0" w:type="auto"/>
            <w:vAlign w:val="center"/>
          </w:tcPr>
          <w:p w14:paraId="59F1D24E" w14:textId="04F6A559" w:rsidR="00415F3B" w:rsidRPr="004C54EE" w:rsidRDefault="00415F3B" w:rsidP="00A4099D">
            <w:pPr>
              <w:pStyle w:val="TableText0"/>
              <w:keepNext w:val="0"/>
              <w:keepLines/>
              <w:jc w:val="center"/>
            </w:pPr>
            <w:r w:rsidRPr="004C54EE">
              <w:t>Van Hagen (2012)</w:t>
            </w:r>
          </w:p>
        </w:tc>
        <w:tc>
          <w:tcPr>
            <w:tcW w:w="0" w:type="auto"/>
            <w:vAlign w:val="center"/>
          </w:tcPr>
          <w:p w14:paraId="2D1DED6D" w14:textId="05320D2C" w:rsidR="00415F3B" w:rsidRPr="004C54EE" w:rsidRDefault="00415F3B" w:rsidP="00A4099D">
            <w:pPr>
              <w:pStyle w:val="TableText0"/>
              <w:keepNext w:val="0"/>
              <w:keepLines/>
            </w:pPr>
            <w:r w:rsidRPr="00E7767C">
              <w:rPr>
                <w:iCs/>
              </w:rPr>
              <w:t>These estimates were generally similar to those of other sources identified by the submission (</w:t>
            </w:r>
            <w:proofErr w:type="spellStart"/>
            <w:r w:rsidRPr="00E7767C">
              <w:rPr>
                <w:iCs/>
              </w:rPr>
              <w:t>Bossett</w:t>
            </w:r>
            <w:proofErr w:type="spellEnd"/>
            <w:r w:rsidRPr="00E7767C">
              <w:rPr>
                <w:iCs/>
              </w:rPr>
              <w:t xml:space="preserve"> 1997: 74%; Reynolds 2007: 81%)</w:t>
            </w:r>
          </w:p>
        </w:tc>
      </w:tr>
      <w:tr w:rsidR="00172C1C" w:rsidRPr="004C54EE" w14:paraId="6D6751CF" w14:textId="77777777" w:rsidTr="00A0461D">
        <w:tc>
          <w:tcPr>
            <w:tcW w:w="0" w:type="auto"/>
            <w:gridSpan w:val="4"/>
          </w:tcPr>
          <w:p w14:paraId="79592EDA" w14:textId="77777777" w:rsidR="00172C1C" w:rsidRPr="004C54EE" w:rsidRDefault="00172C1C" w:rsidP="00A4099D">
            <w:pPr>
              <w:pStyle w:val="TableText0"/>
              <w:keepNext w:val="0"/>
              <w:keepLines/>
              <w:rPr>
                <w:b/>
              </w:rPr>
            </w:pPr>
            <w:r w:rsidRPr="004C54EE">
              <w:rPr>
                <w:b/>
              </w:rPr>
              <w:t>Treatment utilisation</w:t>
            </w:r>
          </w:p>
        </w:tc>
      </w:tr>
      <w:tr w:rsidR="00172C1C" w:rsidRPr="00E7767C" w14:paraId="61C2D377" w14:textId="77777777" w:rsidTr="00A0461D">
        <w:tc>
          <w:tcPr>
            <w:tcW w:w="1525" w:type="dxa"/>
            <w:vAlign w:val="center"/>
          </w:tcPr>
          <w:p w14:paraId="2FBA72B4" w14:textId="77777777" w:rsidR="00172C1C" w:rsidRPr="00E7767C" w:rsidRDefault="00172C1C" w:rsidP="00A4099D">
            <w:pPr>
              <w:pStyle w:val="TableText0"/>
              <w:keepNext w:val="0"/>
              <w:keepLines/>
            </w:pPr>
            <w:r w:rsidRPr="00E7767C">
              <w:lastRenderedPageBreak/>
              <w:t>Uptake rate</w:t>
            </w:r>
          </w:p>
        </w:tc>
        <w:tc>
          <w:tcPr>
            <w:tcW w:w="938" w:type="dxa"/>
            <w:vAlign w:val="center"/>
          </w:tcPr>
          <w:p w14:paraId="1ECF2AA6" w14:textId="7A44CC51" w:rsidR="00172C1C" w:rsidRPr="00E7767C" w:rsidRDefault="0029736A" w:rsidP="00A4099D">
            <w:pPr>
              <w:pStyle w:val="TableText0"/>
              <w:keepNext w:val="0"/>
              <w:keepLines/>
              <w:jc w:val="center"/>
            </w:pPr>
            <w:r w:rsidRPr="0029736A">
              <w:rPr>
                <w:color w:val="000000"/>
                <w:shd w:val="solid" w:color="000000" w:fill="000000"/>
                <w14:textFill>
                  <w14:solidFill>
                    <w14:srgbClr w14:val="000000">
                      <w14:alpha w14:val="100000"/>
                    </w14:srgbClr>
                  </w14:solidFill>
                </w14:textFill>
              </w:rPr>
              <w:t>|</w:t>
            </w:r>
            <w:r w:rsidR="00172C1C" w:rsidRPr="00E7767C">
              <w:t>%</w:t>
            </w:r>
          </w:p>
        </w:tc>
        <w:tc>
          <w:tcPr>
            <w:tcW w:w="0" w:type="auto"/>
            <w:vAlign w:val="center"/>
          </w:tcPr>
          <w:p w14:paraId="0CA3F22F" w14:textId="672F8BB9" w:rsidR="00172C1C" w:rsidRPr="00E7767C" w:rsidRDefault="00172C1C" w:rsidP="00A4099D">
            <w:pPr>
              <w:pStyle w:val="TableText0"/>
              <w:keepNext w:val="0"/>
              <w:keepLines/>
              <w:jc w:val="center"/>
            </w:pPr>
            <w:r w:rsidRPr="00E7767C">
              <w:t>Sponsor advisory board (attachment 2 of the submission</w:t>
            </w:r>
            <w:r w:rsidR="005533B8" w:rsidRPr="00E7767C">
              <w:t>)</w:t>
            </w:r>
            <w:r w:rsidRPr="00E7767C">
              <w:t>.</w:t>
            </w:r>
          </w:p>
        </w:tc>
        <w:tc>
          <w:tcPr>
            <w:tcW w:w="0" w:type="auto"/>
            <w:vAlign w:val="center"/>
          </w:tcPr>
          <w:p w14:paraId="088E9A51" w14:textId="3BEEBBCC" w:rsidR="00172C1C" w:rsidRPr="00925F8E" w:rsidRDefault="00EF49A8" w:rsidP="00A4099D">
            <w:pPr>
              <w:pStyle w:val="TableText0"/>
              <w:keepNext w:val="0"/>
              <w:keepLines/>
              <w:rPr>
                <w:iCs/>
              </w:rPr>
            </w:pPr>
            <w:r>
              <w:rPr>
                <w:iCs/>
              </w:rPr>
              <w:t xml:space="preserve"> </w:t>
            </w:r>
            <w:r w:rsidRPr="00925F8E">
              <w:rPr>
                <w:iCs/>
              </w:rPr>
              <w:t xml:space="preserve">The ESC considered an estimate </w:t>
            </w:r>
            <w:proofErr w:type="gramStart"/>
            <w:r w:rsidRPr="00925F8E">
              <w:rPr>
                <w:iCs/>
              </w:rPr>
              <w:t xml:space="preserve">of </w:t>
            </w:r>
            <w:r w:rsidR="0029736A" w:rsidRPr="0029736A">
              <w:rPr>
                <w:rFonts w:hint="eastAsia"/>
                <w:iCs/>
                <w:color w:val="000000"/>
                <w:w w:val="19"/>
                <w:shd w:val="solid" w:color="000000" w:fill="000000"/>
                <w:fitText w:val="86" w:id="-1432105472"/>
                <w14:textFill>
                  <w14:solidFill>
                    <w14:srgbClr w14:val="000000">
                      <w14:alpha w14:val="100000"/>
                    </w14:srgbClr>
                  </w14:solidFill>
                </w14:textFill>
              </w:rPr>
              <w:t xml:space="preserve">　</w:t>
            </w:r>
            <w:r w:rsidR="0029736A" w:rsidRPr="0029736A">
              <w:rPr>
                <w:iCs/>
                <w:color w:val="000000"/>
                <w:w w:val="19"/>
                <w:shd w:val="solid" w:color="000000" w:fill="000000"/>
                <w:fitText w:val="86" w:id="-1432105472"/>
                <w14:textFill>
                  <w14:solidFill>
                    <w14:srgbClr w14:val="000000">
                      <w14:alpha w14:val="100000"/>
                    </w14:srgbClr>
                  </w14:solidFill>
                </w14:textFill>
              </w:rPr>
              <w:t>|</w:t>
            </w:r>
            <w:proofErr w:type="gramEnd"/>
            <w:r w:rsidR="0029736A" w:rsidRPr="0029736A">
              <w:rPr>
                <w:rFonts w:hint="eastAsia"/>
                <w:iCs/>
                <w:color w:val="000000"/>
                <w:w w:val="19"/>
                <w:shd w:val="solid" w:color="000000" w:fill="000000"/>
                <w:fitText w:val="86" w:id="-1432105472"/>
                <w14:textFill>
                  <w14:solidFill>
                    <w14:srgbClr w14:val="000000">
                      <w14:alpha w14:val="100000"/>
                    </w14:srgbClr>
                  </w14:solidFill>
                </w14:textFill>
              </w:rPr>
              <w:t xml:space="preserve">　</w:t>
            </w:r>
            <w:r w:rsidRPr="00925F8E">
              <w:rPr>
                <w:iCs/>
              </w:rPr>
              <w:t xml:space="preserve">% uptake </w:t>
            </w:r>
            <w:r w:rsidR="00586BDB" w:rsidRPr="00925F8E">
              <w:rPr>
                <w:iCs/>
              </w:rPr>
              <w:t xml:space="preserve">was reasonable and accounted for </w:t>
            </w:r>
            <w:r w:rsidRPr="00925F8E">
              <w:rPr>
                <w:iCs/>
              </w:rPr>
              <w:t xml:space="preserve">patients </w:t>
            </w:r>
            <w:r w:rsidR="00586BDB" w:rsidRPr="00925F8E">
              <w:rPr>
                <w:iCs/>
              </w:rPr>
              <w:t xml:space="preserve">that may </w:t>
            </w:r>
            <w:r w:rsidRPr="00925F8E">
              <w:rPr>
                <w:iCs/>
              </w:rPr>
              <w:t>decline treatment post-surgery or those not fit due to a decline in health.</w:t>
            </w:r>
          </w:p>
        </w:tc>
      </w:tr>
      <w:tr w:rsidR="00172C1C" w:rsidRPr="004C54EE" w14:paraId="7F8D56EF" w14:textId="77777777" w:rsidTr="00A0461D">
        <w:tc>
          <w:tcPr>
            <w:tcW w:w="0" w:type="auto"/>
            <w:gridSpan w:val="4"/>
          </w:tcPr>
          <w:p w14:paraId="450C2FAA" w14:textId="77777777" w:rsidR="00172C1C" w:rsidRPr="004C54EE" w:rsidRDefault="00172C1C" w:rsidP="00A4099D">
            <w:pPr>
              <w:pStyle w:val="TableText0"/>
              <w:keepNext w:val="0"/>
              <w:keepLines/>
              <w:rPr>
                <w:b/>
              </w:rPr>
            </w:pPr>
            <w:r w:rsidRPr="004C54EE">
              <w:rPr>
                <w:b/>
              </w:rPr>
              <w:t>Costs</w:t>
            </w:r>
          </w:p>
        </w:tc>
      </w:tr>
      <w:tr w:rsidR="00172C1C" w:rsidRPr="004C54EE" w14:paraId="35B0674C" w14:textId="77777777" w:rsidTr="00A0461D">
        <w:tc>
          <w:tcPr>
            <w:tcW w:w="1525" w:type="dxa"/>
          </w:tcPr>
          <w:p w14:paraId="6C4D0848" w14:textId="77777777" w:rsidR="00172C1C" w:rsidRPr="004C54EE" w:rsidRDefault="00172C1C" w:rsidP="00A4099D">
            <w:pPr>
              <w:pStyle w:val="TableText0"/>
              <w:keepNext w:val="0"/>
              <w:keepLines/>
            </w:pPr>
            <w:r>
              <w:t>Nivolumab infusion costs</w:t>
            </w:r>
          </w:p>
        </w:tc>
        <w:tc>
          <w:tcPr>
            <w:tcW w:w="938" w:type="dxa"/>
            <w:vAlign w:val="center"/>
          </w:tcPr>
          <w:p w14:paraId="62439CED" w14:textId="77777777" w:rsidR="00172C1C" w:rsidRPr="004C54EE" w:rsidRDefault="00172C1C" w:rsidP="00A4099D">
            <w:pPr>
              <w:pStyle w:val="TableText0"/>
              <w:keepNext w:val="0"/>
              <w:keepLines/>
              <w:jc w:val="center"/>
            </w:pPr>
            <w:r>
              <w:t>$112.40</w:t>
            </w:r>
          </w:p>
        </w:tc>
        <w:tc>
          <w:tcPr>
            <w:tcW w:w="0" w:type="auto"/>
            <w:vAlign w:val="center"/>
          </w:tcPr>
          <w:p w14:paraId="56E82A28" w14:textId="77777777" w:rsidR="00172C1C" w:rsidRPr="004C54EE" w:rsidRDefault="00172C1C" w:rsidP="00A4099D">
            <w:pPr>
              <w:pStyle w:val="TableText0"/>
              <w:keepNext w:val="0"/>
              <w:keepLines/>
              <w:jc w:val="center"/>
            </w:pPr>
            <w:r>
              <w:t>MBS item 13950</w:t>
            </w:r>
          </w:p>
        </w:tc>
        <w:tc>
          <w:tcPr>
            <w:tcW w:w="0" w:type="auto"/>
            <w:vMerge w:val="restart"/>
            <w:vAlign w:val="center"/>
          </w:tcPr>
          <w:p w14:paraId="23A61640" w14:textId="779BC8B4" w:rsidR="00172C1C" w:rsidRPr="004C54EE" w:rsidRDefault="00172C1C" w:rsidP="00A4099D">
            <w:pPr>
              <w:pStyle w:val="TableText0"/>
              <w:keepNext w:val="0"/>
              <w:keepLines/>
            </w:pPr>
            <w:r w:rsidRPr="004C54EE">
              <w:t xml:space="preserve">The submission estimated costs associated with a likely increase in the number of patients prescribed a radiotherapy containing neo-adjuvant regimen.  The submission based these estimates on consultation with the sponsor’s advisory board and relevant MBS items. </w:t>
            </w:r>
            <w:r w:rsidRPr="00E7767C">
              <w:rPr>
                <w:iCs/>
              </w:rPr>
              <w:t xml:space="preserve">Overall, this approach appeared reasonable. </w:t>
            </w:r>
          </w:p>
        </w:tc>
      </w:tr>
      <w:tr w:rsidR="00172C1C" w:rsidRPr="00E7767C" w14:paraId="125E8308" w14:textId="77777777" w:rsidTr="00A0461D">
        <w:tc>
          <w:tcPr>
            <w:tcW w:w="1525" w:type="dxa"/>
          </w:tcPr>
          <w:p w14:paraId="4B77A47A" w14:textId="77777777" w:rsidR="00172C1C" w:rsidRPr="00E7767C" w:rsidRDefault="00172C1C" w:rsidP="00A4099D">
            <w:pPr>
              <w:pStyle w:val="TableText0"/>
              <w:keepNext w:val="0"/>
              <w:keepLines/>
            </w:pPr>
            <w:r w:rsidRPr="00E7767C">
              <w:t>IMRT dosimetry plan preparation</w:t>
            </w:r>
          </w:p>
        </w:tc>
        <w:tc>
          <w:tcPr>
            <w:tcW w:w="938" w:type="dxa"/>
            <w:vAlign w:val="center"/>
          </w:tcPr>
          <w:p w14:paraId="47EDBC4E" w14:textId="77777777" w:rsidR="00172C1C" w:rsidRPr="00E7767C" w:rsidRDefault="00172C1C" w:rsidP="00A4099D">
            <w:pPr>
              <w:pStyle w:val="TableText0"/>
              <w:keepNext w:val="0"/>
              <w:keepLines/>
              <w:jc w:val="center"/>
            </w:pPr>
            <w:r w:rsidRPr="00E7767C">
              <w:t>$3,338.10</w:t>
            </w:r>
          </w:p>
        </w:tc>
        <w:tc>
          <w:tcPr>
            <w:tcW w:w="0" w:type="auto"/>
            <w:vAlign w:val="center"/>
          </w:tcPr>
          <w:p w14:paraId="065DC9F7" w14:textId="77777777" w:rsidR="00172C1C" w:rsidRPr="00E7767C" w:rsidRDefault="00172C1C" w:rsidP="00A4099D">
            <w:pPr>
              <w:pStyle w:val="TableText0"/>
              <w:keepNext w:val="0"/>
              <w:keepLines/>
              <w:jc w:val="center"/>
            </w:pPr>
            <w:r w:rsidRPr="00E7767C">
              <w:t>MBS Item 1565</w:t>
            </w:r>
          </w:p>
        </w:tc>
        <w:tc>
          <w:tcPr>
            <w:tcW w:w="0" w:type="auto"/>
            <w:vMerge/>
            <w:vAlign w:val="center"/>
          </w:tcPr>
          <w:p w14:paraId="5719C319" w14:textId="77777777" w:rsidR="00172C1C" w:rsidRPr="00E7767C" w:rsidRDefault="00172C1C" w:rsidP="00A4099D">
            <w:pPr>
              <w:pStyle w:val="TableText0"/>
              <w:keepNext w:val="0"/>
              <w:keepLines/>
              <w:jc w:val="center"/>
              <w:rPr>
                <w:iCs/>
              </w:rPr>
            </w:pPr>
          </w:p>
        </w:tc>
      </w:tr>
      <w:tr w:rsidR="00172C1C" w:rsidRPr="004C54EE" w14:paraId="55426780" w14:textId="77777777" w:rsidTr="00A0461D">
        <w:tc>
          <w:tcPr>
            <w:tcW w:w="1525" w:type="dxa"/>
          </w:tcPr>
          <w:p w14:paraId="4ED5816D" w14:textId="77777777" w:rsidR="00172C1C" w:rsidRPr="004C54EE" w:rsidRDefault="00172C1C" w:rsidP="00A4099D">
            <w:pPr>
              <w:pStyle w:val="TableText0"/>
              <w:keepNext w:val="0"/>
              <w:keepLines/>
            </w:pPr>
            <w:r w:rsidRPr="004C54EE">
              <w:t xml:space="preserve">Radiation oncology </w:t>
            </w:r>
            <w:proofErr w:type="spellStart"/>
            <w:r>
              <w:t>tx</w:t>
            </w:r>
            <w:proofErr w:type="spellEnd"/>
            <w:r w:rsidRPr="004C54EE">
              <w:t xml:space="preserve"> verification</w:t>
            </w:r>
          </w:p>
        </w:tc>
        <w:tc>
          <w:tcPr>
            <w:tcW w:w="938" w:type="dxa"/>
            <w:vAlign w:val="center"/>
          </w:tcPr>
          <w:p w14:paraId="6FD3234A" w14:textId="77777777" w:rsidR="00172C1C" w:rsidRPr="004C54EE" w:rsidRDefault="00172C1C" w:rsidP="00A4099D">
            <w:pPr>
              <w:pStyle w:val="TableText0"/>
              <w:keepNext w:val="0"/>
              <w:keepLines/>
              <w:jc w:val="center"/>
            </w:pPr>
            <w:r w:rsidRPr="004C54EE">
              <w:t>$79.70</w:t>
            </w:r>
          </w:p>
        </w:tc>
        <w:tc>
          <w:tcPr>
            <w:tcW w:w="0" w:type="auto"/>
            <w:vAlign w:val="center"/>
          </w:tcPr>
          <w:p w14:paraId="11FDAEEB" w14:textId="77777777" w:rsidR="00172C1C" w:rsidRPr="004C54EE" w:rsidRDefault="00172C1C" w:rsidP="00A4099D">
            <w:pPr>
              <w:pStyle w:val="TableText0"/>
              <w:keepNext w:val="0"/>
              <w:keepLines/>
              <w:jc w:val="center"/>
            </w:pPr>
            <w:r w:rsidRPr="004C54EE">
              <w:t>MBS Item 15715</w:t>
            </w:r>
          </w:p>
        </w:tc>
        <w:tc>
          <w:tcPr>
            <w:tcW w:w="0" w:type="auto"/>
            <w:vMerge/>
          </w:tcPr>
          <w:p w14:paraId="4C2C298A" w14:textId="77777777" w:rsidR="00172C1C" w:rsidRPr="004C54EE" w:rsidRDefault="00172C1C" w:rsidP="00A4099D">
            <w:pPr>
              <w:pStyle w:val="TableText0"/>
              <w:keepNext w:val="0"/>
              <w:keepLines/>
            </w:pPr>
          </w:p>
        </w:tc>
      </w:tr>
      <w:tr w:rsidR="00172C1C" w:rsidRPr="004C54EE" w14:paraId="38F69F81" w14:textId="77777777" w:rsidTr="00A0461D">
        <w:tc>
          <w:tcPr>
            <w:tcW w:w="1525" w:type="dxa"/>
          </w:tcPr>
          <w:p w14:paraId="6F898791" w14:textId="77777777" w:rsidR="00172C1C" w:rsidRPr="004C54EE" w:rsidRDefault="00172C1C" w:rsidP="00A4099D">
            <w:pPr>
              <w:pStyle w:val="TableText0"/>
              <w:keepNext w:val="0"/>
              <w:keepLines/>
            </w:pPr>
            <w:r w:rsidRPr="004C54EE">
              <w:t xml:space="preserve">Radiation oncology treatment </w:t>
            </w:r>
            <w:r>
              <w:t>(</w:t>
            </w:r>
            <w:r w:rsidRPr="004C54EE">
              <w:t>IGRT</w:t>
            </w:r>
            <w:r>
              <w:t>)</w:t>
            </w:r>
          </w:p>
        </w:tc>
        <w:tc>
          <w:tcPr>
            <w:tcW w:w="938" w:type="dxa"/>
            <w:vAlign w:val="center"/>
          </w:tcPr>
          <w:p w14:paraId="0A22BF5D" w14:textId="77777777" w:rsidR="00172C1C" w:rsidRPr="004C54EE" w:rsidRDefault="00172C1C" w:rsidP="00A4099D">
            <w:pPr>
              <w:pStyle w:val="TableText0"/>
              <w:keepNext w:val="0"/>
              <w:keepLines/>
              <w:jc w:val="center"/>
            </w:pPr>
            <w:r w:rsidRPr="004C54EE">
              <w:t>$190.35</w:t>
            </w:r>
          </w:p>
        </w:tc>
        <w:tc>
          <w:tcPr>
            <w:tcW w:w="0" w:type="auto"/>
            <w:vAlign w:val="center"/>
          </w:tcPr>
          <w:p w14:paraId="721405A9" w14:textId="77777777" w:rsidR="00172C1C" w:rsidRPr="004C54EE" w:rsidRDefault="00172C1C" w:rsidP="00A4099D">
            <w:pPr>
              <w:pStyle w:val="TableText0"/>
              <w:keepNext w:val="0"/>
              <w:keepLines/>
              <w:jc w:val="center"/>
            </w:pPr>
            <w:r w:rsidRPr="004C54EE">
              <w:t>MBS Item 15275</w:t>
            </w:r>
          </w:p>
        </w:tc>
        <w:tc>
          <w:tcPr>
            <w:tcW w:w="0" w:type="auto"/>
            <w:vMerge/>
          </w:tcPr>
          <w:p w14:paraId="052A0B0D" w14:textId="77777777" w:rsidR="00172C1C" w:rsidRPr="004C54EE" w:rsidRDefault="00172C1C" w:rsidP="00A4099D">
            <w:pPr>
              <w:pStyle w:val="TableText0"/>
              <w:keepNext w:val="0"/>
              <w:keepLines/>
            </w:pPr>
          </w:p>
        </w:tc>
      </w:tr>
    </w:tbl>
    <w:p w14:paraId="6851F107" w14:textId="77777777" w:rsidR="00172C1C" w:rsidRPr="004C54EE" w:rsidRDefault="00172C1C" w:rsidP="00172C1C">
      <w:pPr>
        <w:pStyle w:val="TableFigureFooter"/>
        <w:keepNext/>
        <w:keepLines/>
      </w:pPr>
      <w:r w:rsidRPr="004C54EE">
        <w:t>Source: Table 87, p188 of the submission and ‘2a- patients incident’ worksheet of attached financial model.</w:t>
      </w:r>
    </w:p>
    <w:p w14:paraId="2A98793A" w14:textId="77777777" w:rsidR="00172C1C" w:rsidRPr="006E7491" w:rsidRDefault="00172C1C" w:rsidP="00172C1C">
      <w:pPr>
        <w:pStyle w:val="TableFigureFooter"/>
        <w:keepNext/>
        <w:keepLines/>
      </w:pPr>
      <w:r w:rsidRPr="004C54EE">
        <w:t xml:space="preserve">AIHW = Australian Institute for Health and Wellness; CRT = chemoradiotherapy; DPMA = dispensed price per maximum amount; GC = gastric cancer; GOJC = gastro-oesophageal junction </w:t>
      </w:r>
      <w:proofErr w:type="gramStart"/>
      <w:r w:rsidRPr="004C54EE">
        <w:t>cancer;  IGRT</w:t>
      </w:r>
      <w:proofErr w:type="gramEnd"/>
      <w:r w:rsidRPr="004C54EE">
        <w:t xml:space="preserve"> = image guided radiotherapy; IMRT = intensity modulated radiotherapy; NCCN = National Comprehensive Cancer Network; </w:t>
      </w:r>
      <w:proofErr w:type="spellStart"/>
      <w:r w:rsidRPr="004C54EE">
        <w:t>nCRT</w:t>
      </w:r>
      <w:proofErr w:type="spellEnd"/>
      <w:r w:rsidRPr="004C54EE">
        <w:t xml:space="preserve"> = neoadjuvant chemoradiotherapy; MBS = Medicare benefits Schedule; mg = milligram; OAC= oesophageal adenocarcinoma; SCC= squamous cell cancer</w:t>
      </w:r>
    </w:p>
    <w:p w14:paraId="65EC01A3" w14:textId="7631BA57" w:rsidR="00712F3B" w:rsidRPr="00712F3B" w:rsidRDefault="004052A4" w:rsidP="00712F3B">
      <w:pPr>
        <w:pStyle w:val="3-BodyText"/>
        <w:rPr>
          <w:i/>
          <w:color w:val="000000" w:themeColor="text1"/>
        </w:rPr>
      </w:pPr>
      <w:bookmarkStart w:id="66" w:name="_Ref106374996"/>
      <w:bookmarkStart w:id="67" w:name="_Ref109895659"/>
      <w:r w:rsidRPr="00E7767C">
        <w:t>The financial estimates did not account for reduction in later line use of</w:t>
      </w:r>
      <w:r w:rsidR="0067373B" w:rsidRPr="00E7767C">
        <w:t xml:space="preserve"> immunotherapies</w:t>
      </w:r>
      <w:r w:rsidRPr="00E7767C">
        <w:t xml:space="preserve">. Though this was consistent with </w:t>
      </w:r>
      <w:r w:rsidR="003D159B">
        <w:t xml:space="preserve">the </w:t>
      </w:r>
      <w:r w:rsidRPr="00E7767C">
        <w:t xml:space="preserve">economic evaluation, </w:t>
      </w:r>
      <w:r w:rsidR="00E7463F">
        <w:t xml:space="preserve">the evaluation considered </w:t>
      </w:r>
      <w:r w:rsidRPr="00E7767C">
        <w:t>it may not be appropriate.</w:t>
      </w:r>
      <w:r w:rsidR="00E33841">
        <w:t xml:space="preserve"> </w:t>
      </w:r>
      <w:r w:rsidR="00E33841" w:rsidRPr="00925F8E">
        <w:rPr>
          <w:iCs/>
        </w:rPr>
        <w:t>The ESC considered that the listing of nivolumab in the adjuvant setting would reduce the use of nivolumab in later lines of therapy, particularly for first line metastatic treatment among early relapsing patients.</w:t>
      </w:r>
      <w:bookmarkEnd w:id="66"/>
      <w:r w:rsidR="00712F3B" w:rsidRPr="00925F8E">
        <w:rPr>
          <w:iCs/>
        </w:rPr>
        <w:t xml:space="preserve"> </w:t>
      </w:r>
      <w:r w:rsidR="00712F3B" w:rsidRPr="00925F8E">
        <w:rPr>
          <w:iCs/>
          <w:color w:val="000000" w:themeColor="text1"/>
        </w:rPr>
        <w:t xml:space="preserve">The ESC considered access to immunotherapy should be restricted to one course of treatment per lifetime </w:t>
      </w:r>
      <w:r w:rsidR="0088757B">
        <w:rPr>
          <w:iCs/>
          <w:color w:val="000000" w:themeColor="text1"/>
        </w:rPr>
        <w:t>unless</w:t>
      </w:r>
      <w:r w:rsidR="0088757B" w:rsidRPr="00925F8E">
        <w:rPr>
          <w:iCs/>
          <w:color w:val="000000" w:themeColor="text1"/>
        </w:rPr>
        <w:t xml:space="preserve"> </w:t>
      </w:r>
      <w:r w:rsidR="00712F3B" w:rsidRPr="00925F8E">
        <w:rPr>
          <w:iCs/>
          <w:color w:val="000000" w:themeColor="text1"/>
        </w:rPr>
        <w:t>there is adequate clinical and economic evidence available to support retreatment.</w:t>
      </w:r>
      <w:r w:rsidR="0048383D" w:rsidRPr="0048383D">
        <w:t xml:space="preserve"> </w:t>
      </w:r>
      <w:r w:rsidR="0048383D" w:rsidRPr="0048383D">
        <w:rPr>
          <w:iCs/>
          <w:color w:val="000000" w:themeColor="text1"/>
        </w:rPr>
        <w:t xml:space="preserve">The </w:t>
      </w:r>
      <w:r w:rsidR="00E92DDE">
        <w:rPr>
          <w:iCs/>
          <w:color w:val="000000" w:themeColor="text1"/>
        </w:rPr>
        <w:t>s</w:t>
      </w:r>
      <w:r w:rsidR="0048383D" w:rsidRPr="0048383D">
        <w:rPr>
          <w:iCs/>
          <w:color w:val="000000" w:themeColor="text1"/>
        </w:rPr>
        <w:t xml:space="preserve">ponsor </w:t>
      </w:r>
      <w:r w:rsidR="00E92DDE">
        <w:rPr>
          <w:iCs/>
          <w:color w:val="000000" w:themeColor="text1"/>
        </w:rPr>
        <w:t>agreed</w:t>
      </w:r>
      <w:r w:rsidR="0048383D" w:rsidRPr="0048383D">
        <w:rPr>
          <w:iCs/>
          <w:color w:val="000000" w:themeColor="text1"/>
        </w:rPr>
        <w:t xml:space="preserve"> </w:t>
      </w:r>
      <w:r w:rsidR="00E92DDE" w:rsidRPr="0048383D">
        <w:rPr>
          <w:iCs/>
          <w:color w:val="000000" w:themeColor="text1"/>
        </w:rPr>
        <w:t xml:space="preserve">that the PBS listing of nivolumab in the adjuvant treatment setting for OC/GOJC may reduce the use of </w:t>
      </w:r>
      <w:r w:rsidR="00E92DDE">
        <w:rPr>
          <w:iCs/>
          <w:color w:val="000000" w:themeColor="text1"/>
        </w:rPr>
        <w:t xml:space="preserve">metastatic </w:t>
      </w:r>
      <w:r w:rsidR="00E92DDE" w:rsidRPr="0048383D">
        <w:rPr>
          <w:iCs/>
          <w:color w:val="000000" w:themeColor="text1"/>
        </w:rPr>
        <w:t xml:space="preserve">immunotherapy </w:t>
      </w:r>
      <w:r w:rsidR="00291E91">
        <w:rPr>
          <w:iCs/>
          <w:color w:val="000000" w:themeColor="text1"/>
        </w:rPr>
        <w:t>(</w:t>
      </w:r>
      <w:r w:rsidR="0048383D" w:rsidRPr="0048383D">
        <w:rPr>
          <w:iCs/>
          <w:color w:val="000000" w:themeColor="text1"/>
        </w:rPr>
        <w:t>pre-PBAC response)</w:t>
      </w:r>
      <w:r w:rsidR="00E92DDE">
        <w:rPr>
          <w:iCs/>
          <w:color w:val="000000" w:themeColor="text1"/>
        </w:rPr>
        <w:t xml:space="preserve">, however noted </w:t>
      </w:r>
      <w:r w:rsidR="0048383D" w:rsidRPr="0048383D">
        <w:rPr>
          <w:iCs/>
          <w:color w:val="000000" w:themeColor="text1"/>
        </w:rPr>
        <w:t xml:space="preserve">that the post-PBAC recommendation process for nivolumab in the advanced metastatic setting is ongoing. </w:t>
      </w:r>
      <w:r w:rsidR="00E92DDE">
        <w:rPr>
          <w:iCs/>
          <w:color w:val="000000" w:themeColor="text1"/>
        </w:rPr>
        <w:t xml:space="preserve">For this reason, </w:t>
      </w:r>
      <w:r w:rsidR="0048383D" w:rsidRPr="0048383D">
        <w:rPr>
          <w:iCs/>
          <w:color w:val="000000" w:themeColor="text1"/>
        </w:rPr>
        <w:t xml:space="preserve">the sponsor </w:t>
      </w:r>
      <w:r w:rsidR="00E92DDE">
        <w:rPr>
          <w:iCs/>
          <w:color w:val="000000" w:themeColor="text1"/>
        </w:rPr>
        <w:t>did</w:t>
      </w:r>
      <w:r w:rsidR="0048383D" w:rsidRPr="0048383D">
        <w:rPr>
          <w:iCs/>
          <w:color w:val="000000" w:themeColor="text1"/>
        </w:rPr>
        <w:t xml:space="preserve"> not account for this potential cost saving </w:t>
      </w:r>
      <w:r w:rsidR="00E92DDE">
        <w:rPr>
          <w:iCs/>
          <w:color w:val="000000" w:themeColor="text1"/>
        </w:rPr>
        <w:t>in the financial estimates</w:t>
      </w:r>
      <w:r w:rsidR="0048383D" w:rsidRPr="0048383D">
        <w:rPr>
          <w:iCs/>
          <w:color w:val="000000" w:themeColor="text1"/>
        </w:rPr>
        <w:t>.</w:t>
      </w:r>
      <w:r w:rsidR="0048383D">
        <w:rPr>
          <w:iCs/>
          <w:color w:val="000000" w:themeColor="text1"/>
        </w:rPr>
        <w:t xml:space="preserve"> </w:t>
      </w:r>
      <w:r w:rsidR="0048383D">
        <w:t xml:space="preserve">The sponsor did not support </w:t>
      </w:r>
      <w:r w:rsidR="0048383D" w:rsidRPr="00925F8E">
        <w:rPr>
          <w:iCs/>
          <w:color w:val="000000" w:themeColor="text1"/>
        </w:rPr>
        <w:t>restrict</w:t>
      </w:r>
      <w:r w:rsidR="0048383D">
        <w:rPr>
          <w:iCs/>
          <w:color w:val="000000" w:themeColor="text1"/>
        </w:rPr>
        <w:t>ing nivolumab</w:t>
      </w:r>
      <w:r w:rsidR="0048383D" w:rsidRPr="00925F8E">
        <w:rPr>
          <w:iCs/>
          <w:color w:val="000000" w:themeColor="text1"/>
        </w:rPr>
        <w:t xml:space="preserve"> to one course of treatment per </w:t>
      </w:r>
      <w:r w:rsidR="00E92DDE">
        <w:rPr>
          <w:iCs/>
          <w:color w:val="000000" w:themeColor="text1"/>
        </w:rPr>
        <w:t xml:space="preserve">patient </w:t>
      </w:r>
      <w:r w:rsidR="0048383D" w:rsidRPr="00925F8E">
        <w:rPr>
          <w:iCs/>
          <w:color w:val="000000" w:themeColor="text1"/>
        </w:rPr>
        <w:t>lifetime</w:t>
      </w:r>
      <w:r w:rsidR="0048383D">
        <w:t xml:space="preserve"> and suggested a listing</w:t>
      </w:r>
      <w:r w:rsidR="00E92DDE">
        <w:t>,</w:t>
      </w:r>
      <w:r w:rsidR="0048383D">
        <w:t xml:space="preserve"> similar to adjuvant melanoma</w:t>
      </w:r>
      <w:r w:rsidR="00E92DDE">
        <w:t xml:space="preserve">, </w:t>
      </w:r>
      <w:r w:rsidR="003A1940">
        <w:t>that only excludes patients who progress within 6 months of completing adjuvant immunotherapy from retreatment.</w:t>
      </w:r>
      <w:bookmarkEnd w:id="67"/>
    </w:p>
    <w:p w14:paraId="366F7E30" w14:textId="28F05C43" w:rsidR="00172C1C" w:rsidRPr="006E7491" w:rsidRDefault="00172C1C" w:rsidP="00172C1C">
      <w:pPr>
        <w:pStyle w:val="3-BodyText"/>
        <w:rPr>
          <w:color w:val="000000" w:themeColor="text1"/>
        </w:rPr>
      </w:pPr>
      <w:r>
        <w:rPr>
          <w:color w:val="000000" w:themeColor="text1"/>
        </w:rPr>
        <w:t xml:space="preserve">The calculation of number of treated patients is presented in </w:t>
      </w:r>
      <w:r w:rsidRPr="006E7491">
        <w:fldChar w:fldCharType="begin"/>
      </w:r>
      <w:r w:rsidRPr="006E7491">
        <w:instrText xml:space="preserve"> REF _Ref100837117 \h </w:instrText>
      </w:r>
      <w:r>
        <w:instrText xml:space="preserve"> \* MERGEFORMAT </w:instrText>
      </w:r>
      <w:r w:rsidRPr="006E7491">
        <w:fldChar w:fldCharType="separate"/>
      </w:r>
      <w:r w:rsidR="00267758" w:rsidRPr="00267758">
        <w:t>Table 15</w:t>
      </w:r>
      <w:r w:rsidRPr="006E7491">
        <w:fldChar w:fldCharType="end"/>
      </w:r>
      <w:r w:rsidR="000B7014">
        <w:t>.</w:t>
      </w:r>
    </w:p>
    <w:p w14:paraId="6E48C24A" w14:textId="5B30B036" w:rsidR="00172C1C" w:rsidRPr="00720612" w:rsidRDefault="00172C1C" w:rsidP="00172C1C">
      <w:pPr>
        <w:pStyle w:val="TableFigureHeading"/>
        <w:keepLines/>
        <w:rPr>
          <w:szCs w:val="20"/>
        </w:rPr>
      </w:pPr>
      <w:bookmarkStart w:id="68" w:name="_Ref100837117"/>
      <w:r w:rsidRPr="003611E2">
        <w:rPr>
          <w:rStyle w:val="CommentReference"/>
          <w:b/>
          <w:bCs w:val="0"/>
        </w:rPr>
        <w:lastRenderedPageBreak/>
        <w:t xml:space="preserve">Table </w:t>
      </w:r>
      <w:r w:rsidRPr="00375D9E">
        <w:rPr>
          <w:rStyle w:val="TableFigureHeadingChar"/>
          <w:b/>
          <w:bCs/>
          <w:szCs w:val="20"/>
        </w:rPr>
        <w:fldChar w:fldCharType="begin"/>
      </w:r>
      <w:r w:rsidRPr="00375D9E">
        <w:rPr>
          <w:rStyle w:val="TableFigureHeadingChar"/>
          <w:b/>
          <w:bCs/>
          <w:szCs w:val="20"/>
        </w:rPr>
        <w:instrText xml:space="preserve"> SEQ Table \* MERGEFORMAT </w:instrText>
      </w:r>
      <w:r w:rsidRPr="00375D9E">
        <w:rPr>
          <w:rStyle w:val="TableFigureHeadingChar"/>
          <w:b/>
          <w:bCs/>
          <w:szCs w:val="20"/>
        </w:rPr>
        <w:fldChar w:fldCharType="separate"/>
      </w:r>
      <w:r w:rsidR="00267758">
        <w:rPr>
          <w:rStyle w:val="TableFigureHeadingChar"/>
          <w:b/>
          <w:bCs/>
          <w:noProof/>
          <w:szCs w:val="20"/>
        </w:rPr>
        <w:t>15</w:t>
      </w:r>
      <w:r w:rsidRPr="00375D9E">
        <w:rPr>
          <w:rStyle w:val="TableFigureHeadingChar"/>
          <w:b/>
          <w:bCs/>
          <w:szCs w:val="20"/>
        </w:rPr>
        <w:fldChar w:fldCharType="end"/>
      </w:r>
      <w:bookmarkEnd w:id="68"/>
      <w:r>
        <w:rPr>
          <w:rStyle w:val="TableFigureHeadingChar"/>
          <w:b/>
          <w:bCs/>
          <w:szCs w:val="20"/>
        </w:rPr>
        <w:t xml:space="preserve">: </w:t>
      </w:r>
      <w:r w:rsidRPr="00720612">
        <w:rPr>
          <w:szCs w:val="20"/>
        </w:rPr>
        <w:t>Estimation of number of treated patients</w:t>
      </w:r>
    </w:p>
    <w:tbl>
      <w:tblPr>
        <w:tblStyle w:val="TableGrid"/>
        <w:tblW w:w="5000" w:type="pct"/>
        <w:tblLayout w:type="fixed"/>
        <w:tblCellMar>
          <w:left w:w="29" w:type="dxa"/>
          <w:right w:w="29" w:type="dxa"/>
        </w:tblCellMar>
        <w:tblLook w:val="04A0" w:firstRow="1" w:lastRow="0" w:firstColumn="1" w:lastColumn="0" w:noHBand="0" w:noVBand="1"/>
      </w:tblPr>
      <w:tblGrid>
        <w:gridCol w:w="280"/>
        <w:gridCol w:w="3136"/>
        <w:gridCol w:w="1170"/>
        <w:gridCol w:w="629"/>
        <w:gridCol w:w="720"/>
        <w:gridCol w:w="721"/>
        <w:gridCol w:w="810"/>
        <w:gridCol w:w="812"/>
        <w:gridCol w:w="739"/>
      </w:tblGrid>
      <w:tr w:rsidR="00172C1C" w:rsidRPr="00720612" w14:paraId="15FB7540" w14:textId="77777777" w:rsidTr="00A0461D">
        <w:tc>
          <w:tcPr>
            <w:tcW w:w="155" w:type="pct"/>
          </w:tcPr>
          <w:p w14:paraId="78527C54" w14:textId="77777777" w:rsidR="00172C1C" w:rsidRPr="00720612" w:rsidRDefault="00172C1C" w:rsidP="00A0461D">
            <w:pPr>
              <w:keepNext/>
              <w:keepLines/>
              <w:jc w:val="center"/>
              <w:rPr>
                <w:rFonts w:ascii="Arial Narrow" w:hAnsi="Arial Narrow"/>
                <w:sz w:val="20"/>
                <w:szCs w:val="20"/>
              </w:rPr>
            </w:pPr>
          </w:p>
        </w:tc>
        <w:tc>
          <w:tcPr>
            <w:tcW w:w="1739" w:type="pct"/>
          </w:tcPr>
          <w:p w14:paraId="0F788EA4" w14:textId="77777777" w:rsidR="00172C1C" w:rsidRPr="00720612" w:rsidRDefault="00172C1C" w:rsidP="00A0461D">
            <w:pPr>
              <w:keepNext/>
              <w:keepLines/>
              <w:jc w:val="center"/>
              <w:rPr>
                <w:rFonts w:ascii="Arial Narrow" w:hAnsi="Arial Narrow"/>
                <w:sz w:val="20"/>
                <w:szCs w:val="20"/>
              </w:rPr>
            </w:pPr>
          </w:p>
        </w:tc>
        <w:tc>
          <w:tcPr>
            <w:tcW w:w="649" w:type="pct"/>
          </w:tcPr>
          <w:p w14:paraId="1F04E141" w14:textId="77777777" w:rsidR="00172C1C" w:rsidRPr="00720612" w:rsidRDefault="00172C1C" w:rsidP="00A0461D">
            <w:pPr>
              <w:keepNext/>
              <w:keepLines/>
              <w:jc w:val="center"/>
              <w:rPr>
                <w:rFonts w:ascii="Arial Narrow" w:hAnsi="Arial Narrow"/>
                <w:b/>
                <w:sz w:val="20"/>
                <w:szCs w:val="20"/>
              </w:rPr>
            </w:pPr>
          </w:p>
        </w:tc>
        <w:tc>
          <w:tcPr>
            <w:tcW w:w="349" w:type="pct"/>
            <w:shd w:val="clear" w:color="auto" w:fill="auto"/>
          </w:tcPr>
          <w:p w14:paraId="19422C85" w14:textId="77777777" w:rsidR="00172C1C" w:rsidRPr="00720612" w:rsidRDefault="00172C1C" w:rsidP="00A0461D">
            <w:pPr>
              <w:pStyle w:val="TableFigureHeading"/>
              <w:keepLines/>
              <w:jc w:val="center"/>
              <w:rPr>
                <w:szCs w:val="20"/>
              </w:rPr>
            </w:pPr>
            <w:r w:rsidRPr="00720612">
              <w:rPr>
                <w:szCs w:val="20"/>
              </w:rPr>
              <w:t>Year 1</w:t>
            </w:r>
          </w:p>
        </w:tc>
        <w:tc>
          <w:tcPr>
            <w:tcW w:w="399" w:type="pct"/>
            <w:shd w:val="clear" w:color="auto" w:fill="auto"/>
          </w:tcPr>
          <w:p w14:paraId="1AB29CBF" w14:textId="77777777" w:rsidR="00172C1C" w:rsidRPr="00720612" w:rsidRDefault="00172C1C" w:rsidP="00A0461D">
            <w:pPr>
              <w:pStyle w:val="TableFigureHeading"/>
              <w:keepLines/>
              <w:jc w:val="center"/>
              <w:rPr>
                <w:szCs w:val="20"/>
              </w:rPr>
            </w:pPr>
            <w:r w:rsidRPr="00720612">
              <w:rPr>
                <w:szCs w:val="20"/>
              </w:rPr>
              <w:t>Year 2</w:t>
            </w:r>
          </w:p>
        </w:tc>
        <w:tc>
          <w:tcPr>
            <w:tcW w:w="400" w:type="pct"/>
            <w:shd w:val="clear" w:color="auto" w:fill="auto"/>
          </w:tcPr>
          <w:p w14:paraId="5134083A" w14:textId="77777777" w:rsidR="00172C1C" w:rsidRPr="00720612" w:rsidRDefault="00172C1C" w:rsidP="00A0461D">
            <w:pPr>
              <w:pStyle w:val="TableFigureHeading"/>
              <w:keepLines/>
              <w:jc w:val="center"/>
              <w:rPr>
                <w:szCs w:val="20"/>
              </w:rPr>
            </w:pPr>
            <w:r w:rsidRPr="00720612">
              <w:rPr>
                <w:szCs w:val="20"/>
              </w:rPr>
              <w:t>Year 3</w:t>
            </w:r>
          </w:p>
        </w:tc>
        <w:tc>
          <w:tcPr>
            <w:tcW w:w="449" w:type="pct"/>
            <w:shd w:val="clear" w:color="auto" w:fill="auto"/>
          </w:tcPr>
          <w:p w14:paraId="542C85CA" w14:textId="77777777" w:rsidR="00172C1C" w:rsidRPr="00720612" w:rsidRDefault="00172C1C" w:rsidP="00A0461D">
            <w:pPr>
              <w:pStyle w:val="TableFigureHeading"/>
              <w:keepLines/>
              <w:jc w:val="center"/>
              <w:rPr>
                <w:szCs w:val="20"/>
              </w:rPr>
            </w:pPr>
            <w:r w:rsidRPr="00720612">
              <w:rPr>
                <w:szCs w:val="20"/>
              </w:rPr>
              <w:t>Year 4</w:t>
            </w:r>
          </w:p>
        </w:tc>
        <w:tc>
          <w:tcPr>
            <w:tcW w:w="450" w:type="pct"/>
            <w:shd w:val="clear" w:color="auto" w:fill="auto"/>
          </w:tcPr>
          <w:p w14:paraId="4B1585BA" w14:textId="77777777" w:rsidR="00172C1C" w:rsidRPr="00720612" w:rsidRDefault="00172C1C" w:rsidP="00A0461D">
            <w:pPr>
              <w:pStyle w:val="TableFigureHeading"/>
              <w:keepLines/>
              <w:jc w:val="center"/>
              <w:rPr>
                <w:szCs w:val="20"/>
              </w:rPr>
            </w:pPr>
            <w:r w:rsidRPr="00720612">
              <w:rPr>
                <w:szCs w:val="20"/>
              </w:rPr>
              <w:t>Year 5</w:t>
            </w:r>
          </w:p>
        </w:tc>
        <w:tc>
          <w:tcPr>
            <w:tcW w:w="410" w:type="pct"/>
            <w:shd w:val="clear" w:color="auto" w:fill="auto"/>
          </w:tcPr>
          <w:p w14:paraId="13B80744" w14:textId="77777777" w:rsidR="00172C1C" w:rsidRPr="00720612" w:rsidRDefault="00172C1C" w:rsidP="00A0461D">
            <w:pPr>
              <w:pStyle w:val="TableFigureHeading"/>
              <w:keepLines/>
              <w:jc w:val="center"/>
              <w:rPr>
                <w:szCs w:val="20"/>
              </w:rPr>
            </w:pPr>
            <w:r w:rsidRPr="00720612">
              <w:rPr>
                <w:szCs w:val="20"/>
              </w:rPr>
              <w:t>Year 6</w:t>
            </w:r>
          </w:p>
        </w:tc>
      </w:tr>
      <w:tr w:rsidR="00172C1C" w:rsidRPr="00720612" w14:paraId="690FD259" w14:textId="77777777" w:rsidTr="00A0461D">
        <w:tc>
          <w:tcPr>
            <w:tcW w:w="155" w:type="pct"/>
          </w:tcPr>
          <w:p w14:paraId="6ACDDEE8" w14:textId="77777777" w:rsidR="00172C1C" w:rsidRPr="00720612" w:rsidRDefault="00172C1C" w:rsidP="00A0461D">
            <w:pPr>
              <w:pStyle w:val="TableText0"/>
              <w:keepLines/>
              <w:rPr>
                <w:szCs w:val="20"/>
              </w:rPr>
            </w:pPr>
            <w:r w:rsidRPr="00720612">
              <w:rPr>
                <w:szCs w:val="20"/>
              </w:rPr>
              <w:t>A</w:t>
            </w:r>
          </w:p>
        </w:tc>
        <w:tc>
          <w:tcPr>
            <w:tcW w:w="1739" w:type="pct"/>
          </w:tcPr>
          <w:p w14:paraId="76ED4F22" w14:textId="4085A71B" w:rsidR="00172C1C" w:rsidRPr="00720612" w:rsidRDefault="00172C1C" w:rsidP="00A0461D">
            <w:pPr>
              <w:pStyle w:val="TableText0"/>
              <w:keepLines/>
              <w:rPr>
                <w:szCs w:val="20"/>
              </w:rPr>
            </w:pPr>
            <w:r w:rsidRPr="00720612">
              <w:rPr>
                <w:szCs w:val="20"/>
              </w:rPr>
              <w:t>Patients diagnosed with OC or GOJC</w:t>
            </w:r>
          </w:p>
        </w:tc>
        <w:tc>
          <w:tcPr>
            <w:tcW w:w="649" w:type="pct"/>
          </w:tcPr>
          <w:p w14:paraId="0901B814" w14:textId="77777777" w:rsidR="00172C1C" w:rsidRPr="00720612" w:rsidRDefault="00172C1C" w:rsidP="00A0461D">
            <w:pPr>
              <w:pStyle w:val="TableText0"/>
              <w:keepLines/>
              <w:jc w:val="center"/>
              <w:rPr>
                <w:szCs w:val="20"/>
              </w:rPr>
            </w:pPr>
          </w:p>
        </w:tc>
        <w:tc>
          <w:tcPr>
            <w:tcW w:w="349" w:type="pct"/>
          </w:tcPr>
          <w:p w14:paraId="21FF79F6" w14:textId="77777777" w:rsidR="00172C1C" w:rsidRPr="0086267E" w:rsidRDefault="00172C1C" w:rsidP="00A0461D">
            <w:pPr>
              <w:pStyle w:val="TableText0"/>
              <w:keepLines/>
              <w:jc w:val="center"/>
              <w:rPr>
                <w:szCs w:val="20"/>
              </w:rPr>
            </w:pPr>
            <w:r w:rsidRPr="0086267E">
              <w:rPr>
                <w:rFonts w:cs="Arial"/>
                <w:szCs w:val="20"/>
              </w:rPr>
              <w:t>2,569</w:t>
            </w:r>
          </w:p>
        </w:tc>
        <w:tc>
          <w:tcPr>
            <w:tcW w:w="399" w:type="pct"/>
          </w:tcPr>
          <w:p w14:paraId="60F689AA" w14:textId="77777777" w:rsidR="00172C1C" w:rsidRPr="0086267E" w:rsidRDefault="00172C1C" w:rsidP="00A0461D">
            <w:pPr>
              <w:pStyle w:val="TableText0"/>
              <w:keepLines/>
              <w:jc w:val="center"/>
              <w:rPr>
                <w:szCs w:val="20"/>
              </w:rPr>
            </w:pPr>
            <w:r w:rsidRPr="0086267E">
              <w:rPr>
                <w:rFonts w:cs="Arial"/>
                <w:szCs w:val="20"/>
              </w:rPr>
              <w:t>2,602</w:t>
            </w:r>
          </w:p>
        </w:tc>
        <w:tc>
          <w:tcPr>
            <w:tcW w:w="400" w:type="pct"/>
          </w:tcPr>
          <w:p w14:paraId="6D0C1A8B" w14:textId="77777777" w:rsidR="00172C1C" w:rsidRPr="0086267E" w:rsidRDefault="00172C1C" w:rsidP="00A0461D">
            <w:pPr>
              <w:pStyle w:val="TableText0"/>
              <w:keepLines/>
              <w:jc w:val="center"/>
              <w:rPr>
                <w:szCs w:val="20"/>
              </w:rPr>
            </w:pPr>
            <w:r w:rsidRPr="0086267E">
              <w:rPr>
                <w:rFonts w:cs="Arial"/>
                <w:szCs w:val="20"/>
              </w:rPr>
              <w:t>2,636</w:t>
            </w:r>
          </w:p>
        </w:tc>
        <w:tc>
          <w:tcPr>
            <w:tcW w:w="449" w:type="pct"/>
          </w:tcPr>
          <w:p w14:paraId="046333E5" w14:textId="77777777" w:rsidR="00172C1C" w:rsidRPr="0086267E" w:rsidRDefault="00172C1C" w:rsidP="00A0461D">
            <w:pPr>
              <w:pStyle w:val="TableText0"/>
              <w:keepLines/>
              <w:jc w:val="center"/>
              <w:rPr>
                <w:szCs w:val="20"/>
              </w:rPr>
            </w:pPr>
            <w:r w:rsidRPr="0086267E">
              <w:rPr>
                <w:rFonts w:cs="Arial"/>
                <w:szCs w:val="20"/>
              </w:rPr>
              <w:t>2,670</w:t>
            </w:r>
          </w:p>
        </w:tc>
        <w:tc>
          <w:tcPr>
            <w:tcW w:w="450" w:type="pct"/>
          </w:tcPr>
          <w:p w14:paraId="6CCA9328" w14:textId="77777777" w:rsidR="00172C1C" w:rsidRPr="0086267E" w:rsidRDefault="00172C1C" w:rsidP="00A0461D">
            <w:pPr>
              <w:pStyle w:val="TableText0"/>
              <w:keepLines/>
              <w:jc w:val="center"/>
              <w:rPr>
                <w:szCs w:val="20"/>
              </w:rPr>
            </w:pPr>
            <w:r w:rsidRPr="0086267E">
              <w:rPr>
                <w:rFonts w:cs="Arial"/>
                <w:szCs w:val="20"/>
              </w:rPr>
              <w:t>2,705</w:t>
            </w:r>
          </w:p>
        </w:tc>
        <w:tc>
          <w:tcPr>
            <w:tcW w:w="410" w:type="pct"/>
          </w:tcPr>
          <w:p w14:paraId="327C63DD" w14:textId="77777777" w:rsidR="00172C1C" w:rsidRPr="0086267E" w:rsidRDefault="00172C1C" w:rsidP="00A0461D">
            <w:pPr>
              <w:pStyle w:val="TableText0"/>
              <w:keepLines/>
              <w:jc w:val="center"/>
              <w:rPr>
                <w:szCs w:val="20"/>
              </w:rPr>
            </w:pPr>
            <w:r w:rsidRPr="0086267E">
              <w:rPr>
                <w:rFonts w:cs="Arial"/>
                <w:szCs w:val="20"/>
              </w:rPr>
              <w:t>2,740</w:t>
            </w:r>
          </w:p>
        </w:tc>
      </w:tr>
      <w:tr w:rsidR="00172C1C" w:rsidRPr="00720612" w14:paraId="58CEE966" w14:textId="77777777" w:rsidTr="00A0461D">
        <w:tc>
          <w:tcPr>
            <w:tcW w:w="155" w:type="pct"/>
          </w:tcPr>
          <w:p w14:paraId="1F05A1F6" w14:textId="77777777" w:rsidR="00172C1C" w:rsidRPr="00720612" w:rsidRDefault="00172C1C" w:rsidP="00A0461D">
            <w:pPr>
              <w:pStyle w:val="TableText0"/>
              <w:keepLines/>
              <w:rPr>
                <w:szCs w:val="20"/>
              </w:rPr>
            </w:pPr>
            <w:r w:rsidRPr="00720612">
              <w:rPr>
                <w:szCs w:val="20"/>
              </w:rPr>
              <w:t>B</w:t>
            </w:r>
          </w:p>
        </w:tc>
        <w:tc>
          <w:tcPr>
            <w:tcW w:w="1739" w:type="pct"/>
          </w:tcPr>
          <w:p w14:paraId="362316FC" w14:textId="77777777" w:rsidR="00172C1C" w:rsidRPr="00720612" w:rsidRDefault="00172C1C" w:rsidP="00A0461D">
            <w:pPr>
              <w:pStyle w:val="TableText0"/>
              <w:keepLines/>
              <w:rPr>
                <w:szCs w:val="20"/>
              </w:rPr>
            </w:pPr>
            <w:r w:rsidRPr="00720612">
              <w:rPr>
                <w:rFonts w:cs="Arial"/>
                <w:szCs w:val="20"/>
              </w:rPr>
              <w:t>Growth rate</w:t>
            </w:r>
          </w:p>
        </w:tc>
        <w:tc>
          <w:tcPr>
            <w:tcW w:w="649" w:type="pct"/>
          </w:tcPr>
          <w:p w14:paraId="7B35995C" w14:textId="77777777" w:rsidR="00172C1C" w:rsidRPr="00720612" w:rsidRDefault="00172C1C" w:rsidP="00A0461D">
            <w:pPr>
              <w:pStyle w:val="TableText0"/>
              <w:keepLines/>
              <w:jc w:val="center"/>
              <w:rPr>
                <w:szCs w:val="20"/>
              </w:rPr>
            </w:pPr>
          </w:p>
        </w:tc>
        <w:tc>
          <w:tcPr>
            <w:tcW w:w="349" w:type="pct"/>
          </w:tcPr>
          <w:p w14:paraId="52495A21" w14:textId="77777777" w:rsidR="00172C1C" w:rsidRPr="0086267E" w:rsidRDefault="00172C1C" w:rsidP="00A0461D">
            <w:pPr>
              <w:pStyle w:val="TableText0"/>
              <w:keepLines/>
              <w:jc w:val="center"/>
              <w:rPr>
                <w:szCs w:val="20"/>
              </w:rPr>
            </w:pPr>
            <w:r w:rsidRPr="0086267E">
              <w:rPr>
                <w:szCs w:val="20"/>
              </w:rPr>
              <w:t>1.3%</w:t>
            </w:r>
          </w:p>
        </w:tc>
        <w:tc>
          <w:tcPr>
            <w:tcW w:w="399" w:type="pct"/>
          </w:tcPr>
          <w:p w14:paraId="631379A1" w14:textId="77777777" w:rsidR="00172C1C" w:rsidRPr="0086267E" w:rsidRDefault="00172C1C" w:rsidP="00A0461D">
            <w:pPr>
              <w:pStyle w:val="TableText0"/>
              <w:keepLines/>
              <w:jc w:val="center"/>
              <w:rPr>
                <w:szCs w:val="20"/>
              </w:rPr>
            </w:pPr>
            <w:r w:rsidRPr="0086267E">
              <w:rPr>
                <w:szCs w:val="20"/>
              </w:rPr>
              <w:t>1.3%</w:t>
            </w:r>
          </w:p>
        </w:tc>
        <w:tc>
          <w:tcPr>
            <w:tcW w:w="400" w:type="pct"/>
          </w:tcPr>
          <w:p w14:paraId="7D2E06ED" w14:textId="77777777" w:rsidR="00172C1C" w:rsidRPr="0086267E" w:rsidRDefault="00172C1C" w:rsidP="00A0461D">
            <w:pPr>
              <w:pStyle w:val="TableText0"/>
              <w:keepLines/>
              <w:jc w:val="center"/>
              <w:rPr>
                <w:szCs w:val="20"/>
              </w:rPr>
            </w:pPr>
            <w:r w:rsidRPr="0086267E">
              <w:rPr>
                <w:szCs w:val="20"/>
              </w:rPr>
              <w:t>1.3%</w:t>
            </w:r>
          </w:p>
        </w:tc>
        <w:tc>
          <w:tcPr>
            <w:tcW w:w="449" w:type="pct"/>
          </w:tcPr>
          <w:p w14:paraId="69CCB273" w14:textId="77777777" w:rsidR="00172C1C" w:rsidRPr="0086267E" w:rsidRDefault="00172C1C" w:rsidP="00A0461D">
            <w:pPr>
              <w:pStyle w:val="TableText0"/>
              <w:keepLines/>
              <w:jc w:val="center"/>
              <w:rPr>
                <w:szCs w:val="20"/>
              </w:rPr>
            </w:pPr>
            <w:r w:rsidRPr="0086267E">
              <w:rPr>
                <w:szCs w:val="20"/>
              </w:rPr>
              <w:t>1.3%</w:t>
            </w:r>
          </w:p>
        </w:tc>
        <w:tc>
          <w:tcPr>
            <w:tcW w:w="450" w:type="pct"/>
          </w:tcPr>
          <w:p w14:paraId="6CE6C575" w14:textId="77777777" w:rsidR="00172C1C" w:rsidRPr="0086267E" w:rsidRDefault="00172C1C" w:rsidP="00A0461D">
            <w:pPr>
              <w:pStyle w:val="TableText0"/>
              <w:keepLines/>
              <w:jc w:val="center"/>
              <w:rPr>
                <w:szCs w:val="20"/>
              </w:rPr>
            </w:pPr>
            <w:r w:rsidRPr="0086267E">
              <w:rPr>
                <w:szCs w:val="20"/>
              </w:rPr>
              <w:t>1.3%</w:t>
            </w:r>
          </w:p>
        </w:tc>
        <w:tc>
          <w:tcPr>
            <w:tcW w:w="410" w:type="pct"/>
          </w:tcPr>
          <w:p w14:paraId="6C3217FB" w14:textId="77777777" w:rsidR="00172C1C" w:rsidRPr="0086267E" w:rsidRDefault="00172C1C" w:rsidP="00A0461D">
            <w:pPr>
              <w:pStyle w:val="TableText0"/>
              <w:keepLines/>
              <w:jc w:val="center"/>
              <w:rPr>
                <w:szCs w:val="20"/>
              </w:rPr>
            </w:pPr>
            <w:r w:rsidRPr="0086267E">
              <w:rPr>
                <w:szCs w:val="20"/>
              </w:rPr>
              <w:t>1.3%</w:t>
            </w:r>
          </w:p>
        </w:tc>
      </w:tr>
      <w:tr w:rsidR="00172C1C" w:rsidRPr="00720612" w14:paraId="69643FA5" w14:textId="77777777" w:rsidTr="00A0461D">
        <w:tc>
          <w:tcPr>
            <w:tcW w:w="155" w:type="pct"/>
          </w:tcPr>
          <w:p w14:paraId="14DCD994" w14:textId="77777777" w:rsidR="00172C1C" w:rsidRPr="00720612" w:rsidRDefault="00172C1C" w:rsidP="00A0461D">
            <w:pPr>
              <w:pStyle w:val="TableText0"/>
              <w:keepLines/>
              <w:rPr>
                <w:szCs w:val="20"/>
              </w:rPr>
            </w:pPr>
            <w:r w:rsidRPr="00720612">
              <w:rPr>
                <w:szCs w:val="20"/>
              </w:rPr>
              <w:t>C</w:t>
            </w:r>
          </w:p>
        </w:tc>
        <w:tc>
          <w:tcPr>
            <w:tcW w:w="1739" w:type="pct"/>
          </w:tcPr>
          <w:p w14:paraId="7793CF57" w14:textId="77777777" w:rsidR="00172C1C" w:rsidRPr="00720612" w:rsidRDefault="00172C1C" w:rsidP="00A0461D">
            <w:pPr>
              <w:pStyle w:val="TableText0"/>
              <w:keepLines/>
              <w:rPr>
                <w:szCs w:val="20"/>
              </w:rPr>
            </w:pPr>
            <w:r w:rsidRPr="00720612">
              <w:rPr>
                <w:rFonts w:cs="Arial"/>
                <w:szCs w:val="20"/>
              </w:rPr>
              <w:t>% Stage II/III disease at diagnosis</w:t>
            </w:r>
          </w:p>
        </w:tc>
        <w:tc>
          <w:tcPr>
            <w:tcW w:w="649" w:type="pct"/>
          </w:tcPr>
          <w:p w14:paraId="7C862EDE" w14:textId="77777777" w:rsidR="00172C1C" w:rsidRPr="00720612" w:rsidRDefault="00172C1C" w:rsidP="00A0461D">
            <w:pPr>
              <w:pStyle w:val="TableText0"/>
              <w:keepLines/>
              <w:jc w:val="center"/>
              <w:rPr>
                <w:szCs w:val="20"/>
              </w:rPr>
            </w:pPr>
            <w:r w:rsidRPr="002F2E76">
              <w:rPr>
                <w:szCs w:val="20"/>
              </w:rPr>
              <w:t>A x 56.8%</w:t>
            </w:r>
          </w:p>
        </w:tc>
        <w:tc>
          <w:tcPr>
            <w:tcW w:w="349" w:type="pct"/>
          </w:tcPr>
          <w:p w14:paraId="42C0FB00" w14:textId="77777777" w:rsidR="00172C1C" w:rsidRPr="0086267E" w:rsidRDefault="00172C1C" w:rsidP="00A0461D">
            <w:pPr>
              <w:pStyle w:val="TableText0"/>
              <w:keepLines/>
              <w:jc w:val="center"/>
              <w:rPr>
                <w:szCs w:val="20"/>
              </w:rPr>
            </w:pPr>
            <w:r w:rsidRPr="0086267E">
              <w:rPr>
                <w:szCs w:val="20"/>
              </w:rPr>
              <w:t>1459</w:t>
            </w:r>
          </w:p>
        </w:tc>
        <w:tc>
          <w:tcPr>
            <w:tcW w:w="399" w:type="pct"/>
          </w:tcPr>
          <w:p w14:paraId="006A0EB0" w14:textId="77777777" w:rsidR="00172C1C" w:rsidRPr="0086267E" w:rsidRDefault="00172C1C" w:rsidP="00A0461D">
            <w:pPr>
              <w:pStyle w:val="TableText0"/>
              <w:keepLines/>
              <w:jc w:val="center"/>
              <w:rPr>
                <w:szCs w:val="20"/>
              </w:rPr>
            </w:pPr>
            <w:r w:rsidRPr="0086267E">
              <w:rPr>
                <w:szCs w:val="20"/>
              </w:rPr>
              <w:t>1478</w:t>
            </w:r>
          </w:p>
        </w:tc>
        <w:tc>
          <w:tcPr>
            <w:tcW w:w="400" w:type="pct"/>
          </w:tcPr>
          <w:p w14:paraId="7FC227B0" w14:textId="77777777" w:rsidR="00172C1C" w:rsidRPr="0086267E" w:rsidRDefault="00172C1C" w:rsidP="00A0461D">
            <w:pPr>
              <w:pStyle w:val="TableText0"/>
              <w:keepLines/>
              <w:jc w:val="center"/>
              <w:rPr>
                <w:szCs w:val="20"/>
              </w:rPr>
            </w:pPr>
            <w:r w:rsidRPr="0086267E">
              <w:rPr>
                <w:szCs w:val="20"/>
              </w:rPr>
              <w:t>1497</w:t>
            </w:r>
          </w:p>
        </w:tc>
        <w:tc>
          <w:tcPr>
            <w:tcW w:w="449" w:type="pct"/>
          </w:tcPr>
          <w:p w14:paraId="56797C28" w14:textId="77777777" w:rsidR="00172C1C" w:rsidRPr="0086267E" w:rsidRDefault="00172C1C" w:rsidP="00A0461D">
            <w:pPr>
              <w:pStyle w:val="TableText0"/>
              <w:keepLines/>
              <w:jc w:val="center"/>
              <w:rPr>
                <w:szCs w:val="20"/>
              </w:rPr>
            </w:pPr>
            <w:r w:rsidRPr="0086267E">
              <w:rPr>
                <w:szCs w:val="20"/>
              </w:rPr>
              <w:t>1517</w:t>
            </w:r>
          </w:p>
        </w:tc>
        <w:tc>
          <w:tcPr>
            <w:tcW w:w="450" w:type="pct"/>
          </w:tcPr>
          <w:p w14:paraId="0D9CDE14" w14:textId="77777777" w:rsidR="00172C1C" w:rsidRPr="0086267E" w:rsidRDefault="00172C1C" w:rsidP="00A0461D">
            <w:pPr>
              <w:pStyle w:val="TableText0"/>
              <w:keepLines/>
              <w:jc w:val="center"/>
              <w:rPr>
                <w:szCs w:val="20"/>
              </w:rPr>
            </w:pPr>
            <w:r w:rsidRPr="0086267E">
              <w:rPr>
                <w:szCs w:val="20"/>
              </w:rPr>
              <w:t>1536</w:t>
            </w:r>
          </w:p>
        </w:tc>
        <w:tc>
          <w:tcPr>
            <w:tcW w:w="410" w:type="pct"/>
          </w:tcPr>
          <w:p w14:paraId="56006D0C" w14:textId="77777777" w:rsidR="00172C1C" w:rsidRPr="0086267E" w:rsidRDefault="00172C1C" w:rsidP="00A0461D">
            <w:pPr>
              <w:pStyle w:val="TableText0"/>
              <w:keepLines/>
              <w:jc w:val="center"/>
              <w:rPr>
                <w:szCs w:val="20"/>
              </w:rPr>
            </w:pPr>
            <w:r w:rsidRPr="0086267E">
              <w:rPr>
                <w:szCs w:val="20"/>
              </w:rPr>
              <w:t>1556</w:t>
            </w:r>
          </w:p>
        </w:tc>
      </w:tr>
      <w:tr w:rsidR="00172C1C" w:rsidRPr="00720612" w14:paraId="253D95AB" w14:textId="77777777" w:rsidTr="00A0461D">
        <w:tc>
          <w:tcPr>
            <w:tcW w:w="155" w:type="pct"/>
          </w:tcPr>
          <w:p w14:paraId="45EA986C" w14:textId="77777777" w:rsidR="00172C1C" w:rsidRPr="00720612" w:rsidRDefault="00172C1C" w:rsidP="00A0461D">
            <w:pPr>
              <w:pStyle w:val="TableText0"/>
              <w:keepLines/>
              <w:rPr>
                <w:szCs w:val="20"/>
              </w:rPr>
            </w:pPr>
            <w:r w:rsidRPr="00720612">
              <w:rPr>
                <w:szCs w:val="20"/>
              </w:rPr>
              <w:t>D</w:t>
            </w:r>
          </w:p>
        </w:tc>
        <w:tc>
          <w:tcPr>
            <w:tcW w:w="1739" w:type="pct"/>
          </w:tcPr>
          <w:p w14:paraId="53E64E43" w14:textId="77777777" w:rsidR="00172C1C" w:rsidRPr="00720612" w:rsidRDefault="00172C1C" w:rsidP="00A0461D">
            <w:pPr>
              <w:pStyle w:val="TableText0"/>
              <w:keepLines/>
              <w:rPr>
                <w:szCs w:val="20"/>
              </w:rPr>
            </w:pPr>
            <w:r w:rsidRPr="00720612">
              <w:rPr>
                <w:rFonts w:cs="Arial"/>
                <w:szCs w:val="20"/>
              </w:rPr>
              <w:t>% adeno/squamous histology</w:t>
            </w:r>
          </w:p>
        </w:tc>
        <w:tc>
          <w:tcPr>
            <w:tcW w:w="649" w:type="pct"/>
          </w:tcPr>
          <w:p w14:paraId="455530D0" w14:textId="77777777" w:rsidR="00172C1C" w:rsidRPr="00720612" w:rsidRDefault="00172C1C" w:rsidP="00A0461D">
            <w:pPr>
              <w:pStyle w:val="TableText0"/>
              <w:keepLines/>
              <w:jc w:val="center"/>
              <w:rPr>
                <w:szCs w:val="20"/>
              </w:rPr>
            </w:pPr>
            <w:r w:rsidRPr="00720612">
              <w:rPr>
                <w:szCs w:val="20"/>
              </w:rPr>
              <w:t>C x 90.5%</w:t>
            </w:r>
          </w:p>
        </w:tc>
        <w:tc>
          <w:tcPr>
            <w:tcW w:w="349" w:type="pct"/>
          </w:tcPr>
          <w:p w14:paraId="703E788C" w14:textId="77777777" w:rsidR="00172C1C" w:rsidRPr="0086267E" w:rsidRDefault="00172C1C" w:rsidP="00A0461D">
            <w:pPr>
              <w:pStyle w:val="TableText0"/>
              <w:keepLines/>
              <w:jc w:val="center"/>
              <w:rPr>
                <w:szCs w:val="20"/>
              </w:rPr>
            </w:pPr>
            <w:r w:rsidRPr="0086267E">
              <w:rPr>
                <w:szCs w:val="20"/>
              </w:rPr>
              <w:t>1320</w:t>
            </w:r>
          </w:p>
        </w:tc>
        <w:tc>
          <w:tcPr>
            <w:tcW w:w="399" w:type="pct"/>
          </w:tcPr>
          <w:p w14:paraId="27A37CA9" w14:textId="77777777" w:rsidR="00172C1C" w:rsidRPr="0086267E" w:rsidRDefault="00172C1C" w:rsidP="00A0461D">
            <w:pPr>
              <w:pStyle w:val="TableText0"/>
              <w:keepLines/>
              <w:jc w:val="center"/>
              <w:rPr>
                <w:szCs w:val="20"/>
              </w:rPr>
            </w:pPr>
            <w:r w:rsidRPr="0086267E">
              <w:rPr>
                <w:szCs w:val="20"/>
              </w:rPr>
              <w:t>1337</w:t>
            </w:r>
          </w:p>
        </w:tc>
        <w:tc>
          <w:tcPr>
            <w:tcW w:w="400" w:type="pct"/>
          </w:tcPr>
          <w:p w14:paraId="45F22527" w14:textId="77777777" w:rsidR="00172C1C" w:rsidRPr="0086267E" w:rsidRDefault="00172C1C" w:rsidP="00A0461D">
            <w:pPr>
              <w:pStyle w:val="TableText0"/>
              <w:keepLines/>
              <w:jc w:val="center"/>
              <w:rPr>
                <w:szCs w:val="20"/>
              </w:rPr>
            </w:pPr>
            <w:r w:rsidRPr="0086267E">
              <w:rPr>
                <w:szCs w:val="20"/>
              </w:rPr>
              <w:t>1354</w:t>
            </w:r>
          </w:p>
        </w:tc>
        <w:tc>
          <w:tcPr>
            <w:tcW w:w="449" w:type="pct"/>
          </w:tcPr>
          <w:p w14:paraId="75882720" w14:textId="77777777" w:rsidR="00172C1C" w:rsidRPr="0086267E" w:rsidRDefault="00172C1C" w:rsidP="00A0461D">
            <w:pPr>
              <w:pStyle w:val="TableText0"/>
              <w:keepLines/>
              <w:jc w:val="center"/>
              <w:rPr>
                <w:szCs w:val="20"/>
              </w:rPr>
            </w:pPr>
            <w:r w:rsidRPr="0086267E">
              <w:rPr>
                <w:szCs w:val="20"/>
              </w:rPr>
              <w:t>1372</w:t>
            </w:r>
          </w:p>
        </w:tc>
        <w:tc>
          <w:tcPr>
            <w:tcW w:w="450" w:type="pct"/>
          </w:tcPr>
          <w:p w14:paraId="0351EE4A" w14:textId="77777777" w:rsidR="00172C1C" w:rsidRPr="0086267E" w:rsidRDefault="00172C1C" w:rsidP="00A0461D">
            <w:pPr>
              <w:pStyle w:val="TableText0"/>
              <w:keepLines/>
              <w:jc w:val="center"/>
              <w:rPr>
                <w:szCs w:val="20"/>
              </w:rPr>
            </w:pPr>
            <w:r w:rsidRPr="0086267E">
              <w:rPr>
                <w:szCs w:val="20"/>
              </w:rPr>
              <w:t>1390</w:t>
            </w:r>
          </w:p>
        </w:tc>
        <w:tc>
          <w:tcPr>
            <w:tcW w:w="410" w:type="pct"/>
          </w:tcPr>
          <w:p w14:paraId="792F4381" w14:textId="77777777" w:rsidR="00172C1C" w:rsidRPr="0086267E" w:rsidRDefault="00172C1C" w:rsidP="00A0461D">
            <w:pPr>
              <w:pStyle w:val="TableText0"/>
              <w:keepLines/>
              <w:jc w:val="center"/>
              <w:rPr>
                <w:szCs w:val="20"/>
              </w:rPr>
            </w:pPr>
            <w:r w:rsidRPr="0086267E">
              <w:rPr>
                <w:szCs w:val="20"/>
              </w:rPr>
              <w:t>1408</w:t>
            </w:r>
          </w:p>
        </w:tc>
      </w:tr>
      <w:tr w:rsidR="00172C1C" w:rsidRPr="00720612" w14:paraId="59D40E66" w14:textId="77777777" w:rsidTr="00A0461D">
        <w:tc>
          <w:tcPr>
            <w:tcW w:w="155" w:type="pct"/>
          </w:tcPr>
          <w:p w14:paraId="46A37798" w14:textId="77777777" w:rsidR="00172C1C" w:rsidRPr="00720612" w:rsidRDefault="00172C1C" w:rsidP="00A0461D">
            <w:pPr>
              <w:pStyle w:val="TableText0"/>
              <w:keepLines/>
              <w:rPr>
                <w:szCs w:val="20"/>
              </w:rPr>
            </w:pPr>
            <w:r w:rsidRPr="00720612">
              <w:rPr>
                <w:szCs w:val="20"/>
              </w:rPr>
              <w:t>E</w:t>
            </w:r>
          </w:p>
        </w:tc>
        <w:tc>
          <w:tcPr>
            <w:tcW w:w="1739" w:type="pct"/>
          </w:tcPr>
          <w:p w14:paraId="082FDE16" w14:textId="6268899A" w:rsidR="00172C1C" w:rsidRPr="00720612" w:rsidRDefault="00172C1C" w:rsidP="00A0461D">
            <w:pPr>
              <w:pStyle w:val="TableText0"/>
              <w:keepLines/>
              <w:rPr>
                <w:szCs w:val="20"/>
              </w:rPr>
            </w:pPr>
            <w:r w:rsidRPr="00720612">
              <w:rPr>
                <w:rFonts w:cs="Arial"/>
                <w:szCs w:val="20"/>
              </w:rPr>
              <w:t>% Receiving neoadjuvant CRT + surgery</w:t>
            </w:r>
          </w:p>
        </w:tc>
        <w:tc>
          <w:tcPr>
            <w:tcW w:w="649" w:type="pct"/>
          </w:tcPr>
          <w:p w14:paraId="2F6799A1" w14:textId="77777777" w:rsidR="00172C1C" w:rsidRPr="00720612" w:rsidRDefault="00172C1C" w:rsidP="00A0461D">
            <w:pPr>
              <w:pStyle w:val="TableText0"/>
              <w:keepLines/>
              <w:jc w:val="center"/>
              <w:rPr>
                <w:szCs w:val="20"/>
              </w:rPr>
            </w:pPr>
            <w:r w:rsidRPr="00720612">
              <w:rPr>
                <w:szCs w:val="20"/>
              </w:rPr>
              <w:t>D x 42.35%</w:t>
            </w:r>
          </w:p>
        </w:tc>
        <w:tc>
          <w:tcPr>
            <w:tcW w:w="349" w:type="pct"/>
          </w:tcPr>
          <w:p w14:paraId="347D92B3" w14:textId="77777777" w:rsidR="00172C1C" w:rsidRPr="0086267E" w:rsidRDefault="00172C1C" w:rsidP="00A0461D">
            <w:pPr>
              <w:pStyle w:val="TableText0"/>
              <w:keepLines/>
              <w:jc w:val="center"/>
              <w:rPr>
                <w:szCs w:val="20"/>
              </w:rPr>
            </w:pPr>
            <w:r w:rsidRPr="0086267E">
              <w:rPr>
                <w:szCs w:val="20"/>
              </w:rPr>
              <w:t>559</w:t>
            </w:r>
          </w:p>
        </w:tc>
        <w:tc>
          <w:tcPr>
            <w:tcW w:w="399" w:type="pct"/>
          </w:tcPr>
          <w:p w14:paraId="5071B55E" w14:textId="77777777" w:rsidR="00172C1C" w:rsidRPr="0086267E" w:rsidRDefault="00172C1C" w:rsidP="00A0461D">
            <w:pPr>
              <w:pStyle w:val="TableText0"/>
              <w:keepLines/>
              <w:jc w:val="center"/>
              <w:rPr>
                <w:szCs w:val="20"/>
              </w:rPr>
            </w:pPr>
            <w:r w:rsidRPr="0086267E">
              <w:rPr>
                <w:szCs w:val="20"/>
              </w:rPr>
              <w:t>566</w:t>
            </w:r>
          </w:p>
        </w:tc>
        <w:tc>
          <w:tcPr>
            <w:tcW w:w="400" w:type="pct"/>
          </w:tcPr>
          <w:p w14:paraId="3547B6E8" w14:textId="77777777" w:rsidR="00172C1C" w:rsidRPr="0086267E" w:rsidRDefault="00172C1C" w:rsidP="00A0461D">
            <w:pPr>
              <w:pStyle w:val="TableText0"/>
              <w:keepLines/>
              <w:jc w:val="center"/>
              <w:rPr>
                <w:szCs w:val="20"/>
              </w:rPr>
            </w:pPr>
            <w:r w:rsidRPr="0086267E">
              <w:rPr>
                <w:szCs w:val="20"/>
              </w:rPr>
              <w:t>574</w:t>
            </w:r>
          </w:p>
        </w:tc>
        <w:tc>
          <w:tcPr>
            <w:tcW w:w="449" w:type="pct"/>
          </w:tcPr>
          <w:p w14:paraId="1B40C15E" w14:textId="77777777" w:rsidR="00172C1C" w:rsidRPr="0086267E" w:rsidRDefault="00172C1C" w:rsidP="00A0461D">
            <w:pPr>
              <w:pStyle w:val="TableText0"/>
              <w:keepLines/>
              <w:jc w:val="center"/>
              <w:rPr>
                <w:szCs w:val="20"/>
              </w:rPr>
            </w:pPr>
            <w:r w:rsidRPr="0086267E">
              <w:rPr>
                <w:szCs w:val="20"/>
              </w:rPr>
              <w:t>581</w:t>
            </w:r>
          </w:p>
        </w:tc>
        <w:tc>
          <w:tcPr>
            <w:tcW w:w="450" w:type="pct"/>
          </w:tcPr>
          <w:p w14:paraId="1E46F9E2" w14:textId="77777777" w:rsidR="00172C1C" w:rsidRPr="0086267E" w:rsidRDefault="00172C1C" w:rsidP="00A0461D">
            <w:pPr>
              <w:pStyle w:val="TableText0"/>
              <w:keepLines/>
              <w:jc w:val="center"/>
              <w:rPr>
                <w:szCs w:val="20"/>
              </w:rPr>
            </w:pPr>
            <w:r w:rsidRPr="0086267E">
              <w:rPr>
                <w:szCs w:val="20"/>
              </w:rPr>
              <w:t>589</w:t>
            </w:r>
          </w:p>
        </w:tc>
        <w:tc>
          <w:tcPr>
            <w:tcW w:w="410" w:type="pct"/>
          </w:tcPr>
          <w:p w14:paraId="23ED1890" w14:textId="77777777" w:rsidR="00172C1C" w:rsidRPr="0086267E" w:rsidRDefault="00172C1C" w:rsidP="00A0461D">
            <w:pPr>
              <w:pStyle w:val="TableText0"/>
              <w:keepLines/>
              <w:jc w:val="center"/>
              <w:rPr>
                <w:szCs w:val="20"/>
              </w:rPr>
            </w:pPr>
            <w:r w:rsidRPr="0086267E">
              <w:rPr>
                <w:szCs w:val="20"/>
              </w:rPr>
              <w:t>596</w:t>
            </w:r>
          </w:p>
        </w:tc>
      </w:tr>
      <w:tr w:rsidR="00172C1C" w:rsidRPr="00720612" w14:paraId="7A860827" w14:textId="77777777" w:rsidTr="00C15651">
        <w:tc>
          <w:tcPr>
            <w:tcW w:w="155" w:type="pct"/>
          </w:tcPr>
          <w:p w14:paraId="373940D6" w14:textId="77777777" w:rsidR="00172C1C" w:rsidRPr="00720612" w:rsidRDefault="00172C1C" w:rsidP="00A0461D">
            <w:pPr>
              <w:pStyle w:val="TableText0"/>
              <w:keepLines/>
              <w:rPr>
                <w:szCs w:val="20"/>
              </w:rPr>
            </w:pPr>
            <w:r w:rsidRPr="00720612">
              <w:rPr>
                <w:szCs w:val="20"/>
              </w:rPr>
              <w:t>F</w:t>
            </w:r>
          </w:p>
        </w:tc>
        <w:tc>
          <w:tcPr>
            <w:tcW w:w="1739" w:type="pct"/>
          </w:tcPr>
          <w:p w14:paraId="2A792D28" w14:textId="77777777" w:rsidR="00172C1C" w:rsidRPr="00720612" w:rsidRDefault="00172C1C" w:rsidP="00A0461D">
            <w:pPr>
              <w:pStyle w:val="TableText0"/>
              <w:keepLines/>
              <w:rPr>
                <w:szCs w:val="20"/>
              </w:rPr>
            </w:pPr>
            <w:r w:rsidRPr="00720612">
              <w:rPr>
                <w:rFonts w:cs="Arial"/>
                <w:szCs w:val="20"/>
              </w:rPr>
              <w:t xml:space="preserve">% Complete resection and residual disease </w:t>
            </w:r>
          </w:p>
        </w:tc>
        <w:tc>
          <w:tcPr>
            <w:tcW w:w="649" w:type="pct"/>
          </w:tcPr>
          <w:p w14:paraId="05C62217" w14:textId="77777777" w:rsidR="00172C1C" w:rsidRPr="00720612" w:rsidRDefault="00172C1C" w:rsidP="00A0461D">
            <w:pPr>
              <w:pStyle w:val="TableText0"/>
              <w:keepLines/>
              <w:jc w:val="center"/>
              <w:rPr>
                <w:szCs w:val="20"/>
              </w:rPr>
            </w:pPr>
            <w:r w:rsidRPr="00720612">
              <w:rPr>
                <w:szCs w:val="20"/>
              </w:rPr>
              <w:t>E x 71%</w:t>
            </w:r>
          </w:p>
        </w:tc>
        <w:tc>
          <w:tcPr>
            <w:tcW w:w="349" w:type="pct"/>
            <w:vAlign w:val="center"/>
          </w:tcPr>
          <w:p w14:paraId="1D167592" w14:textId="77777777" w:rsidR="00172C1C" w:rsidRPr="0086267E" w:rsidRDefault="00172C1C" w:rsidP="00C15651">
            <w:pPr>
              <w:pStyle w:val="TableText0"/>
              <w:keepLines/>
              <w:jc w:val="center"/>
              <w:rPr>
                <w:szCs w:val="20"/>
              </w:rPr>
            </w:pPr>
            <w:r w:rsidRPr="0086267E">
              <w:rPr>
                <w:szCs w:val="20"/>
              </w:rPr>
              <w:t>397</w:t>
            </w:r>
          </w:p>
        </w:tc>
        <w:tc>
          <w:tcPr>
            <w:tcW w:w="399" w:type="pct"/>
            <w:vAlign w:val="center"/>
          </w:tcPr>
          <w:p w14:paraId="01A911C6" w14:textId="77777777" w:rsidR="00172C1C" w:rsidRPr="0086267E" w:rsidRDefault="00172C1C" w:rsidP="00C15651">
            <w:pPr>
              <w:pStyle w:val="TableText0"/>
              <w:keepLines/>
              <w:jc w:val="center"/>
              <w:rPr>
                <w:szCs w:val="20"/>
              </w:rPr>
            </w:pPr>
            <w:r w:rsidRPr="0086267E">
              <w:rPr>
                <w:szCs w:val="20"/>
              </w:rPr>
              <w:t>402</w:t>
            </w:r>
          </w:p>
        </w:tc>
        <w:tc>
          <w:tcPr>
            <w:tcW w:w="400" w:type="pct"/>
            <w:vAlign w:val="center"/>
          </w:tcPr>
          <w:p w14:paraId="4E1B8117" w14:textId="77777777" w:rsidR="00172C1C" w:rsidRPr="0086267E" w:rsidRDefault="00172C1C" w:rsidP="00C15651">
            <w:pPr>
              <w:pStyle w:val="TableText0"/>
              <w:keepLines/>
              <w:jc w:val="center"/>
              <w:rPr>
                <w:szCs w:val="20"/>
              </w:rPr>
            </w:pPr>
            <w:r w:rsidRPr="0086267E">
              <w:rPr>
                <w:szCs w:val="20"/>
              </w:rPr>
              <w:t>407</w:t>
            </w:r>
          </w:p>
        </w:tc>
        <w:tc>
          <w:tcPr>
            <w:tcW w:w="449" w:type="pct"/>
            <w:vAlign w:val="center"/>
          </w:tcPr>
          <w:p w14:paraId="103436FC" w14:textId="77777777" w:rsidR="00172C1C" w:rsidRPr="0086267E" w:rsidRDefault="00172C1C" w:rsidP="00C15651">
            <w:pPr>
              <w:pStyle w:val="TableText0"/>
              <w:keepLines/>
              <w:jc w:val="center"/>
              <w:rPr>
                <w:szCs w:val="20"/>
              </w:rPr>
            </w:pPr>
            <w:r w:rsidRPr="0086267E">
              <w:rPr>
                <w:szCs w:val="20"/>
              </w:rPr>
              <w:t>412</w:t>
            </w:r>
          </w:p>
        </w:tc>
        <w:tc>
          <w:tcPr>
            <w:tcW w:w="450" w:type="pct"/>
            <w:vAlign w:val="center"/>
          </w:tcPr>
          <w:p w14:paraId="3E2E2881" w14:textId="77777777" w:rsidR="00172C1C" w:rsidRPr="0086267E" w:rsidRDefault="00172C1C" w:rsidP="00C15651">
            <w:pPr>
              <w:pStyle w:val="TableText0"/>
              <w:keepLines/>
              <w:jc w:val="center"/>
              <w:rPr>
                <w:szCs w:val="20"/>
              </w:rPr>
            </w:pPr>
            <w:r w:rsidRPr="0086267E">
              <w:rPr>
                <w:szCs w:val="20"/>
              </w:rPr>
              <w:t>418</w:t>
            </w:r>
          </w:p>
        </w:tc>
        <w:tc>
          <w:tcPr>
            <w:tcW w:w="410" w:type="pct"/>
            <w:vAlign w:val="center"/>
          </w:tcPr>
          <w:p w14:paraId="0BD4B73B" w14:textId="77777777" w:rsidR="00172C1C" w:rsidRPr="0086267E" w:rsidRDefault="00172C1C" w:rsidP="00C15651">
            <w:pPr>
              <w:pStyle w:val="TableText0"/>
              <w:keepLines/>
              <w:jc w:val="center"/>
              <w:rPr>
                <w:szCs w:val="20"/>
              </w:rPr>
            </w:pPr>
            <w:r w:rsidRPr="0086267E">
              <w:rPr>
                <w:szCs w:val="20"/>
              </w:rPr>
              <w:t>423</w:t>
            </w:r>
          </w:p>
        </w:tc>
      </w:tr>
      <w:tr w:rsidR="00172C1C" w:rsidRPr="00720612" w14:paraId="06BD29E6" w14:textId="77777777" w:rsidTr="00A0461D">
        <w:tc>
          <w:tcPr>
            <w:tcW w:w="155" w:type="pct"/>
          </w:tcPr>
          <w:p w14:paraId="02F3C971" w14:textId="77777777" w:rsidR="00172C1C" w:rsidRPr="00720612" w:rsidRDefault="00172C1C" w:rsidP="00A0461D">
            <w:pPr>
              <w:pStyle w:val="TableText0"/>
              <w:keepLines/>
              <w:rPr>
                <w:szCs w:val="20"/>
              </w:rPr>
            </w:pPr>
            <w:r w:rsidRPr="00720612">
              <w:rPr>
                <w:szCs w:val="20"/>
              </w:rPr>
              <w:t>G</w:t>
            </w:r>
          </w:p>
        </w:tc>
        <w:tc>
          <w:tcPr>
            <w:tcW w:w="1739" w:type="pct"/>
          </w:tcPr>
          <w:p w14:paraId="5D839E89" w14:textId="77777777" w:rsidR="00172C1C" w:rsidRPr="00720612" w:rsidRDefault="00172C1C" w:rsidP="00A0461D">
            <w:pPr>
              <w:pStyle w:val="TableText0"/>
              <w:keepLines/>
              <w:rPr>
                <w:szCs w:val="20"/>
              </w:rPr>
            </w:pPr>
            <w:r w:rsidRPr="00720612">
              <w:rPr>
                <w:rFonts w:cs="Arial"/>
                <w:szCs w:val="20"/>
              </w:rPr>
              <w:t>% WHO performance status 0 or 1</w:t>
            </w:r>
          </w:p>
        </w:tc>
        <w:tc>
          <w:tcPr>
            <w:tcW w:w="649" w:type="pct"/>
          </w:tcPr>
          <w:p w14:paraId="1D65C73D" w14:textId="77777777" w:rsidR="00172C1C" w:rsidRPr="00720612" w:rsidRDefault="00172C1C" w:rsidP="00A0461D">
            <w:pPr>
              <w:pStyle w:val="TableText0"/>
              <w:keepLines/>
              <w:jc w:val="center"/>
              <w:rPr>
                <w:szCs w:val="20"/>
              </w:rPr>
            </w:pPr>
            <w:r w:rsidRPr="00720612">
              <w:rPr>
                <w:szCs w:val="20"/>
              </w:rPr>
              <w:t>F x 100%</w:t>
            </w:r>
          </w:p>
        </w:tc>
        <w:tc>
          <w:tcPr>
            <w:tcW w:w="349" w:type="pct"/>
          </w:tcPr>
          <w:p w14:paraId="649934FE" w14:textId="77777777" w:rsidR="00172C1C" w:rsidRPr="0086267E" w:rsidRDefault="00172C1C" w:rsidP="00A0461D">
            <w:pPr>
              <w:pStyle w:val="TableText0"/>
              <w:keepLines/>
              <w:jc w:val="center"/>
              <w:rPr>
                <w:szCs w:val="20"/>
              </w:rPr>
            </w:pPr>
            <w:r w:rsidRPr="0086267E">
              <w:rPr>
                <w:szCs w:val="20"/>
              </w:rPr>
              <w:t>397</w:t>
            </w:r>
          </w:p>
        </w:tc>
        <w:tc>
          <w:tcPr>
            <w:tcW w:w="399" w:type="pct"/>
          </w:tcPr>
          <w:p w14:paraId="6492D933" w14:textId="77777777" w:rsidR="00172C1C" w:rsidRPr="0086267E" w:rsidRDefault="00172C1C" w:rsidP="00A0461D">
            <w:pPr>
              <w:pStyle w:val="TableText0"/>
              <w:keepLines/>
              <w:jc w:val="center"/>
              <w:rPr>
                <w:szCs w:val="20"/>
              </w:rPr>
            </w:pPr>
            <w:r w:rsidRPr="0086267E">
              <w:rPr>
                <w:szCs w:val="20"/>
              </w:rPr>
              <w:t>402</w:t>
            </w:r>
          </w:p>
        </w:tc>
        <w:tc>
          <w:tcPr>
            <w:tcW w:w="400" w:type="pct"/>
          </w:tcPr>
          <w:p w14:paraId="70A36D10" w14:textId="77777777" w:rsidR="00172C1C" w:rsidRPr="0086267E" w:rsidRDefault="00172C1C" w:rsidP="00A0461D">
            <w:pPr>
              <w:pStyle w:val="TableText0"/>
              <w:keepLines/>
              <w:jc w:val="center"/>
              <w:rPr>
                <w:szCs w:val="20"/>
              </w:rPr>
            </w:pPr>
            <w:r w:rsidRPr="0086267E">
              <w:rPr>
                <w:szCs w:val="20"/>
              </w:rPr>
              <w:t>407</w:t>
            </w:r>
          </w:p>
        </w:tc>
        <w:tc>
          <w:tcPr>
            <w:tcW w:w="449" w:type="pct"/>
          </w:tcPr>
          <w:p w14:paraId="489C0276" w14:textId="77777777" w:rsidR="00172C1C" w:rsidRPr="0086267E" w:rsidRDefault="00172C1C" w:rsidP="00A0461D">
            <w:pPr>
              <w:pStyle w:val="TableText0"/>
              <w:keepLines/>
              <w:jc w:val="center"/>
              <w:rPr>
                <w:szCs w:val="20"/>
              </w:rPr>
            </w:pPr>
            <w:r w:rsidRPr="0086267E">
              <w:rPr>
                <w:szCs w:val="20"/>
              </w:rPr>
              <w:t>412</w:t>
            </w:r>
          </w:p>
        </w:tc>
        <w:tc>
          <w:tcPr>
            <w:tcW w:w="450" w:type="pct"/>
          </w:tcPr>
          <w:p w14:paraId="24174841" w14:textId="77777777" w:rsidR="00172C1C" w:rsidRPr="0086267E" w:rsidRDefault="00172C1C" w:rsidP="00A0461D">
            <w:pPr>
              <w:pStyle w:val="TableText0"/>
              <w:keepLines/>
              <w:jc w:val="center"/>
              <w:rPr>
                <w:szCs w:val="20"/>
              </w:rPr>
            </w:pPr>
            <w:r w:rsidRPr="0086267E">
              <w:rPr>
                <w:szCs w:val="20"/>
              </w:rPr>
              <w:t>418</w:t>
            </w:r>
          </w:p>
        </w:tc>
        <w:tc>
          <w:tcPr>
            <w:tcW w:w="410" w:type="pct"/>
          </w:tcPr>
          <w:p w14:paraId="2C3BA1DB" w14:textId="77777777" w:rsidR="00172C1C" w:rsidRPr="0086267E" w:rsidRDefault="00172C1C" w:rsidP="00A0461D">
            <w:pPr>
              <w:pStyle w:val="TableText0"/>
              <w:keepLines/>
              <w:jc w:val="center"/>
              <w:rPr>
                <w:szCs w:val="20"/>
              </w:rPr>
            </w:pPr>
            <w:r w:rsidRPr="0086267E">
              <w:rPr>
                <w:szCs w:val="20"/>
              </w:rPr>
              <w:t>423</w:t>
            </w:r>
          </w:p>
        </w:tc>
      </w:tr>
      <w:tr w:rsidR="00172C1C" w:rsidRPr="00720612" w14:paraId="2424A2CC" w14:textId="77777777" w:rsidTr="00A0461D">
        <w:tc>
          <w:tcPr>
            <w:tcW w:w="155" w:type="pct"/>
            <w:tcBorders>
              <w:top w:val="nil"/>
              <w:left w:val="single" w:sz="4" w:space="0" w:color="auto"/>
              <w:bottom w:val="single" w:sz="4" w:space="0" w:color="auto"/>
              <w:right w:val="single" w:sz="4" w:space="0" w:color="auto"/>
            </w:tcBorders>
            <w:shd w:val="clear" w:color="auto" w:fill="FFFFFF" w:themeFill="background1"/>
          </w:tcPr>
          <w:p w14:paraId="21FD2024" w14:textId="77777777" w:rsidR="00172C1C" w:rsidRPr="00720612" w:rsidRDefault="00172C1C" w:rsidP="00A0461D">
            <w:pPr>
              <w:pStyle w:val="TableText0"/>
              <w:keepLines/>
              <w:rPr>
                <w:b/>
                <w:bCs w:val="0"/>
                <w:szCs w:val="20"/>
              </w:rPr>
            </w:pPr>
            <w:r w:rsidRPr="00720612">
              <w:rPr>
                <w:b/>
                <w:bCs w:val="0"/>
                <w:szCs w:val="20"/>
              </w:rPr>
              <w:t>H</w:t>
            </w:r>
          </w:p>
        </w:tc>
        <w:tc>
          <w:tcPr>
            <w:tcW w:w="1739" w:type="pct"/>
            <w:tcBorders>
              <w:top w:val="nil"/>
              <w:left w:val="single" w:sz="4" w:space="0" w:color="auto"/>
              <w:bottom w:val="single" w:sz="4" w:space="0" w:color="auto"/>
              <w:right w:val="single" w:sz="4" w:space="0" w:color="auto"/>
            </w:tcBorders>
            <w:shd w:val="clear" w:color="auto" w:fill="FFFFFF" w:themeFill="background1"/>
          </w:tcPr>
          <w:p w14:paraId="06C6D8C7" w14:textId="77777777" w:rsidR="00172C1C" w:rsidRPr="00720612" w:rsidRDefault="00172C1C" w:rsidP="00A0461D">
            <w:pPr>
              <w:pStyle w:val="TableText0"/>
              <w:keepLines/>
              <w:rPr>
                <w:b/>
                <w:bCs w:val="0"/>
                <w:szCs w:val="20"/>
              </w:rPr>
            </w:pPr>
            <w:r w:rsidRPr="00720612">
              <w:rPr>
                <w:b/>
                <w:bCs w:val="0"/>
                <w:szCs w:val="20"/>
              </w:rPr>
              <w:t>Total eligible patients</w:t>
            </w:r>
          </w:p>
        </w:tc>
        <w:tc>
          <w:tcPr>
            <w:tcW w:w="649" w:type="pct"/>
            <w:tcBorders>
              <w:top w:val="single" w:sz="4" w:space="0" w:color="auto"/>
              <w:left w:val="nil"/>
              <w:bottom w:val="single" w:sz="4" w:space="0" w:color="auto"/>
              <w:right w:val="single" w:sz="4" w:space="0" w:color="auto"/>
            </w:tcBorders>
            <w:shd w:val="clear" w:color="auto" w:fill="FFFFFF" w:themeFill="background1"/>
          </w:tcPr>
          <w:p w14:paraId="1576F9A7" w14:textId="77777777" w:rsidR="00172C1C" w:rsidRPr="00720612" w:rsidRDefault="00172C1C" w:rsidP="00A0461D">
            <w:pPr>
              <w:pStyle w:val="TableText0"/>
              <w:keepLines/>
              <w:jc w:val="center"/>
              <w:rPr>
                <w:b/>
                <w:bCs w:val="0"/>
                <w:szCs w:val="20"/>
              </w:rPr>
            </w:pPr>
            <w:r w:rsidRPr="00720612">
              <w:rPr>
                <w:b/>
                <w:bCs w:val="0"/>
                <w:szCs w:val="20"/>
              </w:rPr>
              <w:t>-</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14:paraId="1054275B" w14:textId="77777777" w:rsidR="00172C1C" w:rsidRPr="0086267E" w:rsidRDefault="00172C1C" w:rsidP="00A0461D">
            <w:pPr>
              <w:pStyle w:val="TableText0"/>
              <w:keepLines/>
              <w:jc w:val="center"/>
              <w:rPr>
                <w:b/>
                <w:bCs w:val="0"/>
                <w:szCs w:val="20"/>
              </w:rPr>
            </w:pPr>
            <w:r w:rsidRPr="0086267E">
              <w:rPr>
                <w:b/>
                <w:bCs w:val="0"/>
                <w:szCs w:val="20"/>
              </w:rPr>
              <w:t>397</w:t>
            </w:r>
          </w:p>
        </w:tc>
        <w:tc>
          <w:tcPr>
            <w:tcW w:w="399" w:type="pct"/>
            <w:tcBorders>
              <w:top w:val="nil"/>
              <w:left w:val="nil"/>
              <w:bottom w:val="single" w:sz="4" w:space="0" w:color="auto"/>
              <w:right w:val="single" w:sz="4" w:space="0" w:color="auto"/>
            </w:tcBorders>
            <w:shd w:val="clear" w:color="auto" w:fill="FFFFFF" w:themeFill="background1"/>
          </w:tcPr>
          <w:p w14:paraId="07767D91" w14:textId="77777777" w:rsidR="00172C1C" w:rsidRPr="0086267E" w:rsidRDefault="00172C1C" w:rsidP="00A0461D">
            <w:pPr>
              <w:pStyle w:val="TableText0"/>
              <w:keepLines/>
              <w:jc w:val="center"/>
              <w:rPr>
                <w:b/>
                <w:bCs w:val="0"/>
                <w:szCs w:val="20"/>
              </w:rPr>
            </w:pPr>
            <w:r w:rsidRPr="0086267E">
              <w:rPr>
                <w:b/>
                <w:bCs w:val="0"/>
                <w:szCs w:val="20"/>
              </w:rPr>
              <w:t>402</w:t>
            </w:r>
          </w:p>
        </w:tc>
        <w:tc>
          <w:tcPr>
            <w:tcW w:w="400" w:type="pct"/>
            <w:tcBorders>
              <w:top w:val="nil"/>
              <w:left w:val="nil"/>
              <w:bottom w:val="single" w:sz="4" w:space="0" w:color="auto"/>
              <w:right w:val="single" w:sz="4" w:space="0" w:color="auto"/>
            </w:tcBorders>
            <w:shd w:val="clear" w:color="auto" w:fill="FFFFFF" w:themeFill="background1"/>
          </w:tcPr>
          <w:p w14:paraId="67BBDD4B" w14:textId="77777777" w:rsidR="00172C1C" w:rsidRPr="0086267E" w:rsidRDefault="00172C1C" w:rsidP="00A0461D">
            <w:pPr>
              <w:pStyle w:val="TableText0"/>
              <w:keepLines/>
              <w:jc w:val="center"/>
              <w:rPr>
                <w:b/>
                <w:bCs w:val="0"/>
                <w:szCs w:val="20"/>
              </w:rPr>
            </w:pPr>
            <w:r w:rsidRPr="0086267E">
              <w:rPr>
                <w:b/>
                <w:bCs w:val="0"/>
                <w:szCs w:val="20"/>
              </w:rPr>
              <w:t>407</w:t>
            </w:r>
          </w:p>
        </w:tc>
        <w:tc>
          <w:tcPr>
            <w:tcW w:w="449" w:type="pct"/>
            <w:tcBorders>
              <w:top w:val="nil"/>
              <w:left w:val="nil"/>
              <w:bottom w:val="single" w:sz="4" w:space="0" w:color="auto"/>
              <w:right w:val="single" w:sz="4" w:space="0" w:color="auto"/>
            </w:tcBorders>
            <w:shd w:val="clear" w:color="auto" w:fill="FFFFFF" w:themeFill="background1"/>
          </w:tcPr>
          <w:p w14:paraId="2D257A3D" w14:textId="77777777" w:rsidR="00172C1C" w:rsidRPr="0086267E" w:rsidRDefault="00172C1C" w:rsidP="00A0461D">
            <w:pPr>
              <w:pStyle w:val="TableText0"/>
              <w:keepLines/>
              <w:jc w:val="center"/>
              <w:rPr>
                <w:b/>
                <w:bCs w:val="0"/>
                <w:szCs w:val="20"/>
              </w:rPr>
            </w:pPr>
            <w:r w:rsidRPr="0086267E">
              <w:rPr>
                <w:b/>
                <w:bCs w:val="0"/>
                <w:szCs w:val="20"/>
              </w:rPr>
              <w:t>412</w:t>
            </w:r>
          </w:p>
        </w:tc>
        <w:tc>
          <w:tcPr>
            <w:tcW w:w="450" w:type="pct"/>
            <w:tcBorders>
              <w:top w:val="nil"/>
              <w:left w:val="nil"/>
              <w:bottom w:val="single" w:sz="4" w:space="0" w:color="auto"/>
              <w:right w:val="single" w:sz="4" w:space="0" w:color="auto"/>
            </w:tcBorders>
            <w:shd w:val="clear" w:color="auto" w:fill="FFFFFF" w:themeFill="background1"/>
          </w:tcPr>
          <w:p w14:paraId="11CF3088" w14:textId="77777777" w:rsidR="00172C1C" w:rsidRPr="0086267E" w:rsidRDefault="00172C1C" w:rsidP="00A0461D">
            <w:pPr>
              <w:pStyle w:val="TableText0"/>
              <w:keepLines/>
              <w:jc w:val="center"/>
              <w:rPr>
                <w:b/>
                <w:bCs w:val="0"/>
                <w:szCs w:val="20"/>
              </w:rPr>
            </w:pPr>
            <w:r w:rsidRPr="0086267E">
              <w:rPr>
                <w:b/>
                <w:bCs w:val="0"/>
                <w:szCs w:val="20"/>
              </w:rPr>
              <w:t>418</w:t>
            </w:r>
          </w:p>
        </w:tc>
        <w:tc>
          <w:tcPr>
            <w:tcW w:w="410" w:type="pct"/>
            <w:tcBorders>
              <w:top w:val="nil"/>
              <w:left w:val="nil"/>
              <w:bottom w:val="single" w:sz="4" w:space="0" w:color="auto"/>
              <w:right w:val="single" w:sz="4" w:space="0" w:color="auto"/>
            </w:tcBorders>
            <w:shd w:val="clear" w:color="auto" w:fill="FFFFFF" w:themeFill="background1"/>
          </w:tcPr>
          <w:p w14:paraId="548597FD" w14:textId="77777777" w:rsidR="00172C1C" w:rsidRPr="0086267E" w:rsidRDefault="00172C1C" w:rsidP="00A0461D">
            <w:pPr>
              <w:pStyle w:val="TableText0"/>
              <w:keepLines/>
              <w:jc w:val="center"/>
              <w:rPr>
                <w:b/>
                <w:bCs w:val="0"/>
                <w:szCs w:val="20"/>
              </w:rPr>
            </w:pPr>
            <w:r w:rsidRPr="0086267E">
              <w:rPr>
                <w:b/>
                <w:bCs w:val="0"/>
                <w:szCs w:val="20"/>
              </w:rPr>
              <w:t>423</w:t>
            </w:r>
          </w:p>
        </w:tc>
      </w:tr>
      <w:tr w:rsidR="00172C1C" w:rsidRPr="00720612" w14:paraId="392D6DEB" w14:textId="77777777" w:rsidTr="00A0461D">
        <w:tc>
          <w:tcPr>
            <w:tcW w:w="155" w:type="pct"/>
            <w:tcBorders>
              <w:top w:val="nil"/>
              <w:left w:val="single" w:sz="4" w:space="0" w:color="auto"/>
              <w:bottom w:val="single" w:sz="4" w:space="0" w:color="auto"/>
              <w:right w:val="single" w:sz="4" w:space="0" w:color="auto"/>
            </w:tcBorders>
            <w:shd w:val="clear" w:color="auto" w:fill="FFFFFF" w:themeFill="background1"/>
          </w:tcPr>
          <w:p w14:paraId="2C863671" w14:textId="77777777" w:rsidR="00172C1C" w:rsidRPr="00720612" w:rsidRDefault="00172C1C" w:rsidP="00A0461D">
            <w:pPr>
              <w:pStyle w:val="TableText0"/>
              <w:keepLines/>
              <w:rPr>
                <w:szCs w:val="20"/>
              </w:rPr>
            </w:pPr>
            <w:r w:rsidRPr="00720612">
              <w:rPr>
                <w:szCs w:val="20"/>
              </w:rPr>
              <w:t>I</w:t>
            </w:r>
          </w:p>
        </w:tc>
        <w:tc>
          <w:tcPr>
            <w:tcW w:w="1739" w:type="pct"/>
            <w:tcBorders>
              <w:top w:val="nil"/>
              <w:left w:val="single" w:sz="4" w:space="0" w:color="auto"/>
              <w:bottom w:val="single" w:sz="4" w:space="0" w:color="auto"/>
              <w:right w:val="single" w:sz="4" w:space="0" w:color="auto"/>
            </w:tcBorders>
            <w:shd w:val="clear" w:color="auto" w:fill="FFFFFF" w:themeFill="background1"/>
          </w:tcPr>
          <w:p w14:paraId="33E347B8" w14:textId="77777777" w:rsidR="00172C1C" w:rsidRPr="00720612" w:rsidRDefault="00172C1C" w:rsidP="00A0461D">
            <w:pPr>
              <w:pStyle w:val="TableText0"/>
              <w:keepLines/>
              <w:rPr>
                <w:szCs w:val="20"/>
              </w:rPr>
            </w:pPr>
            <w:r w:rsidRPr="00720612">
              <w:rPr>
                <w:szCs w:val="20"/>
              </w:rPr>
              <w:t>Uptake rate</w:t>
            </w:r>
          </w:p>
        </w:tc>
        <w:tc>
          <w:tcPr>
            <w:tcW w:w="649" w:type="pct"/>
            <w:tcBorders>
              <w:top w:val="single" w:sz="4" w:space="0" w:color="auto"/>
              <w:left w:val="nil"/>
              <w:bottom w:val="single" w:sz="4" w:space="0" w:color="auto"/>
              <w:right w:val="single" w:sz="4" w:space="0" w:color="auto"/>
            </w:tcBorders>
            <w:shd w:val="clear" w:color="auto" w:fill="FFFFFF" w:themeFill="background1"/>
          </w:tcPr>
          <w:p w14:paraId="3143404D" w14:textId="77777777" w:rsidR="00172C1C" w:rsidRPr="00720612" w:rsidRDefault="00172C1C" w:rsidP="00A0461D">
            <w:pPr>
              <w:pStyle w:val="TableText0"/>
              <w:keepLines/>
              <w:jc w:val="center"/>
              <w:rPr>
                <w:szCs w:val="20"/>
              </w:rPr>
            </w:pPr>
            <w:r w:rsidRPr="00720612">
              <w:rPr>
                <w:szCs w:val="20"/>
              </w:rPr>
              <w:t>-</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14:paraId="7C06975F" w14:textId="03688572" w:rsidR="00172C1C" w:rsidRPr="008F3277" w:rsidRDefault="000A25B4" w:rsidP="00A0461D">
            <w:pPr>
              <w:pStyle w:val="TableText0"/>
              <w:keepLines/>
              <w:jc w:val="center"/>
              <w:rPr>
                <w:szCs w:val="20"/>
                <w:highlight w:val="darkGray"/>
              </w:rPr>
            </w:pPr>
            <w:r w:rsidRPr="000A25B4">
              <w:rPr>
                <w:color w:val="000000"/>
                <w:spacing w:val="77"/>
                <w:szCs w:val="20"/>
                <w:shd w:val="solid" w:color="000000" w:fill="000000"/>
                <w:fitText w:val="163" w:id="-1435755763"/>
                <w14:textFill>
                  <w14:solidFill>
                    <w14:srgbClr w14:val="000000">
                      <w14:alpha w14:val="100000"/>
                    </w14:srgbClr>
                  </w14:solidFill>
                </w14:textFill>
              </w:rPr>
              <w:t>|</w:t>
            </w:r>
            <w:r w:rsidRPr="000A25B4">
              <w:rPr>
                <w:color w:val="000000"/>
                <w:spacing w:val="1"/>
                <w:szCs w:val="20"/>
                <w:shd w:val="solid" w:color="000000" w:fill="000000"/>
                <w:fitText w:val="163" w:id="-1435755763"/>
                <w14:textFill>
                  <w14:solidFill>
                    <w14:srgbClr w14:val="000000">
                      <w14:alpha w14:val="100000"/>
                    </w14:srgbClr>
                  </w14:solidFill>
                </w14:textFill>
              </w:rPr>
              <w:t>|</w:t>
            </w:r>
            <w:r w:rsidR="00172C1C" w:rsidRPr="008F3277">
              <w:rPr>
                <w:szCs w:val="20"/>
              </w:rPr>
              <w:t>%</w:t>
            </w:r>
          </w:p>
        </w:tc>
        <w:tc>
          <w:tcPr>
            <w:tcW w:w="399" w:type="pct"/>
            <w:tcBorders>
              <w:top w:val="nil"/>
              <w:left w:val="nil"/>
              <w:bottom w:val="single" w:sz="4" w:space="0" w:color="auto"/>
              <w:right w:val="single" w:sz="4" w:space="0" w:color="auto"/>
            </w:tcBorders>
            <w:shd w:val="clear" w:color="auto" w:fill="FFFFFF" w:themeFill="background1"/>
          </w:tcPr>
          <w:p w14:paraId="23EA09B4" w14:textId="72DCA953" w:rsidR="00172C1C" w:rsidRPr="008F3277" w:rsidRDefault="000A25B4" w:rsidP="00A0461D">
            <w:pPr>
              <w:pStyle w:val="TableText0"/>
              <w:keepLines/>
              <w:jc w:val="center"/>
              <w:rPr>
                <w:szCs w:val="20"/>
                <w:highlight w:val="darkGray"/>
              </w:rPr>
            </w:pPr>
            <w:r w:rsidRPr="000A25B4">
              <w:rPr>
                <w:color w:val="000000"/>
                <w:spacing w:val="202"/>
                <w:szCs w:val="20"/>
                <w:shd w:val="solid" w:color="000000" w:fill="000000"/>
                <w:fitText w:val="288" w:id="-1435755762"/>
                <w14:textFill>
                  <w14:solidFill>
                    <w14:srgbClr w14:val="000000">
                      <w14:alpha w14:val="100000"/>
                    </w14:srgbClr>
                  </w14:solidFill>
                </w14:textFill>
              </w:rPr>
              <w:t>|</w:t>
            </w:r>
            <w:r w:rsidRPr="000A25B4">
              <w:rPr>
                <w:color w:val="000000"/>
                <w:spacing w:val="1"/>
                <w:szCs w:val="20"/>
                <w:shd w:val="solid" w:color="000000" w:fill="000000"/>
                <w:fitText w:val="288" w:id="-1435755762"/>
                <w14:textFill>
                  <w14:solidFill>
                    <w14:srgbClr w14:val="000000">
                      <w14:alpha w14:val="100000"/>
                    </w14:srgbClr>
                  </w14:solidFill>
                </w14:textFill>
              </w:rPr>
              <w:t>|</w:t>
            </w:r>
            <w:r w:rsidR="00172C1C" w:rsidRPr="008F3277">
              <w:rPr>
                <w:szCs w:val="20"/>
              </w:rPr>
              <w:t>%</w:t>
            </w:r>
          </w:p>
        </w:tc>
        <w:tc>
          <w:tcPr>
            <w:tcW w:w="400" w:type="pct"/>
            <w:tcBorders>
              <w:top w:val="nil"/>
              <w:left w:val="nil"/>
              <w:bottom w:val="single" w:sz="4" w:space="0" w:color="auto"/>
              <w:right w:val="single" w:sz="4" w:space="0" w:color="auto"/>
            </w:tcBorders>
            <w:shd w:val="clear" w:color="auto" w:fill="FFFFFF" w:themeFill="background1"/>
          </w:tcPr>
          <w:p w14:paraId="64831156" w14:textId="2F2051E0" w:rsidR="00172C1C" w:rsidRPr="008F3277" w:rsidRDefault="000A25B4" w:rsidP="00A0461D">
            <w:pPr>
              <w:pStyle w:val="TableText0"/>
              <w:keepLines/>
              <w:jc w:val="center"/>
              <w:rPr>
                <w:szCs w:val="20"/>
                <w:highlight w:val="darkGray"/>
              </w:rPr>
            </w:pPr>
            <w:r w:rsidRPr="000A25B4">
              <w:rPr>
                <w:color w:val="000000"/>
                <w:spacing w:val="202"/>
                <w:szCs w:val="20"/>
                <w:shd w:val="solid" w:color="000000" w:fill="000000"/>
                <w:fitText w:val="288" w:id="-1435755761"/>
                <w14:textFill>
                  <w14:solidFill>
                    <w14:srgbClr w14:val="000000">
                      <w14:alpha w14:val="100000"/>
                    </w14:srgbClr>
                  </w14:solidFill>
                </w14:textFill>
              </w:rPr>
              <w:t>|</w:t>
            </w:r>
            <w:r w:rsidRPr="000A25B4">
              <w:rPr>
                <w:color w:val="000000"/>
                <w:spacing w:val="1"/>
                <w:szCs w:val="20"/>
                <w:shd w:val="solid" w:color="000000" w:fill="000000"/>
                <w:fitText w:val="288" w:id="-1435755761"/>
                <w14:textFill>
                  <w14:solidFill>
                    <w14:srgbClr w14:val="000000">
                      <w14:alpha w14:val="100000"/>
                    </w14:srgbClr>
                  </w14:solidFill>
                </w14:textFill>
              </w:rPr>
              <w:t>|</w:t>
            </w:r>
            <w:r w:rsidR="00172C1C" w:rsidRPr="008F3277">
              <w:rPr>
                <w:szCs w:val="20"/>
              </w:rPr>
              <w:t>%</w:t>
            </w:r>
          </w:p>
        </w:tc>
        <w:tc>
          <w:tcPr>
            <w:tcW w:w="449" w:type="pct"/>
            <w:tcBorders>
              <w:top w:val="nil"/>
              <w:left w:val="nil"/>
              <w:bottom w:val="single" w:sz="4" w:space="0" w:color="auto"/>
              <w:right w:val="single" w:sz="4" w:space="0" w:color="auto"/>
            </w:tcBorders>
            <w:shd w:val="clear" w:color="auto" w:fill="FFFFFF" w:themeFill="background1"/>
          </w:tcPr>
          <w:p w14:paraId="133CED02" w14:textId="0648ACF7" w:rsidR="00172C1C" w:rsidRPr="008F3277" w:rsidRDefault="000A25B4" w:rsidP="00A0461D">
            <w:pPr>
              <w:pStyle w:val="TableText0"/>
              <w:keepLines/>
              <w:jc w:val="center"/>
              <w:rPr>
                <w:szCs w:val="20"/>
                <w:highlight w:val="darkGray"/>
              </w:rPr>
            </w:pPr>
            <w:r w:rsidRPr="000A25B4">
              <w:rPr>
                <w:color w:val="000000"/>
                <w:spacing w:val="164"/>
                <w:szCs w:val="20"/>
                <w:shd w:val="solid" w:color="000000" w:fill="000000"/>
                <w:fitText w:val="250" w:id="-1435755760"/>
                <w14:textFill>
                  <w14:solidFill>
                    <w14:srgbClr w14:val="000000">
                      <w14:alpha w14:val="100000"/>
                    </w14:srgbClr>
                  </w14:solidFill>
                </w14:textFill>
              </w:rPr>
              <w:t>|</w:t>
            </w:r>
            <w:r w:rsidRPr="000A25B4">
              <w:rPr>
                <w:color w:val="000000"/>
                <w:spacing w:val="1"/>
                <w:szCs w:val="20"/>
                <w:shd w:val="solid" w:color="000000" w:fill="000000"/>
                <w:fitText w:val="250" w:id="-1435755760"/>
                <w14:textFill>
                  <w14:solidFill>
                    <w14:srgbClr w14:val="000000">
                      <w14:alpha w14:val="100000"/>
                    </w14:srgbClr>
                  </w14:solidFill>
                </w14:textFill>
              </w:rPr>
              <w:t>|</w:t>
            </w:r>
            <w:r w:rsidR="00172C1C" w:rsidRPr="008F3277">
              <w:rPr>
                <w:szCs w:val="20"/>
              </w:rPr>
              <w:t>%</w:t>
            </w:r>
          </w:p>
        </w:tc>
        <w:tc>
          <w:tcPr>
            <w:tcW w:w="450" w:type="pct"/>
            <w:tcBorders>
              <w:top w:val="nil"/>
              <w:left w:val="nil"/>
              <w:bottom w:val="single" w:sz="4" w:space="0" w:color="auto"/>
              <w:right w:val="single" w:sz="4" w:space="0" w:color="auto"/>
            </w:tcBorders>
            <w:shd w:val="clear" w:color="auto" w:fill="FFFFFF" w:themeFill="background1"/>
          </w:tcPr>
          <w:p w14:paraId="235D1442" w14:textId="2314BCDD" w:rsidR="00172C1C" w:rsidRPr="008F3277" w:rsidRDefault="000A25B4" w:rsidP="00A0461D">
            <w:pPr>
              <w:pStyle w:val="TableText0"/>
              <w:keepLines/>
              <w:jc w:val="center"/>
              <w:rPr>
                <w:szCs w:val="20"/>
                <w:highlight w:val="darkGray"/>
              </w:rPr>
            </w:pPr>
            <w:r w:rsidRPr="000A25B4">
              <w:rPr>
                <w:color w:val="000000"/>
                <w:spacing w:val="55"/>
                <w:szCs w:val="20"/>
                <w:shd w:val="solid" w:color="000000" w:fill="000000"/>
                <w:fitText w:val="238" w:id="-1435755776"/>
                <w14:textFill>
                  <w14:solidFill>
                    <w14:srgbClr w14:val="000000">
                      <w14:alpha w14:val="100000"/>
                    </w14:srgbClr>
                  </w14:solidFill>
                </w14:textFill>
              </w:rPr>
              <w:t>||</w:t>
            </w:r>
            <w:r w:rsidRPr="000A25B4">
              <w:rPr>
                <w:color w:val="000000"/>
                <w:spacing w:val="1"/>
                <w:szCs w:val="20"/>
                <w:shd w:val="solid" w:color="000000" w:fill="000000"/>
                <w:fitText w:val="238" w:id="-1435755776"/>
                <w14:textFill>
                  <w14:solidFill>
                    <w14:srgbClr w14:val="000000">
                      <w14:alpha w14:val="100000"/>
                    </w14:srgbClr>
                  </w14:solidFill>
                </w14:textFill>
              </w:rPr>
              <w:t>|</w:t>
            </w:r>
            <w:r w:rsidR="00172C1C" w:rsidRPr="008F3277">
              <w:rPr>
                <w:szCs w:val="20"/>
              </w:rPr>
              <w:t>%</w:t>
            </w:r>
          </w:p>
        </w:tc>
        <w:tc>
          <w:tcPr>
            <w:tcW w:w="410" w:type="pct"/>
            <w:tcBorders>
              <w:top w:val="nil"/>
              <w:left w:val="nil"/>
              <w:bottom w:val="single" w:sz="4" w:space="0" w:color="auto"/>
              <w:right w:val="single" w:sz="4" w:space="0" w:color="auto"/>
            </w:tcBorders>
            <w:shd w:val="clear" w:color="auto" w:fill="FFFFFF" w:themeFill="background1"/>
          </w:tcPr>
          <w:p w14:paraId="44DEFA19" w14:textId="10ED9BC3" w:rsidR="00172C1C" w:rsidRPr="008F3277" w:rsidRDefault="000A25B4" w:rsidP="00A0461D">
            <w:pPr>
              <w:pStyle w:val="TableText0"/>
              <w:keepLines/>
              <w:jc w:val="center"/>
              <w:rPr>
                <w:szCs w:val="20"/>
                <w:highlight w:val="darkGray"/>
              </w:rPr>
            </w:pPr>
            <w:r w:rsidRPr="000A25B4">
              <w:rPr>
                <w:color w:val="000000"/>
                <w:spacing w:val="190"/>
                <w:szCs w:val="20"/>
                <w:shd w:val="solid" w:color="000000" w:fill="000000"/>
                <w:fitText w:val="276" w:id="-1435755775"/>
                <w14:textFill>
                  <w14:solidFill>
                    <w14:srgbClr w14:val="000000">
                      <w14:alpha w14:val="100000"/>
                    </w14:srgbClr>
                  </w14:solidFill>
                </w14:textFill>
              </w:rPr>
              <w:t>|</w:t>
            </w:r>
            <w:r w:rsidRPr="000A25B4">
              <w:rPr>
                <w:color w:val="000000"/>
                <w:spacing w:val="1"/>
                <w:szCs w:val="20"/>
                <w:shd w:val="solid" w:color="000000" w:fill="000000"/>
                <w:fitText w:val="276" w:id="-1435755775"/>
                <w14:textFill>
                  <w14:solidFill>
                    <w14:srgbClr w14:val="000000">
                      <w14:alpha w14:val="100000"/>
                    </w14:srgbClr>
                  </w14:solidFill>
                </w14:textFill>
              </w:rPr>
              <w:t>|</w:t>
            </w:r>
            <w:r w:rsidR="00172C1C" w:rsidRPr="008F3277">
              <w:rPr>
                <w:szCs w:val="20"/>
              </w:rPr>
              <w:t>%</w:t>
            </w:r>
          </w:p>
        </w:tc>
      </w:tr>
      <w:tr w:rsidR="00172C1C" w:rsidRPr="00720612" w14:paraId="3CE811E1" w14:textId="77777777" w:rsidTr="00A0461D">
        <w:tc>
          <w:tcPr>
            <w:tcW w:w="155" w:type="pct"/>
            <w:tcBorders>
              <w:top w:val="nil"/>
              <w:left w:val="single" w:sz="4" w:space="0" w:color="auto"/>
              <w:bottom w:val="single" w:sz="4" w:space="0" w:color="auto"/>
              <w:right w:val="single" w:sz="4" w:space="0" w:color="auto"/>
            </w:tcBorders>
            <w:shd w:val="clear" w:color="auto" w:fill="FFFFFF" w:themeFill="background1"/>
          </w:tcPr>
          <w:p w14:paraId="1EDEAC3C" w14:textId="77777777" w:rsidR="00172C1C" w:rsidRPr="00720612" w:rsidRDefault="00172C1C" w:rsidP="00A0461D">
            <w:pPr>
              <w:pStyle w:val="TableText0"/>
              <w:keepLines/>
              <w:rPr>
                <w:b/>
                <w:bCs w:val="0"/>
                <w:szCs w:val="20"/>
              </w:rPr>
            </w:pPr>
            <w:r w:rsidRPr="00720612">
              <w:rPr>
                <w:b/>
                <w:bCs w:val="0"/>
                <w:szCs w:val="20"/>
              </w:rPr>
              <w:t>J</w:t>
            </w:r>
          </w:p>
        </w:tc>
        <w:tc>
          <w:tcPr>
            <w:tcW w:w="1739" w:type="pct"/>
            <w:tcBorders>
              <w:top w:val="nil"/>
              <w:left w:val="single" w:sz="4" w:space="0" w:color="auto"/>
              <w:bottom w:val="single" w:sz="4" w:space="0" w:color="auto"/>
              <w:right w:val="single" w:sz="4" w:space="0" w:color="auto"/>
            </w:tcBorders>
            <w:shd w:val="clear" w:color="auto" w:fill="FFFFFF" w:themeFill="background1"/>
          </w:tcPr>
          <w:p w14:paraId="5F8247CC" w14:textId="77777777" w:rsidR="00172C1C" w:rsidRPr="00720612" w:rsidRDefault="00172C1C" w:rsidP="00A0461D">
            <w:pPr>
              <w:pStyle w:val="TableText0"/>
              <w:keepLines/>
              <w:rPr>
                <w:b/>
                <w:bCs w:val="0"/>
                <w:szCs w:val="20"/>
              </w:rPr>
            </w:pPr>
            <w:r w:rsidRPr="00720612">
              <w:rPr>
                <w:b/>
                <w:bCs w:val="0"/>
                <w:szCs w:val="20"/>
              </w:rPr>
              <w:t>Treated patients</w:t>
            </w:r>
          </w:p>
        </w:tc>
        <w:tc>
          <w:tcPr>
            <w:tcW w:w="649" w:type="pct"/>
            <w:tcBorders>
              <w:top w:val="single" w:sz="4" w:space="0" w:color="auto"/>
              <w:left w:val="nil"/>
              <w:bottom w:val="single" w:sz="4" w:space="0" w:color="auto"/>
              <w:right w:val="single" w:sz="4" w:space="0" w:color="auto"/>
            </w:tcBorders>
            <w:shd w:val="clear" w:color="auto" w:fill="FFFFFF" w:themeFill="background1"/>
          </w:tcPr>
          <w:p w14:paraId="24093A52" w14:textId="426971C7" w:rsidR="00172C1C" w:rsidRPr="00720612" w:rsidRDefault="00172C1C" w:rsidP="00A0461D">
            <w:pPr>
              <w:pStyle w:val="TableText0"/>
              <w:keepLines/>
              <w:jc w:val="center"/>
              <w:rPr>
                <w:b/>
                <w:bCs w:val="0"/>
                <w:szCs w:val="20"/>
              </w:rPr>
            </w:pPr>
            <w:r w:rsidRPr="00720612">
              <w:rPr>
                <w:b/>
                <w:bCs w:val="0"/>
                <w:szCs w:val="20"/>
              </w:rPr>
              <w:t xml:space="preserve">H x </w:t>
            </w:r>
            <w:r w:rsidR="000A25B4" w:rsidRPr="000A25B4">
              <w:rPr>
                <w:b/>
                <w:bCs w:val="0"/>
                <w:color w:val="000000"/>
                <w:spacing w:val="159"/>
                <w:szCs w:val="20"/>
                <w:shd w:val="solid" w:color="000000" w:fill="000000"/>
                <w:fitText w:val="251" w:id="-1435755774"/>
                <w14:textFill>
                  <w14:solidFill>
                    <w14:srgbClr w14:val="000000">
                      <w14:alpha w14:val="100000"/>
                    </w14:srgbClr>
                  </w14:solidFill>
                </w14:textFill>
              </w:rPr>
              <w:t>|</w:t>
            </w:r>
            <w:r w:rsidR="000A25B4" w:rsidRPr="000A25B4">
              <w:rPr>
                <w:b/>
                <w:bCs w:val="0"/>
                <w:color w:val="000000"/>
                <w:spacing w:val="1"/>
                <w:szCs w:val="20"/>
                <w:shd w:val="solid" w:color="000000" w:fill="000000"/>
                <w:fitText w:val="251" w:id="-1435755774"/>
                <w14:textFill>
                  <w14:solidFill>
                    <w14:srgbClr w14:val="000000">
                      <w14:alpha w14:val="100000"/>
                    </w14:srgbClr>
                  </w14:solidFill>
                </w14:textFill>
              </w:rPr>
              <w:t>|</w:t>
            </w:r>
            <w:r w:rsidRPr="00720612">
              <w:rPr>
                <w:b/>
                <w:bCs w:val="0"/>
                <w:szCs w:val="20"/>
              </w:rPr>
              <w:t>%</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14:paraId="110F3422" w14:textId="2AD8CB70" w:rsidR="00172C1C" w:rsidRPr="008F3277" w:rsidRDefault="000A25B4" w:rsidP="00A0461D">
            <w:pPr>
              <w:pStyle w:val="TableText0"/>
              <w:keepLines/>
              <w:jc w:val="center"/>
              <w:rPr>
                <w:b/>
                <w:bCs w:val="0"/>
                <w:szCs w:val="20"/>
                <w:highlight w:val="darkGray"/>
              </w:rPr>
            </w:pPr>
            <w:r w:rsidRPr="000A25B4">
              <w:rPr>
                <w:b/>
                <w:bCs w:val="0"/>
                <w:color w:val="000000"/>
                <w:spacing w:val="47"/>
                <w:szCs w:val="20"/>
                <w:shd w:val="solid" w:color="000000" w:fill="000000"/>
                <w:fitText w:val="326" w:id="-1435755773"/>
                <w14:textFill>
                  <w14:solidFill>
                    <w14:srgbClr w14:val="000000">
                      <w14:alpha w14:val="100000"/>
                    </w14:srgbClr>
                  </w14:solidFill>
                </w14:textFill>
              </w:rPr>
              <w:t>|||</w:t>
            </w:r>
            <w:r w:rsidRPr="000A25B4">
              <w:rPr>
                <w:b/>
                <w:bCs w:val="0"/>
                <w:color w:val="000000"/>
                <w:spacing w:val="2"/>
                <w:szCs w:val="20"/>
                <w:shd w:val="solid" w:color="000000" w:fill="000000"/>
                <w:fitText w:val="326" w:id="-1435755773"/>
                <w14:textFill>
                  <w14:solidFill>
                    <w14:srgbClr w14:val="000000">
                      <w14:alpha w14:val="100000"/>
                    </w14:srgbClr>
                  </w14:solidFill>
                </w14:textFill>
              </w:rPr>
              <w:t>|</w:t>
            </w:r>
            <w:r w:rsidR="003D2310" w:rsidRPr="009D16FB">
              <w:rPr>
                <w:szCs w:val="20"/>
                <w:vertAlign w:val="superscript"/>
              </w:rPr>
              <w:t>1</w:t>
            </w:r>
          </w:p>
        </w:tc>
        <w:tc>
          <w:tcPr>
            <w:tcW w:w="399" w:type="pct"/>
            <w:tcBorders>
              <w:top w:val="nil"/>
              <w:left w:val="nil"/>
              <w:bottom w:val="single" w:sz="4" w:space="0" w:color="auto"/>
              <w:right w:val="single" w:sz="4" w:space="0" w:color="auto"/>
            </w:tcBorders>
            <w:shd w:val="clear" w:color="auto" w:fill="FFFFFF" w:themeFill="background1"/>
          </w:tcPr>
          <w:p w14:paraId="0F4FB5C0" w14:textId="55103671" w:rsidR="00172C1C" w:rsidRPr="008F3277" w:rsidRDefault="000A25B4" w:rsidP="00A0461D">
            <w:pPr>
              <w:pStyle w:val="TableText0"/>
              <w:keepLines/>
              <w:jc w:val="center"/>
              <w:rPr>
                <w:b/>
                <w:bCs w:val="0"/>
                <w:szCs w:val="20"/>
                <w:highlight w:val="darkGray"/>
              </w:rPr>
            </w:pPr>
            <w:r w:rsidRPr="000A25B4">
              <w:rPr>
                <w:b/>
                <w:bCs w:val="0"/>
                <w:color w:val="000000"/>
                <w:spacing w:val="196"/>
                <w:szCs w:val="20"/>
                <w:shd w:val="solid" w:color="000000" w:fill="000000"/>
                <w:fitText w:val="288" w:id="-1435755772"/>
                <w14:textFill>
                  <w14:solidFill>
                    <w14:srgbClr w14:val="000000">
                      <w14:alpha w14:val="100000"/>
                    </w14:srgbClr>
                  </w14:solidFill>
                </w14:textFill>
              </w:rPr>
              <w:t>|</w:t>
            </w:r>
            <w:r w:rsidRPr="000A25B4">
              <w:rPr>
                <w:b/>
                <w:bCs w:val="0"/>
                <w:color w:val="000000"/>
                <w:spacing w:val="1"/>
                <w:szCs w:val="20"/>
                <w:shd w:val="solid" w:color="000000" w:fill="000000"/>
                <w:fitText w:val="288" w:id="-1435755772"/>
                <w14:textFill>
                  <w14:solidFill>
                    <w14:srgbClr w14:val="000000">
                      <w14:alpha w14:val="100000"/>
                    </w14:srgbClr>
                  </w14:solidFill>
                </w14:textFill>
              </w:rPr>
              <w:t>|</w:t>
            </w:r>
            <w:r w:rsidR="003D2310" w:rsidRPr="009D16FB">
              <w:rPr>
                <w:szCs w:val="20"/>
                <w:vertAlign w:val="superscript"/>
              </w:rPr>
              <w:t>1</w:t>
            </w:r>
          </w:p>
        </w:tc>
        <w:tc>
          <w:tcPr>
            <w:tcW w:w="400" w:type="pct"/>
            <w:tcBorders>
              <w:top w:val="nil"/>
              <w:left w:val="nil"/>
              <w:bottom w:val="single" w:sz="4" w:space="0" w:color="auto"/>
              <w:right w:val="single" w:sz="4" w:space="0" w:color="auto"/>
            </w:tcBorders>
            <w:shd w:val="clear" w:color="auto" w:fill="FFFFFF" w:themeFill="background1"/>
          </w:tcPr>
          <w:p w14:paraId="7FFC3F78" w14:textId="168E0668" w:rsidR="00172C1C" w:rsidRPr="008F3277" w:rsidRDefault="000A25B4" w:rsidP="00A0461D">
            <w:pPr>
              <w:pStyle w:val="TableText0"/>
              <w:keepLines/>
              <w:jc w:val="center"/>
              <w:rPr>
                <w:b/>
                <w:bCs w:val="0"/>
                <w:szCs w:val="20"/>
                <w:highlight w:val="darkGray"/>
              </w:rPr>
            </w:pPr>
            <w:r w:rsidRPr="000A25B4">
              <w:rPr>
                <w:b/>
                <w:bCs w:val="0"/>
                <w:color w:val="000000"/>
                <w:spacing w:val="196"/>
                <w:szCs w:val="20"/>
                <w:shd w:val="solid" w:color="000000" w:fill="000000"/>
                <w:fitText w:val="288" w:id="-1435755771"/>
                <w14:textFill>
                  <w14:solidFill>
                    <w14:srgbClr w14:val="000000">
                      <w14:alpha w14:val="100000"/>
                    </w14:srgbClr>
                  </w14:solidFill>
                </w14:textFill>
              </w:rPr>
              <w:t>|</w:t>
            </w:r>
            <w:r w:rsidRPr="000A25B4">
              <w:rPr>
                <w:b/>
                <w:bCs w:val="0"/>
                <w:color w:val="000000"/>
                <w:spacing w:val="1"/>
                <w:szCs w:val="20"/>
                <w:shd w:val="solid" w:color="000000" w:fill="000000"/>
                <w:fitText w:val="288" w:id="-1435755771"/>
                <w14:textFill>
                  <w14:solidFill>
                    <w14:srgbClr w14:val="000000">
                      <w14:alpha w14:val="100000"/>
                    </w14:srgbClr>
                  </w14:solidFill>
                </w14:textFill>
              </w:rPr>
              <w:t>|</w:t>
            </w:r>
            <w:r w:rsidR="003D2310" w:rsidRPr="009D16FB">
              <w:rPr>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tcPr>
          <w:p w14:paraId="0B1BCBB1" w14:textId="6045AEEA" w:rsidR="00172C1C" w:rsidRPr="008F3277" w:rsidRDefault="000A25B4" w:rsidP="00A0461D">
            <w:pPr>
              <w:pStyle w:val="TableText0"/>
              <w:keepLines/>
              <w:jc w:val="center"/>
              <w:rPr>
                <w:b/>
                <w:bCs w:val="0"/>
                <w:szCs w:val="20"/>
                <w:highlight w:val="darkGray"/>
              </w:rPr>
            </w:pPr>
            <w:r w:rsidRPr="000A25B4">
              <w:rPr>
                <w:b/>
                <w:bCs w:val="0"/>
                <w:color w:val="000000"/>
                <w:spacing w:val="158"/>
                <w:szCs w:val="20"/>
                <w:shd w:val="solid" w:color="000000" w:fill="000000"/>
                <w:fitText w:val="250" w:id="-1435755770"/>
                <w14:textFill>
                  <w14:solidFill>
                    <w14:srgbClr w14:val="000000">
                      <w14:alpha w14:val="100000"/>
                    </w14:srgbClr>
                  </w14:solidFill>
                </w14:textFill>
              </w:rPr>
              <w:t>|</w:t>
            </w:r>
            <w:r w:rsidRPr="000A25B4">
              <w:rPr>
                <w:b/>
                <w:bCs w:val="0"/>
                <w:color w:val="000000"/>
                <w:spacing w:val="1"/>
                <w:szCs w:val="20"/>
                <w:shd w:val="solid" w:color="000000" w:fill="000000"/>
                <w:fitText w:val="250" w:id="-1435755770"/>
                <w14:textFill>
                  <w14:solidFill>
                    <w14:srgbClr w14:val="000000">
                      <w14:alpha w14:val="100000"/>
                    </w14:srgbClr>
                  </w14:solidFill>
                </w14:textFill>
              </w:rPr>
              <w:t>|</w:t>
            </w:r>
            <w:r w:rsidR="003D2310" w:rsidRPr="009D16FB">
              <w:rPr>
                <w:szCs w:val="20"/>
                <w:vertAlign w:val="superscript"/>
              </w:rPr>
              <w:t>1</w:t>
            </w:r>
          </w:p>
        </w:tc>
        <w:tc>
          <w:tcPr>
            <w:tcW w:w="450" w:type="pct"/>
            <w:tcBorders>
              <w:top w:val="nil"/>
              <w:left w:val="nil"/>
              <w:bottom w:val="single" w:sz="4" w:space="0" w:color="auto"/>
              <w:right w:val="single" w:sz="4" w:space="0" w:color="auto"/>
            </w:tcBorders>
            <w:shd w:val="clear" w:color="auto" w:fill="FFFFFF" w:themeFill="background1"/>
          </w:tcPr>
          <w:p w14:paraId="44620AC2" w14:textId="336999B8" w:rsidR="00172C1C" w:rsidRPr="008F3277" w:rsidRDefault="000A25B4" w:rsidP="00A0461D">
            <w:pPr>
              <w:pStyle w:val="TableText0"/>
              <w:keepLines/>
              <w:jc w:val="center"/>
              <w:rPr>
                <w:b/>
                <w:bCs w:val="0"/>
                <w:szCs w:val="20"/>
                <w:highlight w:val="darkGray"/>
              </w:rPr>
            </w:pPr>
            <w:r w:rsidRPr="000A25B4">
              <w:rPr>
                <w:b/>
                <w:bCs w:val="0"/>
                <w:color w:val="000000"/>
                <w:spacing w:val="158"/>
                <w:szCs w:val="20"/>
                <w:shd w:val="solid" w:color="000000" w:fill="000000"/>
                <w:fitText w:val="250" w:id="-1435755769"/>
                <w14:textFill>
                  <w14:solidFill>
                    <w14:srgbClr w14:val="000000">
                      <w14:alpha w14:val="100000"/>
                    </w14:srgbClr>
                  </w14:solidFill>
                </w14:textFill>
              </w:rPr>
              <w:t>|</w:t>
            </w:r>
            <w:r w:rsidRPr="000A25B4">
              <w:rPr>
                <w:b/>
                <w:bCs w:val="0"/>
                <w:color w:val="000000"/>
                <w:spacing w:val="1"/>
                <w:szCs w:val="20"/>
                <w:shd w:val="solid" w:color="000000" w:fill="000000"/>
                <w:fitText w:val="250" w:id="-1435755769"/>
                <w14:textFill>
                  <w14:solidFill>
                    <w14:srgbClr w14:val="000000">
                      <w14:alpha w14:val="100000"/>
                    </w14:srgbClr>
                  </w14:solidFill>
                </w14:textFill>
              </w:rPr>
              <w:t>|</w:t>
            </w:r>
            <w:r w:rsidR="003D2310" w:rsidRPr="009D16FB">
              <w:rPr>
                <w:szCs w:val="20"/>
                <w:vertAlign w:val="superscript"/>
              </w:rPr>
              <w:t>1</w:t>
            </w:r>
          </w:p>
        </w:tc>
        <w:tc>
          <w:tcPr>
            <w:tcW w:w="410" w:type="pct"/>
            <w:tcBorders>
              <w:top w:val="nil"/>
              <w:left w:val="nil"/>
              <w:bottom w:val="single" w:sz="4" w:space="0" w:color="auto"/>
              <w:right w:val="single" w:sz="4" w:space="0" w:color="auto"/>
            </w:tcBorders>
            <w:shd w:val="clear" w:color="auto" w:fill="FFFFFF" w:themeFill="background1"/>
          </w:tcPr>
          <w:p w14:paraId="00439CEE" w14:textId="50FE682F" w:rsidR="00172C1C" w:rsidRPr="008F3277" w:rsidRDefault="000A25B4" w:rsidP="00A0461D">
            <w:pPr>
              <w:pStyle w:val="TableText0"/>
              <w:keepLines/>
              <w:jc w:val="center"/>
              <w:rPr>
                <w:b/>
                <w:bCs w:val="0"/>
                <w:szCs w:val="20"/>
                <w:highlight w:val="darkGray"/>
              </w:rPr>
            </w:pPr>
            <w:r w:rsidRPr="000A25B4">
              <w:rPr>
                <w:b/>
                <w:bCs w:val="0"/>
                <w:color w:val="000000"/>
                <w:spacing w:val="196"/>
                <w:szCs w:val="20"/>
                <w:shd w:val="solid" w:color="000000" w:fill="000000"/>
                <w:fitText w:val="288" w:id="-1435755768"/>
                <w14:textFill>
                  <w14:solidFill>
                    <w14:srgbClr w14:val="000000">
                      <w14:alpha w14:val="100000"/>
                    </w14:srgbClr>
                  </w14:solidFill>
                </w14:textFill>
              </w:rPr>
              <w:t>|</w:t>
            </w:r>
            <w:r w:rsidRPr="000A25B4">
              <w:rPr>
                <w:b/>
                <w:bCs w:val="0"/>
                <w:color w:val="000000"/>
                <w:spacing w:val="1"/>
                <w:szCs w:val="20"/>
                <w:shd w:val="solid" w:color="000000" w:fill="000000"/>
                <w:fitText w:val="288" w:id="-1435755768"/>
                <w14:textFill>
                  <w14:solidFill>
                    <w14:srgbClr w14:val="000000">
                      <w14:alpha w14:val="100000"/>
                    </w14:srgbClr>
                  </w14:solidFill>
                </w14:textFill>
              </w:rPr>
              <w:t>|</w:t>
            </w:r>
            <w:r w:rsidR="003D2310" w:rsidRPr="009D16FB">
              <w:rPr>
                <w:szCs w:val="20"/>
                <w:vertAlign w:val="superscript"/>
              </w:rPr>
              <w:t>1</w:t>
            </w:r>
          </w:p>
        </w:tc>
      </w:tr>
    </w:tbl>
    <w:p w14:paraId="2E02C027" w14:textId="59A2DDD7" w:rsidR="00172C1C" w:rsidRDefault="00172C1C" w:rsidP="00172C1C">
      <w:pPr>
        <w:pStyle w:val="TableFigureFooter"/>
        <w:keepNext/>
        <w:keepLines/>
        <w:rPr>
          <w:sz w:val="20"/>
          <w:szCs w:val="20"/>
        </w:rPr>
      </w:pPr>
      <w:r w:rsidRPr="00720612">
        <w:rPr>
          <w:sz w:val="20"/>
          <w:szCs w:val="20"/>
        </w:rPr>
        <w:t>Source: Table 99, p201 of the submission and ‘2a- patients incident’ worksheet of attached financial model</w:t>
      </w:r>
      <w:r w:rsidR="00EB6D7A">
        <w:rPr>
          <w:sz w:val="20"/>
          <w:szCs w:val="20"/>
        </w:rPr>
        <w:t xml:space="preserve"> </w:t>
      </w:r>
    </w:p>
    <w:p w14:paraId="582579E4" w14:textId="48B99E55" w:rsidR="00EB6D7A" w:rsidRDefault="00EB6D7A" w:rsidP="003D2310">
      <w:pPr>
        <w:pStyle w:val="TableFigureFooter"/>
        <w:keepNext/>
        <w:keepLines/>
        <w:spacing w:after="0"/>
        <w:rPr>
          <w:sz w:val="20"/>
          <w:szCs w:val="20"/>
        </w:rPr>
      </w:pPr>
      <w:r>
        <w:rPr>
          <w:sz w:val="20"/>
          <w:szCs w:val="20"/>
        </w:rPr>
        <w:t>CRT = chemoradiation therapy; GOJC = gastro-oesophageal junction cancer; OC = oesophageal cancer; WHO = World Health Organisation</w:t>
      </w:r>
    </w:p>
    <w:p w14:paraId="4354C4F3" w14:textId="77777777" w:rsidR="003D2310" w:rsidRPr="009A6D58" w:rsidRDefault="003D2310" w:rsidP="003D231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614769F" w14:textId="77777777" w:rsidR="003D2310" w:rsidRPr="009A6D58" w:rsidRDefault="003D2310" w:rsidP="003D231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 xml:space="preserve"> </w:t>
      </w:r>
      <w:r w:rsidRPr="009D16FB">
        <w:rPr>
          <w:rFonts w:ascii="Arial Narrow" w:hAnsi="Arial Narrow"/>
          <w:i/>
          <w:sz w:val="18"/>
          <w:szCs w:val="18"/>
        </w:rPr>
        <w:t>&lt; 500</w:t>
      </w:r>
      <w:r>
        <w:rPr>
          <w:rFonts w:ascii="Arial Narrow" w:hAnsi="Arial Narrow"/>
          <w:i/>
          <w:sz w:val="18"/>
          <w:szCs w:val="18"/>
        </w:rPr>
        <w:t xml:space="preserve"> </w:t>
      </w:r>
    </w:p>
    <w:p w14:paraId="13FBF0E2" w14:textId="77777777" w:rsidR="003D2310" w:rsidRPr="006E7491" w:rsidRDefault="003D2310" w:rsidP="00172C1C">
      <w:pPr>
        <w:pStyle w:val="TableFigureFooter"/>
        <w:keepNext/>
        <w:keepLines/>
        <w:rPr>
          <w:sz w:val="20"/>
          <w:szCs w:val="20"/>
        </w:rPr>
      </w:pPr>
    </w:p>
    <w:p w14:paraId="3A92711C" w14:textId="3FFF1153" w:rsidR="00172C1C" w:rsidRPr="001E067E" w:rsidRDefault="00172C1C" w:rsidP="00172C1C">
      <w:pPr>
        <w:pStyle w:val="3-BodyText"/>
        <w:rPr>
          <w:color w:val="000000" w:themeColor="text1"/>
        </w:rPr>
      </w:pPr>
      <w:r>
        <w:rPr>
          <w:color w:val="000000" w:themeColor="text1"/>
        </w:rPr>
        <w:t>The estimated use and financial implications are pres</w:t>
      </w:r>
      <w:r w:rsidRPr="001E067E">
        <w:t xml:space="preserve">ented in </w:t>
      </w:r>
      <w:r w:rsidRPr="001E067E">
        <w:fldChar w:fldCharType="begin"/>
      </w:r>
      <w:r w:rsidRPr="001E067E">
        <w:instrText xml:space="preserve"> REF _Ref100837211 \h </w:instrText>
      </w:r>
      <w:r>
        <w:instrText xml:space="preserve"> \* MERGEFORMAT </w:instrText>
      </w:r>
      <w:r w:rsidRPr="001E067E">
        <w:fldChar w:fldCharType="separate"/>
      </w:r>
      <w:r w:rsidR="00267758" w:rsidRPr="00267758">
        <w:t>Table 16</w:t>
      </w:r>
      <w:r w:rsidRPr="001E067E">
        <w:fldChar w:fldCharType="end"/>
      </w:r>
      <w:r w:rsidR="00EF1C4D">
        <w:t>.</w:t>
      </w:r>
    </w:p>
    <w:p w14:paraId="1F0A09F4" w14:textId="1134D0AD" w:rsidR="00172C1C" w:rsidRPr="003611E2" w:rsidRDefault="00172C1C" w:rsidP="00172C1C">
      <w:pPr>
        <w:pStyle w:val="TableFigureHeading"/>
        <w:rPr>
          <w:b w:val="0"/>
          <w:bCs w:val="0"/>
        </w:rPr>
      </w:pPr>
      <w:bookmarkStart w:id="69" w:name="_Ref100837211"/>
      <w:r w:rsidRPr="003611E2">
        <w:rPr>
          <w:rStyle w:val="CommentReference"/>
          <w:b/>
          <w:bCs w:val="0"/>
        </w:rPr>
        <w:t xml:space="preserve">Table </w:t>
      </w:r>
      <w:r w:rsidRPr="003611E2">
        <w:rPr>
          <w:rStyle w:val="TableFigureHeadingChar"/>
          <w:b/>
          <w:bCs/>
          <w:szCs w:val="20"/>
        </w:rPr>
        <w:fldChar w:fldCharType="begin"/>
      </w:r>
      <w:r w:rsidRPr="003611E2">
        <w:rPr>
          <w:rStyle w:val="TableFigureHeadingChar"/>
          <w:b/>
          <w:bCs/>
          <w:szCs w:val="20"/>
        </w:rPr>
        <w:instrText xml:space="preserve"> SEQ Table \* MERGEFORMAT </w:instrText>
      </w:r>
      <w:r w:rsidRPr="003611E2">
        <w:rPr>
          <w:rStyle w:val="TableFigureHeadingChar"/>
          <w:b/>
          <w:bCs/>
          <w:szCs w:val="20"/>
        </w:rPr>
        <w:fldChar w:fldCharType="separate"/>
      </w:r>
      <w:r w:rsidR="00267758">
        <w:rPr>
          <w:rStyle w:val="TableFigureHeadingChar"/>
          <w:b/>
          <w:bCs/>
          <w:noProof/>
          <w:szCs w:val="20"/>
        </w:rPr>
        <w:t>16</w:t>
      </w:r>
      <w:r w:rsidRPr="003611E2">
        <w:rPr>
          <w:rStyle w:val="TableFigureHeadingChar"/>
          <w:b/>
          <w:bCs/>
          <w:szCs w:val="20"/>
        </w:rPr>
        <w:fldChar w:fldCharType="end"/>
      </w:r>
      <w:bookmarkEnd w:id="69"/>
      <w:r w:rsidRPr="003611E2">
        <w:rPr>
          <w:rStyle w:val="TableFigureHeadingChar"/>
          <w:b/>
          <w:bCs/>
          <w:szCs w:val="20"/>
        </w:rPr>
        <w:t xml:space="preserve">: </w:t>
      </w:r>
      <w:r w:rsidRPr="003611E2">
        <w:rPr>
          <w:rStyle w:val="CommentReference"/>
          <w:b/>
          <w:bCs w:val="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172C1C" w:rsidRPr="00D1078F" w14:paraId="6D37FA18" w14:textId="77777777" w:rsidTr="00A0461D">
        <w:trPr>
          <w:tblHeader/>
        </w:trPr>
        <w:tc>
          <w:tcPr>
            <w:tcW w:w="1116" w:type="pct"/>
            <w:shd w:val="clear" w:color="auto" w:fill="auto"/>
            <w:vAlign w:val="center"/>
          </w:tcPr>
          <w:p w14:paraId="5F2C93C1" w14:textId="77777777" w:rsidR="00172C1C" w:rsidRPr="003639A6" w:rsidRDefault="00172C1C" w:rsidP="00A0461D">
            <w:pPr>
              <w:pStyle w:val="In-tableHeading"/>
              <w:jc w:val="center"/>
            </w:pPr>
          </w:p>
        </w:tc>
        <w:tc>
          <w:tcPr>
            <w:tcW w:w="647" w:type="pct"/>
            <w:shd w:val="clear" w:color="auto" w:fill="auto"/>
            <w:vAlign w:val="center"/>
          </w:tcPr>
          <w:p w14:paraId="4C2D4335" w14:textId="77777777" w:rsidR="00172C1C" w:rsidRPr="00D1078F" w:rsidRDefault="00172C1C" w:rsidP="00A0461D">
            <w:pPr>
              <w:pStyle w:val="In-tableHeading"/>
              <w:jc w:val="center"/>
            </w:pPr>
            <w:r w:rsidRPr="00D1078F">
              <w:t>Year 1</w:t>
            </w:r>
          </w:p>
        </w:tc>
        <w:tc>
          <w:tcPr>
            <w:tcW w:w="647" w:type="pct"/>
            <w:shd w:val="clear" w:color="auto" w:fill="auto"/>
            <w:vAlign w:val="center"/>
          </w:tcPr>
          <w:p w14:paraId="7F7817E6" w14:textId="77777777" w:rsidR="00172C1C" w:rsidRPr="00D1078F" w:rsidRDefault="00172C1C" w:rsidP="00A0461D">
            <w:pPr>
              <w:pStyle w:val="In-tableHeading"/>
              <w:jc w:val="center"/>
            </w:pPr>
            <w:r w:rsidRPr="00D1078F">
              <w:t>Year 2</w:t>
            </w:r>
          </w:p>
        </w:tc>
        <w:tc>
          <w:tcPr>
            <w:tcW w:w="647" w:type="pct"/>
            <w:shd w:val="clear" w:color="auto" w:fill="auto"/>
            <w:vAlign w:val="center"/>
          </w:tcPr>
          <w:p w14:paraId="3D39D5FB" w14:textId="77777777" w:rsidR="00172C1C" w:rsidRPr="00D1078F" w:rsidRDefault="00172C1C" w:rsidP="00A0461D">
            <w:pPr>
              <w:pStyle w:val="In-tableHeading"/>
              <w:jc w:val="center"/>
            </w:pPr>
            <w:r w:rsidRPr="00D1078F">
              <w:t>Year 3</w:t>
            </w:r>
          </w:p>
        </w:tc>
        <w:tc>
          <w:tcPr>
            <w:tcW w:w="647" w:type="pct"/>
            <w:shd w:val="clear" w:color="auto" w:fill="auto"/>
            <w:vAlign w:val="center"/>
          </w:tcPr>
          <w:p w14:paraId="6ED2C8BC" w14:textId="77777777" w:rsidR="00172C1C" w:rsidRPr="00D1078F" w:rsidRDefault="00172C1C" w:rsidP="00A0461D">
            <w:pPr>
              <w:pStyle w:val="In-tableHeading"/>
              <w:jc w:val="center"/>
            </w:pPr>
            <w:r w:rsidRPr="00D1078F">
              <w:t>Year 4</w:t>
            </w:r>
          </w:p>
        </w:tc>
        <w:tc>
          <w:tcPr>
            <w:tcW w:w="647" w:type="pct"/>
            <w:shd w:val="clear" w:color="auto" w:fill="auto"/>
            <w:vAlign w:val="center"/>
          </w:tcPr>
          <w:p w14:paraId="276BCA3C" w14:textId="77777777" w:rsidR="00172C1C" w:rsidRPr="00D1078F" w:rsidRDefault="00172C1C" w:rsidP="00A0461D">
            <w:pPr>
              <w:pStyle w:val="In-tableHeading"/>
              <w:jc w:val="center"/>
            </w:pPr>
            <w:r w:rsidRPr="00D1078F">
              <w:t>Year 5</w:t>
            </w:r>
          </w:p>
        </w:tc>
        <w:tc>
          <w:tcPr>
            <w:tcW w:w="649" w:type="pct"/>
          </w:tcPr>
          <w:p w14:paraId="6D3A3609" w14:textId="77777777" w:rsidR="00172C1C" w:rsidRPr="00D1078F" w:rsidRDefault="00172C1C" w:rsidP="00A0461D">
            <w:pPr>
              <w:pStyle w:val="In-tableHeading"/>
              <w:jc w:val="center"/>
            </w:pPr>
            <w:r w:rsidRPr="00D1078F">
              <w:t>Year 6</w:t>
            </w:r>
          </w:p>
        </w:tc>
      </w:tr>
      <w:tr w:rsidR="00172C1C" w:rsidRPr="00D1078F" w14:paraId="7C6769DD" w14:textId="77777777" w:rsidTr="00A0461D">
        <w:tc>
          <w:tcPr>
            <w:tcW w:w="5000" w:type="pct"/>
            <w:gridSpan w:val="7"/>
            <w:shd w:val="clear" w:color="auto" w:fill="auto"/>
            <w:vAlign w:val="center"/>
          </w:tcPr>
          <w:p w14:paraId="17824A41" w14:textId="77777777" w:rsidR="00172C1C" w:rsidRPr="00D1078F" w:rsidRDefault="00172C1C" w:rsidP="00A0461D">
            <w:pPr>
              <w:pStyle w:val="In-tableHeading"/>
              <w:rPr>
                <w:bCs/>
                <w:color w:val="000000"/>
              </w:rPr>
            </w:pPr>
            <w:r w:rsidRPr="00D1078F">
              <w:rPr>
                <w:bCs/>
                <w:color w:val="000000"/>
              </w:rPr>
              <w:t>Estimated extent of use</w:t>
            </w:r>
          </w:p>
        </w:tc>
      </w:tr>
      <w:tr w:rsidR="00172C1C" w:rsidRPr="003639A6" w14:paraId="6CE72103" w14:textId="77777777" w:rsidTr="00A0461D">
        <w:tc>
          <w:tcPr>
            <w:tcW w:w="1116" w:type="pct"/>
            <w:shd w:val="clear" w:color="auto" w:fill="auto"/>
            <w:vAlign w:val="center"/>
          </w:tcPr>
          <w:p w14:paraId="265543B7" w14:textId="77777777" w:rsidR="00172C1C" w:rsidRPr="003639A6" w:rsidRDefault="00172C1C" w:rsidP="00A0461D">
            <w:pPr>
              <w:pStyle w:val="TableText0"/>
              <w:rPr>
                <w:rFonts w:ascii="Times" w:hAnsi="Times"/>
              </w:rPr>
            </w:pPr>
            <w:r w:rsidRPr="003639A6">
              <w:t>Number of patients treated</w:t>
            </w:r>
          </w:p>
        </w:tc>
        <w:tc>
          <w:tcPr>
            <w:tcW w:w="647" w:type="pct"/>
            <w:shd w:val="clear" w:color="auto" w:fill="auto"/>
          </w:tcPr>
          <w:p w14:paraId="301383D8" w14:textId="72BEFA08"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3" w:id="-1435755767"/>
                <w14:textFill>
                  <w14:solidFill>
                    <w14:srgbClr w14:val="000000">
                      <w14:alpha w14:val="100000"/>
                    </w14:srgbClr>
                  </w14:solidFill>
                </w14:textFill>
              </w:rPr>
              <w:t xml:space="preserve">　</w:t>
            </w:r>
            <w:r w:rsidRPr="000A25B4">
              <w:rPr>
                <w:b/>
                <w:bCs w:val="0"/>
                <w:color w:val="000000"/>
                <w:w w:val="15"/>
                <w:szCs w:val="20"/>
                <w:shd w:val="solid" w:color="000000" w:fill="000000"/>
                <w:fitText w:val="63" w:id="-1435755767"/>
                <w14:textFill>
                  <w14:solidFill>
                    <w14:srgbClr w14:val="000000">
                      <w14:alpha w14:val="100000"/>
                    </w14:srgbClr>
                  </w14:solidFill>
                </w14:textFill>
              </w:rPr>
              <w:t>|</w:t>
            </w:r>
            <w:r w:rsidRPr="000A25B4">
              <w:rPr>
                <w:rFonts w:hint="eastAsia"/>
                <w:b/>
                <w:bCs w:val="0"/>
                <w:color w:val="000000"/>
                <w:spacing w:val="-3"/>
                <w:w w:val="15"/>
                <w:szCs w:val="20"/>
                <w:shd w:val="solid" w:color="000000" w:fill="000000"/>
                <w:fitText w:val="63" w:id="-1435755767"/>
                <w14:textFill>
                  <w14:solidFill>
                    <w14:srgbClr w14:val="000000">
                      <w14:alpha w14:val="100000"/>
                    </w14:srgbClr>
                  </w14:solidFill>
                </w14:textFill>
              </w:rPr>
              <w:t xml:space="preserve">　</w:t>
            </w:r>
            <w:r w:rsidR="009D16FB" w:rsidRPr="009D16FB">
              <w:rPr>
                <w:szCs w:val="20"/>
                <w:vertAlign w:val="superscript"/>
              </w:rPr>
              <w:t>1</w:t>
            </w:r>
          </w:p>
        </w:tc>
        <w:tc>
          <w:tcPr>
            <w:tcW w:w="647" w:type="pct"/>
            <w:shd w:val="clear" w:color="auto" w:fill="auto"/>
          </w:tcPr>
          <w:p w14:paraId="77B5D06E" w14:textId="58785129"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3" w:id="-1435755766"/>
                <w14:textFill>
                  <w14:solidFill>
                    <w14:srgbClr w14:val="000000">
                      <w14:alpha w14:val="100000"/>
                    </w14:srgbClr>
                  </w14:solidFill>
                </w14:textFill>
              </w:rPr>
              <w:t xml:space="preserve">　</w:t>
            </w:r>
            <w:r w:rsidRPr="000A25B4">
              <w:rPr>
                <w:b/>
                <w:bCs w:val="0"/>
                <w:color w:val="000000"/>
                <w:w w:val="15"/>
                <w:szCs w:val="20"/>
                <w:shd w:val="solid" w:color="000000" w:fill="000000"/>
                <w:fitText w:val="63" w:id="-1435755766"/>
                <w14:textFill>
                  <w14:solidFill>
                    <w14:srgbClr w14:val="000000">
                      <w14:alpha w14:val="100000"/>
                    </w14:srgbClr>
                  </w14:solidFill>
                </w14:textFill>
              </w:rPr>
              <w:t>|</w:t>
            </w:r>
            <w:r w:rsidRPr="000A25B4">
              <w:rPr>
                <w:rFonts w:hint="eastAsia"/>
                <w:b/>
                <w:bCs w:val="0"/>
                <w:color w:val="000000"/>
                <w:spacing w:val="-3"/>
                <w:w w:val="15"/>
                <w:szCs w:val="20"/>
                <w:shd w:val="solid" w:color="000000" w:fill="000000"/>
                <w:fitText w:val="63" w:id="-1435755766"/>
                <w14:textFill>
                  <w14:solidFill>
                    <w14:srgbClr w14:val="000000">
                      <w14:alpha w14:val="100000"/>
                    </w14:srgbClr>
                  </w14:solidFill>
                </w14:textFill>
              </w:rPr>
              <w:t xml:space="preserve">　</w:t>
            </w:r>
            <w:r w:rsidR="009D16FB" w:rsidRPr="009D16FB">
              <w:rPr>
                <w:szCs w:val="20"/>
                <w:vertAlign w:val="superscript"/>
              </w:rPr>
              <w:t>1</w:t>
            </w:r>
          </w:p>
        </w:tc>
        <w:tc>
          <w:tcPr>
            <w:tcW w:w="647" w:type="pct"/>
            <w:shd w:val="clear" w:color="auto" w:fill="auto"/>
          </w:tcPr>
          <w:p w14:paraId="1509F96F" w14:textId="55C01385"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2" w:id="-1435755765"/>
                <w14:textFill>
                  <w14:solidFill>
                    <w14:srgbClr w14:val="000000">
                      <w14:alpha w14:val="100000"/>
                    </w14:srgbClr>
                  </w14:solidFill>
                </w14:textFill>
              </w:rPr>
              <w:t xml:space="preserve">　</w:t>
            </w:r>
            <w:r w:rsidRPr="000A25B4">
              <w:rPr>
                <w:b/>
                <w:bCs w:val="0"/>
                <w:color w:val="000000"/>
                <w:w w:val="15"/>
                <w:szCs w:val="20"/>
                <w:shd w:val="solid" w:color="000000" w:fill="000000"/>
                <w:fitText w:val="62" w:id="-1435755765"/>
                <w14:textFill>
                  <w14:solidFill>
                    <w14:srgbClr w14:val="000000">
                      <w14:alpha w14:val="100000"/>
                    </w14:srgbClr>
                  </w14:solidFill>
                </w14:textFill>
              </w:rPr>
              <w:t>|</w:t>
            </w:r>
            <w:r w:rsidRPr="000A25B4">
              <w:rPr>
                <w:rFonts w:hint="eastAsia"/>
                <w:b/>
                <w:bCs w:val="0"/>
                <w:color w:val="000000"/>
                <w:spacing w:val="-4"/>
                <w:w w:val="15"/>
                <w:szCs w:val="20"/>
                <w:shd w:val="solid" w:color="000000" w:fill="000000"/>
                <w:fitText w:val="62" w:id="-1435755765"/>
                <w14:textFill>
                  <w14:solidFill>
                    <w14:srgbClr w14:val="000000">
                      <w14:alpha w14:val="100000"/>
                    </w14:srgbClr>
                  </w14:solidFill>
                </w14:textFill>
              </w:rPr>
              <w:t xml:space="preserve">　</w:t>
            </w:r>
            <w:r w:rsidR="009D16FB" w:rsidRPr="009D16FB">
              <w:rPr>
                <w:szCs w:val="20"/>
                <w:vertAlign w:val="superscript"/>
              </w:rPr>
              <w:t>1</w:t>
            </w:r>
          </w:p>
        </w:tc>
        <w:tc>
          <w:tcPr>
            <w:tcW w:w="647" w:type="pct"/>
            <w:shd w:val="clear" w:color="auto" w:fill="auto"/>
          </w:tcPr>
          <w:p w14:paraId="3AB2D956" w14:textId="6F341762"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3" w:id="-1435755764"/>
                <w14:textFill>
                  <w14:solidFill>
                    <w14:srgbClr w14:val="000000">
                      <w14:alpha w14:val="100000"/>
                    </w14:srgbClr>
                  </w14:solidFill>
                </w14:textFill>
              </w:rPr>
              <w:t xml:space="preserve">　</w:t>
            </w:r>
            <w:r w:rsidRPr="000A25B4">
              <w:rPr>
                <w:b/>
                <w:bCs w:val="0"/>
                <w:color w:val="000000"/>
                <w:w w:val="15"/>
                <w:szCs w:val="20"/>
                <w:shd w:val="solid" w:color="000000" w:fill="000000"/>
                <w:fitText w:val="63" w:id="-1435755764"/>
                <w14:textFill>
                  <w14:solidFill>
                    <w14:srgbClr w14:val="000000">
                      <w14:alpha w14:val="100000"/>
                    </w14:srgbClr>
                  </w14:solidFill>
                </w14:textFill>
              </w:rPr>
              <w:t>|</w:t>
            </w:r>
            <w:r w:rsidRPr="000A25B4">
              <w:rPr>
                <w:rFonts w:hint="eastAsia"/>
                <w:b/>
                <w:bCs w:val="0"/>
                <w:color w:val="000000"/>
                <w:spacing w:val="-3"/>
                <w:w w:val="15"/>
                <w:szCs w:val="20"/>
                <w:shd w:val="solid" w:color="000000" w:fill="000000"/>
                <w:fitText w:val="63" w:id="-1435755764"/>
                <w14:textFill>
                  <w14:solidFill>
                    <w14:srgbClr w14:val="000000">
                      <w14:alpha w14:val="100000"/>
                    </w14:srgbClr>
                  </w14:solidFill>
                </w14:textFill>
              </w:rPr>
              <w:t xml:space="preserve">　</w:t>
            </w:r>
            <w:r w:rsidR="009D16FB" w:rsidRPr="009D16FB">
              <w:rPr>
                <w:szCs w:val="20"/>
                <w:vertAlign w:val="superscript"/>
              </w:rPr>
              <w:t>1</w:t>
            </w:r>
          </w:p>
        </w:tc>
        <w:tc>
          <w:tcPr>
            <w:tcW w:w="647" w:type="pct"/>
            <w:shd w:val="clear" w:color="auto" w:fill="auto"/>
          </w:tcPr>
          <w:p w14:paraId="7A48930D" w14:textId="14010EBB"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2" w:id="-1435755763"/>
                <w14:textFill>
                  <w14:solidFill>
                    <w14:srgbClr w14:val="000000">
                      <w14:alpha w14:val="100000"/>
                    </w14:srgbClr>
                  </w14:solidFill>
                </w14:textFill>
              </w:rPr>
              <w:t xml:space="preserve">　</w:t>
            </w:r>
            <w:r w:rsidRPr="000A25B4">
              <w:rPr>
                <w:b/>
                <w:bCs w:val="0"/>
                <w:color w:val="000000"/>
                <w:w w:val="15"/>
                <w:szCs w:val="20"/>
                <w:shd w:val="solid" w:color="000000" w:fill="000000"/>
                <w:fitText w:val="62" w:id="-1435755763"/>
                <w14:textFill>
                  <w14:solidFill>
                    <w14:srgbClr w14:val="000000">
                      <w14:alpha w14:val="100000"/>
                    </w14:srgbClr>
                  </w14:solidFill>
                </w14:textFill>
              </w:rPr>
              <w:t>|</w:t>
            </w:r>
            <w:r w:rsidRPr="000A25B4">
              <w:rPr>
                <w:rFonts w:hint="eastAsia"/>
                <w:b/>
                <w:bCs w:val="0"/>
                <w:color w:val="000000"/>
                <w:spacing w:val="-4"/>
                <w:w w:val="15"/>
                <w:szCs w:val="20"/>
                <w:shd w:val="solid" w:color="000000" w:fill="000000"/>
                <w:fitText w:val="62" w:id="-1435755763"/>
                <w14:textFill>
                  <w14:solidFill>
                    <w14:srgbClr w14:val="000000">
                      <w14:alpha w14:val="100000"/>
                    </w14:srgbClr>
                  </w14:solidFill>
                </w14:textFill>
              </w:rPr>
              <w:t xml:space="preserve">　</w:t>
            </w:r>
            <w:r w:rsidR="009D16FB" w:rsidRPr="009D16FB">
              <w:rPr>
                <w:szCs w:val="20"/>
                <w:vertAlign w:val="superscript"/>
              </w:rPr>
              <w:t>1</w:t>
            </w:r>
          </w:p>
        </w:tc>
        <w:tc>
          <w:tcPr>
            <w:tcW w:w="649" w:type="pct"/>
          </w:tcPr>
          <w:p w14:paraId="4D3E5F9E" w14:textId="673D74D2" w:rsidR="00172C1C" w:rsidRPr="009D16FB" w:rsidRDefault="000A25B4" w:rsidP="00A0461D">
            <w:pPr>
              <w:pStyle w:val="TableText0"/>
              <w:jc w:val="center"/>
              <w:rPr>
                <w:color w:val="000000"/>
                <w:highlight w:val="darkGray"/>
              </w:rPr>
            </w:pPr>
            <w:r w:rsidRPr="000A25B4">
              <w:rPr>
                <w:rFonts w:hint="eastAsia"/>
                <w:b/>
                <w:bCs w:val="0"/>
                <w:color w:val="000000"/>
                <w:w w:val="15"/>
                <w:szCs w:val="20"/>
                <w:shd w:val="solid" w:color="000000" w:fill="000000"/>
                <w:fitText w:val="63" w:id="-1435755762"/>
                <w14:textFill>
                  <w14:solidFill>
                    <w14:srgbClr w14:val="000000">
                      <w14:alpha w14:val="100000"/>
                    </w14:srgbClr>
                  </w14:solidFill>
                </w14:textFill>
              </w:rPr>
              <w:t xml:space="preserve">　</w:t>
            </w:r>
            <w:r w:rsidRPr="000A25B4">
              <w:rPr>
                <w:b/>
                <w:bCs w:val="0"/>
                <w:color w:val="000000"/>
                <w:w w:val="15"/>
                <w:szCs w:val="20"/>
                <w:shd w:val="solid" w:color="000000" w:fill="000000"/>
                <w:fitText w:val="63" w:id="-1435755762"/>
                <w14:textFill>
                  <w14:solidFill>
                    <w14:srgbClr w14:val="000000">
                      <w14:alpha w14:val="100000"/>
                    </w14:srgbClr>
                  </w14:solidFill>
                </w14:textFill>
              </w:rPr>
              <w:t>|</w:t>
            </w:r>
            <w:r w:rsidRPr="000A25B4">
              <w:rPr>
                <w:rFonts w:hint="eastAsia"/>
                <w:b/>
                <w:bCs w:val="0"/>
                <w:color w:val="000000"/>
                <w:spacing w:val="-3"/>
                <w:w w:val="15"/>
                <w:szCs w:val="20"/>
                <w:shd w:val="solid" w:color="000000" w:fill="000000"/>
                <w:fitText w:val="63" w:id="-1435755762"/>
                <w14:textFill>
                  <w14:solidFill>
                    <w14:srgbClr w14:val="000000">
                      <w14:alpha w14:val="100000"/>
                    </w14:srgbClr>
                  </w14:solidFill>
                </w14:textFill>
              </w:rPr>
              <w:t xml:space="preserve">　</w:t>
            </w:r>
            <w:r w:rsidR="009D16FB" w:rsidRPr="009D16FB">
              <w:rPr>
                <w:szCs w:val="20"/>
                <w:vertAlign w:val="superscript"/>
              </w:rPr>
              <w:t>1</w:t>
            </w:r>
          </w:p>
        </w:tc>
      </w:tr>
      <w:tr w:rsidR="00172C1C" w:rsidRPr="003639A6" w14:paraId="7B11528A" w14:textId="77777777" w:rsidTr="00A0461D">
        <w:tc>
          <w:tcPr>
            <w:tcW w:w="1116" w:type="pct"/>
            <w:shd w:val="clear" w:color="auto" w:fill="auto"/>
            <w:vAlign w:val="center"/>
          </w:tcPr>
          <w:p w14:paraId="79EA7084" w14:textId="77777777" w:rsidR="00172C1C" w:rsidRPr="000F4095" w:rsidRDefault="00172C1C" w:rsidP="00A0461D">
            <w:pPr>
              <w:pStyle w:val="TableText0"/>
              <w:rPr>
                <w:rFonts w:ascii="Times" w:hAnsi="Times"/>
                <w:vertAlign w:val="superscript"/>
              </w:rPr>
            </w:pPr>
            <w:r w:rsidRPr="003639A6">
              <w:t xml:space="preserve">Number of </w:t>
            </w:r>
            <w:r>
              <w:t>infusions Q2W</w:t>
            </w:r>
            <w:r>
              <w:rPr>
                <w:vertAlign w:val="superscript"/>
              </w:rPr>
              <w:t>a</w:t>
            </w:r>
          </w:p>
        </w:tc>
        <w:tc>
          <w:tcPr>
            <w:tcW w:w="647" w:type="pct"/>
            <w:shd w:val="clear" w:color="auto" w:fill="auto"/>
          </w:tcPr>
          <w:p w14:paraId="31EB5EAE" w14:textId="2EF1721E" w:rsidR="00172C1C" w:rsidRPr="009D16FB" w:rsidRDefault="000A25B4" w:rsidP="00A0461D">
            <w:pPr>
              <w:pStyle w:val="TableText0"/>
              <w:jc w:val="center"/>
              <w:rPr>
                <w:color w:val="000000"/>
                <w:highlight w:val="darkGray"/>
                <w:vertAlign w:val="superscript"/>
              </w:rPr>
            </w:pPr>
            <w:r w:rsidRPr="00B73889">
              <w:rPr>
                <w:rFonts w:hint="eastAsia"/>
                <w:color w:val="000000"/>
                <w:w w:val="15"/>
                <w:szCs w:val="20"/>
                <w:shd w:val="solid" w:color="000000" w:fill="000000"/>
                <w:fitText w:val="13" w:id="-1435755761"/>
                <w14:textFill>
                  <w14:solidFill>
                    <w14:srgbClr w14:val="000000">
                      <w14:alpha w14:val="100000"/>
                    </w14:srgbClr>
                  </w14:solidFill>
                </w14:textFill>
              </w:rPr>
              <w:t xml:space="preserve">　</w:t>
            </w:r>
            <w:r w:rsidRPr="00B73889">
              <w:rPr>
                <w:color w:val="000000"/>
                <w:w w:val="15"/>
                <w:szCs w:val="20"/>
                <w:shd w:val="solid" w:color="000000" w:fill="000000"/>
                <w:fitText w:val="13" w:id="-1435755761"/>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61"/>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2D9C1440" w14:textId="75182771"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3" w:id="-1435755760"/>
                <w14:textFill>
                  <w14:solidFill>
                    <w14:srgbClr w14:val="000000">
                      <w14:alpha w14:val="100000"/>
                    </w14:srgbClr>
                  </w14:solidFill>
                </w14:textFill>
              </w:rPr>
              <w:t xml:space="preserve">　</w:t>
            </w:r>
            <w:r w:rsidRPr="00B73889">
              <w:rPr>
                <w:color w:val="000000"/>
                <w:w w:val="15"/>
                <w:szCs w:val="20"/>
                <w:shd w:val="solid" w:color="000000" w:fill="000000"/>
                <w:fitText w:val="13" w:id="-1435755760"/>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60"/>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57C1A953" w14:textId="463818AF"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2" w:id="-1435755776"/>
                <w14:textFill>
                  <w14:solidFill>
                    <w14:srgbClr w14:val="000000">
                      <w14:alpha w14:val="100000"/>
                    </w14:srgbClr>
                  </w14:solidFill>
                </w14:textFill>
              </w:rPr>
              <w:t xml:space="preserve">　</w:t>
            </w:r>
            <w:r w:rsidRPr="00B73889">
              <w:rPr>
                <w:color w:val="000000"/>
                <w:w w:val="15"/>
                <w:szCs w:val="20"/>
                <w:shd w:val="solid" w:color="000000" w:fill="000000"/>
                <w:fitText w:val="12" w:id="-1435755776"/>
                <w14:textFill>
                  <w14:solidFill>
                    <w14:srgbClr w14:val="000000">
                      <w14:alpha w14:val="100000"/>
                    </w14:srgbClr>
                  </w14:solidFill>
                </w14:textFill>
              </w:rPr>
              <w:t>|</w:t>
            </w:r>
            <w:r w:rsidRPr="00B73889">
              <w:rPr>
                <w:rFonts w:hint="eastAsia"/>
                <w:color w:val="000000"/>
                <w:spacing w:val="-54"/>
                <w:w w:val="15"/>
                <w:szCs w:val="20"/>
                <w:shd w:val="solid" w:color="000000" w:fill="000000"/>
                <w:fitText w:val="12" w:id="-1435755776"/>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3B89B955" w14:textId="762C9DD4"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3" w:id="-1435755775"/>
                <w14:textFill>
                  <w14:solidFill>
                    <w14:srgbClr w14:val="000000">
                      <w14:alpha w14:val="100000"/>
                    </w14:srgbClr>
                  </w14:solidFill>
                </w14:textFill>
              </w:rPr>
              <w:t xml:space="preserve">　</w:t>
            </w:r>
            <w:r w:rsidRPr="00B73889">
              <w:rPr>
                <w:color w:val="000000"/>
                <w:w w:val="15"/>
                <w:szCs w:val="20"/>
                <w:shd w:val="solid" w:color="000000" w:fill="000000"/>
                <w:fitText w:val="13" w:id="-1435755775"/>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75"/>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2D97C61A" w14:textId="2E7A8C6F"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2" w:id="-1435755774"/>
                <w14:textFill>
                  <w14:solidFill>
                    <w14:srgbClr w14:val="000000">
                      <w14:alpha w14:val="100000"/>
                    </w14:srgbClr>
                  </w14:solidFill>
                </w14:textFill>
              </w:rPr>
              <w:t xml:space="preserve">　</w:t>
            </w:r>
            <w:r w:rsidRPr="00B73889">
              <w:rPr>
                <w:color w:val="000000"/>
                <w:w w:val="15"/>
                <w:szCs w:val="20"/>
                <w:shd w:val="solid" w:color="000000" w:fill="000000"/>
                <w:fitText w:val="12" w:id="-1435755774"/>
                <w14:textFill>
                  <w14:solidFill>
                    <w14:srgbClr w14:val="000000">
                      <w14:alpha w14:val="100000"/>
                    </w14:srgbClr>
                  </w14:solidFill>
                </w14:textFill>
              </w:rPr>
              <w:t>|</w:t>
            </w:r>
            <w:r w:rsidRPr="00B73889">
              <w:rPr>
                <w:rFonts w:hint="eastAsia"/>
                <w:color w:val="000000"/>
                <w:spacing w:val="-54"/>
                <w:w w:val="15"/>
                <w:szCs w:val="20"/>
                <w:shd w:val="solid" w:color="000000" w:fill="000000"/>
                <w:fitText w:val="12" w:id="-1435755774"/>
                <w14:textFill>
                  <w14:solidFill>
                    <w14:srgbClr w14:val="000000">
                      <w14:alpha w14:val="100000"/>
                    </w14:srgbClr>
                  </w14:solidFill>
                </w14:textFill>
              </w:rPr>
              <w:t xml:space="preserve">　</w:t>
            </w:r>
            <w:r w:rsidR="009D16FB">
              <w:rPr>
                <w:szCs w:val="20"/>
                <w:vertAlign w:val="superscript"/>
              </w:rPr>
              <w:t>2</w:t>
            </w:r>
          </w:p>
        </w:tc>
        <w:tc>
          <w:tcPr>
            <w:tcW w:w="649" w:type="pct"/>
          </w:tcPr>
          <w:p w14:paraId="32978D37" w14:textId="340A6DAA"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25" w:id="-1435755773"/>
                <w14:textFill>
                  <w14:solidFill>
                    <w14:srgbClr w14:val="000000">
                      <w14:alpha w14:val="100000"/>
                    </w14:srgbClr>
                  </w14:solidFill>
                </w14:textFill>
              </w:rPr>
              <w:t xml:space="preserve">　</w:t>
            </w:r>
            <w:r w:rsidRPr="00B73889">
              <w:rPr>
                <w:color w:val="000000"/>
                <w:w w:val="15"/>
                <w:szCs w:val="20"/>
                <w:shd w:val="solid" w:color="000000" w:fill="000000"/>
                <w:fitText w:val="25" w:id="-1435755773"/>
                <w14:textFill>
                  <w14:solidFill>
                    <w14:srgbClr w14:val="000000">
                      <w14:alpha w14:val="100000"/>
                    </w14:srgbClr>
                  </w14:solidFill>
                </w14:textFill>
              </w:rPr>
              <w:t>|</w:t>
            </w:r>
            <w:r w:rsidRPr="00B73889">
              <w:rPr>
                <w:rFonts w:hint="eastAsia"/>
                <w:color w:val="000000"/>
                <w:spacing w:val="-41"/>
                <w:w w:val="15"/>
                <w:szCs w:val="20"/>
                <w:shd w:val="solid" w:color="000000" w:fill="000000"/>
                <w:fitText w:val="25" w:id="-1435755773"/>
                <w14:textFill>
                  <w14:solidFill>
                    <w14:srgbClr w14:val="000000">
                      <w14:alpha w14:val="100000"/>
                    </w14:srgbClr>
                  </w14:solidFill>
                </w14:textFill>
              </w:rPr>
              <w:t xml:space="preserve">　</w:t>
            </w:r>
            <w:r w:rsidR="009D16FB">
              <w:rPr>
                <w:szCs w:val="20"/>
                <w:vertAlign w:val="superscript"/>
              </w:rPr>
              <w:t>2</w:t>
            </w:r>
          </w:p>
        </w:tc>
      </w:tr>
      <w:tr w:rsidR="00172C1C" w:rsidRPr="003639A6" w14:paraId="228F2E00" w14:textId="77777777" w:rsidTr="00A0461D">
        <w:tc>
          <w:tcPr>
            <w:tcW w:w="1116" w:type="pct"/>
            <w:shd w:val="clear" w:color="auto" w:fill="auto"/>
            <w:vAlign w:val="center"/>
          </w:tcPr>
          <w:p w14:paraId="629876FC" w14:textId="77777777" w:rsidR="00172C1C" w:rsidRPr="000F4095" w:rsidRDefault="00172C1C" w:rsidP="00A0461D">
            <w:pPr>
              <w:pStyle w:val="TableText0"/>
              <w:rPr>
                <w:vertAlign w:val="superscript"/>
              </w:rPr>
            </w:pPr>
            <w:r>
              <w:t>Number of infusions Q4W</w:t>
            </w:r>
            <w:r>
              <w:rPr>
                <w:vertAlign w:val="superscript"/>
              </w:rPr>
              <w:t>b</w:t>
            </w:r>
          </w:p>
        </w:tc>
        <w:tc>
          <w:tcPr>
            <w:tcW w:w="647" w:type="pct"/>
            <w:shd w:val="clear" w:color="auto" w:fill="auto"/>
          </w:tcPr>
          <w:p w14:paraId="0E198F52" w14:textId="21D788A5"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3" w:id="-1435755772"/>
                <w14:textFill>
                  <w14:solidFill>
                    <w14:srgbClr w14:val="000000">
                      <w14:alpha w14:val="100000"/>
                    </w14:srgbClr>
                  </w14:solidFill>
                </w14:textFill>
              </w:rPr>
              <w:t xml:space="preserve">　</w:t>
            </w:r>
            <w:r w:rsidRPr="00B73889">
              <w:rPr>
                <w:color w:val="000000"/>
                <w:w w:val="15"/>
                <w:szCs w:val="20"/>
                <w:shd w:val="solid" w:color="000000" w:fill="000000"/>
                <w:fitText w:val="13" w:id="-1435755772"/>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72"/>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059BF43D" w14:textId="4056574A"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3" w:id="-1435755771"/>
                <w14:textFill>
                  <w14:solidFill>
                    <w14:srgbClr w14:val="000000">
                      <w14:alpha w14:val="100000"/>
                    </w14:srgbClr>
                  </w14:solidFill>
                </w14:textFill>
              </w:rPr>
              <w:t xml:space="preserve">　</w:t>
            </w:r>
            <w:r w:rsidRPr="00B73889">
              <w:rPr>
                <w:color w:val="000000"/>
                <w:w w:val="15"/>
                <w:szCs w:val="20"/>
                <w:shd w:val="solid" w:color="000000" w:fill="000000"/>
                <w:fitText w:val="13" w:id="-1435755771"/>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71"/>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4AF58B85" w14:textId="37D9DF8C"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2" w:id="-1435755770"/>
                <w14:textFill>
                  <w14:solidFill>
                    <w14:srgbClr w14:val="000000">
                      <w14:alpha w14:val="100000"/>
                    </w14:srgbClr>
                  </w14:solidFill>
                </w14:textFill>
              </w:rPr>
              <w:t xml:space="preserve">　</w:t>
            </w:r>
            <w:r w:rsidRPr="00B73889">
              <w:rPr>
                <w:color w:val="000000"/>
                <w:w w:val="15"/>
                <w:szCs w:val="20"/>
                <w:shd w:val="solid" w:color="000000" w:fill="000000"/>
                <w:fitText w:val="12" w:id="-1435755770"/>
                <w14:textFill>
                  <w14:solidFill>
                    <w14:srgbClr w14:val="000000">
                      <w14:alpha w14:val="100000"/>
                    </w14:srgbClr>
                  </w14:solidFill>
                </w14:textFill>
              </w:rPr>
              <w:t>|</w:t>
            </w:r>
            <w:r w:rsidRPr="00B73889">
              <w:rPr>
                <w:rFonts w:hint="eastAsia"/>
                <w:color w:val="000000"/>
                <w:spacing w:val="-54"/>
                <w:w w:val="15"/>
                <w:szCs w:val="20"/>
                <w:shd w:val="solid" w:color="000000" w:fill="000000"/>
                <w:fitText w:val="12" w:id="-1435755770"/>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48F65278" w14:textId="22261102"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3" w:id="-1435755769"/>
                <w14:textFill>
                  <w14:solidFill>
                    <w14:srgbClr w14:val="000000">
                      <w14:alpha w14:val="100000"/>
                    </w14:srgbClr>
                  </w14:solidFill>
                </w14:textFill>
              </w:rPr>
              <w:t xml:space="preserve">　</w:t>
            </w:r>
            <w:r w:rsidRPr="00B73889">
              <w:rPr>
                <w:color w:val="000000"/>
                <w:w w:val="15"/>
                <w:szCs w:val="20"/>
                <w:shd w:val="solid" w:color="000000" w:fill="000000"/>
                <w:fitText w:val="13" w:id="-1435755769"/>
                <w14:textFill>
                  <w14:solidFill>
                    <w14:srgbClr w14:val="000000">
                      <w14:alpha w14:val="100000"/>
                    </w14:srgbClr>
                  </w14:solidFill>
                </w14:textFill>
              </w:rPr>
              <w:t>|</w:t>
            </w:r>
            <w:r w:rsidRPr="00B73889">
              <w:rPr>
                <w:rFonts w:hint="eastAsia"/>
                <w:color w:val="000000"/>
                <w:spacing w:val="-53"/>
                <w:w w:val="15"/>
                <w:szCs w:val="20"/>
                <w:shd w:val="solid" w:color="000000" w:fill="000000"/>
                <w:fitText w:val="13" w:id="-1435755769"/>
                <w14:textFill>
                  <w14:solidFill>
                    <w14:srgbClr w14:val="000000">
                      <w14:alpha w14:val="100000"/>
                    </w14:srgbClr>
                  </w14:solidFill>
                </w14:textFill>
              </w:rPr>
              <w:t xml:space="preserve">　</w:t>
            </w:r>
            <w:r w:rsidR="009D16FB">
              <w:rPr>
                <w:szCs w:val="20"/>
                <w:vertAlign w:val="superscript"/>
              </w:rPr>
              <w:t>2</w:t>
            </w:r>
          </w:p>
        </w:tc>
        <w:tc>
          <w:tcPr>
            <w:tcW w:w="647" w:type="pct"/>
            <w:shd w:val="clear" w:color="auto" w:fill="auto"/>
          </w:tcPr>
          <w:p w14:paraId="2CC6A7AD" w14:textId="3EE6CAFA"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12" w:id="-1435755768"/>
                <w14:textFill>
                  <w14:solidFill>
                    <w14:srgbClr w14:val="000000">
                      <w14:alpha w14:val="100000"/>
                    </w14:srgbClr>
                  </w14:solidFill>
                </w14:textFill>
              </w:rPr>
              <w:t xml:space="preserve">　</w:t>
            </w:r>
            <w:r w:rsidRPr="00B73889">
              <w:rPr>
                <w:color w:val="000000"/>
                <w:w w:val="15"/>
                <w:szCs w:val="20"/>
                <w:shd w:val="solid" w:color="000000" w:fill="000000"/>
                <w:fitText w:val="12" w:id="-1435755768"/>
                <w14:textFill>
                  <w14:solidFill>
                    <w14:srgbClr w14:val="000000">
                      <w14:alpha w14:val="100000"/>
                    </w14:srgbClr>
                  </w14:solidFill>
                </w14:textFill>
              </w:rPr>
              <w:t>|</w:t>
            </w:r>
            <w:r w:rsidRPr="00B73889">
              <w:rPr>
                <w:rFonts w:hint="eastAsia"/>
                <w:color w:val="000000"/>
                <w:spacing w:val="-54"/>
                <w:w w:val="15"/>
                <w:szCs w:val="20"/>
                <w:shd w:val="solid" w:color="000000" w:fill="000000"/>
                <w:fitText w:val="12" w:id="-1435755768"/>
                <w14:textFill>
                  <w14:solidFill>
                    <w14:srgbClr w14:val="000000">
                      <w14:alpha w14:val="100000"/>
                    </w14:srgbClr>
                  </w14:solidFill>
                </w14:textFill>
              </w:rPr>
              <w:t xml:space="preserve">　</w:t>
            </w:r>
            <w:r w:rsidR="009D16FB">
              <w:rPr>
                <w:szCs w:val="20"/>
                <w:vertAlign w:val="superscript"/>
              </w:rPr>
              <w:t>2</w:t>
            </w:r>
          </w:p>
        </w:tc>
        <w:tc>
          <w:tcPr>
            <w:tcW w:w="649" w:type="pct"/>
          </w:tcPr>
          <w:p w14:paraId="5C1B68C5" w14:textId="29490DF4" w:rsidR="00172C1C" w:rsidRPr="009D16FB" w:rsidRDefault="000A25B4" w:rsidP="00A0461D">
            <w:pPr>
              <w:pStyle w:val="TableText0"/>
              <w:jc w:val="center"/>
              <w:rPr>
                <w:color w:val="000000"/>
                <w:highlight w:val="darkGray"/>
              </w:rPr>
            </w:pPr>
            <w:r w:rsidRPr="00B73889">
              <w:rPr>
                <w:rFonts w:hint="eastAsia"/>
                <w:color w:val="000000"/>
                <w:w w:val="15"/>
                <w:szCs w:val="20"/>
                <w:shd w:val="solid" w:color="000000" w:fill="000000"/>
                <w:fitText w:val="25" w:id="-1435755767"/>
                <w14:textFill>
                  <w14:solidFill>
                    <w14:srgbClr w14:val="000000">
                      <w14:alpha w14:val="100000"/>
                    </w14:srgbClr>
                  </w14:solidFill>
                </w14:textFill>
              </w:rPr>
              <w:t xml:space="preserve">　</w:t>
            </w:r>
            <w:r w:rsidRPr="00B73889">
              <w:rPr>
                <w:color w:val="000000"/>
                <w:w w:val="15"/>
                <w:szCs w:val="20"/>
                <w:shd w:val="solid" w:color="000000" w:fill="000000"/>
                <w:fitText w:val="25" w:id="-1435755767"/>
                <w14:textFill>
                  <w14:solidFill>
                    <w14:srgbClr w14:val="000000">
                      <w14:alpha w14:val="100000"/>
                    </w14:srgbClr>
                  </w14:solidFill>
                </w14:textFill>
              </w:rPr>
              <w:t>|</w:t>
            </w:r>
            <w:r w:rsidRPr="00B73889">
              <w:rPr>
                <w:rFonts w:hint="eastAsia"/>
                <w:color w:val="000000"/>
                <w:spacing w:val="-41"/>
                <w:w w:val="15"/>
                <w:szCs w:val="20"/>
                <w:shd w:val="solid" w:color="000000" w:fill="000000"/>
                <w:fitText w:val="25" w:id="-1435755767"/>
                <w14:textFill>
                  <w14:solidFill>
                    <w14:srgbClr w14:val="000000">
                      <w14:alpha w14:val="100000"/>
                    </w14:srgbClr>
                  </w14:solidFill>
                </w14:textFill>
              </w:rPr>
              <w:t xml:space="preserve">　</w:t>
            </w:r>
            <w:r w:rsidR="009D16FB">
              <w:rPr>
                <w:szCs w:val="20"/>
                <w:vertAlign w:val="superscript"/>
              </w:rPr>
              <w:t>2</w:t>
            </w:r>
          </w:p>
        </w:tc>
      </w:tr>
      <w:tr w:rsidR="00172C1C" w:rsidRPr="00D1078F" w14:paraId="7F1EABE8" w14:textId="77777777" w:rsidTr="00A0461D">
        <w:tc>
          <w:tcPr>
            <w:tcW w:w="5000" w:type="pct"/>
            <w:gridSpan w:val="7"/>
            <w:shd w:val="clear" w:color="auto" w:fill="auto"/>
            <w:vAlign w:val="center"/>
          </w:tcPr>
          <w:p w14:paraId="69E48712" w14:textId="16F08D38" w:rsidR="00172C1C" w:rsidRPr="00D1078F" w:rsidRDefault="00172C1C" w:rsidP="00A0461D">
            <w:pPr>
              <w:pStyle w:val="In-tableHeading"/>
            </w:pPr>
            <w:r w:rsidRPr="00D1078F">
              <w:t xml:space="preserve">Estimated </w:t>
            </w:r>
            <w:r>
              <w:t xml:space="preserve">financial implications of </w:t>
            </w:r>
            <w:r w:rsidR="001B6A2B">
              <w:t>n</w:t>
            </w:r>
            <w:r>
              <w:t>ivolumab</w:t>
            </w:r>
          </w:p>
        </w:tc>
      </w:tr>
      <w:tr w:rsidR="00172C1C" w:rsidRPr="003639A6" w14:paraId="2328C509" w14:textId="77777777" w:rsidTr="002B34E6">
        <w:tc>
          <w:tcPr>
            <w:tcW w:w="1116" w:type="pct"/>
            <w:shd w:val="clear" w:color="auto" w:fill="auto"/>
            <w:vAlign w:val="center"/>
          </w:tcPr>
          <w:p w14:paraId="56B5D279" w14:textId="77777777" w:rsidR="00172C1C" w:rsidRDefault="00172C1C" w:rsidP="00A0461D">
            <w:pPr>
              <w:pStyle w:val="TableText0"/>
              <w:rPr>
                <w:sz w:val="19"/>
                <w:szCs w:val="19"/>
              </w:rPr>
            </w:pPr>
            <w:r>
              <w:rPr>
                <w:sz w:val="19"/>
                <w:szCs w:val="19"/>
              </w:rPr>
              <w:t xml:space="preserve">Cost to PBS/RPBS less </w:t>
            </w:r>
            <w:proofErr w:type="spellStart"/>
            <w:r>
              <w:rPr>
                <w:sz w:val="19"/>
                <w:szCs w:val="19"/>
              </w:rPr>
              <w:t>copayments</w:t>
            </w:r>
            <w:proofErr w:type="spellEnd"/>
          </w:p>
        </w:tc>
        <w:tc>
          <w:tcPr>
            <w:tcW w:w="647" w:type="pct"/>
            <w:shd w:val="clear" w:color="auto" w:fill="auto"/>
            <w:vAlign w:val="center"/>
          </w:tcPr>
          <w:p w14:paraId="18585B14" w14:textId="3DE00C74"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766"/>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766"/>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766"/>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10AAD00E" w14:textId="134645B2"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520"/>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20"/>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20"/>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03FC6EFF" w14:textId="47E68296"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519"/>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9"/>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9"/>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063AF22D" w14:textId="2FB6A50A"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518"/>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8"/>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8"/>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1E694B0B" w14:textId="53EAEC4E"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517"/>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7"/>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7"/>
                <w14:textFill>
                  <w14:solidFill>
                    <w14:srgbClr w14:val="000000">
                      <w14:alpha w14:val="100000"/>
                    </w14:srgbClr>
                  </w14:solidFill>
                </w14:textFill>
              </w:rPr>
              <w:t xml:space="preserve">　</w:t>
            </w:r>
            <w:r w:rsidR="009D16FB">
              <w:rPr>
                <w:szCs w:val="20"/>
                <w:vertAlign w:val="superscript"/>
              </w:rPr>
              <w:t>3</w:t>
            </w:r>
          </w:p>
        </w:tc>
        <w:tc>
          <w:tcPr>
            <w:tcW w:w="649" w:type="pct"/>
            <w:vAlign w:val="center"/>
          </w:tcPr>
          <w:p w14:paraId="48709C4B" w14:textId="37EAF73D" w:rsidR="00172C1C" w:rsidRPr="000F4095" w:rsidRDefault="00172C1C" w:rsidP="002B34E6">
            <w:pPr>
              <w:pStyle w:val="TableText0"/>
              <w:jc w:val="center"/>
            </w:pPr>
            <w:r w:rsidRPr="000F4095">
              <w:rPr>
                <w:szCs w:val="20"/>
              </w:rPr>
              <w:t>$</w:t>
            </w:r>
            <w:r w:rsidR="000A25B4" w:rsidRPr="000A25B4">
              <w:rPr>
                <w:rFonts w:hint="eastAsia"/>
                <w:color w:val="000000"/>
                <w:w w:val="15"/>
                <w:szCs w:val="20"/>
                <w:shd w:val="solid" w:color="000000" w:fill="000000"/>
                <w:fitText w:val="63" w:id="-1435755516"/>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6"/>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6"/>
                <w14:textFill>
                  <w14:solidFill>
                    <w14:srgbClr w14:val="000000">
                      <w14:alpha w14:val="100000"/>
                    </w14:srgbClr>
                  </w14:solidFill>
                </w14:textFill>
              </w:rPr>
              <w:t xml:space="preserve">　</w:t>
            </w:r>
            <w:r w:rsidR="009D16FB">
              <w:rPr>
                <w:szCs w:val="20"/>
                <w:vertAlign w:val="superscript"/>
              </w:rPr>
              <w:t>3</w:t>
            </w:r>
          </w:p>
        </w:tc>
      </w:tr>
      <w:tr w:rsidR="00172C1C" w:rsidRPr="00FC22AB" w14:paraId="376DB84E" w14:textId="77777777" w:rsidTr="00A0461D">
        <w:tc>
          <w:tcPr>
            <w:tcW w:w="5000" w:type="pct"/>
            <w:gridSpan w:val="7"/>
            <w:shd w:val="clear" w:color="auto" w:fill="auto"/>
            <w:vAlign w:val="center"/>
          </w:tcPr>
          <w:p w14:paraId="6E1BB14D" w14:textId="77777777" w:rsidR="00172C1C" w:rsidRPr="00FC22AB" w:rsidRDefault="00172C1C" w:rsidP="00A0461D">
            <w:pPr>
              <w:pStyle w:val="In-tableHeading"/>
            </w:pPr>
            <w:r w:rsidRPr="00FC22AB">
              <w:t>Net financial implications</w:t>
            </w:r>
            <w:r w:rsidRPr="00FC22AB">
              <w:rPr>
                <w:color w:val="4BACC6" w:themeColor="accent5"/>
              </w:rPr>
              <w:t xml:space="preserve"> </w:t>
            </w:r>
          </w:p>
        </w:tc>
      </w:tr>
      <w:tr w:rsidR="00172C1C" w:rsidRPr="003639A6" w14:paraId="4EDFE7F1" w14:textId="77777777" w:rsidTr="00A0461D">
        <w:tc>
          <w:tcPr>
            <w:tcW w:w="1116" w:type="pct"/>
            <w:shd w:val="clear" w:color="auto" w:fill="auto"/>
            <w:vAlign w:val="center"/>
          </w:tcPr>
          <w:p w14:paraId="07446061" w14:textId="77777777" w:rsidR="00172C1C" w:rsidRDefault="00172C1C" w:rsidP="00A0461D">
            <w:pPr>
              <w:pStyle w:val="TableText0"/>
              <w:rPr>
                <w:sz w:val="19"/>
                <w:szCs w:val="19"/>
              </w:rPr>
            </w:pPr>
            <w:r>
              <w:rPr>
                <w:sz w:val="19"/>
                <w:szCs w:val="19"/>
              </w:rPr>
              <w:t>Net cost to PBS/RPBS</w:t>
            </w:r>
          </w:p>
        </w:tc>
        <w:tc>
          <w:tcPr>
            <w:tcW w:w="647" w:type="pct"/>
            <w:shd w:val="clear" w:color="auto" w:fill="auto"/>
          </w:tcPr>
          <w:p w14:paraId="65322D1F" w14:textId="0932B3A2"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5"/>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5"/>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5"/>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tcPr>
          <w:p w14:paraId="50F9EDD4" w14:textId="26129E27"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4"/>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4"/>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4"/>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tcPr>
          <w:p w14:paraId="1F25C99D" w14:textId="542814CA"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3"/>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3"/>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3"/>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tcPr>
          <w:p w14:paraId="07B45F95" w14:textId="29CF8BC4"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2"/>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2"/>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2"/>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tcPr>
          <w:p w14:paraId="2DC39EE9" w14:textId="68F6FA86"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1"/>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1"/>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1"/>
                <w14:textFill>
                  <w14:solidFill>
                    <w14:srgbClr w14:val="000000">
                      <w14:alpha w14:val="100000"/>
                    </w14:srgbClr>
                  </w14:solidFill>
                </w14:textFill>
              </w:rPr>
              <w:t xml:space="preserve">　</w:t>
            </w:r>
            <w:r w:rsidR="009D16FB">
              <w:rPr>
                <w:szCs w:val="20"/>
                <w:vertAlign w:val="superscript"/>
              </w:rPr>
              <w:t>3</w:t>
            </w:r>
          </w:p>
        </w:tc>
        <w:tc>
          <w:tcPr>
            <w:tcW w:w="649" w:type="pct"/>
          </w:tcPr>
          <w:p w14:paraId="44B42AEF" w14:textId="50A4F8DC" w:rsidR="00172C1C" w:rsidRPr="000F4095" w:rsidRDefault="00172C1C" w:rsidP="00A0461D">
            <w:pPr>
              <w:pStyle w:val="TableText0"/>
              <w:jc w:val="center"/>
            </w:pPr>
            <w:r w:rsidRPr="000F4095">
              <w:rPr>
                <w:szCs w:val="20"/>
              </w:rPr>
              <w:t>$</w:t>
            </w:r>
            <w:r w:rsidR="000A25B4" w:rsidRPr="000A25B4">
              <w:rPr>
                <w:rFonts w:hint="eastAsia"/>
                <w:color w:val="000000"/>
                <w:w w:val="15"/>
                <w:szCs w:val="20"/>
                <w:shd w:val="solid" w:color="000000" w:fill="000000"/>
                <w:fitText w:val="63" w:id="-1435755510"/>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10"/>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10"/>
                <w14:textFill>
                  <w14:solidFill>
                    <w14:srgbClr w14:val="000000">
                      <w14:alpha w14:val="100000"/>
                    </w14:srgbClr>
                  </w14:solidFill>
                </w14:textFill>
              </w:rPr>
              <w:t xml:space="preserve">　</w:t>
            </w:r>
            <w:r w:rsidR="009D16FB">
              <w:rPr>
                <w:szCs w:val="20"/>
                <w:vertAlign w:val="superscript"/>
              </w:rPr>
              <w:t>3</w:t>
            </w:r>
          </w:p>
        </w:tc>
      </w:tr>
      <w:tr w:rsidR="00172C1C" w:rsidRPr="003639A6" w14:paraId="679803F6" w14:textId="77777777" w:rsidTr="00A0461D">
        <w:tc>
          <w:tcPr>
            <w:tcW w:w="1116" w:type="pct"/>
            <w:shd w:val="clear" w:color="auto" w:fill="auto"/>
            <w:vAlign w:val="center"/>
          </w:tcPr>
          <w:p w14:paraId="7ED1EF93" w14:textId="77777777" w:rsidR="00172C1C" w:rsidRPr="003639A6" w:rsidRDefault="00172C1C" w:rsidP="00A0461D">
            <w:pPr>
              <w:pStyle w:val="TableText0"/>
              <w:rPr>
                <w:rFonts w:ascii="Times" w:hAnsi="Times"/>
              </w:rPr>
            </w:pPr>
            <w:r>
              <w:rPr>
                <w:sz w:val="19"/>
                <w:szCs w:val="19"/>
              </w:rPr>
              <w:t>Net cost to</w:t>
            </w:r>
            <w:r w:rsidRPr="003639A6">
              <w:rPr>
                <w:sz w:val="19"/>
                <w:szCs w:val="19"/>
              </w:rPr>
              <w:t xml:space="preserve"> MBS</w:t>
            </w:r>
          </w:p>
        </w:tc>
        <w:tc>
          <w:tcPr>
            <w:tcW w:w="647" w:type="pct"/>
            <w:shd w:val="clear" w:color="auto" w:fill="auto"/>
            <w:vAlign w:val="center"/>
          </w:tcPr>
          <w:p w14:paraId="56E0D13D" w14:textId="67FF1255" w:rsidR="00172C1C" w:rsidRPr="003639A6" w:rsidRDefault="00172C1C" w:rsidP="009D16FB">
            <w:pPr>
              <w:pStyle w:val="TableText0"/>
              <w:jc w:val="center"/>
            </w:pPr>
            <w:r w:rsidRPr="004C54EE">
              <w:rPr>
                <w:szCs w:val="20"/>
              </w:rPr>
              <w:t>$</w:t>
            </w:r>
            <w:r w:rsidR="000A25B4" w:rsidRPr="000A25B4">
              <w:rPr>
                <w:rFonts w:hint="eastAsia"/>
                <w:color w:val="000000"/>
                <w:w w:val="15"/>
                <w:szCs w:val="20"/>
                <w:shd w:val="solid" w:color="000000" w:fill="000000"/>
                <w:fitText w:val="63" w:id="-1435755509"/>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9"/>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9"/>
                <w14:textFill>
                  <w14:solidFill>
                    <w14:srgbClr w14:val="000000">
                      <w14:alpha w14:val="100000"/>
                    </w14:srgbClr>
                  </w14:solidFill>
                </w14:textFill>
              </w:rPr>
              <w:t xml:space="preserve">　</w:t>
            </w:r>
            <w:r w:rsidR="009D16FB">
              <w:rPr>
                <w:szCs w:val="20"/>
                <w:vertAlign w:val="superscript"/>
              </w:rPr>
              <w:t>4</w:t>
            </w:r>
          </w:p>
        </w:tc>
        <w:tc>
          <w:tcPr>
            <w:tcW w:w="647" w:type="pct"/>
            <w:shd w:val="clear" w:color="auto" w:fill="auto"/>
            <w:vAlign w:val="center"/>
          </w:tcPr>
          <w:p w14:paraId="09C7EE4D" w14:textId="19F880D2" w:rsidR="00172C1C" w:rsidRPr="003639A6" w:rsidRDefault="00172C1C" w:rsidP="00A0461D">
            <w:pPr>
              <w:pStyle w:val="TableText0"/>
              <w:jc w:val="center"/>
            </w:pPr>
            <w:r w:rsidRPr="004C54EE">
              <w:rPr>
                <w:szCs w:val="20"/>
              </w:rPr>
              <w:t>$</w:t>
            </w:r>
            <w:r w:rsidR="000A25B4" w:rsidRPr="000A25B4">
              <w:rPr>
                <w:rFonts w:hint="eastAsia"/>
                <w:color w:val="000000"/>
                <w:w w:val="15"/>
                <w:szCs w:val="20"/>
                <w:shd w:val="solid" w:color="000000" w:fill="000000"/>
                <w:fitText w:val="63" w:id="-1435755508"/>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8"/>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8"/>
                <w14:textFill>
                  <w14:solidFill>
                    <w14:srgbClr w14:val="000000">
                      <w14:alpha w14:val="100000"/>
                    </w14:srgbClr>
                  </w14:solidFill>
                </w14:textFill>
              </w:rPr>
              <w:t xml:space="preserve">　</w:t>
            </w:r>
            <w:r w:rsidR="009D16FB">
              <w:rPr>
                <w:szCs w:val="20"/>
                <w:vertAlign w:val="superscript"/>
              </w:rPr>
              <w:t>4</w:t>
            </w:r>
          </w:p>
        </w:tc>
        <w:tc>
          <w:tcPr>
            <w:tcW w:w="647" w:type="pct"/>
            <w:shd w:val="clear" w:color="auto" w:fill="auto"/>
            <w:vAlign w:val="center"/>
          </w:tcPr>
          <w:p w14:paraId="560DAAFB" w14:textId="2918F7EC" w:rsidR="00172C1C" w:rsidRPr="003639A6" w:rsidRDefault="00172C1C" w:rsidP="00A0461D">
            <w:pPr>
              <w:pStyle w:val="TableText0"/>
              <w:jc w:val="center"/>
            </w:pPr>
            <w:r w:rsidRPr="004C54EE">
              <w:rPr>
                <w:szCs w:val="20"/>
              </w:rPr>
              <w:t>$</w:t>
            </w:r>
            <w:r w:rsidR="000A25B4" w:rsidRPr="000A25B4">
              <w:rPr>
                <w:rFonts w:hint="eastAsia"/>
                <w:color w:val="000000"/>
                <w:w w:val="15"/>
                <w:szCs w:val="20"/>
                <w:shd w:val="solid" w:color="000000" w:fill="000000"/>
                <w:fitText w:val="63" w:id="-1435755507"/>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7"/>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7"/>
                <w14:textFill>
                  <w14:solidFill>
                    <w14:srgbClr w14:val="000000">
                      <w14:alpha w14:val="100000"/>
                    </w14:srgbClr>
                  </w14:solidFill>
                </w14:textFill>
              </w:rPr>
              <w:t xml:space="preserve">　</w:t>
            </w:r>
            <w:r w:rsidR="009D16FB">
              <w:rPr>
                <w:szCs w:val="20"/>
                <w:vertAlign w:val="superscript"/>
              </w:rPr>
              <w:t>4</w:t>
            </w:r>
          </w:p>
        </w:tc>
        <w:tc>
          <w:tcPr>
            <w:tcW w:w="647" w:type="pct"/>
            <w:shd w:val="clear" w:color="auto" w:fill="auto"/>
            <w:vAlign w:val="center"/>
          </w:tcPr>
          <w:p w14:paraId="65654310" w14:textId="0867A38B" w:rsidR="00172C1C" w:rsidRPr="003639A6" w:rsidRDefault="00172C1C" w:rsidP="00A0461D">
            <w:pPr>
              <w:pStyle w:val="TableText0"/>
              <w:jc w:val="center"/>
            </w:pPr>
            <w:r w:rsidRPr="004C54EE">
              <w:rPr>
                <w:szCs w:val="20"/>
              </w:rPr>
              <w:t>$</w:t>
            </w:r>
            <w:r w:rsidR="000A25B4" w:rsidRPr="000A25B4">
              <w:rPr>
                <w:rFonts w:hint="eastAsia"/>
                <w:color w:val="000000"/>
                <w:w w:val="15"/>
                <w:szCs w:val="20"/>
                <w:shd w:val="solid" w:color="000000" w:fill="000000"/>
                <w:fitText w:val="63" w:id="-1435755506"/>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6"/>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6"/>
                <w14:textFill>
                  <w14:solidFill>
                    <w14:srgbClr w14:val="000000">
                      <w14:alpha w14:val="100000"/>
                    </w14:srgbClr>
                  </w14:solidFill>
                </w14:textFill>
              </w:rPr>
              <w:t xml:space="preserve">　</w:t>
            </w:r>
            <w:r w:rsidR="009D16FB">
              <w:rPr>
                <w:szCs w:val="20"/>
                <w:vertAlign w:val="superscript"/>
              </w:rPr>
              <w:t>4</w:t>
            </w:r>
          </w:p>
        </w:tc>
        <w:tc>
          <w:tcPr>
            <w:tcW w:w="647" w:type="pct"/>
            <w:shd w:val="clear" w:color="auto" w:fill="auto"/>
            <w:vAlign w:val="center"/>
          </w:tcPr>
          <w:p w14:paraId="78CA9B85" w14:textId="67E65CFD" w:rsidR="00172C1C" w:rsidRPr="003639A6" w:rsidRDefault="00172C1C" w:rsidP="00A0461D">
            <w:pPr>
              <w:pStyle w:val="TableText0"/>
              <w:jc w:val="center"/>
            </w:pPr>
            <w:r w:rsidRPr="004C54EE">
              <w:rPr>
                <w:szCs w:val="20"/>
              </w:rPr>
              <w:t>$</w:t>
            </w:r>
            <w:r w:rsidR="000A25B4" w:rsidRPr="000A25B4">
              <w:rPr>
                <w:rFonts w:hint="eastAsia"/>
                <w:color w:val="000000"/>
                <w:w w:val="15"/>
                <w:szCs w:val="20"/>
                <w:shd w:val="solid" w:color="000000" w:fill="000000"/>
                <w:fitText w:val="63" w:id="-1435755505"/>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5"/>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5"/>
                <w14:textFill>
                  <w14:solidFill>
                    <w14:srgbClr w14:val="000000">
                      <w14:alpha w14:val="100000"/>
                    </w14:srgbClr>
                  </w14:solidFill>
                </w14:textFill>
              </w:rPr>
              <w:t xml:space="preserve">　</w:t>
            </w:r>
            <w:r w:rsidR="009D16FB">
              <w:rPr>
                <w:szCs w:val="20"/>
                <w:vertAlign w:val="superscript"/>
              </w:rPr>
              <w:t>4</w:t>
            </w:r>
          </w:p>
        </w:tc>
        <w:tc>
          <w:tcPr>
            <w:tcW w:w="649" w:type="pct"/>
            <w:vAlign w:val="center"/>
          </w:tcPr>
          <w:p w14:paraId="0FBD2DF0" w14:textId="7EF5E547" w:rsidR="00172C1C" w:rsidRPr="003639A6" w:rsidRDefault="00172C1C" w:rsidP="00A0461D">
            <w:pPr>
              <w:pStyle w:val="TableText0"/>
              <w:jc w:val="center"/>
            </w:pPr>
            <w:r w:rsidRPr="004C54EE">
              <w:rPr>
                <w:szCs w:val="20"/>
              </w:rPr>
              <w:t>$</w:t>
            </w:r>
            <w:r w:rsidR="000A25B4" w:rsidRPr="000A25B4">
              <w:rPr>
                <w:rFonts w:hint="eastAsia"/>
                <w:color w:val="000000"/>
                <w:w w:val="15"/>
                <w:szCs w:val="20"/>
                <w:shd w:val="solid" w:color="000000" w:fill="000000"/>
                <w:fitText w:val="63" w:id="-1435755504"/>
                <w14:textFill>
                  <w14:solidFill>
                    <w14:srgbClr w14:val="000000">
                      <w14:alpha w14:val="100000"/>
                    </w14:srgbClr>
                  </w14:solidFill>
                </w14:textFill>
              </w:rPr>
              <w:t xml:space="preserve">　</w:t>
            </w:r>
            <w:r w:rsidR="000A25B4" w:rsidRPr="000A25B4">
              <w:rPr>
                <w:color w:val="000000"/>
                <w:w w:val="15"/>
                <w:szCs w:val="20"/>
                <w:shd w:val="solid" w:color="000000" w:fill="000000"/>
                <w:fitText w:val="63" w:id="-1435755504"/>
                <w14:textFill>
                  <w14:solidFill>
                    <w14:srgbClr w14:val="000000">
                      <w14:alpha w14:val="100000"/>
                    </w14:srgbClr>
                  </w14:solidFill>
                </w14:textFill>
              </w:rPr>
              <w:t>|</w:t>
            </w:r>
            <w:r w:rsidR="000A25B4" w:rsidRPr="000A25B4">
              <w:rPr>
                <w:rFonts w:hint="eastAsia"/>
                <w:color w:val="000000"/>
                <w:spacing w:val="-2"/>
                <w:w w:val="15"/>
                <w:szCs w:val="20"/>
                <w:shd w:val="solid" w:color="000000" w:fill="000000"/>
                <w:fitText w:val="63" w:id="-1435755504"/>
                <w14:textFill>
                  <w14:solidFill>
                    <w14:srgbClr w14:val="000000">
                      <w14:alpha w14:val="100000"/>
                    </w14:srgbClr>
                  </w14:solidFill>
                </w14:textFill>
              </w:rPr>
              <w:t xml:space="preserve">　</w:t>
            </w:r>
            <w:r w:rsidR="009D16FB">
              <w:rPr>
                <w:szCs w:val="20"/>
                <w:vertAlign w:val="superscript"/>
              </w:rPr>
              <w:t>4</w:t>
            </w:r>
          </w:p>
        </w:tc>
      </w:tr>
      <w:tr w:rsidR="00172C1C" w:rsidRPr="003639A6" w14:paraId="154A1988" w14:textId="77777777" w:rsidTr="00A0461D">
        <w:tc>
          <w:tcPr>
            <w:tcW w:w="1116" w:type="pct"/>
            <w:shd w:val="clear" w:color="auto" w:fill="auto"/>
            <w:vAlign w:val="center"/>
          </w:tcPr>
          <w:p w14:paraId="4DDCE1E9" w14:textId="77777777" w:rsidR="00172C1C" w:rsidRPr="003639A6" w:rsidRDefault="00172C1C" w:rsidP="00A0461D">
            <w:pPr>
              <w:pStyle w:val="TableText0"/>
              <w:rPr>
                <w:sz w:val="19"/>
                <w:szCs w:val="19"/>
              </w:rPr>
            </w:pPr>
            <w:r>
              <w:rPr>
                <w:sz w:val="19"/>
                <w:szCs w:val="19"/>
              </w:rPr>
              <w:t>Net cost to PBS/RPBS/MBS</w:t>
            </w:r>
          </w:p>
        </w:tc>
        <w:tc>
          <w:tcPr>
            <w:tcW w:w="647" w:type="pct"/>
            <w:shd w:val="clear" w:color="auto" w:fill="auto"/>
            <w:vAlign w:val="center"/>
          </w:tcPr>
          <w:p w14:paraId="2DD396EA" w14:textId="09022C84"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7"/>
                <w:szCs w:val="20"/>
                <w:shd w:val="solid" w:color="000000" w:fill="000000"/>
                <w:fitText w:val="125" w:id="-1435755520"/>
                <w14:textFill>
                  <w14:solidFill>
                    <w14:srgbClr w14:val="000000">
                      <w14:alpha w14:val="100000"/>
                    </w14:srgbClr>
                  </w14:solidFill>
                </w14:textFill>
              </w:rPr>
              <w:t xml:space="preserve">　</w:t>
            </w:r>
            <w:r w:rsidR="000A25B4" w:rsidRPr="000A25B4">
              <w:rPr>
                <w:b/>
                <w:bCs w:val="0"/>
                <w:color w:val="000000"/>
                <w:w w:val="27"/>
                <w:szCs w:val="20"/>
                <w:shd w:val="solid" w:color="000000" w:fill="000000"/>
                <w:fitText w:val="125" w:id="-1435755520"/>
                <w14:textFill>
                  <w14:solidFill>
                    <w14:srgbClr w14:val="000000">
                      <w14:alpha w14:val="100000"/>
                    </w14:srgbClr>
                  </w14:solidFill>
                </w14:textFill>
              </w:rPr>
              <w:t>|</w:t>
            </w:r>
            <w:r w:rsidR="000A25B4" w:rsidRPr="000A25B4">
              <w:rPr>
                <w:rFonts w:hint="eastAsia"/>
                <w:b/>
                <w:bCs w:val="0"/>
                <w:color w:val="000000"/>
                <w:spacing w:val="6"/>
                <w:w w:val="27"/>
                <w:szCs w:val="20"/>
                <w:shd w:val="solid" w:color="000000" w:fill="000000"/>
                <w:fitText w:val="125" w:id="-1435755520"/>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29515EBC" w14:textId="491540F9"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7"/>
                <w:szCs w:val="20"/>
                <w:shd w:val="solid" w:color="000000" w:fill="000000"/>
                <w:fitText w:val="125" w:id="-1435755519"/>
                <w14:textFill>
                  <w14:solidFill>
                    <w14:srgbClr w14:val="000000">
                      <w14:alpha w14:val="100000"/>
                    </w14:srgbClr>
                  </w14:solidFill>
                </w14:textFill>
              </w:rPr>
              <w:t xml:space="preserve">　</w:t>
            </w:r>
            <w:r w:rsidR="000A25B4" w:rsidRPr="000A25B4">
              <w:rPr>
                <w:b/>
                <w:bCs w:val="0"/>
                <w:color w:val="000000"/>
                <w:w w:val="27"/>
                <w:szCs w:val="20"/>
                <w:shd w:val="solid" w:color="000000" w:fill="000000"/>
                <w:fitText w:val="125" w:id="-1435755519"/>
                <w14:textFill>
                  <w14:solidFill>
                    <w14:srgbClr w14:val="000000">
                      <w14:alpha w14:val="100000"/>
                    </w14:srgbClr>
                  </w14:solidFill>
                </w14:textFill>
              </w:rPr>
              <w:t>|</w:t>
            </w:r>
            <w:r w:rsidR="000A25B4" w:rsidRPr="000A25B4">
              <w:rPr>
                <w:rFonts w:hint="eastAsia"/>
                <w:b/>
                <w:bCs w:val="0"/>
                <w:color w:val="000000"/>
                <w:spacing w:val="6"/>
                <w:w w:val="27"/>
                <w:szCs w:val="20"/>
                <w:shd w:val="solid" w:color="000000" w:fill="000000"/>
                <w:fitText w:val="125" w:id="-1435755519"/>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31AC0FF7" w14:textId="3990D7EB"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8"/>
                <w:szCs w:val="20"/>
                <w:shd w:val="solid" w:color="000000" w:fill="000000"/>
                <w:fitText w:val="126" w:id="-1435755518"/>
                <w14:textFill>
                  <w14:solidFill>
                    <w14:srgbClr w14:val="000000">
                      <w14:alpha w14:val="100000"/>
                    </w14:srgbClr>
                  </w14:solidFill>
                </w14:textFill>
              </w:rPr>
              <w:t xml:space="preserve">　</w:t>
            </w:r>
            <w:r w:rsidR="000A25B4" w:rsidRPr="000A25B4">
              <w:rPr>
                <w:b/>
                <w:bCs w:val="0"/>
                <w:color w:val="000000"/>
                <w:w w:val="28"/>
                <w:szCs w:val="20"/>
                <w:shd w:val="solid" w:color="000000" w:fill="000000"/>
                <w:fitText w:val="126" w:id="-1435755518"/>
                <w14:textFill>
                  <w14:solidFill>
                    <w14:srgbClr w14:val="000000">
                      <w14:alpha w14:val="100000"/>
                    </w14:srgbClr>
                  </w14:solidFill>
                </w14:textFill>
              </w:rPr>
              <w:t>|</w:t>
            </w:r>
            <w:r w:rsidR="000A25B4" w:rsidRPr="000A25B4">
              <w:rPr>
                <w:rFonts w:hint="eastAsia"/>
                <w:b/>
                <w:bCs w:val="0"/>
                <w:color w:val="000000"/>
                <w:spacing w:val="3"/>
                <w:w w:val="28"/>
                <w:szCs w:val="20"/>
                <w:shd w:val="solid" w:color="000000" w:fill="000000"/>
                <w:fitText w:val="126" w:id="-1435755518"/>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30ED3D04" w14:textId="4B9853CC"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7"/>
                <w:szCs w:val="20"/>
                <w:shd w:val="solid" w:color="000000" w:fill="000000"/>
                <w:fitText w:val="125" w:id="-1435755517"/>
                <w14:textFill>
                  <w14:solidFill>
                    <w14:srgbClr w14:val="000000">
                      <w14:alpha w14:val="100000"/>
                    </w14:srgbClr>
                  </w14:solidFill>
                </w14:textFill>
              </w:rPr>
              <w:t xml:space="preserve">　</w:t>
            </w:r>
            <w:r w:rsidR="000A25B4" w:rsidRPr="000A25B4">
              <w:rPr>
                <w:b/>
                <w:bCs w:val="0"/>
                <w:color w:val="000000"/>
                <w:w w:val="27"/>
                <w:szCs w:val="20"/>
                <w:shd w:val="solid" w:color="000000" w:fill="000000"/>
                <w:fitText w:val="125" w:id="-1435755517"/>
                <w14:textFill>
                  <w14:solidFill>
                    <w14:srgbClr w14:val="000000">
                      <w14:alpha w14:val="100000"/>
                    </w14:srgbClr>
                  </w14:solidFill>
                </w14:textFill>
              </w:rPr>
              <w:t>|</w:t>
            </w:r>
            <w:r w:rsidR="000A25B4" w:rsidRPr="000A25B4">
              <w:rPr>
                <w:rFonts w:hint="eastAsia"/>
                <w:b/>
                <w:bCs w:val="0"/>
                <w:color w:val="000000"/>
                <w:spacing w:val="6"/>
                <w:w w:val="27"/>
                <w:szCs w:val="20"/>
                <w:shd w:val="solid" w:color="000000" w:fill="000000"/>
                <w:fitText w:val="125" w:id="-1435755517"/>
                <w14:textFill>
                  <w14:solidFill>
                    <w14:srgbClr w14:val="000000">
                      <w14:alpha w14:val="100000"/>
                    </w14:srgbClr>
                  </w14:solidFill>
                </w14:textFill>
              </w:rPr>
              <w:t xml:space="preserve">　</w:t>
            </w:r>
            <w:r w:rsidR="009D16FB">
              <w:rPr>
                <w:szCs w:val="20"/>
                <w:vertAlign w:val="superscript"/>
              </w:rPr>
              <w:t>3</w:t>
            </w:r>
          </w:p>
        </w:tc>
        <w:tc>
          <w:tcPr>
            <w:tcW w:w="647" w:type="pct"/>
            <w:shd w:val="clear" w:color="auto" w:fill="auto"/>
            <w:vAlign w:val="center"/>
          </w:tcPr>
          <w:p w14:paraId="184A8478" w14:textId="0D6DB36D"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8"/>
                <w:szCs w:val="20"/>
                <w:shd w:val="solid" w:color="000000" w:fill="000000"/>
                <w:fitText w:val="126" w:id="-1435755516"/>
                <w14:textFill>
                  <w14:solidFill>
                    <w14:srgbClr w14:val="000000">
                      <w14:alpha w14:val="100000"/>
                    </w14:srgbClr>
                  </w14:solidFill>
                </w14:textFill>
              </w:rPr>
              <w:t xml:space="preserve">　</w:t>
            </w:r>
            <w:r w:rsidR="000A25B4" w:rsidRPr="000A25B4">
              <w:rPr>
                <w:b/>
                <w:bCs w:val="0"/>
                <w:color w:val="000000"/>
                <w:w w:val="28"/>
                <w:szCs w:val="20"/>
                <w:shd w:val="solid" w:color="000000" w:fill="000000"/>
                <w:fitText w:val="126" w:id="-1435755516"/>
                <w14:textFill>
                  <w14:solidFill>
                    <w14:srgbClr w14:val="000000">
                      <w14:alpha w14:val="100000"/>
                    </w14:srgbClr>
                  </w14:solidFill>
                </w14:textFill>
              </w:rPr>
              <w:t>|</w:t>
            </w:r>
            <w:r w:rsidR="000A25B4" w:rsidRPr="000A25B4">
              <w:rPr>
                <w:rFonts w:hint="eastAsia"/>
                <w:b/>
                <w:bCs w:val="0"/>
                <w:color w:val="000000"/>
                <w:spacing w:val="3"/>
                <w:w w:val="28"/>
                <w:szCs w:val="20"/>
                <w:shd w:val="solid" w:color="000000" w:fill="000000"/>
                <w:fitText w:val="126" w:id="-1435755516"/>
                <w14:textFill>
                  <w14:solidFill>
                    <w14:srgbClr w14:val="000000">
                      <w14:alpha w14:val="100000"/>
                    </w14:srgbClr>
                  </w14:solidFill>
                </w14:textFill>
              </w:rPr>
              <w:t xml:space="preserve">　</w:t>
            </w:r>
            <w:r w:rsidR="009D16FB">
              <w:rPr>
                <w:szCs w:val="20"/>
                <w:vertAlign w:val="superscript"/>
              </w:rPr>
              <w:t>3</w:t>
            </w:r>
          </w:p>
        </w:tc>
        <w:tc>
          <w:tcPr>
            <w:tcW w:w="649" w:type="pct"/>
            <w:vAlign w:val="center"/>
          </w:tcPr>
          <w:p w14:paraId="7DC8A40A" w14:textId="20D3171D" w:rsidR="00172C1C" w:rsidRPr="000F4095" w:rsidRDefault="00172C1C" w:rsidP="00A0461D">
            <w:pPr>
              <w:pStyle w:val="TableText0"/>
              <w:jc w:val="center"/>
              <w:rPr>
                <w:b/>
                <w:bCs w:val="0"/>
              </w:rPr>
            </w:pPr>
            <w:r w:rsidRPr="000F4095">
              <w:rPr>
                <w:b/>
                <w:bCs w:val="0"/>
                <w:szCs w:val="20"/>
              </w:rPr>
              <w:t>$</w:t>
            </w:r>
            <w:r w:rsidR="000A25B4" w:rsidRPr="000A25B4">
              <w:rPr>
                <w:rFonts w:hint="eastAsia"/>
                <w:b/>
                <w:bCs w:val="0"/>
                <w:color w:val="000000"/>
                <w:w w:val="25"/>
                <w:szCs w:val="20"/>
                <w:shd w:val="solid" w:color="000000" w:fill="000000"/>
                <w:fitText w:val="113" w:id="-1435755515"/>
                <w14:textFill>
                  <w14:solidFill>
                    <w14:srgbClr w14:val="000000">
                      <w14:alpha w14:val="100000"/>
                    </w14:srgbClr>
                  </w14:solidFill>
                </w14:textFill>
              </w:rPr>
              <w:t xml:space="preserve">　</w:t>
            </w:r>
            <w:r w:rsidR="000A25B4" w:rsidRPr="000A25B4">
              <w:rPr>
                <w:b/>
                <w:bCs w:val="0"/>
                <w:color w:val="000000"/>
                <w:w w:val="25"/>
                <w:szCs w:val="20"/>
                <w:shd w:val="solid" w:color="000000" w:fill="000000"/>
                <w:fitText w:val="113" w:id="-1435755515"/>
                <w14:textFill>
                  <w14:solidFill>
                    <w14:srgbClr w14:val="000000">
                      <w14:alpha w14:val="100000"/>
                    </w14:srgbClr>
                  </w14:solidFill>
                </w14:textFill>
              </w:rPr>
              <w:t>|</w:t>
            </w:r>
            <w:r w:rsidR="000A25B4" w:rsidRPr="000A25B4">
              <w:rPr>
                <w:rFonts w:hint="eastAsia"/>
                <w:b/>
                <w:bCs w:val="0"/>
                <w:color w:val="000000"/>
                <w:spacing w:val="2"/>
                <w:w w:val="25"/>
                <w:szCs w:val="20"/>
                <w:shd w:val="solid" w:color="000000" w:fill="000000"/>
                <w:fitText w:val="113" w:id="-1435755515"/>
                <w14:textFill>
                  <w14:solidFill>
                    <w14:srgbClr w14:val="000000">
                      <w14:alpha w14:val="100000"/>
                    </w14:srgbClr>
                  </w14:solidFill>
                </w14:textFill>
              </w:rPr>
              <w:t xml:space="preserve">　</w:t>
            </w:r>
            <w:r w:rsidR="009D16FB">
              <w:rPr>
                <w:szCs w:val="20"/>
                <w:vertAlign w:val="superscript"/>
              </w:rPr>
              <w:t>3</w:t>
            </w:r>
          </w:p>
        </w:tc>
      </w:tr>
    </w:tbl>
    <w:p w14:paraId="56C240A9" w14:textId="16C6FB5B" w:rsidR="00172C1C" w:rsidRDefault="00172C1C" w:rsidP="00172C1C">
      <w:pPr>
        <w:pStyle w:val="TableFigureFooter"/>
        <w:rPr>
          <w:rStyle w:val="CommentReference"/>
        </w:rPr>
      </w:pPr>
      <w:r>
        <w:t xml:space="preserve">Source: </w:t>
      </w:r>
      <w:r w:rsidR="00142EFE" w:rsidRPr="00142EFE">
        <w:t xml:space="preserve">Table 99, p201 to Table </w:t>
      </w:r>
      <w:proofErr w:type="gramStart"/>
      <w:r w:rsidR="00142EFE" w:rsidRPr="00142EFE">
        <w:t>107,p</w:t>
      </w:r>
      <w:proofErr w:type="gramEnd"/>
      <w:r w:rsidR="00142EFE" w:rsidRPr="00142EFE">
        <w:t xml:space="preserve"> 210 of the submission.</w:t>
      </w:r>
    </w:p>
    <w:p w14:paraId="75376D75" w14:textId="4AF0FE1A" w:rsidR="00172C1C" w:rsidRDefault="00172C1C" w:rsidP="00172C1C">
      <w:pPr>
        <w:pStyle w:val="TableFigureFooter"/>
      </w:pPr>
      <w:proofErr w:type="spellStart"/>
      <w:proofErr w:type="gramStart"/>
      <w:r w:rsidRPr="003639A6">
        <w:rPr>
          <w:vertAlign w:val="superscript"/>
        </w:rPr>
        <w:t>a</w:t>
      </w:r>
      <w:proofErr w:type="spellEnd"/>
      <w:proofErr w:type="gramEnd"/>
      <w:r>
        <w:t xml:space="preserve"> </w:t>
      </w:r>
      <w:r w:rsidRPr="003639A6">
        <w:t xml:space="preserve">Assuming </w:t>
      </w:r>
      <w:r>
        <w:t>7.07 infusions</w:t>
      </w:r>
      <w:r w:rsidRPr="003639A6">
        <w:t xml:space="preserve"> per year as estimated by the submission.</w:t>
      </w:r>
    </w:p>
    <w:p w14:paraId="6A6F0814" w14:textId="3210D610" w:rsidR="00172C1C" w:rsidRDefault="00172C1C" w:rsidP="009D16FB">
      <w:pPr>
        <w:pStyle w:val="TableFigureFooter"/>
        <w:spacing w:after="0"/>
      </w:pPr>
      <w:r>
        <w:rPr>
          <w:vertAlign w:val="superscript"/>
        </w:rPr>
        <w:t xml:space="preserve">b </w:t>
      </w:r>
      <w:r w:rsidRPr="003639A6">
        <w:t xml:space="preserve">Assuming </w:t>
      </w:r>
      <w:r>
        <w:t>5.23 infusions</w:t>
      </w:r>
      <w:r w:rsidRPr="003639A6">
        <w:t xml:space="preserve"> per year as estimated by the submission</w:t>
      </w:r>
    </w:p>
    <w:p w14:paraId="3D03D0CC" w14:textId="77777777" w:rsidR="009D16FB" w:rsidRPr="009A6D58" w:rsidRDefault="009D16FB" w:rsidP="009D16F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66DF833" w14:textId="611A32BB" w:rsidR="009D16FB" w:rsidRPr="009A6D58" w:rsidRDefault="009D16FB" w:rsidP="009D16F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 xml:space="preserve"> </w:t>
      </w:r>
      <w:r w:rsidRPr="009D16FB">
        <w:rPr>
          <w:rFonts w:ascii="Arial Narrow" w:hAnsi="Arial Narrow"/>
          <w:i/>
          <w:sz w:val="18"/>
          <w:szCs w:val="18"/>
        </w:rPr>
        <w:t>&lt; 500</w:t>
      </w:r>
      <w:r>
        <w:rPr>
          <w:rFonts w:ascii="Arial Narrow" w:hAnsi="Arial Narrow"/>
          <w:i/>
          <w:sz w:val="18"/>
          <w:szCs w:val="18"/>
        </w:rPr>
        <w:t xml:space="preserve"> </w:t>
      </w:r>
    </w:p>
    <w:p w14:paraId="53D7B16A" w14:textId="37A407AE" w:rsidR="009D16FB" w:rsidRPr="009A6D58" w:rsidRDefault="009D16FB" w:rsidP="009D16F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14BE1723" w14:textId="3FC8AE3E" w:rsidR="009D16FB" w:rsidRDefault="009D16FB" w:rsidP="009D16F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D16FB">
        <w:rPr>
          <w:rFonts w:ascii="Arial Narrow" w:hAnsi="Arial Narrow"/>
          <w:i/>
          <w:sz w:val="18"/>
          <w:szCs w:val="18"/>
        </w:rPr>
        <w:t>$20 million to &lt; $30 million</w:t>
      </w:r>
    </w:p>
    <w:p w14:paraId="4B8B608D" w14:textId="715F7B55" w:rsidR="009D16FB" w:rsidRDefault="009D16FB" w:rsidP="009D16F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D16FB">
        <w:rPr>
          <w:rFonts w:ascii="Arial Narrow" w:hAnsi="Arial Narrow"/>
          <w:i/>
          <w:sz w:val="18"/>
          <w:szCs w:val="18"/>
        </w:rPr>
        <w:t>0 to &lt; $10 million</w:t>
      </w:r>
    </w:p>
    <w:p w14:paraId="770B5C32" w14:textId="77777777" w:rsidR="009D16FB" w:rsidRPr="000F4095" w:rsidRDefault="009D16FB" w:rsidP="009D16FB">
      <w:pPr>
        <w:rPr>
          <w:vertAlign w:val="superscript"/>
        </w:rPr>
      </w:pPr>
    </w:p>
    <w:p w14:paraId="4095DABB" w14:textId="2BE8AE4C" w:rsidR="00172C1C" w:rsidRPr="000A798D" w:rsidRDefault="000B7014" w:rsidP="00172C1C">
      <w:pPr>
        <w:pStyle w:val="3-BodyText"/>
      </w:pPr>
      <w:r>
        <w:t xml:space="preserve">At year 6, the estimated number of patients </w:t>
      </w:r>
      <w:r w:rsidR="007B282A">
        <w:t xml:space="preserve">initiating treatment </w:t>
      </w:r>
      <w:r>
        <w:t xml:space="preserve">was </w:t>
      </w:r>
      <w:r w:rsidR="009D16FB">
        <w:t xml:space="preserve">&lt; 500 </w:t>
      </w:r>
      <w:r w:rsidR="00C45033">
        <w:t xml:space="preserve">and the net </w:t>
      </w:r>
      <w:r w:rsidR="00172C1C" w:rsidRPr="000902D9">
        <w:t xml:space="preserve">cost to the PBS/RPBS of listing </w:t>
      </w:r>
      <w:r w:rsidR="00172C1C">
        <w:t>nivolumab</w:t>
      </w:r>
      <w:r w:rsidR="00172C1C" w:rsidRPr="000902D9">
        <w:t xml:space="preserve"> was estimated </w:t>
      </w:r>
      <w:r w:rsidR="00172C1C">
        <w:t>to be</w:t>
      </w:r>
      <w:r w:rsidR="00172C1C" w:rsidRPr="000902D9">
        <w:t xml:space="preserve"> </w:t>
      </w:r>
      <w:r w:rsidR="00172C1C" w:rsidRPr="009D16FB">
        <w:t>$</w:t>
      </w:r>
      <w:r w:rsidR="009D16FB" w:rsidRPr="009D16FB">
        <w:t>20 million</w:t>
      </w:r>
      <w:r w:rsidR="009D16FB">
        <w:t xml:space="preserve"> </w:t>
      </w:r>
      <w:r w:rsidR="009D16FB" w:rsidRPr="009D16FB">
        <w:t>to</w:t>
      </w:r>
      <w:r w:rsidR="009D16FB">
        <w:t xml:space="preserve"> </w:t>
      </w:r>
      <w:r w:rsidR="009D16FB" w:rsidRPr="009D16FB">
        <w:t>&lt; $30 million</w:t>
      </w:r>
      <w:r w:rsidR="00172C1C">
        <w:t xml:space="preserve">, and </w:t>
      </w:r>
      <w:r w:rsidR="00172C1C" w:rsidRPr="000902D9">
        <w:t xml:space="preserve">a total of </w:t>
      </w:r>
      <w:r w:rsidR="00172C1C" w:rsidRPr="004C54EE">
        <w:t>$125.2</w:t>
      </w:r>
      <w:r w:rsidR="00172C1C">
        <w:t xml:space="preserve"> million</w:t>
      </w:r>
      <w:r w:rsidR="00172C1C" w:rsidRPr="004C54EE">
        <w:t xml:space="preserve"> </w:t>
      </w:r>
      <w:r w:rsidR="00172C1C" w:rsidRPr="000902D9">
        <w:t>in the first 6 years of listing</w:t>
      </w:r>
      <w:r w:rsidR="00172C1C" w:rsidRPr="00C7060A">
        <w:rPr>
          <w:color w:val="3366FF"/>
        </w:rPr>
        <w:t xml:space="preserve">. </w:t>
      </w:r>
    </w:p>
    <w:p w14:paraId="70458D1D" w14:textId="4131E451" w:rsidR="00A32E67" w:rsidRPr="00262AE4" w:rsidRDefault="00A32E67" w:rsidP="00A32E67">
      <w:pPr>
        <w:pStyle w:val="3-BodyText"/>
        <w:rPr>
          <w:bCs/>
          <w:color w:val="000000" w:themeColor="text1"/>
          <w:lang w:val="en-GB"/>
        </w:rPr>
      </w:pPr>
      <w:bookmarkStart w:id="70" w:name="_Ref106375030"/>
      <w:r w:rsidRPr="00262AE4">
        <w:rPr>
          <w:bCs/>
          <w:color w:val="000000" w:themeColor="text1"/>
        </w:rPr>
        <w:t xml:space="preserve">The </w:t>
      </w:r>
      <w:r w:rsidR="00EF49A8" w:rsidRPr="00262AE4">
        <w:rPr>
          <w:bCs/>
          <w:color w:val="000000" w:themeColor="text1"/>
        </w:rPr>
        <w:t xml:space="preserve">ESC noted that the </w:t>
      </w:r>
      <w:r w:rsidRPr="00262AE4">
        <w:rPr>
          <w:bCs/>
          <w:color w:val="000000" w:themeColor="text1"/>
        </w:rPr>
        <w:t xml:space="preserve">submission did not </w:t>
      </w:r>
      <w:r w:rsidR="00014EF9" w:rsidRPr="00262AE4">
        <w:rPr>
          <w:bCs/>
          <w:color w:val="000000" w:themeColor="text1"/>
        </w:rPr>
        <w:t xml:space="preserve">include </w:t>
      </w:r>
      <w:r w:rsidRPr="00262AE4">
        <w:rPr>
          <w:bCs/>
          <w:color w:val="000000" w:themeColor="text1"/>
        </w:rPr>
        <w:t>a prevalent population</w:t>
      </w:r>
      <w:r w:rsidR="00014EF9" w:rsidRPr="00262AE4">
        <w:rPr>
          <w:bCs/>
          <w:color w:val="000000" w:themeColor="text1"/>
        </w:rPr>
        <w:t xml:space="preserve"> of patients</w:t>
      </w:r>
      <w:r w:rsidRPr="00262AE4">
        <w:rPr>
          <w:bCs/>
          <w:color w:val="000000" w:themeColor="text1"/>
        </w:rPr>
        <w:t xml:space="preserve">. A prevalent population would be expected given the time interval from diagnosis to </w:t>
      </w:r>
      <w:proofErr w:type="spellStart"/>
      <w:r w:rsidRPr="00262AE4">
        <w:rPr>
          <w:bCs/>
          <w:color w:val="000000" w:themeColor="text1"/>
        </w:rPr>
        <w:t>nCRT</w:t>
      </w:r>
      <w:proofErr w:type="spellEnd"/>
      <w:r w:rsidRPr="00262AE4">
        <w:rPr>
          <w:bCs/>
          <w:color w:val="000000" w:themeColor="text1"/>
        </w:rPr>
        <w:t>/surgery/post</w:t>
      </w:r>
      <w:r w:rsidR="00EF49A8" w:rsidRPr="00262AE4">
        <w:rPr>
          <w:bCs/>
          <w:color w:val="000000" w:themeColor="text1"/>
        </w:rPr>
        <w:t>-</w:t>
      </w:r>
      <w:r w:rsidR="00014EF9" w:rsidRPr="00262AE4">
        <w:rPr>
          <w:bCs/>
          <w:color w:val="000000" w:themeColor="text1"/>
        </w:rPr>
        <w:t>surgery</w:t>
      </w:r>
      <w:r w:rsidRPr="00262AE4">
        <w:rPr>
          <w:bCs/>
          <w:color w:val="000000" w:themeColor="text1"/>
        </w:rPr>
        <w:t xml:space="preserve"> recovery prior to nivolumab commencement may be up 6 months</w:t>
      </w:r>
      <w:r w:rsidR="00EF49A8" w:rsidRPr="00262AE4">
        <w:rPr>
          <w:bCs/>
          <w:color w:val="000000" w:themeColor="text1"/>
        </w:rPr>
        <w:t>. Therefore,</w:t>
      </w:r>
      <w:r w:rsidRPr="00262AE4">
        <w:rPr>
          <w:bCs/>
          <w:color w:val="000000" w:themeColor="text1"/>
        </w:rPr>
        <w:t xml:space="preserve"> patients in this treatment phase at the time of nivolumab listing would be in addition to the incident population. </w:t>
      </w:r>
      <w:r w:rsidR="009324F0" w:rsidRPr="00262AE4">
        <w:rPr>
          <w:bCs/>
          <w:color w:val="000000" w:themeColor="text1"/>
        </w:rPr>
        <w:t xml:space="preserve">The ESC advised that it would be reasonable for approximately 40% of the incident patients projected in year 1 to be </w:t>
      </w:r>
      <w:r w:rsidR="009324F0" w:rsidRPr="00262AE4">
        <w:rPr>
          <w:bCs/>
          <w:color w:val="000000" w:themeColor="text1"/>
        </w:rPr>
        <w:lastRenderedPageBreak/>
        <w:t>used as an estimate for the prevalent population.</w:t>
      </w:r>
      <w:bookmarkEnd w:id="70"/>
      <w:r w:rsidR="008D04AA">
        <w:rPr>
          <w:bCs/>
          <w:color w:val="000000" w:themeColor="text1"/>
        </w:rPr>
        <w:t xml:space="preserve"> The sponsor agreed with the ESC that there may be additional patients during this treatment phase and provided revised financial estimates</w:t>
      </w:r>
      <w:r w:rsidR="003A1940" w:rsidRPr="003A1940">
        <w:rPr>
          <w:bCs/>
          <w:color w:val="000000" w:themeColor="text1"/>
        </w:rPr>
        <w:t xml:space="preserve"> </w:t>
      </w:r>
      <w:r w:rsidR="003A1940">
        <w:rPr>
          <w:bCs/>
          <w:color w:val="000000" w:themeColor="text1"/>
        </w:rPr>
        <w:t>(pre-PBAC response)</w:t>
      </w:r>
      <w:r w:rsidR="008D04AA">
        <w:rPr>
          <w:bCs/>
          <w:color w:val="000000" w:themeColor="text1"/>
        </w:rPr>
        <w:t>. The net cost to PBS</w:t>
      </w:r>
      <w:r w:rsidR="003A1940">
        <w:rPr>
          <w:bCs/>
          <w:color w:val="000000" w:themeColor="text1"/>
        </w:rPr>
        <w:t>/</w:t>
      </w:r>
      <w:r w:rsidR="008D04AA">
        <w:rPr>
          <w:bCs/>
          <w:color w:val="000000" w:themeColor="text1"/>
        </w:rPr>
        <w:t xml:space="preserve">RPBS (less </w:t>
      </w:r>
      <w:proofErr w:type="spellStart"/>
      <w:r w:rsidR="008D04AA">
        <w:rPr>
          <w:bCs/>
          <w:color w:val="000000" w:themeColor="text1"/>
        </w:rPr>
        <w:t>copayments</w:t>
      </w:r>
      <w:proofErr w:type="spellEnd"/>
      <w:r w:rsidR="008D04AA">
        <w:rPr>
          <w:bCs/>
          <w:color w:val="000000" w:themeColor="text1"/>
        </w:rPr>
        <w:t xml:space="preserve">) during the first year of listing </w:t>
      </w:r>
      <w:r w:rsidR="003A1940">
        <w:rPr>
          <w:bCs/>
          <w:color w:val="000000" w:themeColor="text1"/>
        </w:rPr>
        <w:t xml:space="preserve">was </w:t>
      </w:r>
      <w:r w:rsidR="008D04AA">
        <w:rPr>
          <w:bCs/>
          <w:color w:val="000000" w:themeColor="text1"/>
        </w:rPr>
        <w:t xml:space="preserve">revised from </w:t>
      </w:r>
      <w:r w:rsidR="009D16FB" w:rsidRPr="009D16FB">
        <w:t>$20 million</w:t>
      </w:r>
      <w:r w:rsidR="009D16FB">
        <w:t xml:space="preserve"> </w:t>
      </w:r>
      <w:r w:rsidR="009D16FB" w:rsidRPr="009D16FB">
        <w:t>to</w:t>
      </w:r>
      <w:r w:rsidR="009D16FB">
        <w:t xml:space="preserve"> </w:t>
      </w:r>
      <w:r w:rsidR="009D16FB" w:rsidRPr="009D16FB">
        <w:t>&lt; $30 million</w:t>
      </w:r>
      <w:r w:rsidR="009D16FB" w:rsidDel="009D16FB">
        <w:rPr>
          <w:bCs/>
          <w:color w:val="000000" w:themeColor="text1"/>
        </w:rPr>
        <w:t xml:space="preserve"> </w:t>
      </w:r>
      <w:r w:rsidR="008D04AA">
        <w:rPr>
          <w:bCs/>
          <w:color w:val="000000" w:themeColor="text1"/>
        </w:rPr>
        <w:t xml:space="preserve">to </w:t>
      </w:r>
      <w:r w:rsidR="009D16FB" w:rsidRPr="009D16FB">
        <w:t>$20 million</w:t>
      </w:r>
      <w:r w:rsidR="009D16FB">
        <w:t xml:space="preserve"> </w:t>
      </w:r>
      <w:r w:rsidR="009D16FB" w:rsidRPr="009D16FB">
        <w:t>to</w:t>
      </w:r>
      <w:r w:rsidR="009D16FB">
        <w:t xml:space="preserve"> </w:t>
      </w:r>
      <w:r w:rsidR="009D16FB" w:rsidRPr="009D16FB">
        <w:t>&lt; $30 million</w:t>
      </w:r>
      <w:r w:rsidR="008D04AA">
        <w:rPr>
          <w:bCs/>
          <w:color w:val="000000" w:themeColor="text1"/>
        </w:rPr>
        <w:t>.</w:t>
      </w:r>
    </w:p>
    <w:p w14:paraId="4FF50E40" w14:textId="07E1ABDF" w:rsidR="00172C1C" w:rsidRPr="000A798D" w:rsidRDefault="00172C1C" w:rsidP="00172C1C">
      <w:pPr>
        <w:pStyle w:val="3-BodyText"/>
        <w:rPr>
          <w:color w:val="000000" w:themeColor="text1"/>
        </w:rPr>
      </w:pPr>
      <w:r w:rsidRPr="00E7767C">
        <w:rPr>
          <w:iCs/>
          <w:color w:val="000000" w:themeColor="text1"/>
        </w:rPr>
        <w:t>Overall, the</w:t>
      </w:r>
      <w:r w:rsidR="00014EF9">
        <w:rPr>
          <w:iCs/>
          <w:color w:val="000000" w:themeColor="text1"/>
        </w:rPr>
        <w:t xml:space="preserve"> </w:t>
      </w:r>
      <w:r w:rsidR="00014EF9" w:rsidRPr="00262AE4">
        <w:rPr>
          <w:iCs/>
          <w:color w:val="000000" w:themeColor="text1"/>
        </w:rPr>
        <w:t>ESC considered the</w:t>
      </w:r>
      <w:r w:rsidRPr="00E7767C">
        <w:rPr>
          <w:iCs/>
          <w:color w:val="000000" w:themeColor="text1"/>
        </w:rPr>
        <w:t xml:space="preserve"> sources of the epidemiological approach seemed appropriate, and the approach generally reasonable. </w:t>
      </w:r>
    </w:p>
    <w:p w14:paraId="6D2B3E79" w14:textId="77777777" w:rsidR="00172C1C" w:rsidRPr="00C9624D" w:rsidRDefault="00172C1C" w:rsidP="00172C1C">
      <w:pPr>
        <w:pStyle w:val="4-SubsectionHeading"/>
      </w:pPr>
      <w:bookmarkStart w:id="71" w:name="_Toc22897648"/>
      <w:bookmarkStart w:id="72" w:name="_Toc103767696"/>
      <w:r w:rsidRPr="00C9624D">
        <w:t>Quality Use of Medicines</w:t>
      </w:r>
      <w:bookmarkEnd w:id="71"/>
      <w:bookmarkEnd w:id="72"/>
    </w:p>
    <w:p w14:paraId="2F088AF0" w14:textId="77777777" w:rsidR="00172C1C" w:rsidRPr="00C1672F" w:rsidRDefault="00172C1C" w:rsidP="00172C1C">
      <w:pPr>
        <w:pStyle w:val="3-BodyText"/>
      </w:pPr>
      <w:r w:rsidRPr="004C54EE">
        <w:t>The submission noted that immunotherapy may be associated with a risk of immune-related adverse reactions (</w:t>
      </w:r>
      <w:proofErr w:type="spellStart"/>
      <w:r w:rsidRPr="004C54EE">
        <w:t>irARs</w:t>
      </w:r>
      <w:proofErr w:type="spellEnd"/>
      <w:r w:rsidRPr="004C54EE">
        <w:t xml:space="preserve">), which may require a specific course of management. The submission described several initiatives to </w:t>
      </w:r>
      <w:r w:rsidRPr="00C1672F">
        <w:t xml:space="preserve">provide peer-to-peer education as well as established guidelines on the management of </w:t>
      </w:r>
      <w:proofErr w:type="spellStart"/>
      <w:r w:rsidRPr="00C1672F">
        <w:t>irARs</w:t>
      </w:r>
      <w:proofErr w:type="spellEnd"/>
      <w:r w:rsidRPr="00C1672F">
        <w:t>.</w:t>
      </w:r>
    </w:p>
    <w:p w14:paraId="75C6F113" w14:textId="77777777" w:rsidR="00172C1C" w:rsidRPr="00C1672F" w:rsidRDefault="00172C1C" w:rsidP="00172C1C">
      <w:pPr>
        <w:pStyle w:val="3-BodyText"/>
      </w:pPr>
      <w:r w:rsidRPr="00C1672F">
        <w:t xml:space="preserve">These initiatives include physician education, immune-oncology preceptorship for oncologists and oncology nurses, peer-to-peer support, nursing and pharmacy in-services, a risk management plan (RMP), additional educational materials for awareness and management of </w:t>
      </w:r>
      <w:proofErr w:type="spellStart"/>
      <w:r w:rsidRPr="00C1672F">
        <w:t>irARs</w:t>
      </w:r>
      <w:proofErr w:type="spellEnd"/>
      <w:r w:rsidRPr="00C1672F">
        <w:t xml:space="preserve">, educational materials and tools, as well as guidance on monitoring and treating immune related adverse reactions.  </w:t>
      </w:r>
    </w:p>
    <w:p w14:paraId="6C1B6893" w14:textId="77777777" w:rsidR="00172C1C" w:rsidRPr="00C9624D" w:rsidRDefault="00172C1C" w:rsidP="00172C1C">
      <w:pPr>
        <w:pStyle w:val="4-SubsectionHeading"/>
      </w:pPr>
      <w:bookmarkStart w:id="73" w:name="_Toc22897649"/>
      <w:bookmarkStart w:id="74" w:name="_Toc103767697"/>
      <w:r w:rsidRPr="00C9624D">
        <w:t>Financial Management – Risk Sharing Arrangements</w:t>
      </w:r>
      <w:bookmarkEnd w:id="73"/>
      <w:bookmarkEnd w:id="74"/>
    </w:p>
    <w:p w14:paraId="7287C736" w14:textId="573FDE22" w:rsidR="00172C1C" w:rsidRPr="00826E67" w:rsidRDefault="00172C1C" w:rsidP="00172C1C">
      <w:pPr>
        <w:pStyle w:val="ListParagraph"/>
        <w:numPr>
          <w:ilvl w:val="1"/>
          <w:numId w:val="1"/>
        </w:numPr>
      </w:pPr>
      <w:r w:rsidRPr="004C54EE">
        <w:t xml:space="preserve">The submission stated that the </w:t>
      </w:r>
      <w:r w:rsidR="00E32682">
        <w:t>s</w:t>
      </w:r>
      <w:r w:rsidRPr="004C54EE">
        <w:t>ponsor is willing to enter a risk-sharing arrangement (RSA) related to expenditure in this disease state, including the potential for subsidisation caps.</w:t>
      </w:r>
      <w:r w:rsidR="00415E26" w:rsidRPr="00415E26">
        <w:t xml:space="preserve"> </w:t>
      </w:r>
      <w:r w:rsidR="00415E26" w:rsidRPr="00262AE4">
        <w:t>The PSCR noted the positive recommendation of the broad listing resubmission encompassing OC, GOJC and GC is currently proceeding through the post-PBAC process to pursue PBS listing. The PSCR acknowledge</w:t>
      </w:r>
      <w:r w:rsidR="001B2BBC">
        <w:t>d</w:t>
      </w:r>
      <w:r w:rsidR="00415E26" w:rsidRPr="00262AE4">
        <w:t xml:space="preserve"> there is some overlap between patients who will be able to access nivolumab in the adjuvant treatment setting for OAC and GOJC based on this submission and those who would be eligible for treatment in the metastatic setting. The PSCR stated that given the potential for a cure if patients reach 5 years without recurrence it is anticipated that less patients would require treatment for advanced/metastatic disease.</w:t>
      </w:r>
    </w:p>
    <w:p w14:paraId="23CF770B" w14:textId="2A213264" w:rsidR="003008F9" w:rsidRPr="00467044" w:rsidRDefault="00467044" w:rsidP="00467044">
      <w:pPr>
        <w:pStyle w:val="3-BodyText"/>
        <w:numPr>
          <w:ilvl w:val="0"/>
          <w:numId w:val="0"/>
        </w:numPr>
        <w:ind w:firstLine="720"/>
        <w:rPr>
          <w:i/>
          <w:iCs/>
        </w:rPr>
      </w:pPr>
      <w:r w:rsidRPr="00467044">
        <w:rPr>
          <w:i/>
          <w:iCs/>
        </w:rPr>
        <w:t>For more detail on PBAC’s view, see section 7 PBAC outcome.</w:t>
      </w:r>
    </w:p>
    <w:p w14:paraId="1E98A107" w14:textId="77777777" w:rsidR="0054463B" w:rsidRPr="00C45033" w:rsidRDefault="0054463B" w:rsidP="00C45033">
      <w:pPr>
        <w:pStyle w:val="2-SectionHeading"/>
      </w:pPr>
      <w:r w:rsidRPr="0054463B">
        <w:t>PBAC Outcome</w:t>
      </w:r>
    </w:p>
    <w:p w14:paraId="32948F6E" w14:textId="308F7B57" w:rsidR="008D5225" w:rsidRPr="00406522" w:rsidRDefault="00C45033" w:rsidP="008D5225">
      <w:pPr>
        <w:pStyle w:val="3-BodyText"/>
      </w:pPr>
      <w:r w:rsidRPr="008D5225">
        <w:rPr>
          <w:lang w:val="en-GB"/>
        </w:rPr>
        <w:t>The PBAC did not recommend nivolumab</w:t>
      </w:r>
      <w:r w:rsidR="008D5225" w:rsidRPr="008D5225">
        <w:t xml:space="preserve"> </w:t>
      </w:r>
      <w:r w:rsidR="008D5225">
        <w:t xml:space="preserve">for the adjuvant treatment of patients with </w:t>
      </w:r>
      <w:r w:rsidR="00E50511">
        <w:t xml:space="preserve">oesophageal cancer (OC) </w:t>
      </w:r>
      <w:r w:rsidR="008D5225">
        <w:t xml:space="preserve">or </w:t>
      </w:r>
      <w:r w:rsidR="00E50511">
        <w:t>gastro-oesophageal junction cancer (</w:t>
      </w:r>
      <w:r w:rsidR="008D5225">
        <w:t>GOJC</w:t>
      </w:r>
      <w:r w:rsidR="00E50511">
        <w:t>)</w:t>
      </w:r>
      <w:r w:rsidR="008D5225">
        <w:t xml:space="preserve"> who have received platinum-based chemoradiotherapy and surgery.</w:t>
      </w:r>
      <w:r w:rsidR="00F31341">
        <w:t xml:space="preserve"> </w:t>
      </w:r>
      <w:r w:rsidR="008D5225">
        <w:t>The PBAC considered</w:t>
      </w:r>
      <w:r w:rsidR="008B713D">
        <w:t xml:space="preserve"> </w:t>
      </w:r>
      <w:r w:rsidR="008D5225">
        <w:t xml:space="preserve">nivolumab provided moderate clinical benefit over </w:t>
      </w:r>
      <w:r w:rsidR="002F5A1D">
        <w:t>‘</w:t>
      </w:r>
      <w:r w:rsidR="008D5225">
        <w:t>watch and wait</w:t>
      </w:r>
      <w:r w:rsidR="002F5A1D">
        <w:t>’</w:t>
      </w:r>
      <w:r w:rsidR="008D5225">
        <w:t xml:space="preserve"> surveillance</w:t>
      </w:r>
      <w:r w:rsidR="00C4354A">
        <w:t xml:space="preserve"> in terms of </w:t>
      </w:r>
      <w:proofErr w:type="gramStart"/>
      <w:r w:rsidR="00C4354A">
        <w:t>disease</w:t>
      </w:r>
      <w:r w:rsidR="00E8530E">
        <w:t xml:space="preserve"> </w:t>
      </w:r>
      <w:r w:rsidR="00C4354A">
        <w:t>free</w:t>
      </w:r>
      <w:proofErr w:type="gramEnd"/>
      <w:r w:rsidR="00C4354A">
        <w:t xml:space="preserve"> survival</w:t>
      </w:r>
      <w:r w:rsidR="008D5225">
        <w:t xml:space="preserve">, </w:t>
      </w:r>
      <w:r w:rsidR="002F5A1D" w:rsidRPr="00F31341">
        <w:t>however</w:t>
      </w:r>
      <w:r w:rsidR="008D5225" w:rsidRPr="00F31341">
        <w:t xml:space="preserve"> </w:t>
      </w:r>
      <w:r w:rsidR="00F31341">
        <w:t xml:space="preserve">it was uncertain if it provided an overall </w:t>
      </w:r>
      <w:r w:rsidR="008D5225" w:rsidRPr="00F31341">
        <w:t xml:space="preserve">survival benefit </w:t>
      </w:r>
      <w:r w:rsidR="00F31341">
        <w:t xml:space="preserve">as clinical data for this outcome was unavailable. </w:t>
      </w:r>
      <w:r w:rsidR="008B713D">
        <w:t xml:space="preserve">The PBAC considered the ICER presented in the submission was highly uncertain and likely to be substantially underestimated.  The PBAC considered the estimated number of patients </w:t>
      </w:r>
      <w:r w:rsidR="008B713D">
        <w:lastRenderedPageBreak/>
        <w:t xml:space="preserve">likely to be treated was </w:t>
      </w:r>
      <w:proofErr w:type="gramStart"/>
      <w:r w:rsidR="008B713D">
        <w:t>reasonable</w:t>
      </w:r>
      <w:proofErr w:type="gramEnd"/>
      <w:r w:rsidR="008B713D">
        <w:t xml:space="preserve"> but the financial estimates should account for reduced use of immunotherapy in the advanced/ metastatic treatment setting.  </w:t>
      </w:r>
    </w:p>
    <w:p w14:paraId="078CDF67" w14:textId="1E4EBA30" w:rsidR="00C45033" w:rsidRDefault="008D5225" w:rsidP="0054463B">
      <w:pPr>
        <w:pStyle w:val="3-BodyText"/>
        <w:rPr>
          <w:lang w:val="en-GB"/>
        </w:rPr>
      </w:pPr>
      <w:r w:rsidRPr="008D5225">
        <w:rPr>
          <w:lang w:val="en-GB"/>
        </w:rPr>
        <w:t xml:space="preserve">The PBAC noted the consumer comments </w:t>
      </w:r>
      <w:r w:rsidR="00F31341">
        <w:rPr>
          <w:lang w:val="en-GB"/>
        </w:rPr>
        <w:t xml:space="preserve">highlighted </w:t>
      </w:r>
      <w:proofErr w:type="gramStart"/>
      <w:r w:rsidR="00DF586C">
        <w:rPr>
          <w:lang w:val="en-GB"/>
        </w:rPr>
        <w:t>that patients</w:t>
      </w:r>
      <w:proofErr w:type="gramEnd"/>
      <w:r w:rsidRPr="008D5225">
        <w:rPr>
          <w:lang w:val="en-GB"/>
        </w:rPr>
        <w:t xml:space="preserve"> </w:t>
      </w:r>
      <w:r w:rsidR="00DF586C">
        <w:rPr>
          <w:lang w:val="en-GB"/>
        </w:rPr>
        <w:t>diagnosed with O</w:t>
      </w:r>
      <w:r w:rsidR="00235F82">
        <w:rPr>
          <w:lang w:val="en-GB"/>
        </w:rPr>
        <w:t>C</w:t>
      </w:r>
      <w:r w:rsidR="00DF586C">
        <w:rPr>
          <w:lang w:val="en-GB"/>
        </w:rPr>
        <w:t xml:space="preserve"> and GOJC have a</w:t>
      </w:r>
      <w:r w:rsidR="00343125">
        <w:rPr>
          <w:lang w:val="en-GB"/>
        </w:rPr>
        <w:t xml:space="preserve"> poor prognosis </w:t>
      </w:r>
      <w:r w:rsidR="00DF586C">
        <w:rPr>
          <w:lang w:val="en-GB"/>
        </w:rPr>
        <w:t>and</w:t>
      </w:r>
      <w:r w:rsidR="00343125">
        <w:rPr>
          <w:lang w:val="en-GB"/>
        </w:rPr>
        <w:t xml:space="preserve"> </w:t>
      </w:r>
      <w:r w:rsidR="009628DB">
        <w:rPr>
          <w:lang w:val="en-GB"/>
        </w:rPr>
        <w:t xml:space="preserve">a </w:t>
      </w:r>
      <w:r w:rsidR="00343125">
        <w:rPr>
          <w:lang w:val="en-GB"/>
        </w:rPr>
        <w:t>low</w:t>
      </w:r>
      <w:r w:rsidR="009628DB">
        <w:rPr>
          <w:lang w:val="en-GB"/>
        </w:rPr>
        <w:t xml:space="preserve"> probability of</w:t>
      </w:r>
      <w:r w:rsidR="00343125">
        <w:rPr>
          <w:lang w:val="en-GB"/>
        </w:rPr>
        <w:t xml:space="preserve"> 5-year </w:t>
      </w:r>
      <w:r w:rsidR="004F4DB7">
        <w:rPr>
          <w:lang w:val="en-GB"/>
        </w:rPr>
        <w:t>survival</w:t>
      </w:r>
      <w:r w:rsidR="00DF586C">
        <w:rPr>
          <w:lang w:val="en-GB"/>
        </w:rPr>
        <w:t xml:space="preserve"> due to limited efficacy of existing </w:t>
      </w:r>
      <w:r w:rsidR="009628DB">
        <w:rPr>
          <w:lang w:val="en-GB"/>
        </w:rPr>
        <w:t>therapies</w:t>
      </w:r>
      <w:r w:rsidR="004F4DB7">
        <w:rPr>
          <w:lang w:val="en-GB"/>
        </w:rPr>
        <w:t xml:space="preserve">. The PBAC noted that the comments emphasised </w:t>
      </w:r>
      <w:r w:rsidR="00F31341">
        <w:rPr>
          <w:lang w:val="en-GB"/>
        </w:rPr>
        <w:t>the</w:t>
      </w:r>
      <w:r w:rsidRPr="008D5225">
        <w:rPr>
          <w:lang w:val="en-GB"/>
        </w:rPr>
        <w:t xml:space="preserve"> </w:t>
      </w:r>
      <w:r w:rsidR="00347A71">
        <w:rPr>
          <w:lang w:val="en-GB"/>
        </w:rPr>
        <w:t>need for</w:t>
      </w:r>
      <w:r w:rsidRPr="008D5225">
        <w:rPr>
          <w:lang w:val="en-GB"/>
        </w:rPr>
        <w:t xml:space="preserve"> effective new </w:t>
      </w:r>
      <w:r w:rsidR="00347A71">
        <w:rPr>
          <w:lang w:val="en-GB"/>
        </w:rPr>
        <w:t xml:space="preserve">adjuvant </w:t>
      </w:r>
      <w:r w:rsidRPr="008D5225">
        <w:rPr>
          <w:lang w:val="en-GB"/>
        </w:rPr>
        <w:t xml:space="preserve">therapies </w:t>
      </w:r>
      <w:r w:rsidR="00347A71">
        <w:rPr>
          <w:lang w:val="en-GB"/>
        </w:rPr>
        <w:t xml:space="preserve">and the </w:t>
      </w:r>
      <w:proofErr w:type="gramStart"/>
      <w:r w:rsidR="00347A71">
        <w:rPr>
          <w:lang w:val="en-GB"/>
        </w:rPr>
        <w:t>quality of life</w:t>
      </w:r>
      <w:proofErr w:type="gramEnd"/>
      <w:r w:rsidR="00347A71">
        <w:rPr>
          <w:lang w:val="en-GB"/>
        </w:rPr>
        <w:t xml:space="preserve"> benefits gained by reducing the burden associated with cancer recurrence. </w:t>
      </w:r>
    </w:p>
    <w:p w14:paraId="7C353C63" w14:textId="718249B7" w:rsidR="008630AF" w:rsidRPr="008630AF" w:rsidRDefault="00F04AB2" w:rsidP="008630AF">
      <w:pPr>
        <w:pStyle w:val="3-BodyText"/>
        <w:rPr>
          <w:lang w:val="en-GB"/>
        </w:rPr>
      </w:pPr>
      <w:bookmarkStart w:id="75" w:name="_Ref109221126"/>
      <w:r>
        <w:t>The PBAC agreed with the s</w:t>
      </w:r>
      <w:r w:rsidRPr="00406522">
        <w:t xml:space="preserve">uggestions and additions </w:t>
      </w:r>
      <w:r>
        <w:t xml:space="preserve">to the restriction </w:t>
      </w:r>
      <w:r w:rsidRPr="00406522">
        <w:t>proposed by the Secretariat</w:t>
      </w:r>
      <w:r>
        <w:t>. The PBAC considered</w:t>
      </w:r>
      <w:r w:rsidR="007338FC">
        <w:t xml:space="preserve"> </w:t>
      </w:r>
      <w:r w:rsidR="00EC25EA" w:rsidRPr="00E7767C">
        <w:rPr>
          <w:iCs/>
          <w:color w:val="000000" w:themeColor="text1"/>
        </w:rPr>
        <w:t xml:space="preserve">a time restriction for treatment initiation post-surgical resection </w:t>
      </w:r>
      <w:r w:rsidR="00EC25EA">
        <w:rPr>
          <w:iCs/>
          <w:color w:val="000000" w:themeColor="text1"/>
        </w:rPr>
        <w:t>was</w:t>
      </w:r>
      <w:r w:rsidR="00EC25EA" w:rsidRPr="00E7767C">
        <w:rPr>
          <w:iCs/>
          <w:color w:val="000000" w:themeColor="text1"/>
        </w:rPr>
        <w:t xml:space="preserve"> appropriate for inclusion in the restriction</w:t>
      </w:r>
      <w:r w:rsidR="00EC25EA">
        <w:rPr>
          <w:iCs/>
          <w:color w:val="000000" w:themeColor="text1"/>
        </w:rPr>
        <w:t xml:space="preserve"> and considered it should align with the Checkmate 577 trial</w:t>
      </w:r>
      <w:r w:rsidR="0097205E">
        <w:rPr>
          <w:iCs/>
          <w:color w:val="000000" w:themeColor="text1"/>
        </w:rPr>
        <w:t xml:space="preserve"> (16 weeks)</w:t>
      </w:r>
      <w:r w:rsidR="00EC25EA">
        <w:rPr>
          <w:iCs/>
          <w:color w:val="000000" w:themeColor="text1"/>
        </w:rPr>
        <w:t xml:space="preserve">. The PBAC considered that the prescriber instruction for a </w:t>
      </w:r>
      <w:r w:rsidR="00EC25EA" w:rsidRPr="00E7767C">
        <w:rPr>
          <w:bCs/>
          <w:iCs/>
          <w:color w:val="000000" w:themeColor="text1"/>
        </w:rPr>
        <w:t>confirmatory scan</w:t>
      </w:r>
      <w:r w:rsidR="00EC25EA">
        <w:rPr>
          <w:bCs/>
          <w:iCs/>
          <w:color w:val="000000" w:themeColor="text1"/>
        </w:rPr>
        <w:t xml:space="preserve">, taken </w:t>
      </w:r>
      <w:r w:rsidR="009A0148">
        <w:rPr>
          <w:bCs/>
          <w:iCs/>
          <w:color w:val="000000" w:themeColor="text1"/>
        </w:rPr>
        <w:t>a</w:t>
      </w:r>
      <w:r w:rsidR="00EC25EA">
        <w:rPr>
          <w:bCs/>
          <w:iCs/>
          <w:color w:val="000000" w:themeColor="text1"/>
        </w:rPr>
        <w:t xml:space="preserve">t least 4 weeks after progression </w:t>
      </w:r>
      <w:r w:rsidR="008328F4">
        <w:rPr>
          <w:bCs/>
          <w:iCs/>
          <w:color w:val="000000" w:themeColor="text1"/>
        </w:rPr>
        <w:t xml:space="preserve">/ </w:t>
      </w:r>
      <w:r w:rsidR="00EC25EA">
        <w:rPr>
          <w:bCs/>
          <w:iCs/>
          <w:color w:val="000000" w:themeColor="text1"/>
        </w:rPr>
        <w:t>transient tumour flare</w:t>
      </w:r>
      <w:r w:rsidR="009A0148">
        <w:rPr>
          <w:bCs/>
          <w:iCs/>
          <w:color w:val="000000" w:themeColor="text1"/>
        </w:rPr>
        <w:t>,</w:t>
      </w:r>
      <w:r w:rsidR="00EC25EA">
        <w:rPr>
          <w:bCs/>
          <w:iCs/>
          <w:color w:val="000000" w:themeColor="text1"/>
        </w:rPr>
        <w:t xml:space="preserve"> was not relevant </w:t>
      </w:r>
      <w:r w:rsidR="009A0148">
        <w:rPr>
          <w:bCs/>
          <w:iCs/>
          <w:color w:val="000000" w:themeColor="text1"/>
        </w:rPr>
        <w:t>to</w:t>
      </w:r>
      <w:r w:rsidR="00EC25EA">
        <w:rPr>
          <w:bCs/>
          <w:iCs/>
          <w:color w:val="000000" w:themeColor="text1"/>
        </w:rPr>
        <w:t xml:space="preserve"> </w:t>
      </w:r>
      <w:r w:rsidR="00267758">
        <w:rPr>
          <w:bCs/>
          <w:iCs/>
          <w:color w:val="000000" w:themeColor="text1"/>
        </w:rPr>
        <w:t xml:space="preserve">a PBS listing in </w:t>
      </w:r>
      <w:r w:rsidR="00EC25EA">
        <w:rPr>
          <w:bCs/>
          <w:iCs/>
          <w:color w:val="000000" w:themeColor="text1"/>
        </w:rPr>
        <w:t xml:space="preserve">the adjuvant setting and advised it </w:t>
      </w:r>
      <w:r w:rsidR="00F31341">
        <w:rPr>
          <w:bCs/>
          <w:iCs/>
          <w:color w:val="000000" w:themeColor="text1"/>
        </w:rPr>
        <w:t xml:space="preserve">should be </w:t>
      </w:r>
      <w:r w:rsidR="00EC25EA">
        <w:rPr>
          <w:bCs/>
          <w:iCs/>
          <w:color w:val="000000" w:themeColor="text1"/>
        </w:rPr>
        <w:t>removed</w:t>
      </w:r>
      <w:r w:rsidR="0097205E">
        <w:rPr>
          <w:bCs/>
          <w:iCs/>
          <w:color w:val="000000" w:themeColor="text1"/>
        </w:rPr>
        <w:t xml:space="preserve"> from the restriction</w:t>
      </w:r>
      <w:r w:rsidR="00EC25EA">
        <w:rPr>
          <w:bCs/>
          <w:iCs/>
          <w:color w:val="000000" w:themeColor="text1"/>
        </w:rPr>
        <w:t>.</w:t>
      </w:r>
      <w:r w:rsidR="008328F4">
        <w:rPr>
          <w:bCs/>
          <w:iCs/>
          <w:color w:val="000000" w:themeColor="text1"/>
        </w:rPr>
        <w:t xml:space="preserve"> </w:t>
      </w:r>
      <w:bookmarkEnd w:id="75"/>
    </w:p>
    <w:p w14:paraId="7087B46D" w14:textId="461CDFC3" w:rsidR="008630AF" w:rsidRPr="008630AF" w:rsidRDefault="008630AF" w:rsidP="008630AF">
      <w:pPr>
        <w:pStyle w:val="3-BodyText"/>
        <w:rPr>
          <w:lang w:val="en-GB"/>
        </w:rPr>
      </w:pPr>
      <w:bookmarkStart w:id="76" w:name="_Ref109218393"/>
      <w:bookmarkStart w:id="77" w:name="_Ref110494306"/>
      <w:r>
        <w:rPr>
          <w:lang w:val="en-GB"/>
        </w:rPr>
        <w:t>The PBAC agreed with the ESC that</w:t>
      </w:r>
      <w:r w:rsidRPr="00925F8E">
        <w:t xml:space="preserve"> immunotherapy should be restricted to one course of treatment per lifetime </w:t>
      </w:r>
      <w:r w:rsidR="00C01651">
        <w:t xml:space="preserve">for OC and GOJC </w:t>
      </w:r>
      <w:r w:rsidR="001D6CDF">
        <w:t>given</w:t>
      </w:r>
      <w:r w:rsidRPr="00925F8E">
        <w:t xml:space="preserve"> there is </w:t>
      </w:r>
      <w:r w:rsidR="00A349F9">
        <w:t xml:space="preserve">currently no </w:t>
      </w:r>
      <w:r w:rsidRPr="00925F8E">
        <w:t>clinical and economic evidence available to support retreatment</w:t>
      </w:r>
      <w:r>
        <w:t xml:space="preserve"> and it advised an amendment to the </w:t>
      </w:r>
      <w:r w:rsidR="00B97506">
        <w:t>proposed</w:t>
      </w:r>
      <w:r>
        <w:t xml:space="preserve"> restriction</w:t>
      </w:r>
      <w:r w:rsidR="00C01651">
        <w:t xml:space="preserve"> would be required</w:t>
      </w:r>
      <w:r w:rsidR="00CE0818">
        <w:t xml:space="preserve">. </w:t>
      </w:r>
      <w:r w:rsidR="00F31341">
        <w:t xml:space="preserve">The PBAC noted the sponsor requested consideration be given to excluding retreatment only if recurrence occurs within 6 months of completing adjuvant treatment (see paragraph </w:t>
      </w:r>
      <w:r w:rsidR="00F31341">
        <w:fldChar w:fldCharType="begin"/>
      </w:r>
      <w:r w:rsidR="00F31341">
        <w:instrText xml:space="preserve"> REF _Ref109895659 \r \h </w:instrText>
      </w:r>
      <w:r w:rsidR="00F31341">
        <w:fldChar w:fldCharType="separate"/>
      </w:r>
      <w:r w:rsidR="00267758">
        <w:t>6.62</w:t>
      </w:r>
      <w:r w:rsidR="00F31341">
        <w:fldChar w:fldCharType="end"/>
      </w:r>
      <w:r w:rsidR="00F31341">
        <w:t>)</w:t>
      </w:r>
      <w:r w:rsidR="00E93FB8">
        <w:t xml:space="preserve"> consistent with the PBS listings for immunotherapy to treat melanoma</w:t>
      </w:r>
      <w:r w:rsidR="00F31341">
        <w:t xml:space="preserve">.  </w:t>
      </w:r>
      <w:r w:rsidR="00E93FB8">
        <w:t>However, the PBAC</w:t>
      </w:r>
      <w:r w:rsidR="0005770C">
        <w:t xml:space="preserve"> considered retreatment for patients with OC and GOJC </w:t>
      </w:r>
      <w:r w:rsidR="008F11B6">
        <w:t xml:space="preserve">in the metastatic setting </w:t>
      </w:r>
      <w:r w:rsidR="0005770C">
        <w:t xml:space="preserve">was not </w:t>
      </w:r>
      <w:r w:rsidR="008B713D">
        <w:t>justified</w:t>
      </w:r>
      <w:r w:rsidR="00695DB9">
        <w:t xml:space="preserve">, given lack of evidence of benefit for retreatment, and a range of other potentially effective </w:t>
      </w:r>
      <w:r w:rsidR="00885FB8">
        <w:t xml:space="preserve">PBS-reimbursed </w:t>
      </w:r>
      <w:r w:rsidR="00695DB9">
        <w:t>systemic therapies for this condition</w:t>
      </w:r>
      <w:r w:rsidR="0005770C">
        <w:t xml:space="preserve">. </w:t>
      </w:r>
      <w:bookmarkEnd w:id="76"/>
      <w:bookmarkEnd w:id="77"/>
    </w:p>
    <w:p w14:paraId="4D31A03D" w14:textId="50E48532" w:rsidR="00F04AB2" w:rsidRPr="000F07AE" w:rsidRDefault="00F04AB2" w:rsidP="0054463B">
      <w:pPr>
        <w:pStyle w:val="3-BodyText"/>
        <w:rPr>
          <w:lang w:val="en-GB"/>
        </w:rPr>
      </w:pPr>
      <w:r>
        <w:t xml:space="preserve">The PBAC considered the nominated comparator of </w:t>
      </w:r>
      <w:r w:rsidR="001D6CDF">
        <w:t>‘</w:t>
      </w:r>
      <w:r>
        <w:t>watch and wait</w:t>
      </w:r>
      <w:r w:rsidR="001D6CDF">
        <w:t>’</w:t>
      </w:r>
      <w:r>
        <w:t xml:space="preserve"> surveillance, as standard of care, was appropriate.</w:t>
      </w:r>
    </w:p>
    <w:p w14:paraId="131A2E59" w14:textId="2BD2A4DE" w:rsidR="00D03ECC" w:rsidRPr="00363BF5" w:rsidRDefault="00363BF5" w:rsidP="0054463B">
      <w:pPr>
        <w:pStyle w:val="3-BodyText"/>
        <w:rPr>
          <w:lang w:val="en-GB"/>
        </w:rPr>
      </w:pPr>
      <w:r w:rsidRPr="00363BF5">
        <w:rPr>
          <w:lang w:val="en-GB"/>
        </w:rPr>
        <w:t xml:space="preserve">The PBAC noted the </w:t>
      </w:r>
      <w:r>
        <w:rPr>
          <w:lang w:val="en-GB"/>
        </w:rPr>
        <w:t xml:space="preserve">submission was based on the Checkmate 577 study, a </w:t>
      </w:r>
      <w:r w:rsidRPr="00363BF5">
        <w:rPr>
          <w:lang w:val="en-GB"/>
        </w:rPr>
        <w:t xml:space="preserve">randomised, </w:t>
      </w:r>
      <w:proofErr w:type="gramStart"/>
      <w:r w:rsidRPr="00363BF5">
        <w:rPr>
          <w:lang w:val="en-GB"/>
        </w:rPr>
        <w:t>double</w:t>
      </w:r>
      <w:r w:rsidR="00E8530E">
        <w:rPr>
          <w:lang w:val="en-GB"/>
        </w:rPr>
        <w:t xml:space="preserve"> </w:t>
      </w:r>
      <w:r w:rsidRPr="00363BF5">
        <w:rPr>
          <w:lang w:val="en-GB"/>
        </w:rPr>
        <w:t>blind</w:t>
      </w:r>
      <w:proofErr w:type="gramEnd"/>
      <w:r w:rsidRPr="00363BF5">
        <w:rPr>
          <w:lang w:val="en-GB"/>
        </w:rPr>
        <w:t xml:space="preserve"> trial comparing nivolumab </w:t>
      </w:r>
      <w:r>
        <w:rPr>
          <w:lang w:val="en-GB"/>
        </w:rPr>
        <w:t xml:space="preserve">(n=532) </w:t>
      </w:r>
      <w:r w:rsidRPr="00363BF5">
        <w:rPr>
          <w:lang w:val="en-GB"/>
        </w:rPr>
        <w:t>and placebo (representing standard of care)</w:t>
      </w:r>
      <w:r>
        <w:rPr>
          <w:lang w:val="en-GB"/>
        </w:rPr>
        <w:t xml:space="preserve"> (n=262) in patients with </w:t>
      </w:r>
      <w:r w:rsidRPr="004C54EE">
        <w:t xml:space="preserve">resected </w:t>
      </w:r>
      <w:r>
        <w:t xml:space="preserve">OC </w:t>
      </w:r>
      <w:r w:rsidRPr="004C54EE">
        <w:t>or</w:t>
      </w:r>
      <w:r>
        <w:t xml:space="preserve"> GOJC</w:t>
      </w:r>
      <w:r w:rsidRPr="004C54EE">
        <w:t xml:space="preserve"> following neoadjuvant chemoradiotherapy</w:t>
      </w:r>
      <w:r>
        <w:t xml:space="preserve">. The submission presented data from an interim analysis (data cut October 2020, median follow up 24 months) and an </w:t>
      </w:r>
      <w:r w:rsidRPr="00363BF5">
        <w:rPr>
          <w:i/>
          <w:iCs/>
        </w:rPr>
        <w:t>ad hoc</w:t>
      </w:r>
      <w:r>
        <w:t xml:space="preserve"> analysis (data cut February 2021, median follow up 32 months). The PBAC noted no OS data was presented in the submission for either analysis as the data has not yet been released to the sponsor. </w:t>
      </w:r>
    </w:p>
    <w:p w14:paraId="6925055C" w14:textId="0A148A60" w:rsidR="00820685" w:rsidRPr="00EC4E03" w:rsidRDefault="006E52B4" w:rsidP="00EC4E03">
      <w:pPr>
        <w:pStyle w:val="3-BodyText"/>
        <w:rPr>
          <w:lang w:val="en-GB"/>
        </w:rPr>
      </w:pPr>
      <w:r>
        <w:t>The PBAC was satisfied that nivolumab was superior to the nominated comparator in improving DFS</w:t>
      </w:r>
      <w:r w:rsidR="00636DD8">
        <w:t xml:space="preserve"> with a hazard ratio of 0.67 (95% CI: 0.55, 0.81)</w:t>
      </w:r>
      <w:r w:rsidR="009606C9">
        <w:t xml:space="preserve"> and a median </w:t>
      </w:r>
      <w:r w:rsidR="009606C9" w:rsidRPr="00EC4E03">
        <w:t>DFS of approximately 22 months compared to 10 months in the stand</w:t>
      </w:r>
      <w:r w:rsidR="00363BF5" w:rsidRPr="00EC4E03">
        <w:t>ard</w:t>
      </w:r>
      <w:r w:rsidR="009606C9" w:rsidRPr="00EC4E03">
        <w:t xml:space="preserve"> of care arm</w:t>
      </w:r>
      <w:r w:rsidRPr="00EC4E03">
        <w:t xml:space="preserve">. </w:t>
      </w:r>
      <w:r w:rsidR="00820685" w:rsidRPr="00EC4E03">
        <w:t xml:space="preserve">The PBAC noted 90% - 95% of the recurrence events observed in the clinical trial were metastatic </w:t>
      </w:r>
      <w:r w:rsidR="00EC4E03" w:rsidRPr="00EC4E03">
        <w:t>and the outcomes for patients with metastatic disease are generally poor.</w:t>
      </w:r>
      <w:r w:rsidR="00AC6270">
        <w:t xml:space="preserve"> </w:t>
      </w:r>
      <w:r w:rsidR="00EC4E03" w:rsidRPr="00EC4E03">
        <w:t xml:space="preserve"> </w:t>
      </w:r>
      <w:r w:rsidR="00820685" w:rsidRPr="00EC4E03">
        <w:t xml:space="preserve"> </w:t>
      </w:r>
    </w:p>
    <w:p w14:paraId="063120EC" w14:textId="7F023F26" w:rsidR="00BE280D" w:rsidRPr="00BE280D" w:rsidRDefault="00B8462A" w:rsidP="00BE280D">
      <w:pPr>
        <w:pStyle w:val="3-BodyText"/>
        <w:rPr>
          <w:lang w:val="en-GB"/>
        </w:rPr>
      </w:pPr>
      <w:r>
        <w:lastRenderedPageBreak/>
        <w:t>The</w:t>
      </w:r>
      <w:r w:rsidR="001F4597">
        <w:t xml:space="preserve"> PBAC considered that a claim of inferior safety was reasonable. The PBAC noted that there was an approximate 8% increase in grade 3 or 4 treatment related AEs associated with nivolumab compared with placebo in the </w:t>
      </w:r>
      <w:r w:rsidR="001F4597">
        <w:rPr>
          <w:iCs/>
          <w:color w:val="000000" w:themeColor="text1"/>
        </w:rPr>
        <w:t>Checkmate 577 trial. However</w:t>
      </w:r>
      <w:r w:rsidR="001F4597">
        <w:t xml:space="preserve">, the PBAC considered the overall safety associated with nivolumab treatment in the adjuvant setting </w:t>
      </w:r>
      <w:r w:rsidR="00C77293">
        <w:t>w</w:t>
      </w:r>
      <w:r w:rsidR="001F4597">
        <w:t>as acceptable.</w:t>
      </w:r>
    </w:p>
    <w:p w14:paraId="411E23AB" w14:textId="3884B114" w:rsidR="005836B5" w:rsidRDefault="00BE280D" w:rsidP="00A369CD">
      <w:pPr>
        <w:pStyle w:val="3-BodyText"/>
      </w:pPr>
      <w:bookmarkStart w:id="78" w:name="_Ref110509344"/>
      <w:r>
        <w:t xml:space="preserve">The PBAC </w:t>
      </w:r>
      <w:r w:rsidR="00453588">
        <w:t xml:space="preserve">noted the base case </w:t>
      </w:r>
      <w:r>
        <w:t xml:space="preserve">ICER </w:t>
      </w:r>
      <w:r w:rsidR="00453588">
        <w:t xml:space="preserve">in the submission was </w:t>
      </w:r>
      <w:r w:rsidR="00A31B2C" w:rsidRPr="00A31B2C">
        <w:t>$35,000 to &lt; $45,000</w:t>
      </w:r>
      <w:r w:rsidR="00AC51AA">
        <w:t>/QALY</w:t>
      </w:r>
      <w:r>
        <w:t xml:space="preserve"> gained </w:t>
      </w:r>
      <w:r w:rsidR="00453588">
        <w:t>and considered this was</w:t>
      </w:r>
      <w:r w:rsidR="000E6EF2">
        <w:t xml:space="preserve"> </w:t>
      </w:r>
      <w:r w:rsidR="00565342">
        <w:t xml:space="preserve">likely to be </w:t>
      </w:r>
      <w:r w:rsidR="000E6EF2">
        <w:t xml:space="preserve">substantially underestimated. </w:t>
      </w:r>
      <w:r w:rsidR="00880D57">
        <w:t xml:space="preserve">The PBAC noted </w:t>
      </w:r>
      <w:r w:rsidR="00565342">
        <w:t xml:space="preserve">the economic model resulted in an average gain of 2.9 life years per patient treated with nivolumab </w:t>
      </w:r>
      <w:r w:rsidR="009E463B">
        <w:t xml:space="preserve">over the </w:t>
      </w:r>
      <w:proofErr w:type="gramStart"/>
      <w:r w:rsidR="009E463B">
        <w:t>25 year</w:t>
      </w:r>
      <w:proofErr w:type="gramEnd"/>
      <w:r w:rsidR="009E463B">
        <w:t xml:space="preserve"> time horizon of the model (see paragraph </w:t>
      </w:r>
      <w:r w:rsidR="009E463B">
        <w:fldChar w:fldCharType="begin"/>
      </w:r>
      <w:r w:rsidR="009E463B">
        <w:instrText xml:space="preserve"> REF _Ref109819461 \r \h </w:instrText>
      </w:r>
      <w:r w:rsidR="009E463B">
        <w:fldChar w:fldCharType="separate"/>
      </w:r>
      <w:r w:rsidR="00267758">
        <w:t>6.35</w:t>
      </w:r>
      <w:r w:rsidR="009E463B">
        <w:fldChar w:fldCharType="end"/>
      </w:r>
      <w:r w:rsidR="009E463B">
        <w:t xml:space="preserve">). </w:t>
      </w:r>
      <w:r w:rsidR="00565342">
        <w:t>The PBAC considered this was high</w:t>
      </w:r>
      <w:r w:rsidR="009E463B">
        <w:t>ly</w:t>
      </w:r>
      <w:r w:rsidR="00565342">
        <w:t xml:space="preserve"> </w:t>
      </w:r>
      <w:r w:rsidR="009E463B">
        <w:t xml:space="preserve">uncertain </w:t>
      </w:r>
      <w:r w:rsidR="00565342">
        <w:t xml:space="preserve">given </w:t>
      </w:r>
      <w:r w:rsidR="009E463B">
        <w:t xml:space="preserve">the model was based </w:t>
      </w:r>
      <w:r w:rsidR="00880D57">
        <w:t>on a surrogate outcome</w:t>
      </w:r>
      <w:r w:rsidR="009E463B">
        <w:t xml:space="preserve"> </w:t>
      </w:r>
      <w:r w:rsidR="00880D57">
        <w:t xml:space="preserve">from clinical trial </w:t>
      </w:r>
      <w:r w:rsidR="00563393">
        <w:t xml:space="preserve">data </w:t>
      </w:r>
      <w:r w:rsidR="00880D57">
        <w:t>with a relatively short median follow-up</w:t>
      </w:r>
      <w:r w:rsidR="005B1B94">
        <w:t xml:space="preserve"> and the </w:t>
      </w:r>
      <w:r w:rsidR="00696A6C">
        <w:t xml:space="preserve">economic model did not account for OS </w:t>
      </w:r>
      <w:r w:rsidR="00FF2E1C">
        <w:t>benefits gained from</w:t>
      </w:r>
      <w:r w:rsidR="00696A6C">
        <w:t xml:space="preserve"> immunotherapy </w:t>
      </w:r>
      <w:r w:rsidR="00FF2E1C">
        <w:t>that would be received</w:t>
      </w:r>
      <w:r w:rsidR="00696A6C">
        <w:t xml:space="preserve"> </w:t>
      </w:r>
      <w:r w:rsidR="00FF2E1C">
        <w:t>by patients in the</w:t>
      </w:r>
      <w:r w:rsidR="00696A6C">
        <w:t xml:space="preserve"> ‘watch and wait’ arm</w:t>
      </w:r>
      <w:r w:rsidR="00FF2E1C">
        <w:t xml:space="preserve"> post-recurrence</w:t>
      </w:r>
      <w:r w:rsidR="00696A6C">
        <w:t>.</w:t>
      </w:r>
      <w:bookmarkEnd w:id="78"/>
      <w:r w:rsidR="00540662">
        <w:t xml:space="preserve"> </w:t>
      </w:r>
    </w:p>
    <w:p w14:paraId="2AF99670" w14:textId="77777777" w:rsidR="00540662" w:rsidRDefault="00540662" w:rsidP="00540662">
      <w:pPr>
        <w:pStyle w:val="3-BodyText"/>
        <w:rPr>
          <w:lang w:val="en-GB"/>
        </w:rPr>
      </w:pPr>
      <w:bookmarkStart w:id="79" w:name="_Ref110590093"/>
      <w:r>
        <w:rPr>
          <w:lang w:val="en-GB"/>
        </w:rPr>
        <w:t>The PBAC noted the following issues with the economic model:</w:t>
      </w:r>
      <w:bookmarkEnd w:id="79"/>
    </w:p>
    <w:p w14:paraId="440CFFDC" w14:textId="762768DB" w:rsidR="00540662" w:rsidRPr="00716A10" w:rsidRDefault="00540662" w:rsidP="00540662">
      <w:pPr>
        <w:pStyle w:val="3-BodyText"/>
        <w:numPr>
          <w:ilvl w:val="0"/>
          <w:numId w:val="28"/>
        </w:numPr>
        <w:ind w:left="1134"/>
        <w:rPr>
          <w:lang w:val="en-GB"/>
        </w:rPr>
      </w:pPr>
      <w:r>
        <w:rPr>
          <w:lang w:val="en-GB"/>
        </w:rPr>
        <w:t>The time horizon of the base case in the economic model was 25 years. The PBAC</w:t>
      </w:r>
      <w:r w:rsidRPr="00716A10">
        <w:t xml:space="preserve"> </w:t>
      </w:r>
      <w:r>
        <w:t xml:space="preserve">agreed with the ESC </w:t>
      </w:r>
      <w:r w:rsidRPr="00925F8E">
        <w:t xml:space="preserve">that </w:t>
      </w:r>
      <w:r>
        <w:t xml:space="preserve">a </w:t>
      </w:r>
      <w:proofErr w:type="gramStart"/>
      <w:r w:rsidR="00211CA6">
        <w:t xml:space="preserve">15 to </w:t>
      </w:r>
      <w:r>
        <w:t>2</w:t>
      </w:r>
      <w:r w:rsidRPr="00925F8E">
        <w:t>0</w:t>
      </w:r>
      <w:r w:rsidR="008F11B6">
        <w:t xml:space="preserve"> </w:t>
      </w:r>
      <w:r w:rsidRPr="00925F8E">
        <w:t>year</w:t>
      </w:r>
      <w:proofErr w:type="gramEnd"/>
      <w:r w:rsidRPr="00925F8E">
        <w:t xml:space="preserve"> time horizon represent</w:t>
      </w:r>
      <w:r>
        <w:t>ed</w:t>
      </w:r>
      <w:r w:rsidRPr="00925F8E">
        <w:t xml:space="preserve"> </w:t>
      </w:r>
      <w:r>
        <w:t>a</w:t>
      </w:r>
      <w:r w:rsidRPr="00925F8E">
        <w:t xml:space="preserve"> </w:t>
      </w:r>
      <w:r>
        <w:t xml:space="preserve">more reasonable maximum </w:t>
      </w:r>
      <w:r w:rsidRPr="00925F8E">
        <w:t xml:space="preserve">life expectancy </w:t>
      </w:r>
      <w:r>
        <w:t>for</w:t>
      </w:r>
      <w:r w:rsidRPr="00925F8E">
        <w:t xml:space="preserve"> this patient population.</w:t>
      </w:r>
    </w:p>
    <w:p w14:paraId="6C1CE13B" w14:textId="3B2514E8" w:rsidR="00540662" w:rsidRDefault="00540662" w:rsidP="00540662">
      <w:pPr>
        <w:pStyle w:val="3-BodyText"/>
        <w:numPr>
          <w:ilvl w:val="0"/>
          <w:numId w:val="28"/>
        </w:numPr>
        <w:ind w:left="1134"/>
      </w:pPr>
      <w:r>
        <w:t xml:space="preserve">In addition to overestimating the cost of subsequent immunotherapy, the model did not allow use of immunotherapy in the metastatic setting in the standard care arm only to better reflect Australian clinical practice (see paragraph </w:t>
      </w:r>
      <w:r>
        <w:fldChar w:fldCharType="begin"/>
      </w:r>
      <w:r>
        <w:instrText xml:space="preserve"> REF _Ref110507279 \r \h </w:instrText>
      </w:r>
      <w:r>
        <w:fldChar w:fldCharType="separate"/>
      </w:r>
      <w:r w:rsidR="00267758">
        <w:t>6.48</w:t>
      </w:r>
      <w:r>
        <w:fldChar w:fldCharType="end"/>
      </w:r>
      <w:r>
        <w:t xml:space="preserve">).  </w:t>
      </w:r>
    </w:p>
    <w:p w14:paraId="69CDE559" w14:textId="7F01E427" w:rsidR="00540662" w:rsidRDefault="00540662" w:rsidP="00540662">
      <w:pPr>
        <w:pStyle w:val="3-BodyText"/>
        <w:numPr>
          <w:ilvl w:val="0"/>
          <w:numId w:val="28"/>
        </w:numPr>
        <w:ind w:left="1134"/>
      </w:pPr>
      <w:r>
        <w:t>The model lacked operability for modelling convergence of survival curves to test the sensitivity of assumptions regarding the modelled OS benefit (</w:t>
      </w:r>
      <w:r w:rsidR="00267758">
        <w:t xml:space="preserve">particularly </w:t>
      </w:r>
      <w:r>
        <w:t>in the context of no OS data being available).</w:t>
      </w:r>
    </w:p>
    <w:p w14:paraId="1BF8AF76" w14:textId="726E7B05" w:rsidR="00F65352" w:rsidRPr="00F65352" w:rsidRDefault="00FF2E1C" w:rsidP="004D5A55">
      <w:pPr>
        <w:pStyle w:val="3-BodyText"/>
      </w:pPr>
      <w:bookmarkStart w:id="80" w:name="_Ref110589582"/>
      <w:r>
        <w:t xml:space="preserve">The PBAC noted that, despite excluding the operability to model convergence, the evaluation was able to approximate convergence of the survival curves in the economic model by changing extrapolation functions and the time at which cure occurs (see paragraph </w:t>
      </w:r>
      <w:r>
        <w:fldChar w:fldCharType="begin"/>
      </w:r>
      <w:r>
        <w:instrText xml:space="preserve"> REF _Ref106782733 \r \h </w:instrText>
      </w:r>
      <w:r>
        <w:fldChar w:fldCharType="separate"/>
      </w:r>
      <w:r w:rsidR="00267758">
        <w:t>6.42</w:t>
      </w:r>
      <w:r>
        <w:fldChar w:fldCharType="end"/>
      </w:r>
      <w:r>
        <w:t xml:space="preserve">). The PBAC noted that this adjustment to the economic model did not specifically address the </w:t>
      </w:r>
      <w:r w:rsidR="00F65352">
        <w:t>issues regarding the time horizon and subsequent use of immunotherapy (as discussed in the paragraph above)</w:t>
      </w:r>
      <w:r w:rsidR="00B32B8A">
        <w:t xml:space="preserve"> </w:t>
      </w:r>
      <w:r>
        <w:t xml:space="preserve">but considered it provided a conservative basis to assess the cost effectiveness of nivolumab in this treatment setting. </w:t>
      </w:r>
      <w:r w:rsidR="00B32B8A" w:rsidRPr="00A51111">
        <w:t xml:space="preserve">The PBAC noted </w:t>
      </w:r>
      <w:r w:rsidR="00B32B8A">
        <w:t>that</w:t>
      </w:r>
      <w:r w:rsidR="005836B5">
        <w:t xml:space="preserve"> </w:t>
      </w:r>
      <w:r w:rsidR="00B32B8A" w:rsidRPr="00A51111">
        <w:t xml:space="preserve">the average life years gained per patient </w:t>
      </w:r>
      <w:r w:rsidR="00B32B8A">
        <w:t>with</w:t>
      </w:r>
      <w:r w:rsidR="00B32B8A" w:rsidRPr="00A51111">
        <w:t xml:space="preserve"> assumptions that approximate convergence was 0.614 and considered this </w:t>
      </w:r>
      <w:r w:rsidR="00B32B8A">
        <w:t xml:space="preserve">to be a less uncertain estimate of </w:t>
      </w:r>
      <w:r w:rsidR="004F5965">
        <w:t xml:space="preserve">the overall </w:t>
      </w:r>
      <w:r w:rsidR="00B32B8A">
        <w:t>survival gained by adjuvant nivolumab</w:t>
      </w:r>
      <w:r w:rsidR="00DE76D2">
        <w:t>, particularly</w:t>
      </w:r>
      <w:r w:rsidR="00B32B8A">
        <w:t xml:space="preserve"> in a</w:t>
      </w:r>
      <w:r w:rsidR="00B32B8A" w:rsidRPr="00A51111">
        <w:t xml:space="preserve"> scenario </w:t>
      </w:r>
      <w:r w:rsidR="00B32B8A">
        <w:t>where</w:t>
      </w:r>
      <w:r w:rsidR="00B32B8A" w:rsidRPr="00A51111">
        <w:t xml:space="preserve"> immunotherapy</w:t>
      </w:r>
      <w:r w:rsidR="00B32B8A">
        <w:t xml:space="preserve"> is restricted to once per lifetime in both arms of the model</w:t>
      </w:r>
      <w:r w:rsidR="00B32B8A" w:rsidRPr="00A51111">
        <w:t>.</w:t>
      </w:r>
      <w:r w:rsidR="00B32B8A">
        <w:t xml:space="preserve"> The PBAC noted that</w:t>
      </w:r>
      <w:r w:rsidR="004F5965">
        <w:t xml:space="preserve"> with this adjustment to the economic model</w:t>
      </w:r>
      <w:r w:rsidR="00B32B8A">
        <w:t xml:space="preserve"> </w:t>
      </w:r>
      <w:r w:rsidR="004F5965">
        <w:t xml:space="preserve">the </w:t>
      </w:r>
      <w:r w:rsidR="00B32B8A">
        <w:t xml:space="preserve">ICER was </w:t>
      </w:r>
      <w:r w:rsidR="005B1B94">
        <w:t xml:space="preserve">very </w:t>
      </w:r>
      <w:r w:rsidR="00B32B8A">
        <w:t>high (</w:t>
      </w:r>
      <w:r w:rsidR="00A31B2C" w:rsidRPr="00A31B2C">
        <w:t>$</w:t>
      </w:r>
      <w:r w:rsidR="00A31B2C">
        <w:t>9</w:t>
      </w:r>
      <w:r w:rsidR="00A31B2C" w:rsidRPr="00A31B2C">
        <w:t>5,000 to &lt; $</w:t>
      </w:r>
      <w:r w:rsidR="00A31B2C">
        <w:t>11</w:t>
      </w:r>
      <w:r w:rsidR="00A31B2C" w:rsidRPr="00A31B2C">
        <w:t>5,000</w:t>
      </w:r>
      <w:r w:rsidR="00B32B8A">
        <w:t xml:space="preserve">/QALY gained). It </w:t>
      </w:r>
      <w:r w:rsidR="00B32B8A" w:rsidRPr="00A31B2C">
        <w:rPr>
          <w:color w:val="000000"/>
          <w:szCs w:val="20"/>
          <w:lang w:val="en-US"/>
        </w:rPr>
        <w:t>considered that a reasonable ICER for adjuvant OC or GOJC therapy would be less than $30,000 per QALY.</w:t>
      </w:r>
      <w:bookmarkEnd w:id="80"/>
    </w:p>
    <w:p w14:paraId="6E0A3C48" w14:textId="4A0C539E" w:rsidR="00BE2005" w:rsidRDefault="00783618" w:rsidP="001B2BBC">
      <w:pPr>
        <w:pStyle w:val="3-BodyText"/>
      </w:pPr>
      <w:r>
        <w:t xml:space="preserve">The PBAC considered </w:t>
      </w:r>
      <w:r w:rsidR="006B3821">
        <w:t xml:space="preserve">the estimated number of patients likely to be treated with nivolumab in </w:t>
      </w:r>
      <w:r w:rsidR="006B3821">
        <w:fldChar w:fldCharType="begin"/>
      </w:r>
      <w:r w:rsidR="006B3821">
        <w:instrText xml:space="preserve"> REF _Ref100837117 \h  \* MERGEFORMAT </w:instrText>
      </w:r>
      <w:r w:rsidR="006B3821">
        <w:fldChar w:fldCharType="separate"/>
      </w:r>
      <w:r w:rsidR="00267758" w:rsidRPr="00267758">
        <w:t>Table 15</w:t>
      </w:r>
      <w:r w:rsidR="006B3821">
        <w:fldChar w:fldCharType="end"/>
      </w:r>
      <w:r w:rsidR="006B3821">
        <w:t xml:space="preserve"> was reasonable</w:t>
      </w:r>
      <w:r w:rsidR="00BE2005">
        <w:t xml:space="preserve"> and</w:t>
      </w:r>
      <w:r w:rsidR="006B3821">
        <w:t xml:space="preserve"> </w:t>
      </w:r>
      <w:r>
        <w:t>the addition of a</w:t>
      </w:r>
      <w:r w:rsidR="00476145">
        <w:t xml:space="preserve"> prevalent</w:t>
      </w:r>
      <w:r>
        <w:t xml:space="preserve"> patient </w:t>
      </w:r>
      <w:r>
        <w:lastRenderedPageBreak/>
        <w:t xml:space="preserve">population </w:t>
      </w:r>
      <w:r w:rsidR="006B3821">
        <w:t>as proposed in the sponsor’s pre-PBAC response</w:t>
      </w:r>
      <w:r w:rsidR="00BE2005">
        <w:t xml:space="preserve"> was appropriate</w:t>
      </w:r>
      <w:r w:rsidR="006B3821">
        <w:t xml:space="preserve">. </w:t>
      </w:r>
      <w:r>
        <w:t xml:space="preserve">The PBAC noted that the financial estimates did not account for a reduction in use of immunotherapy in the </w:t>
      </w:r>
      <w:r w:rsidR="005056DB">
        <w:t xml:space="preserve">advanced/ </w:t>
      </w:r>
      <w:r>
        <w:t>metastatic setting</w:t>
      </w:r>
      <w:r w:rsidR="006F644A">
        <w:t>.</w:t>
      </w:r>
    </w:p>
    <w:p w14:paraId="64072AE3" w14:textId="34F8894C" w:rsidR="006F644A" w:rsidRDefault="006F644A" w:rsidP="006F644A">
      <w:pPr>
        <w:pStyle w:val="3-BodyText"/>
      </w:pPr>
      <w:bookmarkStart w:id="81" w:name="_Ref109825038"/>
      <w:r w:rsidRPr="0084495F">
        <w:t xml:space="preserve">The </w:t>
      </w:r>
      <w:r>
        <w:t xml:space="preserve">PBAC noted that the sponsor </w:t>
      </w:r>
      <w:r w:rsidR="00766558">
        <w:t>stated in the submission that it was</w:t>
      </w:r>
      <w:r w:rsidR="00766558" w:rsidRPr="004C54EE">
        <w:t xml:space="preserve"> willing to enter a</w:t>
      </w:r>
      <w:r w:rsidR="00766558">
        <w:t>n</w:t>
      </w:r>
      <w:r w:rsidR="00766558" w:rsidRPr="004C54EE">
        <w:t xml:space="preserve"> RSA including the potential for subsidisation caps</w:t>
      </w:r>
      <w:r w:rsidR="00766558">
        <w:t xml:space="preserve"> in order to provide </w:t>
      </w:r>
      <w:r w:rsidR="00766558" w:rsidRPr="00766558">
        <w:t>additional certainty to government</w:t>
      </w:r>
      <w:r w:rsidR="001B2BBC">
        <w:t xml:space="preserve">. </w:t>
      </w:r>
      <w:r w:rsidR="00766558">
        <w:t>The PBAC considered this was appropriate</w:t>
      </w:r>
      <w:r w:rsidR="001B2BBC">
        <w:t xml:space="preserve"> and it would be reasonable for use to be included in the RSA recommended in the advanced/ metastatic setting with the expenditure caps revised to account for the estimated financial impact (after accounting for offsets associated with reduced use in the advanced/ metastatic setting). </w:t>
      </w:r>
      <w:r w:rsidR="00766558">
        <w:t xml:space="preserve"> </w:t>
      </w:r>
      <w:bookmarkEnd w:id="81"/>
    </w:p>
    <w:p w14:paraId="0C193E8E" w14:textId="6E01A50F" w:rsidR="00C77293" w:rsidRDefault="004B657B" w:rsidP="00C77293">
      <w:pPr>
        <w:pStyle w:val="3-BodyText"/>
      </w:pPr>
      <w:r w:rsidRPr="0084495F">
        <w:t xml:space="preserve">The PBAC considered </w:t>
      </w:r>
      <w:r w:rsidR="007A2B34">
        <w:t xml:space="preserve">that </w:t>
      </w:r>
      <w:r w:rsidRPr="0084495F">
        <w:t xml:space="preserve">the outstanding issues could be resolved in a simple resubmission for </w:t>
      </w:r>
      <w:r w:rsidR="00454E73">
        <w:t>nivolumab</w:t>
      </w:r>
      <w:r w:rsidRPr="0084495F">
        <w:t xml:space="preserve"> using the early re-entry pathway. If the sponsor accepts this pathway, the following changes may address these outstanding issues without requiring further re-evaluation: </w:t>
      </w:r>
    </w:p>
    <w:p w14:paraId="0F5523AC" w14:textId="70F268D1" w:rsidR="00766558" w:rsidRDefault="00766558" w:rsidP="00766558">
      <w:pPr>
        <w:pStyle w:val="3-BodyText"/>
        <w:numPr>
          <w:ilvl w:val="0"/>
          <w:numId w:val="32"/>
        </w:numPr>
        <w:ind w:left="1134"/>
      </w:pPr>
      <w:r>
        <w:t xml:space="preserve">Amend the restriction as outlined in paragraphs </w:t>
      </w:r>
      <w:r>
        <w:fldChar w:fldCharType="begin"/>
      </w:r>
      <w:r>
        <w:instrText xml:space="preserve"> REF _Ref109221126 \r \h </w:instrText>
      </w:r>
      <w:r>
        <w:fldChar w:fldCharType="separate"/>
      </w:r>
      <w:r w:rsidR="00267758">
        <w:t>7.3</w:t>
      </w:r>
      <w:r>
        <w:fldChar w:fldCharType="end"/>
      </w:r>
      <w:r>
        <w:rPr>
          <w:rFonts w:cstheme="minorHAnsi"/>
        </w:rPr>
        <w:t>−</w:t>
      </w:r>
      <w:r>
        <w:fldChar w:fldCharType="begin"/>
      </w:r>
      <w:r>
        <w:rPr>
          <w:rFonts w:cstheme="minorHAnsi"/>
        </w:rPr>
        <w:instrText xml:space="preserve"> REF _Ref109218393 \r \h </w:instrText>
      </w:r>
      <w:r>
        <w:fldChar w:fldCharType="separate"/>
      </w:r>
      <w:r w:rsidR="00267758">
        <w:rPr>
          <w:rFonts w:cstheme="minorHAnsi"/>
        </w:rPr>
        <w:t>7.4</w:t>
      </w:r>
      <w:r>
        <w:fldChar w:fldCharType="end"/>
      </w:r>
      <w:r>
        <w:t>;</w:t>
      </w:r>
    </w:p>
    <w:p w14:paraId="2E3E1296" w14:textId="4A48432F" w:rsidR="00DD53D4" w:rsidRDefault="00BE2005" w:rsidP="00DD53D4">
      <w:pPr>
        <w:pStyle w:val="3-BodyText"/>
        <w:numPr>
          <w:ilvl w:val="0"/>
          <w:numId w:val="32"/>
        </w:numPr>
        <w:ind w:left="1134"/>
      </w:pPr>
      <w:r>
        <w:t>Using the economic model specified in paragrap</w:t>
      </w:r>
      <w:r w:rsidR="00476145">
        <w:t>h</w:t>
      </w:r>
      <w:r w:rsidR="00F65352">
        <w:t xml:space="preserve"> </w:t>
      </w:r>
      <w:r w:rsidR="00F65352">
        <w:fldChar w:fldCharType="begin"/>
      </w:r>
      <w:r w:rsidR="00F65352">
        <w:instrText xml:space="preserve"> REF _Ref110589582 \r \h </w:instrText>
      </w:r>
      <w:r w:rsidR="00F65352">
        <w:fldChar w:fldCharType="separate"/>
      </w:r>
      <w:r w:rsidR="00267758">
        <w:t>7.11</w:t>
      </w:r>
      <w:r w:rsidR="00F65352">
        <w:fldChar w:fldCharType="end"/>
      </w:r>
      <w:r>
        <w:t xml:space="preserve">, propose a price that results in an </w:t>
      </w:r>
      <w:r w:rsidR="00766558">
        <w:t xml:space="preserve">ICER of $30,000/QALY gained or </w:t>
      </w:r>
      <w:proofErr w:type="gramStart"/>
      <w:r w:rsidR="00766558">
        <w:t>less;</w:t>
      </w:r>
      <w:proofErr w:type="gramEnd"/>
    </w:p>
    <w:p w14:paraId="2B41C8D1" w14:textId="1DF2C08F" w:rsidR="00DD53D4" w:rsidRPr="00DD53D4" w:rsidRDefault="00BE2005" w:rsidP="00DD53D4">
      <w:pPr>
        <w:pStyle w:val="3-BodyText"/>
        <w:numPr>
          <w:ilvl w:val="0"/>
          <w:numId w:val="32"/>
        </w:numPr>
        <w:ind w:left="1134"/>
      </w:pPr>
      <w:r>
        <w:rPr>
          <w:rFonts w:cs="Calibri"/>
        </w:rPr>
        <w:t xml:space="preserve">Provide revised </w:t>
      </w:r>
      <w:r w:rsidR="00DD53D4" w:rsidRPr="00DD53D4">
        <w:rPr>
          <w:rFonts w:cs="Calibri"/>
        </w:rPr>
        <w:t xml:space="preserve">financial estimates </w:t>
      </w:r>
      <w:r>
        <w:rPr>
          <w:rFonts w:cs="Calibri"/>
        </w:rPr>
        <w:t xml:space="preserve">incorporating the </w:t>
      </w:r>
      <w:r w:rsidR="001B2BBC">
        <w:rPr>
          <w:rFonts w:cs="Calibri"/>
        </w:rPr>
        <w:t xml:space="preserve">new </w:t>
      </w:r>
      <w:r>
        <w:rPr>
          <w:rFonts w:cs="Calibri"/>
        </w:rPr>
        <w:t xml:space="preserve">proposed price and accounting for the reduced use of immunotherapy in the advanced/ metastatic treatment setting; </w:t>
      </w:r>
      <w:r w:rsidR="00DD53D4" w:rsidRPr="00DD53D4">
        <w:rPr>
          <w:rFonts w:cs="Calibri"/>
        </w:rPr>
        <w:t>and</w:t>
      </w:r>
    </w:p>
    <w:p w14:paraId="7488CB26" w14:textId="106C5B0D" w:rsidR="00766558" w:rsidRDefault="001851F4" w:rsidP="00DD53D4">
      <w:pPr>
        <w:pStyle w:val="3-BodyText"/>
        <w:numPr>
          <w:ilvl w:val="0"/>
          <w:numId w:val="32"/>
        </w:numPr>
        <w:ind w:left="1134"/>
      </w:pPr>
      <w:r>
        <w:rPr>
          <w:rFonts w:cs="Calibri"/>
        </w:rPr>
        <w:t xml:space="preserve">Propose </w:t>
      </w:r>
      <w:r w:rsidR="00BE2005">
        <w:rPr>
          <w:rFonts w:cs="Calibri"/>
        </w:rPr>
        <w:t xml:space="preserve">an </w:t>
      </w:r>
      <w:r w:rsidR="00DD53D4" w:rsidRPr="00766558">
        <w:rPr>
          <w:rFonts w:cs="Calibri"/>
        </w:rPr>
        <w:t>RSA</w:t>
      </w:r>
      <w:r w:rsidR="001B2BBC">
        <w:rPr>
          <w:rFonts w:cs="Calibri"/>
        </w:rPr>
        <w:t xml:space="preserve"> </w:t>
      </w:r>
      <w:r>
        <w:rPr>
          <w:rFonts w:cs="Calibri"/>
        </w:rPr>
        <w:t xml:space="preserve">addressing the issues raised in paragraph </w:t>
      </w:r>
      <w:r>
        <w:rPr>
          <w:rFonts w:cs="Calibri"/>
        </w:rPr>
        <w:fldChar w:fldCharType="begin"/>
      </w:r>
      <w:r>
        <w:rPr>
          <w:rFonts w:cs="Calibri"/>
        </w:rPr>
        <w:instrText xml:space="preserve"> REF _Ref109825038 \r \h </w:instrText>
      </w:r>
      <w:r>
        <w:rPr>
          <w:rFonts w:cs="Calibri"/>
        </w:rPr>
      </w:r>
      <w:r>
        <w:rPr>
          <w:rFonts w:cs="Calibri"/>
        </w:rPr>
        <w:fldChar w:fldCharType="separate"/>
      </w:r>
      <w:r w:rsidR="00267758">
        <w:rPr>
          <w:rFonts w:cs="Calibri"/>
        </w:rPr>
        <w:t>7.13</w:t>
      </w:r>
      <w:r>
        <w:rPr>
          <w:rFonts w:cs="Calibri"/>
        </w:rPr>
        <w:fldChar w:fldCharType="end"/>
      </w:r>
      <w:r>
        <w:rPr>
          <w:rFonts w:cs="Calibri"/>
        </w:rPr>
        <w:t xml:space="preserve">. </w:t>
      </w:r>
    </w:p>
    <w:p w14:paraId="4E5F4060" w14:textId="2EE288C0" w:rsidR="00C77293" w:rsidRPr="00C77293" w:rsidRDefault="004B657B" w:rsidP="00C77293">
      <w:pPr>
        <w:pStyle w:val="3-BodyText"/>
      </w:pPr>
      <w:r w:rsidRPr="00C77293">
        <w:rPr>
          <w:rFonts w:cs="Calibri"/>
        </w:rPr>
        <w:t>The early re-entry resubmission must be lodged by week 7 of the current PBAC cycle or the next cycle. If the issues cannot be addressed by the sponsor in a simple resubmission and the early re-entry timing is not acceptable, a standard re-entry pathway is available.</w:t>
      </w:r>
      <w:r w:rsidR="001851F4">
        <w:rPr>
          <w:rFonts w:cs="Calibri"/>
        </w:rPr>
        <w:t xml:space="preserve"> </w:t>
      </w:r>
    </w:p>
    <w:p w14:paraId="7CEB04EE" w14:textId="3F57B5AB" w:rsidR="00C77293" w:rsidRDefault="004B657B" w:rsidP="00C77293">
      <w:pPr>
        <w:pStyle w:val="3-BodyText"/>
      </w:pPr>
      <w:r w:rsidRPr="0084495F">
        <w:t xml:space="preserve">The PBAC advised that its acceptance of </w:t>
      </w:r>
      <w:r w:rsidR="001851F4">
        <w:t>an early re-entry pathway was in the context of accepting the economic model referred to in paragraph</w:t>
      </w:r>
      <w:r w:rsidR="00476145">
        <w:t xml:space="preserve"> </w:t>
      </w:r>
      <w:r w:rsidR="00F65352">
        <w:fldChar w:fldCharType="begin"/>
      </w:r>
      <w:r w:rsidR="00F65352">
        <w:instrText xml:space="preserve"> REF _Ref110589582 \r \h </w:instrText>
      </w:r>
      <w:r w:rsidR="00F65352">
        <w:fldChar w:fldCharType="separate"/>
      </w:r>
      <w:r w:rsidR="00267758">
        <w:t>7.11</w:t>
      </w:r>
      <w:r w:rsidR="00F65352">
        <w:fldChar w:fldCharType="end"/>
      </w:r>
      <w:r w:rsidR="00EC4E03">
        <w:t xml:space="preserve"> which, while it does not address all the modelling issues, provides a conservative basis to estimate cost effectiveness. </w:t>
      </w:r>
      <w:r w:rsidR="001851F4">
        <w:t xml:space="preserve"> </w:t>
      </w:r>
      <w:r w:rsidRPr="002C13E7">
        <w:t xml:space="preserve">Alternatively, the issues with the economic model </w:t>
      </w:r>
      <w:r w:rsidR="00F65352">
        <w:t xml:space="preserve">(as discussed generally in the Economic analysis section above and specifically in paragraph </w:t>
      </w:r>
      <w:r w:rsidR="00F65352">
        <w:fldChar w:fldCharType="begin"/>
      </w:r>
      <w:r w:rsidR="00F65352">
        <w:instrText xml:space="preserve"> REF _Ref110590093 \r \h </w:instrText>
      </w:r>
      <w:r w:rsidR="00F65352">
        <w:fldChar w:fldCharType="separate"/>
      </w:r>
      <w:r w:rsidR="00267758">
        <w:t>7.10</w:t>
      </w:r>
      <w:r w:rsidR="00F65352">
        <w:fldChar w:fldCharType="end"/>
      </w:r>
      <w:r w:rsidR="00F65352">
        <w:t>) c</w:t>
      </w:r>
      <w:r w:rsidRPr="002C13E7">
        <w:t xml:space="preserve">ould </w:t>
      </w:r>
      <w:r w:rsidRPr="0084495F">
        <w:t xml:space="preserve">be addressed in a standard re-entry resubmission. </w:t>
      </w:r>
    </w:p>
    <w:p w14:paraId="660DD7F2" w14:textId="567FB90D" w:rsidR="004B657B" w:rsidRPr="0084495F" w:rsidRDefault="004B657B" w:rsidP="00C77293">
      <w:pPr>
        <w:pStyle w:val="3-BodyText"/>
      </w:pPr>
      <w:r w:rsidRPr="0084495F">
        <w:t xml:space="preserve">The PBAC noted that this submission is eligible for an Independent Review. </w:t>
      </w:r>
    </w:p>
    <w:p w14:paraId="682A8E93" w14:textId="1180E959" w:rsidR="0054463B" w:rsidRPr="00525B39" w:rsidRDefault="0054463B" w:rsidP="0054463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3AC78F7" w14:textId="2B7FD901" w:rsidR="0054463B" w:rsidRPr="00525B39" w:rsidRDefault="0054463B" w:rsidP="0054463B">
      <w:pPr>
        <w:rPr>
          <w:rFonts w:asciiTheme="minorHAnsi" w:hAnsiTheme="minorHAnsi"/>
          <w:bCs/>
          <w:snapToGrid w:val="0"/>
          <w:lang w:val="en-GB"/>
        </w:rPr>
      </w:pPr>
      <w:r>
        <w:rPr>
          <w:rFonts w:asciiTheme="minorHAnsi" w:hAnsiTheme="minorHAnsi"/>
          <w:bCs/>
          <w:snapToGrid w:val="0"/>
          <w:lang w:val="en-GB"/>
        </w:rPr>
        <w:t>Not recommended</w:t>
      </w:r>
    </w:p>
    <w:p w14:paraId="1564E3CF" w14:textId="77777777" w:rsidR="007935A4" w:rsidRDefault="007935A4" w:rsidP="00F82C37">
      <w:pPr>
        <w:rPr>
          <w:rFonts w:cs="Calibri"/>
        </w:rPr>
      </w:pPr>
    </w:p>
    <w:p w14:paraId="4F790144" w14:textId="77777777" w:rsidR="00A31B2C" w:rsidRDefault="00A31B2C" w:rsidP="00A31B2C">
      <w:pPr>
        <w:pStyle w:val="2-SectionHeading"/>
        <w:rPr>
          <w:bCs/>
          <w:lang w:val="en-GB"/>
        </w:rPr>
      </w:pPr>
      <w:bookmarkStart w:id="82" w:name="_Hlk76377978"/>
      <w:r w:rsidRPr="00C07617">
        <w:lastRenderedPageBreak/>
        <w:t>Context for Decision</w:t>
      </w:r>
    </w:p>
    <w:p w14:paraId="703262F8" w14:textId="77777777" w:rsidR="00A31B2C" w:rsidRPr="007129F2" w:rsidRDefault="00A31B2C" w:rsidP="00A31B2C">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0BB90E" w14:textId="72E7FF29" w:rsidR="00A31B2C" w:rsidRPr="00C07617" w:rsidRDefault="00A31B2C" w:rsidP="00A31B2C">
      <w:pPr>
        <w:pStyle w:val="2-SectionHeading"/>
      </w:pPr>
      <w:r>
        <w:t>Sponsor’s Comment</w:t>
      </w:r>
    </w:p>
    <w:p w14:paraId="47A064C7" w14:textId="01F0DD40" w:rsidR="00707247" w:rsidRPr="001179AC" w:rsidRDefault="00707247" w:rsidP="00A31B2C">
      <w:pPr>
        <w:spacing w:after="120"/>
        <w:ind w:left="426"/>
        <w:rPr>
          <w:rFonts w:asciiTheme="minorHAnsi" w:hAnsiTheme="minorHAnsi"/>
          <w:bCs/>
        </w:rPr>
      </w:pPr>
      <w:r>
        <w:t>The Sponsor welcomes the PBAC's decision to resubmit via an early re-entry pathway and looks forward to continuing to work with the PBAC and the Department of Health to provide access of nivolumab for the adjuvant treatment of patients with oesophageal carcinoma (OC) or gastro-oesophageal junction carcinoma (GOJC) who have received previous platinum based chemoradiotherapy (CRT) and surgery.</w:t>
      </w:r>
    </w:p>
    <w:p w14:paraId="53956DDB" w14:textId="77777777" w:rsidR="001F4597" w:rsidRDefault="001F4597" w:rsidP="001F4597">
      <w:pPr>
        <w:rPr>
          <w:rFonts w:cs="Calibri"/>
        </w:rPr>
      </w:pPr>
    </w:p>
    <w:bookmarkEnd w:id="1"/>
    <w:bookmarkEnd w:id="82"/>
    <w:p w14:paraId="0C2E17D8" w14:textId="7601CA68" w:rsidR="00467044" w:rsidRDefault="00467044">
      <w:pPr>
        <w:jc w:val="left"/>
        <w:rPr>
          <w:rFonts w:asciiTheme="minorHAnsi" w:hAnsiTheme="minorHAnsi"/>
          <w:snapToGrid w:val="0"/>
        </w:rPr>
      </w:pPr>
    </w:p>
    <w:sectPr w:rsidR="00467044" w:rsidSect="00E20F4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9ACC" w14:textId="77777777" w:rsidR="00BB5B8E" w:rsidRDefault="00BB5B8E" w:rsidP="00124A51">
      <w:r>
        <w:separator/>
      </w:r>
    </w:p>
    <w:p w14:paraId="01B25B08" w14:textId="77777777" w:rsidR="00BB5B8E" w:rsidRDefault="00BB5B8E"/>
    <w:p w14:paraId="325AE9FE" w14:textId="77777777" w:rsidR="00BB5B8E" w:rsidRDefault="00BB5B8E"/>
  </w:endnote>
  <w:endnote w:type="continuationSeparator" w:id="0">
    <w:p w14:paraId="0AB7C872" w14:textId="77777777" w:rsidR="00BB5B8E" w:rsidRDefault="00BB5B8E" w:rsidP="00124A51">
      <w:r>
        <w:continuationSeparator/>
      </w:r>
    </w:p>
    <w:p w14:paraId="47916FFE" w14:textId="77777777" w:rsidR="00BB5B8E" w:rsidRDefault="00BB5B8E"/>
    <w:p w14:paraId="31822E0E" w14:textId="77777777" w:rsidR="00BB5B8E" w:rsidRDefault="00BB5B8E"/>
  </w:endnote>
  <w:endnote w:type="continuationNotice" w:id="1">
    <w:p w14:paraId="708ECD9E" w14:textId="77777777" w:rsidR="00BB5B8E" w:rsidRDefault="00BB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A777" w14:textId="77777777" w:rsidR="000A25B4" w:rsidRDefault="000A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84CE" w14:textId="77777777" w:rsidR="008F11B6" w:rsidRDefault="008F11B6" w:rsidP="00467044">
    <w:pPr>
      <w:pStyle w:val="Footer"/>
      <w:keepNext/>
      <w:ind w:left="360"/>
      <w:jc w:val="center"/>
    </w:pPr>
    <w:bookmarkStart w:id="84" w:name="_Hlk76375156"/>
  </w:p>
  <w:p w14:paraId="674B3227" w14:textId="5F6D96FE" w:rsidR="008F11B6" w:rsidRPr="00467044" w:rsidRDefault="008F11B6" w:rsidP="00467044">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8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67B2" w14:textId="77777777" w:rsidR="000A25B4" w:rsidRDefault="000A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D3E0" w14:textId="77777777" w:rsidR="00BB5B8E" w:rsidRDefault="00BB5B8E" w:rsidP="00124A51">
      <w:r>
        <w:separator/>
      </w:r>
    </w:p>
    <w:p w14:paraId="7BA00805" w14:textId="77777777" w:rsidR="00BB5B8E" w:rsidRDefault="00BB5B8E"/>
    <w:p w14:paraId="4560AB3E" w14:textId="77777777" w:rsidR="00BB5B8E" w:rsidRDefault="00BB5B8E"/>
  </w:footnote>
  <w:footnote w:type="continuationSeparator" w:id="0">
    <w:p w14:paraId="2558B2D7" w14:textId="77777777" w:rsidR="00BB5B8E" w:rsidRDefault="00BB5B8E" w:rsidP="00124A51">
      <w:r>
        <w:continuationSeparator/>
      </w:r>
    </w:p>
    <w:p w14:paraId="56D1B832" w14:textId="77777777" w:rsidR="00BB5B8E" w:rsidRDefault="00BB5B8E"/>
    <w:p w14:paraId="46944B0D" w14:textId="77777777" w:rsidR="00BB5B8E" w:rsidRDefault="00BB5B8E"/>
  </w:footnote>
  <w:footnote w:type="continuationNotice" w:id="1">
    <w:p w14:paraId="7EA94D2F" w14:textId="77777777" w:rsidR="00BB5B8E" w:rsidRDefault="00BB5B8E"/>
  </w:footnote>
  <w:footnote w:id="2">
    <w:p w14:paraId="4C998AA7" w14:textId="3E001370" w:rsidR="008F11B6" w:rsidRPr="008268DA" w:rsidRDefault="008F11B6">
      <w:pPr>
        <w:pStyle w:val="FootnoteText"/>
        <w:rPr>
          <w:lang w:val="en-US"/>
        </w:rPr>
      </w:pPr>
      <w:r>
        <w:rPr>
          <w:rStyle w:val="FootnoteReference"/>
        </w:rPr>
        <w:footnoteRef/>
      </w:r>
      <w:r>
        <w:t xml:space="preserve"> </w:t>
      </w:r>
      <w:r w:rsidRPr="008268DA">
        <w:t>Surveillance, Epidemiology, and End Results (SEER) Program Populations (1969-2020) (www.seer.cancer.gov/popdata), National Cancer Institute, DCCPS, Surveillance Research Program</w:t>
      </w:r>
      <w:r>
        <w:t xml:space="preserve"> (accessed on 8 November 2021)</w:t>
      </w:r>
    </w:p>
  </w:footnote>
  <w:footnote w:id="3">
    <w:p w14:paraId="36620586" w14:textId="2FF06599" w:rsidR="008F11B6" w:rsidRPr="008268DA" w:rsidRDefault="008F11B6">
      <w:pPr>
        <w:pStyle w:val="FootnoteText"/>
        <w:rPr>
          <w:lang w:val="en-US"/>
        </w:rPr>
      </w:pPr>
      <w:r>
        <w:rPr>
          <w:rStyle w:val="FootnoteReference"/>
        </w:rPr>
        <w:footnoteRef/>
      </w:r>
      <w:r>
        <w:t xml:space="preserve"> </w:t>
      </w:r>
      <w:r w:rsidRPr="000F5B32">
        <w:t>Van Hagen P, Hulshof MCCM, van Lanschot JJB. et. al. Preoperative Chemoradiotherapy for Esophageal or Junctional Cancer. NEJM 2012; 366:2074-84</w:t>
      </w:r>
    </w:p>
  </w:footnote>
  <w:footnote w:id="4">
    <w:p w14:paraId="59258C1C" w14:textId="6908636E" w:rsidR="008F11B6" w:rsidRPr="000F5B32" w:rsidRDefault="008F11B6">
      <w:pPr>
        <w:pStyle w:val="FootnoteText"/>
        <w:rPr>
          <w:lang w:val="en-US"/>
        </w:rPr>
      </w:pPr>
      <w:r>
        <w:rPr>
          <w:rStyle w:val="FootnoteReference"/>
        </w:rPr>
        <w:footnoteRef/>
      </w:r>
      <w:r>
        <w:t xml:space="preserve"> </w:t>
      </w:r>
      <w:r w:rsidRPr="000F5B32">
        <w:t>Al-Batran, S. Hormann, N, Pauvlig, C et al. Perioperatice Chemotherapy with flurouracil plus leucovorin, oxaliplatin and docetaxel for locally advanced, resectable gastric or gastrooesophageal junction adenocarcinoma (FLOT4) a randomised trial. NEJM, 2019 393: 1948-1958</w:t>
      </w:r>
    </w:p>
  </w:footnote>
  <w:footnote w:id="5">
    <w:p w14:paraId="312DAC61" w14:textId="785676D5" w:rsidR="008F11B6" w:rsidRPr="00CB18DD" w:rsidRDefault="008F11B6" w:rsidP="00376CEA">
      <w:pPr>
        <w:pStyle w:val="BMSBodyText"/>
        <w:spacing w:after="0" w:line="276" w:lineRule="auto"/>
        <w:rPr>
          <w:rFonts w:ascii="Trebuchet MS" w:hAnsi="Trebuchet MS"/>
          <w:sz w:val="22"/>
          <w:szCs w:val="22"/>
          <w:lang w:val="en-AU"/>
        </w:rPr>
      </w:pPr>
      <w:r>
        <w:rPr>
          <w:rStyle w:val="FootnoteReference"/>
        </w:rPr>
        <w:footnoteRef/>
      </w:r>
      <w:r>
        <w:t xml:space="preserve"> </w:t>
      </w:r>
      <w:r w:rsidRPr="00CB18DD">
        <w:rPr>
          <w:rFonts w:asciiTheme="minorHAnsi" w:eastAsiaTheme="minorHAnsi" w:hAnsiTheme="minorHAnsi" w:cstheme="minorBidi"/>
          <w:color w:val="auto"/>
          <w:sz w:val="20"/>
          <w:lang w:val="en-AU"/>
        </w:rPr>
        <w:t xml:space="preserve">National Comprehensive Cancer Network (NCCN) </w:t>
      </w:r>
      <w:r>
        <w:rPr>
          <w:rFonts w:asciiTheme="minorHAnsi" w:eastAsiaTheme="minorHAnsi" w:hAnsiTheme="minorHAnsi" w:cstheme="minorBidi"/>
          <w:color w:val="auto"/>
          <w:sz w:val="20"/>
          <w:lang w:val="en-AU"/>
        </w:rPr>
        <w:t xml:space="preserve">(2022) </w:t>
      </w:r>
      <w:r w:rsidRPr="00CB18DD">
        <w:rPr>
          <w:rFonts w:asciiTheme="minorHAnsi" w:eastAsiaTheme="minorHAnsi" w:hAnsiTheme="minorHAnsi" w:cstheme="minorBidi"/>
          <w:color w:val="auto"/>
          <w:sz w:val="20"/>
          <w:lang w:val="en-AU"/>
        </w:rPr>
        <w:t>Esophageal and Esophagogastric Junction Cancers</w:t>
      </w:r>
      <w:r>
        <w:rPr>
          <w:rFonts w:asciiTheme="minorHAnsi" w:eastAsiaTheme="minorHAnsi" w:hAnsiTheme="minorHAnsi" w:cstheme="minorBidi"/>
          <w:color w:val="auto"/>
          <w:sz w:val="20"/>
          <w:lang w:val="en-AU"/>
        </w:rPr>
        <w:t xml:space="preserve"> </w:t>
      </w:r>
      <w:r w:rsidRPr="00CB18DD">
        <w:rPr>
          <w:rFonts w:asciiTheme="minorHAnsi" w:eastAsiaTheme="minorHAnsi" w:hAnsiTheme="minorHAnsi" w:cstheme="minorBidi"/>
          <w:color w:val="auto"/>
          <w:sz w:val="20"/>
          <w:lang w:val="en-AU"/>
        </w:rPr>
        <w:t>V</w:t>
      </w:r>
      <w:r>
        <w:rPr>
          <w:rFonts w:asciiTheme="minorHAnsi" w:eastAsiaTheme="minorHAnsi" w:hAnsiTheme="minorHAnsi" w:cstheme="minorBidi"/>
          <w:color w:val="auto"/>
          <w:sz w:val="20"/>
          <w:lang w:val="en-AU"/>
        </w:rPr>
        <w:t xml:space="preserve">2.2022 Available at: </w:t>
      </w:r>
      <w:r w:rsidRPr="00CB18DD">
        <w:rPr>
          <w:rFonts w:asciiTheme="minorHAnsi" w:eastAsiaTheme="minorHAnsi" w:hAnsiTheme="minorHAnsi" w:cstheme="minorBidi"/>
          <w:color w:val="auto"/>
          <w:sz w:val="20"/>
          <w:lang w:val="en-AU"/>
        </w:rPr>
        <w:t>https://www.nccn.org/guidelines/guidelines-detail?category=1&amp;id=1433</w:t>
      </w:r>
    </w:p>
  </w:footnote>
  <w:footnote w:id="6">
    <w:p w14:paraId="04125906" w14:textId="12522F08" w:rsidR="008F11B6" w:rsidRDefault="008F11B6">
      <w:pPr>
        <w:pStyle w:val="FootnoteText"/>
      </w:pPr>
      <w:r>
        <w:rPr>
          <w:rStyle w:val="FootnoteReference"/>
        </w:rPr>
        <w:footnoteRef/>
      </w:r>
      <w:r>
        <w:t xml:space="preserve"> </w:t>
      </w:r>
      <w:r w:rsidRPr="00CB18DD">
        <w:t>Lordick F, Mariette C, Haustermans K, Obermannová R, Arnold D</w:t>
      </w:r>
      <w:r>
        <w:t>.</w:t>
      </w:r>
      <w:r w:rsidRPr="00CB18DD">
        <w:t xml:space="preserve"> ESMO Guidelines Committee. Oesophageal cancer: ESMO Clinical Practice Guidelines for diagnosis, treatment and follow-up. Ann Oncol. 2016 Sep;27(suppl 5):v50-v57. </w:t>
      </w:r>
    </w:p>
  </w:footnote>
  <w:footnote w:id="7">
    <w:p w14:paraId="17001F58" w14:textId="6B7B9278" w:rsidR="008F11B6" w:rsidRDefault="008F11B6">
      <w:pPr>
        <w:pStyle w:val="FootnoteText"/>
      </w:pPr>
      <w:r>
        <w:rPr>
          <w:rStyle w:val="FootnoteReference"/>
        </w:rPr>
        <w:footnoteRef/>
      </w:r>
      <w:r>
        <w:t xml:space="preserve"> </w:t>
      </w:r>
      <w:hyperlink r:id="rId1" w:history="1">
        <w:r w:rsidRPr="00032520">
          <w:rPr>
            <w:rStyle w:val="Hyperlink"/>
          </w:rPr>
          <w:t>https://www.clinicaltrials.gov/ct2/show/NCT02509286</w:t>
        </w:r>
      </w:hyperlink>
      <w:r>
        <w:t xml:space="preserve"> </w:t>
      </w:r>
    </w:p>
  </w:footnote>
  <w:footnote w:id="8">
    <w:p w14:paraId="23E4332F" w14:textId="77777777" w:rsidR="008F11B6" w:rsidRPr="000F5B32" w:rsidRDefault="008F11B6" w:rsidP="00703FE9">
      <w:pPr>
        <w:pStyle w:val="FootnoteText"/>
        <w:rPr>
          <w:lang w:val="en-US"/>
        </w:rPr>
      </w:pPr>
      <w:r>
        <w:rPr>
          <w:rStyle w:val="FootnoteReference"/>
        </w:rPr>
        <w:footnoteRef/>
      </w:r>
      <w:r>
        <w:t xml:space="preserve"> </w:t>
      </w:r>
      <w:r w:rsidRPr="000F5B32">
        <w:t>National Comprehensive Cancer Network (NCCN) Esophageal and Esophogastric Junction Cancers V5 2020</w:t>
      </w:r>
    </w:p>
  </w:footnote>
  <w:footnote w:id="9">
    <w:p w14:paraId="048C518B" w14:textId="77777777" w:rsidR="008F11B6" w:rsidRPr="000F5B32" w:rsidRDefault="008F11B6" w:rsidP="00703FE9">
      <w:pPr>
        <w:pStyle w:val="FootnoteText"/>
        <w:rPr>
          <w:lang w:val="en-US"/>
        </w:rPr>
      </w:pPr>
      <w:r>
        <w:rPr>
          <w:rStyle w:val="FootnoteReference"/>
        </w:rPr>
        <w:footnoteRef/>
      </w:r>
      <w:r>
        <w:t xml:space="preserve"> </w:t>
      </w:r>
      <w:r w:rsidRPr="00CB18DD">
        <w:t>Lordick F, Mariette C, Haustermans K, Obermannová R, Arnold D</w:t>
      </w:r>
      <w:r>
        <w:t>.</w:t>
      </w:r>
      <w:r w:rsidRPr="00CB18DD">
        <w:t xml:space="preserve"> ESMO Guidelines Committee. Oesophageal cancer: ESMO Clinical Practice Guidelines for diagnosis, treatment and follow-up. Ann Oncol. 2016 Sep;27(suppl 5):v50-v57.</w:t>
      </w:r>
    </w:p>
  </w:footnote>
  <w:footnote w:id="10">
    <w:p w14:paraId="4367144C" w14:textId="77777777" w:rsidR="008F11B6" w:rsidRDefault="008F11B6" w:rsidP="001F3156">
      <w:pPr>
        <w:pStyle w:val="FootnoteText"/>
      </w:pPr>
      <w:r>
        <w:rPr>
          <w:rStyle w:val="FootnoteReference"/>
        </w:rPr>
        <w:footnoteRef/>
      </w:r>
      <w:r>
        <w:t xml:space="preserve"> </w:t>
      </w:r>
      <w:r w:rsidRPr="00525B39">
        <w:rPr>
          <w:rFonts w:cs="Arial"/>
          <w:bCs/>
          <w:snapToGrid w:val="0"/>
          <w:sz w:val="16"/>
        </w:rPr>
        <w:t>Cherny NI, Dafni U, Bogaerts J, et al: ESMO-Magnitude of Clinical Benefit Scale version 1.1. Annals of Oncology 28:2340-2366, 2017</w:t>
      </w:r>
    </w:p>
  </w:footnote>
  <w:footnote w:id="11">
    <w:p w14:paraId="06FD5B33" w14:textId="1DCC1A31" w:rsidR="008F11B6" w:rsidRPr="000F5B32" w:rsidRDefault="008F11B6">
      <w:pPr>
        <w:pStyle w:val="FootnoteText"/>
        <w:rPr>
          <w:lang w:val="en-US"/>
        </w:rPr>
      </w:pPr>
      <w:r>
        <w:rPr>
          <w:rStyle w:val="FootnoteReference"/>
        </w:rPr>
        <w:footnoteRef/>
      </w:r>
      <w:r>
        <w:t xml:space="preserve"> </w:t>
      </w:r>
      <w:r w:rsidRPr="000F5B32">
        <w:t>Moehler, M., Ajani, J. A., Kuzdzal, J., et al. 2021. 1381P Adjuvant nivolumab in resected esophageal or gastroesophageal junction cancer (EC/GEJC) following neoadjuvant chemoradiotherapy (CRT): 14-month follow-up of CheckMate 577. Annals of Oncology, 32, S1045-S1046.</w:t>
      </w:r>
    </w:p>
  </w:footnote>
  <w:footnote w:id="12">
    <w:p w14:paraId="7D3EE8C7" w14:textId="4A982E85" w:rsidR="008F11B6" w:rsidRPr="000F5B32" w:rsidRDefault="008F11B6">
      <w:pPr>
        <w:pStyle w:val="FootnoteText"/>
        <w:rPr>
          <w:lang w:val="en-US"/>
        </w:rPr>
      </w:pPr>
      <w:r>
        <w:rPr>
          <w:rStyle w:val="FootnoteReference"/>
        </w:rPr>
        <w:footnoteRef/>
      </w:r>
      <w:r>
        <w:t xml:space="preserve"> </w:t>
      </w:r>
      <w:r w:rsidRPr="000F5B32">
        <w:t>Gordon, L. G., Eckermann, S., Hirst, N. G., et al. 2011. Healthcare resource use and medical costs for the management of oesophageal cancer. Br J Surg, 98, 1589-98.</w:t>
      </w:r>
    </w:p>
  </w:footnote>
  <w:footnote w:id="13">
    <w:p w14:paraId="45975BFA" w14:textId="280EBFE9" w:rsidR="008F11B6" w:rsidRPr="000F5B32" w:rsidRDefault="008F11B6">
      <w:pPr>
        <w:pStyle w:val="FootnoteText"/>
        <w:rPr>
          <w:lang w:val="en-US"/>
        </w:rPr>
      </w:pPr>
      <w:r>
        <w:rPr>
          <w:rStyle w:val="FootnoteReference"/>
        </w:rPr>
        <w:footnoteRef/>
      </w:r>
      <w:r>
        <w:t xml:space="preserve"> </w:t>
      </w:r>
      <w:r w:rsidRPr="000F5B32">
        <w:t>Nguyen TMN, Hummel R, Bright T et al.  Pattern of care for cancer of the oesophagus in a western population.  ANZ J Surg 2019; 89: E15 – 19.</w:t>
      </w:r>
    </w:p>
  </w:footnote>
  <w:footnote w:id="14">
    <w:p w14:paraId="577228FA" w14:textId="7942F648" w:rsidR="008F11B6" w:rsidRPr="00FE0D90" w:rsidRDefault="008F11B6">
      <w:pPr>
        <w:pStyle w:val="FootnoteText"/>
        <w:rPr>
          <w:lang w:val="en-US"/>
        </w:rPr>
      </w:pPr>
      <w:r>
        <w:rPr>
          <w:rStyle w:val="FootnoteReference"/>
        </w:rPr>
        <w:footnoteRef/>
      </w:r>
      <w:r>
        <w:t xml:space="preserve"> v</w:t>
      </w:r>
      <w:r w:rsidRPr="00FE0D90">
        <w:t>an Putten, M., de Vos-Geelen, J., Nieuwenhuijzen, G.A.P. et al. Long-term survival improvement in oesophageal cancer in the Netherlands. European Journal of Cancer 94(2018) 138-147.</w:t>
      </w:r>
    </w:p>
  </w:footnote>
  <w:footnote w:id="15">
    <w:p w14:paraId="4DDEE82E" w14:textId="5982BCCA" w:rsidR="008F11B6" w:rsidRDefault="008F11B6">
      <w:pPr>
        <w:pStyle w:val="FootnoteText"/>
      </w:pPr>
      <w:r>
        <w:rPr>
          <w:rStyle w:val="FootnoteReference"/>
        </w:rPr>
        <w:footnoteRef/>
      </w:r>
      <w:r>
        <w:t xml:space="preserve"> </w:t>
      </w:r>
      <w:hyperlink r:id="rId2" w:history="1">
        <w:r w:rsidRPr="00BD1E60">
          <w:rPr>
            <w:rStyle w:val="Hyperlink"/>
          </w:rPr>
          <w:t>https://www.nice.org.uk/guidance/ta746/evidence/committee-papers-pdf-10887317533</w:t>
        </w:r>
      </w:hyperlink>
      <w:r>
        <w:t>, accessed 12/4/22</w:t>
      </w:r>
    </w:p>
  </w:footnote>
  <w:footnote w:id="16">
    <w:p w14:paraId="0B4AB9A7" w14:textId="718C4256" w:rsidR="008F11B6" w:rsidRPr="00AE2537" w:rsidRDefault="008F11B6">
      <w:pPr>
        <w:pStyle w:val="FootnoteText"/>
        <w:rPr>
          <w:i/>
          <w:iCs/>
        </w:rPr>
      </w:pPr>
      <w:r w:rsidRPr="00AE2537">
        <w:rPr>
          <w:rStyle w:val="FootnoteReference"/>
          <w:i/>
          <w:iCs/>
        </w:rPr>
        <w:footnoteRef/>
      </w:r>
      <w:r w:rsidRPr="00AE2537">
        <w:rPr>
          <w:i/>
          <w:iCs/>
        </w:rPr>
        <w:t xml:space="preserve"> </w:t>
      </w:r>
      <w:r w:rsidRPr="00925F8E">
        <w:t>Based on the published price of pembrolizumab</w:t>
      </w:r>
      <w:r>
        <w:rPr>
          <w:i/>
          <w:iCs/>
        </w:rPr>
        <w:t>.</w:t>
      </w:r>
      <w:r w:rsidRPr="00AE2537">
        <w:rPr>
          <w:i/>
          <w:iCs/>
        </w:rPr>
        <w:t xml:space="preserve"> </w:t>
      </w:r>
    </w:p>
  </w:footnote>
  <w:footnote w:id="17">
    <w:p w14:paraId="7AC47B08" w14:textId="77777777" w:rsidR="008F11B6" w:rsidRDefault="008F11B6" w:rsidP="00E24177">
      <w:pPr>
        <w:pStyle w:val="FootnoteText"/>
      </w:pPr>
      <w:r>
        <w:rPr>
          <w:rStyle w:val="FootnoteReference"/>
        </w:rPr>
        <w:footnoteRef/>
      </w:r>
      <w:r>
        <w:t xml:space="preserve"> </w:t>
      </w:r>
      <w:r w:rsidRPr="003F3EA6">
        <w:t>https://www.cadth.ca/sites/default/files/DRR/2022/PC0253-Opdivo_combined.pdf</w:t>
      </w:r>
      <w:r>
        <w:t xml:space="preserve"> , accessed 22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4F6" w14:textId="77777777" w:rsidR="000A25B4" w:rsidRDefault="000A2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5188" w14:textId="0CCBAB58" w:rsidR="008F11B6" w:rsidRPr="00056684" w:rsidRDefault="00CA51C1" w:rsidP="00467044">
    <w:pPr>
      <w:pStyle w:val="Header"/>
      <w:ind w:left="360"/>
      <w:rPr>
        <w:rFonts w:asciiTheme="minorHAnsi" w:hAnsiTheme="minorHAnsi"/>
        <w:i/>
        <w:color w:val="808080"/>
      </w:rPr>
    </w:pPr>
    <w:bookmarkStart w:id="83" w:name="_Hlk76375146"/>
    <w:r>
      <w:rPr>
        <w:rFonts w:asciiTheme="minorHAnsi" w:hAnsiTheme="minorHAnsi"/>
        <w:i/>
        <w:color w:val="808080"/>
      </w:rPr>
      <w:t>Public Summary Document</w:t>
    </w:r>
    <w:r w:rsidR="008F11B6">
      <w:rPr>
        <w:rFonts w:asciiTheme="minorHAnsi" w:hAnsiTheme="minorHAnsi"/>
        <w:i/>
        <w:color w:val="808080"/>
      </w:rPr>
      <w:t xml:space="preserve"> </w:t>
    </w:r>
    <w:r w:rsidR="008F11B6" w:rsidRPr="00056684">
      <w:rPr>
        <w:rFonts w:asciiTheme="minorHAnsi" w:hAnsiTheme="minorHAnsi"/>
        <w:i/>
        <w:color w:val="808080"/>
      </w:rPr>
      <w:t xml:space="preserve">– </w:t>
    </w:r>
    <w:r w:rsidR="008F11B6">
      <w:rPr>
        <w:rFonts w:asciiTheme="minorHAnsi" w:hAnsiTheme="minorHAnsi"/>
        <w:i/>
        <w:color w:val="808080"/>
      </w:rPr>
      <w:t>July 2022</w:t>
    </w:r>
    <w:r w:rsidR="008F11B6" w:rsidRPr="00056684">
      <w:rPr>
        <w:rFonts w:asciiTheme="minorHAnsi" w:hAnsiTheme="minorHAnsi"/>
        <w:i/>
        <w:color w:val="808080"/>
      </w:rPr>
      <w:t xml:space="preserve"> PBAC Meeting</w:t>
    </w:r>
  </w:p>
  <w:bookmarkEnd w:id="83"/>
  <w:p w14:paraId="084329B5" w14:textId="77777777" w:rsidR="008F11B6" w:rsidRPr="00467044" w:rsidRDefault="008F11B6" w:rsidP="004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97C5" w14:textId="77777777" w:rsidR="000A25B4" w:rsidRDefault="000A2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E1371"/>
    <w:multiLevelType w:val="hybridMultilevel"/>
    <w:tmpl w:val="07FA4F94"/>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720" w:hanging="720"/>
      </w:pPr>
      <w:rPr>
        <w:rFonts w:ascii="Calibri" w:eastAsia="Times New Roman" w:hAnsi="Calibri" w:cs="Calibri" w:hint="default"/>
      </w:rPr>
    </w:lvl>
    <w:lvl w:ilvl="2" w:tplc="FFFFFFFF">
      <w:start w:val="1"/>
      <w:numFmt w:val="lowerRoman"/>
      <w:lvlText w:val="%3."/>
      <w:lvlJc w:val="right"/>
      <w:pPr>
        <w:ind w:left="-360" w:hanging="180"/>
      </w:pPr>
    </w:lvl>
    <w:lvl w:ilvl="3" w:tplc="0C090001">
      <w:start w:val="1"/>
      <w:numFmt w:val="bullet"/>
      <w:lvlText w:val=""/>
      <w:lvlJc w:val="left"/>
      <w:pPr>
        <w:ind w:left="360" w:hanging="360"/>
      </w:pPr>
      <w:rPr>
        <w:rFonts w:ascii="Symbol" w:hAnsi="Symbol" w:hint="default"/>
      </w:rPr>
    </w:lvl>
    <w:lvl w:ilvl="4" w:tplc="FFFFFFFF">
      <w:start w:val="1"/>
      <w:numFmt w:val="lowerLetter"/>
      <w:lvlText w:val="%5."/>
      <w:lvlJc w:val="left"/>
      <w:pPr>
        <w:ind w:left="1080" w:hanging="360"/>
      </w:pPr>
    </w:lvl>
    <w:lvl w:ilvl="5" w:tplc="FFFFFFFF">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2" w15:restartNumberingAfterBreak="0">
    <w:nsid w:val="08060858"/>
    <w:multiLevelType w:val="hybridMultilevel"/>
    <w:tmpl w:val="9BAED9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747F9"/>
    <w:multiLevelType w:val="hybridMultilevel"/>
    <w:tmpl w:val="7FEC21D4"/>
    <w:lvl w:ilvl="0" w:tplc="12AEE736">
      <w:start w:val="1"/>
      <w:numFmt w:val="decimal"/>
      <w:lvlText w:val="%1."/>
      <w:lvlJc w:val="left"/>
      <w:pPr>
        <w:ind w:left="360" w:hanging="360"/>
      </w:pPr>
      <w:rPr>
        <w:i/>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C4057AF"/>
    <w:multiLevelType w:val="hybridMultilevel"/>
    <w:tmpl w:val="5FCCAD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A1039C3"/>
    <w:multiLevelType w:val="hybridMultilevel"/>
    <w:tmpl w:val="6E5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74225"/>
    <w:multiLevelType w:val="multilevel"/>
    <w:tmpl w:val="4BEAAB7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E34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672AF"/>
    <w:multiLevelType w:val="multilevel"/>
    <w:tmpl w:val="F61066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C07B55"/>
    <w:multiLevelType w:val="hybridMultilevel"/>
    <w:tmpl w:val="A39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45EBA"/>
    <w:multiLevelType w:val="hybridMultilevel"/>
    <w:tmpl w:val="B1768914"/>
    <w:lvl w:ilvl="0" w:tplc="374E1C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C058D"/>
    <w:multiLevelType w:val="hybridMultilevel"/>
    <w:tmpl w:val="6450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C6751A"/>
    <w:multiLevelType w:val="hybridMultilevel"/>
    <w:tmpl w:val="69D48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C67B35"/>
    <w:multiLevelType w:val="hybridMultilevel"/>
    <w:tmpl w:val="C14C2F54"/>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720" w:hanging="720"/>
      </w:pPr>
      <w:rPr>
        <w:rFonts w:ascii="Calibri" w:eastAsia="Times New Roman" w:hAnsi="Calibri" w:cs="Calibri" w:hint="default"/>
      </w:rPr>
    </w:lvl>
    <w:lvl w:ilvl="2" w:tplc="FFFFFFFF">
      <w:start w:val="1"/>
      <w:numFmt w:val="lowerRoman"/>
      <w:lvlText w:val="%3."/>
      <w:lvlJc w:val="right"/>
      <w:pPr>
        <w:ind w:left="-360" w:hanging="180"/>
      </w:pPr>
    </w:lvl>
    <w:lvl w:ilvl="3" w:tplc="FFFFFFFF">
      <w:start w:val="1"/>
      <w:numFmt w:val="decimal"/>
      <w:lvlText w:val="%4."/>
      <w:lvlJc w:val="left"/>
      <w:pPr>
        <w:ind w:left="360" w:hanging="360"/>
      </w:pPr>
    </w:lvl>
    <w:lvl w:ilvl="4" w:tplc="FFFFFFFF">
      <w:start w:val="1"/>
      <w:numFmt w:val="lowerLetter"/>
      <w:lvlText w:val="%5."/>
      <w:lvlJc w:val="left"/>
      <w:pPr>
        <w:ind w:left="1080" w:hanging="360"/>
      </w:pPr>
    </w:lvl>
    <w:lvl w:ilvl="5" w:tplc="FFFFFFFF">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16" w15:restartNumberingAfterBreak="0">
    <w:nsid w:val="5F2E233E"/>
    <w:multiLevelType w:val="hybridMultilevel"/>
    <w:tmpl w:val="8D20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65CCD"/>
    <w:multiLevelType w:val="multilevel"/>
    <w:tmpl w:val="2B2CB3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F22442"/>
    <w:multiLevelType w:val="hybridMultilevel"/>
    <w:tmpl w:val="4642BD84"/>
    <w:lvl w:ilvl="0" w:tplc="0C090001">
      <w:start w:val="1"/>
      <w:numFmt w:val="bullet"/>
      <w:lvlText w:val=""/>
      <w:lvlJc w:val="left"/>
      <w:pPr>
        <w:ind w:left="472" w:hanging="360"/>
      </w:pPr>
      <w:rPr>
        <w:rFonts w:ascii="Symbol" w:hAnsi="Symbol" w:hint="default"/>
      </w:rPr>
    </w:lvl>
    <w:lvl w:ilvl="1" w:tplc="0C090001">
      <w:start w:val="1"/>
      <w:numFmt w:val="bullet"/>
      <w:lvlText w:val=""/>
      <w:lvlJc w:val="left"/>
      <w:pPr>
        <w:ind w:left="1192" w:hanging="360"/>
      </w:pPr>
      <w:rPr>
        <w:rFonts w:ascii="Symbol" w:hAnsi="Symbol" w:hint="default"/>
      </w:rPr>
    </w:lvl>
    <w:lvl w:ilvl="2" w:tplc="0C090001">
      <w:start w:val="1"/>
      <w:numFmt w:val="bullet"/>
      <w:lvlText w:val=""/>
      <w:lvlJc w:val="left"/>
      <w:pPr>
        <w:ind w:left="1912" w:hanging="360"/>
      </w:pPr>
      <w:rPr>
        <w:rFonts w:ascii="Symbol" w:hAnsi="Symbol" w:hint="default"/>
      </w:rPr>
    </w:lvl>
    <w:lvl w:ilvl="3" w:tplc="0C090001" w:tentative="1">
      <w:start w:val="1"/>
      <w:numFmt w:val="bullet"/>
      <w:lvlText w:val=""/>
      <w:lvlJc w:val="left"/>
      <w:pPr>
        <w:ind w:left="2632" w:hanging="360"/>
      </w:pPr>
      <w:rPr>
        <w:rFonts w:ascii="Symbol" w:hAnsi="Symbol" w:hint="default"/>
      </w:rPr>
    </w:lvl>
    <w:lvl w:ilvl="4" w:tplc="0C090003" w:tentative="1">
      <w:start w:val="1"/>
      <w:numFmt w:val="bullet"/>
      <w:lvlText w:val="o"/>
      <w:lvlJc w:val="left"/>
      <w:pPr>
        <w:ind w:left="3352" w:hanging="360"/>
      </w:pPr>
      <w:rPr>
        <w:rFonts w:ascii="Courier New" w:hAnsi="Courier New" w:cs="Courier New" w:hint="default"/>
      </w:rPr>
    </w:lvl>
    <w:lvl w:ilvl="5" w:tplc="0C090005" w:tentative="1">
      <w:start w:val="1"/>
      <w:numFmt w:val="bullet"/>
      <w:lvlText w:val=""/>
      <w:lvlJc w:val="left"/>
      <w:pPr>
        <w:ind w:left="4072" w:hanging="360"/>
      </w:pPr>
      <w:rPr>
        <w:rFonts w:ascii="Wingdings" w:hAnsi="Wingdings" w:hint="default"/>
      </w:rPr>
    </w:lvl>
    <w:lvl w:ilvl="6" w:tplc="0C090001" w:tentative="1">
      <w:start w:val="1"/>
      <w:numFmt w:val="bullet"/>
      <w:lvlText w:val=""/>
      <w:lvlJc w:val="left"/>
      <w:pPr>
        <w:ind w:left="4792" w:hanging="360"/>
      </w:pPr>
      <w:rPr>
        <w:rFonts w:ascii="Symbol" w:hAnsi="Symbol" w:hint="default"/>
      </w:rPr>
    </w:lvl>
    <w:lvl w:ilvl="7" w:tplc="0C090003" w:tentative="1">
      <w:start w:val="1"/>
      <w:numFmt w:val="bullet"/>
      <w:lvlText w:val="o"/>
      <w:lvlJc w:val="left"/>
      <w:pPr>
        <w:ind w:left="5512" w:hanging="360"/>
      </w:pPr>
      <w:rPr>
        <w:rFonts w:ascii="Courier New" w:hAnsi="Courier New" w:cs="Courier New" w:hint="default"/>
      </w:rPr>
    </w:lvl>
    <w:lvl w:ilvl="8" w:tplc="0C090005" w:tentative="1">
      <w:start w:val="1"/>
      <w:numFmt w:val="bullet"/>
      <w:lvlText w:val=""/>
      <w:lvlJc w:val="left"/>
      <w:pPr>
        <w:ind w:left="6232" w:hanging="360"/>
      </w:pPr>
      <w:rPr>
        <w:rFonts w:ascii="Wingdings" w:hAnsi="Wingdings" w:hint="default"/>
      </w:rPr>
    </w:lvl>
  </w:abstractNum>
  <w:abstractNum w:abstractNumId="19" w15:restartNumberingAfterBreak="0">
    <w:nsid w:val="7407108C"/>
    <w:multiLevelType w:val="hybridMultilevel"/>
    <w:tmpl w:val="EAF2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C272B"/>
    <w:multiLevelType w:val="hybridMultilevel"/>
    <w:tmpl w:val="1110F6F2"/>
    <w:lvl w:ilvl="0" w:tplc="26EE06A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0"/>
  </w:num>
  <w:num w:numId="2">
    <w:abstractNumId w:val="8"/>
  </w:num>
  <w:num w:numId="3">
    <w:abstractNumId w:val="9"/>
  </w:num>
  <w:num w:numId="4">
    <w:abstractNumId w:val="0"/>
  </w:num>
  <w:num w:numId="5">
    <w:abstractNumId w:val="21"/>
  </w:num>
  <w:num w:numId="6">
    <w:abstractNumId w:val="11"/>
  </w:num>
  <w:num w:numId="7">
    <w:abstractNumId w:val="7"/>
  </w:num>
  <w:num w:numId="8">
    <w:abstractNumId w:val="19"/>
  </w:num>
  <w:num w:numId="9">
    <w:abstractNumId w:val="15"/>
  </w:num>
  <w:num w:numId="10">
    <w:abstractNumId w:val="6"/>
  </w:num>
  <w:num w:numId="11">
    <w:abstractNumId w:val="12"/>
  </w:num>
  <w:num w:numId="12">
    <w:abstractNumId w:val="16"/>
  </w:num>
  <w:num w:numId="13">
    <w:abstractNumId w:val="4"/>
  </w:num>
  <w:num w:numId="14">
    <w:abstractNumId w:val="22"/>
  </w:num>
  <w:num w:numId="15">
    <w:abstractNumId w:val="18"/>
  </w:num>
  <w:num w:numId="16">
    <w:abstractNumId w:val="14"/>
  </w:num>
  <w:num w:numId="17">
    <w:abstractNumId w:val="13"/>
  </w:num>
  <w:num w:numId="18">
    <w:abstractNumId w:val="1"/>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17"/>
  </w:num>
  <w:num w:numId="28">
    <w:abstractNumId w:val="5"/>
  </w:num>
  <w:num w:numId="29">
    <w:abstractNumId w:val="20"/>
  </w:num>
  <w:num w:numId="30">
    <w:abstractNumId w:val="20"/>
  </w:num>
  <w:num w:numId="31">
    <w:abstractNumId w:val="20"/>
  </w:num>
  <w:num w:numId="32">
    <w:abstractNumId w:val="2"/>
  </w:num>
  <w:num w:numId="33">
    <w:abstractNumId w:val="10"/>
  </w:num>
  <w:num w:numId="34">
    <w:abstractNumId w:val="20"/>
  </w:num>
  <w:num w:numId="35">
    <w:abstractNumId w:val="20"/>
  </w:num>
  <w:num w:numId="36">
    <w:abstractNumId w:val="20"/>
  </w:num>
  <w:num w:numId="3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74"/>
    <w:rsid w:val="00000790"/>
    <w:rsid w:val="0000110B"/>
    <w:rsid w:val="00001616"/>
    <w:rsid w:val="00001C2D"/>
    <w:rsid w:val="00001FD4"/>
    <w:rsid w:val="000025BC"/>
    <w:rsid w:val="00003499"/>
    <w:rsid w:val="000039B7"/>
    <w:rsid w:val="00004A82"/>
    <w:rsid w:val="0000507A"/>
    <w:rsid w:val="00005307"/>
    <w:rsid w:val="0000639A"/>
    <w:rsid w:val="000107CF"/>
    <w:rsid w:val="0001159A"/>
    <w:rsid w:val="00011CAF"/>
    <w:rsid w:val="0001264D"/>
    <w:rsid w:val="00013247"/>
    <w:rsid w:val="0001384B"/>
    <w:rsid w:val="00014DA9"/>
    <w:rsid w:val="00014EF9"/>
    <w:rsid w:val="00015886"/>
    <w:rsid w:val="0001594B"/>
    <w:rsid w:val="000162EF"/>
    <w:rsid w:val="00016866"/>
    <w:rsid w:val="0002034C"/>
    <w:rsid w:val="000207C9"/>
    <w:rsid w:val="00020CF3"/>
    <w:rsid w:val="00021B5D"/>
    <w:rsid w:val="00021D74"/>
    <w:rsid w:val="0002225F"/>
    <w:rsid w:val="00022409"/>
    <w:rsid w:val="00023403"/>
    <w:rsid w:val="00023763"/>
    <w:rsid w:val="000251FB"/>
    <w:rsid w:val="000253BB"/>
    <w:rsid w:val="00025908"/>
    <w:rsid w:val="000274B8"/>
    <w:rsid w:val="00031632"/>
    <w:rsid w:val="00031926"/>
    <w:rsid w:val="00032B32"/>
    <w:rsid w:val="00033863"/>
    <w:rsid w:val="000343C1"/>
    <w:rsid w:val="00035BBC"/>
    <w:rsid w:val="00035DC0"/>
    <w:rsid w:val="00036829"/>
    <w:rsid w:val="00036911"/>
    <w:rsid w:val="00037219"/>
    <w:rsid w:val="000402D3"/>
    <w:rsid w:val="00040842"/>
    <w:rsid w:val="00040895"/>
    <w:rsid w:val="0004316C"/>
    <w:rsid w:val="0004341C"/>
    <w:rsid w:val="000435EE"/>
    <w:rsid w:val="00043C37"/>
    <w:rsid w:val="00045017"/>
    <w:rsid w:val="00045A2B"/>
    <w:rsid w:val="0004634A"/>
    <w:rsid w:val="0004698F"/>
    <w:rsid w:val="000478D4"/>
    <w:rsid w:val="00047CE5"/>
    <w:rsid w:val="00050066"/>
    <w:rsid w:val="00052515"/>
    <w:rsid w:val="00052842"/>
    <w:rsid w:val="00052A8F"/>
    <w:rsid w:val="000539D0"/>
    <w:rsid w:val="00054621"/>
    <w:rsid w:val="0005465E"/>
    <w:rsid w:val="000546D7"/>
    <w:rsid w:val="00054C3B"/>
    <w:rsid w:val="00054F41"/>
    <w:rsid w:val="00056E7F"/>
    <w:rsid w:val="00056ECF"/>
    <w:rsid w:val="00056EE7"/>
    <w:rsid w:val="0005770C"/>
    <w:rsid w:val="000604DF"/>
    <w:rsid w:val="0006057C"/>
    <w:rsid w:val="0006098B"/>
    <w:rsid w:val="00062A5A"/>
    <w:rsid w:val="0006317A"/>
    <w:rsid w:val="0006383F"/>
    <w:rsid w:val="000653B5"/>
    <w:rsid w:val="00065C41"/>
    <w:rsid w:val="00065D88"/>
    <w:rsid w:val="00066360"/>
    <w:rsid w:val="00066AF8"/>
    <w:rsid w:val="000676D8"/>
    <w:rsid w:val="00067D9B"/>
    <w:rsid w:val="0007035B"/>
    <w:rsid w:val="000711ED"/>
    <w:rsid w:val="00071248"/>
    <w:rsid w:val="000720B9"/>
    <w:rsid w:val="000724F9"/>
    <w:rsid w:val="00072ACA"/>
    <w:rsid w:val="00072EB4"/>
    <w:rsid w:val="00072F6A"/>
    <w:rsid w:val="00073595"/>
    <w:rsid w:val="000737F7"/>
    <w:rsid w:val="00076254"/>
    <w:rsid w:val="0007672F"/>
    <w:rsid w:val="00076B54"/>
    <w:rsid w:val="00076F0F"/>
    <w:rsid w:val="00077277"/>
    <w:rsid w:val="000774F0"/>
    <w:rsid w:val="00080909"/>
    <w:rsid w:val="00080CCE"/>
    <w:rsid w:val="000812CA"/>
    <w:rsid w:val="00081E63"/>
    <w:rsid w:val="00082527"/>
    <w:rsid w:val="0008258D"/>
    <w:rsid w:val="0008303D"/>
    <w:rsid w:val="00083E99"/>
    <w:rsid w:val="00083EBE"/>
    <w:rsid w:val="00083FAC"/>
    <w:rsid w:val="00084FA8"/>
    <w:rsid w:val="000856C5"/>
    <w:rsid w:val="00085C31"/>
    <w:rsid w:val="0008602D"/>
    <w:rsid w:val="000902D9"/>
    <w:rsid w:val="00090572"/>
    <w:rsid w:val="000909C3"/>
    <w:rsid w:val="00090C7E"/>
    <w:rsid w:val="00091962"/>
    <w:rsid w:val="0009204F"/>
    <w:rsid w:val="00092061"/>
    <w:rsid w:val="000922FC"/>
    <w:rsid w:val="00092600"/>
    <w:rsid w:val="0009262B"/>
    <w:rsid w:val="00093310"/>
    <w:rsid w:val="00093420"/>
    <w:rsid w:val="00094198"/>
    <w:rsid w:val="0009445C"/>
    <w:rsid w:val="00094813"/>
    <w:rsid w:val="000948D6"/>
    <w:rsid w:val="000949B1"/>
    <w:rsid w:val="00094F89"/>
    <w:rsid w:val="00095200"/>
    <w:rsid w:val="000958C0"/>
    <w:rsid w:val="00095FE5"/>
    <w:rsid w:val="00096284"/>
    <w:rsid w:val="00096D0C"/>
    <w:rsid w:val="00097657"/>
    <w:rsid w:val="00097D91"/>
    <w:rsid w:val="000A0B11"/>
    <w:rsid w:val="000A1BC0"/>
    <w:rsid w:val="000A1D19"/>
    <w:rsid w:val="000A23D1"/>
    <w:rsid w:val="000A25B4"/>
    <w:rsid w:val="000A30F9"/>
    <w:rsid w:val="000A4365"/>
    <w:rsid w:val="000A45D4"/>
    <w:rsid w:val="000A503B"/>
    <w:rsid w:val="000A6039"/>
    <w:rsid w:val="000A7453"/>
    <w:rsid w:val="000A7D08"/>
    <w:rsid w:val="000A7FC6"/>
    <w:rsid w:val="000B0121"/>
    <w:rsid w:val="000B0670"/>
    <w:rsid w:val="000B0D7E"/>
    <w:rsid w:val="000B0E75"/>
    <w:rsid w:val="000B164E"/>
    <w:rsid w:val="000B1B2B"/>
    <w:rsid w:val="000B2197"/>
    <w:rsid w:val="000B2B3E"/>
    <w:rsid w:val="000B2DCB"/>
    <w:rsid w:val="000B3F87"/>
    <w:rsid w:val="000B45E2"/>
    <w:rsid w:val="000B5049"/>
    <w:rsid w:val="000B5890"/>
    <w:rsid w:val="000B5CE0"/>
    <w:rsid w:val="000B607B"/>
    <w:rsid w:val="000B6149"/>
    <w:rsid w:val="000B6838"/>
    <w:rsid w:val="000B6CAC"/>
    <w:rsid w:val="000B7014"/>
    <w:rsid w:val="000B719F"/>
    <w:rsid w:val="000B7612"/>
    <w:rsid w:val="000B78AE"/>
    <w:rsid w:val="000C0726"/>
    <w:rsid w:val="000C0E6E"/>
    <w:rsid w:val="000C2CD7"/>
    <w:rsid w:val="000C3DF9"/>
    <w:rsid w:val="000C41D9"/>
    <w:rsid w:val="000C4662"/>
    <w:rsid w:val="000C625B"/>
    <w:rsid w:val="000C6713"/>
    <w:rsid w:val="000C7231"/>
    <w:rsid w:val="000C7BA5"/>
    <w:rsid w:val="000D05CF"/>
    <w:rsid w:val="000D0CEF"/>
    <w:rsid w:val="000D10A7"/>
    <w:rsid w:val="000D17E2"/>
    <w:rsid w:val="000D17EA"/>
    <w:rsid w:val="000D1BFC"/>
    <w:rsid w:val="000D1D5D"/>
    <w:rsid w:val="000D281A"/>
    <w:rsid w:val="000D2848"/>
    <w:rsid w:val="000D2F72"/>
    <w:rsid w:val="000D3165"/>
    <w:rsid w:val="000D326A"/>
    <w:rsid w:val="000D3E49"/>
    <w:rsid w:val="000D3F9B"/>
    <w:rsid w:val="000D51FB"/>
    <w:rsid w:val="000D6154"/>
    <w:rsid w:val="000D74A3"/>
    <w:rsid w:val="000E037D"/>
    <w:rsid w:val="000E0640"/>
    <w:rsid w:val="000E135D"/>
    <w:rsid w:val="000E3CEC"/>
    <w:rsid w:val="000E47EC"/>
    <w:rsid w:val="000E503A"/>
    <w:rsid w:val="000E5DA5"/>
    <w:rsid w:val="000E694C"/>
    <w:rsid w:val="000E6EF2"/>
    <w:rsid w:val="000E76BB"/>
    <w:rsid w:val="000F00BA"/>
    <w:rsid w:val="000F07AE"/>
    <w:rsid w:val="000F0934"/>
    <w:rsid w:val="000F0C9E"/>
    <w:rsid w:val="000F168D"/>
    <w:rsid w:val="000F2A12"/>
    <w:rsid w:val="000F30F4"/>
    <w:rsid w:val="000F316A"/>
    <w:rsid w:val="000F329D"/>
    <w:rsid w:val="000F3C74"/>
    <w:rsid w:val="000F3DFE"/>
    <w:rsid w:val="000F47E1"/>
    <w:rsid w:val="000F4BB8"/>
    <w:rsid w:val="000F4DAE"/>
    <w:rsid w:val="000F4FA9"/>
    <w:rsid w:val="000F5160"/>
    <w:rsid w:val="000F53FB"/>
    <w:rsid w:val="000F580D"/>
    <w:rsid w:val="000F5B32"/>
    <w:rsid w:val="000F6038"/>
    <w:rsid w:val="000F6DAF"/>
    <w:rsid w:val="000F7127"/>
    <w:rsid w:val="000F79CE"/>
    <w:rsid w:val="000F7B54"/>
    <w:rsid w:val="000F7EA0"/>
    <w:rsid w:val="0010041E"/>
    <w:rsid w:val="00100F8A"/>
    <w:rsid w:val="00101B39"/>
    <w:rsid w:val="00102443"/>
    <w:rsid w:val="00102D80"/>
    <w:rsid w:val="0010452E"/>
    <w:rsid w:val="001045FB"/>
    <w:rsid w:val="001056FC"/>
    <w:rsid w:val="00105902"/>
    <w:rsid w:val="00105AE2"/>
    <w:rsid w:val="001060C6"/>
    <w:rsid w:val="00106B80"/>
    <w:rsid w:val="0010770F"/>
    <w:rsid w:val="00107EF2"/>
    <w:rsid w:val="0011032E"/>
    <w:rsid w:val="0011179C"/>
    <w:rsid w:val="00111B58"/>
    <w:rsid w:val="00111C08"/>
    <w:rsid w:val="00112963"/>
    <w:rsid w:val="00113355"/>
    <w:rsid w:val="0011348B"/>
    <w:rsid w:val="0011576B"/>
    <w:rsid w:val="00115982"/>
    <w:rsid w:val="001167FB"/>
    <w:rsid w:val="00116932"/>
    <w:rsid w:val="00116C53"/>
    <w:rsid w:val="00120CDF"/>
    <w:rsid w:val="0012178F"/>
    <w:rsid w:val="00121799"/>
    <w:rsid w:val="001222FC"/>
    <w:rsid w:val="00123902"/>
    <w:rsid w:val="00124729"/>
    <w:rsid w:val="00124A51"/>
    <w:rsid w:val="00124CB6"/>
    <w:rsid w:val="00125D92"/>
    <w:rsid w:val="00126621"/>
    <w:rsid w:val="00126B1D"/>
    <w:rsid w:val="00127590"/>
    <w:rsid w:val="00127A2A"/>
    <w:rsid w:val="00127F2D"/>
    <w:rsid w:val="001301E9"/>
    <w:rsid w:val="00131079"/>
    <w:rsid w:val="00131AE0"/>
    <w:rsid w:val="00131D82"/>
    <w:rsid w:val="00131E71"/>
    <w:rsid w:val="00132B22"/>
    <w:rsid w:val="001338DF"/>
    <w:rsid w:val="00133D36"/>
    <w:rsid w:val="00135B40"/>
    <w:rsid w:val="001371D3"/>
    <w:rsid w:val="00137645"/>
    <w:rsid w:val="001376E8"/>
    <w:rsid w:val="0014015A"/>
    <w:rsid w:val="0014073C"/>
    <w:rsid w:val="00140E99"/>
    <w:rsid w:val="00141934"/>
    <w:rsid w:val="00141FDE"/>
    <w:rsid w:val="00142670"/>
    <w:rsid w:val="00142EFE"/>
    <w:rsid w:val="00143F67"/>
    <w:rsid w:val="00144207"/>
    <w:rsid w:val="00144ABA"/>
    <w:rsid w:val="00145057"/>
    <w:rsid w:val="00145540"/>
    <w:rsid w:val="001456B0"/>
    <w:rsid w:val="00145E2F"/>
    <w:rsid w:val="00150467"/>
    <w:rsid w:val="0015063D"/>
    <w:rsid w:val="00151456"/>
    <w:rsid w:val="00151BFD"/>
    <w:rsid w:val="0015244C"/>
    <w:rsid w:val="00152B76"/>
    <w:rsid w:val="0015369C"/>
    <w:rsid w:val="00156C19"/>
    <w:rsid w:val="00156F87"/>
    <w:rsid w:val="00156F8F"/>
    <w:rsid w:val="00157130"/>
    <w:rsid w:val="001576B1"/>
    <w:rsid w:val="0016047B"/>
    <w:rsid w:val="00160857"/>
    <w:rsid w:val="00160A4C"/>
    <w:rsid w:val="00160E14"/>
    <w:rsid w:val="00161ABF"/>
    <w:rsid w:val="001628F0"/>
    <w:rsid w:val="00162913"/>
    <w:rsid w:val="00162BEB"/>
    <w:rsid w:val="00162EFE"/>
    <w:rsid w:val="001639DD"/>
    <w:rsid w:val="00163EFF"/>
    <w:rsid w:val="00163F66"/>
    <w:rsid w:val="00165400"/>
    <w:rsid w:val="001661FB"/>
    <w:rsid w:val="001663F7"/>
    <w:rsid w:val="001671A0"/>
    <w:rsid w:val="0016767F"/>
    <w:rsid w:val="001716FE"/>
    <w:rsid w:val="00171A92"/>
    <w:rsid w:val="001722F0"/>
    <w:rsid w:val="00172C1C"/>
    <w:rsid w:val="00172F92"/>
    <w:rsid w:val="00173565"/>
    <w:rsid w:val="001739DF"/>
    <w:rsid w:val="00173B07"/>
    <w:rsid w:val="001746DA"/>
    <w:rsid w:val="0017514D"/>
    <w:rsid w:val="001751FA"/>
    <w:rsid w:val="0017744B"/>
    <w:rsid w:val="001776E5"/>
    <w:rsid w:val="001776ED"/>
    <w:rsid w:val="00177B58"/>
    <w:rsid w:val="001815BD"/>
    <w:rsid w:val="001818F0"/>
    <w:rsid w:val="00181B64"/>
    <w:rsid w:val="00181D9C"/>
    <w:rsid w:val="001845B4"/>
    <w:rsid w:val="00184B0E"/>
    <w:rsid w:val="00184B60"/>
    <w:rsid w:val="001851F4"/>
    <w:rsid w:val="0018589F"/>
    <w:rsid w:val="00185FA1"/>
    <w:rsid w:val="0018752F"/>
    <w:rsid w:val="00190406"/>
    <w:rsid w:val="00190BEB"/>
    <w:rsid w:val="00191A1A"/>
    <w:rsid w:val="00193838"/>
    <w:rsid w:val="00193D5D"/>
    <w:rsid w:val="00194692"/>
    <w:rsid w:val="00194AD8"/>
    <w:rsid w:val="00194DBD"/>
    <w:rsid w:val="00195222"/>
    <w:rsid w:val="0019530D"/>
    <w:rsid w:val="00195636"/>
    <w:rsid w:val="00195B5B"/>
    <w:rsid w:val="001975D8"/>
    <w:rsid w:val="001A05FA"/>
    <w:rsid w:val="001A178E"/>
    <w:rsid w:val="001A29AD"/>
    <w:rsid w:val="001A3603"/>
    <w:rsid w:val="001A3B9E"/>
    <w:rsid w:val="001A3E8E"/>
    <w:rsid w:val="001A43FA"/>
    <w:rsid w:val="001A451F"/>
    <w:rsid w:val="001A47C5"/>
    <w:rsid w:val="001A4AE6"/>
    <w:rsid w:val="001A5015"/>
    <w:rsid w:val="001A5191"/>
    <w:rsid w:val="001A59FB"/>
    <w:rsid w:val="001A5E9E"/>
    <w:rsid w:val="001A6354"/>
    <w:rsid w:val="001A6366"/>
    <w:rsid w:val="001A7AE8"/>
    <w:rsid w:val="001B04C1"/>
    <w:rsid w:val="001B102F"/>
    <w:rsid w:val="001B167D"/>
    <w:rsid w:val="001B1B4E"/>
    <w:rsid w:val="001B204E"/>
    <w:rsid w:val="001B2372"/>
    <w:rsid w:val="001B2554"/>
    <w:rsid w:val="001B2AB5"/>
    <w:rsid w:val="001B2BBC"/>
    <w:rsid w:val="001B3443"/>
    <w:rsid w:val="001B49C4"/>
    <w:rsid w:val="001B4D20"/>
    <w:rsid w:val="001B6A2B"/>
    <w:rsid w:val="001B7B12"/>
    <w:rsid w:val="001C1B11"/>
    <w:rsid w:val="001C1EC7"/>
    <w:rsid w:val="001C2A9B"/>
    <w:rsid w:val="001C3E11"/>
    <w:rsid w:val="001C3ED3"/>
    <w:rsid w:val="001C4299"/>
    <w:rsid w:val="001C4874"/>
    <w:rsid w:val="001C4AE0"/>
    <w:rsid w:val="001C4C3E"/>
    <w:rsid w:val="001C4D1A"/>
    <w:rsid w:val="001C4E4F"/>
    <w:rsid w:val="001C5F94"/>
    <w:rsid w:val="001C6B50"/>
    <w:rsid w:val="001C6E66"/>
    <w:rsid w:val="001C7353"/>
    <w:rsid w:val="001D1100"/>
    <w:rsid w:val="001D129C"/>
    <w:rsid w:val="001D1391"/>
    <w:rsid w:val="001D1DEC"/>
    <w:rsid w:val="001D25D7"/>
    <w:rsid w:val="001D25E4"/>
    <w:rsid w:val="001D2729"/>
    <w:rsid w:val="001D3B3A"/>
    <w:rsid w:val="001D3B5E"/>
    <w:rsid w:val="001D3D20"/>
    <w:rsid w:val="001D50B2"/>
    <w:rsid w:val="001D672B"/>
    <w:rsid w:val="001D6CDF"/>
    <w:rsid w:val="001D6FFE"/>
    <w:rsid w:val="001D7645"/>
    <w:rsid w:val="001E0D0F"/>
    <w:rsid w:val="001E1629"/>
    <w:rsid w:val="001E1E86"/>
    <w:rsid w:val="001E20F0"/>
    <w:rsid w:val="001E238E"/>
    <w:rsid w:val="001E2483"/>
    <w:rsid w:val="001E2B1E"/>
    <w:rsid w:val="001E2CFF"/>
    <w:rsid w:val="001E2F24"/>
    <w:rsid w:val="001E30D4"/>
    <w:rsid w:val="001E34DF"/>
    <w:rsid w:val="001E52EB"/>
    <w:rsid w:val="001E56FD"/>
    <w:rsid w:val="001E57D8"/>
    <w:rsid w:val="001E5D98"/>
    <w:rsid w:val="001E61D2"/>
    <w:rsid w:val="001E740C"/>
    <w:rsid w:val="001F06A8"/>
    <w:rsid w:val="001F1235"/>
    <w:rsid w:val="001F1481"/>
    <w:rsid w:val="001F1879"/>
    <w:rsid w:val="001F1CB3"/>
    <w:rsid w:val="001F3156"/>
    <w:rsid w:val="001F38B5"/>
    <w:rsid w:val="001F4081"/>
    <w:rsid w:val="001F41BB"/>
    <w:rsid w:val="001F4597"/>
    <w:rsid w:val="001F4774"/>
    <w:rsid w:val="001F57E0"/>
    <w:rsid w:val="001F7361"/>
    <w:rsid w:val="002011B0"/>
    <w:rsid w:val="00201AAD"/>
    <w:rsid w:val="0020218C"/>
    <w:rsid w:val="00202231"/>
    <w:rsid w:val="0020227A"/>
    <w:rsid w:val="00203181"/>
    <w:rsid w:val="00203783"/>
    <w:rsid w:val="0020385F"/>
    <w:rsid w:val="00204901"/>
    <w:rsid w:val="002061C1"/>
    <w:rsid w:val="002068A0"/>
    <w:rsid w:val="00206EB4"/>
    <w:rsid w:val="00207021"/>
    <w:rsid w:val="0020732F"/>
    <w:rsid w:val="00207D00"/>
    <w:rsid w:val="002105C1"/>
    <w:rsid w:val="00211CA6"/>
    <w:rsid w:val="00211FA3"/>
    <w:rsid w:val="00212905"/>
    <w:rsid w:val="00212C42"/>
    <w:rsid w:val="002132A2"/>
    <w:rsid w:val="002133DF"/>
    <w:rsid w:val="0021355D"/>
    <w:rsid w:val="00213EF5"/>
    <w:rsid w:val="002155B4"/>
    <w:rsid w:val="002156E1"/>
    <w:rsid w:val="00216A09"/>
    <w:rsid w:val="00216A16"/>
    <w:rsid w:val="00216BF5"/>
    <w:rsid w:val="00217618"/>
    <w:rsid w:val="002176B8"/>
    <w:rsid w:val="002209DB"/>
    <w:rsid w:val="00222541"/>
    <w:rsid w:val="002228DF"/>
    <w:rsid w:val="00223B49"/>
    <w:rsid w:val="00223D5A"/>
    <w:rsid w:val="00224005"/>
    <w:rsid w:val="00224DD4"/>
    <w:rsid w:val="00227509"/>
    <w:rsid w:val="00227561"/>
    <w:rsid w:val="002278A0"/>
    <w:rsid w:val="00227D0B"/>
    <w:rsid w:val="00230068"/>
    <w:rsid w:val="002309CC"/>
    <w:rsid w:val="00231C5C"/>
    <w:rsid w:val="0023209F"/>
    <w:rsid w:val="002329E0"/>
    <w:rsid w:val="002334A6"/>
    <w:rsid w:val="002335E1"/>
    <w:rsid w:val="00233C01"/>
    <w:rsid w:val="00233CDD"/>
    <w:rsid w:val="0023413C"/>
    <w:rsid w:val="002346F0"/>
    <w:rsid w:val="0023506C"/>
    <w:rsid w:val="00235741"/>
    <w:rsid w:val="002358E9"/>
    <w:rsid w:val="00235F82"/>
    <w:rsid w:val="0023629D"/>
    <w:rsid w:val="00237255"/>
    <w:rsid w:val="00241391"/>
    <w:rsid w:val="002424AF"/>
    <w:rsid w:val="0024269D"/>
    <w:rsid w:val="00243139"/>
    <w:rsid w:val="00243983"/>
    <w:rsid w:val="002439DC"/>
    <w:rsid w:val="00243FA3"/>
    <w:rsid w:val="002441D2"/>
    <w:rsid w:val="00244DC8"/>
    <w:rsid w:val="002458BA"/>
    <w:rsid w:val="00245CE9"/>
    <w:rsid w:val="0024636C"/>
    <w:rsid w:val="0024656C"/>
    <w:rsid w:val="0024761C"/>
    <w:rsid w:val="00247925"/>
    <w:rsid w:val="00250764"/>
    <w:rsid w:val="00250C85"/>
    <w:rsid w:val="00251006"/>
    <w:rsid w:val="00251030"/>
    <w:rsid w:val="002524D5"/>
    <w:rsid w:val="00253272"/>
    <w:rsid w:val="00253B1D"/>
    <w:rsid w:val="00253EDF"/>
    <w:rsid w:val="00254DCF"/>
    <w:rsid w:val="0025534B"/>
    <w:rsid w:val="0025581F"/>
    <w:rsid w:val="00255BB7"/>
    <w:rsid w:val="002569F9"/>
    <w:rsid w:val="00257342"/>
    <w:rsid w:val="00257541"/>
    <w:rsid w:val="00257A39"/>
    <w:rsid w:val="00257AC4"/>
    <w:rsid w:val="00260B1E"/>
    <w:rsid w:val="002613E7"/>
    <w:rsid w:val="00261EEF"/>
    <w:rsid w:val="00262A1A"/>
    <w:rsid w:val="00262A87"/>
    <w:rsid w:val="00262AE4"/>
    <w:rsid w:val="00262E21"/>
    <w:rsid w:val="00263699"/>
    <w:rsid w:val="00263BD0"/>
    <w:rsid w:val="00264D26"/>
    <w:rsid w:val="00265121"/>
    <w:rsid w:val="00266FB2"/>
    <w:rsid w:val="00267642"/>
    <w:rsid w:val="00267758"/>
    <w:rsid w:val="00267AEA"/>
    <w:rsid w:val="002700E6"/>
    <w:rsid w:val="002709B9"/>
    <w:rsid w:val="00271CE2"/>
    <w:rsid w:val="0027294B"/>
    <w:rsid w:val="00272A98"/>
    <w:rsid w:val="00273EB4"/>
    <w:rsid w:val="00274682"/>
    <w:rsid w:val="00274DF4"/>
    <w:rsid w:val="0027549A"/>
    <w:rsid w:val="00275C5A"/>
    <w:rsid w:val="00276265"/>
    <w:rsid w:val="00276797"/>
    <w:rsid w:val="00276856"/>
    <w:rsid w:val="00276EC9"/>
    <w:rsid w:val="00277457"/>
    <w:rsid w:val="00281014"/>
    <w:rsid w:val="002815AA"/>
    <w:rsid w:val="00282930"/>
    <w:rsid w:val="00284CC9"/>
    <w:rsid w:val="00284E86"/>
    <w:rsid w:val="002857EE"/>
    <w:rsid w:val="00285ADB"/>
    <w:rsid w:val="00285BBC"/>
    <w:rsid w:val="00285F1A"/>
    <w:rsid w:val="0028645D"/>
    <w:rsid w:val="0028665D"/>
    <w:rsid w:val="00286CA1"/>
    <w:rsid w:val="00287F03"/>
    <w:rsid w:val="00287FF2"/>
    <w:rsid w:val="00290B21"/>
    <w:rsid w:val="00291E91"/>
    <w:rsid w:val="002932AB"/>
    <w:rsid w:val="00295699"/>
    <w:rsid w:val="002958BB"/>
    <w:rsid w:val="00295CEB"/>
    <w:rsid w:val="002971AA"/>
    <w:rsid w:val="002971FF"/>
    <w:rsid w:val="0029736A"/>
    <w:rsid w:val="002A14AB"/>
    <w:rsid w:val="002A152A"/>
    <w:rsid w:val="002A1993"/>
    <w:rsid w:val="002A2ADE"/>
    <w:rsid w:val="002A2F50"/>
    <w:rsid w:val="002A5768"/>
    <w:rsid w:val="002B03EC"/>
    <w:rsid w:val="002B05A1"/>
    <w:rsid w:val="002B09A4"/>
    <w:rsid w:val="002B0B07"/>
    <w:rsid w:val="002B0D49"/>
    <w:rsid w:val="002B1332"/>
    <w:rsid w:val="002B1C1F"/>
    <w:rsid w:val="002B1FB9"/>
    <w:rsid w:val="002B2E7B"/>
    <w:rsid w:val="002B3094"/>
    <w:rsid w:val="002B34E6"/>
    <w:rsid w:val="002B3843"/>
    <w:rsid w:val="002B3A8C"/>
    <w:rsid w:val="002B3D36"/>
    <w:rsid w:val="002B432F"/>
    <w:rsid w:val="002B4F84"/>
    <w:rsid w:val="002B4F8F"/>
    <w:rsid w:val="002B5CB8"/>
    <w:rsid w:val="002B62B3"/>
    <w:rsid w:val="002B62DC"/>
    <w:rsid w:val="002B6754"/>
    <w:rsid w:val="002B6CCE"/>
    <w:rsid w:val="002C021C"/>
    <w:rsid w:val="002C13E7"/>
    <w:rsid w:val="002C1D92"/>
    <w:rsid w:val="002C21D8"/>
    <w:rsid w:val="002C2510"/>
    <w:rsid w:val="002C2775"/>
    <w:rsid w:val="002C27C1"/>
    <w:rsid w:val="002C2E4D"/>
    <w:rsid w:val="002C33DB"/>
    <w:rsid w:val="002C506C"/>
    <w:rsid w:val="002C5099"/>
    <w:rsid w:val="002C5889"/>
    <w:rsid w:val="002C71CE"/>
    <w:rsid w:val="002D08F8"/>
    <w:rsid w:val="002D0E7A"/>
    <w:rsid w:val="002D1977"/>
    <w:rsid w:val="002D2EC5"/>
    <w:rsid w:val="002D466F"/>
    <w:rsid w:val="002D4A66"/>
    <w:rsid w:val="002D4F97"/>
    <w:rsid w:val="002D577C"/>
    <w:rsid w:val="002D5E01"/>
    <w:rsid w:val="002D5E67"/>
    <w:rsid w:val="002D6BD0"/>
    <w:rsid w:val="002D7B35"/>
    <w:rsid w:val="002E0824"/>
    <w:rsid w:val="002E0CDA"/>
    <w:rsid w:val="002E0F99"/>
    <w:rsid w:val="002E1071"/>
    <w:rsid w:val="002E15AD"/>
    <w:rsid w:val="002E15B9"/>
    <w:rsid w:val="002E2158"/>
    <w:rsid w:val="002E4BA6"/>
    <w:rsid w:val="002E4F02"/>
    <w:rsid w:val="002E6E50"/>
    <w:rsid w:val="002E7722"/>
    <w:rsid w:val="002E7EBF"/>
    <w:rsid w:val="002F07BA"/>
    <w:rsid w:val="002F0DA9"/>
    <w:rsid w:val="002F1014"/>
    <w:rsid w:val="002F1F88"/>
    <w:rsid w:val="002F2E76"/>
    <w:rsid w:val="002F308B"/>
    <w:rsid w:val="002F44CB"/>
    <w:rsid w:val="002F5A1D"/>
    <w:rsid w:val="002F643C"/>
    <w:rsid w:val="002F65E6"/>
    <w:rsid w:val="002F696A"/>
    <w:rsid w:val="002F71C0"/>
    <w:rsid w:val="002F73C3"/>
    <w:rsid w:val="002F74F1"/>
    <w:rsid w:val="002F7CE6"/>
    <w:rsid w:val="00300354"/>
    <w:rsid w:val="003008F9"/>
    <w:rsid w:val="003009B6"/>
    <w:rsid w:val="00300C7A"/>
    <w:rsid w:val="00301017"/>
    <w:rsid w:val="0030155F"/>
    <w:rsid w:val="00303AFE"/>
    <w:rsid w:val="003045D2"/>
    <w:rsid w:val="003050A1"/>
    <w:rsid w:val="0030587B"/>
    <w:rsid w:val="00306D98"/>
    <w:rsid w:val="003070CE"/>
    <w:rsid w:val="003074A2"/>
    <w:rsid w:val="0030786C"/>
    <w:rsid w:val="0031031A"/>
    <w:rsid w:val="003105A4"/>
    <w:rsid w:val="00310981"/>
    <w:rsid w:val="00311CED"/>
    <w:rsid w:val="003123A3"/>
    <w:rsid w:val="003124D9"/>
    <w:rsid w:val="00312594"/>
    <w:rsid w:val="00313FFB"/>
    <w:rsid w:val="00314244"/>
    <w:rsid w:val="0031468B"/>
    <w:rsid w:val="003146D9"/>
    <w:rsid w:val="00315301"/>
    <w:rsid w:val="00315430"/>
    <w:rsid w:val="00315498"/>
    <w:rsid w:val="00315F78"/>
    <w:rsid w:val="00316474"/>
    <w:rsid w:val="0032029D"/>
    <w:rsid w:val="003209DF"/>
    <w:rsid w:val="00320AEC"/>
    <w:rsid w:val="00321767"/>
    <w:rsid w:val="00322107"/>
    <w:rsid w:val="00322355"/>
    <w:rsid w:val="00322846"/>
    <w:rsid w:val="00322D74"/>
    <w:rsid w:val="00323F66"/>
    <w:rsid w:val="00324A29"/>
    <w:rsid w:val="003265D0"/>
    <w:rsid w:val="00326602"/>
    <w:rsid w:val="00326CF7"/>
    <w:rsid w:val="00326DA7"/>
    <w:rsid w:val="003270E4"/>
    <w:rsid w:val="00330DAA"/>
    <w:rsid w:val="00330F5C"/>
    <w:rsid w:val="00333848"/>
    <w:rsid w:val="003345B4"/>
    <w:rsid w:val="003366C9"/>
    <w:rsid w:val="003371B0"/>
    <w:rsid w:val="0033781D"/>
    <w:rsid w:val="0034034E"/>
    <w:rsid w:val="00340DF1"/>
    <w:rsid w:val="003418AD"/>
    <w:rsid w:val="00342BC1"/>
    <w:rsid w:val="00343125"/>
    <w:rsid w:val="00343924"/>
    <w:rsid w:val="00344A6C"/>
    <w:rsid w:val="00346022"/>
    <w:rsid w:val="00346A5A"/>
    <w:rsid w:val="00347A71"/>
    <w:rsid w:val="00347AA4"/>
    <w:rsid w:val="003501F3"/>
    <w:rsid w:val="0035072B"/>
    <w:rsid w:val="00350C4E"/>
    <w:rsid w:val="003517F9"/>
    <w:rsid w:val="00351BA9"/>
    <w:rsid w:val="00351F98"/>
    <w:rsid w:val="00353D38"/>
    <w:rsid w:val="003541EC"/>
    <w:rsid w:val="00354F64"/>
    <w:rsid w:val="00355570"/>
    <w:rsid w:val="0035620E"/>
    <w:rsid w:val="00356280"/>
    <w:rsid w:val="0035756F"/>
    <w:rsid w:val="0036033A"/>
    <w:rsid w:val="00360345"/>
    <w:rsid w:val="003611E2"/>
    <w:rsid w:val="00361A05"/>
    <w:rsid w:val="00361CED"/>
    <w:rsid w:val="003624C4"/>
    <w:rsid w:val="00362655"/>
    <w:rsid w:val="00362C34"/>
    <w:rsid w:val="00363B00"/>
    <w:rsid w:val="00363BF5"/>
    <w:rsid w:val="0036492A"/>
    <w:rsid w:val="00364A19"/>
    <w:rsid w:val="003654AC"/>
    <w:rsid w:val="003657B5"/>
    <w:rsid w:val="00366161"/>
    <w:rsid w:val="003666F6"/>
    <w:rsid w:val="00366C25"/>
    <w:rsid w:val="003710CF"/>
    <w:rsid w:val="003726B4"/>
    <w:rsid w:val="003726C3"/>
    <w:rsid w:val="003728C6"/>
    <w:rsid w:val="00373533"/>
    <w:rsid w:val="0037358A"/>
    <w:rsid w:val="003750F6"/>
    <w:rsid w:val="00375897"/>
    <w:rsid w:val="003760FC"/>
    <w:rsid w:val="003765FF"/>
    <w:rsid w:val="003766A0"/>
    <w:rsid w:val="0037672F"/>
    <w:rsid w:val="00376CEA"/>
    <w:rsid w:val="00377B93"/>
    <w:rsid w:val="00377BBF"/>
    <w:rsid w:val="00377DD1"/>
    <w:rsid w:val="0038365C"/>
    <w:rsid w:val="0038369B"/>
    <w:rsid w:val="003838F8"/>
    <w:rsid w:val="00383B78"/>
    <w:rsid w:val="00383E2E"/>
    <w:rsid w:val="00385A9D"/>
    <w:rsid w:val="003876BD"/>
    <w:rsid w:val="003902B1"/>
    <w:rsid w:val="0039179C"/>
    <w:rsid w:val="00394817"/>
    <w:rsid w:val="00394D4F"/>
    <w:rsid w:val="00396896"/>
    <w:rsid w:val="00396C0B"/>
    <w:rsid w:val="00396FD0"/>
    <w:rsid w:val="00397C58"/>
    <w:rsid w:val="003A102E"/>
    <w:rsid w:val="003A1940"/>
    <w:rsid w:val="003A1A7A"/>
    <w:rsid w:val="003A2392"/>
    <w:rsid w:val="003A2831"/>
    <w:rsid w:val="003A288F"/>
    <w:rsid w:val="003A3508"/>
    <w:rsid w:val="003A3AE0"/>
    <w:rsid w:val="003A3CB6"/>
    <w:rsid w:val="003A3ED1"/>
    <w:rsid w:val="003A44CD"/>
    <w:rsid w:val="003A44DB"/>
    <w:rsid w:val="003A7438"/>
    <w:rsid w:val="003A7E5F"/>
    <w:rsid w:val="003B02B6"/>
    <w:rsid w:val="003B056C"/>
    <w:rsid w:val="003B11D0"/>
    <w:rsid w:val="003B26D5"/>
    <w:rsid w:val="003B2A31"/>
    <w:rsid w:val="003B3971"/>
    <w:rsid w:val="003B39DF"/>
    <w:rsid w:val="003B55D1"/>
    <w:rsid w:val="003B5B61"/>
    <w:rsid w:val="003B6042"/>
    <w:rsid w:val="003B66A9"/>
    <w:rsid w:val="003B724A"/>
    <w:rsid w:val="003C0023"/>
    <w:rsid w:val="003C1654"/>
    <w:rsid w:val="003C293A"/>
    <w:rsid w:val="003C2D50"/>
    <w:rsid w:val="003C397C"/>
    <w:rsid w:val="003C39CD"/>
    <w:rsid w:val="003C3B0E"/>
    <w:rsid w:val="003C4128"/>
    <w:rsid w:val="003C5542"/>
    <w:rsid w:val="003C57C0"/>
    <w:rsid w:val="003C5A13"/>
    <w:rsid w:val="003C5FB8"/>
    <w:rsid w:val="003C7310"/>
    <w:rsid w:val="003C7D19"/>
    <w:rsid w:val="003C7D2F"/>
    <w:rsid w:val="003C7E62"/>
    <w:rsid w:val="003D159B"/>
    <w:rsid w:val="003D1614"/>
    <w:rsid w:val="003D1828"/>
    <w:rsid w:val="003D1DE4"/>
    <w:rsid w:val="003D1E9A"/>
    <w:rsid w:val="003D2310"/>
    <w:rsid w:val="003D2422"/>
    <w:rsid w:val="003D2957"/>
    <w:rsid w:val="003D2FC3"/>
    <w:rsid w:val="003D39A1"/>
    <w:rsid w:val="003D3BEF"/>
    <w:rsid w:val="003D3FBF"/>
    <w:rsid w:val="003D4A30"/>
    <w:rsid w:val="003D4A48"/>
    <w:rsid w:val="003D4CFA"/>
    <w:rsid w:val="003D51C9"/>
    <w:rsid w:val="003D67CE"/>
    <w:rsid w:val="003D7452"/>
    <w:rsid w:val="003D7900"/>
    <w:rsid w:val="003D79BB"/>
    <w:rsid w:val="003D7B2B"/>
    <w:rsid w:val="003D7C98"/>
    <w:rsid w:val="003D7D9D"/>
    <w:rsid w:val="003E0543"/>
    <w:rsid w:val="003E1BE9"/>
    <w:rsid w:val="003E3217"/>
    <w:rsid w:val="003E336D"/>
    <w:rsid w:val="003E3721"/>
    <w:rsid w:val="003E3774"/>
    <w:rsid w:val="003E4760"/>
    <w:rsid w:val="003E5256"/>
    <w:rsid w:val="003E739B"/>
    <w:rsid w:val="003E749E"/>
    <w:rsid w:val="003E7D1D"/>
    <w:rsid w:val="003F010C"/>
    <w:rsid w:val="003F38A4"/>
    <w:rsid w:val="003F39B7"/>
    <w:rsid w:val="003F3EA6"/>
    <w:rsid w:val="003F4045"/>
    <w:rsid w:val="003F40D4"/>
    <w:rsid w:val="003F4156"/>
    <w:rsid w:val="003F4735"/>
    <w:rsid w:val="003F4A00"/>
    <w:rsid w:val="003F4C57"/>
    <w:rsid w:val="003F5ADF"/>
    <w:rsid w:val="003F6D7E"/>
    <w:rsid w:val="003F6D9A"/>
    <w:rsid w:val="003F7969"/>
    <w:rsid w:val="00400B29"/>
    <w:rsid w:val="00401496"/>
    <w:rsid w:val="004016B0"/>
    <w:rsid w:val="00401C66"/>
    <w:rsid w:val="0040504B"/>
    <w:rsid w:val="004050EF"/>
    <w:rsid w:val="004052A4"/>
    <w:rsid w:val="004059F4"/>
    <w:rsid w:val="00406FA4"/>
    <w:rsid w:val="00407F5E"/>
    <w:rsid w:val="00407FE5"/>
    <w:rsid w:val="004101B0"/>
    <w:rsid w:val="0041026D"/>
    <w:rsid w:val="00410326"/>
    <w:rsid w:val="00410708"/>
    <w:rsid w:val="00410EC7"/>
    <w:rsid w:val="00411302"/>
    <w:rsid w:val="00411B39"/>
    <w:rsid w:val="004127A7"/>
    <w:rsid w:val="00413603"/>
    <w:rsid w:val="00413842"/>
    <w:rsid w:val="00413A1E"/>
    <w:rsid w:val="00413F73"/>
    <w:rsid w:val="00414476"/>
    <w:rsid w:val="004149A2"/>
    <w:rsid w:val="00414C2E"/>
    <w:rsid w:val="004151CF"/>
    <w:rsid w:val="00415E26"/>
    <w:rsid w:val="00415F0E"/>
    <w:rsid w:val="00415F3B"/>
    <w:rsid w:val="00416301"/>
    <w:rsid w:val="00416364"/>
    <w:rsid w:val="00416E5E"/>
    <w:rsid w:val="00417262"/>
    <w:rsid w:val="0041736C"/>
    <w:rsid w:val="004177AD"/>
    <w:rsid w:val="00417B4C"/>
    <w:rsid w:val="0042047F"/>
    <w:rsid w:val="00420AA6"/>
    <w:rsid w:val="00420B9F"/>
    <w:rsid w:val="0042192C"/>
    <w:rsid w:val="00422044"/>
    <w:rsid w:val="00422260"/>
    <w:rsid w:val="00422EF8"/>
    <w:rsid w:val="00423A23"/>
    <w:rsid w:val="0042413F"/>
    <w:rsid w:val="004276C6"/>
    <w:rsid w:val="004276F6"/>
    <w:rsid w:val="004319F8"/>
    <w:rsid w:val="00431E55"/>
    <w:rsid w:val="004321F6"/>
    <w:rsid w:val="00433044"/>
    <w:rsid w:val="00434088"/>
    <w:rsid w:val="004343FC"/>
    <w:rsid w:val="004346B7"/>
    <w:rsid w:val="00434754"/>
    <w:rsid w:val="00434957"/>
    <w:rsid w:val="00434F46"/>
    <w:rsid w:val="00435CEA"/>
    <w:rsid w:val="004361E8"/>
    <w:rsid w:val="00436A31"/>
    <w:rsid w:val="00436ED0"/>
    <w:rsid w:val="004375B9"/>
    <w:rsid w:val="0043784D"/>
    <w:rsid w:val="004408CC"/>
    <w:rsid w:val="00441732"/>
    <w:rsid w:val="004428D0"/>
    <w:rsid w:val="00443588"/>
    <w:rsid w:val="00444170"/>
    <w:rsid w:val="00444185"/>
    <w:rsid w:val="004441CA"/>
    <w:rsid w:val="004443A7"/>
    <w:rsid w:val="0044442C"/>
    <w:rsid w:val="004447AF"/>
    <w:rsid w:val="004450BE"/>
    <w:rsid w:val="004456E8"/>
    <w:rsid w:val="004457E4"/>
    <w:rsid w:val="00445941"/>
    <w:rsid w:val="004464EB"/>
    <w:rsid w:val="00447D26"/>
    <w:rsid w:val="00447DFC"/>
    <w:rsid w:val="004511E2"/>
    <w:rsid w:val="00453588"/>
    <w:rsid w:val="0045393F"/>
    <w:rsid w:val="00453BC4"/>
    <w:rsid w:val="004547EA"/>
    <w:rsid w:val="00454E73"/>
    <w:rsid w:val="00455B81"/>
    <w:rsid w:val="00455D45"/>
    <w:rsid w:val="00456488"/>
    <w:rsid w:val="00457CDF"/>
    <w:rsid w:val="00460A79"/>
    <w:rsid w:val="00460C99"/>
    <w:rsid w:val="0046164F"/>
    <w:rsid w:val="004619E5"/>
    <w:rsid w:val="00462618"/>
    <w:rsid w:val="0046299C"/>
    <w:rsid w:val="00463DDF"/>
    <w:rsid w:val="00463EF4"/>
    <w:rsid w:val="00464595"/>
    <w:rsid w:val="004658B5"/>
    <w:rsid w:val="00467044"/>
    <w:rsid w:val="00470048"/>
    <w:rsid w:val="00470B47"/>
    <w:rsid w:val="00470C66"/>
    <w:rsid w:val="00471D3A"/>
    <w:rsid w:val="00471EA5"/>
    <w:rsid w:val="00472A79"/>
    <w:rsid w:val="00473E74"/>
    <w:rsid w:val="00473F19"/>
    <w:rsid w:val="004746F4"/>
    <w:rsid w:val="00475643"/>
    <w:rsid w:val="00475E22"/>
    <w:rsid w:val="00475E63"/>
    <w:rsid w:val="00475F7F"/>
    <w:rsid w:val="00476145"/>
    <w:rsid w:val="00476D3C"/>
    <w:rsid w:val="00476E2E"/>
    <w:rsid w:val="00477F87"/>
    <w:rsid w:val="0048088E"/>
    <w:rsid w:val="00480933"/>
    <w:rsid w:val="00480F2B"/>
    <w:rsid w:val="00480F7E"/>
    <w:rsid w:val="0048116A"/>
    <w:rsid w:val="00481CA5"/>
    <w:rsid w:val="00481DF6"/>
    <w:rsid w:val="00482720"/>
    <w:rsid w:val="004828DF"/>
    <w:rsid w:val="004835E7"/>
    <w:rsid w:val="0048383D"/>
    <w:rsid w:val="00483BBD"/>
    <w:rsid w:val="004850F9"/>
    <w:rsid w:val="004867E2"/>
    <w:rsid w:val="004908DA"/>
    <w:rsid w:val="00490B17"/>
    <w:rsid w:val="00491AFA"/>
    <w:rsid w:val="00491B3A"/>
    <w:rsid w:val="00491D44"/>
    <w:rsid w:val="004926D8"/>
    <w:rsid w:val="00492BA9"/>
    <w:rsid w:val="00492BBA"/>
    <w:rsid w:val="00492CFD"/>
    <w:rsid w:val="00494207"/>
    <w:rsid w:val="00494DD5"/>
    <w:rsid w:val="00495D41"/>
    <w:rsid w:val="004962D2"/>
    <w:rsid w:val="004A0614"/>
    <w:rsid w:val="004A0DA1"/>
    <w:rsid w:val="004A0EFB"/>
    <w:rsid w:val="004A13D6"/>
    <w:rsid w:val="004A1686"/>
    <w:rsid w:val="004A1D08"/>
    <w:rsid w:val="004A2082"/>
    <w:rsid w:val="004A331D"/>
    <w:rsid w:val="004A3C5B"/>
    <w:rsid w:val="004A3DA3"/>
    <w:rsid w:val="004A52E9"/>
    <w:rsid w:val="004A5D26"/>
    <w:rsid w:val="004A6040"/>
    <w:rsid w:val="004A6597"/>
    <w:rsid w:val="004A7848"/>
    <w:rsid w:val="004B182B"/>
    <w:rsid w:val="004B18C8"/>
    <w:rsid w:val="004B1BBF"/>
    <w:rsid w:val="004B1CB4"/>
    <w:rsid w:val="004B2F18"/>
    <w:rsid w:val="004B35B7"/>
    <w:rsid w:val="004B3650"/>
    <w:rsid w:val="004B3DDB"/>
    <w:rsid w:val="004B44FD"/>
    <w:rsid w:val="004B4BF8"/>
    <w:rsid w:val="004B5944"/>
    <w:rsid w:val="004B5CFC"/>
    <w:rsid w:val="004B657B"/>
    <w:rsid w:val="004B6980"/>
    <w:rsid w:val="004B6F79"/>
    <w:rsid w:val="004B774D"/>
    <w:rsid w:val="004C0CA3"/>
    <w:rsid w:val="004C1F6A"/>
    <w:rsid w:val="004C3ADB"/>
    <w:rsid w:val="004C4AED"/>
    <w:rsid w:val="004C53F1"/>
    <w:rsid w:val="004C54EE"/>
    <w:rsid w:val="004C78FA"/>
    <w:rsid w:val="004D03A8"/>
    <w:rsid w:val="004D133E"/>
    <w:rsid w:val="004D14FF"/>
    <w:rsid w:val="004D29B1"/>
    <w:rsid w:val="004D2C2D"/>
    <w:rsid w:val="004D4BDD"/>
    <w:rsid w:val="004D5E9C"/>
    <w:rsid w:val="004D5FE1"/>
    <w:rsid w:val="004D66EE"/>
    <w:rsid w:val="004D68E6"/>
    <w:rsid w:val="004D69B5"/>
    <w:rsid w:val="004D6FD0"/>
    <w:rsid w:val="004D7227"/>
    <w:rsid w:val="004D73C0"/>
    <w:rsid w:val="004E01B4"/>
    <w:rsid w:val="004E0758"/>
    <w:rsid w:val="004E0E7F"/>
    <w:rsid w:val="004E0EB8"/>
    <w:rsid w:val="004E18D7"/>
    <w:rsid w:val="004E18E9"/>
    <w:rsid w:val="004E1C30"/>
    <w:rsid w:val="004E2ADC"/>
    <w:rsid w:val="004E2AFD"/>
    <w:rsid w:val="004E3201"/>
    <w:rsid w:val="004E43B0"/>
    <w:rsid w:val="004E43B2"/>
    <w:rsid w:val="004E4C4F"/>
    <w:rsid w:val="004E4E89"/>
    <w:rsid w:val="004E59E1"/>
    <w:rsid w:val="004E67A8"/>
    <w:rsid w:val="004E6883"/>
    <w:rsid w:val="004E6E3F"/>
    <w:rsid w:val="004E748B"/>
    <w:rsid w:val="004F0D6F"/>
    <w:rsid w:val="004F0EA2"/>
    <w:rsid w:val="004F1D02"/>
    <w:rsid w:val="004F2679"/>
    <w:rsid w:val="004F2A4A"/>
    <w:rsid w:val="004F2F21"/>
    <w:rsid w:val="004F36DD"/>
    <w:rsid w:val="004F3DD9"/>
    <w:rsid w:val="004F3DE5"/>
    <w:rsid w:val="004F4C9F"/>
    <w:rsid w:val="004F4CE5"/>
    <w:rsid w:val="004F4DB7"/>
    <w:rsid w:val="004F5333"/>
    <w:rsid w:val="004F5965"/>
    <w:rsid w:val="004F5B21"/>
    <w:rsid w:val="004F6913"/>
    <w:rsid w:val="004F7865"/>
    <w:rsid w:val="00500017"/>
    <w:rsid w:val="005016E7"/>
    <w:rsid w:val="0050174E"/>
    <w:rsid w:val="00501854"/>
    <w:rsid w:val="0050219B"/>
    <w:rsid w:val="00502C75"/>
    <w:rsid w:val="00503F17"/>
    <w:rsid w:val="00504AE7"/>
    <w:rsid w:val="00505624"/>
    <w:rsid w:val="005056DB"/>
    <w:rsid w:val="00506928"/>
    <w:rsid w:val="00506F81"/>
    <w:rsid w:val="00507691"/>
    <w:rsid w:val="005077EF"/>
    <w:rsid w:val="0051049A"/>
    <w:rsid w:val="005112F6"/>
    <w:rsid w:val="00511AD5"/>
    <w:rsid w:val="00511DC7"/>
    <w:rsid w:val="00511F9A"/>
    <w:rsid w:val="0051212F"/>
    <w:rsid w:val="00512A51"/>
    <w:rsid w:val="00512DF6"/>
    <w:rsid w:val="005142C5"/>
    <w:rsid w:val="0051501B"/>
    <w:rsid w:val="005150A0"/>
    <w:rsid w:val="00515131"/>
    <w:rsid w:val="005152B5"/>
    <w:rsid w:val="00515520"/>
    <w:rsid w:val="00515B41"/>
    <w:rsid w:val="005166C7"/>
    <w:rsid w:val="005174BE"/>
    <w:rsid w:val="00517927"/>
    <w:rsid w:val="00517958"/>
    <w:rsid w:val="0052052E"/>
    <w:rsid w:val="00520FC8"/>
    <w:rsid w:val="0052123C"/>
    <w:rsid w:val="00521319"/>
    <w:rsid w:val="00521D63"/>
    <w:rsid w:val="0052230D"/>
    <w:rsid w:val="00522BC8"/>
    <w:rsid w:val="005231B8"/>
    <w:rsid w:val="00523C28"/>
    <w:rsid w:val="00523D5D"/>
    <w:rsid w:val="0052638C"/>
    <w:rsid w:val="00526801"/>
    <w:rsid w:val="0053176B"/>
    <w:rsid w:val="00532549"/>
    <w:rsid w:val="005329FB"/>
    <w:rsid w:val="0053373B"/>
    <w:rsid w:val="00533DD5"/>
    <w:rsid w:val="005343A2"/>
    <w:rsid w:val="00534FF6"/>
    <w:rsid w:val="00535BFD"/>
    <w:rsid w:val="00535DF0"/>
    <w:rsid w:val="005363E8"/>
    <w:rsid w:val="005366C9"/>
    <w:rsid w:val="00536E09"/>
    <w:rsid w:val="00536F42"/>
    <w:rsid w:val="00537182"/>
    <w:rsid w:val="005400EE"/>
    <w:rsid w:val="005403EE"/>
    <w:rsid w:val="00540662"/>
    <w:rsid w:val="00540A5D"/>
    <w:rsid w:val="0054147A"/>
    <w:rsid w:val="00541EDD"/>
    <w:rsid w:val="00542743"/>
    <w:rsid w:val="00542C2D"/>
    <w:rsid w:val="005442B7"/>
    <w:rsid w:val="0054463B"/>
    <w:rsid w:val="005459E8"/>
    <w:rsid w:val="00545EA4"/>
    <w:rsid w:val="00546EF0"/>
    <w:rsid w:val="005478BD"/>
    <w:rsid w:val="005479E3"/>
    <w:rsid w:val="005504A2"/>
    <w:rsid w:val="00551985"/>
    <w:rsid w:val="00551DDD"/>
    <w:rsid w:val="00551DED"/>
    <w:rsid w:val="005523B8"/>
    <w:rsid w:val="00552BD3"/>
    <w:rsid w:val="005532A0"/>
    <w:rsid w:val="005533B8"/>
    <w:rsid w:val="005536EE"/>
    <w:rsid w:val="00553F99"/>
    <w:rsid w:val="005546FD"/>
    <w:rsid w:val="00555109"/>
    <w:rsid w:val="00556835"/>
    <w:rsid w:val="00556B35"/>
    <w:rsid w:val="0055741A"/>
    <w:rsid w:val="00560D1B"/>
    <w:rsid w:val="005611B7"/>
    <w:rsid w:val="00561529"/>
    <w:rsid w:val="005618D4"/>
    <w:rsid w:val="00562BA6"/>
    <w:rsid w:val="00563393"/>
    <w:rsid w:val="005638A6"/>
    <w:rsid w:val="00563B19"/>
    <w:rsid w:val="00564758"/>
    <w:rsid w:val="00565342"/>
    <w:rsid w:val="005655F3"/>
    <w:rsid w:val="00565DF0"/>
    <w:rsid w:val="00565E84"/>
    <w:rsid w:val="00566003"/>
    <w:rsid w:val="005665A2"/>
    <w:rsid w:val="0056696F"/>
    <w:rsid w:val="00570E3C"/>
    <w:rsid w:val="00572269"/>
    <w:rsid w:val="0057244A"/>
    <w:rsid w:val="00572F26"/>
    <w:rsid w:val="00573FCD"/>
    <w:rsid w:val="00574CAB"/>
    <w:rsid w:val="005750C5"/>
    <w:rsid w:val="005752DE"/>
    <w:rsid w:val="00575BB4"/>
    <w:rsid w:val="00575D8D"/>
    <w:rsid w:val="00576855"/>
    <w:rsid w:val="00576972"/>
    <w:rsid w:val="00580356"/>
    <w:rsid w:val="0058076D"/>
    <w:rsid w:val="00581D3D"/>
    <w:rsid w:val="00582266"/>
    <w:rsid w:val="005833EE"/>
    <w:rsid w:val="00583699"/>
    <w:rsid w:val="005836B5"/>
    <w:rsid w:val="0058424E"/>
    <w:rsid w:val="00584334"/>
    <w:rsid w:val="00584FE8"/>
    <w:rsid w:val="0058583B"/>
    <w:rsid w:val="00585CDD"/>
    <w:rsid w:val="00586BDB"/>
    <w:rsid w:val="00586C73"/>
    <w:rsid w:val="00587058"/>
    <w:rsid w:val="0058790E"/>
    <w:rsid w:val="00587E74"/>
    <w:rsid w:val="005904D4"/>
    <w:rsid w:val="00591957"/>
    <w:rsid w:val="0059269A"/>
    <w:rsid w:val="00592883"/>
    <w:rsid w:val="005937C1"/>
    <w:rsid w:val="0059587F"/>
    <w:rsid w:val="0059672B"/>
    <w:rsid w:val="00596815"/>
    <w:rsid w:val="00597156"/>
    <w:rsid w:val="00597BF9"/>
    <w:rsid w:val="005A0664"/>
    <w:rsid w:val="005A105E"/>
    <w:rsid w:val="005A22E9"/>
    <w:rsid w:val="005A2D2F"/>
    <w:rsid w:val="005A2E9F"/>
    <w:rsid w:val="005A3007"/>
    <w:rsid w:val="005A309A"/>
    <w:rsid w:val="005A373D"/>
    <w:rsid w:val="005A39E6"/>
    <w:rsid w:val="005A4003"/>
    <w:rsid w:val="005A4383"/>
    <w:rsid w:val="005A441F"/>
    <w:rsid w:val="005A5164"/>
    <w:rsid w:val="005A51B6"/>
    <w:rsid w:val="005A5244"/>
    <w:rsid w:val="005A536C"/>
    <w:rsid w:val="005A6432"/>
    <w:rsid w:val="005A651A"/>
    <w:rsid w:val="005A6A80"/>
    <w:rsid w:val="005A6DD0"/>
    <w:rsid w:val="005B06A3"/>
    <w:rsid w:val="005B0B58"/>
    <w:rsid w:val="005B0BC1"/>
    <w:rsid w:val="005B18CD"/>
    <w:rsid w:val="005B1B94"/>
    <w:rsid w:val="005B1BBD"/>
    <w:rsid w:val="005B2CE7"/>
    <w:rsid w:val="005B325E"/>
    <w:rsid w:val="005B3292"/>
    <w:rsid w:val="005B4356"/>
    <w:rsid w:val="005B4E53"/>
    <w:rsid w:val="005B5857"/>
    <w:rsid w:val="005B6578"/>
    <w:rsid w:val="005B7949"/>
    <w:rsid w:val="005B7C2C"/>
    <w:rsid w:val="005C19C4"/>
    <w:rsid w:val="005C1B83"/>
    <w:rsid w:val="005C25FF"/>
    <w:rsid w:val="005C2D55"/>
    <w:rsid w:val="005C3154"/>
    <w:rsid w:val="005C346B"/>
    <w:rsid w:val="005C38DB"/>
    <w:rsid w:val="005C4862"/>
    <w:rsid w:val="005C4E2F"/>
    <w:rsid w:val="005C4E85"/>
    <w:rsid w:val="005C6583"/>
    <w:rsid w:val="005C6ADC"/>
    <w:rsid w:val="005C72EE"/>
    <w:rsid w:val="005D044D"/>
    <w:rsid w:val="005D0ABD"/>
    <w:rsid w:val="005D18AD"/>
    <w:rsid w:val="005D26B4"/>
    <w:rsid w:val="005D29F2"/>
    <w:rsid w:val="005D40E8"/>
    <w:rsid w:val="005D5E84"/>
    <w:rsid w:val="005D7320"/>
    <w:rsid w:val="005D785E"/>
    <w:rsid w:val="005D7F73"/>
    <w:rsid w:val="005E0106"/>
    <w:rsid w:val="005E01B4"/>
    <w:rsid w:val="005E19FB"/>
    <w:rsid w:val="005E2EBA"/>
    <w:rsid w:val="005E36C4"/>
    <w:rsid w:val="005E44B4"/>
    <w:rsid w:val="005E469D"/>
    <w:rsid w:val="005E4EE3"/>
    <w:rsid w:val="005E54E3"/>
    <w:rsid w:val="005E58E3"/>
    <w:rsid w:val="005E61A6"/>
    <w:rsid w:val="005E633D"/>
    <w:rsid w:val="005E6CBC"/>
    <w:rsid w:val="005E72FF"/>
    <w:rsid w:val="005E73C0"/>
    <w:rsid w:val="005F04F7"/>
    <w:rsid w:val="005F1CC8"/>
    <w:rsid w:val="005F2056"/>
    <w:rsid w:val="005F2105"/>
    <w:rsid w:val="005F2251"/>
    <w:rsid w:val="005F233C"/>
    <w:rsid w:val="005F259A"/>
    <w:rsid w:val="005F2706"/>
    <w:rsid w:val="005F3E50"/>
    <w:rsid w:val="005F488A"/>
    <w:rsid w:val="005F4FE7"/>
    <w:rsid w:val="005F5025"/>
    <w:rsid w:val="005F576D"/>
    <w:rsid w:val="005F6A8F"/>
    <w:rsid w:val="005F6BB7"/>
    <w:rsid w:val="005F7588"/>
    <w:rsid w:val="00600737"/>
    <w:rsid w:val="00601179"/>
    <w:rsid w:val="006014F9"/>
    <w:rsid w:val="00601672"/>
    <w:rsid w:val="006018A0"/>
    <w:rsid w:val="006022C7"/>
    <w:rsid w:val="00602C47"/>
    <w:rsid w:val="00603DB9"/>
    <w:rsid w:val="00604030"/>
    <w:rsid w:val="006041B7"/>
    <w:rsid w:val="0060512A"/>
    <w:rsid w:val="00605754"/>
    <w:rsid w:val="00605918"/>
    <w:rsid w:val="0060635A"/>
    <w:rsid w:val="00606CC9"/>
    <w:rsid w:val="00606FBA"/>
    <w:rsid w:val="00607669"/>
    <w:rsid w:val="006076F4"/>
    <w:rsid w:val="00607914"/>
    <w:rsid w:val="00607AFD"/>
    <w:rsid w:val="00610573"/>
    <w:rsid w:val="00610995"/>
    <w:rsid w:val="00610EB6"/>
    <w:rsid w:val="00611C8F"/>
    <w:rsid w:val="00612F97"/>
    <w:rsid w:val="0061345D"/>
    <w:rsid w:val="0061374F"/>
    <w:rsid w:val="00613799"/>
    <w:rsid w:val="00613AF8"/>
    <w:rsid w:val="0061549B"/>
    <w:rsid w:val="00616802"/>
    <w:rsid w:val="00617058"/>
    <w:rsid w:val="0061727E"/>
    <w:rsid w:val="00617E12"/>
    <w:rsid w:val="00617EE3"/>
    <w:rsid w:val="00620506"/>
    <w:rsid w:val="00620891"/>
    <w:rsid w:val="006208DD"/>
    <w:rsid w:val="00620C25"/>
    <w:rsid w:val="00621477"/>
    <w:rsid w:val="00621ADA"/>
    <w:rsid w:val="00622DB2"/>
    <w:rsid w:val="00623F7B"/>
    <w:rsid w:val="00625736"/>
    <w:rsid w:val="00626A96"/>
    <w:rsid w:val="0063158F"/>
    <w:rsid w:val="00631D6B"/>
    <w:rsid w:val="00632183"/>
    <w:rsid w:val="00632AB7"/>
    <w:rsid w:val="006330A1"/>
    <w:rsid w:val="006345D1"/>
    <w:rsid w:val="0063479F"/>
    <w:rsid w:val="00634C63"/>
    <w:rsid w:val="00634E45"/>
    <w:rsid w:val="0063502F"/>
    <w:rsid w:val="006353F0"/>
    <w:rsid w:val="006357B5"/>
    <w:rsid w:val="006364A1"/>
    <w:rsid w:val="0063678E"/>
    <w:rsid w:val="00636DD8"/>
    <w:rsid w:val="00637ADA"/>
    <w:rsid w:val="00637BFD"/>
    <w:rsid w:val="00640E00"/>
    <w:rsid w:val="00641A27"/>
    <w:rsid w:val="00641C4E"/>
    <w:rsid w:val="00641D08"/>
    <w:rsid w:val="00641D7E"/>
    <w:rsid w:val="00641FB3"/>
    <w:rsid w:val="00642934"/>
    <w:rsid w:val="00643138"/>
    <w:rsid w:val="0064434C"/>
    <w:rsid w:val="006444F2"/>
    <w:rsid w:val="00644C50"/>
    <w:rsid w:val="00645260"/>
    <w:rsid w:val="0064601B"/>
    <w:rsid w:val="006461B3"/>
    <w:rsid w:val="00646B20"/>
    <w:rsid w:val="006471CC"/>
    <w:rsid w:val="0064738F"/>
    <w:rsid w:val="006476B3"/>
    <w:rsid w:val="0064785F"/>
    <w:rsid w:val="00647A29"/>
    <w:rsid w:val="00647B72"/>
    <w:rsid w:val="00650707"/>
    <w:rsid w:val="0065079F"/>
    <w:rsid w:val="00650CAE"/>
    <w:rsid w:val="006524DA"/>
    <w:rsid w:val="00652A28"/>
    <w:rsid w:val="0065379F"/>
    <w:rsid w:val="00654FE5"/>
    <w:rsid w:val="00656188"/>
    <w:rsid w:val="0065715A"/>
    <w:rsid w:val="0065737D"/>
    <w:rsid w:val="00657FEE"/>
    <w:rsid w:val="00660040"/>
    <w:rsid w:val="006601D2"/>
    <w:rsid w:val="006610F1"/>
    <w:rsid w:val="00661C6B"/>
    <w:rsid w:val="006646D1"/>
    <w:rsid w:val="00664DFE"/>
    <w:rsid w:val="0066575B"/>
    <w:rsid w:val="00665B16"/>
    <w:rsid w:val="00666055"/>
    <w:rsid w:val="006674E1"/>
    <w:rsid w:val="00667649"/>
    <w:rsid w:val="00667667"/>
    <w:rsid w:val="00667874"/>
    <w:rsid w:val="00670000"/>
    <w:rsid w:val="00670067"/>
    <w:rsid w:val="00671004"/>
    <w:rsid w:val="00671543"/>
    <w:rsid w:val="006724FA"/>
    <w:rsid w:val="00672646"/>
    <w:rsid w:val="0067373B"/>
    <w:rsid w:val="00674AA6"/>
    <w:rsid w:val="00674E42"/>
    <w:rsid w:val="006759BC"/>
    <w:rsid w:val="00675FF6"/>
    <w:rsid w:val="00676970"/>
    <w:rsid w:val="00677C1E"/>
    <w:rsid w:val="00680C01"/>
    <w:rsid w:val="0068120D"/>
    <w:rsid w:val="006813F8"/>
    <w:rsid w:val="00681782"/>
    <w:rsid w:val="00682112"/>
    <w:rsid w:val="00682B4C"/>
    <w:rsid w:val="00682BA6"/>
    <w:rsid w:val="00683CA8"/>
    <w:rsid w:val="00685DE9"/>
    <w:rsid w:val="0068659F"/>
    <w:rsid w:val="00686957"/>
    <w:rsid w:val="00686C0B"/>
    <w:rsid w:val="0068704F"/>
    <w:rsid w:val="006870E0"/>
    <w:rsid w:val="006872BA"/>
    <w:rsid w:val="00687355"/>
    <w:rsid w:val="0069010E"/>
    <w:rsid w:val="006903B2"/>
    <w:rsid w:val="00690795"/>
    <w:rsid w:val="00690DFA"/>
    <w:rsid w:val="00691648"/>
    <w:rsid w:val="006917D7"/>
    <w:rsid w:val="00691922"/>
    <w:rsid w:val="00691C53"/>
    <w:rsid w:val="0069434C"/>
    <w:rsid w:val="0069449D"/>
    <w:rsid w:val="00694B62"/>
    <w:rsid w:val="00694F44"/>
    <w:rsid w:val="00695DB9"/>
    <w:rsid w:val="0069632C"/>
    <w:rsid w:val="00696A6C"/>
    <w:rsid w:val="00696F51"/>
    <w:rsid w:val="006979A5"/>
    <w:rsid w:val="006A0D11"/>
    <w:rsid w:val="006A1729"/>
    <w:rsid w:val="006A3457"/>
    <w:rsid w:val="006A3BC6"/>
    <w:rsid w:val="006A5139"/>
    <w:rsid w:val="006A6B99"/>
    <w:rsid w:val="006A7863"/>
    <w:rsid w:val="006A7E5F"/>
    <w:rsid w:val="006A7F38"/>
    <w:rsid w:val="006B261B"/>
    <w:rsid w:val="006B2C90"/>
    <w:rsid w:val="006B35E6"/>
    <w:rsid w:val="006B3821"/>
    <w:rsid w:val="006B3DC8"/>
    <w:rsid w:val="006B465A"/>
    <w:rsid w:val="006B49B5"/>
    <w:rsid w:val="006B4CFF"/>
    <w:rsid w:val="006B5E07"/>
    <w:rsid w:val="006B6DD0"/>
    <w:rsid w:val="006B7417"/>
    <w:rsid w:val="006C0015"/>
    <w:rsid w:val="006C0386"/>
    <w:rsid w:val="006C0399"/>
    <w:rsid w:val="006C0D41"/>
    <w:rsid w:val="006C0E2F"/>
    <w:rsid w:val="006C0E6A"/>
    <w:rsid w:val="006C2A8E"/>
    <w:rsid w:val="006C3255"/>
    <w:rsid w:val="006C3853"/>
    <w:rsid w:val="006C3F26"/>
    <w:rsid w:val="006C45E1"/>
    <w:rsid w:val="006C522E"/>
    <w:rsid w:val="006C5F18"/>
    <w:rsid w:val="006C7781"/>
    <w:rsid w:val="006D07CB"/>
    <w:rsid w:val="006D0D17"/>
    <w:rsid w:val="006D13B8"/>
    <w:rsid w:val="006D16A2"/>
    <w:rsid w:val="006D3359"/>
    <w:rsid w:val="006D34C1"/>
    <w:rsid w:val="006D3C7D"/>
    <w:rsid w:val="006D4000"/>
    <w:rsid w:val="006D4164"/>
    <w:rsid w:val="006D4659"/>
    <w:rsid w:val="006D5D5F"/>
    <w:rsid w:val="006D68FB"/>
    <w:rsid w:val="006D79E9"/>
    <w:rsid w:val="006D7DEF"/>
    <w:rsid w:val="006D7FAA"/>
    <w:rsid w:val="006E12B3"/>
    <w:rsid w:val="006E2868"/>
    <w:rsid w:val="006E3ACD"/>
    <w:rsid w:val="006E4299"/>
    <w:rsid w:val="006E52B4"/>
    <w:rsid w:val="006F15C0"/>
    <w:rsid w:val="006F212D"/>
    <w:rsid w:val="006F306C"/>
    <w:rsid w:val="006F346D"/>
    <w:rsid w:val="006F3E41"/>
    <w:rsid w:val="006F58A3"/>
    <w:rsid w:val="006F63A5"/>
    <w:rsid w:val="006F644A"/>
    <w:rsid w:val="006F78D3"/>
    <w:rsid w:val="0070142B"/>
    <w:rsid w:val="0070276E"/>
    <w:rsid w:val="00702F4C"/>
    <w:rsid w:val="00702F8F"/>
    <w:rsid w:val="00703199"/>
    <w:rsid w:val="00703FE9"/>
    <w:rsid w:val="007047F7"/>
    <w:rsid w:val="0070576C"/>
    <w:rsid w:val="00705DA0"/>
    <w:rsid w:val="00707247"/>
    <w:rsid w:val="007079FC"/>
    <w:rsid w:val="00710CE3"/>
    <w:rsid w:val="00710FC3"/>
    <w:rsid w:val="0071118C"/>
    <w:rsid w:val="00711A36"/>
    <w:rsid w:val="007127AC"/>
    <w:rsid w:val="00712F3B"/>
    <w:rsid w:val="007130BC"/>
    <w:rsid w:val="00713B09"/>
    <w:rsid w:val="00714AB8"/>
    <w:rsid w:val="00714C26"/>
    <w:rsid w:val="0071529C"/>
    <w:rsid w:val="0071677B"/>
    <w:rsid w:val="00716A10"/>
    <w:rsid w:val="0071703C"/>
    <w:rsid w:val="007170DA"/>
    <w:rsid w:val="007172AD"/>
    <w:rsid w:val="00720612"/>
    <w:rsid w:val="00720615"/>
    <w:rsid w:val="00720765"/>
    <w:rsid w:val="00720801"/>
    <w:rsid w:val="00722756"/>
    <w:rsid w:val="00722B1B"/>
    <w:rsid w:val="007230AD"/>
    <w:rsid w:val="0072416F"/>
    <w:rsid w:val="00724805"/>
    <w:rsid w:val="00725D9B"/>
    <w:rsid w:val="007261D4"/>
    <w:rsid w:val="00726CA0"/>
    <w:rsid w:val="00726EA4"/>
    <w:rsid w:val="00727C94"/>
    <w:rsid w:val="0073030F"/>
    <w:rsid w:val="00731119"/>
    <w:rsid w:val="00731176"/>
    <w:rsid w:val="00731924"/>
    <w:rsid w:val="00731B0A"/>
    <w:rsid w:val="00731EAE"/>
    <w:rsid w:val="00733073"/>
    <w:rsid w:val="0073344E"/>
    <w:rsid w:val="007338FC"/>
    <w:rsid w:val="00734C64"/>
    <w:rsid w:val="00734EE6"/>
    <w:rsid w:val="00735033"/>
    <w:rsid w:val="00735328"/>
    <w:rsid w:val="00736057"/>
    <w:rsid w:val="0073685B"/>
    <w:rsid w:val="00736FEF"/>
    <w:rsid w:val="00737B73"/>
    <w:rsid w:val="00737C60"/>
    <w:rsid w:val="007403BD"/>
    <w:rsid w:val="00742B00"/>
    <w:rsid w:val="007449BF"/>
    <w:rsid w:val="00744FFA"/>
    <w:rsid w:val="00745EBE"/>
    <w:rsid w:val="007463DF"/>
    <w:rsid w:val="00746663"/>
    <w:rsid w:val="00746BC0"/>
    <w:rsid w:val="00747355"/>
    <w:rsid w:val="00747BCD"/>
    <w:rsid w:val="00747C7A"/>
    <w:rsid w:val="00750646"/>
    <w:rsid w:val="007510B4"/>
    <w:rsid w:val="007513C6"/>
    <w:rsid w:val="00752142"/>
    <w:rsid w:val="007523F9"/>
    <w:rsid w:val="0075357E"/>
    <w:rsid w:val="00753CD5"/>
    <w:rsid w:val="00754524"/>
    <w:rsid w:val="00755E76"/>
    <w:rsid w:val="00756B73"/>
    <w:rsid w:val="007573E8"/>
    <w:rsid w:val="00760467"/>
    <w:rsid w:val="00760C4E"/>
    <w:rsid w:val="00760F9E"/>
    <w:rsid w:val="00761DC2"/>
    <w:rsid w:val="007627BE"/>
    <w:rsid w:val="00763516"/>
    <w:rsid w:val="00764F03"/>
    <w:rsid w:val="00765B1A"/>
    <w:rsid w:val="00765C27"/>
    <w:rsid w:val="00766558"/>
    <w:rsid w:val="00770107"/>
    <w:rsid w:val="00771568"/>
    <w:rsid w:val="00772794"/>
    <w:rsid w:val="0077418D"/>
    <w:rsid w:val="00774701"/>
    <w:rsid w:val="007754E6"/>
    <w:rsid w:val="0077553D"/>
    <w:rsid w:val="00775B2C"/>
    <w:rsid w:val="00776185"/>
    <w:rsid w:val="007771F3"/>
    <w:rsid w:val="00777335"/>
    <w:rsid w:val="007778DA"/>
    <w:rsid w:val="00777C9D"/>
    <w:rsid w:val="0078218F"/>
    <w:rsid w:val="00783618"/>
    <w:rsid w:val="007843F2"/>
    <w:rsid w:val="00784D7E"/>
    <w:rsid w:val="00785A9F"/>
    <w:rsid w:val="00786232"/>
    <w:rsid w:val="0078658D"/>
    <w:rsid w:val="00787183"/>
    <w:rsid w:val="007906FD"/>
    <w:rsid w:val="00790781"/>
    <w:rsid w:val="00790D68"/>
    <w:rsid w:val="00791A03"/>
    <w:rsid w:val="00792594"/>
    <w:rsid w:val="007925DF"/>
    <w:rsid w:val="007935A4"/>
    <w:rsid w:val="007979C2"/>
    <w:rsid w:val="007A0404"/>
    <w:rsid w:val="007A08AA"/>
    <w:rsid w:val="007A0A12"/>
    <w:rsid w:val="007A132D"/>
    <w:rsid w:val="007A1345"/>
    <w:rsid w:val="007A195E"/>
    <w:rsid w:val="007A2A25"/>
    <w:rsid w:val="007A2B34"/>
    <w:rsid w:val="007A2DDB"/>
    <w:rsid w:val="007A3974"/>
    <w:rsid w:val="007A3DE7"/>
    <w:rsid w:val="007A3F1C"/>
    <w:rsid w:val="007A63E6"/>
    <w:rsid w:val="007A70BA"/>
    <w:rsid w:val="007B065D"/>
    <w:rsid w:val="007B0D68"/>
    <w:rsid w:val="007B146E"/>
    <w:rsid w:val="007B206F"/>
    <w:rsid w:val="007B251D"/>
    <w:rsid w:val="007B25A3"/>
    <w:rsid w:val="007B282A"/>
    <w:rsid w:val="007B2BF1"/>
    <w:rsid w:val="007B2D77"/>
    <w:rsid w:val="007B3806"/>
    <w:rsid w:val="007B3D6C"/>
    <w:rsid w:val="007B4F58"/>
    <w:rsid w:val="007B4F79"/>
    <w:rsid w:val="007B519A"/>
    <w:rsid w:val="007B528D"/>
    <w:rsid w:val="007B5513"/>
    <w:rsid w:val="007B5E0B"/>
    <w:rsid w:val="007B63CA"/>
    <w:rsid w:val="007B6F91"/>
    <w:rsid w:val="007B77D1"/>
    <w:rsid w:val="007C07C7"/>
    <w:rsid w:val="007C11CE"/>
    <w:rsid w:val="007C1CD9"/>
    <w:rsid w:val="007C2810"/>
    <w:rsid w:val="007C32EF"/>
    <w:rsid w:val="007C34E7"/>
    <w:rsid w:val="007C361D"/>
    <w:rsid w:val="007C39FD"/>
    <w:rsid w:val="007C40B7"/>
    <w:rsid w:val="007C4AEB"/>
    <w:rsid w:val="007C4B84"/>
    <w:rsid w:val="007C5943"/>
    <w:rsid w:val="007C6AE0"/>
    <w:rsid w:val="007C70FF"/>
    <w:rsid w:val="007C7C25"/>
    <w:rsid w:val="007D004F"/>
    <w:rsid w:val="007D09C5"/>
    <w:rsid w:val="007D0B38"/>
    <w:rsid w:val="007D1860"/>
    <w:rsid w:val="007D50E5"/>
    <w:rsid w:val="007D5440"/>
    <w:rsid w:val="007D6162"/>
    <w:rsid w:val="007D659F"/>
    <w:rsid w:val="007D69EB"/>
    <w:rsid w:val="007E128F"/>
    <w:rsid w:val="007E2309"/>
    <w:rsid w:val="007E4E76"/>
    <w:rsid w:val="007E64C4"/>
    <w:rsid w:val="007E68AC"/>
    <w:rsid w:val="007E742C"/>
    <w:rsid w:val="007F0388"/>
    <w:rsid w:val="007F1017"/>
    <w:rsid w:val="007F15C8"/>
    <w:rsid w:val="007F2730"/>
    <w:rsid w:val="007F2D81"/>
    <w:rsid w:val="007F40E5"/>
    <w:rsid w:val="007F46C1"/>
    <w:rsid w:val="007F4A3F"/>
    <w:rsid w:val="007F4A61"/>
    <w:rsid w:val="007F5255"/>
    <w:rsid w:val="007F56CC"/>
    <w:rsid w:val="007F61C2"/>
    <w:rsid w:val="007F7D79"/>
    <w:rsid w:val="00802607"/>
    <w:rsid w:val="00803DB9"/>
    <w:rsid w:val="00803F1F"/>
    <w:rsid w:val="00804277"/>
    <w:rsid w:val="008048FC"/>
    <w:rsid w:val="00805142"/>
    <w:rsid w:val="008051EA"/>
    <w:rsid w:val="00805FCE"/>
    <w:rsid w:val="008061EC"/>
    <w:rsid w:val="00806A9F"/>
    <w:rsid w:val="00806BD7"/>
    <w:rsid w:val="008072D0"/>
    <w:rsid w:val="00807A8B"/>
    <w:rsid w:val="0081052E"/>
    <w:rsid w:val="00811383"/>
    <w:rsid w:val="00812149"/>
    <w:rsid w:val="00812CAC"/>
    <w:rsid w:val="00812D97"/>
    <w:rsid w:val="00813CD2"/>
    <w:rsid w:val="00814183"/>
    <w:rsid w:val="008150C5"/>
    <w:rsid w:val="00816361"/>
    <w:rsid w:val="008166EF"/>
    <w:rsid w:val="00816FEF"/>
    <w:rsid w:val="00817A54"/>
    <w:rsid w:val="0082008C"/>
    <w:rsid w:val="00820685"/>
    <w:rsid w:val="00820A8C"/>
    <w:rsid w:val="00820F28"/>
    <w:rsid w:val="00820F6B"/>
    <w:rsid w:val="008215FB"/>
    <w:rsid w:val="00822797"/>
    <w:rsid w:val="00823174"/>
    <w:rsid w:val="0082563D"/>
    <w:rsid w:val="00825751"/>
    <w:rsid w:val="008264EB"/>
    <w:rsid w:val="008268DA"/>
    <w:rsid w:val="008301D9"/>
    <w:rsid w:val="008311A8"/>
    <w:rsid w:val="00831749"/>
    <w:rsid w:val="008317AC"/>
    <w:rsid w:val="008328F4"/>
    <w:rsid w:val="00833B05"/>
    <w:rsid w:val="00835910"/>
    <w:rsid w:val="0083606F"/>
    <w:rsid w:val="0083614E"/>
    <w:rsid w:val="008362B4"/>
    <w:rsid w:val="00840CA2"/>
    <w:rsid w:val="00842AD8"/>
    <w:rsid w:val="008434BE"/>
    <w:rsid w:val="0084374F"/>
    <w:rsid w:val="00844748"/>
    <w:rsid w:val="008447BE"/>
    <w:rsid w:val="00844A22"/>
    <w:rsid w:val="00844BFB"/>
    <w:rsid w:val="00846684"/>
    <w:rsid w:val="008467F4"/>
    <w:rsid w:val="00846EA8"/>
    <w:rsid w:val="00847073"/>
    <w:rsid w:val="00847703"/>
    <w:rsid w:val="008478E1"/>
    <w:rsid w:val="00847DF5"/>
    <w:rsid w:val="0085126B"/>
    <w:rsid w:val="00851922"/>
    <w:rsid w:val="00852F53"/>
    <w:rsid w:val="0085309D"/>
    <w:rsid w:val="00856897"/>
    <w:rsid w:val="00856E9A"/>
    <w:rsid w:val="0086075D"/>
    <w:rsid w:val="00860D3B"/>
    <w:rsid w:val="00861F15"/>
    <w:rsid w:val="00862128"/>
    <w:rsid w:val="0086218B"/>
    <w:rsid w:val="00862502"/>
    <w:rsid w:val="0086267E"/>
    <w:rsid w:val="00862CC1"/>
    <w:rsid w:val="008630AF"/>
    <w:rsid w:val="0086351B"/>
    <w:rsid w:val="008639FA"/>
    <w:rsid w:val="00865D2C"/>
    <w:rsid w:val="00865FFA"/>
    <w:rsid w:val="008660D4"/>
    <w:rsid w:val="008662D3"/>
    <w:rsid w:val="0086730E"/>
    <w:rsid w:val="008673D4"/>
    <w:rsid w:val="00867B98"/>
    <w:rsid w:val="00867F21"/>
    <w:rsid w:val="00871FA9"/>
    <w:rsid w:val="00872211"/>
    <w:rsid w:val="008728E9"/>
    <w:rsid w:val="00872D5A"/>
    <w:rsid w:val="00873AE6"/>
    <w:rsid w:val="00873B22"/>
    <w:rsid w:val="008757D7"/>
    <w:rsid w:val="008757DF"/>
    <w:rsid w:val="00875865"/>
    <w:rsid w:val="00876AAE"/>
    <w:rsid w:val="00876E05"/>
    <w:rsid w:val="00877104"/>
    <w:rsid w:val="00880D57"/>
    <w:rsid w:val="00881625"/>
    <w:rsid w:val="0088233B"/>
    <w:rsid w:val="00882444"/>
    <w:rsid w:val="00882874"/>
    <w:rsid w:val="00882E3C"/>
    <w:rsid w:val="00883787"/>
    <w:rsid w:val="00883864"/>
    <w:rsid w:val="00883F58"/>
    <w:rsid w:val="008845A6"/>
    <w:rsid w:val="00884C29"/>
    <w:rsid w:val="008855E4"/>
    <w:rsid w:val="0088598A"/>
    <w:rsid w:val="00885FB8"/>
    <w:rsid w:val="0088698D"/>
    <w:rsid w:val="00886C84"/>
    <w:rsid w:val="00886CD2"/>
    <w:rsid w:val="0088757B"/>
    <w:rsid w:val="00891E6F"/>
    <w:rsid w:val="00891F48"/>
    <w:rsid w:val="00892058"/>
    <w:rsid w:val="008921B8"/>
    <w:rsid w:val="008921E9"/>
    <w:rsid w:val="0089275D"/>
    <w:rsid w:val="00892A36"/>
    <w:rsid w:val="00893239"/>
    <w:rsid w:val="0089438A"/>
    <w:rsid w:val="00894489"/>
    <w:rsid w:val="00894731"/>
    <w:rsid w:val="00895125"/>
    <w:rsid w:val="008963A5"/>
    <w:rsid w:val="00896D5D"/>
    <w:rsid w:val="00897026"/>
    <w:rsid w:val="00897A2C"/>
    <w:rsid w:val="00897A33"/>
    <w:rsid w:val="00897AD9"/>
    <w:rsid w:val="008A07AF"/>
    <w:rsid w:val="008A12AE"/>
    <w:rsid w:val="008A3363"/>
    <w:rsid w:val="008A3371"/>
    <w:rsid w:val="008A3603"/>
    <w:rsid w:val="008A3C3E"/>
    <w:rsid w:val="008A48D3"/>
    <w:rsid w:val="008A4B8C"/>
    <w:rsid w:val="008A65A2"/>
    <w:rsid w:val="008A79DE"/>
    <w:rsid w:val="008A7D70"/>
    <w:rsid w:val="008B1757"/>
    <w:rsid w:val="008B1C01"/>
    <w:rsid w:val="008B1F85"/>
    <w:rsid w:val="008B2D0B"/>
    <w:rsid w:val="008B332D"/>
    <w:rsid w:val="008B513E"/>
    <w:rsid w:val="008B618F"/>
    <w:rsid w:val="008B64BB"/>
    <w:rsid w:val="008B664D"/>
    <w:rsid w:val="008B6D24"/>
    <w:rsid w:val="008B713D"/>
    <w:rsid w:val="008B7992"/>
    <w:rsid w:val="008B7D7E"/>
    <w:rsid w:val="008C03B2"/>
    <w:rsid w:val="008C1CA3"/>
    <w:rsid w:val="008C3638"/>
    <w:rsid w:val="008C367B"/>
    <w:rsid w:val="008C417F"/>
    <w:rsid w:val="008C41FD"/>
    <w:rsid w:val="008C46C3"/>
    <w:rsid w:val="008C5610"/>
    <w:rsid w:val="008C5739"/>
    <w:rsid w:val="008C734D"/>
    <w:rsid w:val="008C7ECB"/>
    <w:rsid w:val="008D04AA"/>
    <w:rsid w:val="008D0D5F"/>
    <w:rsid w:val="008D168D"/>
    <w:rsid w:val="008D1789"/>
    <w:rsid w:val="008D17BC"/>
    <w:rsid w:val="008D25CA"/>
    <w:rsid w:val="008D32BA"/>
    <w:rsid w:val="008D3B86"/>
    <w:rsid w:val="008D4755"/>
    <w:rsid w:val="008D4C3D"/>
    <w:rsid w:val="008D5225"/>
    <w:rsid w:val="008D556C"/>
    <w:rsid w:val="008D5D0C"/>
    <w:rsid w:val="008D72F1"/>
    <w:rsid w:val="008D743C"/>
    <w:rsid w:val="008D7F88"/>
    <w:rsid w:val="008E03DF"/>
    <w:rsid w:val="008E081D"/>
    <w:rsid w:val="008E0D3C"/>
    <w:rsid w:val="008E135D"/>
    <w:rsid w:val="008E1B9E"/>
    <w:rsid w:val="008E2972"/>
    <w:rsid w:val="008E31F1"/>
    <w:rsid w:val="008E50D4"/>
    <w:rsid w:val="008E55AB"/>
    <w:rsid w:val="008E5CBB"/>
    <w:rsid w:val="008E6502"/>
    <w:rsid w:val="008E68A9"/>
    <w:rsid w:val="008E70B8"/>
    <w:rsid w:val="008F0800"/>
    <w:rsid w:val="008F0D46"/>
    <w:rsid w:val="008F11B6"/>
    <w:rsid w:val="008F120A"/>
    <w:rsid w:val="008F177B"/>
    <w:rsid w:val="008F27E0"/>
    <w:rsid w:val="008F2C21"/>
    <w:rsid w:val="008F2E39"/>
    <w:rsid w:val="008F3277"/>
    <w:rsid w:val="008F34C1"/>
    <w:rsid w:val="008F3D6B"/>
    <w:rsid w:val="008F48EB"/>
    <w:rsid w:val="008F4F0B"/>
    <w:rsid w:val="008F689E"/>
    <w:rsid w:val="008F74BA"/>
    <w:rsid w:val="008F76F4"/>
    <w:rsid w:val="009000BF"/>
    <w:rsid w:val="00900967"/>
    <w:rsid w:val="00902AC9"/>
    <w:rsid w:val="009046C4"/>
    <w:rsid w:val="00905F19"/>
    <w:rsid w:val="009062A5"/>
    <w:rsid w:val="00907572"/>
    <w:rsid w:val="009079A2"/>
    <w:rsid w:val="00910A4C"/>
    <w:rsid w:val="00910FA7"/>
    <w:rsid w:val="00911272"/>
    <w:rsid w:val="009117D5"/>
    <w:rsid w:val="00912EC3"/>
    <w:rsid w:val="009135D5"/>
    <w:rsid w:val="009135D6"/>
    <w:rsid w:val="00914C77"/>
    <w:rsid w:val="009156BF"/>
    <w:rsid w:val="00915BBA"/>
    <w:rsid w:val="00916911"/>
    <w:rsid w:val="00920C68"/>
    <w:rsid w:val="0092108F"/>
    <w:rsid w:val="00921ACB"/>
    <w:rsid w:val="00922156"/>
    <w:rsid w:val="009221DC"/>
    <w:rsid w:val="009233AB"/>
    <w:rsid w:val="0092369B"/>
    <w:rsid w:val="00923899"/>
    <w:rsid w:val="0092598C"/>
    <w:rsid w:val="00925F8E"/>
    <w:rsid w:val="009261B2"/>
    <w:rsid w:val="00926886"/>
    <w:rsid w:val="0092742B"/>
    <w:rsid w:val="00930607"/>
    <w:rsid w:val="00930CC8"/>
    <w:rsid w:val="00931413"/>
    <w:rsid w:val="009324F0"/>
    <w:rsid w:val="00932A4D"/>
    <w:rsid w:val="009335E9"/>
    <w:rsid w:val="00933DDF"/>
    <w:rsid w:val="00934988"/>
    <w:rsid w:val="00934E65"/>
    <w:rsid w:val="009355FB"/>
    <w:rsid w:val="00935D20"/>
    <w:rsid w:val="00935EE9"/>
    <w:rsid w:val="00937089"/>
    <w:rsid w:val="00937D19"/>
    <w:rsid w:val="009409CE"/>
    <w:rsid w:val="00941B43"/>
    <w:rsid w:val="00942393"/>
    <w:rsid w:val="00944F8A"/>
    <w:rsid w:val="009461A5"/>
    <w:rsid w:val="00947C1A"/>
    <w:rsid w:val="00950687"/>
    <w:rsid w:val="0095095D"/>
    <w:rsid w:val="009510A2"/>
    <w:rsid w:val="00951C2A"/>
    <w:rsid w:val="00952B66"/>
    <w:rsid w:val="00952F6E"/>
    <w:rsid w:val="00953257"/>
    <w:rsid w:val="009538E7"/>
    <w:rsid w:val="0095474C"/>
    <w:rsid w:val="00956293"/>
    <w:rsid w:val="00956F7D"/>
    <w:rsid w:val="00957B50"/>
    <w:rsid w:val="009606C9"/>
    <w:rsid w:val="00961E55"/>
    <w:rsid w:val="00962136"/>
    <w:rsid w:val="0096280E"/>
    <w:rsid w:val="009628DB"/>
    <w:rsid w:val="00962CB9"/>
    <w:rsid w:val="00962CFC"/>
    <w:rsid w:val="00963671"/>
    <w:rsid w:val="00964312"/>
    <w:rsid w:val="00964801"/>
    <w:rsid w:val="009658BF"/>
    <w:rsid w:val="00965B8A"/>
    <w:rsid w:val="009667B5"/>
    <w:rsid w:val="0097071F"/>
    <w:rsid w:val="0097165E"/>
    <w:rsid w:val="009717AC"/>
    <w:rsid w:val="0097205E"/>
    <w:rsid w:val="009720EF"/>
    <w:rsid w:val="0097444E"/>
    <w:rsid w:val="009751C1"/>
    <w:rsid w:val="0097749B"/>
    <w:rsid w:val="00980AEE"/>
    <w:rsid w:val="009811F1"/>
    <w:rsid w:val="00982557"/>
    <w:rsid w:val="0098327E"/>
    <w:rsid w:val="00983E57"/>
    <w:rsid w:val="00984004"/>
    <w:rsid w:val="00984798"/>
    <w:rsid w:val="00984C37"/>
    <w:rsid w:val="00984EA1"/>
    <w:rsid w:val="00985DE2"/>
    <w:rsid w:val="00986020"/>
    <w:rsid w:val="00986226"/>
    <w:rsid w:val="009862B0"/>
    <w:rsid w:val="0098675D"/>
    <w:rsid w:val="00986E7F"/>
    <w:rsid w:val="0098724B"/>
    <w:rsid w:val="009873D3"/>
    <w:rsid w:val="00987DD3"/>
    <w:rsid w:val="009902B1"/>
    <w:rsid w:val="00990C14"/>
    <w:rsid w:val="00991C28"/>
    <w:rsid w:val="009926E0"/>
    <w:rsid w:val="00992CFC"/>
    <w:rsid w:val="0099379B"/>
    <w:rsid w:val="0099451E"/>
    <w:rsid w:val="009947A6"/>
    <w:rsid w:val="00996B1A"/>
    <w:rsid w:val="009975EA"/>
    <w:rsid w:val="00997875"/>
    <w:rsid w:val="00997C7E"/>
    <w:rsid w:val="009A0148"/>
    <w:rsid w:val="009A2063"/>
    <w:rsid w:val="009A22BE"/>
    <w:rsid w:val="009A2DCC"/>
    <w:rsid w:val="009A3EBF"/>
    <w:rsid w:val="009A4A71"/>
    <w:rsid w:val="009A52DC"/>
    <w:rsid w:val="009A5666"/>
    <w:rsid w:val="009A580D"/>
    <w:rsid w:val="009A58EE"/>
    <w:rsid w:val="009A5ABC"/>
    <w:rsid w:val="009A5CC8"/>
    <w:rsid w:val="009A63DD"/>
    <w:rsid w:val="009A65BB"/>
    <w:rsid w:val="009A7F10"/>
    <w:rsid w:val="009B0A15"/>
    <w:rsid w:val="009B1A0B"/>
    <w:rsid w:val="009B28CE"/>
    <w:rsid w:val="009B2942"/>
    <w:rsid w:val="009B3B39"/>
    <w:rsid w:val="009B3DAC"/>
    <w:rsid w:val="009B3E26"/>
    <w:rsid w:val="009B4212"/>
    <w:rsid w:val="009B4379"/>
    <w:rsid w:val="009B46E7"/>
    <w:rsid w:val="009B4AC5"/>
    <w:rsid w:val="009B6B29"/>
    <w:rsid w:val="009C06A2"/>
    <w:rsid w:val="009C1709"/>
    <w:rsid w:val="009C1B91"/>
    <w:rsid w:val="009C34BB"/>
    <w:rsid w:val="009C3706"/>
    <w:rsid w:val="009C3A3A"/>
    <w:rsid w:val="009C44E1"/>
    <w:rsid w:val="009C52BF"/>
    <w:rsid w:val="009C5782"/>
    <w:rsid w:val="009C59F5"/>
    <w:rsid w:val="009C6CEA"/>
    <w:rsid w:val="009C6DFB"/>
    <w:rsid w:val="009C70F5"/>
    <w:rsid w:val="009C79C8"/>
    <w:rsid w:val="009C7B85"/>
    <w:rsid w:val="009D0254"/>
    <w:rsid w:val="009D0795"/>
    <w:rsid w:val="009D134D"/>
    <w:rsid w:val="009D16FB"/>
    <w:rsid w:val="009D1A64"/>
    <w:rsid w:val="009D2143"/>
    <w:rsid w:val="009D338A"/>
    <w:rsid w:val="009D3BBB"/>
    <w:rsid w:val="009D3CDA"/>
    <w:rsid w:val="009D413E"/>
    <w:rsid w:val="009D5B91"/>
    <w:rsid w:val="009D6372"/>
    <w:rsid w:val="009D67CB"/>
    <w:rsid w:val="009D6BC9"/>
    <w:rsid w:val="009D71C2"/>
    <w:rsid w:val="009D792E"/>
    <w:rsid w:val="009E0DFE"/>
    <w:rsid w:val="009E17BB"/>
    <w:rsid w:val="009E31F6"/>
    <w:rsid w:val="009E4449"/>
    <w:rsid w:val="009E463B"/>
    <w:rsid w:val="009E4C07"/>
    <w:rsid w:val="009E4C29"/>
    <w:rsid w:val="009E544F"/>
    <w:rsid w:val="009F0430"/>
    <w:rsid w:val="009F4D82"/>
    <w:rsid w:val="009F4EF6"/>
    <w:rsid w:val="009F50AE"/>
    <w:rsid w:val="009F65BF"/>
    <w:rsid w:val="009F68D7"/>
    <w:rsid w:val="009F755B"/>
    <w:rsid w:val="00A0013F"/>
    <w:rsid w:val="00A00E1D"/>
    <w:rsid w:val="00A01184"/>
    <w:rsid w:val="00A01DEA"/>
    <w:rsid w:val="00A0222C"/>
    <w:rsid w:val="00A02454"/>
    <w:rsid w:val="00A02A7D"/>
    <w:rsid w:val="00A02C77"/>
    <w:rsid w:val="00A02D66"/>
    <w:rsid w:val="00A037C2"/>
    <w:rsid w:val="00A03D43"/>
    <w:rsid w:val="00A04380"/>
    <w:rsid w:val="00A044C5"/>
    <w:rsid w:val="00A045D1"/>
    <w:rsid w:val="00A0461D"/>
    <w:rsid w:val="00A047B9"/>
    <w:rsid w:val="00A04E4B"/>
    <w:rsid w:val="00A05472"/>
    <w:rsid w:val="00A05C32"/>
    <w:rsid w:val="00A0653F"/>
    <w:rsid w:val="00A0724A"/>
    <w:rsid w:val="00A07366"/>
    <w:rsid w:val="00A07EA9"/>
    <w:rsid w:val="00A11CD0"/>
    <w:rsid w:val="00A11FE5"/>
    <w:rsid w:val="00A12D51"/>
    <w:rsid w:val="00A13948"/>
    <w:rsid w:val="00A1555B"/>
    <w:rsid w:val="00A155C5"/>
    <w:rsid w:val="00A15B1B"/>
    <w:rsid w:val="00A168CF"/>
    <w:rsid w:val="00A16AD8"/>
    <w:rsid w:val="00A17129"/>
    <w:rsid w:val="00A17844"/>
    <w:rsid w:val="00A2007F"/>
    <w:rsid w:val="00A20F86"/>
    <w:rsid w:val="00A2184B"/>
    <w:rsid w:val="00A21A05"/>
    <w:rsid w:val="00A21C95"/>
    <w:rsid w:val="00A21CF3"/>
    <w:rsid w:val="00A21E6E"/>
    <w:rsid w:val="00A23A22"/>
    <w:rsid w:val="00A24813"/>
    <w:rsid w:val="00A272AB"/>
    <w:rsid w:val="00A2762B"/>
    <w:rsid w:val="00A27AEC"/>
    <w:rsid w:val="00A27BB6"/>
    <w:rsid w:val="00A27CB5"/>
    <w:rsid w:val="00A304A0"/>
    <w:rsid w:val="00A305D9"/>
    <w:rsid w:val="00A316D3"/>
    <w:rsid w:val="00A31B2C"/>
    <w:rsid w:val="00A320DB"/>
    <w:rsid w:val="00A3262A"/>
    <w:rsid w:val="00A32E67"/>
    <w:rsid w:val="00A33C22"/>
    <w:rsid w:val="00A33F77"/>
    <w:rsid w:val="00A34835"/>
    <w:rsid w:val="00A349F9"/>
    <w:rsid w:val="00A35D16"/>
    <w:rsid w:val="00A3640D"/>
    <w:rsid w:val="00A37BCD"/>
    <w:rsid w:val="00A403BE"/>
    <w:rsid w:val="00A405A2"/>
    <w:rsid w:val="00A40980"/>
    <w:rsid w:val="00A4099D"/>
    <w:rsid w:val="00A40B5C"/>
    <w:rsid w:val="00A40C9F"/>
    <w:rsid w:val="00A40DA4"/>
    <w:rsid w:val="00A40ED5"/>
    <w:rsid w:val="00A4125E"/>
    <w:rsid w:val="00A41689"/>
    <w:rsid w:val="00A42592"/>
    <w:rsid w:val="00A42888"/>
    <w:rsid w:val="00A43C59"/>
    <w:rsid w:val="00A43F4B"/>
    <w:rsid w:val="00A44902"/>
    <w:rsid w:val="00A45007"/>
    <w:rsid w:val="00A50DA6"/>
    <w:rsid w:val="00A50ECD"/>
    <w:rsid w:val="00A51111"/>
    <w:rsid w:val="00A51673"/>
    <w:rsid w:val="00A518F3"/>
    <w:rsid w:val="00A51BED"/>
    <w:rsid w:val="00A52322"/>
    <w:rsid w:val="00A52729"/>
    <w:rsid w:val="00A53675"/>
    <w:rsid w:val="00A53DB6"/>
    <w:rsid w:val="00A541D4"/>
    <w:rsid w:val="00A54205"/>
    <w:rsid w:val="00A55710"/>
    <w:rsid w:val="00A564D7"/>
    <w:rsid w:val="00A56B6A"/>
    <w:rsid w:val="00A5712B"/>
    <w:rsid w:val="00A57837"/>
    <w:rsid w:val="00A578DC"/>
    <w:rsid w:val="00A60B6A"/>
    <w:rsid w:val="00A60CAF"/>
    <w:rsid w:val="00A60D47"/>
    <w:rsid w:val="00A61C6D"/>
    <w:rsid w:val="00A62B08"/>
    <w:rsid w:val="00A632A0"/>
    <w:rsid w:val="00A63308"/>
    <w:rsid w:val="00A640E2"/>
    <w:rsid w:val="00A644E4"/>
    <w:rsid w:val="00A64D65"/>
    <w:rsid w:val="00A65599"/>
    <w:rsid w:val="00A65B89"/>
    <w:rsid w:val="00A6625E"/>
    <w:rsid w:val="00A67212"/>
    <w:rsid w:val="00A6725B"/>
    <w:rsid w:val="00A704F5"/>
    <w:rsid w:val="00A70605"/>
    <w:rsid w:val="00A730C6"/>
    <w:rsid w:val="00A73134"/>
    <w:rsid w:val="00A744AD"/>
    <w:rsid w:val="00A76001"/>
    <w:rsid w:val="00A777B2"/>
    <w:rsid w:val="00A8042F"/>
    <w:rsid w:val="00A81167"/>
    <w:rsid w:val="00A815E0"/>
    <w:rsid w:val="00A81E8E"/>
    <w:rsid w:val="00A825D4"/>
    <w:rsid w:val="00A828F6"/>
    <w:rsid w:val="00A82B73"/>
    <w:rsid w:val="00A83196"/>
    <w:rsid w:val="00A8385C"/>
    <w:rsid w:val="00A83E9C"/>
    <w:rsid w:val="00A83FA4"/>
    <w:rsid w:val="00A84416"/>
    <w:rsid w:val="00A84DB4"/>
    <w:rsid w:val="00A85E9F"/>
    <w:rsid w:val="00A86E8B"/>
    <w:rsid w:val="00A87164"/>
    <w:rsid w:val="00A87599"/>
    <w:rsid w:val="00A913C7"/>
    <w:rsid w:val="00A91754"/>
    <w:rsid w:val="00A93072"/>
    <w:rsid w:val="00A938BD"/>
    <w:rsid w:val="00A93953"/>
    <w:rsid w:val="00A94C5C"/>
    <w:rsid w:val="00A94F69"/>
    <w:rsid w:val="00A959D8"/>
    <w:rsid w:val="00A95F5D"/>
    <w:rsid w:val="00A9661F"/>
    <w:rsid w:val="00A96BE0"/>
    <w:rsid w:val="00AA05AF"/>
    <w:rsid w:val="00AA113D"/>
    <w:rsid w:val="00AA2C58"/>
    <w:rsid w:val="00AA2F40"/>
    <w:rsid w:val="00AA3F33"/>
    <w:rsid w:val="00AA4317"/>
    <w:rsid w:val="00AA59A2"/>
    <w:rsid w:val="00AA6BD5"/>
    <w:rsid w:val="00AA6BD8"/>
    <w:rsid w:val="00AA6C7D"/>
    <w:rsid w:val="00AA7FD6"/>
    <w:rsid w:val="00AB042A"/>
    <w:rsid w:val="00AB0937"/>
    <w:rsid w:val="00AB10DC"/>
    <w:rsid w:val="00AB19EF"/>
    <w:rsid w:val="00AB2D34"/>
    <w:rsid w:val="00AB3430"/>
    <w:rsid w:val="00AB37B9"/>
    <w:rsid w:val="00AB44A5"/>
    <w:rsid w:val="00AB4AD1"/>
    <w:rsid w:val="00AB5BA1"/>
    <w:rsid w:val="00AB5E07"/>
    <w:rsid w:val="00AB66A1"/>
    <w:rsid w:val="00AB6CC1"/>
    <w:rsid w:val="00AB7316"/>
    <w:rsid w:val="00AB7CFA"/>
    <w:rsid w:val="00AC07A2"/>
    <w:rsid w:val="00AC1757"/>
    <w:rsid w:val="00AC28DA"/>
    <w:rsid w:val="00AC2B1D"/>
    <w:rsid w:val="00AC2E58"/>
    <w:rsid w:val="00AC4197"/>
    <w:rsid w:val="00AC4E9C"/>
    <w:rsid w:val="00AC51AA"/>
    <w:rsid w:val="00AC5773"/>
    <w:rsid w:val="00AC5B48"/>
    <w:rsid w:val="00AC6088"/>
    <w:rsid w:val="00AC6270"/>
    <w:rsid w:val="00AC6901"/>
    <w:rsid w:val="00AC6E44"/>
    <w:rsid w:val="00AD1450"/>
    <w:rsid w:val="00AD1506"/>
    <w:rsid w:val="00AD1E1C"/>
    <w:rsid w:val="00AD4F75"/>
    <w:rsid w:val="00AD5CA0"/>
    <w:rsid w:val="00AD5E43"/>
    <w:rsid w:val="00AD6502"/>
    <w:rsid w:val="00AD72ED"/>
    <w:rsid w:val="00AE0695"/>
    <w:rsid w:val="00AE0DBC"/>
    <w:rsid w:val="00AE12C8"/>
    <w:rsid w:val="00AE1C0A"/>
    <w:rsid w:val="00AE2537"/>
    <w:rsid w:val="00AE278B"/>
    <w:rsid w:val="00AE29F2"/>
    <w:rsid w:val="00AE319E"/>
    <w:rsid w:val="00AE3279"/>
    <w:rsid w:val="00AE385A"/>
    <w:rsid w:val="00AE3C7E"/>
    <w:rsid w:val="00AE3E7E"/>
    <w:rsid w:val="00AE41CB"/>
    <w:rsid w:val="00AE56DB"/>
    <w:rsid w:val="00AE5DBE"/>
    <w:rsid w:val="00AE7181"/>
    <w:rsid w:val="00AF01AB"/>
    <w:rsid w:val="00AF1315"/>
    <w:rsid w:val="00AF18F4"/>
    <w:rsid w:val="00AF19BF"/>
    <w:rsid w:val="00AF2DC3"/>
    <w:rsid w:val="00AF3F6A"/>
    <w:rsid w:val="00AF43CE"/>
    <w:rsid w:val="00AF5966"/>
    <w:rsid w:val="00AF6199"/>
    <w:rsid w:val="00B0002A"/>
    <w:rsid w:val="00B00A70"/>
    <w:rsid w:val="00B0132A"/>
    <w:rsid w:val="00B0176E"/>
    <w:rsid w:val="00B033E5"/>
    <w:rsid w:val="00B03A63"/>
    <w:rsid w:val="00B04134"/>
    <w:rsid w:val="00B06966"/>
    <w:rsid w:val="00B10856"/>
    <w:rsid w:val="00B11B86"/>
    <w:rsid w:val="00B15E77"/>
    <w:rsid w:val="00B17B3F"/>
    <w:rsid w:val="00B17CDD"/>
    <w:rsid w:val="00B201A4"/>
    <w:rsid w:val="00B201D1"/>
    <w:rsid w:val="00B203B2"/>
    <w:rsid w:val="00B20505"/>
    <w:rsid w:val="00B213A6"/>
    <w:rsid w:val="00B235B0"/>
    <w:rsid w:val="00B24DF6"/>
    <w:rsid w:val="00B25DC0"/>
    <w:rsid w:val="00B26E35"/>
    <w:rsid w:val="00B274A5"/>
    <w:rsid w:val="00B2770A"/>
    <w:rsid w:val="00B27747"/>
    <w:rsid w:val="00B30015"/>
    <w:rsid w:val="00B308DA"/>
    <w:rsid w:val="00B30C64"/>
    <w:rsid w:val="00B31193"/>
    <w:rsid w:val="00B31561"/>
    <w:rsid w:val="00B32279"/>
    <w:rsid w:val="00B322E0"/>
    <w:rsid w:val="00B32B8A"/>
    <w:rsid w:val="00B3397F"/>
    <w:rsid w:val="00B33ED1"/>
    <w:rsid w:val="00B344B5"/>
    <w:rsid w:val="00B34BE7"/>
    <w:rsid w:val="00B34FE2"/>
    <w:rsid w:val="00B35166"/>
    <w:rsid w:val="00B357D8"/>
    <w:rsid w:val="00B360F4"/>
    <w:rsid w:val="00B3672F"/>
    <w:rsid w:val="00B36A00"/>
    <w:rsid w:val="00B36AD3"/>
    <w:rsid w:val="00B36C15"/>
    <w:rsid w:val="00B36C85"/>
    <w:rsid w:val="00B36CDC"/>
    <w:rsid w:val="00B36D51"/>
    <w:rsid w:val="00B36DFF"/>
    <w:rsid w:val="00B36F77"/>
    <w:rsid w:val="00B373B3"/>
    <w:rsid w:val="00B37B40"/>
    <w:rsid w:val="00B37BFC"/>
    <w:rsid w:val="00B37C54"/>
    <w:rsid w:val="00B40358"/>
    <w:rsid w:val="00B41614"/>
    <w:rsid w:val="00B421AE"/>
    <w:rsid w:val="00B42851"/>
    <w:rsid w:val="00B42F80"/>
    <w:rsid w:val="00B435CB"/>
    <w:rsid w:val="00B43A26"/>
    <w:rsid w:val="00B46AD3"/>
    <w:rsid w:val="00B47279"/>
    <w:rsid w:val="00B501EA"/>
    <w:rsid w:val="00B50416"/>
    <w:rsid w:val="00B505C8"/>
    <w:rsid w:val="00B50DB8"/>
    <w:rsid w:val="00B50F1B"/>
    <w:rsid w:val="00B5170F"/>
    <w:rsid w:val="00B518DF"/>
    <w:rsid w:val="00B526EA"/>
    <w:rsid w:val="00B52A16"/>
    <w:rsid w:val="00B52C43"/>
    <w:rsid w:val="00B53654"/>
    <w:rsid w:val="00B53905"/>
    <w:rsid w:val="00B53EA1"/>
    <w:rsid w:val="00B54B5B"/>
    <w:rsid w:val="00B54D31"/>
    <w:rsid w:val="00B5562E"/>
    <w:rsid w:val="00B55862"/>
    <w:rsid w:val="00B55D65"/>
    <w:rsid w:val="00B57000"/>
    <w:rsid w:val="00B5771D"/>
    <w:rsid w:val="00B57A75"/>
    <w:rsid w:val="00B57AF2"/>
    <w:rsid w:val="00B60939"/>
    <w:rsid w:val="00B60AFD"/>
    <w:rsid w:val="00B61874"/>
    <w:rsid w:val="00B61A3A"/>
    <w:rsid w:val="00B62715"/>
    <w:rsid w:val="00B62AB1"/>
    <w:rsid w:val="00B62DC1"/>
    <w:rsid w:val="00B6317D"/>
    <w:rsid w:val="00B631E9"/>
    <w:rsid w:val="00B63FFD"/>
    <w:rsid w:val="00B65611"/>
    <w:rsid w:val="00B6689B"/>
    <w:rsid w:val="00B67574"/>
    <w:rsid w:val="00B67611"/>
    <w:rsid w:val="00B70E8E"/>
    <w:rsid w:val="00B73004"/>
    <w:rsid w:val="00B73889"/>
    <w:rsid w:val="00B73B2C"/>
    <w:rsid w:val="00B74641"/>
    <w:rsid w:val="00B74933"/>
    <w:rsid w:val="00B75A43"/>
    <w:rsid w:val="00B75B04"/>
    <w:rsid w:val="00B76C06"/>
    <w:rsid w:val="00B76C92"/>
    <w:rsid w:val="00B77A0A"/>
    <w:rsid w:val="00B77B30"/>
    <w:rsid w:val="00B8057C"/>
    <w:rsid w:val="00B818A4"/>
    <w:rsid w:val="00B81A69"/>
    <w:rsid w:val="00B828D2"/>
    <w:rsid w:val="00B83E24"/>
    <w:rsid w:val="00B84117"/>
    <w:rsid w:val="00B8462A"/>
    <w:rsid w:val="00B858F0"/>
    <w:rsid w:val="00B85AA2"/>
    <w:rsid w:val="00B8649C"/>
    <w:rsid w:val="00B8695D"/>
    <w:rsid w:val="00B87F0A"/>
    <w:rsid w:val="00B90864"/>
    <w:rsid w:val="00B90EE9"/>
    <w:rsid w:val="00B9137C"/>
    <w:rsid w:val="00B91387"/>
    <w:rsid w:val="00B91E69"/>
    <w:rsid w:val="00B92D0B"/>
    <w:rsid w:val="00B93464"/>
    <w:rsid w:val="00B93D45"/>
    <w:rsid w:val="00B9422C"/>
    <w:rsid w:val="00B94495"/>
    <w:rsid w:val="00B94939"/>
    <w:rsid w:val="00B94945"/>
    <w:rsid w:val="00B94DD6"/>
    <w:rsid w:val="00B9546C"/>
    <w:rsid w:val="00B96065"/>
    <w:rsid w:val="00B96EC1"/>
    <w:rsid w:val="00B971F0"/>
    <w:rsid w:val="00B97201"/>
    <w:rsid w:val="00B97506"/>
    <w:rsid w:val="00B97DB6"/>
    <w:rsid w:val="00BA16C7"/>
    <w:rsid w:val="00BA322D"/>
    <w:rsid w:val="00BA3736"/>
    <w:rsid w:val="00BA4A79"/>
    <w:rsid w:val="00BA4C27"/>
    <w:rsid w:val="00BA50EF"/>
    <w:rsid w:val="00BA5A24"/>
    <w:rsid w:val="00BA63FA"/>
    <w:rsid w:val="00BA733A"/>
    <w:rsid w:val="00BB0062"/>
    <w:rsid w:val="00BB00B3"/>
    <w:rsid w:val="00BB093D"/>
    <w:rsid w:val="00BB0B9D"/>
    <w:rsid w:val="00BB0BDD"/>
    <w:rsid w:val="00BB0C7B"/>
    <w:rsid w:val="00BB136B"/>
    <w:rsid w:val="00BB14A1"/>
    <w:rsid w:val="00BB176C"/>
    <w:rsid w:val="00BB2A73"/>
    <w:rsid w:val="00BB2F44"/>
    <w:rsid w:val="00BB36AD"/>
    <w:rsid w:val="00BB3A45"/>
    <w:rsid w:val="00BB4914"/>
    <w:rsid w:val="00BB4ACC"/>
    <w:rsid w:val="00BB57B8"/>
    <w:rsid w:val="00BB5877"/>
    <w:rsid w:val="00BB5B8E"/>
    <w:rsid w:val="00BB5BB7"/>
    <w:rsid w:val="00BB5D50"/>
    <w:rsid w:val="00BB5F8E"/>
    <w:rsid w:val="00BB6493"/>
    <w:rsid w:val="00BB6ADD"/>
    <w:rsid w:val="00BB703E"/>
    <w:rsid w:val="00BB7311"/>
    <w:rsid w:val="00BB732D"/>
    <w:rsid w:val="00BB7405"/>
    <w:rsid w:val="00BB7915"/>
    <w:rsid w:val="00BC1054"/>
    <w:rsid w:val="00BC2862"/>
    <w:rsid w:val="00BC35D4"/>
    <w:rsid w:val="00BC3631"/>
    <w:rsid w:val="00BC3F8B"/>
    <w:rsid w:val="00BC48E0"/>
    <w:rsid w:val="00BC4995"/>
    <w:rsid w:val="00BC591F"/>
    <w:rsid w:val="00BC726A"/>
    <w:rsid w:val="00BC7D6D"/>
    <w:rsid w:val="00BD009D"/>
    <w:rsid w:val="00BD00EC"/>
    <w:rsid w:val="00BD1D16"/>
    <w:rsid w:val="00BD2108"/>
    <w:rsid w:val="00BD2D6D"/>
    <w:rsid w:val="00BD590D"/>
    <w:rsid w:val="00BD6584"/>
    <w:rsid w:val="00BD68A3"/>
    <w:rsid w:val="00BD6938"/>
    <w:rsid w:val="00BD6CF3"/>
    <w:rsid w:val="00BD74B0"/>
    <w:rsid w:val="00BE07BC"/>
    <w:rsid w:val="00BE0ECA"/>
    <w:rsid w:val="00BE164D"/>
    <w:rsid w:val="00BE2005"/>
    <w:rsid w:val="00BE2180"/>
    <w:rsid w:val="00BE21F2"/>
    <w:rsid w:val="00BE280D"/>
    <w:rsid w:val="00BE2E41"/>
    <w:rsid w:val="00BE3D62"/>
    <w:rsid w:val="00BE4275"/>
    <w:rsid w:val="00BE48AC"/>
    <w:rsid w:val="00BE4A4C"/>
    <w:rsid w:val="00BE5AB3"/>
    <w:rsid w:val="00BE7257"/>
    <w:rsid w:val="00BF014E"/>
    <w:rsid w:val="00BF06AE"/>
    <w:rsid w:val="00BF098C"/>
    <w:rsid w:val="00BF0F95"/>
    <w:rsid w:val="00BF0FE2"/>
    <w:rsid w:val="00BF2433"/>
    <w:rsid w:val="00BF2D30"/>
    <w:rsid w:val="00BF4AE0"/>
    <w:rsid w:val="00BF5372"/>
    <w:rsid w:val="00BF571B"/>
    <w:rsid w:val="00BF5D3A"/>
    <w:rsid w:val="00BF5EFA"/>
    <w:rsid w:val="00BF61C9"/>
    <w:rsid w:val="00BF6C94"/>
    <w:rsid w:val="00BF6F9D"/>
    <w:rsid w:val="00BF7B89"/>
    <w:rsid w:val="00C00424"/>
    <w:rsid w:val="00C01651"/>
    <w:rsid w:val="00C01688"/>
    <w:rsid w:val="00C01709"/>
    <w:rsid w:val="00C017B4"/>
    <w:rsid w:val="00C02D8E"/>
    <w:rsid w:val="00C035D6"/>
    <w:rsid w:val="00C03888"/>
    <w:rsid w:val="00C04A4A"/>
    <w:rsid w:val="00C04FD1"/>
    <w:rsid w:val="00C05660"/>
    <w:rsid w:val="00C065D9"/>
    <w:rsid w:val="00C067CA"/>
    <w:rsid w:val="00C10CC5"/>
    <w:rsid w:val="00C1179F"/>
    <w:rsid w:val="00C12C14"/>
    <w:rsid w:val="00C1443A"/>
    <w:rsid w:val="00C15651"/>
    <w:rsid w:val="00C15C0F"/>
    <w:rsid w:val="00C15F04"/>
    <w:rsid w:val="00C1672F"/>
    <w:rsid w:val="00C179B3"/>
    <w:rsid w:val="00C17E3F"/>
    <w:rsid w:val="00C200AA"/>
    <w:rsid w:val="00C200E3"/>
    <w:rsid w:val="00C237ED"/>
    <w:rsid w:val="00C240FD"/>
    <w:rsid w:val="00C24632"/>
    <w:rsid w:val="00C253B3"/>
    <w:rsid w:val="00C25418"/>
    <w:rsid w:val="00C25D9C"/>
    <w:rsid w:val="00C26CAC"/>
    <w:rsid w:val="00C27256"/>
    <w:rsid w:val="00C2778B"/>
    <w:rsid w:val="00C27B6C"/>
    <w:rsid w:val="00C3080A"/>
    <w:rsid w:val="00C308E5"/>
    <w:rsid w:val="00C30DF2"/>
    <w:rsid w:val="00C31649"/>
    <w:rsid w:val="00C32241"/>
    <w:rsid w:val="00C32D40"/>
    <w:rsid w:val="00C3434C"/>
    <w:rsid w:val="00C35676"/>
    <w:rsid w:val="00C367A5"/>
    <w:rsid w:val="00C37562"/>
    <w:rsid w:val="00C3788A"/>
    <w:rsid w:val="00C40385"/>
    <w:rsid w:val="00C4056D"/>
    <w:rsid w:val="00C41768"/>
    <w:rsid w:val="00C42835"/>
    <w:rsid w:val="00C4354A"/>
    <w:rsid w:val="00C43864"/>
    <w:rsid w:val="00C44A91"/>
    <w:rsid w:val="00C45033"/>
    <w:rsid w:val="00C45734"/>
    <w:rsid w:val="00C46D1C"/>
    <w:rsid w:val="00C475AA"/>
    <w:rsid w:val="00C476F8"/>
    <w:rsid w:val="00C47A3C"/>
    <w:rsid w:val="00C5121F"/>
    <w:rsid w:val="00C51651"/>
    <w:rsid w:val="00C526C1"/>
    <w:rsid w:val="00C5377A"/>
    <w:rsid w:val="00C53C98"/>
    <w:rsid w:val="00C53E43"/>
    <w:rsid w:val="00C54043"/>
    <w:rsid w:val="00C56233"/>
    <w:rsid w:val="00C56FCF"/>
    <w:rsid w:val="00C57B6C"/>
    <w:rsid w:val="00C57DFA"/>
    <w:rsid w:val="00C6197E"/>
    <w:rsid w:val="00C61A27"/>
    <w:rsid w:val="00C62618"/>
    <w:rsid w:val="00C628A6"/>
    <w:rsid w:val="00C64344"/>
    <w:rsid w:val="00C64FF1"/>
    <w:rsid w:val="00C65108"/>
    <w:rsid w:val="00C653A5"/>
    <w:rsid w:val="00C65576"/>
    <w:rsid w:val="00C66165"/>
    <w:rsid w:val="00C66240"/>
    <w:rsid w:val="00C662B1"/>
    <w:rsid w:val="00C66CCF"/>
    <w:rsid w:val="00C66E3A"/>
    <w:rsid w:val="00C673FD"/>
    <w:rsid w:val="00C6775F"/>
    <w:rsid w:val="00C703A2"/>
    <w:rsid w:val="00C7060A"/>
    <w:rsid w:val="00C7151A"/>
    <w:rsid w:val="00C717E3"/>
    <w:rsid w:val="00C71F60"/>
    <w:rsid w:val="00C72241"/>
    <w:rsid w:val="00C73EBE"/>
    <w:rsid w:val="00C73EF1"/>
    <w:rsid w:val="00C73F53"/>
    <w:rsid w:val="00C74607"/>
    <w:rsid w:val="00C74FB4"/>
    <w:rsid w:val="00C750C8"/>
    <w:rsid w:val="00C7560F"/>
    <w:rsid w:val="00C75E6E"/>
    <w:rsid w:val="00C7614A"/>
    <w:rsid w:val="00C76C4A"/>
    <w:rsid w:val="00C77293"/>
    <w:rsid w:val="00C77687"/>
    <w:rsid w:val="00C77708"/>
    <w:rsid w:val="00C80A0E"/>
    <w:rsid w:val="00C82118"/>
    <w:rsid w:val="00C8213F"/>
    <w:rsid w:val="00C82734"/>
    <w:rsid w:val="00C842C8"/>
    <w:rsid w:val="00C84961"/>
    <w:rsid w:val="00C84ADE"/>
    <w:rsid w:val="00C85154"/>
    <w:rsid w:val="00C8556C"/>
    <w:rsid w:val="00C85739"/>
    <w:rsid w:val="00C859CC"/>
    <w:rsid w:val="00C85FDE"/>
    <w:rsid w:val="00C876B4"/>
    <w:rsid w:val="00C8797A"/>
    <w:rsid w:val="00C900B8"/>
    <w:rsid w:val="00C90666"/>
    <w:rsid w:val="00C90C71"/>
    <w:rsid w:val="00C91E78"/>
    <w:rsid w:val="00C91FD1"/>
    <w:rsid w:val="00C92D12"/>
    <w:rsid w:val="00C931CF"/>
    <w:rsid w:val="00C938CF"/>
    <w:rsid w:val="00C94053"/>
    <w:rsid w:val="00C94336"/>
    <w:rsid w:val="00C9624D"/>
    <w:rsid w:val="00C969DA"/>
    <w:rsid w:val="00C97014"/>
    <w:rsid w:val="00CA06F1"/>
    <w:rsid w:val="00CA0786"/>
    <w:rsid w:val="00CA210D"/>
    <w:rsid w:val="00CA27FE"/>
    <w:rsid w:val="00CA2AC8"/>
    <w:rsid w:val="00CA2C77"/>
    <w:rsid w:val="00CA43D3"/>
    <w:rsid w:val="00CA444F"/>
    <w:rsid w:val="00CA4681"/>
    <w:rsid w:val="00CA51C1"/>
    <w:rsid w:val="00CA5245"/>
    <w:rsid w:val="00CA622F"/>
    <w:rsid w:val="00CA71F4"/>
    <w:rsid w:val="00CA780D"/>
    <w:rsid w:val="00CA7B09"/>
    <w:rsid w:val="00CB0290"/>
    <w:rsid w:val="00CB12A5"/>
    <w:rsid w:val="00CB18DD"/>
    <w:rsid w:val="00CB1CAC"/>
    <w:rsid w:val="00CB2BB5"/>
    <w:rsid w:val="00CB2F2A"/>
    <w:rsid w:val="00CB3FA7"/>
    <w:rsid w:val="00CB4676"/>
    <w:rsid w:val="00CB5444"/>
    <w:rsid w:val="00CB5B1A"/>
    <w:rsid w:val="00CB6A09"/>
    <w:rsid w:val="00CB6A7D"/>
    <w:rsid w:val="00CB6B22"/>
    <w:rsid w:val="00CB7AF2"/>
    <w:rsid w:val="00CB7F5F"/>
    <w:rsid w:val="00CC1B39"/>
    <w:rsid w:val="00CC225E"/>
    <w:rsid w:val="00CC2DA3"/>
    <w:rsid w:val="00CC35EA"/>
    <w:rsid w:val="00CC3848"/>
    <w:rsid w:val="00CC44D3"/>
    <w:rsid w:val="00CC470C"/>
    <w:rsid w:val="00CC583B"/>
    <w:rsid w:val="00CC5B96"/>
    <w:rsid w:val="00CC6248"/>
    <w:rsid w:val="00CD011F"/>
    <w:rsid w:val="00CD27DB"/>
    <w:rsid w:val="00CD299A"/>
    <w:rsid w:val="00CD2F4F"/>
    <w:rsid w:val="00CD357F"/>
    <w:rsid w:val="00CD3F77"/>
    <w:rsid w:val="00CD467C"/>
    <w:rsid w:val="00CD6ADC"/>
    <w:rsid w:val="00CD7193"/>
    <w:rsid w:val="00CD7235"/>
    <w:rsid w:val="00CE05A0"/>
    <w:rsid w:val="00CE0818"/>
    <w:rsid w:val="00CE0C48"/>
    <w:rsid w:val="00CE154D"/>
    <w:rsid w:val="00CE1D34"/>
    <w:rsid w:val="00CE3073"/>
    <w:rsid w:val="00CE3618"/>
    <w:rsid w:val="00CE36AF"/>
    <w:rsid w:val="00CE38C8"/>
    <w:rsid w:val="00CE3CB4"/>
    <w:rsid w:val="00CE3CCB"/>
    <w:rsid w:val="00CE40BA"/>
    <w:rsid w:val="00CE41A3"/>
    <w:rsid w:val="00CE60A3"/>
    <w:rsid w:val="00CE6274"/>
    <w:rsid w:val="00CE77B6"/>
    <w:rsid w:val="00CF0EAD"/>
    <w:rsid w:val="00CF1078"/>
    <w:rsid w:val="00CF123C"/>
    <w:rsid w:val="00CF1AAE"/>
    <w:rsid w:val="00CF21DD"/>
    <w:rsid w:val="00CF2B8D"/>
    <w:rsid w:val="00CF32B1"/>
    <w:rsid w:val="00CF33C1"/>
    <w:rsid w:val="00CF4090"/>
    <w:rsid w:val="00CF416E"/>
    <w:rsid w:val="00CF456B"/>
    <w:rsid w:val="00CF511E"/>
    <w:rsid w:val="00CF5A22"/>
    <w:rsid w:val="00CF6022"/>
    <w:rsid w:val="00CF6523"/>
    <w:rsid w:val="00CF6793"/>
    <w:rsid w:val="00CF6EF8"/>
    <w:rsid w:val="00CF7149"/>
    <w:rsid w:val="00CF7390"/>
    <w:rsid w:val="00D01C6C"/>
    <w:rsid w:val="00D01DF2"/>
    <w:rsid w:val="00D0262E"/>
    <w:rsid w:val="00D02BE2"/>
    <w:rsid w:val="00D03516"/>
    <w:rsid w:val="00D03ECC"/>
    <w:rsid w:val="00D05547"/>
    <w:rsid w:val="00D05648"/>
    <w:rsid w:val="00D05E3D"/>
    <w:rsid w:val="00D06139"/>
    <w:rsid w:val="00D07029"/>
    <w:rsid w:val="00D10A74"/>
    <w:rsid w:val="00D110BD"/>
    <w:rsid w:val="00D126C0"/>
    <w:rsid w:val="00D13675"/>
    <w:rsid w:val="00D13AF0"/>
    <w:rsid w:val="00D13C3B"/>
    <w:rsid w:val="00D141E1"/>
    <w:rsid w:val="00D14482"/>
    <w:rsid w:val="00D151B6"/>
    <w:rsid w:val="00D15314"/>
    <w:rsid w:val="00D16FD2"/>
    <w:rsid w:val="00D17BEC"/>
    <w:rsid w:val="00D17D6C"/>
    <w:rsid w:val="00D20675"/>
    <w:rsid w:val="00D20AA3"/>
    <w:rsid w:val="00D213DA"/>
    <w:rsid w:val="00D2155B"/>
    <w:rsid w:val="00D2166B"/>
    <w:rsid w:val="00D216CA"/>
    <w:rsid w:val="00D21858"/>
    <w:rsid w:val="00D225C3"/>
    <w:rsid w:val="00D22760"/>
    <w:rsid w:val="00D23D11"/>
    <w:rsid w:val="00D244B6"/>
    <w:rsid w:val="00D24E15"/>
    <w:rsid w:val="00D2754D"/>
    <w:rsid w:val="00D27B27"/>
    <w:rsid w:val="00D30490"/>
    <w:rsid w:val="00D32401"/>
    <w:rsid w:val="00D328AB"/>
    <w:rsid w:val="00D33BE9"/>
    <w:rsid w:val="00D33F93"/>
    <w:rsid w:val="00D357FF"/>
    <w:rsid w:val="00D35870"/>
    <w:rsid w:val="00D36D3B"/>
    <w:rsid w:val="00D37D0A"/>
    <w:rsid w:val="00D41060"/>
    <w:rsid w:val="00D41158"/>
    <w:rsid w:val="00D41811"/>
    <w:rsid w:val="00D424C7"/>
    <w:rsid w:val="00D42D10"/>
    <w:rsid w:val="00D430A4"/>
    <w:rsid w:val="00D43B2A"/>
    <w:rsid w:val="00D43D83"/>
    <w:rsid w:val="00D44BF4"/>
    <w:rsid w:val="00D457DA"/>
    <w:rsid w:val="00D460C6"/>
    <w:rsid w:val="00D47463"/>
    <w:rsid w:val="00D47575"/>
    <w:rsid w:val="00D47DC4"/>
    <w:rsid w:val="00D50C33"/>
    <w:rsid w:val="00D5243B"/>
    <w:rsid w:val="00D533EC"/>
    <w:rsid w:val="00D53CD5"/>
    <w:rsid w:val="00D54A84"/>
    <w:rsid w:val="00D54DD9"/>
    <w:rsid w:val="00D553DE"/>
    <w:rsid w:val="00D55511"/>
    <w:rsid w:val="00D55A4C"/>
    <w:rsid w:val="00D55A69"/>
    <w:rsid w:val="00D55D2C"/>
    <w:rsid w:val="00D5674B"/>
    <w:rsid w:val="00D56912"/>
    <w:rsid w:val="00D56A95"/>
    <w:rsid w:val="00D572B7"/>
    <w:rsid w:val="00D57386"/>
    <w:rsid w:val="00D575E7"/>
    <w:rsid w:val="00D57B34"/>
    <w:rsid w:val="00D6165D"/>
    <w:rsid w:val="00D62B85"/>
    <w:rsid w:val="00D64449"/>
    <w:rsid w:val="00D64935"/>
    <w:rsid w:val="00D64CE5"/>
    <w:rsid w:val="00D651B9"/>
    <w:rsid w:val="00D65A3B"/>
    <w:rsid w:val="00D66004"/>
    <w:rsid w:val="00D67016"/>
    <w:rsid w:val="00D67EEF"/>
    <w:rsid w:val="00D70761"/>
    <w:rsid w:val="00D709B3"/>
    <w:rsid w:val="00D70F16"/>
    <w:rsid w:val="00D71B79"/>
    <w:rsid w:val="00D729AB"/>
    <w:rsid w:val="00D72F57"/>
    <w:rsid w:val="00D74F6E"/>
    <w:rsid w:val="00D7512E"/>
    <w:rsid w:val="00D7545E"/>
    <w:rsid w:val="00D756FC"/>
    <w:rsid w:val="00D75BE0"/>
    <w:rsid w:val="00D76A44"/>
    <w:rsid w:val="00D7756E"/>
    <w:rsid w:val="00D778AA"/>
    <w:rsid w:val="00D80ED8"/>
    <w:rsid w:val="00D815EF"/>
    <w:rsid w:val="00D81F26"/>
    <w:rsid w:val="00D82BE1"/>
    <w:rsid w:val="00D85FF7"/>
    <w:rsid w:val="00D86231"/>
    <w:rsid w:val="00D868E9"/>
    <w:rsid w:val="00D86B81"/>
    <w:rsid w:val="00D87621"/>
    <w:rsid w:val="00D8781F"/>
    <w:rsid w:val="00D902D8"/>
    <w:rsid w:val="00D9096F"/>
    <w:rsid w:val="00D911FC"/>
    <w:rsid w:val="00D912A5"/>
    <w:rsid w:val="00D914CF"/>
    <w:rsid w:val="00D91923"/>
    <w:rsid w:val="00D922C7"/>
    <w:rsid w:val="00D9268A"/>
    <w:rsid w:val="00D93753"/>
    <w:rsid w:val="00D944E7"/>
    <w:rsid w:val="00D94B96"/>
    <w:rsid w:val="00D94F0C"/>
    <w:rsid w:val="00D95522"/>
    <w:rsid w:val="00D95E51"/>
    <w:rsid w:val="00D96C10"/>
    <w:rsid w:val="00D977C0"/>
    <w:rsid w:val="00DA0707"/>
    <w:rsid w:val="00DA0EEA"/>
    <w:rsid w:val="00DA2640"/>
    <w:rsid w:val="00DA3167"/>
    <w:rsid w:val="00DA32FA"/>
    <w:rsid w:val="00DA4DC3"/>
    <w:rsid w:val="00DA5414"/>
    <w:rsid w:val="00DA570D"/>
    <w:rsid w:val="00DA736D"/>
    <w:rsid w:val="00DA76C4"/>
    <w:rsid w:val="00DA77A5"/>
    <w:rsid w:val="00DA7AE0"/>
    <w:rsid w:val="00DB06CC"/>
    <w:rsid w:val="00DB06FF"/>
    <w:rsid w:val="00DB1380"/>
    <w:rsid w:val="00DB1961"/>
    <w:rsid w:val="00DB3225"/>
    <w:rsid w:val="00DB32B7"/>
    <w:rsid w:val="00DB3DBF"/>
    <w:rsid w:val="00DB425C"/>
    <w:rsid w:val="00DB482D"/>
    <w:rsid w:val="00DB484F"/>
    <w:rsid w:val="00DB4C68"/>
    <w:rsid w:val="00DB4CDE"/>
    <w:rsid w:val="00DB4FFF"/>
    <w:rsid w:val="00DB5712"/>
    <w:rsid w:val="00DB5F3B"/>
    <w:rsid w:val="00DB6B17"/>
    <w:rsid w:val="00DB6FBC"/>
    <w:rsid w:val="00DB7DAA"/>
    <w:rsid w:val="00DC04F6"/>
    <w:rsid w:val="00DC0690"/>
    <w:rsid w:val="00DC1D65"/>
    <w:rsid w:val="00DC1FB2"/>
    <w:rsid w:val="00DC28EC"/>
    <w:rsid w:val="00DC2D8E"/>
    <w:rsid w:val="00DC38FD"/>
    <w:rsid w:val="00DC3C4E"/>
    <w:rsid w:val="00DC3C57"/>
    <w:rsid w:val="00DC3CAC"/>
    <w:rsid w:val="00DC49E8"/>
    <w:rsid w:val="00DC5501"/>
    <w:rsid w:val="00DC6510"/>
    <w:rsid w:val="00DC679E"/>
    <w:rsid w:val="00DC7154"/>
    <w:rsid w:val="00DC796A"/>
    <w:rsid w:val="00DC7E8A"/>
    <w:rsid w:val="00DD0F78"/>
    <w:rsid w:val="00DD1736"/>
    <w:rsid w:val="00DD1A5A"/>
    <w:rsid w:val="00DD265A"/>
    <w:rsid w:val="00DD273C"/>
    <w:rsid w:val="00DD3F28"/>
    <w:rsid w:val="00DD4537"/>
    <w:rsid w:val="00DD487C"/>
    <w:rsid w:val="00DD4E15"/>
    <w:rsid w:val="00DD53D4"/>
    <w:rsid w:val="00DD5845"/>
    <w:rsid w:val="00DD5855"/>
    <w:rsid w:val="00DD614C"/>
    <w:rsid w:val="00DD7EA5"/>
    <w:rsid w:val="00DE137D"/>
    <w:rsid w:val="00DE2304"/>
    <w:rsid w:val="00DE2F6E"/>
    <w:rsid w:val="00DE3138"/>
    <w:rsid w:val="00DE3315"/>
    <w:rsid w:val="00DE37F8"/>
    <w:rsid w:val="00DE391C"/>
    <w:rsid w:val="00DE3B94"/>
    <w:rsid w:val="00DE3E7E"/>
    <w:rsid w:val="00DE449D"/>
    <w:rsid w:val="00DE4FCB"/>
    <w:rsid w:val="00DE5775"/>
    <w:rsid w:val="00DE5A95"/>
    <w:rsid w:val="00DE5D07"/>
    <w:rsid w:val="00DE6BE4"/>
    <w:rsid w:val="00DE716F"/>
    <w:rsid w:val="00DE728A"/>
    <w:rsid w:val="00DE72A7"/>
    <w:rsid w:val="00DE7393"/>
    <w:rsid w:val="00DE76D2"/>
    <w:rsid w:val="00DE7832"/>
    <w:rsid w:val="00DE7BDC"/>
    <w:rsid w:val="00DF18FC"/>
    <w:rsid w:val="00DF19AD"/>
    <w:rsid w:val="00DF1B9F"/>
    <w:rsid w:val="00DF2D2C"/>
    <w:rsid w:val="00DF3B2C"/>
    <w:rsid w:val="00DF4588"/>
    <w:rsid w:val="00DF4697"/>
    <w:rsid w:val="00DF4BE5"/>
    <w:rsid w:val="00DF4F3D"/>
    <w:rsid w:val="00DF586C"/>
    <w:rsid w:val="00DF5D2B"/>
    <w:rsid w:val="00DF65B7"/>
    <w:rsid w:val="00DF6B1C"/>
    <w:rsid w:val="00DF7EC1"/>
    <w:rsid w:val="00E00E8E"/>
    <w:rsid w:val="00E026AD"/>
    <w:rsid w:val="00E0492B"/>
    <w:rsid w:val="00E053BF"/>
    <w:rsid w:val="00E05630"/>
    <w:rsid w:val="00E06BC4"/>
    <w:rsid w:val="00E06DBB"/>
    <w:rsid w:val="00E10149"/>
    <w:rsid w:val="00E1018C"/>
    <w:rsid w:val="00E1120B"/>
    <w:rsid w:val="00E11340"/>
    <w:rsid w:val="00E122A1"/>
    <w:rsid w:val="00E130EB"/>
    <w:rsid w:val="00E15ACD"/>
    <w:rsid w:val="00E16372"/>
    <w:rsid w:val="00E1751C"/>
    <w:rsid w:val="00E17C7C"/>
    <w:rsid w:val="00E20117"/>
    <w:rsid w:val="00E205D6"/>
    <w:rsid w:val="00E20E4D"/>
    <w:rsid w:val="00E20ED6"/>
    <w:rsid w:val="00E20F46"/>
    <w:rsid w:val="00E20F87"/>
    <w:rsid w:val="00E21358"/>
    <w:rsid w:val="00E218CB"/>
    <w:rsid w:val="00E21BD3"/>
    <w:rsid w:val="00E21E40"/>
    <w:rsid w:val="00E2249B"/>
    <w:rsid w:val="00E22A0D"/>
    <w:rsid w:val="00E24177"/>
    <w:rsid w:val="00E244F6"/>
    <w:rsid w:val="00E24C95"/>
    <w:rsid w:val="00E25805"/>
    <w:rsid w:val="00E25A96"/>
    <w:rsid w:val="00E261F7"/>
    <w:rsid w:val="00E269DD"/>
    <w:rsid w:val="00E26AD7"/>
    <w:rsid w:val="00E2771E"/>
    <w:rsid w:val="00E27AA1"/>
    <w:rsid w:val="00E302D2"/>
    <w:rsid w:val="00E30D0D"/>
    <w:rsid w:val="00E30FBC"/>
    <w:rsid w:val="00E311EF"/>
    <w:rsid w:val="00E31777"/>
    <w:rsid w:val="00E3216C"/>
    <w:rsid w:val="00E32180"/>
    <w:rsid w:val="00E324DB"/>
    <w:rsid w:val="00E32682"/>
    <w:rsid w:val="00E32779"/>
    <w:rsid w:val="00E32A3E"/>
    <w:rsid w:val="00E33841"/>
    <w:rsid w:val="00E3445A"/>
    <w:rsid w:val="00E34948"/>
    <w:rsid w:val="00E362AB"/>
    <w:rsid w:val="00E36C56"/>
    <w:rsid w:val="00E37569"/>
    <w:rsid w:val="00E37AD2"/>
    <w:rsid w:val="00E401B2"/>
    <w:rsid w:val="00E41878"/>
    <w:rsid w:val="00E418B3"/>
    <w:rsid w:val="00E41E30"/>
    <w:rsid w:val="00E42F73"/>
    <w:rsid w:val="00E43D70"/>
    <w:rsid w:val="00E44A0E"/>
    <w:rsid w:val="00E4623C"/>
    <w:rsid w:val="00E466F3"/>
    <w:rsid w:val="00E47B2C"/>
    <w:rsid w:val="00E47E69"/>
    <w:rsid w:val="00E50511"/>
    <w:rsid w:val="00E5107A"/>
    <w:rsid w:val="00E512F0"/>
    <w:rsid w:val="00E51560"/>
    <w:rsid w:val="00E532C9"/>
    <w:rsid w:val="00E53FC8"/>
    <w:rsid w:val="00E54347"/>
    <w:rsid w:val="00E546DD"/>
    <w:rsid w:val="00E55424"/>
    <w:rsid w:val="00E55915"/>
    <w:rsid w:val="00E55BB5"/>
    <w:rsid w:val="00E560ED"/>
    <w:rsid w:val="00E568E1"/>
    <w:rsid w:val="00E573FB"/>
    <w:rsid w:val="00E61351"/>
    <w:rsid w:val="00E613AF"/>
    <w:rsid w:val="00E61CFF"/>
    <w:rsid w:val="00E6244C"/>
    <w:rsid w:val="00E62EA7"/>
    <w:rsid w:val="00E63B1B"/>
    <w:rsid w:val="00E64B2E"/>
    <w:rsid w:val="00E65E79"/>
    <w:rsid w:val="00E66BA2"/>
    <w:rsid w:val="00E66CD0"/>
    <w:rsid w:val="00E67416"/>
    <w:rsid w:val="00E710F8"/>
    <w:rsid w:val="00E71556"/>
    <w:rsid w:val="00E718B6"/>
    <w:rsid w:val="00E72050"/>
    <w:rsid w:val="00E723BA"/>
    <w:rsid w:val="00E726E7"/>
    <w:rsid w:val="00E728F2"/>
    <w:rsid w:val="00E7333F"/>
    <w:rsid w:val="00E7338F"/>
    <w:rsid w:val="00E73523"/>
    <w:rsid w:val="00E73581"/>
    <w:rsid w:val="00E73E28"/>
    <w:rsid w:val="00E7463F"/>
    <w:rsid w:val="00E77033"/>
    <w:rsid w:val="00E7767C"/>
    <w:rsid w:val="00E80198"/>
    <w:rsid w:val="00E81DC5"/>
    <w:rsid w:val="00E833F7"/>
    <w:rsid w:val="00E83817"/>
    <w:rsid w:val="00E83BDF"/>
    <w:rsid w:val="00E83CEB"/>
    <w:rsid w:val="00E8530E"/>
    <w:rsid w:val="00E85864"/>
    <w:rsid w:val="00E87A1D"/>
    <w:rsid w:val="00E9094A"/>
    <w:rsid w:val="00E9119D"/>
    <w:rsid w:val="00E91CE1"/>
    <w:rsid w:val="00E91D35"/>
    <w:rsid w:val="00E91D40"/>
    <w:rsid w:val="00E926A5"/>
    <w:rsid w:val="00E92DDE"/>
    <w:rsid w:val="00E93FB8"/>
    <w:rsid w:val="00E94B82"/>
    <w:rsid w:val="00E94D2E"/>
    <w:rsid w:val="00E94D5E"/>
    <w:rsid w:val="00E97113"/>
    <w:rsid w:val="00E97AE4"/>
    <w:rsid w:val="00E97FA9"/>
    <w:rsid w:val="00EA10BD"/>
    <w:rsid w:val="00EA1604"/>
    <w:rsid w:val="00EA172F"/>
    <w:rsid w:val="00EA17C3"/>
    <w:rsid w:val="00EA1BDC"/>
    <w:rsid w:val="00EA2CAA"/>
    <w:rsid w:val="00EA3008"/>
    <w:rsid w:val="00EA3864"/>
    <w:rsid w:val="00EA6E11"/>
    <w:rsid w:val="00EA71F1"/>
    <w:rsid w:val="00EA7F1C"/>
    <w:rsid w:val="00EB15B6"/>
    <w:rsid w:val="00EB3180"/>
    <w:rsid w:val="00EB3D06"/>
    <w:rsid w:val="00EB43BA"/>
    <w:rsid w:val="00EB48C1"/>
    <w:rsid w:val="00EB4916"/>
    <w:rsid w:val="00EB6D7A"/>
    <w:rsid w:val="00EC00C9"/>
    <w:rsid w:val="00EC01D5"/>
    <w:rsid w:val="00EC0973"/>
    <w:rsid w:val="00EC0DD9"/>
    <w:rsid w:val="00EC1DB5"/>
    <w:rsid w:val="00EC25EA"/>
    <w:rsid w:val="00EC2649"/>
    <w:rsid w:val="00EC31ED"/>
    <w:rsid w:val="00EC3A74"/>
    <w:rsid w:val="00EC485B"/>
    <w:rsid w:val="00EC4E03"/>
    <w:rsid w:val="00EC53D4"/>
    <w:rsid w:val="00EC5836"/>
    <w:rsid w:val="00EC688C"/>
    <w:rsid w:val="00EC6EE3"/>
    <w:rsid w:val="00EC713C"/>
    <w:rsid w:val="00EC7BEC"/>
    <w:rsid w:val="00ED1761"/>
    <w:rsid w:val="00ED38CF"/>
    <w:rsid w:val="00ED41C3"/>
    <w:rsid w:val="00ED4593"/>
    <w:rsid w:val="00ED5200"/>
    <w:rsid w:val="00ED57EA"/>
    <w:rsid w:val="00ED5BD4"/>
    <w:rsid w:val="00ED5F9D"/>
    <w:rsid w:val="00ED7019"/>
    <w:rsid w:val="00ED7797"/>
    <w:rsid w:val="00ED7C40"/>
    <w:rsid w:val="00EE07D3"/>
    <w:rsid w:val="00EE1996"/>
    <w:rsid w:val="00EE1BD3"/>
    <w:rsid w:val="00EE1C01"/>
    <w:rsid w:val="00EE22AF"/>
    <w:rsid w:val="00EE3378"/>
    <w:rsid w:val="00EE37C8"/>
    <w:rsid w:val="00EE391B"/>
    <w:rsid w:val="00EE589D"/>
    <w:rsid w:val="00EE6CA4"/>
    <w:rsid w:val="00EE6DC6"/>
    <w:rsid w:val="00EF0171"/>
    <w:rsid w:val="00EF1923"/>
    <w:rsid w:val="00EF1B25"/>
    <w:rsid w:val="00EF1C4D"/>
    <w:rsid w:val="00EF1DA0"/>
    <w:rsid w:val="00EF2745"/>
    <w:rsid w:val="00EF3E5C"/>
    <w:rsid w:val="00EF4747"/>
    <w:rsid w:val="00EF49A8"/>
    <w:rsid w:val="00EF4BF8"/>
    <w:rsid w:val="00EF5A52"/>
    <w:rsid w:val="00EF66F9"/>
    <w:rsid w:val="00F00B7F"/>
    <w:rsid w:val="00F02253"/>
    <w:rsid w:val="00F03C2E"/>
    <w:rsid w:val="00F04879"/>
    <w:rsid w:val="00F04A66"/>
    <w:rsid w:val="00F04AB2"/>
    <w:rsid w:val="00F04B4B"/>
    <w:rsid w:val="00F04F67"/>
    <w:rsid w:val="00F0503B"/>
    <w:rsid w:val="00F0516C"/>
    <w:rsid w:val="00F067A2"/>
    <w:rsid w:val="00F07A61"/>
    <w:rsid w:val="00F07B9E"/>
    <w:rsid w:val="00F1116F"/>
    <w:rsid w:val="00F11247"/>
    <w:rsid w:val="00F1127A"/>
    <w:rsid w:val="00F112A0"/>
    <w:rsid w:val="00F11E67"/>
    <w:rsid w:val="00F11EF1"/>
    <w:rsid w:val="00F124A7"/>
    <w:rsid w:val="00F1263A"/>
    <w:rsid w:val="00F12682"/>
    <w:rsid w:val="00F1372E"/>
    <w:rsid w:val="00F15B77"/>
    <w:rsid w:val="00F20EBD"/>
    <w:rsid w:val="00F21AEE"/>
    <w:rsid w:val="00F239E9"/>
    <w:rsid w:val="00F23A8B"/>
    <w:rsid w:val="00F24837"/>
    <w:rsid w:val="00F24C30"/>
    <w:rsid w:val="00F255A7"/>
    <w:rsid w:val="00F2575F"/>
    <w:rsid w:val="00F25887"/>
    <w:rsid w:val="00F26A14"/>
    <w:rsid w:val="00F26D5A"/>
    <w:rsid w:val="00F27565"/>
    <w:rsid w:val="00F27838"/>
    <w:rsid w:val="00F310D4"/>
    <w:rsid w:val="00F31341"/>
    <w:rsid w:val="00F3174F"/>
    <w:rsid w:val="00F31D5A"/>
    <w:rsid w:val="00F321AB"/>
    <w:rsid w:val="00F32368"/>
    <w:rsid w:val="00F325F9"/>
    <w:rsid w:val="00F32612"/>
    <w:rsid w:val="00F33880"/>
    <w:rsid w:val="00F33975"/>
    <w:rsid w:val="00F33DE9"/>
    <w:rsid w:val="00F347FD"/>
    <w:rsid w:val="00F35507"/>
    <w:rsid w:val="00F35E6D"/>
    <w:rsid w:val="00F3619A"/>
    <w:rsid w:val="00F40AAA"/>
    <w:rsid w:val="00F40BA7"/>
    <w:rsid w:val="00F40F9D"/>
    <w:rsid w:val="00F41ACD"/>
    <w:rsid w:val="00F4264C"/>
    <w:rsid w:val="00F45030"/>
    <w:rsid w:val="00F452DD"/>
    <w:rsid w:val="00F4536F"/>
    <w:rsid w:val="00F4582C"/>
    <w:rsid w:val="00F46CB6"/>
    <w:rsid w:val="00F4756D"/>
    <w:rsid w:val="00F47DE8"/>
    <w:rsid w:val="00F5002F"/>
    <w:rsid w:val="00F509D4"/>
    <w:rsid w:val="00F51316"/>
    <w:rsid w:val="00F51817"/>
    <w:rsid w:val="00F526CB"/>
    <w:rsid w:val="00F52949"/>
    <w:rsid w:val="00F52E88"/>
    <w:rsid w:val="00F52F13"/>
    <w:rsid w:val="00F542C1"/>
    <w:rsid w:val="00F5526B"/>
    <w:rsid w:val="00F55E73"/>
    <w:rsid w:val="00F55EDA"/>
    <w:rsid w:val="00F56475"/>
    <w:rsid w:val="00F56C80"/>
    <w:rsid w:val="00F57B6A"/>
    <w:rsid w:val="00F60092"/>
    <w:rsid w:val="00F618C9"/>
    <w:rsid w:val="00F61A0A"/>
    <w:rsid w:val="00F61C18"/>
    <w:rsid w:val="00F62731"/>
    <w:rsid w:val="00F63D9B"/>
    <w:rsid w:val="00F64013"/>
    <w:rsid w:val="00F64AAE"/>
    <w:rsid w:val="00F65352"/>
    <w:rsid w:val="00F65B48"/>
    <w:rsid w:val="00F65F4B"/>
    <w:rsid w:val="00F676A9"/>
    <w:rsid w:val="00F67A69"/>
    <w:rsid w:val="00F67CAD"/>
    <w:rsid w:val="00F67F2F"/>
    <w:rsid w:val="00F7009D"/>
    <w:rsid w:val="00F70BA0"/>
    <w:rsid w:val="00F70BFF"/>
    <w:rsid w:val="00F70C9D"/>
    <w:rsid w:val="00F71B2B"/>
    <w:rsid w:val="00F7396F"/>
    <w:rsid w:val="00F74CD9"/>
    <w:rsid w:val="00F75FF2"/>
    <w:rsid w:val="00F76B3D"/>
    <w:rsid w:val="00F77130"/>
    <w:rsid w:val="00F7759F"/>
    <w:rsid w:val="00F80A7B"/>
    <w:rsid w:val="00F80E5D"/>
    <w:rsid w:val="00F80FE3"/>
    <w:rsid w:val="00F81288"/>
    <w:rsid w:val="00F814BC"/>
    <w:rsid w:val="00F81E78"/>
    <w:rsid w:val="00F825D7"/>
    <w:rsid w:val="00F82C37"/>
    <w:rsid w:val="00F8385E"/>
    <w:rsid w:val="00F83EE8"/>
    <w:rsid w:val="00F84633"/>
    <w:rsid w:val="00F84B29"/>
    <w:rsid w:val="00F84D1B"/>
    <w:rsid w:val="00F851CE"/>
    <w:rsid w:val="00F86040"/>
    <w:rsid w:val="00F861D8"/>
    <w:rsid w:val="00F86B30"/>
    <w:rsid w:val="00F86C30"/>
    <w:rsid w:val="00F91219"/>
    <w:rsid w:val="00F91DF5"/>
    <w:rsid w:val="00F92007"/>
    <w:rsid w:val="00F920C0"/>
    <w:rsid w:val="00F92271"/>
    <w:rsid w:val="00F92444"/>
    <w:rsid w:val="00F93302"/>
    <w:rsid w:val="00F9393E"/>
    <w:rsid w:val="00F9488D"/>
    <w:rsid w:val="00F949CD"/>
    <w:rsid w:val="00F94AE0"/>
    <w:rsid w:val="00F96B3A"/>
    <w:rsid w:val="00F96C2D"/>
    <w:rsid w:val="00F96FD0"/>
    <w:rsid w:val="00F97A78"/>
    <w:rsid w:val="00FA078A"/>
    <w:rsid w:val="00FA0B20"/>
    <w:rsid w:val="00FA19A9"/>
    <w:rsid w:val="00FA1AF4"/>
    <w:rsid w:val="00FA1F44"/>
    <w:rsid w:val="00FA22F0"/>
    <w:rsid w:val="00FA23BF"/>
    <w:rsid w:val="00FA24E7"/>
    <w:rsid w:val="00FA3235"/>
    <w:rsid w:val="00FA3505"/>
    <w:rsid w:val="00FA5066"/>
    <w:rsid w:val="00FA5EE6"/>
    <w:rsid w:val="00FA6013"/>
    <w:rsid w:val="00FA659F"/>
    <w:rsid w:val="00FA6623"/>
    <w:rsid w:val="00FA668C"/>
    <w:rsid w:val="00FA6966"/>
    <w:rsid w:val="00FA7956"/>
    <w:rsid w:val="00FB0DAD"/>
    <w:rsid w:val="00FB1EC4"/>
    <w:rsid w:val="00FB2FCB"/>
    <w:rsid w:val="00FB7C55"/>
    <w:rsid w:val="00FC05C8"/>
    <w:rsid w:val="00FC08DA"/>
    <w:rsid w:val="00FC1074"/>
    <w:rsid w:val="00FC144B"/>
    <w:rsid w:val="00FC17B1"/>
    <w:rsid w:val="00FC1884"/>
    <w:rsid w:val="00FC197D"/>
    <w:rsid w:val="00FC1A76"/>
    <w:rsid w:val="00FC296A"/>
    <w:rsid w:val="00FC30A2"/>
    <w:rsid w:val="00FC371D"/>
    <w:rsid w:val="00FC4D7C"/>
    <w:rsid w:val="00FC5F0B"/>
    <w:rsid w:val="00FC62DA"/>
    <w:rsid w:val="00FC6397"/>
    <w:rsid w:val="00FC7FC5"/>
    <w:rsid w:val="00FD2100"/>
    <w:rsid w:val="00FD2F01"/>
    <w:rsid w:val="00FD353D"/>
    <w:rsid w:val="00FD436C"/>
    <w:rsid w:val="00FD446D"/>
    <w:rsid w:val="00FD4F2C"/>
    <w:rsid w:val="00FD62E2"/>
    <w:rsid w:val="00FD6394"/>
    <w:rsid w:val="00FD695E"/>
    <w:rsid w:val="00FD7C06"/>
    <w:rsid w:val="00FE0D90"/>
    <w:rsid w:val="00FE0E6C"/>
    <w:rsid w:val="00FE1415"/>
    <w:rsid w:val="00FE1CDC"/>
    <w:rsid w:val="00FE354D"/>
    <w:rsid w:val="00FE469E"/>
    <w:rsid w:val="00FE70C3"/>
    <w:rsid w:val="00FF0152"/>
    <w:rsid w:val="00FF0F79"/>
    <w:rsid w:val="00FF10B4"/>
    <w:rsid w:val="00FF2300"/>
    <w:rsid w:val="00FF2AD9"/>
    <w:rsid w:val="00FF2E1C"/>
    <w:rsid w:val="00FF33AF"/>
    <w:rsid w:val="00FF359F"/>
    <w:rsid w:val="00FF3DCF"/>
    <w:rsid w:val="00FF492C"/>
    <w:rsid w:val="00FF4A21"/>
    <w:rsid w:val="00FF5AA3"/>
    <w:rsid w:val="00FF5AD8"/>
    <w:rsid w:val="00FF6497"/>
    <w:rsid w:val="00FF7D30"/>
    <w:rsid w:val="00FF7F0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Bullet Point,L,Styl moj"/>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MSD Table Grid,Dossier table,Section 3- footnotes,Summary Table,PBAC table,HTAtableplain,new sty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Notes">
    <w:name w:val="Table Notes"/>
    <w:basedOn w:val="Normal"/>
    <w:next w:val="Normal"/>
    <w:link w:val="TableNotesChar"/>
    <w:rsid w:val="00005307"/>
    <w:pPr>
      <w:keepNext/>
      <w:keepLines/>
      <w:widowControl w:val="0"/>
      <w:jc w:val="left"/>
    </w:pPr>
    <w:rPr>
      <w:rFonts w:asciiTheme="minorHAnsi" w:eastAsiaTheme="minorHAnsi" w:hAnsiTheme="minorHAnsi" w:cstheme="minorBidi"/>
      <w:color w:val="000000"/>
      <w:sz w:val="16"/>
    </w:rPr>
  </w:style>
  <w:style w:type="character" w:customStyle="1" w:styleId="TableNotesChar">
    <w:name w:val="Table Notes Char"/>
    <w:link w:val="TableNotes"/>
    <w:rsid w:val="00005307"/>
    <w:rPr>
      <w:rFonts w:asciiTheme="minorHAnsi" w:eastAsiaTheme="minorHAnsi" w:hAnsiTheme="minorHAnsi" w:cstheme="minorBidi"/>
      <w:color w:val="000000"/>
      <w:sz w:val="16"/>
      <w:szCs w:val="24"/>
    </w:rPr>
  </w:style>
  <w:style w:type="paragraph" w:customStyle="1" w:styleId="BMSBodyText">
    <w:name w:val="BMS Body Text"/>
    <w:link w:val="BMSBodyTextChar"/>
    <w:qFormat/>
    <w:rsid w:val="00EA1604"/>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locked/>
    <w:rsid w:val="00EA1604"/>
    <w:rPr>
      <w:rFonts w:eastAsia="MS Mincho"/>
      <w:color w:val="000000"/>
      <w:sz w:val="24"/>
      <w:lang w:val="en-US" w:eastAsia="en-US"/>
    </w:rPr>
  </w:style>
  <w:style w:type="paragraph" w:customStyle="1" w:styleId="Tableheadingleft">
    <w:name w:val="Table heading left"/>
    <w:basedOn w:val="TableText0"/>
    <w:rsid w:val="00C51651"/>
    <w:pPr>
      <w:keepNext w:val="0"/>
    </w:pPr>
    <w:rPr>
      <w:rFonts w:asciiTheme="minorHAnsi" w:eastAsiaTheme="minorHAnsi" w:hAnsiTheme="minorHAnsi" w:cs="Arial"/>
      <w:b/>
      <w:bCs w:val="0"/>
      <w:color w:val="000000"/>
      <w:szCs w:val="18"/>
      <w:lang w:eastAsia="en-US"/>
    </w:rPr>
  </w:style>
  <w:style w:type="paragraph" w:customStyle="1" w:styleId="BodyTextHEOR">
    <w:name w:val="Body Text_HEOR"/>
    <w:basedOn w:val="Normal"/>
    <w:link w:val="BodyTextHEORChar"/>
    <w:rsid w:val="00E25805"/>
    <w:pPr>
      <w:spacing w:after="120" w:line="276" w:lineRule="auto"/>
    </w:pPr>
    <w:rPr>
      <w:rFonts w:asciiTheme="minorHAnsi" w:eastAsia="MS Mincho" w:hAnsiTheme="minorHAnsi" w:cstheme="minorHAnsi"/>
      <w:color w:val="425563"/>
      <w:lang w:val="en-US" w:eastAsia="en-US"/>
    </w:rPr>
  </w:style>
  <w:style w:type="character" w:customStyle="1" w:styleId="BodyTextHEORChar">
    <w:name w:val="Body Text_HEOR Char"/>
    <w:basedOn w:val="DefaultParagraphFont"/>
    <w:link w:val="BodyTextHEOR"/>
    <w:rsid w:val="00E25805"/>
    <w:rPr>
      <w:rFonts w:asciiTheme="minorHAnsi" w:eastAsia="MS Mincho" w:hAnsiTheme="minorHAnsi" w:cstheme="minorHAnsi"/>
      <w:color w:val="425563"/>
      <w:sz w:val="24"/>
      <w:szCs w:val="24"/>
      <w:lang w:val="en-US" w:eastAsia="en-US"/>
    </w:rPr>
  </w:style>
  <w:style w:type="paragraph" w:styleId="FootnoteText">
    <w:name w:val="footnote text"/>
    <w:basedOn w:val="Normal"/>
    <w:link w:val="FootnoteTextChar"/>
    <w:uiPriority w:val="99"/>
    <w:semiHidden/>
    <w:unhideWhenUsed/>
    <w:rsid w:val="00E25805"/>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25805"/>
    <w:rPr>
      <w:rFonts w:asciiTheme="minorHAnsi" w:eastAsiaTheme="minorHAnsi" w:hAnsiTheme="minorHAnsi" w:cstheme="minorBidi"/>
      <w:lang w:eastAsia="en-US"/>
    </w:rPr>
  </w:style>
  <w:style w:type="character" w:styleId="FootnoteReference">
    <w:name w:val="footnote reference"/>
    <w:basedOn w:val="DefaultParagraphFont"/>
    <w:unhideWhenUsed/>
    <w:rsid w:val="00E25805"/>
    <w:rPr>
      <w:vertAlign w:val="superscript"/>
    </w:rPr>
  </w:style>
  <w:style w:type="table" w:customStyle="1" w:styleId="LashStyleTable1">
    <w:name w:val="Lash Style Table1"/>
    <w:basedOn w:val="TableNormal"/>
    <w:next w:val="TableGrid"/>
    <w:uiPriority w:val="59"/>
    <w:rsid w:val="005A643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2">
    <w:name w:val="Lash Style Table2"/>
    <w:basedOn w:val="TableNormal"/>
    <w:next w:val="TableGrid"/>
    <w:uiPriority w:val="59"/>
    <w:rsid w:val="00274DF4"/>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rsid w:val="00470C66"/>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6">
    <w:name w:val="List Table 7 Colorful Accent 6"/>
    <w:basedOn w:val="TableNormal"/>
    <w:uiPriority w:val="52"/>
    <w:rsid w:val="00470C6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BC2862"/>
    <w:pPr>
      <w:numPr>
        <w:numId w:val="7"/>
      </w:numPr>
    </w:pPr>
  </w:style>
  <w:style w:type="character" w:customStyle="1" w:styleId="UnresolvedMention1">
    <w:name w:val="Unresolved Mention1"/>
    <w:basedOn w:val="DefaultParagraphFont"/>
    <w:uiPriority w:val="99"/>
    <w:semiHidden/>
    <w:unhideWhenUsed/>
    <w:rsid w:val="0099379B"/>
    <w:rPr>
      <w:color w:val="605E5C"/>
      <w:shd w:val="clear" w:color="auto" w:fill="E1DFDD"/>
    </w:rPr>
  </w:style>
  <w:style w:type="paragraph" w:styleId="Caption">
    <w:name w:val="caption"/>
    <w:basedOn w:val="Normal"/>
    <w:next w:val="Normal"/>
    <w:link w:val="CaptionChar"/>
    <w:unhideWhenUsed/>
    <w:rsid w:val="00172C1C"/>
    <w:pPr>
      <w:spacing w:after="200"/>
    </w:pPr>
    <w:rPr>
      <w:b/>
      <w:bCs/>
      <w:color w:val="4F81BD" w:themeColor="accent1"/>
      <w:sz w:val="18"/>
      <w:szCs w:val="18"/>
    </w:rPr>
  </w:style>
  <w:style w:type="character" w:customStyle="1" w:styleId="CaptionChar">
    <w:name w:val="Caption Char"/>
    <w:link w:val="Caption"/>
    <w:rsid w:val="00172C1C"/>
    <w:rPr>
      <w:rFonts w:ascii="Calibri" w:hAnsi="Calibri" w:cs="Arial"/>
      <w:b/>
      <w:bCs/>
      <w:color w:val="4F81BD" w:themeColor="accent1"/>
      <w:sz w:val="18"/>
      <w:szCs w:val="18"/>
    </w:rPr>
  </w:style>
  <w:style w:type="paragraph" w:customStyle="1" w:styleId="2Sections">
    <w:name w:val="2. Sections"/>
    <w:qFormat/>
    <w:rsid w:val="005C6AD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5C6ADC"/>
    <w:pPr>
      <w:ind w:left="720" w:hanging="720"/>
    </w:pPr>
    <w:rPr>
      <w:rFonts w:eastAsiaTheme="minorHAnsi" w:cstheme="minorBidi"/>
      <w:snapToGrid/>
      <w:szCs w:val="22"/>
      <w:lang w:eastAsia="en-US"/>
    </w:rPr>
  </w:style>
  <w:style w:type="character" w:styleId="UnresolvedMention">
    <w:name w:val="Unresolved Mention"/>
    <w:basedOn w:val="DefaultParagraphFont"/>
    <w:uiPriority w:val="99"/>
    <w:semiHidden/>
    <w:unhideWhenUsed/>
    <w:rsid w:val="00072ACA"/>
    <w:rPr>
      <w:color w:val="605E5C"/>
      <w:shd w:val="clear" w:color="auto" w:fill="E1DFDD"/>
    </w:rPr>
  </w:style>
  <w:style w:type="paragraph" w:customStyle="1" w:styleId="pf0">
    <w:name w:val="pf0"/>
    <w:basedOn w:val="Normal"/>
    <w:rsid w:val="00C84961"/>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C84961"/>
    <w:rPr>
      <w:rFonts w:ascii="Segoe UI" w:hAnsi="Segoe UI" w:cs="Segoe UI" w:hint="default"/>
      <w:sz w:val="18"/>
      <w:szCs w:val="18"/>
    </w:rPr>
  </w:style>
  <w:style w:type="paragraph" w:styleId="EndnoteText">
    <w:name w:val="endnote text"/>
    <w:basedOn w:val="Normal"/>
    <w:link w:val="EndnoteTextChar"/>
    <w:semiHidden/>
    <w:unhideWhenUsed/>
    <w:rsid w:val="0097165E"/>
    <w:rPr>
      <w:sz w:val="20"/>
      <w:szCs w:val="20"/>
    </w:rPr>
  </w:style>
  <w:style w:type="character" w:customStyle="1" w:styleId="EndnoteTextChar">
    <w:name w:val="Endnote Text Char"/>
    <w:basedOn w:val="DefaultParagraphFont"/>
    <w:link w:val="EndnoteText"/>
    <w:semiHidden/>
    <w:rsid w:val="0097165E"/>
    <w:rPr>
      <w:rFonts w:ascii="Calibri" w:hAnsi="Calibri" w:cs="Arial"/>
    </w:rPr>
  </w:style>
  <w:style w:type="character" w:styleId="EndnoteReference">
    <w:name w:val="endnote reference"/>
    <w:basedOn w:val="DefaultParagraphFont"/>
    <w:semiHidden/>
    <w:unhideWhenUsed/>
    <w:rsid w:val="0097165E"/>
    <w:rPr>
      <w:vertAlign w:val="superscript"/>
    </w:rPr>
  </w:style>
  <w:style w:type="paragraph" w:customStyle="1" w:styleId="Default">
    <w:name w:val="Default"/>
    <w:rsid w:val="0086351B"/>
    <w:pPr>
      <w:autoSpaceDE w:val="0"/>
      <w:autoSpaceDN w:val="0"/>
      <w:adjustRightInd w:val="0"/>
    </w:pPr>
    <w:rPr>
      <w:rFonts w:eastAsiaTheme="minorHAnsi"/>
      <w:color w:val="000000"/>
      <w:sz w:val="24"/>
      <w:szCs w:val="24"/>
      <w:lang w:eastAsia="en-US"/>
    </w:rPr>
  </w:style>
  <w:style w:type="paragraph" w:customStyle="1" w:styleId="OTCaption">
    <w:name w:val="OT Caption"/>
    <w:next w:val="Normal"/>
    <w:uiPriority w:val="99"/>
    <w:qFormat/>
    <w:rsid w:val="009E17BB"/>
    <w:pPr>
      <w:pageBreakBefore/>
      <w:adjustRightInd w:val="0"/>
      <w:spacing w:after="180"/>
      <w:outlineLvl w:val="3"/>
    </w:pPr>
    <w:rPr>
      <w:rFonts w:ascii="Courier" w:eastAsia="Calibri" w:hAnsi="Courier" w:cs="Courier"/>
      <w:color w:val="000000"/>
      <w:sz w:val="16"/>
      <w:szCs w:val="16"/>
      <w:lang w:val="en-US" w:eastAsia="en-US"/>
    </w:rPr>
  </w:style>
  <w:style w:type="paragraph" w:customStyle="1" w:styleId="OTFootnote">
    <w:name w:val="OT Footnote"/>
    <w:uiPriority w:val="99"/>
    <w:qFormat/>
    <w:rsid w:val="009E17BB"/>
    <w:pPr>
      <w:adjustRightInd w:val="0"/>
      <w:spacing w:before="240" w:after="120"/>
      <w:contextualSpacing/>
    </w:pPr>
    <w:rPr>
      <w:rFonts w:ascii="Courier" w:eastAsia="Calibri" w:hAnsi="Courier" w:cs="Courier"/>
      <w:color w:val="000000"/>
      <w:sz w:val="16"/>
      <w:szCs w:val="16"/>
      <w:lang w:val="en-US" w:eastAsia="en-US"/>
    </w:rPr>
  </w:style>
  <w:style w:type="paragraph" w:customStyle="1" w:styleId="OTCentered">
    <w:name w:val="OT Centered"/>
    <w:basedOn w:val="OTLeft"/>
    <w:uiPriority w:val="99"/>
    <w:qFormat/>
    <w:rsid w:val="009E17BB"/>
    <w:pPr>
      <w:jc w:val="center"/>
    </w:pPr>
  </w:style>
  <w:style w:type="paragraph" w:customStyle="1" w:styleId="OTLeft">
    <w:name w:val="OT Left"/>
    <w:uiPriority w:val="99"/>
    <w:qFormat/>
    <w:rsid w:val="009E17BB"/>
    <w:pPr>
      <w:adjustRightInd w:val="0"/>
    </w:pPr>
    <w:rPr>
      <w:rFonts w:ascii="Courier" w:eastAsia="Calibri" w:hAnsi="Courier" w:cs="Courier"/>
      <w:color w:val="000000"/>
      <w:sz w:val="16"/>
      <w:szCs w:val="18"/>
      <w:lang w:val="en-US" w:eastAsia="en-US"/>
    </w:rPr>
  </w:style>
  <w:style w:type="table" w:customStyle="1" w:styleId="TableGrid1">
    <w:name w:val="Table Grid1"/>
    <w:basedOn w:val="TableNormal"/>
    <w:next w:val="TableGrid"/>
    <w:uiPriority w:val="39"/>
    <w:rsid w:val="001776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46704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67044"/>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9A2063"/>
    <w:pPr>
      <w:ind w:left="720" w:hanging="720"/>
    </w:pPr>
    <w:rPr>
      <w:rFonts w:eastAsiaTheme="minorHAnsi" w:cstheme="minorBidi"/>
      <w:snapToGrid/>
      <w:szCs w:val="22"/>
      <w:lang w:eastAsia="en-US"/>
    </w:rPr>
  </w:style>
  <w:style w:type="paragraph" w:customStyle="1" w:styleId="ExecSumBodyText">
    <w:name w:val="Exec Sum Body Text"/>
    <w:basedOn w:val="Normal"/>
    <w:link w:val="ExecSumBodyTextChar"/>
    <w:qFormat/>
    <w:rsid w:val="004B657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4B657B"/>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8396051">
      <w:bodyDiv w:val="1"/>
      <w:marLeft w:val="0"/>
      <w:marRight w:val="0"/>
      <w:marTop w:val="0"/>
      <w:marBottom w:val="0"/>
      <w:divBdr>
        <w:top w:val="none" w:sz="0" w:space="0" w:color="auto"/>
        <w:left w:val="none" w:sz="0" w:space="0" w:color="auto"/>
        <w:bottom w:val="none" w:sz="0" w:space="0" w:color="auto"/>
        <w:right w:val="none" w:sz="0" w:space="0" w:color="auto"/>
      </w:divBdr>
    </w:div>
    <w:div w:id="182091185">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13889580">
      <w:bodyDiv w:val="1"/>
      <w:marLeft w:val="0"/>
      <w:marRight w:val="0"/>
      <w:marTop w:val="0"/>
      <w:marBottom w:val="0"/>
      <w:divBdr>
        <w:top w:val="none" w:sz="0" w:space="0" w:color="auto"/>
        <w:left w:val="none" w:sz="0" w:space="0" w:color="auto"/>
        <w:bottom w:val="none" w:sz="0" w:space="0" w:color="auto"/>
        <w:right w:val="none" w:sz="0" w:space="0" w:color="auto"/>
      </w:divBdr>
    </w:div>
    <w:div w:id="910391245">
      <w:bodyDiv w:val="1"/>
      <w:marLeft w:val="0"/>
      <w:marRight w:val="0"/>
      <w:marTop w:val="0"/>
      <w:marBottom w:val="0"/>
      <w:divBdr>
        <w:top w:val="none" w:sz="0" w:space="0" w:color="auto"/>
        <w:left w:val="none" w:sz="0" w:space="0" w:color="auto"/>
        <w:bottom w:val="none" w:sz="0" w:space="0" w:color="auto"/>
        <w:right w:val="none" w:sz="0" w:space="0" w:color="auto"/>
      </w:divBdr>
    </w:div>
    <w:div w:id="94103207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2573">
      <w:bodyDiv w:val="1"/>
      <w:marLeft w:val="0"/>
      <w:marRight w:val="0"/>
      <w:marTop w:val="0"/>
      <w:marBottom w:val="0"/>
      <w:divBdr>
        <w:top w:val="none" w:sz="0" w:space="0" w:color="auto"/>
        <w:left w:val="none" w:sz="0" w:space="0" w:color="auto"/>
        <w:bottom w:val="none" w:sz="0" w:space="0" w:color="auto"/>
        <w:right w:val="none" w:sz="0" w:space="0" w:color="auto"/>
      </w:divBdr>
    </w:div>
    <w:div w:id="1691030371">
      <w:bodyDiv w:val="1"/>
      <w:marLeft w:val="0"/>
      <w:marRight w:val="0"/>
      <w:marTop w:val="0"/>
      <w:marBottom w:val="0"/>
      <w:divBdr>
        <w:top w:val="none" w:sz="0" w:space="0" w:color="auto"/>
        <w:left w:val="none" w:sz="0" w:space="0" w:color="auto"/>
        <w:bottom w:val="none" w:sz="0" w:space="0" w:color="auto"/>
        <w:right w:val="none" w:sz="0" w:space="0" w:color="auto"/>
      </w:divBdr>
    </w:div>
    <w:div w:id="1729911100">
      <w:bodyDiv w:val="1"/>
      <w:marLeft w:val="0"/>
      <w:marRight w:val="0"/>
      <w:marTop w:val="0"/>
      <w:marBottom w:val="0"/>
      <w:divBdr>
        <w:top w:val="none" w:sz="0" w:space="0" w:color="auto"/>
        <w:left w:val="none" w:sz="0" w:space="0" w:color="auto"/>
        <w:bottom w:val="none" w:sz="0" w:space="0" w:color="auto"/>
        <w:right w:val="none" w:sz="0" w:space="0" w:color="auto"/>
      </w:divBdr>
    </w:div>
    <w:div w:id="1762406637">
      <w:bodyDiv w:val="1"/>
      <w:marLeft w:val="0"/>
      <w:marRight w:val="0"/>
      <w:marTop w:val="0"/>
      <w:marBottom w:val="0"/>
      <w:divBdr>
        <w:top w:val="none" w:sz="0" w:space="0" w:color="auto"/>
        <w:left w:val="none" w:sz="0" w:space="0" w:color="auto"/>
        <w:bottom w:val="none" w:sz="0" w:space="0" w:color="auto"/>
        <w:right w:val="none" w:sz="0" w:space="0" w:color="auto"/>
      </w:divBdr>
    </w:div>
    <w:div w:id="1801999090">
      <w:bodyDiv w:val="1"/>
      <w:marLeft w:val="0"/>
      <w:marRight w:val="0"/>
      <w:marTop w:val="0"/>
      <w:marBottom w:val="0"/>
      <w:divBdr>
        <w:top w:val="none" w:sz="0" w:space="0" w:color="auto"/>
        <w:left w:val="none" w:sz="0" w:space="0" w:color="auto"/>
        <w:bottom w:val="none" w:sz="0" w:space="0" w:color="auto"/>
        <w:right w:val="none" w:sz="0" w:space="0" w:color="auto"/>
      </w:divBdr>
    </w:div>
    <w:div w:id="185252893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ta746/evidence/committee-papers-pdf-10887317533" TargetMode="External"/><Relationship Id="rId1" Type="http://schemas.openxmlformats.org/officeDocument/2006/relationships/hyperlink" Target="https://www.clinicaltrials.gov/ct2/show/NCT02509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2096-C040-4B20-AD3A-7C12235E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12809</Words>
  <Characters>70030</Characters>
  <Application>Microsoft Office Word</Application>
  <DocSecurity>0</DocSecurity>
  <Lines>583</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2022-10-24T01:38:00Z</dcterms:created>
  <dcterms:modified xsi:type="dcterms:W3CDTF">2022-10-24T01:38:00Z</dcterms:modified>
</cp:coreProperties>
</file>