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0614DEA7" w:rsidR="00B60939" w:rsidRPr="003B4086" w:rsidRDefault="005A6B0C" w:rsidP="00327FF8">
      <w:pPr>
        <w:pStyle w:val="1-MainHeading"/>
        <w:ind w:left="567" w:hanging="567"/>
      </w:pPr>
      <w:bookmarkStart w:id="0" w:name="_Toc103768120"/>
      <w:r w:rsidRPr="003B4086">
        <w:t>6</w:t>
      </w:r>
      <w:r w:rsidR="00433044" w:rsidRPr="003B4086">
        <w:t>.</w:t>
      </w:r>
      <w:r w:rsidRPr="003B4086">
        <w:t>05</w:t>
      </w:r>
      <w:r w:rsidR="00163F66" w:rsidRPr="003B4086">
        <w:tab/>
      </w:r>
      <w:r w:rsidRPr="003B4086">
        <w:t>NIVOLUMAB</w:t>
      </w:r>
      <w:r w:rsidR="00163F66" w:rsidRPr="003B4086">
        <w:t>,</w:t>
      </w:r>
      <w:r w:rsidR="00163F66" w:rsidRPr="003B4086">
        <w:br/>
      </w:r>
      <w:r w:rsidR="009F6246" w:rsidRPr="003B4086">
        <w:t>I</w:t>
      </w:r>
      <w:r w:rsidRPr="003B4086">
        <w:t>njection concentrate for I.V. infusion 40 mg in 4 mL</w:t>
      </w:r>
      <w:r w:rsidR="00163F66" w:rsidRPr="003B4086">
        <w:t>,</w:t>
      </w:r>
      <w:r w:rsidR="00163F66" w:rsidRPr="003B4086">
        <w:br/>
      </w:r>
      <w:r w:rsidR="009F6246" w:rsidRPr="003B4086">
        <w:t>Injection concentrate for I.V. infusion 100 mg in 10 mL</w:t>
      </w:r>
      <w:r w:rsidR="00163F66" w:rsidRPr="003B4086">
        <w:t>,</w:t>
      </w:r>
      <w:r w:rsidR="00163F66" w:rsidRPr="003B4086">
        <w:br/>
      </w:r>
      <w:r w:rsidR="009F6246" w:rsidRPr="003B4086">
        <w:t>Opdivo</w:t>
      </w:r>
      <w:r w:rsidR="009F6246" w:rsidRPr="003B4086">
        <w:rPr>
          <w:vertAlign w:val="superscript"/>
        </w:rPr>
        <w:t>®</w:t>
      </w:r>
      <w:r w:rsidR="004A6040" w:rsidRPr="003B4086">
        <w:t>,</w:t>
      </w:r>
      <w:r w:rsidR="004A6040" w:rsidRPr="003B4086">
        <w:br/>
      </w:r>
      <w:r w:rsidR="009F6246" w:rsidRPr="003B4086">
        <w:t>Bristol-Myers Squibb Australia Pty Ltd</w:t>
      </w:r>
      <w:r w:rsidR="00B60939" w:rsidRPr="003B4086">
        <w:t>.</w:t>
      </w:r>
      <w:bookmarkEnd w:id="0"/>
    </w:p>
    <w:p w14:paraId="11C00795" w14:textId="15A85778" w:rsidR="00B50DB8" w:rsidRPr="003B4086" w:rsidRDefault="00B50DB8" w:rsidP="004A6040">
      <w:pPr>
        <w:pStyle w:val="2-SectionHeading"/>
      </w:pPr>
      <w:bookmarkStart w:id="1" w:name="_Toc103768122"/>
      <w:r w:rsidRPr="003B4086">
        <w:t xml:space="preserve">Purpose of </w:t>
      </w:r>
      <w:r w:rsidR="00CD7193" w:rsidRPr="003B4086">
        <w:t>s</w:t>
      </w:r>
      <w:r w:rsidR="00BB3A45" w:rsidRPr="003B4086">
        <w:t>ubmission</w:t>
      </w:r>
      <w:bookmarkEnd w:id="1"/>
    </w:p>
    <w:p w14:paraId="19414AA1" w14:textId="4145A9DF" w:rsidR="002C2775" w:rsidRPr="003B4086" w:rsidRDefault="007170DA" w:rsidP="007926FC">
      <w:pPr>
        <w:pStyle w:val="3-BodyText"/>
      </w:pPr>
      <w:r w:rsidRPr="003B4086">
        <w:t xml:space="preserve">The </w:t>
      </w:r>
      <w:r w:rsidR="007926FC" w:rsidRPr="003B4086">
        <w:t xml:space="preserve">Category 2 </w:t>
      </w:r>
      <w:r w:rsidRPr="003B4086">
        <w:t xml:space="preserve">submission requested </w:t>
      </w:r>
      <w:r w:rsidR="007926FC" w:rsidRPr="003B4086">
        <w:t xml:space="preserve">a Section 100 (Efficient Funding of Chemotherapy Program) Authority Required listing </w:t>
      </w:r>
      <w:r w:rsidR="00700A31" w:rsidRPr="003B4086">
        <w:t>for</w:t>
      </w:r>
      <w:r w:rsidR="0029230A" w:rsidRPr="003B4086">
        <w:t xml:space="preserve"> </w:t>
      </w:r>
      <w:r w:rsidR="007926FC" w:rsidRPr="003B4086">
        <w:t xml:space="preserve">adjuvant treatment of patients who have undergone radical resection of muscle invasive urothelial carcinoma (MIUC) originating in the bladder or upper urinary tract (renal pelvis or ureter) and are at </w:t>
      </w:r>
      <w:r w:rsidR="00E84147" w:rsidRPr="003B4086">
        <w:t xml:space="preserve">high </w:t>
      </w:r>
      <w:r w:rsidR="002979D3" w:rsidRPr="003B4086">
        <w:t>risk</w:t>
      </w:r>
      <w:r w:rsidR="007926FC" w:rsidRPr="003B4086">
        <w:t xml:space="preserve"> of recurrence.</w:t>
      </w:r>
    </w:p>
    <w:p w14:paraId="64C4EA10" w14:textId="4FA9ABA4" w:rsidR="007926FC" w:rsidRPr="003B4086" w:rsidRDefault="007926FC" w:rsidP="007926FC">
      <w:pPr>
        <w:pStyle w:val="3-BodyText"/>
      </w:pPr>
      <w:r w:rsidRPr="003B4086">
        <w:t xml:space="preserve">Listing was requested on the basis of a cost-effectiveness analysis versus watchful waiting. The key components of the clinical issue are summarised in </w:t>
      </w:r>
      <w:r w:rsidRPr="003B4086">
        <w:fldChar w:fldCharType="begin"/>
      </w:r>
      <w:r w:rsidRPr="003B4086">
        <w:instrText xml:space="preserve"> REF _Ref102221606 \h </w:instrText>
      </w:r>
      <w:r w:rsidRPr="003B4086">
        <w:fldChar w:fldCharType="separate"/>
      </w:r>
      <w:r w:rsidR="00C6296C" w:rsidRPr="003B4086">
        <w:t xml:space="preserve">Table </w:t>
      </w:r>
      <w:r w:rsidR="00C6296C" w:rsidRPr="003B4086">
        <w:rPr>
          <w:noProof/>
        </w:rPr>
        <w:t>1</w:t>
      </w:r>
      <w:r w:rsidRPr="003B4086">
        <w:fldChar w:fldCharType="end"/>
      </w:r>
      <w:r w:rsidRPr="003B4086">
        <w:t>.</w:t>
      </w:r>
    </w:p>
    <w:p w14:paraId="333CDFE3" w14:textId="08E843BF" w:rsidR="007926FC" w:rsidRPr="003B4086" w:rsidRDefault="007926FC" w:rsidP="009F29D7">
      <w:pPr>
        <w:pStyle w:val="TableFigureHeading"/>
        <w:keepLines/>
      </w:pPr>
      <w:bookmarkStart w:id="2" w:name="_Ref102221606"/>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1</w:t>
      </w:r>
      <w:r w:rsidR="00785573">
        <w:rPr>
          <w:noProof/>
        </w:rPr>
        <w:fldChar w:fldCharType="end"/>
      </w:r>
      <w:bookmarkEnd w:id="2"/>
      <w:r w:rsidRPr="003B4086">
        <w:t>: Key components of the clinical issue addressed by the submission.</w:t>
      </w:r>
    </w:p>
    <w:tbl>
      <w:tblPr>
        <w:tblStyle w:val="TableGrid"/>
        <w:tblW w:w="5000" w:type="pct"/>
        <w:tblLook w:val="04A0" w:firstRow="1" w:lastRow="0" w:firstColumn="1" w:lastColumn="0" w:noHBand="0" w:noVBand="1"/>
      </w:tblPr>
      <w:tblGrid>
        <w:gridCol w:w="1375"/>
        <w:gridCol w:w="7641"/>
      </w:tblGrid>
      <w:tr w:rsidR="007926FC" w:rsidRPr="003B4086" w14:paraId="58656894" w14:textId="77777777" w:rsidTr="00AE197F">
        <w:tc>
          <w:tcPr>
            <w:tcW w:w="1403" w:type="dxa"/>
          </w:tcPr>
          <w:p w14:paraId="4165D3F8" w14:textId="77777777" w:rsidR="007926FC" w:rsidRPr="003B4086" w:rsidRDefault="007926FC" w:rsidP="009F29D7">
            <w:pPr>
              <w:pStyle w:val="Tabletext"/>
              <w:keepNext/>
              <w:keepLines/>
              <w:rPr>
                <w:b/>
              </w:rPr>
            </w:pPr>
            <w:r w:rsidRPr="003B4086">
              <w:rPr>
                <w:b/>
              </w:rPr>
              <w:t>Component</w:t>
            </w:r>
          </w:p>
        </w:tc>
        <w:tc>
          <w:tcPr>
            <w:tcW w:w="8373" w:type="dxa"/>
          </w:tcPr>
          <w:p w14:paraId="7A819606" w14:textId="77777777" w:rsidR="007926FC" w:rsidRPr="003B4086" w:rsidRDefault="007926FC" w:rsidP="009F29D7">
            <w:pPr>
              <w:pStyle w:val="Tabletext"/>
              <w:keepNext/>
              <w:keepLines/>
              <w:rPr>
                <w:b/>
              </w:rPr>
            </w:pPr>
            <w:r w:rsidRPr="003B4086">
              <w:rPr>
                <w:b/>
              </w:rPr>
              <w:t>Description</w:t>
            </w:r>
          </w:p>
        </w:tc>
      </w:tr>
      <w:tr w:rsidR="007926FC" w:rsidRPr="003B4086" w14:paraId="4252B6C3" w14:textId="77777777" w:rsidTr="00AE197F">
        <w:tc>
          <w:tcPr>
            <w:tcW w:w="1403" w:type="dxa"/>
          </w:tcPr>
          <w:p w14:paraId="4569CE1B" w14:textId="77777777" w:rsidR="007926FC" w:rsidRPr="003B4086" w:rsidRDefault="007926FC" w:rsidP="009F29D7">
            <w:pPr>
              <w:pStyle w:val="Tabletext"/>
              <w:keepNext/>
              <w:keepLines/>
            </w:pPr>
            <w:r w:rsidRPr="003B4086">
              <w:t>Population</w:t>
            </w:r>
          </w:p>
        </w:tc>
        <w:tc>
          <w:tcPr>
            <w:tcW w:w="8373" w:type="dxa"/>
          </w:tcPr>
          <w:p w14:paraId="0714C192" w14:textId="5214564F" w:rsidR="007926FC" w:rsidRPr="003B4086" w:rsidRDefault="007926FC" w:rsidP="009F29D7">
            <w:pPr>
              <w:pStyle w:val="Tabletext"/>
              <w:keepNext/>
              <w:keepLines/>
              <w:rPr>
                <w:highlight w:val="yellow"/>
              </w:rPr>
            </w:pPr>
            <w:r w:rsidRPr="003B4086">
              <w:t xml:space="preserve">Patients with muscle invasive urothelial carcinoma (MIUC) who have undergone radical </w:t>
            </w:r>
            <w:r w:rsidR="00E35762" w:rsidRPr="003B4086">
              <w:t xml:space="preserve">resection </w:t>
            </w:r>
            <w:r w:rsidRPr="003B4086">
              <w:t>surgery</w:t>
            </w:r>
            <w:r w:rsidR="00E35762" w:rsidRPr="003B4086">
              <w:t xml:space="preserve"> and</w:t>
            </w:r>
            <w:r w:rsidR="00CC477A" w:rsidRPr="003B4086">
              <w:t xml:space="preserve"> are at high risk of recurrence</w:t>
            </w:r>
          </w:p>
        </w:tc>
      </w:tr>
      <w:tr w:rsidR="007926FC" w:rsidRPr="003B4086" w14:paraId="2323C173" w14:textId="77777777" w:rsidTr="00AE197F">
        <w:tc>
          <w:tcPr>
            <w:tcW w:w="1403" w:type="dxa"/>
          </w:tcPr>
          <w:p w14:paraId="7A3A1D92" w14:textId="77777777" w:rsidR="007926FC" w:rsidRPr="003B4086" w:rsidRDefault="007926FC" w:rsidP="009F29D7">
            <w:pPr>
              <w:pStyle w:val="Tabletext"/>
              <w:keepNext/>
              <w:keepLines/>
            </w:pPr>
            <w:r w:rsidRPr="003B4086">
              <w:t>Intervention</w:t>
            </w:r>
          </w:p>
        </w:tc>
        <w:tc>
          <w:tcPr>
            <w:tcW w:w="8373" w:type="dxa"/>
          </w:tcPr>
          <w:p w14:paraId="228D55DD" w14:textId="77777777" w:rsidR="007926FC" w:rsidRPr="003B4086" w:rsidRDefault="007926FC" w:rsidP="009F29D7">
            <w:pPr>
              <w:pStyle w:val="Tabletext"/>
              <w:keepNext/>
              <w:keepLines/>
            </w:pPr>
            <w:r w:rsidRPr="003B4086">
              <w:t>Nivolumab</w:t>
            </w:r>
          </w:p>
        </w:tc>
      </w:tr>
      <w:tr w:rsidR="007926FC" w:rsidRPr="003B4086" w14:paraId="6AAE7926" w14:textId="77777777" w:rsidTr="00AE197F">
        <w:tc>
          <w:tcPr>
            <w:tcW w:w="1403" w:type="dxa"/>
          </w:tcPr>
          <w:p w14:paraId="2DC11B2A" w14:textId="77777777" w:rsidR="007926FC" w:rsidRPr="003B4086" w:rsidRDefault="007926FC" w:rsidP="009F29D7">
            <w:pPr>
              <w:pStyle w:val="Tabletext"/>
              <w:keepNext/>
              <w:keepLines/>
            </w:pPr>
            <w:r w:rsidRPr="003B4086">
              <w:t>Comparator</w:t>
            </w:r>
          </w:p>
        </w:tc>
        <w:tc>
          <w:tcPr>
            <w:tcW w:w="8373" w:type="dxa"/>
          </w:tcPr>
          <w:p w14:paraId="643BF18C" w14:textId="68E5977E" w:rsidR="007926FC" w:rsidRPr="003B4086" w:rsidRDefault="007926FC" w:rsidP="009F29D7">
            <w:pPr>
              <w:pStyle w:val="Tabletext"/>
              <w:keepNext/>
              <w:keepLines/>
            </w:pPr>
            <w:r w:rsidRPr="003B4086">
              <w:t>Watch and wait surveillance</w:t>
            </w:r>
          </w:p>
        </w:tc>
      </w:tr>
      <w:tr w:rsidR="007926FC" w:rsidRPr="003B4086" w14:paraId="1AC00B91" w14:textId="77777777" w:rsidTr="00AE197F">
        <w:tc>
          <w:tcPr>
            <w:tcW w:w="1403" w:type="dxa"/>
          </w:tcPr>
          <w:p w14:paraId="426A9938" w14:textId="77777777" w:rsidR="007926FC" w:rsidRPr="003B4086" w:rsidRDefault="007926FC" w:rsidP="009F29D7">
            <w:pPr>
              <w:pStyle w:val="Tabletext"/>
              <w:keepNext/>
              <w:keepLines/>
            </w:pPr>
            <w:r w:rsidRPr="003B4086">
              <w:t>Outcomes</w:t>
            </w:r>
          </w:p>
        </w:tc>
        <w:tc>
          <w:tcPr>
            <w:tcW w:w="8373" w:type="dxa"/>
          </w:tcPr>
          <w:p w14:paraId="0E84E133" w14:textId="2B8CF8F2" w:rsidR="007926FC" w:rsidRPr="003B4086" w:rsidRDefault="007926FC" w:rsidP="009F29D7">
            <w:pPr>
              <w:pStyle w:val="Tabletext"/>
              <w:keepNext/>
              <w:keepLines/>
              <w:rPr>
                <w:highlight w:val="yellow"/>
              </w:rPr>
            </w:pPr>
            <w:r w:rsidRPr="003B4086">
              <w:t xml:space="preserve">Disease-free survival (DFS), </w:t>
            </w:r>
            <w:r w:rsidR="00F93D18" w:rsidRPr="00CD0F52">
              <w:t xml:space="preserve">overall survival (OS), </w:t>
            </w:r>
            <w:r w:rsidRPr="00CD0F52">
              <w:t xml:space="preserve">non-urothelial tract recurrence-free survival (NUTRFS), </w:t>
            </w:r>
            <w:r w:rsidR="009F29D7" w:rsidRPr="00CD0F52">
              <w:t xml:space="preserve">disease-specific survival (DSS), </w:t>
            </w:r>
            <w:r w:rsidRPr="00CD0F52">
              <w:t>health-related quality of life (HRQoL), safety and tolerability</w:t>
            </w:r>
            <w:r w:rsidR="00F93D18" w:rsidRPr="00CD0F52">
              <w:t>.</w:t>
            </w:r>
          </w:p>
        </w:tc>
      </w:tr>
      <w:tr w:rsidR="007926FC" w:rsidRPr="003B4086" w14:paraId="2899F313" w14:textId="77777777" w:rsidTr="00AE197F">
        <w:tc>
          <w:tcPr>
            <w:tcW w:w="1403" w:type="dxa"/>
          </w:tcPr>
          <w:p w14:paraId="54886954" w14:textId="77777777" w:rsidR="007926FC" w:rsidRPr="003B4086" w:rsidRDefault="007926FC" w:rsidP="009F29D7">
            <w:pPr>
              <w:pStyle w:val="Tabletext"/>
              <w:keepNext/>
              <w:keepLines/>
            </w:pPr>
            <w:r w:rsidRPr="003B4086">
              <w:t>Clinical claim</w:t>
            </w:r>
          </w:p>
        </w:tc>
        <w:tc>
          <w:tcPr>
            <w:tcW w:w="8373" w:type="dxa"/>
          </w:tcPr>
          <w:p w14:paraId="103DA970" w14:textId="77777777" w:rsidR="007926FC" w:rsidRPr="003B4086" w:rsidRDefault="007926FC" w:rsidP="009F29D7">
            <w:pPr>
              <w:pStyle w:val="Tabletext"/>
              <w:keepNext/>
              <w:keepLines/>
              <w:rPr>
                <w:highlight w:val="yellow"/>
              </w:rPr>
            </w:pPr>
            <w:r w:rsidRPr="003B4086">
              <w:t>Nivolumab has superior efficacy and inferior safety compared to watchful waiting</w:t>
            </w:r>
          </w:p>
        </w:tc>
      </w:tr>
    </w:tbl>
    <w:p w14:paraId="39A1A355" w14:textId="166F3FDA" w:rsidR="00A37347" w:rsidRPr="003B4086" w:rsidRDefault="007926FC" w:rsidP="009F29D7">
      <w:pPr>
        <w:pStyle w:val="TableFigureFooter"/>
        <w:keepNext/>
        <w:keepLines/>
      </w:pPr>
      <w:r w:rsidRPr="003B4086">
        <w:t>Source: Table 1, p15 of the submission</w:t>
      </w:r>
      <w:r w:rsidR="008D660E" w:rsidRPr="003B4086">
        <w:t>.</w:t>
      </w:r>
    </w:p>
    <w:p w14:paraId="6B4AB6C2" w14:textId="7F01D731" w:rsidR="005C25FF" w:rsidRPr="003B4086" w:rsidRDefault="005C25FF" w:rsidP="004A6040">
      <w:pPr>
        <w:pStyle w:val="2-SectionHeading"/>
      </w:pPr>
      <w:bookmarkStart w:id="3" w:name="_Toc103768123"/>
      <w:r w:rsidRPr="003B4086">
        <w:t>Background</w:t>
      </w:r>
      <w:bookmarkEnd w:id="3"/>
    </w:p>
    <w:p w14:paraId="2C521D6D" w14:textId="78CF03EE" w:rsidR="005C25FF" w:rsidRPr="003B4086" w:rsidRDefault="005C25FF" w:rsidP="004A6040">
      <w:pPr>
        <w:pStyle w:val="4-SubsectionHeading"/>
      </w:pPr>
      <w:bookmarkStart w:id="4" w:name="_Toc22897638"/>
      <w:bookmarkStart w:id="5" w:name="_Toc103768124"/>
      <w:r w:rsidRPr="003B4086">
        <w:t>Registration status</w:t>
      </w:r>
      <w:bookmarkEnd w:id="4"/>
      <w:bookmarkEnd w:id="5"/>
    </w:p>
    <w:p w14:paraId="17645E8A" w14:textId="19863CB7" w:rsidR="00B87DB5" w:rsidRPr="003B4086" w:rsidRDefault="00CF0C39" w:rsidP="00B87DB5">
      <w:pPr>
        <w:pStyle w:val="3-BodyText"/>
      </w:pPr>
      <w:r w:rsidRPr="003B4086">
        <w:rPr>
          <w:rFonts w:ascii="Calibri" w:eastAsia="Calibri" w:hAnsi="Calibri"/>
          <w:b/>
          <w:i/>
          <w:iCs/>
          <w:szCs w:val="22"/>
        </w:rPr>
        <w:t xml:space="preserve">TGA status at time of </w:t>
      </w:r>
      <w:r w:rsidR="0051797B" w:rsidRPr="003B4086">
        <w:rPr>
          <w:rFonts w:ascii="Calibri" w:eastAsia="Calibri" w:hAnsi="Calibri"/>
          <w:b/>
          <w:i/>
          <w:iCs/>
          <w:szCs w:val="22"/>
        </w:rPr>
        <w:t>PBAC consideration</w:t>
      </w:r>
      <w:r w:rsidRPr="003B4086">
        <w:rPr>
          <w:rFonts w:ascii="Calibri" w:eastAsia="Calibri" w:hAnsi="Calibri"/>
          <w:i/>
          <w:iCs/>
          <w:szCs w:val="22"/>
        </w:rPr>
        <w:t xml:space="preserve">: </w:t>
      </w:r>
      <w:r w:rsidR="00AE3E85" w:rsidRPr="003B4086">
        <w:rPr>
          <w:rFonts w:ascii="Calibri" w:eastAsia="Calibri" w:hAnsi="Calibri"/>
          <w:szCs w:val="22"/>
        </w:rPr>
        <w:t xml:space="preserve">not registered. </w:t>
      </w:r>
      <w:r w:rsidR="00B87DB5" w:rsidRPr="003B4086">
        <w:t xml:space="preserve">The submission was made under the TGA/PBAC Parallel Process. </w:t>
      </w:r>
      <w:r w:rsidR="00AE3E85" w:rsidRPr="003B4086">
        <w:t>T</w:t>
      </w:r>
      <w:r w:rsidR="00B87DB5" w:rsidRPr="003B4086">
        <w:t>he TGA clinical evaluation report (Round 2</w:t>
      </w:r>
      <w:r w:rsidR="00625E81" w:rsidRPr="003B4086">
        <w:t xml:space="preserve"> CER</w:t>
      </w:r>
      <w:r w:rsidR="00B87DB5" w:rsidRPr="003B4086">
        <w:t xml:space="preserve">) and the TGA </w:t>
      </w:r>
      <w:r w:rsidR="0029230A" w:rsidRPr="003B4086">
        <w:t>D</w:t>
      </w:r>
      <w:r w:rsidR="00B87DB5" w:rsidRPr="003B4086">
        <w:t>elegate’s overview (Submission PM-2021-02518-1-4, Date of Finalisation 06 May 2022)</w:t>
      </w:r>
      <w:r w:rsidR="00AE3E85" w:rsidRPr="003B4086">
        <w:t xml:space="preserve"> were received during the evaluation prior to </w:t>
      </w:r>
      <w:r w:rsidR="00472EBC" w:rsidRPr="003B4086">
        <w:t xml:space="preserve">PBAC </w:t>
      </w:r>
      <w:r w:rsidR="00AE3E85" w:rsidRPr="003B4086">
        <w:t>consideration</w:t>
      </w:r>
      <w:r w:rsidR="005C25FF" w:rsidRPr="003B4086">
        <w:t>.</w:t>
      </w:r>
      <w:r w:rsidR="00B87DB5" w:rsidRPr="003B4086">
        <w:t xml:space="preserve"> The Delegate noted that while a decision was yet to be made, the Delegate was inclined to approve the registration of nivolumab, </w:t>
      </w:r>
      <w:r w:rsidR="0045395D" w:rsidRPr="003B4086">
        <w:t xml:space="preserve">as monotherapy, </w:t>
      </w:r>
      <w:r w:rsidR="00B87DB5" w:rsidRPr="003B4086">
        <w:t xml:space="preserve">for the adjuvant treatment of MIUC patients, who are at </w:t>
      </w:r>
      <w:r w:rsidR="00E84147" w:rsidRPr="003B4086">
        <w:t xml:space="preserve">high </w:t>
      </w:r>
      <w:r w:rsidR="002979D3" w:rsidRPr="003B4086">
        <w:t>risk</w:t>
      </w:r>
      <w:r w:rsidR="00B87DB5" w:rsidRPr="003B4086">
        <w:t xml:space="preserve"> of recurrence after undergoing radical resection</w:t>
      </w:r>
      <w:r w:rsidR="0045395D" w:rsidRPr="003B4086">
        <w:t xml:space="preserve"> of MIUC</w:t>
      </w:r>
      <w:r w:rsidR="00B87DB5" w:rsidRPr="003B4086">
        <w:t>.</w:t>
      </w:r>
      <w:r w:rsidR="005509B1">
        <w:t xml:space="preserve"> </w:t>
      </w:r>
      <w:r w:rsidR="00AA759B">
        <w:t xml:space="preserve">The PBAC noted that the delegate sought advice on the submission at the June ACM meeting. The PBAC noted that </w:t>
      </w:r>
      <w:r w:rsidR="00A33D59">
        <w:t xml:space="preserve">the ACM was supportive of mature overall survival (OS) data being provided to the TGA once available and having this as a condition of registration. In addition, the ACM noted that there </w:t>
      </w:r>
      <w:r w:rsidR="0026559B">
        <w:t>wa</w:t>
      </w:r>
      <w:r w:rsidR="00A33D59">
        <w:t>s not yet strong data in support of nivolumab within upper urothelial tract cancers</w:t>
      </w:r>
      <w:r w:rsidR="0026559B">
        <w:t xml:space="preserve"> and considered this should be noted within the P</w:t>
      </w:r>
      <w:r w:rsidR="00AB7FCF">
        <w:t xml:space="preserve">roduct </w:t>
      </w:r>
      <w:r w:rsidR="0026559B">
        <w:t>I</w:t>
      </w:r>
      <w:r w:rsidR="00AB7FCF">
        <w:t>nformation (PI)</w:t>
      </w:r>
      <w:r w:rsidR="00A33D59">
        <w:t xml:space="preserve">. The PBAC noted that the ACM considered nivolumab to have an overall positive benefit-risk profile for the indication specified by the Delegate. </w:t>
      </w:r>
      <w:r w:rsidR="00AA759B">
        <w:t xml:space="preserve"> </w:t>
      </w:r>
    </w:p>
    <w:p w14:paraId="5DDC7A5D" w14:textId="1B2BC38D" w:rsidR="00B87DB5" w:rsidRPr="003B4086" w:rsidRDefault="00B87DB5" w:rsidP="00B87DB5">
      <w:pPr>
        <w:pStyle w:val="3-BodyText"/>
      </w:pPr>
      <w:r w:rsidRPr="003B4086">
        <w:lastRenderedPageBreak/>
        <w:t xml:space="preserve">Nivolumab </w:t>
      </w:r>
      <w:r w:rsidR="00CC2A8C" w:rsidRPr="003B4086">
        <w:t xml:space="preserve">monotherapy </w:t>
      </w:r>
      <w:r w:rsidRPr="003B4086">
        <w:t xml:space="preserve">was </w:t>
      </w:r>
      <w:r w:rsidR="00986F1A" w:rsidRPr="003B4086">
        <w:t>registered</w:t>
      </w:r>
      <w:r w:rsidR="00CC2A8C" w:rsidRPr="003B4086">
        <w:t xml:space="preserve"> by the TGA</w:t>
      </w:r>
      <w:r w:rsidRPr="003B4086">
        <w:t xml:space="preserve"> in February 2018 for the treatment of patients with locally advanced unresectable or metastatic urothelial carcinoma after prior platinum-containing therapy. The approval was based on objective response rate and duration of response in a single arm study</w:t>
      </w:r>
      <w:r w:rsidR="00DA3F2E" w:rsidRPr="003B4086">
        <w:t xml:space="preserve"> but is not PBS listed</w:t>
      </w:r>
      <w:r w:rsidRPr="003B4086">
        <w:t>.</w:t>
      </w:r>
    </w:p>
    <w:p w14:paraId="0BEDBFD4" w14:textId="44657C44" w:rsidR="00986F1A" w:rsidRPr="003B4086" w:rsidRDefault="00986F1A" w:rsidP="00B87DB5">
      <w:pPr>
        <w:pStyle w:val="3-BodyText"/>
      </w:pPr>
      <w:r w:rsidRPr="003B4086">
        <w:fldChar w:fldCharType="begin"/>
      </w:r>
      <w:r w:rsidRPr="003B4086">
        <w:instrText xml:space="preserve"> REF _Ref102222711 \h </w:instrText>
      </w:r>
      <w:r w:rsidRPr="003B4086">
        <w:fldChar w:fldCharType="separate"/>
      </w:r>
      <w:r w:rsidR="00C6296C" w:rsidRPr="003B4086">
        <w:t xml:space="preserve">Table </w:t>
      </w:r>
      <w:r w:rsidR="00C6296C" w:rsidRPr="003B4086">
        <w:rPr>
          <w:noProof/>
        </w:rPr>
        <w:t>2</w:t>
      </w:r>
      <w:r w:rsidRPr="003B4086">
        <w:fldChar w:fldCharType="end"/>
      </w:r>
      <w:r w:rsidRPr="003B4086">
        <w:t xml:space="preserve"> summarises the regulatory status of nivolumab overseas for </w:t>
      </w:r>
      <w:r w:rsidR="00E84147" w:rsidRPr="003B4086">
        <w:t>high risk</w:t>
      </w:r>
      <w:r w:rsidRPr="003B4086">
        <w:t xml:space="preserve"> MIUC.</w:t>
      </w:r>
    </w:p>
    <w:p w14:paraId="27D1D6DC" w14:textId="444A3D90" w:rsidR="00986F1A" w:rsidRPr="003B4086" w:rsidRDefault="00986F1A" w:rsidP="00986F1A">
      <w:pPr>
        <w:pStyle w:val="TableFigureHeading"/>
      </w:pPr>
      <w:bookmarkStart w:id="6" w:name="_Ref102222711"/>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2</w:t>
      </w:r>
      <w:r w:rsidR="00785573">
        <w:rPr>
          <w:noProof/>
        </w:rPr>
        <w:fldChar w:fldCharType="end"/>
      </w:r>
      <w:bookmarkEnd w:id="6"/>
      <w:r w:rsidRPr="003B4086">
        <w:t xml:space="preserve">: Summary of overseas regulatory approval status for nivolumab as an adjuvant treatment of </w:t>
      </w:r>
      <w:r w:rsidR="00E84147" w:rsidRPr="003B4086">
        <w:t>high risk</w:t>
      </w:r>
      <w:r w:rsidRPr="003B4086">
        <w:t xml:space="preserve"> MIUC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Summary of overseas regulatory approval status for nivolumab as an adjuvant treatment of high risk MIUC"/>
      </w:tblPr>
      <w:tblGrid>
        <w:gridCol w:w="1271"/>
        <w:gridCol w:w="2063"/>
        <w:gridCol w:w="1895"/>
        <w:gridCol w:w="1895"/>
        <w:gridCol w:w="1892"/>
      </w:tblGrid>
      <w:tr w:rsidR="00986F1A" w:rsidRPr="003B4086" w14:paraId="512AD2E3" w14:textId="77777777" w:rsidTr="00986F1A">
        <w:trPr>
          <w:trHeight w:val="335"/>
        </w:trPr>
        <w:tc>
          <w:tcPr>
            <w:tcW w:w="705" w:type="pct"/>
            <w:shd w:val="clear" w:color="auto" w:fill="auto"/>
          </w:tcPr>
          <w:p w14:paraId="382C6EA5" w14:textId="77777777" w:rsidR="00986F1A" w:rsidRPr="003B4086" w:rsidRDefault="00986F1A" w:rsidP="008316EE">
            <w:pPr>
              <w:pStyle w:val="Tabletext"/>
              <w:keepNext/>
            </w:pPr>
          </w:p>
        </w:tc>
        <w:tc>
          <w:tcPr>
            <w:tcW w:w="1144" w:type="pct"/>
            <w:shd w:val="clear" w:color="auto" w:fill="auto"/>
          </w:tcPr>
          <w:p w14:paraId="1B9D76AD" w14:textId="77777777" w:rsidR="00986F1A" w:rsidRPr="003B4086" w:rsidRDefault="00986F1A" w:rsidP="008316EE">
            <w:pPr>
              <w:pStyle w:val="Tabletext"/>
              <w:keepNext/>
              <w:rPr>
                <w:b/>
              </w:rPr>
            </w:pPr>
            <w:r w:rsidRPr="003B4086">
              <w:rPr>
                <w:b/>
              </w:rPr>
              <w:t>USA</w:t>
            </w:r>
          </w:p>
        </w:tc>
        <w:tc>
          <w:tcPr>
            <w:tcW w:w="1051" w:type="pct"/>
            <w:shd w:val="clear" w:color="auto" w:fill="auto"/>
          </w:tcPr>
          <w:p w14:paraId="02DE904F" w14:textId="77777777" w:rsidR="00986F1A" w:rsidRPr="003B4086" w:rsidRDefault="00986F1A" w:rsidP="008316EE">
            <w:pPr>
              <w:pStyle w:val="Tabletext"/>
              <w:keepNext/>
              <w:rPr>
                <w:b/>
              </w:rPr>
            </w:pPr>
            <w:r w:rsidRPr="003B4086">
              <w:rPr>
                <w:b/>
              </w:rPr>
              <w:t>European Union</w:t>
            </w:r>
          </w:p>
        </w:tc>
        <w:tc>
          <w:tcPr>
            <w:tcW w:w="1051" w:type="pct"/>
            <w:shd w:val="clear" w:color="auto" w:fill="auto"/>
          </w:tcPr>
          <w:p w14:paraId="2F52E8CA" w14:textId="77777777" w:rsidR="00986F1A" w:rsidRPr="003B4086" w:rsidRDefault="00986F1A" w:rsidP="008316EE">
            <w:pPr>
              <w:pStyle w:val="Tabletext"/>
              <w:keepNext/>
              <w:rPr>
                <w:b/>
              </w:rPr>
            </w:pPr>
            <w:r w:rsidRPr="003B4086">
              <w:rPr>
                <w:b/>
              </w:rPr>
              <w:t>Canada</w:t>
            </w:r>
          </w:p>
        </w:tc>
        <w:tc>
          <w:tcPr>
            <w:tcW w:w="1049" w:type="pct"/>
            <w:shd w:val="clear" w:color="auto" w:fill="auto"/>
          </w:tcPr>
          <w:p w14:paraId="1AB948CE" w14:textId="77777777" w:rsidR="00986F1A" w:rsidRPr="003B4086" w:rsidRDefault="00986F1A" w:rsidP="008316EE">
            <w:pPr>
              <w:pStyle w:val="Tabletext"/>
              <w:keepNext/>
              <w:rPr>
                <w:b/>
              </w:rPr>
            </w:pPr>
            <w:r w:rsidRPr="003B4086">
              <w:rPr>
                <w:b/>
              </w:rPr>
              <w:t>Switzerland</w:t>
            </w:r>
          </w:p>
        </w:tc>
      </w:tr>
      <w:tr w:rsidR="00986F1A" w:rsidRPr="003B4086" w14:paraId="001926D1" w14:textId="77777777" w:rsidTr="00986F1A">
        <w:trPr>
          <w:trHeight w:val="1513"/>
        </w:trPr>
        <w:tc>
          <w:tcPr>
            <w:tcW w:w="705" w:type="pct"/>
          </w:tcPr>
          <w:p w14:paraId="72E93650" w14:textId="77777777" w:rsidR="00986F1A" w:rsidRPr="003B4086" w:rsidRDefault="00986F1A" w:rsidP="008316EE">
            <w:pPr>
              <w:pStyle w:val="Tabletext"/>
              <w:keepNext/>
            </w:pPr>
            <w:r w:rsidRPr="003B4086">
              <w:t>Indication requested</w:t>
            </w:r>
          </w:p>
        </w:tc>
        <w:tc>
          <w:tcPr>
            <w:tcW w:w="1144" w:type="pct"/>
          </w:tcPr>
          <w:p w14:paraId="77D591D2" w14:textId="144565D1" w:rsidR="00986F1A" w:rsidRPr="003B4086" w:rsidRDefault="00986F1A" w:rsidP="008316EE">
            <w:pPr>
              <w:pStyle w:val="Tabletext"/>
              <w:keepNext/>
              <w:rPr>
                <w:highlight w:val="yellow"/>
              </w:rPr>
            </w:pPr>
            <w:r w:rsidRPr="003B4086">
              <w:t xml:space="preserve">Adjuvant treatment of patients with urothelial carcinoma who are at </w:t>
            </w:r>
            <w:r w:rsidR="00E84147" w:rsidRPr="003B4086">
              <w:t>high risk</w:t>
            </w:r>
            <w:r w:rsidRPr="003B4086">
              <w:t xml:space="preserve"> of recurrence after undergoing radical resection</w:t>
            </w:r>
          </w:p>
        </w:tc>
        <w:tc>
          <w:tcPr>
            <w:tcW w:w="1051" w:type="pct"/>
          </w:tcPr>
          <w:p w14:paraId="574821BE" w14:textId="531EA374" w:rsidR="00986F1A" w:rsidRPr="003B4086" w:rsidRDefault="00986F1A" w:rsidP="008316EE">
            <w:pPr>
              <w:pStyle w:val="Tabletext"/>
              <w:keepNext/>
              <w:rPr>
                <w:highlight w:val="yellow"/>
              </w:rPr>
            </w:pPr>
            <w:r w:rsidRPr="003B4086">
              <w:t>As monotherapy for the adjuvant treatment of adults with MIUC</w:t>
            </w:r>
            <w:r w:rsidR="00240088" w:rsidRPr="003B4086">
              <w:t xml:space="preserve"> with tumour cell PD-L1 expression ≥ 1%,</w:t>
            </w:r>
            <w:r w:rsidRPr="003B4086">
              <w:t xml:space="preserve"> who are at </w:t>
            </w:r>
            <w:r w:rsidR="00E84147" w:rsidRPr="003B4086">
              <w:t>high risk</w:t>
            </w:r>
            <w:r w:rsidRPr="003B4086">
              <w:t xml:space="preserve"> of recurrence after undergoing radical resection of MIUC.</w:t>
            </w:r>
          </w:p>
        </w:tc>
        <w:tc>
          <w:tcPr>
            <w:tcW w:w="1051" w:type="pct"/>
          </w:tcPr>
          <w:p w14:paraId="05436AFE" w14:textId="531E8615" w:rsidR="00986F1A" w:rsidRPr="003B4086" w:rsidRDefault="00986F1A" w:rsidP="008316EE">
            <w:pPr>
              <w:pStyle w:val="Tabletext"/>
              <w:keepNext/>
              <w:rPr>
                <w:highlight w:val="yellow"/>
              </w:rPr>
            </w:pPr>
            <w:r w:rsidRPr="003B4086">
              <w:t xml:space="preserve">As monotherapy for the adjuvant treatment of patients with MIUC who are at </w:t>
            </w:r>
            <w:r w:rsidR="00E84147" w:rsidRPr="003B4086">
              <w:t>high risk</w:t>
            </w:r>
            <w:r w:rsidRPr="003B4086">
              <w:t xml:space="preserve"> of recurrence after undergoing radical resection of MIUC.</w:t>
            </w:r>
          </w:p>
        </w:tc>
        <w:tc>
          <w:tcPr>
            <w:tcW w:w="1049" w:type="pct"/>
          </w:tcPr>
          <w:p w14:paraId="066C3425" w14:textId="15D5E475" w:rsidR="00986F1A" w:rsidRPr="003B4086" w:rsidRDefault="00986F1A" w:rsidP="008316EE">
            <w:pPr>
              <w:pStyle w:val="Tabletext"/>
              <w:keepNext/>
              <w:rPr>
                <w:highlight w:val="yellow"/>
              </w:rPr>
            </w:pPr>
            <w:r w:rsidRPr="003B4086">
              <w:t xml:space="preserve">Adjuvant treatment of adult patients with MIUC who are at </w:t>
            </w:r>
            <w:r w:rsidR="00E84147" w:rsidRPr="003B4086">
              <w:t>high risk</w:t>
            </w:r>
            <w:r w:rsidRPr="003B4086">
              <w:t xml:space="preserve"> of recurrence after undergoing radical resection of MIUC.</w:t>
            </w:r>
          </w:p>
        </w:tc>
      </w:tr>
      <w:tr w:rsidR="00986F1A" w:rsidRPr="003B4086" w14:paraId="5EA7E66D" w14:textId="77777777" w:rsidTr="00986F1A">
        <w:trPr>
          <w:trHeight w:val="507"/>
        </w:trPr>
        <w:tc>
          <w:tcPr>
            <w:tcW w:w="705" w:type="pct"/>
          </w:tcPr>
          <w:p w14:paraId="5FF2DC51" w14:textId="77777777" w:rsidR="00986F1A" w:rsidRPr="003B4086" w:rsidRDefault="00986F1A" w:rsidP="008316EE">
            <w:pPr>
              <w:pStyle w:val="Tabletext"/>
              <w:keepNext/>
            </w:pPr>
            <w:r w:rsidRPr="003B4086">
              <w:t>Anticipated approval date</w:t>
            </w:r>
          </w:p>
        </w:tc>
        <w:tc>
          <w:tcPr>
            <w:tcW w:w="1144" w:type="pct"/>
          </w:tcPr>
          <w:p w14:paraId="02FAF8B5" w14:textId="77777777" w:rsidR="00986F1A" w:rsidRPr="003B4086" w:rsidRDefault="00986F1A" w:rsidP="008316EE">
            <w:pPr>
              <w:pStyle w:val="Tabletext"/>
              <w:keepNext/>
              <w:rPr>
                <w:highlight w:val="yellow"/>
              </w:rPr>
            </w:pPr>
            <w:r w:rsidRPr="003B4086">
              <w:t>Approved 20-August-2021</w:t>
            </w:r>
          </w:p>
        </w:tc>
        <w:tc>
          <w:tcPr>
            <w:tcW w:w="1051" w:type="pct"/>
          </w:tcPr>
          <w:p w14:paraId="7123DA5E" w14:textId="4A98E68F" w:rsidR="00986F1A" w:rsidRPr="003B4086" w:rsidRDefault="00240088" w:rsidP="008316EE">
            <w:pPr>
              <w:pStyle w:val="Tabletext"/>
              <w:keepNext/>
              <w:rPr>
                <w:highlight w:val="yellow"/>
              </w:rPr>
            </w:pPr>
            <w:r w:rsidRPr="003B4086">
              <w:t>Positive opinion adopted by the EMA on 24</w:t>
            </w:r>
            <w:r w:rsidRPr="003B4086">
              <w:rPr>
                <w:vertAlign w:val="superscript"/>
              </w:rPr>
              <w:t>th</w:t>
            </w:r>
            <w:r w:rsidRPr="003B4086">
              <w:t xml:space="preserve"> February 2022.</w:t>
            </w:r>
          </w:p>
        </w:tc>
        <w:tc>
          <w:tcPr>
            <w:tcW w:w="1051" w:type="pct"/>
          </w:tcPr>
          <w:p w14:paraId="077D4536" w14:textId="77777777" w:rsidR="00986F1A" w:rsidRPr="003B4086" w:rsidRDefault="00986F1A" w:rsidP="008316EE">
            <w:pPr>
              <w:pStyle w:val="Tabletext"/>
              <w:keepNext/>
              <w:rPr>
                <w:highlight w:val="yellow"/>
              </w:rPr>
            </w:pPr>
            <w:r w:rsidRPr="003B4086">
              <w:t>31-May-2022</w:t>
            </w:r>
          </w:p>
        </w:tc>
        <w:tc>
          <w:tcPr>
            <w:tcW w:w="1049" w:type="pct"/>
          </w:tcPr>
          <w:p w14:paraId="6BD4D2CD" w14:textId="77777777" w:rsidR="00986F1A" w:rsidRPr="003B4086" w:rsidRDefault="00986F1A" w:rsidP="008316EE">
            <w:pPr>
              <w:pStyle w:val="Tabletext"/>
              <w:keepNext/>
              <w:rPr>
                <w:highlight w:val="yellow"/>
              </w:rPr>
            </w:pPr>
            <w:r w:rsidRPr="003B4086">
              <w:t>07-January-2022</w:t>
            </w:r>
          </w:p>
        </w:tc>
      </w:tr>
    </w:tbl>
    <w:p w14:paraId="449C8059" w14:textId="77777777" w:rsidR="00986F1A" w:rsidRPr="003B4086" w:rsidRDefault="00986F1A" w:rsidP="00986F1A">
      <w:pPr>
        <w:pStyle w:val="TableFigureFooter"/>
      </w:pPr>
      <w:r w:rsidRPr="003B4086">
        <w:t>Source: Table 8, p38 of the submission.</w:t>
      </w:r>
    </w:p>
    <w:p w14:paraId="5374AD55" w14:textId="5BAABFAD" w:rsidR="005C25FF" w:rsidRPr="003B4086" w:rsidRDefault="00240088" w:rsidP="00986F1A">
      <w:pPr>
        <w:pStyle w:val="TableFigureFooter"/>
      </w:pPr>
      <w:r w:rsidRPr="003B4086">
        <w:t xml:space="preserve">EMA = European Medicines Agency; </w:t>
      </w:r>
      <w:r w:rsidR="00986F1A" w:rsidRPr="003B4086">
        <w:t>MIUC = muscle invasive urothelial carcinoma</w:t>
      </w:r>
      <w:r w:rsidR="00CC2A8C" w:rsidRPr="003B4086">
        <w:t>; USA, United States of America</w:t>
      </w:r>
    </w:p>
    <w:p w14:paraId="26FE3EFB" w14:textId="36375D95" w:rsidR="00ED1B15" w:rsidRPr="003B4086" w:rsidRDefault="00ED1B15" w:rsidP="00ED1B15">
      <w:pPr>
        <w:ind w:firstLine="709"/>
        <w:rPr>
          <w:rFonts w:asciiTheme="minorHAnsi" w:hAnsiTheme="minorHAnsi"/>
          <w:i/>
        </w:rPr>
      </w:pPr>
      <w:bookmarkStart w:id="7" w:name="_Hlk76375324"/>
      <w:r w:rsidRPr="003B4086">
        <w:rPr>
          <w:rFonts w:asciiTheme="minorHAnsi" w:hAnsiTheme="minorHAnsi"/>
          <w:i/>
        </w:rPr>
        <w:t>For more detail on PBAC’s view, see section 7 PBAC outcome.</w:t>
      </w:r>
      <w:bookmarkEnd w:id="7"/>
    </w:p>
    <w:p w14:paraId="76E4EF3C" w14:textId="175AD80C" w:rsidR="00B60939" w:rsidRPr="003B4086" w:rsidRDefault="00B50DB8" w:rsidP="004E18E9">
      <w:pPr>
        <w:pStyle w:val="2-SectionHeading"/>
      </w:pPr>
      <w:bookmarkStart w:id="8" w:name="_Toc103768125"/>
      <w:r w:rsidRPr="003B4086">
        <w:t>Requested listing</w:t>
      </w:r>
      <w:bookmarkEnd w:id="8"/>
    </w:p>
    <w:p w14:paraId="1F2E4062" w14:textId="127CC39A" w:rsidR="003B4086" w:rsidRPr="003B4086" w:rsidRDefault="0082206C" w:rsidP="0082206C">
      <w:pPr>
        <w:pStyle w:val="3-BodyText"/>
      </w:pPr>
      <w:r w:rsidRPr="0082206C">
        <w:t>Suggestions and additions proposed by the Secretariat are added in italics and suggested deletions are crossed out with strikethrough</w:t>
      </w:r>
      <w: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418"/>
        <w:gridCol w:w="2126"/>
        <w:gridCol w:w="2126"/>
      </w:tblGrid>
      <w:tr w:rsidR="0082206C" w:rsidRPr="003B4086" w14:paraId="408A3D37" w14:textId="77777777" w:rsidTr="00AB0894">
        <w:tc>
          <w:tcPr>
            <w:tcW w:w="1696" w:type="dxa"/>
            <w:shd w:val="clear" w:color="auto" w:fill="auto"/>
          </w:tcPr>
          <w:p w14:paraId="4C68A6F9" w14:textId="77777777" w:rsidR="0082206C" w:rsidRPr="003B4086" w:rsidRDefault="0082206C" w:rsidP="006363DE">
            <w:pPr>
              <w:ind w:left="-57"/>
              <w:rPr>
                <w:rFonts w:ascii="Arial Narrow" w:hAnsi="Arial Narrow"/>
                <w:b/>
                <w:snapToGrid w:val="0"/>
                <w:sz w:val="20"/>
                <w:szCs w:val="20"/>
              </w:rPr>
            </w:pPr>
            <w:r w:rsidRPr="003B4086">
              <w:rPr>
                <w:rFonts w:ascii="Arial Narrow" w:hAnsi="Arial Narrow"/>
                <w:b/>
                <w:snapToGrid w:val="0"/>
                <w:sz w:val="20"/>
                <w:szCs w:val="20"/>
              </w:rPr>
              <w:t xml:space="preserve">MEDICINAL PRODUCT </w:t>
            </w:r>
            <w:r w:rsidRPr="003B4086">
              <w:rPr>
                <w:rFonts w:ascii="Arial Narrow" w:hAnsi="Arial Narrow"/>
                <w:b/>
                <w:snapToGrid w:val="0"/>
                <w:sz w:val="20"/>
                <w:szCs w:val="20"/>
              </w:rPr>
              <w:br/>
              <w:t>Form</w:t>
            </w:r>
          </w:p>
        </w:tc>
        <w:tc>
          <w:tcPr>
            <w:tcW w:w="1843" w:type="dxa"/>
            <w:shd w:val="clear" w:color="auto" w:fill="auto"/>
          </w:tcPr>
          <w:p w14:paraId="65DA8136" w14:textId="77777777" w:rsidR="0082206C" w:rsidRPr="003B4086" w:rsidRDefault="0082206C" w:rsidP="006363DE">
            <w:pPr>
              <w:jc w:val="center"/>
              <w:rPr>
                <w:rFonts w:ascii="Arial Narrow" w:hAnsi="Arial Narrow"/>
                <w:b/>
                <w:snapToGrid w:val="0"/>
                <w:sz w:val="20"/>
                <w:szCs w:val="20"/>
              </w:rPr>
            </w:pPr>
            <w:r w:rsidRPr="003B4086">
              <w:rPr>
                <w:rFonts w:ascii="Arial Narrow" w:hAnsi="Arial Narrow"/>
                <w:b/>
                <w:snapToGrid w:val="0"/>
                <w:sz w:val="20"/>
                <w:szCs w:val="20"/>
              </w:rPr>
              <w:t>PBS item code</w:t>
            </w:r>
          </w:p>
        </w:tc>
        <w:tc>
          <w:tcPr>
            <w:tcW w:w="1418" w:type="dxa"/>
            <w:shd w:val="clear" w:color="auto" w:fill="auto"/>
          </w:tcPr>
          <w:p w14:paraId="0A9BDDE5" w14:textId="77777777" w:rsidR="0082206C" w:rsidRPr="003B4086" w:rsidRDefault="0082206C" w:rsidP="006363DE">
            <w:pPr>
              <w:jc w:val="center"/>
              <w:rPr>
                <w:rFonts w:ascii="Arial Narrow" w:hAnsi="Arial Narrow"/>
                <w:b/>
                <w:snapToGrid w:val="0"/>
                <w:sz w:val="20"/>
                <w:szCs w:val="20"/>
              </w:rPr>
            </w:pPr>
            <w:r w:rsidRPr="003B4086">
              <w:rPr>
                <w:rFonts w:ascii="Arial Narrow" w:hAnsi="Arial Narrow"/>
                <w:b/>
                <w:snapToGrid w:val="0"/>
                <w:sz w:val="20"/>
                <w:szCs w:val="20"/>
              </w:rPr>
              <w:t>Maximum amount</w:t>
            </w:r>
          </w:p>
        </w:tc>
        <w:tc>
          <w:tcPr>
            <w:tcW w:w="2126" w:type="dxa"/>
            <w:shd w:val="clear" w:color="auto" w:fill="auto"/>
          </w:tcPr>
          <w:p w14:paraId="50C6B0C4" w14:textId="77777777" w:rsidR="0082206C" w:rsidRPr="003B4086" w:rsidRDefault="0082206C" w:rsidP="006363DE">
            <w:pPr>
              <w:jc w:val="center"/>
              <w:rPr>
                <w:rFonts w:ascii="Arial Narrow" w:hAnsi="Arial Narrow"/>
                <w:b/>
                <w:snapToGrid w:val="0"/>
                <w:sz w:val="20"/>
                <w:szCs w:val="20"/>
              </w:rPr>
            </w:pPr>
            <w:r w:rsidRPr="003B4086">
              <w:rPr>
                <w:rFonts w:ascii="Arial Narrow" w:hAnsi="Arial Narrow"/>
                <w:b/>
                <w:snapToGrid w:val="0"/>
                <w:sz w:val="20"/>
                <w:szCs w:val="20"/>
              </w:rPr>
              <w:t>No. of Repeats</w:t>
            </w:r>
          </w:p>
        </w:tc>
        <w:tc>
          <w:tcPr>
            <w:tcW w:w="2126" w:type="dxa"/>
            <w:shd w:val="clear" w:color="auto" w:fill="auto"/>
          </w:tcPr>
          <w:p w14:paraId="189C558A" w14:textId="6CC34271" w:rsidR="0082206C" w:rsidRPr="003B4086" w:rsidRDefault="007E455E" w:rsidP="006363DE">
            <w:pPr>
              <w:jc w:val="center"/>
              <w:rPr>
                <w:rFonts w:ascii="Arial Narrow" w:hAnsi="Arial Narrow"/>
                <w:b/>
                <w:snapToGrid w:val="0"/>
                <w:sz w:val="20"/>
                <w:szCs w:val="20"/>
              </w:rPr>
            </w:pPr>
            <w:r w:rsidRPr="00C6296C">
              <w:rPr>
                <w:rFonts w:ascii="Arial Narrow" w:hAnsi="Arial Narrow"/>
                <w:b/>
                <w:sz w:val="20"/>
                <w:szCs w:val="20"/>
              </w:rPr>
              <w:t>Dispensed price for maximum amount</w:t>
            </w:r>
          </w:p>
        </w:tc>
      </w:tr>
      <w:tr w:rsidR="0082206C" w:rsidRPr="003B4086" w14:paraId="410FF8B1" w14:textId="77777777" w:rsidTr="00AB0894">
        <w:tc>
          <w:tcPr>
            <w:tcW w:w="1696" w:type="dxa"/>
          </w:tcPr>
          <w:p w14:paraId="125B35A9" w14:textId="77777777" w:rsidR="0082206C" w:rsidRPr="003B4086" w:rsidRDefault="0082206C" w:rsidP="006363DE">
            <w:pPr>
              <w:ind w:left="-57"/>
              <w:rPr>
                <w:rFonts w:ascii="Arial Narrow" w:hAnsi="Arial Narrow"/>
                <w:snapToGrid w:val="0"/>
                <w:sz w:val="20"/>
                <w:szCs w:val="20"/>
              </w:rPr>
            </w:pPr>
            <w:r w:rsidRPr="003B4086">
              <w:rPr>
                <w:rFonts w:ascii="Arial Narrow" w:hAnsi="Arial Narrow"/>
                <w:snapToGrid w:val="0"/>
                <w:sz w:val="20"/>
                <w:szCs w:val="20"/>
              </w:rPr>
              <w:t>NIVOLUMAB</w:t>
            </w:r>
          </w:p>
          <w:p w14:paraId="50263D3B" w14:textId="77777777" w:rsidR="0082206C" w:rsidRPr="003B4086" w:rsidRDefault="0082206C" w:rsidP="006363DE">
            <w:pPr>
              <w:ind w:left="-57"/>
              <w:rPr>
                <w:rFonts w:ascii="Arial Narrow" w:hAnsi="Arial Narrow"/>
                <w:snapToGrid w:val="0"/>
                <w:sz w:val="20"/>
                <w:szCs w:val="20"/>
              </w:rPr>
            </w:pPr>
            <w:r w:rsidRPr="003B4086">
              <w:rPr>
                <w:rFonts w:ascii="Arial Narrow" w:hAnsi="Arial Narrow"/>
                <w:snapToGrid w:val="0"/>
                <w:sz w:val="20"/>
                <w:szCs w:val="20"/>
              </w:rPr>
              <w:t>Injection</w:t>
            </w:r>
          </w:p>
          <w:p w14:paraId="6607DA0C" w14:textId="77777777" w:rsidR="0082206C" w:rsidRPr="003B4086" w:rsidRDefault="0082206C" w:rsidP="006363DE">
            <w:pPr>
              <w:ind w:left="-57"/>
              <w:rPr>
                <w:rFonts w:ascii="Arial Narrow" w:hAnsi="Arial Narrow"/>
                <w:snapToGrid w:val="0"/>
                <w:sz w:val="20"/>
                <w:szCs w:val="20"/>
              </w:rPr>
            </w:pPr>
          </w:p>
        </w:tc>
        <w:tc>
          <w:tcPr>
            <w:tcW w:w="1843" w:type="dxa"/>
            <w:vAlign w:val="center"/>
          </w:tcPr>
          <w:p w14:paraId="5644E17D" w14:textId="77777777" w:rsidR="0082206C" w:rsidRPr="003B4086" w:rsidRDefault="0082206C" w:rsidP="006363DE">
            <w:pPr>
              <w:jc w:val="center"/>
              <w:rPr>
                <w:rFonts w:ascii="Arial Narrow" w:hAnsi="Arial Narrow"/>
                <w:snapToGrid w:val="0"/>
                <w:sz w:val="20"/>
                <w:szCs w:val="20"/>
              </w:rPr>
            </w:pPr>
            <w:r w:rsidRPr="003B4086">
              <w:rPr>
                <w:rFonts w:ascii="Arial Narrow" w:hAnsi="Arial Narrow"/>
                <w:snapToGrid w:val="0"/>
                <w:sz w:val="20"/>
                <w:szCs w:val="20"/>
              </w:rPr>
              <w:t>New (Public)</w:t>
            </w:r>
          </w:p>
          <w:p w14:paraId="2B8B5E2A" w14:textId="77777777" w:rsidR="0082206C" w:rsidRPr="003B4086" w:rsidRDefault="0082206C" w:rsidP="006363DE">
            <w:pPr>
              <w:jc w:val="center"/>
              <w:rPr>
                <w:rFonts w:ascii="Arial Narrow" w:hAnsi="Arial Narrow"/>
                <w:snapToGrid w:val="0"/>
                <w:sz w:val="20"/>
                <w:szCs w:val="20"/>
              </w:rPr>
            </w:pPr>
            <w:r w:rsidRPr="003B4086">
              <w:rPr>
                <w:rFonts w:ascii="Arial Narrow" w:hAnsi="Arial Narrow"/>
                <w:snapToGrid w:val="0"/>
                <w:sz w:val="20"/>
                <w:szCs w:val="20"/>
              </w:rPr>
              <w:t>New (Private)</w:t>
            </w:r>
          </w:p>
        </w:tc>
        <w:tc>
          <w:tcPr>
            <w:tcW w:w="1418" w:type="dxa"/>
            <w:vAlign w:val="center"/>
          </w:tcPr>
          <w:p w14:paraId="1CA83E5D" w14:textId="77777777" w:rsidR="0082206C" w:rsidRPr="003B4086" w:rsidRDefault="0082206C" w:rsidP="006363DE">
            <w:pPr>
              <w:jc w:val="center"/>
              <w:rPr>
                <w:rFonts w:ascii="Arial Narrow" w:hAnsi="Arial Narrow"/>
                <w:snapToGrid w:val="0"/>
                <w:sz w:val="20"/>
                <w:szCs w:val="20"/>
              </w:rPr>
            </w:pPr>
            <w:r w:rsidRPr="003B4086">
              <w:rPr>
                <w:rFonts w:ascii="Arial Narrow" w:hAnsi="Arial Narrow"/>
                <w:snapToGrid w:val="0"/>
                <w:sz w:val="20"/>
                <w:szCs w:val="20"/>
              </w:rPr>
              <w:t>480 mg</w:t>
            </w:r>
          </w:p>
        </w:tc>
        <w:tc>
          <w:tcPr>
            <w:tcW w:w="2126" w:type="dxa"/>
            <w:vAlign w:val="center"/>
          </w:tcPr>
          <w:p w14:paraId="2492273C" w14:textId="77777777" w:rsidR="0082206C" w:rsidRDefault="0082206C" w:rsidP="006363DE">
            <w:pPr>
              <w:jc w:val="center"/>
              <w:rPr>
                <w:rFonts w:ascii="Arial Narrow" w:hAnsi="Arial Narrow"/>
                <w:strike/>
                <w:snapToGrid w:val="0"/>
                <w:sz w:val="20"/>
                <w:szCs w:val="20"/>
              </w:rPr>
            </w:pPr>
            <w:r w:rsidRPr="003B4086">
              <w:rPr>
                <w:rFonts w:ascii="Arial Narrow" w:hAnsi="Arial Narrow"/>
                <w:snapToGrid w:val="0"/>
                <w:sz w:val="20"/>
                <w:szCs w:val="20"/>
              </w:rPr>
              <w:t xml:space="preserve">5 </w:t>
            </w:r>
            <w:r w:rsidRPr="003B4086">
              <w:rPr>
                <w:rFonts w:ascii="Arial Narrow" w:hAnsi="Arial Narrow"/>
                <w:strike/>
                <w:snapToGrid w:val="0"/>
                <w:sz w:val="20"/>
                <w:szCs w:val="20"/>
              </w:rPr>
              <w:t>(initial treatment)</w:t>
            </w:r>
          </w:p>
          <w:p w14:paraId="1955E60D" w14:textId="3284206D" w:rsidR="0082206C" w:rsidRPr="003B4086" w:rsidRDefault="0082206C" w:rsidP="006363DE">
            <w:pPr>
              <w:jc w:val="center"/>
              <w:rPr>
                <w:rFonts w:ascii="Arial Narrow" w:hAnsi="Arial Narrow"/>
                <w:snapToGrid w:val="0"/>
                <w:sz w:val="20"/>
                <w:szCs w:val="20"/>
              </w:rPr>
            </w:pPr>
            <w:r w:rsidRPr="003B4086">
              <w:rPr>
                <w:rFonts w:ascii="Arial Narrow" w:hAnsi="Arial Narrow"/>
                <w:strike/>
                <w:snapToGrid w:val="0"/>
                <w:sz w:val="20"/>
                <w:szCs w:val="20"/>
              </w:rPr>
              <w:t>6 (continuing treatment</w:t>
            </w:r>
            <w:r>
              <w:rPr>
                <w:rFonts w:ascii="Arial Narrow" w:hAnsi="Arial Narrow"/>
                <w:strike/>
                <w:snapToGrid w:val="0"/>
                <w:sz w:val="20"/>
                <w:szCs w:val="20"/>
              </w:rPr>
              <w:t>)</w:t>
            </w:r>
          </w:p>
        </w:tc>
        <w:tc>
          <w:tcPr>
            <w:tcW w:w="2126" w:type="dxa"/>
            <w:vAlign w:val="center"/>
          </w:tcPr>
          <w:p w14:paraId="2BA18B73" w14:textId="498F4DFB" w:rsidR="007E455E" w:rsidRDefault="007E455E" w:rsidP="007E455E">
            <w:pPr>
              <w:pStyle w:val="Tabletext"/>
              <w:widowControl w:val="0"/>
            </w:pPr>
            <w:r>
              <w:t>Published price</w:t>
            </w:r>
          </w:p>
          <w:p w14:paraId="6F724C04" w14:textId="17316382" w:rsidR="007E455E" w:rsidRPr="00C6296C" w:rsidRDefault="007E455E" w:rsidP="007E455E">
            <w:pPr>
              <w:pStyle w:val="Tabletext"/>
              <w:widowControl w:val="0"/>
            </w:pPr>
            <w:r w:rsidRPr="00C6296C">
              <w:t>$</w:t>
            </w:r>
            <w:r w:rsidR="00E020DE" w:rsidRPr="00E020DE">
              <w:rPr>
                <w:color w:val="000000"/>
                <w:spacing w:val="48"/>
                <w:shd w:val="solid" w:color="000000" w:fill="000000"/>
                <w:fitText w:val="500" w:id="-1435270144"/>
                <w14:textFill>
                  <w14:solidFill>
                    <w14:srgbClr w14:val="000000">
                      <w14:alpha w14:val="100000"/>
                    </w14:srgbClr>
                  </w14:solidFill>
                </w14:textFill>
              </w:rPr>
              <w:t>|||||</w:t>
            </w:r>
            <w:r w:rsidR="00E020DE" w:rsidRPr="00E020DE">
              <w:rPr>
                <w:color w:val="000000"/>
                <w:spacing w:val="5"/>
                <w:shd w:val="solid" w:color="000000" w:fill="000000"/>
                <w:fitText w:val="500" w:id="-1435270144"/>
                <w14:textFill>
                  <w14:solidFill>
                    <w14:srgbClr w14:val="000000">
                      <w14:alpha w14:val="100000"/>
                    </w14:srgbClr>
                  </w14:solidFill>
                </w14:textFill>
              </w:rPr>
              <w:t>|</w:t>
            </w:r>
          </w:p>
          <w:p w14:paraId="0EDB2DDE" w14:textId="2EECE192" w:rsidR="007E455E" w:rsidRPr="00C6296C" w:rsidRDefault="007E455E" w:rsidP="007E455E">
            <w:pPr>
              <w:pStyle w:val="Tabletext"/>
              <w:widowControl w:val="0"/>
            </w:pPr>
            <w:r w:rsidRPr="00C6296C">
              <w:t>(Private Hospital)</w:t>
            </w:r>
          </w:p>
          <w:p w14:paraId="097B4D3B" w14:textId="7856806F" w:rsidR="007E455E" w:rsidRPr="00C6296C" w:rsidRDefault="007E455E" w:rsidP="007E455E">
            <w:pPr>
              <w:pStyle w:val="Tabletext"/>
              <w:widowControl w:val="0"/>
            </w:pPr>
            <w:r w:rsidRPr="00C6296C">
              <w:t>$</w:t>
            </w:r>
            <w:r w:rsidR="00E020DE" w:rsidRPr="00E020DE">
              <w:rPr>
                <w:color w:val="000000"/>
                <w:spacing w:val="48"/>
                <w:shd w:val="solid" w:color="000000" w:fill="000000"/>
                <w:fitText w:val="500" w:id="-1435270143"/>
                <w14:textFill>
                  <w14:solidFill>
                    <w14:srgbClr w14:val="000000">
                      <w14:alpha w14:val="100000"/>
                    </w14:srgbClr>
                  </w14:solidFill>
                </w14:textFill>
              </w:rPr>
              <w:t>|||||</w:t>
            </w:r>
            <w:r w:rsidR="00E020DE" w:rsidRPr="00E020DE">
              <w:rPr>
                <w:color w:val="000000"/>
                <w:spacing w:val="5"/>
                <w:shd w:val="solid" w:color="000000" w:fill="000000"/>
                <w:fitText w:val="500" w:id="-1435270143"/>
                <w14:textFill>
                  <w14:solidFill>
                    <w14:srgbClr w14:val="000000">
                      <w14:alpha w14:val="100000"/>
                    </w14:srgbClr>
                  </w14:solidFill>
                </w14:textFill>
              </w:rPr>
              <w:t>|</w:t>
            </w:r>
          </w:p>
          <w:p w14:paraId="5A4E9105" w14:textId="5A059BF3" w:rsidR="007E455E" w:rsidRPr="00C6296C" w:rsidRDefault="007E455E" w:rsidP="007E455E">
            <w:pPr>
              <w:pStyle w:val="Tabletext"/>
              <w:widowControl w:val="0"/>
            </w:pPr>
            <w:r w:rsidRPr="00C6296C">
              <w:t>(Public Hospital)</w:t>
            </w:r>
          </w:p>
          <w:p w14:paraId="131E5CB0" w14:textId="0BDE5350" w:rsidR="007E455E" w:rsidRPr="00C6296C" w:rsidRDefault="007E455E" w:rsidP="007E455E">
            <w:pPr>
              <w:pStyle w:val="Tabletext"/>
              <w:widowControl w:val="0"/>
            </w:pPr>
            <w:r>
              <w:t>Effective price</w:t>
            </w:r>
          </w:p>
          <w:p w14:paraId="0ED686AF" w14:textId="01DBD645" w:rsidR="007E455E" w:rsidRPr="00C6296C" w:rsidRDefault="007E455E" w:rsidP="007E455E">
            <w:pPr>
              <w:pStyle w:val="Tabletext"/>
              <w:widowControl w:val="0"/>
            </w:pPr>
            <w:r w:rsidRPr="00C6296C">
              <w:t>$</w:t>
            </w:r>
            <w:r w:rsidR="00E020DE" w:rsidRPr="00E020DE">
              <w:rPr>
                <w:color w:val="000000"/>
                <w:spacing w:val="48"/>
                <w:shd w:val="solid" w:color="000000" w:fill="000000"/>
                <w:fitText w:val="500" w:id="-1435270142"/>
                <w14:textFill>
                  <w14:solidFill>
                    <w14:srgbClr w14:val="000000">
                      <w14:alpha w14:val="100000"/>
                    </w14:srgbClr>
                  </w14:solidFill>
                </w14:textFill>
              </w:rPr>
              <w:t>|||||</w:t>
            </w:r>
            <w:r w:rsidR="00E020DE" w:rsidRPr="00E020DE">
              <w:rPr>
                <w:color w:val="000000"/>
                <w:spacing w:val="5"/>
                <w:shd w:val="solid" w:color="000000" w:fill="000000"/>
                <w:fitText w:val="500" w:id="-1435270142"/>
                <w14:textFill>
                  <w14:solidFill>
                    <w14:srgbClr w14:val="000000">
                      <w14:alpha w14:val="100000"/>
                    </w14:srgbClr>
                  </w14:solidFill>
                </w14:textFill>
              </w:rPr>
              <w:t>|</w:t>
            </w:r>
          </w:p>
          <w:p w14:paraId="56F9AAA2" w14:textId="367161C7" w:rsidR="007E455E" w:rsidRPr="00C6296C" w:rsidRDefault="007E455E" w:rsidP="007E455E">
            <w:pPr>
              <w:pStyle w:val="Tabletext"/>
              <w:widowControl w:val="0"/>
            </w:pPr>
            <w:r w:rsidRPr="00C6296C">
              <w:t>(Private Hospital)</w:t>
            </w:r>
          </w:p>
          <w:p w14:paraId="4313F87F" w14:textId="3C1C9405" w:rsidR="007E455E" w:rsidRPr="00C6296C" w:rsidRDefault="007E455E" w:rsidP="007E455E">
            <w:pPr>
              <w:pStyle w:val="Tabletext"/>
              <w:widowControl w:val="0"/>
            </w:pPr>
            <w:r w:rsidRPr="00C6296C">
              <w:t>$</w:t>
            </w:r>
            <w:r w:rsidR="00E020DE" w:rsidRPr="00E020DE">
              <w:rPr>
                <w:color w:val="000000"/>
                <w:spacing w:val="48"/>
                <w:shd w:val="solid" w:color="000000" w:fill="000000"/>
                <w:fitText w:val="500" w:id="-1435270141"/>
                <w14:textFill>
                  <w14:solidFill>
                    <w14:srgbClr w14:val="000000">
                      <w14:alpha w14:val="100000"/>
                    </w14:srgbClr>
                  </w14:solidFill>
                </w14:textFill>
              </w:rPr>
              <w:t>|||||</w:t>
            </w:r>
            <w:r w:rsidR="00E020DE" w:rsidRPr="00E020DE">
              <w:rPr>
                <w:color w:val="000000"/>
                <w:spacing w:val="5"/>
                <w:shd w:val="solid" w:color="000000" w:fill="000000"/>
                <w:fitText w:val="500" w:id="-1435270141"/>
                <w14:textFill>
                  <w14:solidFill>
                    <w14:srgbClr w14:val="000000">
                      <w14:alpha w14:val="100000"/>
                    </w14:srgbClr>
                  </w14:solidFill>
                </w14:textFill>
              </w:rPr>
              <w:t>|</w:t>
            </w:r>
          </w:p>
          <w:p w14:paraId="5F4DA717" w14:textId="4DD3E6B6" w:rsidR="0082206C" w:rsidRPr="003B4086" w:rsidRDefault="007E455E" w:rsidP="007E455E">
            <w:pPr>
              <w:pStyle w:val="Tabletext"/>
              <w:widowControl w:val="0"/>
              <w:rPr>
                <w:szCs w:val="20"/>
              </w:rPr>
            </w:pPr>
            <w:r w:rsidRPr="00C6296C">
              <w:t>(Public Hospital)</w:t>
            </w:r>
          </w:p>
        </w:tc>
      </w:tr>
      <w:tr w:rsidR="003B4086" w:rsidRPr="003B4086" w14:paraId="3AABD2F2" w14:textId="77777777" w:rsidTr="006363DE">
        <w:tc>
          <w:tcPr>
            <w:tcW w:w="9209" w:type="dxa"/>
            <w:gridSpan w:val="5"/>
            <w:shd w:val="clear" w:color="auto" w:fill="auto"/>
          </w:tcPr>
          <w:p w14:paraId="1CC48840" w14:textId="77777777" w:rsidR="003B4086" w:rsidRPr="003B4086" w:rsidRDefault="003B4086" w:rsidP="006363DE">
            <w:pPr>
              <w:ind w:left="-57"/>
              <w:rPr>
                <w:rFonts w:ascii="Arial Narrow" w:hAnsi="Arial Narrow"/>
                <w:b/>
                <w:snapToGrid w:val="0"/>
                <w:sz w:val="20"/>
                <w:szCs w:val="20"/>
              </w:rPr>
            </w:pPr>
            <w:r w:rsidRPr="003B4086">
              <w:rPr>
                <w:rFonts w:ascii="Arial Narrow" w:hAnsi="Arial Narrow"/>
                <w:b/>
                <w:snapToGrid w:val="0"/>
                <w:sz w:val="20"/>
                <w:szCs w:val="20"/>
              </w:rPr>
              <w:t>Available brands</w:t>
            </w:r>
          </w:p>
        </w:tc>
      </w:tr>
      <w:tr w:rsidR="003B4086" w:rsidRPr="003B4086" w14:paraId="30A5C080" w14:textId="77777777" w:rsidTr="006363DE">
        <w:tc>
          <w:tcPr>
            <w:tcW w:w="9209" w:type="dxa"/>
            <w:gridSpan w:val="5"/>
            <w:shd w:val="clear" w:color="auto" w:fill="auto"/>
          </w:tcPr>
          <w:p w14:paraId="6CC863A1" w14:textId="77777777" w:rsidR="003B4086" w:rsidRPr="003B4086" w:rsidRDefault="003B4086" w:rsidP="006363DE">
            <w:pPr>
              <w:ind w:left="-57"/>
              <w:rPr>
                <w:rFonts w:ascii="Arial Narrow" w:hAnsi="Arial Narrow"/>
                <w:snapToGrid w:val="0"/>
                <w:sz w:val="20"/>
                <w:szCs w:val="20"/>
              </w:rPr>
            </w:pPr>
            <w:r w:rsidRPr="003B4086">
              <w:rPr>
                <w:rFonts w:ascii="Arial Narrow" w:hAnsi="Arial Narrow"/>
                <w:snapToGrid w:val="0"/>
                <w:sz w:val="20"/>
                <w:szCs w:val="20"/>
              </w:rPr>
              <w:t>Opdivo</w:t>
            </w:r>
          </w:p>
          <w:p w14:paraId="5EA30FE6" w14:textId="77777777" w:rsidR="003B4086" w:rsidRPr="003B4086" w:rsidRDefault="003B4086" w:rsidP="006363DE">
            <w:pPr>
              <w:ind w:left="-57"/>
              <w:rPr>
                <w:rFonts w:ascii="Arial Narrow" w:hAnsi="Arial Narrow"/>
                <w:snapToGrid w:val="0"/>
                <w:sz w:val="20"/>
                <w:szCs w:val="20"/>
              </w:rPr>
            </w:pPr>
            <w:r w:rsidRPr="003B4086">
              <w:rPr>
                <w:rFonts w:ascii="Arial Narrow" w:hAnsi="Arial Narrow"/>
                <w:snapToGrid w:val="0"/>
                <w:sz w:val="20"/>
                <w:szCs w:val="20"/>
              </w:rPr>
              <w:t>(nivolumab 40 mg/4 mL injection, 4 mL vial)</w:t>
            </w:r>
          </w:p>
        </w:tc>
      </w:tr>
      <w:tr w:rsidR="003B4086" w:rsidRPr="003B4086" w14:paraId="3A97AF08" w14:textId="77777777" w:rsidTr="006363DE">
        <w:tc>
          <w:tcPr>
            <w:tcW w:w="9209" w:type="dxa"/>
            <w:gridSpan w:val="5"/>
            <w:tcBorders>
              <w:bottom w:val="single" w:sz="4" w:space="0" w:color="auto"/>
            </w:tcBorders>
            <w:shd w:val="clear" w:color="auto" w:fill="auto"/>
          </w:tcPr>
          <w:p w14:paraId="61D6AF16" w14:textId="77777777" w:rsidR="003B4086" w:rsidRPr="003B4086" w:rsidRDefault="003B4086" w:rsidP="006363DE">
            <w:pPr>
              <w:ind w:left="-57"/>
              <w:rPr>
                <w:rFonts w:ascii="Arial Narrow" w:hAnsi="Arial Narrow"/>
                <w:snapToGrid w:val="0"/>
                <w:sz w:val="20"/>
                <w:szCs w:val="20"/>
              </w:rPr>
            </w:pPr>
            <w:r w:rsidRPr="003B4086">
              <w:rPr>
                <w:rFonts w:ascii="Arial Narrow" w:hAnsi="Arial Narrow"/>
                <w:snapToGrid w:val="0"/>
                <w:sz w:val="20"/>
                <w:szCs w:val="20"/>
              </w:rPr>
              <w:t>Opdivo</w:t>
            </w:r>
          </w:p>
          <w:p w14:paraId="0407CEDD" w14:textId="77777777" w:rsidR="003B4086" w:rsidRPr="003B4086" w:rsidRDefault="003B4086" w:rsidP="006363DE">
            <w:pPr>
              <w:ind w:left="-57"/>
              <w:rPr>
                <w:rFonts w:ascii="Arial Narrow" w:hAnsi="Arial Narrow"/>
                <w:snapToGrid w:val="0"/>
                <w:sz w:val="20"/>
                <w:szCs w:val="20"/>
              </w:rPr>
            </w:pPr>
            <w:r w:rsidRPr="003B4086">
              <w:rPr>
                <w:rFonts w:ascii="Arial Narrow" w:hAnsi="Arial Narrow"/>
                <w:snapToGrid w:val="0"/>
                <w:sz w:val="20"/>
                <w:szCs w:val="20"/>
              </w:rPr>
              <w:t>(nivolumab 100 mg/10 mL injection, 10 mL vial)</w:t>
            </w:r>
          </w:p>
        </w:tc>
      </w:tr>
      <w:tr w:rsidR="003B4086" w:rsidRPr="003B4086" w14:paraId="0FED5B60" w14:textId="77777777" w:rsidTr="006363DE">
        <w:tc>
          <w:tcPr>
            <w:tcW w:w="9209" w:type="dxa"/>
            <w:gridSpan w:val="5"/>
            <w:tcBorders>
              <w:bottom w:val="single" w:sz="4" w:space="0" w:color="auto"/>
            </w:tcBorders>
            <w:shd w:val="clear" w:color="auto" w:fill="auto"/>
          </w:tcPr>
          <w:p w14:paraId="682288F7" w14:textId="77777777" w:rsidR="003B4086" w:rsidRPr="003B4086" w:rsidRDefault="003B4086" w:rsidP="006363DE">
            <w:pPr>
              <w:rPr>
                <w:rFonts w:ascii="Arial Narrow" w:hAnsi="Arial Narrow"/>
                <w:snapToGrid w:val="0"/>
                <w:sz w:val="20"/>
                <w:szCs w:val="20"/>
              </w:rPr>
            </w:pPr>
          </w:p>
        </w:tc>
      </w:tr>
    </w:tbl>
    <w:tbl>
      <w:tblPr>
        <w:tblStyle w:val="newstyle1"/>
        <w:tblW w:w="5107" w:type="pct"/>
        <w:tblLook w:val="04A0" w:firstRow="1" w:lastRow="0" w:firstColumn="1" w:lastColumn="0" w:noHBand="0" w:noVBand="1"/>
      </w:tblPr>
      <w:tblGrid>
        <w:gridCol w:w="278"/>
        <w:gridCol w:w="8931"/>
      </w:tblGrid>
      <w:tr w:rsidR="003B4086" w:rsidRPr="003B4086" w14:paraId="1F7554B1" w14:textId="77777777" w:rsidTr="006363DE">
        <w:tc>
          <w:tcPr>
            <w:tcW w:w="5000" w:type="pct"/>
            <w:gridSpan w:val="2"/>
            <w:tcBorders>
              <w:top w:val="single" w:sz="4" w:space="0" w:color="auto"/>
            </w:tcBorders>
          </w:tcPr>
          <w:p w14:paraId="1FD73E14" w14:textId="77777777" w:rsidR="003B4086" w:rsidRPr="003B4086" w:rsidRDefault="003B4086" w:rsidP="006363DE">
            <w:pPr>
              <w:spacing w:before="100" w:beforeAutospacing="1" w:after="100" w:afterAutospacing="1"/>
              <w:rPr>
                <w:rFonts w:ascii="Arial Narrow" w:hAnsi="Arial Narrow"/>
                <w:b/>
                <w:bCs/>
                <w:color w:val="333333"/>
                <w:sz w:val="20"/>
                <w:szCs w:val="20"/>
              </w:rPr>
            </w:pPr>
            <w:r w:rsidRPr="003B4086">
              <w:rPr>
                <w:rFonts w:ascii="Arial Narrow" w:hAnsi="Arial Narrow"/>
                <w:b/>
                <w:bCs/>
                <w:color w:val="333333"/>
                <w:sz w:val="20"/>
                <w:szCs w:val="20"/>
              </w:rPr>
              <w:t>Restriction Summary / Treatment of Concept: [New 1]</w:t>
            </w:r>
          </w:p>
        </w:tc>
      </w:tr>
      <w:tr w:rsidR="003B4086" w:rsidRPr="003B4086" w14:paraId="67FBA031" w14:textId="77777777" w:rsidTr="00B56076">
        <w:tc>
          <w:tcPr>
            <w:tcW w:w="151" w:type="pct"/>
            <w:vMerge w:val="restart"/>
          </w:tcPr>
          <w:p w14:paraId="4C1CA945" w14:textId="214BD8A9" w:rsidR="003B4086" w:rsidRPr="003B4086" w:rsidRDefault="003B4086" w:rsidP="006363DE">
            <w:pPr>
              <w:jc w:val="center"/>
              <w:rPr>
                <w:rFonts w:ascii="Arial Narrow" w:hAnsi="Arial Narrow"/>
                <w:b/>
                <w:sz w:val="20"/>
                <w:szCs w:val="20"/>
              </w:rPr>
            </w:pPr>
          </w:p>
        </w:tc>
        <w:tc>
          <w:tcPr>
            <w:tcW w:w="4849" w:type="pct"/>
            <w:tcBorders>
              <w:top w:val="single" w:sz="4" w:space="0" w:color="auto"/>
              <w:left w:val="single" w:sz="4" w:space="0" w:color="auto"/>
              <w:bottom w:val="single" w:sz="4" w:space="0" w:color="auto"/>
              <w:right w:val="single" w:sz="4" w:space="0" w:color="auto"/>
            </w:tcBorders>
          </w:tcPr>
          <w:p w14:paraId="0296A319" w14:textId="77777777" w:rsidR="003B4086" w:rsidRPr="003B4086" w:rsidRDefault="003B4086" w:rsidP="006363DE">
            <w:pPr>
              <w:ind w:left="-57"/>
              <w:rPr>
                <w:rFonts w:ascii="Arial Narrow" w:hAnsi="Arial Narrow"/>
                <w:b/>
                <w:sz w:val="20"/>
                <w:szCs w:val="20"/>
              </w:rPr>
            </w:pPr>
            <w:r w:rsidRPr="003B4086">
              <w:rPr>
                <w:rFonts w:ascii="Arial Narrow" w:hAnsi="Arial Narrow"/>
                <w:b/>
                <w:sz w:val="20"/>
                <w:szCs w:val="20"/>
              </w:rPr>
              <w:t>Category / Program: Section 100 – Efficient Funding of Chemotherapy Public/Private hospitals</w:t>
            </w:r>
          </w:p>
        </w:tc>
      </w:tr>
      <w:tr w:rsidR="003B4086" w:rsidRPr="003B4086" w14:paraId="569B9258" w14:textId="77777777" w:rsidTr="00B56076">
        <w:tc>
          <w:tcPr>
            <w:tcW w:w="151" w:type="pct"/>
            <w:vMerge/>
          </w:tcPr>
          <w:p w14:paraId="3B3D54CA" w14:textId="77777777" w:rsidR="003B4086" w:rsidRPr="003B4086" w:rsidRDefault="003B4086" w:rsidP="006363DE">
            <w:pPr>
              <w:spacing w:before="100" w:beforeAutospacing="1" w:after="100" w:afterAutospacing="1"/>
              <w:jc w:val="center"/>
              <w:rPr>
                <w:rFonts w:ascii="Arial Narrow" w:hAnsi="Arial Narrow"/>
                <w:color w:val="333333"/>
                <w:sz w:val="20"/>
                <w:szCs w:val="20"/>
              </w:rPr>
            </w:pPr>
          </w:p>
        </w:tc>
        <w:tc>
          <w:tcPr>
            <w:tcW w:w="4849" w:type="pct"/>
            <w:tcBorders>
              <w:top w:val="single" w:sz="4" w:space="0" w:color="auto"/>
              <w:left w:val="single" w:sz="4" w:space="0" w:color="auto"/>
              <w:bottom w:val="single" w:sz="4" w:space="0" w:color="auto"/>
              <w:right w:val="single" w:sz="4" w:space="0" w:color="auto"/>
            </w:tcBorders>
          </w:tcPr>
          <w:p w14:paraId="3AEAA3D2" w14:textId="77777777" w:rsidR="003B4086" w:rsidRPr="003B4086" w:rsidRDefault="003B4086" w:rsidP="006363DE">
            <w:pPr>
              <w:ind w:left="-57"/>
              <w:rPr>
                <w:rFonts w:ascii="Arial Narrow" w:hAnsi="Arial Narrow"/>
                <w:color w:val="333333"/>
                <w:sz w:val="20"/>
                <w:szCs w:val="20"/>
              </w:rPr>
            </w:pPr>
            <w:r w:rsidRPr="003B4086">
              <w:rPr>
                <w:rFonts w:ascii="Arial Narrow" w:hAnsi="Arial Narrow"/>
                <w:color w:val="333333"/>
                <w:sz w:val="20"/>
                <w:szCs w:val="20"/>
              </w:rPr>
              <w:t xml:space="preserve">Prescriber type: </w:t>
            </w:r>
            <w:r w:rsidRPr="003B4086">
              <w:rPr>
                <w:rFonts w:ascii="Arial Narrow" w:hAnsi="Arial Narrow"/>
                <w:color w:val="333333"/>
                <w:sz w:val="20"/>
                <w:szCs w:val="20"/>
              </w:rPr>
              <w:fldChar w:fldCharType="begin">
                <w:ffData>
                  <w:name w:val=""/>
                  <w:enabled/>
                  <w:calcOnExit w:val="0"/>
                  <w:checkBox>
                    <w:sizeAuto/>
                    <w:default w:val="1"/>
                  </w:checkBox>
                </w:ffData>
              </w:fldChar>
            </w:r>
            <w:r w:rsidRPr="003B4086">
              <w:rPr>
                <w:rFonts w:ascii="Arial Narrow" w:hAnsi="Arial Narrow"/>
                <w:color w:val="333333"/>
                <w:sz w:val="20"/>
                <w:szCs w:val="20"/>
              </w:rPr>
              <w:instrText xml:space="preserve"> FORMCHECKBOX </w:instrText>
            </w:r>
            <w:r w:rsidR="00785573">
              <w:rPr>
                <w:rFonts w:ascii="Arial Narrow" w:hAnsi="Arial Narrow"/>
                <w:color w:val="333333"/>
                <w:sz w:val="20"/>
                <w:szCs w:val="20"/>
              </w:rPr>
            </w:r>
            <w:r w:rsidR="00785573">
              <w:rPr>
                <w:rFonts w:ascii="Arial Narrow" w:hAnsi="Arial Narrow"/>
                <w:color w:val="333333"/>
                <w:sz w:val="20"/>
                <w:szCs w:val="20"/>
              </w:rPr>
              <w:fldChar w:fldCharType="separate"/>
            </w:r>
            <w:r w:rsidRPr="003B4086">
              <w:rPr>
                <w:rFonts w:ascii="Arial Narrow" w:hAnsi="Arial Narrow"/>
                <w:color w:val="333333"/>
                <w:sz w:val="20"/>
                <w:szCs w:val="20"/>
              </w:rPr>
              <w:fldChar w:fldCharType="end"/>
            </w:r>
            <w:r w:rsidRPr="003B4086">
              <w:rPr>
                <w:rFonts w:ascii="Arial Narrow" w:hAnsi="Arial Narrow"/>
                <w:color w:val="333333"/>
                <w:sz w:val="20"/>
                <w:szCs w:val="20"/>
              </w:rPr>
              <w:t xml:space="preserve"> Medical Practitioners</w:t>
            </w:r>
          </w:p>
        </w:tc>
      </w:tr>
      <w:tr w:rsidR="003B4086" w:rsidRPr="003B4086" w14:paraId="32363A30" w14:textId="77777777" w:rsidTr="00B56076">
        <w:tc>
          <w:tcPr>
            <w:tcW w:w="151" w:type="pct"/>
            <w:vMerge/>
          </w:tcPr>
          <w:p w14:paraId="294A18C1" w14:textId="77777777" w:rsidR="003B4086" w:rsidRPr="003B4086" w:rsidRDefault="003B4086" w:rsidP="006363DE">
            <w:pPr>
              <w:spacing w:before="100" w:beforeAutospacing="1" w:after="100" w:afterAutospacing="1"/>
              <w:jc w:val="center"/>
              <w:rPr>
                <w:rFonts w:ascii="Arial Narrow" w:hAnsi="Arial Narrow"/>
                <w:color w:val="333333"/>
                <w:sz w:val="20"/>
                <w:szCs w:val="20"/>
              </w:rPr>
            </w:pPr>
          </w:p>
        </w:tc>
        <w:tc>
          <w:tcPr>
            <w:tcW w:w="4849" w:type="pct"/>
            <w:tcBorders>
              <w:top w:val="single" w:sz="4" w:space="0" w:color="auto"/>
              <w:left w:val="single" w:sz="4" w:space="0" w:color="auto"/>
              <w:bottom w:val="single" w:sz="4" w:space="0" w:color="auto"/>
              <w:right w:val="single" w:sz="4" w:space="0" w:color="auto"/>
            </w:tcBorders>
          </w:tcPr>
          <w:p w14:paraId="1AA47557" w14:textId="77777777" w:rsidR="003B4086" w:rsidRPr="003B4086" w:rsidRDefault="003B4086" w:rsidP="006363DE">
            <w:pPr>
              <w:ind w:left="-57"/>
              <w:rPr>
                <w:rFonts w:ascii="Arial Narrow" w:hAnsi="Arial Narrow"/>
                <w:color w:val="333333"/>
                <w:sz w:val="20"/>
                <w:szCs w:val="20"/>
              </w:rPr>
            </w:pPr>
            <w:r w:rsidRPr="003B4086">
              <w:rPr>
                <w:rFonts w:ascii="Arial Narrow" w:hAnsi="Arial Narrow"/>
                <w:color w:val="333333"/>
                <w:sz w:val="20"/>
                <w:szCs w:val="20"/>
              </w:rPr>
              <w:t xml:space="preserve">Restriction type: </w:t>
            </w:r>
            <w:r w:rsidRPr="003B4086">
              <w:rPr>
                <w:rFonts w:ascii="Arial Narrow" w:hAnsi="Arial Narrow"/>
                <w:color w:val="333333"/>
                <w:sz w:val="20"/>
                <w:szCs w:val="20"/>
              </w:rPr>
              <w:fldChar w:fldCharType="begin">
                <w:ffData>
                  <w:name w:val=""/>
                  <w:enabled/>
                  <w:calcOnExit w:val="0"/>
                  <w:checkBox>
                    <w:sizeAuto/>
                    <w:default w:val="1"/>
                  </w:checkBox>
                </w:ffData>
              </w:fldChar>
            </w:r>
            <w:r w:rsidRPr="003B4086">
              <w:rPr>
                <w:rFonts w:ascii="Arial Narrow" w:hAnsi="Arial Narrow"/>
                <w:color w:val="333333"/>
                <w:sz w:val="20"/>
                <w:szCs w:val="20"/>
              </w:rPr>
              <w:instrText xml:space="preserve"> FORMCHECKBOX </w:instrText>
            </w:r>
            <w:r w:rsidR="00785573">
              <w:rPr>
                <w:rFonts w:ascii="Arial Narrow" w:hAnsi="Arial Narrow"/>
                <w:color w:val="333333"/>
                <w:sz w:val="20"/>
                <w:szCs w:val="20"/>
              </w:rPr>
            </w:r>
            <w:r w:rsidR="00785573">
              <w:rPr>
                <w:rFonts w:ascii="Arial Narrow" w:hAnsi="Arial Narrow"/>
                <w:color w:val="333333"/>
                <w:sz w:val="20"/>
                <w:szCs w:val="20"/>
              </w:rPr>
              <w:fldChar w:fldCharType="separate"/>
            </w:r>
            <w:r w:rsidRPr="003B4086">
              <w:rPr>
                <w:rFonts w:ascii="Arial Narrow" w:hAnsi="Arial Narrow"/>
                <w:color w:val="333333"/>
                <w:sz w:val="20"/>
                <w:szCs w:val="20"/>
              </w:rPr>
              <w:fldChar w:fldCharType="end"/>
            </w:r>
            <w:r w:rsidRPr="003B4086">
              <w:rPr>
                <w:rFonts w:ascii="Arial Narrow" w:hAnsi="Arial Narrow"/>
                <w:color w:val="333333"/>
                <w:sz w:val="20"/>
                <w:szCs w:val="20"/>
              </w:rPr>
              <w:t>Authority Required (telephone/online PBS Authorities system)</w:t>
            </w:r>
          </w:p>
        </w:tc>
      </w:tr>
      <w:tr w:rsidR="003B4086" w:rsidRPr="003B4086" w14:paraId="2D8B8F78" w14:textId="77777777" w:rsidTr="00B56076">
        <w:tc>
          <w:tcPr>
            <w:tcW w:w="151" w:type="pct"/>
          </w:tcPr>
          <w:p w14:paraId="65630406" w14:textId="77777777" w:rsidR="003B4086" w:rsidRPr="003B4086" w:rsidRDefault="003B4086" w:rsidP="006363DE">
            <w:pPr>
              <w:spacing w:before="100" w:beforeAutospacing="1" w:after="100" w:afterAutospacing="1"/>
              <w:jc w:val="center"/>
              <w:rPr>
                <w:rFonts w:ascii="Arial Narrow" w:hAnsi="Arial Narrow"/>
                <w:i/>
                <w:iCs/>
                <w:color w:val="333333"/>
                <w:sz w:val="20"/>
                <w:szCs w:val="20"/>
              </w:rPr>
            </w:pPr>
          </w:p>
        </w:tc>
        <w:tc>
          <w:tcPr>
            <w:tcW w:w="4849" w:type="pct"/>
          </w:tcPr>
          <w:p w14:paraId="229E4A0D" w14:textId="77777777" w:rsidR="003B4086" w:rsidRPr="003B4086" w:rsidRDefault="003B4086" w:rsidP="006363DE">
            <w:pPr>
              <w:ind w:left="-57"/>
              <w:rPr>
                <w:rFonts w:ascii="Arial Narrow" w:hAnsi="Arial Narrow"/>
                <w:i/>
                <w:iCs/>
                <w:color w:val="333333"/>
                <w:sz w:val="20"/>
                <w:szCs w:val="20"/>
              </w:rPr>
            </w:pPr>
          </w:p>
        </w:tc>
      </w:tr>
      <w:tr w:rsidR="003B4086" w:rsidRPr="003B4086" w14:paraId="22422044" w14:textId="77777777" w:rsidTr="00B56076">
        <w:tc>
          <w:tcPr>
            <w:tcW w:w="151" w:type="pct"/>
            <w:vMerge w:val="restart"/>
          </w:tcPr>
          <w:p w14:paraId="5E0BB1A7" w14:textId="77777777" w:rsidR="003B4086" w:rsidRPr="003B4086" w:rsidRDefault="003B4086" w:rsidP="006363DE">
            <w:pPr>
              <w:spacing w:before="100" w:beforeAutospacing="1" w:after="100" w:afterAutospacing="1"/>
              <w:jc w:val="center"/>
              <w:rPr>
                <w:rFonts w:ascii="Arial Narrow" w:hAnsi="Arial Narrow"/>
                <w:i/>
                <w:iCs/>
                <w:color w:val="333333"/>
                <w:sz w:val="20"/>
                <w:szCs w:val="20"/>
              </w:rPr>
            </w:pPr>
          </w:p>
        </w:tc>
        <w:tc>
          <w:tcPr>
            <w:tcW w:w="4849" w:type="pct"/>
            <w:vAlign w:val="center"/>
          </w:tcPr>
          <w:p w14:paraId="01AB4351" w14:textId="77777777" w:rsidR="003B4086" w:rsidRPr="003B4086" w:rsidRDefault="003B4086" w:rsidP="006363DE">
            <w:pPr>
              <w:ind w:left="-57"/>
              <w:rPr>
                <w:rFonts w:ascii="Arial Narrow" w:hAnsi="Arial Narrow"/>
                <w:i/>
                <w:iCs/>
                <w:color w:val="333333"/>
                <w:sz w:val="20"/>
                <w:szCs w:val="20"/>
              </w:rPr>
            </w:pPr>
            <w:r w:rsidRPr="003B4086">
              <w:rPr>
                <w:rFonts w:ascii="Arial Narrow" w:hAnsi="Arial Narrow"/>
                <w:i/>
                <w:iCs/>
                <w:color w:val="333333"/>
                <w:sz w:val="20"/>
                <w:szCs w:val="20"/>
              </w:rPr>
              <w:t>Episodicity: [blank]</w:t>
            </w:r>
          </w:p>
        </w:tc>
      </w:tr>
      <w:tr w:rsidR="003B4086" w:rsidRPr="003B4086" w14:paraId="09EB0C82" w14:textId="77777777" w:rsidTr="00B56076">
        <w:tc>
          <w:tcPr>
            <w:tcW w:w="151" w:type="pct"/>
            <w:vMerge/>
          </w:tcPr>
          <w:p w14:paraId="5DDCA021" w14:textId="77777777" w:rsidR="003B4086" w:rsidRPr="003B4086" w:rsidRDefault="003B4086" w:rsidP="006363DE">
            <w:pPr>
              <w:spacing w:before="100" w:beforeAutospacing="1" w:after="100" w:afterAutospacing="1"/>
              <w:jc w:val="center"/>
              <w:rPr>
                <w:rFonts w:ascii="Arial Narrow" w:hAnsi="Arial Narrow"/>
                <w:i/>
                <w:iCs/>
                <w:color w:val="333333"/>
                <w:sz w:val="20"/>
                <w:szCs w:val="20"/>
              </w:rPr>
            </w:pPr>
          </w:p>
        </w:tc>
        <w:tc>
          <w:tcPr>
            <w:tcW w:w="4849" w:type="pct"/>
            <w:vAlign w:val="center"/>
          </w:tcPr>
          <w:p w14:paraId="73F7F125" w14:textId="77777777" w:rsidR="003B4086" w:rsidRPr="003B4086" w:rsidRDefault="003B4086" w:rsidP="006363DE">
            <w:pPr>
              <w:ind w:left="-57"/>
              <w:rPr>
                <w:rFonts w:ascii="Arial Narrow" w:hAnsi="Arial Narrow"/>
                <w:i/>
                <w:iCs/>
                <w:color w:val="333333"/>
                <w:sz w:val="20"/>
                <w:szCs w:val="20"/>
              </w:rPr>
            </w:pPr>
            <w:r w:rsidRPr="003B4086">
              <w:rPr>
                <w:rFonts w:ascii="Arial Narrow" w:hAnsi="Arial Narrow"/>
                <w:i/>
                <w:iCs/>
                <w:color w:val="333333"/>
                <w:sz w:val="20"/>
                <w:szCs w:val="20"/>
              </w:rPr>
              <w:t>Severity: [blank]</w:t>
            </w:r>
          </w:p>
        </w:tc>
      </w:tr>
      <w:tr w:rsidR="003B4086" w:rsidRPr="003B4086" w14:paraId="170047DE" w14:textId="77777777" w:rsidTr="00B56076">
        <w:tc>
          <w:tcPr>
            <w:tcW w:w="151" w:type="pct"/>
            <w:vMerge/>
          </w:tcPr>
          <w:p w14:paraId="194B98A4" w14:textId="77777777" w:rsidR="003B4086" w:rsidRPr="003B4086" w:rsidRDefault="003B4086" w:rsidP="006363DE">
            <w:pPr>
              <w:spacing w:before="100" w:beforeAutospacing="1" w:after="100" w:afterAutospacing="1"/>
              <w:jc w:val="center"/>
              <w:rPr>
                <w:rFonts w:ascii="Arial Narrow" w:hAnsi="Arial Narrow"/>
                <w:i/>
                <w:iCs/>
                <w:color w:val="333333"/>
                <w:sz w:val="20"/>
                <w:szCs w:val="20"/>
              </w:rPr>
            </w:pPr>
          </w:p>
        </w:tc>
        <w:tc>
          <w:tcPr>
            <w:tcW w:w="4849" w:type="pct"/>
            <w:vAlign w:val="center"/>
          </w:tcPr>
          <w:p w14:paraId="042B9503" w14:textId="77777777" w:rsidR="003B4086" w:rsidRPr="003B4086" w:rsidRDefault="003B4086" w:rsidP="006363DE">
            <w:pPr>
              <w:ind w:left="-57"/>
              <w:rPr>
                <w:rFonts w:ascii="Arial Narrow" w:hAnsi="Arial Narrow"/>
                <w:i/>
                <w:iCs/>
                <w:color w:val="333333"/>
                <w:sz w:val="20"/>
                <w:szCs w:val="20"/>
              </w:rPr>
            </w:pPr>
            <w:r w:rsidRPr="003B4086">
              <w:rPr>
                <w:rFonts w:ascii="Arial Narrow" w:hAnsi="Arial Narrow"/>
                <w:i/>
                <w:iCs/>
                <w:color w:val="333333"/>
                <w:sz w:val="20"/>
                <w:szCs w:val="20"/>
              </w:rPr>
              <w:t>Condition: Urothelial carcinoma</w:t>
            </w:r>
          </w:p>
        </w:tc>
      </w:tr>
      <w:tr w:rsidR="003B4086" w:rsidRPr="003B4086" w14:paraId="56CC2A3E" w14:textId="77777777" w:rsidTr="00B56076">
        <w:tc>
          <w:tcPr>
            <w:tcW w:w="151" w:type="pct"/>
            <w:shd w:val="clear" w:color="auto" w:fill="auto"/>
          </w:tcPr>
          <w:p w14:paraId="00D1D6D6" w14:textId="75C38ED4" w:rsidR="003B4086" w:rsidRPr="003B4086" w:rsidRDefault="003B4086" w:rsidP="006363DE">
            <w:pPr>
              <w:jc w:val="center"/>
              <w:rPr>
                <w:rFonts w:ascii="Arial Narrow" w:hAnsi="Arial Narrow"/>
                <w:i/>
                <w:iCs/>
                <w:color w:val="333333"/>
                <w:sz w:val="20"/>
                <w:szCs w:val="20"/>
              </w:rPr>
            </w:pPr>
          </w:p>
        </w:tc>
        <w:tc>
          <w:tcPr>
            <w:tcW w:w="4849" w:type="pct"/>
            <w:shd w:val="clear" w:color="auto" w:fill="auto"/>
          </w:tcPr>
          <w:p w14:paraId="0D2B724A" w14:textId="77777777" w:rsidR="003B4086" w:rsidRPr="003B4086" w:rsidRDefault="003B4086" w:rsidP="006363DE">
            <w:pPr>
              <w:ind w:left="-57"/>
              <w:rPr>
                <w:rFonts w:ascii="Arial Narrow" w:hAnsi="Arial Narrow"/>
                <w:i/>
                <w:iCs/>
                <w:color w:val="333333"/>
                <w:sz w:val="20"/>
                <w:szCs w:val="20"/>
              </w:rPr>
            </w:pPr>
            <w:r w:rsidRPr="003B4086">
              <w:rPr>
                <w:rFonts w:ascii="Arial Narrow" w:hAnsi="Arial Narrow"/>
                <w:i/>
                <w:iCs/>
                <w:color w:val="333333"/>
                <w:sz w:val="20"/>
                <w:szCs w:val="20"/>
              </w:rPr>
              <w:t xml:space="preserve">Indication: Urothelial carcinoma </w:t>
            </w:r>
            <w:r w:rsidRPr="003B4086">
              <w:rPr>
                <w:rFonts w:ascii="Arial Narrow" w:hAnsi="Arial Narrow"/>
                <w:strike/>
                <w:color w:val="333333"/>
                <w:sz w:val="20"/>
                <w:szCs w:val="20"/>
              </w:rPr>
              <w:t>Muscle invasive urothelial carcinoma at high risk of recurrence after radical resection</w:t>
            </w:r>
          </w:p>
        </w:tc>
      </w:tr>
      <w:tr w:rsidR="003B4086" w:rsidRPr="003B4086" w14:paraId="6AE1C453" w14:textId="77777777" w:rsidTr="00B56076">
        <w:tc>
          <w:tcPr>
            <w:tcW w:w="151" w:type="pct"/>
          </w:tcPr>
          <w:p w14:paraId="717D7C0D" w14:textId="77777777" w:rsidR="003B4086" w:rsidRPr="003B4086" w:rsidRDefault="003B4086" w:rsidP="006363DE">
            <w:pPr>
              <w:spacing w:before="100" w:beforeAutospacing="1" w:after="100" w:afterAutospacing="1"/>
              <w:jc w:val="center"/>
              <w:rPr>
                <w:rFonts w:ascii="Arial Narrow" w:hAnsi="Arial Narrow"/>
                <w:i/>
                <w:iCs/>
                <w:color w:val="333333"/>
                <w:sz w:val="20"/>
                <w:szCs w:val="20"/>
              </w:rPr>
            </w:pPr>
          </w:p>
        </w:tc>
        <w:tc>
          <w:tcPr>
            <w:tcW w:w="4849" w:type="pct"/>
          </w:tcPr>
          <w:p w14:paraId="760CFA0D" w14:textId="77777777" w:rsidR="003B4086" w:rsidRPr="003B4086" w:rsidRDefault="003B4086" w:rsidP="006363DE">
            <w:pPr>
              <w:ind w:left="-57"/>
              <w:rPr>
                <w:rFonts w:ascii="Arial Narrow" w:hAnsi="Arial Narrow"/>
                <w:i/>
                <w:iCs/>
                <w:color w:val="333333"/>
                <w:sz w:val="20"/>
                <w:szCs w:val="20"/>
              </w:rPr>
            </w:pPr>
          </w:p>
        </w:tc>
      </w:tr>
      <w:tr w:rsidR="003B4086" w:rsidRPr="003B4086" w14:paraId="0DAD0472" w14:textId="77777777" w:rsidTr="00B56076">
        <w:tc>
          <w:tcPr>
            <w:tcW w:w="151" w:type="pct"/>
            <w:hideMark/>
          </w:tcPr>
          <w:p w14:paraId="72358AE0" w14:textId="77777777" w:rsidR="003B4086" w:rsidRPr="003B4086" w:rsidRDefault="003B4086" w:rsidP="006363DE">
            <w:pPr>
              <w:jc w:val="center"/>
              <w:rPr>
                <w:rFonts w:ascii="Arial Narrow" w:hAnsi="Arial Narrow"/>
                <w:i/>
                <w:iCs/>
                <w:color w:val="BFBFBF"/>
                <w:sz w:val="20"/>
                <w:szCs w:val="20"/>
              </w:rPr>
            </w:pPr>
          </w:p>
        </w:tc>
        <w:tc>
          <w:tcPr>
            <w:tcW w:w="4849" w:type="pct"/>
            <w:hideMark/>
          </w:tcPr>
          <w:p w14:paraId="0B1DB4C8" w14:textId="77777777" w:rsidR="003B4086" w:rsidRPr="003B4086" w:rsidRDefault="003B4086" w:rsidP="006363DE">
            <w:pPr>
              <w:ind w:left="-57"/>
              <w:rPr>
                <w:rFonts w:ascii="Arial Narrow" w:hAnsi="Arial Narrow"/>
                <w:color w:val="BFBFBF"/>
                <w:sz w:val="20"/>
                <w:szCs w:val="20"/>
              </w:rPr>
            </w:pPr>
            <w:r w:rsidRPr="003B4086">
              <w:rPr>
                <w:rFonts w:ascii="Arial Narrow" w:hAnsi="Arial Narrow"/>
                <w:i/>
                <w:iCs/>
                <w:color w:val="BFBFBF"/>
                <w:sz w:val="20"/>
                <w:szCs w:val="20"/>
              </w:rPr>
              <w:t xml:space="preserve">Treatment Phase: [blank] </w:t>
            </w:r>
            <w:r w:rsidRPr="003B4086">
              <w:rPr>
                <w:rFonts w:ascii="Arial Narrow" w:hAnsi="Arial Narrow"/>
                <w:strike/>
                <w:color w:val="BFBFBF"/>
                <w:sz w:val="20"/>
                <w:szCs w:val="20"/>
              </w:rPr>
              <w:t>Initial treatment</w:t>
            </w:r>
          </w:p>
        </w:tc>
      </w:tr>
      <w:tr w:rsidR="003B4086" w:rsidRPr="003B4086" w14:paraId="30AE3CA2" w14:textId="77777777" w:rsidTr="00B56076">
        <w:tc>
          <w:tcPr>
            <w:tcW w:w="151" w:type="pct"/>
          </w:tcPr>
          <w:p w14:paraId="41904E33" w14:textId="77777777" w:rsidR="003B4086" w:rsidRPr="003B4086" w:rsidRDefault="003B4086" w:rsidP="006363DE">
            <w:pPr>
              <w:jc w:val="center"/>
              <w:rPr>
                <w:rFonts w:ascii="Arial Narrow" w:hAnsi="Arial Narrow"/>
                <w:i/>
                <w:iCs/>
                <w:color w:val="333333"/>
                <w:sz w:val="20"/>
                <w:szCs w:val="20"/>
              </w:rPr>
            </w:pPr>
          </w:p>
        </w:tc>
        <w:tc>
          <w:tcPr>
            <w:tcW w:w="4849" w:type="pct"/>
          </w:tcPr>
          <w:p w14:paraId="5814CAA0" w14:textId="77777777" w:rsidR="003B4086" w:rsidRPr="003B4086" w:rsidRDefault="003B4086" w:rsidP="006363DE">
            <w:pPr>
              <w:ind w:left="-57"/>
              <w:rPr>
                <w:rFonts w:ascii="Arial Narrow" w:hAnsi="Arial Narrow"/>
                <w:i/>
                <w:iCs/>
                <w:color w:val="333333"/>
                <w:sz w:val="20"/>
                <w:szCs w:val="20"/>
              </w:rPr>
            </w:pPr>
          </w:p>
        </w:tc>
      </w:tr>
      <w:tr w:rsidR="003B4086" w:rsidRPr="003B4086" w14:paraId="17DA2379" w14:textId="77777777" w:rsidTr="00B56076">
        <w:tc>
          <w:tcPr>
            <w:tcW w:w="151" w:type="pct"/>
            <w:hideMark/>
          </w:tcPr>
          <w:p w14:paraId="2758EAE5" w14:textId="77777777" w:rsidR="003B4086" w:rsidRPr="003B4086" w:rsidRDefault="003B4086" w:rsidP="006363DE">
            <w:pPr>
              <w:spacing w:before="100" w:beforeAutospacing="1" w:after="100" w:afterAutospacing="1"/>
              <w:jc w:val="center"/>
              <w:rPr>
                <w:rFonts w:ascii="Arial Narrow" w:hAnsi="Arial Narrow"/>
                <w:i/>
                <w:iCs/>
                <w:color w:val="333333"/>
                <w:sz w:val="20"/>
                <w:szCs w:val="20"/>
              </w:rPr>
            </w:pPr>
          </w:p>
        </w:tc>
        <w:tc>
          <w:tcPr>
            <w:tcW w:w="4849" w:type="pct"/>
            <w:hideMark/>
          </w:tcPr>
          <w:p w14:paraId="19381714" w14:textId="77777777" w:rsidR="003B4086" w:rsidRPr="003B4086" w:rsidRDefault="003B4086" w:rsidP="006363DE">
            <w:pPr>
              <w:ind w:left="-57"/>
              <w:rPr>
                <w:rFonts w:ascii="Arial Narrow" w:hAnsi="Arial Narrow"/>
                <w:b/>
                <w:bCs/>
                <w:i/>
                <w:iCs/>
                <w:color w:val="333333"/>
                <w:sz w:val="20"/>
                <w:szCs w:val="20"/>
              </w:rPr>
            </w:pPr>
            <w:r w:rsidRPr="003B4086">
              <w:rPr>
                <w:rFonts w:ascii="Arial Narrow" w:hAnsi="Arial Narrow"/>
                <w:b/>
                <w:bCs/>
                <w:i/>
                <w:iCs/>
                <w:color w:val="333333"/>
                <w:sz w:val="20"/>
                <w:szCs w:val="20"/>
              </w:rPr>
              <w:t>Clinical criteria:</w:t>
            </w:r>
          </w:p>
        </w:tc>
      </w:tr>
      <w:tr w:rsidR="003B4086" w:rsidRPr="003B4086" w14:paraId="3DD4F1F9" w14:textId="77777777" w:rsidTr="00B56076">
        <w:tc>
          <w:tcPr>
            <w:tcW w:w="151" w:type="pct"/>
          </w:tcPr>
          <w:p w14:paraId="268F9E31" w14:textId="77777777" w:rsidR="003B4086" w:rsidRPr="003B4086" w:rsidRDefault="003B4086" w:rsidP="006363DE">
            <w:pPr>
              <w:jc w:val="center"/>
              <w:rPr>
                <w:rFonts w:ascii="Arial Narrow" w:hAnsi="Arial Narrow"/>
                <w:i/>
                <w:iCs/>
                <w:color w:val="333333"/>
                <w:sz w:val="20"/>
                <w:szCs w:val="20"/>
              </w:rPr>
            </w:pPr>
          </w:p>
          <w:p w14:paraId="6EB49158" w14:textId="6A4B4723" w:rsidR="003B4086" w:rsidRPr="003B4086" w:rsidRDefault="003B4086" w:rsidP="006363DE">
            <w:pPr>
              <w:jc w:val="center"/>
              <w:rPr>
                <w:rFonts w:ascii="Arial Narrow" w:hAnsi="Arial Narrow"/>
                <w:i/>
                <w:iCs/>
                <w:color w:val="333333"/>
                <w:sz w:val="20"/>
                <w:szCs w:val="20"/>
              </w:rPr>
            </w:pPr>
          </w:p>
        </w:tc>
        <w:tc>
          <w:tcPr>
            <w:tcW w:w="4849" w:type="pct"/>
          </w:tcPr>
          <w:p w14:paraId="2038CB1E" w14:textId="77777777" w:rsidR="003B4086" w:rsidRPr="003B4086" w:rsidRDefault="003B4086" w:rsidP="006363DE">
            <w:pPr>
              <w:ind w:left="-57"/>
              <w:rPr>
                <w:rFonts w:ascii="Arial Narrow" w:hAnsi="Arial Narrow"/>
                <w:i/>
                <w:iCs/>
                <w:color w:val="333333"/>
                <w:sz w:val="20"/>
                <w:szCs w:val="20"/>
              </w:rPr>
            </w:pPr>
            <w:r w:rsidRPr="003B4086">
              <w:rPr>
                <w:rFonts w:ascii="Arial Narrow" w:hAnsi="Arial Narrow"/>
                <w:i/>
                <w:iCs/>
                <w:color w:val="333333"/>
                <w:sz w:val="20"/>
                <w:szCs w:val="20"/>
              </w:rPr>
              <w:t>The treatment must be for each of: (i) adjuvant therapy that initiates within 120 days of radical surgical resection, (ii) muscle invasive type disease, (iii) disease considered to be, by the treating physician, at high risk of recurrence, but yet to recur, (iv) use as the sole PBS-subsidised anti-cancer treatment, (v) dosing in accordance with a dosing regimen specified in the drug’s approved Australian Product Information</w:t>
            </w:r>
          </w:p>
        </w:tc>
      </w:tr>
      <w:tr w:rsidR="003B4086" w:rsidRPr="003B4086" w14:paraId="746B7418" w14:textId="77777777" w:rsidTr="00B56076">
        <w:tc>
          <w:tcPr>
            <w:tcW w:w="151" w:type="pct"/>
          </w:tcPr>
          <w:p w14:paraId="2D53C084" w14:textId="77777777" w:rsidR="003B4086" w:rsidRPr="003B4086" w:rsidRDefault="003B4086" w:rsidP="006363DE">
            <w:pPr>
              <w:spacing w:before="100" w:beforeAutospacing="1" w:after="100" w:afterAutospacing="1"/>
              <w:jc w:val="center"/>
              <w:rPr>
                <w:rFonts w:ascii="Arial Narrow" w:hAnsi="Arial Narrow"/>
                <w:i/>
                <w:iCs/>
                <w:color w:val="333333"/>
                <w:sz w:val="20"/>
                <w:szCs w:val="20"/>
              </w:rPr>
            </w:pPr>
          </w:p>
        </w:tc>
        <w:tc>
          <w:tcPr>
            <w:tcW w:w="4849" w:type="pct"/>
          </w:tcPr>
          <w:p w14:paraId="010D4061" w14:textId="77777777" w:rsidR="003B4086" w:rsidRPr="003B4086" w:rsidRDefault="003B4086" w:rsidP="006363DE">
            <w:pPr>
              <w:ind w:left="-57"/>
              <w:rPr>
                <w:rFonts w:ascii="Arial Narrow" w:hAnsi="Arial Narrow"/>
                <w:i/>
                <w:iCs/>
                <w:color w:val="333333"/>
                <w:sz w:val="20"/>
                <w:szCs w:val="20"/>
              </w:rPr>
            </w:pPr>
          </w:p>
        </w:tc>
      </w:tr>
      <w:tr w:rsidR="003B4086" w:rsidRPr="003B4086" w14:paraId="7B0027CF" w14:textId="77777777" w:rsidTr="00B56076">
        <w:tc>
          <w:tcPr>
            <w:tcW w:w="151" w:type="pct"/>
            <w:hideMark/>
          </w:tcPr>
          <w:p w14:paraId="5951B906" w14:textId="77777777" w:rsidR="003B4086" w:rsidRPr="003B4086" w:rsidRDefault="003B4086" w:rsidP="006363DE">
            <w:pPr>
              <w:spacing w:before="100" w:beforeAutospacing="1" w:after="100" w:afterAutospacing="1"/>
              <w:jc w:val="center"/>
              <w:rPr>
                <w:rFonts w:ascii="Arial Narrow" w:hAnsi="Arial Narrow"/>
                <w:i/>
                <w:iCs/>
                <w:color w:val="333333"/>
                <w:sz w:val="20"/>
                <w:szCs w:val="20"/>
              </w:rPr>
            </w:pPr>
          </w:p>
        </w:tc>
        <w:tc>
          <w:tcPr>
            <w:tcW w:w="4849" w:type="pct"/>
            <w:hideMark/>
          </w:tcPr>
          <w:p w14:paraId="2F340DBF" w14:textId="77777777" w:rsidR="003B4086" w:rsidRPr="003B4086" w:rsidRDefault="003B4086" w:rsidP="006363DE">
            <w:pPr>
              <w:ind w:left="-57"/>
              <w:rPr>
                <w:rFonts w:ascii="Arial Narrow" w:hAnsi="Arial Narrow"/>
                <w:b/>
                <w:bCs/>
                <w:i/>
                <w:iCs/>
                <w:color w:val="333333"/>
                <w:sz w:val="20"/>
                <w:szCs w:val="20"/>
              </w:rPr>
            </w:pPr>
            <w:r w:rsidRPr="003B4086">
              <w:rPr>
                <w:rFonts w:ascii="Arial Narrow" w:hAnsi="Arial Narrow"/>
                <w:b/>
                <w:bCs/>
                <w:i/>
                <w:iCs/>
                <w:color w:val="333333"/>
                <w:sz w:val="20"/>
                <w:szCs w:val="20"/>
              </w:rPr>
              <w:t>Treatment criteria:</w:t>
            </w:r>
          </w:p>
        </w:tc>
      </w:tr>
      <w:tr w:rsidR="003B4086" w:rsidRPr="003B4086" w14:paraId="48E41FA6" w14:textId="77777777" w:rsidTr="00B56076">
        <w:tc>
          <w:tcPr>
            <w:tcW w:w="151" w:type="pct"/>
          </w:tcPr>
          <w:p w14:paraId="50041EB8" w14:textId="77777777" w:rsidR="003B4086" w:rsidRPr="003B4086" w:rsidRDefault="003B4086" w:rsidP="006363DE">
            <w:pPr>
              <w:jc w:val="center"/>
              <w:rPr>
                <w:rFonts w:ascii="Arial Narrow" w:hAnsi="Arial Narrow"/>
                <w:i/>
                <w:iCs/>
                <w:color w:val="333333"/>
                <w:sz w:val="20"/>
                <w:szCs w:val="20"/>
              </w:rPr>
            </w:pPr>
          </w:p>
          <w:p w14:paraId="491B4FAF" w14:textId="64F4E7BF" w:rsidR="003B4086" w:rsidRPr="003B4086" w:rsidRDefault="003B4086" w:rsidP="006363DE">
            <w:pPr>
              <w:jc w:val="center"/>
              <w:rPr>
                <w:rFonts w:ascii="Arial Narrow" w:hAnsi="Arial Narrow"/>
                <w:i/>
                <w:iCs/>
                <w:color w:val="333333"/>
                <w:sz w:val="20"/>
                <w:szCs w:val="20"/>
              </w:rPr>
            </w:pPr>
          </w:p>
        </w:tc>
        <w:tc>
          <w:tcPr>
            <w:tcW w:w="4849" w:type="pct"/>
          </w:tcPr>
          <w:p w14:paraId="37CCDA6B" w14:textId="26C08EC1" w:rsidR="003B4086" w:rsidRPr="003B4086" w:rsidRDefault="003B4086" w:rsidP="006363DE">
            <w:pPr>
              <w:ind w:left="-57"/>
              <w:rPr>
                <w:rFonts w:ascii="Arial Narrow" w:hAnsi="Arial Narrow"/>
                <w:i/>
                <w:iCs/>
                <w:color w:val="333333"/>
                <w:sz w:val="20"/>
                <w:szCs w:val="20"/>
              </w:rPr>
            </w:pPr>
            <w:r w:rsidRPr="003B4086">
              <w:rPr>
                <w:rFonts w:ascii="Arial Narrow" w:hAnsi="Arial Narrow"/>
                <w:i/>
                <w:iCs/>
                <w:color w:val="333333"/>
                <w:sz w:val="20"/>
                <w:szCs w:val="20"/>
              </w:rPr>
              <w:t>Patient must be undergoing treatment that is each of: (i) initial PBS-subsidised treatment with this drug, (ii) initiated in a patient untreated with program</w:t>
            </w:r>
            <w:r w:rsidR="003719E5">
              <w:rPr>
                <w:rFonts w:ascii="Arial Narrow" w:hAnsi="Arial Narrow"/>
                <w:i/>
                <w:iCs/>
                <w:color w:val="333333"/>
                <w:sz w:val="20"/>
                <w:szCs w:val="20"/>
              </w:rPr>
              <w:t>med</w:t>
            </w:r>
            <w:r w:rsidRPr="003B4086">
              <w:rPr>
                <w:rFonts w:ascii="Arial Narrow" w:hAnsi="Arial Narrow"/>
                <w:i/>
                <w:iCs/>
                <w:color w:val="333333"/>
                <w:sz w:val="20"/>
                <w:szCs w:val="20"/>
              </w:rPr>
              <w:t xml:space="preserve"> cell death-1/ligand-1 (PD-1/PDL-1) inhibitor therapy, (iii) occurring in a patient with a WHO performance status no greater than 1 at treatment initiation with this drug; or</w:t>
            </w:r>
          </w:p>
        </w:tc>
      </w:tr>
      <w:tr w:rsidR="003B4086" w:rsidRPr="003B4086" w14:paraId="305C2507" w14:textId="77777777" w:rsidTr="00B56076">
        <w:tc>
          <w:tcPr>
            <w:tcW w:w="151" w:type="pct"/>
          </w:tcPr>
          <w:p w14:paraId="729F08E8" w14:textId="77777777" w:rsidR="003B4086" w:rsidRPr="003B4086" w:rsidRDefault="003B4086" w:rsidP="006363DE">
            <w:pPr>
              <w:jc w:val="center"/>
              <w:rPr>
                <w:rFonts w:ascii="Arial Narrow" w:hAnsi="Arial Narrow"/>
                <w:i/>
                <w:iCs/>
                <w:color w:val="333333"/>
                <w:sz w:val="20"/>
                <w:szCs w:val="20"/>
              </w:rPr>
            </w:pPr>
          </w:p>
          <w:p w14:paraId="5A2591CF" w14:textId="226B8905" w:rsidR="003B4086" w:rsidRPr="003B4086" w:rsidRDefault="003B4086" w:rsidP="006363DE">
            <w:pPr>
              <w:jc w:val="center"/>
              <w:rPr>
                <w:rFonts w:ascii="Arial Narrow" w:hAnsi="Arial Narrow"/>
                <w:i/>
                <w:iCs/>
                <w:color w:val="333333"/>
                <w:sz w:val="20"/>
                <w:szCs w:val="20"/>
              </w:rPr>
            </w:pPr>
          </w:p>
        </w:tc>
        <w:tc>
          <w:tcPr>
            <w:tcW w:w="4849" w:type="pct"/>
          </w:tcPr>
          <w:p w14:paraId="6E5790D5" w14:textId="77777777" w:rsidR="003B4086" w:rsidRPr="003B4086" w:rsidRDefault="003B4086" w:rsidP="006363DE">
            <w:pPr>
              <w:ind w:left="-57"/>
              <w:rPr>
                <w:rFonts w:ascii="Arial Narrow" w:hAnsi="Arial Narrow"/>
                <w:i/>
                <w:iCs/>
                <w:color w:val="333333"/>
                <w:sz w:val="20"/>
                <w:szCs w:val="20"/>
              </w:rPr>
            </w:pPr>
            <w:r w:rsidRPr="003B4086">
              <w:rPr>
                <w:rFonts w:ascii="Arial Narrow" w:hAnsi="Arial Narrow"/>
                <w:i/>
                <w:iCs/>
                <w:color w:val="333333"/>
                <w:sz w:val="20"/>
                <w:szCs w:val="20"/>
              </w:rPr>
              <w:t>Patient must be undergoing treatment that is each of: (i) continuing PBS-subsidised treatment with this drug, (ii)) does not extend treatment duration beyond 12 months of uninterrupted, continuous treatment from the first administered dose</w:t>
            </w:r>
          </w:p>
        </w:tc>
      </w:tr>
      <w:tr w:rsidR="003B4086" w:rsidRPr="003B4086" w14:paraId="6A285442" w14:textId="77777777" w:rsidTr="00B56076">
        <w:tc>
          <w:tcPr>
            <w:tcW w:w="151" w:type="pct"/>
          </w:tcPr>
          <w:p w14:paraId="5A055BE0" w14:textId="77777777" w:rsidR="003B4086" w:rsidRPr="003B4086" w:rsidRDefault="003B4086" w:rsidP="006363DE">
            <w:pPr>
              <w:jc w:val="center"/>
              <w:rPr>
                <w:rFonts w:ascii="Arial Narrow" w:hAnsi="Arial Narrow"/>
                <w:i/>
                <w:iCs/>
                <w:sz w:val="20"/>
                <w:szCs w:val="20"/>
              </w:rPr>
            </w:pPr>
          </w:p>
        </w:tc>
        <w:tc>
          <w:tcPr>
            <w:tcW w:w="4849" w:type="pct"/>
          </w:tcPr>
          <w:p w14:paraId="1AA29484" w14:textId="77777777" w:rsidR="003B4086" w:rsidRPr="003B4086" w:rsidRDefault="003B4086" w:rsidP="006363DE">
            <w:pPr>
              <w:ind w:left="-57"/>
              <w:rPr>
                <w:rFonts w:ascii="Arial Narrow" w:hAnsi="Arial Narrow"/>
                <w:i/>
                <w:iCs/>
                <w:sz w:val="20"/>
                <w:szCs w:val="20"/>
              </w:rPr>
            </w:pPr>
          </w:p>
        </w:tc>
      </w:tr>
      <w:tr w:rsidR="003B4086" w:rsidRPr="003B4086" w14:paraId="5D041DD4" w14:textId="77777777" w:rsidTr="00B56076">
        <w:tc>
          <w:tcPr>
            <w:tcW w:w="151" w:type="pct"/>
          </w:tcPr>
          <w:p w14:paraId="28354CAF" w14:textId="77777777" w:rsidR="003B4086" w:rsidRPr="003B4086" w:rsidRDefault="003B4086" w:rsidP="006363DE">
            <w:pPr>
              <w:jc w:val="center"/>
              <w:rPr>
                <w:rFonts w:ascii="Arial Narrow" w:hAnsi="Arial Narrow"/>
                <w:i/>
                <w:iCs/>
                <w:color w:val="333333"/>
                <w:sz w:val="20"/>
                <w:szCs w:val="20"/>
              </w:rPr>
            </w:pPr>
          </w:p>
          <w:p w14:paraId="1FCB8DD9" w14:textId="1274373F" w:rsidR="003B4086" w:rsidRPr="003B4086" w:rsidRDefault="003B4086" w:rsidP="006363DE">
            <w:pPr>
              <w:jc w:val="center"/>
              <w:rPr>
                <w:rFonts w:ascii="Arial Narrow" w:hAnsi="Arial Narrow"/>
                <w:i/>
                <w:iCs/>
                <w:color w:val="333333"/>
                <w:sz w:val="20"/>
                <w:szCs w:val="20"/>
              </w:rPr>
            </w:pPr>
          </w:p>
        </w:tc>
        <w:tc>
          <w:tcPr>
            <w:tcW w:w="4849" w:type="pct"/>
          </w:tcPr>
          <w:p w14:paraId="5F0D811E" w14:textId="77777777" w:rsidR="003B4086" w:rsidRPr="003B4086" w:rsidRDefault="003B4086" w:rsidP="006363DE">
            <w:pPr>
              <w:ind w:left="-57"/>
              <w:rPr>
                <w:rFonts w:ascii="Arial Narrow" w:hAnsi="Arial Narrow"/>
                <w:b/>
                <w:bCs/>
                <w:i/>
                <w:iCs/>
                <w:color w:val="333333"/>
                <w:sz w:val="20"/>
                <w:szCs w:val="20"/>
              </w:rPr>
            </w:pPr>
            <w:r w:rsidRPr="003B4086">
              <w:rPr>
                <w:rFonts w:ascii="Arial Narrow" w:hAnsi="Arial Narrow"/>
                <w:b/>
                <w:bCs/>
                <w:i/>
                <w:iCs/>
                <w:color w:val="333333"/>
                <w:sz w:val="20"/>
                <w:szCs w:val="20"/>
              </w:rPr>
              <w:t xml:space="preserve">Administrative Advice: </w:t>
            </w:r>
          </w:p>
          <w:p w14:paraId="241F3A16" w14:textId="77777777" w:rsidR="003B4086" w:rsidRPr="003B4086" w:rsidRDefault="003B4086" w:rsidP="006363DE">
            <w:pPr>
              <w:ind w:left="-57"/>
              <w:rPr>
                <w:rFonts w:ascii="Arial Narrow" w:hAnsi="Arial Narrow"/>
                <w:i/>
                <w:iCs/>
                <w:color w:val="333333"/>
                <w:sz w:val="20"/>
                <w:szCs w:val="20"/>
              </w:rPr>
            </w:pPr>
            <w:r w:rsidRPr="003B4086">
              <w:rPr>
                <w:rFonts w:ascii="Arial Narrow" w:hAnsi="Arial Narrow"/>
                <w:i/>
                <w:iCs/>
                <w:color w:val="333333"/>
                <w:sz w:val="20"/>
                <w:szCs w:val="20"/>
              </w:rPr>
              <w:t xml:space="preserve">An increase in repeat prescription numbers, up to a value of 11, may only be sought where the prescribed dosing frequency is fortnightly. </w:t>
            </w:r>
          </w:p>
        </w:tc>
      </w:tr>
      <w:tr w:rsidR="003B4086" w:rsidRPr="003B4086" w14:paraId="7AFF0466" w14:textId="77777777" w:rsidTr="00B56076">
        <w:tc>
          <w:tcPr>
            <w:tcW w:w="151" w:type="pct"/>
          </w:tcPr>
          <w:p w14:paraId="01F944EE" w14:textId="0F7828BB" w:rsidR="003B4086" w:rsidRPr="003B4086" w:rsidRDefault="003B4086" w:rsidP="006363DE">
            <w:pPr>
              <w:jc w:val="center"/>
              <w:rPr>
                <w:rFonts w:ascii="Arial Narrow" w:hAnsi="Arial Narrow"/>
                <w:color w:val="333333"/>
                <w:sz w:val="20"/>
                <w:szCs w:val="20"/>
              </w:rPr>
            </w:pPr>
          </w:p>
        </w:tc>
        <w:tc>
          <w:tcPr>
            <w:tcW w:w="4849" w:type="pct"/>
          </w:tcPr>
          <w:p w14:paraId="52D61C0D" w14:textId="77777777" w:rsidR="003B4086" w:rsidRPr="003B4086" w:rsidRDefault="003B4086" w:rsidP="006363DE">
            <w:pPr>
              <w:ind w:left="-57"/>
              <w:rPr>
                <w:rFonts w:ascii="Arial Narrow" w:hAnsi="Arial Narrow"/>
                <w:color w:val="333333"/>
                <w:sz w:val="20"/>
                <w:szCs w:val="20"/>
              </w:rPr>
            </w:pPr>
            <w:r w:rsidRPr="003B4086">
              <w:rPr>
                <w:rFonts w:ascii="Arial Narrow" w:hAnsi="Arial Narrow"/>
                <w:b/>
                <w:bCs/>
                <w:color w:val="333333"/>
                <w:sz w:val="20"/>
                <w:szCs w:val="20"/>
              </w:rPr>
              <w:t>Administrative Advice:</w:t>
            </w:r>
            <w:r w:rsidRPr="003B4086">
              <w:rPr>
                <w:rFonts w:ascii="Arial Narrow" w:hAnsi="Arial Narrow"/>
                <w:color w:val="333333"/>
                <w:sz w:val="20"/>
                <w:szCs w:val="20"/>
              </w:rPr>
              <w:t xml:space="preserve"> Special Pricing Arrangements apply.</w:t>
            </w:r>
          </w:p>
        </w:tc>
      </w:tr>
      <w:tr w:rsidR="003B4086" w:rsidRPr="003B4086" w14:paraId="4DEEC424" w14:textId="77777777" w:rsidTr="00B56076">
        <w:tc>
          <w:tcPr>
            <w:tcW w:w="151" w:type="pct"/>
          </w:tcPr>
          <w:p w14:paraId="2458C08E" w14:textId="77777777" w:rsidR="003B4086" w:rsidRPr="003B4086" w:rsidRDefault="003B4086" w:rsidP="006363DE">
            <w:pPr>
              <w:jc w:val="center"/>
              <w:rPr>
                <w:rFonts w:ascii="Arial Narrow" w:hAnsi="Arial Narrow"/>
                <w:color w:val="333333"/>
                <w:sz w:val="20"/>
                <w:szCs w:val="20"/>
              </w:rPr>
            </w:pPr>
          </w:p>
        </w:tc>
        <w:tc>
          <w:tcPr>
            <w:tcW w:w="4849" w:type="pct"/>
          </w:tcPr>
          <w:p w14:paraId="7BDFD908" w14:textId="77777777" w:rsidR="003B4086" w:rsidRPr="003B4086" w:rsidRDefault="003B4086" w:rsidP="006363DE">
            <w:pPr>
              <w:pStyle w:val="Tabletext"/>
              <w:keepNext/>
              <w:rPr>
                <w:strike/>
                <w:color w:val="333333"/>
                <w:szCs w:val="20"/>
              </w:rPr>
            </w:pPr>
            <w:r w:rsidRPr="003B4086">
              <w:rPr>
                <w:b/>
                <w:bCs/>
                <w:strike/>
                <w:color w:val="333333"/>
                <w:szCs w:val="20"/>
              </w:rPr>
              <w:t>Clinical criteria:</w:t>
            </w:r>
          </w:p>
          <w:p w14:paraId="748EB0D9" w14:textId="355ED206" w:rsidR="003B4086" w:rsidRPr="003B4086" w:rsidRDefault="003B4086" w:rsidP="006363DE">
            <w:pPr>
              <w:pStyle w:val="Tabletext"/>
              <w:keepNext/>
              <w:rPr>
                <w:b/>
                <w:bCs/>
                <w:strike/>
                <w:color w:val="333333"/>
                <w:szCs w:val="20"/>
              </w:rPr>
            </w:pPr>
            <w:r w:rsidRPr="003B4086">
              <w:rPr>
                <w:strike/>
                <w:color w:val="333333"/>
                <w:szCs w:val="20"/>
              </w:rPr>
              <w:t xml:space="preserve">Patient must have pathologically confirmed urothelial carcinoma (originating in the bladder, renal pelvis or ureter) at high risk of recurrence based on pathologic staging of radical surgery tissue, classified as either: ypT2-pT4a or ypN+ (where neoadjuvant chemotherapy has been given) / pT3-pT4a or pN+ (where no neoadjuvant chemotherapy has been given). </w:t>
            </w:r>
            <w:r w:rsidR="00E020DE" w:rsidRPr="00B37291">
              <w:rPr>
                <w:strike/>
                <w:color w:val="000000"/>
                <w:spacing w:val="48"/>
                <w:szCs w:val="20"/>
                <w:shd w:val="solid" w:color="000000" w:fill="000000"/>
                <w:fitText w:val="500" w:id="-1435270140"/>
                <w14:textFill>
                  <w14:solidFill>
                    <w14:srgbClr w14:val="000000">
                      <w14:alpha w14:val="100000"/>
                    </w14:srgbClr>
                  </w14:solidFill>
                </w14:textFill>
              </w:rPr>
              <w:t>|||||</w:t>
            </w:r>
            <w:r w:rsidR="00E020DE" w:rsidRPr="00B37291">
              <w:rPr>
                <w:strike/>
                <w:color w:val="000000"/>
                <w:spacing w:val="5"/>
                <w:szCs w:val="20"/>
                <w:shd w:val="solid" w:color="000000" w:fill="000000"/>
                <w:fitText w:val="500" w:id="-1435270140"/>
                <w14:textFill>
                  <w14:solidFill>
                    <w14:srgbClr w14:val="000000">
                      <w14:alpha w14:val="100000"/>
                    </w14:srgbClr>
                  </w14:solidFill>
                </w14:textFill>
              </w:rPr>
              <w:t>|</w:t>
            </w:r>
            <w:r w:rsidRPr="003B4086">
              <w:rPr>
                <w:b/>
                <w:bCs/>
                <w:strike/>
                <w:color w:val="333333"/>
                <w:szCs w:val="20"/>
              </w:rPr>
              <w:t>AND</w:t>
            </w:r>
          </w:p>
          <w:p w14:paraId="212373C3" w14:textId="77777777" w:rsidR="003B4086" w:rsidRPr="003B4086" w:rsidRDefault="003B4086" w:rsidP="006363DE">
            <w:pPr>
              <w:pStyle w:val="Tabletext"/>
              <w:keepNext/>
              <w:rPr>
                <w:strike/>
                <w:color w:val="333333"/>
                <w:szCs w:val="20"/>
              </w:rPr>
            </w:pPr>
            <w:r w:rsidRPr="003B4086">
              <w:rPr>
                <w:strike/>
                <w:color w:val="333333"/>
                <w:szCs w:val="20"/>
              </w:rPr>
              <w:t>The treatment must be adjuvant to complete surgical resection.</w:t>
            </w:r>
          </w:p>
          <w:p w14:paraId="681CCE4A" w14:textId="77777777" w:rsidR="003B4086" w:rsidRPr="003B4086" w:rsidRDefault="003B4086" w:rsidP="006363DE">
            <w:pPr>
              <w:pStyle w:val="Tabletext"/>
              <w:keepNext/>
              <w:rPr>
                <w:b/>
                <w:bCs/>
                <w:strike/>
                <w:color w:val="333333"/>
                <w:szCs w:val="20"/>
              </w:rPr>
            </w:pPr>
            <w:r w:rsidRPr="003B4086">
              <w:rPr>
                <w:b/>
                <w:bCs/>
                <w:strike/>
                <w:color w:val="333333"/>
                <w:szCs w:val="20"/>
              </w:rPr>
              <w:t>AND</w:t>
            </w:r>
          </w:p>
          <w:p w14:paraId="3422CD8B" w14:textId="77777777" w:rsidR="003B4086" w:rsidRPr="003B4086" w:rsidRDefault="003B4086" w:rsidP="006363DE">
            <w:pPr>
              <w:pStyle w:val="Tabletext"/>
              <w:keepNext/>
              <w:rPr>
                <w:strike/>
                <w:color w:val="333333"/>
                <w:szCs w:val="20"/>
              </w:rPr>
            </w:pPr>
            <w:r w:rsidRPr="003B4086">
              <w:rPr>
                <w:strike/>
                <w:color w:val="333333"/>
                <w:szCs w:val="20"/>
              </w:rPr>
              <w:t>The treatment must commence within 120 days of radical resection.</w:t>
            </w:r>
          </w:p>
          <w:p w14:paraId="36340D1C" w14:textId="77777777" w:rsidR="003B4086" w:rsidRPr="003B4086" w:rsidRDefault="003B4086" w:rsidP="006363DE">
            <w:pPr>
              <w:pStyle w:val="Tabletext"/>
              <w:keepNext/>
              <w:rPr>
                <w:b/>
                <w:bCs/>
                <w:strike/>
                <w:color w:val="333333"/>
                <w:szCs w:val="20"/>
              </w:rPr>
            </w:pPr>
            <w:r w:rsidRPr="003B4086">
              <w:rPr>
                <w:b/>
                <w:bCs/>
                <w:strike/>
                <w:color w:val="333333"/>
                <w:szCs w:val="20"/>
              </w:rPr>
              <w:t>AND</w:t>
            </w:r>
          </w:p>
          <w:p w14:paraId="05E7CD2F" w14:textId="77777777" w:rsidR="003B4086" w:rsidRPr="003B4086" w:rsidRDefault="003B4086" w:rsidP="006363DE">
            <w:pPr>
              <w:pStyle w:val="Tabletext"/>
              <w:keepNext/>
              <w:rPr>
                <w:strike/>
                <w:color w:val="333333"/>
                <w:szCs w:val="20"/>
              </w:rPr>
            </w:pPr>
            <w:r w:rsidRPr="003B4086">
              <w:rPr>
                <w:strike/>
                <w:color w:val="333333"/>
                <w:szCs w:val="20"/>
              </w:rPr>
              <w:t>Patient must have a WHO performance status of 0 or 1.</w:t>
            </w:r>
          </w:p>
          <w:p w14:paraId="28B727AB" w14:textId="77777777" w:rsidR="003B4086" w:rsidRPr="003B4086" w:rsidRDefault="003B4086" w:rsidP="006363DE">
            <w:pPr>
              <w:pStyle w:val="Tabletext"/>
              <w:keepNext/>
              <w:rPr>
                <w:b/>
                <w:bCs/>
                <w:strike/>
                <w:color w:val="333333"/>
                <w:szCs w:val="20"/>
              </w:rPr>
            </w:pPr>
            <w:r w:rsidRPr="003B4086">
              <w:rPr>
                <w:b/>
                <w:bCs/>
                <w:strike/>
                <w:color w:val="333333"/>
                <w:szCs w:val="20"/>
              </w:rPr>
              <w:t>AND</w:t>
            </w:r>
          </w:p>
          <w:p w14:paraId="15798951" w14:textId="77777777" w:rsidR="003B4086" w:rsidRPr="003B4086" w:rsidRDefault="003B4086" w:rsidP="006363DE">
            <w:pPr>
              <w:pStyle w:val="Tabletext"/>
              <w:keepNext/>
              <w:rPr>
                <w:strike/>
                <w:color w:val="333333"/>
                <w:szCs w:val="20"/>
              </w:rPr>
            </w:pPr>
            <w:r w:rsidRPr="003B4086">
              <w:rPr>
                <w:strike/>
                <w:color w:val="333333"/>
                <w:szCs w:val="20"/>
              </w:rPr>
              <w:t>Patient must not have experienced disease recurrence.</w:t>
            </w:r>
          </w:p>
          <w:p w14:paraId="729592C2" w14:textId="77777777" w:rsidR="003B4086" w:rsidRPr="003B4086" w:rsidRDefault="003B4086" w:rsidP="006363DE">
            <w:pPr>
              <w:pStyle w:val="Tabletext"/>
              <w:keepNext/>
              <w:rPr>
                <w:b/>
                <w:bCs/>
                <w:strike/>
                <w:color w:val="333333"/>
                <w:szCs w:val="20"/>
              </w:rPr>
            </w:pPr>
            <w:r w:rsidRPr="003B4086">
              <w:rPr>
                <w:b/>
                <w:bCs/>
                <w:strike/>
                <w:color w:val="333333"/>
                <w:szCs w:val="20"/>
              </w:rPr>
              <w:t>AND</w:t>
            </w:r>
          </w:p>
          <w:p w14:paraId="6F2C0E5D" w14:textId="77777777" w:rsidR="003B4086" w:rsidRPr="003B4086" w:rsidRDefault="003B4086" w:rsidP="006363DE">
            <w:pPr>
              <w:pStyle w:val="Tabletext"/>
              <w:keepNext/>
              <w:rPr>
                <w:strike/>
                <w:color w:val="333333"/>
                <w:szCs w:val="20"/>
              </w:rPr>
            </w:pPr>
            <w:r w:rsidRPr="003B4086">
              <w:rPr>
                <w:strike/>
                <w:color w:val="333333"/>
                <w:szCs w:val="20"/>
              </w:rPr>
              <w:t>The treatment must be the sole PBS-subsidised therapy for this condition.</w:t>
            </w:r>
          </w:p>
          <w:p w14:paraId="08300996" w14:textId="77777777" w:rsidR="003B4086" w:rsidRPr="003B4086" w:rsidRDefault="003B4086" w:rsidP="006363DE">
            <w:pPr>
              <w:pStyle w:val="Tabletext"/>
              <w:keepNext/>
              <w:rPr>
                <w:b/>
                <w:bCs/>
                <w:strike/>
                <w:color w:val="333333"/>
                <w:szCs w:val="20"/>
              </w:rPr>
            </w:pPr>
            <w:r w:rsidRPr="003B4086">
              <w:rPr>
                <w:b/>
                <w:bCs/>
                <w:strike/>
                <w:color w:val="333333"/>
                <w:szCs w:val="20"/>
              </w:rPr>
              <w:t>AND</w:t>
            </w:r>
          </w:p>
          <w:p w14:paraId="35EC8673" w14:textId="77777777" w:rsidR="003B4086" w:rsidRPr="003B4086" w:rsidRDefault="003B4086" w:rsidP="006363DE">
            <w:pPr>
              <w:ind w:left="-57"/>
              <w:rPr>
                <w:rFonts w:ascii="Arial Narrow" w:hAnsi="Arial Narrow"/>
                <w:color w:val="333333"/>
                <w:sz w:val="20"/>
                <w:szCs w:val="20"/>
              </w:rPr>
            </w:pPr>
            <w:r w:rsidRPr="003B4086">
              <w:rPr>
                <w:rFonts w:ascii="Arial Narrow" w:hAnsi="Arial Narrow"/>
                <w:strike/>
                <w:color w:val="333333"/>
                <w:sz w:val="20"/>
                <w:szCs w:val="20"/>
              </w:rPr>
              <w:t>Patient must not have received prior PBS-subsidised treatment with a programmed cell death-1 (PD-1) inhibitor or a programmed cell death ligand-1 (PD-L1) inhibitor for this condition.</w:t>
            </w:r>
          </w:p>
        </w:tc>
      </w:tr>
      <w:tr w:rsidR="003B4086" w:rsidRPr="003B4086" w14:paraId="121C7847" w14:textId="77777777" w:rsidTr="00B56076">
        <w:tc>
          <w:tcPr>
            <w:tcW w:w="151" w:type="pct"/>
          </w:tcPr>
          <w:p w14:paraId="5BE7752A" w14:textId="77777777" w:rsidR="003B4086" w:rsidRPr="003B4086" w:rsidRDefault="003B4086" w:rsidP="006363DE">
            <w:pPr>
              <w:jc w:val="center"/>
              <w:rPr>
                <w:rFonts w:ascii="Arial Narrow" w:hAnsi="Arial Narrow"/>
                <w:color w:val="333333"/>
                <w:sz w:val="20"/>
                <w:szCs w:val="20"/>
              </w:rPr>
            </w:pPr>
          </w:p>
        </w:tc>
        <w:tc>
          <w:tcPr>
            <w:tcW w:w="4849" w:type="pct"/>
          </w:tcPr>
          <w:p w14:paraId="5986AF29" w14:textId="77777777" w:rsidR="003B4086" w:rsidRPr="003B4086" w:rsidRDefault="003B4086" w:rsidP="006363DE">
            <w:pPr>
              <w:pStyle w:val="Tabletext"/>
              <w:keepNext/>
              <w:rPr>
                <w:strike/>
                <w:color w:val="333333"/>
                <w:szCs w:val="20"/>
              </w:rPr>
            </w:pPr>
            <w:r w:rsidRPr="003B4086">
              <w:rPr>
                <w:b/>
                <w:bCs/>
                <w:strike/>
                <w:color w:val="333333"/>
                <w:szCs w:val="20"/>
              </w:rPr>
              <w:t>Treatment criteria:</w:t>
            </w:r>
          </w:p>
          <w:p w14:paraId="1EFAAF1C" w14:textId="77777777" w:rsidR="003B4086" w:rsidRPr="003B4086" w:rsidRDefault="003B4086" w:rsidP="006363DE">
            <w:pPr>
              <w:ind w:left="-57"/>
              <w:rPr>
                <w:rFonts w:ascii="Arial Narrow" w:hAnsi="Arial Narrow"/>
                <w:color w:val="333333"/>
                <w:sz w:val="20"/>
                <w:szCs w:val="20"/>
              </w:rPr>
            </w:pPr>
            <w:r w:rsidRPr="003B4086">
              <w:rPr>
                <w:rFonts w:ascii="Arial Narrow" w:hAnsi="Arial Narrow" w:cs="Arial Narrow"/>
                <w:iCs/>
                <w:strike/>
                <w:sz w:val="20"/>
                <w:szCs w:val="20"/>
              </w:rPr>
              <w:t>Patients must only receive a maximum of 240 mg every two weeks or 480 mg every four weeks.</w:t>
            </w:r>
          </w:p>
        </w:tc>
      </w:tr>
      <w:tr w:rsidR="003B4086" w:rsidRPr="003B4086" w14:paraId="1132EC69" w14:textId="77777777" w:rsidTr="00B56076">
        <w:tc>
          <w:tcPr>
            <w:tcW w:w="151" w:type="pct"/>
          </w:tcPr>
          <w:p w14:paraId="693EEA9F" w14:textId="77777777" w:rsidR="003B4086" w:rsidRPr="003B4086" w:rsidRDefault="003B4086" w:rsidP="006363DE">
            <w:pPr>
              <w:jc w:val="center"/>
              <w:rPr>
                <w:rFonts w:ascii="Arial Narrow" w:hAnsi="Arial Narrow"/>
                <w:color w:val="333333"/>
                <w:sz w:val="20"/>
                <w:szCs w:val="20"/>
              </w:rPr>
            </w:pPr>
          </w:p>
        </w:tc>
        <w:tc>
          <w:tcPr>
            <w:tcW w:w="4849" w:type="pct"/>
          </w:tcPr>
          <w:p w14:paraId="2DBBC3C2" w14:textId="77777777" w:rsidR="003B4086" w:rsidRPr="003B4086" w:rsidRDefault="003B4086" w:rsidP="006363DE">
            <w:pPr>
              <w:pStyle w:val="Tabletext"/>
              <w:keepNext/>
              <w:rPr>
                <w:strike/>
                <w:color w:val="333333"/>
                <w:szCs w:val="20"/>
              </w:rPr>
            </w:pPr>
            <w:r w:rsidRPr="003B4086">
              <w:rPr>
                <w:b/>
                <w:bCs/>
                <w:strike/>
                <w:color w:val="333333"/>
                <w:szCs w:val="20"/>
              </w:rPr>
              <w:t>Prescribing Instructions:</w:t>
            </w:r>
            <w:r w:rsidRPr="003B4086">
              <w:rPr>
                <w:strike/>
                <w:color w:val="333333"/>
                <w:szCs w:val="20"/>
              </w:rPr>
              <w:t xml:space="preserve"> </w:t>
            </w:r>
          </w:p>
          <w:p w14:paraId="1751B5D5" w14:textId="77777777" w:rsidR="003B4086" w:rsidRPr="003B4086" w:rsidRDefault="003B4086" w:rsidP="006363DE">
            <w:pPr>
              <w:keepNext/>
              <w:rPr>
                <w:rFonts w:ascii="Arial Narrow" w:hAnsi="Arial Narrow"/>
                <w:strike/>
                <w:color w:val="333333"/>
                <w:sz w:val="20"/>
                <w:szCs w:val="20"/>
              </w:rPr>
            </w:pPr>
            <w:r w:rsidRPr="003B4086">
              <w:rPr>
                <w:rFonts w:ascii="Arial Narrow" w:hAnsi="Arial Narrow"/>
                <w:strike/>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14:paraId="34B96361" w14:textId="77777777" w:rsidR="003B4086" w:rsidRPr="003B4086" w:rsidRDefault="003B4086" w:rsidP="006363DE">
            <w:pPr>
              <w:keepNext/>
              <w:rPr>
                <w:rFonts w:ascii="Arial Narrow" w:hAnsi="Arial Narrow"/>
                <w:strike/>
                <w:color w:val="333333"/>
                <w:sz w:val="20"/>
                <w:szCs w:val="20"/>
              </w:rPr>
            </w:pPr>
            <w:r w:rsidRPr="003B4086">
              <w:rPr>
                <w:rFonts w:ascii="Arial Narrow" w:hAnsi="Arial Narrow"/>
                <w:strike/>
                <w:color w:val="333333"/>
                <w:sz w:val="20"/>
                <w:szCs w:val="20"/>
              </w:rPr>
              <w:t>No increase in the maximum quantity or number of units may be authorised.</w:t>
            </w:r>
          </w:p>
          <w:p w14:paraId="47264027" w14:textId="77777777" w:rsidR="003B4086" w:rsidRPr="003B4086" w:rsidRDefault="003B4086" w:rsidP="006363DE">
            <w:pPr>
              <w:keepNext/>
              <w:rPr>
                <w:rFonts w:ascii="Arial Narrow" w:hAnsi="Arial Narrow"/>
                <w:strike/>
                <w:color w:val="333333"/>
                <w:sz w:val="20"/>
                <w:szCs w:val="20"/>
              </w:rPr>
            </w:pPr>
            <w:r w:rsidRPr="003B4086">
              <w:rPr>
                <w:rFonts w:ascii="Arial Narrow" w:hAnsi="Arial Narrow"/>
                <w:strike/>
                <w:color w:val="333333"/>
                <w:sz w:val="20"/>
                <w:szCs w:val="20"/>
              </w:rPr>
              <w:t>Up to 12 repeats may be sought if dosing at 240 mg every 2 weeks.</w:t>
            </w:r>
          </w:p>
          <w:p w14:paraId="2177EFB0" w14:textId="77777777" w:rsidR="003B4086" w:rsidRPr="003B4086" w:rsidRDefault="003B4086" w:rsidP="006363DE">
            <w:pPr>
              <w:rPr>
                <w:rFonts w:ascii="Arial Narrow" w:hAnsi="Arial Narrow"/>
                <w:strike/>
                <w:color w:val="333333"/>
                <w:sz w:val="20"/>
                <w:szCs w:val="20"/>
              </w:rPr>
            </w:pPr>
            <w:r w:rsidRPr="003B4086">
              <w:rPr>
                <w:rFonts w:ascii="Arial Narrow" w:hAnsi="Arial Narrow"/>
                <w:strike/>
                <w:color w:val="333333"/>
                <w:sz w:val="20"/>
                <w:szCs w:val="20"/>
              </w:rPr>
              <w:t>The treatment must not exceed 12 months for this PBS indication.</w:t>
            </w:r>
          </w:p>
        </w:tc>
      </w:tr>
      <w:tr w:rsidR="003B4086" w:rsidRPr="003B4086" w14:paraId="59659BE4" w14:textId="77777777" w:rsidTr="00B56076">
        <w:tc>
          <w:tcPr>
            <w:tcW w:w="151" w:type="pct"/>
          </w:tcPr>
          <w:p w14:paraId="69A437D5" w14:textId="77777777" w:rsidR="003B4086" w:rsidRPr="003B4086" w:rsidRDefault="003B4086" w:rsidP="006363DE">
            <w:pPr>
              <w:jc w:val="center"/>
              <w:rPr>
                <w:rFonts w:ascii="Arial Narrow" w:hAnsi="Arial Narrow"/>
                <w:color w:val="333333"/>
                <w:sz w:val="20"/>
                <w:szCs w:val="20"/>
              </w:rPr>
            </w:pPr>
          </w:p>
        </w:tc>
        <w:tc>
          <w:tcPr>
            <w:tcW w:w="4849" w:type="pct"/>
          </w:tcPr>
          <w:p w14:paraId="5BFECF5A" w14:textId="77777777" w:rsidR="003B4086" w:rsidRPr="003B4086" w:rsidRDefault="003B4086" w:rsidP="006363DE">
            <w:pPr>
              <w:pStyle w:val="Tabletext"/>
              <w:keepNext/>
              <w:rPr>
                <w:b/>
                <w:bCs/>
                <w:strike/>
                <w:color w:val="333333"/>
                <w:szCs w:val="20"/>
              </w:rPr>
            </w:pPr>
            <w:r w:rsidRPr="003B4086">
              <w:rPr>
                <w:b/>
                <w:bCs/>
                <w:strike/>
                <w:color w:val="333333"/>
                <w:szCs w:val="20"/>
              </w:rPr>
              <w:t>Treatment Phase:</w:t>
            </w:r>
            <w:r w:rsidRPr="003B4086">
              <w:rPr>
                <w:strike/>
                <w:color w:val="333333"/>
                <w:szCs w:val="20"/>
              </w:rPr>
              <w:t xml:space="preserve"> Continuing treatment</w:t>
            </w:r>
          </w:p>
        </w:tc>
      </w:tr>
      <w:tr w:rsidR="003B4086" w:rsidRPr="003B4086" w14:paraId="0B7AC80E" w14:textId="77777777" w:rsidTr="00B56076">
        <w:tc>
          <w:tcPr>
            <w:tcW w:w="151" w:type="pct"/>
          </w:tcPr>
          <w:p w14:paraId="2A1A5EC2" w14:textId="77777777" w:rsidR="003B4086" w:rsidRPr="003B4086" w:rsidRDefault="003B4086" w:rsidP="006363DE">
            <w:pPr>
              <w:jc w:val="center"/>
              <w:rPr>
                <w:rFonts w:ascii="Arial Narrow" w:hAnsi="Arial Narrow"/>
                <w:color w:val="333333"/>
                <w:sz w:val="20"/>
                <w:szCs w:val="20"/>
              </w:rPr>
            </w:pPr>
          </w:p>
        </w:tc>
        <w:tc>
          <w:tcPr>
            <w:tcW w:w="4849" w:type="pct"/>
          </w:tcPr>
          <w:p w14:paraId="50B205A7" w14:textId="77777777" w:rsidR="003B4086" w:rsidRPr="003B4086" w:rsidRDefault="003B4086" w:rsidP="006363DE">
            <w:pPr>
              <w:pStyle w:val="Tabletext"/>
              <w:rPr>
                <w:strike/>
                <w:color w:val="333333"/>
                <w:szCs w:val="20"/>
              </w:rPr>
            </w:pPr>
            <w:r w:rsidRPr="003B4086">
              <w:rPr>
                <w:b/>
                <w:bCs/>
                <w:strike/>
                <w:color w:val="333333"/>
                <w:szCs w:val="20"/>
              </w:rPr>
              <w:t>Clinical criteria:</w:t>
            </w:r>
          </w:p>
          <w:p w14:paraId="588FB4F4" w14:textId="77777777" w:rsidR="003B4086" w:rsidRPr="003B4086" w:rsidRDefault="003B4086" w:rsidP="006363DE">
            <w:pPr>
              <w:pStyle w:val="Tabletext"/>
              <w:rPr>
                <w:strike/>
                <w:color w:val="333333"/>
                <w:szCs w:val="20"/>
              </w:rPr>
            </w:pPr>
            <w:r w:rsidRPr="003B4086">
              <w:rPr>
                <w:strike/>
                <w:color w:val="333333"/>
                <w:szCs w:val="20"/>
              </w:rPr>
              <w:t>Patient must have previously received PBS-subsidised treatment with this drug for this condition.</w:t>
            </w:r>
          </w:p>
          <w:p w14:paraId="1C1DD3F4" w14:textId="77777777" w:rsidR="003B4086" w:rsidRPr="003B4086" w:rsidRDefault="003B4086" w:rsidP="006363DE">
            <w:pPr>
              <w:pStyle w:val="Tabletext"/>
              <w:rPr>
                <w:b/>
                <w:bCs/>
                <w:strike/>
                <w:color w:val="333333"/>
                <w:szCs w:val="20"/>
              </w:rPr>
            </w:pPr>
            <w:r w:rsidRPr="003B4086">
              <w:rPr>
                <w:b/>
                <w:bCs/>
                <w:strike/>
                <w:color w:val="333333"/>
                <w:szCs w:val="20"/>
              </w:rPr>
              <w:t>AND</w:t>
            </w:r>
          </w:p>
          <w:p w14:paraId="3F58ECEA" w14:textId="77777777" w:rsidR="003B4086" w:rsidRPr="003B4086" w:rsidRDefault="003B4086" w:rsidP="006363DE">
            <w:pPr>
              <w:pStyle w:val="Tabletext"/>
              <w:rPr>
                <w:strike/>
                <w:color w:val="333333"/>
                <w:szCs w:val="20"/>
              </w:rPr>
            </w:pPr>
            <w:r w:rsidRPr="003B4086">
              <w:rPr>
                <w:strike/>
                <w:color w:val="333333"/>
                <w:szCs w:val="20"/>
              </w:rPr>
              <w:t>Patient must not have experienced disease recurrence.</w:t>
            </w:r>
          </w:p>
          <w:p w14:paraId="5185AC77" w14:textId="77777777" w:rsidR="003B4086" w:rsidRPr="003B4086" w:rsidRDefault="003B4086" w:rsidP="006363DE">
            <w:pPr>
              <w:pStyle w:val="Tabletext"/>
              <w:rPr>
                <w:b/>
                <w:bCs/>
                <w:strike/>
                <w:color w:val="333333"/>
                <w:szCs w:val="20"/>
              </w:rPr>
            </w:pPr>
            <w:r w:rsidRPr="003B4086">
              <w:rPr>
                <w:b/>
                <w:bCs/>
                <w:strike/>
                <w:color w:val="333333"/>
                <w:szCs w:val="20"/>
              </w:rPr>
              <w:t>AND</w:t>
            </w:r>
          </w:p>
          <w:p w14:paraId="10363ACF" w14:textId="77777777" w:rsidR="003B4086" w:rsidRPr="003B4086" w:rsidRDefault="003B4086" w:rsidP="006363DE">
            <w:pPr>
              <w:pStyle w:val="Tabletext"/>
              <w:keepNext/>
              <w:rPr>
                <w:b/>
                <w:bCs/>
                <w:strike/>
                <w:color w:val="333333"/>
                <w:szCs w:val="20"/>
              </w:rPr>
            </w:pPr>
            <w:r w:rsidRPr="003B4086">
              <w:rPr>
                <w:strike/>
                <w:color w:val="333333"/>
                <w:szCs w:val="20"/>
              </w:rPr>
              <w:t>The treatment must be the sole PBS-subsidised therapy for this condition.</w:t>
            </w:r>
          </w:p>
        </w:tc>
      </w:tr>
      <w:tr w:rsidR="003B4086" w:rsidRPr="003B4086" w14:paraId="6341FD64" w14:textId="77777777" w:rsidTr="00B56076">
        <w:tc>
          <w:tcPr>
            <w:tcW w:w="151" w:type="pct"/>
          </w:tcPr>
          <w:p w14:paraId="0059850D" w14:textId="77777777" w:rsidR="003B4086" w:rsidRPr="003B4086" w:rsidRDefault="003B4086" w:rsidP="006363DE">
            <w:pPr>
              <w:jc w:val="center"/>
              <w:rPr>
                <w:rFonts w:ascii="Arial Narrow" w:hAnsi="Arial Narrow"/>
                <w:color w:val="333333"/>
                <w:sz w:val="20"/>
                <w:szCs w:val="20"/>
              </w:rPr>
            </w:pPr>
          </w:p>
        </w:tc>
        <w:tc>
          <w:tcPr>
            <w:tcW w:w="4849" w:type="pct"/>
          </w:tcPr>
          <w:p w14:paraId="0551ED89" w14:textId="77777777" w:rsidR="003B4086" w:rsidRPr="003B4086" w:rsidRDefault="003B4086" w:rsidP="006363DE">
            <w:pPr>
              <w:pStyle w:val="Tabletext"/>
              <w:keepNext/>
              <w:rPr>
                <w:strike/>
                <w:color w:val="333333"/>
                <w:szCs w:val="20"/>
              </w:rPr>
            </w:pPr>
            <w:r w:rsidRPr="003B4086">
              <w:rPr>
                <w:b/>
                <w:bCs/>
                <w:strike/>
                <w:color w:val="333333"/>
                <w:szCs w:val="20"/>
              </w:rPr>
              <w:t>Treatment criteria:</w:t>
            </w:r>
          </w:p>
          <w:p w14:paraId="331261E3" w14:textId="77777777" w:rsidR="003B4086" w:rsidRPr="003B4086" w:rsidRDefault="003B4086" w:rsidP="006363DE">
            <w:pPr>
              <w:pStyle w:val="Tabletext"/>
              <w:keepNext/>
              <w:rPr>
                <w:b/>
                <w:bCs/>
                <w:strike/>
                <w:color w:val="333333"/>
                <w:szCs w:val="20"/>
              </w:rPr>
            </w:pPr>
            <w:r w:rsidRPr="003B4086">
              <w:rPr>
                <w:rFonts w:cs="Arial Narrow"/>
                <w:iCs/>
                <w:strike/>
                <w:szCs w:val="20"/>
              </w:rPr>
              <w:t>Patients must only receive a maximum of 240 mg every two weeks or 480 mg every four weeks.</w:t>
            </w:r>
          </w:p>
        </w:tc>
      </w:tr>
      <w:tr w:rsidR="003B4086" w:rsidRPr="003B4086" w14:paraId="4D5381BF" w14:textId="77777777" w:rsidTr="00B56076">
        <w:tc>
          <w:tcPr>
            <w:tcW w:w="151" w:type="pct"/>
          </w:tcPr>
          <w:p w14:paraId="75A2DAA0" w14:textId="77777777" w:rsidR="003B4086" w:rsidRPr="003B4086" w:rsidRDefault="003B4086" w:rsidP="006363DE">
            <w:pPr>
              <w:jc w:val="center"/>
              <w:rPr>
                <w:rFonts w:ascii="Arial Narrow" w:hAnsi="Arial Narrow"/>
                <w:color w:val="333333"/>
                <w:sz w:val="20"/>
                <w:szCs w:val="20"/>
              </w:rPr>
            </w:pPr>
          </w:p>
        </w:tc>
        <w:tc>
          <w:tcPr>
            <w:tcW w:w="4849" w:type="pct"/>
          </w:tcPr>
          <w:p w14:paraId="03AA26DD" w14:textId="77777777" w:rsidR="003B4086" w:rsidRPr="003B4086" w:rsidRDefault="003B4086" w:rsidP="006363DE">
            <w:pPr>
              <w:pStyle w:val="Tabletext"/>
              <w:rPr>
                <w:strike/>
                <w:color w:val="333333"/>
                <w:szCs w:val="20"/>
              </w:rPr>
            </w:pPr>
            <w:r w:rsidRPr="003B4086">
              <w:rPr>
                <w:b/>
                <w:bCs/>
                <w:strike/>
                <w:color w:val="333333"/>
                <w:szCs w:val="20"/>
              </w:rPr>
              <w:t>Prescribing Instructions:</w:t>
            </w:r>
          </w:p>
          <w:p w14:paraId="31A18DC8" w14:textId="77777777" w:rsidR="003B4086" w:rsidRPr="003B4086" w:rsidRDefault="003B4086" w:rsidP="006363DE">
            <w:pPr>
              <w:rPr>
                <w:rFonts w:ascii="Arial Narrow" w:hAnsi="Arial Narrow"/>
                <w:strike/>
                <w:color w:val="333333"/>
                <w:sz w:val="20"/>
                <w:szCs w:val="20"/>
              </w:rPr>
            </w:pPr>
            <w:r w:rsidRPr="003B4086">
              <w:rPr>
                <w:rFonts w:ascii="Arial Narrow" w:hAnsi="Arial Narrow"/>
                <w:strike/>
                <w:color w:val="333333"/>
                <w:sz w:val="20"/>
                <w:szCs w:val="20"/>
              </w:rPr>
              <w:t>No increase in the maximum quantity or number of units may be authorised.</w:t>
            </w:r>
          </w:p>
          <w:p w14:paraId="1DC8EC8D" w14:textId="77777777" w:rsidR="003B4086" w:rsidRPr="003B4086" w:rsidRDefault="003B4086" w:rsidP="006363DE">
            <w:pPr>
              <w:rPr>
                <w:rFonts w:ascii="Arial Narrow" w:hAnsi="Arial Narrow"/>
                <w:strike/>
                <w:color w:val="333333"/>
                <w:sz w:val="20"/>
                <w:szCs w:val="20"/>
              </w:rPr>
            </w:pPr>
            <w:r w:rsidRPr="003B4086">
              <w:rPr>
                <w:rFonts w:ascii="Arial Narrow" w:hAnsi="Arial Narrow"/>
                <w:strike/>
                <w:color w:val="333333"/>
                <w:sz w:val="20"/>
                <w:szCs w:val="20"/>
              </w:rPr>
              <w:lastRenderedPageBreak/>
              <w:t>Up to 12 repeats may be sought if dosing at 240 mg every 2 weeks.</w:t>
            </w:r>
          </w:p>
          <w:p w14:paraId="4027AE38" w14:textId="77777777" w:rsidR="003B4086" w:rsidRPr="003B4086" w:rsidRDefault="003B4086" w:rsidP="006363DE">
            <w:pPr>
              <w:pStyle w:val="Tabletext"/>
              <w:keepNext/>
              <w:rPr>
                <w:b/>
                <w:bCs/>
                <w:strike/>
                <w:color w:val="333333"/>
                <w:szCs w:val="20"/>
              </w:rPr>
            </w:pPr>
            <w:r w:rsidRPr="003B4086">
              <w:rPr>
                <w:strike/>
                <w:color w:val="333333"/>
                <w:szCs w:val="20"/>
              </w:rPr>
              <w:t>The treatment must not exceed 12 months for this PBS indication</w:t>
            </w:r>
            <w:r w:rsidRPr="003B4086">
              <w:rPr>
                <w:color w:val="333333"/>
                <w:szCs w:val="20"/>
              </w:rPr>
              <w:t>.</w:t>
            </w:r>
          </w:p>
        </w:tc>
      </w:tr>
    </w:tbl>
    <w:p w14:paraId="5DDE3D40" w14:textId="77777777" w:rsidR="0026559B" w:rsidRDefault="0026559B" w:rsidP="0026559B">
      <w:pPr>
        <w:pStyle w:val="3-BodyText"/>
        <w:numPr>
          <w:ilvl w:val="0"/>
          <w:numId w:val="0"/>
        </w:numPr>
        <w:ind w:left="720"/>
      </w:pPr>
    </w:p>
    <w:p w14:paraId="7E87BD52" w14:textId="1EE2B69D" w:rsidR="00591957" w:rsidRPr="003B4086" w:rsidRDefault="0029230A" w:rsidP="00D140F9">
      <w:pPr>
        <w:pStyle w:val="3-BodyText"/>
      </w:pPr>
      <w:r w:rsidRPr="003B4086">
        <w:t>The submission proposed a special pricing arrangement (SPA) with an effective Public hospital DPMA of $</w:t>
      </w:r>
      <w:r w:rsidR="00E020DE" w:rsidRPr="00785573">
        <w:rPr>
          <w:color w:val="000000"/>
          <w:w w:val="15"/>
          <w:shd w:val="solid" w:color="000000" w:fill="000000"/>
          <w:fitText w:val="-20" w:id="-1435270139"/>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70139"/>
          <w14:textFill>
            <w14:solidFill>
              <w14:srgbClr w14:val="000000">
                <w14:alpha w14:val="100000"/>
              </w14:srgbClr>
            </w14:solidFill>
          </w14:textFill>
        </w:rPr>
        <w:t>|</w:t>
      </w:r>
      <w:r w:rsidRPr="003B4086">
        <w:t xml:space="preserve"> (published $</w:t>
      </w:r>
      <w:r w:rsidR="00E020DE" w:rsidRPr="00785573">
        <w:rPr>
          <w:color w:val="000000"/>
          <w:w w:val="15"/>
          <w:shd w:val="solid" w:color="000000" w:fill="000000"/>
          <w:fitText w:val="-20" w:id="-1435270138"/>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70138"/>
          <w14:textFill>
            <w14:solidFill>
              <w14:srgbClr w14:val="000000">
                <w14:alpha w14:val="100000"/>
              </w14:srgbClr>
            </w14:solidFill>
          </w14:textFill>
        </w:rPr>
        <w:t>|</w:t>
      </w:r>
      <w:r w:rsidRPr="003B4086">
        <w:t>) and an effective Private hospital DPMA of $</w:t>
      </w:r>
      <w:r w:rsidR="00E020DE" w:rsidRPr="00785573">
        <w:rPr>
          <w:color w:val="000000"/>
          <w:w w:val="15"/>
          <w:shd w:val="solid" w:color="000000" w:fill="000000"/>
          <w:fitText w:val="-20" w:id="-1435270137"/>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70137"/>
          <w14:textFill>
            <w14:solidFill>
              <w14:srgbClr w14:val="000000">
                <w14:alpha w14:val="100000"/>
              </w14:srgbClr>
            </w14:solidFill>
          </w14:textFill>
        </w:rPr>
        <w:t>|</w:t>
      </w:r>
      <w:r w:rsidRPr="003B4086">
        <w:t xml:space="preserve"> (published $</w:t>
      </w:r>
      <w:r w:rsidR="00E020DE" w:rsidRPr="00785573">
        <w:rPr>
          <w:color w:val="000000"/>
          <w:w w:val="15"/>
          <w:shd w:val="solid" w:color="000000" w:fill="000000"/>
          <w:fitText w:val="-20" w:id="-1435270136"/>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70136"/>
          <w14:textFill>
            <w14:solidFill>
              <w14:srgbClr w14:val="000000">
                <w14:alpha w14:val="100000"/>
              </w14:srgbClr>
            </w14:solidFill>
          </w14:textFill>
        </w:rPr>
        <w:t>|</w:t>
      </w:r>
      <w:r w:rsidRPr="003B4086">
        <w:t xml:space="preserve">). </w:t>
      </w:r>
    </w:p>
    <w:p w14:paraId="76B8C1E2" w14:textId="0E1364C3" w:rsidR="000707CE" w:rsidRPr="003B4086" w:rsidRDefault="000707CE" w:rsidP="00DE776F">
      <w:pPr>
        <w:pStyle w:val="3-BodyText"/>
      </w:pPr>
      <w:r w:rsidRPr="003B4086">
        <w:t xml:space="preserve">The nivolumab </w:t>
      </w:r>
      <w:r w:rsidR="004E49F4" w:rsidRPr="003B4086">
        <w:t>dosage</w:t>
      </w:r>
      <w:r w:rsidRPr="003B4086">
        <w:t xml:space="preserve"> in the key CM274 trial was 240 mg every 2 weeks (Q2W) until disease recurrence or unacceptable toxicity</w:t>
      </w:r>
      <w:r w:rsidR="004E49F4" w:rsidRPr="003B4086">
        <w:t>,</w:t>
      </w:r>
      <w:r w:rsidRPr="003B4086">
        <w:t xml:space="preserve"> with a maximum treatment duration of one year. The recommended </w:t>
      </w:r>
      <w:r w:rsidR="004E49F4" w:rsidRPr="003B4086">
        <w:t xml:space="preserve">nivolumab </w:t>
      </w:r>
      <w:r w:rsidR="00776610" w:rsidRPr="003B4086">
        <w:t xml:space="preserve">monotherapy </w:t>
      </w:r>
      <w:r w:rsidR="004E49F4" w:rsidRPr="003B4086">
        <w:t>dos</w:t>
      </w:r>
      <w:r w:rsidR="00B56076">
        <w:t>ing regimens</w:t>
      </w:r>
      <w:r w:rsidRPr="003B4086">
        <w:t xml:space="preserve"> for the proposed indication in the </w:t>
      </w:r>
      <w:r w:rsidR="00B56076">
        <w:t>updated</w:t>
      </w:r>
      <w:r w:rsidRPr="003B4086">
        <w:t xml:space="preserve"> PI are 240 mg Q2W </w:t>
      </w:r>
      <w:r w:rsidR="00B56076">
        <w:t>or</w:t>
      </w:r>
      <w:r w:rsidRPr="003B4086">
        <w:t xml:space="preserve"> 480 mg </w:t>
      </w:r>
      <w:r w:rsidR="0029230A" w:rsidRPr="003B4086">
        <w:t>every 4 weeks (</w:t>
      </w:r>
      <w:r w:rsidRPr="003B4086">
        <w:t>Q4W</w:t>
      </w:r>
      <w:r w:rsidR="0029230A" w:rsidRPr="003B4086">
        <w:t>)</w:t>
      </w:r>
      <w:r w:rsidRPr="003B4086">
        <w:t xml:space="preserve">. The submission noted that the </w:t>
      </w:r>
      <w:r w:rsidR="00D140F9" w:rsidRPr="003B4086">
        <w:t>two flat dosing regimens for nivolumab were recommended and subsequently listed on the PBS (</w:t>
      </w:r>
      <w:r w:rsidRPr="003B4086">
        <w:t>August 2019</w:t>
      </w:r>
      <w:r w:rsidR="00D140F9" w:rsidRPr="003B4086">
        <w:t>)</w:t>
      </w:r>
      <w:r w:rsidRPr="003B4086">
        <w:t xml:space="preserve"> </w:t>
      </w:r>
      <w:r w:rsidR="0029230A" w:rsidRPr="003B4086">
        <w:t>for</w:t>
      </w:r>
      <w:r w:rsidRPr="003B4086">
        <w:t xml:space="preserve"> all existing PBS indications</w:t>
      </w:r>
      <w:r w:rsidR="00D140F9" w:rsidRPr="003B4086">
        <w:t xml:space="preserve"> for </w:t>
      </w:r>
      <w:r w:rsidR="0029230A" w:rsidRPr="003B4086">
        <w:t xml:space="preserve">nivolumab use </w:t>
      </w:r>
      <w:r w:rsidR="00D140F9" w:rsidRPr="003B4086">
        <w:t>as monotherapy</w:t>
      </w:r>
      <w:r w:rsidRPr="003B4086">
        <w:t xml:space="preserve">. The proposed maximum amount of nivolumab for this indication </w:t>
      </w:r>
      <w:r w:rsidR="00B56076">
        <w:t>wa</w:t>
      </w:r>
      <w:r w:rsidRPr="003B4086">
        <w:t>s 480 mg, accommodating the longer interval of the Q4W dosing regimen.</w:t>
      </w:r>
      <w:r w:rsidR="007E455E">
        <w:t xml:space="preserve"> </w:t>
      </w:r>
    </w:p>
    <w:p w14:paraId="5F19B803" w14:textId="2433F8CC" w:rsidR="00882389" w:rsidRPr="003B4086" w:rsidRDefault="000707CE" w:rsidP="000C748A">
      <w:pPr>
        <w:pStyle w:val="3-BodyText"/>
      </w:pPr>
      <w:r w:rsidRPr="003B4086">
        <w:t xml:space="preserve">The submission proposed 5 repeats for the initial treatment phase and 6 repeats for the continuing treatment phase which allows a total of 12 months of treatment </w:t>
      </w:r>
      <w:r w:rsidR="0029230A" w:rsidRPr="003B4086">
        <w:t xml:space="preserve">with </w:t>
      </w:r>
      <w:r w:rsidRPr="003B4086">
        <w:t xml:space="preserve">the Q4W dosing regimen. </w:t>
      </w:r>
      <w:r w:rsidR="00FC6C90" w:rsidRPr="003B4086">
        <w:t xml:space="preserve">The submission noted that </w:t>
      </w:r>
      <w:r w:rsidR="000C748A">
        <w:t xml:space="preserve">prescribing instruction were included in the restriction </w:t>
      </w:r>
      <w:r w:rsidR="00FC6C90" w:rsidRPr="003B4086">
        <w:t>t</w:t>
      </w:r>
      <w:r w:rsidRPr="003B4086">
        <w:t>o accommodate the Q2W dosing regimen</w:t>
      </w:r>
      <w:r w:rsidR="000C748A">
        <w:t>.</w:t>
      </w:r>
      <w:r w:rsidR="00FC6C90" w:rsidRPr="003B4086">
        <w:t xml:space="preserve"> </w:t>
      </w:r>
      <w:r w:rsidR="00D116E2" w:rsidRPr="003B4086">
        <w:t xml:space="preserve">The requested number of repeats </w:t>
      </w:r>
      <w:r w:rsidR="000C748A">
        <w:t>wa</w:t>
      </w:r>
      <w:r w:rsidR="00D116E2" w:rsidRPr="003B4086">
        <w:t>s slightly higher than that in the current listing for adjuvant nivolumab in the treatment of resectable melanoma (5 fo</w:t>
      </w:r>
      <w:r w:rsidR="00882389" w:rsidRPr="003B4086">
        <w:t>r initial and 5 for continuing), with a</w:t>
      </w:r>
      <w:r w:rsidR="00B56076">
        <w:t>dministrative advice</w:t>
      </w:r>
      <w:r w:rsidR="00882389" w:rsidRPr="003B4086">
        <w:t xml:space="preserve"> stating that no increase in the maximum number of repeats may be authorised.</w:t>
      </w:r>
      <w:r w:rsidR="007E455E">
        <w:t xml:space="preserve"> </w:t>
      </w:r>
      <w:r w:rsidR="00C85186" w:rsidRPr="00C85186">
        <w:t xml:space="preserve">The </w:t>
      </w:r>
      <w:r w:rsidR="000C748A">
        <w:t xml:space="preserve">PBAC noted </w:t>
      </w:r>
      <w:r w:rsidR="00C85186" w:rsidRPr="00C85186">
        <w:t xml:space="preserve">the administrative advice </w:t>
      </w:r>
      <w:r w:rsidR="000E11BE">
        <w:t xml:space="preserve">proposed by the Secretariat </w:t>
      </w:r>
      <w:r w:rsidR="00C85186" w:rsidRPr="00C85186">
        <w:t xml:space="preserve">allowing 11 </w:t>
      </w:r>
      <w:r w:rsidR="000E11BE">
        <w:t xml:space="preserve">repeat prescriptions </w:t>
      </w:r>
      <w:r w:rsidR="00C85186" w:rsidRPr="00C85186">
        <w:t xml:space="preserve">where the dosing is </w:t>
      </w:r>
      <w:r w:rsidR="00B56076">
        <w:t>Q2W</w:t>
      </w:r>
      <w:r w:rsidR="000E11BE">
        <w:t xml:space="preserve"> would provide treatment for 6 months and considered this was appropriate. </w:t>
      </w:r>
    </w:p>
    <w:p w14:paraId="50DF3000" w14:textId="629F42D9" w:rsidR="00CC35EA" w:rsidRDefault="00866DFD" w:rsidP="0061331E">
      <w:pPr>
        <w:pStyle w:val="3-BodyText"/>
      </w:pPr>
      <w:r w:rsidRPr="003B4086">
        <w:t xml:space="preserve">The submission requested an Authority </w:t>
      </w:r>
      <w:r w:rsidR="0061331E" w:rsidRPr="003B4086">
        <w:t>r</w:t>
      </w:r>
      <w:r w:rsidRPr="003B4086">
        <w:t>equired (</w:t>
      </w:r>
      <w:r w:rsidR="000600D0" w:rsidRPr="003B4086">
        <w:t>Telephone</w:t>
      </w:r>
      <w:r w:rsidRPr="003B4086">
        <w:t xml:space="preserve">/Online) listing for patients with </w:t>
      </w:r>
      <w:r w:rsidR="00E84147" w:rsidRPr="003B4086">
        <w:t>high risk</w:t>
      </w:r>
      <w:r w:rsidRPr="003B4086">
        <w:t xml:space="preserve"> MIUC after radical resection. The rationale in the submission for this request was to ensure consistency with the current PBS listings for adjuvant </w:t>
      </w:r>
      <w:r w:rsidR="00B56076">
        <w:t xml:space="preserve">nivolumab use in </w:t>
      </w:r>
      <w:r w:rsidRPr="003B4086">
        <w:t>melanom</w:t>
      </w:r>
      <w:r w:rsidR="002A05B2">
        <w:t>a</w:t>
      </w:r>
      <w:r w:rsidRPr="003B4086">
        <w:t>.</w:t>
      </w:r>
    </w:p>
    <w:p w14:paraId="33320CAA" w14:textId="7FC7E4D0" w:rsidR="000C748A" w:rsidRPr="00255716" w:rsidRDefault="000C748A" w:rsidP="0061331E">
      <w:pPr>
        <w:pStyle w:val="3-BodyText"/>
      </w:pPr>
      <w:r>
        <w:t xml:space="preserve">The PBAC also considered </w:t>
      </w:r>
      <w:r>
        <w:rPr>
          <w:iCs/>
        </w:rPr>
        <w:t xml:space="preserve">that a broad </w:t>
      </w:r>
      <w:r w:rsidRPr="00A97C8C">
        <w:rPr>
          <w:iCs/>
        </w:rPr>
        <w:t>PBS indication</w:t>
      </w:r>
      <w:r>
        <w:rPr>
          <w:iCs/>
        </w:rPr>
        <w:t xml:space="preserve"> of ‘</w:t>
      </w:r>
      <w:r w:rsidRPr="00A97C8C">
        <w:rPr>
          <w:iCs/>
        </w:rPr>
        <w:t>urothelial carcinoma</w:t>
      </w:r>
      <w:r>
        <w:rPr>
          <w:iCs/>
        </w:rPr>
        <w:t>’</w:t>
      </w:r>
      <w:r w:rsidRPr="00A97C8C">
        <w:rPr>
          <w:iCs/>
        </w:rPr>
        <w:t xml:space="preserve"> </w:t>
      </w:r>
      <w:r>
        <w:rPr>
          <w:iCs/>
        </w:rPr>
        <w:t>was acceptable</w:t>
      </w:r>
      <w:r w:rsidRPr="00A97C8C">
        <w:rPr>
          <w:iCs/>
        </w:rPr>
        <w:t xml:space="preserve"> </w:t>
      </w:r>
      <w:r>
        <w:rPr>
          <w:iCs/>
        </w:rPr>
        <w:t xml:space="preserve">and that limiting treatment according to </w:t>
      </w:r>
      <w:r>
        <w:t>i</w:t>
      </w:r>
      <w:r w:rsidRPr="00CD0007">
        <w:t>nitial tumour origin</w:t>
      </w:r>
      <w:r>
        <w:rPr>
          <w:iCs/>
        </w:rPr>
        <w:t xml:space="preserve"> was not appropriate given the small sample size and low number of events informing this subgroup analysis in the CM274 trial (see paragraph</w:t>
      </w:r>
      <w:r w:rsidR="000E11BE">
        <w:rPr>
          <w:iCs/>
        </w:rPr>
        <w:t xml:space="preserve"> </w:t>
      </w:r>
      <w:r w:rsidR="000E11BE">
        <w:rPr>
          <w:iCs/>
        </w:rPr>
        <w:fldChar w:fldCharType="begin"/>
      </w:r>
      <w:r w:rsidR="000E11BE">
        <w:rPr>
          <w:iCs/>
        </w:rPr>
        <w:instrText xml:space="preserve"> REF _Ref109656601 \r \h </w:instrText>
      </w:r>
      <w:r w:rsidR="000E11BE">
        <w:rPr>
          <w:iCs/>
        </w:rPr>
      </w:r>
      <w:r w:rsidR="000E11BE">
        <w:rPr>
          <w:iCs/>
        </w:rPr>
        <w:fldChar w:fldCharType="separate"/>
      </w:r>
      <w:r w:rsidR="00994246">
        <w:rPr>
          <w:iCs/>
        </w:rPr>
        <w:t>6.22</w:t>
      </w:r>
      <w:r w:rsidR="000E11BE">
        <w:rPr>
          <w:iCs/>
        </w:rPr>
        <w:fldChar w:fldCharType="end"/>
      </w:r>
      <w:r>
        <w:rPr>
          <w:iCs/>
        </w:rPr>
        <w:t xml:space="preserve">). </w:t>
      </w:r>
    </w:p>
    <w:p w14:paraId="347502D9" w14:textId="07FB148E" w:rsidR="00255716" w:rsidRPr="003B4086" w:rsidRDefault="00255716" w:rsidP="0061331E">
      <w:pPr>
        <w:pStyle w:val="3-BodyText"/>
      </w:pPr>
      <w:r>
        <w:t>The PBAC considered a single restriction for initial and continuing treatment as proposed by the Secretariat appropriate.</w:t>
      </w:r>
    </w:p>
    <w:p w14:paraId="18D9806F" w14:textId="3E1E5466" w:rsidR="00255716" w:rsidRDefault="0029230A" w:rsidP="00255716">
      <w:pPr>
        <w:pStyle w:val="3-BodyText"/>
      </w:pPr>
      <w:r w:rsidRPr="003B4086">
        <w:t xml:space="preserve">The </w:t>
      </w:r>
      <w:r w:rsidR="004F12A6" w:rsidRPr="003B4086">
        <w:t xml:space="preserve">proposed initial treatment restriction included </w:t>
      </w:r>
      <w:r w:rsidR="00866DFD" w:rsidRPr="003B4086">
        <w:t>clinical criteria for pathological stag</w:t>
      </w:r>
      <w:r w:rsidR="008D1E24" w:rsidRPr="003B4086">
        <w:t xml:space="preserve">ing. </w:t>
      </w:r>
      <w:r w:rsidR="000C748A">
        <w:rPr>
          <w:iCs/>
        </w:rPr>
        <w:t>The PBAC considered that</w:t>
      </w:r>
      <w:r w:rsidR="005E24B0">
        <w:rPr>
          <w:iCs/>
        </w:rPr>
        <w:t xml:space="preserve"> </w:t>
      </w:r>
      <w:r w:rsidR="000C748A" w:rsidRPr="00A97C8C">
        <w:rPr>
          <w:iCs/>
        </w:rPr>
        <w:t>removal of reference to the pathologic staging categories</w:t>
      </w:r>
      <w:r w:rsidR="000C748A">
        <w:rPr>
          <w:iCs/>
        </w:rPr>
        <w:t xml:space="preserve"> was appropriate</w:t>
      </w:r>
      <w:r w:rsidR="00B839E5">
        <w:rPr>
          <w:iCs/>
        </w:rPr>
        <w:t>,</w:t>
      </w:r>
      <w:r w:rsidR="002A05B2">
        <w:rPr>
          <w:iCs/>
        </w:rPr>
        <w:t xml:space="preserve"> noting </w:t>
      </w:r>
      <w:r w:rsidR="00B839E5">
        <w:rPr>
          <w:iCs/>
        </w:rPr>
        <w:t>the staging categories</w:t>
      </w:r>
      <w:r w:rsidR="002A05B2">
        <w:rPr>
          <w:iCs/>
        </w:rPr>
        <w:t xml:space="preserve"> w</w:t>
      </w:r>
      <w:r w:rsidR="00B839E5">
        <w:rPr>
          <w:iCs/>
        </w:rPr>
        <w:t>ere</w:t>
      </w:r>
      <w:r w:rsidR="002A05B2">
        <w:rPr>
          <w:iCs/>
        </w:rPr>
        <w:t xml:space="preserve"> not </w:t>
      </w:r>
      <w:r w:rsidR="00B839E5">
        <w:rPr>
          <w:iCs/>
        </w:rPr>
        <w:t>detailed</w:t>
      </w:r>
      <w:r w:rsidR="002A05B2">
        <w:rPr>
          <w:iCs/>
        </w:rPr>
        <w:t xml:space="preserve"> in the proposed TGA indication</w:t>
      </w:r>
      <w:r w:rsidR="000C748A" w:rsidRPr="00A97C8C">
        <w:rPr>
          <w:iCs/>
        </w:rPr>
        <w:t>.</w:t>
      </w:r>
      <w:r w:rsidR="000C748A">
        <w:rPr>
          <w:iCs/>
        </w:rPr>
        <w:t xml:space="preserve"> </w:t>
      </w:r>
      <w:r w:rsidR="00030A9E">
        <w:rPr>
          <w:iCs/>
        </w:rPr>
        <w:t xml:space="preserve">The PBAC also considered it appropriate to remove reference to </w:t>
      </w:r>
      <w:r w:rsidR="000C748A" w:rsidRPr="00A97C8C">
        <w:rPr>
          <w:iCs/>
        </w:rPr>
        <w:t xml:space="preserve">pathologically confirmed urothelial carcinoma </w:t>
      </w:r>
      <w:r w:rsidR="005E24B0">
        <w:rPr>
          <w:iCs/>
        </w:rPr>
        <w:t xml:space="preserve">and to retain the requirement that a patient must have a WHO performance status of no greater than 1 at the time of treatment initiation. </w:t>
      </w:r>
      <w:r w:rsidR="00255716">
        <w:rPr>
          <w:iCs/>
        </w:rPr>
        <w:t>However</w:t>
      </w:r>
      <w:r w:rsidR="00255716" w:rsidRPr="007C71DB">
        <w:t xml:space="preserve">, as no clear improvement in </w:t>
      </w:r>
      <w:r w:rsidR="00255716">
        <w:t>disease free survival (DFS)</w:t>
      </w:r>
      <w:r w:rsidR="00255716" w:rsidRPr="007C71DB">
        <w:t xml:space="preserve"> was observed with nivolumab over placebo in patients who had not received prior neoadjuvant cisplatin-based chemotherapy</w:t>
      </w:r>
      <w:r w:rsidR="005E24B0">
        <w:t>,</w:t>
      </w:r>
      <w:r w:rsidR="00255716" w:rsidRPr="007C71DB">
        <w:rPr>
          <w:lang w:val="en-GB"/>
        </w:rPr>
        <w:t xml:space="preserve"> t</w:t>
      </w:r>
      <w:r w:rsidR="00255716" w:rsidRPr="007C71DB">
        <w:t>he</w:t>
      </w:r>
      <w:r w:rsidR="00255716">
        <w:t xml:space="preserve"> PBAC </w:t>
      </w:r>
      <w:r w:rsidR="00AB7FCF">
        <w:t>recommended</w:t>
      </w:r>
      <w:r w:rsidR="00255716">
        <w:t xml:space="preserve"> </w:t>
      </w:r>
      <w:r w:rsidR="00255716">
        <w:lastRenderedPageBreak/>
        <w:t xml:space="preserve">limiting treatment to patients who had received prior neoadjuvant chemotherapy (see paragraph </w:t>
      </w:r>
      <w:r w:rsidR="00255716">
        <w:fldChar w:fldCharType="begin"/>
      </w:r>
      <w:r w:rsidR="00255716">
        <w:instrText xml:space="preserve"> REF _Ref109657433 \r \h </w:instrText>
      </w:r>
      <w:r w:rsidR="00255716">
        <w:fldChar w:fldCharType="separate"/>
      </w:r>
      <w:r w:rsidR="00994246">
        <w:t>6.21</w:t>
      </w:r>
      <w:r w:rsidR="00255716">
        <w:fldChar w:fldCharType="end"/>
      </w:r>
      <w:r w:rsidR="00255716">
        <w:t xml:space="preserve">). </w:t>
      </w:r>
    </w:p>
    <w:p w14:paraId="7E5E4FE5" w14:textId="7A563B75" w:rsidR="000C748A" w:rsidRPr="003B4086" w:rsidRDefault="000C748A" w:rsidP="00030A9E">
      <w:pPr>
        <w:pStyle w:val="3-BodyText"/>
      </w:pPr>
      <w:r>
        <w:rPr>
          <w:iCs/>
          <w:color w:val="000000" w:themeColor="text1"/>
        </w:rPr>
        <w:t xml:space="preserve">The PBAC considered that the prescriber instruction for a </w:t>
      </w:r>
      <w:r w:rsidRPr="00E7767C">
        <w:rPr>
          <w:bCs/>
          <w:iCs/>
          <w:color w:val="000000" w:themeColor="text1"/>
        </w:rPr>
        <w:t>confirmatory scan</w:t>
      </w:r>
      <w:r>
        <w:rPr>
          <w:bCs/>
          <w:iCs/>
          <w:color w:val="000000" w:themeColor="text1"/>
        </w:rPr>
        <w:t xml:space="preserve">, taken at least 4 weeks after progression / transient tumour flare, was not relevant to adjuvant </w:t>
      </w:r>
      <w:r w:rsidR="002A05B2">
        <w:rPr>
          <w:bCs/>
          <w:iCs/>
          <w:color w:val="000000" w:themeColor="text1"/>
        </w:rPr>
        <w:t>use</w:t>
      </w:r>
      <w:r>
        <w:rPr>
          <w:bCs/>
          <w:iCs/>
          <w:color w:val="000000" w:themeColor="text1"/>
        </w:rPr>
        <w:t xml:space="preserve"> and </w:t>
      </w:r>
      <w:r w:rsidR="00AB7FCF">
        <w:rPr>
          <w:bCs/>
          <w:iCs/>
          <w:color w:val="000000" w:themeColor="text1"/>
        </w:rPr>
        <w:t>recommended</w:t>
      </w:r>
      <w:r>
        <w:rPr>
          <w:bCs/>
          <w:iCs/>
          <w:color w:val="000000" w:themeColor="text1"/>
        </w:rPr>
        <w:t xml:space="preserve"> it </w:t>
      </w:r>
      <w:r w:rsidR="00030A9E">
        <w:rPr>
          <w:bCs/>
          <w:iCs/>
          <w:color w:val="000000" w:themeColor="text1"/>
        </w:rPr>
        <w:t>be</w:t>
      </w:r>
      <w:r>
        <w:rPr>
          <w:bCs/>
          <w:iCs/>
          <w:color w:val="000000" w:themeColor="text1"/>
        </w:rPr>
        <w:t xml:space="preserve"> </w:t>
      </w:r>
      <w:r w:rsidR="008641D5">
        <w:rPr>
          <w:bCs/>
          <w:iCs/>
          <w:color w:val="000000" w:themeColor="text1"/>
        </w:rPr>
        <w:t xml:space="preserve">removed </w:t>
      </w:r>
      <w:r w:rsidR="002A05B2">
        <w:rPr>
          <w:bCs/>
          <w:iCs/>
          <w:color w:val="000000" w:themeColor="text1"/>
        </w:rPr>
        <w:t xml:space="preserve">from </w:t>
      </w:r>
      <w:r w:rsidR="008641D5">
        <w:rPr>
          <w:bCs/>
          <w:iCs/>
          <w:color w:val="000000" w:themeColor="text1"/>
        </w:rPr>
        <w:t>the</w:t>
      </w:r>
      <w:r w:rsidR="00611CFF">
        <w:rPr>
          <w:bCs/>
          <w:iCs/>
          <w:color w:val="000000" w:themeColor="text1"/>
        </w:rPr>
        <w:t xml:space="preserve"> proposed</w:t>
      </w:r>
      <w:r w:rsidR="006C6672">
        <w:rPr>
          <w:bCs/>
          <w:iCs/>
          <w:color w:val="000000" w:themeColor="text1"/>
        </w:rPr>
        <w:t xml:space="preserve"> </w:t>
      </w:r>
      <w:r>
        <w:rPr>
          <w:bCs/>
          <w:iCs/>
          <w:color w:val="000000" w:themeColor="text1"/>
        </w:rPr>
        <w:t xml:space="preserve">restriction. </w:t>
      </w:r>
    </w:p>
    <w:p w14:paraId="66C852D4" w14:textId="1778F998" w:rsidR="00C85186" w:rsidRPr="003B4086" w:rsidRDefault="003719E5" w:rsidP="00F908CA">
      <w:pPr>
        <w:pStyle w:val="3-BodyText"/>
      </w:pPr>
      <w:bookmarkStart w:id="9" w:name="_Ref109218393"/>
      <w:bookmarkStart w:id="10" w:name="_Ref109475426"/>
      <w:r>
        <w:rPr>
          <w:lang w:val="en-GB"/>
        </w:rPr>
        <w:t>The PBAC considered that</w:t>
      </w:r>
      <w:r w:rsidRPr="00925F8E">
        <w:t xml:space="preserve"> immunotherapy should be restricted to one course of treatment per lifetime </w:t>
      </w:r>
      <w:r>
        <w:t>given</w:t>
      </w:r>
      <w:r w:rsidRPr="00925F8E">
        <w:t xml:space="preserve"> </w:t>
      </w:r>
      <w:r w:rsidR="002A05B2">
        <w:t>the paucity of</w:t>
      </w:r>
      <w:r>
        <w:t xml:space="preserve"> </w:t>
      </w:r>
      <w:r w:rsidRPr="00925F8E">
        <w:t>clinical and economic evidence available to support retreatment</w:t>
      </w:r>
      <w:r>
        <w:t>.</w:t>
      </w:r>
      <w:bookmarkEnd w:id="9"/>
      <w:r>
        <w:t xml:space="preserve"> </w:t>
      </w:r>
      <w:bookmarkEnd w:id="10"/>
      <w:r w:rsidR="009560E9" w:rsidRPr="003B4086">
        <w:t xml:space="preserve">The </w:t>
      </w:r>
      <w:r w:rsidR="0064052F">
        <w:t xml:space="preserve">PBAC considered the </w:t>
      </w:r>
      <w:r w:rsidR="009560E9" w:rsidRPr="003B4086">
        <w:t xml:space="preserve">proposed listing of nivolumab </w:t>
      </w:r>
      <w:r w:rsidR="002A05B2">
        <w:t xml:space="preserve">for </w:t>
      </w:r>
      <w:r w:rsidR="009560E9" w:rsidRPr="003B4086">
        <w:t xml:space="preserve">adjuvant </w:t>
      </w:r>
      <w:r w:rsidR="002A05B2">
        <w:t xml:space="preserve">use </w:t>
      </w:r>
      <w:r w:rsidR="009560E9" w:rsidRPr="003B4086">
        <w:t xml:space="preserve">may necessitate flow-on restriction changes to the current listings for </w:t>
      </w:r>
      <w:bookmarkStart w:id="11" w:name="_Hlk109654091"/>
      <w:r w:rsidR="00C55FE3" w:rsidRPr="003B4086">
        <w:t xml:space="preserve">programmed cell death (ligand)-1 </w:t>
      </w:r>
      <w:bookmarkEnd w:id="11"/>
      <w:r w:rsidR="00C55FE3" w:rsidRPr="003B4086">
        <w:t>(</w:t>
      </w:r>
      <w:r w:rsidR="009560E9" w:rsidRPr="003B4086">
        <w:t>PD-L1/PD-1</w:t>
      </w:r>
      <w:r w:rsidR="00C55FE3" w:rsidRPr="00F908CA">
        <w:rPr>
          <w:lang w:val="en-GB"/>
        </w:rPr>
        <w:t>)</w:t>
      </w:r>
      <w:r w:rsidR="009560E9" w:rsidRPr="00F908CA">
        <w:rPr>
          <w:lang w:val="en-GB"/>
        </w:rPr>
        <w:t xml:space="preserve"> inhibitors</w:t>
      </w:r>
      <w:r w:rsidR="009560E9" w:rsidRPr="003B4086">
        <w:t xml:space="preserve"> in </w:t>
      </w:r>
      <w:r w:rsidR="0029230A" w:rsidRPr="003B4086">
        <w:t>urothelial carcinoma (</w:t>
      </w:r>
      <w:r w:rsidR="009560E9" w:rsidRPr="003B4086">
        <w:t>UC</w:t>
      </w:r>
      <w:r w:rsidR="0029230A" w:rsidRPr="003B4086">
        <w:t>)</w:t>
      </w:r>
      <w:r w:rsidR="009560E9" w:rsidRPr="003B4086">
        <w:t xml:space="preserve"> to prevent sequential use of these agents.</w:t>
      </w:r>
    </w:p>
    <w:p w14:paraId="6F33EE4C" w14:textId="10ABB836" w:rsidR="00ED1B15" w:rsidRPr="003B4086" w:rsidRDefault="00ED1B15" w:rsidP="00ED1B15">
      <w:pPr>
        <w:pStyle w:val="3-BodyText"/>
        <w:numPr>
          <w:ilvl w:val="0"/>
          <w:numId w:val="0"/>
        </w:numPr>
        <w:ind w:left="720"/>
        <w:rPr>
          <w:i/>
          <w:iCs/>
        </w:rPr>
      </w:pPr>
      <w:r w:rsidRPr="003B4086">
        <w:rPr>
          <w:i/>
          <w:iCs/>
        </w:rPr>
        <w:t>For more detail on PBAC’s view, see section 7 PBAC outcome.</w:t>
      </w:r>
    </w:p>
    <w:p w14:paraId="7075B85C" w14:textId="1655A25A" w:rsidR="00B50DB8" w:rsidRPr="003B4086" w:rsidRDefault="00203181" w:rsidP="004E18E9">
      <w:pPr>
        <w:pStyle w:val="2-SectionHeading"/>
      </w:pPr>
      <w:bookmarkStart w:id="12" w:name="_Toc103768126"/>
      <w:r w:rsidRPr="003B4086">
        <w:t xml:space="preserve">Population and </w:t>
      </w:r>
      <w:r w:rsidR="008E0D3C" w:rsidRPr="003B4086">
        <w:t>d</w:t>
      </w:r>
      <w:r w:rsidRPr="003B4086">
        <w:t>isease</w:t>
      </w:r>
      <w:bookmarkEnd w:id="12"/>
    </w:p>
    <w:p w14:paraId="5C95AF66" w14:textId="792AB670" w:rsidR="00F2574F" w:rsidRPr="003B4086" w:rsidRDefault="00F2574F" w:rsidP="00F2574F">
      <w:pPr>
        <w:pStyle w:val="3-BodyText"/>
      </w:pPr>
      <w:r w:rsidRPr="003B4086">
        <w:t xml:space="preserve">Bladder cancer is the eleventh most diagnosed cancer in Australia with 25% cases involving muscle invasive disease at diagnosis. UC arises from urothelial cells of the transitional epithelium which lines the renal pelvis, ureters, urinary bladder, and urethra. </w:t>
      </w:r>
    </w:p>
    <w:p w14:paraId="6574EC23" w14:textId="70921352" w:rsidR="00F2574F" w:rsidRPr="003B4086" w:rsidRDefault="00F2574F" w:rsidP="00F2574F">
      <w:pPr>
        <w:pStyle w:val="3-BodyText"/>
      </w:pPr>
      <w:r w:rsidRPr="003B4086">
        <w:t>MIUC encompasses both muscle invasive bladder cancer (MIBC) and UTUC. More than 90% of urothelial tumours originate in the urinary bladder, with the remaining tumours originating in the renal pelvis (~8%), ureter or urethra (~2%)</w:t>
      </w:r>
      <w:r w:rsidR="00E32C0B" w:rsidRPr="003B4086">
        <w:rPr>
          <w:rStyle w:val="FootnoteReference"/>
        </w:rPr>
        <w:footnoteReference w:id="2"/>
      </w:r>
      <w:r w:rsidRPr="003B4086">
        <w:t xml:space="preserve">. Although the majority of patients present with non-invasive disease, 15% to 25% of UCs either present with or eventually progress to muscle invasive or metastatic disease. </w:t>
      </w:r>
    </w:p>
    <w:p w14:paraId="344A63D7" w14:textId="4BFC21C7" w:rsidR="00F2574F" w:rsidRPr="003B4086" w:rsidRDefault="00F2574F" w:rsidP="00F2574F">
      <w:pPr>
        <w:pStyle w:val="3-BodyText"/>
      </w:pPr>
      <w:r w:rsidRPr="003B4086">
        <w:t xml:space="preserve">Patients with MIBC are at a </w:t>
      </w:r>
      <w:r w:rsidR="00E84147" w:rsidRPr="003B4086">
        <w:t>high risk</w:t>
      </w:r>
      <w:r w:rsidRPr="003B4086">
        <w:t xml:space="preserve"> for developing metastatic disease, even after undergoing radical cystectomy. </w:t>
      </w:r>
      <w:r w:rsidR="00276230" w:rsidRPr="003B4086">
        <w:t>Moreover,</w:t>
      </w:r>
      <w:r w:rsidRPr="003B4086">
        <w:t xml:space="preserve"> despite multimodal treatment</w:t>
      </w:r>
      <w:r w:rsidR="00276230" w:rsidRPr="003B4086">
        <w:t xml:space="preserve"> (surgery </w:t>
      </w:r>
      <w:r w:rsidR="00276230" w:rsidRPr="003B4086">
        <w:rPr>
          <w:rFonts w:cstheme="minorHAnsi"/>
        </w:rPr>
        <w:t>±</w:t>
      </w:r>
      <w:r w:rsidR="00276230" w:rsidRPr="003B4086">
        <w:t xml:space="preserve"> radiotherapy/chemotherapy)</w:t>
      </w:r>
      <w:r w:rsidRPr="003B4086">
        <w:t>, more than 50% of patients with MIBC will eventually develop metastases. The prognosis of metastatic disease is poor, with a median OS of up to 15 months with chemotherapy alone</w:t>
      </w:r>
      <w:r w:rsidR="00D603DB" w:rsidRPr="003B4086">
        <w:t>,</w:t>
      </w:r>
      <w:r w:rsidRPr="003B4086">
        <w:t xml:space="preserve"> and up to 21 months when maintenance </w:t>
      </w:r>
      <w:r w:rsidR="0064052F">
        <w:t>immunotherapy</w:t>
      </w:r>
      <w:r w:rsidRPr="003B4086">
        <w:t xml:space="preserve"> is added </w:t>
      </w:r>
      <w:r w:rsidR="00D603DB" w:rsidRPr="003B4086">
        <w:t xml:space="preserve">in the </w:t>
      </w:r>
      <w:r w:rsidR="002979D3" w:rsidRPr="003B4086">
        <w:t>first-line</w:t>
      </w:r>
      <w:r w:rsidR="00D603DB" w:rsidRPr="003B4086">
        <w:t xml:space="preserve"> setting</w:t>
      </w:r>
      <w:r w:rsidRPr="003B4086">
        <w:t xml:space="preserve">. Similar to MIBC, the prognosis of muscle invasive UTUC is poor with a 5-year disease-specific survival of less than 50% (p22, Round 2 TGA </w:t>
      </w:r>
      <w:r w:rsidR="00625E81" w:rsidRPr="003B4086">
        <w:t>CER</w:t>
      </w:r>
      <w:r w:rsidRPr="003B4086">
        <w:t xml:space="preserve"> for nivolumab, Submission PM-2021-02518-1-4).</w:t>
      </w:r>
    </w:p>
    <w:p w14:paraId="1C689BA0" w14:textId="13059CDE" w:rsidR="00D603DB" w:rsidRPr="003B4086" w:rsidRDefault="00F2574F" w:rsidP="008C5ED1">
      <w:pPr>
        <w:pStyle w:val="3-BodyText"/>
      </w:pPr>
      <w:r w:rsidRPr="003B4086">
        <w:t xml:space="preserve">Current staging </w:t>
      </w:r>
      <w:r w:rsidR="00071615" w:rsidRPr="003B4086">
        <w:t xml:space="preserve">of UC </w:t>
      </w:r>
      <w:r w:rsidRPr="003B4086">
        <w:t xml:space="preserve">uses the tumour-node-metastasis (TNM) system of the American Joint Committee on Cancer (AJCC, 8th edition, 2017). Classification </w:t>
      </w:r>
      <w:r w:rsidR="00776610" w:rsidRPr="003B4086">
        <w:t xml:space="preserve">of high risk of recurrence in the requested restriction was based on </w:t>
      </w:r>
      <w:r w:rsidRPr="003B4086">
        <w:t>pathologic</w:t>
      </w:r>
      <w:r w:rsidR="00071615" w:rsidRPr="003B4086">
        <w:t>al</w:t>
      </w:r>
      <w:r w:rsidRPr="003B4086">
        <w:t xml:space="preserve"> staging of radical surgery tissue</w:t>
      </w:r>
      <w:r w:rsidR="00D603DB" w:rsidRPr="003B4086">
        <w:t>,</w:t>
      </w:r>
      <w:r w:rsidRPr="003B4086">
        <w:t xml:space="preserve"> </w:t>
      </w:r>
      <w:r w:rsidR="00776610" w:rsidRPr="003B4086">
        <w:t>as</w:t>
      </w:r>
      <w:r w:rsidRPr="003B4086">
        <w:t xml:space="preserve"> either ypT2-pT4a or ypN+ (where neoadjuvant chemotherapy has been given) </w:t>
      </w:r>
      <w:r w:rsidR="00776610" w:rsidRPr="003B4086">
        <w:t>OR</w:t>
      </w:r>
      <w:r w:rsidRPr="003B4086">
        <w:t xml:space="preserve"> pT3-pT4a or pN+ (where no neoadjuvant</w:t>
      </w:r>
      <w:r w:rsidR="00D603DB" w:rsidRPr="003B4086">
        <w:t xml:space="preserve"> chemotherapy has been given)</w:t>
      </w:r>
      <w:r w:rsidR="00276230" w:rsidRPr="003B4086">
        <w:t>.</w:t>
      </w:r>
      <w:r w:rsidR="00D603DB" w:rsidRPr="003B4086">
        <w:t xml:space="preserve"> </w:t>
      </w:r>
      <w:r w:rsidRPr="003B4086">
        <w:t xml:space="preserve">This is consistent with current National Comprehensive Cancer Network Guidelines (NCCN, Version 1.2022) except that </w:t>
      </w:r>
      <w:r w:rsidR="00D603DB" w:rsidRPr="003B4086">
        <w:t>the guidelines specify platinum-</w:t>
      </w:r>
      <w:r w:rsidRPr="003B4086">
        <w:t>based neoadjuvant therapy</w:t>
      </w:r>
      <w:r w:rsidR="00D603DB" w:rsidRPr="003B4086">
        <w:t>.</w:t>
      </w:r>
    </w:p>
    <w:p w14:paraId="7DCDEAA0" w14:textId="77777777" w:rsidR="00633F34" w:rsidRPr="003B4086" w:rsidRDefault="00D603DB" w:rsidP="00A7247D">
      <w:pPr>
        <w:pStyle w:val="3-BodyText"/>
      </w:pPr>
      <w:r w:rsidRPr="003B4086">
        <w:lastRenderedPageBreak/>
        <w:t xml:space="preserve">The submission positioned nivolumab as an alternative to watchful waiting in the </w:t>
      </w:r>
      <w:r w:rsidR="00E84147" w:rsidRPr="003B4086">
        <w:t>high risk</w:t>
      </w:r>
      <w:r w:rsidR="00883C35" w:rsidRPr="003B4086">
        <w:t xml:space="preserve"> MIUC </w:t>
      </w:r>
      <w:r w:rsidRPr="003B4086">
        <w:t xml:space="preserve">adjuvant setting after radical surgery </w:t>
      </w:r>
      <w:r w:rsidR="00A7247D" w:rsidRPr="003B4086">
        <w:t xml:space="preserve">regardless of cisplatin-eligibility or </w:t>
      </w:r>
      <w:r w:rsidR="00883C35" w:rsidRPr="003B4086">
        <w:t xml:space="preserve">receipt of prior </w:t>
      </w:r>
      <w:r w:rsidR="00A7247D" w:rsidRPr="003B4086">
        <w:t>neoadjuvant chemotherapy.</w:t>
      </w:r>
      <w:r w:rsidR="00633F34" w:rsidRPr="003B4086">
        <w:t xml:space="preserve"> </w:t>
      </w:r>
    </w:p>
    <w:p w14:paraId="21FDD135" w14:textId="39A6794C" w:rsidR="00894489" w:rsidRPr="003B4086" w:rsidRDefault="00633F34" w:rsidP="00A7247D">
      <w:pPr>
        <w:pStyle w:val="3-BodyText"/>
        <w:rPr>
          <w:iCs/>
        </w:rPr>
      </w:pPr>
      <w:r w:rsidRPr="003B4086">
        <w:rPr>
          <w:iCs/>
        </w:rPr>
        <w:t xml:space="preserve">The sponsor’s advisory board reported that </w:t>
      </w:r>
      <w:r w:rsidR="00543CF8" w:rsidRPr="003B4086">
        <w:rPr>
          <w:iCs/>
        </w:rPr>
        <w:t xml:space="preserve">of patients with MIUC, approximately </w:t>
      </w:r>
      <w:r w:rsidRPr="003B4086">
        <w:rPr>
          <w:iCs/>
        </w:rPr>
        <w:t>90</w:t>
      </w:r>
      <w:r w:rsidR="00075977" w:rsidRPr="003B4086">
        <w:rPr>
          <w:rFonts w:cstheme="minorHAnsi"/>
          <w:iCs/>
        </w:rPr>
        <w:t>−</w:t>
      </w:r>
      <w:r w:rsidRPr="003B4086">
        <w:rPr>
          <w:iCs/>
        </w:rPr>
        <w:t xml:space="preserve">95% would have </w:t>
      </w:r>
      <w:r w:rsidR="00075977" w:rsidRPr="003B4086">
        <w:rPr>
          <w:iCs/>
        </w:rPr>
        <w:t xml:space="preserve">a </w:t>
      </w:r>
      <w:r w:rsidRPr="003B4086">
        <w:rPr>
          <w:iCs/>
        </w:rPr>
        <w:t xml:space="preserve">radical cystectomy. </w:t>
      </w:r>
      <w:r w:rsidR="00904E51" w:rsidRPr="003B4086">
        <w:rPr>
          <w:iCs/>
        </w:rPr>
        <w:t>Feedback from the Genitourinary Advisory Board virtual meeting (p15, BMSA GU Advisory Board Minutes 2021, Attachment 1 to the main submission) indicated that there were relatively few cisplatin-ineligible MIUC patients in clinical practice.</w:t>
      </w:r>
    </w:p>
    <w:p w14:paraId="3F931A3D" w14:textId="77777777" w:rsidR="001E5066" w:rsidRPr="003B4086" w:rsidRDefault="00A7247D" w:rsidP="001E5066">
      <w:pPr>
        <w:pStyle w:val="3-BodyText"/>
      </w:pPr>
      <w:r w:rsidRPr="003B4086">
        <w:t xml:space="preserve">Recognising that </w:t>
      </w:r>
      <w:r w:rsidR="00883C35" w:rsidRPr="003B4086">
        <w:t>there may be some variation in clinical practice, cu</w:t>
      </w:r>
      <w:r w:rsidRPr="003B4086">
        <w:t>rrent clinical management guidelines</w:t>
      </w:r>
      <w:r w:rsidR="00883C35" w:rsidRPr="003B4086">
        <w:t xml:space="preserve"> for</w:t>
      </w:r>
      <w:r w:rsidRPr="003B4086">
        <w:t xml:space="preserve"> MIUC differ based on the primary tumour site (urinary bladder</w:t>
      </w:r>
      <w:r w:rsidR="00883C35" w:rsidRPr="003B4086">
        <w:t xml:space="preserve"> versus upper tract </w:t>
      </w:r>
      <w:r w:rsidRPr="003B4086">
        <w:t>renal pelvis/ureter</w:t>
      </w:r>
      <w:r w:rsidR="00883C35" w:rsidRPr="003B4086">
        <w:t>).</w:t>
      </w:r>
    </w:p>
    <w:p w14:paraId="4FEFA9F0" w14:textId="7FF1BEC2" w:rsidR="00B30BE7" w:rsidRPr="003B4086" w:rsidRDefault="00A7247D" w:rsidP="00773A6D">
      <w:pPr>
        <w:pStyle w:val="3-BodyText"/>
        <w:numPr>
          <w:ilvl w:val="0"/>
          <w:numId w:val="13"/>
        </w:numPr>
      </w:pPr>
      <w:r w:rsidRPr="003B4086">
        <w:t xml:space="preserve">For </w:t>
      </w:r>
      <w:r w:rsidR="00E84147" w:rsidRPr="003B4086">
        <w:t>high risk</w:t>
      </w:r>
      <w:r w:rsidRPr="003B4086">
        <w:t xml:space="preserve"> muscle invasive UTUC, the European Association of Urology (EAU) guidelines recommend postoperative platinum-based adjuvant chemotherapy to eligible patients</w:t>
      </w:r>
      <w:r w:rsidR="00883C35" w:rsidRPr="003B4086">
        <w:rPr>
          <w:rStyle w:val="FootnoteReference"/>
        </w:rPr>
        <w:footnoteReference w:id="3"/>
      </w:r>
      <w:r w:rsidRPr="003B4086">
        <w:t>.</w:t>
      </w:r>
      <w:r w:rsidR="00883C35" w:rsidRPr="003B4086">
        <w:t xml:space="preserve"> </w:t>
      </w:r>
      <w:r w:rsidR="00B30BE7" w:rsidRPr="003B4086">
        <w:t>These recommendations are based mainly on results from the randomised POUT</w:t>
      </w:r>
      <w:r w:rsidR="007E610B" w:rsidRPr="003B4086">
        <w:rPr>
          <w:rStyle w:val="FootnoteReference"/>
        </w:rPr>
        <w:footnoteReference w:id="4"/>
      </w:r>
      <w:r w:rsidR="00B30BE7" w:rsidRPr="003B4086">
        <w:t xml:space="preserve"> trial which showed that</w:t>
      </w:r>
      <w:r w:rsidR="00AE574A" w:rsidRPr="003B4086">
        <w:t>,</w:t>
      </w:r>
      <w:r w:rsidR="00B30BE7" w:rsidRPr="003B4086">
        <w:t xml:space="preserve"> </w:t>
      </w:r>
      <w:r w:rsidR="00AE574A" w:rsidRPr="003B4086">
        <w:t xml:space="preserve">compared to surveillance, </w:t>
      </w:r>
      <w:r w:rsidR="00B30BE7" w:rsidRPr="003B4086">
        <w:t xml:space="preserve">adjuvant platinum-based chemotherapy </w:t>
      </w:r>
      <w:r w:rsidR="00AE574A" w:rsidRPr="003B4086">
        <w:t xml:space="preserve">improved both </w:t>
      </w:r>
      <w:r w:rsidR="00255716">
        <w:t>DFS</w:t>
      </w:r>
      <w:r w:rsidR="00AE574A" w:rsidRPr="003B4086">
        <w:t xml:space="preserve"> and metastas</w:t>
      </w:r>
      <w:r w:rsidR="00071615" w:rsidRPr="003B4086">
        <w:t>i</w:t>
      </w:r>
      <w:r w:rsidR="00AE574A" w:rsidRPr="003B4086">
        <w:t xml:space="preserve">s free survival </w:t>
      </w:r>
      <w:r w:rsidR="00B30BE7" w:rsidRPr="003B4086">
        <w:t>in patients with muscle invasive or lymph node positive UTUC</w:t>
      </w:r>
      <w:r w:rsidR="00AE574A" w:rsidRPr="003B4086">
        <w:t>.</w:t>
      </w:r>
      <w:r w:rsidR="00B30BE7" w:rsidRPr="003B4086">
        <w:t xml:space="preserve"> </w:t>
      </w:r>
    </w:p>
    <w:p w14:paraId="34F9A011" w14:textId="57263974" w:rsidR="002C2775" w:rsidRPr="003B4086" w:rsidRDefault="00A7247D" w:rsidP="00773A6D">
      <w:pPr>
        <w:pStyle w:val="3-BodyText"/>
        <w:numPr>
          <w:ilvl w:val="0"/>
          <w:numId w:val="13"/>
        </w:numPr>
      </w:pPr>
      <w:r w:rsidRPr="003B4086">
        <w:t xml:space="preserve">For </w:t>
      </w:r>
      <w:r w:rsidR="00E84147" w:rsidRPr="003B4086">
        <w:t>high risk</w:t>
      </w:r>
      <w:r w:rsidRPr="003B4086">
        <w:t xml:space="preserve"> MIBC, the EAU guidelines recommend neoadjuvant cisplatin-based chemotherapy to eligible patients</w:t>
      </w:r>
      <w:r w:rsidR="00883C35" w:rsidRPr="003B4086">
        <w:rPr>
          <w:rStyle w:val="FootnoteReference"/>
        </w:rPr>
        <w:footnoteReference w:id="5"/>
      </w:r>
      <w:r w:rsidRPr="003B4086">
        <w:t xml:space="preserve">. </w:t>
      </w:r>
      <w:r w:rsidR="00883C35" w:rsidRPr="003B4086">
        <w:t>Except in uncommon circumstances, p</w:t>
      </w:r>
      <w:r w:rsidRPr="003B4086">
        <w:t xml:space="preserve">atients </w:t>
      </w:r>
      <w:r w:rsidR="00883C35" w:rsidRPr="003B4086">
        <w:t>who have received</w:t>
      </w:r>
      <w:r w:rsidRPr="003B4086">
        <w:t xml:space="preserve"> neoadjuvant </w:t>
      </w:r>
      <w:r w:rsidR="00883C35" w:rsidRPr="003B4086">
        <w:t xml:space="preserve">platinum-based chemotherapy are unlikely to be offered </w:t>
      </w:r>
      <w:r w:rsidRPr="003B4086">
        <w:t xml:space="preserve">adjuvant </w:t>
      </w:r>
      <w:r w:rsidR="00883C35" w:rsidRPr="003B4086">
        <w:t xml:space="preserve">platinum-based </w:t>
      </w:r>
      <w:r w:rsidRPr="003B4086">
        <w:t xml:space="preserve">chemotherapy. </w:t>
      </w:r>
    </w:p>
    <w:p w14:paraId="11FCAAEE" w14:textId="21415821" w:rsidR="007627BE" w:rsidRDefault="00B30BE7" w:rsidP="00B30BE7">
      <w:pPr>
        <w:pStyle w:val="3-BodyText"/>
      </w:pPr>
      <w:r w:rsidRPr="003B4086">
        <w:t>Nivolumab is a fully human immunoglobulin G4 monoclonal antibody which binds to the PD-1 receptor on T-cells. It acts as an immunomodulating agent by blocking the interaction between PD-1 and its ligands, PD-L1 and PD-L2.</w:t>
      </w:r>
    </w:p>
    <w:p w14:paraId="62DEA0C2" w14:textId="5933EFFD" w:rsidR="00C1377B" w:rsidRPr="00C1377B" w:rsidRDefault="00C1377B" w:rsidP="00C1377B">
      <w:pPr>
        <w:pStyle w:val="3-BodyText"/>
        <w:rPr>
          <w:snapToGrid/>
        </w:rPr>
      </w:pPr>
      <w:r>
        <w:rPr>
          <w:snapToGrid/>
        </w:rPr>
        <w:t>The PBAC noted that a</w:t>
      </w:r>
      <w:r w:rsidRPr="00C1377B">
        <w:rPr>
          <w:snapToGrid/>
        </w:rPr>
        <w:t>tezolizumab (a PD-L1 inhibitor) has been assessed as an adjuvant treatment in a similar patient population with MIUC after radical cystectomy or nephroureterectomy (</w:t>
      </w:r>
      <w:r w:rsidR="008E7D6E" w:rsidRPr="00C1377B">
        <w:rPr>
          <w:snapToGrid/>
        </w:rPr>
        <w:t>I</w:t>
      </w:r>
      <w:r w:rsidR="008E7D6E">
        <w:rPr>
          <w:snapToGrid/>
        </w:rPr>
        <w:t>M</w:t>
      </w:r>
      <w:r w:rsidR="008E7D6E" w:rsidRPr="00C1377B">
        <w:rPr>
          <w:snapToGrid/>
        </w:rPr>
        <w:t>vigor010</w:t>
      </w:r>
      <w:r w:rsidRPr="00C1377B">
        <w:rPr>
          <w:snapToGrid/>
        </w:rPr>
        <w:t>).</w:t>
      </w:r>
      <w:r w:rsidR="00B25801">
        <w:rPr>
          <w:rStyle w:val="FootnoteReference"/>
          <w:snapToGrid/>
        </w:rPr>
        <w:footnoteReference w:id="6"/>
      </w:r>
      <w:r w:rsidRPr="00C1377B">
        <w:rPr>
          <w:snapToGrid/>
        </w:rPr>
        <w:t xml:space="preserve"> The observation-controlled randomised trial recruited patients who had ypT2–4a or ypN+ tumours following neoadjuvant chemotherapy or pT3–4a or pN+ tumours if no neoadjuvant chemotherapy was received. 406 patients were assigned to the atezolizumab group and 403 were assigned to the observation group. The median duration of follow-up was 21.9 months. </w:t>
      </w:r>
      <w:r w:rsidR="001A60CC" w:rsidRPr="00C1377B">
        <w:rPr>
          <w:snapToGrid/>
        </w:rPr>
        <w:t>The median DFS duration was 19.4 months (95% CI: 15.9, 24.8) with atezolizumab and 16.6 months (95% CI: 11.2, 24.8) with observation (stratified HR 0.89; (95% CI: 0.74, 1.08); p=0·24).</w:t>
      </w:r>
      <w:r w:rsidR="001A60CC">
        <w:rPr>
          <w:snapToGrid/>
        </w:rPr>
        <w:t xml:space="preserve"> </w:t>
      </w:r>
      <w:r w:rsidRPr="00C1377B">
        <w:rPr>
          <w:snapToGrid/>
        </w:rPr>
        <w:t xml:space="preserve">The </w:t>
      </w:r>
      <w:r>
        <w:rPr>
          <w:snapToGrid/>
        </w:rPr>
        <w:t xml:space="preserve">PBAC noted that the </w:t>
      </w:r>
      <w:r w:rsidRPr="00C1377B">
        <w:rPr>
          <w:snapToGrid/>
        </w:rPr>
        <w:t xml:space="preserve">results did not support </w:t>
      </w:r>
      <w:r w:rsidRPr="00C1377B">
        <w:rPr>
          <w:snapToGrid/>
        </w:rPr>
        <w:lastRenderedPageBreak/>
        <w:t>the use of atezolizumab in the trial population</w:t>
      </w:r>
      <w:r w:rsidR="001A60CC">
        <w:rPr>
          <w:snapToGrid/>
        </w:rPr>
        <w:t xml:space="preserve"> and considered that this indicated that there </w:t>
      </w:r>
      <w:r w:rsidR="00AB7FCF">
        <w:rPr>
          <w:snapToGrid/>
        </w:rPr>
        <w:t>may be</w:t>
      </w:r>
      <w:r w:rsidR="001A60CC">
        <w:rPr>
          <w:snapToGrid/>
        </w:rPr>
        <w:t xml:space="preserve"> a lack of a class effect for PD-L1 inhibitor therapy. </w:t>
      </w:r>
    </w:p>
    <w:p w14:paraId="2C1B5086" w14:textId="20FBE70F" w:rsidR="00ED1B15" w:rsidRPr="003B4086" w:rsidRDefault="00ED1B15" w:rsidP="00ED1B15">
      <w:pPr>
        <w:pStyle w:val="3-BodyText"/>
        <w:numPr>
          <w:ilvl w:val="0"/>
          <w:numId w:val="0"/>
        </w:numPr>
        <w:ind w:left="720"/>
        <w:rPr>
          <w:i/>
        </w:rPr>
      </w:pPr>
      <w:r w:rsidRPr="003B4086">
        <w:rPr>
          <w:i/>
        </w:rPr>
        <w:t>For more detail on PBAC’s view, see section 7 PBAC outcome.</w:t>
      </w:r>
    </w:p>
    <w:p w14:paraId="51E5AE96" w14:textId="136A63B1" w:rsidR="00B50DB8" w:rsidRPr="003B4086" w:rsidRDefault="00B50DB8" w:rsidP="004E18E9">
      <w:pPr>
        <w:pStyle w:val="2-SectionHeading"/>
      </w:pPr>
      <w:bookmarkStart w:id="13" w:name="_Toc103768127"/>
      <w:r w:rsidRPr="003B4086">
        <w:t>Comparator</w:t>
      </w:r>
      <w:bookmarkEnd w:id="13"/>
    </w:p>
    <w:p w14:paraId="7B294BE0" w14:textId="58B163BF" w:rsidR="00B30BE7" w:rsidRPr="003B4086" w:rsidRDefault="00B30BE7" w:rsidP="006C6598">
      <w:pPr>
        <w:pStyle w:val="3-BodyText"/>
        <w:rPr>
          <w:snapToGrid/>
        </w:rPr>
      </w:pPr>
      <w:r w:rsidRPr="003B4086">
        <w:t xml:space="preserve">The submission nominated </w:t>
      </w:r>
      <w:r w:rsidR="00906909" w:rsidRPr="003B4086">
        <w:t>‘</w:t>
      </w:r>
      <w:r w:rsidRPr="003B4086">
        <w:t>watch and wait</w:t>
      </w:r>
      <w:r w:rsidR="00906909" w:rsidRPr="003B4086">
        <w:t>’</w:t>
      </w:r>
      <w:r w:rsidR="00071615" w:rsidRPr="003B4086">
        <w:t xml:space="preserve"> surveillance</w:t>
      </w:r>
      <w:r w:rsidRPr="003B4086">
        <w:t xml:space="preserve"> (herein referred to as watchful waiting) as the main comparator</w:t>
      </w:r>
      <w:r w:rsidR="006C6598" w:rsidRPr="003B4086">
        <w:t>. The submission noted that cisplatin-based adjuvant chemotherapy was of “limited relevance and not a relevant comparator”</w:t>
      </w:r>
      <w:r w:rsidRPr="003B4086">
        <w:t>. The main arguments provided in support of this nomination were that:</w:t>
      </w:r>
    </w:p>
    <w:p w14:paraId="2E22AFF4" w14:textId="370E985C" w:rsidR="00284F1C" w:rsidRPr="003B4086" w:rsidRDefault="00B30BE7" w:rsidP="00773A6D">
      <w:pPr>
        <w:pStyle w:val="3-BodyText"/>
        <w:numPr>
          <w:ilvl w:val="0"/>
          <w:numId w:val="6"/>
        </w:numPr>
        <w:rPr>
          <w:snapToGrid/>
        </w:rPr>
      </w:pPr>
      <w:r w:rsidRPr="003B4086">
        <w:t xml:space="preserve">Based on international guidelines and advice from a </w:t>
      </w:r>
      <w:r w:rsidR="004C1DE5" w:rsidRPr="003B4086">
        <w:t>G</w:t>
      </w:r>
      <w:r w:rsidRPr="003B4086">
        <w:t xml:space="preserve">enitourinary Advisory Board </w:t>
      </w:r>
      <w:r w:rsidR="00E01A3F" w:rsidRPr="003B4086">
        <w:t xml:space="preserve">virtual </w:t>
      </w:r>
      <w:r w:rsidR="006C6598" w:rsidRPr="003B4086">
        <w:t xml:space="preserve">meeting </w:t>
      </w:r>
      <w:r w:rsidRPr="003B4086">
        <w:t>(8</w:t>
      </w:r>
      <w:r w:rsidRPr="003B4086">
        <w:rPr>
          <w:vertAlign w:val="superscript"/>
        </w:rPr>
        <w:t>th</w:t>
      </w:r>
      <w:r w:rsidRPr="003B4086">
        <w:t xml:space="preserve"> October 2021), watchful waiting is recommended following neoadjuvant chemotherapy.</w:t>
      </w:r>
    </w:p>
    <w:p w14:paraId="2A6D7356" w14:textId="1B5B0908" w:rsidR="00284F1C" w:rsidRPr="003B4086" w:rsidRDefault="00284F1C" w:rsidP="00773A6D">
      <w:pPr>
        <w:pStyle w:val="3-BodyText"/>
        <w:numPr>
          <w:ilvl w:val="0"/>
          <w:numId w:val="6"/>
        </w:numPr>
        <w:rPr>
          <w:snapToGrid/>
        </w:rPr>
      </w:pPr>
      <w:r w:rsidRPr="003B4086">
        <w:t>There are limited data</w:t>
      </w:r>
      <w:r w:rsidR="006C6598" w:rsidRPr="003B4086">
        <w:t xml:space="preserve"> </w:t>
      </w:r>
      <w:r w:rsidRPr="003B4086">
        <w:t>and currently</w:t>
      </w:r>
      <w:r w:rsidR="006C6598" w:rsidRPr="003B4086">
        <w:t xml:space="preserve"> </w:t>
      </w:r>
      <w:r w:rsidRPr="003B4086">
        <w:t>there is debate</w:t>
      </w:r>
      <w:r w:rsidR="00914907" w:rsidRPr="003B4086">
        <w:t xml:space="preserve"> to support the role of adjuvant chemotherapy to treat </w:t>
      </w:r>
      <w:r w:rsidR="00276230" w:rsidRPr="003B4086">
        <w:t>high-</w:t>
      </w:r>
      <w:r w:rsidR="00E84147" w:rsidRPr="003B4086">
        <w:t>risk</w:t>
      </w:r>
      <w:r w:rsidR="00914907" w:rsidRPr="003B4086">
        <w:t xml:space="preserve"> MIUC</w:t>
      </w:r>
      <w:r w:rsidRPr="003B4086">
        <w:t xml:space="preserve">, even for patients who </w:t>
      </w:r>
      <w:r w:rsidR="00914907" w:rsidRPr="003B4086">
        <w:t xml:space="preserve">have not </w:t>
      </w:r>
      <w:r w:rsidRPr="003B4086">
        <w:t>receive</w:t>
      </w:r>
      <w:r w:rsidR="00914907" w:rsidRPr="003B4086">
        <w:t>d</w:t>
      </w:r>
      <w:r w:rsidRPr="003B4086">
        <w:t xml:space="preserve"> neoadjuvant chemotherapy</w:t>
      </w:r>
      <w:r w:rsidR="00276230" w:rsidRPr="003B4086">
        <w:t>.</w:t>
      </w:r>
      <w:r w:rsidRPr="003B4086">
        <w:t xml:space="preserve"> </w:t>
      </w:r>
    </w:p>
    <w:p w14:paraId="41B3DB14" w14:textId="2B1B023A" w:rsidR="00284F1C" w:rsidRPr="003B4086" w:rsidRDefault="008159D6" w:rsidP="00773A6D">
      <w:pPr>
        <w:pStyle w:val="3-BodyText"/>
        <w:numPr>
          <w:ilvl w:val="0"/>
          <w:numId w:val="6"/>
        </w:numPr>
        <w:rPr>
          <w:snapToGrid/>
        </w:rPr>
      </w:pPr>
      <w:r>
        <w:t xml:space="preserve">Clinical </w:t>
      </w:r>
      <w:r w:rsidR="005B11B4">
        <w:t>Registry</w:t>
      </w:r>
      <w:r w:rsidR="00284F1C" w:rsidRPr="003B4086">
        <w:t xml:space="preserve"> data</w:t>
      </w:r>
      <w:r w:rsidR="00284F1C" w:rsidRPr="003B4086">
        <w:rPr>
          <w:rStyle w:val="FootnoteReference"/>
        </w:rPr>
        <w:footnoteReference w:id="7"/>
      </w:r>
      <w:r w:rsidR="00284F1C" w:rsidRPr="003B4086">
        <w:t xml:space="preserve"> for MIUC patients from multiple centres in Australia (BLADDA </w:t>
      </w:r>
      <w:r w:rsidR="00071615" w:rsidRPr="003B4086">
        <w:t xml:space="preserve">registry </w:t>
      </w:r>
      <w:r w:rsidR="00284F1C" w:rsidRPr="003B4086">
        <w:t xml:space="preserve">N = 368; median follow-up </w:t>
      </w:r>
      <w:r w:rsidR="00071615" w:rsidRPr="003B4086">
        <w:t xml:space="preserve">duration of </w:t>
      </w:r>
      <w:r w:rsidR="00284F1C" w:rsidRPr="003B4086">
        <w:t xml:space="preserve">23 months) indicated that of 238 patients who underwent a surgery-based treatment approach, the most common treatment approach consisted of </w:t>
      </w:r>
      <w:r w:rsidR="00906909" w:rsidRPr="003B4086">
        <w:t>‘</w:t>
      </w:r>
      <w:r w:rsidR="00284F1C" w:rsidRPr="003B4086">
        <w:t>watch and wait</w:t>
      </w:r>
      <w:r w:rsidR="00906909" w:rsidRPr="003B4086">
        <w:t>’</w:t>
      </w:r>
      <w:r w:rsidR="00284F1C" w:rsidRPr="003B4086">
        <w:t xml:space="preserve"> surveillance with surgery only (40%); neoadjuvant chemotherapy with surgery (35%), while a “minority” of patients (25%) received adjuvant treatment post-surgery</w:t>
      </w:r>
      <w:r w:rsidR="00EC0127" w:rsidRPr="003B4086">
        <w:t>.</w:t>
      </w:r>
      <w:r w:rsidR="004A3C0A" w:rsidRPr="003B4086">
        <w:t xml:space="preserve"> </w:t>
      </w:r>
    </w:p>
    <w:p w14:paraId="058A9E19" w14:textId="52F01DE7" w:rsidR="00914907" w:rsidRPr="003B4086" w:rsidRDefault="00914907" w:rsidP="00773A6D">
      <w:pPr>
        <w:pStyle w:val="3-BodyText"/>
        <w:numPr>
          <w:ilvl w:val="0"/>
          <w:numId w:val="6"/>
        </w:numPr>
        <w:rPr>
          <w:snapToGrid/>
        </w:rPr>
      </w:pPr>
      <w:r w:rsidRPr="003B4086">
        <w:t>As the CM274 trial did not include adjuvant chemotherapy as a comparator, an indirect comparison would be required for the subgroup of patients who were eligible for adjuvant cisplatin-based chemotherapy. However, due to significant limitations within the evidence base relating to the chemotherapy trials (between-study heterogeneity, small sample sizes, statistical and design flaws), results would be subject to considerable uncertainty and would not be suitable to inform decision-making.</w:t>
      </w:r>
    </w:p>
    <w:p w14:paraId="16E66EBB" w14:textId="675C1C49" w:rsidR="00AE685F" w:rsidRPr="003B4086" w:rsidRDefault="00F43ECE" w:rsidP="00A31E1C">
      <w:pPr>
        <w:pStyle w:val="3-BodyText"/>
      </w:pPr>
      <w:r w:rsidRPr="003B4086">
        <w:rPr>
          <w:snapToGrid/>
        </w:rPr>
        <w:t xml:space="preserve">The nominated comparator of </w:t>
      </w:r>
      <w:r w:rsidR="00906909" w:rsidRPr="003B4086">
        <w:rPr>
          <w:snapToGrid/>
        </w:rPr>
        <w:t>‘</w:t>
      </w:r>
      <w:r w:rsidRPr="003B4086">
        <w:rPr>
          <w:snapToGrid/>
        </w:rPr>
        <w:t>watch and wait</w:t>
      </w:r>
      <w:r w:rsidR="00906909" w:rsidRPr="003B4086">
        <w:rPr>
          <w:snapToGrid/>
        </w:rPr>
        <w:t>’</w:t>
      </w:r>
      <w:r w:rsidRPr="003B4086">
        <w:rPr>
          <w:snapToGrid/>
        </w:rPr>
        <w:t xml:space="preserve"> would be better described as ‘active surveillance’ given that the patients are closely monitored and a proportion would receive medical interventions as required.</w:t>
      </w:r>
      <w:r w:rsidR="001038EF" w:rsidRPr="003B4086">
        <w:rPr>
          <w:snapToGrid/>
        </w:rPr>
        <w:t xml:space="preserve"> </w:t>
      </w:r>
      <w:r w:rsidR="00276230" w:rsidRPr="003B4086">
        <w:rPr>
          <w:snapToGrid/>
        </w:rPr>
        <w:t xml:space="preserve">Watchful waiting </w:t>
      </w:r>
      <w:r w:rsidR="00914907" w:rsidRPr="003B4086">
        <w:rPr>
          <w:snapToGrid/>
        </w:rPr>
        <w:t xml:space="preserve">is </w:t>
      </w:r>
      <w:r w:rsidR="00276230" w:rsidRPr="003B4086">
        <w:rPr>
          <w:snapToGrid/>
        </w:rPr>
        <w:t xml:space="preserve">an </w:t>
      </w:r>
      <w:r w:rsidR="00914907" w:rsidRPr="003B4086">
        <w:rPr>
          <w:snapToGrid/>
        </w:rPr>
        <w:t xml:space="preserve">appropriate </w:t>
      </w:r>
      <w:r w:rsidR="00276230" w:rsidRPr="003B4086">
        <w:rPr>
          <w:snapToGrid/>
        </w:rPr>
        <w:t xml:space="preserve">comparator </w:t>
      </w:r>
      <w:r w:rsidR="00914907" w:rsidRPr="003B4086">
        <w:rPr>
          <w:snapToGrid/>
        </w:rPr>
        <w:t>for patients who would otherwise not be offered/treated with adjuvant chemotherapy</w:t>
      </w:r>
      <w:r w:rsidR="001E5066" w:rsidRPr="003B4086">
        <w:rPr>
          <w:snapToGrid/>
        </w:rPr>
        <w:t xml:space="preserve">. This population would likely comprise of </w:t>
      </w:r>
      <w:r w:rsidR="00071615" w:rsidRPr="003B4086">
        <w:rPr>
          <w:snapToGrid/>
        </w:rPr>
        <w:t>patients who would have received neoadjuvant chemotherapy</w:t>
      </w:r>
      <w:r w:rsidR="00BD0B59" w:rsidRPr="003B4086">
        <w:rPr>
          <w:snapToGrid/>
        </w:rPr>
        <w:t xml:space="preserve"> such as patients with MIBC </w:t>
      </w:r>
      <w:r w:rsidR="001E5066" w:rsidRPr="003B4086">
        <w:rPr>
          <w:snapToGrid/>
        </w:rPr>
        <w:t xml:space="preserve">(and thus </w:t>
      </w:r>
      <w:r w:rsidR="00276230" w:rsidRPr="003B4086">
        <w:rPr>
          <w:snapToGrid/>
        </w:rPr>
        <w:t xml:space="preserve">unlikely to be </w:t>
      </w:r>
      <w:r w:rsidR="001E5066" w:rsidRPr="003B4086">
        <w:rPr>
          <w:snapToGrid/>
        </w:rPr>
        <w:t xml:space="preserve">offered </w:t>
      </w:r>
      <w:r w:rsidR="00BD0B59" w:rsidRPr="003B4086">
        <w:rPr>
          <w:snapToGrid/>
        </w:rPr>
        <w:t xml:space="preserve">further treatment with </w:t>
      </w:r>
      <w:r w:rsidR="00276230" w:rsidRPr="003B4086">
        <w:rPr>
          <w:snapToGrid/>
        </w:rPr>
        <w:t xml:space="preserve">adjuvant </w:t>
      </w:r>
      <w:r w:rsidR="00071615" w:rsidRPr="003B4086">
        <w:rPr>
          <w:snapToGrid/>
        </w:rPr>
        <w:t>platinum-based chemotherapy</w:t>
      </w:r>
      <w:r w:rsidR="00BD0B59" w:rsidRPr="003B4086">
        <w:rPr>
          <w:snapToGrid/>
        </w:rPr>
        <w:t xml:space="preserve">) or patients who would be considered ineligible for adjuvant platinum-based treatment </w:t>
      </w:r>
      <w:r w:rsidR="00276230" w:rsidRPr="003B4086">
        <w:rPr>
          <w:snapToGrid/>
        </w:rPr>
        <w:t>based on</w:t>
      </w:r>
      <w:r w:rsidR="00BD0B59" w:rsidRPr="003B4086">
        <w:rPr>
          <w:snapToGrid/>
        </w:rPr>
        <w:t xml:space="preserve"> </w:t>
      </w:r>
      <w:r w:rsidR="00276230" w:rsidRPr="003B4086">
        <w:rPr>
          <w:snapToGrid/>
        </w:rPr>
        <w:t>several</w:t>
      </w:r>
      <w:r w:rsidR="00071615" w:rsidRPr="003B4086">
        <w:rPr>
          <w:snapToGrid/>
        </w:rPr>
        <w:t xml:space="preserve"> clinical factors </w:t>
      </w:r>
      <w:r w:rsidR="00BD0B59" w:rsidRPr="003B4086">
        <w:rPr>
          <w:snapToGrid/>
        </w:rPr>
        <w:t>(</w:t>
      </w:r>
      <w:r w:rsidR="00071615" w:rsidRPr="003B4086">
        <w:rPr>
          <w:snapToGrid/>
        </w:rPr>
        <w:t xml:space="preserve">such as sub-optimal </w:t>
      </w:r>
      <w:r w:rsidR="00071615" w:rsidRPr="003B4086">
        <w:t>creatinine clearance, hearing loss, peripheral neuropathy</w:t>
      </w:r>
      <w:r w:rsidR="00BD0B59" w:rsidRPr="003B4086">
        <w:t>,</w:t>
      </w:r>
      <w:r w:rsidR="00071615" w:rsidRPr="003B4086">
        <w:t xml:space="preserve"> and poor performance status</w:t>
      </w:r>
      <w:r w:rsidR="00BD0B59" w:rsidRPr="003B4086">
        <w:t>)</w:t>
      </w:r>
      <w:r w:rsidR="00071615" w:rsidRPr="003B4086">
        <w:rPr>
          <w:snapToGrid/>
        </w:rPr>
        <w:t>.</w:t>
      </w:r>
    </w:p>
    <w:p w14:paraId="5016028E" w14:textId="73B00331" w:rsidR="007E7D0A" w:rsidRPr="003B4086" w:rsidRDefault="00AE685F" w:rsidP="006C6598">
      <w:pPr>
        <w:pStyle w:val="3-BodyText"/>
        <w:rPr>
          <w:snapToGrid/>
        </w:rPr>
      </w:pPr>
      <w:bookmarkStart w:id="14" w:name="_Ref106266171"/>
      <w:r w:rsidRPr="003B4086">
        <w:rPr>
          <w:snapToGrid/>
        </w:rPr>
        <w:t>Adjuvant platinum-based chemotherapy is a relevant comparator in eligible patients who have not received neoadjuvant chemotherapy</w:t>
      </w:r>
      <w:r w:rsidR="007E7D0A" w:rsidRPr="003B4086">
        <w:rPr>
          <w:snapToGrid/>
        </w:rPr>
        <w:t>:</w:t>
      </w:r>
      <w:bookmarkEnd w:id="14"/>
    </w:p>
    <w:p w14:paraId="2A8A8EF4" w14:textId="2F73EE09" w:rsidR="007E7D0A" w:rsidRPr="003B4086" w:rsidRDefault="00766D82" w:rsidP="00773A6D">
      <w:pPr>
        <w:pStyle w:val="3-BodyText"/>
        <w:numPr>
          <w:ilvl w:val="0"/>
          <w:numId w:val="12"/>
        </w:numPr>
      </w:pPr>
      <w:r w:rsidRPr="003B4086">
        <w:rPr>
          <w:snapToGrid/>
        </w:rPr>
        <w:lastRenderedPageBreak/>
        <w:t xml:space="preserve">From </w:t>
      </w:r>
      <w:r w:rsidR="00BD0B59" w:rsidRPr="003B4086">
        <w:rPr>
          <w:snapToGrid/>
        </w:rPr>
        <w:t xml:space="preserve">clinician </w:t>
      </w:r>
      <w:r w:rsidRPr="003B4086">
        <w:rPr>
          <w:snapToGrid/>
        </w:rPr>
        <w:t xml:space="preserve">responses provided to a </w:t>
      </w:r>
      <w:r w:rsidR="007E7D0A" w:rsidRPr="003B4086">
        <w:rPr>
          <w:snapToGrid/>
        </w:rPr>
        <w:t>Pre-Advisory Board Survey</w:t>
      </w:r>
      <w:r w:rsidRPr="003B4086">
        <w:rPr>
          <w:rStyle w:val="FootnoteReference"/>
          <w:snapToGrid/>
        </w:rPr>
        <w:footnoteReference w:id="8"/>
      </w:r>
      <w:r w:rsidR="007E7D0A" w:rsidRPr="003B4086">
        <w:rPr>
          <w:snapToGrid/>
        </w:rPr>
        <w:t xml:space="preserve">, the expected proportion of </w:t>
      </w:r>
      <w:r w:rsidR="00E84147" w:rsidRPr="003B4086">
        <w:rPr>
          <w:snapToGrid/>
        </w:rPr>
        <w:t>high risk</w:t>
      </w:r>
      <w:r w:rsidR="007E7D0A" w:rsidRPr="003B4086">
        <w:rPr>
          <w:snapToGrid/>
        </w:rPr>
        <w:t xml:space="preserve"> MIUC patients</w:t>
      </w:r>
      <w:r w:rsidR="00BD0B59" w:rsidRPr="003B4086">
        <w:rPr>
          <w:snapToGrid/>
        </w:rPr>
        <w:t>,</w:t>
      </w:r>
      <w:r w:rsidR="007E7D0A" w:rsidRPr="003B4086">
        <w:rPr>
          <w:snapToGrid/>
        </w:rPr>
        <w:t xml:space="preserve"> who are currently treated with adjuvant chemotherapy</w:t>
      </w:r>
      <w:r w:rsidR="00BD0B59" w:rsidRPr="003B4086">
        <w:rPr>
          <w:snapToGrid/>
        </w:rPr>
        <w:t>,</w:t>
      </w:r>
      <w:r w:rsidR="007E7D0A" w:rsidRPr="003B4086">
        <w:rPr>
          <w:snapToGrid/>
        </w:rPr>
        <w:t xml:space="preserve"> varied </w:t>
      </w:r>
      <w:r w:rsidR="00BD0B59" w:rsidRPr="003B4086">
        <w:rPr>
          <w:snapToGrid/>
        </w:rPr>
        <w:t xml:space="preserve">considerably </w:t>
      </w:r>
      <w:r w:rsidR="007E7D0A" w:rsidRPr="003B4086">
        <w:rPr>
          <w:snapToGrid/>
        </w:rPr>
        <w:t>from 25% to 70%</w:t>
      </w:r>
      <w:r w:rsidRPr="003B4086">
        <w:rPr>
          <w:snapToGrid/>
        </w:rPr>
        <w:t xml:space="preserve">, with </w:t>
      </w:r>
      <w:r w:rsidR="007E7D0A" w:rsidRPr="003B4086">
        <w:rPr>
          <w:snapToGrid/>
        </w:rPr>
        <w:t xml:space="preserve">some </w:t>
      </w:r>
      <w:r w:rsidR="00BD0B59" w:rsidRPr="003B4086">
        <w:rPr>
          <w:snapToGrid/>
        </w:rPr>
        <w:t xml:space="preserve">clinicians </w:t>
      </w:r>
      <w:r w:rsidR="007E7D0A" w:rsidRPr="003B4086">
        <w:rPr>
          <w:snapToGrid/>
        </w:rPr>
        <w:t>indicating that adjuvant chemotherapy is offered to almost all patients who had not received neoadjuvant chemotherapy.</w:t>
      </w:r>
    </w:p>
    <w:p w14:paraId="45784DB0" w14:textId="57FD4111" w:rsidR="00EC0127" w:rsidRPr="003B4086" w:rsidRDefault="00284F1C" w:rsidP="00773A6D">
      <w:pPr>
        <w:pStyle w:val="3-BodyText"/>
        <w:numPr>
          <w:ilvl w:val="0"/>
          <w:numId w:val="12"/>
        </w:numPr>
      </w:pPr>
      <w:r w:rsidRPr="003B4086">
        <w:t xml:space="preserve">Feedback from </w:t>
      </w:r>
      <w:r w:rsidR="007E7D0A" w:rsidRPr="003B4086">
        <w:t>the</w:t>
      </w:r>
      <w:r w:rsidRPr="003B4086">
        <w:t xml:space="preserve"> Genitourinary Advisory Board </w:t>
      </w:r>
      <w:r w:rsidR="004A3C0A" w:rsidRPr="003B4086">
        <w:t xml:space="preserve">virtual </w:t>
      </w:r>
      <w:r w:rsidRPr="003B4086">
        <w:t xml:space="preserve">meeting </w:t>
      </w:r>
      <w:r w:rsidR="00BD0B59" w:rsidRPr="003B4086">
        <w:t>suggested</w:t>
      </w:r>
      <w:r w:rsidR="00EC0127" w:rsidRPr="003B4086">
        <w:t xml:space="preserve"> </w:t>
      </w:r>
      <w:r w:rsidR="004A3C0A" w:rsidRPr="003B4086">
        <w:t xml:space="preserve">that </w:t>
      </w:r>
      <w:r w:rsidR="00102086" w:rsidRPr="003B4086">
        <w:t xml:space="preserve">a reasonable assumption </w:t>
      </w:r>
      <w:r w:rsidR="00BD0B59" w:rsidRPr="003B4086">
        <w:t xml:space="preserve">for the proportion of high risk MIUC patients, who are treated with adjuvant chemotherapy, was </w:t>
      </w:r>
      <w:r w:rsidR="00102086" w:rsidRPr="003B4086">
        <w:t xml:space="preserve">36% </w:t>
      </w:r>
      <w:r w:rsidR="00BD0B59" w:rsidRPr="003B4086">
        <w:t>with</w:t>
      </w:r>
      <w:r w:rsidR="00102086" w:rsidRPr="003B4086">
        <w:t xml:space="preserve"> 64% </w:t>
      </w:r>
      <w:r w:rsidR="00BD0B59" w:rsidRPr="003B4086">
        <w:t xml:space="preserve">of patients on </w:t>
      </w:r>
      <w:r w:rsidR="00102086" w:rsidRPr="003B4086">
        <w:t>watch and wait surveillance</w:t>
      </w:r>
      <w:r w:rsidR="00766D82" w:rsidRPr="003B4086">
        <w:t>.</w:t>
      </w:r>
      <w:r w:rsidR="00102086" w:rsidRPr="003B4086">
        <w:t xml:space="preserve"> </w:t>
      </w:r>
      <w:r w:rsidR="007E7D0A" w:rsidRPr="003B4086">
        <w:t xml:space="preserve">There was also </w:t>
      </w:r>
      <w:r w:rsidR="00EC0127" w:rsidRPr="003B4086">
        <w:rPr>
          <w:snapToGrid/>
        </w:rPr>
        <w:t xml:space="preserve">a consensus </w:t>
      </w:r>
      <w:r w:rsidR="00BD0B59" w:rsidRPr="003B4086">
        <w:rPr>
          <w:snapToGrid/>
        </w:rPr>
        <w:t xml:space="preserve">among the clinicians </w:t>
      </w:r>
      <w:r w:rsidR="00EC0127" w:rsidRPr="003B4086">
        <w:rPr>
          <w:snapToGrid/>
        </w:rPr>
        <w:t xml:space="preserve">that in </w:t>
      </w:r>
      <w:r w:rsidR="00E84147" w:rsidRPr="003B4086">
        <w:rPr>
          <w:snapToGrid/>
        </w:rPr>
        <w:t>high risk</w:t>
      </w:r>
      <w:r w:rsidR="00EC0127" w:rsidRPr="003B4086">
        <w:rPr>
          <w:snapToGrid/>
        </w:rPr>
        <w:t xml:space="preserve"> muscle-invasive UTUC, neoadjuvant chemotherapy generally should not be offered, and that there was stronger evidence for adjuvant chemotherapy based on the POUT study. </w:t>
      </w:r>
      <w:r w:rsidR="00766D82" w:rsidRPr="003B4086">
        <w:rPr>
          <w:snapToGrid/>
        </w:rPr>
        <w:t>This consensus aligns with current EAU clinical management guidelines. It was also noted that i</w:t>
      </w:r>
      <w:r w:rsidR="00EC0127" w:rsidRPr="003B4086">
        <w:rPr>
          <w:snapToGrid/>
        </w:rPr>
        <w:t xml:space="preserve">n the majority of cases, patients are offered upfront </w:t>
      </w:r>
      <w:r w:rsidR="003D7EF3" w:rsidRPr="003B4086">
        <w:rPr>
          <w:snapToGrid/>
        </w:rPr>
        <w:t xml:space="preserve">neoadjuvant </w:t>
      </w:r>
      <w:r w:rsidR="00EC0127" w:rsidRPr="003B4086">
        <w:rPr>
          <w:snapToGrid/>
        </w:rPr>
        <w:t xml:space="preserve">chemotherapy for </w:t>
      </w:r>
      <w:r w:rsidR="00071615" w:rsidRPr="003B4086">
        <w:rPr>
          <w:snapToGrid/>
        </w:rPr>
        <w:t>UC</w:t>
      </w:r>
      <w:r w:rsidR="00EC0127" w:rsidRPr="003B4086">
        <w:rPr>
          <w:snapToGrid/>
        </w:rPr>
        <w:t xml:space="preserve"> in the bladder and in most cases adjuvant chemotherapy is offered for </w:t>
      </w:r>
      <w:r w:rsidR="00071615" w:rsidRPr="003B4086">
        <w:rPr>
          <w:snapToGrid/>
        </w:rPr>
        <w:t>UTUC</w:t>
      </w:r>
      <w:r w:rsidR="00766D82" w:rsidRPr="003B4086">
        <w:rPr>
          <w:rStyle w:val="FootnoteReference"/>
        </w:rPr>
        <w:footnoteReference w:id="9"/>
      </w:r>
      <w:r w:rsidR="00766D82" w:rsidRPr="003B4086">
        <w:rPr>
          <w:snapToGrid/>
        </w:rPr>
        <w:t>.</w:t>
      </w:r>
      <w:r w:rsidR="00EC0127" w:rsidRPr="003B4086">
        <w:rPr>
          <w:snapToGrid/>
        </w:rPr>
        <w:t xml:space="preserve"> </w:t>
      </w:r>
    </w:p>
    <w:p w14:paraId="3370653A" w14:textId="7E7AF03C" w:rsidR="00897785" w:rsidRPr="003B4086" w:rsidRDefault="0019046C" w:rsidP="0019046C">
      <w:pPr>
        <w:pStyle w:val="3-BodyText"/>
        <w:numPr>
          <w:ilvl w:val="0"/>
          <w:numId w:val="0"/>
        </w:numPr>
        <w:ind w:left="720"/>
      </w:pPr>
      <w:r w:rsidRPr="003B4086">
        <w:rPr>
          <w:snapToGrid/>
        </w:rPr>
        <w:t xml:space="preserve">The </w:t>
      </w:r>
      <w:r w:rsidR="00E34F07" w:rsidRPr="00E34F07">
        <w:rPr>
          <w:snapToGrid/>
        </w:rPr>
        <w:t>Pre-Sub-Committee Response</w:t>
      </w:r>
      <w:r w:rsidR="00E34F07">
        <w:rPr>
          <w:snapToGrid/>
        </w:rPr>
        <w:t xml:space="preserve"> (PSCR)</w:t>
      </w:r>
      <w:r w:rsidRPr="003B4086">
        <w:rPr>
          <w:snapToGrid/>
        </w:rPr>
        <w:t xml:space="preserve"> reiterate</w:t>
      </w:r>
      <w:r w:rsidR="00637258" w:rsidRPr="003B4086">
        <w:rPr>
          <w:snapToGrid/>
        </w:rPr>
        <w:t>d</w:t>
      </w:r>
      <w:r w:rsidR="004C3D9F" w:rsidRPr="003B4086">
        <w:rPr>
          <w:snapToGrid/>
        </w:rPr>
        <w:t xml:space="preserve"> that</w:t>
      </w:r>
      <w:r w:rsidRPr="003B4086">
        <w:rPr>
          <w:snapToGrid/>
        </w:rPr>
        <w:t xml:space="preserve"> </w:t>
      </w:r>
      <w:r w:rsidR="00906909" w:rsidRPr="003B4086">
        <w:rPr>
          <w:snapToGrid/>
        </w:rPr>
        <w:t>‘</w:t>
      </w:r>
      <w:r w:rsidR="00091F6D" w:rsidRPr="003B4086">
        <w:rPr>
          <w:snapToGrid/>
        </w:rPr>
        <w:t>watch and wait</w:t>
      </w:r>
      <w:r w:rsidR="00906909" w:rsidRPr="003B4086">
        <w:rPr>
          <w:snapToGrid/>
        </w:rPr>
        <w:t>’</w:t>
      </w:r>
      <w:r w:rsidR="00091F6D" w:rsidRPr="003B4086">
        <w:rPr>
          <w:snapToGrid/>
        </w:rPr>
        <w:t xml:space="preserve"> was nominated as the main comparator as </w:t>
      </w:r>
      <w:r w:rsidR="007D7D5D" w:rsidRPr="003B4086">
        <w:rPr>
          <w:snapToGrid/>
        </w:rPr>
        <w:t>most</w:t>
      </w:r>
      <w:r w:rsidR="00091F6D" w:rsidRPr="003B4086">
        <w:rPr>
          <w:snapToGrid/>
        </w:rPr>
        <w:t xml:space="preserve"> patients</w:t>
      </w:r>
      <w:r w:rsidR="007D19C8" w:rsidRPr="003B4086">
        <w:rPr>
          <w:snapToGrid/>
        </w:rPr>
        <w:t xml:space="preserve"> in clinical practice</w:t>
      </w:r>
      <w:r w:rsidR="00091F6D" w:rsidRPr="003B4086">
        <w:rPr>
          <w:snapToGrid/>
        </w:rPr>
        <w:t xml:space="preserve"> either receive neoadjuvant cisplatin-based chemotherapy and therefore do not receive further adjuvant chemotherapy, or they are cisplatin-ineligible and are unable to receive cisplatin-based adjuvant chemotherapy. The </w:t>
      </w:r>
      <w:r w:rsidR="00897785" w:rsidRPr="003B4086">
        <w:rPr>
          <w:snapToGrid/>
        </w:rPr>
        <w:t xml:space="preserve">PSCR </w:t>
      </w:r>
      <w:r w:rsidR="00637258" w:rsidRPr="003B4086">
        <w:rPr>
          <w:snapToGrid/>
        </w:rPr>
        <w:t>stated</w:t>
      </w:r>
      <w:r w:rsidR="00091F6D" w:rsidRPr="003B4086">
        <w:rPr>
          <w:snapToGrid/>
        </w:rPr>
        <w:t xml:space="preserve"> that international guidelines advise that adjuvant chemotherapy </w:t>
      </w:r>
      <w:r w:rsidR="00C51421" w:rsidRPr="003B4086">
        <w:rPr>
          <w:snapToGrid/>
        </w:rPr>
        <w:t xml:space="preserve">is not preferred </w:t>
      </w:r>
      <w:r w:rsidR="00091F6D" w:rsidRPr="003B4086">
        <w:rPr>
          <w:snapToGrid/>
        </w:rPr>
        <w:t>for patients who do not receive neoadjuvant therapy</w:t>
      </w:r>
      <w:r w:rsidR="00BE2A40" w:rsidRPr="003B4086">
        <w:rPr>
          <w:snapToGrid/>
        </w:rPr>
        <w:t xml:space="preserve"> </w:t>
      </w:r>
      <w:r w:rsidR="00C51421" w:rsidRPr="003B4086">
        <w:rPr>
          <w:snapToGrid/>
        </w:rPr>
        <w:t>as it</w:t>
      </w:r>
      <w:r w:rsidR="00BE2A40" w:rsidRPr="003B4086">
        <w:rPr>
          <w:snapToGrid/>
        </w:rPr>
        <w:t xml:space="preserve"> </w:t>
      </w:r>
      <w:r w:rsidR="00091F6D" w:rsidRPr="003B4086">
        <w:rPr>
          <w:snapToGrid/>
        </w:rPr>
        <w:t xml:space="preserve">remains an area of debate </w:t>
      </w:r>
      <w:r w:rsidR="00BE2A40" w:rsidRPr="003B4086">
        <w:rPr>
          <w:snapToGrid/>
        </w:rPr>
        <w:t xml:space="preserve">due to </w:t>
      </w:r>
      <w:r w:rsidR="00C51421" w:rsidRPr="003B4086">
        <w:rPr>
          <w:snapToGrid/>
        </w:rPr>
        <w:t xml:space="preserve">a poor </w:t>
      </w:r>
      <w:r w:rsidR="00BE2A40" w:rsidRPr="003B4086">
        <w:rPr>
          <w:snapToGrid/>
        </w:rPr>
        <w:t xml:space="preserve">evidence </w:t>
      </w:r>
      <w:r w:rsidR="00C51421" w:rsidRPr="003B4086">
        <w:rPr>
          <w:snapToGrid/>
        </w:rPr>
        <w:t>base</w:t>
      </w:r>
      <w:r w:rsidR="00091F6D" w:rsidRPr="003B4086">
        <w:rPr>
          <w:snapToGrid/>
        </w:rPr>
        <w:t>.</w:t>
      </w:r>
      <w:r w:rsidR="00091F6D" w:rsidRPr="003B4086">
        <w:rPr>
          <w:rFonts w:ascii="Times New Roman" w:hAnsi="Times New Roman" w:cs="Times New Roman"/>
        </w:rPr>
        <w:t xml:space="preserve"> </w:t>
      </w:r>
      <w:r w:rsidR="00091F6D" w:rsidRPr="003B4086">
        <w:rPr>
          <w:snapToGrid/>
        </w:rPr>
        <w:t xml:space="preserve">For these reasons, the </w:t>
      </w:r>
      <w:r w:rsidR="00897785" w:rsidRPr="003B4086">
        <w:rPr>
          <w:snapToGrid/>
        </w:rPr>
        <w:t xml:space="preserve">PSCR </w:t>
      </w:r>
      <w:r w:rsidR="00091F6D" w:rsidRPr="003B4086">
        <w:rPr>
          <w:snapToGrid/>
        </w:rPr>
        <w:t>argue</w:t>
      </w:r>
      <w:r w:rsidR="00897785" w:rsidRPr="003B4086">
        <w:rPr>
          <w:snapToGrid/>
        </w:rPr>
        <w:t>d</w:t>
      </w:r>
      <w:r w:rsidR="00091F6D" w:rsidRPr="003B4086">
        <w:rPr>
          <w:snapToGrid/>
        </w:rPr>
        <w:t xml:space="preserve"> that cisplatin-based chemotherapy is </w:t>
      </w:r>
      <w:r w:rsidR="006D0F8A" w:rsidRPr="003B4086">
        <w:rPr>
          <w:snapToGrid/>
        </w:rPr>
        <w:t>not</w:t>
      </w:r>
      <w:r w:rsidR="00091F6D" w:rsidRPr="003B4086">
        <w:rPr>
          <w:snapToGrid/>
        </w:rPr>
        <w:t xml:space="preserve"> a relevant comparato</w:t>
      </w:r>
      <w:r w:rsidR="006D0F8A" w:rsidRPr="003B4086">
        <w:rPr>
          <w:snapToGrid/>
        </w:rPr>
        <w:t>r</w:t>
      </w:r>
      <w:r w:rsidR="00091F6D" w:rsidRPr="003B4086">
        <w:rPr>
          <w:snapToGrid/>
        </w:rPr>
        <w:t xml:space="preserve">. </w:t>
      </w:r>
      <w:r w:rsidR="006D0F8A" w:rsidRPr="003B4086">
        <w:t xml:space="preserve">The ESC noted that there remains a proportion of MIUC patients </w:t>
      </w:r>
      <w:r w:rsidR="00755079" w:rsidRPr="003B4086">
        <w:t xml:space="preserve">in clinical practice </w:t>
      </w:r>
      <w:r w:rsidR="006D0F8A" w:rsidRPr="003B4086">
        <w:t>who do</w:t>
      </w:r>
      <w:r w:rsidR="00755079" w:rsidRPr="003B4086">
        <w:t xml:space="preserve"> not receive neoadjuvant chemotherapy and go on to</w:t>
      </w:r>
      <w:r w:rsidR="006D0F8A" w:rsidRPr="003B4086">
        <w:t xml:space="preserve"> receive adjuvant chemotherapy </w:t>
      </w:r>
      <w:r w:rsidR="00755079" w:rsidRPr="003B4086">
        <w:t>in accordance with the favoured treatment protocol for these patients in the NCCN guidelines</w:t>
      </w:r>
      <w:r w:rsidR="00755079" w:rsidRPr="003B4086">
        <w:rPr>
          <w:rStyle w:val="FootnoteReference"/>
        </w:rPr>
        <w:footnoteReference w:id="10"/>
      </w:r>
      <w:r w:rsidR="00F611AB" w:rsidRPr="003B4086">
        <w:t xml:space="preserve"> </w:t>
      </w:r>
      <w:r w:rsidR="006D0F8A" w:rsidRPr="003B4086">
        <w:t xml:space="preserve">and </w:t>
      </w:r>
      <w:r w:rsidR="00755079" w:rsidRPr="003B4086">
        <w:t xml:space="preserve">therefore </w:t>
      </w:r>
      <w:r w:rsidR="006D0F8A" w:rsidRPr="003B4086">
        <w:t>agreed with the evaluation that platinum-based chemotherapy remain</w:t>
      </w:r>
      <w:r w:rsidR="00897785" w:rsidRPr="003B4086">
        <w:t>ed</w:t>
      </w:r>
      <w:r w:rsidR="006D0F8A" w:rsidRPr="003B4086">
        <w:t xml:space="preserve"> a relevant comparator for </w:t>
      </w:r>
      <w:r w:rsidR="00D552DC" w:rsidRPr="003B4086">
        <w:t>these patients.</w:t>
      </w:r>
      <w:r w:rsidR="00E70AFB" w:rsidRPr="003B4086">
        <w:t xml:space="preserve"> </w:t>
      </w:r>
      <w:r w:rsidR="00902275" w:rsidRPr="003B4086">
        <w:t>It was maintained in the pre-PBAC response</w:t>
      </w:r>
      <w:r w:rsidR="000A0C79" w:rsidRPr="003B4086">
        <w:t xml:space="preserve"> </w:t>
      </w:r>
      <w:r w:rsidR="00902275" w:rsidRPr="003B4086">
        <w:t>that ‘watch and wait’ surveillance was the relevant comparator for adjuvant nivolumab. It was reiterated that an indirect comparison of nivolumab versus chemotherapy in the adjuvant setting would be subject to considerable uncertainty and not suitable to inform decision-making.</w:t>
      </w:r>
      <w:r w:rsidR="0064052F">
        <w:t xml:space="preserve"> The PBAC considered that watchful waiting was appropriate if treatment was restricted to those who had </w:t>
      </w:r>
      <w:r w:rsidR="0064052F" w:rsidRPr="003B4086">
        <w:rPr>
          <w:snapToGrid/>
        </w:rPr>
        <w:t>received neoadjuvant chemotherapy</w:t>
      </w:r>
      <w:r w:rsidR="0064052F">
        <w:rPr>
          <w:snapToGrid/>
        </w:rPr>
        <w:t xml:space="preserve">. </w:t>
      </w:r>
    </w:p>
    <w:p w14:paraId="6B5BAAD7" w14:textId="7ADBEFFB" w:rsidR="007E610B" w:rsidRPr="003B4086" w:rsidRDefault="007E610B" w:rsidP="007E610B">
      <w:pPr>
        <w:pStyle w:val="3-BodyText"/>
      </w:pPr>
      <w:r w:rsidRPr="003B4086">
        <w:t xml:space="preserve">The use of nivolumab in the adjuvant setting could result in downstream consequences to other PBS-listed medicines, including pembrolizumab, which is PBS-listed for the treatment of </w:t>
      </w:r>
      <w:r w:rsidR="00071615" w:rsidRPr="003B4086">
        <w:t xml:space="preserve">locally advanced or metastatic </w:t>
      </w:r>
      <w:r w:rsidRPr="003B4086">
        <w:t xml:space="preserve">UC in patients who have experienced disease progression following treatment with platinum-based chemotherapy. Avelumab </w:t>
      </w:r>
      <w:r w:rsidRPr="003B4086">
        <w:rPr>
          <w:snapToGrid/>
        </w:rPr>
        <w:t>was also recently recommended as maintenance therapy in</w:t>
      </w:r>
      <w:r w:rsidR="00071615" w:rsidRPr="003B4086">
        <w:rPr>
          <w:snapToGrid/>
        </w:rPr>
        <w:t xml:space="preserve"> the</w:t>
      </w:r>
      <w:r w:rsidRPr="003B4086">
        <w:rPr>
          <w:snapToGrid/>
        </w:rPr>
        <w:t xml:space="preserve"> advanced UC setting (Avelumab Public Summary Document</w:t>
      </w:r>
      <w:r w:rsidR="00C01D38" w:rsidRPr="003B4086">
        <w:rPr>
          <w:snapToGrid/>
        </w:rPr>
        <w:t xml:space="preserve"> (PSD),</w:t>
      </w:r>
      <w:r w:rsidRPr="003B4086">
        <w:rPr>
          <w:snapToGrid/>
        </w:rPr>
        <w:t xml:space="preserve"> March 2021 PBAC Meeting).</w:t>
      </w:r>
      <w:r w:rsidRPr="003B4086">
        <w:t xml:space="preserve"> </w:t>
      </w:r>
    </w:p>
    <w:p w14:paraId="62925F9A" w14:textId="17E10579" w:rsidR="00ED1B15" w:rsidRPr="003B4086" w:rsidRDefault="00ED1B15" w:rsidP="00ED1B15">
      <w:pPr>
        <w:pStyle w:val="3-BodyText"/>
        <w:numPr>
          <w:ilvl w:val="0"/>
          <w:numId w:val="0"/>
        </w:numPr>
        <w:ind w:left="720"/>
        <w:rPr>
          <w:i/>
          <w:iCs/>
        </w:rPr>
      </w:pPr>
      <w:r w:rsidRPr="003B4086">
        <w:rPr>
          <w:i/>
          <w:iCs/>
        </w:rPr>
        <w:lastRenderedPageBreak/>
        <w:t>For more detail on PBAC’s view, see section 7 PBAC outcome.</w:t>
      </w:r>
    </w:p>
    <w:p w14:paraId="7F9C27C8" w14:textId="522482E4" w:rsidR="00223D5A" w:rsidRPr="003B4086" w:rsidRDefault="00223D5A" w:rsidP="00223D5A">
      <w:pPr>
        <w:pStyle w:val="2-SectionHeading"/>
      </w:pPr>
      <w:bookmarkStart w:id="15" w:name="_Toc103768128"/>
      <w:bookmarkStart w:id="16" w:name="_Toc22897640"/>
      <w:r w:rsidRPr="003B4086">
        <w:t>Consideration of the evidence</w:t>
      </w:r>
      <w:bookmarkEnd w:id="15"/>
    </w:p>
    <w:p w14:paraId="5AA903D3" w14:textId="77777777" w:rsidR="00ED1B15" w:rsidRPr="003B4086" w:rsidRDefault="00ED1B15" w:rsidP="003A11E9">
      <w:pPr>
        <w:pStyle w:val="4-SubsectionHeading"/>
      </w:pPr>
      <w:bookmarkStart w:id="17" w:name="_Hlk76375935"/>
      <w:r w:rsidRPr="003B4086">
        <w:t>Sponsor hearing</w:t>
      </w:r>
    </w:p>
    <w:p w14:paraId="504ADC2C" w14:textId="64E4527C" w:rsidR="00ED1B15" w:rsidRPr="003B4086" w:rsidRDefault="00ED1B15" w:rsidP="00ED1B15">
      <w:pPr>
        <w:widowControl w:val="0"/>
        <w:numPr>
          <w:ilvl w:val="1"/>
          <w:numId w:val="1"/>
        </w:numPr>
        <w:spacing w:after="120"/>
        <w:rPr>
          <w:rFonts w:cs="Calibri"/>
          <w:bCs/>
          <w:snapToGrid w:val="0"/>
        </w:rPr>
      </w:pPr>
      <w:r w:rsidRPr="003B4086">
        <w:rPr>
          <w:rFonts w:cs="Calibri"/>
          <w:bCs/>
          <w:snapToGrid w:val="0"/>
        </w:rPr>
        <w:t>There was no hearing for this item.</w:t>
      </w:r>
    </w:p>
    <w:p w14:paraId="62ED5308" w14:textId="77777777" w:rsidR="00ED1B15" w:rsidRPr="003B4086" w:rsidRDefault="00ED1B15" w:rsidP="003A11E9">
      <w:pPr>
        <w:pStyle w:val="4-SubsectionHeading"/>
      </w:pPr>
      <w:r w:rsidRPr="003B4086">
        <w:t>Consumer comments</w:t>
      </w:r>
    </w:p>
    <w:p w14:paraId="52368CA9" w14:textId="09AA1737" w:rsidR="006260FD" w:rsidRPr="003B4086" w:rsidRDefault="00ED1B15" w:rsidP="006260FD">
      <w:pPr>
        <w:widowControl w:val="0"/>
        <w:numPr>
          <w:ilvl w:val="1"/>
          <w:numId w:val="1"/>
        </w:numPr>
        <w:spacing w:after="120"/>
        <w:rPr>
          <w:rFonts w:asciiTheme="minorHAnsi" w:hAnsiTheme="minorHAnsi"/>
          <w:bCs/>
          <w:snapToGrid w:val="0"/>
        </w:rPr>
      </w:pPr>
      <w:bookmarkStart w:id="18" w:name="_Hlk76382618"/>
      <w:r w:rsidRPr="003B4086">
        <w:rPr>
          <w:rFonts w:asciiTheme="minorHAnsi" w:hAnsiTheme="minorHAnsi"/>
          <w:bCs/>
          <w:snapToGrid w:val="0"/>
        </w:rPr>
        <w:t>The PBAC noted and welcomed the input from health care professionals (1) and organisations (</w:t>
      </w:r>
      <w:r w:rsidR="003A11E9" w:rsidRPr="003B4086">
        <w:rPr>
          <w:rFonts w:asciiTheme="minorHAnsi" w:hAnsiTheme="minorHAnsi"/>
          <w:bCs/>
          <w:snapToGrid w:val="0"/>
        </w:rPr>
        <w:t>2</w:t>
      </w:r>
      <w:r w:rsidRPr="003B4086">
        <w:rPr>
          <w:rFonts w:asciiTheme="minorHAnsi" w:hAnsiTheme="minorHAnsi"/>
          <w:bCs/>
          <w:snapToGrid w:val="0"/>
        </w:rPr>
        <w:t>) via the Consumer Comments facility on the PBS website.  The comment</w:t>
      </w:r>
      <w:r w:rsidR="003A11E9" w:rsidRPr="003B4086">
        <w:rPr>
          <w:rFonts w:asciiTheme="minorHAnsi" w:hAnsiTheme="minorHAnsi"/>
          <w:bCs/>
          <w:snapToGrid w:val="0"/>
        </w:rPr>
        <w:t xml:space="preserve"> from a health care professional indicated a substantial proportion of patients are ineligible to receive neoadjuvant chemotherapy due to comorbidities and suggested that nivolumab is a well tolerated treatment that demonstrates improvement in </w:t>
      </w:r>
      <w:r w:rsidR="008159D6">
        <w:rPr>
          <w:rFonts w:asciiTheme="minorHAnsi" w:hAnsiTheme="minorHAnsi"/>
          <w:bCs/>
          <w:snapToGrid w:val="0"/>
        </w:rPr>
        <w:t>DFS</w:t>
      </w:r>
      <w:r w:rsidR="003A11E9" w:rsidRPr="003B4086">
        <w:rPr>
          <w:rFonts w:asciiTheme="minorHAnsi" w:hAnsiTheme="minorHAnsi"/>
          <w:bCs/>
          <w:snapToGrid w:val="0"/>
        </w:rPr>
        <w:t xml:space="preserve"> after surgery. </w:t>
      </w:r>
      <w:r w:rsidR="001047D2" w:rsidRPr="003B4086">
        <w:rPr>
          <w:rFonts w:asciiTheme="minorHAnsi" w:hAnsiTheme="minorHAnsi"/>
          <w:bCs/>
          <w:snapToGrid w:val="0"/>
        </w:rPr>
        <w:t xml:space="preserve">The comment from BEAT Bladder Cancer Australia highlighted the effects of the disease itself and its treatment on </w:t>
      </w:r>
      <w:r w:rsidR="00DF3037">
        <w:rPr>
          <w:rFonts w:asciiTheme="minorHAnsi" w:hAnsiTheme="minorHAnsi"/>
          <w:bCs/>
          <w:snapToGrid w:val="0"/>
        </w:rPr>
        <w:t xml:space="preserve">health-related </w:t>
      </w:r>
      <w:r w:rsidR="001047D2" w:rsidRPr="003B4086">
        <w:rPr>
          <w:rFonts w:asciiTheme="minorHAnsi" w:hAnsiTheme="minorHAnsi"/>
          <w:bCs/>
          <w:snapToGrid w:val="0"/>
        </w:rPr>
        <w:t xml:space="preserve">quality of life </w:t>
      </w:r>
      <w:r w:rsidR="00DF3037">
        <w:rPr>
          <w:rFonts w:asciiTheme="minorHAnsi" w:hAnsiTheme="minorHAnsi"/>
          <w:bCs/>
          <w:snapToGrid w:val="0"/>
        </w:rPr>
        <w:t xml:space="preserve">(HRQoL) </w:t>
      </w:r>
      <w:r w:rsidR="001047D2" w:rsidRPr="003B4086">
        <w:rPr>
          <w:rFonts w:asciiTheme="minorHAnsi" w:hAnsiTheme="minorHAnsi"/>
          <w:bCs/>
          <w:snapToGrid w:val="0"/>
        </w:rPr>
        <w:t>combined with the effects of the poor prognosis and fear of recurrence. They suggested that the life improvements that matter most to those with high-risk MI</w:t>
      </w:r>
      <w:r w:rsidR="00A134FF" w:rsidRPr="003B4086">
        <w:rPr>
          <w:rFonts w:asciiTheme="minorHAnsi" w:hAnsiTheme="minorHAnsi"/>
          <w:bCs/>
          <w:snapToGrid w:val="0"/>
        </w:rPr>
        <w:t>UC</w:t>
      </w:r>
      <w:r w:rsidR="001047D2" w:rsidRPr="003B4086">
        <w:rPr>
          <w:rFonts w:asciiTheme="minorHAnsi" w:hAnsiTheme="minorHAnsi"/>
          <w:bCs/>
          <w:snapToGrid w:val="0"/>
        </w:rPr>
        <w:t xml:space="preserve"> centred around patient empowerment in becoming more independent, relying less on carers and having choices about treatment options. </w:t>
      </w:r>
      <w:r w:rsidR="00A134FF" w:rsidRPr="003B4086">
        <w:rPr>
          <w:rFonts w:asciiTheme="minorHAnsi" w:hAnsiTheme="minorHAnsi"/>
          <w:bCs/>
          <w:snapToGrid w:val="0"/>
        </w:rPr>
        <w:t>BEAT Bladder Cancer Australia suggested n</w:t>
      </w:r>
      <w:r w:rsidR="001047D2" w:rsidRPr="003B4086">
        <w:rPr>
          <w:rFonts w:asciiTheme="minorHAnsi" w:hAnsiTheme="minorHAnsi"/>
          <w:bCs/>
          <w:snapToGrid w:val="0"/>
        </w:rPr>
        <w:t xml:space="preserve">ivolumab offered improvements in these areas and enhanced </w:t>
      </w:r>
      <w:r w:rsidR="00DF3037">
        <w:rPr>
          <w:rFonts w:asciiTheme="minorHAnsi" w:hAnsiTheme="minorHAnsi"/>
          <w:bCs/>
          <w:snapToGrid w:val="0"/>
        </w:rPr>
        <w:t>HRQoL</w:t>
      </w:r>
      <w:r w:rsidR="001047D2" w:rsidRPr="003B4086">
        <w:rPr>
          <w:rFonts w:asciiTheme="minorHAnsi" w:hAnsiTheme="minorHAnsi"/>
          <w:bCs/>
          <w:snapToGrid w:val="0"/>
        </w:rPr>
        <w:t xml:space="preserve"> with greater chance of </w:t>
      </w:r>
      <w:r w:rsidR="008159D6">
        <w:rPr>
          <w:rFonts w:asciiTheme="minorHAnsi" w:hAnsiTheme="minorHAnsi"/>
          <w:bCs/>
          <w:snapToGrid w:val="0"/>
        </w:rPr>
        <w:t>DFS</w:t>
      </w:r>
      <w:r w:rsidR="001047D2" w:rsidRPr="003B4086">
        <w:rPr>
          <w:rFonts w:asciiTheme="minorHAnsi" w:hAnsiTheme="minorHAnsi"/>
          <w:bCs/>
          <w:snapToGrid w:val="0"/>
        </w:rPr>
        <w:t xml:space="preserve"> particularly for those unable to have chemotherapy. </w:t>
      </w:r>
    </w:p>
    <w:p w14:paraId="15CBE98F" w14:textId="388A99BF" w:rsidR="00A134FF" w:rsidRPr="003B4086" w:rsidRDefault="006260FD" w:rsidP="006260FD">
      <w:pPr>
        <w:widowControl w:val="0"/>
        <w:numPr>
          <w:ilvl w:val="1"/>
          <w:numId w:val="1"/>
        </w:numPr>
        <w:spacing w:after="120"/>
        <w:rPr>
          <w:rFonts w:asciiTheme="minorHAnsi" w:hAnsiTheme="minorHAnsi"/>
          <w:bCs/>
          <w:snapToGrid w:val="0"/>
        </w:rPr>
      </w:pPr>
      <w:r w:rsidRPr="003B4086">
        <w:rPr>
          <w:snapToGrid w:val="0"/>
        </w:rPr>
        <w:t xml:space="preserve">The Medical Oncology Group of Australia (MOGA) also expressed its strong support for the nivolumab submission, categorising it as one of the therapies of “highest priority for PBS listing” on the basis of the CM274 trial. The PBAC noted that the MOGA presented a European Society for Medical Oncology Magnitude of Clinical Benefit Scale (ESMO-MCBS) for </w:t>
      </w:r>
      <w:r w:rsidR="0018029F" w:rsidRPr="003B4086">
        <w:rPr>
          <w:snapToGrid w:val="0"/>
        </w:rPr>
        <w:t>nivolumab</w:t>
      </w:r>
      <w:r w:rsidRPr="003B4086">
        <w:rPr>
          <w:snapToGrid w:val="0"/>
        </w:rPr>
        <w:t xml:space="preserve">, which was </w:t>
      </w:r>
      <w:r w:rsidR="0018029F" w:rsidRPr="003B4086">
        <w:rPr>
          <w:snapToGrid w:val="0"/>
        </w:rPr>
        <w:t xml:space="preserve">a Grade A. This is the highest grade </w:t>
      </w:r>
      <w:r w:rsidR="00D52281">
        <w:rPr>
          <w:snapToGrid w:val="0"/>
        </w:rPr>
        <w:t xml:space="preserve">on a scale from A to </w:t>
      </w:r>
      <w:r w:rsidR="0018029F" w:rsidRPr="003B4086">
        <w:rPr>
          <w:snapToGrid w:val="0"/>
        </w:rPr>
        <w:t>C, where A and B represent the grades with substantial improvement for new approaches to adjuvant therapy or new potentially curative therapies.</w:t>
      </w:r>
      <w:r w:rsidR="00FD2A32" w:rsidRPr="003B4086">
        <w:rPr>
          <w:rStyle w:val="FootnoteReference"/>
          <w:snapToGrid w:val="0"/>
        </w:rPr>
        <w:footnoteReference w:id="11"/>
      </w:r>
    </w:p>
    <w:p w14:paraId="609C0765" w14:textId="7DFC562F" w:rsidR="00B60939" w:rsidRPr="003B4086" w:rsidRDefault="00B60939" w:rsidP="002E4F02">
      <w:pPr>
        <w:pStyle w:val="4-SubsectionHeading"/>
      </w:pPr>
      <w:bookmarkStart w:id="19" w:name="_Toc103768129"/>
      <w:bookmarkEnd w:id="17"/>
      <w:bookmarkEnd w:id="18"/>
      <w:r w:rsidRPr="003B4086">
        <w:t>Clinical trials</w:t>
      </w:r>
      <w:bookmarkEnd w:id="16"/>
      <w:bookmarkEnd w:id="19"/>
    </w:p>
    <w:p w14:paraId="17DE34DC" w14:textId="72E3E99F" w:rsidR="007F1017" w:rsidRPr="003B4086" w:rsidRDefault="009560E9" w:rsidP="002E4F02">
      <w:pPr>
        <w:pStyle w:val="3-BodyText"/>
      </w:pPr>
      <w:r w:rsidRPr="003B4086">
        <w:rPr>
          <w:snapToGrid/>
        </w:rPr>
        <w:t xml:space="preserve">The submission was based on one head-to-head double blind randomised trial (CM274) comparing adjuvant treatment with nivolumab (240 mg Q2W; N = 353) </w:t>
      </w:r>
      <w:r w:rsidR="00BD0B59" w:rsidRPr="003B4086">
        <w:rPr>
          <w:snapToGrid/>
        </w:rPr>
        <w:t>with</w:t>
      </w:r>
      <w:r w:rsidRPr="003B4086">
        <w:rPr>
          <w:snapToGrid/>
        </w:rPr>
        <w:t xml:space="preserve"> placebo (N = 356) in patients with </w:t>
      </w:r>
      <w:r w:rsidR="00E84147" w:rsidRPr="003B4086">
        <w:rPr>
          <w:snapToGrid/>
        </w:rPr>
        <w:t>high risk</w:t>
      </w:r>
      <w:r w:rsidRPr="003B4086">
        <w:rPr>
          <w:snapToGrid/>
        </w:rPr>
        <w:t xml:space="preserve"> MIUC who ha</w:t>
      </w:r>
      <w:r w:rsidR="00BD0B59" w:rsidRPr="003B4086">
        <w:rPr>
          <w:snapToGrid/>
        </w:rPr>
        <w:t>d</w:t>
      </w:r>
      <w:r w:rsidRPr="003B4086">
        <w:rPr>
          <w:snapToGrid/>
        </w:rPr>
        <w:t xml:space="preserve"> undergone radical surgery.</w:t>
      </w:r>
    </w:p>
    <w:p w14:paraId="7DCC3237" w14:textId="4710529A" w:rsidR="009560E9" w:rsidRPr="003B4086" w:rsidRDefault="00A73134" w:rsidP="002E4F02">
      <w:pPr>
        <w:pStyle w:val="3-BodyText"/>
      </w:pPr>
      <w:r w:rsidRPr="003B4086">
        <w:rPr>
          <w:snapToGrid/>
        </w:rPr>
        <w:t xml:space="preserve">Details of the </w:t>
      </w:r>
      <w:r w:rsidR="009560E9" w:rsidRPr="003B4086">
        <w:rPr>
          <w:snapToGrid/>
        </w:rPr>
        <w:t xml:space="preserve">key CM274 </w:t>
      </w:r>
      <w:r w:rsidRPr="003B4086">
        <w:rPr>
          <w:snapToGrid/>
        </w:rPr>
        <w:t xml:space="preserve">trial are provided in </w:t>
      </w:r>
      <w:r w:rsidR="00B91D64" w:rsidRPr="003B4086">
        <w:rPr>
          <w:snapToGrid/>
        </w:rPr>
        <w:fldChar w:fldCharType="begin"/>
      </w:r>
      <w:r w:rsidR="00B91D64" w:rsidRPr="003B4086">
        <w:rPr>
          <w:snapToGrid/>
        </w:rPr>
        <w:instrText xml:space="preserve"> REF _Ref102230981 \h </w:instrText>
      </w:r>
      <w:r w:rsidR="00B91D64" w:rsidRPr="003B4086">
        <w:rPr>
          <w:snapToGrid/>
        </w:rPr>
      </w:r>
      <w:r w:rsidR="00B91D64" w:rsidRPr="003B4086">
        <w:rPr>
          <w:snapToGrid/>
        </w:rPr>
        <w:fldChar w:fldCharType="separate"/>
      </w:r>
      <w:r w:rsidR="00AB7FCF" w:rsidRPr="003B4086">
        <w:t xml:space="preserve">Table </w:t>
      </w:r>
      <w:r w:rsidR="00AB7FCF" w:rsidRPr="003B4086">
        <w:rPr>
          <w:noProof/>
        </w:rPr>
        <w:t>3</w:t>
      </w:r>
      <w:r w:rsidR="00B91D64" w:rsidRPr="003B4086">
        <w:rPr>
          <w:snapToGrid/>
        </w:rPr>
        <w:fldChar w:fldCharType="end"/>
      </w:r>
      <w:r w:rsidRPr="003B4086">
        <w:rPr>
          <w:snapToGrid/>
        </w:rPr>
        <w:t>.</w:t>
      </w:r>
    </w:p>
    <w:p w14:paraId="3077EA2B" w14:textId="3C4B9C98" w:rsidR="009560E9" w:rsidRPr="003B4086" w:rsidRDefault="009560E9" w:rsidP="009560E9">
      <w:pPr>
        <w:pStyle w:val="TableFigureHeading"/>
      </w:pPr>
      <w:bookmarkStart w:id="20" w:name="_Ref102230981"/>
      <w:r w:rsidRPr="003B4086">
        <w:lastRenderedPageBreak/>
        <w:t xml:space="preserve">Table </w:t>
      </w:r>
      <w:r w:rsidR="00785573">
        <w:fldChar w:fldCharType="begin"/>
      </w:r>
      <w:r w:rsidR="00785573">
        <w:instrText xml:space="preserve"> SEQ Table \* ARABIC </w:instrText>
      </w:r>
      <w:r w:rsidR="00785573">
        <w:fldChar w:fldCharType="separate"/>
      </w:r>
      <w:r w:rsidR="00C6296C" w:rsidRPr="003B4086">
        <w:rPr>
          <w:noProof/>
        </w:rPr>
        <w:t>3</w:t>
      </w:r>
      <w:r w:rsidR="00785573">
        <w:rPr>
          <w:noProof/>
        </w:rPr>
        <w:fldChar w:fldCharType="end"/>
      </w:r>
      <w:bookmarkEnd w:id="20"/>
      <w:r w:rsidRPr="003B4086">
        <w:t xml:space="preserve">: </w:t>
      </w:r>
      <w:r w:rsidRPr="003B4086">
        <w:rPr>
          <w:rStyle w:val="CommentReference"/>
          <w:b/>
          <w:szCs w:val="24"/>
        </w:rPr>
        <w:t xml:space="preserve">Trials and associated reports presented in the submission </w:t>
      </w:r>
    </w:p>
    <w:tbl>
      <w:tblPr>
        <w:tblStyle w:val="TableGrid2"/>
        <w:tblW w:w="5000" w:type="pct"/>
        <w:tblLook w:val="01E0" w:firstRow="1" w:lastRow="1" w:firstColumn="1" w:lastColumn="1" w:noHBand="0" w:noVBand="0"/>
      </w:tblPr>
      <w:tblGrid>
        <w:gridCol w:w="1436"/>
        <w:gridCol w:w="5458"/>
        <w:gridCol w:w="2122"/>
      </w:tblGrid>
      <w:tr w:rsidR="009560E9" w:rsidRPr="003B4086" w14:paraId="0AADAD58" w14:textId="77777777" w:rsidTr="00233995">
        <w:tc>
          <w:tcPr>
            <w:tcW w:w="796" w:type="pct"/>
          </w:tcPr>
          <w:p w14:paraId="035F2F45" w14:textId="77777777" w:rsidR="009560E9" w:rsidRPr="003B4086" w:rsidRDefault="009560E9" w:rsidP="00AE197F">
            <w:pPr>
              <w:pStyle w:val="TableText0"/>
              <w:rPr>
                <w:b/>
                <w:sz w:val="20"/>
                <w:szCs w:val="20"/>
              </w:rPr>
            </w:pPr>
            <w:r w:rsidRPr="003B4086">
              <w:rPr>
                <w:b/>
                <w:sz w:val="20"/>
                <w:szCs w:val="20"/>
              </w:rPr>
              <w:t>Trial ID</w:t>
            </w:r>
          </w:p>
        </w:tc>
        <w:tc>
          <w:tcPr>
            <w:tcW w:w="3027" w:type="pct"/>
          </w:tcPr>
          <w:p w14:paraId="75A50DA8" w14:textId="77777777" w:rsidR="009560E9" w:rsidRPr="003B4086" w:rsidRDefault="009560E9" w:rsidP="00AE197F">
            <w:pPr>
              <w:pStyle w:val="TableText0"/>
              <w:rPr>
                <w:b/>
                <w:sz w:val="20"/>
                <w:szCs w:val="20"/>
              </w:rPr>
            </w:pPr>
            <w:r w:rsidRPr="003B4086">
              <w:rPr>
                <w:b/>
                <w:sz w:val="20"/>
                <w:szCs w:val="20"/>
              </w:rPr>
              <w:t>Protocol title/ Publication title</w:t>
            </w:r>
          </w:p>
        </w:tc>
        <w:tc>
          <w:tcPr>
            <w:tcW w:w="1177" w:type="pct"/>
          </w:tcPr>
          <w:p w14:paraId="5809CA95" w14:textId="77777777" w:rsidR="009560E9" w:rsidRPr="003B4086" w:rsidRDefault="009560E9" w:rsidP="00AE197F">
            <w:pPr>
              <w:pStyle w:val="TableText0"/>
              <w:rPr>
                <w:b/>
                <w:sz w:val="20"/>
                <w:szCs w:val="20"/>
              </w:rPr>
            </w:pPr>
            <w:r w:rsidRPr="003B4086">
              <w:rPr>
                <w:b/>
                <w:sz w:val="20"/>
                <w:szCs w:val="20"/>
              </w:rPr>
              <w:t>Publication citation</w:t>
            </w:r>
          </w:p>
        </w:tc>
      </w:tr>
      <w:tr w:rsidR="009560E9" w:rsidRPr="003B4086" w14:paraId="64EAD0FF" w14:textId="77777777" w:rsidTr="00233995">
        <w:tc>
          <w:tcPr>
            <w:tcW w:w="796" w:type="pct"/>
            <w:vMerge w:val="restart"/>
          </w:tcPr>
          <w:p w14:paraId="43DFBC12" w14:textId="77777777" w:rsidR="009560E9" w:rsidRPr="003B4086" w:rsidRDefault="009560E9" w:rsidP="00AE197F">
            <w:pPr>
              <w:pStyle w:val="TableText0"/>
              <w:rPr>
                <w:sz w:val="20"/>
                <w:szCs w:val="20"/>
              </w:rPr>
            </w:pPr>
            <w:r w:rsidRPr="003B4086">
              <w:rPr>
                <w:sz w:val="20"/>
                <w:szCs w:val="20"/>
              </w:rPr>
              <w:t>CA209274</w:t>
            </w:r>
          </w:p>
          <w:p w14:paraId="793ED3BB" w14:textId="77777777" w:rsidR="009560E9" w:rsidRPr="003B4086" w:rsidRDefault="009560E9" w:rsidP="00AE197F">
            <w:pPr>
              <w:pStyle w:val="TableText0"/>
              <w:rPr>
                <w:sz w:val="20"/>
                <w:szCs w:val="20"/>
                <w:highlight w:val="yellow"/>
              </w:rPr>
            </w:pPr>
            <w:r w:rsidRPr="003B4086">
              <w:rPr>
                <w:sz w:val="20"/>
                <w:szCs w:val="20"/>
              </w:rPr>
              <w:t>(CheckMate 274 (CM274)) (NCT02632409)</w:t>
            </w:r>
          </w:p>
        </w:tc>
        <w:tc>
          <w:tcPr>
            <w:tcW w:w="3027" w:type="pct"/>
          </w:tcPr>
          <w:p w14:paraId="7A4D9AED" w14:textId="45DC78CE" w:rsidR="009560E9" w:rsidRPr="003B4086" w:rsidRDefault="009560E9" w:rsidP="00233995">
            <w:pPr>
              <w:pStyle w:val="TableText0"/>
              <w:rPr>
                <w:sz w:val="20"/>
                <w:szCs w:val="20"/>
              </w:rPr>
            </w:pPr>
            <w:r w:rsidRPr="003B4086">
              <w:rPr>
                <w:sz w:val="20"/>
                <w:szCs w:val="20"/>
              </w:rPr>
              <w:t xml:space="preserve">Primary Clinical Study Report BMS-936558. A Phase 3 Randomized, Double-blind, Multi-center Study of Adjuvant Nivolumab versus Placebo in Subjects with </w:t>
            </w:r>
            <w:r w:rsidR="00E84147" w:rsidRPr="003B4086">
              <w:rPr>
                <w:sz w:val="20"/>
                <w:szCs w:val="20"/>
              </w:rPr>
              <w:t>High risk</w:t>
            </w:r>
            <w:r w:rsidRPr="003B4086">
              <w:rPr>
                <w:sz w:val="20"/>
                <w:szCs w:val="20"/>
              </w:rPr>
              <w:t xml:space="preserve"> Invasive Urothelial Carcinoma. </w:t>
            </w:r>
          </w:p>
        </w:tc>
        <w:tc>
          <w:tcPr>
            <w:tcW w:w="1177" w:type="pct"/>
          </w:tcPr>
          <w:p w14:paraId="17D72B71" w14:textId="77777777" w:rsidR="009560E9" w:rsidRPr="003B4086" w:rsidRDefault="00276230" w:rsidP="00233995">
            <w:pPr>
              <w:pStyle w:val="TableText0"/>
              <w:rPr>
                <w:sz w:val="20"/>
                <w:szCs w:val="20"/>
              </w:rPr>
            </w:pPr>
            <w:r w:rsidRPr="003B4086">
              <w:rPr>
                <w:sz w:val="20"/>
                <w:szCs w:val="20"/>
              </w:rPr>
              <w:t>4 December 2020.</w:t>
            </w:r>
          </w:p>
          <w:p w14:paraId="0E3D68D1" w14:textId="207DDEC0" w:rsidR="00233995" w:rsidRPr="003B4086" w:rsidRDefault="00233995" w:rsidP="00233995">
            <w:pPr>
              <w:pStyle w:val="TableText0"/>
              <w:rPr>
                <w:sz w:val="20"/>
                <w:szCs w:val="20"/>
                <w:highlight w:val="yellow"/>
              </w:rPr>
            </w:pPr>
          </w:p>
        </w:tc>
      </w:tr>
      <w:tr w:rsidR="009560E9" w:rsidRPr="003B4086" w14:paraId="6E3DF628" w14:textId="77777777" w:rsidTr="00233995">
        <w:trPr>
          <w:trHeight w:val="1303"/>
        </w:trPr>
        <w:tc>
          <w:tcPr>
            <w:tcW w:w="796" w:type="pct"/>
            <w:vMerge/>
          </w:tcPr>
          <w:p w14:paraId="1F60B3E2" w14:textId="77777777" w:rsidR="009560E9" w:rsidRPr="003B4086" w:rsidRDefault="009560E9" w:rsidP="00AE197F">
            <w:pPr>
              <w:pStyle w:val="TableText0"/>
              <w:rPr>
                <w:sz w:val="20"/>
                <w:szCs w:val="20"/>
                <w:highlight w:val="yellow"/>
              </w:rPr>
            </w:pPr>
          </w:p>
        </w:tc>
        <w:tc>
          <w:tcPr>
            <w:tcW w:w="3027" w:type="pct"/>
          </w:tcPr>
          <w:p w14:paraId="7D6FC057" w14:textId="77777777" w:rsidR="009560E9" w:rsidRPr="003B4086" w:rsidRDefault="009560E9" w:rsidP="00233995">
            <w:pPr>
              <w:pStyle w:val="TableText0"/>
              <w:rPr>
                <w:sz w:val="20"/>
                <w:szCs w:val="20"/>
              </w:rPr>
            </w:pPr>
            <w:r w:rsidRPr="003B4086">
              <w:rPr>
                <w:sz w:val="20"/>
                <w:szCs w:val="20"/>
              </w:rPr>
              <w:t>Erratum to Primary Clinical Study Report for Study CA209274.</w:t>
            </w:r>
          </w:p>
          <w:p w14:paraId="4332D280" w14:textId="77777777" w:rsidR="009560E9" w:rsidRPr="003B4086" w:rsidRDefault="009560E9" w:rsidP="00233995">
            <w:pPr>
              <w:pStyle w:val="TableText0"/>
              <w:rPr>
                <w:sz w:val="20"/>
                <w:szCs w:val="20"/>
              </w:rPr>
            </w:pPr>
            <w:r w:rsidRPr="003B4086">
              <w:rPr>
                <w:sz w:val="20"/>
                <w:szCs w:val="20"/>
              </w:rPr>
              <w:t>A Phase 3 Randomized, Double-blind, Multi-center Study of Adjuvant</w:t>
            </w:r>
          </w:p>
          <w:p w14:paraId="0FC24CF3" w14:textId="1ECE45BA" w:rsidR="009560E9" w:rsidRPr="003B4086" w:rsidRDefault="009560E9" w:rsidP="00233995">
            <w:pPr>
              <w:pStyle w:val="TableText0"/>
              <w:rPr>
                <w:sz w:val="20"/>
                <w:szCs w:val="20"/>
              </w:rPr>
            </w:pPr>
            <w:r w:rsidRPr="003B4086">
              <w:rPr>
                <w:sz w:val="20"/>
                <w:szCs w:val="20"/>
              </w:rPr>
              <w:t xml:space="preserve">Nivolumab versus Placebo in Subjects with </w:t>
            </w:r>
            <w:r w:rsidR="00E84147" w:rsidRPr="003B4086">
              <w:rPr>
                <w:sz w:val="20"/>
                <w:szCs w:val="20"/>
              </w:rPr>
              <w:t>High risk</w:t>
            </w:r>
            <w:r w:rsidRPr="003B4086">
              <w:rPr>
                <w:sz w:val="20"/>
                <w:szCs w:val="20"/>
              </w:rPr>
              <w:t xml:space="preserve"> Invasive Urothelial</w:t>
            </w:r>
          </w:p>
          <w:p w14:paraId="2C0EAE97" w14:textId="77777777" w:rsidR="009560E9" w:rsidRPr="003B4086" w:rsidRDefault="009560E9" w:rsidP="00233995">
            <w:pPr>
              <w:pStyle w:val="TableText0"/>
              <w:rPr>
                <w:sz w:val="20"/>
                <w:szCs w:val="20"/>
              </w:rPr>
            </w:pPr>
            <w:r w:rsidRPr="003B4086">
              <w:rPr>
                <w:sz w:val="20"/>
                <w:szCs w:val="20"/>
              </w:rPr>
              <w:t>Carcinoma</w:t>
            </w:r>
          </w:p>
        </w:tc>
        <w:tc>
          <w:tcPr>
            <w:tcW w:w="1177" w:type="pct"/>
          </w:tcPr>
          <w:p w14:paraId="798B40B2" w14:textId="02C451D4" w:rsidR="00233995" w:rsidRPr="003B4086" w:rsidRDefault="009560E9" w:rsidP="00233995">
            <w:pPr>
              <w:pStyle w:val="TableText0"/>
              <w:rPr>
                <w:sz w:val="20"/>
                <w:szCs w:val="20"/>
                <w:highlight w:val="yellow"/>
              </w:rPr>
            </w:pPr>
            <w:r w:rsidRPr="003B4086">
              <w:rPr>
                <w:sz w:val="20"/>
                <w:szCs w:val="20"/>
              </w:rPr>
              <w:t>5 May 2021</w:t>
            </w:r>
          </w:p>
        </w:tc>
      </w:tr>
      <w:tr w:rsidR="009560E9" w:rsidRPr="003B4086" w14:paraId="0D6B0DCB" w14:textId="77777777" w:rsidTr="00233995">
        <w:trPr>
          <w:trHeight w:val="861"/>
        </w:trPr>
        <w:tc>
          <w:tcPr>
            <w:tcW w:w="796" w:type="pct"/>
            <w:vMerge/>
          </w:tcPr>
          <w:p w14:paraId="5A19425C" w14:textId="77777777" w:rsidR="009560E9" w:rsidRPr="003B4086" w:rsidRDefault="009560E9" w:rsidP="00AE197F">
            <w:pPr>
              <w:pStyle w:val="TableText0"/>
              <w:rPr>
                <w:sz w:val="20"/>
                <w:szCs w:val="20"/>
                <w:highlight w:val="yellow"/>
              </w:rPr>
            </w:pPr>
          </w:p>
        </w:tc>
        <w:tc>
          <w:tcPr>
            <w:tcW w:w="3027" w:type="pct"/>
          </w:tcPr>
          <w:p w14:paraId="16139792" w14:textId="12A246FD" w:rsidR="009560E9" w:rsidRPr="003B4086" w:rsidRDefault="009560E9" w:rsidP="00233995">
            <w:pPr>
              <w:jc w:val="left"/>
              <w:rPr>
                <w:rFonts w:ascii="Arial Narrow" w:hAnsi="Arial Narrow"/>
                <w:sz w:val="20"/>
                <w:szCs w:val="20"/>
              </w:rPr>
            </w:pPr>
            <w:r w:rsidRPr="003B4086">
              <w:rPr>
                <w:rFonts w:ascii="Arial Narrow" w:eastAsiaTheme="majorEastAsia" w:hAnsi="Arial Narrow" w:cstheme="majorBidi"/>
                <w:bCs/>
                <w:sz w:val="20"/>
                <w:szCs w:val="20"/>
              </w:rPr>
              <w:t>Bajorin, D F.</w:t>
            </w:r>
            <w:r w:rsidR="00ED7C35" w:rsidRPr="003B4086">
              <w:rPr>
                <w:rFonts w:ascii="Arial Narrow" w:eastAsiaTheme="majorEastAsia" w:hAnsi="Arial Narrow" w:cstheme="majorBidi"/>
                <w:bCs/>
                <w:sz w:val="20"/>
                <w:szCs w:val="20"/>
              </w:rPr>
              <w:t>,</w:t>
            </w:r>
            <w:r w:rsidRPr="003B4086">
              <w:rPr>
                <w:rFonts w:ascii="Arial Narrow" w:eastAsiaTheme="majorEastAsia" w:hAnsi="Arial Narrow" w:cstheme="majorBidi"/>
                <w:bCs/>
                <w:sz w:val="20"/>
                <w:szCs w:val="20"/>
              </w:rPr>
              <w:t xml:space="preserve"> et al. Adjuvant nivolumab versus placebo in muscle-invasive urothelial carcinoma. </w:t>
            </w:r>
          </w:p>
        </w:tc>
        <w:tc>
          <w:tcPr>
            <w:tcW w:w="1177" w:type="pct"/>
          </w:tcPr>
          <w:p w14:paraId="08AA6ED8" w14:textId="77777777" w:rsidR="009560E9" w:rsidRPr="003B4086" w:rsidRDefault="009560E9" w:rsidP="00233995">
            <w:pPr>
              <w:pStyle w:val="TableText0"/>
              <w:rPr>
                <w:sz w:val="20"/>
                <w:szCs w:val="20"/>
              </w:rPr>
            </w:pPr>
            <w:r w:rsidRPr="003B4086">
              <w:rPr>
                <w:sz w:val="20"/>
                <w:szCs w:val="20"/>
              </w:rPr>
              <w:t>New England Journal of Medicine 2021; 384(22), 2102-2114.</w:t>
            </w:r>
          </w:p>
        </w:tc>
      </w:tr>
      <w:tr w:rsidR="009560E9" w:rsidRPr="003B4086" w14:paraId="5129C80D" w14:textId="77777777" w:rsidTr="00233995">
        <w:trPr>
          <w:trHeight w:val="861"/>
        </w:trPr>
        <w:tc>
          <w:tcPr>
            <w:tcW w:w="796" w:type="pct"/>
            <w:vMerge/>
          </w:tcPr>
          <w:p w14:paraId="5EFCD67F" w14:textId="77777777" w:rsidR="009560E9" w:rsidRPr="003B4086" w:rsidRDefault="009560E9" w:rsidP="00AE197F">
            <w:pPr>
              <w:pStyle w:val="TableText0"/>
              <w:rPr>
                <w:sz w:val="20"/>
                <w:szCs w:val="20"/>
                <w:highlight w:val="yellow"/>
              </w:rPr>
            </w:pPr>
          </w:p>
        </w:tc>
        <w:tc>
          <w:tcPr>
            <w:tcW w:w="3027" w:type="pct"/>
          </w:tcPr>
          <w:p w14:paraId="24BDB75B" w14:textId="767144C4" w:rsidR="009560E9" w:rsidRPr="003B4086" w:rsidRDefault="009560E9" w:rsidP="00233995">
            <w:pPr>
              <w:pStyle w:val="TableText0"/>
              <w:rPr>
                <w:sz w:val="20"/>
                <w:szCs w:val="20"/>
              </w:rPr>
            </w:pPr>
            <w:r w:rsidRPr="003B4086">
              <w:rPr>
                <w:sz w:val="20"/>
                <w:szCs w:val="20"/>
              </w:rPr>
              <w:t xml:space="preserve">Galsky, DM., et al. Disease-free survival with longer follow-up from the phase 3 CheckMate 274 trial of adjuvant nivolumab in patients who underwent surgery for </w:t>
            </w:r>
            <w:r w:rsidR="00E84147" w:rsidRPr="003B4086">
              <w:rPr>
                <w:sz w:val="20"/>
                <w:szCs w:val="20"/>
              </w:rPr>
              <w:t>high risk</w:t>
            </w:r>
            <w:r w:rsidRPr="003B4086">
              <w:rPr>
                <w:sz w:val="20"/>
                <w:szCs w:val="20"/>
              </w:rPr>
              <w:t xml:space="preserve"> muscle-invasive urothelial carcinoma.</w:t>
            </w:r>
          </w:p>
        </w:tc>
        <w:tc>
          <w:tcPr>
            <w:tcW w:w="1177" w:type="pct"/>
          </w:tcPr>
          <w:p w14:paraId="1D2FE325" w14:textId="77777777" w:rsidR="009560E9" w:rsidRPr="003B4086" w:rsidRDefault="009560E9" w:rsidP="00233995">
            <w:pPr>
              <w:pStyle w:val="TableText0"/>
              <w:rPr>
                <w:sz w:val="20"/>
                <w:szCs w:val="20"/>
              </w:rPr>
            </w:pPr>
            <w:r w:rsidRPr="003B4086">
              <w:rPr>
                <w:sz w:val="20"/>
                <w:szCs w:val="20"/>
              </w:rPr>
              <w:t>Society of Urology Oncology (SUO) 22</w:t>
            </w:r>
            <w:r w:rsidRPr="003B4086">
              <w:rPr>
                <w:sz w:val="20"/>
                <w:szCs w:val="20"/>
                <w:vertAlign w:val="superscript"/>
              </w:rPr>
              <w:t>nd</w:t>
            </w:r>
            <w:r w:rsidRPr="003B4086">
              <w:rPr>
                <w:sz w:val="20"/>
                <w:szCs w:val="20"/>
              </w:rPr>
              <w:t xml:space="preserve"> Annual Meeting, December 1–3, 2021.</w:t>
            </w:r>
          </w:p>
        </w:tc>
      </w:tr>
    </w:tbl>
    <w:p w14:paraId="7117F542" w14:textId="4AEC6ABF" w:rsidR="009560E9" w:rsidRPr="003B4086" w:rsidRDefault="009560E9" w:rsidP="009560E9">
      <w:pPr>
        <w:pStyle w:val="TableFigureFooter"/>
      </w:pPr>
      <w:r w:rsidRPr="003B4086">
        <w:t>Source: Table 2.4, p28 of the submission</w:t>
      </w:r>
    </w:p>
    <w:p w14:paraId="1DD06D7D" w14:textId="091E6AA4" w:rsidR="007F1017" w:rsidRPr="003B4086" w:rsidRDefault="008F120A" w:rsidP="00EC5836">
      <w:pPr>
        <w:pStyle w:val="3-BodyText"/>
      </w:pPr>
      <w:r w:rsidRPr="003B4086">
        <w:t xml:space="preserve">The key features of the </w:t>
      </w:r>
      <w:r w:rsidR="00B91D64" w:rsidRPr="003B4086">
        <w:t xml:space="preserve">CM274 trial </w:t>
      </w:r>
      <w:r w:rsidRPr="003B4086">
        <w:t xml:space="preserve">are summarised in </w:t>
      </w:r>
      <w:r w:rsidR="008C5ED1" w:rsidRPr="003B4086">
        <w:fldChar w:fldCharType="begin"/>
      </w:r>
      <w:r w:rsidR="008C5ED1" w:rsidRPr="003B4086">
        <w:instrText xml:space="preserve"> REF _Ref102993989 \h </w:instrText>
      </w:r>
      <w:r w:rsidR="008C5ED1" w:rsidRPr="003B4086">
        <w:fldChar w:fldCharType="separate"/>
      </w:r>
      <w:r w:rsidR="00AB7FCF" w:rsidRPr="003B4086">
        <w:t xml:space="preserve">Table </w:t>
      </w:r>
      <w:r w:rsidR="00AB7FCF" w:rsidRPr="003B4086">
        <w:rPr>
          <w:noProof/>
        </w:rPr>
        <w:t>4</w:t>
      </w:r>
      <w:r w:rsidR="008C5ED1" w:rsidRPr="003B4086">
        <w:fldChar w:fldCharType="end"/>
      </w:r>
      <w:r w:rsidRPr="003B4086">
        <w:t>.</w:t>
      </w:r>
      <w:r w:rsidR="00BC591F" w:rsidRPr="003B4086">
        <w:t xml:space="preserve"> </w:t>
      </w:r>
    </w:p>
    <w:p w14:paraId="355E2F15" w14:textId="01A22BF0" w:rsidR="007F1017" w:rsidRPr="003B4086" w:rsidRDefault="00B91D64" w:rsidP="00B91D64">
      <w:pPr>
        <w:pStyle w:val="TableFigureHeading"/>
        <w:rPr>
          <w:rStyle w:val="CommentReference"/>
          <w:b/>
          <w:szCs w:val="24"/>
        </w:rPr>
      </w:pPr>
      <w:bookmarkStart w:id="21" w:name="_Ref102993989"/>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4</w:t>
      </w:r>
      <w:r w:rsidR="00785573">
        <w:rPr>
          <w:noProof/>
        </w:rPr>
        <w:fldChar w:fldCharType="end"/>
      </w:r>
      <w:bookmarkEnd w:id="21"/>
      <w:r w:rsidRPr="003B4086">
        <w:t xml:space="preserve">: </w:t>
      </w:r>
      <w:r w:rsidR="007F1017" w:rsidRPr="003B4086">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86"/>
        <w:gridCol w:w="552"/>
        <w:gridCol w:w="1419"/>
        <w:gridCol w:w="849"/>
        <w:gridCol w:w="2411"/>
        <w:gridCol w:w="1417"/>
        <w:gridCol w:w="1082"/>
      </w:tblGrid>
      <w:tr w:rsidR="00B41614" w:rsidRPr="003B4086" w14:paraId="53DD7CC6" w14:textId="77777777" w:rsidTr="00814277">
        <w:trPr>
          <w:cantSplit/>
          <w:tblHeader/>
        </w:trPr>
        <w:tc>
          <w:tcPr>
            <w:tcW w:w="713" w:type="pct"/>
            <w:shd w:val="clear" w:color="auto" w:fill="auto"/>
            <w:vAlign w:val="center"/>
          </w:tcPr>
          <w:p w14:paraId="794116BC" w14:textId="77777777" w:rsidR="007F1017" w:rsidRPr="003B4086" w:rsidRDefault="007F1017" w:rsidP="00042C38">
            <w:pPr>
              <w:pStyle w:val="In-tableHeading"/>
              <w:widowControl w:val="0"/>
              <w:rPr>
                <w:lang w:val="en-AU"/>
              </w:rPr>
            </w:pPr>
            <w:r w:rsidRPr="003B4086">
              <w:rPr>
                <w:lang w:val="en-AU"/>
              </w:rPr>
              <w:t>Trial</w:t>
            </w:r>
          </w:p>
        </w:tc>
        <w:tc>
          <w:tcPr>
            <w:tcW w:w="306" w:type="pct"/>
            <w:shd w:val="clear" w:color="auto" w:fill="auto"/>
            <w:vAlign w:val="center"/>
          </w:tcPr>
          <w:p w14:paraId="51122FE5" w14:textId="77777777" w:rsidR="007F1017" w:rsidRPr="003B4086" w:rsidRDefault="007F1017" w:rsidP="00042C38">
            <w:pPr>
              <w:pStyle w:val="In-tableHeading"/>
              <w:widowControl w:val="0"/>
              <w:jc w:val="center"/>
              <w:rPr>
                <w:lang w:val="en-AU"/>
              </w:rPr>
            </w:pPr>
            <w:r w:rsidRPr="003B4086">
              <w:rPr>
                <w:lang w:val="en-AU"/>
              </w:rPr>
              <w:t>N</w:t>
            </w:r>
          </w:p>
        </w:tc>
        <w:tc>
          <w:tcPr>
            <w:tcW w:w="787" w:type="pct"/>
            <w:shd w:val="clear" w:color="auto" w:fill="auto"/>
            <w:vAlign w:val="center"/>
          </w:tcPr>
          <w:p w14:paraId="41C438EF" w14:textId="77777777" w:rsidR="007F1017" w:rsidRPr="003B4086" w:rsidRDefault="007F1017" w:rsidP="00042C38">
            <w:pPr>
              <w:pStyle w:val="In-tableHeading"/>
              <w:widowControl w:val="0"/>
              <w:jc w:val="center"/>
              <w:rPr>
                <w:lang w:val="en-AU"/>
              </w:rPr>
            </w:pPr>
            <w:r w:rsidRPr="003B4086">
              <w:rPr>
                <w:lang w:val="en-AU"/>
              </w:rPr>
              <w:t>Design/ duration</w:t>
            </w:r>
          </w:p>
        </w:tc>
        <w:tc>
          <w:tcPr>
            <w:tcW w:w="471" w:type="pct"/>
            <w:shd w:val="clear" w:color="auto" w:fill="auto"/>
            <w:vAlign w:val="center"/>
          </w:tcPr>
          <w:p w14:paraId="1FC91360" w14:textId="77777777" w:rsidR="007F1017" w:rsidRPr="003B4086" w:rsidRDefault="007F1017" w:rsidP="00042C38">
            <w:pPr>
              <w:pStyle w:val="In-tableHeading"/>
              <w:widowControl w:val="0"/>
              <w:jc w:val="center"/>
              <w:rPr>
                <w:lang w:val="en-AU"/>
              </w:rPr>
            </w:pPr>
            <w:r w:rsidRPr="003B4086">
              <w:rPr>
                <w:lang w:val="en-AU"/>
              </w:rPr>
              <w:t>Risk of bias</w:t>
            </w:r>
          </w:p>
        </w:tc>
        <w:tc>
          <w:tcPr>
            <w:tcW w:w="1337" w:type="pct"/>
            <w:shd w:val="clear" w:color="auto" w:fill="auto"/>
            <w:vAlign w:val="center"/>
          </w:tcPr>
          <w:p w14:paraId="7FF90896" w14:textId="77777777" w:rsidR="007F1017" w:rsidRPr="003B4086" w:rsidRDefault="007F1017" w:rsidP="00042C38">
            <w:pPr>
              <w:pStyle w:val="In-tableHeading"/>
              <w:widowControl w:val="0"/>
              <w:jc w:val="center"/>
              <w:rPr>
                <w:lang w:val="en-AU"/>
              </w:rPr>
            </w:pPr>
            <w:r w:rsidRPr="003B4086">
              <w:rPr>
                <w:lang w:val="en-AU"/>
              </w:rPr>
              <w:t>Patient population</w:t>
            </w:r>
          </w:p>
        </w:tc>
        <w:tc>
          <w:tcPr>
            <w:tcW w:w="786" w:type="pct"/>
            <w:shd w:val="clear" w:color="auto" w:fill="auto"/>
            <w:vAlign w:val="center"/>
          </w:tcPr>
          <w:p w14:paraId="0FCB63F9" w14:textId="77777777" w:rsidR="007F1017" w:rsidRPr="003B4086" w:rsidRDefault="007F1017" w:rsidP="00042C38">
            <w:pPr>
              <w:pStyle w:val="In-tableHeading"/>
              <w:widowControl w:val="0"/>
              <w:jc w:val="center"/>
              <w:rPr>
                <w:lang w:val="en-AU"/>
              </w:rPr>
            </w:pPr>
            <w:r w:rsidRPr="003B4086">
              <w:rPr>
                <w:lang w:val="en-AU"/>
              </w:rPr>
              <w:t>Outcome(s)</w:t>
            </w:r>
          </w:p>
        </w:tc>
        <w:tc>
          <w:tcPr>
            <w:tcW w:w="600" w:type="pct"/>
            <w:shd w:val="clear" w:color="auto" w:fill="auto"/>
            <w:vAlign w:val="center"/>
          </w:tcPr>
          <w:p w14:paraId="08C6F624" w14:textId="77777777" w:rsidR="007F1017" w:rsidRPr="003B4086" w:rsidRDefault="007F1017" w:rsidP="00042C38">
            <w:pPr>
              <w:pStyle w:val="In-tableHeading"/>
              <w:widowControl w:val="0"/>
              <w:jc w:val="center"/>
              <w:rPr>
                <w:lang w:val="en-AU"/>
              </w:rPr>
            </w:pPr>
            <w:r w:rsidRPr="003B4086">
              <w:rPr>
                <w:lang w:val="en-AU"/>
              </w:rPr>
              <w:t>Use in modelled evaluation</w:t>
            </w:r>
          </w:p>
        </w:tc>
      </w:tr>
      <w:tr w:rsidR="007F1017" w:rsidRPr="003B4086" w14:paraId="2A03CD4B" w14:textId="77777777" w:rsidTr="00682BA6">
        <w:trPr>
          <w:cantSplit/>
        </w:trPr>
        <w:tc>
          <w:tcPr>
            <w:tcW w:w="5000" w:type="pct"/>
            <w:gridSpan w:val="7"/>
            <w:shd w:val="clear" w:color="auto" w:fill="auto"/>
            <w:vAlign w:val="center"/>
          </w:tcPr>
          <w:p w14:paraId="73088C85" w14:textId="5B92B3E8" w:rsidR="007F1017" w:rsidRPr="003B4086" w:rsidRDefault="00B91D64" w:rsidP="00042C38">
            <w:pPr>
              <w:pStyle w:val="In-tableHeading"/>
              <w:widowControl w:val="0"/>
              <w:rPr>
                <w:lang w:val="en-AU"/>
              </w:rPr>
            </w:pPr>
            <w:r w:rsidRPr="003B4086">
              <w:rPr>
                <w:lang w:val="en-AU"/>
              </w:rPr>
              <w:t xml:space="preserve">Nivolumab versus placebo (proxy for watchful waiting) </w:t>
            </w:r>
          </w:p>
        </w:tc>
      </w:tr>
      <w:tr w:rsidR="00B41614" w:rsidRPr="003B4086" w14:paraId="4EE88DCB" w14:textId="77777777" w:rsidTr="00814277">
        <w:trPr>
          <w:cantSplit/>
        </w:trPr>
        <w:tc>
          <w:tcPr>
            <w:tcW w:w="713" w:type="pct"/>
            <w:shd w:val="clear" w:color="auto" w:fill="auto"/>
            <w:vAlign w:val="center"/>
          </w:tcPr>
          <w:p w14:paraId="6EE77D33" w14:textId="608BA55E" w:rsidR="007F1017" w:rsidRPr="003B4086" w:rsidRDefault="00B91D64" w:rsidP="00042C38">
            <w:pPr>
              <w:pStyle w:val="TableText0"/>
              <w:widowControl w:val="0"/>
            </w:pPr>
            <w:r w:rsidRPr="003B4086">
              <w:t>CM274</w:t>
            </w:r>
          </w:p>
        </w:tc>
        <w:tc>
          <w:tcPr>
            <w:tcW w:w="306" w:type="pct"/>
            <w:shd w:val="clear" w:color="auto" w:fill="auto"/>
            <w:vAlign w:val="center"/>
          </w:tcPr>
          <w:p w14:paraId="41BB0E41" w14:textId="062AB4F0" w:rsidR="007F1017" w:rsidRPr="003B4086" w:rsidRDefault="00B91D64" w:rsidP="00042C38">
            <w:pPr>
              <w:pStyle w:val="TableText0"/>
              <w:widowControl w:val="0"/>
              <w:jc w:val="center"/>
            </w:pPr>
            <w:r w:rsidRPr="003B4086">
              <w:t>709</w:t>
            </w:r>
          </w:p>
        </w:tc>
        <w:tc>
          <w:tcPr>
            <w:tcW w:w="787" w:type="pct"/>
            <w:shd w:val="clear" w:color="auto" w:fill="auto"/>
            <w:vAlign w:val="center"/>
          </w:tcPr>
          <w:p w14:paraId="401EAFDA" w14:textId="459C5E22" w:rsidR="007F1017" w:rsidRPr="003B4086" w:rsidRDefault="007F1017" w:rsidP="00042C38">
            <w:pPr>
              <w:pStyle w:val="TableText0"/>
              <w:widowControl w:val="0"/>
              <w:jc w:val="center"/>
            </w:pPr>
            <w:r w:rsidRPr="003B4086">
              <w:t>R</w:t>
            </w:r>
            <w:r w:rsidR="00AE197F" w:rsidRPr="003B4086">
              <w:rPr>
                <w:vertAlign w:val="superscript"/>
              </w:rPr>
              <w:t>a</w:t>
            </w:r>
            <w:r w:rsidRPr="003B4086">
              <w:t>, DB</w:t>
            </w:r>
          </w:p>
          <w:p w14:paraId="6F037862" w14:textId="5A354C14" w:rsidR="00B91D64" w:rsidRPr="003B4086" w:rsidRDefault="00B91D64" w:rsidP="00042C38">
            <w:pPr>
              <w:pStyle w:val="TableText0"/>
              <w:widowControl w:val="0"/>
              <w:jc w:val="center"/>
            </w:pPr>
            <w:r w:rsidRPr="003B4086">
              <w:t xml:space="preserve">Median </w:t>
            </w:r>
            <w:r w:rsidR="002979D3" w:rsidRPr="003B4086">
              <w:t>follow-up</w:t>
            </w:r>
            <w:r w:rsidRPr="003B4086">
              <w:t xml:space="preserve"> NIVO: 24.44 months;</w:t>
            </w:r>
          </w:p>
          <w:p w14:paraId="4B70C3D6" w14:textId="77777777" w:rsidR="007F1017" w:rsidRPr="003B4086" w:rsidRDefault="00B91D64" w:rsidP="00042C38">
            <w:pPr>
              <w:pStyle w:val="TableText0"/>
              <w:widowControl w:val="0"/>
              <w:jc w:val="center"/>
            </w:pPr>
            <w:r w:rsidRPr="003B4086">
              <w:t>PBO: 22.51 months</w:t>
            </w:r>
          </w:p>
          <w:p w14:paraId="744D08AC" w14:textId="697736E8" w:rsidR="00042C38" w:rsidRPr="003B4086" w:rsidRDefault="00042C38" w:rsidP="00042C38">
            <w:pPr>
              <w:pStyle w:val="TableText0"/>
              <w:widowControl w:val="0"/>
              <w:jc w:val="center"/>
            </w:pPr>
            <w:r w:rsidRPr="003B4086">
              <w:t>(Data cutoff with data cutoff 01-February-2021)</w:t>
            </w:r>
          </w:p>
        </w:tc>
        <w:tc>
          <w:tcPr>
            <w:tcW w:w="471" w:type="pct"/>
            <w:shd w:val="clear" w:color="auto" w:fill="auto"/>
            <w:vAlign w:val="center"/>
          </w:tcPr>
          <w:p w14:paraId="4A529D74" w14:textId="77777777" w:rsidR="007F1017" w:rsidRPr="003B4086" w:rsidRDefault="007F1017" w:rsidP="00042C38">
            <w:pPr>
              <w:pStyle w:val="TableText0"/>
              <w:widowControl w:val="0"/>
              <w:jc w:val="center"/>
            </w:pPr>
            <w:r w:rsidRPr="003B4086">
              <w:t>Low</w:t>
            </w:r>
          </w:p>
        </w:tc>
        <w:tc>
          <w:tcPr>
            <w:tcW w:w="1337" w:type="pct"/>
            <w:shd w:val="clear" w:color="auto" w:fill="auto"/>
            <w:vAlign w:val="center"/>
          </w:tcPr>
          <w:p w14:paraId="209D9529" w14:textId="77777777" w:rsidR="007F1017" w:rsidRPr="003B4086" w:rsidRDefault="00B91D64" w:rsidP="00042C38">
            <w:pPr>
              <w:pStyle w:val="TableText0"/>
              <w:widowControl w:val="0"/>
              <w:jc w:val="center"/>
              <w:rPr>
                <w:u w:val="single"/>
              </w:rPr>
            </w:pPr>
            <w:r w:rsidRPr="003B4086">
              <w:rPr>
                <w:u w:val="single"/>
              </w:rPr>
              <w:t>Adjuvant setting</w:t>
            </w:r>
          </w:p>
          <w:p w14:paraId="046B29DC" w14:textId="2A893640" w:rsidR="00B91D64" w:rsidRPr="003B4086" w:rsidRDefault="00B91D64" w:rsidP="00042C38">
            <w:pPr>
              <w:pStyle w:val="TableText0"/>
              <w:widowControl w:val="0"/>
              <w:jc w:val="center"/>
            </w:pPr>
            <w:r w:rsidRPr="003B4086">
              <w:t>Undergone radical surgical resection for MIUC.</w:t>
            </w:r>
          </w:p>
          <w:p w14:paraId="4C66FD4F" w14:textId="77777777" w:rsidR="002D654C" w:rsidRPr="003B4086" w:rsidRDefault="002D654C" w:rsidP="00042C38">
            <w:pPr>
              <w:pStyle w:val="TableText0"/>
              <w:widowControl w:val="0"/>
              <w:jc w:val="center"/>
            </w:pPr>
          </w:p>
          <w:p w14:paraId="7144B139" w14:textId="1BA353FF" w:rsidR="002D654C" w:rsidRPr="003B4086" w:rsidRDefault="00B91D64" w:rsidP="00042C38">
            <w:pPr>
              <w:pStyle w:val="TableText0"/>
              <w:widowControl w:val="0"/>
              <w:jc w:val="center"/>
            </w:pPr>
            <w:r w:rsidRPr="003B4086">
              <w:t xml:space="preserve">Prior neoadjuvant </w:t>
            </w:r>
            <w:r w:rsidR="002D654C" w:rsidRPr="003B4086">
              <w:t xml:space="preserve">cisplatin </w:t>
            </w:r>
            <w:r w:rsidRPr="003B4086">
              <w:t xml:space="preserve">chemotherapy: Stage ypT2-ypT4a or ypN+; </w:t>
            </w:r>
          </w:p>
          <w:p w14:paraId="5E6F456D" w14:textId="6E3F8B93" w:rsidR="00B91D64" w:rsidRPr="003B4086" w:rsidRDefault="002D654C" w:rsidP="00042C38">
            <w:pPr>
              <w:pStyle w:val="TableText0"/>
              <w:widowControl w:val="0"/>
              <w:jc w:val="center"/>
            </w:pPr>
            <w:r w:rsidRPr="003B4086">
              <w:t xml:space="preserve">No prior neoadjuvant cisplatin </w:t>
            </w:r>
            <w:r w:rsidR="00B91D64" w:rsidRPr="003B4086">
              <w:t>and were ineligible</w:t>
            </w:r>
            <w:r w:rsidRPr="003B4086">
              <w:t>/declined</w:t>
            </w:r>
            <w:r w:rsidR="00B91D64" w:rsidRPr="003B4086">
              <w:t xml:space="preserve"> adjuvant cisplati</w:t>
            </w:r>
            <w:r w:rsidRPr="003B4086">
              <w:t>n chemotherapy: pT3-pT4a or pN+</w:t>
            </w:r>
          </w:p>
        </w:tc>
        <w:tc>
          <w:tcPr>
            <w:tcW w:w="786" w:type="pct"/>
            <w:shd w:val="clear" w:color="auto" w:fill="auto"/>
            <w:vAlign w:val="center"/>
          </w:tcPr>
          <w:p w14:paraId="7ECBE559" w14:textId="77777777" w:rsidR="002D654C" w:rsidRPr="003B4086" w:rsidRDefault="002D654C" w:rsidP="00042C38">
            <w:pPr>
              <w:pStyle w:val="TableText0"/>
              <w:widowControl w:val="0"/>
              <w:jc w:val="center"/>
            </w:pPr>
            <w:r w:rsidRPr="003B4086">
              <w:t>Primary: DFS</w:t>
            </w:r>
          </w:p>
          <w:p w14:paraId="2368B798" w14:textId="5710508E" w:rsidR="002D654C" w:rsidRPr="003B4086" w:rsidRDefault="002D654C" w:rsidP="00042C38">
            <w:pPr>
              <w:pStyle w:val="TableText0"/>
              <w:widowControl w:val="0"/>
              <w:jc w:val="center"/>
            </w:pPr>
            <w:r w:rsidRPr="003B4086">
              <w:t>Secondary: NUTRFS, OS, and DSS</w:t>
            </w:r>
          </w:p>
          <w:p w14:paraId="27EF35EC" w14:textId="5A183502" w:rsidR="002D654C" w:rsidRPr="003B4086" w:rsidRDefault="002D654C" w:rsidP="00042C38">
            <w:pPr>
              <w:pStyle w:val="TableText0"/>
              <w:widowControl w:val="0"/>
              <w:jc w:val="center"/>
            </w:pPr>
            <w:r w:rsidRPr="003B4086">
              <w:t xml:space="preserve">Exploratory: </w:t>
            </w:r>
          </w:p>
          <w:p w14:paraId="6510C2C2" w14:textId="1382C9BC" w:rsidR="002D654C" w:rsidRPr="003B4086" w:rsidRDefault="003D15B7" w:rsidP="00042C38">
            <w:pPr>
              <w:pStyle w:val="TableText0"/>
              <w:widowControl w:val="0"/>
              <w:jc w:val="center"/>
              <w:rPr>
                <w:rFonts w:eastAsiaTheme="minorHAnsi"/>
              </w:rPr>
            </w:pPr>
            <w:r w:rsidRPr="003B4086">
              <w:rPr>
                <w:rFonts w:eastAsiaTheme="minorHAnsi"/>
              </w:rPr>
              <w:t>DMFS</w:t>
            </w:r>
          </w:p>
          <w:p w14:paraId="1B81E886" w14:textId="2C232A87" w:rsidR="003D15B7" w:rsidRPr="003B4086" w:rsidRDefault="003D15B7" w:rsidP="00042C38">
            <w:pPr>
              <w:pStyle w:val="TableText0"/>
              <w:widowControl w:val="0"/>
              <w:jc w:val="center"/>
              <w:rPr>
                <w:rFonts w:eastAsiaTheme="minorHAnsi"/>
              </w:rPr>
            </w:pPr>
            <w:r w:rsidRPr="003B4086">
              <w:rPr>
                <w:rFonts w:eastAsiaTheme="minorHAnsi"/>
                <w:u w:val="single"/>
              </w:rPr>
              <w:t>Primary analysis populations</w:t>
            </w:r>
            <w:r w:rsidRPr="003B4086">
              <w:rPr>
                <w:rFonts w:eastAsiaTheme="minorHAnsi"/>
              </w:rPr>
              <w:t>:</w:t>
            </w:r>
          </w:p>
          <w:p w14:paraId="6DC76214" w14:textId="0E1035FA" w:rsidR="007F1017" w:rsidRPr="003B4086" w:rsidRDefault="003D15B7" w:rsidP="00042C38">
            <w:pPr>
              <w:pStyle w:val="TableText0"/>
              <w:widowControl w:val="0"/>
              <w:jc w:val="center"/>
            </w:pPr>
            <w:r w:rsidRPr="003B4086">
              <w:t>ITT and the PD-L1 ≥ 1% subgroup</w:t>
            </w:r>
          </w:p>
        </w:tc>
        <w:tc>
          <w:tcPr>
            <w:tcW w:w="600" w:type="pct"/>
            <w:shd w:val="clear" w:color="auto" w:fill="auto"/>
            <w:vAlign w:val="center"/>
          </w:tcPr>
          <w:p w14:paraId="150A804C" w14:textId="673F2E75" w:rsidR="007F1017" w:rsidRPr="003B4086" w:rsidRDefault="00ED7C35" w:rsidP="00042C38">
            <w:pPr>
              <w:pStyle w:val="TableText0"/>
              <w:widowControl w:val="0"/>
              <w:jc w:val="center"/>
            </w:pPr>
            <w:r w:rsidRPr="003B4086">
              <w:t>Only trial-based DFS data used</w:t>
            </w:r>
          </w:p>
        </w:tc>
      </w:tr>
    </w:tbl>
    <w:p w14:paraId="560080D2" w14:textId="0CB5EECA" w:rsidR="00045017" w:rsidRPr="003B4086" w:rsidRDefault="00045017" w:rsidP="00276230">
      <w:pPr>
        <w:pStyle w:val="TableFigureFooter"/>
      </w:pPr>
      <w:r w:rsidRPr="003B4086">
        <w:t>Source:</w:t>
      </w:r>
      <w:r w:rsidR="002D654C" w:rsidRPr="003B4086">
        <w:t xml:space="preserve"> Table 23, p61 and Section 2.4.3 of the submission and the Round 2 clinical evaluation report for nivolumab (Submission PM-2021-02518-1-4</w:t>
      </w:r>
      <w:r w:rsidRPr="003B4086">
        <w:t xml:space="preserve"> </w:t>
      </w:r>
    </w:p>
    <w:p w14:paraId="1095487C" w14:textId="7E4D3A50" w:rsidR="00620C25" w:rsidRPr="003B4086" w:rsidRDefault="00B91D64" w:rsidP="00276230">
      <w:pPr>
        <w:pStyle w:val="TableFigureFooter"/>
      </w:pPr>
      <w:r w:rsidRPr="003B4086">
        <w:t xml:space="preserve">NIVO = nivolumab; PBO = placebo; </w:t>
      </w:r>
      <w:r w:rsidR="00ED7C35" w:rsidRPr="003B4086">
        <w:t xml:space="preserve">PD-L1 = programmed cell death ligand 1; </w:t>
      </w:r>
      <w:r w:rsidR="00620C25" w:rsidRPr="003B4086">
        <w:t xml:space="preserve">DB = double blind; </w:t>
      </w:r>
      <w:r w:rsidR="00ED7C35" w:rsidRPr="003B4086">
        <w:t xml:space="preserve">DSS = disease specific survival; </w:t>
      </w:r>
      <w:r w:rsidR="002D654C" w:rsidRPr="003B4086">
        <w:t xml:space="preserve">DFS = disease free survival; DMFS = distant metastasis-free survival; NUTRFS = non upper tract recurrence free survival; DSS = disease specific survival; </w:t>
      </w:r>
      <w:r w:rsidR="00620C25" w:rsidRPr="003B4086">
        <w:t>OS = overall survival; R = randomised.</w:t>
      </w:r>
    </w:p>
    <w:p w14:paraId="4CD3386A" w14:textId="4A9CA621" w:rsidR="00AE197F" w:rsidRPr="003B4086" w:rsidRDefault="00AE197F" w:rsidP="00276230">
      <w:pPr>
        <w:pStyle w:val="TableFigureFooter"/>
      </w:pPr>
      <w:r w:rsidRPr="003B4086">
        <w:rPr>
          <w:vertAlign w:val="superscript"/>
        </w:rPr>
        <w:t>a</w:t>
      </w:r>
      <w:r w:rsidRPr="003B4086">
        <w:t>Stratification factors at randomisation were: pathologic nodal status (N+ vs. N0/x with &lt; 10 nodes removed vs N0 with ≥ 10 nodes removed); tumour cell PD-L1 expression (≥ 1%, &lt; 1% or indeterminate); and prior use of cisplatin neoadjuvant chemotherapy (yes vs no).</w:t>
      </w:r>
    </w:p>
    <w:p w14:paraId="5A580599" w14:textId="4B6A0863" w:rsidR="00AE197F" w:rsidRPr="003B4086" w:rsidRDefault="00AE197F" w:rsidP="00AE197F">
      <w:pPr>
        <w:pStyle w:val="3-BodyText"/>
      </w:pPr>
      <w:r w:rsidRPr="003B4086">
        <w:t xml:space="preserve">The CM274 trial recruited patients who had undergone radical surgical resection (R0, negative margins) for MIUC, originating in the bladder, ureter or renal pelvis, and who were considered at </w:t>
      </w:r>
      <w:r w:rsidR="00E84147" w:rsidRPr="003B4086">
        <w:t>high risk</w:t>
      </w:r>
      <w:r w:rsidRPr="003B4086">
        <w:t xml:space="preserve"> of disease recurrence. The number of subjects enrolled with UTUC was capped at 20% to “prevent substantial deviation from the natural prevalence of bladder disease (80%) as compared with upper tract disease</w:t>
      </w:r>
      <w:r w:rsidR="00276230" w:rsidRPr="003B4086">
        <w:t>”</w:t>
      </w:r>
      <w:r w:rsidRPr="003B4086">
        <w:t>.</w:t>
      </w:r>
    </w:p>
    <w:p w14:paraId="707B49C6" w14:textId="1BD386B3" w:rsidR="00AE197F" w:rsidRPr="003B4086" w:rsidRDefault="00ED7C35" w:rsidP="00AE197F">
      <w:pPr>
        <w:pStyle w:val="3-BodyText"/>
      </w:pPr>
      <w:r w:rsidRPr="003B4086">
        <w:t xml:space="preserve">High risk of recurrence based on </w:t>
      </w:r>
      <w:r w:rsidR="00AE197F" w:rsidRPr="003B4086">
        <w:t>pathological staging of radical surgery tissue was as follows:</w:t>
      </w:r>
    </w:p>
    <w:p w14:paraId="55FE2A0D" w14:textId="3E8431E7" w:rsidR="00AE197F" w:rsidRPr="003B4086" w:rsidRDefault="00AE197F" w:rsidP="00773A6D">
      <w:pPr>
        <w:pStyle w:val="3-BodyText"/>
        <w:numPr>
          <w:ilvl w:val="0"/>
          <w:numId w:val="7"/>
        </w:numPr>
      </w:pPr>
      <w:r w:rsidRPr="003B4086">
        <w:t>Patients who received neoadjuvant cisplatin chemotherapy: ypT2-ypT4a or ypN+; or</w:t>
      </w:r>
    </w:p>
    <w:p w14:paraId="1D1930D9" w14:textId="77777777" w:rsidR="00AE197F" w:rsidRPr="003B4086" w:rsidRDefault="00AE197F" w:rsidP="00773A6D">
      <w:pPr>
        <w:pStyle w:val="3-BodyText"/>
        <w:numPr>
          <w:ilvl w:val="0"/>
          <w:numId w:val="7"/>
        </w:numPr>
      </w:pPr>
      <w:r w:rsidRPr="003B4086">
        <w:lastRenderedPageBreak/>
        <w:t>Patients who had not received and were ineligible for neoadjuvant cisplatin chemotherapy: pT3-pT4a or pN+ and not eligible for/declined adjuvant cisplatin chemotherapy.</w:t>
      </w:r>
    </w:p>
    <w:p w14:paraId="3E9836BA" w14:textId="1DBD764B" w:rsidR="00AE197F" w:rsidRPr="003B4086" w:rsidRDefault="00AE197F" w:rsidP="00AE197F">
      <w:pPr>
        <w:pStyle w:val="3-BodyText"/>
      </w:pPr>
      <w:r w:rsidRPr="003B4086">
        <w:t>The key factors relating to ineligibility for cisplatin-based chemotherapy were</w:t>
      </w:r>
      <w:r w:rsidR="00A176DF" w:rsidRPr="003B4086">
        <w:t>:</w:t>
      </w:r>
      <w:r w:rsidRPr="003B4086">
        <w:t xml:space="preserve"> i) creatinine clearance of &lt; 60 mL/min, ii) ≥ Grade 2 audiometric hearing loss and peripheral neuropathy, iii) ECOG PS score of 2, and iv) New York Heart Association Class III or IV Heart Failure.</w:t>
      </w:r>
    </w:p>
    <w:p w14:paraId="730BF4A3" w14:textId="322A901C" w:rsidR="00814277" w:rsidRPr="003B4086" w:rsidRDefault="00AE197F" w:rsidP="00224E9F">
      <w:pPr>
        <w:pStyle w:val="3-BodyText"/>
      </w:pPr>
      <w:r w:rsidRPr="003B4086">
        <w:t xml:space="preserve">Patients </w:t>
      </w:r>
      <w:r w:rsidR="00ED7C35" w:rsidRPr="003B4086">
        <w:t>who</w:t>
      </w:r>
      <w:r w:rsidRPr="003B4086">
        <w:t xml:space="preserve"> were eligible for cisplatin chemotherapy could be enrolled if they refused available adjuvant chemotherapy, despite being informed by the investigator about treatment options.</w:t>
      </w:r>
      <w:r w:rsidR="00984032" w:rsidRPr="003B4086">
        <w:t xml:space="preserve"> </w:t>
      </w:r>
      <w:r w:rsidR="00814277" w:rsidRPr="003B4086">
        <w:t>Patients were excluded from the CM274 trial if they had previously undergone a partial cystectomy or partial nephrectomy, received adjuvant systemic therapy, or radiation therapy after radical surgery.</w:t>
      </w:r>
    </w:p>
    <w:p w14:paraId="2BC866B3" w14:textId="1D75E0F5" w:rsidR="00AE197F" w:rsidRPr="003B4086" w:rsidRDefault="00AE197F" w:rsidP="00A85EF0">
      <w:pPr>
        <w:pStyle w:val="3-BodyText"/>
      </w:pPr>
      <w:r w:rsidRPr="003B4086">
        <w:t xml:space="preserve">Stratification factors </w:t>
      </w:r>
      <w:r w:rsidR="00ED7C35" w:rsidRPr="003B4086">
        <w:t xml:space="preserve">in the CM274 trial </w:t>
      </w:r>
      <w:r w:rsidRPr="003B4086">
        <w:t>were: pathologic nodal status (N+ vs. N0/x with &lt; 10 nodes removed vs N0 with ≥ 10 nodes removed); tumour cell PD-L1 expression (≥ 1%, &lt; 1% or indeterminate); and prior use of cisplatin neoadjuvant chemotherapy (yes vs no).</w:t>
      </w:r>
      <w:r w:rsidR="00A85EF0" w:rsidRPr="003B4086">
        <w:t xml:space="preserve"> Less than 2% of patients enrolled in </w:t>
      </w:r>
      <w:r w:rsidR="003754EC" w:rsidRPr="003B4086">
        <w:t xml:space="preserve">the </w:t>
      </w:r>
      <w:r w:rsidR="00A85EF0" w:rsidRPr="003B4086">
        <w:t xml:space="preserve">CM274 </w:t>
      </w:r>
      <w:r w:rsidR="003754EC" w:rsidRPr="003B4086">
        <w:t xml:space="preserve">trial </w:t>
      </w:r>
      <w:r w:rsidR="00A85EF0" w:rsidRPr="003B4086">
        <w:t xml:space="preserve">were classified as </w:t>
      </w:r>
      <w:r w:rsidR="00874885" w:rsidRPr="003B4086">
        <w:t>PD-L1</w:t>
      </w:r>
      <w:r w:rsidR="00D65510" w:rsidRPr="003B4086">
        <w:t xml:space="preserve"> </w:t>
      </w:r>
      <w:r w:rsidR="00A85EF0" w:rsidRPr="003B4086">
        <w:t>indeterminate or not evaluable.</w:t>
      </w:r>
    </w:p>
    <w:p w14:paraId="351ACAA0" w14:textId="3020B36F" w:rsidR="003D15B7" w:rsidRPr="003B4086" w:rsidRDefault="003D15B7" w:rsidP="00C62392">
      <w:pPr>
        <w:pStyle w:val="3-BodyText"/>
      </w:pPr>
      <w:r w:rsidRPr="003B4086">
        <w:t xml:space="preserve">The primary analysis populations were the </w:t>
      </w:r>
      <w:r w:rsidR="00ED7C35" w:rsidRPr="003B4086">
        <w:t>intention to treat (</w:t>
      </w:r>
      <w:r w:rsidRPr="003B4086">
        <w:t>ITT</w:t>
      </w:r>
      <w:r w:rsidR="00ED7C35" w:rsidRPr="003B4086">
        <w:t>)</w:t>
      </w:r>
      <w:r w:rsidRPr="003B4086">
        <w:t xml:space="preserve"> and PD-L1 </w:t>
      </w:r>
      <w:r w:rsidRPr="003B4086">
        <w:rPr>
          <w:rFonts w:cstheme="minorHAnsi"/>
        </w:rPr>
        <w:t>≥</w:t>
      </w:r>
      <w:r w:rsidRPr="003B4086">
        <w:t xml:space="preserve"> 1% </w:t>
      </w:r>
      <w:r w:rsidR="00ED7C35" w:rsidRPr="003B4086">
        <w:t>subgroup populations</w:t>
      </w:r>
      <w:r w:rsidRPr="003B4086">
        <w:t xml:space="preserve">. The primary endpoint was DFS. Secondary and exploratory endpoints included OS, </w:t>
      </w:r>
      <w:r w:rsidR="00C62392" w:rsidRPr="003B4086">
        <w:t>non-urothelial tract recurrence-free survival (NUTRFS) and distant metastasis-free survival (DMFS).</w:t>
      </w:r>
    </w:p>
    <w:p w14:paraId="4579B105" w14:textId="7B52A298" w:rsidR="00984032" w:rsidRPr="003B4086" w:rsidRDefault="00881E6C" w:rsidP="00881E6C">
      <w:pPr>
        <w:pStyle w:val="3-BodyText"/>
      </w:pPr>
      <w:r w:rsidRPr="003B4086">
        <w:t>There were limited data provided in the submission on subsequent anti</w:t>
      </w:r>
      <w:r w:rsidR="00A176DF" w:rsidRPr="003B4086">
        <w:t>-</w:t>
      </w:r>
      <w:r w:rsidRPr="003B4086">
        <w:t xml:space="preserve">cancer treatments in CM274. </w:t>
      </w:r>
      <w:r w:rsidR="00984032" w:rsidRPr="003B4086">
        <w:fldChar w:fldCharType="begin"/>
      </w:r>
      <w:r w:rsidR="00984032" w:rsidRPr="003B4086">
        <w:instrText xml:space="preserve"> REF _Ref102234201 \h </w:instrText>
      </w:r>
      <w:r w:rsidR="00984032" w:rsidRPr="003B4086">
        <w:fldChar w:fldCharType="separate"/>
      </w:r>
      <w:r w:rsidR="00AB7FCF" w:rsidRPr="003B4086">
        <w:t xml:space="preserve">Table </w:t>
      </w:r>
      <w:r w:rsidR="00AB7FCF" w:rsidRPr="003B4086">
        <w:rPr>
          <w:noProof/>
        </w:rPr>
        <w:t>5</w:t>
      </w:r>
      <w:r w:rsidR="00984032" w:rsidRPr="003B4086">
        <w:fldChar w:fldCharType="end"/>
      </w:r>
      <w:r w:rsidR="00984032" w:rsidRPr="003B4086">
        <w:t xml:space="preserve"> presents a summary of subsequent anti</w:t>
      </w:r>
      <w:r w:rsidR="00A176DF" w:rsidRPr="003B4086">
        <w:t>-</w:t>
      </w:r>
      <w:r w:rsidR="00984032" w:rsidRPr="003B4086">
        <w:t>cancer treatments reported for the nivolumab and placebo arms in the CM274 trial.</w:t>
      </w:r>
      <w:r w:rsidR="00737B2E" w:rsidRPr="003B4086">
        <w:t xml:space="preserve"> </w:t>
      </w:r>
      <w:r w:rsidRPr="003B4086">
        <w:t>The proportion of patients by type of subsequent therapy was based on the number of patients randomised.</w:t>
      </w:r>
    </w:p>
    <w:p w14:paraId="7194E7D0" w14:textId="3D1FDAC0" w:rsidR="00984032" w:rsidRPr="003B4086" w:rsidRDefault="00984032" w:rsidP="00984032">
      <w:pPr>
        <w:pStyle w:val="TableFigureHeading"/>
      </w:pPr>
      <w:bookmarkStart w:id="22" w:name="_Ref102234201"/>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5</w:t>
      </w:r>
      <w:r w:rsidR="00785573">
        <w:rPr>
          <w:noProof/>
        </w:rPr>
        <w:fldChar w:fldCharType="end"/>
      </w:r>
      <w:bookmarkEnd w:id="22"/>
      <w:r w:rsidRPr="003B4086">
        <w:t>: Subsequent anti</w:t>
      </w:r>
      <w:r w:rsidR="00A176DF" w:rsidRPr="003B4086">
        <w:t>-</w:t>
      </w:r>
      <w:r w:rsidRPr="003B4086">
        <w:t>cancer therapies in the CM274 trial – ITT population</w:t>
      </w:r>
    </w:p>
    <w:tbl>
      <w:tblPr>
        <w:tblStyle w:val="TableGrid"/>
        <w:tblW w:w="5000" w:type="pct"/>
        <w:tblLook w:val="04A0" w:firstRow="1" w:lastRow="0" w:firstColumn="1" w:lastColumn="0" w:noHBand="0" w:noVBand="1"/>
      </w:tblPr>
      <w:tblGrid>
        <w:gridCol w:w="4919"/>
        <w:gridCol w:w="2124"/>
        <w:gridCol w:w="1973"/>
      </w:tblGrid>
      <w:tr w:rsidR="00984032" w:rsidRPr="003B4086" w14:paraId="77AA4B4A" w14:textId="77777777" w:rsidTr="008C5ED1">
        <w:trPr>
          <w:tblHeader/>
        </w:trPr>
        <w:tc>
          <w:tcPr>
            <w:tcW w:w="272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88E0441" w14:textId="77777777" w:rsidR="00984032" w:rsidRPr="003B4086" w:rsidRDefault="00984032" w:rsidP="00224E9F">
            <w:pPr>
              <w:pStyle w:val="TableText0"/>
              <w:rPr>
                <w:b/>
              </w:rPr>
            </w:pPr>
            <w:r w:rsidRPr="003B4086">
              <w:rPr>
                <w:b/>
              </w:rPr>
              <w:t>Type of subsequent therapy</w:t>
            </w:r>
          </w:p>
        </w:tc>
        <w:tc>
          <w:tcPr>
            <w:tcW w:w="1178" w:type="pct"/>
            <w:tcBorders>
              <w:top w:val="single" w:sz="4" w:space="0" w:color="auto"/>
              <w:left w:val="single" w:sz="4" w:space="0" w:color="auto"/>
              <w:bottom w:val="single" w:sz="4" w:space="0" w:color="auto"/>
              <w:right w:val="single" w:sz="4" w:space="0" w:color="auto"/>
            </w:tcBorders>
            <w:shd w:val="clear" w:color="auto" w:fill="auto"/>
            <w:hideMark/>
          </w:tcPr>
          <w:p w14:paraId="7B462ED1" w14:textId="77777777" w:rsidR="00984032" w:rsidRPr="003B4086" w:rsidRDefault="00984032" w:rsidP="00224E9F">
            <w:pPr>
              <w:pStyle w:val="TableText0"/>
              <w:rPr>
                <w:b/>
              </w:rPr>
            </w:pPr>
            <w:r w:rsidRPr="003B4086">
              <w:rPr>
                <w:b/>
              </w:rPr>
              <w:t xml:space="preserve">Nivolumab (N=353) </w:t>
            </w:r>
          </w:p>
        </w:tc>
        <w:tc>
          <w:tcPr>
            <w:tcW w:w="1094" w:type="pct"/>
            <w:tcBorders>
              <w:top w:val="single" w:sz="4" w:space="0" w:color="auto"/>
              <w:left w:val="single" w:sz="4" w:space="0" w:color="auto"/>
              <w:bottom w:val="single" w:sz="4" w:space="0" w:color="auto"/>
              <w:right w:val="single" w:sz="4" w:space="0" w:color="auto"/>
            </w:tcBorders>
          </w:tcPr>
          <w:p w14:paraId="4E7EF5D8" w14:textId="77777777" w:rsidR="00984032" w:rsidRPr="003B4086" w:rsidRDefault="00984032" w:rsidP="00224E9F">
            <w:pPr>
              <w:pStyle w:val="TableText0"/>
              <w:rPr>
                <w:b/>
              </w:rPr>
            </w:pPr>
            <w:r w:rsidRPr="003B4086">
              <w:rPr>
                <w:b/>
              </w:rPr>
              <w:t>Placebo (N=356)</w:t>
            </w:r>
          </w:p>
        </w:tc>
      </w:tr>
      <w:tr w:rsidR="00984032" w:rsidRPr="003B4086" w14:paraId="1C129D89" w14:textId="77777777" w:rsidTr="008C5ED1">
        <w:trPr>
          <w:tblHeader/>
        </w:trPr>
        <w:tc>
          <w:tcPr>
            <w:tcW w:w="27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173E55" w14:textId="77777777" w:rsidR="00984032" w:rsidRPr="003B4086" w:rsidRDefault="00984032" w:rsidP="00224E9F">
            <w:pPr>
              <w:pStyle w:val="TableText0"/>
              <w:rPr>
                <w:b/>
              </w:rPr>
            </w:pPr>
          </w:p>
        </w:tc>
        <w:tc>
          <w:tcPr>
            <w:tcW w:w="1178" w:type="pct"/>
            <w:tcBorders>
              <w:top w:val="single" w:sz="4" w:space="0" w:color="auto"/>
              <w:left w:val="single" w:sz="4" w:space="0" w:color="auto"/>
              <w:bottom w:val="single" w:sz="4" w:space="0" w:color="auto"/>
              <w:right w:val="single" w:sz="4" w:space="0" w:color="auto"/>
            </w:tcBorders>
            <w:shd w:val="clear" w:color="auto" w:fill="auto"/>
            <w:hideMark/>
          </w:tcPr>
          <w:p w14:paraId="25BF24D0" w14:textId="313C0DDE" w:rsidR="00984032" w:rsidRPr="003B4086" w:rsidRDefault="00984032" w:rsidP="00224E9F">
            <w:pPr>
              <w:pStyle w:val="TableText0"/>
              <w:rPr>
                <w:b/>
              </w:rPr>
            </w:pPr>
            <w:r w:rsidRPr="003B4086">
              <w:rPr>
                <w:b/>
              </w:rPr>
              <w:t>n (%</w:t>
            </w:r>
            <w:r w:rsidR="00042C38" w:rsidRPr="003B4086">
              <w:rPr>
                <w:b/>
              </w:rPr>
              <w:t xml:space="preserve"> of randomised</w:t>
            </w:r>
            <w:r w:rsidRPr="003B4086">
              <w:rPr>
                <w:b/>
              </w:rPr>
              <w:t>)</w:t>
            </w:r>
          </w:p>
        </w:tc>
        <w:tc>
          <w:tcPr>
            <w:tcW w:w="1094" w:type="pct"/>
            <w:tcBorders>
              <w:top w:val="single" w:sz="4" w:space="0" w:color="auto"/>
              <w:left w:val="single" w:sz="4" w:space="0" w:color="auto"/>
              <w:bottom w:val="single" w:sz="4" w:space="0" w:color="auto"/>
              <w:right w:val="single" w:sz="4" w:space="0" w:color="auto"/>
            </w:tcBorders>
          </w:tcPr>
          <w:p w14:paraId="30F4028D" w14:textId="4BB1E21C" w:rsidR="00984032" w:rsidRPr="003B4086" w:rsidRDefault="00984032" w:rsidP="00042C38">
            <w:pPr>
              <w:pStyle w:val="TableText0"/>
              <w:rPr>
                <w:b/>
              </w:rPr>
            </w:pPr>
            <w:r w:rsidRPr="003B4086">
              <w:rPr>
                <w:b/>
              </w:rPr>
              <w:t>n (%</w:t>
            </w:r>
            <w:r w:rsidR="00042C38" w:rsidRPr="003B4086">
              <w:rPr>
                <w:b/>
              </w:rPr>
              <w:t xml:space="preserve"> of randomised</w:t>
            </w:r>
            <w:r w:rsidRPr="003B4086">
              <w:rPr>
                <w:b/>
              </w:rPr>
              <w:t>)</w:t>
            </w:r>
          </w:p>
        </w:tc>
      </w:tr>
      <w:tr w:rsidR="00984032" w:rsidRPr="003B4086" w14:paraId="1B2B66E6" w14:textId="77777777" w:rsidTr="008C5ED1">
        <w:tc>
          <w:tcPr>
            <w:tcW w:w="2727" w:type="pct"/>
            <w:tcBorders>
              <w:top w:val="single" w:sz="4" w:space="0" w:color="auto"/>
              <w:left w:val="single" w:sz="4" w:space="0" w:color="auto"/>
              <w:bottom w:val="single" w:sz="4" w:space="0" w:color="auto"/>
              <w:right w:val="single" w:sz="4" w:space="0" w:color="auto"/>
            </w:tcBorders>
            <w:shd w:val="clear" w:color="auto" w:fill="FFFFFF"/>
            <w:hideMark/>
          </w:tcPr>
          <w:p w14:paraId="11326119" w14:textId="77777777" w:rsidR="00984032" w:rsidRPr="003B4086" w:rsidRDefault="00984032" w:rsidP="00224E9F">
            <w:pPr>
              <w:pStyle w:val="TableText0"/>
            </w:pPr>
            <w:r w:rsidRPr="003B4086">
              <w:t>Any</w:t>
            </w:r>
            <w:r w:rsidRPr="003B4086">
              <w:rPr>
                <w:vertAlign w:val="superscript"/>
              </w:rPr>
              <w:t>a</w:t>
            </w:r>
          </w:p>
        </w:tc>
        <w:tc>
          <w:tcPr>
            <w:tcW w:w="1178" w:type="pct"/>
            <w:tcBorders>
              <w:top w:val="single" w:sz="4" w:space="0" w:color="auto"/>
              <w:left w:val="single" w:sz="4" w:space="0" w:color="auto"/>
              <w:bottom w:val="single" w:sz="4" w:space="0" w:color="auto"/>
              <w:right w:val="single" w:sz="4" w:space="0" w:color="auto"/>
            </w:tcBorders>
            <w:shd w:val="clear" w:color="auto" w:fill="FFFFFF"/>
            <w:hideMark/>
          </w:tcPr>
          <w:p w14:paraId="54C3A4C4" w14:textId="77777777" w:rsidR="00984032" w:rsidRPr="003B4086" w:rsidRDefault="00984032" w:rsidP="00224E9F">
            <w:pPr>
              <w:pStyle w:val="TableText0"/>
            </w:pPr>
            <w:r w:rsidRPr="003B4086">
              <w:t>124 (35.1%)</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7094E53E" w14:textId="77777777" w:rsidR="00984032" w:rsidRPr="003B4086" w:rsidRDefault="00984032" w:rsidP="00224E9F">
            <w:pPr>
              <w:pStyle w:val="TableText0"/>
            </w:pPr>
            <w:r w:rsidRPr="003B4086">
              <w:t>145 (40.7%)</w:t>
            </w:r>
          </w:p>
        </w:tc>
      </w:tr>
      <w:tr w:rsidR="00984032" w:rsidRPr="003B4086" w14:paraId="627E973F" w14:textId="77777777" w:rsidTr="008C5ED1">
        <w:tc>
          <w:tcPr>
            <w:tcW w:w="2727" w:type="pct"/>
            <w:tcBorders>
              <w:top w:val="single" w:sz="4" w:space="0" w:color="auto"/>
              <w:left w:val="single" w:sz="4" w:space="0" w:color="auto"/>
              <w:bottom w:val="single" w:sz="4" w:space="0" w:color="auto"/>
              <w:right w:val="single" w:sz="4" w:space="0" w:color="auto"/>
            </w:tcBorders>
            <w:shd w:val="clear" w:color="auto" w:fill="FFFFFF"/>
            <w:hideMark/>
          </w:tcPr>
          <w:p w14:paraId="6B174444" w14:textId="77777777" w:rsidR="00984032" w:rsidRPr="003B4086" w:rsidRDefault="00984032" w:rsidP="00224E9F">
            <w:pPr>
              <w:pStyle w:val="TableText0"/>
            </w:pPr>
            <w:r w:rsidRPr="003B4086">
              <w:t>Radiotherapy</w:t>
            </w:r>
          </w:p>
        </w:tc>
        <w:tc>
          <w:tcPr>
            <w:tcW w:w="1178" w:type="pct"/>
            <w:tcBorders>
              <w:top w:val="single" w:sz="4" w:space="0" w:color="auto"/>
              <w:left w:val="single" w:sz="4" w:space="0" w:color="auto"/>
              <w:bottom w:val="single" w:sz="4" w:space="0" w:color="auto"/>
              <w:right w:val="single" w:sz="4" w:space="0" w:color="auto"/>
            </w:tcBorders>
            <w:shd w:val="clear" w:color="auto" w:fill="FFFFFF"/>
            <w:hideMark/>
          </w:tcPr>
          <w:p w14:paraId="76A2E62D" w14:textId="77777777" w:rsidR="00984032" w:rsidRPr="003B4086" w:rsidRDefault="00984032" w:rsidP="00224E9F">
            <w:pPr>
              <w:pStyle w:val="TableText0"/>
            </w:pPr>
            <w:r w:rsidRPr="003B4086">
              <w:t>22 (6.2%)</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626547C1" w14:textId="77777777" w:rsidR="00984032" w:rsidRPr="003B4086" w:rsidRDefault="00984032" w:rsidP="00224E9F">
            <w:pPr>
              <w:pStyle w:val="TableText0"/>
            </w:pPr>
            <w:r w:rsidRPr="003B4086">
              <w:t>29 (8.1%)</w:t>
            </w:r>
          </w:p>
        </w:tc>
      </w:tr>
      <w:tr w:rsidR="00984032" w:rsidRPr="003B4086" w14:paraId="1B417CE6" w14:textId="77777777" w:rsidTr="008C5ED1">
        <w:tc>
          <w:tcPr>
            <w:tcW w:w="2727" w:type="pct"/>
            <w:tcBorders>
              <w:top w:val="single" w:sz="4" w:space="0" w:color="auto"/>
              <w:left w:val="single" w:sz="4" w:space="0" w:color="auto"/>
              <w:bottom w:val="single" w:sz="4" w:space="0" w:color="auto"/>
              <w:right w:val="single" w:sz="4" w:space="0" w:color="auto"/>
            </w:tcBorders>
            <w:shd w:val="clear" w:color="auto" w:fill="FFFFFF"/>
            <w:hideMark/>
          </w:tcPr>
          <w:p w14:paraId="2D7D2773" w14:textId="77777777" w:rsidR="00984032" w:rsidRPr="003B4086" w:rsidRDefault="00984032" w:rsidP="00224E9F">
            <w:pPr>
              <w:pStyle w:val="TableText0"/>
            </w:pPr>
            <w:r w:rsidRPr="003B4086">
              <w:t>Surgery</w:t>
            </w:r>
          </w:p>
        </w:tc>
        <w:tc>
          <w:tcPr>
            <w:tcW w:w="1178" w:type="pct"/>
            <w:tcBorders>
              <w:top w:val="single" w:sz="4" w:space="0" w:color="auto"/>
              <w:left w:val="single" w:sz="4" w:space="0" w:color="auto"/>
              <w:bottom w:val="single" w:sz="4" w:space="0" w:color="auto"/>
              <w:right w:val="single" w:sz="4" w:space="0" w:color="auto"/>
            </w:tcBorders>
            <w:shd w:val="clear" w:color="auto" w:fill="FFFFFF"/>
            <w:hideMark/>
          </w:tcPr>
          <w:p w14:paraId="355F3F45" w14:textId="77777777" w:rsidR="00984032" w:rsidRPr="003B4086" w:rsidRDefault="00984032" w:rsidP="00224E9F">
            <w:pPr>
              <w:pStyle w:val="TableText0"/>
            </w:pPr>
            <w:r w:rsidRPr="003B4086">
              <w:t>14 (4.0%)</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220B0166" w14:textId="77777777" w:rsidR="00984032" w:rsidRPr="003B4086" w:rsidRDefault="00984032" w:rsidP="00224E9F">
            <w:pPr>
              <w:pStyle w:val="TableText0"/>
            </w:pPr>
            <w:r w:rsidRPr="003B4086">
              <w:t>15 (4.2%)</w:t>
            </w:r>
          </w:p>
        </w:tc>
      </w:tr>
      <w:tr w:rsidR="00984032" w:rsidRPr="003B4086" w14:paraId="194134E6" w14:textId="77777777" w:rsidTr="008C5ED1">
        <w:tc>
          <w:tcPr>
            <w:tcW w:w="2727" w:type="pct"/>
            <w:tcBorders>
              <w:top w:val="single" w:sz="4" w:space="0" w:color="auto"/>
              <w:left w:val="single" w:sz="4" w:space="0" w:color="auto"/>
              <w:bottom w:val="single" w:sz="4" w:space="0" w:color="auto"/>
              <w:right w:val="single" w:sz="4" w:space="0" w:color="auto"/>
            </w:tcBorders>
            <w:shd w:val="clear" w:color="auto" w:fill="FFFFFF"/>
            <w:hideMark/>
          </w:tcPr>
          <w:p w14:paraId="3A614B09" w14:textId="77777777" w:rsidR="00984032" w:rsidRPr="003B4086" w:rsidRDefault="00984032" w:rsidP="00224E9F">
            <w:pPr>
              <w:pStyle w:val="TableText0"/>
            </w:pPr>
            <w:r w:rsidRPr="003B4086">
              <w:t>Systemic therapy</w:t>
            </w:r>
          </w:p>
        </w:tc>
        <w:tc>
          <w:tcPr>
            <w:tcW w:w="1178" w:type="pct"/>
            <w:tcBorders>
              <w:top w:val="single" w:sz="4" w:space="0" w:color="auto"/>
              <w:left w:val="single" w:sz="4" w:space="0" w:color="auto"/>
              <w:bottom w:val="single" w:sz="4" w:space="0" w:color="auto"/>
              <w:right w:val="single" w:sz="4" w:space="0" w:color="auto"/>
            </w:tcBorders>
            <w:shd w:val="clear" w:color="auto" w:fill="FFFFFF"/>
            <w:hideMark/>
          </w:tcPr>
          <w:p w14:paraId="41887D0C" w14:textId="77777777" w:rsidR="00984032" w:rsidRPr="003B4086" w:rsidRDefault="00984032" w:rsidP="00224E9F">
            <w:pPr>
              <w:pStyle w:val="TableText0"/>
            </w:pPr>
            <w:r w:rsidRPr="003B4086">
              <w:t>105 (30.0%)</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2C321AF7" w14:textId="77777777" w:rsidR="00984032" w:rsidRPr="003B4086" w:rsidRDefault="00984032" w:rsidP="00224E9F">
            <w:pPr>
              <w:pStyle w:val="TableText0"/>
            </w:pPr>
            <w:r w:rsidRPr="003B4086">
              <w:t>134 (37.6%)</w:t>
            </w:r>
          </w:p>
        </w:tc>
      </w:tr>
      <w:tr w:rsidR="00984032" w:rsidRPr="003B4086" w14:paraId="39416367" w14:textId="77777777" w:rsidTr="008C5ED1">
        <w:tc>
          <w:tcPr>
            <w:tcW w:w="2727" w:type="pct"/>
            <w:tcBorders>
              <w:top w:val="single" w:sz="4" w:space="0" w:color="auto"/>
              <w:left w:val="single" w:sz="4" w:space="0" w:color="auto"/>
              <w:bottom w:val="single" w:sz="4" w:space="0" w:color="auto"/>
              <w:right w:val="single" w:sz="4" w:space="0" w:color="auto"/>
            </w:tcBorders>
            <w:shd w:val="clear" w:color="auto" w:fill="FFFFFF"/>
            <w:hideMark/>
          </w:tcPr>
          <w:p w14:paraId="759713BF" w14:textId="77777777" w:rsidR="00984032" w:rsidRPr="003B4086" w:rsidRDefault="00984032" w:rsidP="00984032">
            <w:pPr>
              <w:pStyle w:val="TableText0"/>
              <w:ind w:left="720" w:hanging="414"/>
            </w:pPr>
            <w:r w:rsidRPr="003B4086">
              <w:t>Immunotherapy</w:t>
            </w:r>
            <w:r w:rsidRPr="003B4086">
              <w:rPr>
                <w:vertAlign w:val="superscript"/>
              </w:rPr>
              <w:t>b</w:t>
            </w:r>
          </w:p>
        </w:tc>
        <w:tc>
          <w:tcPr>
            <w:tcW w:w="1178" w:type="pct"/>
            <w:tcBorders>
              <w:top w:val="single" w:sz="4" w:space="0" w:color="auto"/>
              <w:left w:val="single" w:sz="4" w:space="0" w:color="auto"/>
              <w:bottom w:val="single" w:sz="4" w:space="0" w:color="auto"/>
              <w:right w:val="single" w:sz="4" w:space="0" w:color="auto"/>
            </w:tcBorders>
            <w:shd w:val="clear" w:color="auto" w:fill="FFFFFF"/>
            <w:hideMark/>
          </w:tcPr>
          <w:p w14:paraId="5743117A" w14:textId="77777777" w:rsidR="00984032" w:rsidRPr="003B4086" w:rsidRDefault="00984032" w:rsidP="00224E9F">
            <w:pPr>
              <w:pStyle w:val="TableText0"/>
            </w:pPr>
            <w:r w:rsidRPr="003B4086">
              <w:t>28 (7.9%)</w:t>
            </w:r>
          </w:p>
          <w:p w14:paraId="3FDD8F6E" w14:textId="5DD5BA5C" w:rsidR="00042C38" w:rsidRPr="003B4086" w:rsidRDefault="00042C38" w:rsidP="00224E9F">
            <w:pPr>
              <w:pStyle w:val="TableText0"/>
              <w:rPr>
                <w:i/>
              </w:rPr>
            </w:pPr>
            <w:r w:rsidRPr="003B4086">
              <w:t>18% of patients who recurred (28/153)</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4D2AA5D0" w14:textId="37005B84" w:rsidR="00984032" w:rsidRPr="003B4086" w:rsidRDefault="00984032" w:rsidP="00224E9F">
            <w:pPr>
              <w:pStyle w:val="TableText0"/>
            </w:pPr>
            <w:r w:rsidRPr="003B4086">
              <w:t>85 (23.9%)</w:t>
            </w:r>
          </w:p>
          <w:p w14:paraId="31D45158" w14:textId="3B850B67" w:rsidR="00042C38" w:rsidRPr="003B4086" w:rsidRDefault="00042C38" w:rsidP="00224E9F">
            <w:pPr>
              <w:pStyle w:val="TableText0"/>
              <w:rPr>
                <w:i/>
              </w:rPr>
            </w:pPr>
            <w:r w:rsidRPr="003B4086">
              <w:t>44% of patients who recurred (85/193)</w:t>
            </w:r>
          </w:p>
        </w:tc>
      </w:tr>
      <w:tr w:rsidR="00984032" w:rsidRPr="003B4086" w14:paraId="2A39B220" w14:textId="77777777" w:rsidTr="008C5ED1">
        <w:tc>
          <w:tcPr>
            <w:tcW w:w="2727" w:type="pct"/>
            <w:tcBorders>
              <w:top w:val="single" w:sz="4" w:space="0" w:color="auto"/>
              <w:left w:val="single" w:sz="4" w:space="0" w:color="auto"/>
              <w:bottom w:val="single" w:sz="4" w:space="0" w:color="auto"/>
              <w:right w:val="single" w:sz="4" w:space="0" w:color="auto"/>
            </w:tcBorders>
            <w:shd w:val="clear" w:color="auto" w:fill="FFFFFF"/>
            <w:hideMark/>
          </w:tcPr>
          <w:p w14:paraId="1C8F365E" w14:textId="77777777" w:rsidR="00984032" w:rsidRPr="003B4086" w:rsidRDefault="00984032" w:rsidP="00DC50F9">
            <w:pPr>
              <w:pStyle w:val="TableText0"/>
              <w:ind w:left="306"/>
            </w:pPr>
            <w:r w:rsidRPr="003B4086">
              <w:t xml:space="preserve">Patients with &gt; 1 dose of subsequent intravesical chemotherapy </w:t>
            </w:r>
          </w:p>
        </w:tc>
        <w:tc>
          <w:tcPr>
            <w:tcW w:w="1178" w:type="pct"/>
            <w:tcBorders>
              <w:top w:val="single" w:sz="4" w:space="0" w:color="auto"/>
              <w:left w:val="single" w:sz="4" w:space="0" w:color="auto"/>
              <w:bottom w:val="single" w:sz="4" w:space="0" w:color="auto"/>
              <w:right w:val="single" w:sz="4" w:space="0" w:color="auto"/>
            </w:tcBorders>
            <w:shd w:val="clear" w:color="auto" w:fill="FFFFFF"/>
            <w:hideMark/>
          </w:tcPr>
          <w:p w14:paraId="3D2586B8" w14:textId="77777777" w:rsidR="00984032" w:rsidRPr="003B4086" w:rsidRDefault="00984032" w:rsidP="00224E9F">
            <w:pPr>
              <w:pStyle w:val="TableText0"/>
            </w:pPr>
            <w:r w:rsidRPr="003B4086">
              <w:t>4 (1.1%)</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63AE2120" w14:textId="77777777" w:rsidR="00984032" w:rsidRPr="003B4086" w:rsidRDefault="00984032" w:rsidP="00224E9F">
            <w:pPr>
              <w:pStyle w:val="TableText0"/>
            </w:pPr>
            <w:r w:rsidRPr="003B4086">
              <w:t>9 (2.5%)</w:t>
            </w:r>
          </w:p>
        </w:tc>
      </w:tr>
      <w:tr w:rsidR="00984032" w:rsidRPr="003B4086" w14:paraId="656FBDF9" w14:textId="77777777" w:rsidTr="008C5ED1">
        <w:tc>
          <w:tcPr>
            <w:tcW w:w="2727" w:type="pct"/>
            <w:tcBorders>
              <w:top w:val="single" w:sz="4" w:space="0" w:color="auto"/>
              <w:left w:val="single" w:sz="4" w:space="0" w:color="auto"/>
              <w:bottom w:val="single" w:sz="4" w:space="0" w:color="auto"/>
              <w:right w:val="single" w:sz="4" w:space="0" w:color="auto"/>
            </w:tcBorders>
            <w:shd w:val="clear" w:color="auto" w:fill="FFFFFF"/>
            <w:hideMark/>
          </w:tcPr>
          <w:p w14:paraId="027345E1" w14:textId="77777777" w:rsidR="00984032" w:rsidRPr="003B4086" w:rsidRDefault="00984032" w:rsidP="00DC50F9">
            <w:pPr>
              <w:pStyle w:val="TableText0"/>
              <w:ind w:left="306"/>
            </w:pPr>
            <w:r w:rsidRPr="003B4086">
              <w:t>Patients with 1 dose of subsequent intravesical chemotherapy</w:t>
            </w:r>
          </w:p>
        </w:tc>
        <w:tc>
          <w:tcPr>
            <w:tcW w:w="1178" w:type="pct"/>
            <w:tcBorders>
              <w:top w:val="single" w:sz="4" w:space="0" w:color="auto"/>
              <w:left w:val="single" w:sz="4" w:space="0" w:color="auto"/>
              <w:bottom w:val="single" w:sz="4" w:space="0" w:color="auto"/>
              <w:right w:val="single" w:sz="4" w:space="0" w:color="auto"/>
            </w:tcBorders>
            <w:shd w:val="clear" w:color="auto" w:fill="FFFFFF"/>
            <w:hideMark/>
          </w:tcPr>
          <w:p w14:paraId="1B4C6A75" w14:textId="77777777" w:rsidR="00984032" w:rsidRPr="003B4086" w:rsidRDefault="00984032" w:rsidP="00224E9F">
            <w:pPr>
              <w:pStyle w:val="TableText0"/>
            </w:pPr>
            <w:r w:rsidRPr="003B4086">
              <w:t>5 (1.4%)</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14:paraId="5D9CDA4E" w14:textId="77777777" w:rsidR="00984032" w:rsidRPr="003B4086" w:rsidRDefault="00984032" w:rsidP="00224E9F">
            <w:pPr>
              <w:pStyle w:val="TableText0"/>
            </w:pPr>
            <w:r w:rsidRPr="003B4086">
              <w:t>4 (1.1%)</w:t>
            </w:r>
          </w:p>
        </w:tc>
      </w:tr>
    </w:tbl>
    <w:p w14:paraId="0AD7D8EB" w14:textId="77777777" w:rsidR="00984032" w:rsidRPr="003B4086" w:rsidRDefault="00984032" w:rsidP="00984032">
      <w:pPr>
        <w:pStyle w:val="TableFigureFooter"/>
        <w:rPr>
          <w:rFonts w:eastAsiaTheme="minorHAnsi"/>
        </w:rPr>
      </w:pPr>
      <w:r w:rsidRPr="003B4086">
        <w:rPr>
          <w:rFonts w:eastAsiaTheme="minorHAnsi"/>
        </w:rPr>
        <w:t>Source: Table 22, p60 of the submission.</w:t>
      </w:r>
    </w:p>
    <w:p w14:paraId="5EACABBB" w14:textId="77777777" w:rsidR="00984032" w:rsidRPr="003B4086" w:rsidRDefault="00984032" w:rsidP="00984032">
      <w:pPr>
        <w:pStyle w:val="TableFigureFooter"/>
        <w:rPr>
          <w:rFonts w:eastAsiaTheme="minorHAnsi"/>
        </w:rPr>
      </w:pPr>
      <w:r w:rsidRPr="003B4086">
        <w:rPr>
          <w:rFonts w:eastAsiaTheme="minorHAnsi"/>
        </w:rPr>
        <w:t>ITT = intention to treat.</w:t>
      </w:r>
    </w:p>
    <w:p w14:paraId="15A97296" w14:textId="1F641CAC" w:rsidR="00984032" w:rsidRPr="003B4086" w:rsidRDefault="00984032" w:rsidP="00984032">
      <w:pPr>
        <w:pStyle w:val="TableFigureFooter"/>
        <w:rPr>
          <w:rFonts w:eastAsiaTheme="minorHAnsi"/>
        </w:rPr>
      </w:pPr>
      <w:r w:rsidRPr="003B4086">
        <w:rPr>
          <w:rFonts w:eastAsiaTheme="minorHAnsi"/>
        </w:rPr>
        <w:t>Data based on February 2021 data cutoff</w:t>
      </w:r>
    </w:p>
    <w:p w14:paraId="209D9559" w14:textId="3C7A47DF" w:rsidR="00984032" w:rsidRPr="003B4086" w:rsidRDefault="00984032" w:rsidP="00984032">
      <w:pPr>
        <w:pStyle w:val="TableFigureFooter"/>
        <w:rPr>
          <w:rFonts w:eastAsiaTheme="minorHAnsi"/>
        </w:rPr>
      </w:pPr>
      <w:r w:rsidRPr="003B4086">
        <w:rPr>
          <w:rFonts w:eastAsiaTheme="minorHAnsi"/>
          <w:vertAlign w:val="superscript"/>
        </w:rPr>
        <w:t xml:space="preserve">a </w:t>
      </w:r>
      <w:r w:rsidRPr="003B4086">
        <w:rPr>
          <w:rFonts w:eastAsiaTheme="minorHAnsi"/>
        </w:rPr>
        <w:t xml:space="preserve">Patients may have received more than one type of subsequent therapy. Subsequent therapy was </w:t>
      </w:r>
      <w:r w:rsidR="00ED7C35" w:rsidRPr="003B4086">
        <w:rPr>
          <w:rFonts w:eastAsiaTheme="minorHAnsi"/>
        </w:rPr>
        <w:t xml:space="preserve">primarily based on recurrence. </w:t>
      </w:r>
    </w:p>
    <w:p w14:paraId="4033C5B0" w14:textId="4C0CA670" w:rsidR="00620C25" w:rsidRPr="003B4086" w:rsidRDefault="00984032" w:rsidP="00984032">
      <w:pPr>
        <w:pStyle w:val="TableFigureFooter"/>
        <w:rPr>
          <w:rFonts w:eastAsiaTheme="minorHAnsi"/>
        </w:rPr>
      </w:pPr>
      <w:r w:rsidRPr="003B4086">
        <w:rPr>
          <w:rFonts w:eastAsiaTheme="minorHAnsi"/>
          <w:vertAlign w:val="superscript"/>
        </w:rPr>
        <w:t xml:space="preserve">b </w:t>
      </w:r>
      <w:r w:rsidRPr="003B4086">
        <w:rPr>
          <w:rFonts w:eastAsiaTheme="minorHAnsi"/>
        </w:rPr>
        <w:t>The most frequent subsequent immunotherapies received were pembrolizumab, atezolizumab, and nivolumab. Specific proportions were not reported.</w:t>
      </w:r>
    </w:p>
    <w:p w14:paraId="1C59EE5B" w14:textId="6ABC2F4D" w:rsidR="00737B2E" w:rsidRPr="003B4086" w:rsidRDefault="00737B2E" w:rsidP="00984032">
      <w:pPr>
        <w:pStyle w:val="TableFigureFooter"/>
        <w:rPr>
          <w:rFonts w:eastAsiaTheme="minorHAnsi"/>
        </w:rPr>
      </w:pPr>
    </w:p>
    <w:p w14:paraId="33441EB0" w14:textId="725886E4" w:rsidR="00737B2E" w:rsidRPr="003B4086" w:rsidRDefault="00737B2E" w:rsidP="00224E9F">
      <w:pPr>
        <w:pStyle w:val="3-BodyText"/>
        <w:rPr>
          <w:szCs w:val="18"/>
        </w:rPr>
      </w:pPr>
      <w:r w:rsidRPr="003B4086">
        <w:lastRenderedPageBreak/>
        <w:t xml:space="preserve">Among all randomised subjects, subsequent anti-cancer therapy was received by 35.1% of patients in the nivolumab arm and 40.7% of patients in the placebo arm. The most common form of subsequent anti-cancer therapy was systemic therapy (30.0% in the nivolumab arm and 37.6% patients in the placebo arm). </w:t>
      </w:r>
      <w:r w:rsidR="00EA7F80" w:rsidRPr="003B4086">
        <w:t xml:space="preserve">Subsequent immunotherapy was received by </w:t>
      </w:r>
      <w:r w:rsidRPr="003B4086">
        <w:t>8% and 24% of patients in the nivolumab and placebo arms, respectively. The most frequent subsequent immunotherapies received were pembrolizumab, atezolizumab, and nivolumab</w:t>
      </w:r>
      <w:r w:rsidR="00B213C6" w:rsidRPr="003B4086">
        <w:t>. No further details were provided</w:t>
      </w:r>
      <w:r w:rsidR="00D65510" w:rsidRPr="003B4086">
        <w:t xml:space="preserve"> in the submission</w:t>
      </w:r>
      <w:r w:rsidRPr="003B4086">
        <w:t>.</w:t>
      </w:r>
    </w:p>
    <w:p w14:paraId="10D6B8E3" w14:textId="12D46F14" w:rsidR="00A31E1C" w:rsidRPr="003B4086" w:rsidRDefault="00A31E1C" w:rsidP="008C5ED1">
      <w:pPr>
        <w:pStyle w:val="3-BodyText"/>
        <w:rPr>
          <w:szCs w:val="18"/>
        </w:rPr>
      </w:pPr>
      <w:bookmarkStart w:id="23" w:name="_Ref110258221"/>
      <w:r w:rsidRPr="003B4086">
        <w:t>Among patients who experienced recurrence (</w:t>
      </w:r>
      <w:r w:rsidR="00A176DF" w:rsidRPr="003B4086">
        <w:t xml:space="preserve">estimated as the </w:t>
      </w:r>
      <w:r w:rsidR="00E32C0B" w:rsidRPr="003B4086">
        <w:t>n</w:t>
      </w:r>
      <w:r w:rsidRPr="003B4086">
        <w:t xml:space="preserve">umber of </w:t>
      </w:r>
      <w:r w:rsidR="00A176DF" w:rsidRPr="003B4086">
        <w:t>patients with a DFS event m</w:t>
      </w:r>
      <w:r w:rsidRPr="003B4086">
        <w:t xml:space="preserve">inus </w:t>
      </w:r>
      <w:r w:rsidR="00A176DF" w:rsidRPr="003B4086">
        <w:t xml:space="preserve">the number of </w:t>
      </w:r>
      <w:r w:rsidRPr="003B4086">
        <w:t>pre-recurrence deaths), approximately 18% (28/153) and 44% (85/193) of patients received immunotherapy in the nivolumab and placebo arms, respectively.</w:t>
      </w:r>
      <w:r w:rsidR="00042C38" w:rsidRPr="003B4086">
        <w:t xml:space="preserve"> </w:t>
      </w:r>
      <w:r w:rsidR="00DB768C" w:rsidRPr="003B4086">
        <w:t xml:space="preserve">This pattern of use of subsequent anti-cancer therapies between treatment arms </w:t>
      </w:r>
      <w:r w:rsidR="000A3E29" w:rsidRPr="003B4086">
        <w:t xml:space="preserve">in CM274 does not </w:t>
      </w:r>
      <w:r w:rsidR="00605DE6" w:rsidRPr="003B4086">
        <w:t xml:space="preserve">appear to </w:t>
      </w:r>
      <w:r w:rsidR="000A3E29" w:rsidRPr="003B4086">
        <w:t xml:space="preserve">reflect </w:t>
      </w:r>
      <w:r w:rsidR="000A3E29" w:rsidRPr="003B4086">
        <w:rPr>
          <w:iCs/>
        </w:rPr>
        <w:t>the expected use of subsequent anti-cancer treatment in Australian clinical practice.</w:t>
      </w:r>
      <w:r w:rsidR="000A3E29" w:rsidRPr="003B4086">
        <w:t xml:space="preserve"> S</w:t>
      </w:r>
      <w:r w:rsidRPr="003B4086">
        <w:t xml:space="preserve">equential use of immunotherapy </w:t>
      </w:r>
      <w:r w:rsidR="000A3E29" w:rsidRPr="003B4086">
        <w:t xml:space="preserve">as observed for the nivolumab arm </w:t>
      </w:r>
      <w:r w:rsidRPr="003B4086">
        <w:t xml:space="preserve">is not indicated in Australian clinical practice. </w:t>
      </w:r>
      <w:r w:rsidR="00E32C0B" w:rsidRPr="003B4086">
        <w:t xml:space="preserve">It is also uncertain whether </w:t>
      </w:r>
      <w:r w:rsidR="00B31883" w:rsidRPr="003B4086">
        <w:t xml:space="preserve">subsequent use of immunotherapy </w:t>
      </w:r>
      <w:r w:rsidRPr="003B4086">
        <w:rPr>
          <w:iCs/>
        </w:rPr>
        <w:t xml:space="preserve">in </w:t>
      </w:r>
      <w:r w:rsidR="00605DE6" w:rsidRPr="003B4086">
        <w:rPr>
          <w:iCs/>
        </w:rPr>
        <w:t xml:space="preserve">the placebo arm </w:t>
      </w:r>
      <w:r w:rsidR="00B31883" w:rsidRPr="003B4086">
        <w:rPr>
          <w:iCs/>
        </w:rPr>
        <w:t>is reflective of expected use in clinical practice</w:t>
      </w:r>
      <w:r w:rsidR="00D5797F" w:rsidRPr="003B4086">
        <w:rPr>
          <w:iCs/>
        </w:rPr>
        <w:t xml:space="preserve"> where </w:t>
      </w:r>
      <w:r w:rsidR="00605DE6" w:rsidRPr="003B4086">
        <w:rPr>
          <w:iCs/>
        </w:rPr>
        <w:t>prior use of platinum-based chemotherapy is required to be eligible for a PD-(L)1 inhibitor</w:t>
      </w:r>
      <w:r w:rsidR="00A176DF" w:rsidRPr="003B4086">
        <w:rPr>
          <w:iCs/>
        </w:rPr>
        <w:t xml:space="preserve">, </w:t>
      </w:r>
      <w:r w:rsidR="00D62F32" w:rsidRPr="003B4086">
        <w:rPr>
          <w:iCs/>
        </w:rPr>
        <w:t xml:space="preserve">either </w:t>
      </w:r>
      <w:r w:rsidR="00605DE6" w:rsidRPr="003B4086">
        <w:rPr>
          <w:iCs/>
        </w:rPr>
        <w:t xml:space="preserve">in the first-line maintenance setting </w:t>
      </w:r>
      <w:r w:rsidR="00D62F32" w:rsidRPr="003B4086">
        <w:rPr>
          <w:iCs/>
        </w:rPr>
        <w:t xml:space="preserve">with </w:t>
      </w:r>
      <w:r w:rsidR="00605DE6" w:rsidRPr="003B4086">
        <w:rPr>
          <w:iCs/>
        </w:rPr>
        <w:t>avelumab</w:t>
      </w:r>
      <w:r w:rsidR="00D62F32" w:rsidRPr="003B4086">
        <w:rPr>
          <w:iCs/>
        </w:rPr>
        <w:t xml:space="preserve"> </w:t>
      </w:r>
      <w:r w:rsidR="00D5797F" w:rsidRPr="003B4086">
        <w:rPr>
          <w:iCs/>
        </w:rPr>
        <w:t>(recently recommended</w:t>
      </w:r>
      <w:r w:rsidR="0037707F" w:rsidRPr="003B4086">
        <w:rPr>
          <w:rStyle w:val="FootnoteReference"/>
          <w:iCs/>
        </w:rPr>
        <w:footnoteReference w:id="12"/>
      </w:r>
      <w:r w:rsidR="00D5797F" w:rsidRPr="003B4086">
        <w:rPr>
          <w:iCs/>
        </w:rPr>
        <w:t xml:space="preserve">) </w:t>
      </w:r>
      <w:r w:rsidR="00D62F32" w:rsidRPr="003B4086">
        <w:rPr>
          <w:iCs/>
        </w:rPr>
        <w:t xml:space="preserve">or in the second-line setting </w:t>
      </w:r>
      <w:r w:rsidR="00D5797F" w:rsidRPr="003B4086">
        <w:rPr>
          <w:iCs/>
        </w:rPr>
        <w:t xml:space="preserve">after failure on platinum-based chemotherapy. </w:t>
      </w:r>
      <w:r w:rsidR="00626881" w:rsidRPr="003B4086">
        <w:t xml:space="preserve">The ESC agreed with the evaluation that the </w:t>
      </w:r>
      <w:r w:rsidR="00102370" w:rsidRPr="003B4086">
        <w:t xml:space="preserve">subsequent use of immunotherapy in </w:t>
      </w:r>
      <w:r w:rsidR="00EB4BEF" w:rsidRPr="003B4086">
        <w:t xml:space="preserve">the </w:t>
      </w:r>
      <w:r w:rsidR="00102370" w:rsidRPr="003B4086">
        <w:t>CM274</w:t>
      </w:r>
      <w:r w:rsidR="00EB4BEF" w:rsidRPr="003B4086">
        <w:t xml:space="preserve"> trial</w:t>
      </w:r>
      <w:r w:rsidR="00102370" w:rsidRPr="003B4086">
        <w:t xml:space="preserve"> does not reflect clinical practice in Australia</w:t>
      </w:r>
      <w:r w:rsidR="00EB4BEF" w:rsidRPr="003B4086">
        <w:t xml:space="preserve">. Immunotherapy is typically restricted to one regimen for a patient’s entire treatment course. Furthermore, the use of immunotherapy post radical cystectomy could not be administered prior to receiving platinum-based chemotherapy. </w:t>
      </w:r>
      <w:r w:rsidR="00611440" w:rsidRPr="003B4086">
        <w:t>T</w:t>
      </w:r>
      <w:r w:rsidR="00102370" w:rsidRPr="003B4086">
        <w:t xml:space="preserve">he </w:t>
      </w:r>
      <w:r w:rsidR="000259CD" w:rsidRPr="003B4086">
        <w:t xml:space="preserve">ESC considered the </w:t>
      </w:r>
      <w:r w:rsidR="00D62F32" w:rsidRPr="003B4086">
        <w:t xml:space="preserve">overall impact </w:t>
      </w:r>
      <w:r w:rsidR="00D5797F" w:rsidRPr="003B4086">
        <w:t xml:space="preserve">of subsequent anti-cancer treatments in CM274 </w:t>
      </w:r>
      <w:r w:rsidR="00D62F32" w:rsidRPr="003B4086">
        <w:t xml:space="preserve">on </w:t>
      </w:r>
      <w:r w:rsidR="00D5797F" w:rsidRPr="003B4086">
        <w:t xml:space="preserve">the </w:t>
      </w:r>
      <w:r w:rsidR="00626881" w:rsidRPr="003B4086">
        <w:t>DFS</w:t>
      </w:r>
      <w:r w:rsidR="00102370" w:rsidRPr="003B4086">
        <w:t xml:space="preserve"> and OS</w:t>
      </w:r>
      <w:r w:rsidR="00626881" w:rsidRPr="003B4086">
        <w:t xml:space="preserve"> </w:t>
      </w:r>
      <w:r w:rsidRPr="003B4086">
        <w:t xml:space="preserve">results </w:t>
      </w:r>
      <w:r w:rsidR="00D62F32" w:rsidRPr="003B4086">
        <w:t>remain</w:t>
      </w:r>
      <w:r w:rsidR="00F611AB" w:rsidRPr="003B4086">
        <w:t>ed</w:t>
      </w:r>
      <w:r w:rsidR="00D62F32" w:rsidRPr="003B4086">
        <w:t xml:space="preserve"> unclear from the </w:t>
      </w:r>
      <w:r w:rsidR="00D5797F" w:rsidRPr="003B4086">
        <w:t xml:space="preserve">available </w:t>
      </w:r>
      <w:r w:rsidR="00D62F32" w:rsidRPr="003B4086">
        <w:t>data.</w:t>
      </w:r>
      <w:bookmarkEnd w:id="23"/>
    </w:p>
    <w:p w14:paraId="4A4FE085" w14:textId="1C5613CC" w:rsidR="00B60939" w:rsidRPr="003B4086" w:rsidRDefault="00B60939" w:rsidP="00EC5836">
      <w:pPr>
        <w:pStyle w:val="4-SubsectionHeading"/>
      </w:pPr>
      <w:bookmarkStart w:id="24" w:name="_Toc22897641"/>
      <w:bookmarkStart w:id="25" w:name="_Toc103768130"/>
      <w:r w:rsidRPr="003B4086">
        <w:t>Comparative effectiveness</w:t>
      </w:r>
      <w:bookmarkEnd w:id="24"/>
      <w:bookmarkEnd w:id="25"/>
    </w:p>
    <w:p w14:paraId="78C08C8A" w14:textId="15C67CCE" w:rsidR="000D3C2F" w:rsidRPr="003B4086" w:rsidRDefault="00B213C6" w:rsidP="003754EC">
      <w:pPr>
        <w:pStyle w:val="3-BodyText"/>
      </w:pPr>
      <w:r w:rsidRPr="003B4086">
        <w:t xml:space="preserve">Results for the primary endpoint of DFS in the primary analysis populations (ITT and PD-L1 </w:t>
      </w:r>
      <w:r w:rsidR="003754EC" w:rsidRPr="003B4086">
        <w:t xml:space="preserve">≥ 1% </w:t>
      </w:r>
      <w:r w:rsidRPr="003B4086">
        <w:t>subgroup) are summarised in</w:t>
      </w:r>
      <w:r w:rsidR="006B42D4" w:rsidRPr="003B4086">
        <w:t xml:space="preserve"> </w:t>
      </w:r>
      <w:r w:rsidR="006B42D4" w:rsidRPr="003B4086">
        <w:fldChar w:fldCharType="begin"/>
      </w:r>
      <w:r w:rsidR="006B42D4" w:rsidRPr="003B4086">
        <w:instrText xml:space="preserve"> REF _Ref102282356 \h </w:instrText>
      </w:r>
      <w:r w:rsidR="006B42D4" w:rsidRPr="003B4086">
        <w:fldChar w:fldCharType="separate"/>
      </w:r>
      <w:r w:rsidR="00C6296C" w:rsidRPr="003B4086">
        <w:t xml:space="preserve">Table </w:t>
      </w:r>
      <w:r w:rsidR="00C6296C" w:rsidRPr="003B4086">
        <w:rPr>
          <w:noProof/>
        </w:rPr>
        <w:t>6</w:t>
      </w:r>
      <w:r w:rsidR="006B42D4" w:rsidRPr="003B4086">
        <w:fldChar w:fldCharType="end"/>
      </w:r>
      <w:r w:rsidR="006B42D4" w:rsidRPr="003B4086">
        <w:t>. The corresponding Kaplan-Meier</w:t>
      </w:r>
      <w:r w:rsidR="00620CEF" w:rsidRPr="003B4086">
        <w:t xml:space="preserve"> (KM)</w:t>
      </w:r>
      <w:r w:rsidR="006B42D4" w:rsidRPr="003B4086">
        <w:t xml:space="preserve"> curves are presented in </w:t>
      </w:r>
      <w:r w:rsidR="006B42D4" w:rsidRPr="003B4086">
        <w:fldChar w:fldCharType="begin"/>
      </w:r>
      <w:r w:rsidR="006B42D4" w:rsidRPr="003B4086">
        <w:instrText xml:space="preserve"> REF _Ref102282451 \h </w:instrText>
      </w:r>
      <w:r w:rsidR="006B42D4" w:rsidRPr="003B4086">
        <w:fldChar w:fldCharType="separate"/>
      </w:r>
      <w:r w:rsidR="0011484C" w:rsidRPr="003B4086">
        <w:t xml:space="preserve">Figure </w:t>
      </w:r>
      <w:r w:rsidR="0011484C" w:rsidRPr="003B4086">
        <w:rPr>
          <w:noProof/>
        </w:rPr>
        <w:t>1</w:t>
      </w:r>
      <w:r w:rsidR="006B42D4" w:rsidRPr="003B4086">
        <w:fldChar w:fldCharType="end"/>
      </w:r>
      <w:r w:rsidR="006B42D4" w:rsidRPr="003B4086">
        <w:t xml:space="preserve"> and </w:t>
      </w:r>
      <w:r w:rsidR="006B42D4" w:rsidRPr="003B4086">
        <w:fldChar w:fldCharType="begin"/>
      </w:r>
      <w:r w:rsidR="006B42D4" w:rsidRPr="003B4086">
        <w:instrText xml:space="preserve"> REF _Ref102282453 \h </w:instrText>
      </w:r>
      <w:r w:rsidR="006B42D4" w:rsidRPr="003B4086">
        <w:fldChar w:fldCharType="separate"/>
      </w:r>
      <w:r w:rsidR="0011484C" w:rsidRPr="003B4086">
        <w:t xml:space="preserve">Figure </w:t>
      </w:r>
      <w:r w:rsidR="0011484C" w:rsidRPr="003B4086">
        <w:rPr>
          <w:noProof/>
        </w:rPr>
        <w:t>2</w:t>
      </w:r>
      <w:r w:rsidR="006B42D4" w:rsidRPr="003B4086">
        <w:fldChar w:fldCharType="end"/>
      </w:r>
      <w:r w:rsidR="006B42D4" w:rsidRPr="003B4086">
        <w:t>.</w:t>
      </w:r>
      <w:r w:rsidR="00D65510" w:rsidRPr="003B4086">
        <w:t xml:space="preserve"> The DFS results are for the 1 February 2021 data cutoff.</w:t>
      </w:r>
    </w:p>
    <w:p w14:paraId="31E0DF62" w14:textId="69E3CFF6" w:rsidR="000D3C2F" w:rsidRPr="003B4086" w:rsidRDefault="000D3C2F" w:rsidP="000D3C2F">
      <w:pPr>
        <w:pStyle w:val="TableFigureHeading"/>
        <w:rPr>
          <w:rFonts w:eastAsiaTheme="minorHAnsi"/>
        </w:rPr>
      </w:pPr>
      <w:bookmarkStart w:id="26" w:name="_Ref102282356"/>
      <w:r w:rsidRPr="003B4086">
        <w:lastRenderedPageBreak/>
        <w:t xml:space="preserve">Table </w:t>
      </w:r>
      <w:r w:rsidR="00785573">
        <w:fldChar w:fldCharType="begin"/>
      </w:r>
      <w:r w:rsidR="00785573">
        <w:instrText xml:space="preserve"> SEQ Table \* ARABIC </w:instrText>
      </w:r>
      <w:r w:rsidR="00785573">
        <w:fldChar w:fldCharType="separate"/>
      </w:r>
      <w:r w:rsidR="00C6296C" w:rsidRPr="003B4086">
        <w:rPr>
          <w:noProof/>
        </w:rPr>
        <w:t>6</w:t>
      </w:r>
      <w:r w:rsidR="00785573">
        <w:rPr>
          <w:noProof/>
        </w:rPr>
        <w:fldChar w:fldCharType="end"/>
      </w:r>
      <w:bookmarkEnd w:id="26"/>
      <w:r w:rsidRPr="003B4086">
        <w:t xml:space="preserve">: CM274 - </w:t>
      </w:r>
      <w:r w:rsidRPr="003B4086">
        <w:rPr>
          <w:noProof/>
        </w:rPr>
        <w:t xml:space="preserve">DFS results in the ITT and PD-L1 positive populations </w:t>
      </w:r>
    </w:p>
    <w:tbl>
      <w:tblPr>
        <w:tblStyle w:val="TableGrid"/>
        <w:tblW w:w="5000" w:type="pct"/>
        <w:tblLook w:val="04A0" w:firstRow="1" w:lastRow="0" w:firstColumn="1" w:lastColumn="0" w:noHBand="0" w:noVBand="1"/>
      </w:tblPr>
      <w:tblGrid>
        <w:gridCol w:w="2972"/>
        <w:gridCol w:w="1560"/>
        <w:gridCol w:w="1560"/>
        <w:gridCol w:w="1417"/>
        <w:gridCol w:w="1507"/>
      </w:tblGrid>
      <w:tr w:rsidR="002A3780" w:rsidRPr="003B4086" w14:paraId="672E57AF" w14:textId="77777777" w:rsidTr="002A3780">
        <w:trPr>
          <w:trHeight w:val="123"/>
        </w:trPr>
        <w:tc>
          <w:tcPr>
            <w:tcW w:w="164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AE68E9E" w14:textId="77777777" w:rsidR="000D3C2F" w:rsidRPr="003B4086" w:rsidRDefault="000D3C2F" w:rsidP="00224E9F">
            <w:pPr>
              <w:pStyle w:val="TableText0"/>
              <w:rPr>
                <w:b/>
              </w:rPr>
            </w:pPr>
            <w:r w:rsidRPr="003B4086">
              <w:rPr>
                <w:b/>
              </w:rPr>
              <w:t xml:space="preserve">DFS parameters  </w:t>
            </w:r>
          </w:p>
        </w:tc>
        <w:tc>
          <w:tcPr>
            <w:tcW w:w="173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F9F8FA" w14:textId="77777777" w:rsidR="000D3C2F" w:rsidRPr="003B4086" w:rsidRDefault="000D3C2F" w:rsidP="00224E9F">
            <w:pPr>
              <w:pStyle w:val="TableText0"/>
              <w:rPr>
                <w:b/>
              </w:rPr>
            </w:pPr>
            <w:r w:rsidRPr="003B4086">
              <w:rPr>
                <w:b/>
              </w:rPr>
              <w:t xml:space="preserve">ITT population </w:t>
            </w:r>
          </w:p>
        </w:tc>
        <w:tc>
          <w:tcPr>
            <w:tcW w:w="1622" w:type="pct"/>
            <w:gridSpan w:val="2"/>
            <w:tcBorders>
              <w:top w:val="single" w:sz="4" w:space="0" w:color="auto"/>
              <w:left w:val="single" w:sz="4" w:space="0" w:color="auto"/>
              <w:bottom w:val="single" w:sz="4" w:space="0" w:color="auto"/>
              <w:right w:val="single" w:sz="4" w:space="0" w:color="auto"/>
            </w:tcBorders>
            <w:shd w:val="clear" w:color="auto" w:fill="auto"/>
            <w:hideMark/>
          </w:tcPr>
          <w:p w14:paraId="25D13D6D" w14:textId="77777777" w:rsidR="000D3C2F" w:rsidRPr="003B4086" w:rsidRDefault="000D3C2F" w:rsidP="00224E9F">
            <w:pPr>
              <w:pStyle w:val="TableText0"/>
              <w:rPr>
                <w:b/>
              </w:rPr>
            </w:pPr>
            <w:r w:rsidRPr="003B4086">
              <w:rPr>
                <w:b/>
              </w:rPr>
              <w:t>PD-L1 ≥ 1% subgroup</w:t>
            </w:r>
          </w:p>
        </w:tc>
      </w:tr>
      <w:tr w:rsidR="003632AB" w:rsidRPr="003B4086" w14:paraId="3C27E3BC" w14:textId="77777777" w:rsidTr="00E020DE">
        <w:trPr>
          <w:trHeight w:val="123"/>
        </w:trPr>
        <w:tc>
          <w:tcPr>
            <w:tcW w:w="16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E6D3A6" w14:textId="77777777" w:rsidR="000D3C2F" w:rsidRPr="003B4086" w:rsidRDefault="000D3C2F" w:rsidP="00224E9F">
            <w:pPr>
              <w:pStyle w:val="TableText0"/>
              <w:rPr>
                <w:b/>
              </w:rPr>
            </w:pPr>
          </w:p>
        </w:tc>
        <w:tc>
          <w:tcPr>
            <w:tcW w:w="865" w:type="pct"/>
            <w:tcBorders>
              <w:top w:val="single" w:sz="4" w:space="0" w:color="auto"/>
              <w:left w:val="single" w:sz="4" w:space="0" w:color="auto"/>
              <w:bottom w:val="single" w:sz="4" w:space="0" w:color="auto"/>
              <w:right w:val="single" w:sz="4" w:space="0" w:color="auto"/>
            </w:tcBorders>
            <w:shd w:val="clear" w:color="auto" w:fill="auto"/>
            <w:hideMark/>
          </w:tcPr>
          <w:p w14:paraId="6D5289E7" w14:textId="77777777" w:rsidR="000D3C2F" w:rsidRPr="003B4086" w:rsidRDefault="000D3C2F" w:rsidP="00224E9F">
            <w:pPr>
              <w:pStyle w:val="TableText0"/>
              <w:rPr>
                <w:b/>
              </w:rPr>
            </w:pPr>
            <w:r w:rsidRPr="003B4086">
              <w:rPr>
                <w:b/>
              </w:rPr>
              <w:t>NIVO (N=353)</w:t>
            </w:r>
          </w:p>
        </w:tc>
        <w:tc>
          <w:tcPr>
            <w:tcW w:w="865" w:type="pct"/>
            <w:tcBorders>
              <w:top w:val="single" w:sz="4" w:space="0" w:color="auto"/>
              <w:left w:val="single" w:sz="4" w:space="0" w:color="auto"/>
              <w:bottom w:val="single" w:sz="4" w:space="0" w:color="auto"/>
              <w:right w:val="single" w:sz="4" w:space="0" w:color="auto"/>
            </w:tcBorders>
            <w:shd w:val="clear" w:color="auto" w:fill="auto"/>
            <w:hideMark/>
          </w:tcPr>
          <w:p w14:paraId="128153D7" w14:textId="77777777" w:rsidR="000D3C2F" w:rsidRPr="003B4086" w:rsidRDefault="000D3C2F" w:rsidP="00224E9F">
            <w:pPr>
              <w:pStyle w:val="TableText0"/>
              <w:rPr>
                <w:b/>
              </w:rPr>
            </w:pPr>
            <w:r w:rsidRPr="003B4086">
              <w:rPr>
                <w:b/>
              </w:rPr>
              <w:t>PBO (N=356)</w:t>
            </w:r>
          </w:p>
        </w:tc>
        <w:tc>
          <w:tcPr>
            <w:tcW w:w="786" w:type="pct"/>
            <w:tcBorders>
              <w:top w:val="single" w:sz="4" w:space="0" w:color="auto"/>
              <w:left w:val="single" w:sz="4" w:space="0" w:color="auto"/>
              <w:bottom w:val="single" w:sz="4" w:space="0" w:color="auto"/>
              <w:right w:val="single" w:sz="4" w:space="0" w:color="auto"/>
            </w:tcBorders>
            <w:shd w:val="clear" w:color="auto" w:fill="auto"/>
            <w:hideMark/>
          </w:tcPr>
          <w:p w14:paraId="067A0865" w14:textId="77777777" w:rsidR="000D3C2F" w:rsidRPr="003B4086" w:rsidRDefault="000D3C2F" w:rsidP="00224E9F">
            <w:pPr>
              <w:pStyle w:val="TableText0"/>
              <w:rPr>
                <w:b/>
              </w:rPr>
            </w:pPr>
            <w:r w:rsidRPr="003B4086">
              <w:rPr>
                <w:b/>
              </w:rPr>
              <w:t>NIVO (N=140)</w:t>
            </w:r>
          </w:p>
        </w:tc>
        <w:tc>
          <w:tcPr>
            <w:tcW w:w="836" w:type="pct"/>
            <w:tcBorders>
              <w:top w:val="single" w:sz="4" w:space="0" w:color="auto"/>
              <w:left w:val="single" w:sz="4" w:space="0" w:color="auto"/>
              <w:bottom w:val="single" w:sz="4" w:space="0" w:color="auto"/>
              <w:right w:val="single" w:sz="4" w:space="0" w:color="auto"/>
            </w:tcBorders>
            <w:shd w:val="clear" w:color="auto" w:fill="auto"/>
            <w:hideMark/>
          </w:tcPr>
          <w:p w14:paraId="12A0C164" w14:textId="77777777" w:rsidR="000D3C2F" w:rsidRPr="003B4086" w:rsidRDefault="000D3C2F" w:rsidP="00224E9F">
            <w:pPr>
              <w:pStyle w:val="TableText0"/>
              <w:rPr>
                <w:b/>
              </w:rPr>
            </w:pPr>
            <w:r w:rsidRPr="003B4086">
              <w:rPr>
                <w:b/>
              </w:rPr>
              <w:t>PBO (N=142)</w:t>
            </w:r>
          </w:p>
        </w:tc>
      </w:tr>
      <w:tr w:rsidR="0029503E" w:rsidRPr="003B4086" w14:paraId="32B44402" w14:textId="77777777" w:rsidTr="0029503E">
        <w:trPr>
          <w:trHeight w:val="123"/>
        </w:trPr>
        <w:tc>
          <w:tcPr>
            <w:tcW w:w="1648" w:type="pct"/>
            <w:tcBorders>
              <w:top w:val="single" w:sz="4" w:space="0" w:color="auto"/>
              <w:left w:val="single" w:sz="4" w:space="0" w:color="auto"/>
              <w:bottom w:val="nil"/>
              <w:right w:val="single" w:sz="4" w:space="0" w:color="auto"/>
            </w:tcBorders>
            <w:shd w:val="clear" w:color="auto" w:fill="auto"/>
            <w:vAlign w:val="center"/>
          </w:tcPr>
          <w:p w14:paraId="7E830A58" w14:textId="7A43CC3B" w:rsidR="0029503E" w:rsidRPr="0029503E" w:rsidRDefault="0029503E" w:rsidP="0029503E">
            <w:pPr>
              <w:pStyle w:val="TableText0"/>
              <w:rPr>
                <w:bCs w:val="0"/>
              </w:rPr>
            </w:pPr>
            <w:r w:rsidRPr="003B4086">
              <w:t>Events, n (%)</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0430BB06" w14:textId="15FEE81A" w:rsidR="0029503E" w:rsidRPr="0029503E" w:rsidRDefault="0029503E" w:rsidP="0029503E">
            <w:pPr>
              <w:pStyle w:val="TableText0"/>
              <w:rPr>
                <w:bCs w:val="0"/>
              </w:rPr>
            </w:pPr>
            <w:r>
              <w:rPr>
                <w:bCs w:val="0"/>
              </w:rPr>
              <w:t>175 (49.6%)</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5C837BC4" w14:textId="6F1AD9E0" w:rsidR="0029503E" w:rsidRPr="0029503E" w:rsidRDefault="0029503E" w:rsidP="0029503E">
            <w:pPr>
              <w:pStyle w:val="TableText0"/>
              <w:rPr>
                <w:bCs w:val="0"/>
              </w:rPr>
            </w:pPr>
            <w:r>
              <w:rPr>
                <w:bCs w:val="0"/>
              </w:rPr>
              <w:t>213 (59.8%)</w:t>
            </w:r>
          </w:p>
        </w:tc>
        <w:tc>
          <w:tcPr>
            <w:tcW w:w="786" w:type="pct"/>
            <w:tcBorders>
              <w:top w:val="single" w:sz="4" w:space="0" w:color="auto"/>
              <w:left w:val="single" w:sz="4" w:space="0" w:color="auto"/>
              <w:bottom w:val="nil"/>
              <w:right w:val="single" w:sz="4" w:space="0" w:color="auto"/>
            </w:tcBorders>
            <w:shd w:val="clear" w:color="auto" w:fill="auto"/>
          </w:tcPr>
          <w:p w14:paraId="3B2FFCF3" w14:textId="74255B8F" w:rsidR="0029503E" w:rsidRPr="0029503E" w:rsidRDefault="0029503E" w:rsidP="0029503E">
            <w:pPr>
              <w:pStyle w:val="TableText0"/>
              <w:rPr>
                <w:bCs w:val="0"/>
              </w:rPr>
            </w:pPr>
            <w:r w:rsidRPr="003B4086">
              <w:t>56 (40.0%)</w:t>
            </w:r>
          </w:p>
        </w:tc>
        <w:tc>
          <w:tcPr>
            <w:tcW w:w="836" w:type="pct"/>
            <w:tcBorders>
              <w:top w:val="single" w:sz="4" w:space="0" w:color="auto"/>
              <w:left w:val="single" w:sz="4" w:space="0" w:color="auto"/>
              <w:bottom w:val="nil"/>
              <w:right w:val="single" w:sz="4" w:space="0" w:color="auto"/>
            </w:tcBorders>
            <w:shd w:val="clear" w:color="auto" w:fill="auto"/>
          </w:tcPr>
          <w:p w14:paraId="3B07BB96" w14:textId="58368072" w:rsidR="0029503E" w:rsidRPr="0029503E" w:rsidRDefault="0029503E" w:rsidP="0029503E">
            <w:pPr>
              <w:pStyle w:val="TableText0"/>
              <w:rPr>
                <w:bCs w:val="0"/>
              </w:rPr>
            </w:pPr>
            <w:r w:rsidRPr="003B4086">
              <w:t>85 (59.9%)</w:t>
            </w:r>
          </w:p>
        </w:tc>
      </w:tr>
      <w:tr w:rsidR="003632AB" w:rsidRPr="003B4086" w14:paraId="0FF12EB5" w14:textId="77777777" w:rsidTr="0029503E">
        <w:tc>
          <w:tcPr>
            <w:tcW w:w="1648" w:type="pct"/>
            <w:tcBorders>
              <w:top w:val="nil"/>
              <w:left w:val="single" w:sz="4" w:space="0" w:color="auto"/>
              <w:bottom w:val="single" w:sz="4" w:space="0" w:color="auto"/>
              <w:right w:val="single" w:sz="4" w:space="0" w:color="auto"/>
            </w:tcBorders>
            <w:hideMark/>
          </w:tcPr>
          <w:p w14:paraId="7D935795" w14:textId="6C2EB820" w:rsidR="00A3168D" w:rsidRPr="003B4086" w:rsidRDefault="00A3168D" w:rsidP="00A3168D">
            <w:pPr>
              <w:pStyle w:val="TableText0"/>
              <w:tabs>
                <w:tab w:val="left" w:pos="171"/>
              </w:tabs>
            </w:pPr>
            <w:r w:rsidRPr="003B4086">
              <w:tab/>
              <w:t>Disease at baseline</w:t>
            </w:r>
            <w:r w:rsidR="002A3780" w:rsidRPr="003B4086">
              <w:rPr>
                <w:vertAlign w:val="superscript"/>
              </w:rPr>
              <w:t>a</w:t>
            </w:r>
            <w:r w:rsidR="00274A1E" w:rsidRPr="003B4086">
              <w:tab/>
            </w:r>
          </w:p>
          <w:p w14:paraId="41F5F5D3" w14:textId="20295AC7" w:rsidR="002A3780" w:rsidRPr="003B4086" w:rsidRDefault="00A3168D" w:rsidP="00A3168D">
            <w:pPr>
              <w:pStyle w:val="TableText0"/>
              <w:tabs>
                <w:tab w:val="left" w:pos="171"/>
              </w:tabs>
            </w:pPr>
            <w:r w:rsidRPr="003B4086">
              <w:tab/>
            </w:r>
            <w:r w:rsidR="002A3780" w:rsidRPr="003B4086">
              <w:t>Recurrence</w:t>
            </w:r>
            <w:r w:rsidR="002A3780" w:rsidRPr="003B4086">
              <w:rPr>
                <w:vertAlign w:val="superscript"/>
              </w:rPr>
              <w:t>a</w:t>
            </w:r>
          </w:p>
          <w:p w14:paraId="6018DFAD" w14:textId="413AE2A0" w:rsidR="00274A1E" w:rsidRPr="003B4086" w:rsidRDefault="002A3780" w:rsidP="002A3780">
            <w:pPr>
              <w:pStyle w:val="TableText0"/>
              <w:tabs>
                <w:tab w:val="left" w:pos="313"/>
              </w:tabs>
              <w:rPr>
                <w:vertAlign w:val="superscript"/>
              </w:rPr>
            </w:pPr>
            <w:r w:rsidRPr="003B4086">
              <w:tab/>
            </w:r>
            <w:r w:rsidR="00274A1E" w:rsidRPr="003B4086">
              <w:t>Distant</w:t>
            </w:r>
          </w:p>
          <w:p w14:paraId="06A26168" w14:textId="7485848C" w:rsidR="00274A1E" w:rsidRPr="003B4086" w:rsidRDefault="00274A1E" w:rsidP="00A3168D">
            <w:pPr>
              <w:pStyle w:val="TableText0"/>
              <w:tabs>
                <w:tab w:val="left" w:pos="313"/>
              </w:tabs>
              <w:rPr>
                <w:vertAlign w:val="superscript"/>
              </w:rPr>
            </w:pPr>
            <w:r w:rsidRPr="003B4086">
              <w:tab/>
              <w:t>Local non-urothelial tract</w:t>
            </w:r>
          </w:p>
          <w:p w14:paraId="2FF53E25" w14:textId="4B3FD7E1" w:rsidR="00274A1E" w:rsidRPr="003B4086" w:rsidRDefault="00274A1E" w:rsidP="00A3168D">
            <w:pPr>
              <w:pStyle w:val="TableText0"/>
              <w:tabs>
                <w:tab w:val="left" w:pos="313"/>
              </w:tabs>
              <w:rPr>
                <w:vertAlign w:val="superscript"/>
              </w:rPr>
            </w:pPr>
            <w:r w:rsidRPr="003B4086">
              <w:tab/>
              <w:t>Local urothelial tract</w:t>
            </w:r>
            <w:r w:rsidR="002A3780" w:rsidRPr="003B4086">
              <w:t xml:space="preserve"> </w:t>
            </w:r>
            <w:r w:rsidRPr="003B4086">
              <w:t>invasive</w:t>
            </w:r>
          </w:p>
          <w:p w14:paraId="71CC90EB" w14:textId="77777777" w:rsidR="00A3168D" w:rsidRPr="003B4086" w:rsidRDefault="00A3168D" w:rsidP="00A3168D">
            <w:pPr>
              <w:pStyle w:val="TableText0"/>
              <w:tabs>
                <w:tab w:val="left" w:pos="313"/>
              </w:tabs>
            </w:pPr>
            <w:r w:rsidRPr="003B4086">
              <w:tab/>
              <w:t>Local urothelial tract non-</w:t>
            </w:r>
            <w:r w:rsidRPr="003B4086">
              <w:tab/>
              <w:t>invasive</w:t>
            </w:r>
          </w:p>
          <w:p w14:paraId="615864EF" w14:textId="3C4378B0" w:rsidR="002A3780" w:rsidRPr="003B4086" w:rsidRDefault="002A3780" w:rsidP="002A3780">
            <w:pPr>
              <w:pStyle w:val="TableText0"/>
              <w:tabs>
                <w:tab w:val="left" w:pos="171"/>
              </w:tabs>
              <w:rPr>
                <w:vertAlign w:val="superscript"/>
              </w:rPr>
            </w:pPr>
            <w:r w:rsidRPr="003B4086">
              <w:tab/>
              <w:t>Death</w:t>
            </w:r>
            <w:r w:rsidRPr="003B4086">
              <w:rPr>
                <w:vertAlign w:val="superscript"/>
              </w:rPr>
              <w:t>a</w:t>
            </w:r>
          </w:p>
        </w:tc>
        <w:tc>
          <w:tcPr>
            <w:tcW w:w="865" w:type="pct"/>
            <w:tcBorders>
              <w:top w:val="single" w:sz="4" w:space="0" w:color="auto"/>
              <w:left w:val="single" w:sz="4" w:space="0" w:color="auto"/>
              <w:bottom w:val="single" w:sz="4" w:space="0" w:color="auto"/>
              <w:right w:val="single" w:sz="4" w:space="0" w:color="auto"/>
            </w:tcBorders>
            <w:shd w:val="solid" w:color="000000" w:fill="000000"/>
            <w:hideMark/>
          </w:tcPr>
          <w:p w14:paraId="17250329" w14:textId="33659FFF" w:rsidR="002A3780" w:rsidRPr="00E020DE" w:rsidRDefault="00E020DE" w:rsidP="00A3168D">
            <w:pPr>
              <w:pStyle w:val="TableText0"/>
            </w:pPr>
            <w:r w:rsidRPr="0029503E">
              <w:rPr>
                <w:color w:val="000000"/>
                <w:spacing w:val="48"/>
                <w:fitText w:val="500" w:id="-1435270135"/>
                <w14:textFill>
                  <w14:solidFill>
                    <w14:srgbClr w14:val="000000">
                      <w14:alpha w14:val="100000"/>
                    </w14:srgbClr>
                  </w14:solidFill>
                </w14:textFill>
              </w:rPr>
              <w:t>|||||</w:t>
            </w:r>
            <w:r w:rsidRPr="0029503E">
              <w:rPr>
                <w:color w:val="000000"/>
                <w:spacing w:val="5"/>
                <w:fitText w:val="500" w:id="-1435270135"/>
                <w14:textFill>
                  <w14:solidFill>
                    <w14:srgbClr w14:val="000000">
                      <w14:alpha w14:val="100000"/>
                    </w14:srgbClr>
                  </w14:solidFill>
                </w14:textFill>
              </w:rPr>
              <w:t>|</w:t>
            </w:r>
          </w:p>
        </w:tc>
        <w:tc>
          <w:tcPr>
            <w:tcW w:w="865" w:type="pct"/>
            <w:tcBorders>
              <w:top w:val="single" w:sz="4" w:space="0" w:color="auto"/>
              <w:left w:val="single" w:sz="4" w:space="0" w:color="auto"/>
              <w:bottom w:val="single" w:sz="4" w:space="0" w:color="auto"/>
              <w:right w:val="single" w:sz="4" w:space="0" w:color="auto"/>
            </w:tcBorders>
            <w:shd w:val="solid" w:color="000000" w:fill="000000"/>
            <w:hideMark/>
          </w:tcPr>
          <w:p w14:paraId="01F709AD" w14:textId="30FA9516" w:rsidR="003632AB" w:rsidRPr="00E020DE" w:rsidRDefault="00E020DE" w:rsidP="003632AB">
            <w:pPr>
              <w:pStyle w:val="TableText0"/>
            </w:pPr>
            <w:r w:rsidRPr="00E020DE">
              <w:rPr>
                <w:color w:val="000000"/>
                <w:spacing w:val="48"/>
                <w:fitText w:val="500" w:id="-1435270134"/>
                <w14:textFill>
                  <w14:solidFill>
                    <w14:srgbClr w14:val="000000">
                      <w14:alpha w14:val="100000"/>
                    </w14:srgbClr>
                  </w14:solidFill>
                </w14:textFill>
              </w:rPr>
              <w:t>|||||</w:t>
            </w:r>
            <w:r w:rsidRPr="00E020DE">
              <w:rPr>
                <w:color w:val="000000"/>
                <w:spacing w:val="5"/>
                <w:fitText w:val="500" w:id="-1435270134"/>
                <w14:textFill>
                  <w14:solidFill>
                    <w14:srgbClr w14:val="000000">
                      <w14:alpha w14:val="100000"/>
                    </w14:srgbClr>
                  </w14:solidFill>
                </w14:textFill>
              </w:rPr>
              <w:t>|</w:t>
            </w:r>
          </w:p>
        </w:tc>
        <w:tc>
          <w:tcPr>
            <w:tcW w:w="786" w:type="pct"/>
            <w:tcBorders>
              <w:top w:val="nil"/>
              <w:left w:val="single" w:sz="4" w:space="0" w:color="auto"/>
              <w:bottom w:val="single" w:sz="4" w:space="0" w:color="auto"/>
              <w:right w:val="single" w:sz="4" w:space="0" w:color="auto"/>
            </w:tcBorders>
          </w:tcPr>
          <w:p w14:paraId="7D3AD3C9" w14:textId="0B14E008" w:rsidR="00A3168D" w:rsidRPr="003B4086" w:rsidRDefault="00A3168D" w:rsidP="00224E9F">
            <w:pPr>
              <w:pStyle w:val="TableText0"/>
            </w:pPr>
          </w:p>
        </w:tc>
        <w:tc>
          <w:tcPr>
            <w:tcW w:w="836" w:type="pct"/>
            <w:tcBorders>
              <w:top w:val="nil"/>
              <w:left w:val="single" w:sz="4" w:space="0" w:color="auto"/>
              <w:bottom w:val="single" w:sz="4" w:space="0" w:color="auto"/>
              <w:right w:val="single" w:sz="4" w:space="0" w:color="auto"/>
            </w:tcBorders>
          </w:tcPr>
          <w:p w14:paraId="54DBD116" w14:textId="3AE34675" w:rsidR="00A3168D" w:rsidRPr="003B4086" w:rsidRDefault="00A3168D" w:rsidP="00224E9F">
            <w:pPr>
              <w:pStyle w:val="TableText0"/>
            </w:pPr>
          </w:p>
        </w:tc>
      </w:tr>
      <w:tr w:rsidR="003632AB" w:rsidRPr="003B4086" w14:paraId="787B2881" w14:textId="77777777" w:rsidTr="002A3780">
        <w:tc>
          <w:tcPr>
            <w:tcW w:w="1648" w:type="pct"/>
            <w:tcBorders>
              <w:top w:val="single" w:sz="4" w:space="0" w:color="auto"/>
              <w:left w:val="single" w:sz="4" w:space="0" w:color="auto"/>
              <w:bottom w:val="single" w:sz="4" w:space="0" w:color="auto"/>
              <w:right w:val="single" w:sz="4" w:space="0" w:color="auto"/>
            </w:tcBorders>
            <w:hideMark/>
          </w:tcPr>
          <w:p w14:paraId="329996F1" w14:textId="5D494676" w:rsidR="000D3C2F" w:rsidRPr="003B4086" w:rsidRDefault="000D3C2F" w:rsidP="00224E9F">
            <w:pPr>
              <w:pStyle w:val="TableText0"/>
            </w:pPr>
            <w:r w:rsidRPr="003B4086">
              <w:t>Median DFS (95% CI), months</w:t>
            </w:r>
            <w:r w:rsidR="00274A1E" w:rsidRPr="003B4086">
              <w:rPr>
                <w:vertAlign w:val="superscript"/>
              </w:rPr>
              <w:t>b</w:t>
            </w:r>
          </w:p>
        </w:tc>
        <w:tc>
          <w:tcPr>
            <w:tcW w:w="865" w:type="pct"/>
            <w:tcBorders>
              <w:top w:val="single" w:sz="4" w:space="0" w:color="auto"/>
              <w:left w:val="single" w:sz="4" w:space="0" w:color="auto"/>
              <w:bottom w:val="single" w:sz="4" w:space="0" w:color="auto"/>
              <w:right w:val="single" w:sz="4" w:space="0" w:color="auto"/>
            </w:tcBorders>
            <w:hideMark/>
          </w:tcPr>
          <w:p w14:paraId="49407670" w14:textId="77777777" w:rsidR="000D3C2F" w:rsidRPr="003B4086" w:rsidRDefault="000D3C2F" w:rsidP="00224E9F">
            <w:pPr>
              <w:pStyle w:val="TableText0"/>
            </w:pPr>
            <w:r w:rsidRPr="003B4086">
              <w:t>22.0 (17.7, 36.9)</w:t>
            </w:r>
          </w:p>
        </w:tc>
        <w:tc>
          <w:tcPr>
            <w:tcW w:w="865" w:type="pct"/>
            <w:tcBorders>
              <w:top w:val="single" w:sz="4" w:space="0" w:color="auto"/>
              <w:left w:val="single" w:sz="4" w:space="0" w:color="auto"/>
              <w:bottom w:val="single" w:sz="4" w:space="0" w:color="auto"/>
              <w:right w:val="single" w:sz="4" w:space="0" w:color="auto"/>
            </w:tcBorders>
            <w:hideMark/>
          </w:tcPr>
          <w:p w14:paraId="490C8D30" w14:textId="77777777" w:rsidR="000D3C2F" w:rsidRPr="003B4086" w:rsidRDefault="000D3C2F" w:rsidP="00224E9F">
            <w:pPr>
              <w:pStyle w:val="TableText0"/>
            </w:pPr>
            <w:r w:rsidRPr="003B4086">
              <w:t>10.9 (8.3, 14.0)</w:t>
            </w:r>
          </w:p>
        </w:tc>
        <w:tc>
          <w:tcPr>
            <w:tcW w:w="786" w:type="pct"/>
            <w:tcBorders>
              <w:top w:val="single" w:sz="4" w:space="0" w:color="auto"/>
              <w:left w:val="single" w:sz="4" w:space="0" w:color="auto"/>
              <w:bottom w:val="single" w:sz="4" w:space="0" w:color="auto"/>
              <w:right w:val="single" w:sz="4" w:space="0" w:color="auto"/>
            </w:tcBorders>
            <w:hideMark/>
          </w:tcPr>
          <w:p w14:paraId="019156DD" w14:textId="77777777" w:rsidR="000D3C2F" w:rsidRPr="003B4086" w:rsidRDefault="000D3C2F" w:rsidP="00224E9F">
            <w:pPr>
              <w:pStyle w:val="TableText0"/>
            </w:pPr>
            <w:r w:rsidRPr="003B4086">
              <w:t>NE (22.1, NE)</w:t>
            </w:r>
          </w:p>
        </w:tc>
        <w:tc>
          <w:tcPr>
            <w:tcW w:w="836" w:type="pct"/>
            <w:tcBorders>
              <w:top w:val="single" w:sz="4" w:space="0" w:color="auto"/>
              <w:left w:val="single" w:sz="4" w:space="0" w:color="auto"/>
              <w:bottom w:val="single" w:sz="4" w:space="0" w:color="auto"/>
              <w:right w:val="single" w:sz="4" w:space="0" w:color="auto"/>
            </w:tcBorders>
            <w:hideMark/>
          </w:tcPr>
          <w:p w14:paraId="3FBE0964" w14:textId="77777777" w:rsidR="000D3C2F" w:rsidRPr="003B4086" w:rsidRDefault="000D3C2F" w:rsidP="00224E9F">
            <w:pPr>
              <w:pStyle w:val="TableText0"/>
            </w:pPr>
            <w:r w:rsidRPr="003B4086">
              <w:t>8.4 (5.6, 20.0)</w:t>
            </w:r>
          </w:p>
        </w:tc>
      </w:tr>
      <w:tr w:rsidR="002A3780" w:rsidRPr="003B4086" w14:paraId="0A5BE267" w14:textId="77777777" w:rsidTr="002A3780">
        <w:tc>
          <w:tcPr>
            <w:tcW w:w="1648" w:type="pct"/>
            <w:tcBorders>
              <w:top w:val="single" w:sz="4" w:space="0" w:color="auto"/>
              <w:left w:val="single" w:sz="4" w:space="0" w:color="auto"/>
              <w:bottom w:val="single" w:sz="4" w:space="0" w:color="auto"/>
              <w:right w:val="single" w:sz="4" w:space="0" w:color="auto"/>
            </w:tcBorders>
            <w:hideMark/>
          </w:tcPr>
          <w:p w14:paraId="27CDC6BD" w14:textId="5F210085" w:rsidR="000D3C2F" w:rsidRPr="003B4086" w:rsidRDefault="000D3C2F" w:rsidP="00224E9F">
            <w:pPr>
              <w:pStyle w:val="TableText0"/>
            </w:pPr>
            <w:r w:rsidRPr="003B4086">
              <w:t>HR</w:t>
            </w:r>
            <w:r w:rsidR="00274A1E" w:rsidRPr="003B4086">
              <w:rPr>
                <w:vertAlign w:val="superscript"/>
              </w:rPr>
              <w:t>c</w:t>
            </w:r>
            <w:r w:rsidRPr="003B4086">
              <w:t xml:space="preserve"> (</w:t>
            </w:r>
            <w:r w:rsidR="00394F83" w:rsidRPr="003B4086">
              <w:t>95</w:t>
            </w:r>
            <w:r w:rsidRPr="003B4086">
              <w:t>% CI)</w:t>
            </w:r>
          </w:p>
        </w:tc>
        <w:tc>
          <w:tcPr>
            <w:tcW w:w="1730" w:type="pct"/>
            <w:gridSpan w:val="2"/>
            <w:tcBorders>
              <w:top w:val="single" w:sz="4" w:space="0" w:color="auto"/>
              <w:left w:val="single" w:sz="4" w:space="0" w:color="auto"/>
              <w:bottom w:val="single" w:sz="4" w:space="0" w:color="auto"/>
              <w:right w:val="single" w:sz="4" w:space="0" w:color="auto"/>
            </w:tcBorders>
            <w:hideMark/>
          </w:tcPr>
          <w:p w14:paraId="1C4E0D77" w14:textId="77777777" w:rsidR="000D3C2F" w:rsidRPr="003B4086" w:rsidRDefault="000D3C2F" w:rsidP="00224E9F">
            <w:pPr>
              <w:pStyle w:val="TableText0"/>
            </w:pPr>
            <w:r w:rsidRPr="003B4086">
              <w:t>0.70 (0.57, 0.85)</w:t>
            </w:r>
          </w:p>
        </w:tc>
        <w:tc>
          <w:tcPr>
            <w:tcW w:w="1622" w:type="pct"/>
            <w:gridSpan w:val="2"/>
            <w:tcBorders>
              <w:top w:val="single" w:sz="4" w:space="0" w:color="auto"/>
              <w:left w:val="single" w:sz="4" w:space="0" w:color="auto"/>
              <w:bottom w:val="single" w:sz="4" w:space="0" w:color="auto"/>
              <w:right w:val="single" w:sz="4" w:space="0" w:color="auto"/>
            </w:tcBorders>
            <w:hideMark/>
          </w:tcPr>
          <w:p w14:paraId="796748AC" w14:textId="77777777" w:rsidR="000D3C2F" w:rsidRPr="003B4086" w:rsidRDefault="000D3C2F" w:rsidP="00224E9F">
            <w:pPr>
              <w:pStyle w:val="TableText0"/>
            </w:pPr>
            <w:r w:rsidRPr="003B4086">
              <w:t>0.53 (0.38, 0.75)</w:t>
            </w:r>
          </w:p>
        </w:tc>
      </w:tr>
      <w:tr w:rsidR="002A3780" w:rsidRPr="003B4086" w14:paraId="04AD6B14" w14:textId="77777777" w:rsidTr="002A3780">
        <w:tc>
          <w:tcPr>
            <w:tcW w:w="1648" w:type="pct"/>
            <w:tcBorders>
              <w:top w:val="single" w:sz="4" w:space="0" w:color="auto"/>
              <w:left w:val="single" w:sz="4" w:space="0" w:color="auto"/>
              <w:bottom w:val="single" w:sz="4" w:space="0" w:color="auto"/>
              <w:right w:val="single" w:sz="4" w:space="0" w:color="auto"/>
            </w:tcBorders>
            <w:hideMark/>
          </w:tcPr>
          <w:p w14:paraId="02093CE6" w14:textId="101DDE7D" w:rsidR="000D3C2F" w:rsidRPr="003B4086" w:rsidRDefault="000D3C2F" w:rsidP="00224E9F">
            <w:pPr>
              <w:pStyle w:val="TableText0"/>
            </w:pPr>
            <w:r w:rsidRPr="003B4086">
              <w:t>Stratified log-rank p-value</w:t>
            </w:r>
            <w:r w:rsidR="00274A1E" w:rsidRPr="003B4086">
              <w:rPr>
                <w:vertAlign w:val="superscript"/>
              </w:rPr>
              <w:t>d</w:t>
            </w:r>
          </w:p>
        </w:tc>
        <w:tc>
          <w:tcPr>
            <w:tcW w:w="1730" w:type="pct"/>
            <w:gridSpan w:val="2"/>
            <w:tcBorders>
              <w:top w:val="single" w:sz="4" w:space="0" w:color="auto"/>
              <w:left w:val="single" w:sz="4" w:space="0" w:color="auto"/>
              <w:bottom w:val="single" w:sz="4" w:space="0" w:color="auto"/>
              <w:right w:val="single" w:sz="4" w:space="0" w:color="auto"/>
            </w:tcBorders>
            <w:hideMark/>
          </w:tcPr>
          <w:p w14:paraId="3771EEDD" w14:textId="77777777" w:rsidR="000D3C2F" w:rsidRPr="003B4086" w:rsidRDefault="000D3C2F" w:rsidP="00224E9F">
            <w:pPr>
              <w:pStyle w:val="TableText0"/>
            </w:pPr>
            <w:r w:rsidRPr="003B4086">
              <w:t>0.0005</w:t>
            </w:r>
          </w:p>
        </w:tc>
        <w:tc>
          <w:tcPr>
            <w:tcW w:w="1622" w:type="pct"/>
            <w:gridSpan w:val="2"/>
            <w:tcBorders>
              <w:top w:val="single" w:sz="4" w:space="0" w:color="auto"/>
              <w:left w:val="single" w:sz="4" w:space="0" w:color="auto"/>
              <w:bottom w:val="single" w:sz="4" w:space="0" w:color="auto"/>
              <w:right w:val="single" w:sz="4" w:space="0" w:color="auto"/>
            </w:tcBorders>
            <w:hideMark/>
          </w:tcPr>
          <w:p w14:paraId="28E56DAE" w14:textId="77777777" w:rsidR="000D3C2F" w:rsidRPr="003B4086" w:rsidRDefault="000D3C2F" w:rsidP="00224E9F">
            <w:pPr>
              <w:pStyle w:val="TableText0"/>
            </w:pPr>
            <w:r w:rsidRPr="003B4086">
              <w:t>0.0002</w:t>
            </w:r>
          </w:p>
        </w:tc>
      </w:tr>
      <w:tr w:rsidR="000D3C2F" w:rsidRPr="003B4086" w14:paraId="4FB87D71" w14:textId="77777777" w:rsidTr="002A3780">
        <w:tc>
          <w:tcPr>
            <w:tcW w:w="5000" w:type="pct"/>
            <w:gridSpan w:val="5"/>
            <w:tcBorders>
              <w:top w:val="single" w:sz="4" w:space="0" w:color="auto"/>
              <w:left w:val="single" w:sz="4" w:space="0" w:color="auto"/>
              <w:bottom w:val="single" w:sz="4" w:space="0" w:color="auto"/>
              <w:right w:val="single" w:sz="4" w:space="0" w:color="auto"/>
            </w:tcBorders>
          </w:tcPr>
          <w:p w14:paraId="0BF1A0F5" w14:textId="64ED11A9" w:rsidR="000D3C2F" w:rsidRPr="003B4086" w:rsidRDefault="000D3C2F" w:rsidP="00224E9F">
            <w:pPr>
              <w:pStyle w:val="TableText0"/>
              <w:rPr>
                <w:b/>
                <w:vertAlign w:val="superscript"/>
              </w:rPr>
            </w:pPr>
            <w:r w:rsidRPr="003B4086">
              <w:rPr>
                <w:b/>
              </w:rPr>
              <w:t>Disease free survival rates</w:t>
            </w:r>
            <w:r w:rsidR="00274A1E" w:rsidRPr="003B4086">
              <w:rPr>
                <w:b/>
                <w:vertAlign w:val="superscript"/>
              </w:rPr>
              <w:t>b</w:t>
            </w:r>
          </w:p>
        </w:tc>
      </w:tr>
      <w:tr w:rsidR="003632AB" w:rsidRPr="003B4086" w14:paraId="020CC64C" w14:textId="77777777" w:rsidTr="002A3780">
        <w:tc>
          <w:tcPr>
            <w:tcW w:w="1648" w:type="pct"/>
            <w:tcBorders>
              <w:top w:val="single" w:sz="4" w:space="0" w:color="auto"/>
              <w:left w:val="single" w:sz="4" w:space="0" w:color="auto"/>
              <w:bottom w:val="single" w:sz="4" w:space="0" w:color="auto"/>
              <w:right w:val="single" w:sz="4" w:space="0" w:color="auto"/>
            </w:tcBorders>
            <w:hideMark/>
          </w:tcPr>
          <w:p w14:paraId="73B138DB" w14:textId="1BF4203E" w:rsidR="000D3C2F" w:rsidRPr="003B4086" w:rsidRDefault="00394F83" w:rsidP="00394F83">
            <w:pPr>
              <w:pStyle w:val="TableText0"/>
            </w:pPr>
            <w:r w:rsidRPr="003B4086">
              <w:t>A</w:t>
            </w:r>
            <w:r w:rsidR="000D3C2F" w:rsidRPr="003B4086">
              <w:t>t 6 months, % (95% CI)</w:t>
            </w:r>
          </w:p>
        </w:tc>
        <w:tc>
          <w:tcPr>
            <w:tcW w:w="865" w:type="pct"/>
            <w:tcBorders>
              <w:top w:val="single" w:sz="4" w:space="0" w:color="auto"/>
              <w:left w:val="single" w:sz="4" w:space="0" w:color="auto"/>
              <w:bottom w:val="single" w:sz="4" w:space="0" w:color="auto"/>
              <w:right w:val="single" w:sz="4" w:space="0" w:color="auto"/>
            </w:tcBorders>
            <w:hideMark/>
          </w:tcPr>
          <w:p w14:paraId="70DF1D78" w14:textId="77777777" w:rsidR="000D3C2F" w:rsidRPr="003B4086" w:rsidRDefault="000D3C2F" w:rsidP="00224E9F">
            <w:pPr>
              <w:pStyle w:val="TableText0"/>
            </w:pPr>
            <w:r w:rsidRPr="003B4086">
              <w:t>75.0%</w:t>
            </w:r>
          </w:p>
          <w:p w14:paraId="3A7A84CC" w14:textId="77777777" w:rsidR="000D3C2F" w:rsidRPr="003B4086" w:rsidRDefault="000D3C2F" w:rsidP="00224E9F">
            <w:pPr>
              <w:pStyle w:val="TableText0"/>
            </w:pPr>
            <w:r w:rsidRPr="003B4086">
              <w:t>(70.1, 79.3)</w:t>
            </w:r>
          </w:p>
        </w:tc>
        <w:tc>
          <w:tcPr>
            <w:tcW w:w="865" w:type="pct"/>
            <w:tcBorders>
              <w:top w:val="single" w:sz="4" w:space="0" w:color="auto"/>
              <w:left w:val="single" w:sz="4" w:space="0" w:color="auto"/>
              <w:bottom w:val="single" w:sz="4" w:space="0" w:color="auto"/>
              <w:right w:val="single" w:sz="4" w:space="0" w:color="auto"/>
            </w:tcBorders>
            <w:hideMark/>
          </w:tcPr>
          <w:p w14:paraId="094557DC" w14:textId="77777777" w:rsidR="000D3C2F" w:rsidRPr="003B4086" w:rsidRDefault="000D3C2F" w:rsidP="00224E9F">
            <w:pPr>
              <w:pStyle w:val="TableText0"/>
            </w:pPr>
            <w:r w:rsidRPr="003B4086">
              <w:t>60.5%</w:t>
            </w:r>
          </w:p>
          <w:p w14:paraId="44484CEB" w14:textId="77777777" w:rsidR="000D3C2F" w:rsidRPr="003B4086" w:rsidRDefault="000D3C2F" w:rsidP="00224E9F">
            <w:pPr>
              <w:pStyle w:val="TableText0"/>
            </w:pPr>
            <w:r w:rsidRPr="003B4086">
              <w:t>(55.1, 65.4)</w:t>
            </w:r>
          </w:p>
        </w:tc>
        <w:tc>
          <w:tcPr>
            <w:tcW w:w="786" w:type="pct"/>
            <w:tcBorders>
              <w:top w:val="single" w:sz="4" w:space="0" w:color="auto"/>
              <w:left w:val="single" w:sz="4" w:space="0" w:color="auto"/>
              <w:bottom w:val="single" w:sz="4" w:space="0" w:color="auto"/>
              <w:right w:val="single" w:sz="4" w:space="0" w:color="auto"/>
            </w:tcBorders>
            <w:hideMark/>
          </w:tcPr>
          <w:p w14:paraId="24BB9D7A" w14:textId="77777777" w:rsidR="000D3C2F" w:rsidRPr="003B4086" w:rsidRDefault="000D3C2F" w:rsidP="00224E9F">
            <w:pPr>
              <w:pStyle w:val="TableText0"/>
            </w:pPr>
            <w:r w:rsidRPr="003B4086">
              <w:t>74.5%</w:t>
            </w:r>
          </w:p>
          <w:p w14:paraId="4C951D72" w14:textId="77777777" w:rsidR="000D3C2F" w:rsidRPr="003B4086" w:rsidRDefault="000D3C2F" w:rsidP="00224E9F">
            <w:pPr>
              <w:pStyle w:val="TableText0"/>
            </w:pPr>
            <w:r w:rsidRPr="003B4086">
              <w:t>(66.2, 81.1)</w:t>
            </w:r>
          </w:p>
        </w:tc>
        <w:tc>
          <w:tcPr>
            <w:tcW w:w="836" w:type="pct"/>
            <w:tcBorders>
              <w:top w:val="single" w:sz="4" w:space="0" w:color="auto"/>
              <w:left w:val="single" w:sz="4" w:space="0" w:color="auto"/>
              <w:bottom w:val="single" w:sz="4" w:space="0" w:color="auto"/>
              <w:right w:val="single" w:sz="4" w:space="0" w:color="auto"/>
            </w:tcBorders>
            <w:hideMark/>
          </w:tcPr>
          <w:p w14:paraId="0F978D3C" w14:textId="77777777" w:rsidR="000D3C2F" w:rsidRPr="003B4086" w:rsidRDefault="000D3C2F" w:rsidP="00224E9F">
            <w:pPr>
              <w:pStyle w:val="TableText0"/>
            </w:pPr>
            <w:r w:rsidRPr="003B4086">
              <w:t>55.7%</w:t>
            </w:r>
          </w:p>
          <w:p w14:paraId="44120313" w14:textId="77777777" w:rsidR="000D3C2F" w:rsidRPr="003B4086" w:rsidRDefault="000D3C2F" w:rsidP="00224E9F">
            <w:pPr>
              <w:pStyle w:val="TableText0"/>
            </w:pPr>
            <w:r w:rsidRPr="003B4086">
              <w:t>(46.8, 63.6)</w:t>
            </w:r>
          </w:p>
        </w:tc>
      </w:tr>
      <w:tr w:rsidR="003632AB" w:rsidRPr="003B4086" w14:paraId="6AC3C4E0" w14:textId="77777777" w:rsidTr="002A3780">
        <w:tc>
          <w:tcPr>
            <w:tcW w:w="1648" w:type="pct"/>
            <w:tcBorders>
              <w:top w:val="single" w:sz="4" w:space="0" w:color="auto"/>
              <w:left w:val="single" w:sz="4" w:space="0" w:color="auto"/>
              <w:bottom w:val="single" w:sz="4" w:space="0" w:color="auto"/>
              <w:right w:val="single" w:sz="4" w:space="0" w:color="auto"/>
            </w:tcBorders>
            <w:hideMark/>
          </w:tcPr>
          <w:p w14:paraId="3F2015A5" w14:textId="176C04FD" w:rsidR="000D3C2F" w:rsidRPr="003B4086" w:rsidRDefault="00394F83" w:rsidP="00394F83">
            <w:pPr>
              <w:pStyle w:val="TableText0"/>
            </w:pPr>
            <w:r w:rsidRPr="003B4086">
              <w:t>A</w:t>
            </w:r>
            <w:r w:rsidR="000D3C2F" w:rsidRPr="003B4086">
              <w:t>t 12 months, % (95% CI)</w:t>
            </w:r>
          </w:p>
        </w:tc>
        <w:tc>
          <w:tcPr>
            <w:tcW w:w="865" w:type="pct"/>
            <w:tcBorders>
              <w:top w:val="single" w:sz="4" w:space="0" w:color="auto"/>
              <w:left w:val="single" w:sz="4" w:space="0" w:color="auto"/>
              <w:bottom w:val="single" w:sz="4" w:space="0" w:color="auto"/>
              <w:right w:val="single" w:sz="4" w:space="0" w:color="auto"/>
            </w:tcBorders>
            <w:hideMark/>
          </w:tcPr>
          <w:p w14:paraId="4CEB3216" w14:textId="77777777" w:rsidR="000D3C2F" w:rsidRPr="003B4086" w:rsidRDefault="000D3C2F" w:rsidP="00224E9F">
            <w:pPr>
              <w:pStyle w:val="TableText0"/>
            </w:pPr>
            <w:r w:rsidRPr="003B4086">
              <w:t>63.5%</w:t>
            </w:r>
          </w:p>
          <w:p w14:paraId="75ED49FC" w14:textId="77777777" w:rsidR="000D3C2F" w:rsidRPr="003B4086" w:rsidRDefault="000D3C2F" w:rsidP="00224E9F">
            <w:pPr>
              <w:pStyle w:val="TableText0"/>
            </w:pPr>
            <w:r w:rsidRPr="003B4086">
              <w:t>(58.1, 68.4)</w:t>
            </w:r>
          </w:p>
        </w:tc>
        <w:tc>
          <w:tcPr>
            <w:tcW w:w="865" w:type="pct"/>
            <w:tcBorders>
              <w:top w:val="single" w:sz="4" w:space="0" w:color="auto"/>
              <w:left w:val="single" w:sz="4" w:space="0" w:color="auto"/>
              <w:bottom w:val="single" w:sz="4" w:space="0" w:color="auto"/>
              <w:right w:val="single" w:sz="4" w:space="0" w:color="auto"/>
            </w:tcBorders>
            <w:hideMark/>
          </w:tcPr>
          <w:p w14:paraId="2B3C3A24" w14:textId="77777777" w:rsidR="000D3C2F" w:rsidRPr="003B4086" w:rsidRDefault="000D3C2F" w:rsidP="00224E9F">
            <w:pPr>
              <w:pStyle w:val="TableText0"/>
            </w:pPr>
            <w:r w:rsidRPr="003B4086">
              <w:t>46.9%</w:t>
            </w:r>
          </w:p>
          <w:p w14:paraId="408F38A4" w14:textId="77777777" w:rsidR="000D3C2F" w:rsidRPr="003B4086" w:rsidRDefault="000D3C2F" w:rsidP="00224E9F">
            <w:pPr>
              <w:pStyle w:val="TableText0"/>
            </w:pPr>
            <w:r w:rsidRPr="003B4086">
              <w:t>(41.5, 52.1)</w:t>
            </w:r>
          </w:p>
        </w:tc>
        <w:tc>
          <w:tcPr>
            <w:tcW w:w="786" w:type="pct"/>
            <w:tcBorders>
              <w:top w:val="single" w:sz="4" w:space="0" w:color="auto"/>
              <w:left w:val="single" w:sz="4" w:space="0" w:color="auto"/>
              <w:bottom w:val="single" w:sz="4" w:space="0" w:color="auto"/>
              <w:right w:val="single" w:sz="4" w:space="0" w:color="auto"/>
            </w:tcBorders>
            <w:hideMark/>
          </w:tcPr>
          <w:p w14:paraId="517CC2F2" w14:textId="77777777" w:rsidR="000D3C2F" w:rsidRPr="003B4086" w:rsidRDefault="000D3C2F" w:rsidP="00224E9F">
            <w:pPr>
              <w:pStyle w:val="TableText0"/>
            </w:pPr>
            <w:r w:rsidRPr="003B4086">
              <w:t>67.6%</w:t>
            </w:r>
          </w:p>
          <w:p w14:paraId="3A4F8FD0" w14:textId="77777777" w:rsidR="000D3C2F" w:rsidRPr="003B4086" w:rsidRDefault="000D3C2F" w:rsidP="00224E9F">
            <w:pPr>
              <w:pStyle w:val="TableText0"/>
            </w:pPr>
            <w:r w:rsidRPr="003B4086">
              <w:t>(59.0, 74.9)</w:t>
            </w:r>
          </w:p>
        </w:tc>
        <w:tc>
          <w:tcPr>
            <w:tcW w:w="836" w:type="pct"/>
            <w:tcBorders>
              <w:top w:val="single" w:sz="4" w:space="0" w:color="auto"/>
              <w:left w:val="single" w:sz="4" w:space="0" w:color="auto"/>
              <w:bottom w:val="single" w:sz="4" w:space="0" w:color="auto"/>
              <w:right w:val="single" w:sz="4" w:space="0" w:color="auto"/>
            </w:tcBorders>
            <w:hideMark/>
          </w:tcPr>
          <w:p w14:paraId="194CE67F" w14:textId="77777777" w:rsidR="000D3C2F" w:rsidRPr="003B4086" w:rsidRDefault="000D3C2F" w:rsidP="00224E9F">
            <w:pPr>
              <w:pStyle w:val="TableText0"/>
            </w:pPr>
            <w:r w:rsidRPr="003B4086">
              <w:t>46.3%</w:t>
            </w:r>
          </w:p>
          <w:p w14:paraId="36335800" w14:textId="77777777" w:rsidR="000D3C2F" w:rsidRPr="003B4086" w:rsidRDefault="000D3C2F" w:rsidP="00224E9F">
            <w:pPr>
              <w:pStyle w:val="TableText0"/>
            </w:pPr>
            <w:r w:rsidRPr="003B4086">
              <w:t>(37.6, 54.5)</w:t>
            </w:r>
          </w:p>
        </w:tc>
      </w:tr>
      <w:tr w:rsidR="003632AB" w:rsidRPr="003B4086" w14:paraId="4D2D0B1D" w14:textId="77777777" w:rsidTr="002A3780">
        <w:tc>
          <w:tcPr>
            <w:tcW w:w="1648" w:type="pct"/>
            <w:tcBorders>
              <w:top w:val="single" w:sz="4" w:space="0" w:color="auto"/>
              <w:left w:val="single" w:sz="4" w:space="0" w:color="auto"/>
              <w:bottom w:val="single" w:sz="4" w:space="0" w:color="auto"/>
              <w:right w:val="single" w:sz="4" w:space="0" w:color="auto"/>
            </w:tcBorders>
          </w:tcPr>
          <w:p w14:paraId="7364AD26" w14:textId="2FE499B2" w:rsidR="000D3C2F" w:rsidRPr="003B4086" w:rsidRDefault="00394F83" w:rsidP="00394F83">
            <w:pPr>
              <w:pStyle w:val="TableText0"/>
            </w:pPr>
            <w:r w:rsidRPr="003B4086">
              <w:t>A</w:t>
            </w:r>
            <w:r w:rsidR="000D3C2F" w:rsidRPr="003B4086">
              <w:t>t 18 months, % (95% CI)</w:t>
            </w:r>
          </w:p>
        </w:tc>
        <w:tc>
          <w:tcPr>
            <w:tcW w:w="865" w:type="pct"/>
            <w:tcBorders>
              <w:top w:val="single" w:sz="4" w:space="0" w:color="auto"/>
              <w:left w:val="single" w:sz="4" w:space="0" w:color="auto"/>
              <w:bottom w:val="single" w:sz="4" w:space="0" w:color="auto"/>
              <w:right w:val="single" w:sz="4" w:space="0" w:color="auto"/>
            </w:tcBorders>
          </w:tcPr>
          <w:p w14:paraId="78537A98" w14:textId="77777777" w:rsidR="000D3C2F" w:rsidRPr="003B4086" w:rsidRDefault="000D3C2F" w:rsidP="00224E9F">
            <w:pPr>
              <w:pStyle w:val="TableText0"/>
            </w:pPr>
            <w:r w:rsidRPr="003B4086">
              <w:t>55.6%</w:t>
            </w:r>
          </w:p>
          <w:p w14:paraId="359319B9" w14:textId="77777777" w:rsidR="000D3C2F" w:rsidRPr="003B4086" w:rsidRDefault="000D3C2F" w:rsidP="00224E9F">
            <w:pPr>
              <w:pStyle w:val="TableText0"/>
            </w:pPr>
            <w:r w:rsidRPr="003B4086">
              <w:t>(50.0, 60.8)</w:t>
            </w:r>
          </w:p>
        </w:tc>
        <w:tc>
          <w:tcPr>
            <w:tcW w:w="865" w:type="pct"/>
            <w:tcBorders>
              <w:top w:val="single" w:sz="4" w:space="0" w:color="auto"/>
              <w:left w:val="single" w:sz="4" w:space="0" w:color="auto"/>
              <w:bottom w:val="single" w:sz="4" w:space="0" w:color="auto"/>
              <w:right w:val="single" w:sz="4" w:space="0" w:color="auto"/>
            </w:tcBorders>
          </w:tcPr>
          <w:p w14:paraId="674E9576" w14:textId="77777777" w:rsidR="000D3C2F" w:rsidRPr="003B4086" w:rsidRDefault="000D3C2F" w:rsidP="00224E9F">
            <w:pPr>
              <w:pStyle w:val="TableText0"/>
            </w:pPr>
            <w:r w:rsidRPr="003B4086">
              <w:t>42.5%</w:t>
            </w:r>
          </w:p>
          <w:p w14:paraId="4CC8C61B" w14:textId="77777777" w:rsidR="000D3C2F" w:rsidRPr="003B4086" w:rsidRDefault="000D3C2F" w:rsidP="00224E9F">
            <w:pPr>
              <w:pStyle w:val="TableText0"/>
            </w:pPr>
            <w:r w:rsidRPr="003B4086">
              <w:t>(37.2, 47.8)</w:t>
            </w:r>
          </w:p>
        </w:tc>
        <w:tc>
          <w:tcPr>
            <w:tcW w:w="786" w:type="pct"/>
            <w:tcBorders>
              <w:top w:val="single" w:sz="4" w:space="0" w:color="auto"/>
              <w:left w:val="single" w:sz="4" w:space="0" w:color="auto"/>
              <w:bottom w:val="single" w:sz="4" w:space="0" w:color="auto"/>
              <w:right w:val="single" w:sz="4" w:space="0" w:color="auto"/>
            </w:tcBorders>
          </w:tcPr>
          <w:p w14:paraId="4D64C569" w14:textId="77777777" w:rsidR="000D3C2F" w:rsidRPr="003B4086" w:rsidRDefault="000D3C2F" w:rsidP="00224E9F">
            <w:pPr>
              <w:pStyle w:val="TableText0"/>
            </w:pPr>
            <w:r w:rsidRPr="003B4086">
              <w:t>65.0%</w:t>
            </w:r>
          </w:p>
          <w:p w14:paraId="2DF6318D" w14:textId="77777777" w:rsidR="000D3C2F" w:rsidRPr="003B4086" w:rsidRDefault="000D3C2F" w:rsidP="00224E9F">
            <w:pPr>
              <w:pStyle w:val="TableText0"/>
            </w:pPr>
            <w:r w:rsidRPr="003B4086">
              <w:t>(56.2, 72.5)</w:t>
            </w:r>
          </w:p>
        </w:tc>
        <w:tc>
          <w:tcPr>
            <w:tcW w:w="836" w:type="pct"/>
            <w:tcBorders>
              <w:top w:val="single" w:sz="4" w:space="0" w:color="auto"/>
              <w:left w:val="single" w:sz="4" w:space="0" w:color="auto"/>
              <w:bottom w:val="single" w:sz="4" w:space="0" w:color="auto"/>
              <w:right w:val="single" w:sz="4" w:space="0" w:color="auto"/>
            </w:tcBorders>
          </w:tcPr>
          <w:p w14:paraId="58D7B0FC" w14:textId="77777777" w:rsidR="000D3C2F" w:rsidRPr="003B4086" w:rsidRDefault="000D3C2F" w:rsidP="00224E9F">
            <w:pPr>
              <w:pStyle w:val="TableText0"/>
            </w:pPr>
            <w:r w:rsidRPr="003B4086">
              <w:t>42.1%</w:t>
            </w:r>
          </w:p>
          <w:p w14:paraId="65AD8751" w14:textId="77777777" w:rsidR="000D3C2F" w:rsidRPr="003B4086" w:rsidRDefault="000D3C2F" w:rsidP="00224E9F">
            <w:pPr>
              <w:pStyle w:val="TableText0"/>
            </w:pPr>
            <w:r w:rsidRPr="003B4086">
              <w:t>(33.5, 50.4)</w:t>
            </w:r>
          </w:p>
        </w:tc>
      </w:tr>
      <w:tr w:rsidR="003632AB" w:rsidRPr="003B4086" w14:paraId="18F370F7" w14:textId="77777777" w:rsidTr="002A3780">
        <w:tc>
          <w:tcPr>
            <w:tcW w:w="1648" w:type="pct"/>
            <w:tcBorders>
              <w:top w:val="single" w:sz="4" w:space="0" w:color="auto"/>
              <w:left w:val="single" w:sz="4" w:space="0" w:color="auto"/>
              <w:bottom w:val="single" w:sz="4" w:space="0" w:color="auto"/>
              <w:right w:val="single" w:sz="4" w:space="0" w:color="auto"/>
            </w:tcBorders>
          </w:tcPr>
          <w:p w14:paraId="54102576" w14:textId="60452FED" w:rsidR="000D3C2F" w:rsidRPr="003B4086" w:rsidRDefault="00394F83" w:rsidP="00394F83">
            <w:pPr>
              <w:pStyle w:val="TableText0"/>
            </w:pPr>
            <w:r w:rsidRPr="003B4086">
              <w:t>A</w:t>
            </w:r>
            <w:r w:rsidR="000D3C2F" w:rsidRPr="003B4086">
              <w:t>t 24 months, % (95% CI)</w:t>
            </w:r>
          </w:p>
        </w:tc>
        <w:tc>
          <w:tcPr>
            <w:tcW w:w="865" w:type="pct"/>
            <w:tcBorders>
              <w:top w:val="single" w:sz="4" w:space="0" w:color="auto"/>
              <w:left w:val="single" w:sz="4" w:space="0" w:color="auto"/>
              <w:bottom w:val="single" w:sz="4" w:space="0" w:color="auto"/>
              <w:right w:val="single" w:sz="4" w:space="0" w:color="auto"/>
            </w:tcBorders>
          </w:tcPr>
          <w:p w14:paraId="0A79F61D" w14:textId="77777777" w:rsidR="000D3C2F" w:rsidRPr="003B4086" w:rsidRDefault="000D3C2F" w:rsidP="00224E9F">
            <w:pPr>
              <w:pStyle w:val="TableText0"/>
            </w:pPr>
            <w:r w:rsidRPr="003B4086">
              <w:t>48.2%</w:t>
            </w:r>
          </w:p>
          <w:p w14:paraId="03E36CA3" w14:textId="77777777" w:rsidR="000D3C2F" w:rsidRPr="003B4086" w:rsidRDefault="000D3C2F" w:rsidP="00224E9F">
            <w:pPr>
              <w:pStyle w:val="TableText0"/>
            </w:pPr>
            <w:r w:rsidRPr="003B4086">
              <w:t>(42.4, 53.7)</w:t>
            </w:r>
          </w:p>
        </w:tc>
        <w:tc>
          <w:tcPr>
            <w:tcW w:w="865" w:type="pct"/>
            <w:tcBorders>
              <w:top w:val="single" w:sz="4" w:space="0" w:color="auto"/>
              <w:left w:val="single" w:sz="4" w:space="0" w:color="auto"/>
              <w:bottom w:val="single" w:sz="4" w:space="0" w:color="auto"/>
              <w:right w:val="single" w:sz="4" w:space="0" w:color="auto"/>
            </w:tcBorders>
          </w:tcPr>
          <w:p w14:paraId="46CB623C" w14:textId="77777777" w:rsidR="000D3C2F" w:rsidRPr="003B4086" w:rsidRDefault="000D3C2F" w:rsidP="00224E9F">
            <w:pPr>
              <w:pStyle w:val="TableText0"/>
            </w:pPr>
            <w:r w:rsidRPr="003B4086">
              <w:t>38.7%</w:t>
            </w:r>
          </w:p>
          <w:p w14:paraId="03847A68" w14:textId="77777777" w:rsidR="000D3C2F" w:rsidRPr="003B4086" w:rsidRDefault="000D3C2F" w:rsidP="00224E9F">
            <w:pPr>
              <w:pStyle w:val="TableText0"/>
            </w:pPr>
            <w:r w:rsidRPr="003B4086">
              <w:t>(33.4, 44.1)</w:t>
            </w:r>
          </w:p>
        </w:tc>
        <w:tc>
          <w:tcPr>
            <w:tcW w:w="786" w:type="pct"/>
            <w:tcBorders>
              <w:top w:val="single" w:sz="4" w:space="0" w:color="auto"/>
              <w:left w:val="single" w:sz="4" w:space="0" w:color="auto"/>
              <w:bottom w:val="single" w:sz="4" w:space="0" w:color="auto"/>
              <w:right w:val="single" w:sz="4" w:space="0" w:color="auto"/>
            </w:tcBorders>
          </w:tcPr>
          <w:p w14:paraId="0C589CC2" w14:textId="77777777" w:rsidR="000D3C2F" w:rsidRPr="003B4086" w:rsidRDefault="000D3C2F" w:rsidP="00224E9F">
            <w:pPr>
              <w:pStyle w:val="TableText0"/>
            </w:pPr>
            <w:r w:rsidRPr="003B4086">
              <w:t>58.6%</w:t>
            </w:r>
          </w:p>
          <w:p w14:paraId="3E828210" w14:textId="77777777" w:rsidR="000D3C2F" w:rsidRPr="003B4086" w:rsidRDefault="000D3C2F" w:rsidP="00224E9F">
            <w:pPr>
              <w:pStyle w:val="TableText0"/>
            </w:pPr>
            <w:r w:rsidRPr="003B4086">
              <w:t>(49.3, 66.9)</w:t>
            </w:r>
          </w:p>
        </w:tc>
        <w:tc>
          <w:tcPr>
            <w:tcW w:w="836" w:type="pct"/>
            <w:tcBorders>
              <w:top w:val="single" w:sz="4" w:space="0" w:color="auto"/>
              <w:left w:val="single" w:sz="4" w:space="0" w:color="auto"/>
              <w:bottom w:val="single" w:sz="4" w:space="0" w:color="auto"/>
              <w:right w:val="single" w:sz="4" w:space="0" w:color="auto"/>
            </w:tcBorders>
          </w:tcPr>
          <w:p w14:paraId="2FC47382" w14:textId="77777777" w:rsidR="000D3C2F" w:rsidRPr="003B4086" w:rsidRDefault="000D3C2F" w:rsidP="00224E9F">
            <w:pPr>
              <w:pStyle w:val="TableText0"/>
            </w:pPr>
            <w:r w:rsidRPr="003B4086">
              <w:t>37.4%</w:t>
            </w:r>
          </w:p>
          <w:p w14:paraId="1E9017F2" w14:textId="77777777" w:rsidR="000D3C2F" w:rsidRPr="003B4086" w:rsidRDefault="000D3C2F" w:rsidP="00224E9F">
            <w:pPr>
              <w:pStyle w:val="TableText0"/>
            </w:pPr>
            <w:r w:rsidRPr="003B4086">
              <w:t>(29.0, 45.8)</w:t>
            </w:r>
          </w:p>
        </w:tc>
      </w:tr>
      <w:tr w:rsidR="003632AB" w:rsidRPr="003B4086" w14:paraId="626D9673" w14:textId="77777777" w:rsidTr="002A3780">
        <w:tc>
          <w:tcPr>
            <w:tcW w:w="1648" w:type="pct"/>
            <w:tcBorders>
              <w:top w:val="single" w:sz="4" w:space="0" w:color="auto"/>
              <w:left w:val="single" w:sz="4" w:space="0" w:color="auto"/>
              <w:bottom w:val="single" w:sz="4" w:space="0" w:color="auto"/>
              <w:right w:val="single" w:sz="4" w:space="0" w:color="auto"/>
            </w:tcBorders>
          </w:tcPr>
          <w:p w14:paraId="4E41633C" w14:textId="57EB936B" w:rsidR="000D3C2F" w:rsidRPr="003B4086" w:rsidRDefault="00394F83" w:rsidP="00394F83">
            <w:pPr>
              <w:pStyle w:val="TableText0"/>
            </w:pPr>
            <w:r w:rsidRPr="003B4086">
              <w:t>A</w:t>
            </w:r>
            <w:r w:rsidR="000D3C2F" w:rsidRPr="003B4086">
              <w:t>t 30 months, % (95% CI)</w:t>
            </w:r>
          </w:p>
        </w:tc>
        <w:tc>
          <w:tcPr>
            <w:tcW w:w="865" w:type="pct"/>
            <w:tcBorders>
              <w:top w:val="single" w:sz="4" w:space="0" w:color="auto"/>
              <w:left w:val="single" w:sz="4" w:space="0" w:color="auto"/>
              <w:bottom w:val="single" w:sz="4" w:space="0" w:color="auto"/>
              <w:right w:val="single" w:sz="4" w:space="0" w:color="auto"/>
            </w:tcBorders>
          </w:tcPr>
          <w:p w14:paraId="3D88D4C8" w14:textId="77777777" w:rsidR="000D3C2F" w:rsidRPr="003B4086" w:rsidRDefault="000D3C2F" w:rsidP="00224E9F">
            <w:pPr>
              <w:pStyle w:val="TableText0"/>
            </w:pPr>
            <w:r w:rsidRPr="003B4086">
              <w:t>44.9%</w:t>
            </w:r>
          </w:p>
          <w:p w14:paraId="4557CA48" w14:textId="77777777" w:rsidR="000D3C2F" w:rsidRPr="003B4086" w:rsidRDefault="000D3C2F" w:rsidP="00224E9F">
            <w:pPr>
              <w:pStyle w:val="TableText0"/>
            </w:pPr>
            <w:r w:rsidRPr="003B4086">
              <w:t>(39.0, 50.7)</w:t>
            </w:r>
          </w:p>
        </w:tc>
        <w:tc>
          <w:tcPr>
            <w:tcW w:w="865" w:type="pct"/>
            <w:tcBorders>
              <w:top w:val="single" w:sz="4" w:space="0" w:color="auto"/>
              <w:left w:val="single" w:sz="4" w:space="0" w:color="auto"/>
              <w:bottom w:val="single" w:sz="4" w:space="0" w:color="auto"/>
              <w:right w:val="single" w:sz="4" w:space="0" w:color="auto"/>
            </w:tcBorders>
          </w:tcPr>
          <w:p w14:paraId="53F80CE3" w14:textId="77777777" w:rsidR="000D3C2F" w:rsidRPr="003B4086" w:rsidRDefault="000D3C2F" w:rsidP="00224E9F">
            <w:pPr>
              <w:pStyle w:val="TableText0"/>
            </w:pPr>
            <w:r w:rsidRPr="003B4086">
              <w:t>35.5%</w:t>
            </w:r>
          </w:p>
          <w:p w14:paraId="6E134D68" w14:textId="77777777" w:rsidR="000D3C2F" w:rsidRPr="003B4086" w:rsidRDefault="000D3C2F" w:rsidP="00224E9F">
            <w:pPr>
              <w:pStyle w:val="TableText0"/>
            </w:pPr>
            <w:r w:rsidRPr="003B4086">
              <w:t>(30.1, 40.9)</w:t>
            </w:r>
          </w:p>
        </w:tc>
        <w:tc>
          <w:tcPr>
            <w:tcW w:w="786" w:type="pct"/>
            <w:tcBorders>
              <w:top w:val="single" w:sz="4" w:space="0" w:color="auto"/>
              <w:left w:val="single" w:sz="4" w:space="0" w:color="auto"/>
              <w:bottom w:val="single" w:sz="4" w:space="0" w:color="auto"/>
              <w:right w:val="single" w:sz="4" w:space="0" w:color="auto"/>
            </w:tcBorders>
          </w:tcPr>
          <w:p w14:paraId="758D9307" w14:textId="77777777" w:rsidR="000D3C2F" w:rsidRPr="003B4086" w:rsidRDefault="000D3C2F" w:rsidP="00224E9F">
            <w:pPr>
              <w:pStyle w:val="TableText0"/>
            </w:pPr>
            <w:r w:rsidRPr="003B4086">
              <w:t>53.1%</w:t>
            </w:r>
          </w:p>
          <w:p w14:paraId="534E644F" w14:textId="77777777" w:rsidR="000D3C2F" w:rsidRPr="003B4086" w:rsidRDefault="000D3C2F" w:rsidP="00224E9F">
            <w:pPr>
              <w:pStyle w:val="TableText0"/>
            </w:pPr>
            <w:r w:rsidRPr="003B4086">
              <w:t>(43.5, 62.3)</w:t>
            </w:r>
          </w:p>
        </w:tc>
        <w:tc>
          <w:tcPr>
            <w:tcW w:w="836" w:type="pct"/>
            <w:tcBorders>
              <w:top w:val="single" w:sz="4" w:space="0" w:color="auto"/>
              <w:left w:val="single" w:sz="4" w:space="0" w:color="auto"/>
              <w:bottom w:val="single" w:sz="4" w:space="0" w:color="auto"/>
              <w:right w:val="single" w:sz="4" w:space="0" w:color="auto"/>
            </w:tcBorders>
          </w:tcPr>
          <w:p w14:paraId="016B12C7" w14:textId="77777777" w:rsidR="000D3C2F" w:rsidRPr="003B4086" w:rsidRDefault="000D3C2F" w:rsidP="00224E9F">
            <w:pPr>
              <w:pStyle w:val="TableText0"/>
            </w:pPr>
            <w:r w:rsidRPr="003B4086">
              <w:t>33.6%</w:t>
            </w:r>
          </w:p>
          <w:p w14:paraId="03BC1B3D" w14:textId="77777777" w:rsidR="000D3C2F" w:rsidRPr="003B4086" w:rsidRDefault="000D3C2F" w:rsidP="00224E9F">
            <w:pPr>
              <w:pStyle w:val="TableText0"/>
            </w:pPr>
            <w:r w:rsidRPr="003B4086">
              <w:t>(25.2, 42.3)</w:t>
            </w:r>
          </w:p>
        </w:tc>
      </w:tr>
    </w:tbl>
    <w:p w14:paraId="05739BF2" w14:textId="75CB7FB2" w:rsidR="00EC100A" w:rsidRPr="003B4086" w:rsidRDefault="00EC100A" w:rsidP="00EC100A">
      <w:pPr>
        <w:pStyle w:val="TableFigureFooter"/>
        <w:rPr>
          <w:rFonts w:eastAsiaTheme="minorHAnsi"/>
        </w:rPr>
      </w:pPr>
      <w:r w:rsidRPr="003B4086">
        <w:rPr>
          <w:rFonts w:eastAsiaTheme="minorHAnsi"/>
        </w:rPr>
        <w:t>Source: Table 43, p107 of the Round 2 TGA clinical evaluation report (Submission PM-2021-02518-1-40)</w:t>
      </w:r>
      <w:r w:rsidR="00A3168D" w:rsidRPr="003B4086">
        <w:rPr>
          <w:rFonts w:eastAsiaTheme="minorHAnsi"/>
        </w:rPr>
        <w:t xml:space="preserve">; </w:t>
      </w:r>
      <w:r w:rsidR="003629FB" w:rsidRPr="003B4086">
        <w:rPr>
          <w:rFonts w:eastAsiaTheme="minorHAnsi"/>
        </w:rPr>
        <w:t>Table 27, p71 of the submission</w:t>
      </w:r>
      <w:r w:rsidR="00A3168D" w:rsidRPr="003B4086">
        <w:rPr>
          <w:rFonts w:eastAsiaTheme="minorHAnsi"/>
        </w:rPr>
        <w:t>; Table S.5.26.1 CM274 clinical study report</w:t>
      </w:r>
    </w:p>
    <w:p w14:paraId="3F323AC7" w14:textId="26A32766" w:rsidR="00EC100A" w:rsidRPr="003B4086" w:rsidRDefault="00EC100A" w:rsidP="00EC100A">
      <w:pPr>
        <w:pStyle w:val="TableFigureFooter"/>
        <w:rPr>
          <w:rFonts w:eastAsiaTheme="minorHAnsi"/>
        </w:rPr>
      </w:pPr>
      <w:r w:rsidRPr="003B4086">
        <w:rPr>
          <w:rFonts w:eastAsiaTheme="minorHAnsi"/>
        </w:rPr>
        <w:t xml:space="preserve">CI = confidence interval; DFS = disease-free survival; HR = hazard ratio; </w:t>
      </w:r>
      <w:r w:rsidR="00A176DF" w:rsidRPr="003B4086">
        <w:rPr>
          <w:rFonts w:eastAsiaTheme="minorHAnsi"/>
        </w:rPr>
        <w:t xml:space="preserve">ITT = intention to treat (all randomised patients); NE = not estimable (not reached); </w:t>
      </w:r>
      <w:r w:rsidRPr="003B4086">
        <w:rPr>
          <w:rFonts w:eastAsiaTheme="minorHAnsi"/>
        </w:rPr>
        <w:t>NIVO = nivolumab; PBO = placebo; PD-L1 = programmed cell death ligand 1</w:t>
      </w:r>
    </w:p>
    <w:p w14:paraId="0505B00D" w14:textId="48A3355B" w:rsidR="00EC100A" w:rsidRPr="003B4086" w:rsidRDefault="00A176DF" w:rsidP="00EC100A">
      <w:pPr>
        <w:pStyle w:val="TableFigureFooter"/>
        <w:rPr>
          <w:rFonts w:eastAsiaTheme="minorHAnsi"/>
        </w:rPr>
      </w:pPr>
      <w:r w:rsidRPr="003B4086">
        <w:rPr>
          <w:rFonts w:eastAsiaTheme="minorHAnsi"/>
        </w:rPr>
        <w:t xml:space="preserve">Notes: </w:t>
      </w:r>
      <w:r w:rsidR="00EC100A" w:rsidRPr="003B4086">
        <w:rPr>
          <w:rFonts w:eastAsiaTheme="minorHAnsi"/>
        </w:rPr>
        <w:t>Updated Analysis 19-May-2021 database lock with data cutoff 01-February-2021 provided to the TGA.</w:t>
      </w:r>
    </w:p>
    <w:p w14:paraId="463F8856" w14:textId="77777777" w:rsidR="00EC100A" w:rsidRPr="003B4086" w:rsidRDefault="00EC100A" w:rsidP="00EC100A">
      <w:pPr>
        <w:pStyle w:val="TableFigureFooter"/>
        <w:rPr>
          <w:rFonts w:eastAsiaTheme="minorHAnsi"/>
        </w:rPr>
      </w:pPr>
      <w:r w:rsidRPr="003B4086">
        <w:rPr>
          <w:rFonts w:eastAsiaTheme="minorHAnsi"/>
        </w:rPr>
        <w:t>The median follow-up durations were 24.44 months and 22.51 months for all randomised patients in the nivolumab and placebo arms, respectively, and 25.53 months and 22.37 months for the PD-L1 ≥ 1% population in the nivolumab and placebo arms, respectively.</w:t>
      </w:r>
    </w:p>
    <w:p w14:paraId="0E5E2C21" w14:textId="77777777" w:rsidR="00EC100A" w:rsidRPr="003B4086" w:rsidRDefault="00EC100A" w:rsidP="00EC100A">
      <w:pPr>
        <w:pStyle w:val="TableFigureFooter"/>
        <w:rPr>
          <w:rFonts w:eastAsiaTheme="minorHAnsi"/>
        </w:rPr>
      </w:pPr>
      <w:r w:rsidRPr="003B4086">
        <w:rPr>
          <w:rFonts w:eastAsiaTheme="minorHAnsi"/>
        </w:rPr>
        <w:t>DFS was defined as the time between the date of randomisation and the date of first recurrence (local recurrence in the urothelial tract, local recurrence outside the urothelial tract, or distant recurrence) or death, whichever occurred first</w:t>
      </w:r>
    </w:p>
    <w:p w14:paraId="16911C62" w14:textId="113EF9E6" w:rsidR="00274A1E" w:rsidRPr="003B4086" w:rsidRDefault="00274A1E" w:rsidP="00EC100A">
      <w:pPr>
        <w:pStyle w:val="TableFigureFooter"/>
        <w:rPr>
          <w:rFonts w:eastAsiaTheme="minorHAnsi"/>
        </w:rPr>
      </w:pPr>
      <w:r w:rsidRPr="003B4086">
        <w:rPr>
          <w:rFonts w:eastAsiaTheme="minorHAnsi"/>
          <w:vertAlign w:val="superscript"/>
        </w:rPr>
        <w:t>a</w:t>
      </w:r>
      <w:r w:rsidRPr="003B4086">
        <w:rPr>
          <w:rFonts w:eastAsiaTheme="minorHAnsi"/>
        </w:rPr>
        <w:t xml:space="preserve"> Based on all randomised subjects</w:t>
      </w:r>
    </w:p>
    <w:p w14:paraId="4DCF9C25" w14:textId="1AEEC0CF" w:rsidR="00EC100A" w:rsidRPr="003B4086" w:rsidRDefault="00274A1E" w:rsidP="00EC100A">
      <w:pPr>
        <w:pStyle w:val="TableFigureFooter"/>
        <w:rPr>
          <w:rFonts w:eastAsiaTheme="minorHAnsi"/>
        </w:rPr>
      </w:pPr>
      <w:r w:rsidRPr="003B4086">
        <w:rPr>
          <w:rFonts w:eastAsiaTheme="minorHAnsi"/>
          <w:vertAlign w:val="superscript"/>
        </w:rPr>
        <w:t>b</w:t>
      </w:r>
      <w:r w:rsidR="00EC100A" w:rsidRPr="003B4086">
        <w:rPr>
          <w:rFonts w:eastAsiaTheme="minorHAnsi"/>
          <w:vertAlign w:val="superscript"/>
        </w:rPr>
        <w:t xml:space="preserve"> </w:t>
      </w:r>
      <w:r w:rsidR="00EC100A" w:rsidRPr="003B4086">
        <w:rPr>
          <w:rFonts w:eastAsiaTheme="minorHAnsi"/>
        </w:rPr>
        <w:t>Based on KM estimates</w:t>
      </w:r>
    </w:p>
    <w:p w14:paraId="30A60D16" w14:textId="54678377" w:rsidR="00EC100A" w:rsidRPr="003B4086" w:rsidRDefault="00274A1E" w:rsidP="00EC100A">
      <w:pPr>
        <w:pStyle w:val="TableFigureFooter"/>
        <w:rPr>
          <w:rFonts w:eastAsiaTheme="minorHAnsi"/>
        </w:rPr>
      </w:pPr>
      <w:r w:rsidRPr="003B4086">
        <w:rPr>
          <w:rFonts w:eastAsiaTheme="minorHAnsi"/>
          <w:vertAlign w:val="superscript"/>
        </w:rPr>
        <w:t>c</w:t>
      </w:r>
      <w:r w:rsidR="00EC100A" w:rsidRPr="003B4086">
        <w:rPr>
          <w:rFonts w:eastAsiaTheme="minorHAnsi"/>
          <w:vertAlign w:val="superscript"/>
        </w:rPr>
        <w:t xml:space="preserve"> </w:t>
      </w:r>
      <w:r w:rsidR="00EC100A" w:rsidRPr="003B4086">
        <w:rPr>
          <w:rFonts w:eastAsiaTheme="minorHAnsi"/>
        </w:rPr>
        <w:t>Stratified Cox proportional hazard model. HR is NIVO over PBO.</w:t>
      </w:r>
    </w:p>
    <w:p w14:paraId="595910FF" w14:textId="222B43E6" w:rsidR="000D3C2F" w:rsidRPr="003B4086" w:rsidRDefault="00274A1E" w:rsidP="00EC100A">
      <w:pPr>
        <w:pStyle w:val="TableFigureFooter"/>
        <w:rPr>
          <w:rFonts w:eastAsiaTheme="minorHAnsi"/>
        </w:rPr>
      </w:pPr>
      <w:r w:rsidRPr="003B4086">
        <w:rPr>
          <w:rFonts w:eastAsiaTheme="minorHAnsi"/>
          <w:vertAlign w:val="superscript"/>
        </w:rPr>
        <w:t>d</w:t>
      </w:r>
      <w:r w:rsidR="00EC100A" w:rsidRPr="003B4086">
        <w:rPr>
          <w:rFonts w:eastAsiaTheme="minorHAnsi"/>
        </w:rPr>
        <w:t xml:space="preserve"> 2 sided p values from stratified regular log-rank test</w:t>
      </w:r>
      <w:r w:rsidR="003D15B7" w:rsidRPr="003B4086">
        <w:rPr>
          <w:rFonts w:eastAsiaTheme="minorHAnsi"/>
        </w:rPr>
        <w:t>.</w:t>
      </w:r>
      <w:r w:rsidR="003629FB" w:rsidRPr="003B4086">
        <w:rPr>
          <w:rFonts w:eastAsiaTheme="minorHAnsi"/>
        </w:rPr>
        <w:t xml:space="preserve"> </w:t>
      </w:r>
      <w:r w:rsidR="00AE08FB" w:rsidRPr="003B4086">
        <w:rPr>
          <w:rFonts w:eastAsiaTheme="minorHAnsi"/>
        </w:rPr>
        <w:t>For the ITT, log-rank test stratified by prior neoadjuvant cisplatin, pathological nodal status, and PD-L1 status (≥1% versus &lt;1% / indeterminate). For the PD-L1 ≥ 1%, log-rank test stratified by prior neo-adjuvant cisplatin and pathological nodal status</w:t>
      </w:r>
    </w:p>
    <w:p w14:paraId="06FFE95C" w14:textId="4748EFB0" w:rsidR="003D15B7" w:rsidRPr="003B4086" w:rsidRDefault="003D15B7" w:rsidP="000D3C2F">
      <w:pPr>
        <w:pStyle w:val="TableFigureFooter"/>
        <w:rPr>
          <w:rFonts w:eastAsiaTheme="minorHAnsi"/>
        </w:rPr>
      </w:pPr>
    </w:p>
    <w:p w14:paraId="118FF595" w14:textId="230826F9" w:rsidR="003D15B7" w:rsidRPr="003B4086" w:rsidRDefault="003D15B7" w:rsidP="003D15B7">
      <w:pPr>
        <w:pStyle w:val="TableFigureHeading"/>
      </w:pPr>
      <w:bookmarkStart w:id="27" w:name="_Ref102282451"/>
      <w:r w:rsidRPr="003B4086">
        <w:t xml:space="preserve">Figure </w:t>
      </w:r>
      <w:r w:rsidR="00785573">
        <w:fldChar w:fldCharType="begin"/>
      </w:r>
      <w:r w:rsidR="00785573">
        <w:instrText xml:space="preserve"> SEQ Figure \* ARABIC </w:instrText>
      </w:r>
      <w:r w:rsidR="00785573">
        <w:fldChar w:fldCharType="separate"/>
      </w:r>
      <w:r w:rsidR="00C6296C" w:rsidRPr="003B4086">
        <w:rPr>
          <w:noProof/>
        </w:rPr>
        <w:t>1</w:t>
      </w:r>
      <w:r w:rsidR="00785573">
        <w:rPr>
          <w:noProof/>
        </w:rPr>
        <w:fldChar w:fldCharType="end"/>
      </w:r>
      <w:bookmarkEnd w:id="27"/>
      <w:r w:rsidRPr="003B4086">
        <w:t xml:space="preserve">: CM274 - </w:t>
      </w:r>
      <w:r w:rsidRPr="003B4086">
        <w:rPr>
          <w:noProof/>
        </w:rPr>
        <w:t xml:space="preserve">Kaplan-Meier plot of DFS – ITT population </w:t>
      </w:r>
    </w:p>
    <w:p w14:paraId="5ACD0FDF" w14:textId="77777777" w:rsidR="003D15B7" w:rsidRPr="003B4086" w:rsidRDefault="003D15B7" w:rsidP="003D15B7">
      <w:pPr>
        <w:rPr>
          <w:rFonts w:eastAsiaTheme="minorHAnsi"/>
        </w:rPr>
      </w:pPr>
      <w:r w:rsidRPr="003B4086">
        <w:rPr>
          <w:noProof/>
        </w:rPr>
        <w:drawing>
          <wp:inline distT="0" distB="0" distL="0" distR="0" wp14:anchorId="591129B1" wp14:editId="17CE59DA">
            <wp:extent cx="5762625" cy="2533650"/>
            <wp:effectExtent l="0" t="0" r="9525" b="0"/>
            <wp:docPr id="64" name="Picture 64" descr="Figure 1: CM274 - Kaplan-Meier plot of DFS –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Figure 1: CM274 - Kaplan-Meier plot of DFS – ITT popul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533650"/>
                    </a:xfrm>
                    <a:prstGeom prst="rect">
                      <a:avLst/>
                    </a:prstGeom>
                    <a:noFill/>
                    <a:ln>
                      <a:noFill/>
                    </a:ln>
                  </pic:spPr>
                </pic:pic>
              </a:graphicData>
            </a:graphic>
          </wp:inline>
        </w:drawing>
      </w:r>
    </w:p>
    <w:p w14:paraId="07E6C771" w14:textId="77777777" w:rsidR="003D15B7" w:rsidRPr="003B4086" w:rsidRDefault="003D15B7" w:rsidP="003D15B7">
      <w:pPr>
        <w:pStyle w:val="TableFigureFooter"/>
        <w:rPr>
          <w:rFonts w:eastAsiaTheme="minorHAnsi"/>
        </w:rPr>
      </w:pPr>
      <w:r w:rsidRPr="003B4086">
        <w:rPr>
          <w:rFonts w:eastAsiaTheme="minorHAnsi"/>
        </w:rPr>
        <w:t>Source: Figure 12, p72 of the submission.</w:t>
      </w:r>
    </w:p>
    <w:p w14:paraId="500226B8" w14:textId="3C911ECF" w:rsidR="007B52A3" w:rsidRPr="003B4086" w:rsidRDefault="007B52A3" w:rsidP="003D15B7">
      <w:pPr>
        <w:pStyle w:val="TableFigureFooter"/>
        <w:rPr>
          <w:rFonts w:eastAsiaTheme="minorHAnsi"/>
        </w:rPr>
      </w:pPr>
      <w:r w:rsidRPr="003B4086">
        <w:rPr>
          <w:rFonts w:eastAsiaTheme="minorHAnsi"/>
        </w:rPr>
        <w:lastRenderedPageBreak/>
        <w:t xml:space="preserve">CI = confidence interval; HR = hazard ratio; </w:t>
      </w:r>
      <w:r w:rsidR="00A176DF" w:rsidRPr="003B4086">
        <w:rPr>
          <w:rFonts w:eastAsiaTheme="minorHAnsi"/>
        </w:rPr>
        <w:t xml:space="preserve">ITT = intention to treat; </w:t>
      </w:r>
      <w:r w:rsidRPr="003B4086">
        <w:rPr>
          <w:rFonts w:eastAsiaTheme="minorHAnsi"/>
        </w:rPr>
        <w:t>NIVO = nivolumab; PBO = placebo; DFS = disease free survival</w:t>
      </w:r>
      <w:r w:rsidR="00D65510" w:rsidRPr="003B4086">
        <w:rPr>
          <w:rFonts w:eastAsiaTheme="minorHAnsi"/>
        </w:rPr>
        <w:t xml:space="preserve">; </w:t>
      </w:r>
    </w:p>
    <w:p w14:paraId="3B7DDCF8" w14:textId="7C2A9E08" w:rsidR="003D15B7" w:rsidRPr="003B4086" w:rsidRDefault="00A176DF" w:rsidP="003D15B7">
      <w:pPr>
        <w:pStyle w:val="TableFigureFooter"/>
        <w:rPr>
          <w:rFonts w:eastAsiaTheme="minorHAnsi"/>
        </w:rPr>
      </w:pPr>
      <w:r w:rsidRPr="003B4086">
        <w:rPr>
          <w:rFonts w:eastAsiaTheme="minorHAnsi"/>
        </w:rPr>
        <w:t xml:space="preserve">Notes: </w:t>
      </w:r>
      <w:r w:rsidR="003D15B7" w:rsidRPr="003B4086">
        <w:rPr>
          <w:rFonts w:eastAsiaTheme="minorHAnsi"/>
        </w:rPr>
        <w:t>Data cutoff on 01-Feb-2021.</w:t>
      </w:r>
    </w:p>
    <w:p w14:paraId="22981A6D" w14:textId="586C75E0" w:rsidR="003D15B7" w:rsidRPr="003B4086" w:rsidRDefault="003D15B7" w:rsidP="003D15B7">
      <w:pPr>
        <w:pStyle w:val="TableFigureFooter"/>
        <w:rPr>
          <w:rFonts w:eastAsiaTheme="minorHAnsi"/>
        </w:rPr>
      </w:pPr>
      <w:r w:rsidRPr="003B4086">
        <w:rPr>
          <w:rFonts w:eastAsiaTheme="minorHAnsi"/>
        </w:rPr>
        <w:t>Statistical model for HR and p-value - stratified Cox proportional hazard and stratified log-rank test.</w:t>
      </w:r>
      <w:r w:rsidR="000C73EC" w:rsidRPr="003B4086">
        <w:rPr>
          <w:rFonts w:eastAsiaTheme="minorHAnsi"/>
        </w:rPr>
        <w:t xml:space="preserve"> </w:t>
      </w:r>
      <w:r w:rsidRPr="003B4086">
        <w:rPr>
          <w:rFonts w:eastAsiaTheme="minorHAnsi"/>
        </w:rPr>
        <w:t>Symbols represent censored observations.</w:t>
      </w:r>
    </w:p>
    <w:p w14:paraId="403A9E5D" w14:textId="7B5D0835" w:rsidR="003D15B7" w:rsidRPr="003B4086" w:rsidRDefault="003D15B7" w:rsidP="003D15B7">
      <w:pPr>
        <w:pStyle w:val="TableFigureHeading"/>
        <w:rPr>
          <w:noProof/>
        </w:rPr>
      </w:pPr>
      <w:bookmarkStart w:id="28" w:name="_Ref102282453"/>
      <w:r w:rsidRPr="003B4086">
        <w:t xml:space="preserve">Figure </w:t>
      </w:r>
      <w:r w:rsidR="00785573">
        <w:fldChar w:fldCharType="begin"/>
      </w:r>
      <w:r w:rsidR="00785573">
        <w:instrText xml:space="preserve"> SEQ Figure \* ARABIC </w:instrText>
      </w:r>
      <w:r w:rsidR="00785573">
        <w:fldChar w:fldCharType="separate"/>
      </w:r>
      <w:r w:rsidR="00C6296C" w:rsidRPr="003B4086">
        <w:rPr>
          <w:noProof/>
        </w:rPr>
        <w:t>2</w:t>
      </w:r>
      <w:r w:rsidR="00785573">
        <w:rPr>
          <w:noProof/>
        </w:rPr>
        <w:fldChar w:fldCharType="end"/>
      </w:r>
      <w:bookmarkEnd w:id="28"/>
      <w:r w:rsidRPr="003B4086">
        <w:t xml:space="preserve">: CM274 - </w:t>
      </w:r>
      <w:r w:rsidRPr="003B4086">
        <w:rPr>
          <w:noProof/>
        </w:rPr>
        <w:t>Kaplan-Meier plot of DFS – PD-L1 ≥ 1% population</w:t>
      </w:r>
    </w:p>
    <w:p w14:paraId="23DA3CAA" w14:textId="77777777" w:rsidR="003D15B7" w:rsidRPr="003B4086" w:rsidRDefault="003D15B7" w:rsidP="003D15B7">
      <w:pPr>
        <w:rPr>
          <w:noProof/>
        </w:rPr>
      </w:pPr>
      <w:r w:rsidRPr="003B4086">
        <w:rPr>
          <w:noProof/>
        </w:rPr>
        <w:drawing>
          <wp:inline distT="0" distB="0" distL="0" distR="0" wp14:anchorId="01CB82D7" wp14:editId="509B3511">
            <wp:extent cx="5731510" cy="2616157"/>
            <wp:effectExtent l="0" t="0" r="2540" b="0"/>
            <wp:docPr id="65" name="Picture 65" descr="Figure 2: CM274 - Kaplan-Meier plot of DFS – PD-L1 ≥ 1%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Figure 2: CM274 - Kaplan-Meier plot of DFS – PD-L1 ≥ 1% popul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16157"/>
                    </a:xfrm>
                    <a:prstGeom prst="rect">
                      <a:avLst/>
                    </a:prstGeom>
                    <a:noFill/>
                    <a:ln>
                      <a:noFill/>
                    </a:ln>
                  </pic:spPr>
                </pic:pic>
              </a:graphicData>
            </a:graphic>
          </wp:inline>
        </w:drawing>
      </w:r>
    </w:p>
    <w:p w14:paraId="0656084C" w14:textId="77777777" w:rsidR="003D15B7" w:rsidRPr="003B4086" w:rsidRDefault="003D15B7" w:rsidP="003D15B7">
      <w:pPr>
        <w:rPr>
          <w:rFonts w:eastAsiaTheme="minorHAnsi"/>
          <w:b/>
          <w:bCs/>
        </w:rPr>
      </w:pPr>
    </w:p>
    <w:p w14:paraId="2D890A7A" w14:textId="77777777" w:rsidR="003D15B7" w:rsidRPr="003B4086" w:rsidRDefault="003D15B7" w:rsidP="003D15B7">
      <w:pPr>
        <w:pStyle w:val="TableFigureFooter"/>
        <w:rPr>
          <w:rFonts w:eastAsiaTheme="minorHAnsi"/>
        </w:rPr>
      </w:pPr>
      <w:r w:rsidRPr="003B4086">
        <w:rPr>
          <w:rFonts w:eastAsiaTheme="minorHAnsi"/>
        </w:rPr>
        <w:t>Source: Figure 12, p72 of the submission.</w:t>
      </w:r>
    </w:p>
    <w:p w14:paraId="628CECFF" w14:textId="77777777" w:rsidR="007B52A3" w:rsidRPr="003B4086" w:rsidRDefault="007B52A3" w:rsidP="007B52A3">
      <w:pPr>
        <w:pStyle w:val="TableFigureFooter"/>
        <w:rPr>
          <w:rFonts w:eastAsiaTheme="minorHAnsi"/>
        </w:rPr>
      </w:pPr>
      <w:r w:rsidRPr="003B4086">
        <w:rPr>
          <w:rFonts w:eastAsiaTheme="minorHAnsi"/>
        </w:rPr>
        <w:t>CI = confidence interval; DFS = disease free survival; HR = hazard ratio; NR = not reached; NE = not estimable; NIVO = nivolumab; PBO = placebo; PD-L1 = programmed cell death ligand 1.</w:t>
      </w:r>
    </w:p>
    <w:p w14:paraId="7D63AD01" w14:textId="627D175A" w:rsidR="003D15B7" w:rsidRPr="003B4086" w:rsidRDefault="00A176DF" w:rsidP="003D15B7">
      <w:pPr>
        <w:pStyle w:val="TableFigureFooter"/>
        <w:rPr>
          <w:rFonts w:eastAsiaTheme="minorHAnsi"/>
        </w:rPr>
      </w:pPr>
      <w:r w:rsidRPr="003B4086">
        <w:rPr>
          <w:rFonts w:eastAsiaTheme="minorHAnsi"/>
        </w:rPr>
        <w:t xml:space="preserve">Notes: </w:t>
      </w:r>
      <w:r w:rsidR="003D15B7" w:rsidRPr="003B4086">
        <w:rPr>
          <w:rFonts w:eastAsiaTheme="minorHAnsi"/>
        </w:rPr>
        <w:t>Data cutoff on 01-Feb-2021.</w:t>
      </w:r>
    </w:p>
    <w:p w14:paraId="54201491" w14:textId="07E5FAFF" w:rsidR="003D15B7" w:rsidRPr="003B4086" w:rsidRDefault="003D15B7" w:rsidP="003D15B7">
      <w:pPr>
        <w:pStyle w:val="TableFigureFooter"/>
        <w:rPr>
          <w:rFonts w:eastAsiaTheme="minorHAnsi"/>
        </w:rPr>
      </w:pPr>
      <w:r w:rsidRPr="003B4086">
        <w:rPr>
          <w:rFonts w:eastAsiaTheme="minorHAnsi"/>
        </w:rPr>
        <w:t>Statistical model for HR and p-value - stratified Cox proportional hazard and stratified log-rank test. Symbols represent censored observations</w:t>
      </w:r>
    </w:p>
    <w:p w14:paraId="68803823" w14:textId="445CF302" w:rsidR="00C62392" w:rsidRPr="003B4086" w:rsidRDefault="00C62392" w:rsidP="003D15B7">
      <w:pPr>
        <w:pStyle w:val="TableFigureFooter"/>
        <w:rPr>
          <w:rFonts w:eastAsiaTheme="minorHAnsi"/>
        </w:rPr>
      </w:pPr>
    </w:p>
    <w:p w14:paraId="3CE35DFB" w14:textId="4A0F9305" w:rsidR="006B42D4" w:rsidRPr="003B4086" w:rsidRDefault="00D65510" w:rsidP="00224E9F">
      <w:pPr>
        <w:pStyle w:val="3-BodyText"/>
        <w:rPr>
          <w:rFonts w:eastAsiaTheme="minorHAnsi"/>
        </w:rPr>
      </w:pPr>
      <w:r w:rsidRPr="003B4086">
        <w:t>T</w:t>
      </w:r>
      <w:r w:rsidR="006B42D4" w:rsidRPr="003B4086">
        <w:t xml:space="preserve">he median </w:t>
      </w:r>
      <w:r w:rsidR="003D74A4" w:rsidRPr="003B4086">
        <w:t xml:space="preserve">duration of </w:t>
      </w:r>
      <w:r w:rsidR="002979D3" w:rsidRPr="003B4086">
        <w:t>follow-up</w:t>
      </w:r>
      <w:r w:rsidR="006B42D4" w:rsidRPr="003B4086">
        <w:t xml:space="preserve"> for the ITT population w</w:t>
      </w:r>
      <w:r w:rsidR="003D74A4" w:rsidRPr="003B4086">
        <w:t>as</w:t>
      </w:r>
      <w:r w:rsidR="006B42D4" w:rsidRPr="003B4086">
        <w:t xml:space="preserve"> 24.4 months </w:t>
      </w:r>
      <w:r w:rsidR="003D74A4" w:rsidRPr="003B4086">
        <w:t xml:space="preserve">in the nivolumab arm </w:t>
      </w:r>
      <w:r w:rsidR="006B42D4" w:rsidRPr="003B4086">
        <w:t xml:space="preserve">and 22.5 months in the </w:t>
      </w:r>
      <w:r w:rsidR="003D74A4" w:rsidRPr="003B4086">
        <w:t>placebo arm</w:t>
      </w:r>
      <w:r w:rsidR="006B42D4" w:rsidRPr="003B4086">
        <w:t>. The median duration of DFS was 22.0 months</w:t>
      </w:r>
      <w:r w:rsidR="007B52A3" w:rsidRPr="003B4086">
        <w:t xml:space="preserve"> in the nivolumab arm</w:t>
      </w:r>
      <w:r w:rsidR="006B42D4" w:rsidRPr="003B4086">
        <w:t xml:space="preserve"> (95% </w:t>
      </w:r>
      <w:r w:rsidR="00456C45" w:rsidRPr="003B4086">
        <w:t>confidence interval (</w:t>
      </w:r>
      <w:r w:rsidR="006B42D4" w:rsidRPr="003B4086">
        <w:t>CI</w:t>
      </w:r>
      <w:r w:rsidR="00456C45" w:rsidRPr="003B4086">
        <w:t>)</w:t>
      </w:r>
      <w:r w:rsidR="006B42D4" w:rsidRPr="003B4086">
        <w:t>: 17.7, 36.9) and 10.9 months</w:t>
      </w:r>
      <w:r w:rsidR="007B52A3" w:rsidRPr="003B4086">
        <w:t xml:space="preserve"> in the placebo arm</w:t>
      </w:r>
      <w:r w:rsidR="006B42D4" w:rsidRPr="003B4086">
        <w:t xml:space="preserve"> (95% CI: 8.3, 14.0). This difference (11.1 months) corresponded to a </w:t>
      </w:r>
      <w:r w:rsidR="007B52A3" w:rsidRPr="003B4086">
        <w:t xml:space="preserve">statistically significant </w:t>
      </w:r>
      <w:r w:rsidR="006B42D4" w:rsidRPr="003B4086">
        <w:t>30% reduction in the hazard of recurrence or death favouring nivolumab (</w:t>
      </w:r>
      <w:r w:rsidR="00456C45" w:rsidRPr="003B4086">
        <w:t>hazard ratio (</w:t>
      </w:r>
      <w:r w:rsidR="006B42D4" w:rsidRPr="003B4086">
        <w:t>HR</w:t>
      </w:r>
      <w:r w:rsidR="00456C45" w:rsidRPr="003B4086">
        <w:t>)</w:t>
      </w:r>
      <w:r w:rsidR="006B42D4" w:rsidRPr="003B4086">
        <w:t xml:space="preserve"> 0.70, 95% CI: 0.57, 0.85).</w:t>
      </w:r>
      <w:r w:rsidR="008C2980" w:rsidRPr="003B4086">
        <w:t xml:space="preserve"> </w:t>
      </w:r>
      <w:r w:rsidR="006B42D4" w:rsidRPr="003B4086">
        <w:t>At 30 months, the DFS rates (</w:t>
      </w:r>
      <w:r w:rsidR="007B52A3" w:rsidRPr="003B4086">
        <w:t xml:space="preserve">KM </w:t>
      </w:r>
      <w:r w:rsidR="006B42D4" w:rsidRPr="003B4086">
        <w:t>event free rates) were approximately 44.9% and 35.5% (difference of 9.4%) in the nivolumab and placebo arms, respectively.</w:t>
      </w:r>
    </w:p>
    <w:p w14:paraId="413045A2" w14:textId="726AD401" w:rsidR="00620CEF" w:rsidRPr="003B4086" w:rsidRDefault="00D65510" w:rsidP="00620CEF">
      <w:pPr>
        <w:pStyle w:val="3-BodyText"/>
        <w:rPr>
          <w:rFonts w:eastAsiaTheme="minorHAnsi"/>
        </w:rPr>
      </w:pPr>
      <w:r w:rsidRPr="003B4086">
        <w:rPr>
          <w:rFonts w:eastAsiaTheme="minorHAnsi"/>
        </w:rPr>
        <w:t>T</w:t>
      </w:r>
      <w:r w:rsidR="00620CEF" w:rsidRPr="003B4086">
        <w:rPr>
          <w:rFonts w:eastAsiaTheme="minorHAnsi"/>
        </w:rPr>
        <w:t xml:space="preserve">he median </w:t>
      </w:r>
      <w:r w:rsidR="003D74A4" w:rsidRPr="003B4086">
        <w:rPr>
          <w:rFonts w:eastAsiaTheme="minorHAnsi"/>
        </w:rPr>
        <w:t xml:space="preserve">duration of </w:t>
      </w:r>
      <w:r w:rsidR="002979D3" w:rsidRPr="003B4086">
        <w:rPr>
          <w:rFonts w:eastAsiaTheme="minorHAnsi"/>
        </w:rPr>
        <w:t>follow-up</w:t>
      </w:r>
      <w:r w:rsidR="00620CEF" w:rsidRPr="003B4086">
        <w:rPr>
          <w:rFonts w:eastAsiaTheme="minorHAnsi"/>
        </w:rPr>
        <w:t xml:space="preserve"> for the PD-L1 ≥ 1% population w</w:t>
      </w:r>
      <w:r w:rsidR="003D74A4" w:rsidRPr="003B4086">
        <w:rPr>
          <w:rFonts w:eastAsiaTheme="minorHAnsi"/>
        </w:rPr>
        <w:t>as</w:t>
      </w:r>
      <w:r w:rsidR="00620CEF" w:rsidRPr="003B4086">
        <w:rPr>
          <w:rFonts w:eastAsiaTheme="minorHAnsi"/>
        </w:rPr>
        <w:t xml:space="preserve"> 25.5 months </w:t>
      </w:r>
      <w:r w:rsidR="003D74A4" w:rsidRPr="003B4086">
        <w:rPr>
          <w:rFonts w:eastAsiaTheme="minorHAnsi"/>
        </w:rPr>
        <w:t xml:space="preserve">in the nivolumab arm and </w:t>
      </w:r>
      <w:r w:rsidR="00620CEF" w:rsidRPr="003B4086">
        <w:rPr>
          <w:rFonts w:eastAsiaTheme="minorHAnsi"/>
        </w:rPr>
        <w:t xml:space="preserve">22.4 months in the placebo arm. The treatment effect associated with nivolumab was larger in this subgroup than in the ITT population. The median duration of DFS was not reached in the nivolumab arm (95% CI: 22.1, </w:t>
      </w:r>
      <w:r w:rsidR="00A176DF" w:rsidRPr="003B4086">
        <w:rPr>
          <w:rFonts w:eastAsiaTheme="minorHAnsi"/>
        </w:rPr>
        <w:t>not reached</w:t>
      </w:r>
      <w:r w:rsidR="00620CEF" w:rsidRPr="003B4086">
        <w:rPr>
          <w:rFonts w:eastAsiaTheme="minorHAnsi"/>
        </w:rPr>
        <w:t xml:space="preserve">) and was 8.4 months (95% CI: 5.6, 20.0) in the placebo arm. This corresponded to a statistically significant 47% reduction in the hazard of recurrence or death favouring nivolumab (HR 0.53, 95% CI: 0.38, 0.75). </w:t>
      </w:r>
    </w:p>
    <w:p w14:paraId="123C14BB" w14:textId="6F2F4BBF" w:rsidR="008C2980" w:rsidRPr="000C3B55" w:rsidRDefault="008C2980" w:rsidP="002B2876">
      <w:pPr>
        <w:pStyle w:val="3-BodyText"/>
        <w:rPr>
          <w:rFonts w:eastAsiaTheme="minorHAnsi"/>
        </w:rPr>
      </w:pPr>
      <w:r w:rsidRPr="003B4086">
        <w:rPr>
          <w:rFonts w:eastAsiaTheme="minorHAnsi"/>
        </w:rPr>
        <w:t>In response to clinical questions from the TGA clinical evaluat</w:t>
      </w:r>
      <w:r w:rsidR="000C73EC" w:rsidRPr="003B4086">
        <w:rPr>
          <w:rFonts w:eastAsiaTheme="minorHAnsi"/>
        </w:rPr>
        <w:t>or during the Round 1 evaluation</w:t>
      </w:r>
      <w:r w:rsidRPr="003B4086">
        <w:rPr>
          <w:rFonts w:eastAsiaTheme="minorHAnsi"/>
        </w:rPr>
        <w:t xml:space="preserve">, the </w:t>
      </w:r>
      <w:r w:rsidR="00CD56A9">
        <w:rPr>
          <w:rFonts w:eastAsiaTheme="minorHAnsi"/>
        </w:rPr>
        <w:t>s</w:t>
      </w:r>
      <w:r w:rsidRPr="003B4086">
        <w:rPr>
          <w:rFonts w:eastAsiaTheme="minorHAnsi"/>
        </w:rPr>
        <w:t xml:space="preserve">ponsor provided </w:t>
      </w:r>
      <w:r w:rsidR="000C73EC" w:rsidRPr="003B4086">
        <w:rPr>
          <w:rFonts w:eastAsiaTheme="minorHAnsi"/>
        </w:rPr>
        <w:t xml:space="preserve">additional DFS </w:t>
      </w:r>
      <w:r w:rsidR="0001719A" w:rsidRPr="003B4086">
        <w:rPr>
          <w:rFonts w:eastAsiaTheme="minorHAnsi"/>
        </w:rPr>
        <w:t>data</w:t>
      </w:r>
      <w:r w:rsidRPr="003B4086">
        <w:rPr>
          <w:rFonts w:eastAsiaTheme="minorHAnsi"/>
        </w:rPr>
        <w:t xml:space="preserve"> for the PD-L1 &lt; 1% subgroup</w:t>
      </w:r>
      <w:r w:rsidR="00053187" w:rsidRPr="003B4086">
        <w:rPr>
          <w:rFonts w:eastAsiaTheme="minorHAnsi"/>
        </w:rPr>
        <w:t xml:space="preserve"> of the CM274 trial</w:t>
      </w:r>
      <w:r w:rsidRPr="003B4086">
        <w:rPr>
          <w:rFonts w:eastAsiaTheme="minorHAnsi"/>
        </w:rPr>
        <w:t xml:space="preserve"> (data cutoff 1 February 2021</w:t>
      </w:r>
      <w:r w:rsidR="0001719A" w:rsidRPr="003B4086">
        <w:rPr>
          <w:rFonts w:eastAsiaTheme="minorHAnsi"/>
        </w:rPr>
        <w:t xml:space="preserve">, p99 of the </w:t>
      </w:r>
      <w:r w:rsidRPr="003B4086">
        <w:rPr>
          <w:rFonts w:eastAsiaTheme="minorHAnsi"/>
        </w:rPr>
        <w:t xml:space="preserve">Round 2 </w:t>
      </w:r>
      <w:r w:rsidR="0001719A" w:rsidRPr="003B4086">
        <w:rPr>
          <w:rFonts w:eastAsiaTheme="minorHAnsi"/>
        </w:rPr>
        <w:t>CER</w:t>
      </w:r>
      <w:r w:rsidRPr="003B4086">
        <w:rPr>
          <w:rFonts w:eastAsiaTheme="minorHAnsi"/>
        </w:rPr>
        <w:t xml:space="preserve">, Submission PM-2021-02518-1-4). </w:t>
      </w:r>
      <w:r w:rsidR="002B2876" w:rsidRPr="000C3B55">
        <w:rPr>
          <w:rFonts w:eastAsiaTheme="minorHAnsi"/>
        </w:rPr>
        <w:t xml:space="preserve">This subgroup comprised approximately </w:t>
      </w:r>
      <w:r w:rsidR="00E020DE" w:rsidRPr="00785573">
        <w:rPr>
          <w:rFonts w:eastAsiaTheme="minorHAnsi"/>
          <w:color w:val="000000"/>
          <w:w w:val="15"/>
          <w:shd w:val="solid" w:color="000000" w:fill="000000"/>
          <w:fitText w:val="-20" w:id="-1435270133"/>
          <w14:textFill>
            <w14:solidFill>
              <w14:srgbClr w14:val="000000">
                <w14:alpha w14:val="100000"/>
              </w14:srgbClr>
            </w14:solidFill>
          </w14:textFill>
        </w:rPr>
        <w:t xml:space="preserve">|  </w:t>
      </w:r>
      <w:r w:rsidR="00E020DE" w:rsidRPr="00785573">
        <w:rPr>
          <w:rFonts w:eastAsiaTheme="minorHAnsi"/>
          <w:color w:val="000000"/>
          <w:spacing w:val="-69"/>
          <w:w w:val="15"/>
          <w:shd w:val="solid" w:color="000000" w:fill="000000"/>
          <w:fitText w:val="-20" w:id="-1435270133"/>
          <w14:textFill>
            <w14:solidFill>
              <w14:srgbClr w14:val="000000">
                <w14:alpha w14:val="100000"/>
              </w14:srgbClr>
            </w14:solidFill>
          </w14:textFill>
        </w:rPr>
        <w:t>|</w:t>
      </w:r>
      <w:r w:rsidR="002B2876" w:rsidRPr="000C3B55">
        <w:rPr>
          <w:rFonts w:eastAsiaTheme="minorHAnsi"/>
        </w:rPr>
        <w:t xml:space="preserve"> of the ITT population. </w:t>
      </w:r>
      <w:r w:rsidRPr="000C3B55">
        <w:rPr>
          <w:rFonts w:eastAsiaTheme="minorHAnsi"/>
        </w:rPr>
        <w:t xml:space="preserve">The results indicated a </w:t>
      </w:r>
      <w:r w:rsidR="00E020DE" w:rsidRPr="00785573">
        <w:rPr>
          <w:rFonts w:eastAsiaTheme="minorHAnsi"/>
          <w:color w:val="000000"/>
          <w:w w:val="15"/>
          <w:shd w:val="solid" w:color="000000" w:fill="000000"/>
          <w:fitText w:val="-20" w:id="-1435270132"/>
          <w14:textFill>
            <w14:solidFill>
              <w14:srgbClr w14:val="000000">
                <w14:alpha w14:val="100000"/>
              </w14:srgbClr>
            </w14:solidFill>
          </w14:textFill>
        </w:rPr>
        <w:t xml:space="preserve">|  </w:t>
      </w:r>
      <w:r w:rsidR="00E020DE" w:rsidRPr="00785573">
        <w:rPr>
          <w:rFonts w:eastAsiaTheme="minorHAnsi"/>
          <w:color w:val="000000"/>
          <w:spacing w:val="-69"/>
          <w:w w:val="15"/>
          <w:shd w:val="solid" w:color="000000" w:fill="000000"/>
          <w:fitText w:val="-20" w:id="-1435270132"/>
          <w14:textFill>
            <w14:solidFill>
              <w14:srgbClr w14:val="000000">
                <w14:alpha w14:val="100000"/>
              </w14:srgbClr>
            </w14:solidFill>
          </w14:textFill>
        </w:rPr>
        <w:t>|</w:t>
      </w:r>
      <w:r w:rsidRPr="000C3B55">
        <w:rPr>
          <w:rFonts w:eastAsiaTheme="minorHAnsi"/>
        </w:rPr>
        <w:t xml:space="preserve"> </w:t>
      </w:r>
      <w:r w:rsidR="0029503E">
        <w:t xml:space="preserve">treatment effect (HR 0.80, 95% CI: 0.62, 1.03) compared to that observed in the PD-L1 positive subgroup. The median duration of DFS for the PD-L1 </w:t>
      </w:r>
      <w:r w:rsidR="0029503E">
        <w:lastRenderedPageBreak/>
        <w:t>&lt; 1% subgroup was however much longer in the nivolumab arm compared to the placebo arm (17.7 months (95% CI: 14.1, 22.4) versus 11.1 months (95% CI: 8.3, 16.9)).</w:t>
      </w:r>
    </w:p>
    <w:p w14:paraId="496B252A" w14:textId="2957A01F" w:rsidR="00CD0007" w:rsidRPr="003B4086" w:rsidRDefault="006339D2" w:rsidP="002576C2">
      <w:pPr>
        <w:pStyle w:val="3-BodyText"/>
        <w:spacing w:after="0"/>
      </w:pPr>
      <w:r w:rsidRPr="003B4086">
        <w:t>Additional s</w:t>
      </w:r>
      <w:r w:rsidR="00CD0007" w:rsidRPr="003B4086">
        <w:t>ubgroup analys</w:t>
      </w:r>
      <w:r w:rsidRPr="003B4086">
        <w:t>e</w:t>
      </w:r>
      <w:r w:rsidR="00CD0007" w:rsidRPr="003B4086">
        <w:t>s of DFS indicated that the HRs favoured nivolumab over placebo for most characteristics except for patients who had no prior use of neoadjuvant cisplatin-based chemotherapy</w:t>
      </w:r>
      <w:r w:rsidR="00B50653" w:rsidRPr="003B4086">
        <w:t xml:space="preserve"> and patients with upper urothelial cancers (</w:t>
      </w:r>
      <w:r w:rsidR="00CD0007" w:rsidRPr="003B4086">
        <w:t>renal pelvis or the ureter as the primary origin of the tumour</w:t>
      </w:r>
      <w:r w:rsidR="00B50653" w:rsidRPr="003B4086">
        <w:t>):</w:t>
      </w:r>
    </w:p>
    <w:p w14:paraId="323B456F" w14:textId="77777777" w:rsidR="00290F8D" w:rsidRPr="003B4086" w:rsidRDefault="00CD0007" w:rsidP="00773A6D">
      <w:pPr>
        <w:pStyle w:val="3-BodyText"/>
        <w:numPr>
          <w:ilvl w:val="0"/>
          <w:numId w:val="9"/>
        </w:numPr>
        <w:spacing w:after="0"/>
      </w:pPr>
      <w:r w:rsidRPr="003B4086">
        <w:t>Use of prior neoadjuvant cisplatin therapy:</w:t>
      </w:r>
    </w:p>
    <w:p w14:paraId="0C28BC50" w14:textId="77777777" w:rsidR="00290F8D" w:rsidRPr="003B4086" w:rsidRDefault="00CD0007" w:rsidP="00773A6D">
      <w:pPr>
        <w:pStyle w:val="3-BodyText"/>
        <w:numPr>
          <w:ilvl w:val="1"/>
          <w:numId w:val="9"/>
        </w:numPr>
        <w:spacing w:after="0"/>
      </w:pPr>
      <w:r w:rsidRPr="003B4086">
        <w:t>Yes</w:t>
      </w:r>
      <w:r w:rsidR="006339D2" w:rsidRPr="003B4086">
        <w:t xml:space="preserve"> (</w:t>
      </w:r>
      <w:r w:rsidR="006A45FC" w:rsidRPr="003B4086">
        <w:t>N = 308)</w:t>
      </w:r>
      <w:r w:rsidRPr="003B4086">
        <w:t>: HR = 0.52 (95% CI:</w:t>
      </w:r>
      <w:r w:rsidR="00290F8D" w:rsidRPr="003B4086">
        <w:t xml:space="preserve"> </w:t>
      </w:r>
      <w:r w:rsidRPr="003B4086">
        <w:t>0.39, 0.71)</w:t>
      </w:r>
      <w:r w:rsidR="00290F8D" w:rsidRPr="003B4086">
        <w:t>;</w:t>
      </w:r>
    </w:p>
    <w:p w14:paraId="5AA0FF34" w14:textId="77777777" w:rsidR="003B5FB8" w:rsidRPr="003B4086" w:rsidRDefault="00CD0007" w:rsidP="00773A6D">
      <w:pPr>
        <w:pStyle w:val="3-BodyText"/>
        <w:numPr>
          <w:ilvl w:val="1"/>
          <w:numId w:val="9"/>
        </w:numPr>
        <w:spacing w:after="0"/>
      </w:pPr>
      <w:r w:rsidRPr="003B4086">
        <w:t>No</w:t>
      </w:r>
      <w:r w:rsidR="006A45FC" w:rsidRPr="003B4086">
        <w:t xml:space="preserve"> (N = 401)</w:t>
      </w:r>
      <w:r w:rsidRPr="003B4086">
        <w:t>: HR = 0.90 (95% CI: 0.68, 1.18)</w:t>
      </w:r>
      <w:r w:rsidR="009D29AD" w:rsidRPr="003B4086">
        <w:t>.</w:t>
      </w:r>
      <w:r w:rsidR="006339D2" w:rsidRPr="003B4086">
        <w:t xml:space="preserve"> </w:t>
      </w:r>
    </w:p>
    <w:p w14:paraId="6505EE2F" w14:textId="1175433C" w:rsidR="00B50653" w:rsidRPr="003B4086" w:rsidRDefault="00290F8D" w:rsidP="003B5FB8">
      <w:pPr>
        <w:pStyle w:val="3-BodyText"/>
        <w:numPr>
          <w:ilvl w:val="0"/>
          <w:numId w:val="0"/>
        </w:numPr>
        <w:spacing w:after="0"/>
        <w:ind w:left="2160"/>
      </w:pPr>
      <w:r w:rsidRPr="003B4086">
        <w:t>Use of prior neoadjuvant cisplatin-based chemotherapy</w:t>
      </w:r>
      <w:r w:rsidR="006339D2" w:rsidRPr="003B4086">
        <w:t xml:space="preserve"> was a stratification factor </w:t>
      </w:r>
      <w:r w:rsidRPr="003B4086">
        <w:t xml:space="preserve">at randomisation (Yes vs. No) </w:t>
      </w:r>
      <w:r w:rsidR="006339D2" w:rsidRPr="003B4086">
        <w:t>in the CM274 trial.</w:t>
      </w:r>
    </w:p>
    <w:p w14:paraId="36D87D5D" w14:textId="77777777" w:rsidR="00290F8D" w:rsidRPr="003B4086" w:rsidRDefault="00CD0007" w:rsidP="00773A6D">
      <w:pPr>
        <w:pStyle w:val="3-BodyText"/>
        <w:numPr>
          <w:ilvl w:val="0"/>
          <w:numId w:val="9"/>
        </w:numPr>
        <w:spacing w:after="0"/>
      </w:pPr>
      <w:r w:rsidRPr="003B4086">
        <w:t>Initial tumour origin:</w:t>
      </w:r>
    </w:p>
    <w:p w14:paraId="14B4676F" w14:textId="77777777" w:rsidR="00290F8D" w:rsidRPr="003B4086" w:rsidRDefault="00CD0007" w:rsidP="00773A6D">
      <w:pPr>
        <w:pStyle w:val="3-BodyText"/>
        <w:numPr>
          <w:ilvl w:val="1"/>
          <w:numId w:val="9"/>
        </w:numPr>
        <w:spacing w:after="0"/>
      </w:pPr>
      <w:r w:rsidRPr="003B4086">
        <w:t>Urinary bladder</w:t>
      </w:r>
      <w:r w:rsidR="006A45FC" w:rsidRPr="003B4086">
        <w:t xml:space="preserve"> (N = 560)</w:t>
      </w:r>
      <w:r w:rsidRPr="003B4086">
        <w:t>: HR = 0.61 (95% CI: 0.49, 0.77)</w:t>
      </w:r>
      <w:r w:rsidR="00290F8D" w:rsidRPr="003B4086">
        <w:t>;</w:t>
      </w:r>
    </w:p>
    <w:p w14:paraId="7C7F78DE" w14:textId="23244373" w:rsidR="002576C2" w:rsidRPr="003B4086" w:rsidRDefault="002576C2" w:rsidP="00773A6D">
      <w:pPr>
        <w:pStyle w:val="3-BodyText"/>
        <w:numPr>
          <w:ilvl w:val="1"/>
          <w:numId w:val="9"/>
        </w:numPr>
        <w:spacing w:after="0"/>
      </w:pPr>
      <w:r w:rsidRPr="003B4086">
        <w:t>Combined UTUC (N = 149; renal pelvis or ureter): HR = 1.34 (95% CI: 0.84, 2.44):</w:t>
      </w:r>
    </w:p>
    <w:p w14:paraId="414CC4E0" w14:textId="77777777" w:rsidR="002576C2" w:rsidRPr="003B4086" w:rsidRDefault="002576C2" w:rsidP="00773A6D">
      <w:pPr>
        <w:pStyle w:val="3-BodyText"/>
        <w:numPr>
          <w:ilvl w:val="2"/>
          <w:numId w:val="9"/>
        </w:numPr>
        <w:spacing w:after="0"/>
      </w:pPr>
      <w:r w:rsidRPr="003B4086">
        <w:t>Ureter (N = 53): HR = 1.54 (95% CI: 0.69, 3.44).</w:t>
      </w:r>
    </w:p>
    <w:p w14:paraId="7658B34E" w14:textId="39299254" w:rsidR="00290F8D" w:rsidRPr="003B4086" w:rsidRDefault="002576C2" w:rsidP="00773A6D">
      <w:pPr>
        <w:pStyle w:val="3-BodyText"/>
        <w:numPr>
          <w:ilvl w:val="2"/>
          <w:numId w:val="9"/>
        </w:numPr>
        <w:ind w:left="2874" w:hanging="357"/>
      </w:pPr>
      <w:r w:rsidRPr="003B4086">
        <w:t>Renal pelvis (N = 96): HR = 1.25 (95% CI: 0.70, 2.25).</w:t>
      </w:r>
    </w:p>
    <w:p w14:paraId="0301B769" w14:textId="57A333E4" w:rsidR="00433465" w:rsidRPr="003B4086" w:rsidRDefault="002576C2" w:rsidP="00833747">
      <w:pPr>
        <w:pStyle w:val="3-BodyText"/>
      </w:pPr>
      <w:bookmarkStart w:id="29" w:name="_Ref109657433"/>
      <w:r w:rsidRPr="003B4086">
        <w:t>No clear DFS benefit was observed with n</w:t>
      </w:r>
      <w:r w:rsidR="00D65510" w:rsidRPr="003B4086">
        <w:t xml:space="preserve">ivolumab </w:t>
      </w:r>
      <w:r w:rsidR="00053187" w:rsidRPr="003B4086">
        <w:t xml:space="preserve">over placebo </w:t>
      </w:r>
      <w:r w:rsidRPr="003B4086">
        <w:t>i</w:t>
      </w:r>
      <w:r w:rsidR="00D65510" w:rsidRPr="003B4086">
        <w:t xml:space="preserve">n patients who had not received neoadjuvant cisplatin-based chemotherapy. </w:t>
      </w:r>
      <w:r w:rsidR="00433465" w:rsidRPr="003B4086">
        <w:t xml:space="preserve">This is noteworthy given that a significant number of patients </w:t>
      </w:r>
      <w:r w:rsidRPr="003B4086">
        <w:t xml:space="preserve">who would be treated with nivolumab </w:t>
      </w:r>
      <w:r w:rsidR="00433465" w:rsidRPr="003B4086">
        <w:t xml:space="preserve">may not </w:t>
      </w:r>
      <w:r w:rsidRPr="003B4086">
        <w:t xml:space="preserve">have </w:t>
      </w:r>
      <w:r w:rsidR="00433465" w:rsidRPr="003B4086">
        <w:t>receive</w:t>
      </w:r>
      <w:r w:rsidRPr="003B4086">
        <w:t>d</w:t>
      </w:r>
      <w:r w:rsidR="00433465" w:rsidRPr="003B4086">
        <w:t xml:space="preserve"> neoadjuvant cisplatin</w:t>
      </w:r>
      <w:r w:rsidR="006339D2" w:rsidRPr="003B4086">
        <w:t>-</w:t>
      </w:r>
      <w:r w:rsidR="00433465" w:rsidRPr="003B4086">
        <w:t xml:space="preserve">based chemotherapy. </w:t>
      </w:r>
      <w:r w:rsidR="00B50653" w:rsidRPr="003B4086">
        <w:t xml:space="preserve">One </w:t>
      </w:r>
      <w:r w:rsidRPr="003B4086">
        <w:t>probable</w:t>
      </w:r>
      <w:r w:rsidR="00B50653" w:rsidRPr="003B4086">
        <w:t xml:space="preserve"> reason</w:t>
      </w:r>
      <w:r w:rsidR="00433465" w:rsidRPr="003B4086">
        <w:t xml:space="preserve"> for the apparent lack of benefit</w:t>
      </w:r>
      <w:r w:rsidRPr="003B4086">
        <w:t xml:space="preserve"> in patients who had not received neoadjuvant cisplatin-based chemotherapy, although </w:t>
      </w:r>
      <w:r w:rsidR="00C74B45" w:rsidRPr="003B4086">
        <w:t>in</w:t>
      </w:r>
      <w:r w:rsidRPr="003B4086">
        <w:t xml:space="preserve">conclusive, </w:t>
      </w:r>
      <w:r w:rsidR="00B50653" w:rsidRPr="003B4086">
        <w:t>is that there was no “chemotherapy priming” to enhance the activity of immunotherapy</w:t>
      </w:r>
      <w:r w:rsidR="00433465" w:rsidRPr="003B4086">
        <w:t>.</w:t>
      </w:r>
      <w:r w:rsidR="00F65AD9" w:rsidRPr="003B4086">
        <w:t xml:space="preserve"> </w:t>
      </w:r>
      <w:r w:rsidR="00B7161E" w:rsidRPr="003B4086">
        <w:t xml:space="preserve">The PSCR stated that, while not statistically significant, the improvement in DFS observed in the non prior cisplatin group still reflected a treatment benefit in favour of nivolumab over placebo. </w:t>
      </w:r>
      <w:r w:rsidR="00F65AD9" w:rsidRPr="003B4086">
        <w:t xml:space="preserve">The ESC </w:t>
      </w:r>
      <w:r w:rsidR="00B7161E" w:rsidRPr="003B4086">
        <w:t>agreed with the evaluation that there was</w:t>
      </w:r>
      <w:r w:rsidR="00A86C14" w:rsidRPr="003B4086">
        <w:t xml:space="preserve"> no</w:t>
      </w:r>
      <w:r w:rsidR="003B5FB8" w:rsidRPr="003B4086">
        <w:t xml:space="preserve"> clear </w:t>
      </w:r>
      <w:r w:rsidR="00872F7A" w:rsidRPr="003B4086">
        <w:t xml:space="preserve">adjuvant nivolumab </w:t>
      </w:r>
      <w:r w:rsidR="00F65AD9" w:rsidRPr="003B4086">
        <w:t xml:space="preserve">treatment effect among patients who had not received neoadjuvant chemotherapy. </w:t>
      </w:r>
      <w:r w:rsidR="001E5A86" w:rsidRPr="003B4086">
        <w:t xml:space="preserve">The ESC considered it was unclear if nivolumab would provide a benefit over adjuvant platinum-based chemotherapy in this subgroup of patients </w:t>
      </w:r>
      <w:r w:rsidR="00A86C14" w:rsidRPr="003B4086">
        <w:t xml:space="preserve">(see paragraph </w:t>
      </w:r>
      <w:r w:rsidR="00A86C14" w:rsidRPr="003B4086">
        <w:fldChar w:fldCharType="begin"/>
      </w:r>
      <w:r w:rsidR="00A86C14" w:rsidRPr="003B4086">
        <w:instrText xml:space="preserve"> REF _Ref106266171 \r \h </w:instrText>
      </w:r>
      <w:r w:rsidR="00135EB5" w:rsidRPr="003B4086">
        <w:instrText xml:space="preserve"> \* MERGEFORMAT </w:instrText>
      </w:r>
      <w:r w:rsidR="00A86C14" w:rsidRPr="003B4086">
        <w:fldChar w:fldCharType="separate"/>
      </w:r>
      <w:r w:rsidR="00994246">
        <w:t>5.3</w:t>
      </w:r>
      <w:r w:rsidR="00A86C14" w:rsidRPr="003B4086">
        <w:fldChar w:fldCharType="end"/>
      </w:r>
      <w:r w:rsidR="00A86C14" w:rsidRPr="003B4086">
        <w:t>).</w:t>
      </w:r>
      <w:r w:rsidR="00260676" w:rsidRPr="003B4086">
        <w:t xml:space="preserve"> The pre-PBAC response</w:t>
      </w:r>
      <w:r w:rsidR="00CF7041">
        <w:t xml:space="preserve"> </w:t>
      </w:r>
      <w:r w:rsidR="00260676" w:rsidRPr="003B4086">
        <w:t xml:space="preserve">maintained the position held in the PSCR (see above and paragraph </w:t>
      </w:r>
      <w:r w:rsidR="00260676" w:rsidRPr="003B4086">
        <w:fldChar w:fldCharType="begin"/>
      </w:r>
      <w:r w:rsidR="00260676" w:rsidRPr="003B4086">
        <w:instrText xml:space="preserve"> REF _Ref109379311 \r \h </w:instrText>
      </w:r>
      <w:r w:rsidR="00260676" w:rsidRPr="003B4086">
        <w:fldChar w:fldCharType="separate"/>
      </w:r>
      <w:r w:rsidR="0011484C">
        <w:t>6.40</w:t>
      </w:r>
      <w:r w:rsidR="00260676" w:rsidRPr="003B4086">
        <w:fldChar w:fldCharType="end"/>
      </w:r>
      <w:r w:rsidR="00260676" w:rsidRPr="003B4086">
        <w:t>).</w:t>
      </w:r>
      <w:bookmarkEnd w:id="29"/>
    </w:p>
    <w:p w14:paraId="4FD33282" w14:textId="2B0A9782" w:rsidR="00CD0007" w:rsidRPr="003B4086" w:rsidRDefault="002576C2" w:rsidP="00C904E2">
      <w:pPr>
        <w:pStyle w:val="3-BodyText"/>
      </w:pPr>
      <w:bookmarkStart w:id="30" w:name="_Ref109656601"/>
      <w:r w:rsidRPr="003B4086">
        <w:t>For UTUC patients, t</w:t>
      </w:r>
      <w:r w:rsidR="00CD0007" w:rsidRPr="003B4086">
        <w:t xml:space="preserve">he </w:t>
      </w:r>
      <w:r w:rsidRPr="003B4086">
        <w:t xml:space="preserve">DFS </w:t>
      </w:r>
      <w:r w:rsidR="00B50653" w:rsidRPr="003B4086">
        <w:t xml:space="preserve">HR </w:t>
      </w:r>
      <w:r w:rsidR="00CD0007" w:rsidRPr="003B4086">
        <w:t xml:space="preserve">point estimates </w:t>
      </w:r>
      <w:r w:rsidR="00B50653" w:rsidRPr="003B4086">
        <w:t>indicated</w:t>
      </w:r>
      <w:r w:rsidR="00CD0007" w:rsidRPr="003B4086">
        <w:t xml:space="preserve"> </w:t>
      </w:r>
      <w:r w:rsidR="00053187" w:rsidRPr="003B4086">
        <w:t xml:space="preserve">that </w:t>
      </w:r>
      <w:r w:rsidR="00CD0007" w:rsidRPr="003B4086">
        <w:t xml:space="preserve">nivolumab may be </w:t>
      </w:r>
      <w:r w:rsidR="00053187" w:rsidRPr="003B4086">
        <w:t xml:space="preserve">potentially </w:t>
      </w:r>
      <w:r w:rsidR="00CD0007" w:rsidRPr="003B4086">
        <w:t xml:space="preserve">inferior to placebo. </w:t>
      </w:r>
      <w:r w:rsidR="00433465" w:rsidRPr="003B4086">
        <w:t xml:space="preserve">The </w:t>
      </w:r>
      <w:r w:rsidR="00A91ECC" w:rsidRPr="003B4086">
        <w:t xml:space="preserve">DFS </w:t>
      </w:r>
      <w:r w:rsidR="006339D2" w:rsidRPr="003B4086">
        <w:t xml:space="preserve">results favoured </w:t>
      </w:r>
      <w:r w:rsidR="00433465" w:rsidRPr="003B4086">
        <w:t xml:space="preserve">nivolumab </w:t>
      </w:r>
      <w:r w:rsidR="006339D2" w:rsidRPr="003B4086">
        <w:t xml:space="preserve">only </w:t>
      </w:r>
      <w:r w:rsidR="00CD0007" w:rsidRPr="003B4086">
        <w:t>in MIBC patients.</w:t>
      </w:r>
      <w:r w:rsidR="006A45FC" w:rsidRPr="003B4086">
        <w:t xml:space="preserve"> These results should be interpreted with caution given the small sample size of th</w:t>
      </w:r>
      <w:r w:rsidRPr="003B4086">
        <w:t>is subgroup.</w:t>
      </w:r>
      <w:r w:rsidR="00C74B45" w:rsidRPr="003B4086">
        <w:t xml:space="preserve"> Nevertheless, it is possible that the underlying reason </w:t>
      </w:r>
      <w:r w:rsidR="00053187" w:rsidRPr="003B4086">
        <w:t xml:space="preserve">for an </w:t>
      </w:r>
      <w:r w:rsidR="00C74B45" w:rsidRPr="003B4086">
        <w:t xml:space="preserve">apparent lack </w:t>
      </w:r>
      <w:r w:rsidR="00136932" w:rsidRPr="003B4086">
        <w:t xml:space="preserve">of </w:t>
      </w:r>
      <w:r w:rsidR="009D29AD" w:rsidRPr="003B4086">
        <w:t xml:space="preserve">DFS </w:t>
      </w:r>
      <w:r w:rsidR="00136932" w:rsidRPr="003B4086">
        <w:t xml:space="preserve">benefit in </w:t>
      </w:r>
      <w:r w:rsidR="00053187" w:rsidRPr="003B4086">
        <w:t xml:space="preserve">UTUC </w:t>
      </w:r>
      <w:r w:rsidR="00D86348" w:rsidRPr="003B4086">
        <w:t xml:space="preserve">patients </w:t>
      </w:r>
      <w:r w:rsidR="00C74B45" w:rsidRPr="003B4086">
        <w:t xml:space="preserve">was that the majority of these patients </w:t>
      </w:r>
      <w:r w:rsidR="00053187" w:rsidRPr="003B4086">
        <w:t>had</w:t>
      </w:r>
      <w:r w:rsidR="00C74B45" w:rsidRPr="003B4086">
        <w:t xml:space="preserve"> not </w:t>
      </w:r>
      <w:r w:rsidR="00053187" w:rsidRPr="003B4086">
        <w:t xml:space="preserve">been </w:t>
      </w:r>
      <w:r w:rsidR="00C74B45" w:rsidRPr="003B4086">
        <w:t xml:space="preserve">offered prior </w:t>
      </w:r>
      <w:r w:rsidR="009D29AD" w:rsidRPr="003B4086">
        <w:t xml:space="preserve">neoadjuvant </w:t>
      </w:r>
      <w:r w:rsidR="00D86348" w:rsidRPr="003B4086">
        <w:t>cisplatin</w:t>
      </w:r>
      <w:r w:rsidR="00C74B45" w:rsidRPr="003B4086">
        <w:t xml:space="preserve">-based chemotherapy as per management guidelines. </w:t>
      </w:r>
      <w:r w:rsidR="00533CF9" w:rsidRPr="003B4086">
        <w:t>The ESC considered these findings raise some uncertainty regarding the use of nivolumab in UTUC patients. However, the ESC agreed with the PSCR that the small sample sizes and a low number of events mean that it cannot be reliably concluded that patients with UTUC tumours are different from the whole study population.</w:t>
      </w:r>
      <w:bookmarkEnd w:id="30"/>
      <w:r w:rsidR="00533CF9" w:rsidRPr="003B4086">
        <w:t xml:space="preserve"> </w:t>
      </w:r>
    </w:p>
    <w:p w14:paraId="0210E85B" w14:textId="0BCB38FE" w:rsidR="006F7945" w:rsidRPr="003B4086" w:rsidRDefault="00620CEF" w:rsidP="00301B99">
      <w:pPr>
        <w:pStyle w:val="3-BodyText"/>
        <w:rPr>
          <w:rFonts w:eastAsiaTheme="minorHAnsi"/>
        </w:rPr>
      </w:pPr>
      <w:bookmarkStart w:id="31" w:name="_Ref110349014"/>
      <w:r w:rsidRPr="003B4086">
        <w:rPr>
          <w:rFonts w:eastAsiaTheme="minorHAnsi"/>
        </w:rPr>
        <w:t xml:space="preserve">OS data were not provided in the submission although data were available in the </w:t>
      </w:r>
      <w:r w:rsidR="00625E81" w:rsidRPr="003B4086">
        <w:rPr>
          <w:rFonts w:eastAsiaTheme="minorHAnsi"/>
        </w:rPr>
        <w:t xml:space="preserve">TGA </w:t>
      </w:r>
      <w:r w:rsidRPr="003B4086">
        <w:rPr>
          <w:rFonts w:eastAsiaTheme="minorHAnsi"/>
        </w:rPr>
        <w:t xml:space="preserve">Round 2 </w:t>
      </w:r>
      <w:r w:rsidR="00625E81" w:rsidRPr="003B4086">
        <w:rPr>
          <w:rFonts w:eastAsiaTheme="minorHAnsi"/>
        </w:rPr>
        <w:t>CER for nivolumab</w:t>
      </w:r>
      <w:r w:rsidRPr="003B4086">
        <w:rPr>
          <w:rFonts w:eastAsiaTheme="minorHAnsi"/>
        </w:rPr>
        <w:t xml:space="preserve">. </w:t>
      </w:r>
      <w:r w:rsidR="006F7945" w:rsidRPr="003B4086">
        <w:rPr>
          <w:rFonts w:eastAsiaTheme="minorHAnsi"/>
        </w:rPr>
        <w:t xml:space="preserve">The follow-up for OS is ongoing. </w:t>
      </w:r>
      <w:r w:rsidR="00913A75" w:rsidRPr="000C3B55">
        <w:rPr>
          <w:rFonts w:eastAsiaTheme="minorHAnsi"/>
        </w:rPr>
        <w:t xml:space="preserve">A second interim analysis </w:t>
      </w:r>
      <w:r w:rsidR="00913A75" w:rsidRPr="000C3B55">
        <w:rPr>
          <w:rFonts w:eastAsiaTheme="minorHAnsi"/>
        </w:rPr>
        <w:lastRenderedPageBreak/>
        <w:t xml:space="preserve">and a final analysis for the ITT population are anticipated in </w:t>
      </w:r>
      <w:r w:rsidR="00E020DE" w:rsidRPr="00785573">
        <w:rPr>
          <w:rFonts w:eastAsiaTheme="minorHAnsi"/>
          <w:color w:val="000000"/>
          <w:w w:val="15"/>
          <w:shd w:val="solid" w:color="000000" w:fill="000000"/>
          <w:fitText w:val="-20" w:id="-1435270130"/>
          <w14:textFill>
            <w14:solidFill>
              <w14:srgbClr w14:val="000000">
                <w14:alpha w14:val="100000"/>
              </w14:srgbClr>
            </w14:solidFill>
          </w14:textFill>
        </w:rPr>
        <w:t xml:space="preserve">|  </w:t>
      </w:r>
      <w:r w:rsidR="00E020DE" w:rsidRPr="00785573">
        <w:rPr>
          <w:rFonts w:eastAsiaTheme="minorHAnsi"/>
          <w:color w:val="000000"/>
          <w:spacing w:val="-69"/>
          <w:w w:val="15"/>
          <w:shd w:val="solid" w:color="000000" w:fill="000000"/>
          <w:fitText w:val="-20" w:id="-1435270130"/>
          <w14:textFill>
            <w14:solidFill>
              <w14:srgbClr w14:val="000000">
                <w14:alpha w14:val="100000"/>
              </w14:srgbClr>
            </w14:solidFill>
          </w14:textFill>
        </w:rPr>
        <w:t>|</w:t>
      </w:r>
      <w:r w:rsidR="00913A75" w:rsidRPr="000C3B55">
        <w:rPr>
          <w:rFonts w:eastAsiaTheme="minorHAnsi"/>
        </w:rPr>
        <w:t xml:space="preserve"> and </w:t>
      </w:r>
      <w:r w:rsidR="00E020DE" w:rsidRPr="00785573">
        <w:rPr>
          <w:rFonts w:eastAsiaTheme="minorHAnsi"/>
          <w:color w:val="000000"/>
          <w:w w:val="15"/>
          <w:shd w:val="solid" w:color="000000" w:fill="000000"/>
          <w:fitText w:val="-20" w:id="-1435270129"/>
          <w14:textFill>
            <w14:solidFill>
              <w14:srgbClr w14:val="000000">
                <w14:alpha w14:val="100000"/>
              </w14:srgbClr>
            </w14:solidFill>
          </w14:textFill>
        </w:rPr>
        <w:t xml:space="preserve">|  </w:t>
      </w:r>
      <w:r w:rsidR="00E020DE" w:rsidRPr="00785573">
        <w:rPr>
          <w:rFonts w:eastAsiaTheme="minorHAnsi"/>
          <w:color w:val="000000"/>
          <w:spacing w:val="-69"/>
          <w:w w:val="15"/>
          <w:shd w:val="solid" w:color="000000" w:fill="000000"/>
          <w:fitText w:val="-20" w:id="-1435270129"/>
          <w14:textFill>
            <w14:solidFill>
              <w14:srgbClr w14:val="000000">
                <w14:alpha w14:val="100000"/>
              </w14:srgbClr>
            </w14:solidFill>
          </w14:textFill>
        </w:rPr>
        <w:t>|</w:t>
      </w:r>
      <w:r w:rsidR="00913A75" w:rsidRPr="000C3B55">
        <w:rPr>
          <w:rFonts w:eastAsiaTheme="minorHAnsi"/>
        </w:rPr>
        <w:t xml:space="preserve">, respectively. The corresponding </w:t>
      </w:r>
      <w:r w:rsidR="00F62D41" w:rsidRPr="000C3B55">
        <w:rPr>
          <w:rFonts w:eastAsiaTheme="minorHAnsi"/>
        </w:rPr>
        <w:t xml:space="preserve">anticipated dates for similar analyses in </w:t>
      </w:r>
      <w:r w:rsidR="00913A75" w:rsidRPr="000C3B55">
        <w:rPr>
          <w:rFonts w:eastAsiaTheme="minorHAnsi"/>
        </w:rPr>
        <w:t xml:space="preserve">the PD-L1 ≥ 1% subgroup are </w:t>
      </w:r>
      <w:r w:rsidR="00E020DE" w:rsidRPr="00785573">
        <w:rPr>
          <w:rFonts w:eastAsiaTheme="minorHAnsi"/>
          <w:color w:val="000000"/>
          <w:w w:val="15"/>
          <w:shd w:val="solid" w:color="000000" w:fill="000000"/>
          <w:fitText w:val="-20" w:id="-1435270128"/>
          <w14:textFill>
            <w14:solidFill>
              <w14:srgbClr w14:val="000000">
                <w14:alpha w14:val="100000"/>
              </w14:srgbClr>
            </w14:solidFill>
          </w14:textFill>
        </w:rPr>
        <w:t xml:space="preserve">|  </w:t>
      </w:r>
      <w:r w:rsidR="00E020DE" w:rsidRPr="00785573">
        <w:rPr>
          <w:rFonts w:eastAsiaTheme="minorHAnsi"/>
          <w:color w:val="000000"/>
          <w:spacing w:val="-69"/>
          <w:w w:val="15"/>
          <w:shd w:val="solid" w:color="000000" w:fill="000000"/>
          <w:fitText w:val="-20" w:id="-1435270128"/>
          <w14:textFill>
            <w14:solidFill>
              <w14:srgbClr w14:val="000000">
                <w14:alpha w14:val="100000"/>
              </w14:srgbClr>
            </w14:solidFill>
          </w14:textFill>
        </w:rPr>
        <w:t>|</w:t>
      </w:r>
      <w:r w:rsidR="00913A75" w:rsidRPr="000C3B55">
        <w:rPr>
          <w:rFonts w:eastAsiaTheme="minorHAnsi"/>
        </w:rPr>
        <w:t xml:space="preserve"> and </w:t>
      </w:r>
      <w:r w:rsidR="00E020DE" w:rsidRPr="00785573">
        <w:rPr>
          <w:rFonts w:eastAsiaTheme="minorHAnsi"/>
          <w:color w:val="000000"/>
          <w:w w:val="15"/>
          <w:shd w:val="solid" w:color="000000" w:fill="000000"/>
          <w:fitText w:val="-20" w:id="-1435270144"/>
          <w14:textFill>
            <w14:solidFill>
              <w14:srgbClr w14:val="000000">
                <w14:alpha w14:val="100000"/>
              </w14:srgbClr>
            </w14:solidFill>
          </w14:textFill>
        </w:rPr>
        <w:t xml:space="preserve">|  </w:t>
      </w:r>
      <w:r w:rsidR="00E020DE" w:rsidRPr="00785573">
        <w:rPr>
          <w:rFonts w:eastAsiaTheme="minorHAnsi"/>
          <w:color w:val="000000"/>
          <w:spacing w:val="-69"/>
          <w:w w:val="15"/>
          <w:shd w:val="solid" w:color="000000" w:fill="000000"/>
          <w:fitText w:val="-20" w:id="-1435270144"/>
          <w14:textFill>
            <w14:solidFill>
              <w14:srgbClr w14:val="000000">
                <w14:alpha w14:val="100000"/>
              </w14:srgbClr>
            </w14:solidFill>
          </w14:textFill>
        </w:rPr>
        <w:t>|</w:t>
      </w:r>
      <w:r w:rsidR="00913A75" w:rsidRPr="000C3B55">
        <w:rPr>
          <w:rFonts w:eastAsiaTheme="minorHAnsi"/>
        </w:rPr>
        <w:t>, respectively.</w:t>
      </w:r>
      <w:bookmarkEnd w:id="31"/>
    </w:p>
    <w:p w14:paraId="298E793F" w14:textId="646DB2C2" w:rsidR="00620CEF" w:rsidRPr="000C3B55" w:rsidRDefault="006F7945" w:rsidP="00A31E1C">
      <w:pPr>
        <w:pStyle w:val="3-BodyText"/>
        <w:rPr>
          <w:rFonts w:eastAsiaTheme="minorHAnsi"/>
        </w:rPr>
      </w:pPr>
      <w:r w:rsidRPr="000C3B55">
        <w:rPr>
          <w:rFonts w:eastAsiaTheme="minorHAnsi"/>
        </w:rPr>
        <w:t xml:space="preserve">At the time of the </w:t>
      </w:r>
      <w:r w:rsidR="00E020DE" w:rsidRPr="00E020DE">
        <w:rPr>
          <w:rFonts w:eastAsiaTheme="minorHAnsi"/>
          <w:color w:val="000000"/>
          <w:w w:val="62"/>
          <w:shd w:val="solid" w:color="000000" w:fill="000000"/>
          <w:fitText w:val="620" w:id="-1435270143"/>
          <w14:textFill>
            <w14:solidFill>
              <w14:srgbClr w14:val="000000">
                <w14:alpha w14:val="100000"/>
              </w14:srgbClr>
            </w14:solidFill>
          </w14:textFill>
        </w:rPr>
        <w:t>||||  |||</w:t>
      </w:r>
      <w:r w:rsidR="00E020DE" w:rsidRPr="00E020DE">
        <w:rPr>
          <w:rFonts w:eastAsiaTheme="minorHAnsi"/>
          <w:color w:val="000000"/>
          <w:spacing w:val="5"/>
          <w:w w:val="62"/>
          <w:shd w:val="solid" w:color="000000" w:fill="000000"/>
          <w:fitText w:val="620" w:id="-1435270143"/>
          <w14:textFill>
            <w14:solidFill>
              <w14:srgbClr w14:val="000000">
                <w14:alpha w14:val="100000"/>
              </w14:srgbClr>
            </w14:solidFill>
          </w14:textFill>
        </w:rPr>
        <w:t>|</w:t>
      </w:r>
      <w:r w:rsidRPr="000C3B55">
        <w:rPr>
          <w:rFonts w:eastAsiaTheme="minorHAnsi"/>
        </w:rPr>
        <w:t xml:space="preserve"> </w:t>
      </w:r>
      <w:r w:rsidR="00053187" w:rsidRPr="000C3B55">
        <w:rPr>
          <w:rFonts w:eastAsiaTheme="minorHAnsi"/>
        </w:rPr>
        <w:t>data cutoff</w:t>
      </w:r>
      <w:r w:rsidRPr="000C3B55">
        <w:rPr>
          <w:rFonts w:eastAsiaTheme="minorHAnsi"/>
        </w:rPr>
        <w:t xml:space="preserve">, the number of </w:t>
      </w:r>
      <w:r w:rsidR="00053187" w:rsidRPr="000C3B55">
        <w:rPr>
          <w:rFonts w:eastAsiaTheme="minorHAnsi"/>
        </w:rPr>
        <w:t>deaths</w:t>
      </w:r>
      <w:r w:rsidRPr="000C3B55">
        <w:rPr>
          <w:rFonts w:eastAsiaTheme="minorHAnsi"/>
        </w:rPr>
        <w:t xml:space="preserve"> among all randomised subjects was </w:t>
      </w:r>
      <w:r w:rsidR="00E020DE" w:rsidRPr="00785573">
        <w:rPr>
          <w:rFonts w:eastAsiaTheme="minorHAnsi"/>
          <w:color w:val="000000"/>
          <w:w w:val="15"/>
          <w:shd w:val="solid" w:color="000000" w:fill="000000"/>
          <w:fitText w:val="-20" w:id="-1435270142"/>
          <w14:textFill>
            <w14:solidFill>
              <w14:srgbClr w14:val="000000">
                <w14:alpha w14:val="100000"/>
              </w14:srgbClr>
            </w14:solidFill>
          </w14:textFill>
        </w:rPr>
        <w:t xml:space="preserve">|  </w:t>
      </w:r>
      <w:r w:rsidR="00E020DE" w:rsidRPr="00785573">
        <w:rPr>
          <w:rFonts w:eastAsiaTheme="minorHAnsi"/>
          <w:color w:val="000000"/>
          <w:spacing w:val="-69"/>
          <w:w w:val="15"/>
          <w:shd w:val="solid" w:color="000000" w:fill="000000"/>
          <w:fitText w:val="-20" w:id="-1435270142"/>
          <w14:textFill>
            <w14:solidFill>
              <w14:srgbClr w14:val="000000">
                <w14:alpha w14:val="100000"/>
              </w14:srgbClr>
            </w14:solidFill>
          </w14:textFill>
        </w:rPr>
        <w:t>|</w:t>
      </w:r>
      <w:r w:rsidRPr="000C3B55">
        <w:rPr>
          <w:rFonts w:eastAsiaTheme="minorHAnsi"/>
        </w:rPr>
        <w:t xml:space="preserve">. </w:t>
      </w:r>
      <w:r w:rsidR="00620CEF" w:rsidRPr="000C3B55">
        <w:rPr>
          <w:rFonts w:eastAsiaTheme="minorHAnsi"/>
        </w:rPr>
        <w:t xml:space="preserve">Results for the </w:t>
      </w:r>
      <w:r w:rsidR="008C2980" w:rsidRPr="000C3B55">
        <w:rPr>
          <w:rFonts w:eastAsiaTheme="minorHAnsi"/>
        </w:rPr>
        <w:t xml:space="preserve">first </w:t>
      </w:r>
      <w:r w:rsidR="00620CEF" w:rsidRPr="000C3B55">
        <w:rPr>
          <w:rFonts w:eastAsiaTheme="minorHAnsi"/>
        </w:rPr>
        <w:t xml:space="preserve">interim analysis of OS </w:t>
      </w:r>
      <w:r w:rsidR="00301B99" w:rsidRPr="000C3B55">
        <w:rPr>
          <w:rFonts w:eastAsiaTheme="minorHAnsi"/>
        </w:rPr>
        <w:t xml:space="preserve">for the ITT population and </w:t>
      </w:r>
      <w:r w:rsidR="00053187" w:rsidRPr="000C3B55">
        <w:rPr>
          <w:rFonts w:eastAsiaTheme="minorHAnsi"/>
        </w:rPr>
        <w:t xml:space="preserve">for the </w:t>
      </w:r>
      <w:r w:rsidR="00301B99" w:rsidRPr="000C3B55">
        <w:rPr>
          <w:rFonts w:eastAsiaTheme="minorHAnsi"/>
        </w:rPr>
        <w:t xml:space="preserve">PD-L1 ≥ 1% subgroup </w:t>
      </w:r>
      <w:r w:rsidR="00620CEF" w:rsidRPr="000C3B55">
        <w:rPr>
          <w:rFonts w:eastAsiaTheme="minorHAnsi"/>
        </w:rPr>
        <w:t xml:space="preserve">are presented in </w:t>
      </w:r>
      <w:r w:rsidR="00620CEF" w:rsidRPr="000C3B55">
        <w:rPr>
          <w:rFonts w:eastAsiaTheme="minorHAnsi"/>
        </w:rPr>
        <w:fldChar w:fldCharType="begin"/>
      </w:r>
      <w:r w:rsidR="00620CEF" w:rsidRPr="000C3B55">
        <w:rPr>
          <w:rFonts w:eastAsiaTheme="minorHAnsi"/>
        </w:rPr>
        <w:instrText xml:space="preserve"> REF _Ref102283517 \h </w:instrText>
      </w:r>
      <w:r w:rsidRPr="000C3B55">
        <w:rPr>
          <w:rFonts w:eastAsiaTheme="minorHAnsi"/>
        </w:rPr>
        <w:instrText xml:space="preserve"> \* MERGEFORMAT </w:instrText>
      </w:r>
      <w:r w:rsidR="00620CEF" w:rsidRPr="000C3B55">
        <w:rPr>
          <w:rFonts w:eastAsiaTheme="minorHAnsi"/>
        </w:rPr>
      </w:r>
      <w:r w:rsidR="00620CEF" w:rsidRPr="000C3B55">
        <w:rPr>
          <w:rFonts w:eastAsiaTheme="minorHAnsi"/>
        </w:rPr>
        <w:fldChar w:fldCharType="separate"/>
      </w:r>
      <w:r w:rsidR="00C6296C" w:rsidRPr="000C3B55">
        <w:t xml:space="preserve">Table </w:t>
      </w:r>
      <w:r w:rsidR="00C6296C" w:rsidRPr="000C3B55">
        <w:rPr>
          <w:noProof/>
        </w:rPr>
        <w:t>7</w:t>
      </w:r>
      <w:r w:rsidR="00620CEF" w:rsidRPr="000C3B55">
        <w:rPr>
          <w:rFonts w:eastAsiaTheme="minorHAnsi"/>
        </w:rPr>
        <w:fldChar w:fldCharType="end"/>
      </w:r>
      <w:r w:rsidR="00620CEF" w:rsidRPr="000C3B55">
        <w:rPr>
          <w:rFonts w:eastAsiaTheme="minorHAnsi"/>
        </w:rPr>
        <w:t>. The corresponding KM curves are presented in</w:t>
      </w:r>
      <w:r w:rsidR="00301B99" w:rsidRPr="000C3B55">
        <w:rPr>
          <w:rFonts w:eastAsiaTheme="minorHAnsi"/>
        </w:rPr>
        <w:t xml:space="preserve"> </w:t>
      </w:r>
      <w:r w:rsidR="00301B99" w:rsidRPr="000C3B55">
        <w:rPr>
          <w:rFonts w:eastAsiaTheme="minorHAnsi"/>
        </w:rPr>
        <w:fldChar w:fldCharType="begin"/>
      </w:r>
      <w:r w:rsidR="00301B99" w:rsidRPr="000C3B55">
        <w:rPr>
          <w:rFonts w:eastAsiaTheme="minorHAnsi"/>
        </w:rPr>
        <w:instrText xml:space="preserve"> REF _Ref102283644 \h  \* MERGEFORMAT </w:instrText>
      </w:r>
      <w:r w:rsidR="00301B99" w:rsidRPr="000C3B55">
        <w:rPr>
          <w:rFonts w:eastAsiaTheme="minorHAnsi"/>
        </w:rPr>
      </w:r>
      <w:r w:rsidR="00301B99" w:rsidRPr="000C3B55">
        <w:rPr>
          <w:rFonts w:eastAsiaTheme="minorHAnsi"/>
        </w:rPr>
        <w:fldChar w:fldCharType="separate"/>
      </w:r>
      <w:r w:rsidR="0011484C" w:rsidRPr="000C3B55">
        <w:t xml:space="preserve">Figure </w:t>
      </w:r>
      <w:r w:rsidR="0011484C" w:rsidRPr="000C3B55">
        <w:rPr>
          <w:noProof/>
        </w:rPr>
        <w:t>3</w:t>
      </w:r>
      <w:r w:rsidR="00301B99" w:rsidRPr="000C3B55">
        <w:rPr>
          <w:rFonts w:eastAsiaTheme="minorHAnsi"/>
        </w:rPr>
        <w:fldChar w:fldCharType="end"/>
      </w:r>
      <w:r w:rsidR="00301B99" w:rsidRPr="000C3B55">
        <w:rPr>
          <w:rFonts w:eastAsiaTheme="minorHAnsi"/>
        </w:rPr>
        <w:t xml:space="preserve"> and</w:t>
      </w:r>
      <w:r w:rsidR="00620CEF" w:rsidRPr="000C3B55">
        <w:rPr>
          <w:rFonts w:eastAsiaTheme="minorHAnsi"/>
        </w:rPr>
        <w:t xml:space="preserve"> </w:t>
      </w:r>
      <w:r w:rsidR="00301B99" w:rsidRPr="000C3B55">
        <w:rPr>
          <w:rFonts w:eastAsiaTheme="minorHAnsi"/>
        </w:rPr>
        <w:fldChar w:fldCharType="begin"/>
      </w:r>
      <w:r w:rsidR="00301B99" w:rsidRPr="000C3B55">
        <w:rPr>
          <w:rFonts w:eastAsiaTheme="minorHAnsi"/>
        </w:rPr>
        <w:instrText xml:space="preserve"> REF _Ref102283581 \h  \* MERGEFORMAT </w:instrText>
      </w:r>
      <w:r w:rsidR="00301B99" w:rsidRPr="000C3B55">
        <w:rPr>
          <w:rFonts w:eastAsiaTheme="minorHAnsi"/>
        </w:rPr>
      </w:r>
      <w:r w:rsidR="00301B99" w:rsidRPr="000C3B55">
        <w:rPr>
          <w:rFonts w:eastAsiaTheme="minorHAnsi"/>
        </w:rPr>
        <w:fldChar w:fldCharType="separate"/>
      </w:r>
      <w:r w:rsidR="0011484C" w:rsidRPr="000C3B55">
        <w:t xml:space="preserve">Figure </w:t>
      </w:r>
      <w:r w:rsidR="0011484C" w:rsidRPr="000C3B55">
        <w:rPr>
          <w:noProof/>
        </w:rPr>
        <w:t>4</w:t>
      </w:r>
      <w:r w:rsidR="00301B99" w:rsidRPr="000C3B55">
        <w:rPr>
          <w:rFonts w:eastAsiaTheme="minorHAnsi"/>
        </w:rPr>
        <w:fldChar w:fldCharType="end"/>
      </w:r>
      <w:r w:rsidR="00301B99" w:rsidRPr="000C3B55">
        <w:rPr>
          <w:rFonts w:eastAsiaTheme="minorHAnsi"/>
        </w:rPr>
        <w:t>.</w:t>
      </w:r>
    </w:p>
    <w:p w14:paraId="3DB2881E" w14:textId="5C3FDE26" w:rsidR="00C62392" w:rsidRPr="003B4086" w:rsidRDefault="00C62392" w:rsidP="00C62392">
      <w:pPr>
        <w:pStyle w:val="TableFigureHeading"/>
      </w:pPr>
      <w:bookmarkStart w:id="32" w:name="_Ref102283517"/>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7</w:t>
      </w:r>
      <w:r w:rsidR="00785573">
        <w:rPr>
          <w:noProof/>
        </w:rPr>
        <w:fldChar w:fldCharType="end"/>
      </w:r>
      <w:bookmarkEnd w:id="32"/>
      <w:r w:rsidRPr="003B4086">
        <w:t>: CM274 - Overall survival – Interim analysis (ITT</w:t>
      </w:r>
      <w:r w:rsidR="006F7945" w:rsidRPr="003B4086">
        <w:t xml:space="preserve"> and PD-L1 </w:t>
      </w:r>
      <w:r w:rsidR="00943250" w:rsidRPr="003B4086">
        <w:t>positive populations</w:t>
      </w:r>
      <w:r w:rsidRPr="003B4086">
        <w:t>)</w:t>
      </w:r>
    </w:p>
    <w:tbl>
      <w:tblPr>
        <w:tblStyle w:val="TableGrid"/>
        <w:tblW w:w="5000" w:type="pct"/>
        <w:tblLook w:val="04A0" w:firstRow="1" w:lastRow="0" w:firstColumn="1" w:lastColumn="0" w:noHBand="0" w:noVBand="1"/>
      </w:tblPr>
      <w:tblGrid>
        <w:gridCol w:w="1441"/>
        <w:gridCol w:w="1572"/>
        <w:gridCol w:w="1967"/>
        <w:gridCol w:w="2101"/>
        <w:gridCol w:w="1935"/>
      </w:tblGrid>
      <w:tr w:rsidR="00C62392" w:rsidRPr="003B4086" w14:paraId="4B039A50" w14:textId="77777777" w:rsidTr="00224E9F">
        <w:trPr>
          <w:trHeight w:val="123"/>
        </w:trPr>
        <w:tc>
          <w:tcPr>
            <w:tcW w:w="79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51CBBF2" w14:textId="77777777" w:rsidR="00C62392" w:rsidRPr="003B4086" w:rsidRDefault="00C62392" w:rsidP="00224E9F">
            <w:pPr>
              <w:pStyle w:val="TableText0"/>
              <w:rPr>
                <w:b/>
              </w:rPr>
            </w:pPr>
          </w:p>
        </w:tc>
        <w:tc>
          <w:tcPr>
            <w:tcW w:w="1963" w:type="pct"/>
            <w:gridSpan w:val="2"/>
            <w:tcBorders>
              <w:top w:val="single" w:sz="4" w:space="0" w:color="auto"/>
              <w:left w:val="single" w:sz="4" w:space="0" w:color="auto"/>
              <w:bottom w:val="single" w:sz="4" w:space="0" w:color="auto"/>
              <w:right w:val="single" w:sz="4" w:space="0" w:color="auto"/>
            </w:tcBorders>
            <w:shd w:val="clear" w:color="auto" w:fill="auto"/>
            <w:hideMark/>
          </w:tcPr>
          <w:p w14:paraId="3A62EC9C" w14:textId="77777777" w:rsidR="00C62392" w:rsidRPr="003B4086" w:rsidRDefault="00C62392" w:rsidP="00224E9F">
            <w:pPr>
              <w:pStyle w:val="TableText0"/>
              <w:rPr>
                <w:b/>
              </w:rPr>
            </w:pPr>
            <w:r w:rsidRPr="003B4086">
              <w:rPr>
                <w:b/>
              </w:rPr>
              <w:t xml:space="preserve">ITT population </w:t>
            </w:r>
          </w:p>
        </w:tc>
        <w:tc>
          <w:tcPr>
            <w:tcW w:w="2238" w:type="pct"/>
            <w:gridSpan w:val="2"/>
            <w:tcBorders>
              <w:top w:val="single" w:sz="4" w:space="0" w:color="auto"/>
              <w:left w:val="single" w:sz="4" w:space="0" w:color="auto"/>
              <w:bottom w:val="single" w:sz="4" w:space="0" w:color="auto"/>
              <w:right w:val="single" w:sz="4" w:space="0" w:color="auto"/>
            </w:tcBorders>
            <w:shd w:val="clear" w:color="auto" w:fill="auto"/>
            <w:hideMark/>
          </w:tcPr>
          <w:p w14:paraId="001BF145" w14:textId="77777777" w:rsidR="00C62392" w:rsidRPr="003B4086" w:rsidRDefault="00C62392" w:rsidP="00224E9F">
            <w:pPr>
              <w:pStyle w:val="TableText0"/>
              <w:rPr>
                <w:b/>
              </w:rPr>
            </w:pPr>
            <w:r w:rsidRPr="003B4086">
              <w:rPr>
                <w:b/>
              </w:rPr>
              <w:t>PD-L1 ≥ 1% subgroup</w:t>
            </w:r>
          </w:p>
        </w:tc>
      </w:tr>
      <w:tr w:rsidR="00C62392" w:rsidRPr="003B4086" w14:paraId="2C261162" w14:textId="77777777" w:rsidTr="00E020DE">
        <w:trPr>
          <w:trHeight w:val="1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43DC62" w14:textId="77777777" w:rsidR="00C62392" w:rsidRPr="003B4086" w:rsidRDefault="00C62392" w:rsidP="00224E9F">
            <w:pPr>
              <w:pStyle w:val="TableText0"/>
              <w:rPr>
                <w:b/>
              </w:rPr>
            </w:pPr>
          </w:p>
        </w:tc>
        <w:tc>
          <w:tcPr>
            <w:tcW w:w="872" w:type="pct"/>
            <w:tcBorders>
              <w:top w:val="single" w:sz="4" w:space="0" w:color="auto"/>
              <w:left w:val="single" w:sz="4" w:space="0" w:color="auto"/>
              <w:bottom w:val="single" w:sz="4" w:space="0" w:color="auto"/>
              <w:right w:val="single" w:sz="4" w:space="0" w:color="auto"/>
            </w:tcBorders>
            <w:shd w:val="clear" w:color="auto" w:fill="auto"/>
            <w:hideMark/>
          </w:tcPr>
          <w:p w14:paraId="1A6A845B" w14:textId="3931F689" w:rsidR="00C62392" w:rsidRPr="003B4086" w:rsidRDefault="00C62392" w:rsidP="00224E9F">
            <w:pPr>
              <w:pStyle w:val="TableText0"/>
              <w:rPr>
                <w:b/>
              </w:rPr>
            </w:pPr>
            <w:r w:rsidRPr="003B4086">
              <w:rPr>
                <w:b/>
              </w:rPr>
              <w:t>NIVO (N=</w:t>
            </w:r>
            <w:r w:rsidR="00E020DE" w:rsidRPr="00E020DE">
              <w:rPr>
                <w:b/>
                <w:color w:val="000000"/>
                <w:spacing w:val="40"/>
                <w:shd w:val="solid" w:color="000000" w:fill="000000"/>
                <w:fitText w:val="480" w:id="-1435270141"/>
                <w14:textFill>
                  <w14:solidFill>
                    <w14:srgbClr w14:val="000000">
                      <w14:alpha w14:val="100000"/>
                    </w14:srgbClr>
                  </w14:solidFill>
                </w14:textFill>
              </w:rPr>
              <w:t>|||||</w:t>
            </w:r>
            <w:r w:rsidR="00E020DE" w:rsidRPr="00E020DE">
              <w:rPr>
                <w:b/>
                <w:color w:val="000000"/>
                <w:spacing w:val="5"/>
                <w:shd w:val="solid" w:color="000000" w:fill="000000"/>
                <w:fitText w:val="480" w:id="-1435270141"/>
                <w14:textFill>
                  <w14:solidFill>
                    <w14:srgbClr w14:val="000000">
                      <w14:alpha w14:val="100000"/>
                    </w14:srgbClr>
                  </w14:solidFill>
                </w14:textFill>
              </w:rPr>
              <w:t>|</w:t>
            </w:r>
            <w:r w:rsidRPr="003B4086">
              <w:rPr>
                <w:b/>
              </w:rPr>
              <w:t>)</w:t>
            </w:r>
          </w:p>
        </w:tc>
        <w:tc>
          <w:tcPr>
            <w:tcW w:w="1091" w:type="pct"/>
            <w:tcBorders>
              <w:top w:val="single" w:sz="4" w:space="0" w:color="auto"/>
              <w:left w:val="single" w:sz="4" w:space="0" w:color="auto"/>
              <w:bottom w:val="single" w:sz="4" w:space="0" w:color="auto"/>
              <w:right w:val="single" w:sz="4" w:space="0" w:color="auto"/>
            </w:tcBorders>
            <w:shd w:val="clear" w:color="auto" w:fill="auto"/>
            <w:hideMark/>
          </w:tcPr>
          <w:p w14:paraId="036447FE" w14:textId="57BC51CA" w:rsidR="00C62392" w:rsidRPr="003B4086" w:rsidRDefault="00C62392" w:rsidP="00224E9F">
            <w:pPr>
              <w:pStyle w:val="TableText0"/>
              <w:rPr>
                <w:b/>
              </w:rPr>
            </w:pPr>
            <w:r w:rsidRPr="003B4086">
              <w:rPr>
                <w:b/>
              </w:rPr>
              <w:t>PBO (N=</w:t>
            </w:r>
            <w:r w:rsidR="00E020DE" w:rsidRPr="00E020DE">
              <w:rPr>
                <w:b/>
                <w:color w:val="000000"/>
                <w:spacing w:val="40"/>
                <w:shd w:val="solid" w:color="000000" w:fill="000000"/>
                <w:fitText w:val="480" w:id="-1435270140"/>
                <w14:textFill>
                  <w14:solidFill>
                    <w14:srgbClr w14:val="000000">
                      <w14:alpha w14:val="100000"/>
                    </w14:srgbClr>
                  </w14:solidFill>
                </w14:textFill>
              </w:rPr>
              <w:t>|||||</w:t>
            </w:r>
            <w:r w:rsidR="00E020DE" w:rsidRPr="00E020DE">
              <w:rPr>
                <w:b/>
                <w:color w:val="000000"/>
                <w:spacing w:val="5"/>
                <w:shd w:val="solid" w:color="000000" w:fill="000000"/>
                <w:fitText w:val="480" w:id="-1435270140"/>
                <w14:textFill>
                  <w14:solidFill>
                    <w14:srgbClr w14:val="000000">
                      <w14:alpha w14:val="100000"/>
                    </w14:srgbClr>
                  </w14:solidFill>
                </w14:textFill>
              </w:rPr>
              <w:t>|</w:t>
            </w:r>
            <w:r w:rsidRPr="003B4086">
              <w:rPr>
                <w:b/>
              </w:rPr>
              <w:t>)</w:t>
            </w:r>
          </w:p>
        </w:tc>
        <w:tc>
          <w:tcPr>
            <w:tcW w:w="1165" w:type="pct"/>
            <w:tcBorders>
              <w:top w:val="single" w:sz="4" w:space="0" w:color="auto"/>
              <w:left w:val="single" w:sz="4" w:space="0" w:color="auto"/>
              <w:bottom w:val="single" w:sz="4" w:space="0" w:color="auto"/>
              <w:right w:val="single" w:sz="4" w:space="0" w:color="auto"/>
            </w:tcBorders>
            <w:shd w:val="clear" w:color="auto" w:fill="auto"/>
            <w:hideMark/>
          </w:tcPr>
          <w:p w14:paraId="392A7FD7" w14:textId="6F9EFBB9" w:rsidR="00C62392" w:rsidRPr="003B4086" w:rsidRDefault="00C62392" w:rsidP="00224E9F">
            <w:pPr>
              <w:pStyle w:val="TableText0"/>
              <w:rPr>
                <w:b/>
              </w:rPr>
            </w:pPr>
            <w:r w:rsidRPr="003B4086">
              <w:rPr>
                <w:b/>
              </w:rPr>
              <w:t>NIVO (N=</w:t>
            </w:r>
            <w:r w:rsidR="00E020DE" w:rsidRPr="00E020DE">
              <w:rPr>
                <w:b/>
                <w:color w:val="000000"/>
                <w:spacing w:val="40"/>
                <w:shd w:val="solid" w:color="000000" w:fill="000000"/>
                <w:fitText w:val="480" w:id="-1435270139"/>
                <w14:textFill>
                  <w14:solidFill>
                    <w14:srgbClr w14:val="000000">
                      <w14:alpha w14:val="100000"/>
                    </w14:srgbClr>
                  </w14:solidFill>
                </w14:textFill>
              </w:rPr>
              <w:t>|||||</w:t>
            </w:r>
            <w:r w:rsidR="00E020DE" w:rsidRPr="00E020DE">
              <w:rPr>
                <w:b/>
                <w:color w:val="000000"/>
                <w:spacing w:val="5"/>
                <w:shd w:val="solid" w:color="000000" w:fill="000000"/>
                <w:fitText w:val="480" w:id="-1435270139"/>
                <w14:textFill>
                  <w14:solidFill>
                    <w14:srgbClr w14:val="000000">
                      <w14:alpha w14:val="100000"/>
                    </w14:srgbClr>
                  </w14:solidFill>
                </w14:textFill>
              </w:rPr>
              <w:t>|</w:t>
            </w:r>
            <w:r w:rsidRPr="003B4086">
              <w:rPr>
                <w:b/>
              </w:rPr>
              <w:t>)</w:t>
            </w:r>
          </w:p>
        </w:tc>
        <w:tc>
          <w:tcPr>
            <w:tcW w:w="1073" w:type="pct"/>
            <w:tcBorders>
              <w:top w:val="single" w:sz="4" w:space="0" w:color="auto"/>
              <w:left w:val="single" w:sz="4" w:space="0" w:color="auto"/>
              <w:bottom w:val="single" w:sz="4" w:space="0" w:color="auto"/>
              <w:right w:val="single" w:sz="4" w:space="0" w:color="auto"/>
            </w:tcBorders>
            <w:shd w:val="clear" w:color="auto" w:fill="auto"/>
            <w:hideMark/>
          </w:tcPr>
          <w:p w14:paraId="2E772729" w14:textId="5F286F0D" w:rsidR="00C62392" w:rsidRPr="003B4086" w:rsidRDefault="00C62392" w:rsidP="00224E9F">
            <w:pPr>
              <w:pStyle w:val="TableText0"/>
              <w:rPr>
                <w:b/>
              </w:rPr>
            </w:pPr>
            <w:r w:rsidRPr="003B4086">
              <w:rPr>
                <w:b/>
              </w:rPr>
              <w:t>PBO (N=</w:t>
            </w:r>
            <w:r w:rsidR="00E020DE" w:rsidRPr="00E020DE">
              <w:rPr>
                <w:b/>
                <w:color w:val="000000"/>
                <w:spacing w:val="40"/>
                <w:shd w:val="solid" w:color="000000" w:fill="000000"/>
                <w:fitText w:val="480" w:id="-1435270138"/>
                <w14:textFill>
                  <w14:solidFill>
                    <w14:srgbClr w14:val="000000">
                      <w14:alpha w14:val="100000"/>
                    </w14:srgbClr>
                  </w14:solidFill>
                </w14:textFill>
              </w:rPr>
              <w:t>|||||</w:t>
            </w:r>
            <w:r w:rsidR="00E020DE" w:rsidRPr="00E020DE">
              <w:rPr>
                <w:b/>
                <w:color w:val="000000"/>
                <w:spacing w:val="5"/>
                <w:shd w:val="solid" w:color="000000" w:fill="000000"/>
                <w:fitText w:val="480" w:id="-1435270138"/>
                <w14:textFill>
                  <w14:solidFill>
                    <w14:srgbClr w14:val="000000">
                      <w14:alpha w14:val="100000"/>
                    </w14:srgbClr>
                  </w14:solidFill>
                </w14:textFill>
              </w:rPr>
              <w:t>|</w:t>
            </w:r>
            <w:r w:rsidRPr="003B4086">
              <w:rPr>
                <w:b/>
              </w:rPr>
              <w:t>)</w:t>
            </w:r>
          </w:p>
        </w:tc>
      </w:tr>
      <w:tr w:rsidR="00C62392" w:rsidRPr="000C3B55" w14:paraId="2910534C" w14:textId="77777777" w:rsidTr="00E020DE">
        <w:tc>
          <w:tcPr>
            <w:tcW w:w="799" w:type="pct"/>
            <w:tcBorders>
              <w:top w:val="single" w:sz="4" w:space="0" w:color="auto"/>
              <w:left w:val="single" w:sz="4" w:space="0" w:color="auto"/>
              <w:bottom w:val="single" w:sz="4" w:space="0" w:color="auto"/>
              <w:right w:val="single" w:sz="4" w:space="0" w:color="auto"/>
            </w:tcBorders>
            <w:hideMark/>
          </w:tcPr>
          <w:p w14:paraId="4B75AD00" w14:textId="77777777" w:rsidR="00C62392" w:rsidRPr="000C3B55" w:rsidRDefault="00C62392" w:rsidP="00224E9F">
            <w:pPr>
              <w:pStyle w:val="TableText0"/>
            </w:pPr>
            <w:r w:rsidRPr="000C3B55">
              <w:t>Events, n (%)</w:t>
            </w:r>
          </w:p>
        </w:tc>
        <w:tc>
          <w:tcPr>
            <w:tcW w:w="872" w:type="pct"/>
            <w:tcBorders>
              <w:top w:val="single" w:sz="4" w:space="0" w:color="auto"/>
              <w:left w:val="single" w:sz="4" w:space="0" w:color="auto"/>
              <w:bottom w:val="single" w:sz="4" w:space="0" w:color="auto"/>
              <w:right w:val="single" w:sz="4" w:space="0" w:color="auto"/>
            </w:tcBorders>
            <w:shd w:val="solid" w:color="000000" w:fill="000000"/>
            <w:hideMark/>
          </w:tcPr>
          <w:p w14:paraId="7C7AAF04" w14:textId="482040D9" w:rsidR="00C62392" w:rsidRPr="00E020DE" w:rsidRDefault="00E020DE" w:rsidP="00224E9F">
            <w:pPr>
              <w:pStyle w:val="TableText0"/>
            </w:pPr>
            <w:r w:rsidRPr="00E020DE">
              <w:rPr>
                <w:color w:val="000000"/>
                <w:spacing w:val="48"/>
                <w:fitText w:val="500" w:id="-1435270137"/>
                <w14:textFill>
                  <w14:solidFill>
                    <w14:srgbClr w14:val="000000">
                      <w14:alpha w14:val="100000"/>
                    </w14:srgbClr>
                  </w14:solidFill>
                </w14:textFill>
              </w:rPr>
              <w:t>|||||</w:t>
            </w:r>
            <w:r w:rsidRPr="00E020DE">
              <w:rPr>
                <w:color w:val="000000"/>
                <w:spacing w:val="5"/>
                <w:fitText w:val="500" w:id="-1435270137"/>
                <w14:textFill>
                  <w14:solidFill>
                    <w14:srgbClr w14:val="000000">
                      <w14:alpha w14:val="100000"/>
                    </w14:srgbClr>
                  </w14:solidFill>
                </w14:textFill>
              </w:rPr>
              <w:t>|</w:t>
            </w:r>
          </w:p>
        </w:tc>
        <w:tc>
          <w:tcPr>
            <w:tcW w:w="1091" w:type="pct"/>
            <w:tcBorders>
              <w:top w:val="single" w:sz="4" w:space="0" w:color="auto"/>
              <w:left w:val="single" w:sz="4" w:space="0" w:color="auto"/>
              <w:bottom w:val="single" w:sz="4" w:space="0" w:color="auto"/>
              <w:right w:val="single" w:sz="4" w:space="0" w:color="auto"/>
            </w:tcBorders>
            <w:shd w:val="solid" w:color="000000" w:fill="000000"/>
            <w:hideMark/>
          </w:tcPr>
          <w:p w14:paraId="09991A60" w14:textId="4ADFC1F9" w:rsidR="00C62392" w:rsidRPr="00E020DE" w:rsidRDefault="00E020DE" w:rsidP="00224E9F">
            <w:pPr>
              <w:pStyle w:val="TableText0"/>
            </w:pPr>
            <w:r w:rsidRPr="00E020DE">
              <w:rPr>
                <w:color w:val="000000"/>
                <w:spacing w:val="48"/>
                <w:fitText w:val="500" w:id="-1435269888"/>
                <w14:textFill>
                  <w14:solidFill>
                    <w14:srgbClr w14:val="000000">
                      <w14:alpha w14:val="100000"/>
                    </w14:srgbClr>
                  </w14:solidFill>
                </w14:textFill>
              </w:rPr>
              <w:t>|||||</w:t>
            </w:r>
            <w:r w:rsidRPr="00E020DE">
              <w:rPr>
                <w:color w:val="000000"/>
                <w:spacing w:val="5"/>
                <w:fitText w:val="500" w:id="-1435269888"/>
                <w14:textFill>
                  <w14:solidFill>
                    <w14:srgbClr w14:val="000000">
                      <w14:alpha w14:val="100000"/>
                    </w14:srgbClr>
                  </w14:solidFill>
                </w14:textFill>
              </w:rPr>
              <w:t>|</w:t>
            </w:r>
          </w:p>
        </w:tc>
        <w:tc>
          <w:tcPr>
            <w:tcW w:w="1165" w:type="pct"/>
            <w:tcBorders>
              <w:top w:val="single" w:sz="4" w:space="0" w:color="auto"/>
              <w:left w:val="single" w:sz="4" w:space="0" w:color="auto"/>
              <w:bottom w:val="single" w:sz="4" w:space="0" w:color="auto"/>
              <w:right w:val="single" w:sz="4" w:space="0" w:color="auto"/>
            </w:tcBorders>
            <w:shd w:val="solid" w:color="000000" w:fill="000000"/>
            <w:hideMark/>
          </w:tcPr>
          <w:p w14:paraId="51959A55" w14:textId="7587DD74" w:rsidR="00C62392" w:rsidRPr="00E020DE" w:rsidRDefault="00E020DE" w:rsidP="00224E9F">
            <w:pPr>
              <w:pStyle w:val="TableText0"/>
            </w:pPr>
            <w:r w:rsidRPr="00E020DE">
              <w:rPr>
                <w:color w:val="000000"/>
                <w:spacing w:val="48"/>
                <w:fitText w:val="500" w:id="-1435269887"/>
                <w14:textFill>
                  <w14:solidFill>
                    <w14:srgbClr w14:val="000000">
                      <w14:alpha w14:val="100000"/>
                    </w14:srgbClr>
                  </w14:solidFill>
                </w14:textFill>
              </w:rPr>
              <w:t>|||||</w:t>
            </w:r>
            <w:r w:rsidRPr="00E020DE">
              <w:rPr>
                <w:color w:val="000000"/>
                <w:spacing w:val="5"/>
                <w:fitText w:val="500" w:id="-1435269887"/>
                <w14:textFill>
                  <w14:solidFill>
                    <w14:srgbClr w14:val="000000">
                      <w14:alpha w14:val="100000"/>
                    </w14:srgbClr>
                  </w14:solidFill>
                </w14:textFill>
              </w:rPr>
              <w:t>|</w:t>
            </w:r>
          </w:p>
        </w:tc>
        <w:tc>
          <w:tcPr>
            <w:tcW w:w="1073" w:type="pct"/>
            <w:tcBorders>
              <w:top w:val="single" w:sz="4" w:space="0" w:color="auto"/>
              <w:left w:val="single" w:sz="4" w:space="0" w:color="auto"/>
              <w:bottom w:val="single" w:sz="4" w:space="0" w:color="auto"/>
              <w:right w:val="single" w:sz="4" w:space="0" w:color="auto"/>
            </w:tcBorders>
            <w:shd w:val="solid" w:color="000000" w:fill="000000"/>
            <w:hideMark/>
          </w:tcPr>
          <w:p w14:paraId="734E9753" w14:textId="48F7ACC7" w:rsidR="00C62392" w:rsidRPr="00E020DE" w:rsidRDefault="00E020DE" w:rsidP="00224E9F">
            <w:pPr>
              <w:pStyle w:val="TableText0"/>
            </w:pPr>
            <w:r w:rsidRPr="00E020DE">
              <w:rPr>
                <w:color w:val="000000"/>
                <w:spacing w:val="48"/>
                <w:fitText w:val="500" w:id="-1435269886"/>
                <w14:textFill>
                  <w14:solidFill>
                    <w14:srgbClr w14:val="000000">
                      <w14:alpha w14:val="100000"/>
                    </w14:srgbClr>
                  </w14:solidFill>
                </w14:textFill>
              </w:rPr>
              <w:t>|||||</w:t>
            </w:r>
            <w:r w:rsidRPr="00E020DE">
              <w:rPr>
                <w:color w:val="000000"/>
                <w:spacing w:val="5"/>
                <w:fitText w:val="500" w:id="-1435269886"/>
                <w14:textFill>
                  <w14:solidFill>
                    <w14:srgbClr w14:val="000000">
                      <w14:alpha w14:val="100000"/>
                    </w14:srgbClr>
                  </w14:solidFill>
                </w14:textFill>
              </w:rPr>
              <w:t>|</w:t>
            </w:r>
          </w:p>
        </w:tc>
      </w:tr>
      <w:tr w:rsidR="00C62392" w:rsidRPr="000C3B55" w14:paraId="54E92769" w14:textId="77777777" w:rsidTr="00E020DE">
        <w:tc>
          <w:tcPr>
            <w:tcW w:w="799" w:type="pct"/>
            <w:tcBorders>
              <w:top w:val="single" w:sz="4" w:space="0" w:color="auto"/>
              <w:left w:val="single" w:sz="4" w:space="0" w:color="auto"/>
              <w:bottom w:val="single" w:sz="4" w:space="0" w:color="auto"/>
              <w:right w:val="single" w:sz="4" w:space="0" w:color="auto"/>
            </w:tcBorders>
            <w:hideMark/>
          </w:tcPr>
          <w:p w14:paraId="72586618" w14:textId="69F82ED5" w:rsidR="00C62392" w:rsidRPr="000C3B55" w:rsidRDefault="00C62392" w:rsidP="00943250">
            <w:pPr>
              <w:pStyle w:val="TableText0"/>
            </w:pPr>
            <w:r w:rsidRPr="000C3B55">
              <w:t xml:space="preserve">Median </w:t>
            </w:r>
            <w:r w:rsidR="00943250" w:rsidRPr="000C3B55">
              <w:t>overall survival</w:t>
            </w:r>
            <w:r w:rsidRPr="000C3B55">
              <w:t xml:space="preserve"> (95% CI), months</w:t>
            </w:r>
            <w:r w:rsidRPr="000C3B55">
              <w:rPr>
                <w:vertAlign w:val="superscript"/>
              </w:rPr>
              <w:t>a</w:t>
            </w:r>
          </w:p>
        </w:tc>
        <w:tc>
          <w:tcPr>
            <w:tcW w:w="872" w:type="pct"/>
            <w:tcBorders>
              <w:top w:val="single" w:sz="4" w:space="0" w:color="auto"/>
              <w:left w:val="single" w:sz="4" w:space="0" w:color="auto"/>
              <w:bottom w:val="single" w:sz="4" w:space="0" w:color="auto"/>
              <w:right w:val="single" w:sz="4" w:space="0" w:color="auto"/>
            </w:tcBorders>
            <w:shd w:val="solid" w:color="000000" w:fill="000000"/>
            <w:hideMark/>
          </w:tcPr>
          <w:p w14:paraId="44519E9B" w14:textId="420656EC" w:rsidR="00C62392" w:rsidRPr="00E020DE" w:rsidRDefault="00E020DE" w:rsidP="00224E9F">
            <w:pPr>
              <w:pStyle w:val="TableText0"/>
            </w:pPr>
            <w:r w:rsidRPr="00E020DE">
              <w:rPr>
                <w:color w:val="000000"/>
                <w:spacing w:val="48"/>
                <w:fitText w:val="500" w:id="-1435269885"/>
                <w14:textFill>
                  <w14:solidFill>
                    <w14:srgbClr w14:val="000000">
                      <w14:alpha w14:val="100000"/>
                    </w14:srgbClr>
                  </w14:solidFill>
                </w14:textFill>
              </w:rPr>
              <w:t>|||||</w:t>
            </w:r>
            <w:r w:rsidRPr="00E020DE">
              <w:rPr>
                <w:color w:val="000000"/>
                <w:spacing w:val="5"/>
                <w:fitText w:val="500" w:id="-1435269885"/>
                <w14:textFill>
                  <w14:solidFill>
                    <w14:srgbClr w14:val="000000">
                      <w14:alpha w14:val="100000"/>
                    </w14:srgbClr>
                  </w14:solidFill>
                </w14:textFill>
              </w:rPr>
              <w:t>|</w:t>
            </w:r>
          </w:p>
        </w:tc>
        <w:tc>
          <w:tcPr>
            <w:tcW w:w="1091" w:type="pct"/>
            <w:tcBorders>
              <w:top w:val="single" w:sz="4" w:space="0" w:color="auto"/>
              <w:left w:val="single" w:sz="4" w:space="0" w:color="auto"/>
              <w:bottom w:val="single" w:sz="4" w:space="0" w:color="auto"/>
              <w:right w:val="single" w:sz="4" w:space="0" w:color="auto"/>
            </w:tcBorders>
            <w:shd w:val="solid" w:color="000000" w:fill="000000"/>
            <w:hideMark/>
          </w:tcPr>
          <w:p w14:paraId="0A3E6BC4" w14:textId="25AA7F6C" w:rsidR="00C62392" w:rsidRPr="00E020DE" w:rsidRDefault="00E020DE" w:rsidP="00224E9F">
            <w:pPr>
              <w:pStyle w:val="TableText0"/>
            </w:pPr>
            <w:r w:rsidRPr="00E020DE">
              <w:rPr>
                <w:color w:val="000000"/>
                <w:spacing w:val="48"/>
                <w:fitText w:val="500" w:id="-1435269884"/>
                <w14:textFill>
                  <w14:solidFill>
                    <w14:srgbClr w14:val="000000">
                      <w14:alpha w14:val="100000"/>
                    </w14:srgbClr>
                  </w14:solidFill>
                </w14:textFill>
              </w:rPr>
              <w:t>|||||</w:t>
            </w:r>
            <w:r w:rsidRPr="00E020DE">
              <w:rPr>
                <w:color w:val="000000"/>
                <w:spacing w:val="5"/>
                <w:fitText w:val="500" w:id="-1435269884"/>
                <w14:textFill>
                  <w14:solidFill>
                    <w14:srgbClr w14:val="000000">
                      <w14:alpha w14:val="100000"/>
                    </w14:srgbClr>
                  </w14:solidFill>
                </w14:textFill>
              </w:rPr>
              <w:t>|</w:t>
            </w:r>
          </w:p>
        </w:tc>
        <w:tc>
          <w:tcPr>
            <w:tcW w:w="1165" w:type="pct"/>
            <w:tcBorders>
              <w:top w:val="single" w:sz="4" w:space="0" w:color="auto"/>
              <w:left w:val="single" w:sz="4" w:space="0" w:color="auto"/>
              <w:bottom w:val="single" w:sz="4" w:space="0" w:color="auto"/>
              <w:right w:val="single" w:sz="4" w:space="0" w:color="auto"/>
            </w:tcBorders>
            <w:shd w:val="solid" w:color="000000" w:fill="000000"/>
            <w:hideMark/>
          </w:tcPr>
          <w:p w14:paraId="17B8EE4F" w14:textId="5B0CD924" w:rsidR="00C62392" w:rsidRPr="00E020DE" w:rsidRDefault="00E020DE" w:rsidP="00224E9F">
            <w:pPr>
              <w:pStyle w:val="TableText0"/>
            </w:pPr>
            <w:r w:rsidRPr="00E020DE">
              <w:rPr>
                <w:color w:val="000000"/>
                <w:spacing w:val="48"/>
                <w:fitText w:val="500" w:id="-1435269883"/>
                <w14:textFill>
                  <w14:solidFill>
                    <w14:srgbClr w14:val="000000">
                      <w14:alpha w14:val="100000"/>
                    </w14:srgbClr>
                  </w14:solidFill>
                </w14:textFill>
              </w:rPr>
              <w:t>|||||</w:t>
            </w:r>
            <w:r w:rsidRPr="00E020DE">
              <w:rPr>
                <w:color w:val="000000"/>
                <w:spacing w:val="5"/>
                <w:fitText w:val="500" w:id="-1435269883"/>
                <w14:textFill>
                  <w14:solidFill>
                    <w14:srgbClr w14:val="000000">
                      <w14:alpha w14:val="100000"/>
                    </w14:srgbClr>
                  </w14:solidFill>
                </w14:textFill>
              </w:rPr>
              <w:t>|</w:t>
            </w:r>
          </w:p>
        </w:tc>
        <w:tc>
          <w:tcPr>
            <w:tcW w:w="1073" w:type="pct"/>
            <w:tcBorders>
              <w:top w:val="single" w:sz="4" w:space="0" w:color="auto"/>
              <w:left w:val="single" w:sz="4" w:space="0" w:color="auto"/>
              <w:bottom w:val="single" w:sz="4" w:space="0" w:color="auto"/>
              <w:right w:val="single" w:sz="4" w:space="0" w:color="auto"/>
            </w:tcBorders>
            <w:shd w:val="solid" w:color="000000" w:fill="000000"/>
            <w:hideMark/>
          </w:tcPr>
          <w:p w14:paraId="2C9B17B4" w14:textId="1A84F93C" w:rsidR="00C62392" w:rsidRPr="00E020DE" w:rsidRDefault="00E020DE" w:rsidP="00224E9F">
            <w:pPr>
              <w:pStyle w:val="TableText0"/>
            </w:pPr>
            <w:r w:rsidRPr="00E020DE">
              <w:rPr>
                <w:color w:val="000000"/>
                <w:spacing w:val="48"/>
                <w:fitText w:val="500" w:id="-1435269882"/>
                <w14:textFill>
                  <w14:solidFill>
                    <w14:srgbClr w14:val="000000">
                      <w14:alpha w14:val="100000"/>
                    </w14:srgbClr>
                  </w14:solidFill>
                </w14:textFill>
              </w:rPr>
              <w:t>|||||</w:t>
            </w:r>
            <w:r w:rsidRPr="00E020DE">
              <w:rPr>
                <w:color w:val="000000"/>
                <w:spacing w:val="5"/>
                <w:fitText w:val="500" w:id="-1435269882"/>
                <w14:textFill>
                  <w14:solidFill>
                    <w14:srgbClr w14:val="000000">
                      <w14:alpha w14:val="100000"/>
                    </w14:srgbClr>
                  </w14:solidFill>
                </w14:textFill>
              </w:rPr>
              <w:t>|</w:t>
            </w:r>
          </w:p>
        </w:tc>
      </w:tr>
      <w:tr w:rsidR="00C62392" w:rsidRPr="000C3B55" w14:paraId="56003B49" w14:textId="77777777" w:rsidTr="00E020DE">
        <w:tc>
          <w:tcPr>
            <w:tcW w:w="799" w:type="pct"/>
            <w:tcBorders>
              <w:top w:val="single" w:sz="4" w:space="0" w:color="auto"/>
              <w:left w:val="single" w:sz="4" w:space="0" w:color="auto"/>
              <w:bottom w:val="single" w:sz="4" w:space="0" w:color="auto"/>
              <w:right w:val="single" w:sz="4" w:space="0" w:color="auto"/>
            </w:tcBorders>
            <w:hideMark/>
          </w:tcPr>
          <w:p w14:paraId="0F99CAE1" w14:textId="37D6240A" w:rsidR="00C62392" w:rsidRPr="000C3B55" w:rsidRDefault="00C62392" w:rsidP="00687561">
            <w:pPr>
              <w:pStyle w:val="TableText0"/>
            </w:pPr>
            <w:r w:rsidRPr="000C3B55">
              <w:t xml:space="preserve">HR </w:t>
            </w:r>
            <w:r w:rsidRPr="000C3B55">
              <w:rPr>
                <w:vertAlign w:val="superscript"/>
              </w:rPr>
              <w:t>b</w:t>
            </w:r>
            <w:r w:rsidRPr="000C3B55">
              <w:t>(</w:t>
            </w:r>
            <w:r w:rsidR="00CE6554" w:rsidRPr="000C3B55">
              <w:t xml:space="preserve">99.8% </w:t>
            </w:r>
            <w:r w:rsidRPr="000C3B55">
              <w:t>CI)</w:t>
            </w:r>
          </w:p>
        </w:tc>
        <w:tc>
          <w:tcPr>
            <w:tcW w:w="1963" w:type="pct"/>
            <w:gridSpan w:val="2"/>
            <w:tcBorders>
              <w:top w:val="single" w:sz="4" w:space="0" w:color="auto"/>
              <w:left w:val="single" w:sz="4" w:space="0" w:color="auto"/>
              <w:bottom w:val="single" w:sz="4" w:space="0" w:color="auto"/>
              <w:right w:val="single" w:sz="4" w:space="0" w:color="auto"/>
            </w:tcBorders>
            <w:shd w:val="solid" w:color="000000" w:fill="000000"/>
            <w:hideMark/>
          </w:tcPr>
          <w:p w14:paraId="1A08C426" w14:textId="53D1E1F7" w:rsidR="00C62392" w:rsidRPr="00E020DE" w:rsidRDefault="00E020DE" w:rsidP="00913A75">
            <w:pPr>
              <w:pStyle w:val="TableText0"/>
            </w:pPr>
            <w:r w:rsidRPr="00E020DE">
              <w:rPr>
                <w:color w:val="000000"/>
                <w:spacing w:val="48"/>
                <w:fitText w:val="500" w:id="-1435269881"/>
                <w14:textFill>
                  <w14:solidFill>
                    <w14:srgbClr w14:val="000000">
                      <w14:alpha w14:val="100000"/>
                    </w14:srgbClr>
                  </w14:solidFill>
                </w14:textFill>
              </w:rPr>
              <w:t>|||||</w:t>
            </w:r>
            <w:r w:rsidRPr="00E020DE">
              <w:rPr>
                <w:color w:val="000000"/>
                <w:spacing w:val="5"/>
                <w:fitText w:val="500" w:id="-1435269881"/>
                <w14:textFill>
                  <w14:solidFill>
                    <w14:srgbClr w14:val="000000">
                      <w14:alpha w14:val="100000"/>
                    </w14:srgbClr>
                  </w14:solidFill>
                </w14:textFill>
              </w:rPr>
              <w:t>|</w:t>
            </w:r>
          </w:p>
        </w:tc>
        <w:tc>
          <w:tcPr>
            <w:tcW w:w="2238" w:type="pct"/>
            <w:gridSpan w:val="2"/>
            <w:tcBorders>
              <w:top w:val="single" w:sz="4" w:space="0" w:color="auto"/>
              <w:left w:val="single" w:sz="4" w:space="0" w:color="auto"/>
              <w:bottom w:val="single" w:sz="4" w:space="0" w:color="auto"/>
              <w:right w:val="single" w:sz="4" w:space="0" w:color="auto"/>
            </w:tcBorders>
            <w:shd w:val="solid" w:color="000000" w:fill="000000"/>
            <w:hideMark/>
          </w:tcPr>
          <w:p w14:paraId="5D59B84D" w14:textId="6D684078" w:rsidR="00C62392" w:rsidRPr="00E020DE" w:rsidRDefault="00E020DE" w:rsidP="00687561">
            <w:pPr>
              <w:pStyle w:val="TableText0"/>
            </w:pPr>
            <w:r w:rsidRPr="00E020DE">
              <w:rPr>
                <w:color w:val="000000"/>
                <w:spacing w:val="48"/>
                <w:fitText w:val="500" w:id="-1435269880"/>
                <w14:textFill>
                  <w14:solidFill>
                    <w14:srgbClr w14:val="000000">
                      <w14:alpha w14:val="100000"/>
                    </w14:srgbClr>
                  </w14:solidFill>
                </w14:textFill>
              </w:rPr>
              <w:t>|||||</w:t>
            </w:r>
            <w:r w:rsidRPr="00E020DE">
              <w:rPr>
                <w:color w:val="000000"/>
                <w:spacing w:val="5"/>
                <w:fitText w:val="500" w:id="-1435269880"/>
                <w14:textFill>
                  <w14:solidFill>
                    <w14:srgbClr w14:val="000000">
                      <w14:alpha w14:val="100000"/>
                    </w14:srgbClr>
                  </w14:solidFill>
                </w14:textFill>
              </w:rPr>
              <w:t>|</w:t>
            </w:r>
          </w:p>
        </w:tc>
      </w:tr>
      <w:tr w:rsidR="00C62392" w:rsidRPr="000C3B55" w14:paraId="222FEFEE" w14:textId="77777777" w:rsidTr="00E020DE">
        <w:tc>
          <w:tcPr>
            <w:tcW w:w="799" w:type="pct"/>
            <w:tcBorders>
              <w:top w:val="single" w:sz="4" w:space="0" w:color="auto"/>
              <w:left w:val="single" w:sz="4" w:space="0" w:color="auto"/>
              <w:bottom w:val="single" w:sz="4" w:space="0" w:color="auto"/>
              <w:right w:val="single" w:sz="4" w:space="0" w:color="auto"/>
            </w:tcBorders>
            <w:hideMark/>
          </w:tcPr>
          <w:p w14:paraId="61EF4D23" w14:textId="77777777" w:rsidR="00C62392" w:rsidRPr="000C3B55" w:rsidRDefault="00C62392" w:rsidP="00224E9F">
            <w:pPr>
              <w:pStyle w:val="TableText0"/>
              <w:rPr>
                <w:vertAlign w:val="superscript"/>
              </w:rPr>
            </w:pPr>
            <w:r w:rsidRPr="000C3B55">
              <w:t>p-value</w:t>
            </w:r>
          </w:p>
        </w:tc>
        <w:tc>
          <w:tcPr>
            <w:tcW w:w="1963" w:type="pct"/>
            <w:gridSpan w:val="2"/>
            <w:tcBorders>
              <w:top w:val="single" w:sz="4" w:space="0" w:color="auto"/>
              <w:left w:val="single" w:sz="4" w:space="0" w:color="auto"/>
              <w:bottom w:val="single" w:sz="4" w:space="0" w:color="auto"/>
              <w:right w:val="single" w:sz="4" w:space="0" w:color="auto"/>
            </w:tcBorders>
            <w:shd w:val="solid" w:color="000000" w:fill="000000"/>
            <w:hideMark/>
          </w:tcPr>
          <w:p w14:paraId="346F2DF4" w14:textId="47A39B3A" w:rsidR="00C62392" w:rsidRPr="00E020DE" w:rsidRDefault="00E020DE" w:rsidP="00224E9F">
            <w:pPr>
              <w:pStyle w:val="TableText0"/>
            </w:pPr>
            <w:r w:rsidRPr="00E020DE">
              <w:rPr>
                <w:color w:val="000000"/>
                <w:spacing w:val="48"/>
                <w:fitText w:val="500" w:id="-1435269879"/>
                <w14:textFill>
                  <w14:solidFill>
                    <w14:srgbClr w14:val="000000">
                      <w14:alpha w14:val="100000"/>
                    </w14:srgbClr>
                  </w14:solidFill>
                </w14:textFill>
              </w:rPr>
              <w:t>|||||</w:t>
            </w:r>
            <w:r w:rsidRPr="00E020DE">
              <w:rPr>
                <w:color w:val="000000"/>
                <w:spacing w:val="5"/>
                <w:fitText w:val="500" w:id="-1435269879"/>
                <w14:textFill>
                  <w14:solidFill>
                    <w14:srgbClr w14:val="000000">
                      <w14:alpha w14:val="100000"/>
                    </w14:srgbClr>
                  </w14:solidFill>
                </w14:textFill>
              </w:rPr>
              <w:t>|</w:t>
            </w:r>
          </w:p>
        </w:tc>
        <w:tc>
          <w:tcPr>
            <w:tcW w:w="2238" w:type="pct"/>
            <w:gridSpan w:val="2"/>
            <w:tcBorders>
              <w:top w:val="single" w:sz="4" w:space="0" w:color="auto"/>
              <w:left w:val="single" w:sz="4" w:space="0" w:color="auto"/>
              <w:bottom w:val="single" w:sz="4" w:space="0" w:color="auto"/>
              <w:right w:val="single" w:sz="4" w:space="0" w:color="auto"/>
            </w:tcBorders>
            <w:shd w:val="solid" w:color="000000" w:fill="000000"/>
            <w:hideMark/>
          </w:tcPr>
          <w:p w14:paraId="2842B53F" w14:textId="72C60AB0" w:rsidR="00C62392" w:rsidRPr="00E020DE" w:rsidRDefault="00E020DE" w:rsidP="00224E9F">
            <w:pPr>
              <w:pStyle w:val="TableText0"/>
              <w:rPr>
                <w:vertAlign w:val="superscript"/>
              </w:rPr>
            </w:pPr>
            <w:r w:rsidRPr="00E020DE">
              <w:rPr>
                <w:color w:val="000000"/>
                <w:spacing w:val="48"/>
                <w:fitText w:val="500" w:id="-1435269878"/>
                <w14:textFill>
                  <w14:solidFill>
                    <w14:srgbClr w14:val="000000">
                      <w14:alpha w14:val="100000"/>
                    </w14:srgbClr>
                  </w14:solidFill>
                </w14:textFill>
              </w:rPr>
              <w:t>|||||</w:t>
            </w:r>
            <w:r w:rsidRPr="00E020DE">
              <w:rPr>
                <w:color w:val="000000"/>
                <w:spacing w:val="5"/>
                <w:fitText w:val="500" w:id="-1435269878"/>
                <w14:textFill>
                  <w14:solidFill>
                    <w14:srgbClr w14:val="000000">
                      <w14:alpha w14:val="100000"/>
                    </w14:srgbClr>
                  </w14:solidFill>
                </w14:textFill>
              </w:rPr>
              <w:t>|</w:t>
            </w:r>
          </w:p>
        </w:tc>
      </w:tr>
      <w:tr w:rsidR="00C62392" w:rsidRPr="000C3B55" w14:paraId="37F09E7A" w14:textId="77777777" w:rsidTr="00224E9F">
        <w:tc>
          <w:tcPr>
            <w:tcW w:w="5000" w:type="pct"/>
            <w:gridSpan w:val="5"/>
            <w:tcBorders>
              <w:top w:val="single" w:sz="4" w:space="0" w:color="auto"/>
              <w:left w:val="single" w:sz="4" w:space="0" w:color="auto"/>
              <w:bottom w:val="single" w:sz="4" w:space="0" w:color="auto"/>
              <w:right w:val="single" w:sz="4" w:space="0" w:color="auto"/>
            </w:tcBorders>
          </w:tcPr>
          <w:p w14:paraId="24144039" w14:textId="77777777" w:rsidR="00C62392" w:rsidRPr="000C3B55" w:rsidRDefault="00C62392" w:rsidP="00224E9F">
            <w:pPr>
              <w:pStyle w:val="TableText0"/>
              <w:rPr>
                <w:b/>
              </w:rPr>
            </w:pPr>
            <w:r w:rsidRPr="000C3B55">
              <w:rPr>
                <w:b/>
              </w:rPr>
              <w:t>Overall survival rates</w:t>
            </w:r>
            <w:r w:rsidRPr="000C3B55">
              <w:rPr>
                <w:b/>
                <w:vertAlign w:val="superscript"/>
              </w:rPr>
              <w:t>a</w:t>
            </w:r>
          </w:p>
        </w:tc>
      </w:tr>
      <w:tr w:rsidR="00C62392" w:rsidRPr="000C3B55" w14:paraId="21095A22" w14:textId="77777777" w:rsidTr="00E020DE">
        <w:tc>
          <w:tcPr>
            <w:tcW w:w="799" w:type="pct"/>
            <w:tcBorders>
              <w:top w:val="single" w:sz="4" w:space="0" w:color="auto"/>
              <w:left w:val="single" w:sz="4" w:space="0" w:color="auto"/>
              <w:bottom w:val="single" w:sz="4" w:space="0" w:color="auto"/>
              <w:right w:val="single" w:sz="4" w:space="0" w:color="auto"/>
            </w:tcBorders>
            <w:hideMark/>
          </w:tcPr>
          <w:p w14:paraId="24FC8B02" w14:textId="3F75EC79" w:rsidR="00C62392" w:rsidRPr="000C3B55" w:rsidRDefault="00145934" w:rsidP="00224E9F">
            <w:pPr>
              <w:pStyle w:val="TableText0"/>
            </w:pPr>
            <w:r w:rsidRPr="000C3B55">
              <w:t>A</w:t>
            </w:r>
            <w:r w:rsidR="00C62392" w:rsidRPr="000C3B55">
              <w:t>t 9 months, % (95% CI)</w:t>
            </w:r>
          </w:p>
        </w:tc>
        <w:tc>
          <w:tcPr>
            <w:tcW w:w="872" w:type="pct"/>
            <w:tcBorders>
              <w:top w:val="single" w:sz="4" w:space="0" w:color="auto"/>
              <w:left w:val="single" w:sz="4" w:space="0" w:color="auto"/>
              <w:bottom w:val="single" w:sz="4" w:space="0" w:color="auto"/>
              <w:right w:val="single" w:sz="4" w:space="0" w:color="auto"/>
            </w:tcBorders>
            <w:shd w:val="solid" w:color="000000" w:fill="000000"/>
            <w:hideMark/>
          </w:tcPr>
          <w:p w14:paraId="12AC71EA" w14:textId="6981047E" w:rsidR="00C62392" w:rsidRPr="00E020DE" w:rsidRDefault="00E020DE" w:rsidP="00224E9F">
            <w:pPr>
              <w:pStyle w:val="TableText0"/>
            </w:pPr>
            <w:r w:rsidRPr="00E020DE">
              <w:rPr>
                <w:color w:val="000000"/>
                <w:spacing w:val="48"/>
                <w:fitText w:val="500" w:id="-1435269877"/>
                <w14:textFill>
                  <w14:solidFill>
                    <w14:srgbClr w14:val="000000">
                      <w14:alpha w14:val="100000"/>
                    </w14:srgbClr>
                  </w14:solidFill>
                </w14:textFill>
              </w:rPr>
              <w:t>|||||</w:t>
            </w:r>
            <w:r w:rsidRPr="00E020DE">
              <w:rPr>
                <w:color w:val="000000"/>
                <w:spacing w:val="5"/>
                <w:fitText w:val="500" w:id="-1435269877"/>
                <w14:textFill>
                  <w14:solidFill>
                    <w14:srgbClr w14:val="000000">
                      <w14:alpha w14:val="100000"/>
                    </w14:srgbClr>
                  </w14:solidFill>
                </w14:textFill>
              </w:rPr>
              <w:t>|</w:t>
            </w:r>
          </w:p>
        </w:tc>
        <w:tc>
          <w:tcPr>
            <w:tcW w:w="1091" w:type="pct"/>
            <w:tcBorders>
              <w:top w:val="single" w:sz="4" w:space="0" w:color="auto"/>
              <w:left w:val="single" w:sz="4" w:space="0" w:color="auto"/>
              <w:bottom w:val="single" w:sz="4" w:space="0" w:color="auto"/>
              <w:right w:val="single" w:sz="4" w:space="0" w:color="auto"/>
            </w:tcBorders>
            <w:shd w:val="solid" w:color="000000" w:fill="000000"/>
            <w:hideMark/>
          </w:tcPr>
          <w:p w14:paraId="5AC7EF31" w14:textId="5652C610" w:rsidR="00C62392" w:rsidRPr="00E020DE" w:rsidRDefault="00E020DE" w:rsidP="00224E9F">
            <w:pPr>
              <w:pStyle w:val="TableText0"/>
            </w:pPr>
            <w:r w:rsidRPr="00E020DE">
              <w:rPr>
                <w:color w:val="000000"/>
                <w:spacing w:val="48"/>
                <w:fitText w:val="500" w:id="-1435269876"/>
                <w14:textFill>
                  <w14:solidFill>
                    <w14:srgbClr w14:val="000000">
                      <w14:alpha w14:val="100000"/>
                    </w14:srgbClr>
                  </w14:solidFill>
                </w14:textFill>
              </w:rPr>
              <w:t>|||||</w:t>
            </w:r>
            <w:r w:rsidRPr="00E020DE">
              <w:rPr>
                <w:color w:val="000000"/>
                <w:spacing w:val="5"/>
                <w:fitText w:val="500" w:id="-1435269876"/>
                <w14:textFill>
                  <w14:solidFill>
                    <w14:srgbClr w14:val="000000">
                      <w14:alpha w14:val="100000"/>
                    </w14:srgbClr>
                  </w14:solidFill>
                </w14:textFill>
              </w:rPr>
              <w:t>|</w:t>
            </w:r>
          </w:p>
        </w:tc>
        <w:tc>
          <w:tcPr>
            <w:tcW w:w="1165" w:type="pct"/>
            <w:tcBorders>
              <w:top w:val="single" w:sz="4" w:space="0" w:color="auto"/>
              <w:left w:val="single" w:sz="4" w:space="0" w:color="auto"/>
              <w:bottom w:val="single" w:sz="4" w:space="0" w:color="auto"/>
              <w:right w:val="single" w:sz="4" w:space="0" w:color="auto"/>
            </w:tcBorders>
            <w:shd w:val="solid" w:color="000000" w:fill="000000"/>
            <w:hideMark/>
          </w:tcPr>
          <w:p w14:paraId="258209FE" w14:textId="4183512D" w:rsidR="00C62392" w:rsidRPr="00E020DE" w:rsidRDefault="00E020DE" w:rsidP="00224E9F">
            <w:pPr>
              <w:pStyle w:val="TableText0"/>
            </w:pPr>
            <w:r w:rsidRPr="00E020DE">
              <w:rPr>
                <w:color w:val="000000"/>
                <w:spacing w:val="48"/>
                <w:fitText w:val="500" w:id="-1435269875"/>
                <w14:textFill>
                  <w14:solidFill>
                    <w14:srgbClr w14:val="000000">
                      <w14:alpha w14:val="100000"/>
                    </w14:srgbClr>
                  </w14:solidFill>
                </w14:textFill>
              </w:rPr>
              <w:t>|||||</w:t>
            </w:r>
            <w:r w:rsidRPr="00E020DE">
              <w:rPr>
                <w:color w:val="000000"/>
                <w:spacing w:val="5"/>
                <w:fitText w:val="500" w:id="-1435269875"/>
                <w14:textFill>
                  <w14:solidFill>
                    <w14:srgbClr w14:val="000000">
                      <w14:alpha w14:val="100000"/>
                    </w14:srgbClr>
                  </w14:solidFill>
                </w14:textFill>
              </w:rPr>
              <w:t>|</w:t>
            </w:r>
          </w:p>
        </w:tc>
        <w:tc>
          <w:tcPr>
            <w:tcW w:w="1073" w:type="pct"/>
            <w:tcBorders>
              <w:top w:val="single" w:sz="4" w:space="0" w:color="auto"/>
              <w:left w:val="single" w:sz="4" w:space="0" w:color="auto"/>
              <w:bottom w:val="single" w:sz="4" w:space="0" w:color="auto"/>
              <w:right w:val="single" w:sz="4" w:space="0" w:color="auto"/>
            </w:tcBorders>
            <w:shd w:val="solid" w:color="000000" w:fill="000000"/>
            <w:hideMark/>
          </w:tcPr>
          <w:p w14:paraId="32166ABB" w14:textId="3BEAE290" w:rsidR="00C62392" w:rsidRPr="00E020DE" w:rsidRDefault="00E020DE" w:rsidP="00224E9F">
            <w:pPr>
              <w:pStyle w:val="TableText0"/>
            </w:pPr>
            <w:r w:rsidRPr="00E020DE">
              <w:rPr>
                <w:color w:val="000000"/>
                <w:spacing w:val="48"/>
                <w:fitText w:val="500" w:id="-1435269874"/>
                <w14:textFill>
                  <w14:solidFill>
                    <w14:srgbClr w14:val="000000">
                      <w14:alpha w14:val="100000"/>
                    </w14:srgbClr>
                  </w14:solidFill>
                </w14:textFill>
              </w:rPr>
              <w:t>|||||</w:t>
            </w:r>
            <w:r w:rsidRPr="00E020DE">
              <w:rPr>
                <w:color w:val="000000"/>
                <w:spacing w:val="5"/>
                <w:fitText w:val="500" w:id="-1435269874"/>
                <w14:textFill>
                  <w14:solidFill>
                    <w14:srgbClr w14:val="000000">
                      <w14:alpha w14:val="100000"/>
                    </w14:srgbClr>
                  </w14:solidFill>
                </w14:textFill>
              </w:rPr>
              <w:t>|</w:t>
            </w:r>
          </w:p>
        </w:tc>
      </w:tr>
      <w:tr w:rsidR="00C62392" w:rsidRPr="000C3B55" w14:paraId="15758D59" w14:textId="77777777" w:rsidTr="00E020DE">
        <w:tc>
          <w:tcPr>
            <w:tcW w:w="799" w:type="pct"/>
            <w:tcBorders>
              <w:top w:val="single" w:sz="4" w:space="0" w:color="auto"/>
              <w:left w:val="single" w:sz="4" w:space="0" w:color="auto"/>
              <w:bottom w:val="single" w:sz="4" w:space="0" w:color="auto"/>
              <w:right w:val="single" w:sz="4" w:space="0" w:color="auto"/>
            </w:tcBorders>
            <w:hideMark/>
          </w:tcPr>
          <w:p w14:paraId="7ED387CA" w14:textId="590178E2" w:rsidR="00C62392" w:rsidRPr="000C3B55" w:rsidRDefault="00145934" w:rsidP="00224E9F">
            <w:pPr>
              <w:pStyle w:val="TableText0"/>
            </w:pPr>
            <w:r w:rsidRPr="000C3B55">
              <w:t>A</w:t>
            </w:r>
            <w:r w:rsidR="00C62392" w:rsidRPr="000C3B55">
              <w:t>t 12 months, % (95% CI)</w:t>
            </w:r>
          </w:p>
        </w:tc>
        <w:tc>
          <w:tcPr>
            <w:tcW w:w="872" w:type="pct"/>
            <w:tcBorders>
              <w:top w:val="single" w:sz="4" w:space="0" w:color="auto"/>
              <w:left w:val="single" w:sz="4" w:space="0" w:color="auto"/>
              <w:bottom w:val="single" w:sz="4" w:space="0" w:color="auto"/>
              <w:right w:val="single" w:sz="4" w:space="0" w:color="auto"/>
            </w:tcBorders>
            <w:shd w:val="solid" w:color="000000" w:fill="000000"/>
            <w:hideMark/>
          </w:tcPr>
          <w:p w14:paraId="5D88DFDC" w14:textId="4F62C1F5" w:rsidR="00C62392" w:rsidRPr="00E020DE" w:rsidRDefault="00E020DE" w:rsidP="00224E9F">
            <w:pPr>
              <w:pStyle w:val="TableText0"/>
            </w:pPr>
            <w:r w:rsidRPr="00E020DE">
              <w:rPr>
                <w:color w:val="000000"/>
                <w:spacing w:val="48"/>
                <w:fitText w:val="500" w:id="-1435269873"/>
                <w14:textFill>
                  <w14:solidFill>
                    <w14:srgbClr w14:val="000000">
                      <w14:alpha w14:val="100000"/>
                    </w14:srgbClr>
                  </w14:solidFill>
                </w14:textFill>
              </w:rPr>
              <w:t>|||||</w:t>
            </w:r>
            <w:r w:rsidRPr="00E020DE">
              <w:rPr>
                <w:color w:val="000000"/>
                <w:spacing w:val="5"/>
                <w:fitText w:val="500" w:id="-1435269873"/>
                <w14:textFill>
                  <w14:solidFill>
                    <w14:srgbClr w14:val="000000">
                      <w14:alpha w14:val="100000"/>
                    </w14:srgbClr>
                  </w14:solidFill>
                </w14:textFill>
              </w:rPr>
              <w:t>|</w:t>
            </w:r>
          </w:p>
        </w:tc>
        <w:tc>
          <w:tcPr>
            <w:tcW w:w="1091" w:type="pct"/>
            <w:tcBorders>
              <w:top w:val="single" w:sz="4" w:space="0" w:color="auto"/>
              <w:left w:val="single" w:sz="4" w:space="0" w:color="auto"/>
              <w:bottom w:val="single" w:sz="4" w:space="0" w:color="auto"/>
              <w:right w:val="single" w:sz="4" w:space="0" w:color="auto"/>
            </w:tcBorders>
            <w:shd w:val="solid" w:color="000000" w:fill="000000"/>
            <w:hideMark/>
          </w:tcPr>
          <w:p w14:paraId="26F4A2BF" w14:textId="71D60BA0" w:rsidR="00C62392" w:rsidRPr="00E020DE" w:rsidRDefault="00E020DE" w:rsidP="00224E9F">
            <w:pPr>
              <w:pStyle w:val="TableText0"/>
            </w:pPr>
            <w:r w:rsidRPr="00E020DE">
              <w:rPr>
                <w:color w:val="000000"/>
                <w:spacing w:val="48"/>
                <w:fitText w:val="500" w:id="-1435269872"/>
                <w14:textFill>
                  <w14:solidFill>
                    <w14:srgbClr w14:val="000000">
                      <w14:alpha w14:val="100000"/>
                    </w14:srgbClr>
                  </w14:solidFill>
                </w14:textFill>
              </w:rPr>
              <w:t>|||||</w:t>
            </w:r>
            <w:r w:rsidRPr="00E020DE">
              <w:rPr>
                <w:color w:val="000000"/>
                <w:spacing w:val="5"/>
                <w:fitText w:val="500" w:id="-1435269872"/>
                <w14:textFill>
                  <w14:solidFill>
                    <w14:srgbClr w14:val="000000">
                      <w14:alpha w14:val="100000"/>
                    </w14:srgbClr>
                  </w14:solidFill>
                </w14:textFill>
              </w:rPr>
              <w:t>|</w:t>
            </w:r>
          </w:p>
        </w:tc>
        <w:tc>
          <w:tcPr>
            <w:tcW w:w="1165" w:type="pct"/>
            <w:tcBorders>
              <w:top w:val="single" w:sz="4" w:space="0" w:color="auto"/>
              <w:left w:val="single" w:sz="4" w:space="0" w:color="auto"/>
              <w:bottom w:val="single" w:sz="4" w:space="0" w:color="auto"/>
              <w:right w:val="single" w:sz="4" w:space="0" w:color="auto"/>
            </w:tcBorders>
            <w:shd w:val="solid" w:color="000000" w:fill="000000"/>
            <w:hideMark/>
          </w:tcPr>
          <w:p w14:paraId="2C433DDD" w14:textId="143A5248" w:rsidR="00C62392" w:rsidRPr="00E020DE" w:rsidRDefault="00E020DE" w:rsidP="00224E9F">
            <w:pPr>
              <w:pStyle w:val="TableText0"/>
            </w:pPr>
            <w:r w:rsidRPr="00E020DE">
              <w:rPr>
                <w:color w:val="000000"/>
                <w:spacing w:val="48"/>
                <w:fitText w:val="500" w:id="-1435269888"/>
                <w14:textFill>
                  <w14:solidFill>
                    <w14:srgbClr w14:val="000000">
                      <w14:alpha w14:val="100000"/>
                    </w14:srgbClr>
                  </w14:solidFill>
                </w14:textFill>
              </w:rPr>
              <w:t>|||||</w:t>
            </w:r>
            <w:r w:rsidRPr="00E020DE">
              <w:rPr>
                <w:color w:val="000000"/>
                <w:spacing w:val="5"/>
                <w:fitText w:val="500" w:id="-1435269888"/>
                <w14:textFill>
                  <w14:solidFill>
                    <w14:srgbClr w14:val="000000">
                      <w14:alpha w14:val="100000"/>
                    </w14:srgbClr>
                  </w14:solidFill>
                </w14:textFill>
              </w:rPr>
              <w:t>|</w:t>
            </w:r>
          </w:p>
        </w:tc>
        <w:tc>
          <w:tcPr>
            <w:tcW w:w="1073" w:type="pct"/>
            <w:tcBorders>
              <w:top w:val="single" w:sz="4" w:space="0" w:color="auto"/>
              <w:left w:val="single" w:sz="4" w:space="0" w:color="auto"/>
              <w:bottom w:val="single" w:sz="4" w:space="0" w:color="auto"/>
              <w:right w:val="single" w:sz="4" w:space="0" w:color="auto"/>
            </w:tcBorders>
            <w:shd w:val="solid" w:color="000000" w:fill="000000"/>
            <w:hideMark/>
          </w:tcPr>
          <w:p w14:paraId="3143EA05" w14:textId="6B260677" w:rsidR="00C62392" w:rsidRPr="00E020DE" w:rsidRDefault="00E020DE" w:rsidP="00224E9F">
            <w:pPr>
              <w:pStyle w:val="TableText0"/>
            </w:pPr>
            <w:r w:rsidRPr="00E020DE">
              <w:rPr>
                <w:color w:val="000000"/>
                <w:spacing w:val="48"/>
                <w:fitText w:val="500" w:id="-1435269887"/>
                <w14:textFill>
                  <w14:solidFill>
                    <w14:srgbClr w14:val="000000">
                      <w14:alpha w14:val="100000"/>
                    </w14:srgbClr>
                  </w14:solidFill>
                </w14:textFill>
              </w:rPr>
              <w:t>|||||</w:t>
            </w:r>
            <w:r w:rsidRPr="00E020DE">
              <w:rPr>
                <w:color w:val="000000"/>
                <w:spacing w:val="5"/>
                <w:fitText w:val="500" w:id="-1435269887"/>
                <w14:textFill>
                  <w14:solidFill>
                    <w14:srgbClr w14:val="000000">
                      <w14:alpha w14:val="100000"/>
                    </w14:srgbClr>
                  </w14:solidFill>
                </w14:textFill>
              </w:rPr>
              <w:t>|</w:t>
            </w:r>
          </w:p>
        </w:tc>
      </w:tr>
    </w:tbl>
    <w:p w14:paraId="59BC4667" w14:textId="7E392CAA" w:rsidR="00C62392" w:rsidRPr="000C3B55" w:rsidRDefault="00C62392" w:rsidP="00C62392">
      <w:pPr>
        <w:pStyle w:val="TableFigureFooter"/>
      </w:pPr>
      <w:r w:rsidRPr="000C3B55">
        <w:t>Source: Tables 12-</w:t>
      </w:r>
      <w:r w:rsidR="00053187" w:rsidRPr="000C3B55">
        <w:t>5</w:t>
      </w:r>
      <w:r w:rsidRPr="000C3B55">
        <w:t>, p55-5</w:t>
      </w:r>
      <w:r w:rsidR="00053187" w:rsidRPr="000C3B55">
        <w:t>9</w:t>
      </w:r>
      <w:r w:rsidRPr="000C3B55">
        <w:t xml:space="preserve"> of the Round 2 clinical evaluation report for nivolumab (Submission PM-2021-02518-1-4)</w:t>
      </w:r>
    </w:p>
    <w:p w14:paraId="26E5CAAA" w14:textId="1AFAD3ED" w:rsidR="00C62392" w:rsidRPr="000C3B55" w:rsidRDefault="00145934" w:rsidP="00C62392">
      <w:pPr>
        <w:pStyle w:val="TableFigureFooter"/>
      </w:pPr>
      <w:r w:rsidRPr="000C3B55">
        <w:t>CI = confidence interval; HR = hazard ratio; NE = not estimable (not reached); ITT = intention to treat (all randomised patients); NIVO = nivolumab; PBO = placebo; PD-L1 = programmed cell death ligand 1</w:t>
      </w:r>
    </w:p>
    <w:p w14:paraId="589CAF27" w14:textId="0D789250" w:rsidR="00C62392" w:rsidRPr="000C3B55" w:rsidRDefault="00053187" w:rsidP="00C62392">
      <w:pPr>
        <w:pStyle w:val="TableFigureFooter"/>
      </w:pPr>
      <w:r w:rsidRPr="000C3B55">
        <w:t xml:space="preserve">Notes: </w:t>
      </w:r>
      <w:r w:rsidR="00C62392" w:rsidRPr="000C3B55">
        <w:t xml:space="preserve">ITT: Median </w:t>
      </w:r>
      <w:r w:rsidR="002979D3" w:rsidRPr="000C3B55">
        <w:t>follow-up</w:t>
      </w:r>
      <w:r w:rsidR="00C62392" w:rsidRPr="000C3B55">
        <w:t xml:space="preserve"> time was </w:t>
      </w:r>
      <w:r w:rsidR="00C62392" w:rsidRPr="00F01B5F">
        <w:t>24.44 months</w:t>
      </w:r>
      <w:r w:rsidR="00C62392" w:rsidRPr="000C3B55">
        <w:t xml:space="preserve"> for the nivolumab arm and </w:t>
      </w:r>
      <w:r w:rsidR="00C62392" w:rsidRPr="00F01B5F">
        <w:t>22.51 months for the</w:t>
      </w:r>
      <w:r w:rsidR="00C62392" w:rsidRPr="000C3B55">
        <w:t xml:space="preserve"> placebo arm.</w:t>
      </w:r>
    </w:p>
    <w:p w14:paraId="0DF84B61" w14:textId="46E333CC" w:rsidR="00C62392" w:rsidRPr="000C3B55" w:rsidRDefault="00C62392" w:rsidP="00C62392">
      <w:pPr>
        <w:pStyle w:val="TableFigureFooter"/>
      </w:pPr>
      <w:r w:rsidRPr="000C3B55">
        <w:t xml:space="preserve">PD-L1 ≥ 1% subgroup: Median </w:t>
      </w:r>
      <w:r w:rsidR="002979D3" w:rsidRPr="000C3B55">
        <w:t>follow-up</w:t>
      </w:r>
      <w:r w:rsidRPr="000C3B55">
        <w:t xml:space="preserve"> time was </w:t>
      </w:r>
      <w:r w:rsidR="00E020DE" w:rsidRPr="00E020DE">
        <w:rPr>
          <w:color w:val="000000"/>
          <w:spacing w:val="16"/>
          <w:shd w:val="solid" w:color="000000" w:fill="000000"/>
          <w:fitText w:val="430" w:id="-1435269886"/>
          <w14:textFill>
            <w14:solidFill>
              <w14:srgbClr w14:val="000000">
                <w14:alpha w14:val="100000"/>
              </w14:srgbClr>
            </w14:solidFill>
          </w14:textFill>
        </w:rPr>
        <w:t>|||  ||</w:t>
      </w:r>
      <w:r w:rsidR="00E020DE" w:rsidRPr="00E020DE">
        <w:rPr>
          <w:color w:val="000000"/>
          <w:spacing w:val="6"/>
          <w:shd w:val="solid" w:color="000000" w:fill="000000"/>
          <w:fitText w:val="430" w:id="-1435269886"/>
          <w14:textFill>
            <w14:solidFill>
              <w14:srgbClr w14:val="000000">
                <w14:alpha w14:val="100000"/>
              </w14:srgbClr>
            </w14:solidFill>
          </w14:textFill>
        </w:rPr>
        <w:t>|</w:t>
      </w:r>
      <w:r w:rsidRPr="000C3B55">
        <w:t xml:space="preserve"> months for the nivolumab arm and </w:t>
      </w:r>
      <w:r w:rsidR="00E020DE" w:rsidRPr="00E020DE">
        <w:rPr>
          <w:color w:val="000000"/>
          <w:spacing w:val="16"/>
          <w:shd w:val="solid" w:color="000000" w:fill="000000"/>
          <w:fitText w:val="430" w:id="-1435269885"/>
          <w14:textFill>
            <w14:solidFill>
              <w14:srgbClr w14:val="000000">
                <w14:alpha w14:val="100000"/>
              </w14:srgbClr>
            </w14:solidFill>
          </w14:textFill>
        </w:rPr>
        <w:t>|||  ||</w:t>
      </w:r>
      <w:r w:rsidR="00E020DE" w:rsidRPr="00E020DE">
        <w:rPr>
          <w:color w:val="000000"/>
          <w:spacing w:val="6"/>
          <w:shd w:val="solid" w:color="000000" w:fill="000000"/>
          <w:fitText w:val="430" w:id="-1435269885"/>
          <w14:textFill>
            <w14:solidFill>
              <w14:srgbClr w14:val="000000">
                <w14:alpha w14:val="100000"/>
              </w14:srgbClr>
            </w14:solidFill>
          </w14:textFill>
        </w:rPr>
        <w:t>|</w:t>
      </w:r>
      <w:r w:rsidRPr="000C3B55">
        <w:t xml:space="preserve"> months for the placebo arm</w:t>
      </w:r>
    </w:p>
    <w:p w14:paraId="09708469" w14:textId="77777777" w:rsidR="00C62392" w:rsidRPr="000C3B55" w:rsidRDefault="00C62392" w:rsidP="00C62392">
      <w:pPr>
        <w:pStyle w:val="TableFigureFooter"/>
      </w:pPr>
      <w:r w:rsidRPr="000C3B55">
        <w:rPr>
          <w:vertAlign w:val="superscript"/>
        </w:rPr>
        <w:t>a</w:t>
      </w:r>
      <w:r w:rsidRPr="000C3B55">
        <w:t>Based on Kaplan-Meier estimates</w:t>
      </w:r>
    </w:p>
    <w:p w14:paraId="3C945E27" w14:textId="77777777" w:rsidR="00C62392" w:rsidRPr="000C3B55" w:rsidRDefault="00C62392" w:rsidP="00C62392">
      <w:pPr>
        <w:pStyle w:val="TableFigureFooter"/>
      </w:pPr>
      <w:r w:rsidRPr="000C3B55">
        <w:rPr>
          <w:vertAlign w:val="superscript"/>
        </w:rPr>
        <w:t>b</w:t>
      </w:r>
      <w:r w:rsidRPr="000C3B55">
        <w:t>Nivolumab versus placebo</w:t>
      </w:r>
    </w:p>
    <w:p w14:paraId="22ECC5E0" w14:textId="77777777" w:rsidR="00C62392" w:rsidRPr="003B4086" w:rsidRDefault="00C62392" w:rsidP="00C62392">
      <w:pPr>
        <w:pStyle w:val="TableFigureFooter"/>
      </w:pPr>
      <w:r w:rsidRPr="000C3B55">
        <w:rPr>
          <w:vertAlign w:val="superscript"/>
        </w:rPr>
        <w:t>c</w:t>
      </w:r>
      <w:r w:rsidRPr="000C3B55">
        <w:t>Log-rank test stratified by prior neo-adjuvant cisplatin, pathological nodal status, PD-L1 status (≥ 1% versus &lt; 1% / indeterminate). Boundary for statistical significance p-value &lt;0.00196</w:t>
      </w:r>
    </w:p>
    <w:p w14:paraId="123186E8" w14:textId="4BF8E670" w:rsidR="00C62392" w:rsidRPr="003B4086" w:rsidRDefault="00C62392" w:rsidP="00C62392">
      <w:pPr>
        <w:pStyle w:val="TableFigureHeading"/>
      </w:pPr>
      <w:bookmarkStart w:id="33" w:name="_Ref102283644"/>
      <w:r w:rsidRPr="00F01B5F">
        <w:t xml:space="preserve">Figure </w:t>
      </w:r>
      <w:fldSimple w:instr=" SEQ Figure \* ARABIC ">
        <w:r w:rsidR="00C6296C" w:rsidRPr="00F01B5F">
          <w:rPr>
            <w:noProof/>
          </w:rPr>
          <w:t>3</w:t>
        </w:r>
      </w:fldSimple>
      <w:bookmarkEnd w:id="33"/>
      <w:r w:rsidRPr="00F01B5F">
        <w:t>: CM274 – Kaplan-Meier plots for overall survival – Interim analysis (ITT)</w:t>
      </w:r>
    </w:p>
    <w:p w14:paraId="5BD0BEE7" w14:textId="58BD3D15" w:rsidR="00C62392" w:rsidRPr="00F01B5F" w:rsidRDefault="00E020DE" w:rsidP="00C62392">
      <w:pPr>
        <w:pStyle w:val="TableFigureFooter"/>
      </w:pPr>
      <w:r w:rsidRPr="00E020DE">
        <w:rPr>
          <w:noProof/>
          <w:color w:val="000000"/>
          <w:spacing w:val="16"/>
          <w:shd w:val="solid" w:color="000000" w:fill="000000"/>
          <w:fitText w:val="430" w:id="-1435269884"/>
          <w14:textFill>
            <w14:solidFill>
              <w14:srgbClr w14:val="000000">
                <w14:alpha w14:val="100000"/>
              </w14:srgbClr>
            </w14:solidFill>
          </w14:textFill>
        </w:rPr>
        <w:t>|||  ||</w:t>
      </w:r>
      <w:r w:rsidRPr="00E020DE">
        <w:rPr>
          <w:noProof/>
          <w:color w:val="000000"/>
          <w:spacing w:val="6"/>
          <w:shd w:val="solid" w:color="000000" w:fill="000000"/>
          <w:fitText w:val="430" w:id="-1435269884"/>
          <w14:textFill>
            <w14:solidFill>
              <w14:srgbClr w14:val="000000">
                <w14:alpha w14:val="100000"/>
              </w14:srgbClr>
            </w14:solidFill>
          </w14:textFill>
        </w:rPr>
        <w:t>|</w:t>
      </w:r>
      <w:r w:rsidR="00C62392" w:rsidRPr="00F01B5F">
        <w:t>Source: Figure 10, p58 of the Round 2 TGA clinical evaluation report for nivolumab (Submission PM-2021-02518-1-4)</w:t>
      </w:r>
    </w:p>
    <w:p w14:paraId="05F572D7" w14:textId="67EB77CD" w:rsidR="00C62392" w:rsidRPr="00F01B5F" w:rsidRDefault="00145934" w:rsidP="00C62392">
      <w:pPr>
        <w:pStyle w:val="TableFigureFooter"/>
      </w:pPr>
      <w:r w:rsidRPr="00F01B5F">
        <w:t>CI = confidence interval; ITT = intention to treat; NA = not available (not reached).</w:t>
      </w:r>
    </w:p>
    <w:p w14:paraId="31EB4848" w14:textId="3B6D6602" w:rsidR="00C62392" w:rsidRPr="00F01B5F" w:rsidRDefault="00E020DE" w:rsidP="00C62392">
      <w:pPr>
        <w:pStyle w:val="TableFigureHeading"/>
      </w:pPr>
      <w:bookmarkStart w:id="34" w:name="_Ref102283581"/>
      <w:r w:rsidRPr="00E020DE">
        <w:rPr>
          <w:color w:val="000000"/>
          <w:spacing w:val="40"/>
          <w:shd w:val="solid" w:color="000000" w:fill="000000"/>
          <w:fitText w:val="480" w:id="-1435269883"/>
          <w14:textFill>
            <w14:solidFill>
              <w14:srgbClr w14:val="000000">
                <w14:alpha w14:val="100000"/>
              </w14:srgbClr>
            </w14:solidFill>
          </w14:textFill>
        </w:rPr>
        <w:t>|||||</w:t>
      </w:r>
      <w:r w:rsidRPr="00E020DE">
        <w:rPr>
          <w:color w:val="000000"/>
          <w:spacing w:val="5"/>
          <w:shd w:val="solid" w:color="000000" w:fill="000000"/>
          <w:fitText w:val="480" w:id="-1435269883"/>
          <w14:textFill>
            <w14:solidFill>
              <w14:srgbClr w14:val="000000">
                <w14:alpha w14:val="100000"/>
              </w14:srgbClr>
            </w14:solidFill>
          </w14:textFill>
        </w:rPr>
        <w:t>|</w:t>
      </w:r>
      <w:r w:rsidR="00C62392" w:rsidRPr="00F01B5F">
        <w:t xml:space="preserve">Figure </w:t>
      </w:r>
      <w:fldSimple w:instr=" SEQ Figure \* ARABIC ">
        <w:r w:rsidR="00C6296C" w:rsidRPr="00F01B5F">
          <w:rPr>
            <w:noProof/>
          </w:rPr>
          <w:t>4</w:t>
        </w:r>
      </w:fldSimple>
      <w:bookmarkEnd w:id="34"/>
      <w:r w:rsidR="00C62392" w:rsidRPr="00F01B5F">
        <w:t>: CM274 – Kaplan-Meier plots for overall survival – Interim analysis (PD-L1 ≥ 1% subgroup)</w:t>
      </w:r>
    </w:p>
    <w:p w14:paraId="1185D6D5" w14:textId="5C40F41B" w:rsidR="00C62392" w:rsidRPr="00F01B5F" w:rsidRDefault="00E020DE" w:rsidP="00C62392">
      <w:pPr>
        <w:pStyle w:val="TableFigureFooter"/>
      </w:pPr>
      <w:r w:rsidRPr="00E020DE">
        <w:rPr>
          <w:noProof/>
          <w:color w:val="000000"/>
          <w:spacing w:val="16"/>
          <w:shd w:val="solid" w:color="000000" w:fill="000000"/>
          <w:fitText w:val="430" w:id="-1435269882"/>
          <w14:textFill>
            <w14:solidFill>
              <w14:srgbClr w14:val="000000">
                <w14:alpha w14:val="100000"/>
              </w14:srgbClr>
            </w14:solidFill>
          </w14:textFill>
        </w:rPr>
        <w:t>|||  ||</w:t>
      </w:r>
      <w:r w:rsidRPr="00E020DE">
        <w:rPr>
          <w:noProof/>
          <w:color w:val="000000"/>
          <w:spacing w:val="6"/>
          <w:shd w:val="solid" w:color="000000" w:fill="000000"/>
          <w:fitText w:val="430" w:id="-1435269882"/>
          <w14:textFill>
            <w14:solidFill>
              <w14:srgbClr w14:val="000000">
                <w14:alpha w14:val="100000"/>
              </w14:srgbClr>
            </w14:solidFill>
          </w14:textFill>
        </w:rPr>
        <w:t>|</w:t>
      </w:r>
      <w:r w:rsidR="00C62392" w:rsidRPr="00F01B5F">
        <w:t>Source: Figure 11, p59 of the Round 2 TGA clinical evaluation report for nivolumab (Submission PM-2021-02518-1-4).</w:t>
      </w:r>
    </w:p>
    <w:p w14:paraId="7DBCB6A6" w14:textId="1BD2FB3B" w:rsidR="00C62392" w:rsidRPr="003B4086" w:rsidRDefault="00145934" w:rsidP="00C62392">
      <w:pPr>
        <w:pStyle w:val="TableFigureFooter"/>
      </w:pPr>
      <w:r w:rsidRPr="00F01B5F">
        <w:t>CI = confidence interval; NA = not available (not reached); PD-L1 = programmed cell death ligand 1</w:t>
      </w:r>
      <w:r w:rsidR="00C62392" w:rsidRPr="00F01B5F">
        <w:t>.</w:t>
      </w:r>
    </w:p>
    <w:p w14:paraId="05A702D9" w14:textId="0F06C913" w:rsidR="00301B99" w:rsidRPr="003B4086" w:rsidRDefault="00301B99" w:rsidP="00637B54">
      <w:pPr>
        <w:pStyle w:val="3-BodyText"/>
      </w:pPr>
      <w:r w:rsidRPr="003B4086">
        <w:t xml:space="preserve">The median duration of </w:t>
      </w:r>
      <w:r w:rsidR="002979D3" w:rsidRPr="003B4086">
        <w:t>follow-up</w:t>
      </w:r>
      <w:r w:rsidRPr="003B4086">
        <w:t xml:space="preserve"> in the ITT population was 24.4 months for the nivolumab arm and 22.5 months for the placebo arm. </w:t>
      </w:r>
      <w:r w:rsidRPr="007D66BC">
        <w:t xml:space="preserve">Nivolumab was associated with a </w:t>
      </w:r>
      <w:r w:rsidR="00E020DE" w:rsidRPr="00785573">
        <w:rPr>
          <w:color w:val="000000"/>
          <w:w w:val="15"/>
          <w:shd w:val="solid" w:color="000000" w:fill="000000"/>
          <w:fitText w:val="-20" w:id="-1435269881"/>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1"/>
          <w14:textFill>
            <w14:solidFill>
              <w14:srgbClr w14:val="000000">
                <w14:alpha w14:val="100000"/>
              </w14:srgbClr>
            </w14:solidFill>
          </w14:textFill>
        </w:rPr>
        <w:t>|</w:t>
      </w:r>
      <w:r w:rsidRPr="007D66BC">
        <w:t xml:space="preserve">% reduction of the hazard of death which was not statistically significant (HR </w:t>
      </w:r>
      <w:r w:rsidR="00E020DE" w:rsidRPr="00785573">
        <w:rPr>
          <w:color w:val="000000"/>
          <w:w w:val="15"/>
          <w:shd w:val="solid" w:color="000000" w:fill="000000"/>
          <w:fitText w:val="-20" w:id="-1435269880"/>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0"/>
          <w14:textFill>
            <w14:solidFill>
              <w14:srgbClr w14:val="000000">
                <w14:alpha w14:val="100000"/>
              </w14:srgbClr>
            </w14:solidFill>
          </w14:textFill>
        </w:rPr>
        <w:t>|</w:t>
      </w:r>
      <w:r w:rsidRPr="007D66BC">
        <w:t xml:space="preserve">, </w:t>
      </w:r>
      <w:r w:rsidR="00E020DE" w:rsidRPr="00785573">
        <w:rPr>
          <w:color w:val="000000"/>
          <w:w w:val="15"/>
          <w:shd w:val="solid" w:color="000000" w:fill="000000"/>
          <w:fitText w:val="-20" w:id="-1435269879"/>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9"/>
          <w14:textFill>
            <w14:solidFill>
              <w14:srgbClr w14:val="000000">
                <w14:alpha w14:val="100000"/>
              </w14:srgbClr>
            </w14:solidFill>
          </w14:textFill>
        </w:rPr>
        <w:t>|</w:t>
      </w:r>
      <w:r w:rsidRPr="007D66BC">
        <w:t xml:space="preserve">%, CI: </w:t>
      </w:r>
      <w:r w:rsidR="00E020DE" w:rsidRPr="00785573">
        <w:rPr>
          <w:color w:val="000000"/>
          <w:w w:val="15"/>
          <w:shd w:val="solid" w:color="000000" w:fill="000000"/>
          <w:fitText w:val="-20" w:id="-1435269878"/>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8"/>
          <w14:textFill>
            <w14:solidFill>
              <w14:srgbClr w14:val="000000">
                <w14:alpha w14:val="100000"/>
              </w14:srgbClr>
            </w14:solidFill>
          </w14:textFill>
        </w:rPr>
        <w:t>|</w:t>
      </w:r>
      <w:r w:rsidRPr="007D66BC">
        <w:t xml:space="preserve">, </w:t>
      </w:r>
      <w:r w:rsidR="00E020DE" w:rsidRPr="00785573">
        <w:rPr>
          <w:color w:val="000000"/>
          <w:w w:val="15"/>
          <w:shd w:val="solid" w:color="000000" w:fill="000000"/>
          <w:fitText w:val="-20" w:id="-1435269877"/>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7"/>
          <w14:textFill>
            <w14:solidFill>
              <w14:srgbClr w14:val="000000">
                <w14:alpha w14:val="100000"/>
              </w14:srgbClr>
            </w14:solidFill>
          </w14:textFill>
        </w:rPr>
        <w:t>|</w:t>
      </w:r>
      <w:r w:rsidRPr="007D66BC">
        <w:t>; p=</w:t>
      </w:r>
      <w:r w:rsidR="00E020DE" w:rsidRPr="00785573">
        <w:rPr>
          <w:color w:val="000000"/>
          <w:w w:val="15"/>
          <w:shd w:val="solid" w:color="000000" w:fill="000000"/>
          <w:fitText w:val="-20" w:id="-1435269876"/>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6"/>
          <w14:textFill>
            <w14:solidFill>
              <w14:srgbClr w14:val="000000">
                <w14:alpha w14:val="100000"/>
              </w14:srgbClr>
            </w14:solidFill>
          </w14:textFill>
        </w:rPr>
        <w:t>|</w:t>
      </w:r>
      <w:r w:rsidRPr="007D66BC">
        <w:t xml:space="preserve">). The median OS was </w:t>
      </w:r>
      <w:r w:rsidR="00E020DE" w:rsidRPr="00785573">
        <w:rPr>
          <w:color w:val="000000"/>
          <w:w w:val="15"/>
          <w:shd w:val="solid" w:color="000000" w:fill="000000"/>
          <w:fitText w:val="-20" w:id="-1435269875"/>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5"/>
          <w14:textFill>
            <w14:solidFill>
              <w14:srgbClr w14:val="000000">
                <w14:alpha w14:val="100000"/>
              </w14:srgbClr>
            </w14:solidFill>
          </w14:textFill>
        </w:rPr>
        <w:t>|</w:t>
      </w:r>
      <w:r w:rsidRPr="007D66BC">
        <w:t xml:space="preserve"> months (95% CI: </w:t>
      </w:r>
      <w:r w:rsidR="00E020DE" w:rsidRPr="00785573">
        <w:rPr>
          <w:color w:val="000000"/>
          <w:w w:val="15"/>
          <w:shd w:val="solid" w:color="000000" w:fill="000000"/>
          <w:fitText w:val="-20" w:id="-1435269874"/>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4"/>
          <w14:textFill>
            <w14:solidFill>
              <w14:srgbClr w14:val="000000">
                <w14:alpha w14:val="100000"/>
              </w14:srgbClr>
            </w14:solidFill>
          </w14:textFill>
        </w:rPr>
        <w:t>|</w:t>
      </w:r>
      <w:r w:rsidRPr="007D66BC">
        <w:t xml:space="preserve">, not reached) with nivolumab versus </w:t>
      </w:r>
      <w:r w:rsidR="00E020DE" w:rsidRPr="00785573">
        <w:rPr>
          <w:color w:val="000000"/>
          <w:w w:val="15"/>
          <w:shd w:val="solid" w:color="000000" w:fill="000000"/>
          <w:fitText w:val="-20" w:id="-1435269873"/>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3"/>
          <w14:textFill>
            <w14:solidFill>
              <w14:srgbClr w14:val="000000">
                <w14:alpha w14:val="100000"/>
              </w14:srgbClr>
            </w14:solidFill>
          </w14:textFill>
        </w:rPr>
        <w:t>|</w:t>
      </w:r>
      <w:r w:rsidRPr="007D66BC">
        <w:t xml:space="preserve"> months (95% CI: </w:t>
      </w:r>
      <w:r w:rsidR="00E020DE" w:rsidRPr="00785573">
        <w:rPr>
          <w:color w:val="000000"/>
          <w:w w:val="15"/>
          <w:shd w:val="solid" w:color="000000" w:fill="000000"/>
          <w:fitText w:val="-20" w:id="-1435269872"/>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2"/>
          <w14:textFill>
            <w14:solidFill>
              <w14:srgbClr w14:val="000000">
                <w14:alpha w14:val="100000"/>
              </w14:srgbClr>
            </w14:solidFill>
          </w14:textFill>
        </w:rPr>
        <w:t>|</w:t>
      </w:r>
      <w:r w:rsidRPr="007D66BC">
        <w:t xml:space="preserve">, not reached) with placebo. There was an </w:t>
      </w:r>
      <w:r w:rsidR="00E020DE" w:rsidRPr="00785573">
        <w:rPr>
          <w:color w:val="000000"/>
          <w:w w:val="15"/>
          <w:shd w:val="solid" w:color="000000" w:fill="000000"/>
          <w:fitText w:val="-20" w:id="-1435269888"/>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8"/>
          <w14:textFill>
            <w14:solidFill>
              <w14:srgbClr w14:val="000000">
                <w14:alpha w14:val="100000"/>
              </w14:srgbClr>
            </w14:solidFill>
          </w14:textFill>
        </w:rPr>
        <w:t>|</w:t>
      </w:r>
      <w:r w:rsidRPr="007D66BC">
        <w:t xml:space="preserve"> of the KM curves </w:t>
      </w:r>
      <w:r w:rsidR="008C2980" w:rsidRPr="007D66BC">
        <w:t>favo</w:t>
      </w:r>
      <w:r w:rsidR="00547913" w:rsidRPr="007D66BC">
        <w:t>u</w:t>
      </w:r>
      <w:r w:rsidR="008C2980" w:rsidRPr="007D66BC">
        <w:t>ring</w:t>
      </w:r>
      <w:r w:rsidRPr="007D66BC">
        <w:t xml:space="preserve"> </w:t>
      </w:r>
      <w:r w:rsidR="00E020DE" w:rsidRPr="00785573">
        <w:rPr>
          <w:color w:val="000000"/>
          <w:w w:val="15"/>
          <w:shd w:val="solid" w:color="000000" w:fill="000000"/>
          <w:fitText w:val="-20" w:id="-1435269887"/>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7"/>
          <w14:textFill>
            <w14:solidFill>
              <w14:srgbClr w14:val="000000">
                <w14:alpha w14:val="100000"/>
              </w14:srgbClr>
            </w14:solidFill>
          </w14:textFill>
        </w:rPr>
        <w:t>|</w:t>
      </w:r>
      <w:r w:rsidRPr="007D66BC">
        <w:t xml:space="preserve">. The OS data remain immature </w:t>
      </w:r>
      <w:r w:rsidR="00200961" w:rsidRPr="007D66BC">
        <w:t xml:space="preserve">as at data cutoff </w:t>
      </w:r>
      <w:r w:rsidRPr="007D66BC">
        <w:t xml:space="preserve">noting that the KM curves </w:t>
      </w:r>
      <w:r w:rsidR="00200961" w:rsidRPr="007D66BC">
        <w:t xml:space="preserve">appear to </w:t>
      </w:r>
      <w:r w:rsidR="00E020DE" w:rsidRPr="00785573">
        <w:rPr>
          <w:color w:val="000000"/>
          <w:w w:val="15"/>
          <w:shd w:val="solid" w:color="000000" w:fill="000000"/>
          <w:fitText w:val="-20" w:id="-1435269886"/>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6"/>
          <w14:textFill>
            <w14:solidFill>
              <w14:srgbClr w14:val="000000">
                <w14:alpha w14:val="100000"/>
              </w14:srgbClr>
            </w14:solidFill>
          </w14:textFill>
        </w:rPr>
        <w:t>|</w:t>
      </w:r>
      <w:r w:rsidRPr="007D66BC">
        <w:t xml:space="preserve"> at around the </w:t>
      </w:r>
      <w:r w:rsidR="00E020DE" w:rsidRPr="00785573">
        <w:rPr>
          <w:color w:val="000000"/>
          <w:w w:val="15"/>
          <w:shd w:val="solid" w:color="000000" w:fill="000000"/>
          <w:fitText w:val="-20" w:id="-1435269885"/>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5"/>
          <w14:textFill>
            <w14:solidFill>
              <w14:srgbClr w14:val="000000">
                <w14:alpha w14:val="100000"/>
              </w14:srgbClr>
            </w14:solidFill>
          </w14:textFill>
        </w:rPr>
        <w:t>|</w:t>
      </w:r>
      <w:r w:rsidRPr="007D66BC">
        <w:t>month time point.</w:t>
      </w:r>
      <w:r w:rsidR="000A0C79" w:rsidRPr="003B4086">
        <w:t xml:space="preserve"> </w:t>
      </w:r>
    </w:p>
    <w:p w14:paraId="4BB9E2A7" w14:textId="3FE721B0" w:rsidR="002B2876" w:rsidRPr="003B4086" w:rsidRDefault="00301B99" w:rsidP="002B2876">
      <w:pPr>
        <w:pStyle w:val="3-BodyText"/>
      </w:pPr>
      <w:r w:rsidRPr="003B4086">
        <w:t xml:space="preserve">The median duration of </w:t>
      </w:r>
      <w:r w:rsidR="002979D3" w:rsidRPr="003B4086">
        <w:t>follow-up</w:t>
      </w:r>
      <w:r w:rsidRPr="003B4086">
        <w:t xml:space="preserve"> </w:t>
      </w:r>
      <w:r w:rsidR="002B2876" w:rsidRPr="003B4086">
        <w:t xml:space="preserve">in the PD-L1 ≥ 1% subgroup </w:t>
      </w:r>
      <w:r w:rsidRPr="003B4086">
        <w:t>was</w:t>
      </w:r>
      <w:r w:rsidR="002B2876" w:rsidRPr="003B4086">
        <w:t xml:space="preserve"> 25.5 months for the nivolumab arm and 22.4 months for the </w:t>
      </w:r>
      <w:r w:rsidR="002B2876" w:rsidRPr="007D66BC">
        <w:t xml:space="preserve">placebo arm. Nivolumab was associated with a </w:t>
      </w:r>
      <w:r w:rsidR="00E020DE" w:rsidRPr="00785573">
        <w:rPr>
          <w:color w:val="000000"/>
          <w:w w:val="15"/>
          <w:shd w:val="solid" w:color="000000" w:fill="000000"/>
          <w:fitText w:val="-20" w:id="-1435269884"/>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4"/>
          <w14:textFill>
            <w14:solidFill>
              <w14:srgbClr w14:val="000000">
                <w14:alpha w14:val="100000"/>
              </w14:srgbClr>
            </w14:solidFill>
          </w14:textFill>
        </w:rPr>
        <w:t>|</w:t>
      </w:r>
      <w:r w:rsidR="002B2876" w:rsidRPr="007D66BC">
        <w:t xml:space="preserve"> of the hazard of death although this reduction in hazard </w:t>
      </w:r>
      <w:r w:rsidR="00E020DE" w:rsidRPr="00785573">
        <w:rPr>
          <w:color w:val="000000"/>
          <w:w w:val="15"/>
          <w:shd w:val="solid" w:color="000000" w:fill="000000"/>
          <w:fitText w:val="-20" w:id="-1435269883"/>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3"/>
          <w14:textFill>
            <w14:solidFill>
              <w14:srgbClr w14:val="000000">
                <w14:alpha w14:val="100000"/>
              </w14:srgbClr>
            </w14:solidFill>
          </w14:textFill>
        </w:rPr>
        <w:t>|</w:t>
      </w:r>
      <w:r w:rsidR="002B2876" w:rsidRPr="007D66BC">
        <w:t xml:space="preserve"> (HR </w:t>
      </w:r>
      <w:r w:rsidR="00E020DE" w:rsidRPr="00785573">
        <w:rPr>
          <w:color w:val="000000"/>
          <w:w w:val="15"/>
          <w:shd w:val="solid" w:color="000000" w:fill="000000"/>
          <w:fitText w:val="-20" w:id="-1435269882"/>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2"/>
          <w14:textFill>
            <w14:solidFill>
              <w14:srgbClr w14:val="000000">
                <w14:alpha w14:val="100000"/>
              </w14:srgbClr>
            </w14:solidFill>
          </w14:textFill>
        </w:rPr>
        <w:t>|</w:t>
      </w:r>
      <w:r w:rsidR="002B2876" w:rsidRPr="007D66BC">
        <w:t xml:space="preserve">, </w:t>
      </w:r>
      <w:r w:rsidR="00E020DE" w:rsidRPr="00785573">
        <w:rPr>
          <w:color w:val="000000"/>
          <w:w w:val="15"/>
          <w:shd w:val="solid" w:color="000000" w:fill="000000"/>
          <w:fitText w:val="-20" w:id="-1435269881"/>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1"/>
          <w14:textFill>
            <w14:solidFill>
              <w14:srgbClr w14:val="000000">
                <w14:alpha w14:val="100000"/>
              </w14:srgbClr>
            </w14:solidFill>
          </w14:textFill>
        </w:rPr>
        <w:t>|</w:t>
      </w:r>
      <w:r w:rsidR="002B2876" w:rsidRPr="007D66BC">
        <w:t xml:space="preserve">%, CI: </w:t>
      </w:r>
      <w:r w:rsidR="00E020DE" w:rsidRPr="00785573">
        <w:rPr>
          <w:color w:val="000000"/>
          <w:w w:val="15"/>
          <w:shd w:val="solid" w:color="000000" w:fill="000000"/>
          <w:fitText w:val="-20" w:id="-1435269880"/>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0"/>
          <w14:textFill>
            <w14:solidFill>
              <w14:srgbClr w14:val="000000">
                <w14:alpha w14:val="100000"/>
              </w14:srgbClr>
            </w14:solidFill>
          </w14:textFill>
        </w:rPr>
        <w:t>|</w:t>
      </w:r>
      <w:r w:rsidR="002B2876" w:rsidRPr="007D66BC">
        <w:t xml:space="preserve">, </w:t>
      </w:r>
      <w:r w:rsidR="00E020DE" w:rsidRPr="00785573">
        <w:rPr>
          <w:color w:val="000000"/>
          <w:w w:val="15"/>
          <w:shd w:val="solid" w:color="000000" w:fill="000000"/>
          <w:fitText w:val="-20" w:id="-1435269879"/>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9"/>
          <w14:textFill>
            <w14:solidFill>
              <w14:srgbClr w14:val="000000">
                <w14:alpha w14:val="100000"/>
              </w14:srgbClr>
            </w14:solidFill>
          </w14:textFill>
        </w:rPr>
        <w:t>|</w:t>
      </w:r>
      <w:r w:rsidR="002B2876" w:rsidRPr="007D66BC">
        <w:t>; p=</w:t>
      </w:r>
      <w:r w:rsidR="00E020DE" w:rsidRPr="00785573">
        <w:rPr>
          <w:color w:val="000000"/>
          <w:w w:val="15"/>
          <w:shd w:val="solid" w:color="000000" w:fill="000000"/>
          <w:fitText w:val="-20" w:id="-1435269878"/>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8"/>
          <w14:textFill>
            <w14:solidFill>
              <w14:srgbClr w14:val="000000">
                <w14:alpha w14:val="100000"/>
              </w14:srgbClr>
            </w14:solidFill>
          </w14:textFill>
        </w:rPr>
        <w:t>|</w:t>
      </w:r>
      <w:r w:rsidR="002B2876" w:rsidRPr="007D66BC">
        <w:t>).</w:t>
      </w:r>
      <w:r w:rsidR="00200961" w:rsidRPr="007D66BC">
        <w:t xml:space="preserve"> The median OS was </w:t>
      </w:r>
      <w:r w:rsidR="00E020DE" w:rsidRPr="00785573">
        <w:rPr>
          <w:color w:val="000000"/>
          <w:w w:val="15"/>
          <w:shd w:val="solid" w:color="000000" w:fill="000000"/>
          <w:fitText w:val="-20" w:id="-1435269877"/>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7"/>
          <w14:textFill>
            <w14:solidFill>
              <w14:srgbClr w14:val="000000">
                <w14:alpha w14:val="100000"/>
              </w14:srgbClr>
            </w14:solidFill>
          </w14:textFill>
        </w:rPr>
        <w:t>|</w:t>
      </w:r>
      <w:r w:rsidR="00200961" w:rsidRPr="007D66BC">
        <w:t>.</w:t>
      </w:r>
    </w:p>
    <w:p w14:paraId="77686A4C" w14:textId="355D0AC1" w:rsidR="00B7161C" w:rsidRPr="003B4086" w:rsidRDefault="00B7161C" w:rsidP="00B7161C">
      <w:pPr>
        <w:pStyle w:val="3-BodyText"/>
      </w:pPr>
      <w:r w:rsidRPr="003B4086">
        <w:t xml:space="preserve">There were limited OS data provided for </w:t>
      </w:r>
      <w:r w:rsidRPr="007D66BC">
        <w:t xml:space="preserve">PD-L1 &lt;1% subgroup. The OS HR for nivolumab compared with placebo </w:t>
      </w:r>
      <w:r w:rsidR="00E020DE" w:rsidRPr="00785573">
        <w:rPr>
          <w:color w:val="000000"/>
          <w:w w:val="15"/>
          <w:shd w:val="solid" w:color="000000" w:fill="000000"/>
          <w:fitText w:val="-20" w:id="-1435269876"/>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6"/>
          <w14:textFill>
            <w14:solidFill>
              <w14:srgbClr w14:val="000000">
                <w14:alpha w14:val="100000"/>
              </w14:srgbClr>
            </w14:solidFill>
          </w14:textFill>
        </w:rPr>
        <w:t>|</w:t>
      </w:r>
      <w:r w:rsidRPr="007D66BC">
        <w:t xml:space="preserve"> (HR </w:t>
      </w:r>
      <w:r w:rsidR="00E020DE" w:rsidRPr="00785573">
        <w:rPr>
          <w:color w:val="000000"/>
          <w:w w:val="15"/>
          <w:shd w:val="solid" w:color="000000" w:fill="000000"/>
          <w:fitText w:val="-20" w:id="-1435269875"/>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5"/>
          <w14:textFill>
            <w14:solidFill>
              <w14:srgbClr w14:val="000000">
                <w14:alpha w14:val="100000"/>
              </w14:srgbClr>
            </w14:solidFill>
          </w14:textFill>
        </w:rPr>
        <w:t>|</w:t>
      </w:r>
      <w:r w:rsidRPr="007D66BC">
        <w:t xml:space="preserve">, 95% CI: </w:t>
      </w:r>
      <w:r w:rsidR="00E020DE" w:rsidRPr="00785573">
        <w:rPr>
          <w:color w:val="000000"/>
          <w:w w:val="15"/>
          <w:shd w:val="solid" w:color="000000" w:fill="000000"/>
          <w:fitText w:val="-20" w:id="-1435269874"/>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4"/>
          <w14:textFill>
            <w14:solidFill>
              <w14:srgbClr w14:val="000000">
                <w14:alpha w14:val="100000"/>
              </w14:srgbClr>
            </w14:solidFill>
          </w14:textFill>
        </w:rPr>
        <w:t>|</w:t>
      </w:r>
      <w:r w:rsidRPr="007D66BC">
        <w:t xml:space="preserve">, </w:t>
      </w:r>
      <w:r w:rsidR="00E020DE" w:rsidRPr="00785573">
        <w:rPr>
          <w:color w:val="000000"/>
          <w:w w:val="15"/>
          <w:shd w:val="solid" w:color="000000" w:fill="000000"/>
          <w:fitText w:val="-20" w:id="-1435269873"/>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3"/>
          <w14:textFill>
            <w14:solidFill>
              <w14:srgbClr w14:val="000000">
                <w14:alpha w14:val="100000"/>
              </w14:srgbClr>
            </w14:solidFill>
          </w14:textFill>
        </w:rPr>
        <w:t>|</w:t>
      </w:r>
      <w:r w:rsidRPr="007D66BC">
        <w:t>)</w:t>
      </w:r>
      <w:r w:rsidR="00200961" w:rsidRPr="007D66BC">
        <w:t xml:space="preserve"> noting that this subgroup comprised approximately </w:t>
      </w:r>
      <w:r w:rsidR="00E020DE" w:rsidRPr="00785573">
        <w:rPr>
          <w:color w:val="000000"/>
          <w:w w:val="15"/>
          <w:shd w:val="solid" w:color="000000" w:fill="000000"/>
          <w:fitText w:val="-20" w:id="-1435269872"/>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2"/>
          <w14:textFill>
            <w14:solidFill>
              <w14:srgbClr w14:val="000000">
                <w14:alpha w14:val="100000"/>
              </w14:srgbClr>
            </w14:solidFill>
          </w14:textFill>
        </w:rPr>
        <w:t>|</w:t>
      </w:r>
      <w:r w:rsidR="00200961" w:rsidRPr="007D66BC">
        <w:t>% (</w:t>
      </w:r>
      <w:r w:rsidR="00E020DE" w:rsidRPr="00785573">
        <w:rPr>
          <w:color w:val="000000"/>
          <w:w w:val="15"/>
          <w:shd w:val="solid" w:color="000000" w:fill="000000"/>
          <w:fitText w:val="-20" w:id="-1435269888"/>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8"/>
          <w14:textFill>
            <w14:solidFill>
              <w14:srgbClr w14:val="000000">
                <w14:alpha w14:val="100000"/>
              </w14:srgbClr>
            </w14:solidFill>
          </w14:textFill>
        </w:rPr>
        <w:t>|</w:t>
      </w:r>
      <w:r w:rsidR="00200961" w:rsidRPr="007D66BC">
        <w:t>/</w:t>
      </w:r>
      <w:r w:rsidR="00E020DE" w:rsidRPr="00785573">
        <w:rPr>
          <w:color w:val="000000"/>
          <w:w w:val="15"/>
          <w:shd w:val="solid" w:color="000000" w:fill="000000"/>
          <w:fitText w:val="-20" w:id="-1435269887"/>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7"/>
          <w14:textFill>
            <w14:solidFill>
              <w14:srgbClr w14:val="000000">
                <w14:alpha w14:val="100000"/>
              </w14:srgbClr>
            </w14:solidFill>
          </w14:textFill>
        </w:rPr>
        <w:t>|</w:t>
      </w:r>
      <w:r w:rsidR="00200961" w:rsidRPr="007D66BC">
        <w:t>) of the ITT population.</w:t>
      </w:r>
    </w:p>
    <w:p w14:paraId="33DF053B" w14:textId="17D87B31" w:rsidR="00BC5551" w:rsidRPr="003B4086" w:rsidRDefault="00BC5551" w:rsidP="00B62D24">
      <w:pPr>
        <w:pStyle w:val="3-BodyText"/>
      </w:pPr>
      <w:r w:rsidRPr="003B4086">
        <w:lastRenderedPageBreak/>
        <w:fldChar w:fldCharType="begin"/>
      </w:r>
      <w:r w:rsidRPr="003B4086">
        <w:instrText xml:space="preserve"> REF _Ref102285720 \h  \* MERGEFORMAT </w:instrText>
      </w:r>
      <w:r w:rsidRPr="003B4086">
        <w:fldChar w:fldCharType="separate"/>
      </w:r>
      <w:r w:rsidR="0011484C" w:rsidRPr="003B4086">
        <w:t xml:space="preserve">Table </w:t>
      </w:r>
      <w:r w:rsidR="0011484C" w:rsidRPr="003B4086">
        <w:rPr>
          <w:noProof/>
        </w:rPr>
        <w:t>8</w:t>
      </w:r>
      <w:r w:rsidRPr="003B4086">
        <w:fldChar w:fldCharType="end"/>
      </w:r>
      <w:r w:rsidR="00B62D24" w:rsidRPr="003B4086">
        <w:t xml:space="preserve"> summarises results for the secondary/exploratory outcomes of </w:t>
      </w:r>
      <w:r w:rsidR="00687561" w:rsidRPr="003B4086">
        <w:t>non-urothelial tract recurrence-free survival (</w:t>
      </w:r>
      <w:r w:rsidR="00B62D24" w:rsidRPr="003B4086">
        <w:t>NUTRFS</w:t>
      </w:r>
      <w:r w:rsidR="00687561" w:rsidRPr="003B4086">
        <w:t>)</w:t>
      </w:r>
      <w:r w:rsidR="00B62D24" w:rsidRPr="003B4086">
        <w:t xml:space="preserve"> and </w:t>
      </w:r>
      <w:r w:rsidR="00687561" w:rsidRPr="003B4086">
        <w:t>distant metastasis-free survival (</w:t>
      </w:r>
      <w:r w:rsidR="00B62D24" w:rsidRPr="003B4086">
        <w:t>DMFS</w:t>
      </w:r>
      <w:r w:rsidR="00687561" w:rsidRPr="003B4086">
        <w:t>)</w:t>
      </w:r>
      <w:r w:rsidR="00B62D24" w:rsidRPr="003B4086">
        <w:t xml:space="preserve"> in the CM274 ITT population</w:t>
      </w:r>
      <w:r w:rsidRPr="003B4086">
        <w:t>. No results were presented for the PD-L1 positive subgroup.</w:t>
      </w:r>
    </w:p>
    <w:p w14:paraId="1AC803C1" w14:textId="2C681C6F" w:rsidR="00BC5551" w:rsidRPr="003B4086" w:rsidRDefault="00BC5551" w:rsidP="00BC5551">
      <w:pPr>
        <w:pStyle w:val="TableFigureHeading"/>
      </w:pPr>
      <w:bookmarkStart w:id="35" w:name="_Ref102285720"/>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8</w:t>
      </w:r>
      <w:r w:rsidR="00785573">
        <w:rPr>
          <w:noProof/>
        </w:rPr>
        <w:fldChar w:fldCharType="end"/>
      </w:r>
      <w:bookmarkEnd w:id="35"/>
      <w:r w:rsidRPr="003B4086">
        <w:t>: S</w:t>
      </w:r>
      <w:r w:rsidRPr="003B4086">
        <w:rPr>
          <w:noProof/>
        </w:rPr>
        <w:t>econdary and exploratory efficacy results for NUTRFS and DMFS – ITT population</w:t>
      </w:r>
    </w:p>
    <w:tbl>
      <w:tblPr>
        <w:tblStyle w:val="TableGrid"/>
        <w:tblW w:w="5000" w:type="pct"/>
        <w:tblLook w:val="04A0" w:firstRow="1" w:lastRow="0" w:firstColumn="1" w:lastColumn="0" w:noHBand="0" w:noVBand="1"/>
      </w:tblPr>
      <w:tblGrid>
        <w:gridCol w:w="3659"/>
        <w:gridCol w:w="1875"/>
        <w:gridCol w:w="3482"/>
      </w:tblGrid>
      <w:tr w:rsidR="00BC5551" w:rsidRPr="003B4086" w14:paraId="43D1055C" w14:textId="77777777" w:rsidTr="008C5ED1">
        <w:trPr>
          <w:trHeight w:val="123"/>
          <w:tblHeader/>
        </w:trPr>
        <w:tc>
          <w:tcPr>
            <w:tcW w:w="2029" w:type="pct"/>
            <w:tcBorders>
              <w:top w:val="single" w:sz="4" w:space="0" w:color="auto"/>
              <w:left w:val="single" w:sz="4" w:space="0" w:color="auto"/>
              <w:bottom w:val="single" w:sz="4" w:space="0" w:color="auto"/>
              <w:right w:val="single" w:sz="4" w:space="0" w:color="auto"/>
            </w:tcBorders>
            <w:shd w:val="clear" w:color="auto" w:fill="auto"/>
            <w:hideMark/>
          </w:tcPr>
          <w:p w14:paraId="0644B6E5" w14:textId="77777777" w:rsidR="00BC5551" w:rsidRPr="003B4086" w:rsidRDefault="00BC5551" w:rsidP="00224E9F">
            <w:pPr>
              <w:pStyle w:val="TableText0"/>
              <w:rPr>
                <w:b/>
              </w:rPr>
            </w:pPr>
            <w:r w:rsidRPr="003B4086">
              <w:rPr>
                <w:b/>
              </w:rPr>
              <w:t xml:space="preserve">Efficacy parameters </w:t>
            </w:r>
          </w:p>
        </w:tc>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15291003" w14:textId="77777777" w:rsidR="00BC5551" w:rsidRPr="003B4086" w:rsidRDefault="00BC5551" w:rsidP="00224E9F">
            <w:pPr>
              <w:pStyle w:val="TableText0"/>
              <w:rPr>
                <w:b/>
              </w:rPr>
            </w:pPr>
            <w:r w:rsidRPr="003B4086">
              <w:rPr>
                <w:b/>
              </w:rPr>
              <w:t>NIVO (N=353)</w:t>
            </w:r>
          </w:p>
        </w:tc>
        <w:tc>
          <w:tcPr>
            <w:tcW w:w="1931" w:type="pct"/>
            <w:tcBorders>
              <w:top w:val="single" w:sz="4" w:space="0" w:color="auto"/>
              <w:left w:val="single" w:sz="4" w:space="0" w:color="auto"/>
              <w:bottom w:val="single" w:sz="4" w:space="0" w:color="auto"/>
              <w:right w:val="single" w:sz="4" w:space="0" w:color="auto"/>
            </w:tcBorders>
            <w:shd w:val="clear" w:color="auto" w:fill="auto"/>
            <w:hideMark/>
          </w:tcPr>
          <w:p w14:paraId="63580BFE" w14:textId="77777777" w:rsidR="00BC5551" w:rsidRPr="003B4086" w:rsidRDefault="00BC5551" w:rsidP="00224E9F">
            <w:pPr>
              <w:pStyle w:val="TableText0"/>
              <w:rPr>
                <w:b/>
              </w:rPr>
            </w:pPr>
            <w:r w:rsidRPr="003B4086">
              <w:rPr>
                <w:b/>
              </w:rPr>
              <w:t>PBO (N=356)</w:t>
            </w:r>
          </w:p>
        </w:tc>
      </w:tr>
      <w:tr w:rsidR="00BC5551" w:rsidRPr="003B4086" w14:paraId="38AA747C" w14:textId="77777777" w:rsidTr="008C5ED1">
        <w:trPr>
          <w:trHeight w:val="70"/>
        </w:trPr>
        <w:tc>
          <w:tcPr>
            <w:tcW w:w="2029" w:type="pct"/>
            <w:tcBorders>
              <w:top w:val="single" w:sz="4" w:space="0" w:color="auto"/>
              <w:left w:val="single" w:sz="4" w:space="0" w:color="auto"/>
              <w:bottom w:val="single" w:sz="4" w:space="0" w:color="auto"/>
              <w:right w:val="single" w:sz="4" w:space="0" w:color="F2F2F2" w:themeColor="background1" w:themeShade="F2"/>
            </w:tcBorders>
            <w:shd w:val="clear" w:color="auto" w:fill="F2F2F2" w:themeFill="background1" w:themeFillShade="F2"/>
            <w:hideMark/>
          </w:tcPr>
          <w:p w14:paraId="44C77E74" w14:textId="77777777" w:rsidR="00BC5551" w:rsidRPr="003B4086" w:rsidRDefault="00BC5551" w:rsidP="00224E9F">
            <w:pPr>
              <w:pStyle w:val="TableText0"/>
              <w:rPr>
                <w:b/>
              </w:rPr>
            </w:pPr>
            <w:r w:rsidRPr="003B4086">
              <w:rPr>
                <w:b/>
              </w:rPr>
              <w:t>NUTRFS</w:t>
            </w:r>
          </w:p>
        </w:tc>
        <w:tc>
          <w:tcPr>
            <w:tcW w:w="1040" w:type="pct"/>
            <w:tcBorders>
              <w:top w:val="single" w:sz="4" w:space="0" w:color="auto"/>
              <w:left w:val="single" w:sz="4" w:space="0" w:color="F2F2F2" w:themeColor="background1" w:themeShade="F2"/>
              <w:bottom w:val="single" w:sz="4" w:space="0" w:color="auto"/>
              <w:right w:val="single" w:sz="4" w:space="0" w:color="F2F2F2" w:themeColor="background1" w:themeShade="F2"/>
            </w:tcBorders>
            <w:shd w:val="clear" w:color="auto" w:fill="F2F2F2" w:themeFill="background1" w:themeFillShade="F2"/>
          </w:tcPr>
          <w:p w14:paraId="344AEE6D" w14:textId="77777777" w:rsidR="00BC5551" w:rsidRPr="003B4086" w:rsidRDefault="00BC5551" w:rsidP="00224E9F">
            <w:pPr>
              <w:pStyle w:val="TableText0"/>
            </w:pPr>
          </w:p>
        </w:tc>
        <w:tc>
          <w:tcPr>
            <w:tcW w:w="1931" w:type="pct"/>
            <w:tcBorders>
              <w:top w:val="single" w:sz="4" w:space="0" w:color="auto"/>
              <w:left w:val="single" w:sz="4" w:space="0" w:color="F2F2F2" w:themeColor="background1" w:themeShade="F2"/>
              <w:bottom w:val="single" w:sz="4" w:space="0" w:color="auto"/>
              <w:right w:val="single" w:sz="4" w:space="0" w:color="auto"/>
            </w:tcBorders>
            <w:shd w:val="clear" w:color="auto" w:fill="F2F2F2" w:themeFill="background1" w:themeFillShade="F2"/>
          </w:tcPr>
          <w:p w14:paraId="39A98D9C" w14:textId="77777777" w:rsidR="00BC5551" w:rsidRPr="003B4086" w:rsidRDefault="00BC5551" w:rsidP="00224E9F">
            <w:pPr>
              <w:pStyle w:val="TableText0"/>
            </w:pPr>
          </w:p>
        </w:tc>
      </w:tr>
      <w:tr w:rsidR="00BC5551" w:rsidRPr="003B4086" w14:paraId="48070130" w14:textId="77777777" w:rsidTr="008C5ED1">
        <w:trPr>
          <w:trHeight w:val="70"/>
        </w:trPr>
        <w:tc>
          <w:tcPr>
            <w:tcW w:w="2029" w:type="pct"/>
            <w:tcBorders>
              <w:top w:val="single" w:sz="4" w:space="0" w:color="auto"/>
              <w:left w:val="single" w:sz="4" w:space="0" w:color="auto"/>
              <w:bottom w:val="single" w:sz="4" w:space="0" w:color="auto"/>
              <w:right w:val="single" w:sz="4" w:space="0" w:color="auto"/>
            </w:tcBorders>
            <w:hideMark/>
          </w:tcPr>
          <w:p w14:paraId="7E439894" w14:textId="77777777" w:rsidR="00BC5551" w:rsidRPr="003B4086" w:rsidRDefault="00BC5551" w:rsidP="00224E9F">
            <w:pPr>
              <w:pStyle w:val="TableText0"/>
            </w:pPr>
            <w:r w:rsidRPr="003B4086">
              <w:t>Events, n (%)</w:t>
            </w:r>
          </w:p>
        </w:tc>
        <w:tc>
          <w:tcPr>
            <w:tcW w:w="1040" w:type="pct"/>
            <w:tcBorders>
              <w:top w:val="single" w:sz="4" w:space="0" w:color="auto"/>
              <w:left w:val="single" w:sz="4" w:space="0" w:color="auto"/>
              <w:bottom w:val="single" w:sz="4" w:space="0" w:color="auto"/>
              <w:right w:val="single" w:sz="4" w:space="0" w:color="auto"/>
            </w:tcBorders>
            <w:hideMark/>
          </w:tcPr>
          <w:p w14:paraId="02415650" w14:textId="77777777" w:rsidR="00BC5551" w:rsidRPr="003B4086" w:rsidRDefault="00BC5551" w:rsidP="00224E9F">
            <w:pPr>
              <w:pStyle w:val="TableText0"/>
            </w:pPr>
            <w:r w:rsidRPr="003B4086">
              <w:t>165 (46.7%)</w:t>
            </w:r>
          </w:p>
        </w:tc>
        <w:tc>
          <w:tcPr>
            <w:tcW w:w="1931" w:type="pct"/>
            <w:tcBorders>
              <w:top w:val="single" w:sz="4" w:space="0" w:color="auto"/>
              <w:left w:val="single" w:sz="4" w:space="0" w:color="auto"/>
              <w:bottom w:val="single" w:sz="4" w:space="0" w:color="auto"/>
              <w:right w:val="single" w:sz="4" w:space="0" w:color="auto"/>
            </w:tcBorders>
            <w:hideMark/>
          </w:tcPr>
          <w:p w14:paraId="1F98E7F2" w14:textId="77777777" w:rsidR="00BC5551" w:rsidRPr="003B4086" w:rsidRDefault="00BC5551" w:rsidP="00224E9F">
            <w:pPr>
              <w:pStyle w:val="TableText0"/>
            </w:pPr>
            <w:r w:rsidRPr="003B4086">
              <w:t>199 (55.9%)</w:t>
            </w:r>
          </w:p>
        </w:tc>
      </w:tr>
      <w:tr w:rsidR="00BC5551" w:rsidRPr="003B4086" w14:paraId="2A47513F" w14:textId="77777777" w:rsidTr="008C5ED1">
        <w:tc>
          <w:tcPr>
            <w:tcW w:w="2029" w:type="pct"/>
            <w:tcBorders>
              <w:top w:val="single" w:sz="4" w:space="0" w:color="auto"/>
              <w:left w:val="single" w:sz="4" w:space="0" w:color="auto"/>
              <w:bottom w:val="single" w:sz="4" w:space="0" w:color="auto"/>
              <w:right w:val="single" w:sz="4" w:space="0" w:color="auto"/>
            </w:tcBorders>
            <w:hideMark/>
          </w:tcPr>
          <w:p w14:paraId="4FC569D9" w14:textId="7478CF9C" w:rsidR="00BC5551" w:rsidRPr="003B4086" w:rsidRDefault="00BC5551" w:rsidP="00224E9F">
            <w:pPr>
              <w:pStyle w:val="TableText0"/>
            </w:pPr>
            <w:r w:rsidRPr="003B4086">
              <w:t xml:space="preserve">Median </w:t>
            </w:r>
            <w:r w:rsidR="00FA224B" w:rsidRPr="003B4086">
              <w:t xml:space="preserve">duration </w:t>
            </w:r>
            <w:r w:rsidRPr="003B4086">
              <w:t>NUTRFS (95% CI), months</w:t>
            </w:r>
            <w:r w:rsidRPr="003B4086">
              <w:rPr>
                <w:vertAlign w:val="superscript"/>
              </w:rPr>
              <w:t>a</w:t>
            </w:r>
          </w:p>
        </w:tc>
        <w:tc>
          <w:tcPr>
            <w:tcW w:w="1040" w:type="pct"/>
            <w:tcBorders>
              <w:top w:val="single" w:sz="4" w:space="0" w:color="auto"/>
              <w:left w:val="single" w:sz="4" w:space="0" w:color="auto"/>
              <w:bottom w:val="single" w:sz="4" w:space="0" w:color="auto"/>
              <w:right w:val="single" w:sz="4" w:space="0" w:color="auto"/>
            </w:tcBorders>
            <w:hideMark/>
          </w:tcPr>
          <w:p w14:paraId="637A9ABF" w14:textId="77777777" w:rsidR="00BC5551" w:rsidRPr="003B4086" w:rsidRDefault="00BC5551" w:rsidP="00224E9F">
            <w:pPr>
              <w:pStyle w:val="TableText0"/>
            </w:pPr>
            <w:r w:rsidRPr="003B4086">
              <w:t>26.0 (19.5, 41.1)</w:t>
            </w:r>
          </w:p>
        </w:tc>
        <w:tc>
          <w:tcPr>
            <w:tcW w:w="1931" w:type="pct"/>
            <w:tcBorders>
              <w:top w:val="single" w:sz="4" w:space="0" w:color="auto"/>
              <w:left w:val="single" w:sz="4" w:space="0" w:color="auto"/>
              <w:bottom w:val="single" w:sz="4" w:space="0" w:color="auto"/>
              <w:right w:val="single" w:sz="4" w:space="0" w:color="auto"/>
            </w:tcBorders>
            <w:hideMark/>
          </w:tcPr>
          <w:p w14:paraId="718F8752" w14:textId="77777777" w:rsidR="00BC5551" w:rsidRPr="003B4086" w:rsidRDefault="00BC5551" w:rsidP="00224E9F">
            <w:pPr>
              <w:pStyle w:val="TableText0"/>
            </w:pPr>
            <w:r w:rsidRPr="003B4086">
              <w:t>13.7 (8.4, 20.0)</w:t>
            </w:r>
          </w:p>
        </w:tc>
      </w:tr>
      <w:tr w:rsidR="00BC5551" w:rsidRPr="003B4086" w14:paraId="22B11451" w14:textId="77777777" w:rsidTr="008C5ED1">
        <w:tc>
          <w:tcPr>
            <w:tcW w:w="2029" w:type="pct"/>
            <w:tcBorders>
              <w:top w:val="single" w:sz="4" w:space="0" w:color="auto"/>
              <w:left w:val="single" w:sz="4" w:space="0" w:color="auto"/>
              <w:bottom w:val="single" w:sz="4" w:space="0" w:color="auto"/>
              <w:right w:val="single" w:sz="4" w:space="0" w:color="auto"/>
            </w:tcBorders>
            <w:hideMark/>
          </w:tcPr>
          <w:p w14:paraId="0D04AC7D" w14:textId="77777777" w:rsidR="00BC5551" w:rsidRPr="003B4086" w:rsidRDefault="00BC5551" w:rsidP="00224E9F">
            <w:pPr>
              <w:pStyle w:val="TableText0"/>
            </w:pPr>
            <w:r w:rsidRPr="003B4086">
              <w:t>HR</w:t>
            </w:r>
            <w:r w:rsidRPr="003B4086">
              <w:rPr>
                <w:vertAlign w:val="superscript"/>
              </w:rPr>
              <w:t>b</w:t>
            </w:r>
            <w:r w:rsidRPr="003B4086">
              <w:t xml:space="preserve"> (95% CI)</w:t>
            </w:r>
          </w:p>
        </w:tc>
        <w:tc>
          <w:tcPr>
            <w:tcW w:w="2971" w:type="pct"/>
            <w:gridSpan w:val="2"/>
            <w:tcBorders>
              <w:top w:val="single" w:sz="4" w:space="0" w:color="auto"/>
              <w:left w:val="single" w:sz="4" w:space="0" w:color="auto"/>
              <w:bottom w:val="single" w:sz="4" w:space="0" w:color="auto"/>
              <w:right w:val="single" w:sz="4" w:space="0" w:color="auto"/>
            </w:tcBorders>
            <w:hideMark/>
          </w:tcPr>
          <w:p w14:paraId="0759FFA5" w14:textId="77777777" w:rsidR="00BC5551" w:rsidRPr="003B4086" w:rsidRDefault="00BC5551" w:rsidP="00224E9F">
            <w:pPr>
              <w:pStyle w:val="TableText0"/>
            </w:pPr>
            <w:r w:rsidRPr="003B4086">
              <w:t>0.71 (0.58, 0.88)</w:t>
            </w:r>
          </w:p>
        </w:tc>
      </w:tr>
      <w:tr w:rsidR="00BC5551" w:rsidRPr="003B4086" w14:paraId="540C621C" w14:textId="77777777" w:rsidTr="008C5ED1">
        <w:tc>
          <w:tcPr>
            <w:tcW w:w="2029" w:type="pct"/>
            <w:tcBorders>
              <w:top w:val="single" w:sz="4" w:space="0" w:color="auto"/>
              <w:left w:val="single" w:sz="4" w:space="0" w:color="auto"/>
              <w:bottom w:val="single" w:sz="4" w:space="0" w:color="auto"/>
              <w:right w:val="single" w:sz="4" w:space="0" w:color="auto"/>
            </w:tcBorders>
            <w:hideMark/>
          </w:tcPr>
          <w:p w14:paraId="7E6523D1" w14:textId="77777777" w:rsidR="00BC5551" w:rsidRPr="003B4086" w:rsidRDefault="00BC5551" w:rsidP="00224E9F">
            <w:pPr>
              <w:pStyle w:val="TableText0"/>
            </w:pPr>
            <w:r w:rsidRPr="003B4086">
              <w:t>Rate at 6 months</w:t>
            </w:r>
            <w:r w:rsidRPr="003B4086">
              <w:rPr>
                <w:vertAlign w:val="superscript"/>
              </w:rPr>
              <w:t>a</w:t>
            </w:r>
            <w:r w:rsidRPr="003B4086">
              <w:t>, %</w:t>
            </w:r>
          </w:p>
        </w:tc>
        <w:tc>
          <w:tcPr>
            <w:tcW w:w="1040" w:type="pct"/>
            <w:tcBorders>
              <w:top w:val="single" w:sz="4" w:space="0" w:color="auto"/>
              <w:left w:val="single" w:sz="4" w:space="0" w:color="auto"/>
              <w:bottom w:val="single" w:sz="4" w:space="0" w:color="auto"/>
              <w:right w:val="single" w:sz="4" w:space="0" w:color="auto"/>
            </w:tcBorders>
            <w:hideMark/>
          </w:tcPr>
          <w:p w14:paraId="091BF234" w14:textId="77777777" w:rsidR="00BC5551" w:rsidRPr="003B4086" w:rsidRDefault="00BC5551" w:rsidP="00224E9F">
            <w:pPr>
              <w:pStyle w:val="TableText0"/>
            </w:pPr>
            <w:r w:rsidRPr="003B4086">
              <w:t>77.1%</w:t>
            </w:r>
          </w:p>
        </w:tc>
        <w:tc>
          <w:tcPr>
            <w:tcW w:w="1931" w:type="pct"/>
            <w:tcBorders>
              <w:top w:val="single" w:sz="4" w:space="0" w:color="auto"/>
              <w:left w:val="single" w:sz="4" w:space="0" w:color="auto"/>
              <w:bottom w:val="single" w:sz="4" w:space="0" w:color="auto"/>
              <w:right w:val="single" w:sz="4" w:space="0" w:color="auto"/>
            </w:tcBorders>
            <w:hideMark/>
          </w:tcPr>
          <w:p w14:paraId="10277050" w14:textId="77777777" w:rsidR="00BC5551" w:rsidRPr="003B4086" w:rsidRDefault="00BC5551" w:rsidP="00224E9F">
            <w:pPr>
              <w:pStyle w:val="TableText0"/>
            </w:pPr>
            <w:r w:rsidRPr="003B4086">
              <w:t>62.9%</w:t>
            </w:r>
          </w:p>
        </w:tc>
      </w:tr>
      <w:tr w:rsidR="00BC5551" w:rsidRPr="003B4086" w14:paraId="0ABE0FDB" w14:textId="77777777" w:rsidTr="008C5ED1">
        <w:tc>
          <w:tcPr>
            <w:tcW w:w="2029" w:type="pct"/>
            <w:tcBorders>
              <w:top w:val="single" w:sz="4" w:space="0" w:color="auto"/>
              <w:left w:val="single" w:sz="4" w:space="0" w:color="auto"/>
              <w:bottom w:val="single" w:sz="4" w:space="0" w:color="auto"/>
              <w:right w:val="single" w:sz="4" w:space="0" w:color="auto"/>
            </w:tcBorders>
            <w:hideMark/>
          </w:tcPr>
          <w:p w14:paraId="7A1CBD16" w14:textId="77777777" w:rsidR="00BC5551" w:rsidRPr="003B4086" w:rsidRDefault="00BC5551" w:rsidP="00224E9F">
            <w:pPr>
              <w:pStyle w:val="TableText0"/>
            </w:pPr>
            <w:r w:rsidRPr="003B4086">
              <w:t>Rate at 12 months</w:t>
            </w:r>
            <w:r w:rsidRPr="003B4086">
              <w:rPr>
                <w:vertAlign w:val="superscript"/>
              </w:rPr>
              <w:t>a</w:t>
            </w:r>
            <w:r w:rsidRPr="003B4086">
              <w:t>, %</w:t>
            </w:r>
          </w:p>
        </w:tc>
        <w:tc>
          <w:tcPr>
            <w:tcW w:w="1040" w:type="pct"/>
            <w:tcBorders>
              <w:top w:val="single" w:sz="4" w:space="0" w:color="auto"/>
              <w:left w:val="single" w:sz="4" w:space="0" w:color="auto"/>
              <w:bottom w:val="single" w:sz="4" w:space="0" w:color="auto"/>
              <w:right w:val="single" w:sz="4" w:space="0" w:color="auto"/>
            </w:tcBorders>
            <w:hideMark/>
          </w:tcPr>
          <w:p w14:paraId="3B8EEAEE" w14:textId="77777777" w:rsidR="00BC5551" w:rsidRPr="003B4086" w:rsidRDefault="00BC5551" w:rsidP="00224E9F">
            <w:pPr>
              <w:pStyle w:val="TableText0"/>
            </w:pPr>
            <w:r w:rsidRPr="003B4086">
              <w:t>65.8%</w:t>
            </w:r>
          </w:p>
        </w:tc>
        <w:tc>
          <w:tcPr>
            <w:tcW w:w="1931" w:type="pct"/>
            <w:tcBorders>
              <w:top w:val="single" w:sz="4" w:space="0" w:color="auto"/>
              <w:left w:val="single" w:sz="4" w:space="0" w:color="auto"/>
              <w:bottom w:val="single" w:sz="4" w:space="0" w:color="auto"/>
              <w:right w:val="single" w:sz="4" w:space="0" w:color="auto"/>
            </w:tcBorders>
            <w:hideMark/>
          </w:tcPr>
          <w:p w14:paraId="74D782B3" w14:textId="77777777" w:rsidR="00BC5551" w:rsidRPr="003B4086" w:rsidRDefault="00BC5551" w:rsidP="00224E9F">
            <w:pPr>
              <w:pStyle w:val="TableText0"/>
            </w:pPr>
            <w:r w:rsidRPr="003B4086">
              <w:t>50.6%</w:t>
            </w:r>
          </w:p>
        </w:tc>
      </w:tr>
      <w:tr w:rsidR="00BC5551" w:rsidRPr="003B4086" w14:paraId="01D660A2" w14:textId="77777777" w:rsidTr="008C5ED1">
        <w:tc>
          <w:tcPr>
            <w:tcW w:w="2029" w:type="pct"/>
            <w:tcBorders>
              <w:top w:val="single" w:sz="4" w:space="0" w:color="auto"/>
              <w:left w:val="single" w:sz="4" w:space="0" w:color="auto"/>
              <w:bottom w:val="single" w:sz="4" w:space="0" w:color="auto"/>
              <w:right w:val="single" w:sz="4" w:space="0" w:color="F2F2F2"/>
            </w:tcBorders>
            <w:shd w:val="clear" w:color="auto" w:fill="F2F2F2" w:themeFill="background1" w:themeFillShade="F2"/>
            <w:hideMark/>
          </w:tcPr>
          <w:p w14:paraId="3872FDBB" w14:textId="77777777" w:rsidR="00BC5551" w:rsidRPr="003B4086" w:rsidRDefault="00BC5551" w:rsidP="00224E9F">
            <w:pPr>
              <w:pStyle w:val="TableText0"/>
              <w:rPr>
                <w:b/>
              </w:rPr>
            </w:pPr>
            <w:r w:rsidRPr="003B4086">
              <w:rPr>
                <w:b/>
              </w:rPr>
              <w:t>DMFS</w:t>
            </w:r>
          </w:p>
        </w:tc>
        <w:tc>
          <w:tcPr>
            <w:tcW w:w="2971" w:type="pct"/>
            <w:gridSpan w:val="2"/>
            <w:tcBorders>
              <w:top w:val="single" w:sz="4" w:space="0" w:color="auto"/>
              <w:left w:val="single" w:sz="4" w:space="0" w:color="F2F2F2"/>
              <w:bottom w:val="single" w:sz="4" w:space="0" w:color="auto"/>
              <w:right w:val="single" w:sz="4" w:space="0" w:color="000000"/>
            </w:tcBorders>
            <w:shd w:val="clear" w:color="auto" w:fill="F2F2F2" w:themeFill="background1" w:themeFillShade="F2"/>
          </w:tcPr>
          <w:p w14:paraId="2E7CB91D" w14:textId="77777777" w:rsidR="00BC5551" w:rsidRPr="003B4086" w:rsidRDefault="00BC5551" w:rsidP="00224E9F">
            <w:pPr>
              <w:pStyle w:val="TableText0"/>
            </w:pPr>
          </w:p>
        </w:tc>
      </w:tr>
      <w:tr w:rsidR="00BC5551" w:rsidRPr="003B4086" w14:paraId="2EDD1529" w14:textId="77777777" w:rsidTr="008C5ED1">
        <w:tc>
          <w:tcPr>
            <w:tcW w:w="2029" w:type="pct"/>
            <w:tcBorders>
              <w:top w:val="single" w:sz="4" w:space="0" w:color="auto"/>
              <w:left w:val="single" w:sz="4" w:space="0" w:color="auto"/>
              <w:bottom w:val="single" w:sz="4" w:space="0" w:color="auto"/>
              <w:right w:val="single" w:sz="4" w:space="0" w:color="auto"/>
            </w:tcBorders>
            <w:hideMark/>
          </w:tcPr>
          <w:p w14:paraId="1845EB30" w14:textId="77777777" w:rsidR="00BC5551" w:rsidRPr="003B4086" w:rsidRDefault="00BC5551" w:rsidP="00224E9F">
            <w:pPr>
              <w:pStyle w:val="TableText0"/>
            </w:pPr>
            <w:r w:rsidRPr="003B4086">
              <w:t>Events, n (%)</w:t>
            </w:r>
          </w:p>
        </w:tc>
        <w:tc>
          <w:tcPr>
            <w:tcW w:w="1040" w:type="pct"/>
            <w:tcBorders>
              <w:top w:val="single" w:sz="4" w:space="0" w:color="auto"/>
              <w:left w:val="single" w:sz="4" w:space="0" w:color="auto"/>
              <w:bottom w:val="single" w:sz="4" w:space="0" w:color="auto"/>
              <w:right w:val="single" w:sz="4" w:space="0" w:color="auto"/>
            </w:tcBorders>
            <w:hideMark/>
          </w:tcPr>
          <w:p w14:paraId="4D5C5D17" w14:textId="77777777" w:rsidR="00BC5551" w:rsidRPr="003B4086" w:rsidRDefault="00BC5551" w:rsidP="00224E9F">
            <w:pPr>
              <w:pStyle w:val="TableText0"/>
            </w:pPr>
            <w:r w:rsidRPr="003B4086">
              <w:t>135 (38.2%)</w:t>
            </w:r>
          </w:p>
        </w:tc>
        <w:tc>
          <w:tcPr>
            <w:tcW w:w="1931" w:type="pct"/>
            <w:tcBorders>
              <w:top w:val="single" w:sz="4" w:space="0" w:color="auto"/>
              <w:left w:val="single" w:sz="4" w:space="0" w:color="auto"/>
              <w:bottom w:val="single" w:sz="4" w:space="0" w:color="auto"/>
              <w:right w:val="single" w:sz="4" w:space="0" w:color="auto"/>
            </w:tcBorders>
            <w:hideMark/>
          </w:tcPr>
          <w:p w14:paraId="6B6C253A" w14:textId="77777777" w:rsidR="00BC5551" w:rsidRPr="003B4086" w:rsidRDefault="00BC5551" w:rsidP="00224E9F">
            <w:pPr>
              <w:pStyle w:val="TableText0"/>
            </w:pPr>
            <w:r w:rsidRPr="003B4086">
              <w:t>160 (44.9%)</w:t>
            </w:r>
          </w:p>
        </w:tc>
      </w:tr>
      <w:tr w:rsidR="00BC5551" w:rsidRPr="003B4086" w14:paraId="4F79FA16" w14:textId="77777777" w:rsidTr="008C5ED1">
        <w:tc>
          <w:tcPr>
            <w:tcW w:w="2029" w:type="pct"/>
            <w:tcBorders>
              <w:top w:val="single" w:sz="4" w:space="0" w:color="auto"/>
              <w:left w:val="single" w:sz="4" w:space="0" w:color="auto"/>
              <w:bottom w:val="single" w:sz="4" w:space="0" w:color="auto"/>
              <w:right w:val="single" w:sz="4" w:space="0" w:color="auto"/>
            </w:tcBorders>
            <w:hideMark/>
          </w:tcPr>
          <w:p w14:paraId="72819FBB" w14:textId="77777777" w:rsidR="00BC5551" w:rsidRPr="003B4086" w:rsidRDefault="00BC5551" w:rsidP="00224E9F">
            <w:pPr>
              <w:pStyle w:val="TableText0"/>
            </w:pPr>
            <w:r w:rsidRPr="003B4086">
              <w:t>Median DMFS (95% CI), months</w:t>
            </w:r>
            <w:r w:rsidRPr="003B4086">
              <w:rPr>
                <w:vertAlign w:val="superscript"/>
              </w:rPr>
              <w:t>a</w:t>
            </w:r>
          </w:p>
        </w:tc>
        <w:tc>
          <w:tcPr>
            <w:tcW w:w="1040" w:type="pct"/>
            <w:tcBorders>
              <w:top w:val="single" w:sz="4" w:space="0" w:color="auto"/>
              <w:left w:val="single" w:sz="4" w:space="0" w:color="auto"/>
              <w:bottom w:val="single" w:sz="4" w:space="0" w:color="auto"/>
              <w:right w:val="single" w:sz="4" w:space="0" w:color="auto"/>
            </w:tcBorders>
            <w:hideMark/>
          </w:tcPr>
          <w:p w14:paraId="71D9C0F7" w14:textId="77777777" w:rsidR="00BC5551" w:rsidRPr="003B4086" w:rsidRDefault="00BC5551" w:rsidP="00224E9F">
            <w:pPr>
              <w:pStyle w:val="TableText0"/>
            </w:pPr>
            <w:r w:rsidRPr="003B4086">
              <w:t>41.1 (26.0, NE)</w:t>
            </w:r>
          </w:p>
        </w:tc>
        <w:tc>
          <w:tcPr>
            <w:tcW w:w="1931" w:type="pct"/>
            <w:tcBorders>
              <w:top w:val="single" w:sz="4" w:space="0" w:color="auto"/>
              <w:left w:val="single" w:sz="4" w:space="0" w:color="auto"/>
              <w:bottom w:val="single" w:sz="4" w:space="0" w:color="auto"/>
              <w:right w:val="single" w:sz="4" w:space="0" w:color="auto"/>
            </w:tcBorders>
            <w:hideMark/>
          </w:tcPr>
          <w:p w14:paraId="49CCC3A2" w14:textId="77777777" w:rsidR="00BC5551" w:rsidRPr="003B4086" w:rsidRDefault="00BC5551" w:rsidP="00224E9F">
            <w:pPr>
              <w:pStyle w:val="TableText0"/>
            </w:pPr>
            <w:r w:rsidRPr="003B4086">
              <w:t>29.2 (15.2, NE)</w:t>
            </w:r>
          </w:p>
        </w:tc>
      </w:tr>
      <w:tr w:rsidR="00BC5551" w:rsidRPr="003B4086" w14:paraId="097E608D" w14:textId="77777777" w:rsidTr="008C5ED1">
        <w:tc>
          <w:tcPr>
            <w:tcW w:w="2029" w:type="pct"/>
            <w:tcBorders>
              <w:top w:val="single" w:sz="4" w:space="0" w:color="auto"/>
              <w:left w:val="single" w:sz="4" w:space="0" w:color="auto"/>
              <w:bottom w:val="single" w:sz="4" w:space="0" w:color="auto"/>
              <w:right w:val="single" w:sz="4" w:space="0" w:color="auto"/>
            </w:tcBorders>
            <w:hideMark/>
          </w:tcPr>
          <w:p w14:paraId="157C0ED6" w14:textId="77777777" w:rsidR="00BC5551" w:rsidRPr="003B4086" w:rsidRDefault="00BC5551" w:rsidP="00224E9F">
            <w:pPr>
              <w:pStyle w:val="TableText0"/>
            </w:pPr>
            <w:r w:rsidRPr="003B4086">
              <w:t>HR</w:t>
            </w:r>
            <w:r w:rsidRPr="003B4086">
              <w:rPr>
                <w:vertAlign w:val="superscript"/>
              </w:rPr>
              <w:t>b</w:t>
            </w:r>
            <w:r w:rsidRPr="003B4086">
              <w:t xml:space="preserve"> (95% CI)</w:t>
            </w:r>
          </w:p>
        </w:tc>
        <w:tc>
          <w:tcPr>
            <w:tcW w:w="2971" w:type="pct"/>
            <w:gridSpan w:val="2"/>
            <w:tcBorders>
              <w:top w:val="single" w:sz="4" w:space="0" w:color="auto"/>
              <w:left w:val="single" w:sz="4" w:space="0" w:color="auto"/>
              <w:bottom w:val="single" w:sz="4" w:space="0" w:color="auto"/>
              <w:right w:val="single" w:sz="4" w:space="0" w:color="auto"/>
            </w:tcBorders>
            <w:hideMark/>
          </w:tcPr>
          <w:p w14:paraId="5351F059" w14:textId="77777777" w:rsidR="00BC5551" w:rsidRPr="003B4086" w:rsidRDefault="00BC5551" w:rsidP="00224E9F">
            <w:pPr>
              <w:pStyle w:val="TableText0"/>
            </w:pPr>
            <w:r w:rsidRPr="003B4086">
              <w:t>0.73 (0.58, 0.92)</w:t>
            </w:r>
          </w:p>
        </w:tc>
      </w:tr>
    </w:tbl>
    <w:p w14:paraId="504AA902" w14:textId="77777777" w:rsidR="00BC5551" w:rsidRPr="003B4086" w:rsidRDefault="00BC5551" w:rsidP="00BC5551">
      <w:pPr>
        <w:pStyle w:val="TableFigureFooter"/>
        <w:rPr>
          <w:rFonts w:eastAsiaTheme="minorHAnsi"/>
        </w:rPr>
      </w:pPr>
      <w:r w:rsidRPr="003B4086">
        <w:rPr>
          <w:rFonts w:eastAsiaTheme="minorHAnsi"/>
        </w:rPr>
        <w:t>Source: Table 28, p73 of the submission.</w:t>
      </w:r>
    </w:p>
    <w:p w14:paraId="5B429CDF" w14:textId="3F35FA2F" w:rsidR="00BC5551" w:rsidRPr="003B4086" w:rsidRDefault="00BC5551" w:rsidP="00BC5551">
      <w:pPr>
        <w:pStyle w:val="TableFigureFooter"/>
        <w:rPr>
          <w:rFonts w:eastAsiaTheme="minorHAnsi"/>
        </w:rPr>
      </w:pPr>
      <w:r w:rsidRPr="003B4086">
        <w:rPr>
          <w:rFonts w:eastAsiaTheme="minorHAnsi"/>
        </w:rPr>
        <w:t>CI = confidence interval; DMFS = distant metastasis-free survival; HR = hazard ratio; NIVO = nivolumab; NE = not estimable; NUTRFS = non-urothelial tract recurren</w:t>
      </w:r>
      <w:r w:rsidR="00B62D24" w:rsidRPr="003B4086">
        <w:rPr>
          <w:rFonts w:eastAsiaTheme="minorHAnsi"/>
        </w:rPr>
        <w:t>ce-free survival; PBO = placebo; ITT = intention to treat.</w:t>
      </w:r>
    </w:p>
    <w:p w14:paraId="69E29C45" w14:textId="665784B8" w:rsidR="00BC5551" w:rsidRPr="003B4086" w:rsidRDefault="00494CCC" w:rsidP="00BC5551">
      <w:pPr>
        <w:pStyle w:val="TableFigureFooter"/>
        <w:rPr>
          <w:rFonts w:eastAsiaTheme="minorHAnsi"/>
        </w:rPr>
      </w:pPr>
      <w:r w:rsidRPr="003B4086">
        <w:rPr>
          <w:rFonts w:eastAsiaTheme="minorHAnsi"/>
        </w:rPr>
        <w:t xml:space="preserve">Notes: </w:t>
      </w:r>
      <w:r w:rsidR="00BC5551" w:rsidRPr="003B4086">
        <w:rPr>
          <w:rFonts w:eastAsiaTheme="minorHAnsi"/>
        </w:rPr>
        <w:t>NUTRFS was defined as the time between the date of randomisation and the date of first local recurrence outside the urothelial tract, distant recurrence, or death</w:t>
      </w:r>
      <w:r w:rsidR="00943250" w:rsidRPr="003B4086">
        <w:rPr>
          <w:rFonts w:eastAsiaTheme="minorHAnsi"/>
        </w:rPr>
        <w:t>, whichever occurred first</w:t>
      </w:r>
    </w:p>
    <w:p w14:paraId="4E5FBE28" w14:textId="799DBF12" w:rsidR="00943250" w:rsidRPr="003B4086" w:rsidRDefault="00943250" w:rsidP="00943250">
      <w:pPr>
        <w:pStyle w:val="TableFigureFooter"/>
        <w:rPr>
          <w:rFonts w:eastAsiaTheme="minorHAnsi"/>
        </w:rPr>
      </w:pPr>
      <w:r w:rsidRPr="003B4086">
        <w:rPr>
          <w:rFonts w:eastAsiaTheme="minorHAnsi"/>
        </w:rPr>
        <w:t xml:space="preserve">DMFS was defined as the time between the date of randomisation and the date of first distant recurrence (non-local) or </w:t>
      </w:r>
      <w:r w:rsidR="00494CCC" w:rsidRPr="003B4086">
        <w:rPr>
          <w:rFonts w:eastAsiaTheme="minorHAnsi"/>
        </w:rPr>
        <w:t>date of death (from any cause).</w:t>
      </w:r>
    </w:p>
    <w:p w14:paraId="16C59872" w14:textId="77777777" w:rsidR="00494CCC" w:rsidRPr="003B4086" w:rsidRDefault="00494CCC" w:rsidP="00494CCC">
      <w:pPr>
        <w:pStyle w:val="TableFigureFooter"/>
        <w:rPr>
          <w:rFonts w:eastAsiaTheme="minorHAnsi"/>
        </w:rPr>
      </w:pPr>
      <w:r w:rsidRPr="003B4086">
        <w:rPr>
          <w:rFonts w:eastAsiaTheme="minorHAnsi"/>
          <w:vertAlign w:val="superscript"/>
        </w:rPr>
        <w:t xml:space="preserve">a </w:t>
      </w:r>
      <w:r w:rsidRPr="003B4086">
        <w:rPr>
          <w:rFonts w:eastAsiaTheme="minorHAnsi"/>
        </w:rPr>
        <w:t>Based on KM estimates.</w:t>
      </w:r>
    </w:p>
    <w:p w14:paraId="3575FF64" w14:textId="77777777" w:rsidR="00494CCC" w:rsidRPr="003B4086" w:rsidRDefault="00494CCC" w:rsidP="00494CCC">
      <w:pPr>
        <w:pStyle w:val="TableFigureFooter"/>
        <w:rPr>
          <w:rFonts w:eastAsiaTheme="minorHAnsi"/>
        </w:rPr>
      </w:pPr>
      <w:r w:rsidRPr="003B4086">
        <w:rPr>
          <w:rFonts w:eastAsiaTheme="minorHAnsi"/>
          <w:vertAlign w:val="superscript"/>
        </w:rPr>
        <w:t xml:space="preserve">b </w:t>
      </w:r>
      <w:r w:rsidRPr="003B4086">
        <w:rPr>
          <w:rFonts w:eastAsiaTheme="minorHAnsi"/>
        </w:rPr>
        <w:t>Stratified Cox proportional hazard model. HR is NIVO over PBO.</w:t>
      </w:r>
    </w:p>
    <w:p w14:paraId="47C40247" w14:textId="18EBE33D" w:rsidR="00FA224B" w:rsidRPr="003B4086" w:rsidRDefault="00FA224B" w:rsidP="00FA224B">
      <w:pPr>
        <w:pStyle w:val="3-BodyText"/>
      </w:pPr>
      <w:r w:rsidRPr="003B4086">
        <w:t xml:space="preserve">Nivolumab was associated with a statistically significant 29% reduction in the hazard of non-urothelial tract recurrence or death compared with placebo (HR 0.71, 95% CI: 0.58, 0.88). The median duration of NUTRFS was 26.0 months in the nivolumab arm and 13.7 months in the placebo arm. </w:t>
      </w:r>
      <w:r w:rsidR="00136932" w:rsidRPr="003B4086">
        <w:t xml:space="preserve">The </w:t>
      </w:r>
      <w:r w:rsidRPr="003B4086">
        <w:t xml:space="preserve">NUTRFS event free rate </w:t>
      </w:r>
      <w:r w:rsidR="00136932" w:rsidRPr="003B4086">
        <w:t xml:space="preserve">at 12 months </w:t>
      </w:r>
      <w:r w:rsidRPr="003B4086">
        <w:t>w</w:t>
      </w:r>
      <w:r w:rsidR="00136932" w:rsidRPr="003B4086">
        <w:t>as</w:t>
      </w:r>
      <w:r w:rsidRPr="003B4086">
        <w:t xml:space="preserve"> higher in the nivolumab arm (65.8%) than in the placebo arm (50.6%). </w:t>
      </w:r>
    </w:p>
    <w:p w14:paraId="508A7637" w14:textId="1E4D3AA9" w:rsidR="00BC5551" w:rsidRPr="003B4086" w:rsidRDefault="00FA224B" w:rsidP="00FA224B">
      <w:pPr>
        <w:pStyle w:val="3-BodyText"/>
      </w:pPr>
      <w:r w:rsidRPr="003B4086">
        <w:t xml:space="preserve">Nivolumab was also associated with a statistically significant 27% reduction in the hazard of distant metastases or death compared with placebo (HR 0.73, 95% CI: 0.58, 0.92). The median duration of DMFS was longer in the nivolumab arm </w:t>
      </w:r>
      <w:r w:rsidR="002C12FF" w:rsidRPr="003B4086">
        <w:t>than</w:t>
      </w:r>
      <w:r w:rsidRPr="003B4086">
        <w:t xml:space="preserve"> in the placebo arm (41.1 months versus 29.2 months, respectively).</w:t>
      </w:r>
      <w:r w:rsidR="00BC5551" w:rsidRPr="003B4086">
        <w:t xml:space="preserve"> </w:t>
      </w:r>
    </w:p>
    <w:p w14:paraId="4F06C202" w14:textId="361CFDAF" w:rsidR="00EB75CE" w:rsidRPr="003B4086" w:rsidRDefault="00FA224B" w:rsidP="00063A4E">
      <w:pPr>
        <w:pStyle w:val="3-BodyText"/>
      </w:pPr>
      <w:r w:rsidRPr="003B4086">
        <w:t xml:space="preserve">HRQoL data from the CM274 trial were based on the July 2020 data cutoff. The median duration of </w:t>
      </w:r>
      <w:r w:rsidR="002979D3" w:rsidRPr="003B4086">
        <w:t>follow-up</w:t>
      </w:r>
      <w:r w:rsidRPr="003B4086">
        <w:t xml:space="preserve"> was 20.9 months in the nivolumab arm and 19.5 months in the placebo arm (ITT population). The percentage of patients that completed the EORTC QLQ</w:t>
      </w:r>
      <w:r w:rsidRPr="003B4086">
        <w:rPr>
          <w:rStyle w:val="FootnoteReference"/>
        </w:rPr>
        <w:footnoteReference w:id="13"/>
      </w:r>
      <w:r w:rsidRPr="003B4086">
        <w:t xml:space="preserve">-C30 in both treatment arms was ≥ 85% during the treatment period (through 49 weeks) and ≥75% in the follow-up period (Visits 1 and 2). At baseline, mean EORTC QLQ-C30 summary scores for all domains were comparable between treatment arms. </w:t>
      </w:r>
      <w:r w:rsidR="00AB38F1">
        <w:t>The PBAC noted that c</w:t>
      </w:r>
      <w:r w:rsidRPr="003B4086">
        <w:t>hanges from baseline in the EORTC QLQ-C30 global health status score and the EQ-5D-3L visual analogue scale score over time indicated that there was no meaningful difference in deterioration in quality of life between patients who received nivolumab and those who received placebo. No statistical tests were performed on change from baseline scores between treatment arms.</w:t>
      </w:r>
    </w:p>
    <w:p w14:paraId="5CA17290" w14:textId="7A01DC78" w:rsidR="00760C4E" w:rsidRPr="003B4086" w:rsidRDefault="00EB75CE" w:rsidP="00063A4E">
      <w:pPr>
        <w:pStyle w:val="3-BodyText"/>
      </w:pPr>
      <w:r w:rsidRPr="003B4086">
        <w:t xml:space="preserve">It is recognised that EORTC QLQ-C30 and EQ-5D scales have become international standards for HRQoL measurement. However, these tools have several limitations in the context of novel therapies such as immune checkpoint inhibitors. For example, the QLQ-C30 includes questions pertaining to nausea and vomiting, with few other cancer </w:t>
      </w:r>
      <w:r w:rsidRPr="003B4086">
        <w:lastRenderedPageBreak/>
        <w:t xml:space="preserve">therapy-related questions represented in the tool. These are frequent issues associated with cytotoxic chemotherapy (not a comparator in the CM274 trial) and immune checkpoint inhibitors are associated with a unique set of immune mediated adverse reactions. </w:t>
      </w:r>
      <w:r w:rsidR="00AB38F1">
        <w:t xml:space="preserve">The PBAC considered </w:t>
      </w:r>
      <w:r w:rsidRPr="003B4086">
        <w:t>t</w:t>
      </w:r>
      <w:r w:rsidR="00063A4E" w:rsidRPr="003B4086">
        <w:t xml:space="preserve">he HRQoL </w:t>
      </w:r>
      <w:r w:rsidRPr="003B4086">
        <w:t xml:space="preserve">results </w:t>
      </w:r>
      <w:r w:rsidR="00063A4E" w:rsidRPr="003B4086">
        <w:t>do not reflect the higher rate of toxicity in the nivolumab treatment arm</w:t>
      </w:r>
      <w:r w:rsidRPr="003B4086">
        <w:t xml:space="preserve"> compared to placebo in the CM274</w:t>
      </w:r>
      <w:r w:rsidR="00063A4E" w:rsidRPr="003B4086">
        <w:t xml:space="preserve"> </w:t>
      </w:r>
      <w:r w:rsidRPr="003B4086">
        <w:t xml:space="preserve">trial </w:t>
      </w:r>
      <w:r w:rsidR="00063A4E" w:rsidRPr="003B4086">
        <w:t xml:space="preserve">(see </w:t>
      </w:r>
      <w:r w:rsidR="00982DE0" w:rsidRPr="003B4086">
        <w:t>Benefits/Harms Section</w:t>
      </w:r>
      <w:r w:rsidR="00063A4E" w:rsidRPr="003B4086">
        <w:t>).</w:t>
      </w:r>
    </w:p>
    <w:p w14:paraId="1452C351" w14:textId="0D19F1B0" w:rsidR="00B60939" w:rsidRPr="003B4086" w:rsidRDefault="00B60939" w:rsidP="00D86231">
      <w:pPr>
        <w:pStyle w:val="4-SubsectionHeading"/>
      </w:pPr>
      <w:bookmarkStart w:id="36" w:name="_Toc22897642"/>
      <w:bookmarkStart w:id="37" w:name="_Toc103768131"/>
      <w:r w:rsidRPr="003B4086">
        <w:t>Comparative harms</w:t>
      </w:r>
      <w:bookmarkEnd w:id="36"/>
      <w:bookmarkEnd w:id="37"/>
    </w:p>
    <w:p w14:paraId="2DAF16D1" w14:textId="56E80AFF" w:rsidR="00B60939" w:rsidRPr="003B4086" w:rsidRDefault="00C9003B" w:rsidP="00C9003B">
      <w:pPr>
        <w:pStyle w:val="3-BodyText"/>
      </w:pPr>
      <w:r w:rsidRPr="003B4086">
        <w:fldChar w:fldCharType="begin"/>
      </w:r>
      <w:r w:rsidRPr="003B4086">
        <w:instrText xml:space="preserve"> REF _Ref102287992 \h </w:instrText>
      </w:r>
      <w:r w:rsidRPr="003B4086">
        <w:fldChar w:fldCharType="separate"/>
      </w:r>
      <w:r w:rsidR="00C6296C" w:rsidRPr="003B4086">
        <w:t xml:space="preserve">Table </w:t>
      </w:r>
      <w:r w:rsidR="00C6296C" w:rsidRPr="003B4086">
        <w:rPr>
          <w:noProof/>
        </w:rPr>
        <w:t>9</w:t>
      </w:r>
      <w:r w:rsidRPr="003B4086">
        <w:fldChar w:fldCharType="end"/>
      </w:r>
      <w:r w:rsidRPr="003B4086">
        <w:t xml:space="preserve"> summarises the results of safety outcomes for the CM274 trial during the on-treatment period (July 2020 data cutoff, median duration of </w:t>
      </w:r>
      <w:r w:rsidR="002979D3" w:rsidRPr="003B4086">
        <w:t>follow-up</w:t>
      </w:r>
      <w:r w:rsidRPr="003B4086">
        <w:t xml:space="preserve"> 20.9 months and 19.5 months in the nivolumab and placebo arms, respectively; median duration of treatment 8.8 months and 8.2 months in the nivolumab and placebo arms, respectively). </w:t>
      </w:r>
      <w:r w:rsidRPr="003B4086">
        <w:rPr>
          <w:iCs/>
        </w:rPr>
        <w:t xml:space="preserve">The safety results should be interpreted with caution given that </w:t>
      </w:r>
      <w:r w:rsidR="008C5ED1" w:rsidRPr="003B4086">
        <w:rPr>
          <w:iCs/>
        </w:rPr>
        <w:t>in the</w:t>
      </w:r>
      <w:r w:rsidRPr="003B4086">
        <w:rPr>
          <w:iCs/>
        </w:rPr>
        <w:t xml:space="preserve"> CM274 </w:t>
      </w:r>
      <w:r w:rsidR="00B62D24" w:rsidRPr="003B4086">
        <w:rPr>
          <w:iCs/>
        </w:rPr>
        <w:t xml:space="preserve">double-blinded trial, </w:t>
      </w:r>
      <w:r w:rsidRPr="003B4086">
        <w:rPr>
          <w:iCs/>
        </w:rPr>
        <w:t xml:space="preserve">the placebo arm did not include active </w:t>
      </w:r>
      <w:r w:rsidR="00A176DF" w:rsidRPr="003B4086">
        <w:rPr>
          <w:iCs/>
        </w:rPr>
        <w:t>anti-cancer</w:t>
      </w:r>
      <w:r w:rsidRPr="003B4086">
        <w:rPr>
          <w:iCs/>
        </w:rPr>
        <w:t xml:space="preserve"> treatment during the on-treatment period.</w:t>
      </w:r>
    </w:p>
    <w:p w14:paraId="7A5EC18D" w14:textId="10790165" w:rsidR="00C9003B" w:rsidRPr="003B4086" w:rsidRDefault="00C9003B" w:rsidP="008A1C56">
      <w:pPr>
        <w:pStyle w:val="TableFigureHeading"/>
        <w:keepLines/>
        <w:rPr>
          <w:rFonts w:eastAsiaTheme="minorHAnsi"/>
        </w:rPr>
      </w:pPr>
      <w:bookmarkStart w:id="38" w:name="_Ref102287992"/>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9</w:t>
      </w:r>
      <w:r w:rsidR="00785573">
        <w:rPr>
          <w:noProof/>
        </w:rPr>
        <w:fldChar w:fldCharType="end"/>
      </w:r>
      <w:bookmarkEnd w:id="38"/>
      <w:r w:rsidRPr="003B4086">
        <w:t xml:space="preserve">: CM274 - Overview of clinical AEs across treatment groups – safety evaluable population </w:t>
      </w:r>
    </w:p>
    <w:tbl>
      <w:tblPr>
        <w:tblStyle w:val="TableGrid3"/>
        <w:tblW w:w="5000" w:type="pct"/>
        <w:tblLook w:val="04A0" w:firstRow="1" w:lastRow="0" w:firstColumn="1" w:lastColumn="0" w:noHBand="0" w:noVBand="1"/>
      </w:tblPr>
      <w:tblGrid>
        <w:gridCol w:w="2900"/>
        <w:gridCol w:w="1462"/>
        <w:gridCol w:w="1394"/>
        <w:gridCol w:w="1540"/>
        <w:gridCol w:w="1720"/>
      </w:tblGrid>
      <w:tr w:rsidR="00C9003B" w:rsidRPr="003B4086" w14:paraId="355EF237" w14:textId="77777777" w:rsidTr="008C5ED1">
        <w:tc>
          <w:tcPr>
            <w:tcW w:w="1608" w:type="pct"/>
            <w:hideMark/>
          </w:tcPr>
          <w:p w14:paraId="20343FAA" w14:textId="341B6061" w:rsidR="00C9003B" w:rsidRPr="003B4086" w:rsidRDefault="00C9003B" w:rsidP="008A1C56">
            <w:pPr>
              <w:pStyle w:val="Tabletext"/>
              <w:keepNext/>
              <w:keepLines/>
              <w:rPr>
                <w:b/>
              </w:rPr>
            </w:pPr>
            <w:r w:rsidRPr="003B4086">
              <w:rPr>
                <w:b/>
              </w:rPr>
              <w:t xml:space="preserve">AE Category </w:t>
            </w:r>
          </w:p>
        </w:tc>
        <w:tc>
          <w:tcPr>
            <w:tcW w:w="811" w:type="pct"/>
            <w:hideMark/>
          </w:tcPr>
          <w:p w14:paraId="78484715" w14:textId="77777777" w:rsidR="00D83473" w:rsidRPr="003B4086" w:rsidRDefault="00C9003B" w:rsidP="008A1C56">
            <w:pPr>
              <w:pStyle w:val="Tabletext"/>
              <w:keepNext/>
              <w:keepLines/>
              <w:rPr>
                <w:b/>
              </w:rPr>
            </w:pPr>
            <w:r w:rsidRPr="003B4086">
              <w:rPr>
                <w:b/>
              </w:rPr>
              <w:t>NIVO (N=351)</w:t>
            </w:r>
          </w:p>
          <w:p w14:paraId="0F7B1B2D" w14:textId="39186786" w:rsidR="00C9003B" w:rsidRPr="003B4086" w:rsidRDefault="00D83473" w:rsidP="008A1C56">
            <w:pPr>
              <w:pStyle w:val="Tabletext"/>
              <w:keepNext/>
              <w:keepLines/>
              <w:rPr>
                <w:b/>
              </w:rPr>
            </w:pPr>
            <w:r w:rsidRPr="003B4086">
              <w:rPr>
                <w:b/>
              </w:rPr>
              <w:t>n (%)</w:t>
            </w:r>
          </w:p>
        </w:tc>
        <w:tc>
          <w:tcPr>
            <w:tcW w:w="773" w:type="pct"/>
          </w:tcPr>
          <w:p w14:paraId="52C69CB5" w14:textId="77777777" w:rsidR="00D83473" w:rsidRPr="003B4086" w:rsidRDefault="00C9003B" w:rsidP="008A1C56">
            <w:pPr>
              <w:pStyle w:val="Tabletext"/>
              <w:keepNext/>
              <w:keepLines/>
              <w:rPr>
                <w:b/>
              </w:rPr>
            </w:pPr>
            <w:r w:rsidRPr="003B4086">
              <w:rPr>
                <w:b/>
              </w:rPr>
              <w:t>PBO (N=348)</w:t>
            </w:r>
          </w:p>
          <w:p w14:paraId="00CE4C97" w14:textId="348E5103" w:rsidR="00C9003B" w:rsidRPr="003B4086" w:rsidRDefault="00D83473" w:rsidP="008A1C56">
            <w:pPr>
              <w:pStyle w:val="Tabletext"/>
              <w:keepNext/>
              <w:keepLines/>
              <w:rPr>
                <w:b/>
              </w:rPr>
            </w:pPr>
            <w:r w:rsidRPr="003B4086">
              <w:rPr>
                <w:b/>
              </w:rPr>
              <w:t>n (%)</w:t>
            </w:r>
          </w:p>
        </w:tc>
        <w:tc>
          <w:tcPr>
            <w:tcW w:w="854" w:type="pct"/>
            <w:hideMark/>
          </w:tcPr>
          <w:p w14:paraId="055CFC06" w14:textId="77777777" w:rsidR="00C9003B" w:rsidRPr="003B4086" w:rsidRDefault="00C9003B" w:rsidP="008A1C56">
            <w:pPr>
              <w:pStyle w:val="Tabletext"/>
              <w:keepNext/>
              <w:keepLines/>
              <w:rPr>
                <w:b/>
              </w:rPr>
            </w:pPr>
            <w:r w:rsidRPr="003B4086">
              <w:rPr>
                <w:b/>
              </w:rPr>
              <w:t>Risk ratio</w:t>
            </w:r>
          </w:p>
          <w:p w14:paraId="5B3D2A60" w14:textId="77777777" w:rsidR="00C9003B" w:rsidRPr="003B4086" w:rsidRDefault="00C9003B" w:rsidP="008A1C56">
            <w:pPr>
              <w:pStyle w:val="Tabletext"/>
              <w:keepNext/>
              <w:keepLines/>
              <w:rPr>
                <w:b/>
              </w:rPr>
            </w:pPr>
            <w:r w:rsidRPr="003B4086">
              <w:rPr>
                <w:b/>
              </w:rPr>
              <w:t>[95% CI]</w:t>
            </w:r>
            <w:r w:rsidRPr="003B4086">
              <w:rPr>
                <w:b/>
                <w:vertAlign w:val="superscript"/>
              </w:rPr>
              <w:t xml:space="preserve"> </w:t>
            </w:r>
          </w:p>
        </w:tc>
        <w:tc>
          <w:tcPr>
            <w:tcW w:w="954" w:type="pct"/>
            <w:hideMark/>
          </w:tcPr>
          <w:p w14:paraId="548F930D" w14:textId="77777777" w:rsidR="00C9003B" w:rsidRPr="003B4086" w:rsidRDefault="00C9003B" w:rsidP="008A1C56">
            <w:pPr>
              <w:pStyle w:val="Tabletext"/>
              <w:keepNext/>
              <w:keepLines/>
              <w:rPr>
                <w:b/>
              </w:rPr>
            </w:pPr>
            <w:r w:rsidRPr="003B4086">
              <w:rPr>
                <w:b/>
              </w:rPr>
              <w:t>Risk difference</w:t>
            </w:r>
          </w:p>
          <w:p w14:paraId="23094313" w14:textId="77777777" w:rsidR="00C9003B" w:rsidRPr="003B4086" w:rsidRDefault="00C9003B" w:rsidP="008A1C56">
            <w:pPr>
              <w:pStyle w:val="Tabletext"/>
              <w:keepNext/>
              <w:keepLines/>
              <w:rPr>
                <w:b/>
              </w:rPr>
            </w:pPr>
            <w:r w:rsidRPr="003B4086">
              <w:rPr>
                <w:b/>
              </w:rPr>
              <w:t>[95% CI]</w:t>
            </w:r>
            <w:r w:rsidRPr="003B4086">
              <w:rPr>
                <w:b/>
                <w:vertAlign w:val="superscript"/>
              </w:rPr>
              <w:t xml:space="preserve"> </w:t>
            </w:r>
          </w:p>
        </w:tc>
      </w:tr>
      <w:tr w:rsidR="00C9003B" w:rsidRPr="003B4086" w14:paraId="32245866" w14:textId="77777777" w:rsidTr="008C5ED1">
        <w:tc>
          <w:tcPr>
            <w:tcW w:w="5000" w:type="pct"/>
            <w:gridSpan w:val="5"/>
          </w:tcPr>
          <w:p w14:paraId="4A838223" w14:textId="77777777" w:rsidR="00C9003B" w:rsidRPr="003B4086" w:rsidRDefault="00C9003B" w:rsidP="008A1C56">
            <w:pPr>
              <w:pStyle w:val="Tabletext"/>
              <w:keepNext/>
              <w:keepLines/>
              <w:rPr>
                <w:b/>
              </w:rPr>
            </w:pPr>
            <w:r w:rsidRPr="003B4086">
              <w:rPr>
                <w:b/>
              </w:rPr>
              <w:t>All causality</w:t>
            </w:r>
          </w:p>
        </w:tc>
      </w:tr>
      <w:tr w:rsidR="00C9003B" w:rsidRPr="003B4086" w14:paraId="7D17D7F0" w14:textId="77777777" w:rsidTr="008C5ED1">
        <w:tc>
          <w:tcPr>
            <w:tcW w:w="1608" w:type="pct"/>
            <w:hideMark/>
          </w:tcPr>
          <w:p w14:paraId="3760192C" w14:textId="77777777" w:rsidR="00C9003B" w:rsidRPr="003B4086" w:rsidRDefault="00C9003B" w:rsidP="008A1C56">
            <w:pPr>
              <w:pStyle w:val="Tabletext"/>
              <w:keepNext/>
              <w:keepLines/>
            </w:pPr>
            <w:r w:rsidRPr="003B4086">
              <w:t>AE (any grade)</w:t>
            </w:r>
          </w:p>
        </w:tc>
        <w:tc>
          <w:tcPr>
            <w:tcW w:w="811" w:type="pct"/>
            <w:hideMark/>
          </w:tcPr>
          <w:p w14:paraId="7CB277D6" w14:textId="77777777" w:rsidR="00C9003B" w:rsidRPr="003B4086" w:rsidRDefault="00C9003B" w:rsidP="008A1C56">
            <w:pPr>
              <w:pStyle w:val="Tabletext"/>
              <w:keepNext/>
              <w:keepLines/>
            </w:pPr>
            <w:r w:rsidRPr="003B4086">
              <w:t>347 (98.9%)</w:t>
            </w:r>
          </w:p>
        </w:tc>
        <w:tc>
          <w:tcPr>
            <w:tcW w:w="773" w:type="pct"/>
          </w:tcPr>
          <w:p w14:paraId="65AC3830" w14:textId="77777777" w:rsidR="00C9003B" w:rsidRPr="003B4086" w:rsidRDefault="00C9003B" w:rsidP="008A1C56">
            <w:pPr>
              <w:pStyle w:val="Tabletext"/>
              <w:keepNext/>
              <w:keepLines/>
              <w:rPr>
                <w:b/>
              </w:rPr>
            </w:pPr>
            <w:r w:rsidRPr="003B4086">
              <w:t>332 (95.4%)</w:t>
            </w:r>
          </w:p>
        </w:tc>
        <w:tc>
          <w:tcPr>
            <w:tcW w:w="854" w:type="pct"/>
            <w:hideMark/>
          </w:tcPr>
          <w:p w14:paraId="1AF47590" w14:textId="77777777" w:rsidR="00C9003B" w:rsidRPr="003B4086" w:rsidRDefault="00C9003B" w:rsidP="008A1C56">
            <w:pPr>
              <w:pStyle w:val="Tabletext"/>
              <w:keepNext/>
              <w:keepLines/>
              <w:rPr>
                <w:b/>
              </w:rPr>
            </w:pPr>
            <w:r w:rsidRPr="003B4086">
              <w:rPr>
                <w:b/>
              </w:rPr>
              <w:t>1.04 [1.01, 1.06]</w:t>
            </w:r>
          </w:p>
        </w:tc>
        <w:tc>
          <w:tcPr>
            <w:tcW w:w="954" w:type="pct"/>
            <w:hideMark/>
          </w:tcPr>
          <w:p w14:paraId="2F4ECCE9" w14:textId="77777777" w:rsidR="00C9003B" w:rsidRPr="003B4086" w:rsidRDefault="00C9003B" w:rsidP="008A1C56">
            <w:pPr>
              <w:pStyle w:val="Tabletext"/>
              <w:keepNext/>
              <w:keepLines/>
              <w:rPr>
                <w:b/>
              </w:rPr>
            </w:pPr>
            <w:r w:rsidRPr="003B4086">
              <w:rPr>
                <w:b/>
              </w:rPr>
              <w:t>0.03 [0.01, 0.06]</w:t>
            </w:r>
          </w:p>
        </w:tc>
      </w:tr>
      <w:tr w:rsidR="00C9003B" w:rsidRPr="003B4086" w14:paraId="4747F687" w14:textId="77777777" w:rsidTr="008C5ED1">
        <w:tc>
          <w:tcPr>
            <w:tcW w:w="1608" w:type="pct"/>
            <w:hideMark/>
          </w:tcPr>
          <w:p w14:paraId="16C41577" w14:textId="77777777" w:rsidR="00C9003B" w:rsidRPr="003B4086" w:rsidRDefault="00C9003B" w:rsidP="008A1C56">
            <w:pPr>
              <w:pStyle w:val="Tabletext"/>
              <w:keepNext/>
              <w:keepLines/>
            </w:pPr>
            <w:r w:rsidRPr="003B4086">
              <w:t>Severe AE (grade 3 or 4)</w:t>
            </w:r>
          </w:p>
        </w:tc>
        <w:tc>
          <w:tcPr>
            <w:tcW w:w="811" w:type="pct"/>
            <w:hideMark/>
          </w:tcPr>
          <w:p w14:paraId="7B7832B2" w14:textId="77777777" w:rsidR="00C9003B" w:rsidRPr="003B4086" w:rsidRDefault="00C9003B" w:rsidP="008A1C56">
            <w:pPr>
              <w:pStyle w:val="Tabletext"/>
              <w:keepNext/>
              <w:keepLines/>
            </w:pPr>
            <w:r w:rsidRPr="003B4086">
              <w:t>148 (42.2%)</w:t>
            </w:r>
          </w:p>
        </w:tc>
        <w:tc>
          <w:tcPr>
            <w:tcW w:w="773" w:type="pct"/>
          </w:tcPr>
          <w:p w14:paraId="4D3DC6E8" w14:textId="77777777" w:rsidR="00C9003B" w:rsidRPr="003B4086" w:rsidRDefault="00C9003B" w:rsidP="008A1C56">
            <w:pPr>
              <w:pStyle w:val="Tabletext"/>
              <w:keepNext/>
              <w:keepLines/>
            </w:pPr>
            <w:r w:rsidRPr="003B4086">
              <w:t>122 (35.1%)</w:t>
            </w:r>
          </w:p>
        </w:tc>
        <w:tc>
          <w:tcPr>
            <w:tcW w:w="854" w:type="pct"/>
            <w:hideMark/>
          </w:tcPr>
          <w:p w14:paraId="56049004" w14:textId="77777777" w:rsidR="00C9003B" w:rsidRPr="003B4086" w:rsidRDefault="00C9003B" w:rsidP="008A1C56">
            <w:pPr>
              <w:pStyle w:val="Tabletext"/>
              <w:keepNext/>
              <w:keepLines/>
            </w:pPr>
            <w:r w:rsidRPr="003B4086">
              <w:t>1.20 [1.00, 1.45]</w:t>
            </w:r>
          </w:p>
        </w:tc>
        <w:tc>
          <w:tcPr>
            <w:tcW w:w="954" w:type="pct"/>
            <w:hideMark/>
          </w:tcPr>
          <w:p w14:paraId="0815CC36" w14:textId="77777777" w:rsidR="00C9003B" w:rsidRPr="003B4086" w:rsidRDefault="00C9003B" w:rsidP="008A1C56">
            <w:pPr>
              <w:pStyle w:val="Tabletext"/>
              <w:keepNext/>
              <w:keepLines/>
            </w:pPr>
            <w:r w:rsidRPr="003B4086">
              <w:t>0.07 [-0.00, 0.14]</w:t>
            </w:r>
          </w:p>
        </w:tc>
      </w:tr>
      <w:tr w:rsidR="00C9003B" w:rsidRPr="003B4086" w14:paraId="4B3931B4" w14:textId="77777777" w:rsidTr="008C5ED1">
        <w:tc>
          <w:tcPr>
            <w:tcW w:w="1608" w:type="pct"/>
            <w:hideMark/>
          </w:tcPr>
          <w:p w14:paraId="2EC97AC0" w14:textId="77777777" w:rsidR="00C9003B" w:rsidRPr="003B4086" w:rsidRDefault="00C9003B" w:rsidP="008A1C56">
            <w:pPr>
              <w:pStyle w:val="Tabletext"/>
              <w:keepNext/>
              <w:keepLines/>
            </w:pPr>
            <w:r w:rsidRPr="003B4086">
              <w:t>SAE (any grade)</w:t>
            </w:r>
          </w:p>
        </w:tc>
        <w:tc>
          <w:tcPr>
            <w:tcW w:w="811" w:type="pct"/>
            <w:hideMark/>
          </w:tcPr>
          <w:p w14:paraId="0276EC33" w14:textId="77777777" w:rsidR="00C9003B" w:rsidRPr="003B4086" w:rsidRDefault="00C9003B" w:rsidP="008A1C56">
            <w:pPr>
              <w:pStyle w:val="Tabletext"/>
              <w:keepNext/>
              <w:keepLines/>
            </w:pPr>
            <w:r w:rsidRPr="003B4086">
              <w:t>104 (29.6%)</w:t>
            </w:r>
          </w:p>
        </w:tc>
        <w:tc>
          <w:tcPr>
            <w:tcW w:w="773" w:type="pct"/>
          </w:tcPr>
          <w:p w14:paraId="275008D7" w14:textId="77777777" w:rsidR="00C9003B" w:rsidRPr="003B4086" w:rsidRDefault="00C9003B" w:rsidP="008A1C56">
            <w:pPr>
              <w:pStyle w:val="Tabletext"/>
              <w:keepNext/>
              <w:keepLines/>
            </w:pPr>
            <w:r w:rsidRPr="003B4086">
              <w:t>105 (30.2%)</w:t>
            </w:r>
          </w:p>
        </w:tc>
        <w:tc>
          <w:tcPr>
            <w:tcW w:w="854" w:type="pct"/>
            <w:hideMark/>
          </w:tcPr>
          <w:p w14:paraId="446FEF4F" w14:textId="77777777" w:rsidR="00C9003B" w:rsidRPr="003B4086" w:rsidRDefault="00C9003B" w:rsidP="008A1C56">
            <w:pPr>
              <w:pStyle w:val="Tabletext"/>
              <w:keepNext/>
              <w:keepLines/>
            </w:pPr>
            <w:r w:rsidRPr="003B4086">
              <w:t>0.98 [0.78, 1.23]</w:t>
            </w:r>
          </w:p>
        </w:tc>
        <w:tc>
          <w:tcPr>
            <w:tcW w:w="954" w:type="pct"/>
            <w:hideMark/>
          </w:tcPr>
          <w:p w14:paraId="153C73F5" w14:textId="77777777" w:rsidR="00C9003B" w:rsidRPr="003B4086" w:rsidRDefault="00C9003B" w:rsidP="008A1C56">
            <w:pPr>
              <w:pStyle w:val="Tabletext"/>
              <w:keepNext/>
              <w:keepLines/>
            </w:pPr>
            <w:r w:rsidRPr="003B4086">
              <w:t>-0.01 [-0.07, 0.06]</w:t>
            </w:r>
          </w:p>
        </w:tc>
      </w:tr>
      <w:tr w:rsidR="00C9003B" w:rsidRPr="003B4086" w14:paraId="26C20DB9" w14:textId="77777777" w:rsidTr="008C5ED1">
        <w:tc>
          <w:tcPr>
            <w:tcW w:w="1608" w:type="pct"/>
            <w:hideMark/>
          </w:tcPr>
          <w:p w14:paraId="6C34ACF7" w14:textId="77777777" w:rsidR="00C9003B" w:rsidRPr="003B4086" w:rsidRDefault="00C9003B" w:rsidP="008A1C56">
            <w:pPr>
              <w:pStyle w:val="Tabletext"/>
              <w:keepNext/>
              <w:keepLines/>
            </w:pPr>
            <w:r w:rsidRPr="003B4086">
              <w:t>Severe SAE (grade 3 or 4)</w:t>
            </w:r>
          </w:p>
        </w:tc>
        <w:tc>
          <w:tcPr>
            <w:tcW w:w="811" w:type="pct"/>
            <w:hideMark/>
          </w:tcPr>
          <w:p w14:paraId="3BDC731F" w14:textId="77777777" w:rsidR="00C9003B" w:rsidRPr="003B4086" w:rsidRDefault="00C9003B" w:rsidP="008A1C56">
            <w:pPr>
              <w:pStyle w:val="Tabletext"/>
              <w:keepNext/>
              <w:keepLines/>
            </w:pPr>
            <w:r w:rsidRPr="003B4086">
              <w:t>81 (23.1%)</w:t>
            </w:r>
          </w:p>
        </w:tc>
        <w:tc>
          <w:tcPr>
            <w:tcW w:w="773" w:type="pct"/>
          </w:tcPr>
          <w:p w14:paraId="13393B9D" w14:textId="77777777" w:rsidR="00C9003B" w:rsidRPr="003B4086" w:rsidRDefault="00C9003B" w:rsidP="008A1C56">
            <w:pPr>
              <w:pStyle w:val="Tabletext"/>
              <w:keepNext/>
              <w:keepLines/>
            </w:pPr>
            <w:r w:rsidRPr="003B4086">
              <w:t>73 (21.0%)</w:t>
            </w:r>
          </w:p>
        </w:tc>
        <w:tc>
          <w:tcPr>
            <w:tcW w:w="854" w:type="pct"/>
            <w:hideMark/>
          </w:tcPr>
          <w:p w14:paraId="15B0B73A" w14:textId="77777777" w:rsidR="00C9003B" w:rsidRPr="003B4086" w:rsidRDefault="00C9003B" w:rsidP="008A1C56">
            <w:pPr>
              <w:pStyle w:val="Tabletext"/>
              <w:keepNext/>
              <w:keepLines/>
            </w:pPr>
            <w:r w:rsidRPr="003B4086">
              <w:t>1.10 [0.83, 1.45]</w:t>
            </w:r>
          </w:p>
        </w:tc>
        <w:tc>
          <w:tcPr>
            <w:tcW w:w="954" w:type="pct"/>
            <w:hideMark/>
          </w:tcPr>
          <w:p w14:paraId="3771E099" w14:textId="77777777" w:rsidR="00C9003B" w:rsidRPr="003B4086" w:rsidRDefault="00C9003B" w:rsidP="008A1C56">
            <w:pPr>
              <w:pStyle w:val="Tabletext"/>
              <w:keepNext/>
              <w:keepLines/>
            </w:pPr>
            <w:r w:rsidRPr="003B4086">
              <w:t>0.02 [-0.04, 0.08]</w:t>
            </w:r>
          </w:p>
        </w:tc>
      </w:tr>
      <w:tr w:rsidR="00C9003B" w:rsidRPr="003B4086" w14:paraId="5B6F2F8F" w14:textId="77777777" w:rsidTr="008C5ED1">
        <w:tc>
          <w:tcPr>
            <w:tcW w:w="1608" w:type="pct"/>
            <w:hideMark/>
          </w:tcPr>
          <w:p w14:paraId="7D953843" w14:textId="77777777" w:rsidR="00C9003B" w:rsidRPr="003B4086" w:rsidRDefault="00C9003B" w:rsidP="008A1C56">
            <w:pPr>
              <w:pStyle w:val="Tabletext"/>
              <w:keepNext/>
              <w:keepLines/>
            </w:pPr>
            <w:r w:rsidRPr="003B4086">
              <w:t>Discontinuation of study treatment due to</w:t>
            </w:r>
          </w:p>
          <w:p w14:paraId="609C5C2C" w14:textId="77777777" w:rsidR="00C9003B" w:rsidRPr="003B4086" w:rsidRDefault="00C9003B" w:rsidP="008A1C56">
            <w:pPr>
              <w:pStyle w:val="Tabletext"/>
              <w:keepNext/>
              <w:keepLines/>
            </w:pPr>
            <w:r w:rsidRPr="003B4086">
              <w:t xml:space="preserve">    AEs (any grade)</w:t>
            </w:r>
          </w:p>
          <w:p w14:paraId="6988EB4F" w14:textId="77777777" w:rsidR="00C9003B" w:rsidRPr="003B4086" w:rsidRDefault="00C9003B" w:rsidP="008A1C56">
            <w:pPr>
              <w:pStyle w:val="Tabletext"/>
              <w:keepNext/>
              <w:keepLines/>
            </w:pPr>
            <w:r w:rsidRPr="003B4086">
              <w:t xml:space="preserve">    Severe AEs (grade 3 or 4)</w:t>
            </w:r>
          </w:p>
        </w:tc>
        <w:tc>
          <w:tcPr>
            <w:tcW w:w="811" w:type="pct"/>
          </w:tcPr>
          <w:p w14:paraId="44B8220C" w14:textId="77777777" w:rsidR="00C9003B" w:rsidRPr="003B4086" w:rsidRDefault="00C9003B" w:rsidP="008A1C56">
            <w:pPr>
              <w:pStyle w:val="Tabletext"/>
              <w:keepNext/>
              <w:keepLines/>
            </w:pPr>
          </w:p>
          <w:p w14:paraId="66FEF2DC" w14:textId="77777777" w:rsidR="00C9003B" w:rsidRPr="003B4086" w:rsidRDefault="00C9003B" w:rsidP="008A1C56">
            <w:pPr>
              <w:pStyle w:val="Tabletext"/>
              <w:keepNext/>
              <w:keepLines/>
            </w:pPr>
          </w:p>
          <w:p w14:paraId="5DB7CD38" w14:textId="77777777" w:rsidR="00C9003B" w:rsidRPr="003B4086" w:rsidRDefault="00C9003B" w:rsidP="008A1C56">
            <w:pPr>
              <w:pStyle w:val="Tabletext"/>
              <w:keepNext/>
              <w:keepLines/>
            </w:pPr>
            <w:r w:rsidRPr="003B4086">
              <w:t>64 (18.2%)</w:t>
            </w:r>
          </w:p>
          <w:p w14:paraId="6F48BB60" w14:textId="77777777" w:rsidR="00C9003B" w:rsidRPr="003B4086" w:rsidRDefault="00C9003B" w:rsidP="008A1C56">
            <w:pPr>
              <w:pStyle w:val="Tabletext"/>
              <w:keepNext/>
              <w:keepLines/>
            </w:pPr>
            <w:r w:rsidRPr="003B4086">
              <w:t>39 (11.1%)</w:t>
            </w:r>
          </w:p>
        </w:tc>
        <w:tc>
          <w:tcPr>
            <w:tcW w:w="773" w:type="pct"/>
          </w:tcPr>
          <w:p w14:paraId="54495081" w14:textId="77777777" w:rsidR="00C9003B" w:rsidRPr="003B4086" w:rsidRDefault="00C9003B" w:rsidP="008A1C56">
            <w:pPr>
              <w:pStyle w:val="Tabletext"/>
              <w:keepNext/>
              <w:keepLines/>
            </w:pPr>
          </w:p>
          <w:p w14:paraId="1BA23DCE" w14:textId="77777777" w:rsidR="00C9003B" w:rsidRPr="003B4086" w:rsidRDefault="00C9003B" w:rsidP="008A1C56">
            <w:pPr>
              <w:pStyle w:val="Tabletext"/>
              <w:keepNext/>
              <w:keepLines/>
            </w:pPr>
          </w:p>
          <w:p w14:paraId="3A29D29D" w14:textId="77777777" w:rsidR="00C9003B" w:rsidRPr="003B4086" w:rsidRDefault="00C9003B" w:rsidP="008A1C56">
            <w:pPr>
              <w:pStyle w:val="Tabletext"/>
              <w:keepNext/>
              <w:keepLines/>
            </w:pPr>
            <w:r w:rsidRPr="003B4086">
              <w:t>32 (9.2%)</w:t>
            </w:r>
          </w:p>
          <w:p w14:paraId="7181B583" w14:textId="77777777" w:rsidR="00C9003B" w:rsidRPr="003B4086" w:rsidRDefault="00C9003B" w:rsidP="008A1C56">
            <w:pPr>
              <w:pStyle w:val="Tabletext"/>
              <w:keepNext/>
              <w:keepLines/>
              <w:rPr>
                <w:b/>
              </w:rPr>
            </w:pPr>
            <w:r w:rsidRPr="003B4086">
              <w:t>21 (6.0%)</w:t>
            </w:r>
          </w:p>
        </w:tc>
        <w:tc>
          <w:tcPr>
            <w:tcW w:w="854" w:type="pct"/>
            <w:hideMark/>
          </w:tcPr>
          <w:p w14:paraId="181D52AF" w14:textId="77777777" w:rsidR="00C9003B" w:rsidRPr="003B4086" w:rsidRDefault="00C9003B" w:rsidP="008A1C56">
            <w:pPr>
              <w:pStyle w:val="Tabletext"/>
              <w:keepNext/>
              <w:keepLines/>
              <w:rPr>
                <w:b/>
              </w:rPr>
            </w:pPr>
          </w:p>
          <w:p w14:paraId="37F9D339" w14:textId="77777777" w:rsidR="00C9003B" w:rsidRPr="003B4086" w:rsidRDefault="00C9003B" w:rsidP="008A1C56">
            <w:pPr>
              <w:pStyle w:val="Tabletext"/>
              <w:keepNext/>
              <w:keepLines/>
              <w:rPr>
                <w:b/>
              </w:rPr>
            </w:pPr>
          </w:p>
          <w:p w14:paraId="06290EC6" w14:textId="77777777" w:rsidR="00C9003B" w:rsidRPr="003B4086" w:rsidRDefault="00C9003B" w:rsidP="008A1C56">
            <w:pPr>
              <w:pStyle w:val="Tabletext"/>
              <w:keepNext/>
              <w:keepLines/>
              <w:rPr>
                <w:b/>
              </w:rPr>
            </w:pPr>
            <w:r w:rsidRPr="003B4086">
              <w:rPr>
                <w:b/>
              </w:rPr>
              <w:t>1.98 [1.33, 2.95]</w:t>
            </w:r>
          </w:p>
          <w:p w14:paraId="702865F8" w14:textId="77777777" w:rsidR="00C9003B" w:rsidRPr="003B4086" w:rsidRDefault="00C9003B" w:rsidP="008A1C56">
            <w:pPr>
              <w:pStyle w:val="Tabletext"/>
              <w:keepNext/>
              <w:keepLines/>
              <w:rPr>
                <w:b/>
              </w:rPr>
            </w:pPr>
            <w:r w:rsidRPr="003B4086">
              <w:rPr>
                <w:b/>
              </w:rPr>
              <w:t>1.84 [1.11, 3.06]</w:t>
            </w:r>
          </w:p>
        </w:tc>
        <w:tc>
          <w:tcPr>
            <w:tcW w:w="954" w:type="pct"/>
            <w:hideMark/>
          </w:tcPr>
          <w:p w14:paraId="58DCC318" w14:textId="77777777" w:rsidR="00C9003B" w:rsidRPr="003B4086" w:rsidRDefault="00C9003B" w:rsidP="008A1C56">
            <w:pPr>
              <w:pStyle w:val="Tabletext"/>
              <w:keepNext/>
              <w:keepLines/>
              <w:rPr>
                <w:b/>
              </w:rPr>
            </w:pPr>
          </w:p>
          <w:p w14:paraId="28354E0E" w14:textId="77777777" w:rsidR="00C9003B" w:rsidRPr="003B4086" w:rsidRDefault="00C9003B" w:rsidP="008A1C56">
            <w:pPr>
              <w:pStyle w:val="Tabletext"/>
              <w:keepNext/>
              <w:keepLines/>
              <w:rPr>
                <w:b/>
              </w:rPr>
            </w:pPr>
          </w:p>
          <w:p w14:paraId="20003CDD" w14:textId="77777777" w:rsidR="00C9003B" w:rsidRPr="003B4086" w:rsidRDefault="00C9003B" w:rsidP="008A1C56">
            <w:pPr>
              <w:pStyle w:val="Tabletext"/>
              <w:keepNext/>
              <w:keepLines/>
              <w:rPr>
                <w:b/>
              </w:rPr>
            </w:pPr>
            <w:r w:rsidRPr="003B4086">
              <w:rPr>
                <w:b/>
              </w:rPr>
              <w:t>0.09 [0.04, 0.14]</w:t>
            </w:r>
          </w:p>
          <w:p w14:paraId="442BB297" w14:textId="77777777" w:rsidR="00C9003B" w:rsidRPr="003B4086" w:rsidRDefault="00C9003B" w:rsidP="008A1C56">
            <w:pPr>
              <w:pStyle w:val="Tabletext"/>
              <w:keepNext/>
              <w:keepLines/>
              <w:rPr>
                <w:b/>
              </w:rPr>
            </w:pPr>
            <w:r w:rsidRPr="003B4086">
              <w:rPr>
                <w:b/>
              </w:rPr>
              <w:t>0.05 [0.01, 0.09]</w:t>
            </w:r>
          </w:p>
        </w:tc>
      </w:tr>
      <w:tr w:rsidR="00C9003B" w:rsidRPr="003B4086" w14:paraId="74FF7DEA" w14:textId="77777777" w:rsidTr="008C5ED1">
        <w:tc>
          <w:tcPr>
            <w:tcW w:w="1608" w:type="pct"/>
            <w:hideMark/>
          </w:tcPr>
          <w:p w14:paraId="53805F95" w14:textId="77777777" w:rsidR="00C9003B" w:rsidRPr="003B4086" w:rsidRDefault="00C9003B" w:rsidP="008A1C56">
            <w:pPr>
              <w:pStyle w:val="Tabletext"/>
              <w:keepNext/>
              <w:keepLines/>
            </w:pPr>
            <w:r w:rsidRPr="003B4086">
              <w:t>Death</w:t>
            </w:r>
          </w:p>
        </w:tc>
        <w:tc>
          <w:tcPr>
            <w:tcW w:w="811" w:type="pct"/>
            <w:hideMark/>
          </w:tcPr>
          <w:p w14:paraId="7EDFC0C6" w14:textId="77777777" w:rsidR="00C9003B" w:rsidRPr="003B4086" w:rsidRDefault="00C9003B" w:rsidP="008A1C56">
            <w:pPr>
              <w:pStyle w:val="Tabletext"/>
              <w:keepNext/>
              <w:keepLines/>
            </w:pPr>
            <w:r w:rsidRPr="003B4086">
              <w:t>95 (27.1%)</w:t>
            </w:r>
          </w:p>
        </w:tc>
        <w:tc>
          <w:tcPr>
            <w:tcW w:w="773" w:type="pct"/>
          </w:tcPr>
          <w:p w14:paraId="68F3707A" w14:textId="77777777" w:rsidR="00C9003B" w:rsidRPr="003B4086" w:rsidRDefault="00C9003B" w:rsidP="008A1C56">
            <w:pPr>
              <w:pStyle w:val="Tabletext"/>
              <w:keepNext/>
              <w:keepLines/>
            </w:pPr>
            <w:r w:rsidRPr="003B4086">
              <w:t>107 (30.7%)</w:t>
            </w:r>
          </w:p>
        </w:tc>
        <w:tc>
          <w:tcPr>
            <w:tcW w:w="854" w:type="pct"/>
            <w:hideMark/>
          </w:tcPr>
          <w:p w14:paraId="5E2EDE99" w14:textId="77777777" w:rsidR="00C9003B" w:rsidRPr="003B4086" w:rsidRDefault="00C9003B" w:rsidP="008A1C56">
            <w:pPr>
              <w:pStyle w:val="Tabletext"/>
              <w:keepNext/>
              <w:keepLines/>
            </w:pPr>
            <w:r w:rsidRPr="003B4086">
              <w:t>0.88 [0.70, 1.11]</w:t>
            </w:r>
          </w:p>
        </w:tc>
        <w:tc>
          <w:tcPr>
            <w:tcW w:w="954" w:type="pct"/>
            <w:hideMark/>
          </w:tcPr>
          <w:p w14:paraId="471E6B19" w14:textId="77777777" w:rsidR="00C9003B" w:rsidRPr="003B4086" w:rsidRDefault="00C9003B" w:rsidP="008A1C56">
            <w:pPr>
              <w:pStyle w:val="Tabletext"/>
              <w:keepNext/>
              <w:keepLines/>
            </w:pPr>
            <w:r w:rsidRPr="003B4086">
              <w:t>-0.04 [-0.10, 0.03]</w:t>
            </w:r>
          </w:p>
        </w:tc>
      </w:tr>
      <w:tr w:rsidR="00C9003B" w:rsidRPr="003B4086" w14:paraId="59080893" w14:textId="77777777" w:rsidTr="008C5ED1">
        <w:tc>
          <w:tcPr>
            <w:tcW w:w="5000" w:type="pct"/>
            <w:gridSpan w:val="5"/>
          </w:tcPr>
          <w:p w14:paraId="088E6010" w14:textId="77777777" w:rsidR="00C9003B" w:rsidRPr="003B4086" w:rsidRDefault="00C9003B" w:rsidP="008A1C56">
            <w:pPr>
              <w:pStyle w:val="Tabletext"/>
              <w:keepNext/>
              <w:keepLines/>
              <w:rPr>
                <w:b/>
              </w:rPr>
            </w:pPr>
            <w:r w:rsidRPr="003B4086">
              <w:rPr>
                <w:b/>
              </w:rPr>
              <w:t>Study drug related</w:t>
            </w:r>
          </w:p>
        </w:tc>
      </w:tr>
      <w:tr w:rsidR="00C9003B" w:rsidRPr="003B4086" w14:paraId="68219FFB" w14:textId="77777777" w:rsidTr="008C5ED1">
        <w:tc>
          <w:tcPr>
            <w:tcW w:w="1608" w:type="pct"/>
            <w:hideMark/>
          </w:tcPr>
          <w:p w14:paraId="243DC32D" w14:textId="77777777" w:rsidR="00C9003B" w:rsidRPr="003B4086" w:rsidRDefault="00C9003B" w:rsidP="008A1C56">
            <w:pPr>
              <w:pStyle w:val="Tabletext"/>
              <w:keepNext/>
              <w:keepLines/>
            </w:pPr>
            <w:r w:rsidRPr="003B4086">
              <w:t>AE (any grade)</w:t>
            </w:r>
          </w:p>
        </w:tc>
        <w:tc>
          <w:tcPr>
            <w:tcW w:w="811" w:type="pct"/>
            <w:hideMark/>
          </w:tcPr>
          <w:p w14:paraId="70754BAB" w14:textId="77777777" w:rsidR="00C9003B" w:rsidRPr="003B4086" w:rsidRDefault="00C9003B" w:rsidP="008A1C56">
            <w:pPr>
              <w:pStyle w:val="Tabletext"/>
              <w:keepNext/>
              <w:keepLines/>
            </w:pPr>
            <w:r w:rsidRPr="003B4086">
              <w:t xml:space="preserve">272 (77.5%) </w:t>
            </w:r>
          </w:p>
        </w:tc>
        <w:tc>
          <w:tcPr>
            <w:tcW w:w="773" w:type="pct"/>
          </w:tcPr>
          <w:p w14:paraId="5EE4D369" w14:textId="77777777" w:rsidR="00C9003B" w:rsidRPr="003B4086" w:rsidRDefault="00C9003B" w:rsidP="008A1C56">
            <w:pPr>
              <w:pStyle w:val="Tabletext"/>
              <w:keepNext/>
              <w:keepLines/>
              <w:rPr>
                <w:b/>
              </w:rPr>
            </w:pPr>
            <w:r w:rsidRPr="003B4086">
              <w:t>193 (55.5%)</w:t>
            </w:r>
          </w:p>
        </w:tc>
        <w:tc>
          <w:tcPr>
            <w:tcW w:w="854" w:type="pct"/>
            <w:hideMark/>
          </w:tcPr>
          <w:p w14:paraId="0B8F3964" w14:textId="77777777" w:rsidR="00C9003B" w:rsidRPr="003B4086" w:rsidRDefault="00C9003B" w:rsidP="008A1C56">
            <w:pPr>
              <w:pStyle w:val="Tabletext"/>
              <w:keepNext/>
              <w:keepLines/>
              <w:rPr>
                <w:b/>
              </w:rPr>
            </w:pPr>
            <w:r w:rsidRPr="003B4086">
              <w:rPr>
                <w:b/>
              </w:rPr>
              <w:t>1.40 [1.25, 1.56]</w:t>
            </w:r>
          </w:p>
        </w:tc>
        <w:tc>
          <w:tcPr>
            <w:tcW w:w="954" w:type="pct"/>
            <w:hideMark/>
          </w:tcPr>
          <w:p w14:paraId="1099676E" w14:textId="77777777" w:rsidR="00C9003B" w:rsidRPr="003B4086" w:rsidRDefault="00C9003B" w:rsidP="008A1C56">
            <w:pPr>
              <w:pStyle w:val="Tabletext"/>
              <w:keepNext/>
              <w:keepLines/>
              <w:rPr>
                <w:b/>
              </w:rPr>
            </w:pPr>
            <w:r w:rsidRPr="003B4086">
              <w:rPr>
                <w:b/>
              </w:rPr>
              <w:t>0.22 [0.15, 0.29]</w:t>
            </w:r>
          </w:p>
        </w:tc>
      </w:tr>
      <w:tr w:rsidR="00C9003B" w:rsidRPr="003B4086" w14:paraId="3811F8D1" w14:textId="77777777" w:rsidTr="008C5ED1">
        <w:tc>
          <w:tcPr>
            <w:tcW w:w="1608" w:type="pct"/>
            <w:hideMark/>
          </w:tcPr>
          <w:p w14:paraId="6D0342C9" w14:textId="77777777" w:rsidR="00C9003B" w:rsidRPr="003B4086" w:rsidRDefault="00C9003B" w:rsidP="008A1C56">
            <w:pPr>
              <w:pStyle w:val="Tabletext"/>
              <w:keepNext/>
              <w:keepLines/>
            </w:pPr>
            <w:r w:rsidRPr="003B4086">
              <w:t>Severe AE (grade 3 or 4)</w:t>
            </w:r>
          </w:p>
        </w:tc>
        <w:tc>
          <w:tcPr>
            <w:tcW w:w="811" w:type="pct"/>
            <w:hideMark/>
          </w:tcPr>
          <w:p w14:paraId="31261AB9" w14:textId="77777777" w:rsidR="00C9003B" w:rsidRPr="003B4086" w:rsidRDefault="00C9003B" w:rsidP="008A1C56">
            <w:pPr>
              <w:pStyle w:val="Tabletext"/>
              <w:keepNext/>
              <w:keepLines/>
            </w:pPr>
            <w:r w:rsidRPr="003B4086">
              <w:t>63 (17.9%)</w:t>
            </w:r>
          </w:p>
        </w:tc>
        <w:tc>
          <w:tcPr>
            <w:tcW w:w="773" w:type="pct"/>
          </w:tcPr>
          <w:p w14:paraId="1DDBEEDF" w14:textId="77777777" w:rsidR="00C9003B" w:rsidRPr="003B4086" w:rsidRDefault="00C9003B" w:rsidP="008A1C56">
            <w:pPr>
              <w:pStyle w:val="Tabletext"/>
              <w:keepNext/>
              <w:keepLines/>
              <w:rPr>
                <w:b/>
              </w:rPr>
            </w:pPr>
            <w:r w:rsidRPr="003B4086">
              <w:t>25 (7.2%)</w:t>
            </w:r>
          </w:p>
        </w:tc>
        <w:tc>
          <w:tcPr>
            <w:tcW w:w="854" w:type="pct"/>
            <w:hideMark/>
          </w:tcPr>
          <w:p w14:paraId="19679550" w14:textId="77777777" w:rsidR="00C9003B" w:rsidRPr="003B4086" w:rsidRDefault="00C9003B" w:rsidP="008A1C56">
            <w:pPr>
              <w:pStyle w:val="Tabletext"/>
              <w:keepNext/>
              <w:keepLines/>
              <w:rPr>
                <w:b/>
              </w:rPr>
            </w:pPr>
            <w:r w:rsidRPr="003B4086">
              <w:rPr>
                <w:b/>
              </w:rPr>
              <w:t>2.50 [1.61, 3.88]</w:t>
            </w:r>
          </w:p>
        </w:tc>
        <w:tc>
          <w:tcPr>
            <w:tcW w:w="954" w:type="pct"/>
            <w:hideMark/>
          </w:tcPr>
          <w:p w14:paraId="35D7EFA9" w14:textId="77777777" w:rsidR="00C9003B" w:rsidRPr="003B4086" w:rsidRDefault="00C9003B" w:rsidP="008A1C56">
            <w:pPr>
              <w:pStyle w:val="Tabletext"/>
              <w:keepNext/>
              <w:keepLines/>
              <w:rPr>
                <w:b/>
              </w:rPr>
            </w:pPr>
            <w:r w:rsidRPr="003B4086">
              <w:rPr>
                <w:b/>
              </w:rPr>
              <w:t>0.11 [0.06, 0.16]</w:t>
            </w:r>
          </w:p>
        </w:tc>
      </w:tr>
      <w:tr w:rsidR="00C9003B" w:rsidRPr="003B4086" w14:paraId="1BEB7ED1" w14:textId="77777777" w:rsidTr="008C5ED1">
        <w:tc>
          <w:tcPr>
            <w:tcW w:w="1608" w:type="pct"/>
            <w:hideMark/>
          </w:tcPr>
          <w:p w14:paraId="24833C46" w14:textId="77777777" w:rsidR="00C9003B" w:rsidRPr="003B4086" w:rsidRDefault="00C9003B" w:rsidP="008A1C56">
            <w:pPr>
              <w:pStyle w:val="Tabletext"/>
              <w:keepNext/>
              <w:keepLines/>
            </w:pPr>
            <w:r w:rsidRPr="003B4086">
              <w:t>SAE (any grade)</w:t>
            </w:r>
          </w:p>
        </w:tc>
        <w:tc>
          <w:tcPr>
            <w:tcW w:w="811" w:type="pct"/>
            <w:hideMark/>
          </w:tcPr>
          <w:p w14:paraId="59AC14CE" w14:textId="77777777" w:rsidR="00C9003B" w:rsidRPr="003B4086" w:rsidRDefault="00C9003B" w:rsidP="008A1C56">
            <w:pPr>
              <w:pStyle w:val="Tabletext"/>
              <w:keepNext/>
              <w:keepLines/>
            </w:pPr>
            <w:r w:rsidRPr="003B4086">
              <w:t>32 (9.1%)</w:t>
            </w:r>
          </w:p>
        </w:tc>
        <w:tc>
          <w:tcPr>
            <w:tcW w:w="773" w:type="pct"/>
          </w:tcPr>
          <w:p w14:paraId="39A718B3" w14:textId="77777777" w:rsidR="00C9003B" w:rsidRPr="003B4086" w:rsidRDefault="00C9003B" w:rsidP="008A1C56">
            <w:pPr>
              <w:pStyle w:val="Tabletext"/>
              <w:keepNext/>
              <w:keepLines/>
              <w:rPr>
                <w:b/>
              </w:rPr>
            </w:pPr>
            <w:r w:rsidRPr="003B4086">
              <w:t>7 (2.0%)</w:t>
            </w:r>
          </w:p>
        </w:tc>
        <w:tc>
          <w:tcPr>
            <w:tcW w:w="854" w:type="pct"/>
            <w:hideMark/>
          </w:tcPr>
          <w:p w14:paraId="5A6B5A26" w14:textId="77777777" w:rsidR="00C9003B" w:rsidRPr="003B4086" w:rsidRDefault="00C9003B" w:rsidP="008A1C56">
            <w:pPr>
              <w:pStyle w:val="Tabletext"/>
              <w:keepNext/>
              <w:keepLines/>
              <w:rPr>
                <w:b/>
              </w:rPr>
            </w:pPr>
            <w:r w:rsidRPr="003B4086">
              <w:rPr>
                <w:b/>
              </w:rPr>
              <w:t>4.53 [2.03, 10.13]</w:t>
            </w:r>
          </w:p>
        </w:tc>
        <w:tc>
          <w:tcPr>
            <w:tcW w:w="954" w:type="pct"/>
            <w:hideMark/>
          </w:tcPr>
          <w:p w14:paraId="636E5CD0" w14:textId="77777777" w:rsidR="00C9003B" w:rsidRPr="003B4086" w:rsidRDefault="00C9003B" w:rsidP="008A1C56">
            <w:pPr>
              <w:pStyle w:val="Tabletext"/>
              <w:keepNext/>
              <w:keepLines/>
              <w:rPr>
                <w:b/>
              </w:rPr>
            </w:pPr>
            <w:r w:rsidRPr="003B4086">
              <w:rPr>
                <w:b/>
              </w:rPr>
              <w:t>0.07 [0.04, 0.10]</w:t>
            </w:r>
          </w:p>
        </w:tc>
      </w:tr>
      <w:tr w:rsidR="00C9003B" w:rsidRPr="003B4086" w14:paraId="3FFFE6B2" w14:textId="77777777" w:rsidTr="008C5ED1">
        <w:tc>
          <w:tcPr>
            <w:tcW w:w="1608" w:type="pct"/>
            <w:hideMark/>
          </w:tcPr>
          <w:p w14:paraId="346CD6F1" w14:textId="77777777" w:rsidR="00C9003B" w:rsidRPr="003B4086" w:rsidRDefault="00C9003B" w:rsidP="008A1C56">
            <w:pPr>
              <w:pStyle w:val="Tabletext"/>
              <w:keepNext/>
              <w:keepLines/>
            </w:pPr>
            <w:r w:rsidRPr="003B4086">
              <w:t>Severe SAE (grade 3 or 4)</w:t>
            </w:r>
          </w:p>
        </w:tc>
        <w:tc>
          <w:tcPr>
            <w:tcW w:w="811" w:type="pct"/>
            <w:hideMark/>
          </w:tcPr>
          <w:p w14:paraId="4E7EAC2C" w14:textId="77777777" w:rsidR="00C9003B" w:rsidRPr="003B4086" w:rsidRDefault="00C9003B" w:rsidP="008A1C56">
            <w:pPr>
              <w:pStyle w:val="Tabletext"/>
              <w:keepNext/>
              <w:keepLines/>
            </w:pPr>
            <w:r w:rsidRPr="003B4086">
              <w:t>26 (7.4%)</w:t>
            </w:r>
          </w:p>
        </w:tc>
        <w:tc>
          <w:tcPr>
            <w:tcW w:w="773" w:type="pct"/>
          </w:tcPr>
          <w:p w14:paraId="6C9FFEE8" w14:textId="77777777" w:rsidR="00C9003B" w:rsidRPr="003B4086" w:rsidRDefault="00C9003B" w:rsidP="008A1C56">
            <w:pPr>
              <w:pStyle w:val="Tabletext"/>
              <w:keepNext/>
              <w:keepLines/>
              <w:rPr>
                <w:b/>
              </w:rPr>
            </w:pPr>
            <w:r w:rsidRPr="003B4086">
              <w:t>6 (1.7%)</w:t>
            </w:r>
          </w:p>
        </w:tc>
        <w:tc>
          <w:tcPr>
            <w:tcW w:w="854" w:type="pct"/>
            <w:hideMark/>
          </w:tcPr>
          <w:p w14:paraId="5102EBD6" w14:textId="77777777" w:rsidR="00C9003B" w:rsidRPr="003B4086" w:rsidRDefault="00C9003B" w:rsidP="008A1C56">
            <w:pPr>
              <w:pStyle w:val="Tabletext"/>
              <w:keepNext/>
              <w:keepLines/>
              <w:rPr>
                <w:b/>
              </w:rPr>
            </w:pPr>
            <w:r w:rsidRPr="003B4086">
              <w:rPr>
                <w:b/>
              </w:rPr>
              <w:t>4.30 [1.79, 10.31]</w:t>
            </w:r>
          </w:p>
        </w:tc>
        <w:tc>
          <w:tcPr>
            <w:tcW w:w="954" w:type="pct"/>
            <w:hideMark/>
          </w:tcPr>
          <w:p w14:paraId="781E5DC2" w14:textId="77777777" w:rsidR="00C9003B" w:rsidRPr="003B4086" w:rsidRDefault="00C9003B" w:rsidP="008A1C56">
            <w:pPr>
              <w:pStyle w:val="Tabletext"/>
              <w:keepNext/>
              <w:keepLines/>
              <w:rPr>
                <w:b/>
              </w:rPr>
            </w:pPr>
            <w:r w:rsidRPr="003B4086">
              <w:rPr>
                <w:b/>
              </w:rPr>
              <w:t>0.06 [0.03, 0.09]</w:t>
            </w:r>
          </w:p>
        </w:tc>
      </w:tr>
      <w:tr w:rsidR="00C9003B" w:rsidRPr="003B4086" w14:paraId="2A8E1CDE" w14:textId="77777777" w:rsidTr="008C5ED1">
        <w:tc>
          <w:tcPr>
            <w:tcW w:w="1608" w:type="pct"/>
            <w:hideMark/>
          </w:tcPr>
          <w:p w14:paraId="57420105" w14:textId="77777777" w:rsidR="00C9003B" w:rsidRPr="003B4086" w:rsidRDefault="00C9003B" w:rsidP="008A1C56">
            <w:pPr>
              <w:pStyle w:val="Tabletext"/>
              <w:keepNext/>
              <w:keepLines/>
            </w:pPr>
            <w:r w:rsidRPr="003B4086">
              <w:t>Discontinuation of study treatment due to</w:t>
            </w:r>
          </w:p>
          <w:p w14:paraId="1A2E0C2A" w14:textId="77777777" w:rsidR="00C9003B" w:rsidRPr="003B4086" w:rsidRDefault="00C9003B" w:rsidP="008A1C56">
            <w:pPr>
              <w:pStyle w:val="Tabletext"/>
              <w:keepNext/>
              <w:keepLines/>
            </w:pPr>
            <w:r w:rsidRPr="003B4086">
              <w:t xml:space="preserve">    AEs (any grade)</w:t>
            </w:r>
          </w:p>
          <w:p w14:paraId="73955795" w14:textId="77777777" w:rsidR="00C9003B" w:rsidRPr="003B4086" w:rsidRDefault="00C9003B" w:rsidP="008A1C56">
            <w:pPr>
              <w:pStyle w:val="Tabletext"/>
              <w:keepNext/>
              <w:keepLines/>
            </w:pPr>
            <w:r w:rsidRPr="003B4086">
              <w:t xml:space="preserve">    Severe AEs (grade 3 or 4)</w:t>
            </w:r>
          </w:p>
        </w:tc>
        <w:tc>
          <w:tcPr>
            <w:tcW w:w="811" w:type="pct"/>
          </w:tcPr>
          <w:p w14:paraId="434DF567" w14:textId="77777777" w:rsidR="00C9003B" w:rsidRPr="003B4086" w:rsidRDefault="00C9003B" w:rsidP="008A1C56">
            <w:pPr>
              <w:pStyle w:val="Tabletext"/>
              <w:keepNext/>
              <w:keepLines/>
            </w:pPr>
          </w:p>
          <w:p w14:paraId="20CC3714" w14:textId="77777777" w:rsidR="00C9003B" w:rsidRPr="003B4086" w:rsidRDefault="00C9003B" w:rsidP="008A1C56">
            <w:pPr>
              <w:pStyle w:val="Tabletext"/>
              <w:keepNext/>
              <w:keepLines/>
            </w:pPr>
          </w:p>
          <w:p w14:paraId="5569B8C1" w14:textId="77777777" w:rsidR="00C9003B" w:rsidRPr="003B4086" w:rsidRDefault="00C9003B" w:rsidP="008A1C56">
            <w:pPr>
              <w:pStyle w:val="Tabletext"/>
              <w:keepNext/>
              <w:keepLines/>
            </w:pPr>
            <w:r w:rsidRPr="003B4086">
              <w:t>45 (12.8%)</w:t>
            </w:r>
          </w:p>
          <w:p w14:paraId="53E1B0AF" w14:textId="77777777" w:rsidR="00C9003B" w:rsidRPr="003B4086" w:rsidRDefault="00C9003B" w:rsidP="008A1C56">
            <w:pPr>
              <w:pStyle w:val="Tabletext"/>
              <w:keepNext/>
              <w:keepLines/>
            </w:pPr>
            <w:r w:rsidRPr="003B4086">
              <w:t>25 (7.1%)</w:t>
            </w:r>
          </w:p>
        </w:tc>
        <w:tc>
          <w:tcPr>
            <w:tcW w:w="773" w:type="pct"/>
          </w:tcPr>
          <w:p w14:paraId="14440AFC" w14:textId="77777777" w:rsidR="00C9003B" w:rsidRPr="003B4086" w:rsidRDefault="00C9003B" w:rsidP="008A1C56">
            <w:pPr>
              <w:pStyle w:val="Tabletext"/>
              <w:keepNext/>
              <w:keepLines/>
            </w:pPr>
          </w:p>
          <w:p w14:paraId="11661E1F" w14:textId="77777777" w:rsidR="00C9003B" w:rsidRPr="003B4086" w:rsidRDefault="00C9003B" w:rsidP="008A1C56">
            <w:pPr>
              <w:pStyle w:val="Tabletext"/>
              <w:keepNext/>
              <w:keepLines/>
            </w:pPr>
          </w:p>
          <w:p w14:paraId="159E440F" w14:textId="77777777" w:rsidR="00C9003B" w:rsidRPr="003B4086" w:rsidRDefault="00C9003B" w:rsidP="008A1C56">
            <w:pPr>
              <w:pStyle w:val="Tabletext"/>
              <w:keepNext/>
              <w:keepLines/>
            </w:pPr>
            <w:r w:rsidRPr="003B4086">
              <w:t>7 (2.0%)</w:t>
            </w:r>
          </w:p>
          <w:p w14:paraId="73A5C126" w14:textId="77777777" w:rsidR="00C9003B" w:rsidRPr="003B4086" w:rsidRDefault="00C9003B" w:rsidP="008A1C56">
            <w:pPr>
              <w:pStyle w:val="Tabletext"/>
              <w:keepNext/>
              <w:keepLines/>
              <w:rPr>
                <w:b/>
              </w:rPr>
            </w:pPr>
            <w:r w:rsidRPr="003B4086">
              <w:t>5 (1.4%)</w:t>
            </w:r>
          </w:p>
        </w:tc>
        <w:tc>
          <w:tcPr>
            <w:tcW w:w="854" w:type="pct"/>
            <w:hideMark/>
          </w:tcPr>
          <w:p w14:paraId="38EFB682" w14:textId="77777777" w:rsidR="00C9003B" w:rsidRPr="003B4086" w:rsidRDefault="00C9003B" w:rsidP="008A1C56">
            <w:pPr>
              <w:pStyle w:val="Tabletext"/>
              <w:keepNext/>
              <w:keepLines/>
              <w:rPr>
                <w:b/>
              </w:rPr>
            </w:pPr>
          </w:p>
          <w:p w14:paraId="5F395BB0" w14:textId="77777777" w:rsidR="00C9003B" w:rsidRPr="003B4086" w:rsidRDefault="00C9003B" w:rsidP="008A1C56">
            <w:pPr>
              <w:pStyle w:val="Tabletext"/>
              <w:keepNext/>
              <w:keepLines/>
              <w:rPr>
                <w:b/>
              </w:rPr>
            </w:pPr>
          </w:p>
          <w:p w14:paraId="367F4D33" w14:textId="77777777" w:rsidR="00C9003B" w:rsidRPr="003B4086" w:rsidRDefault="00C9003B" w:rsidP="008A1C56">
            <w:pPr>
              <w:pStyle w:val="Tabletext"/>
              <w:keepNext/>
              <w:keepLines/>
              <w:rPr>
                <w:b/>
              </w:rPr>
            </w:pPr>
            <w:r w:rsidRPr="003B4086">
              <w:rPr>
                <w:b/>
              </w:rPr>
              <w:t>6.37 [2.91, 13.94]</w:t>
            </w:r>
          </w:p>
          <w:p w14:paraId="4CC16456" w14:textId="77777777" w:rsidR="00C9003B" w:rsidRPr="003B4086" w:rsidRDefault="00C9003B" w:rsidP="008A1C56">
            <w:pPr>
              <w:pStyle w:val="Tabletext"/>
              <w:keepNext/>
              <w:keepLines/>
              <w:rPr>
                <w:b/>
              </w:rPr>
            </w:pPr>
            <w:r w:rsidRPr="003B4086">
              <w:rPr>
                <w:b/>
              </w:rPr>
              <w:t>4.96 [1.92, 12.80]</w:t>
            </w:r>
          </w:p>
        </w:tc>
        <w:tc>
          <w:tcPr>
            <w:tcW w:w="954" w:type="pct"/>
            <w:hideMark/>
          </w:tcPr>
          <w:p w14:paraId="323303AC" w14:textId="77777777" w:rsidR="00C9003B" w:rsidRPr="003B4086" w:rsidRDefault="00C9003B" w:rsidP="008A1C56">
            <w:pPr>
              <w:pStyle w:val="Tabletext"/>
              <w:keepNext/>
              <w:keepLines/>
              <w:rPr>
                <w:b/>
              </w:rPr>
            </w:pPr>
          </w:p>
          <w:p w14:paraId="6A209B73" w14:textId="77777777" w:rsidR="00C9003B" w:rsidRPr="003B4086" w:rsidRDefault="00C9003B" w:rsidP="008A1C56">
            <w:pPr>
              <w:pStyle w:val="Tabletext"/>
              <w:keepNext/>
              <w:keepLines/>
              <w:rPr>
                <w:b/>
              </w:rPr>
            </w:pPr>
          </w:p>
          <w:p w14:paraId="7FF86CEE" w14:textId="77777777" w:rsidR="00C9003B" w:rsidRPr="003B4086" w:rsidRDefault="00C9003B" w:rsidP="008A1C56">
            <w:pPr>
              <w:pStyle w:val="Tabletext"/>
              <w:keepNext/>
              <w:keepLines/>
              <w:rPr>
                <w:b/>
              </w:rPr>
            </w:pPr>
            <w:r w:rsidRPr="003B4086">
              <w:rPr>
                <w:b/>
              </w:rPr>
              <w:t>0.11 [0.07, 0.15]</w:t>
            </w:r>
          </w:p>
          <w:p w14:paraId="7877E4B6" w14:textId="77777777" w:rsidR="00C9003B" w:rsidRPr="003B4086" w:rsidRDefault="00C9003B" w:rsidP="008A1C56">
            <w:pPr>
              <w:pStyle w:val="Tabletext"/>
              <w:keepNext/>
              <w:keepLines/>
              <w:rPr>
                <w:b/>
              </w:rPr>
            </w:pPr>
            <w:r w:rsidRPr="003B4086">
              <w:rPr>
                <w:b/>
              </w:rPr>
              <w:t>0.06 [0.03, 0.09]</w:t>
            </w:r>
          </w:p>
        </w:tc>
      </w:tr>
      <w:tr w:rsidR="00C9003B" w:rsidRPr="003B4086" w14:paraId="6ED80269" w14:textId="77777777" w:rsidTr="008C5ED1">
        <w:tc>
          <w:tcPr>
            <w:tcW w:w="1608" w:type="pct"/>
            <w:hideMark/>
          </w:tcPr>
          <w:p w14:paraId="28F64924" w14:textId="77777777" w:rsidR="00C9003B" w:rsidRPr="003B4086" w:rsidRDefault="00C9003B" w:rsidP="008A1C56">
            <w:pPr>
              <w:pStyle w:val="Tabletext"/>
              <w:keepNext/>
              <w:keepLines/>
            </w:pPr>
            <w:r w:rsidRPr="003B4086">
              <w:t>Death</w:t>
            </w:r>
          </w:p>
        </w:tc>
        <w:tc>
          <w:tcPr>
            <w:tcW w:w="811" w:type="pct"/>
            <w:hideMark/>
          </w:tcPr>
          <w:p w14:paraId="0B60B16A" w14:textId="77777777" w:rsidR="00C9003B" w:rsidRPr="003B4086" w:rsidRDefault="00C9003B" w:rsidP="008A1C56">
            <w:pPr>
              <w:pStyle w:val="Tabletext"/>
              <w:keepNext/>
              <w:keepLines/>
              <w:rPr>
                <w:vertAlign w:val="superscript"/>
              </w:rPr>
            </w:pPr>
            <w:r w:rsidRPr="003B4086">
              <w:t>3 (0.9%)</w:t>
            </w:r>
            <w:r w:rsidRPr="003B4086">
              <w:rPr>
                <w:vertAlign w:val="superscript"/>
              </w:rPr>
              <w:t>a</w:t>
            </w:r>
          </w:p>
        </w:tc>
        <w:tc>
          <w:tcPr>
            <w:tcW w:w="773" w:type="pct"/>
          </w:tcPr>
          <w:p w14:paraId="1782DFFD" w14:textId="77777777" w:rsidR="00C9003B" w:rsidRPr="003B4086" w:rsidRDefault="00C9003B" w:rsidP="008A1C56">
            <w:pPr>
              <w:pStyle w:val="Tabletext"/>
              <w:keepNext/>
              <w:keepLines/>
            </w:pPr>
            <w:r w:rsidRPr="003B4086">
              <w:t>0 (0.0%)</w:t>
            </w:r>
          </w:p>
        </w:tc>
        <w:tc>
          <w:tcPr>
            <w:tcW w:w="854" w:type="pct"/>
            <w:hideMark/>
          </w:tcPr>
          <w:p w14:paraId="12D7B465" w14:textId="77777777" w:rsidR="00C9003B" w:rsidRPr="003B4086" w:rsidRDefault="00C9003B" w:rsidP="008A1C56">
            <w:pPr>
              <w:pStyle w:val="Tabletext"/>
              <w:keepNext/>
              <w:keepLines/>
            </w:pPr>
            <w:r w:rsidRPr="003B4086">
              <w:t>6.94 [0.36, 33.87]</w:t>
            </w:r>
          </w:p>
        </w:tc>
        <w:tc>
          <w:tcPr>
            <w:tcW w:w="954" w:type="pct"/>
            <w:hideMark/>
          </w:tcPr>
          <w:p w14:paraId="7830451B" w14:textId="77777777" w:rsidR="00C9003B" w:rsidRPr="003B4086" w:rsidRDefault="00C9003B" w:rsidP="008A1C56">
            <w:pPr>
              <w:pStyle w:val="Tabletext"/>
              <w:keepNext/>
              <w:keepLines/>
            </w:pPr>
            <w:r w:rsidRPr="003B4086">
              <w:t>0.01 [-0.00, 0.02]</w:t>
            </w:r>
          </w:p>
        </w:tc>
      </w:tr>
    </w:tbl>
    <w:p w14:paraId="6FE15BAB" w14:textId="77777777" w:rsidR="00C9003B" w:rsidRPr="003B4086" w:rsidRDefault="00C9003B" w:rsidP="00C9003B">
      <w:pPr>
        <w:pStyle w:val="TableFigureFooter"/>
        <w:rPr>
          <w:rFonts w:eastAsiaTheme="minorHAnsi"/>
        </w:rPr>
      </w:pPr>
      <w:r w:rsidRPr="003B4086">
        <w:rPr>
          <w:rFonts w:eastAsiaTheme="minorHAnsi"/>
        </w:rPr>
        <w:t>Source: Table 29, p80 of the submission</w:t>
      </w:r>
    </w:p>
    <w:p w14:paraId="3386B41F" w14:textId="77777777" w:rsidR="00C9003B" w:rsidRPr="003B4086" w:rsidRDefault="00C9003B" w:rsidP="00C9003B">
      <w:pPr>
        <w:pStyle w:val="TableFigureFooter"/>
        <w:rPr>
          <w:rFonts w:eastAsiaTheme="minorHAnsi"/>
        </w:rPr>
      </w:pPr>
      <w:r w:rsidRPr="003B4086">
        <w:rPr>
          <w:rFonts w:eastAsiaTheme="minorHAnsi"/>
        </w:rPr>
        <w:t xml:space="preserve">AE = adverse event; CI = confidence interval; SAE = serious adverse event; NIVO = nivolumab; PBO = placebo. </w:t>
      </w:r>
    </w:p>
    <w:p w14:paraId="51B8CC9F" w14:textId="3F85BDC1" w:rsidR="00C9003B" w:rsidRPr="003B4086" w:rsidRDefault="00D83473" w:rsidP="00C9003B">
      <w:pPr>
        <w:pStyle w:val="TableFigureFooter"/>
        <w:rPr>
          <w:rFonts w:eastAsiaTheme="minorHAnsi"/>
        </w:rPr>
      </w:pPr>
      <w:r w:rsidRPr="003B4086">
        <w:rPr>
          <w:rFonts w:eastAsiaTheme="minorHAnsi"/>
        </w:rPr>
        <w:t xml:space="preserve">Notes: </w:t>
      </w:r>
      <w:r w:rsidR="00C9003B" w:rsidRPr="003B4086">
        <w:rPr>
          <w:rFonts w:eastAsiaTheme="minorHAnsi"/>
        </w:rPr>
        <w:t xml:space="preserve">Results in </w:t>
      </w:r>
      <w:r w:rsidR="00C9003B" w:rsidRPr="003B4086">
        <w:rPr>
          <w:rFonts w:eastAsiaTheme="minorHAnsi"/>
          <w:b/>
          <w:bCs/>
        </w:rPr>
        <w:t xml:space="preserve">bold </w:t>
      </w:r>
      <w:r w:rsidR="00C9003B" w:rsidRPr="003B4086">
        <w:rPr>
          <w:rFonts w:eastAsiaTheme="minorHAnsi"/>
        </w:rPr>
        <w:t>indicate statistically significance (p &lt; 0.05).</w:t>
      </w:r>
    </w:p>
    <w:p w14:paraId="398ED4EA" w14:textId="77777777" w:rsidR="00C9003B" w:rsidRPr="003B4086" w:rsidRDefault="00C9003B" w:rsidP="00C9003B">
      <w:pPr>
        <w:pStyle w:val="TableFigureFooter"/>
        <w:rPr>
          <w:rFonts w:eastAsiaTheme="minorHAnsi"/>
        </w:rPr>
      </w:pPr>
      <w:r w:rsidRPr="003B4086">
        <w:rPr>
          <w:rFonts w:eastAsiaTheme="minorHAnsi"/>
        </w:rPr>
        <w:t>The risk ratios (RR) and risk differences (RD) were for nivolumab versus placebo. RR &gt; 1 and RD &gt; 0 favour placebo over nivolumab.</w:t>
      </w:r>
    </w:p>
    <w:p w14:paraId="7E43A741" w14:textId="65418AF1" w:rsidR="005D26B4" w:rsidRPr="003B4086" w:rsidRDefault="00C9003B" w:rsidP="00C9003B">
      <w:pPr>
        <w:pStyle w:val="TableFigureFooter"/>
        <w:rPr>
          <w:rFonts w:eastAsiaTheme="minorHAnsi"/>
        </w:rPr>
      </w:pPr>
      <w:r w:rsidRPr="003B4086">
        <w:rPr>
          <w:rFonts w:eastAsiaTheme="minorHAnsi"/>
          <w:vertAlign w:val="superscript"/>
        </w:rPr>
        <w:t>a</w:t>
      </w:r>
      <w:r w:rsidRPr="003B4086">
        <w:rPr>
          <w:rFonts w:eastAsiaTheme="minorHAnsi"/>
        </w:rPr>
        <w:t>Two treatment-related deaths due to pneumonitis and one treatment-related death due to bowel perforation occurred in the nivolumab arm.</w:t>
      </w:r>
    </w:p>
    <w:p w14:paraId="715C7930" w14:textId="46F4F1FD" w:rsidR="00C9003B" w:rsidRPr="003B4086" w:rsidRDefault="00C9003B" w:rsidP="00E56E69">
      <w:pPr>
        <w:pStyle w:val="3-BodyText"/>
        <w:spacing w:after="0"/>
      </w:pPr>
      <w:r w:rsidRPr="003B4086">
        <w:t>Adverse events</w:t>
      </w:r>
      <w:r w:rsidR="00D83473" w:rsidRPr="003B4086">
        <w:t xml:space="preserve"> (AEs)</w:t>
      </w:r>
      <w:r w:rsidRPr="003B4086">
        <w:t xml:space="preserve"> were reported in almost all patients in both treatment arms (98.9% in nivolumab arm, 95.4% in placebo arm). The risk ratios (RRs) and risk differences (RDs) were statistically significant favouring placebo over nivolumab for the following AEs:</w:t>
      </w:r>
    </w:p>
    <w:p w14:paraId="6993C699" w14:textId="0AF092F7" w:rsidR="00C9003B" w:rsidRPr="003B4086" w:rsidRDefault="00C9003B" w:rsidP="00773A6D">
      <w:pPr>
        <w:pStyle w:val="3-BodyText"/>
        <w:numPr>
          <w:ilvl w:val="0"/>
          <w:numId w:val="8"/>
        </w:numPr>
        <w:spacing w:after="0"/>
      </w:pPr>
      <w:r w:rsidRPr="003B4086">
        <w:t xml:space="preserve">Study drug-related </w:t>
      </w:r>
      <w:r w:rsidR="00D83473" w:rsidRPr="003B4086">
        <w:t xml:space="preserve">serious AE (SAE), any grade </w:t>
      </w:r>
      <w:r w:rsidRPr="003B4086">
        <w:t>(RR 4.53 [95% CI: 2.03, 10.13])</w:t>
      </w:r>
    </w:p>
    <w:p w14:paraId="6536C0E2" w14:textId="173619B5" w:rsidR="00C9003B" w:rsidRPr="003B4086" w:rsidRDefault="00C9003B" w:rsidP="00773A6D">
      <w:pPr>
        <w:pStyle w:val="3-BodyText"/>
        <w:numPr>
          <w:ilvl w:val="0"/>
          <w:numId w:val="8"/>
        </w:numPr>
        <w:spacing w:after="0"/>
      </w:pPr>
      <w:r w:rsidRPr="003B4086">
        <w:t>Study drug-related severe Grade 3-4 AE (RR</w:t>
      </w:r>
      <w:r w:rsidR="00B349C5" w:rsidRPr="003B4086">
        <w:t xml:space="preserve"> </w:t>
      </w:r>
      <w:r w:rsidRPr="003B4086">
        <w:t>2.50 [95% CI: 1.61, 3.88]);</w:t>
      </w:r>
    </w:p>
    <w:p w14:paraId="00928E20" w14:textId="7A958F64" w:rsidR="00C9003B" w:rsidRPr="003B4086" w:rsidRDefault="00C9003B" w:rsidP="00773A6D">
      <w:pPr>
        <w:pStyle w:val="3-BodyText"/>
        <w:numPr>
          <w:ilvl w:val="0"/>
          <w:numId w:val="8"/>
        </w:numPr>
        <w:spacing w:after="0"/>
      </w:pPr>
      <w:r w:rsidRPr="003B4086">
        <w:t xml:space="preserve">Study drug-related Grade 3-4 SAE (RR 4.30 [95% CI: 1.79, 10.31]); and </w:t>
      </w:r>
    </w:p>
    <w:p w14:paraId="116303F2" w14:textId="41AEEF3E" w:rsidR="00C9003B" w:rsidRPr="003B4086" w:rsidRDefault="00C9003B" w:rsidP="00773A6D">
      <w:pPr>
        <w:pStyle w:val="3-BodyText"/>
        <w:numPr>
          <w:ilvl w:val="0"/>
          <w:numId w:val="8"/>
        </w:numPr>
        <w:spacing w:after="0"/>
      </w:pPr>
      <w:r w:rsidRPr="003B4086">
        <w:t>Discontinuation of study treatment due to a Grade 3-4 severe AE (RR 4.96 [95% CI; 1.92, 12.80]).</w:t>
      </w:r>
    </w:p>
    <w:p w14:paraId="27A2EADC" w14:textId="4925935A" w:rsidR="00C9003B" w:rsidRPr="003B4086" w:rsidRDefault="00C9003B" w:rsidP="00C9003B">
      <w:pPr>
        <w:pStyle w:val="3-BodyText"/>
      </w:pPr>
      <w:r w:rsidRPr="003B4086">
        <w:lastRenderedPageBreak/>
        <w:t xml:space="preserve">Two </w:t>
      </w:r>
      <w:r w:rsidR="00456C45" w:rsidRPr="003B4086">
        <w:t xml:space="preserve">(0.6%) </w:t>
      </w:r>
      <w:r w:rsidRPr="003B4086">
        <w:t xml:space="preserve">treatment-related deaths due to pneumonitis and one </w:t>
      </w:r>
      <w:r w:rsidR="00456C45" w:rsidRPr="003B4086">
        <w:t xml:space="preserve">(0.3%) </w:t>
      </w:r>
      <w:r w:rsidRPr="003B4086">
        <w:t>treatment-related death due to bowel perforation occurred in the nivolumab group.</w:t>
      </w:r>
      <w:r w:rsidR="00224E9F" w:rsidRPr="003B4086">
        <w:t xml:space="preserve"> The most common drug related AEs reported in the nivolumab arm were pruritus (23.1%), fatigue (17.4%), diarrhoea (16.8%), and rash (15.1%). The most common SAEs were urinary tract infection (2.6%), malignant neoplasm progression (2.3%), intestinal obstruction (1.4%), acute kidney injury (1.4%) and sepsis (1.1%).</w:t>
      </w:r>
    </w:p>
    <w:p w14:paraId="28C1B52A" w14:textId="64114BEC" w:rsidR="00224E9F" w:rsidRPr="003B4086" w:rsidRDefault="00224E9F" w:rsidP="00625E81">
      <w:pPr>
        <w:pStyle w:val="3-BodyText"/>
        <w:rPr>
          <w:iCs/>
        </w:rPr>
      </w:pPr>
      <w:r w:rsidRPr="003B4086">
        <w:rPr>
          <w:iCs/>
        </w:rPr>
        <w:t xml:space="preserve">AEs of special interest (AESIs) included demyelination, encephalitis, Guillain-Barré syndrome, myasthenia, myocarditis, myositis, pancreatitis, rhabdomyolysis, graft versus host disease and uveitis. Overall, AESIs were reported in 2.3% </w:t>
      </w:r>
      <w:r w:rsidR="00D83473" w:rsidRPr="003B4086">
        <w:rPr>
          <w:iCs/>
        </w:rPr>
        <w:t xml:space="preserve">of patients </w:t>
      </w:r>
      <w:r w:rsidRPr="003B4086">
        <w:rPr>
          <w:iCs/>
        </w:rPr>
        <w:t>in the nivolumab arm and 1.1% subjects in the placebo arm (p87</w:t>
      </w:r>
      <w:r w:rsidR="00625E81" w:rsidRPr="003B4086">
        <w:rPr>
          <w:iCs/>
        </w:rPr>
        <w:t>, Round 2 CER for nivolumab, Submission PM-2021-02518-1-4</w:t>
      </w:r>
      <w:r w:rsidRPr="003B4086">
        <w:rPr>
          <w:iCs/>
        </w:rPr>
        <w:t>).</w:t>
      </w:r>
    </w:p>
    <w:p w14:paraId="1B14A139" w14:textId="0CA0FB5D" w:rsidR="00224E9F" w:rsidRPr="003B4086" w:rsidRDefault="00224E9F" w:rsidP="00224E9F">
      <w:pPr>
        <w:pStyle w:val="3-BodyText"/>
        <w:rPr>
          <w:iCs/>
        </w:rPr>
      </w:pPr>
      <w:r w:rsidRPr="003B4086">
        <w:rPr>
          <w:iCs/>
        </w:rPr>
        <w:t xml:space="preserve">Overall, no new safety issues were identified </w:t>
      </w:r>
      <w:r w:rsidR="009C58E6" w:rsidRPr="003B4086">
        <w:rPr>
          <w:iCs/>
        </w:rPr>
        <w:t>from the CM274 trial.</w:t>
      </w:r>
      <w:r w:rsidRPr="003B4086">
        <w:rPr>
          <w:iCs/>
        </w:rPr>
        <w:t xml:space="preserve"> </w:t>
      </w:r>
      <w:r w:rsidR="009C58E6" w:rsidRPr="003B4086">
        <w:rPr>
          <w:iCs/>
        </w:rPr>
        <w:t>T</w:t>
      </w:r>
      <w:r w:rsidRPr="003B4086">
        <w:rPr>
          <w:iCs/>
        </w:rPr>
        <w:t xml:space="preserve">he safety profile </w:t>
      </w:r>
      <w:r w:rsidR="009C58E6" w:rsidRPr="003B4086">
        <w:rPr>
          <w:iCs/>
        </w:rPr>
        <w:t xml:space="preserve">of nivolumab monotherapy </w:t>
      </w:r>
      <w:r w:rsidRPr="003B4086">
        <w:rPr>
          <w:iCs/>
        </w:rPr>
        <w:t xml:space="preserve">was consistent with previously </w:t>
      </w:r>
      <w:r w:rsidR="009C58E6" w:rsidRPr="003B4086">
        <w:rPr>
          <w:iCs/>
        </w:rPr>
        <w:t>documented safety data.</w:t>
      </w:r>
    </w:p>
    <w:p w14:paraId="04908C7F" w14:textId="415B9B7D" w:rsidR="007F1017" w:rsidRPr="003B4086" w:rsidRDefault="007F1017" w:rsidP="00D86231">
      <w:pPr>
        <w:pStyle w:val="4-SubsectionHeading"/>
      </w:pPr>
      <w:bookmarkStart w:id="39" w:name="_Toc22897643"/>
      <w:bookmarkStart w:id="40" w:name="_Toc103768132"/>
      <w:r w:rsidRPr="003B4086">
        <w:t>Benefits/harms</w:t>
      </w:r>
      <w:bookmarkEnd w:id="39"/>
      <w:bookmarkEnd w:id="40"/>
    </w:p>
    <w:p w14:paraId="06FED4AB" w14:textId="566C7C73" w:rsidR="00224E9F" w:rsidRPr="003B4086" w:rsidRDefault="00224E9F" w:rsidP="00D2155B">
      <w:pPr>
        <w:pStyle w:val="3-BodyText"/>
      </w:pPr>
      <w:r w:rsidRPr="003B4086">
        <w:rPr>
          <w:snapToGrid/>
        </w:rPr>
        <w:t>A summary of the comparative benefits and harms for nivolumab versus placebo is presented in</w:t>
      </w:r>
      <w:r w:rsidR="0036764F" w:rsidRPr="003B4086">
        <w:rPr>
          <w:snapToGrid/>
        </w:rPr>
        <w:t xml:space="preserve"> </w:t>
      </w:r>
      <w:r w:rsidR="0036764F" w:rsidRPr="003B4086">
        <w:rPr>
          <w:snapToGrid/>
        </w:rPr>
        <w:fldChar w:fldCharType="begin"/>
      </w:r>
      <w:r w:rsidR="0036764F" w:rsidRPr="003B4086">
        <w:rPr>
          <w:snapToGrid/>
        </w:rPr>
        <w:instrText xml:space="preserve"> REF _Ref102292757 \h </w:instrText>
      </w:r>
      <w:r w:rsidR="0036764F" w:rsidRPr="003B4086">
        <w:rPr>
          <w:snapToGrid/>
        </w:rPr>
      </w:r>
      <w:r w:rsidR="0036764F" w:rsidRPr="003B4086">
        <w:rPr>
          <w:snapToGrid/>
        </w:rPr>
        <w:fldChar w:fldCharType="separate"/>
      </w:r>
      <w:r w:rsidR="00C6296C" w:rsidRPr="003B4086">
        <w:t xml:space="preserve">Table </w:t>
      </w:r>
      <w:r w:rsidR="00C6296C" w:rsidRPr="003B4086">
        <w:rPr>
          <w:noProof/>
        </w:rPr>
        <w:t>10</w:t>
      </w:r>
      <w:r w:rsidR="0036764F" w:rsidRPr="003B4086">
        <w:rPr>
          <w:snapToGrid/>
        </w:rPr>
        <w:fldChar w:fldCharType="end"/>
      </w:r>
      <w:r w:rsidR="0036764F" w:rsidRPr="003B4086">
        <w:rPr>
          <w:snapToGrid/>
        </w:rPr>
        <w:t>.</w:t>
      </w:r>
    </w:p>
    <w:p w14:paraId="1825FF96" w14:textId="6FECFBE8" w:rsidR="00224E9F" w:rsidRPr="003B4086" w:rsidRDefault="006558A0" w:rsidP="006558A0">
      <w:pPr>
        <w:pStyle w:val="TableFigureHeading"/>
      </w:pPr>
      <w:bookmarkStart w:id="41" w:name="_Ref102292757"/>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10</w:t>
      </w:r>
      <w:r w:rsidR="00785573">
        <w:rPr>
          <w:noProof/>
        </w:rPr>
        <w:fldChar w:fldCharType="end"/>
      </w:r>
      <w:bookmarkEnd w:id="41"/>
      <w:r w:rsidRPr="003B4086">
        <w:t xml:space="preserve">: </w:t>
      </w:r>
      <w:r w:rsidR="00224E9F" w:rsidRPr="003B4086">
        <w:t>Summary of the comparative benefits and harms for nivolumab versus placebo</w:t>
      </w:r>
      <w:r w:rsidR="00D83473" w:rsidRPr="003B4086">
        <w:t xml:space="preserve"> (proxy for watchful waiting)</w:t>
      </w:r>
    </w:p>
    <w:tbl>
      <w:tblPr>
        <w:tblStyle w:val="TableGrid"/>
        <w:tblpPr w:leftFromText="180" w:rightFromText="180" w:vertAnchor="text" w:horzAnchor="margin" w:tblpY="35"/>
        <w:tblW w:w="5000" w:type="pct"/>
        <w:tblCellMar>
          <w:left w:w="28" w:type="dxa"/>
          <w:right w:w="28" w:type="dxa"/>
        </w:tblCellMar>
        <w:tblLook w:val="04A0" w:firstRow="1" w:lastRow="0" w:firstColumn="1" w:lastColumn="0" w:noHBand="0" w:noVBand="1"/>
        <w:tblCaption w:val="Table 11: Summary of the comparative benefits and harms for avelumab + BSC versus BSC"/>
      </w:tblPr>
      <w:tblGrid>
        <w:gridCol w:w="1701"/>
        <w:gridCol w:w="993"/>
        <w:gridCol w:w="427"/>
        <w:gridCol w:w="705"/>
        <w:gridCol w:w="849"/>
        <w:gridCol w:w="427"/>
        <w:gridCol w:w="990"/>
        <w:gridCol w:w="481"/>
        <w:gridCol w:w="864"/>
        <w:gridCol w:w="216"/>
        <w:gridCol w:w="1363"/>
      </w:tblGrid>
      <w:tr w:rsidR="0036764F" w:rsidRPr="003B4086" w14:paraId="160EE23D" w14:textId="77777777" w:rsidTr="008C5ED1">
        <w:trPr>
          <w:tblHeader/>
        </w:trPr>
        <w:tc>
          <w:tcPr>
            <w:tcW w:w="5000" w:type="pct"/>
            <w:gridSpan w:val="11"/>
            <w:tcBorders>
              <w:bottom w:val="single" w:sz="4" w:space="0" w:color="auto"/>
            </w:tcBorders>
            <w:shd w:val="clear" w:color="auto" w:fill="auto"/>
            <w:vAlign w:val="center"/>
          </w:tcPr>
          <w:p w14:paraId="50BDA279" w14:textId="281B04BD" w:rsidR="0036764F" w:rsidRPr="003B4086" w:rsidRDefault="0036764F" w:rsidP="0036764F">
            <w:pPr>
              <w:pStyle w:val="Tableheadingrow"/>
              <w:rPr>
                <w:lang w:val="en-AU"/>
              </w:rPr>
            </w:pPr>
            <w:r w:rsidRPr="003B4086">
              <w:rPr>
                <w:lang w:val="en-AU"/>
              </w:rPr>
              <w:t>Benefits</w:t>
            </w:r>
          </w:p>
        </w:tc>
      </w:tr>
      <w:tr w:rsidR="00224E9F" w:rsidRPr="003B4086" w14:paraId="7B4BCC5F" w14:textId="77777777" w:rsidTr="005168FA">
        <w:tc>
          <w:tcPr>
            <w:tcW w:w="1730" w:type="pct"/>
            <w:gridSpan w:val="3"/>
            <w:tcBorders>
              <w:bottom w:val="single" w:sz="4" w:space="0" w:color="auto"/>
            </w:tcBorders>
            <w:shd w:val="clear" w:color="auto" w:fill="auto"/>
            <w:vAlign w:val="center"/>
          </w:tcPr>
          <w:p w14:paraId="5409EF50" w14:textId="77777777" w:rsidR="00224E9F" w:rsidRPr="003B4086" w:rsidRDefault="00224E9F" w:rsidP="00224E9F">
            <w:pPr>
              <w:pStyle w:val="Tableheadingrow"/>
              <w:rPr>
                <w:lang w:val="en-AU"/>
              </w:rPr>
            </w:pPr>
          </w:p>
        </w:tc>
        <w:tc>
          <w:tcPr>
            <w:tcW w:w="862" w:type="pct"/>
            <w:gridSpan w:val="2"/>
            <w:tcBorders>
              <w:bottom w:val="single" w:sz="4" w:space="0" w:color="auto"/>
            </w:tcBorders>
            <w:shd w:val="clear" w:color="auto" w:fill="auto"/>
            <w:vAlign w:val="center"/>
          </w:tcPr>
          <w:p w14:paraId="262EF54D" w14:textId="77777777" w:rsidR="00224E9F" w:rsidRPr="003B4086" w:rsidRDefault="00224E9F" w:rsidP="00224E9F">
            <w:pPr>
              <w:pStyle w:val="Tableheadingrow"/>
              <w:jc w:val="center"/>
              <w:rPr>
                <w:lang w:val="en-AU"/>
              </w:rPr>
            </w:pPr>
            <w:r w:rsidRPr="003B4086">
              <w:rPr>
                <w:lang w:val="en-AU"/>
              </w:rPr>
              <w:t>Nivolumab</w:t>
            </w:r>
          </w:p>
          <w:p w14:paraId="1C2EAFE6" w14:textId="4F57D21E" w:rsidR="00D83473" w:rsidRPr="003B4086" w:rsidRDefault="00D83473" w:rsidP="00224E9F">
            <w:pPr>
              <w:pStyle w:val="Tableheadingrow"/>
              <w:jc w:val="center"/>
              <w:rPr>
                <w:lang w:val="en-AU"/>
              </w:rPr>
            </w:pPr>
            <w:r w:rsidRPr="003B4086">
              <w:rPr>
                <w:lang w:val="en-AU"/>
              </w:rPr>
              <w:t>N=353</w:t>
            </w:r>
          </w:p>
        </w:tc>
        <w:tc>
          <w:tcPr>
            <w:tcW w:w="786" w:type="pct"/>
            <w:gridSpan w:val="2"/>
            <w:tcBorders>
              <w:bottom w:val="single" w:sz="4" w:space="0" w:color="auto"/>
            </w:tcBorders>
            <w:shd w:val="clear" w:color="auto" w:fill="auto"/>
            <w:vAlign w:val="center"/>
          </w:tcPr>
          <w:p w14:paraId="519B6755" w14:textId="77777777" w:rsidR="00224E9F" w:rsidRPr="003B4086" w:rsidRDefault="00224E9F" w:rsidP="00224E9F">
            <w:pPr>
              <w:pStyle w:val="Tableheadingrow"/>
              <w:jc w:val="center"/>
              <w:rPr>
                <w:lang w:val="en-AU"/>
              </w:rPr>
            </w:pPr>
            <w:r w:rsidRPr="003B4086">
              <w:rPr>
                <w:lang w:val="en-AU"/>
              </w:rPr>
              <w:t>Placebo</w:t>
            </w:r>
          </w:p>
          <w:p w14:paraId="461ECA3E" w14:textId="56368870" w:rsidR="00D83473" w:rsidRPr="003B4086" w:rsidRDefault="00D83473" w:rsidP="00224E9F">
            <w:pPr>
              <w:pStyle w:val="Tableheadingrow"/>
              <w:jc w:val="center"/>
              <w:rPr>
                <w:lang w:val="en-AU"/>
              </w:rPr>
            </w:pPr>
            <w:r w:rsidRPr="003B4086">
              <w:rPr>
                <w:lang w:val="en-AU"/>
              </w:rPr>
              <w:t>N=356</w:t>
            </w:r>
          </w:p>
        </w:tc>
        <w:tc>
          <w:tcPr>
            <w:tcW w:w="746" w:type="pct"/>
            <w:gridSpan w:val="2"/>
            <w:tcBorders>
              <w:bottom w:val="single" w:sz="4" w:space="0" w:color="auto"/>
            </w:tcBorders>
            <w:shd w:val="clear" w:color="auto" w:fill="auto"/>
            <w:vAlign w:val="center"/>
          </w:tcPr>
          <w:p w14:paraId="26419580" w14:textId="77777777" w:rsidR="00224E9F" w:rsidRPr="003B4086" w:rsidRDefault="00224E9F" w:rsidP="005168FA">
            <w:pPr>
              <w:pStyle w:val="Tableheadingrow"/>
              <w:jc w:val="center"/>
              <w:rPr>
                <w:lang w:val="en-AU"/>
              </w:rPr>
            </w:pPr>
            <w:r w:rsidRPr="003B4086">
              <w:rPr>
                <w:lang w:val="en-AU"/>
              </w:rPr>
              <w:t>Absolute difference</w:t>
            </w:r>
          </w:p>
        </w:tc>
        <w:tc>
          <w:tcPr>
            <w:tcW w:w="877" w:type="pct"/>
            <w:gridSpan w:val="2"/>
            <w:tcBorders>
              <w:bottom w:val="single" w:sz="4" w:space="0" w:color="auto"/>
            </w:tcBorders>
            <w:shd w:val="clear" w:color="auto" w:fill="auto"/>
            <w:vAlign w:val="center"/>
          </w:tcPr>
          <w:p w14:paraId="3D111555" w14:textId="77777777" w:rsidR="00224E9F" w:rsidRPr="003B4086" w:rsidRDefault="00224E9F" w:rsidP="00224E9F">
            <w:pPr>
              <w:pStyle w:val="Tableheadingrow"/>
              <w:jc w:val="center"/>
              <w:rPr>
                <w:lang w:val="en-AU"/>
              </w:rPr>
            </w:pPr>
            <w:r w:rsidRPr="003B4086">
              <w:rPr>
                <w:lang w:val="en-AU"/>
              </w:rPr>
              <w:t xml:space="preserve">HR </w:t>
            </w:r>
          </w:p>
          <w:p w14:paraId="5379DAFB" w14:textId="77777777" w:rsidR="00224E9F" w:rsidRPr="003B4086" w:rsidRDefault="00224E9F" w:rsidP="00224E9F">
            <w:pPr>
              <w:pStyle w:val="Tableheadingrow"/>
              <w:jc w:val="center"/>
              <w:rPr>
                <w:lang w:val="en-AU"/>
              </w:rPr>
            </w:pPr>
            <w:r w:rsidRPr="003B4086">
              <w:rPr>
                <w:lang w:val="en-AU"/>
              </w:rPr>
              <w:t>(95% CI)</w:t>
            </w:r>
          </w:p>
          <w:p w14:paraId="536C42CE" w14:textId="7AEFAC58" w:rsidR="005B449F" w:rsidRPr="003B4086" w:rsidRDefault="005B449F" w:rsidP="00224E9F">
            <w:pPr>
              <w:pStyle w:val="Tableheadingrow"/>
              <w:jc w:val="center"/>
              <w:rPr>
                <w:lang w:val="en-AU"/>
              </w:rPr>
            </w:pPr>
            <w:r w:rsidRPr="003B4086">
              <w:rPr>
                <w:lang w:val="en-AU"/>
              </w:rPr>
              <w:t>[p-value]</w:t>
            </w:r>
          </w:p>
        </w:tc>
      </w:tr>
      <w:tr w:rsidR="00224E9F" w:rsidRPr="003B4086" w14:paraId="77987046" w14:textId="77777777" w:rsidTr="008C5ED1">
        <w:tc>
          <w:tcPr>
            <w:tcW w:w="5000" w:type="pct"/>
            <w:gridSpan w:val="11"/>
            <w:tcBorders>
              <w:bottom w:val="single" w:sz="4" w:space="0" w:color="auto"/>
            </w:tcBorders>
            <w:shd w:val="clear" w:color="auto" w:fill="auto"/>
          </w:tcPr>
          <w:p w14:paraId="25EC5C2A" w14:textId="14A8F23E" w:rsidR="00224E9F" w:rsidRPr="003B4086" w:rsidRDefault="0019492B" w:rsidP="00224E9F">
            <w:pPr>
              <w:pStyle w:val="Tableheadingrow"/>
              <w:rPr>
                <w:lang w:val="en-AU"/>
              </w:rPr>
            </w:pPr>
            <w:r w:rsidRPr="003B4086">
              <w:rPr>
                <w:lang w:val="en-AU"/>
              </w:rPr>
              <w:t>DFS</w:t>
            </w:r>
            <w:r w:rsidR="00224E9F" w:rsidRPr="003B4086">
              <w:rPr>
                <w:lang w:val="en-AU"/>
              </w:rPr>
              <w:t xml:space="preserve"> (median duration of </w:t>
            </w:r>
            <w:r w:rsidR="002979D3" w:rsidRPr="003B4086">
              <w:rPr>
                <w:lang w:val="en-AU"/>
              </w:rPr>
              <w:t>follow-up</w:t>
            </w:r>
            <w:r w:rsidR="00224E9F" w:rsidRPr="003B4086">
              <w:rPr>
                <w:lang w:val="en-AU"/>
              </w:rPr>
              <w:t>: Nivolumab 24.4 months, Placebo 22.5 months)</w:t>
            </w:r>
            <w:r w:rsidR="00D83473" w:rsidRPr="003B4086">
              <w:rPr>
                <w:lang w:val="en-AU"/>
              </w:rPr>
              <w:t xml:space="preserve"> - ITT</w:t>
            </w:r>
          </w:p>
        </w:tc>
      </w:tr>
      <w:tr w:rsidR="00224E9F" w:rsidRPr="003B4086" w14:paraId="64A973AF" w14:textId="77777777" w:rsidTr="008C5ED1">
        <w:tc>
          <w:tcPr>
            <w:tcW w:w="1730" w:type="pct"/>
            <w:gridSpan w:val="3"/>
            <w:tcBorders>
              <w:bottom w:val="single" w:sz="4" w:space="0" w:color="auto"/>
              <w:right w:val="single" w:sz="4" w:space="0" w:color="auto"/>
            </w:tcBorders>
            <w:shd w:val="clear" w:color="auto" w:fill="auto"/>
          </w:tcPr>
          <w:p w14:paraId="2E183666" w14:textId="4708A901" w:rsidR="00224E9F" w:rsidRPr="003B4086" w:rsidRDefault="0019492B" w:rsidP="00224E9F">
            <w:pPr>
              <w:pStyle w:val="TableText0"/>
              <w:keepLines/>
              <w:widowControl w:val="0"/>
            </w:pPr>
            <w:r w:rsidRPr="003B4086">
              <w:t>Recurrence</w:t>
            </w:r>
            <w:r w:rsidR="00224E9F" w:rsidRPr="003B4086">
              <w:t xml:space="preserve"> or death, n (%)</w:t>
            </w:r>
          </w:p>
        </w:tc>
        <w:tc>
          <w:tcPr>
            <w:tcW w:w="862" w:type="pct"/>
            <w:gridSpan w:val="2"/>
            <w:tcBorders>
              <w:left w:val="single" w:sz="4" w:space="0" w:color="auto"/>
              <w:bottom w:val="single" w:sz="4" w:space="0" w:color="auto"/>
              <w:right w:val="single" w:sz="4" w:space="0" w:color="auto"/>
            </w:tcBorders>
            <w:shd w:val="clear" w:color="auto" w:fill="auto"/>
            <w:vAlign w:val="center"/>
          </w:tcPr>
          <w:p w14:paraId="71EBC264" w14:textId="475F2764" w:rsidR="00224E9F" w:rsidRPr="003B4086" w:rsidRDefault="0019492B" w:rsidP="0019492B">
            <w:pPr>
              <w:pStyle w:val="TableText0"/>
              <w:keepLines/>
              <w:widowControl w:val="0"/>
              <w:jc w:val="center"/>
            </w:pPr>
            <w:r w:rsidRPr="003B4086">
              <w:t>175</w:t>
            </w:r>
            <w:r w:rsidR="00224E9F" w:rsidRPr="003B4086">
              <w:t xml:space="preserve"> (</w:t>
            </w:r>
            <w:r w:rsidRPr="003B4086">
              <w:t>49.6</w:t>
            </w:r>
            <w:r w:rsidR="00224E9F" w:rsidRPr="003B4086">
              <w:t>)</w:t>
            </w:r>
          </w:p>
        </w:tc>
        <w:tc>
          <w:tcPr>
            <w:tcW w:w="786" w:type="pct"/>
            <w:gridSpan w:val="2"/>
            <w:tcBorders>
              <w:left w:val="single" w:sz="4" w:space="0" w:color="auto"/>
              <w:bottom w:val="single" w:sz="4" w:space="0" w:color="auto"/>
              <w:right w:val="single" w:sz="4" w:space="0" w:color="auto"/>
            </w:tcBorders>
            <w:shd w:val="clear" w:color="auto" w:fill="auto"/>
            <w:vAlign w:val="center"/>
          </w:tcPr>
          <w:p w14:paraId="7C8D6046" w14:textId="59338ADB" w:rsidR="00224E9F" w:rsidRPr="003B4086" w:rsidRDefault="00224E9F" w:rsidP="0019492B">
            <w:pPr>
              <w:pStyle w:val="TableText0"/>
              <w:keepLines/>
              <w:widowControl w:val="0"/>
              <w:jc w:val="center"/>
            </w:pPr>
            <w:r w:rsidRPr="003B4086">
              <w:t>2</w:t>
            </w:r>
            <w:r w:rsidR="0019492B" w:rsidRPr="003B4086">
              <w:t>13</w:t>
            </w:r>
            <w:r w:rsidRPr="003B4086">
              <w:t xml:space="preserve"> (</w:t>
            </w:r>
            <w:r w:rsidR="0019492B" w:rsidRPr="003B4086">
              <w:t>59.8</w:t>
            </w:r>
            <w:r w:rsidRPr="003B4086">
              <w:t>)</w:t>
            </w:r>
          </w:p>
        </w:tc>
        <w:tc>
          <w:tcPr>
            <w:tcW w:w="746" w:type="pct"/>
            <w:gridSpan w:val="2"/>
            <w:tcBorders>
              <w:left w:val="single" w:sz="4" w:space="0" w:color="auto"/>
              <w:bottom w:val="single" w:sz="4" w:space="0" w:color="auto"/>
              <w:right w:val="single" w:sz="4" w:space="0" w:color="auto"/>
            </w:tcBorders>
            <w:shd w:val="clear" w:color="auto" w:fill="auto"/>
          </w:tcPr>
          <w:p w14:paraId="56B357A3" w14:textId="403F993C" w:rsidR="00224E9F" w:rsidRPr="003B4086" w:rsidRDefault="00224E9F" w:rsidP="0019492B">
            <w:pPr>
              <w:pStyle w:val="TableText0"/>
              <w:keepLines/>
              <w:widowControl w:val="0"/>
              <w:jc w:val="center"/>
            </w:pPr>
          </w:p>
        </w:tc>
        <w:tc>
          <w:tcPr>
            <w:tcW w:w="877" w:type="pct"/>
            <w:gridSpan w:val="2"/>
            <w:vMerge w:val="restart"/>
            <w:tcBorders>
              <w:left w:val="single" w:sz="4" w:space="0" w:color="auto"/>
            </w:tcBorders>
            <w:shd w:val="clear" w:color="auto" w:fill="auto"/>
            <w:vAlign w:val="center"/>
          </w:tcPr>
          <w:p w14:paraId="1993AEBF" w14:textId="77777777" w:rsidR="00224E9F" w:rsidRPr="003B4086" w:rsidRDefault="0019492B" w:rsidP="0019492B">
            <w:pPr>
              <w:pStyle w:val="TableText0"/>
              <w:keepLines/>
              <w:widowControl w:val="0"/>
              <w:jc w:val="center"/>
              <w:rPr>
                <w:szCs w:val="20"/>
              </w:rPr>
            </w:pPr>
            <w:r w:rsidRPr="003B4086">
              <w:rPr>
                <w:szCs w:val="20"/>
              </w:rPr>
              <w:t>0.70 (0.57, 0.85)</w:t>
            </w:r>
          </w:p>
          <w:p w14:paraId="3935EBF2" w14:textId="5F56C407" w:rsidR="00687561" w:rsidRPr="003B4086" w:rsidRDefault="00687561" w:rsidP="0019492B">
            <w:pPr>
              <w:pStyle w:val="TableText0"/>
              <w:keepLines/>
              <w:widowControl w:val="0"/>
              <w:jc w:val="center"/>
              <w:rPr>
                <w:szCs w:val="20"/>
                <w:vertAlign w:val="superscript"/>
              </w:rPr>
            </w:pPr>
            <w:r w:rsidRPr="003B4086">
              <w:t>p=0.0005</w:t>
            </w:r>
            <w:r w:rsidR="003629FB" w:rsidRPr="003B4086">
              <w:rPr>
                <w:vertAlign w:val="superscript"/>
              </w:rPr>
              <w:t>a</w:t>
            </w:r>
          </w:p>
        </w:tc>
      </w:tr>
      <w:tr w:rsidR="0019492B" w:rsidRPr="003B4086" w14:paraId="2533347B" w14:textId="77777777" w:rsidTr="008C5ED1">
        <w:tc>
          <w:tcPr>
            <w:tcW w:w="1730" w:type="pct"/>
            <w:gridSpan w:val="3"/>
            <w:tcBorders>
              <w:bottom w:val="single" w:sz="4" w:space="0" w:color="auto"/>
              <w:right w:val="single" w:sz="4" w:space="0" w:color="auto"/>
            </w:tcBorders>
            <w:shd w:val="clear" w:color="auto" w:fill="auto"/>
          </w:tcPr>
          <w:p w14:paraId="53C7F96F" w14:textId="4DA717C8" w:rsidR="0019492B" w:rsidRPr="003B4086" w:rsidRDefault="0019492B" w:rsidP="0068074D">
            <w:pPr>
              <w:pStyle w:val="TableText0"/>
              <w:keepLines/>
              <w:widowControl w:val="0"/>
            </w:pPr>
            <w:r w:rsidRPr="003B4086">
              <w:t xml:space="preserve">Median </w:t>
            </w:r>
            <w:r w:rsidR="0068074D" w:rsidRPr="003B4086">
              <w:t>D</w:t>
            </w:r>
            <w:r w:rsidRPr="003B4086">
              <w:t>FS, months (95% CI)</w:t>
            </w:r>
          </w:p>
        </w:tc>
        <w:tc>
          <w:tcPr>
            <w:tcW w:w="862" w:type="pct"/>
            <w:gridSpan w:val="2"/>
            <w:tcBorders>
              <w:left w:val="single" w:sz="4" w:space="0" w:color="auto"/>
              <w:bottom w:val="single" w:sz="4" w:space="0" w:color="auto"/>
              <w:right w:val="single" w:sz="4" w:space="0" w:color="auto"/>
            </w:tcBorders>
            <w:shd w:val="clear" w:color="auto" w:fill="auto"/>
          </w:tcPr>
          <w:p w14:paraId="39B8F0A4" w14:textId="7E09E41F" w:rsidR="0019492B" w:rsidRPr="003B4086" w:rsidRDefault="0019492B" w:rsidP="0019492B">
            <w:pPr>
              <w:pStyle w:val="TableText0"/>
              <w:keepLines/>
              <w:widowControl w:val="0"/>
              <w:jc w:val="center"/>
              <w:rPr>
                <w:rFonts w:cs="Times New Roman"/>
                <w:szCs w:val="20"/>
              </w:rPr>
            </w:pPr>
            <w:r w:rsidRPr="003B4086">
              <w:t>22.0 (17.7, 36.9)</w:t>
            </w:r>
          </w:p>
        </w:tc>
        <w:tc>
          <w:tcPr>
            <w:tcW w:w="786" w:type="pct"/>
            <w:gridSpan w:val="2"/>
            <w:tcBorders>
              <w:left w:val="single" w:sz="4" w:space="0" w:color="auto"/>
              <w:bottom w:val="single" w:sz="4" w:space="0" w:color="auto"/>
              <w:right w:val="single" w:sz="4" w:space="0" w:color="auto"/>
            </w:tcBorders>
            <w:shd w:val="clear" w:color="auto" w:fill="auto"/>
          </w:tcPr>
          <w:p w14:paraId="06F48AD7" w14:textId="6B6BBB03" w:rsidR="0019492B" w:rsidRPr="003B4086" w:rsidRDefault="0019492B" w:rsidP="0019492B">
            <w:pPr>
              <w:pStyle w:val="TableText0"/>
              <w:keepLines/>
              <w:widowControl w:val="0"/>
              <w:jc w:val="center"/>
              <w:rPr>
                <w:rFonts w:cs="Times New Roman"/>
                <w:szCs w:val="20"/>
              </w:rPr>
            </w:pPr>
            <w:r w:rsidRPr="003B4086">
              <w:t>10.9 (8.3, 14.0)</w:t>
            </w:r>
          </w:p>
        </w:tc>
        <w:tc>
          <w:tcPr>
            <w:tcW w:w="746" w:type="pct"/>
            <w:gridSpan w:val="2"/>
            <w:tcBorders>
              <w:left w:val="single" w:sz="4" w:space="0" w:color="auto"/>
              <w:bottom w:val="single" w:sz="4" w:space="0" w:color="auto"/>
              <w:right w:val="single" w:sz="4" w:space="0" w:color="auto"/>
            </w:tcBorders>
            <w:shd w:val="clear" w:color="auto" w:fill="auto"/>
          </w:tcPr>
          <w:p w14:paraId="6E7F039D" w14:textId="2942762B" w:rsidR="0019492B" w:rsidRPr="003B4086" w:rsidRDefault="0019492B" w:rsidP="0019492B">
            <w:pPr>
              <w:pStyle w:val="TableText0"/>
              <w:keepLines/>
              <w:widowControl w:val="0"/>
              <w:jc w:val="center"/>
            </w:pPr>
            <w:r w:rsidRPr="003B4086">
              <w:t>11.1 months</w:t>
            </w:r>
          </w:p>
        </w:tc>
        <w:tc>
          <w:tcPr>
            <w:tcW w:w="877" w:type="pct"/>
            <w:gridSpan w:val="2"/>
            <w:vMerge/>
            <w:tcBorders>
              <w:left w:val="single" w:sz="4" w:space="0" w:color="auto"/>
            </w:tcBorders>
            <w:shd w:val="clear" w:color="auto" w:fill="auto"/>
            <w:vAlign w:val="center"/>
          </w:tcPr>
          <w:p w14:paraId="19BA9001" w14:textId="77777777" w:rsidR="0019492B" w:rsidRPr="003B4086" w:rsidRDefault="0019492B" w:rsidP="0019492B">
            <w:pPr>
              <w:pStyle w:val="TableText0"/>
              <w:keepLines/>
              <w:widowControl w:val="0"/>
              <w:jc w:val="center"/>
              <w:rPr>
                <w:szCs w:val="20"/>
              </w:rPr>
            </w:pPr>
          </w:p>
        </w:tc>
      </w:tr>
      <w:tr w:rsidR="0019492B" w:rsidRPr="003B4086" w14:paraId="3609440C" w14:textId="77777777" w:rsidTr="008C5ED1">
        <w:trPr>
          <w:trHeight w:val="136"/>
        </w:trPr>
        <w:tc>
          <w:tcPr>
            <w:tcW w:w="1730" w:type="pct"/>
            <w:gridSpan w:val="3"/>
            <w:tcBorders>
              <w:top w:val="single" w:sz="4" w:space="0" w:color="auto"/>
              <w:right w:val="single" w:sz="4" w:space="0" w:color="auto"/>
            </w:tcBorders>
            <w:shd w:val="clear" w:color="auto" w:fill="auto"/>
          </w:tcPr>
          <w:p w14:paraId="38711C6A" w14:textId="322D0902" w:rsidR="0019492B" w:rsidRPr="003B4086" w:rsidRDefault="0019492B" w:rsidP="0019492B">
            <w:pPr>
              <w:pStyle w:val="TableText0"/>
              <w:keepLines/>
              <w:widowControl w:val="0"/>
            </w:pPr>
            <w:r w:rsidRPr="003B4086">
              <w:t>DFS rate at 30 months, % (95% CI)</w:t>
            </w:r>
          </w:p>
        </w:tc>
        <w:tc>
          <w:tcPr>
            <w:tcW w:w="862" w:type="pct"/>
            <w:gridSpan w:val="2"/>
            <w:tcBorders>
              <w:top w:val="single" w:sz="4" w:space="0" w:color="auto"/>
              <w:left w:val="single" w:sz="4" w:space="0" w:color="auto"/>
              <w:right w:val="single" w:sz="4" w:space="0" w:color="auto"/>
            </w:tcBorders>
          </w:tcPr>
          <w:p w14:paraId="665BDE28" w14:textId="0930BF32" w:rsidR="0019492B" w:rsidRPr="003B4086" w:rsidRDefault="0019492B" w:rsidP="0019492B">
            <w:pPr>
              <w:pStyle w:val="TableText0"/>
            </w:pPr>
            <w:r w:rsidRPr="003B4086">
              <w:t>44.9% (39.0, 50.7)</w:t>
            </w:r>
          </w:p>
        </w:tc>
        <w:tc>
          <w:tcPr>
            <w:tcW w:w="786" w:type="pct"/>
            <w:gridSpan w:val="2"/>
            <w:tcBorders>
              <w:top w:val="single" w:sz="4" w:space="0" w:color="auto"/>
              <w:left w:val="single" w:sz="4" w:space="0" w:color="auto"/>
              <w:right w:val="single" w:sz="4" w:space="0" w:color="auto"/>
            </w:tcBorders>
          </w:tcPr>
          <w:p w14:paraId="6D668197" w14:textId="4ABAF11F" w:rsidR="0019492B" w:rsidRPr="003B4086" w:rsidRDefault="0019492B" w:rsidP="0019492B">
            <w:pPr>
              <w:pStyle w:val="TableText0"/>
            </w:pPr>
            <w:r w:rsidRPr="003B4086">
              <w:t>35.5% (30.1, 40.9)</w:t>
            </w:r>
          </w:p>
        </w:tc>
        <w:tc>
          <w:tcPr>
            <w:tcW w:w="746" w:type="pct"/>
            <w:gridSpan w:val="2"/>
            <w:tcBorders>
              <w:top w:val="single" w:sz="4" w:space="0" w:color="auto"/>
              <w:left w:val="single" w:sz="4" w:space="0" w:color="auto"/>
              <w:right w:val="single" w:sz="4" w:space="0" w:color="auto"/>
            </w:tcBorders>
            <w:shd w:val="clear" w:color="auto" w:fill="auto"/>
          </w:tcPr>
          <w:p w14:paraId="10866EA0" w14:textId="0D2153C1" w:rsidR="0019492B" w:rsidRPr="003B4086" w:rsidRDefault="0019492B" w:rsidP="0019492B">
            <w:pPr>
              <w:pStyle w:val="TableText0"/>
              <w:keepLines/>
              <w:widowControl w:val="0"/>
              <w:jc w:val="center"/>
            </w:pPr>
            <w:r w:rsidRPr="003B4086">
              <w:t>9.4%</w:t>
            </w:r>
          </w:p>
        </w:tc>
        <w:tc>
          <w:tcPr>
            <w:tcW w:w="877" w:type="pct"/>
            <w:gridSpan w:val="2"/>
            <w:vMerge/>
            <w:tcBorders>
              <w:left w:val="single" w:sz="4" w:space="0" w:color="auto"/>
            </w:tcBorders>
            <w:shd w:val="clear" w:color="auto" w:fill="auto"/>
            <w:vAlign w:val="center"/>
          </w:tcPr>
          <w:p w14:paraId="104EB1D7" w14:textId="77777777" w:rsidR="0019492B" w:rsidRPr="003B4086" w:rsidRDefault="0019492B" w:rsidP="0019492B">
            <w:pPr>
              <w:pStyle w:val="TableText0"/>
              <w:keepLines/>
              <w:widowControl w:val="0"/>
              <w:jc w:val="center"/>
            </w:pPr>
          </w:p>
        </w:tc>
      </w:tr>
      <w:tr w:rsidR="0019492B" w:rsidRPr="003B4086" w14:paraId="77E76932" w14:textId="77777777" w:rsidTr="008C5ED1">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50625DE" w14:textId="7F9BBE00" w:rsidR="0019492B" w:rsidRPr="002D26DF" w:rsidRDefault="0019492B" w:rsidP="0019492B">
            <w:pPr>
              <w:pStyle w:val="Tableheadingrow"/>
              <w:rPr>
                <w:lang w:val="en-AU"/>
              </w:rPr>
            </w:pPr>
            <w:r w:rsidRPr="002D26DF">
              <w:rPr>
                <w:lang w:val="en-AU"/>
              </w:rPr>
              <w:t xml:space="preserve">Overall survival interim analysis (median duration of </w:t>
            </w:r>
            <w:r w:rsidR="002979D3" w:rsidRPr="002D26DF">
              <w:rPr>
                <w:lang w:val="en-AU"/>
              </w:rPr>
              <w:t>follow-up</w:t>
            </w:r>
            <w:r w:rsidRPr="002D26DF">
              <w:rPr>
                <w:lang w:val="en-AU"/>
              </w:rPr>
              <w:t xml:space="preserve">: Nivolumab </w:t>
            </w:r>
            <w:r w:rsidR="00E020DE" w:rsidRPr="00E020DE">
              <w:rPr>
                <w:color w:val="000000"/>
                <w:spacing w:val="40"/>
                <w:shd w:val="solid" w:color="000000" w:fill="000000"/>
                <w:fitText w:val="480" w:id="-1435269886"/>
                <w:lang w:val="en-AU"/>
                <w14:textFill>
                  <w14:solidFill>
                    <w14:srgbClr w14:val="000000">
                      <w14:alpha w14:val="100000"/>
                    </w14:srgbClr>
                  </w14:solidFill>
                </w14:textFill>
              </w:rPr>
              <w:t>|||||</w:t>
            </w:r>
            <w:r w:rsidR="00E020DE" w:rsidRPr="00E020DE">
              <w:rPr>
                <w:color w:val="000000"/>
                <w:spacing w:val="5"/>
                <w:shd w:val="solid" w:color="000000" w:fill="000000"/>
                <w:fitText w:val="480" w:id="-1435269886"/>
                <w:lang w:val="en-AU"/>
                <w14:textFill>
                  <w14:solidFill>
                    <w14:srgbClr w14:val="000000">
                      <w14:alpha w14:val="100000"/>
                    </w14:srgbClr>
                  </w14:solidFill>
                </w14:textFill>
              </w:rPr>
              <w:t>|</w:t>
            </w:r>
            <w:r w:rsidRPr="002D26DF">
              <w:rPr>
                <w:lang w:val="en-AU"/>
              </w:rPr>
              <w:t xml:space="preserve"> months, Placebo </w:t>
            </w:r>
            <w:r w:rsidR="00E020DE" w:rsidRPr="00E020DE">
              <w:rPr>
                <w:color w:val="000000"/>
                <w:spacing w:val="40"/>
                <w:shd w:val="solid" w:color="000000" w:fill="000000"/>
                <w:fitText w:val="480" w:id="-1435269885"/>
                <w:lang w:val="en-AU"/>
                <w14:textFill>
                  <w14:solidFill>
                    <w14:srgbClr w14:val="000000">
                      <w14:alpha w14:val="100000"/>
                    </w14:srgbClr>
                  </w14:solidFill>
                </w14:textFill>
              </w:rPr>
              <w:t>|||||</w:t>
            </w:r>
            <w:r w:rsidR="00E020DE" w:rsidRPr="00E020DE">
              <w:rPr>
                <w:color w:val="000000"/>
                <w:spacing w:val="5"/>
                <w:shd w:val="solid" w:color="000000" w:fill="000000"/>
                <w:fitText w:val="480" w:id="-1435269885"/>
                <w:lang w:val="en-AU"/>
                <w14:textFill>
                  <w14:solidFill>
                    <w14:srgbClr w14:val="000000">
                      <w14:alpha w14:val="100000"/>
                    </w14:srgbClr>
                  </w14:solidFill>
                </w14:textFill>
              </w:rPr>
              <w:t>|</w:t>
            </w:r>
            <w:r w:rsidRPr="002D26DF">
              <w:rPr>
                <w:lang w:val="en-AU"/>
              </w:rPr>
              <w:t xml:space="preserve"> months)</w:t>
            </w:r>
          </w:p>
        </w:tc>
      </w:tr>
      <w:tr w:rsidR="00CD0007" w:rsidRPr="003B4086" w14:paraId="062BE3E6" w14:textId="77777777" w:rsidTr="00E020DE">
        <w:tc>
          <w:tcPr>
            <w:tcW w:w="1730" w:type="pct"/>
            <w:gridSpan w:val="3"/>
            <w:tcBorders>
              <w:top w:val="single" w:sz="4" w:space="0" w:color="auto"/>
              <w:left w:val="single" w:sz="4" w:space="0" w:color="auto"/>
              <w:bottom w:val="single" w:sz="4" w:space="0" w:color="auto"/>
              <w:right w:val="single" w:sz="4" w:space="0" w:color="auto"/>
            </w:tcBorders>
            <w:shd w:val="clear" w:color="auto" w:fill="auto"/>
          </w:tcPr>
          <w:p w14:paraId="03BBA22C" w14:textId="2928363C" w:rsidR="00CD0007" w:rsidRPr="002D26DF" w:rsidRDefault="00CD0007" w:rsidP="0019492B">
            <w:pPr>
              <w:pStyle w:val="TableText0"/>
              <w:keepLines/>
              <w:widowControl w:val="0"/>
            </w:pPr>
            <w:r w:rsidRPr="002D26DF">
              <w:t xml:space="preserve">Death, n (%) </w:t>
            </w:r>
          </w:p>
        </w:tc>
        <w:tc>
          <w:tcPr>
            <w:tcW w:w="862" w:type="pct"/>
            <w:gridSpan w:val="2"/>
            <w:tcBorders>
              <w:top w:val="single" w:sz="4" w:space="0" w:color="auto"/>
              <w:left w:val="single" w:sz="4" w:space="0" w:color="auto"/>
              <w:bottom w:val="single" w:sz="4" w:space="0" w:color="auto"/>
              <w:right w:val="single" w:sz="4" w:space="0" w:color="auto"/>
            </w:tcBorders>
            <w:shd w:val="solid" w:color="000000" w:fill="000000"/>
          </w:tcPr>
          <w:p w14:paraId="504920F7" w14:textId="5A7CBDD2" w:rsidR="00CD0007" w:rsidRPr="00E020DE" w:rsidRDefault="00E020DE" w:rsidP="0019492B">
            <w:pPr>
              <w:pStyle w:val="TableText0"/>
              <w:keepLines/>
              <w:widowControl w:val="0"/>
              <w:jc w:val="center"/>
            </w:pPr>
            <w:r w:rsidRPr="00E020DE">
              <w:rPr>
                <w:rFonts w:hint="eastAsia"/>
                <w:color w:val="000000"/>
                <w:w w:val="18"/>
                <w:fitText w:val="80" w:id="-1435269884"/>
                <w14:textFill>
                  <w14:solidFill>
                    <w14:srgbClr w14:val="000000">
                      <w14:alpha w14:val="100000"/>
                    </w14:srgbClr>
                  </w14:solidFill>
                </w14:textFill>
              </w:rPr>
              <w:t xml:space="preserve">　</w:t>
            </w:r>
            <w:r w:rsidRPr="00E020DE">
              <w:rPr>
                <w:color w:val="000000"/>
                <w:w w:val="18"/>
                <w:fitText w:val="80" w:id="-1435269884"/>
                <w14:textFill>
                  <w14:solidFill>
                    <w14:srgbClr w14:val="000000">
                      <w14:alpha w14:val="100000"/>
                    </w14:srgbClr>
                  </w14:solidFill>
                </w14:textFill>
              </w:rPr>
              <w:t>|</w:t>
            </w:r>
            <w:r w:rsidRPr="00E020DE">
              <w:rPr>
                <w:rFonts w:hint="eastAsia"/>
                <w:color w:val="000000"/>
                <w:w w:val="18"/>
                <w:fitText w:val="80" w:id="-1435269884"/>
                <w14:textFill>
                  <w14:solidFill>
                    <w14:srgbClr w14:val="000000">
                      <w14:alpha w14:val="100000"/>
                    </w14:srgbClr>
                  </w14:solidFill>
                </w14:textFill>
              </w:rPr>
              <w:t xml:space="preserve">　</w:t>
            </w:r>
          </w:p>
        </w:tc>
        <w:tc>
          <w:tcPr>
            <w:tcW w:w="786" w:type="pct"/>
            <w:gridSpan w:val="2"/>
            <w:tcBorders>
              <w:top w:val="single" w:sz="4" w:space="0" w:color="auto"/>
              <w:left w:val="single" w:sz="4" w:space="0" w:color="auto"/>
              <w:bottom w:val="single" w:sz="4" w:space="0" w:color="auto"/>
              <w:right w:val="single" w:sz="4" w:space="0" w:color="auto"/>
            </w:tcBorders>
            <w:shd w:val="solid" w:color="000000" w:fill="000000"/>
          </w:tcPr>
          <w:p w14:paraId="2082794D" w14:textId="6BE0DE78" w:rsidR="00CD0007" w:rsidRPr="00E020DE" w:rsidRDefault="00E020DE" w:rsidP="0019492B">
            <w:pPr>
              <w:pStyle w:val="TableText0"/>
              <w:keepLines/>
              <w:widowControl w:val="0"/>
              <w:jc w:val="center"/>
            </w:pPr>
            <w:r w:rsidRPr="00E020DE">
              <w:rPr>
                <w:rFonts w:hint="eastAsia"/>
                <w:color w:val="000000"/>
                <w:w w:val="33"/>
                <w:fitText w:val="150" w:id="-1435269883"/>
                <w14:textFill>
                  <w14:solidFill>
                    <w14:srgbClr w14:val="000000">
                      <w14:alpha w14:val="100000"/>
                    </w14:srgbClr>
                  </w14:solidFill>
                </w14:textFill>
              </w:rPr>
              <w:t xml:space="preserve">　</w:t>
            </w:r>
            <w:r w:rsidRPr="00E020DE">
              <w:rPr>
                <w:color w:val="000000"/>
                <w:w w:val="33"/>
                <w:fitText w:val="150" w:id="-1435269883"/>
                <w14:textFill>
                  <w14:solidFill>
                    <w14:srgbClr w14:val="000000">
                      <w14:alpha w14:val="100000"/>
                    </w14:srgbClr>
                  </w14:solidFill>
                </w14:textFill>
              </w:rPr>
              <w:t>|</w:t>
            </w:r>
            <w:r w:rsidRPr="00E020DE">
              <w:rPr>
                <w:rFonts w:hint="eastAsia"/>
                <w:color w:val="000000"/>
                <w:w w:val="33"/>
                <w:fitText w:val="150" w:id="-1435269883"/>
                <w14:textFill>
                  <w14:solidFill>
                    <w14:srgbClr w14:val="000000">
                      <w14:alpha w14:val="100000"/>
                    </w14:srgbClr>
                  </w14:solidFill>
                </w14:textFill>
              </w:rPr>
              <w:t xml:space="preserve">　</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14:paraId="48744315" w14:textId="6F1E8F42" w:rsidR="00CD0007" w:rsidRPr="002D26DF" w:rsidRDefault="00CD0007" w:rsidP="0019492B">
            <w:pPr>
              <w:pStyle w:val="TableText0"/>
              <w:keepLines/>
              <w:widowControl w:val="0"/>
              <w:jc w:val="center"/>
            </w:pPr>
          </w:p>
        </w:tc>
        <w:tc>
          <w:tcPr>
            <w:tcW w:w="877" w:type="pct"/>
            <w:gridSpan w:val="2"/>
            <w:vMerge w:val="restart"/>
            <w:tcBorders>
              <w:top w:val="single" w:sz="4" w:space="0" w:color="auto"/>
              <w:left w:val="single" w:sz="4" w:space="0" w:color="auto"/>
              <w:right w:val="single" w:sz="4" w:space="0" w:color="auto"/>
            </w:tcBorders>
            <w:shd w:val="clear" w:color="auto" w:fill="auto"/>
            <w:vAlign w:val="center"/>
          </w:tcPr>
          <w:p w14:paraId="1A264ED8" w14:textId="4AAB6E63" w:rsidR="005168FA" w:rsidRPr="002D26DF" w:rsidRDefault="00CD0007" w:rsidP="005168FA">
            <w:pPr>
              <w:pStyle w:val="TableText0"/>
              <w:keepLines/>
              <w:widowControl w:val="0"/>
              <w:jc w:val="center"/>
              <w:rPr>
                <w:b/>
                <w:bCs w:val="0"/>
                <w:szCs w:val="20"/>
              </w:rPr>
            </w:pPr>
            <w:r w:rsidRPr="002D26DF">
              <w:rPr>
                <w:b/>
                <w:bCs w:val="0"/>
                <w:szCs w:val="20"/>
              </w:rPr>
              <w:t>HR (99.8% CI)</w:t>
            </w:r>
          </w:p>
          <w:p w14:paraId="72159376" w14:textId="5426B9F5" w:rsidR="00687561" w:rsidRPr="00E020DE" w:rsidRDefault="00E020DE" w:rsidP="00CD0007">
            <w:pPr>
              <w:pStyle w:val="TableText0"/>
              <w:keepLines/>
              <w:widowControl w:val="0"/>
              <w:jc w:val="center"/>
              <w:rPr>
                <w:szCs w:val="20"/>
              </w:rPr>
            </w:pPr>
            <w:r w:rsidRPr="00E020DE">
              <w:rPr>
                <w:rFonts w:hint="eastAsia"/>
                <w:color w:val="000000"/>
                <w:w w:val="15"/>
                <w:szCs w:val="20"/>
                <w:shd w:val="solid" w:color="000000" w:fill="000000"/>
                <w:fitText w:val="60" w:id="-1435269882"/>
                <w14:textFill>
                  <w14:solidFill>
                    <w14:srgbClr w14:val="000000">
                      <w14:alpha w14:val="100000"/>
                    </w14:srgbClr>
                  </w14:solidFill>
                </w14:textFill>
              </w:rPr>
              <w:t xml:space="preserve">　</w:t>
            </w:r>
            <w:r w:rsidRPr="00E020DE">
              <w:rPr>
                <w:color w:val="000000"/>
                <w:w w:val="15"/>
                <w:szCs w:val="20"/>
                <w:shd w:val="solid" w:color="000000" w:fill="000000"/>
                <w:fitText w:val="60" w:id="-1435269882"/>
                <w14:textFill>
                  <w14:solidFill>
                    <w14:srgbClr w14:val="000000">
                      <w14:alpha w14:val="100000"/>
                    </w14:srgbClr>
                  </w14:solidFill>
                </w14:textFill>
              </w:rPr>
              <w:t>|</w:t>
            </w:r>
            <w:r w:rsidRPr="00E020DE">
              <w:rPr>
                <w:rFonts w:hint="eastAsia"/>
                <w:color w:val="000000"/>
                <w:spacing w:val="-5"/>
                <w:w w:val="15"/>
                <w:szCs w:val="20"/>
                <w:shd w:val="solid" w:color="000000" w:fill="000000"/>
                <w:fitText w:val="60" w:id="-1435269882"/>
                <w14:textFill>
                  <w14:solidFill>
                    <w14:srgbClr w14:val="000000">
                      <w14:alpha w14:val="100000"/>
                    </w14:srgbClr>
                  </w14:solidFill>
                </w14:textFill>
              </w:rPr>
              <w:t xml:space="preserve">　</w:t>
            </w:r>
          </w:p>
          <w:p w14:paraId="2F3E5ABD" w14:textId="30344F84" w:rsidR="00687561" w:rsidRPr="003B4086" w:rsidRDefault="00687561" w:rsidP="00CD0007">
            <w:pPr>
              <w:pStyle w:val="TableText0"/>
              <w:keepLines/>
              <w:widowControl w:val="0"/>
              <w:jc w:val="center"/>
              <w:rPr>
                <w:szCs w:val="20"/>
              </w:rPr>
            </w:pPr>
          </w:p>
        </w:tc>
      </w:tr>
      <w:tr w:rsidR="00CD0007" w:rsidRPr="003B4086" w14:paraId="2139CDDE" w14:textId="77777777" w:rsidTr="00E020DE">
        <w:tc>
          <w:tcPr>
            <w:tcW w:w="1730" w:type="pct"/>
            <w:gridSpan w:val="3"/>
            <w:tcBorders>
              <w:top w:val="single" w:sz="4" w:space="0" w:color="auto"/>
              <w:left w:val="single" w:sz="4" w:space="0" w:color="auto"/>
              <w:bottom w:val="single" w:sz="4" w:space="0" w:color="auto"/>
              <w:right w:val="single" w:sz="4" w:space="0" w:color="auto"/>
            </w:tcBorders>
            <w:shd w:val="clear" w:color="auto" w:fill="auto"/>
          </w:tcPr>
          <w:p w14:paraId="5CD29CDC" w14:textId="77777777" w:rsidR="00CD0007" w:rsidRPr="002D26DF" w:rsidRDefault="00CD0007" w:rsidP="0019492B">
            <w:pPr>
              <w:pStyle w:val="TableText0"/>
              <w:keepLines/>
              <w:widowControl w:val="0"/>
            </w:pPr>
            <w:r w:rsidRPr="002D26DF">
              <w:t>Median OS, months (95% CI)</w:t>
            </w:r>
          </w:p>
        </w:tc>
        <w:tc>
          <w:tcPr>
            <w:tcW w:w="862" w:type="pct"/>
            <w:gridSpan w:val="2"/>
            <w:tcBorders>
              <w:top w:val="single" w:sz="4" w:space="0" w:color="auto"/>
              <w:left w:val="single" w:sz="4" w:space="0" w:color="auto"/>
              <w:bottom w:val="single" w:sz="4" w:space="0" w:color="auto"/>
              <w:right w:val="single" w:sz="4" w:space="0" w:color="auto"/>
            </w:tcBorders>
            <w:shd w:val="solid" w:color="000000" w:fill="000000"/>
          </w:tcPr>
          <w:p w14:paraId="16D88781" w14:textId="66F4DB40" w:rsidR="00CD0007" w:rsidRPr="00E020DE" w:rsidRDefault="00E020DE" w:rsidP="0019492B">
            <w:pPr>
              <w:pStyle w:val="TableText0"/>
              <w:keepLines/>
              <w:widowControl w:val="0"/>
              <w:jc w:val="center"/>
              <w:rPr>
                <w:rFonts w:cs="Times New Roman"/>
                <w:szCs w:val="20"/>
              </w:rPr>
            </w:pPr>
            <w:r w:rsidRPr="00E020DE">
              <w:rPr>
                <w:rFonts w:hint="eastAsia"/>
                <w:color w:val="000000"/>
                <w:w w:val="18"/>
                <w:fitText w:val="80" w:id="-1435269881"/>
                <w14:textFill>
                  <w14:solidFill>
                    <w14:srgbClr w14:val="000000">
                      <w14:alpha w14:val="100000"/>
                    </w14:srgbClr>
                  </w14:solidFill>
                </w14:textFill>
              </w:rPr>
              <w:t xml:space="preserve">　</w:t>
            </w:r>
            <w:r w:rsidRPr="00E020DE">
              <w:rPr>
                <w:color w:val="000000"/>
                <w:w w:val="18"/>
                <w:fitText w:val="80" w:id="-1435269881"/>
                <w14:textFill>
                  <w14:solidFill>
                    <w14:srgbClr w14:val="000000">
                      <w14:alpha w14:val="100000"/>
                    </w14:srgbClr>
                  </w14:solidFill>
                </w14:textFill>
              </w:rPr>
              <w:t>|</w:t>
            </w:r>
            <w:r w:rsidRPr="00E020DE">
              <w:rPr>
                <w:rFonts w:hint="eastAsia"/>
                <w:color w:val="000000"/>
                <w:w w:val="18"/>
                <w:fitText w:val="80" w:id="-1435269881"/>
                <w14:textFill>
                  <w14:solidFill>
                    <w14:srgbClr w14:val="000000">
                      <w14:alpha w14:val="100000"/>
                    </w14:srgbClr>
                  </w14:solidFill>
                </w14:textFill>
              </w:rPr>
              <w:t xml:space="preserve">　</w:t>
            </w:r>
          </w:p>
        </w:tc>
        <w:tc>
          <w:tcPr>
            <w:tcW w:w="786" w:type="pct"/>
            <w:gridSpan w:val="2"/>
            <w:tcBorders>
              <w:top w:val="single" w:sz="4" w:space="0" w:color="auto"/>
              <w:left w:val="single" w:sz="4" w:space="0" w:color="auto"/>
              <w:bottom w:val="single" w:sz="4" w:space="0" w:color="auto"/>
              <w:right w:val="single" w:sz="4" w:space="0" w:color="auto"/>
            </w:tcBorders>
            <w:shd w:val="solid" w:color="000000" w:fill="000000"/>
          </w:tcPr>
          <w:p w14:paraId="0BD322B4" w14:textId="14AABB79" w:rsidR="00CD0007" w:rsidRPr="00E020DE" w:rsidRDefault="00E020DE" w:rsidP="0019492B">
            <w:pPr>
              <w:pStyle w:val="TableText0"/>
              <w:keepLines/>
              <w:widowControl w:val="0"/>
              <w:jc w:val="center"/>
              <w:rPr>
                <w:rFonts w:cs="Times New Roman"/>
                <w:szCs w:val="20"/>
              </w:rPr>
            </w:pPr>
            <w:r w:rsidRPr="00E020DE">
              <w:rPr>
                <w:rFonts w:hint="eastAsia"/>
                <w:color w:val="000000"/>
                <w:w w:val="33"/>
                <w:fitText w:val="150" w:id="-1435269880"/>
                <w14:textFill>
                  <w14:solidFill>
                    <w14:srgbClr w14:val="000000">
                      <w14:alpha w14:val="100000"/>
                    </w14:srgbClr>
                  </w14:solidFill>
                </w14:textFill>
              </w:rPr>
              <w:t xml:space="preserve">　</w:t>
            </w:r>
            <w:r w:rsidRPr="00E020DE">
              <w:rPr>
                <w:color w:val="000000"/>
                <w:w w:val="33"/>
                <w:fitText w:val="150" w:id="-1435269880"/>
                <w14:textFill>
                  <w14:solidFill>
                    <w14:srgbClr w14:val="000000">
                      <w14:alpha w14:val="100000"/>
                    </w14:srgbClr>
                  </w14:solidFill>
                </w14:textFill>
              </w:rPr>
              <w:t>|</w:t>
            </w:r>
            <w:r w:rsidRPr="00E020DE">
              <w:rPr>
                <w:rFonts w:hint="eastAsia"/>
                <w:color w:val="000000"/>
                <w:w w:val="33"/>
                <w:fitText w:val="150" w:id="-1435269880"/>
                <w14:textFill>
                  <w14:solidFill>
                    <w14:srgbClr w14:val="000000">
                      <w14:alpha w14:val="100000"/>
                    </w14:srgbClr>
                  </w14:solidFill>
                </w14:textFill>
              </w:rPr>
              <w:t xml:space="preserve">　</w:t>
            </w:r>
          </w:p>
        </w:tc>
        <w:tc>
          <w:tcPr>
            <w:tcW w:w="746" w:type="pct"/>
            <w:gridSpan w:val="2"/>
            <w:tcBorders>
              <w:top w:val="single" w:sz="4" w:space="0" w:color="auto"/>
              <w:left w:val="single" w:sz="4" w:space="0" w:color="auto"/>
              <w:bottom w:val="single" w:sz="4" w:space="0" w:color="auto"/>
              <w:right w:val="single" w:sz="4" w:space="0" w:color="auto"/>
            </w:tcBorders>
            <w:shd w:val="solid" w:color="000000" w:fill="000000"/>
          </w:tcPr>
          <w:p w14:paraId="3DE707C4" w14:textId="0BC1C3C5" w:rsidR="00CD0007" w:rsidRPr="00E020DE" w:rsidRDefault="00E020DE" w:rsidP="0019492B">
            <w:pPr>
              <w:pStyle w:val="TableText0"/>
              <w:keepLines/>
              <w:widowControl w:val="0"/>
              <w:jc w:val="center"/>
            </w:pPr>
            <w:r w:rsidRPr="00E020DE">
              <w:rPr>
                <w:color w:val="000000"/>
                <w:spacing w:val="104"/>
                <w:fitText w:val="190" w:id="-1435269879"/>
                <w14:textFill>
                  <w14:solidFill>
                    <w14:srgbClr w14:val="000000">
                      <w14:alpha w14:val="100000"/>
                    </w14:srgbClr>
                  </w14:solidFill>
                </w14:textFill>
              </w:rPr>
              <w:t>|</w:t>
            </w:r>
            <w:r w:rsidRPr="00E020DE">
              <w:rPr>
                <w:color w:val="000000"/>
                <w:fitText w:val="190" w:id="-1435269879"/>
                <w14:textFill>
                  <w14:solidFill>
                    <w14:srgbClr w14:val="000000">
                      <w14:alpha w14:val="100000"/>
                    </w14:srgbClr>
                  </w14:solidFill>
                </w14:textFill>
              </w:rPr>
              <w:t>|</w:t>
            </w:r>
          </w:p>
        </w:tc>
        <w:tc>
          <w:tcPr>
            <w:tcW w:w="877" w:type="pct"/>
            <w:gridSpan w:val="2"/>
            <w:vMerge/>
            <w:tcBorders>
              <w:left w:val="single" w:sz="4" w:space="0" w:color="auto"/>
              <w:right w:val="single" w:sz="4" w:space="0" w:color="auto"/>
            </w:tcBorders>
            <w:shd w:val="clear" w:color="auto" w:fill="auto"/>
          </w:tcPr>
          <w:p w14:paraId="6321C2C4" w14:textId="77777777" w:rsidR="00CD0007" w:rsidRPr="003B4086" w:rsidRDefault="00CD0007" w:rsidP="0019492B">
            <w:pPr>
              <w:pStyle w:val="TableText0"/>
              <w:keepLines/>
              <w:widowControl w:val="0"/>
              <w:jc w:val="center"/>
              <w:rPr>
                <w:szCs w:val="20"/>
              </w:rPr>
            </w:pPr>
          </w:p>
        </w:tc>
      </w:tr>
      <w:tr w:rsidR="00CD0007" w:rsidRPr="003B4086" w14:paraId="33AA2B9E" w14:textId="77777777" w:rsidTr="00E020DE">
        <w:tc>
          <w:tcPr>
            <w:tcW w:w="1730" w:type="pct"/>
            <w:gridSpan w:val="3"/>
            <w:tcBorders>
              <w:top w:val="single" w:sz="4" w:space="0" w:color="auto"/>
              <w:left w:val="single" w:sz="4" w:space="0" w:color="auto"/>
              <w:bottom w:val="single" w:sz="4" w:space="0" w:color="auto"/>
              <w:right w:val="single" w:sz="4" w:space="0" w:color="auto"/>
            </w:tcBorders>
            <w:shd w:val="clear" w:color="auto" w:fill="auto"/>
          </w:tcPr>
          <w:p w14:paraId="419B905F" w14:textId="48F73B29" w:rsidR="00CD0007" w:rsidRPr="002D26DF" w:rsidRDefault="00CD0007" w:rsidP="00CD0007">
            <w:pPr>
              <w:pStyle w:val="TableText0"/>
              <w:keepLines/>
              <w:widowControl w:val="0"/>
            </w:pPr>
            <w:r w:rsidRPr="002D26DF">
              <w:t xml:space="preserve">Alive at 12 months, % (95% CI) </w:t>
            </w:r>
          </w:p>
        </w:tc>
        <w:tc>
          <w:tcPr>
            <w:tcW w:w="862" w:type="pct"/>
            <w:gridSpan w:val="2"/>
            <w:tcBorders>
              <w:top w:val="single" w:sz="4" w:space="0" w:color="auto"/>
              <w:left w:val="single" w:sz="4" w:space="0" w:color="auto"/>
              <w:bottom w:val="single" w:sz="4" w:space="0" w:color="auto"/>
              <w:right w:val="single" w:sz="4" w:space="0" w:color="auto"/>
            </w:tcBorders>
            <w:shd w:val="solid" w:color="000000" w:fill="000000"/>
          </w:tcPr>
          <w:p w14:paraId="07FE545F" w14:textId="60D8E1C4" w:rsidR="00CD0007" w:rsidRPr="00E020DE" w:rsidRDefault="00E020DE" w:rsidP="00CD0007">
            <w:pPr>
              <w:pStyle w:val="TableText0"/>
            </w:pPr>
            <w:r w:rsidRPr="00E020DE">
              <w:rPr>
                <w:color w:val="000000"/>
                <w:spacing w:val="48"/>
                <w:fitText w:val="500" w:id="-1435269878"/>
                <w14:textFill>
                  <w14:solidFill>
                    <w14:srgbClr w14:val="000000">
                      <w14:alpha w14:val="100000"/>
                    </w14:srgbClr>
                  </w14:solidFill>
                </w14:textFill>
              </w:rPr>
              <w:t>|||||</w:t>
            </w:r>
            <w:r w:rsidRPr="00E020DE">
              <w:rPr>
                <w:color w:val="000000"/>
                <w:spacing w:val="5"/>
                <w:fitText w:val="500" w:id="-1435269878"/>
                <w14:textFill>
                  <w14:solidFill>
                    <w14:srgbClr w14:val="000000">
                      <w14:alpha w14:val="100000"/>
                    </w14:srgbClr>
                  </w14:solidFill>
                </w14:textFill>
              </w:rPr>
              <w:t>|</w:t>
            </w:r>
          </w:p>
        </w:tc>
        <w:tc>
          <w:tcPr>
            <w:tcW w:w="786" w:type="pct"/>
            <w:gridSpan w:val="2"/>
            <w:tcBorders>
              <w:top w:val="single" w:sz="4" w:space="0" w:color="auto"/>
              <w:left w:val="single" w:sz="4" w:space="0" w:color="auto"/>
              <w:bottom w:val="single" w:sz="4" w:space="0" w:color="auto"/>
              <w:right w:val="single" w:sz="4" w:space="0" w:color="auto"/>
            </w:tcBorders>
            <w:shd w:val="solid" w:color="000000" w:fill="000000"/>
          </w:tcPr>
          <w:p w14:paraId="42F77B68" w14:textId="38CF63D5" w:rsidR="00CD0007" w:rsidRPr="00E020DE" w:rsidRDefault="00E020DE" w:rsidP="00CD0007">
            <w:pPr>
              <w:pStyle w:val="TableText0"/>
            </w:pPr>
            <w:r w:rsidRPr="00E020DE">
              <w:rPr>
                <w:color w:val="000000"/>
                <w:spacing w:val="48"/>
                <w:fitText w:val="500" w:id="-1435269877"/>
                <w14:textFill>
                  <w14:solidFill>
                    <w14:srgbClr w14:val="000000">
                      <w14:alpha w14:val="100000"/>
                    </w14:srgbClr>
                  </w14:solidFill>
                </w14:textFill>
              </w:rPr>
              <w:t>|||||</w:t>
            </w:r>
            <w:r w:rsidRPr="00E020DE">
              <w:rPr>
                <w:color w:val="000000"/>
                <w:spacing w:val="5"/>
                <w:fitText w:val="500" w:id="-1435269877"/>
                <w14:textFill>
                  <w14:solidFill>
                    <w14:srgbClr w14:val="000000">
                      <w14:alpha w14:val="100000"/>
                    </w14:srgbClr>
                  </w14:solidFill>
                </w14:textFill>
              </w:rPr>
              <w:t>|</w:t>
            </w:r>
          </w:p>
        </w:tc>
        <w:tc>
          <w:tcPr>
            <w:tcW w:w="746" w:type="pct"/>
            <w:gridSpan w:val="2"/>
            <w:tcBorders>
              <w:top w:val="single" w:sz="4" w:space="0" w:color="auto"/>
              <w:left w:val="single" w:sz="4" w:space="0" w:color="auto"/>
              <w:bottom w:val="single" w:sz="4" w:space="0" w:color="auto"/>
              <w:right w:val="single" w:sz="4" w:space="0" w:color="auto"/>
            </w:tcBorders>
            <w:shd w:val="solid" w:color="000000" w:fill="000000"/>
          </w:tcPr>
          <w:p w14:paraId="2B4615C8" w14:textId="3010C9A6" w:rsidR="00CD0007" w:rsidRPr="00E020DE" w:rsidRDefault="00E020DE" w:rsidP="00CD0007">
            <w:pPr>
              <w:pStyle w:val="TableText0"/>
              <w:keepLines/>
              <w:widowControl w:val="0"/>
              <w:jc w:val="center"/>
            </w:pPr>
            <w:r w:rsidRPr="00E020DE">
              <w:rPr>
                <w:color w:val="000000"/>
                <w:spacing w:val="104"/>
                <w:fitText w:val="190" w:id="-1435269876"/>
                <w14:textFill>
                  <w14:solidFill>
                    <w14:srgbClr w14:val="000000">
                      <w14:alpha w14:val="100000"/>
                    </w14:srgbClr>
                  </w14:solidFill>
                </w14:textFill>
              </w:rPr>
              <w:t>|</w:t>
            </w:r>
            <w:r w:rsidRPr="00E020DE">
              <w:rPr>
                <w:color w:val="000000"/>
                <w:fitText w:val="190" w:id="-1435269876"/>
                <w14:textFill>
                  <w14:solidFill>
                    <w14:srgbClr w14:val="000000">
                      <w14:alpha w14:val="100000"/>
                    </w14:srgbClr>
                  </w14:solidFill>
                </w14:textFill>
              </w:rPr>
              <w:t>|</w:t>
            </w:r>
          </w:p>
        </w:tc>
        <w:tc>
          <w:tcPr>
            <w:tcW w:w="877" w:type="pct"/>
            <w:gridSpan w:val="2"/>
            <w:vMerge/>
            <w:tcBorders>
              <w:left w:val="single" w:sz="4" w:space="0" w:color="auto"/>
              <w:right w:val="single" w:sz="4" w:space="0" w:color="auto"/>
            </w:tcBorders>
            <w:shd w:val="clear" w:color="auto" w:fill="auto"/>
          </w:tcPr>
          <w:p w14:paraId="3ABE5AB2" w14:textId="77777777" w:rsidR="00CD0007" w:rsidRPr="003B4086" w:rsidRDefault="00CD0007" w:rsidP="00CD0007">
            <w:pPr>
              <w:pStyle w:val="TableText0"/>
              <w:keepLines/>
              <w:widowControl w:val="0"/>
              <w:jc w:val="center"/>
            </w:pPr>
          </w:p>
        </w:tc>
      </w:tr>
      <w:tr w:rsidR="0019492B" w:rsidRPr="003B4086" w14:paraId="7133C053" w14:textId="77777777" w:rsidTr="008C5ED1">
        <w:tc>
          <w:tcPr>
            <w:tcW w:w="5000" w:type="pct"/>
            <w:gridSpan w:val="11"/>
            <w:tcBorders>
              <w:top w:val="double" w:sz="4" w:space="0" w:color="auto"/>
              <w:left w:val="single" w:sz="4" w:space="0" w:color="auto"/>
              <w:bottom w:val="single" w:sz="4" w:space="0" w:color="auto"/>
              <w:right w:val="single" w:sz="4" w:space="0" w:color="auto"/>
            </w:tcBorders>
            <w:shd w:val="clear" w:color="auto" w:fill="auto"/>
          </w:tcPr>
          <w:p w14:paraId="194E7037" w14:textId="42C30101" w:rsidR="0019492B" w:rsidRPr="003B4086" w:rsidRDefault="0019492B" w:rsidP="00DF7495">
            <w:pPr>
              <w:pStyle w:val="TableText0"/>
              <w:keepLines/>
              <w:widowControl w:val="0"/>
              <w:rPr>
                <w:b/>
                <w:bCs w:val="0"/>
              </w:rPr>
            </w:pPr>
            <w:r w:rsidRPr="003B4086">
              <w:rPr>
                <w:b/>
                <w:bCs w:val="0"/>
              </w:rPr>
              <w:t>Harms</w:t>
            </w:r>
            <w:r w:rsidR="00DF7495" w:rsidRPr="003B4086">
              <w:t xml:space="preserve"> (</w:t>
            </w:r>
            <w:r w:rsidR="00DF7495" w:rsidRPr="003B4086">
              <w:rPr>
                <w:b/>
                <w:bCs w:val="0"/>
              </w:rPr>
              <w:t>median duration of treatment: Nivolumab 8.8 months, Placebo 8.2 months)</w:t>
            </w:r>
            <w:r w:rsidR="00F62D41" w:rsidRPr="003B4086">
              <w:rPr>
                <w:b/>
                <w:bCs w:val="0"/>
              </w:rPr>
              <w:t xml:space="preserve"> – Safety evaluable population</w:t>
            </w:r>
          </w:p>
        </w:tc>
      </w:tr>
      <w:tr w:rsidR="0019492B" w:rsidRPr="003B4086" w14:paraId="1B15A069" w14:textId="77777777" w:rsidTr="008C5ED1">
        <w:tc>
          <w:tcPr>
            <w:tcW w:w="943" w:type="pct"/>
            <w:vMerge w:val="restart"/>
            <w:tcBorders>
              <w:top w:val="single" w:sz="4" w:space="0" w:color="auto"/>
              <w:left w:val="single" w:sz="4" w:space="0" w:color="auto"/>
              <w:right w:val="single" w:sz="4" w:space="0" w:color="auto"/>
            </w:tcBorders>
            <w:shd w:val="clear" w:color="auto" w:fill="auto"/>
            <w:vAlign w:val="center"/>
          </w:tcPr>
          <w:p w14:paraId="696621E4" w14:textId="77777777" w:rsidR="0019492B" w:rsidRPr="003B4086" w:rsidRDefault="0019492B" w:rsidP="0019492B">
            <w:pPr>
              <w:pStyle w:val="TableText0"/>
              <w:keepLines/>
              <w:widowControl w:val="0"/>
              <w:rPr>
                <w:b/>
                <w:bCs w:val="0"/>
              </w:rPr>
            </w:pPr>
            <w:r w:rsidRPr="003B4086">
              <w:rPr>
                <w:b/>
                <w:bCs w:val="0"/>
              </w:rPr>
              <w:t>Event</w:t>
            </w:r>
          </w:p>
        </w:tc>
        <w:tc>
          <w:tcPr>
            <w:tcW w:w="550" w:type="pct"/>
            <w:vMerge w:val="restart"/>
            <w:tcBorders>
              <w:top w:val="single" w:sz="4" w:space="0" w:color="auto"/>
              <w:left w:val="single" w:sz="4" w:space="0" w:color="auto"/>
              <w:right w:val="single" w:sz="4" w:space="0" w:color="auto"/>
            </w:tcBorders>
            <w:shd w:val="clear" w:color="auto" w:fill="auto"/>
          </w:tcPr>
          <w:p w14:paraId="0E2F1DD8" w14:textId="0640A86C" w:rsidR="0019492B" w:rsidRPr="003B4086" w:rsidRDefault="00CB668E" w:rsidP="0019492B">
            <w:pPr>
              <w:pStyle w:val="TableText0"/>
              <w:keepLines/>
              <w:widowControl w:val="0"/>
              <w:jc w:val="center"/>
              <w:rPr>
                <w:b/>
                <w:bCs w:val="0"/>
              </w:rPr>
            </w:pPr>
            <w:r w:rsidRPr="003B4086">
              <w:rPr>
                <w:b/>
                <w:bCs w:val="0"/>
              </w:rPr>
              <w:t>Nivolumab</w:t>
            </w:r>
          </w:p>
          <w:p w14:paraId="40989E2B" w14:textId="77777777" w:rsidR="0019492B" w:rsidRPr="003B4086" w:rsidRDefault="0019492B" w:rsidP="0019492B">
            <w:pPr>
              <w:pStyle w:val="TableText0"/>
              <w:keepLines/>
              <w:widowControl w:val="0"/>
              <w:jc w:val="center"/>
            </w:pPr>
            <w:r w:rsidRPr="003B4086">
              <w:rPr>
                <w:b/>
                <w:bCs w:val="0"/>
              </w:rPr>
              <w:t>n/N</w:t>
            </w:r>
          </w:p>
        </w:tc>
        <w:tc>
          <w:tcPr>
            <w:tcW w:w="628" w:type="pct"/>
            <w:gridSpan w:val="2"/>
            <w:vMerge w:val="restart"/>
            <w:tcBorders>
              <w:top w:val="single" w:sz="4" w:space="0" w:color="auto"/>
              <w:left w:val="single" w:sz="4" w:space="0" w:color="auto"/>
              <w:right w:val="single" w:sz="4" w:space="0" w:color="auto"/>
            </w:tcBorders>
            <w:shd w:val="clear" w:color="auto" w:fill="auto"/>
          </w:tcPr>
          <w:p w14:paraId="39F8A207" w14:textId="55D1E96F" w:rsidR="0019492B" w:rsidRPr="003B4086" w:rsidRDefault="00CB668E" w:rsidP="0019492B">
            <w:pPr>
              <w:pStyle w:val="TableText0"/>
              <w:keepLines/>
              <w:widowControl w:val="0"/>
              <w:jc w:val="center"/>
              <w:rPr>
                <w:b/>
                <w:bCs w:val="0"/>
              </w:rPr>
            </w:pPr>
            <w:r w:rsidRPr="003B4086">
              <w:rPr>
                <w:b/>
                <w:bCs w:val="0"/>
              </w:rPr>
              <w:t>Placebo</w:t>
            </w:r>
          </w:p>
          <w:p w14:paraId="126CA82F" w14:textId="77777777" w:rsidR="0019492B" w:rsidRPr="003B4086" w:rsidRDefault="0019492B" w:rsidP="0019492B">
            <w:pPr>
              <w:pStyle w:val="TableText0"/>
              <w:keepLines/>
              <w:widowControl w:val="0"/>
              <w:jc w:val="center"/>
            </w:pPr>
            <w:r w:rsidRPr="003B4086">
              <w:rPr>
                <w:b/>
                <w:bCs w:val="0"/>
              </w:rPr>
              <w:t>n/N</w:t>
            </w:r>
          </w:p>
        </w:tc>
        <w:tc>
          <w:tcPr>
            <w:tcW w:w="708" w:type="pct"/>
            <w:gridSpan w:val="2"/>
            <w:vMerge w:val="restart"/>
            <w:tcBorders>
              <w:top w:val="single" w:sz="4" w:space="0" w:color="auto"/>
              <w:left w:val="single" w:sz="4" w:space="0" w:color="auto"/>
              <w:right w:val="single" w:sz="4" w:space="0" w:color="auto"/>
            </w:tcBorders>
            <w:shd w:val="clear" w:color="auto" w:fill="auto"/>
          </w:tcPr>
          <w:p w14:paraId="6D7CCB0B" w14:textId="77777777" w:rsidR="0019492B" w:rsidRPr="003B4086" w:rsidRDefault="0019492B" w:rsidP="0019492B">
            <w:pPr>
              <w:pStyle w:val="TableText0"/>
              <w:keepLines/>
              <w:widowControl w:val="0"/>
              <w:jc w:val="center"/>
              <w:rPr>
                <w:b/>
                <w:bCs w:val="0"/>
              </w:rPr>
            </w:pPr>
            <w:r w:rsidRPr="003B4086">
              <w:rPr>
                <w:b/>
                <w:bCs w:val="0"/>
              </w:rPr>
              <w:t>RR</w:t>
            </w:r>
          </w:p>
          <w:p w14:paraId="67865922" w14:textId="77777777" w:rsidR="0019492B" w:rsidRPr="003B4086" w:rsidRDefault="0019492B" w:rsidP="0019492B">
            <w:pPr>
              <w:pStyle w:val="TableText0"/>
              <w:keepLines/>
              <w:widowControl w:val="0"/>
              <w:jc w:val="center"/>
            </w:pPr>
            <w:r w:rsidRPr="003B4086">
              <w:rPr>
                <w:b/>
                <w:bCs w:val="0"/>
              </w:rPr>
              <w:t>(95% CI)</w:t>
            </w:r>
          </w:p>
        </w:tc>
        <w:tc>
          <w:tcPr>
            <w:tcW w:w="1415" w:type="pct"/>
            <w:gridSpan w:val="4"/>
            <w:tcBorders>
              <w:top w:val="single" w:sz="4" w:space="0" w:color="auto"/>
              <w:left w:val="single" w:sz="4" w:space="0" w:color="auto"/>
              <w:bottom w:val="single" w:sz="4" w:space="0" w:color="auto"/>
              <w:right w:val="single" w:sz="4" w:space="0" w:color="auto"/>
            </w:tcBorders>
            <w:shd w:val="clear" w:color="auto" w:fill="auto"/>
          </w:tcPr>
          <w:p w14:paraId="28165C2C" w14:textId="77777777" w:rsidR="0019492B" w:rsidRPr="003B4086" w:rsidRDefault="0019492B" w:rsidP="0019492B">
            <w:pPr>
              <w:pStyle w:val="TableText0"/>
              <w:keepLines/>
              <w:widowControl w:val="0"/>
              <w:jc w:val="center"/>
              <w:rPr>
                <w:b/>
                <w:bCs w:val="0"/>
              </w:rPr>
            </w:pPr>
            <w:r w:rsidRPr="003B4086">
              <w:rPr>
                <w:b/>
                <w:bCs w:val="0"/>
              </w:rPr>
              <w:t>Event rate/100 patients</w:t>
            </w:r>
          </w:p>
        </w:tc>
        <w:tc>
          <w:tcPr>
            <w:tcW w:w="757" w:type="pct"/>
            <w:vMerge w:val="restart"/>
            <w:tcBorders>
              <w:top w:val="single" w:sz="4" w:space="0" w:color="auto"/>
              <w:left w:val="single" w:sz="4" w:space="0" w:color="auto"/>
              <w:right w:val="single" w:sz="4" w:space="0" w:color="auto"/>
            </w:tcBorders>
            <w:shd w:val="clear" w:color="auto" w:fill="auto"/>
          </w:tcPr>
          <w:p w14:paraId="7CDAD042" w14:textId="2B5272DC" w:rsidR="0019492B" w:rsidRPr="003B4086" w:rsidRDefault="0019492B" w:rsidP="0019492B">
            <w:pPr>
              <w:pStyle w:val="TableText0"/>
              <w:keepLines/>
              <w:widowControl w:val="0"/>
              <w:jc w:val="center"/>
              <w:rPr>
                <w:b/>
                <w:bCs w:val="0"/>
                <w:vertAlign w:val="superscript"/>
              </w:rPr>
            </w:pPr>
            <w:r w:rsidRPr="003B4086">
              <w:rPr>
                <w:b/>
                <w:bCs w:val="0"/>
              </w:rPr>
              <w:t>RD</w:t>
            </w:r>
          </w:p>
          <w:p w14:paraId="717470BB" w14:textId="77777777" w:rsidR="0019492B" w:rsidRPr="003B4086" w:rsidRDefault="0019492B" w:rsidP="0019492B">
            <w:pPr>
              <w:pStyle w:val="TableText0"/>
              <w:keepLines/>
              <w:widowControl w:val="0"/>
              <w:jc w:val="center"/>
            </w:pPr>
            <w:r w:rsidRPr="003B4086">
              <w:rPr>
                <w:b/>
                <w:bCs w:val="0"/>
              </w:rPr>
              <w:t>(95% CI)</w:t>
            </w:r>
          </w:p>
        </w:tc>
      </w:tr>
      <w:tr w:rsidR="0019492B" w:rsidRPr="003B4086" w14:paraId="095E33FE" w14:textId="77777777" w:rsidTr="008C5ED1">
        <w:tc>
          <w:tcPr>
            <w:tcW w:w="943" w:type="pct"/>
            <w:vMerge/>
            <w:tcBorders>
              <w:left w:val="single" w:sz="4" w:space="0" w:color="auto"/>
              <w:bottom w:val="single" w:sz="4" w:space="0" w:color="auto"/>
              <w:right w:val="single" w:sz="4" w:space="0" w:color="auto"/>
            </w:tcBorders>
            <w:shd w:val="clear" w:color="auto" w:fill="auto"/>
          </w:tcPr>
          <w:p w14:paraId="27B793F8" w14:textId="77777777" w:rsidR="0019492B" w:rsidRPr="003B4086" w:rsidRDefault="0019492B" w:rsidP="0019492B">
            <w:pPr>
              <w:pStyle w:val="TableText0"/>
              <w:keepLines/>
              <w:widowControl w:val="0"/>
              <w:jc w:val="center"/>
              <w:rPr>
                <w:highlight w:val="yellow"/>
              </w:rPr>
            </w:pPr>
          </w:p>
        </w:tc>
        <w:tc>
          <w:tcPr>
            <w:tcW w:w="550" w:type="pct"/>
            <w:vMerge/>
            <w:tcBorders>
              <w:left w:val="single" w:sz="4" w:space="0" w:color="auto"/>
              <w:bottom w:val="single" w:sz="4" w:space="0" w:color="auto"/>
              <w:right w:val="single" w:sz="4" w:space="0" w:color="auto"/>
            </w:tcBorders>
            <w:shd w:val="clear" w:color="auto" w:fill="auto"/>
          </w:tcPr>
          <w:p w14:paraId="48B450EF" w14:textId="77777777" w:rsidR="0019492B" w:rsidRPr="003B4086" w:rsidRDefault="0019492B" w:rsidP="0019492B">
            <w:pPr>
              <w:pStyle w:val="TableText0"/>
              <w:keepLines/>
              <w:widowControl w:val="0"/>
              <w:jc w:val="center"/>
              <w:rPr>
                <w:highlight w:val="yellow"/>
              </w:rPr>
            </w:pPr>
          </w:p>
        </w:tc>
        <w:tc>
          <w:tcPr>
            <w:tcW w:w="628" w:type="pct"/>
            <w:gridSpan w:val="2"/>
            <w:vMerge/>
            <w:tcBorders>
              <w:left w:val="single" w:sz="4" w:space="0" w:color="auto"/>
              <w:bottom w:val="single" w:sz="4" w:space="0" w:color="auto"/>
              <w:right w:val="single" w:sz="4" w:space="0" w:color="auto"/>
            </w:tcBorders>
            <w:shd w:val="clear" w:color="auto" w:fill="auto"/>
          </w:tcPr>
          <w:p w14:paraId="4891B15F" w14:textId="77777777" w:rsidR="0019492B" w:rsidRPr="003B4086" w:rsidRDefault="0019492B" w:rsidP="0019492B">
            <w:pPr>
              <w:pStyle w:val="TableText0"/>
              <w:keepLines/>
              <w:widowControl w:val="0"/>
              <w:jc w:val="center"/>
              <w:rPr>
                <w:highlight w:val="yellow"/>
              </w:rPr>
            </w:pPr>
          </w:p>
        </w:tc>
        <w:tc>
          <w:tcPr>
            <w:tcW w:w="708" w:type="pct"/>
            <w:gridSpan w:val="2"/>
            <w:vMerge/>
            <w:tcBorders>
              <w:left w:val="single" w:sz="4" w:space="0" w:color="auto"/>
              <w:bottom w:val="single" w:sz="4" w:space="0" w:color="auto"/>
              <w:right w:val="single" w:sz="4" w:space="0" w:color="auto"/>
            </w:tcBorders>
            <w:shd w:val="clear" w:color="auto" w:fill="auto"/>
          </w:tcPr>
          <w:p w14:paraId="184E6D78" w14:textId="77777777" w:rsidR="0019492B" w:rsidRPr="003B4086" w:rsidRDefault="0019492B" w:rsidP="0019492B">
            <w:pPr>
              <w:pStyle w:val="TableText0"/>
              <w:keepLines/>
              <w:widowControl w:val="0"/>
              <w:jc w:val="center"/>
              <w:rPr>
                <w:b/>
                <w:bCs w:val="0"/>
              </w:rPr>
            </w:pPr>
          </w:p>
        </w:tc>
        <w:tc>
          <w:tcPr>
            <w:tcW w:w="816" w:type="pct"/>
            <w:gridSpan w:val="2"/>
            <w:tcBorders>
              <w:top w:val="single" w:sz="4" w:space="0" w:color="auto"/>
              <w:left w:val="single" w:sz="4" w:space="0" w:color="auto"/>
              <w:bottom w:val="single" w:sz="4" w:space="0" w:color="auto"/>
              <w:right w:val="single" w:sz="4" w:space="0" w:color="auto"/>
            </w:tcBorders>
            <w:shd w:val="clear" w:color="auto" w:fill="auto"/>
          </w:tcPr>
          <w:p w14:paraId="13CA53E9" w14:textId="49B39FCC" w:rsidR="0019492B" w:rsidRPr="003B4086" w:rsidRDefault="00CB668E" w:rsidP="0019492B">
            <w:pPr>
              <w:pStyle w:val="TableText0"/>
              <w:keepLines/>
              <w:widowControl w:val="0"/>
              <w:jc w:val="center"/>
              <w:rPr>
                <w:b/>
                <w:bCs w:val="0"/>
              </w:rPr>
            </w:pPr>
            <w:r w:rsidRPr="003B4086">
              <w:rPr>
                <w:b/>
                <w:bCs w:val="0"/>
              </w:rPr>
              <w:t>Nivolumab</w:t>
            </w: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5401D7C7" w14:textId="53329DAB" w:rsidR="0019492B" w:rsidRPr="003B4086" w:rsidRDefault="00CB668E" w:rsidP="0019492B">
            <w:pPr>
              <w:pStyle w:val="TableText0"/>
              <w:keepLines/>
              <w:widowControl w:val="0"/>
              <w:jc w:val="center"/>
              <w:rPr>
                <w:b/>
                <w:bCs w:val="0"/>
              </w:rPr>
            </w:pPr>
            <w:r w:rsidRPr="003B4086">
              <w:rPr>
                <w:b/>
                <w:bCs w:val="0"/>
              </w:rPr>
              <w:t>Placebo</w:t>
            </w:r>
          </w:p>
        </w:tc>
        <w:tc>
          <w:tcPr>
            <w:tcW w:w="757" w:type="pct"/>
            <w:vMerge/>
            <w:tcBorders>
              <w:left w:val="single" w:sz="4" w:space="0" w:color="auto"/>
              <w:bottom w:val="single" w:sz="4" w:space="0" w:color="auto"/>
              <w:right w:val="single" w:sz="4" w:space="0" w:color="auto"/>
            </w:tcBorders>
            <w:shd w:val="clear" w:color="auto" w:fill="auto"/>
          </w:tcPr>
          <w:p w14:paraId="65BFC7BB" w14:textId="77777777" w:rsidR="0019492B" w:rsidRPr="003B4086" w:rsidRDefault="0019492B" w:rsidP="0019492B">
            <w:pPr>
              <w:pStyle w:val="TableText0"/>
              <w:keepLines/>
              <w:widowControl w:val="0"/>
              <w:jc w:val="center"/>
              <w:rPr>
                <w:b/>
                <w:bCs w:val="0"/>
              </w:rPr>
            </w:pPr>
          </w:p>
        </w:tc>
      </w:tr>
      <w:tr w:rsidR="00A50AC0" w:rsidRPr="003B4086" w14:paraId="572D4BF5" w14:textId="77777777" w:rsidTr="008C5ED1">
        <w:tc>
          <w:tcPr>
            <w:tcW w:w="943" w:type="pct"/>
            <w:tcBorders>
              <w:left w:val="single" w:sz="4" w:space="0" w:color="auto"/>
              <w:bottom w:val="single" w:sz="4" w:space="0" w:color="auto"/>
              <w:right w:val="single" w:sz="4" w:space="0" w:color="auto"/>
            </w:tcBorders>
            <w:shd w:val="clear" w:color="auto" w:fill="auto"/>
            <w:vAlign w:val="center"/>
          </w:tcPr>
          <w:p w14:paraId="7DFD4FB1" w14:textId="4897A2D5" w:rsidR="00A50AC0" w:rsidRPr="003B4086" w:rsidRDefault="00A50AC0" w:rsidP="00A50AC0">
            <w:pPr>
              <w:pStyle w:val="TableText0"/>
              <w:keepLines/>
              <w:widowControl w:val="0"/>
            </w:pPr>
            <w:r w:rsidRPr="003B4086">
              <w:t xml:space="preserve">Grade 3-4 </w:t>
            </w:r>
            <w:r w:rsidR="000C54C5" w:rsidRPr="003B4086">
              <w:t xml:space="preserve">study </w:t>
            </w:r>
            <w:r w:rsidRPr="003B4086">
              <w:t xml:space="preserve">drug related severe </w:t>
            </w:r>
            <w:r w:rsidR="000C54C5" w:rsidRPr="003B4086">
              <w:t>S</w:t>
            </w:r>
            <w:r w:rsidRPr="003B4086">
              <w:t>AE</w:t>
            </w:r>
          </w:p>
        </w:tc>
        <w:tc>
          <w:tcPr>
            <w:tcW w:w="550" w:type="pct"/>
            <w:tcBorders>
              <w:left w:val="single" w:sz="4" w:space="0" w:color="auto"/>
              <w:bottom w:val="single" w:sz="4" w:space="0" w:color="auto"/>
              <w:right w:val="single" w:sz="4" w:space="0" w:color="auto"/>
            </w:tcBorders>
            <w:shd w:val="clear" w:color="auto" w:fill="auto"/>
            <w:vAlign w:val="center"/>
          </w:tcPr>
          <w:p w14:paraId="79E730E2" w14:textId="22A6915D" w:rsidR="00A50AC0" w:rsidRPr="003B4086" w:rsidRDefault="00A50AC0" w:rsidP="00A50AC0">
            <w:pPr>
              <w:pStyle w:val="TableText0"/>
              <w:keepLines/>
              <w:widowControl w:val="0"/>
              <w:jc w:val="center"/>
            </w:pPr>
            <w:r w:rsidRPr="003B4086">
              <w:t>26/351</w:t>
            </w:r>
          </w:p>
        </w:tc>
        <w:tc>
          <w:tcPr>
            <w:tcW w:w="628" w:type="pct"/>
            <w:gridSpan w:val="2"/>
            <w:tcBorders>
              <w:left w:val="single" w:sz="4" w:space="0" w:color="auto"/>
              <w:bottom w:val="single" w:sz="4" w:space="0" w:color="auto"/>
              <w:right w:val="single" w:sz="4" w:space="0" w:color="auto"/>
            </w:tcBorders>
            <w:shd w:val="clear" w:color="auto" w:fill="auto"/>
            <w:vAlign w:val="center"/>
          </w:tcPr>
          <w:p w14:paraId="354B4A69" w14:textId="7F308D08" w:rsidR="00A50AC0" w:rsidRPr="003B4086" w:rsidRDefault="00A50AC0" w:rsidP="00A50AC0">
            <w:pPr>
              <w:pStyle w:val="TableText0"/>
              <w:keepLines/>
              <w:widowControl w:val="0"/>
              <w:jc w:val="center"/>
            </w:pPr>
            <w:r w:rsidRPr="003B4086">
              <w:t>6/348</w:t>
            </w:r>
          </w:p>
        </w:tc>
        <w:tc>
          <w:tcPr>
            <w:tcW w:w="708" w:type="pct"/>
            <w:gridSpan w:val="2"/>
            <w:tcBorders>
              <w:left w:val="single" w:sz="4" w:space="0" w:color="auto"/>
              <w:bottom w:val="single" w:sz="4" w:space="0" w:color="auto"/>
              <w:right w:val="single" w:sz="4" w:space="0" w:color="auto"/>
            </w:tcBorders>
            <w:shd w:val="clear" w:color="auto" w:fill="auto"/>
          </w:tcPr>
          <w:p w14:paraId="4A957898" w14:textId="77777777" w:rsidR="00A50AC0" w:rsidRPr="003B4086" w:rsidRDefault="00A50AC0" w:rsidP="00A50AC0">
            <w:pPr>
              <w:pStyle w:val="TableText0"/>
              <w:keepLines/>
              <w:widowControl w:val="0"/>
              <w:jc w:val="center"/>
            </w:pPr>
            <w:r w:rsidRPr="003B4086">
              <w:t>4.30</w:t>
            </w:r>
          </w:p>
          <w:p w14:paraId="52ABFBAC" w14:textId="33D41877" w:rsidR="00A50AC0" w:rsidRPr="003B4086" w:rsidRDefault="00A50AC0" w:rsidP="00A50AC0">
            <w:pPr>
              <w:pStyle w:val="TableText0"/>
              <w:keepLines/>
              <w:widowControl w:val="0"/>
              <w:jc w:val="center"/>
            </w:pPr>
            <w:r w:rsidRPr="003B4086">
              <w:t>(1.79, 10.31)</w:t>
            </w:r>
          </w:p>
        </w:tc>
        <w:tc>
          <w:tcPr>
            <w:tcW w:w="8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2D279" w14:textId="4A993BED" w:rsidR="00A50AC0" w:rsidRPr="003B4086" w:rsidRDefault="00A50AC0" w:rsidP="00A50AC0">
            <w:pPr>
              <w:pStyle w:val="TableText0"/>
              <w:keepLines/>
              <w:widowControl w:val="0"/>
              <w:jc w:val="center"/>
              <w:rPr>
                <w:b/>
                <w:bCs w:val="0"/>
              </w:rPr>
            </w:pPr>
            <w:r w:rsidRPr="003B4086">
              <w:t>7.4</w:t>
            </w: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12F64" w14:textId="5949070B" w:rsidR="00A50AC0" w:rsidRPr="003B4086" w:rsidRDefault="00A50AC0" w:rsidP="00A50AC0">
            <w:pPr>
              <w:pStyle w:val="TableText0"/>
              <w:keepLines/>
              <w:widowControl w:val="0"/>
              <w:jc w:val="center"/>
              <w:rPr>
                <w:b/>
                <w:bCs w:val="0"/>
              </w:rPr>
            </w:pPr>
            <w:r w:rsidRPr="003B4086">
              <w:t>1.7</w:t>
            </w:r>
          </w:p>
        </w:tc>
        <w:tc>
          <w:tcPr>
            <w:tcW w:w="757" w:type="pct"/>
            <w:tcBorders>
              <w:left w:val="single" w:sz="4" w:space="0" w:color="auto"/>
              <w:bottom w:val="single" w:sz="4" w:space="0" w:color="auto"/>
              <w:right w:val="single" w:sz="4" w:space="0" w:color="auto"/>
            </w:tcBorders>
            <w:shd w:val="clear" w:color="auto" w:fill="auto"/>
            <w:vAlign w:val="center"/>
          </w:tcPr>
          <w:p w14:paraId="2E8248BD" w14:textId="1A6EB7BE" w:rsidR="00A50AC0" w:rsidRPr="003B4086" w:rsidRDefault="000C54C5" w:rsidP="00A50AC0">
            <w:pPr>
              <w:pStyle w:val="TableText0"/>
              <w:keepLines/>
              <w:widowControl w:val="0"/>
              <w:jc w:val="center"/>
              <w:rPr>
                <w:b/>
                <w:bCs w:val="0"/>
              </w:rPr>
            </w:pPr>
            <w:r w:rsidRPr="003B4086">
              <w:t xml:space="preserve">0.06 </w:t>
            </w:r>
            <w:r w:rsidR="005B449F" w:rsidRPr="003B4086">
              <w:t>(</w:t>
            </w:r>
            <w:r w:rsidRPr="003B4086">
              <w:t>0.03, 0.09</w:t>
            </w:r>
            <w:r w:rsidR="005B449F" w:rsidRPr="003B4086">
              <w:t>)</w:t>
            </w:r>
          </w:p>
        </w:tc>
      </w:tr>
      <w:tr w:rsidR="00A50AC0" w:rsidRPr="003B4086" w14:paraId="27A27D90" w14:textId="77777777" w:rsidTr="008C5ED1">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7FC7D2E9" w14:textId="28A0D693" w:rsidR="00A50AC0" w:rsidRPr="003B4086" w:rsidRDefault="00614B86" w:rsidP="0036764F">
            <w:pPr>
              <w:pStyle w:val="TableText0"/>
              <w:keepLines/>
              <w:widowControl w:val="0"/>
            </w:pPr>
            <w:r w:rsidRPr="003B4086">
              <w:t>Any grade pruritus</w:t>
            </w:r>
          </w:p>
        </w:tc>
        <w:tc>
          <w:tcPr>
            <w:tcW w:w="550" w:type="pct"/>
            <w:tcBorders>
              <w:top w:val="single" w:sz="4" w:space="0" w:color="auto"/>
              <w:left w:val="single" w:sz="4" w:space="0" w:color="auto"/>
              <w:bottom w:val="single" w:sz="4" w:space="0" w:color="auto"/>
              <w:right w:val="single" w:sz="4" w:space="0" w:color="auto"/>
            </w:tcBorders>
            <w:vAlign w:val="center"/>
          </w:tcPr>
          <w:p w14:paraId="2FF33DD7" w14:textId="39FCF021" w:rsidR="00A50AC0" w:rsidRPr="003B4086" w:rsidRDefault="00614B86" w:rsidP="0036764F">
            <w:pPr>
              <w:pStyle w:val="TableText0"/>
              <w:keepLines/>
              <w:widowControl w:val="0"/>
              <w:jc w:val="center"/>
            </w:pPr>
            <w:r w:rsidRPr="003B4086">
              <w:t>81</w:t>
            </w:r>
            <w:r w:rsidR="00A50AC0" w:rsidRPr="003B4086">
              <w:t>/3</w:t>
            </w:r>
            <w:r w:rsidR="0036764F" w:rsidRPr="003B4086">
              <w:t>51</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21982B10" w14:textId="096D739A" w:rsidR="00A50AC0" w:rsidRPr="003B4086" w:rsidRDefault="00614B86" w:rsidP="0036764F">
            <w:pPr>
              <w:pStyle w:val="TableText0"/>
              <w:keepLines/>
              <w:widowControl w:val="0"/>
              <w:jc w:val="center"/>
            </w:pPr>
            <w:r w:rsidRPr="003B4086">
              <w:t>40</w:t>
            </w:r>
            <w:r w:rsidR="00A50AC0" w:rsidRPr="003B4086">
              <w:t>/34</w:t>
            </w:r>
            <w:r w:rsidR="0036764F" w:rsidRPr="003B4086">
              <w:t>8</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7C1DCE0F" w14:textId="3A53A9FE" w:rsidR="00A50AC0" w:rsidRPr="003B4086" w:rsidRDefault="00614B86" w:rsidP="00614B86">
            <w:pPr>
              <w:pStyle w:val="TableText0"/>
              <w:keepLines/>
              <w:widowControl w:val="0"/>
              <w:jc w:val="center"/>
            </w:pPr>
            <w:r w:rsidRPr="003B4086">
              <w:t xml:space="preserve">2.01 </w:t>
            </w:r>
            <w:r w:rsidR="0036764F" w:rsidRPr="003B4086">
              <w:t>(1.</w:t>
            </w:r>
            <w:r w:rsidRPr="003B4086">
              <w:t>4</w:t>
            </w:r>
            <w:r w:rsidR="0036764F" w:rsidRPr="003B4086">
              <w:t>2</w:t>
            </w:r>
            <w:r w:rsidR="00A50AC0" w:rsidRPr="003B4086">
              <w:t>, 2.</w:t>
            </w:r>
            <w:r w:rsidRPr="003B4086">
              <w:t>84</w:t>
            </w:r>
            <w:r w:rsidR="00A50AC0" w:rsidRPr="003B4086">
              <w:t>)</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1E770758" w14:textId="28BFC8DB" w:rsidR="00A50AC0" w:rsidRPr="003B4086" w:rsidRDefault="00614B86" w:rsidP="00A50AC0">
            <w:pPr>
              <w:pStyle w:val="TableText0"/>
              <w:keepLines/>
              <w:widowControl w:val="0"/>
              <w:jc w:val="center"/>
              <w:rPr>
                <w:b/>
                <w:bCs w:val="0"/>
              </w:rPr>
            </w:pPr>
            <w:r w:rsidRPr="003B4086">
              <w:t>23.1</w:t>
            </w:r>
          </w:p>
        </w:tc>
        <w:tc>
          <w:tcPr>
            <w:tcW w:w="599" w:type="pct"/>
            <w:gridSpan w:val="2"/>
            <w:tcBorders>
              <w:top w:val="single" w:sz="4" w:space="0" w:color="auto"/>
              <w:left w:val="single" w:sz="4" w:space="0" w:color="auto"/>
              <w:bottom w:val="single" w:sz="4" w:space="0" w:color="auto"/>
              <w:right w:val="single" w:sz="4" w:space="0" w:color="auto"/>
            </w:tcBorders>
            <w:vAlign w:val="center"/>
          </w:tcPr>
          <w:p w14:paraId="5761720A" w14:textId="1ED7E8B9" w:rsidR="00A50AC0" w:rsidRPr="003B4086" w:rsidRDefault="00614B86" w:rsidP="00A50AC0">
            <w:pPr>
              <w:pStyle w:val="TableText0"/>
              <w:keepLines/>
              <w:widowControl w:val="0"/>
              <w:jc w:val="center"/>
              <w:rPr>
                <w:b/>
                <w:bCs w:val="0"/>
              </w:rPr>
            </w:pPr>
            <w:r w:rsidRPr="003B4086">
              <w:t>11.5</w:t>
            </w:r>
          </w:p>
        </w:tc>
        <w:tc>
          <w:tcPr>
            <w:tcW w:w="757" w:type="pct"/>
            <w:tcBorders>
              <w:top w:val="single" w:sz="4" w:space="0" w:color="auto"/>
              <w:left w:val="single" w:sz="4" w:space="0" w:color="auto"/>
              <w:bottom w:val="single" w:sz="4" w:space="0" w:color="auto"/>
              <w:right w:val="single" w:sz="4" w:space="0" w:color="auto"/>
            </w:tcBorders>
            <w:vAlign w:val="center"/>
          </w:tcPr>
          <w:p w14:paraId="2E204923" w14:textId="22A671D3" w:rsidR="00A50AC0" w:rsidRPr="003B4086" w:rsidRDefault="00A50AC0" w:rsidP="00614B86">
            <w:pPr>
              <w:pStyle w:val="TableText0"/>
              <w:keepLines/>
              <w:widowControl w:val="0"/>
              <w:jc w:val="center"/>
              <w:rPr>
                <w:b/>
                <w:bCs w:val="0"/>
              </w:rPr>
            </w:pPr>
            <w:r w:rsidRPr="003B4086">
              <w:t>0.</w:t>
            </w:r>
            <w:r w:rsidR="00614B86" w:rsidRPr="003B4086">
              <w:t>12</w:t>
            </w:r>
            <w:r w:rsidRPr="003B4086">
              <w:t xml:space="preserve"> </w:t>
            </w:r>
            <w:r w:rsidR="00614B86" w:rsidRPr="003B4086">
              <w:t>(</w:t>
            </w:r>
            <w:r w:rsidRPr="003B4086">
              <w:t>0.0</w:t>
            </w:r>
            <w:r w:rsidR="00614B86" w:rsidRPr="003B4086">
              <w:t>6</w:t>
            </w:r>
            <w:r w:rsidRPr="003B4086">
              <w:t>, 0.</w:t>
            </w:r>
            <w:r w:rsidR="00614B86" w:rsidRPr="003B4086">
              <w:t>17</w:t>
            </w:r>
            <w:r w:rsidRPr="003B4086">
              <w:t>)</w:t>
            </w:r>
          </w:p>
        </w:tc>
      </w:tr>
    </w:tbl>
    <w:p w14:paraId="66B0C5A0" w14:textId="350CE360" w:rsidR="00614B86" w:rsidRPr="003B4086" w:rsidRDefault="00614B86" w:rsidP="006558A0">
      <w:pPr>
        <w:pStyle w:val="TableFigureFooter"/>
        <w:rPr>
          <w:rStyle w:val="TableFigureFooterChar"/>
          <w:rFonts w:eastAsiaTheme="minorHAnsi"/>
        </w:rPr>
      </w:pPr>
      <w:r w:rsidRPr="003B4086">
        <w:rPr>
          <w:rStyle w:val="TableFigureFooterChar"/>
          <w:rFonts w:eastAsiaTheme="minorHAnsi"/>
        </w:rPr>
        <w:t xml:space="preserve">Source: </w:t>
      </w:r>
      <w:r w:rsidRPr="003B4086">
        <w:rPr>
          <w:rFonts w:eastAsiaTheme="minorHAnsi"/>
        </w:rPr>
        <w:t>Table 29</w:t>
      </w:r>
      <w:r w:rsidR="009B2A50" w:rsidRPr="003B4086">
        <w:rPr>
          <w:rFonts w:eastAsiaTheme="minorHAnsi"/>
        </w:rPr>
        <w:t>−</w:t>
      </w:r>
      <w:r w:rsidRPr="003B4086">
        <w:rPr>
          <w:rFonts w:eastAsiaTheme="minorHAnsi"/>
        </w:rPr>
        <w:t>30, pp80</w:t>
      </w:r>
      <w:r w:rsidR="009B2A50" w:rsidRPr="003B4086">
        <w:rPr>
          <w:rFonts w:eastAsiaTheme="minorHAnsi"/>
        </w:rPr>
        <w:t>−</w:t>
      </w:r>
      <w:r w:rsidRPr="003B4086">
        <w:rPr>
          <w:rFonts w:eastAsiaTheme="minorHAnsi"/>
        </w:rPr>
        <w:t>1 of the submission</w:t>
      </w:r>
    </w:p>
    <w:p w14:paraId="1A2DE6AE" w14:textId="5F85FDE8" w:rsidR="00007F6D" w:rsidRPr="003B4086" w:rsidRDefault="00007F6D" w:rsidP="00007F6D">
      <w:pPr>
        <w:pStyle w:val="TableFigureFooter"/>
        <w:rPr>
          <w:rStyle w:val="TableFigureFooterChar"/>
          <w:rFonts w:eastAsiaTheme="minorHAnsi"/>
        </w:rPr>
      </w:pPr>
      <w:r w:rsidRPr="003B4086">
        <w:rPr>
          <w:rStyle w:val="TableFigureFooterChar"/>
          <w:rFonts w:eastAsiaTheme="minorHAnsi"/>
        </w:rPr>
        <w:t xml:space="preserve">AE = adverse event; DFS = disease-free survival; HR = hazard ratio; ITT = intention to treat; NE = not estimable (not reached); OS = overall survival; </w:t>
      </w:r>
      <w:r w:rsidR="00456C45" w:rsidRPr="003B4086">
        <w:rPr>
          <w:rStyle w:val="TableFigureFooterChar"/>
          <w:rFonts w:eastAsiaTheme="minorHAnsi"/>
        </w:rPr>
        <w:t>SAE = serious adverse event</w:t>
      </w:r>
      <w:r w:rsidRPr="003B4086">
        <w:rPr>
          <w:rStyle w:val="TableFigureFooterChar"/>
          <w:rFonts w:eastAsiaTheme="minorHAnsi"/>
        </w:rPr>
        <w:t>.</w:t>
      </w:r>
    </w:p>
    <w:p w14:paraId="1F4E473F" w14:textId="6DF75236" w:rsidR="000C54C5" w:rsidRPr="003B4086" w:rsidRDefault="00007F6D" w:rsidP="00007F6D">
      <w:pPr>
        <w:pStyle w:val="TableFigureFooter"/>
        <w:rPr>
          <w:rStyle w:val="TableFigureFooterChar"/>
        </w:rPr>
      </w:pPr>
      <w:r w:rsidRPr="003B4086">
        <w:rPr>
          <w:rStyle w:val="TableFigureFooterChar"/>
          <w:rFonts w:eastAsiaTheme="minorHAnsi"/>
        </w:rPr>
        <w:t>Notes: HR for DFS and OS were for nivolumab versus placebo. HR &lt;1 favour nivolumab over placebo. Risk ratios (RR) and risk differences (RD) in safety outcomes were for nivolumab versus placebo. RRs &gt; 1 and RDs &gt; 0 favour placebo over nivolumab</w:t>
      </w:r>
      <w:r w:rsidRPr="003B4086">
        <w:rPr>
          <w:rStyle w:val="TableFigureFooterChar"/>
        </w:rPr>
        <w:t>.</w:t>
      </w:r>
    </w:p>
    <w:p w14:paraId="01112B86" w14:textId="6968D939" w:rsidR="00007F6D" w:rsidRPr="003B4086" w:rsidRDefault="00007F6D" w:rsidP="006558A0">
      <w:pPr>
        <w:pStyle w:val="TableFigureFooter"/>
        <w:rPr>
          <w:rStyle w:val="TableFigureFooterChar"/>
        </w:rPr>
      </w:pPr>
      <w:r w:rsidRPr="003B4086">
        <w:rPr>
          <w:rStyle w:val="TableFigureFooterChar"/>
        </w:rPr>
        <w:t>Safety based on safety evaluable population.</w:t>
      </w:r>
    </w:p>
    <w:p w14:paraId="766248FA" w14:textId="2FAB7998" w:rsidR="00687561" w:rsidRPr="003B4086" w:rsidRDefault="00687561" w:rsidP="006558A0">
      <w:pPr>
        <w:pStyle w:val="TableFigureFooter"/>
        <w:rPr>
          <w:rStyle w:val="TableFigureFooterChar"/>
        </w:rPr>
      </w:pPr>
      <w:r w:rsidRPr="003B4086">
        <w:rPr>
          <w:vertAlign w:val="superscript"/>
        </w:rPr>
        <w:t>a</w:t>
      </w:r>
      <w:r w:rsidRPr="003B4086">
        <w:t xml:space="preserve">Log-rank test stratified by prior neo-adjuvant cisplatin, pathological nodal status, PD-L1 status (≥ 1% versus &lt; 1% / indeterminate). </w:t>
      </w:r>
    </w:p>
    <w:p w14:paraId="49306A8A" w14:textId="2532D8DE" w:rsidR="000E7D7C" w:rsidRPr="003B4086" w:rsidRDefault="000E7D7C" w:rsidP="000E7D7C">
      <w:pPr>
        <w:pStyle w:val="3-BodyText"/>
      </w:pPr>
      <w:r w:rsidRPr="003B4086">
        <w:t xml:space="preserve">On the basis of the direct evidence presented in the submission, for every 100 patients treated with nivolumab in comparison with </w:t>
      </w:r>
      <w:r w:rsidR="00176924" w:rsidRPr="003B4086">
        <w:t>placebo</w:t>
      </w:r>
      <w:r w:rsidR="00AE08FB" w:rsidRPr="003B4086">
        <w:t xml:space="preserve"> (median duration of follow-up: Nivolumab 24.4 months, Placebo 22.5 months</w:t>
      </w:r>
      <w:r w:rsidR="00070E20" w:rsidRPr="003B4086">
        <w:t>)</w:t>
      </w:r>
      <w:r w:rsidRPr="003B4086">
        <w:t xml:space="preserve">: </w:t>
      </w:r>
    </w:p>
    <w:p w14:paraId="3E27CAAD" w14:textId="3473E21A" w:rsidR="000E7D7C" w:rsidRPr="003B4086" w:rsidRDefault="000E7D7C" w:rsidP="00773A6D">
      <w:pPr>
        <w:pStyle w:val="3-BodyText"/>
        <w:numPr>
          <w:ilvl w:val="0"/>
          <w:numId w:val="10"/>
        </w:numPr>
      </w:pPr>
      <w:r w:rsidRPr="003B4086">
        <w:t xml:space="preserve">Approximately </w:t>
      </w:r>
      <w:r w:rsidR="0068074D" w:rsidRPr="003B4086">
        <w:t>9</w:t>
      </w:r>
      <w:r w:rsidRPr="003B4086">
        <w:t xml:space="preserve"> additional patients will remain free of disease </w:t>
      </w:r>
      <w:r w:rsidR="0068074D" w:rsidRPr="003B4086">
        <w:t xml:space="preserve">recurrence or death </w:t>
      </w:r>
      <w:r w:rsidRPr="003B4086">
        <w:t xml:space="preserve">at </w:t>
      </w:r>
      <w:r w:rsidR="0068074D" w:rsidRPr="003B4086">
        <w:t>30 months</w:t>
      </w:r>
      <w:r w:rsidRPr="003B4086">
        <w:t>.</w:t>
      </w:r>
    </w:p>
    <w:p w14:paraId="17973654" w14:textId="1277DD0E" w:rsidR="000E7D7C" w:rsidRPr="003B4086" w:rsidRDefault="000E7D7C" w:rsidP="00773A6D">
      <w:pPr>
        <w:pStyle w:val="3-BodyText"/>
        <w:numPr>
          <w:ilvl w:val="0"/>
          <w:numId w:val="10"/>
        </w:numPr>
      </w:pPr>
      <w:r w:rsidRPr="003B4086">
        <w:lastRenderedPageBreak/>
        <w:t xml:space="preserve">Approximately </w:t>
      </w:r>
      <w:r w:rsidR="0068074D" w:rsidRPr="003B4086">
        <w:t>6</w:t>
      </w:r>
      <w:r w:rsidRPr="003B4086">
        <w:t xml:space="preserve"> additional patients will experience a life-threatening or severe </w:t>
      </w:r>
      <w:r w:rsidR="0068074D" w:rsidRPr="003B4086">
        <w:t>serious adverse event</w:t>
      </w:r>
      <w:r w:rsidRPr="003B4086">
        <w:t>.</w:t>
      </w:r>
    </w:p>
    <w:p w14:paraId="4DABD47E" w14:textId="44077578" w:rsidR="0068074D" w:rsidRPr="003B4086" w:rsidRDefault="000E7D7C" w:rsidP="00773A6D">
      <w:pPr>
        <w:pStyle w:val="3-BodyText"/>
        <w:numPr>
          <w:ilvl w:val="0"/>
          <w:numId w:val="10"/>
        </w:numPr>
      </w:pPr>
      <w:r w:rsidRPr="003B4086">
        <w:rPr>
          <w:snapToGrid/>
        </w:rPr>
        <w:t xml:space="preserve">Approximately </w:t>
      </w:r>
      <w:r w:rsidR="0068074D" w:rsidRPr="003B4086">
        <w:rPr>
          <w:snapToGrid/>
        </w:rPr>
        <w:t>12</w:t>
      </w:r>
      <w:r w:rsidRPr="003B4086">
        <w:rPr>
          <w:snapToGrid/>
        </w:rPr>
        <w:t xml:space="preserve"> additional patient</w:t>
      </w:r>
      <w:r w:rsidR="00314C24">
        <w:rPr>
          <w:snapToGrid/>
        </w:rPr>
        <w:t>s</w:t>
      </w:r>
      <w:r w:rsidRPr="003B4086">
        <w:rPr>
          <w:snapToGrid/>
        </w:rPr>
        <w:t xml:space="preserve"> will experience </w:t>
      </w:r>
      <w:r w:rsidR="0068074D" w:rsidRPr="003B4086">
        <w:rPr>
          <w:snapToGrid/>
        </w:rPr>
        <w:t>pruritus (any possible grade).</w:t>
      </w:r>
    </w:p>
    <w:p w14:paraId="43297F2C" w14:textId="6D002B0B" w:rsidR="001E5A86" w:rsidRPr="003B4086" w:rsidRDefault="001E5A86" w:rsidP="001E5A86">
      <w:pPr>
        <w:pStyle w:val="3-BodyText"/>
        <w:numPr>
          <w:ilvl w:val="0"/>
          <w:numId w:val="0"/>
        </w:numPr>
        <w:ind w:left="1440" w:hanging="720"/>
      </w:pPr>
      <w:r w:rsidRPr="003B4086">
        <w:rPr>
          <w:snapToGrid/>
        </w:rPr>
        <w:t xml:space="preserve">The </w:t>
      </w:r>
      <w:r w:rsidR="00E9198A" w:rsidRPr="003B4086">
        <w:rPr>
          <w:snapToGrid/>
        </w:rPr>
        <w:t xml:space="preserve">impact on OS is unknown. </w:t>
      </w:r>
    </w:p>
    <w:p w14:paraId="7A1772B6" w14:textId="23BB3145" w:rsidR="00B60939" w:rsidRPr="003B4086" w:rsidRDefault="00B60939" w:rsidP="00E9094A">
      <w:pPr>
        <w:pStyle w:val="4-SubsectionHeading"/>
      </w:pPr>
      <w:bookmarkStart w:id="42" w:name="_Toc22897644"/>
      <w:bookmarkStart w:id="43" w:name="_Toc103768133"/>
      <w:r w:rsidRPr="003B4086">
        <w:t>Clinical claim</w:t>
      </w:r>
      <w:bookmarkEnd w:id="42"/>
      <w:bookmarkEnd w:id="43"/>
    </w:p>
    <w:p w14:paraId="49403EC9" w14:textId="026ADB4E" w:rsidR="00D810BF" w:rsidRPr="003B4086" w:rsidRDefault="00D810BF" w:rsidP="00D810BF">
      <w:pPr>
        <w:pStyle w:val="3-BodyText"/>
      </w:pPr>
      <w:bookmarkStart w:id="44" w:name="_Ref109379311"/>
      <w:r w:rsidRPr="003B4086">
        <w:t xml:space="preserve">Based on the direct comparison in the CM274 trial, the submission described nivolumab as superior in terms of effectiveness and inferior in terms of safety compared to placebo </w:t>
      </w:r>
      <w:r w:rsidR="00007F6D" w:rsidRPr="003B4086">
        <w:t>(</w:t>
      </w:r>
      <w:r w:rsidRPr="003B4086">
        <w:t>as a proxy for watchful waiting</w:t>
      </w:r>
      <w:r w:rsidR="00007F6D" w:rsidRPr="003B4086">
        <w:t>)</w:t>
      </w:r>
      <w:r w:rsidRPr="003B4086">
        <w:t>. The evaluation sugges</w:t>
      </w:r>
      <w:r w:rsidR="00573AC7" w:rsidRPr="003B4086">
        <w:t>ted</w:t>
      </w:r>
      <w:r w:rsidRPr="003B4086">
        <w:t xml:space="preserve"> the following issues should be considered when interpreting </w:t>
      </w:r>
      <w:r w:rsidR="00007F6D" w:rsidRPr="003B4086">
        <w:t>the effectiveness results from the CM274 trial:</w:t>
      </w:r>
      <w:bookmarkEnd w:id="44"/>
      <w:r w:rsidRPr="003B4086">
        <w:t xml:space="preserve"> </w:t>
      </w:r>
    </w:p>
    <w:p w14:paraId="4E745AE6" w14:textId="0543CFDD" w:rsidR="003D6DB5" w:rsidRPr="003B4086" w:rsidRDefault="003D6DB5" w:rsidP="00773A6D">
      <w:pPr>
        <w:pStyle w:val="3-BodyText"/>
        <w:numPr>
          <w:ilvl w:val="0"/>
          <w:numId w:val="11"/>
        </w:numPr>
      </w:pPr>
      <w:r w:rsidRPr="003B4086">
        <w:rPr>
          <w:rFonts w:eastAsia="Calibri"/>
        </w:rPr>
        <w:t xml:space="preserve">Only an interim analysis of OS </w:t>
      </w:r>
      <w:r w:rsidR="00196E0C" w:rsidRPr="003B4086">
        <w:rPr>
          <w:rFonts w:eastAsia="Calibri"/>
        </w:rPr>
        <w:t>wa</w:t>
      </w:r>
      <w:r w:rsidRPr="003B4086">
        <w:rPr>
          <w:rFonts w:eastAsia="Calibri"/>
        </w:rPr>
        <w:t xml:space="preserve">s available and the OS data remain immature. With a median follow-up of 24 months in the nivolumab arm and 23 months in the placebo arm, </w:t>
      </w:r>
      <w:r w:rsidRPr="002D26DF">
        <w:rPr>
          <w:rFonts w:eastAsia="Calibri"/>
        </w:rPr>
        <w:t xml:space="preserve">approximately </w:t>
      </w:r>
      <w:r w:rsidR="00E020DE" w:rsidRPr="00785573">
        <w:rPr>
          <w:rFonts w:eastAsia="Calibri"/>
          <w:color w:val="000000"/>
          <w:w w:val="15"/>
          <w:shd w:val="solid" w:color="000000" w:fill="000000"/>
          <w:fitText w:val="-20" w:id="-1435269875"/>
          <w14:textFill>
            <w14:solidFill>
              <w14:srgbClr w14:val="000000">
                <w14:alpha w14:val="100000"/>
              </w14:srgbClr>
            </w14:solidFill>
          </w14:textFill>
        </w:rPr>
        <w:t xml:space="preserve">|  </w:t>
      </w:r>
      <w:r w:rsidR="00E020DE" w:rsidRPr="00785573">
        <w:rPr>
          <w:rFonts w:eastAsia="Calibri"/>
          <w:color w:val="000000"/>
          <w:spacing w:val="-69"/>
          <w:w w:val="15"/>
          <w:shd w:val="solid" w:color="000000" w:fill="000000"/>
          <w:fitText w:val="-20" w:id="-1435269875"/>
          <w14:textFill>
            <w14:solidFill>
              <w14:srgbClr w14:val="000000">
                <w14:alpha w14:val="100000"/>
              </w14:srgbClr>
            </w14:solidFill>
          </w14:textFill>
        </w:rPr>
        <w:t>|</w:t>
      </w:r>
      <w:r w:rsidRPr="002D26DF">
        <w:rPr>
          <w:rFonts w:eastAsia="Calibri"/>
        </w:rPr>
        <w:t xml:space="preserve">% and </w:t>
      </w:r>
      <w:r w:rsidR="00E020DE" w:rsidRPr="00785573">
        <w:rPr>
          <w:rFonts w:eastAsia="Calibri"/>
          <w:color w:val="000000"/>
          <w:w w:val="15"/>
          <w:shd w:val="solid" w:color="000000" w:fill="000000"/>
          <w:fitText w:val="-20" w:id="-1435269874"/>
          <w14:textFill>
            <w14:solidFill>
              <w14:srgbClr w14:val="000000">
                <w14:alpha w14:val="100000"/>
              </w14:srgbClr>
            </w14:solidFill>
          </w14:textFill>
        </w:rPr>
        <w:t xml:space="preserve">|  </w:t>
      </w:r>
      <w:r w:rsidR="00E020DE" w:rsidRPr="00785573">
        <w:rPr>
          <w:rFonts w:eastAsia="Calibri"/>
          <w:color w:val="000000"/>
          <w:spacing w:val="-69"/>
          <w:w w:val="15"/>
          <w:shd w:val="solid" w:color="000000" w:fill="000000"/>
          <w:fitText w:val="-20" w:id="-1435269874"/>
          <w14:textFill>
            <w14:solidFill>
              <w14:srgbClr w14:val="000000">
                <w14:alpha w14:val="100000"/>
              </w14:srgbClr>
            </w14:solidFill>
          </w14:textFill>
        </w:rPr>
        <w:t>|</w:t>
      </w:r>
      <w:r w:rsidRPr="002D26DF">
        <w:rPr>
          <w:rFonts w:eastAsia="Calibri"/>
        </w:rPr>
        <w:t>% of events had occurred in the nivolumab and placebo arms, respectively.</w:t>
      </w:r>
      <w:r w:rsidRPr="003B4086">
        <w:rPr>
          <w:rFonts w:eastAsia="Calibri"/>
        </w:rPr>
        <w:t xml:space="preserve"> Longer-term data are required to determine whether the observed improvement in DFS translates into a clinically meaningful OS benefit. The PSCR </w:t>
      </w:r>
      <w:r w:rsidR="00872F7A" w:rsidRPr="003B4086">
        <w:rPr>
          <w:rFonts w:eastAsia="Calibri"/>
        </w:rPr>
        <w:t>stated</w:t>
      </w:r>
      <w:r w:rsidRPr="003B4086">
        <w:rPr>
          <w:rFonts w:eastAsia="Calibri"/>
        </w:rPr>
        <w:t xml:space="preserve"> that reducing the risk of cancer recurrence is a meaningful and important clinical benefit, particularly among patients at high risk of recurrence. </w:t>
      </w:r>
      <w:r w:rsidR="00637B54" w:rsidRPr="003B4086">
        <w:rPr>
          <w:rFonts w:eastAsia="Calibri"/>
        </w:rPr>
        <w:t xml:space="preserve">The PSCR </w:t>
      </w:r>
      <w:r w:rsidRPr="003B4086">
        <w:rPr>
          <w:rFonts w:eastAsia="Calibri"/>
        </w:rPr>
        <w:t xml:space="preserve">argued that the DFS outcome can be considered a standalone measure of clinical benefit and as it is reported earlier than OS it is not confounded by subsequent cancer therapies. </w:t>
      </w:r>
      <w:r w:rsidR="00196E0C" w:rsidRPr="003B4086">
        <w:rPr>
          <w:rFonts w:eastAsia="Calibri"/>
        </w:rPr>
        <w:t xml:space="preserve">The ESC considered that while DFS is a hard endpoint for adjuvant chemotherapy, its use as an endpoint to predict OS for adjuvant immunotherapy is not as clear. The ESC considered this is particularly the case in cancers </w:t>
      </w:r>
      <w:r w:rsidR="007732E9" w:rsidRPr="003B4086">
        <w:rPr>
          <w:rFonts w:eastAsia="Calibri"/>
        </w:rPr>
        <w:t xml:space="preserve">where there may be a subgroup of patients who have disease recurrence but </w:t>
      </w:r>
      <w:r w:rsidR="00196E0C" w:rsidRPr="003B4086">
        <w:rPr>
          <w:rFonts w:eastAsia="Calibri"/>
        </w:rPr>
        <w:t xml:space="preserve">may still </w:t>
      </w:r>
      <w:r w:rsidR="007732E9" w:rsidRPr="003B4086">
        <w:rPr>
          <w:rFonts w:eastAsia="Calibri"/>
        </w:rPr>
        <w:t xml:space="preserve">enter a cure phase after </w:t>
      </w:r>
      <w:r w:rsidR="007F2F86" w:rsidRPr="003B4086">
        <w:rPr>
          <w:rFonts w:eastAsia="Calibri"/>
        </w:rPr>
        <w:t>subsequent therapy in the metastatic setting</w:t>
      </w:r>
      <w:r w:rsidR="007732E9" w:rsidRPr="003B4086">
        <w:rPr>
          <w:rFonts w:eastAsia="Calibri"/>
        </w:rPr>
        <w:t>. In addition, t</w:t>
      </w:r>
      <w:r w:rsidRPr="003B4086">
        <w:rPr>
          <w:rFonts w:eastAsia="Calibri"/>
        </w:rPr>
        <w:t>he ESC noted that the OS data were immature and considered its relevance to the Australian setting uncertain given the subsequent use of immunotherapies in the CM274 tria</w:t>
      </w:r>
      <w:r w:rsidR="00872F7A" w:rsidRPr="003B4086">
        <w:rPr>
          <w:rFonts w:eastAsia="Calibri"/>
        </w:rPr>
        <w:t>l did not reflect current Australian clinical practice</w:t>
      </w:r>
      <w:r w:rsidR="00196E0C" w:rsidRPr="003B4086">
        <w:rPr>
          <w:rFonts w:eastAsia="Calibri"/>
        </w:rPr>
        <w:t xml:space="preserve">. </w:t>
      </w:r>
      <w:r w:rsidR="00C45938" w:rsidRPr="003B4086">
        <w:rPr>
          <w:rFonts w:eastAsia="Calibri"/>
        </w:rPr>
        <w:t>It was maintained in the pre-PBAC response</w:t>
      </w:r>
      <w:r w:rsidR="00903512" w:rsidRPr="003B4086">
        <w:rPr>
          <w:rFonts w:eastAsia="Calibri"/>
        </w:rPr>
        <w:t xml:space="preserve"> </w:t>
      </w:r>
      <w:r w:rsidR="00C45938" w:rsidRPr="003B4086">
        <w:rPr>
          <w:rFonts w:eastAsia="Calibri"/>
        </w:rPr>
        <w:t xml:space="preserve">that DFS is a patient-relevant and clinically meaningful endpoint </w:t>
      </w:r>
      <w:r w:rsidR="007C60A4">
        <w:rPr>
          <w:rFonts w:eastAsia="Calibri"/>
        </w:rPr>
        <w:t>that</w:t>
      </w:r>
      <w:r w:rsidR="00C45938" w:rsidRPr="003B4086">
        <w:rPr>
          <w:rFonts w:eastAsia="Calibri"/>
        </w:rPr>
        <w:t xml:space="preserve"> is</w:t>
      </w:r>
      <w:r w:rsidR="007C60A4">
        <w:rPr>
          <w:rFonts w:eastAsia="Calibri"/>
        </w:rPr>
        <w:t xml:space="preserve"> well</w:t>
      </w:r>
      <w:r w:rsidR="00C45938" w:rsidRPr="003B4086">
        <w:rPr>
          <w:rFonts w:eastAsia="Calibri"/>
        </w:rPr>
        <w:t xml:space="preserve"> supported by </w:t>
      </w:r>
      <w:r w:rsidR="00903512" w:rsidRPr="003B4086">
        <w:rPr>
          <w:rFonts w:eastAsia="Calibri"/>
        </w:rPr>
        <w:t>Australian</w:t>
      </w:r>
      <w:r w:rsidR="00C45938" w:rsidRPr="003B4086">
        <w:rPr>
          <w:rFonts w:eastAsia="Calibri"/>
        </w:rPr>
        <w:t xml:space="preserve"> </w:t>
      </w:r>
      <w:r w:rsidR="00903512" w:rsidRPr="003B4086">
        <w:rPr>
          <w:rFonts w:eastAsia="Calibri"/>
        </w:rPr>
        <w:t xml:space="preserve">clinicians. </w:t>
      </w:r>
      <w:r w:rsidR="001B636F">
        <w:rPr>
          <w:rFonts w:eastAsia="Calibri"/>
        </w:rPr>
        <w:t xml:space="preserve">The pre-PBAC response also argued that, consistent with Australian clinical practice, </w:t>
      </w:r>
      <w:r w:rsidR="00903512" w:rsidRPr="003B4086">
        <w:rPr>
          <w:rFonts w:eastAsia="Calibri"/>
        </w:rPr>
        <w:t>a large proportion</w:t>
      </w:r>
      <w:r w:rsidR="001B636F">
        <w:rPr>
          <w:rFonts w:eastAsia="Calibri"/>
        </w:rPr>
        <w:t xml:space="preserve"> (57%)</w:t>
      </w:r>
      <w:r w:rsidR="00903512" w:rsidRPr="003B4086">
        <w:rPr>
          <w:rFonts w:eastAsia="Calibri"/>
        </w:rPr>
        <w:t xml:space="preserve"> of patients in the</w:t>
      </w:r>
      <w:r w:rsidR="001B636F">
        <w:rPr>
          <w:rFonts w:eastAsia="Calibri"/>
        </w:rPr>
        <w:t xml:space="preserve"> placebo arm</w:t>
      </w:r>
      <w:r w:rsidR="00903512" w:rsidRPr="003B4086">
        <w:rPr>
          <w:rFonts w:eastAsia="Calibri"/>
        </w:rPr>
        <w:t xml:space="preserve"> </w:t>
      </w:r>
      <w:r w:rsidR="001B636F">
        <w:rPr>
          <w:rFonts w:eastAsia="Calibri"/>
        </w:rPr>
        <w:t xml:space="preserve">of the </w:t>
      </w:r>
      <w:r w:rsidR="00903512" w:rsidRPr="003B4086">
        <w:rPr>
          <w:rFonts w:eastAsia="Calibri"/>
        </w:rPr>
        <w:t xml:space="preserve">CM274 trial </w:t>
      </w:r>
      <w:r w:rsidR="001B636F">
        <w:rPr>
          <w:rFonts w:eastAsia="Calibri"/>
        </w:rPr>
        <w:t xml:space="preserve">who </w:t>
      </w:r>
      <w:r w:rsidR="00903512" w:rsidRPr="003B4086">
        <w:rPr>
          <w:rFonts w:eastAsia="Calibri"/>
        </w:rPr>
        <w:t xml:space="preserve">received </w:t>
      </w:r>
      <w:r w:rsidR="001B636F">
        <w:rPr>
          <w:rFonts w:eastAsia="Calibri"/>
        </w:rPr>
        <w:t>immunotherapy</w:t>
      </w:r>
      <w:r w:rsidR="00903512" w:rsidRPr="003B4086">
        <w:rPr>
          <w:rFonts w:eastAsia="Calibri"/>
        </w:rPr>
        <w:t xml:space="preserve"> </w:t>
      </w:r>
      <w:r w:rsidR="001B636F">
        <w:rPr>
          <w:rFonts w:eastAsia="Calibri"/>
        </w:rPr>
        <w:t>did so as</w:t>
      </w:r>
      <w:r w:rsidR="00903512" w:rsidRPr="003B4086">
        <w:rPr>
          <w:rFonts w:eastAsia="Calibri"/>
        </w:rPr>
        <w:t xml:space="preserve"> a</w:t>
      </w:r>
      <w:r w:rsidR="008836DB">
        <w:rPr>
          <w:rFonts w:eastAsia="Calibri"/>
        </w:rPr>
        <w:t xml:space="preserve"> second-line</w:t>
      </w:r>
      <w:r w:rsidR="00903512" w:rsidRPr="003B4086">
        <w:rPr>
          <w:rFonts w:eastAsia="Calibri"/>
        </w:rPr>
        <w:t xml:space="preserve"> therapy</w:t>
      </w:r>
      <w:r w:rsidR="001B636F">
        <w:rPr>
          <w:rFonts w:eastAsia="Calibri"/>
        </w:rPr>
        <w:t xml:space="preserve">. </w:t>
      </w:r>
      <w:r w:rsidR="00EF1B12">
        <w:rPr>
          <w:rFonts w:eastAsia="Calibri"/>
        </w:rPr>
        <w:t xml:space="preserve">Further, the pre-PBAC response argued that </w:t>
      </w:r>
      <w:r w:rsidR="000160EA" w:rsidRPr="003B4086">
        <w:rPr>
          <w:rFonts w:eastAsia="Calibri"/>
        </w:rPr>
        <w:t>use of immunotherapy in the first</w:t>
      </w:r>
      <w:r w:rsidR="008836DB">
        <w:rPr>
          <w:rFonts w:eastAsia="Calibri"/>
        </w:rPr>
        <w:t>-</w:t>
      </w:r>
      <w:r w:rsidR="000160EA" w:rsidRPr="003B4086">
        <w:rPr>
          <w:rFonts w:eastAsia="Calibri"/>
        </w:rPr>
        <w:t>line setting</w:t>
      </w:r>
      <w:r w:rsidR="008836DB">
        <w:rPr>
          <w:rFonts w:eastAsia="Calibri"/>
        </w:rPr>
        <w:t>,</w:t>
      </w:r>
      <w:r w:rsidR="000160EA" w:rsidRPr="003B4086">
        <w:rPr>
          <w:rFonts w:eastAsia="Calibri"/>
        </w:rPr>
        <w:t xml:space="preserve"> prior to chemotherapy in the placebo arm (not reflective of Australian practice)</w:t>
      </w:r>
      <w:r w:rsidR="008836DB">
        <w:rPr>
          <w:rFonts w:eastAsia="Calibri"/>
        </w:rPr>
        <w:t>,</w:t>
      </w:r>
      <w:r w:rsidR="000160EA" w:rsidRPr="003B4086">
        <w:rPr>
          <w:rFonts w:eastAsia="Calibri"/>
        </w:rPr>
        <w:t xml:space="preserve"> may mean that the clinical benefit of adjuvant nivolumab compared with placebo </w:t>
      </w:r>
      <w:r w:rsidR="008836DB">
        <w:rPr>
          <w:rFonts w:eastAsia="Calibri"/>
        </w:rPr>
        <w:t>is</w:t>
      </w:r>
      <w:r w:rsidR="000160EA" w:rsidRPr="003B4086">
        <w:rPr>
          <w:rFonts w:eastAsia="Calibri"/>
        </w:rPr>
        <w:t xml:space="preserve"> conservative compared to the Australian setting. </w:t>
      </w:r>
    </w:p>
    <w:p w14:paraId="23F2BE40" w14:textId="7AB6097C" w:rsidR="006D0AA3" w:rsidRPr="003B4086" w:rsidRDefault="008A1E84" w:rsidP="00773A6D">
      <w:pPr>
        <w:pStyle w:val="3-BodyText"/>
        <w:numPr>
          <w:ilvl w:val="0"/>
          <w:numId w:val="11"/>
        </w:numPr>
      </w:pPr>
      <w:r w:rsidRPr="003B4086">
        <w:t>There was no clear benefit observed in patients who had not received prior neoadjuvant cisplatin-based chemotherapy. In clinical practice, patients who have not received prior neoadjuvant platinum-based chemotherapy would usually be offered, if eligible, adjuvant platinum-based chemotherapy. No comparative evidence for adjuvant nivolumab versus adjuvant chemotherapy was presented in the submission, with the submission noting that there was high uncertainty with an indirect comparison.</w:t>
      </w:r>
      <w:r w:rsidR="00F2639A" w:rsidRPr="003B4086">
        <w:t xml:space="preserve"> The PSCR highlight</w:t>
      </w:r>
      <w:r w:rsidR="00637B54" w:rsidRPr="003B4086">
        <w:t>ed</w:t>
      </w:r>
      <w:r w:rsidR="00F2639A" w:rsidRPr="003B4086">
        <w:t xml:space="preserve"> that CM274 was not powered to </w:t>
      </w:r>
      <w:r w:rsidR="00F2639A" w:rsidRPr="003B4086">
        <w:lastRenderedPageBreak/>
        <w:t>identify statistically significant differences in treatment effect in subgroups beyond patients with PD-L1 expression ≥ 1%.</w:t>
      </w:r>
      <w:r w:rsidR="001A466D" w:rsidRPr="003B4086">
        <w:t xml:space="preserve"> Despite this, </w:t>
      </w:r>
      <w:r w:rsidR="004F5B68" w:rsidRPr="003B4086">
        <w:t xml:space="preserve">the ESC </w:t>
      </w:r>
      <w:r w:rsidR="00637B54" w:rsidRPr="003B4086">
        <w:t>considered</w:t>
      </w:r>
      <w:r w:rsidR="004F5B68" w:rsidRPr="003B4086">
        <w:t xml:space="preserve"> that the trial data strongly suggest</w:t>
      </w:r>
      <w:r w:rsidR="009317F2" w:rsidRPr="003B4086">
        <w:t>ed</w:t>
      </w:r>
      <w:r w:rsidR="004F5B68" w:rsidRPr="003B4086">
        <w:t xml:space="preserve"> there is less treatment benefit</w:t>
      </w:r>
      <w:r w:rsidR="00872F7A" w:rsidRPr="003B4086">
        <w:t xml:space="preserve"> associated with adjuvant nivolumab</w:t>
      </w:r>
      <w:r w:rsidR="004F5B68" w:rsidRPr="003B4086">
        <w:t xml:space="preserve"> for patients who have not received prior neoadjuvant cisplatin-based chemotherapy compared with patients who had received neoadjuvant cisplatin-based chemotherapy</w:t>
      </w:r>
      <w:r w:rsidR="002654A5" w:rsidRPr="003B4086">
        <w:t xml:space="preserve"> and considered this to be a primary clinical issue</w:t>
      </w:r>
      <w:r w:rsidR="00872F7A" w:rsidRPr="003B4086">
        <w:t xml:space="preserve"> of the submission</w:t>
      </w:r>
      <w:r w:rsidR="004F5B68" w:rsidRPr="003B4086">
        <w:t>.</w:t>
      </w:r>
      <w:r w:rsidR="003D3E46" w:rsidRPr="003B4086">
        <w:t xml:space="preserve"> It was maintained in the pre-PBAC response that CM274 was not powered to compare subgroups based on </w:t>
      </w:r>
      <w:r w:rsidR="00E639E3" w:rsidRPr="003B4086">
        <w:t>prior</w:t>
      </w:r>
      <w:r w:rsidR="003D3E46" w:rsidRPr="003B4086">
        <w:t xml:space="preserve"> </w:t>
      </w:r>
      <w:r w:rsidR="00E639E3" w:rsidRPr="003B4086">
        <w:t xml:space="preserve">use of neoadjuvant chemotherapy. It was also stated that this subgroup </w:t>
      </w:r>
      <w:r w:rsidR="00B36F8D" w:rsidRPr="003B4086">
        <w:t xml:space="preserve">analysis </w:t>
      </w:r>
      <w:r w:rsidR="00E639E3" w:rsidRPr="003B4086">
        <w:t>may be subject to confounding, as there were more placebo arm subjects with N+ nodal status in the prior neoadjuvant chemotherapy group than in the no prior neoadjuvant chemotherapy group</w:t>
      </w:r>
      <w:r w:rsidR="00B36F8D" w:rsidRPr="003B4086">
        <w:t>, which is associated with poorer prognosis compared with N-</w:t>
      </w:r>
      <w:r w:rsidR="00DA5771">
        <w:t xml:space="preserve"> </w:t>
      </w:r>
      <w:r w:rsidR="00B36F8D" w:rsidRPr="003B4086">
        <w:t>nodal status</w:t>
      </w:r>
      <w:r w:rsidR="00EB402C" w:rsidRPr="003B4086">
        <w:t xml:space="preserve">. </w:t>
      </w:r>
    </w:p>
    <w:p w14:paraId="54A218AB" w14:textId="3496D53B" w:rsidR="008A1E84" w:rsidRPr="003B4086" w:rsidRDefault="006D0AA3" w:rsidP="00773A6D">
      <w:pPr>
        <w:pStyle w:val="3-BodyText"/>
        <w:numPr>
          <w:ilvl w:val="0"/>
          <w:numId w:val="11"/>
        </w:numPr>
      </w:pPr>
      <w:r w:rsidRPr="003B4086">
        <w:t>Notwithstanding the small sample size and exploratory nature of the subgroup analysis, there was no clear benefit observed in patients with upper urothelial tumours (renal pelvis and ureter), with the DFS HR point estimates indicating that nivolumab could be potentially inferior compared with placebo.</w:t>
      </w:r>
      <w:r w:rsidR="001013C1" w:rsidRPr="003B4086">
        <w:t xml:space="preserve"> In clinical practice, UTUC patients who have not received prior neoadjuvant platinum-based chemotherapy would usually be offered, if eligible, adjuvant platinum-based chemotherapy. </w:t>
      </w:r>
      <w:r w:rsidR="008A1E84" w:rsidRPr="003B4086">
        <w:t>Importantly, evidence from the POUT trial</w:t>
      </w:r>
      <w:r w:rsidR="008A1E84" w:rsidRPr="003B4086">
        <w:rPr>
          <w:rStyle w:val="FootnoteReference"/>
        </w:rPr>
        <w:footnoteReference w:id="14"/>
      </w:r>
      <w:r w:rsidR="008A1E84" w:rsidRPr="003B4086">
        <w:t xml:space="preserve"> demonstrated that in UTUC patients, post-nephroureterectomy (either pT2–T4 pN0–N3 M0 or pT any N1–3 M0), adjuvant platinum-based chemotherapy substantially improved DFS (HR 0.45, 95% CI: 0.30, 0.68; p=0.0001) and metastasis free survival (HR 0.48, 95% CI: 0.31, 0.74; p=0.0007) compared with surveillance.</w:t>
      </w:r>
      <w:r w:rsidR="002C577E" w:rsidRPr="003B4086">
        <w:t xml:space="preserve"> </w:t>
      </w:r>
      <w:r w:rsidR="001B5B64" w:rsidRPr="003B4086">
        <w:t xml:space="preserve">The ESC considered the urothelial tumour subgroup analysis </w:t>
      </w:r>
      <w:r w:rsidR="006F4474" w:rsidRPr="003B4086">
        <w:t>uncertain due</w:t>
      </w:r>
      <w:r w:rsidR="001B5B64" w:rsidRPr="003B4086">
        <w:t xml:space="preserve"> to small patient numbers</w:t>
      </w:r>
      <w:r w:rsidR="007732E9" w:rsidRPr="003B4086">
        <w:t xml:space="preserve"> and</w:t>
      </w:r>
      <w:r w:rsidR="009317F2" w:rsidRPr="003B4086">
        <w:t xml:space="preserve"> agreed with the PSCR that it cannot be reliably concluded that patients with UTUC tumours are different from the whole study population.</w:t>
      </w:r>
      <w:r w:rsidR="006F4474" w:rsidRPr="003B4086">
        <w:t xml:space="preserve"> </w:t>
      </w:r>
    </w:p>
    <w:p w14:paraId="59BE2782" w14:textId="2B52BF85" w:rsidR="00FC4160" w:rsidRPr="001A60CC" w:rsidRDefault="00366821" w:rsidP="001A60CC">
      <w:pPr>
        <w:pStyle w:val="3-BodyText"/>
        <w:rPr>
          <w:rFonts w:eastAsia="Calibri"/>
        </w:rPr>
      </w:pPr>
      <w:r w:rsidRPr="003B4086">
        <w:rPr>
          <w:rFonts w:eastAsia="Calibri"/>
        </w:rPr>
        <w:t xml:space="preserve">The </w:t>
      </w:r>
      <w:r w:rsidR="009317F2" w:rsidRPr="003B4086">
        <w:rPr>
          <w:rFonts w:eastAsia="Calibri"/>
        </w:rPr>
        <w:t>ESC considered the</w:t>
      </w:r>
      <w:r w:rsidR="009317F2" w:rsidRPr="003B4086">
        <w:rPr>
          <w:rFonts w:eastAsia="Calibri"/>
          <w:i/>
          <w:iCs/>
        </w:rPr>
        <w:t xml:space="preserve"> </w:t>
      </w:r>
      <w:r w:rsidRPr="003B4086">
        <w:rPr>
          <w:rFonts w:eastAsia="Calibri"/>
        </w:rPr>
        <w:t xml:space="preserve">claim of inferior comparative safety to </w:t>
      </w:r>
      <w:r w:rsidR="006B7CB1" w:rsidRPr="003B4086">
        <w:rPr>
          <w:rFonts w:eastAsia="Calibri"/>
        </w:rPr>
        <w:t>placebo</w:t>
      </w:r>
      <w:r w:rsidRPr="003B4086">
        <w:rPr>
          <w:rFonts w:eastAsia="Calibri"/>
        </w:rPr>
        <w:t xml:space="preserve"> was reasonable </w:t>
      </w:r>
      <w:r w:rsidRPr="00C377C0">
        <w:rPr>
          <w:rFonts w:eastAsia="Calibri"/>
        </w:rPr>
        <w:t>and adequately supported by the data.</w:t>
      </w:r>
    </w:p>
    <w:p w14:paraId="159FAC01" w14:textId="2D14168C" w:rsidR="00ED1B15" w:rsidRPr="00C377C0" w:rsidRDefault="00ED1B15" w:rsidP="00ED1B15">
      <w:pPr>
        <w:widowControl w:val="0"/>
        <w:numPr>
          <w:ilvl w:val="1"/>
          <w:numId w:val="1"/>
        </w:numPr>
        <w:spacing w:after="120"/>
        <w:rPr>
          <w:rFonts w:asciiTheme="minorHAnsi" w:hAnsiTheme="minorHAnsi"/>
          <w:snapToGrid w:val="0"/>
          <w:szCs w:val="20"/>
        </w:rPr>
      </w:pPr>
      <w:bookmarkStart w:id="45" w:name="_Hlk76376200"/>
      <w:r w:rsidRPr="00C377C0">
        <w:rPr>
          <w:rFonts w:asciiTheme="minorHAnsi" w:hAnsiTheme="minorHAnsi"/>
          <w:iCs/>
          <w:snapToGrid w:val="0"/>
        </w:rPr>
        <w:t>The</w:t>
      </w:r>
      <w:r w:rsidRPr="00C377C0">
        <w:rPr>
          <w:rFonts w:asciiTheme="minorHAnsi" w:hAnsiTheme="minorHAnsi"/>
          <w:snapToGrid w:val="0"/>
          <w:szCs w:val="20"/>
        </w:rPr>
        <w:t xml:space="preserve"> PBAC considered that the claim of superior comparative effectiveness was </w:t>
      </w:r>
      <w:r w:rsidR="00BD6D96">
        <w:rPr>
          <w:rFonts w:asciiTheme="minorHAnsi" w:hAnsiTheme="minorHAnsi"/>
          <w:snapToGrid w:val="0"/>
          <w:szCs w:val="20"/>
        </w:rPr>
        <w:t xml:space="preserve">uncertain but likely </w:t>
      </w:r>
      <w:r w:rsidRPr="00C377C0">
        <w:rPr>
          <w:rFonts w:asciiTheme="minorHAnsi" w:hAnsiTheme="minorHAnsi"/>
          <w:snapToGrid w:val="0"/>
          <w:szCs w:val="20"/>
        </w:rPr>
        <w:t>reasonable</w:t>
      </w:r>
      <w:r w:rsidR="00BD6D96">
        <w:rPr>
          <w:rFonts w:asciiTheme="minorHAnsi" w:hAnsiTheme="minorHAnsi"/>
          <w:snapToGrid w:val="0"/>
          <w:szCs w:val="20"/>
        </w:rPr>
        <w:t xml:space="preserve"> if restricted to patients </w:t>
      </w:r>
      <w:r w:rsidR="00BD6D96" w:rsidRPr="003B4086">
        <w:t xml:space="preserve">who had received prior neoadjuvant </w:t>
      </w:r>
      <w:r w:rsidR="004F38CF">
        <w:t>platinum</w:t>
      </w:r>
      <w:r w:rsidR="00BD6D96" w:rsidRPr="003B4086">
        <w:t>-based chemotherapy</w:t>
      </w:r>
      <w:r w:rsidR="00BD6D96">
        <w:rPr>
          <w:rFonts w:asciiTheme="minorHAnsi" w:hAnsiTheme="minorHAnsi"/>
          <w:snapToGrid w:val="0"/>
          <w:szCs w:val="20"/>
        </w:rPr>
        <w:t xml:space="preserve">. </w:t>
      </w:r>
    </w:p>
    <w:p w14:paraId="548D9112" w14:textId="2906E948" w:rsidR="00ED1B15" w:rsidRPr="00C377C0" w:rsidRDefault="00ED1B15" w:rsidP="00ED1B15">
      <w:pPr>
        <w:widowControl w:val="0"/>
        <w:numPr>
          <w:ilvl w:val="1"/>
          <w:numId w:val="1"/>
        </w:numPr>
        <w:spacing w:after="120"/>
        <w:rPr>
          <w:rFonts w:asciiTheme="minorHAnsi" w:hAnsiTheme="minorHAnsi"/>
          <w:snapToGrid w:val="0"/>
          <w:szCs w:val="20"/>
        </w:rPr>
      </w:pPr>
      <w:r w:rsidRPr="00C377C0">
        <w:rPr>
          <w:rFonts w:asciiTheme="minorHAnsi" w:hAnsiTheme="minorHAnsi"/>
          <w:snapToGrid w:val="0"/>
          <w:szCs w:val="20"/>
        </w:rPr>
        <w:t>The PBAC considered that the claim of inferior comparative safety was reasonable.</w:t>
      </w:r>
      <w:bookmarkEnd w:id="45"/>
    </w:p>
    <w:p w14:paraId="46471F59" w14:textId="77777777" w:rsidR="00B0111C" w:rsidRPr="003B4086" w:rsidRDefault="00B0111C" w:rsidP="00B0111C">
      <w:pPr>
        <w:pStyle w:val="4-SubsectionHeading"/>
      </w:pPr>
      <w:bookmarkStart w:id="46" w:name="_Toc22897645"/>
      <w:bookmarkStart w:id="47" w:name="_Toc103768134"/>
      <w:bookmarkStart w:id="48" w:name="_Toc22897650"/>
      <w:r w:rsidRPr="003B4086">
        <w:t>Economic analysis</w:t>
      </w:r>
      <w:bookmarkEnd w:id="46"/>
      <w:bookmarkEnd w:id="47"/>
      <w:r w:rsidRPr="003B4086">
        <w:t xml:space="preserve"> </w:t>
      </w:r>
    </w:p>
    <w:p w14:paraId="50B760F4" w14:textId="23D1B1FF" w:rsidR="00605910" w:rsidRPr="003B4086" w:rsidRDefault="00605910" w:rsidP="00605910">
      <w:pPr>
        <w:pStyle w:val="3-BodyText"/>
      </w:pPr>
      <w:r w:rsidRPr="003B4086">
        <w:t xml:space="preserve">The submission presented a stepped economic evaluation comparing adjuvant </w:t>
      </w:r>
      <w:r w:rsidR="00215DEF" w:rsidRPr="003B4086">
        <w:t xml:space="preserve">nivolumab </w:t>
      </w:r>
      <w:r w:rsidRPr="003B4086">
        <w:t>treatment versus placebo in patients with high-risk MIUC who have undergone radical surgery,</w:t>
      </w:r>
      <w:r w:rsidRPr="003B4086" w:rsidDel="00C752DE">
        <w:t xml:space="preserve"> </w:t>
      </w:r>
      <w:r w:rsidRPr="003B4086">
        <w:t>based on the CM274</w:t>
      </w:r>
      <w:r w:rsidR="000B5C55" w:rsidRPr="003B4086">
        <w:t xml:space="preserve"> trial</w:t>
      </w:r>
      <w:r w:rsidR="00E43F95" w:rsidRPr="003B4086">
        <w:t xml:space="preserve"> clinical trial</w:t>
      </w:r>
      <w:r w:rsidRPr="003B4086">
        <w:t>, with modelled extrapo</w:t>
      </w:r>
      <w:r w:rsidR="00D2204C" w:rsidRPr="003B4086">
        <w:t>lation and Australian costing. A c</w:t>
      </w:r>
      <w:r w:rsidRPr="003B4086">
        <w:t xml:space="preserve">ost-effectiveness analysis and a cost-utility analysis were presented measuring outcomes in terms of life years (LYs) gained and quality-adjusted life years (QALYs) gained, respectively. The key components of the economic evaluation are presented in </w:t>
      </w:r>
      <w:r w:rsidRPr="003B4086">
        <w:fldChar w:fldCharType="begin"/>
      </w:r>
      <w:r w:rsidRPr="003B4086">
        <w:instrText xml:space="preserve"> REF _Ref101225631 \h </w:instrText>
      </w:r>
      <w:r w:rsidRPr="003B4086">
        <w:fldChar w:fldCharType="separate"/>
      </w:r>
      <w:r w:rsidR="0011484C" w:rsidRPr="003B4086">
        <w:t xml:space="preserve">Table </w:t>
      </w:r>
      <w:r w:rsidR="0011484C" w:rsidRPr="003B4086">
        <w:rPr>
          <w:noProof/>
        </w:rPr>
        <w:t>11</w:t>
      </w:r>
      <w:r w:rsidRPr="003B4086">
        <w:fldChar w:fldCharType="end"/>
      </w:r>
      <w:r w:rsidRPr="003B4086">
        <w:t>.</w:t>
      </w:r>
    </w:p>
    <w:p w14:paraId="35FD978F" w14:textId="0E4C97BF" w:rsidR="00605910" w:rsidRPr="003B4086" w:rsidRDefault="00605910" w:rsidP="00605910">
      <w:pPr>
        <w:pStyle w:val="TableFigureHeading"/>
        <w:rPr>
          <w:rStyle w:val="CommentReference"/>
          <w:b/>
          <w:szCs w:val="24"/>
        </w:rPr>
      </w:pPr>
      <w:bookmarkStart w:id="49" w:name="_Ref101225631"/>
      <w:bookmarkStart w:id="50" w:name="_Ref101225623"/>
      <w:r w:rsidRPr="003B4086">
        <w:lastRenderedPageBreak/>
        <w:t xml:space="preserve">Table </w:t>
      </w:r>
      <w:r w:rsidR="00785573">
        <w:fldChar w:fldCharType="begin"/>
      </w:r>
      <w:r w:rsidR="00785573">
        <w:instrText xml:space="preserve"> SEQ Table \* ARABIC </w:instrText>
      </w:r>
      <w:r w:rsidR="00785573">
        <w:fldChar w:fldCharType="separate"/>
      </w:r>
      <w:r w:rsidR="00C6296C" w:rsidRPr="003B4086">
        <w:rPr>
          <w:noProof/>
        </w:rPr>
        <w:t>11</w:t>
      </w:r>
      <w:r w:rsidR="00785573">
        <w:rPr>
          <w:noProof/>
        </w:rPr>
        <w:fldChar w:fldCharType="end"/>
      </w:r>
      <w:bookmarkEnd w:id="49"/>
      <w:r w:rsidRPr="003B4086">
        <w:t xml:space="preserve">: </w:t>
      </w:r>
      <w:r w:rsidRPr="003B4086">
        <w:rPr>
          <w:rStyle w:val="CommentReference"/>
          <w:b/>
          <w:szCs w:val="24"/>
        </w:rPr>
        <w:t>Summary of model structure, key inputs and rationale</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1: Summary of model structure, key inputs and rationale"/>
      </w:tblPr>
      <w:tblGrid>
        <w:gridCol w:w="3392"/>
        <w:gridCol w:w="5624"/>
      </w:tblGrid>
      <w:tr w:rsidR="00605910" w:rsidRPr="003B4086" w14:paraId="0FAC5349" w14:textId="77777777" w:rsidTr="00D83473">
        <w:tc>
          <w:tcPr>
            <w:tcW w:w="1881" w:type="pct"/>
            <w:vAlign w:val="center"/>
          </w:tcPr>
          <w:p w14:paraId="5CAC1AB2" w14:textId="77777777" w:rsidR="00605910" w:rsidRPr="003B4086" w:rsidRDefault="00605910" w:rsidP="00D83473">
            <w:pPr>
              <w:pStyle w:val="In-tableHeading"/>
              <w:jc w:val="center"/>
              <w:rPr>
                <w:lang w:val="en-AU"/>
              </w:rPr>
            </w:pPr>
            <w:r w:rsidRPr="003B4086">
              <w:rPr>
                <w:lang w:val="en-AU"/>
              </w:rPr>
              <w:t>Component</w:t>
            </w:r>
          </w:p>
        </w:tc>
        <w:tc>
          <w:tcPr>
            <w:tcW w:w="3119" w:type="pct"/>
          </w:tcPr>
          <w:p w14:paraId="5188FF05" w14:textId="77777777" w:rsidR="00605910" w:rsidRPr="003B4086" w:rsidRDefault="00605910" w:rsidP="00D83473">
            <w:pPr>
              <w:pStyle w:val="In-tableHeading"/>
              <w:jc w:val="center"/>
              <w:rPr>
                <w:lang w:val="en-AU"/>
              </w:rPr>
            </w:pPr>
            <w:r w:rsidRPr="003B4086">
              <w:rPr>
                <w:lang w:val="en-AU"/>
              </w:rPr>
              <w:t>Description</w:t>
            </w:r>
          </w:p>
        </w:tc>
      </w:tr>
      <w:tr w:rsidR="00605910" w:rsidRPr="003B4086" w14:paraId="766C481D" w14:textId="77777777" w:rsidTr="00D83473">
        <w:tc>
          <w:tcPr>
            <w:tcW w:w="1881" w:type="pct"/>
            <w:vAlign w:val="center"/>
          </w:tcPr>
          <w:p w14:paraId="6103E3A5" w14:textId="77777777" w:rsidR="00605910" w:rsidRPr="003B4086" w:rsidRDefault="00605910" w:rsidP="00D83473">
            <w:pPr>
              <w:pStyle w:val="TableText0"/>
            </w:pPr>
            <w:r w:rsidRPr="003B4086">
              <w:t>Type of analysis</w:t>
            </w:r>
          </w:p>
        </w:tc>
        <w:tc>
          <w:tcPr>
            <w:tcW w:w="3119" w:type="pct"/>
          </w:tcPr>
          <w:p w14:paraId="6D411FC2" w14:textId="77777777" w:rsidR="00605910" w:rsidRPr="003B4086" w:rsidRDefault="00605910" w:rsidP="00D83473">
            <w:pPr>
              <w:pStyle w:val="TableText0"/>
            </w:pPr>
            <w:r w:rsidRPr="003B4086">
              <w:t>Cost-effective analysis and cost-utility analysis</w:t>
            </w:r>
          </w:p>
        </w:tc>
      </w:tr>
      <w:tr w:rsidR="00605910" w:rsidRPr="003B4086" w14:paraId="173FD6F4" w14:textId="77777777" w:rsidTr="00D83473">
        <w:tc>
          <w:tcPr>
            <w:tcW w:w="1881" w:type="pct"/>
            <w:vAlign w:val="center"/>
          </w:tcPr>
          <w:p w14:paraId="33177D71" w14:textId="77777777" w:rsidR="00605910" w:rsidRPr="003B4086" w:rsidRDefault="00605910" w:rsidP="00D83473">
            <w:pPr>
              <w:pStyle w:val="TableText0"/>
            </w:pPr>
            <w:r w:rsidRPr="003B4086">
              <w:t>Outcomes</w:t>
            </w:r>
          </w:p>
        </w:tc>
        <w:tc>
          <w:tcPr>
            <w:tcW w:w="3119" w:type="pct"/>
          </w:tcPr>
          <w:p w14:paraId="27342A19" w14:textId="77777777" w:rsidR="00605910" w:rsidRPr="003B4086" w:rsidRDefault="00605910" w:rsidP="00D83473">
            <w:pPr>
              <w:pStyle w:val="TableText0"/>
            </w:pPr>
            <w:r w:rsidRPr="003B4086">
              <w:t>Life years gained, quality-adjusted life years</w:t>
            </w:r>
          </w:p>
        </w:tc>
      </w:tr>
      <w:tr w:rsidR="00605910" w:rsidRPr="003B4086" w14:paraId="7F2C4776" w14:textId="77777777" w:rsidTr="00D83473">
        <w:tc>
          <w:tcPr>
            <w:tcW w:w="1881" w:type="pct"/>
            <w:vAlign w:val="center"/>
          </w:tcPr>
          <w:p w14:paraId="07260844" w14:textId="77777777" w:rsidR="00605910" w:rsidRPr="003B4086" w:rsidRDefault="00605910" w:rsidP="00D83473">
            <w:pPr>
              <w:pStyle w:val="TableText0"/>
            </w:pPr>
            <w:r w:rsidRPr="003B4086">
              <w:t>Time horizon</w:t>
            </w:r>
          </w:p>
        </w:tc>
        <w:tc>
          <w:tcPr>
            <w:tcW w:w="3119" w:type="pct"/>
          </w:tcPr>
          <w:p w14:paraId="5917BFF7" w14:textId="60B372C7" w:rsidR="00605910" w:rsidRPr="003B4086" w:rsidRDefault="00605910" w:rsidP="00D2204C">
            <w:pPr>
              <w:pStyle w:val="TableText0"/>
            </w:pPr>
            <w:r w:rsidRPr="003B4086">
              <w:t xml:space="preserve">20 years in the model base case vs. median follow-up of 24.4 months in the nivolumab arm and 22.5 months in the placebo arm in the key trial </w:t>
            </w:r>
            <w:r w:rsidR="00D2204C" w:rsidRPr="003B4086">
              <w:t>(CM274)</w:t>
            </w:r>
            <w:r w:rsidR="00AD5FE4" w:rsidRPr="003B4086">
              <w:t>.</w:t>
            </w:r>
          </w:p>
        </w:tc>
      </w:tr>
      <w:tr w:rsidR="00605910" w:rsidRPr="003B4086" w14:paraId="244520D9" w14:textId="77777777" w:rsidTr="00D83473">
        <w:tc>
          <w:tcPr>
            <w:tcW w:w="1881" w:type="pct"/>
            <w:vAlign w:val="center"/>
          </w:tcPr>
          <w:p w14:paraId="60BE66D0" w14:textId="77777777" w:rsidR="00605910" w:rsidRPr="003B4086" w:rsidRDefault="00605910" w:rsidP="00D83473">
            <w:pPr>
              <w:pStyle w:val="TableText0"/>
            </w:pPr>
            <w:r w:rsidRPr="003B4086">
              <w:t>Methods used to generate results</w:t>
            </w:r>
          </w:p>
        </w:tc>
        <w:tc>
          <w:tcPr>
            <w:tcW w:w="3119" w:type="pct"/>
          </w:tcPr>
          <w:p w14:paraId="037B179A" w14:textId="77777777" w:rsidR="00605910" w:rsidRPr="003B4086" w:rsidRDefault="00605910" w:rsidP="00D83473">
            <w:pPr>
              <w:pStyle w:val="TableText0"/>
            </w:pPr>
            <w:r w:rsidRPr="003B4086">
              <w:t>Markov model</w:t>
            </w:r>
          </w:p>
        </w:tc>
      </w:tr>
      <w:tr w:rsidR="00605910" w:rsidRPr="003B4086" w14:paraId="382CB374" w14:textId="77777777" w:rsidTr="00D83473">
        <w:tc>
          <w:tcPr>
            <w:tcW w:w="1881" w:type="pct"/>
            <w:vAlign w:val="center"/>
          </w:tcPr>
          <w:p w14:paraId="0B09FDA0" w14:textId="77777777" w:rsidR="00605910" w:rsidRPr="003B4086" w:rsidRDefault="00605910" w:rsidP="00D83473">
            <w:pPr>
              <w:pStyle w:val="TableText0"/>
            </w:pPr>
            <w:r w:rsidRPr="003B4086">
              <w:t>Health states</w:t>
            </w:r>
          </w:p>
        </w:tc>
        <w:tc>
          <w:tcPr>
            <w:tcW w:w="3119" w:type="pct"/>
          </w:tcPr>
          <w:p w14:paraId="19539FF8" w14:textId="77777777" w:rsidR="00605910" w:rsidRPr="003B4086" w:rsidRDefault="00605910" w:rsidP="00D83473">
            <w:pPr>
              <w:pStyle w:val="TableText0"/>
            </w:pPr>
            <w:r w:rsidRPr="003B4086">
              <w:t>Pre-recurrence, recurrence and death</w:t>
            </w:r>
          </w:p>
        </w:tc>
      </w:tr>
      <w:tr w:rsidR="00605910" w:rsidRPr="003B4086" w14:paraId="3BF3618D" w14:textId="77777777" w:rsidTr="00D83473">
        <w:tc>
          <w:tcPr>
            <w:tcW w:w="1881" w:type="pct"/>
            <w:vAlign w:val="center"/>
          </w:tcPr>
          <w:p w14:paraId="25ED321F" w14:textId="77777777" w:rsidR="00605910" w:rsidRPr="003B4086" w:rsidRDefault="00605910" w:rsidP="00D83473">
            <w:pPr>
              <w:pStyle w:val="TableText0"/>
            </w:pPr>
            <w:r w:rsidRPr="003B4086">
              <w:t>Cycle length</w:t>
            </w:r>
          </w:p>
        </w:tc>
        <w:tc>
          <w:tcPr>
            <w:tcW w:w="3119" w:type="pct"/>
          </w:tcPr>
          <w:p w14:paraId="17A8A5F5" w14:textId="77777777" w:rsidR="00605910" w:rsidRPr="003B4086" w:rsidRDefault="00605910" w:rsidP="00D83473">
            <w:pPr>
              <w:pStyle w:val="TableText0"/>
            </w:pPr>
            <w:r w:rsidRPr="003B4086">
              <w:t>4 weekly for one year; 3-monthly thereafter</w:t>
            </w:r>
          </w:p>
        </w:tc>
      </w:tr>
      <w:tr w:rsidR="00605910" w:rsidRPr="003B4086" w14:paraId="0AF9F687" w14:textId="77777777" w:rsidTr="00D83473">
        <w:tc>
          <w:tcPr>
            <w:tcW w:w="1881" w:type="pct"/>
            <w:vAlign w:val="center"/>
          </w:tcPr>
          <w:p w14:paraId="02F224E2" w14:textId="77777777" w:rsidR="00605910" w:rsidRPr="003B4086" w:rsidRDefault="00605910" w:rsidP="00D83473">
            <w:pPr>
              <w:pStyle w:val="TableText0"/>
            </w:pPr>
            <w:r w:rsidRPr="003B4086">
              <w:t>Transition probabilities and extrapolation method</w:t>
            </w:r>
          </w:p>
        </w:tc>
        <w:tc>
          <w:tcPr>
            <w:tcW w:w="3119" w:type="pct"/>
          </w:tcPr>
          <w:p w14:paraId="1E7DB098" w14:textId="77777777" w:rsidR="00605910" w:rsidRPr="003B4086" w:rsidRDefault="00605910" w:rsidP="00D83473">
            <w:pPr>
              <w:pStyle w:val="TableText0"/>
            </w:pPr>
            <w:r w:rsidRPr="003B4086">
              <w:rPr>
                <w:b/>
              </w:rPr>
              <w:t>Pre-recurrence to recurrence:</w:t>
            </w:r>
            <w:r w:rsidRPr="003B4086">
              <w:t xml:space="preserve"> Individual patient data for DFS from the CM274 trial until 29.5 months (median follow-up estimated by reverse Kaplan-Meier method) followed by independent generalised gamma extrapolation of DFS applied to individual treatment arms was used to determine the transitions from pre-recurrence to post-recurrence for five years, then a 100% cure rate was applied.</w:t>
            </w:r>
          </w:p>
          <w:p w14:paraId="56EC7D6E" w14:textId="77777777" w:rsidR="00605910" w:rsidRPr="003B4086" w:rsidRDefault="00605910" w:rsidP="00D83473">
            <w:pPr>
              <w:pStyle w:val="TableText0"/>
            </w:pPr>
          </w:p>
          <w:p w14:paraId="4994B702" w14:textId="77777777" w:rsidR="00605910" w:rsidRPr="003B4086" w:rsidRDefault="00605910" w:rsidP="00D83473">
            <w:pPr>
              <w:pStyle w:val="TableText0"/>
              <w:rPr>
                <w:b/>
              </w:rPr>
            </w:pPr>
            <w:r w:rsidRPr="003B4086">
              <w:rPr>
                <w:b/>
              </w:rPr>
              <w:t>Recurrence to death:</w:t>
            </w:r>
          </w:p>
          <w:p w14:paraId="693D9D98" w14:textId="77777777" w:rsidR="00605910" w:rsidRPr="003B4086" w:rsidRDefault="00605910" w:rsidP="00D83473">
            <w:pPr>
              <w:pStyle w:val="TableText0"/>
            </w:pPr>
            <w:r w:rsidRPr="003B4086">
              <w:t xml:space="preserve">As the submission did not provide OS data, transitions from post-recurrence to death were assumed to be independent of treatment and informed in the base case by two Phase III randomised controlled trials investigating first-line metastatic treatment of urothelial carcinoma. The monthly hazard rate was assumed to be identical between the two treatment arms and constant over the entire time horizon. </w:t>
            </w:r>
          </w:p>
          <w:p w14:paraId="7BD3B033" w14:textId="77777777" w:rsidR="00605910" w:rsidRPr="003B4086" w:rsidRDefault="00605910" w:rsidP="00D83473">
            <w:pPr>
              <w:pStyle w:val="TableText0"/>
            </w:pPr>
          </w:p>
          <w:p w14:paraId="031B8885" w14:textId="77777777" w:rsidR="00605910" w:rsidRPr="003B4086" w:rsidRDefault="00605910" w:rsidP="00D83473">
            <w:pPr>
              <w:pStyle w:val="TableText0"/>
              <w:rPr>
                <w:b/>
              </w:rPr>
            </w:pPr>
            <w:r w:rsidRPr="003B4086">
              <w:rPr>
                <w:b/>
              </w:rPr>
              <w:t>Pre-recurrence to death:</w:t>
            </w:r>
          </w:p>
          <w:p w14:paraId="525110AF" w14:textId="77777777" w:rsidR="00605910" w:rsidRPr="003B4086" w:rsidRDefault="00605910" w:rsidP="00D83473">
            <w:pPr>
              <w:pStyle w:val="TableText0"/>
            </w:pPr>
            <w:r w:rsidRPr="003B4086">
              <w:t>Transitions from pre-recurrence to death were calculated using background population mortality data. For the first two years, this background death rate was elevated (by a factor of 1.5) as per calculations using DFS.</w:t>
            </w:r>
          </w:p>
        </w:tc>
      </w:tr>
      <w:tr w:rsidR="00605910" w:rsidRPr="003B4086" w14:paraId="478F90AC" w14:textId="77777777" w:rsidTr="00D83473">
        <w:tc>
          <w:tcPr>
            <w:tcW w:w="1881" w:type="pct"/>
            <w:vAlign w:val="center"/>
          </w:tcPr>
          <w:p w14:paraId="32734135" w14:textId="77777777" w:rsidR="00605910" w:rsidRPr="003B4086" w:rsidRDefault="00605910" w:rsidP="00D83473">
            <w:pPr>
              <w:pStyle w:val="TableText0"/>
            </w:pPr>
            <w:r w:rsidRPr="003B4086">
              <w:t>Utilities</w:t>
            </w:r>
          </w:p>
        </w:tc>
        <w:tc>
          <w:tcPr>
            <w:tcW w:w="3119" w:type="pct"/>
          </w:tcPr>
          <w:p w14:paraId="0A994F85" w14:textId="59298266" w:rsidR="00605910" w:rsidRPr="003B4086" w:rsidRDefault="00605910" w:rsidP="00D83473">
            <w:pPr>
              <w:pStyle w:val="TableText0"/>
            </w:pPr>
            <w:r w:rsidRPr="003B4086">
              <w:t xml:space="preserve">EQ-5D data collected in </w:t>
            </w:r>
            <w:r w:rsidR="00E43F95" w:rsidRPr="003B4086">
              <w:t xml:space="preserve">the </w:t>
            </w:r>
            <w:r w:rsidRPr="003B4086">
              <w:t>CM274</w:t>
            </w:r>
            <w:r w:rsidR="00E43F95" w:rsidRPr="003B4086">
              <w:t xml:space="preserve"> trial</w:t>
            </w:r>
            <w:r w:rsidRPr="003B4086">
              <w:t xml:space="preserve"> were used to inform the utility values applied to each health state.</w:t>
            </w:r>
          </w:p>
          <w:p w14:paraId="368C5CCF" w14:textId="77777777" w:rsidR="00605910" w:rsidRPr="003B4086" w:rsidRDefault="00605910" w:rsidP="00D83473">
            <w:pPr>
              <w:pStyle w:val="TableText0"/>
            </w:pPr>
          </w:p>
          <w:p w14:paraId="41D15395" w14:textId="77777777" w:rsidR="00605910" w:rsidRPr="003B4086" w:rsidRDefault="00605910" w:rsidP="00D83473">
            <w:pPr>
              <w:pStyle w:val="TableText0"/>
            </w:pPr>
            <w:r w:rsidRPr="003B4086">
              <w:t>Utilities:</w:t>
            </w:r>
          </w:p>
          <w:p w14:paraId="16804190" w14:textId="77777777" w:rsidR="00605910" w:rsidRPr="003B4086" w:rsidRDefault="00605910" w:rsidP="00D83473">
            <w:pPr>
              <w:pStyle w:val="TableText0"/>
            </w:pPr>
            <w:r w:rsidRPr="003B4086">
              <w:t>Pre-recurrence: 0.83</w:t>
            </w:r>
          </w:p>
          <w:p w14:paraId="51600143" w14:textId="77777777" w:rsidR="00605910" w:rsidRPr="003B4086" w:rsidRDefault="00605910" w:rsidP="00D83473">
            <w:pPr>
              <w:pStyle w:val="TableText0"/>
            </w:pPr>
            <w:r w:rsidRPr="003B4086">
              <w:t>Recurrence: 0.734</w:t>
            </w:r>
          </w:p>
          <w:p w14:paraId="6B1D39E9" w14:textId="77777777" w:rsidR="00605910" w:rsidRPr="003B4086" w:rsidRDefault="00605910" w:rsidP="00D83473">
            <w:pPr>
              <w:pStyle w:val="TableText0"/>
            </w:pPr>
          </w:p>
          <w:p w14:paraId="5B437FED" w14:textId="77777777" w:rsidR="00605910" w:rsidRPr="003B4086" w:rsidRDefault="00605910" w:rsidP="00D83473">
            <w:pPr>
              <w:pStyle w:val="TableText0"/>
            </w:pPr>
            <w:r w:rsidRPr="003B4086">
              <w:t>The economic model incorporated adverse event-related disutility values obtained from the literature.</w:t>
            </w:r>
          </w:p>
        </w:tc>
      </w:tr>
    </w:tbl>
    <w:p w14:paraId="69ADEDB3" w14:textId="77777777" w:rsidR="00605910" w:rsidRPr="003B4086" w:rsidRDefault="00605910" w:rsidP="00605910">
      <w:pPr>
        <w:pStyle w:val="TableFigureFooter"/>
      </w:pPr>
      <w:r w:rsidRPr="003B4086">
        <w:t xml:space="preserve">Source: </w:t>
      </w:r>
      <w:r w:rsidRPr="003B4086">
        <w:rPr>
          <w:iCs/>
        </w:rPr>
        <w:t xml:space="preserve">Compiled during the evaluation, based on Table </w:t>
      </w:r>
      <w:r w:rsidRPr="003B4086">
        <w:t>38, pp101 and Section 3 of the submission.</w:t>
      </w:r>
    </w:p>
    <w:p w14:paraId="5084D65A" w14:textId="045A2F04" w:rsidR="00605910" w:rsidRPr="003B4086" w:rsidRDefault="00605910" w:rsidP="00605910">
      <w:pPr>
        <w:pStyle w:val="TableFigureFooter"/>
        <w:rPr>
          <w:sz w:val="20"/>
        </w:rPr>
      </w:pPr>
      <w:r w:rsidRPr="003B4086">
        <w:t xml:space="preserve">CM274 = CheckMate 274; DFS = disease free survival; </w:t>
      </w:r>
      <w:r w:rsidR="00D2204C" w:rsidRPr="003B4086">
        <w:t>OS = overall survival</w:t>
      </w:r>
    </w:p>
    <w:p w14:paraId="13200ADF" w14:textId="77777777" w:rsidR="00605910" w:rsidRPr="003B4086" w:rsidRDefault="00605910" w:rsidP="00605910">
      <w:pPr>
        <w:pStyle w:val="In-tableHeading"/>
        <w:rPr>
          <w:lang w:val="en-AU"/>
        </w:rPr>
      </w:pPr>
    </w:p>
    <w:p w14:paraId="06F2B99F" w14:textId="31742A3D" w:rsidR="008B092D" w:rsidRPr="003B4086" w:rsidRDefault="00605910" w:rsidP="00605910">
      <w:pPr>
        <w:pStyle w:val="3-BodyText"/>
      </w:pPr>
      <w:r w:rsidRPr="003B4086">
        <w:t xml:space="preserve">The economic model assumed a 20-year time horizon. A lifetime time horizon allows capturing all differences between adjuvant nivolumab and watchful waiting with regard to costs and outcomes incurred throughout the disease course of MIUC after complete resection. However, the trial data did not provide a reliable basis for a long-term extrapolation. A lifetime time horizon adds uncertainty to the incremental cost-effectiveness ratio (ICER) result, particularly given the uncertainties regarding the extrapolation function, the cure assumption, and the estimation of the transition probabilities from the recurrence health state to death. </w:t>
      </w:r>
      <w:r w:rsidR="00205E6D" w:rsidRPr="003B4086">
        <w:t xml:space="preserve">Approximately </w:t>
      </w:r>
      <w:r w:rsidRPr="003B4086">
        <w:t xml:space="preserve">81% of the incremental QALYs between the treatment arms accumulated during the extrapolation period; whilst minimal increase in incremental costs was modelled during this period. The time horizon is a key driver of the </w:t>
      </w:r>
      <w:r w:rsidR="00385D27" w:rsidRPr="003B4086">
        <w:t>model</w:t>
      </w:r>
      <w:r w:rsidRPr="003B4086">
        <w:t xml:space="preserve"> favouring nivolumab</w:t>
      </w:r>
      <w:r w:rsidR="00215DEF" w:rsidRPr="003B4086">
        <w:t>, and the ESC felt that a shorter time horizon was appropriate given the clinical data</w:t>
      </w:r>
      <w:r w:rsidRPr="003B4086">
        <w:t xml:space="preserve">.  </w:t>
      </w:r>
    </w:p>
    <w:p w14:paraId="76E9758B" w14:textId="3CBE68E2" w:rsidR="00605910" w:rsidRPr="003B4086" w:rsidRDefault="00605910" w:rsidP="00605910">
      <w:pPr>
        <w:pStyle w:val="3-BodyText"/>
        <w:rPr>
          <w:b/>
          <w:bCs/>
        </w:rPr>
      </w:pPr>
      <w:bookmarkStart w:id="51" w:name="_Ref106283047"/>
      <w:r w:rsidRPr="003B4086">
        <w:t xml:space="preserve">The model included three health states – recurrence-free, recurrence and death. The crude structure of the submission’s economic model combined locoregional </w:t>
      </w:r>
      <w:r w:rsidRPr="003B4086">
        <w:lastRenderedPageBreak/>
        <w:t xml:space="preserve">recurrence and locally advanced/metastatic recurrence into one health state, despite the heterogeneity (in terms of both costs and health outcomes) of these settings. This was inappropriate and could not reflect the disease course of high-risk MIUC after radical surgery and adjuvant therapy with nivolumab or watchful waiting. </w:t>
      </w:r>
      <w:r w:rsidR="00F26D3E" w:rsidRPr="003B4086">
        <w:t xml:space="preserve">The PBAC has previously had a concern that a single recurrent disease health state was unlikely to reflect the outcomes of patients treated with adjuvant nivolumab in melanoma (Nivolumab PSD, July 2018). Following this the </w:t>
      </w:r>
      <w:r w:rsidR="00CD56A9">
        <w:t>s</w:t>
      </w:r>
      <w:r w:rsidR="00F26D3E" w:rsidRPr="003B4086">
        <w:t>ponsor updated the model with the disease recurrence health state split into two health states, patients with locoregional recurrence and patients with distant metastatic recurrence (Nivolumab PSD, March 2019)</w:t>
      </w:r>
      <w:r w:rsidR="00D37277" w:rsidRPr="003B4086">
        <w:t>.</w:t>
      </w:r>
      <w:r w:rsidR="00D84A9D" w:rsidRPr="003B4086">
        <w:rPr>
          <w:i/>
          <w:iCs/>
        </w:rPr>
        <w:t xml:space="preserve"> </w:t>
      </w:r>
      <w:r w:rsidR="00402B28" w:rsidRPr="003B4086">
        <w:t>The PSCR state</w:t>
      </w:r>
      <w:r w:rsidR="00955991" w:rsidRPr="003B4086">
        <w:t>d</w:t>
      </w:r>
      <w:r w:rsidR="00402B28" w:rsidRPr="003B4086">
        <w:t xml:space="preserve"> that based on CM274 trial data similar rates of locoregional recurrence and distant recurrence were observed for patients in both arms of the trial and therefore nivolumab does not appear to alter the nature of recurrence. </w:t>
      </w:r>
      <w:r w:rsidR="00D84A9D" w:rsidRPr="003B4086">
        <w:t xml:space="preserve">The ESC agreed with the evaluation that </w:t>
      </w:r>
      <w:r w:rsidR="00FA2322" w:rsidRPr="003B4086">
        <w:t xml:space="preserve">it was not appropriate for the economic model to combine locoregional recurrence and locally advanced/metastatic recurrence into one health state. It considered that one health state did not provide the granularity </w:t>
      </w:r>
      <w:r w:rsidR="00B42F07" w:rsidRPr="003B4086">
        <w:t>required</w:t>
      </w:r>
      <w:r w:rsidR="00FA2322" w:rsidRPr="003B4086">
        <w:t xml:space="preserve"> to </w:t>
      </w:r>
      <w:r w:rsidR="00B42F07" w:rsidRPr="003B4086">
        <w:t>accurately reflect the</w:t>
      </w:r>
      <w:r w:rsidR="00FA2322" w:rsidRPr="003B4086">
        <w:t xml:space="preserve"> differences in disease progression</w:t>
      </w:r>
      <w:r w:rsidR="00B42F07" w:rsidRPr="003B4086">
        <w:t xml:space="preserve"> seen</w:t>
      </w:r>
      <w:r w:rsidR="00FA2322" w:rsidRPr="003B4086">
        <w:t xml:space="preserve"> </w:t>
      </w:r>
      <w:r w:rsidR="00B42F07" w:rsidRPr="003B4086">
        <w:t xml:space="preserve">in MIUC </w:t>
      </w:r>
      <w:r w:rsidR="00FA2322" w:rsidRPr="003B4086">
        <w:t>patients.</w:t>
      </w:r>
      <w:r w:rsidR="00B42F07" w:rsidRPr="003B4086">
        <w:t xml:space="preserve"> </w:t>
      </w:r>
      <w:r w:rsidR="0084199F" w:rsidRPr="003B4086">
        <w:t>The ESC</w:t>
      </w:r>
      <w:r w:rsidR="00B42F07" w:rsidRPr="003B4086">
        <w:t xml:space="preserve"> considered that the health state did not account for less severe recurrences</w:t>
      </w:r>
      <w:r w:rsidR="0084199F" w:rsidRPr="003B4086">
        <w:t xml:space="preserve"> (</w:t>
      </w:r>
      <w:r w:rsidR="00B42F07" w:rsidRPr="003B4086">
        <w:t>i.e. local recurrence</w:t>
      </w:r>
      <w:r w:rsidR="0084199F" w:rsidRPr="003B4086">
        <w:t>),</w:t>
      </w:r>
      <w:r w:rsidR="00B42F07" w:rsidRPr="003B4086">
        <w:t xml:space="preserve"> and</w:t>
      </w:r>
      <w:r w:rsidR="00FA2322" w:rsidRPr="003B4086">
        <w:t xml:space="preserve"> </w:t>
      </w:r>
      <w:r w:rsidR="00B42F07" w:rsidRPr="003B4086">
        <w:t>also a</w:t>
      </w:r>
      <w:r w:rsidR="00406CB4" w:rsidRPr="003B4086">
        <w:t xml:space="preserve"> small</w:t>
      </w:r>
      <w:r w:rsidR="00B42F07" w:rsidRPr="003B4086">
        <w:t xml:space="preserve"> probability</w:t>
      </w:r>
      <w:r w:rsidR="00FA2322" w:rsidRPr="003B4086">
        <w:t xml:space="preserve"> of cure in </w:t>
      </w:r>
      <w:r w:rsidR="00B42F07" w:rsidRPr="003B4086">
        <w:t xml:space="preserve">the </w:t>
      </w:r>
      <w:r w:rsidR="00FA2322" w:rsidRPr="003B4086">
        <w:t xml:space="preserve">metastatic setting </w:t>
      </w:r>
      <w:r w:rsidR="00B42F07" w:rsidRPr="003B4086">
        <w:t>as a result of treatment with</w:t>
      </w:r>
      <w:r w:rsidR="00FA2322" w:rsidRPr="003B4086">
        <w:t xml:space="preserve"> subsequent</w:t>
      </w:r>
      <w:r w:rsidR="00B42F07" w:rsidRPr="003B4086">
        <w:t xml:space="preserve"> therapies.</w:t>
      </w:r>
      <w:bookmarkEnd w:id="51"/>
      <w:r w:rsidR="00B42F07" w:rsidRPr="003B4086">
        <w:rPr>
          <w:i/>
          <w:iCs/>
        </w:rPr>
        <w:t xml:space="preserve"> </w:t>
      </w:r>
      <w:r w:rsidR="00A97074" w:rsidRPr="003B4086">
        <w:t xml:space="preserve">It was </w:t>
      </w:r>
      <w:r w:rsidR="00736D38" w:rsidRPr="003B4086">
        <w:t>argued</w:t>
      </w:r>
      <w:r w:rsidR="00A97074" w:rsidRPr="003B4086">
        <w:t xml:space="preserve"> in the pre-PBAC response that the inclusion of separate health states for locoregional recurrence and locally advanced/metastatic recurrence </w:t>
      </w:r>
      <w:r w:rsidR="00736D38" w:rsidRPr="003B4086">
        <w:t>is</w:t>
      </w:r>
      <w:r w:rsidR="00A97074" w:rsidRPr="003B4086">
        <w:t xml:space="preserve"> not expected to be a key model driver. The sponsor stated that there was </w:t>
      </w:r>
      <w:r w:rsidR="00736D38" w:rsidRPr="003B4086">
        <w:t xml:space="preserve">also </w:t>
      </w:r>
      <w:r w:rsidR="00A97074" w:rsidRPr="003B4086">
        <w:t xml:space="preserve">limited data to inform the transition probabilities as these events from </w:t>
      </w:r>
      <w:r w:rsidR="00DA5771">
        <w:t xml:space="preserve">the </w:t>
      </w:r>
      <w:r w:rsidR="00A97074" w:rsidRPr="003B4086">
        <w:t>CM274</w:t>
      </w:r>
      <w:r w:rsidR="00DA5771">
        <w:t xml:space="preserve"> trial</w:t>
      </w:r>
      <w:r w:rsidR="00A97074" w:rsidRPr="003B4086">
        <w:t xml:space="preserve"> remain immature.</w:t>
      </w:r>
    </w:p>
    <w:p w14:paraId="754F401E" w14:textId="441A166F" w:rsidR="00605910" w:rsidRPr="003B4086" w:rsidRDefault="00605910" w:rsidP="00605910">
      <w:pPr>
        <w:pStyle w:val="3-BodyText"/>
        <w:rPr>
          <w:b/>
          <w:bCs/>
        </w:rPr>
      </w:pPr>
      <w:r w:rsidRPr="003B4086">
        <w:rPr>
          <w:lang w:eastAsia="en-US"/>
        </w:rPr>
        <w:t xml:space="preserve">The probability of remaining in the pre-recurrence health state was derived from the DFS KM estimates from </w:t>
      </w:r>
      <w:r w:rsidR="00B72DB3" w:rsidRPr="003B4086">
        <w:rPr>
          <w:lang w:eastAsia="en-US"/>
        </w:rPr>
        <w:t xml:space="preserve">the </w:t>
      </w:r>
      <w:r w:rsidRPr="003B4086">
        <w:rPr>
          <w:lang w:eastAsia="en-US"/>
        </w:rPr>
        <w:t xml:space="preserve">CM274 </w:t>
      </w:r>
      <w:r w:rsidR="00B72DB3" w:rsidRPr="003B4086">
        <w:rPr>
          <w:lang w:eastAsia="en-US"/>
        </w:rPr>
        <w:t xml:space="preserve">trial </w:t>
      </w:r>
      <w:r w:rsidRPr="003B4086">
        <w:rPr>
          <w:lang w:eastAsia="en-US"/>
        </w:rPr>
        <w:t>for the respective treatment arms until the median trial follow-up as estimated using reverse KM method (29.5 months). The CM274 trial was a</w:t>
      </w:r>
      <w:r w:rsidR="00CF20B0" w:rsidRPr="003B4086">
        <w:rPr>
          <w:lang w:eastAsia="en-US"/>
        </w:rPr>
        <w:t>n appropriate</w:t>
      </w:r>
      <w:r w:rsidRPr="003B4086">
        <w:rPr>
          <w:lang w:eastAsia="en-US"/>
        </w:rPr>
        <w:t xml:space="preserve"> source for estimation of DFS. </w:t>
      </w:r>
      <w:r w:rsidRPr="003B4086">
        <w:t xml:space="preserve">The PBAC guidelines (version 5.0) recommend use of trial-data until the time point where the trial data is no longer reliable due to the small number of patients at risk. At the extrapolation time point used in the model (29.5 months), more than 60 patients in each treatment arm were at risk for a DFS event (Month 30: n=72 in the nivolumab arm and n=67 in the placebo arm, </w:t>
      </w:r>
      <w:r w:rsidRPr="003B4086">
        <w:fldChar w:fldCharType="begin"/>
      </w:r>
      <w:r w:rsidRPr="003B4086">
        <w:instrText xml:space="preserve"> REF _Ref102282451 \h  \* MERGEFORMAT </w:instrText>
      </w:r>
      <w:r w:rsidRPr="003B4086">
        <w:fldChar w:fldCharType="separate"/>
      </w:r>
      <w:r w:rsidR="00C6296C" w:rsidRPr="003B4086">
        <w:t xml:space="preserve">Figure </w:t>
      </w:r>
      <w:r w:rsidR="00C6296C" w:rsidRPr="003B4086">
        <w:rPr>
          <w:noProof/>
        </w:rPr>
        <w:t>1</w:t>
      </w:r>
      <w:r w:rsidRPr="003B4086">
        <w:fldChar w:fldCharType="end"/>
      </w:r>
      <w:r w:rsidRPr="003B4086">
        <w:t xml:space="preserve">), which suggested 29.5 months </w:t>
      </w:r>
      <w:r w:rsidR="002F5646" w:rsidRPr="003B4086">
        <w:t xml:space="preserve">may have been </w:t>
      </w:r>
      <w:r w:rsidRPr="003B4086">
        <w:t xml:space="preserve">too early as a time point for extrapolation. There was still a reasonable number of patients at risk at Month 42 (n=31 in the nivolumab arm and n=32 in the placebo arm); thereafter, this number dropped quickly due to censoring.  </w:t>
      </w:r>
      <w:r w:rsidR="00C22738" w:rsidRPr="003B4086">
        <w:t xml:space="preserve">The ESC </w:t>
      </w:r>
      <w:r w:rsidR="00A76438" w:rsidRPr="003B4086">
        <w:t>noted</w:t>
      </w:r>
      <w:r w:rsidR="00C22738" w:rsidRPr="003B4086">
        <w:t xml:space="preserve"> </w:t>
      </w:r>
      <w:r w:rsidR="00A76438" w:rsidRPr="003B4086">
        <w:t xml:space="preserve">the PSCR argument that </w:t>
      </w:r>
      <w:r w:rsidR="00C22738" w:rsidRPr="003B4086">
        <w:t xml:space="preserve">a data truncation point of 29.5 months was reasonable </w:t>
      </w:r>
      <w:r w:rsidR="00A76438" w:rsidRPr="003B4086">
        <w:t xml:space="preserve">as </w:t>
      </w:r>
      <w:r w:rsidR="00C22738" w:rsidRPr="003B4086">
        <w:t>20% of the cohort remained at risk. However,</w:t>
      </w:r>
      <w:r w:rsidR="00A76438" w:rsidRPr="003B4086">
        <w:t xml:space="preserve"> the ESC considered that given the size of the trial </w:t>
      </w:r>
      <w:r w:rsidR="00C22738" w:rsidRPr="003B4086">
        <w:t>there remained a sufficient number at risk (10%</w:t>
      </w:r>
      <w:r w:rsidR="00F5396F" w:rsidRPr="003B4086">
        <w:t xml:space="preserve"> of the cohort</w:t>
      </w:r>
      <w:r w:rsidR="00C22738" w:rsidRPr="003B4086">
        <w:t xml:space="preserve">) </w:t>
      </w:r>
      <w:r w:rsidR="00F5396F" w:rsidRPr="003B4086">
        <w:t xml:space="preserve">for </w:t>
      </w:r>
      <w:r w:rsidR="00C22738" w:rsidRPr="003B4086">
        <w:t>a truncation point of 42 months</w:t>
      </w:r>
      <w:r w:rsidR="00F5396F" w:rsidRPr="003B4086">
        <w:t xml:space="preserve"> to be considered appropriate.</w:t>
      </w:r>
      <w:r w:rsidR="00A76438" w:rsidRPr="003B4086">
        <w:t xml:space="preserve"> The ESC noted the use of a later truncation point increased the ICER (see </w:t>
      </w:r>
      <w:r w:rsidR="00A76438" w:rsidRPr="003B4086">
        <w:fldChar w:fldCharType="begin"/>
      </w:r>
      <w:r w:rsidR="00A76438" w:rsidRPr="003B4086">
        <w:instrText xml:space="preserve"> REF _Ref102150752 \h  \* MERGEFORMAT </w:instrText>
      </w:r>
      <w:r w:rsidR="00A76438" w:rsidRPr="003B4086">
        <w:fldChar w:fldCharType="separate"/>
      </w:r>
      <w:r w:rsidR="0011484C" w:rsidRPr="003B4086">
        <w:t xml:space="preserve">Table </w:t>
      </w:r>
      <w:r w:rsidR="0011484C" w:rsidRPr="003B4086">
        <w:rPr>
          <w:noProof/>
        </w:rPr>
        <w:t>16</w:t>
      </w:r>
      <w:r w:rsidR="00A76438" w:rsidRPr="003B4086">
        <w:fldChar w:fldCharType="end"/>
      </w:r>
      <w:r w:rsidR="00A76438" w:rsidRPr="003B4086">
        <w:t>).</w:t>
      </w:r>
      <w:r w:rsidR="0093286D" w:rsidRPr="003B4086">
        <w:t xml:space="preserve"> The pre-PBAC response </w:t>
      </w:r>
      <w:r w:rsidR="00FE5094">
        <w:t xml:space="preserve">argued </w:t>
      </w:r>
      <w:r w:rsidR="0093286D" w:rsidRPr="003B4086">
        <w:t xml:space="preserve">that the </w:t>
      </w:r>
      <w:r w:rsidR="002B6B18" w:rsidRPr="003B4086">
        <w:t>increase</w:t>
      </w:r>
      <w:r w:rsidR="0093286D" w:rsidRPr="003B4086">
        <w:t xml:space="preserve"> in the ICER</w:t>
      </w:r>
      <w:r w:rsidR="002B6B18" w:rsidRPr="003B4086">
        <w:t xml:space="preserve"> estimate</w:t>
      </w:r>
      <w:r w:rsidR="0093286D" w:rsidRPr="003B4086">
        <w:t xml:space="preserve"> when using the KM curves</w:t>
      </w:r>
      <w:r w:rsidR="002B6B18" w:rsidRPr="003B4086">
        <w:t xml:space="preserve"> from 39 months</w:t>
      </w:r>
      <w:r w:rsidR="0093286D" w:rsidRPr="003B4086">
        <w:t xml:space="preserve"> to 42 months reflects the uncertainty in the curves </w:t>
      </w:r>
      <w:r w:rsidR="002B6B18" w:rsidRPr="003B4086">
        <w:t>given that only</w:t>
      </w:r>
      <w:r w:rsidR="0093286D" w:rsidRPr="003B4086">
        <w:t xml:space="preserve"> two DFS events occurr</w:t>
      </w:r>
      <w:r w:rsidR="002B6B18" w:rsidRPr="003B4086">
        <w:t>ed</w:t>
      </w:r>
      <w:r w:rsidR="0093286D" w:rsidRPr="003B4086">
        <w:t xml:space="preserve"> during this time period.</w:t>
      </w:r>
      <w:r w:rsidR="00464C47" w:rsidRPr="003B4086">
        <w:t xml:space="preserve"> The sponsor </w:t>
      </w:r>
      <w:r w:rsidR="002B6B18" w:rsidRPr="003B4086">
        <w:t>was of the view</w:t>
      </w:r>
      <w:r w:rsidR="00464C47" w:rsidRPr="003B4086">
        <w:t xml:space="preserve"> that use of the KM curves </w:t>
      </w:r>
      <w:r w:rsidR="00DA5771">
        <w:t>is</w:t>
      </w:r>
      <w:r w:rsidR="002B6B18" w:rsidRPr="003B4086">
        <w:t xml:space="preserve"> </w:t>
      </w:r>
      <w:r w:rsidR="00464C47" w:rsidRPr="003B4086">
        <w:t xml:space="preserve">reasonable to 39 months but </w:t>
      </w:r>
      <w:r w:rsidR="002B6B18" w:rsidRPr="003B4086">
        <w:t>is</w:t>
      </w:r>
      <w:r w:rsidR="00464C47" w:rsidRPr="003B4086">
        <w:t xml:space="preserve"> unreliable thereafter.</w:t>
      </w:r>
    </w:p>
    <w:p w14:paraId="6BE054D4" w14:textId="5C44500D" w:rsidR="00892610" w:rsidRPr="00463B5B" w:rsidRDefault="00605910" w:rsidP="005A492E">
      <w:pPr>
        <w:pStyle w:val="3-BodyText"/>
      </w:pPr>
      <w:r w:rsidRPr="003B4086">
        <w:rPr>
          <w:lang w:eastAsia="en-US"/>
        </w:rPr>
        <w:t xml:space="preserve">From 29.5 months to 5 years, a patient’s probability of remaining in the DFS health state was determined by extrapolating the patient level data from CM274 using </w:t>
      </w:r>
      <w:r w:rsidRPr="003B4086">
        <w:rPr>
          <w:lang w:eastAsia="en-US"/>
        </w:rPr>
        <w:lastRenderedPageBreak/>
        <w:t xml:space="preserve">parametric distribution functions. </w:t>
      </w:r>
      <w:r w:rsidRPr="003B4086">
        <w:t xml:space="preserve">The submission extrapolated DFS data using an independent generalised gamma function for both treatment arms in the base case. </w:t>
      </w:r>
      <w:r w:rsidR="00385D27" w:rsidRPr="003B4086">
        <w:t>Based o</w:t>
      </w:r>
      <w:r w:rsidRPr="003B4086">
        <w:t>n visual inspection</w:t>
      </w:r>
      <w:r w:rsidR="00385D27" w:rsidRPr="003B4086">
        <w:t xml:space="preserve"> and goodness of fit statistics,</w:t>
      </w:r>
      <w:r w:rsidRPr="003B4086">
        <w:t xml:space="preserve"> Gompertz distribution was considered the best fit, however the relatively flat tail was deemed clinically implausible by the submission. </w:t>
      </w:r>
      <w:r w:rsidRPr="003B4086">
        <w:rPr>
          <w:iCs/>
        </w:rPr>
        <w:t xml:space="preserve">The submission’s explanation to dismiss the Gompertz function is inconsistent with the submission’s assumption that a ‘cure’ is claimed where no </w:t>
      </w:r>
      <w:r w:rsidR="00385D27" w:rsidRPr="003B4086">
        <w:rPr>
          <w:iCs/>
        </w:rPr>
        <w:t>disease recurrence</w:t>
      </w:r>
      <w:r w:rsidRPr="003B4086">
        <w:rPr>
          <w:iCs/>
        </w:rPr>
        <w:t xml:space="preserve"> is modelled after 5 years – i.e. that flattening off is assumed to occur</w:t>
      </w:r>
      <w:r w:rsidRPr="003B4086">
        <w:t xml:space="preserve">. Overall, the selection of extrapolation function is highly uncertain and the submission’s rationale for not selecting the Gompertz in each arm is unconvincing given a subsequent cure assumption is applied at 5 years; such an assumption would </w:t>
      </w:r>
      <w:r w:rsidR="0026686C" w:rsidRPr="003B4086">
        <w:t xml:space="preserve">be </w:t>
      </w:r>
      <w:r w:rsidRPr="003B4086">
        <w:t>implicit without external manipulation of the extrapolation if these statistically best-fitting curves were used. Alternative functions are t</w:t>
      </w:r>
      <w:r w:rsidR="00390EF8" w:rsidRPr="003B4086">
        <w:t>ested in the sensitivity analyse</w:t>
      </w:r>
      <w:r w:rsidRPr="003B4086">
        <w:t>s. The method of extrapolation was a key driver of the model.</w:t>
      </w:r>
      <w:r w:rsidR="0088365A" w:rsidRPr="003B4086">
        <w:t xml:space="preserve"> </w:t>
      </w:r>
      <w:r w:rsidR="00955991" w:rsidRPr="003B4086">
        <w:t>The PSCR acknowledge</w:t>
      </w:r>
      <w:r w:rsidR="00FE50BB" w:rsidRPr="003B4086">
        <w:t xml:space="preserve">d </w:t>
      </w:r>
      <w:r w:rsidR="00955991" w:rsidRPr="003B4086">
        <w:t>that the independent Gompertz extrapolation reported the lowest AIC</w:t>
      </w:r>
      <w:r w:rsidR="00FE50BB" w:rsidRPr="003B4086">
        <w:t xml:space="preserve"> and </w:t>
      </w:r>
      <w:r w:rsidR="00955991" w:rsidRPr="003B4086">
        <w:t xml:space="preserve">BIC for placebo and the lowest BIC for nivolumab. However, it was </w:t>
      </w:r>
      <w:r w:rsidR="00FE50BB" w:rsidRPr="003B4086">
        <w:t>considered in the PSCR</w:t>
      </w:r>
      <w:r w:rsidR="00F5396F" w:rsidRPr="003B4086">
        <w:t xml:space="preserve"> </w:t>
      </w:r>
      <w:r w:rsidR="00955991" w:rsidRPr="003B4086">
        <w:t xml:space="preserve">that the </w:t>
      </w:r>
      <w:r w:rsidR="003D689E" w:rsidRPr="003B4086">
        <w:t xml:space="preserve">Gompertz </w:t>
      </w:r>
      <w:r w:rsidR="00955991" w:rsidRPr="003B4086">
        <w:t>DFS curve flatten</w:t>
      </w:r>
      <w:r w:rsidR="00FE50BB" w:rsidRPr="003B4086">
        <w:t>s</w:t>
      </w:r>
      <w:r w:rsidR="00955991" w:rsidRPr="003B4086">
        <w:t xml:space="preserve"> </w:t>
      </w:r>
      <w:r w:rsidR="003D689E" w:rsidRPr="003B4086">
        <w:t>too soon</w:t>
      </w:r>
      <w:r w:rsidR="00955991" w:rsidRPr="003B4086">
        <w:t xml:space="preserve"> </w:t>
      </w:r>
      <w:r w:rsidR="003D689E" w:rsidRPr="003B4086">
        <w:t>(</w:t>
      </w:r>
      <w:r w:rsidR="00955991" w:rsidRPr="003B4086">
        <w:t>30 to 36 months</w:t>
      </w:r>
      <w:r w:rsidR="003D689E" w:rsidRPr="003B4086">
        <w:t>)</w:t>
      </w:r>
      <w:r w:rsidR="00955991" w:rsidRPr="003B4086">
        <w:t xml:space="preserve"> compared to </w:t>
      </w:r>
      <w:r w:rsidR="00FE50BB" w:rsidRPr="003B4086">
        <w:t xml:space="preserve">the </w:t>
      </w:r>
      <w:r w:rsidR="00955991" w:rsidRPr="003B4086">
        <w:t xml:space="preserve">DFS rates </w:t>
      </w:r>
      <w:r w:rsidR="00FE50BB" w:rsidRPr="003B4086">
        <w:t>reported in</w:t>
      </w:r>
      <w:r w:rsidR="00955991" w:rsidRPr="003B4086">
        <w:t xml:space="preserve"> Sternberg (2015)</w:t>
      </w:r>
      <w:r w:rsidR="003D689E" w:rsidRPr="003B4086">
        <w:t>.</w:t>
      </w:r>
      <w:r w:rsidR="000505D4" w:rsidRPr="003B4086">
        <w:t xml:space="preserve"> The ESC considered the independently fit Gompertz curves reasonable.</w:t>
      </w:r>
      <w:r w:rsidR="00EB402C" w:rsidRPr="003B4086">
        <w:t xml:space="preserve"> </w:t>
      </w:r>
      <w:r w:rsidR="00EB402C" w:rsidRPr="009E48A9">
        <w:t>It was argued by the sponsor in the pre-PBAC response that</w:t>
      </w:r>
      <w:r w:rsidR="001B3993" w:rsidRPr="009E48A9">
        <w:t xml:space="preserve"> the Gompertz curves were inappropriate given that</w:t>
      </w:r>
      <w:r w:rsidR="00EB402C" w:rsidRPr="009E48A9">
        <w:t xml:space="preserve"> </w:t>
      </w:r>
      <w:r w:rsidR="005A492E" w:rsidRPr="009E48A9">
        <w:t>after</w:t>
      </w:r>
      <w:r w:rsidR="00B46B68" w:rsidRPr="009E48A9">
        <w:t xml:space="preserve"> </w:t>
      </w:r>
      <w:r w:rsidR="005A492E" w:rsidRPr="009E48A9">
        <w:t>year</w:t>
      </w:r>
      <w:r w:rsidR="001B3993" w:rsidRPr="009E48A9">
        <w:t xml:space="preserve"> 8</w:t>
      </w:r>
      <w:r w:rsidR="00892610" w:rsidRPr="009E48A9">
        <w:t xml:space="preserve"> </w:t>
      </w:r>
      <w:r w:rsidR="005A492E" w:rsidRPr="009E48A9">
        <w:t>in the economic model</w:t>
      </w:r>
      <w:r w:rsidR="00892610" w:rsidRPr="009E48A9">
        <w:t xml:space="preserve"> the </w:t>
      </w:r>
      <w:r w:rsidR="005A492E" w:rsidRPr="009E48A9">
        <w:t xml:space="preserve">probability of </w:t>
      </w:r>
      <w:r w:rsidR="00892610" w:rsidRPr="009E48A9">
        <w:t xml:space="preserve">recurrence is much lower for the Gompertz curve than </w:t>
      </w:r>
      <w:r w:rsidR="005A492E" w:rsidRPr="009E48A9">
        <w:t>the probability of mortality in</w:t>
      </w:r>
      <w:r w:rsidR="00892610" w:rsidRPr="009E48A9">
        <w:t xml:space="preserve"> the general </w:t>
      </w:r>
      <w:r w:rsidR="00892610" w:rsidRPr="00463B5B">
        <w:t xml:space="preserve">population. </w:t>
      </w:r>
    </w:p>
    <w:p w14:paraId="72900C20" w14:textId="0EDA3496" w:rsidR="00605910" w:rsidRPr="003B4086" w:rsidRDefault="00605910" w:rsidP="00406CB4">
      <w:pPr>
        <w:pStyle w:val="3-BodyText"/>
      </w:pPr>
      <w:r w:rsidRPr="00463B5B">
        <w:rPr>
          <w:lang w:eastAsia="en-US"/>
        </w:rPr>
        <w:t>The model applied a cure assumption at 5 years, i.e. the transition probability from the pre-recurrence state to the post-recurrence state is ‘0’ at the end of</w:t>
      </w:r>
      <w:r w:rsidRPr="003B4086">
        <w:rPr>
          <w:lang w:eastAsia="en-US"/>
        </w:rPr>
        <w:t xml:space="preserve"> 5 years and the only way of transition is from pre-recurrence to death based on background mortality. The time point for cure and the 100% cure rate was</w:t>
      </w:r>
      <w:r w:rsidRPr="003B4086">
        <w:t xml:space="preserve"> based on clinical expert opinion </w:t>
      </w:r>
      <w:r w:rsidR="00390EF8" w:rsidRPr="003B4086">
        <w:t xml:space="preserve">from </w:t>
      </w:r>
      <w:r w:rsidR="00246774" w:rsidRPr="003B4086">
        <w:t>a</w:t>
      </w:r>
      <w:r w:rsidR="00390EF8" w:rsidRPr="003B4086">
        <w:t xml:space="preserve"> p</w:t>
      </w:r>
      <w:r w:rsidRPr="003B4086">
        <w:t xml:space="preserve">re-Advisory Board </w:t>
      </w:r>
      <w:r w:rsidR="00390EF8" w:rsidRPr="003B4086">
        <w:t>s</w:t>
      </w:r>
      <w:r w:rsidRPr="003B4086">
        <w:t xml:space="preserve">urvey. The extended period without disease recurrence, considered to be a cure by clinicians, varied from 3 years to 10 years. For the </w:t>
      </w:r>
      <w:r w:rsidR="005F7262" w:rsidRPr="003B4086">
        <w:t xml:space="preserve">time after </w:t>
      </w:r>
      <w:r w:rsidRPr="003B4086">
        <w:t xml:space="preserve">5 year </w:t>
      </w:r>
      <w:r w:rsidR="00683E41" w:rsidRPr="003B4086">
        <w:t>cure point</w:t>
      </w:r>
      <w:r w:rsidRPr="003B4086">
        <w:t xml:space="preserve">, some clinicians noted there was always a risk of recurrence. </w:t>
      </w:r>
      <w:r w:rsidR="00406CB4" w:rsidRPr="003B4086">
        <w:t xml:space="preserve">The PSCR stated that the assumption of cure is well supported by clinical evidence, expert opinion, and treatment guidelines. </w:t>
      </w:r>
      <w:r w:rsidR="00B52932" w:rsidRPr="003B4086">
        <w:t xml:space="preserve">The ESC considered </w:t>
      </w:r>
      <w:r w:rsidR="00D113CE" w:rsidRPr="003B4086">
        <w:t>a</w:t>
      </w:r>
      <w:r w:rsidR="00B52932" w:rsidRPr="003B4086">
        <w:t xml:space="preserve"> cure assumption </w:t>
      </w:r>
      <w:r w:rsidR="00D113CE" w:rsidRPr="003B4086">
        <w:t>at 5 years</w:t>
      </w:r>
      <w:r w:rsidR="00B52932" w:rsidRPr="003B4086">
        <w:t xml:space="preserve"> reasonable as it was of the view that MIUC is an aggressive disease where most recurrences would likely occur within a 5 year timeframe.</w:t>
      </w:r>
      <w:r w:rsidR="003872E7">
        <w:t xml:space="preserve"> The PBAC agreed with the ESC that a cure assumption at 5 years was likely reasonable for MIUC. </w:t>
      </w:r>
    </w:p>
    <w:p w14:paraId="6CC115F1" w14:textId="197F0397" w:rsidR="009E48A9" w:rsidRPr="009E48A9" w:rsidRDefault="00605910" w:rsidP="007133EB">
      <w:pPr>
        <w:pStyle w:val="3-BodyText"/>
        <w:rPr>
          <w:b/>
          <w:bCs/>
          <w:color w:val="0066FF"/>
        </w:rPr>
      </w:pPr>
      <w:r w:rsidRPr="003B4086">
        <w:t xml:space="preserve">Due to the immaturity of the OS data from the trial, the transition probability from recurrence to death was estimated based on the weighted health outcome (median OS) from two Phase III trials of first-line treatment for locally advanced or metastatic urothelial carcinoma. </w:t>
      </w:r>
      <w:r w:rsidR="00DC4500" w:rsidRPr="003B4086">
        <w:t>The s</w:t>
      </w:r>
      <w:r w:rsidRPr="003B4086">
        <w:t xml:space="preserve">ame transition probability was used in both treatment arms and the monthly hazard rate remained constant over the entire time horizon. The setting of the external trials was limited to advanced and metastatic urothelial cancer. The costs and the health outcomes associated with other post-recurrence </w:t>
      </w:r>
      <w:r w:rsidR="00746F49" w:rsidRPr="003B4086">
        <w:t>events</w:t>
      </w:r>
      <w:r w:rsidRPr="003B4086">
        <w:t xml:space="preserve">, e.g. locoregional recurrence, were not taken into account in the model. </w:t>
      </w:r>
      <w:r w:rsidR="00AB0F63" w:rsidRPr="003B4086">
        <w:t>The ESC agreed with the evaluation that patients from the</w:t>
      </w:r>
      <w:r w:rsidR="00C22738" w:rsidRPr="003B4086">
        <w:t xml:space="preserve"> selected</w:t>
      </w:r>
      <w:r w:rsidR="00AB0F63" w:rsidRPr="003B4086">
        <w:t xml:space="preserve"> trials of first-line treatment for locally advanced or metastatic urothelial carcinoma </w:t>
      </w:r>
      <w:r w:rsidR="00806A82" w:rsidRPr="003B4086">
        <w:t xml:space="preserve">were likely </w:t>
      </w:r>
      <w:r w:rsidR="00AB0F63" w:rsidRPr="003B4086">
        <w:t xml:space="preserve">to have more advanced disease compared with the proposed patient population and therefore considered the probability of death post-recurrence was </w:t>
      </w:r>
      <w:r w:rsidR="00C22738" w:rsidRPr="003B4086">
        <w:t xml:space="preserve">likely to have been </w:t>
      </w:r>
      <w:r w:rsidR="00AB0F63" w:rsidRPr="003B4086">
        <w:lastRenderedPageBreak/>
        <w:t xml:space="preserve">overestimated. </w:t>
      </w:r>
      <w:r w:rsidR="00806A82" w:rsidRPr="003B4086">
        <w:t>The ESC</w:t>
      </w:r>
      <w:r w:rsidR="00AB0F63" w:rsidRPr="003B4086">
        <w:t xml:space="preserve"> also considered a time constant probability not appropriate. </w:t>
      </w:r>
      <w:r w:rsidR="0079019A" w:rsidRPr="003B4086">
        <w:t>The pre-PBAC response</w:t>
      </w:r>
      <w:r w:rsidR="007133EB" w:rsidRPr="003B4086">
        <w:t xml:space="preserve"> </w:t>
      </w:r>
      <w:r w:rsidR="00147169" w:rsidRPr="003B4086">
        <w:t>stated</w:t>
      </w:r>
      <w:r w:rsidR="007133EB" w:rsidRPr="003B4086">
        <w:t xml:space="preserve"> that the time constant extrapolation for post-recurrence survival</w:t>
      </w:r>
      <w:r w:rsidR="00A6290E">
        <w:t xml:space="preserve"> was appropriate and</w:t>
      </w:r>
      <w:r w:rsidR="007133EB" w:rsidRPr="003B4086">
        <w:t xml:space="preserve"> </w:t>
      </w:r>
      <w:r w:rsidR="001B3993">
        <w:t>did not deviate</w:t>
      </w:r>
      <w:r w:rsidR="007133EB" w:rsidRPr="003B4086">
        <w:t xml:space="preserve"> from observed data </w:t>
      </w:r>
      <w:r w:rsidR="001B3993">
        <w:t xml:space="preserve">(difference of </w:t>
      </w:r>
      <w:r w:rsidR="007133EB" w:rsidRPr="003B4086">
        <w:t>-0.14 to 0.49 months over a five-year period</w:t>
      </w:r>
      <w:r w:rsidR="001B3993">
        <w:t>)</w:t>
      </w:r>
      <w:r w:rsidR="00A6290E">
        <w:t>.</w:t>
      </w:r>
      <w:r w:rsidR="007133EB" w:rsidRPr="003B4086">
        <w:t xml:space="preserve"> </w:t>
      </w:r>
    </w:p>
    <w:p w14:paraId="1B2E14B9" w14:textId="7B5D3696" w:rsidR="00605910" w:rsidRPr="003B4086" w:rsidRDefault="009E48A9" w:rsidP="007133EB">
      <w:pPr>
        <w:pStyle w:val="3-BodyText"/>
        <w:rPr>
          <w:b/>
          <w:bCs/>
          <w:color w:val="0066FF"/>
        </w:rPr>
      </w:pPr>
      <w:r>
        <w:t>T</w:t>
      </w:r>
      <w:r w:rsidR="00605910" w:rsidRPr="003B4086">
        <w:t xml:space="preserve">he subsequent treatment considered in the post-recurrence health state of the model was first-line platinum-based chemotherapy in both arms. However, further lines of therapies would differ between the two treatment arms and thus the outcomes, given the availability of PD-(L)1 inhibitors for treatment of advanced or metastatic MIUC following first-line chemotherapy in the comparator watchful waiting arm. The health outcomes and costs associated with later-line use of PD-(L)1 inhibitors were not appropriately </w:t>
      </w:r>
      <w:r w:rsidR="00CF2370" w:rsidRPr="003B4086">
        <w:t>consider</w:t>
      </w:r>
      <w:r w:rsidR="00C22738" w:rsidRPr="003B4086">
        <w:t>ed</w:t>
      </w:r>
      <w:r w:rsidR="00605910" w:rsidRPr="003B4086">
        <w:t xml:space="preserve"> in the economic model. It was not appropriate to assume identical transition probabilities from post-recurrence to death between the two treatment arms. </w:t>
      </w:r>
      <w:r w:rsidR="00CF2370" w:rsidRPr="003B4086">
        <w:t>The ESC noted that the direction of the ICER from relaxing this assumption is uncertain.</w:t>
      </w:r>
      <w:r w:rsidR="00253676" w:rsidRPr="003B4086">
        <w:t xml:space="preserve"> </w:t>
      </w:r>
      <w:r w:rsidR="003366B5">
        <w:t>T</w:t>
      </w:r>
      <w:r w:rsidR="00253676" w:rsidRPr="003B4086">
        <w:t xml:space="preserve">he pre-PBAC response </w:t>
      </w:r>
      <w:r w:rsidR="003366B5">
        <w:t xml:space="preserve">argued </w:t>
      </w:r>
      <w:r w:rsidR="00253676" w:rsidRPr="003B4086">
        <w:t xml:space="preserve">that the inclusion of costs and outcomes associated with the use of pembrolizumab </w:t>
      </w:r>
      <w:r w:rsidR="00FA7812" w:rsidRPr="003B4086">
        <w:t xml:space="preserve">in the second-line metastatic setting </w:t>
      </w:r>
      <w:r w:rsidR="003366B5">
        <w:t xml:space="preserve">would lead to a reduction in the ICER. </w:t>
      </w:r>
    </w:p>
    <w:bookmarkStart w:id="52" w:name="_Ref106283072"/>
    <w:bookmarkStart w:id="53" w:name="_Ref106364673"/>
    <w:p w14:paraId="51DDC2AA" w14:textId="3D688144" w:rsidR="00605910" w:rsidRPr="003B4086" w:rsidRDefault="00246774" w:rsidP="00605910">
      <w:pPr>
        <w:pStyle w:val="3-BodyText"/>
      </w:pPr>
      <w:r w:rsidRPr="003B4086">
        <w:fldChar w:fldCharType="begin"/>
      </w:r>
      <w:r w:rsidRPr="003B4086">
        <w:instrText xml:space="preserve"> REF _Ref102149911 \h  \* MERGEFORMAT </w:instrText>
      </w:r>
      <w:r w:rsidRPr="003B4086">
        <w:fldChar w:fldCharType="separate"/>
      </w:r>
      <w:r w:rsidR="00C6296C" w:rsidRPr="003B4086">
        <w:t>Figure 5</w:t>
      </w:r>
      <w:r w:rsidRPr="003B4086">
        <w:fldChar w:fldCharType="end"/>
      </w:r>
      <w:r w:rsidRPr="003B4086">
        <w:t xml:space="preserve"> presents the DFS and OS estimates from the CM274 trial and from the economic model. </w:t>
      </w:r>
      <w:r w:rsidR="00605910" w:rsidRPr="002D26DF">
        <w:t xml:space="preserve">A comparison of the </w:t>
      </w:r>
      <w:r w:rsidRPr="002D26DF">
        <w:t xml:space="preserve">trial-based </w:t>
      </w:r>
      <w:r w:rsidR="00605910" w:rsidRPr="002D26DF">
        <w:t xml:space="preserve">OS data and the modelled OS curves indicated that the modelled OS estimates were </w:t>
      </w:r>
      <w:r w:rsidR="00E020DE" w:rsidRPr="00785573">
        <w:rPr>
          <w:color w:val="000000"/>
          <w:w w:val="15"/>
          <w:shd w:val="solid" w:color="000000" w:fill="000000"/>
          <w:fitText w:val="-20" w:id="-1435269873"/>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3"/>
          <w14:textFill>
            <w14:solidFill>
              <w14:srgbClr w14:val="000000">
                <w14:alpha w14:val="100000"/>
              </w14:srgbClr>
            </w14:solidFill>
          </w14:textFill>
        </w:rPr>
        <w:t>|</w:t>
      </w:r>
      <w:r w:rsidR="00605910" w:rsidRPr="002D26DF">
        <w:t xml:space="preserve"> than the trial-based data in both treatment arms. The gap between the OS curves</w:t>
      </w:r>
      <w:r w:rsidR="002144EC" w:rsidRPr="002D26DF">
        <w:t xml:space="preserve"> for the two treatment groups</w:t>
      </w:r>
      <w:r w:rsidR="00605910" w:rsidRPr="002D26DF">
        <w:t xml:space="preserve"> was </w:t>
      </w:r>
      <w:r w:rsidR="00E020DE" w:rsidRPr="00785573">
        <w:rPr>
          <w:color w:val="000000"/>
          <w:w w:val="15"/>
          <w:shd w:val="solid" w:color="000000" w:fill="000000"/>
          <w:fitText w:val="-20" w:id="-1435269872"/>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2"/>
          <w14:textFill>
            <w14:solidFill>
              <w14:srgbClr w14:val="000000">
                <w14:alpha w14:val="100000"/>
              </w14:srgbClr>
            </w14:solidFill>
          </w14:textFill>
        </w:rPr>
        <w:t>|</w:t>
      </w:r>
      <w:r w:rsidR="00605910" w:rsidRPr="002D26DF">
        <w:t xml:space="preserve"> in the economic model.</w:t>
      </w:r>
      <w:r w:rsidR="00605910" w:rsidRPr="003B4086">
        <w:t xml:space="preserve"> However, it was noted that there were applicability issues regarding the use of subsequent anti-cancer therapies in CM274, especially the sequential use </w:t>
      </w:r>
      <w:r w:rsidR="0026686C" w:rsidRPr="003B4086">
        <w:t xml:space="preserve">of </w:t>
      </w:r>
      <w:r w:rsidR="00605910" w:rsidRPr="003B4086">
        <w:t>immunotherapy in the nivolumab arm of CM274 (around 18% of patients with disease recurrence).</w:t>
      </w:r>
      <w:r w:rsidR="00FE50BB" w:rsidRPr="003B4086">
        <w:t xml:space="preserve"> It </w:t>
      </w:r>
      <w:r w:rsidR="00C22738" w:rsidRPr="003B4086">
        <w:t>wa</w:t>
      </w:r>
      <w:r w:rsidR="00FE50BB" w:rsidRPr="003B4086">
        <w:t xml:space="preserve">s </w:t>
      </w:r>
      <w:r w:rsidR="00F7713F" w:rsidRPr="003B4086">
        <w:t>ackno</w:t>
      </w:r>
      <w:r w:rsidR="002233CF" w:rsidRPr="003B4086">
        <w:t>wledged</w:t>
      </w:r>
      <w:r w:rsidR="00FE50BB" w:rsidRPr="003B4086">
        <w:t xml:space="preserve"> in the PSCR that post-recurrence survival may have been underestimated in the submission</w:t>
      </w:r>
      <w:r w:rsidR="0041359F" w:rsidRPr="003B4086">
        <w:t>. The PSCR note</w:t>
      </w:r>
      <w:r w:rsidR="0086155D" w:rsidRPr="003B4086">
        <w:t>d</w:t>
      </w:r>
      <w:r w:rsidR="0041359F" w:rsidRPr="003B4086">
        <w:t xml:space="preserve"> that</w:t>
      </w:r>
      <w:r w:rsidR="00FE50BB" w:rsidRPr="003B4086">
        <w:t xml:space="preserve"> when applying</w:t>
      </w:r>
      <w:r w:rsidR="002233CF" w:rsidRPr="003B4086">
        <w:t xml:space="preserve"> a</w:t>
      </w:r>
      <w:r w:rsidR="00FE50BB" w:rsidRPr="003B4086">
        <w:t xml:space="preserve"> 0.6x </w:t>
      </w:r>
      <w:r w:rsidR="002233CF" w:rsidRPr="003B4086">
        <w:t>multiplier</w:t>
      </w:r>
      <w:r w:rsidR="00FE50BB" w:rsidRPr="003B4086">
        <w:t xml:space="preserve"> to the Australian population death rates the observed and modelled OS are similar over the first three years. </w:t>
      </w:r>
      <w:bookmarkEnd w:id="52"/>
      <w:bookmarkEnd w:id="53"/>
    </w:p>
    <w:p w14:paraId="4381DC35" w14:textId="0BEF102E" w:rsidR="00605910" w:rsidRPr="003B4086" w:rsidRDefault="00605910" w:rsidP="00605910">
      <w:pPr>
        <w:pStyle w:val="TableFigureHeading"/>
        <w:rPr>
          <w:rStyle w:val="CommentReference"/>
          <w:b/>
          <w:szCs w:val="24"/>
        </w:rPr>
      </w:pPr>
      <w:bookmarkStart w:id="54" w:name="_Ref102149911"/>
      <w:r w:rsidRPr="002D26DF">
        <w:rPr>
          <w:rStyle w:val="CommentReference"/>
          <w:b/>
          <w:szCs w:val="24"/>
        </w:rPr>
        <w:t xml:space="preserve">Figure </w:t>
      </w:r>
      <w:r w:rsidRPr="002D26DF">
        <w:rPr>
          <w:rStyle w:val="CommentReference"/>
          <w:b/>
          <w:szCs w:val="24"/>
        </w:rPr>
        <w:fldChar w:fldCharType="begin"/>
      </w:r>
      <w:r w:rsidRPr="002D26DF">
        <w:rPr>
          <w:rStyle w:val="CommentReference"/>
          <w:b/>
          <w:szCs w:val="24"/>
        </w:rPr>
        <w:instrText xml:space="preserve"> SEQ Figure \* ARABIC </w:instrText>
      </w:r>
      <w:r w:rsidRPr="002D26DF">
        <w:rPr>
          <w:rStyle w:val="CommentReference"/>
          <w:b/>
          <w:szCs w:val="24"/>
        </w:rPr>
        <w:fldChar w:fldCharType="separate"/>
      </w:r>
      <w:r w:rsidR="00C6296C" w:rsidRPr="002D26DF">
        <w:rPr>
          <w:rStyle w:val="CommentReference"/>
          <w:b/>
          <w:noProof/>
          <w:szCs w:val="24"/>
        </w:rPr>
        <w:t>5</w:t>
      </w:r>
      <w:r w:rsidRPr="002D26DF">
        <w:rPr>
          <w:rStyle w:val="CommentReference"/>
          <w:b/>
          <w:szCs w:val="24"/>
        </w:rPr>
        <w:fldChar w:fldCharType="end"/>
      </w:r>
      <w:bookmarkEnd w:id="54"/>
      <w:r w:rsidRPr="002D26DF">
        <w:rPr>
          <w:rStyle w:val="CommentReference"/>
          <w:b/>
          <w:szCs w:val="24"/>
        </w:rPr>
        <w:t>: Comparison of modelled and trial based DFS and OS estimates</w:t>
      </w:r>
    </w:p>
    <w:p w14:paraId="0D5297AF" w14:textId="6612376B" w:rsidR="00605910" w:rsidRPr="002D26DF" w:rsidRDefault="00E020DE" w:rsidP="00605910">
      <w:pPr>
        <w:pStyle w:val="TableFooter"/>
        <w:rPr>
          <w:iCs/>
        </w:rPr>
      </w:pPr>
      <w:r w:rsidRPr="00E020DE">
        <w:rPr>
          <w:b/>
          <w:bCs/>
          <w:noProof/>
          <w:color w:val="000000"/>
          <w:spacing w:val="12"/>
          <w:shd w:val="solid" w:color="000000" w:fill="000000"/>
          <w:fitText w:val="420" w:id="-1435269888"/>
          <w14:textFill>
            <w14:solidFill>
              <w14:srgbClr w14:val="000000">
                <w14:alpha w14:val="100000"/>
              </w14:srgbClr>
            </w14:solidFill>
          </w14:textFill>
        </w:rPr>
        <w:t>|||  ||</w:t>
      </w:r>
      <w:r w:rsidRPr="00E020DE">
        <w:rPr>
          <w:b/>
          <w:bCs/>
          <w:noProof/>
          <w:color w:val="000000"/>
          <w:spacing w:val="6"/>
          <w:shd w:val="solid" w:color="000000" w:fill="000000"/>
          <w:fitText w:val="420" w:id="-1435269888"/>
          <w14:textFill>
            <w14:solidFill>
              <w14:srgbClr w14:val="000000">
                <w14:alpha w14:val="100000"/>
              </w14:srgbClr>
            </w14:solidFill>
          </w14:textFill>
        </w:rPr>
        <w:t>|</w:t>
      </w:r>
      <w:r w:rsidR="00605910" w:rsidRPr="002D26DF">
        <w:t xml:space="preserve">Source: Figure constructed during the evaluation, based on Figure 10, p58 of the Round 2 TGA clinical evaluation report for nivolumab (Submission PM-2021-02518-1-4) and </w:t>
      </w:r>
      <w:r w:rsidR="00605910" w:rsidRPr="002D26DF">
        <w:rPr>
          <w:iCs/>
        </w:rPr>
        <w:t xml:space="preserve">the </w:t>
      </w:r>
      <w:r w:rsidR="00605910" w:rsidRPr="002D26DF">
        <w:t>‘Attachment 12 - Nivolumab Adjuvant MIUC Economic Evaluation’ Excel workbook</w:t>
      </w:r>
      <w:r w:rsidR="00605910" w:rsidRPr="002D26DF">
        <w:rPr>
          <w:iCs/>
        </w:rPr>
        <w:t>.</w:t>
      </w:r>
    </w:p>
    <w:p w14:paraId="1DDCD310" w14:textId="37199089" w:rsidR="00246774" w:rsidRPr="003B4086" w:rsidRDefault="00246774" w:rsidP="00605910">
      <w:pPr>
        <w:pStyle w:val="TableFooter"/>
      </w:pPr>
      <w:r w:rsidRPr="002D26DF">
        <w:rPr>
          <w:iCs/>
        </w:rPr>
        <w:t>DFS = disease free survival; NIVO = nivolumab; OS = overall survival; WW = watchful waiting</w:t>
      </w:r>
    </w:p>
    <w:p w14:paraId="3491DF21" w14:textId="77777777" w:rsidR="00605910" w:rsidRPr="003B4086" w:rsidRDefault="00605910" w:rsidP="00605910"/>
    <w:p w14:paraId="5B29C490" w14:textId="3CEE07FA" w:rsidR="00605910" w:rsidRPr="003B4086" w:rsidRDefault="00605910" w:rsidP="006A647E">
      <w:pPr>
        <w:pStyle w:val="3-BodyText"/>
      </w:pPr>
      <w:r w:rsidRPr="003B4086">
        <w:t xml:space="preserve">The transition probability from pre-recurrence to death was based on the general population mortality sourced from </w:t>
      </w:r>
      <w:r w:rsidR="006A647E" w:rsidRPr="003B4086">
        <w:t>Australian Bureau of Statistics (ABS)</w:t>
      </w:r>
      <w:r w:rsidRPr="003B4086">
        <w:t xml:space="preserve"> Life Tables (2017-2019). In the base case, background mortality for patients before recurrence has been adjusted by a standard mortality ratio (SMR) of 1.5 for the initial period of two years. The method used to determine the SMR appeared reasonable and the finding of increased mortality risk is consistent with other studies that identify significantly increased non bladder-cancer mortality in bladder cancer patients, potentially with higher SMR estimates in the short-term</w:t>
      </w:r>
      <w:r w:rsidR="006A647E" w:rsidRPr="003B4086">
        <w:rPr>
          <w:rStyle w:val="FootnoteReference"/>
        </w:rPr>
        <w:footnoteReference w:id="15"/>
      </w:r>
      <w:r w:rsidRPr="003B4086">
        <w:t xml:space="preserve">. However the submission does not justify stopping the multiplier after the initial 2 years; the literature suggests that bladder cancer patients have an ongoing increased risk of death due to other </w:t>
      </w:r>
      <w:r w:rsidRPr="003B4086">
        <w:lastRenderedPageBreak/>
        <w:t>causes even in the long-term, therefore it is suggested that the SMR continue to be applied throughout the entire time horizon of the model</w:t>
      </w:r>
      <w:r w:rsidR="00F040C4" w:rsidRPr="003B4086">
        <w:t xml:space="preserve"> or at least to the cure assumption</w:t>
      </w:r>
      <w:r w:rsidRPr="003B4086">
        <w:t>.</w:t>
      </w:r>
      <w:r w:rsidR="00A37D4D" w:rsidRPr="003B4086">
        <w:t xml:space="preserve"> The ESC agreed with the evaluation that the point at which the 1.5x mortality multiplier was withdrawn was not well justified and noted that the ICER was impacted by varying this assumption.</w:t>
      </w:r>
    </w:p>
    <w:p w14:paraId="6C669E67" w14:textId="4B23E844" w:rsidR="00605910" w:rsidRPr="003B4086" w:rsidRDefault="00605910" w:rsidP="00605910">
      <w:pPr>
        <w:pStyle w:val="3-BodyText"/>
        <w:rPr>
          <w:bCs/>
        </w:rPr>
      </w:pPr>
      <w:r w:rsidRPr="003B4086">
        <w:t>The health state utilities were estimated based on the EQ-5D data collected in the CM274 trial. The EQ-5D health utility scores were derived based on the Australia value set</w:t>
      </w:r>
      <w:r w:rsidR="006A647E" w:rsidRPr="003B4086">
        <w:rPr>
          <w:rStyle w:val="FootnoteReference"/>
        </w:rPr>
        <w:footnoteReference w:id="16"/>
      </w:r>
      <w:r w:rsidRPr="003B4086">
        <w:t xml:space="preserve">. Utilities in each health state did not vary across treatment arms. To take into account the inferior safety profile of nivolumab, the submission incorporated </w:t>
      </w:r>
      <w:r w:rsidR="006A647E" w:rsidRPr="003B4086">
        <w:t>AE</w:t>
      </w:r>
      <w:r w:rsidRPr="003B4086">
        <w:t xml:space="preserve">-related disutility values obtained from the literature. The submission noted that </w:t>
      </w:r>
      <w:r w:rsidRPr="003B4086">
        <w:rPr>
          <w:rFonts w:eastAsiaTheme="minorHAnsi"/>
          <w:iCs/>
        </w:rPr>
        <w:t xml:space="preserve">50% to 60% of participants were excluded by week 48, which was primarily due to disease recurrence and treatment toxicity. </w:t>
      </w:r>
      <w:r w:rsidR="0089536F" w:rsidRPr="003B4086">
        <w:rPr>
          <w:rFonts w:eastAsiaTheme="minorHAnsi"/>
          <w:iCs/>
        </w:rPr>
        <w:t>It was</w:t>
      </w:r>
      <w:r w:rsidRPr="003B4086">
        <w:rPr>
          <w:rFonts w:eastAsiaTheme="minorHAnsi"/>
          <w:iCs/>
        </w:rPr>
        <w:t xml:space="preserve"> also assumed that </w:t>
      </w:r>
      <w:r w:rsidRPr="003B4086">
        <w:t xml:space="preserve">HRQoL does not differ substantially between drug toxicity and disease recurrence, the group difference is unlikely to be affected by missing data. </w:t>
      </w:r>
      <w:r w:rsidRPr="003B4086">
        <w:rPr>
          <w:rFonts w:eastAsiaTheme="minorHAnsi"/>
          <w:iCs/>
        </w:rPr>
        <w:t>The validity of this assumption is uncertain. Additionally, in CM274</w:t>
      </w:r>
      <w:r w:rsidR="000B5C55" w:rsidRPr="003B4086">
        <w:rPr>
          <w:rFonts w:eastAsiaTheme="minorHAnsi"/>
          <w:iCs/>
        </w:rPr>
        <w:t xml:space="preserve"> trial</w:t>
      </w:r>
      <w:r w:rsidRPr="003B4086">
        <w:rPr>
          <w:rFonts w:eastAsiaTheme="minorHAnsi"/>
          <w:iCs/>
        </w:rPr>
        <w:t xml:space="preserve">, the HRQoL data were collected only twice after treatment discontinuation, i.e. to a maximum of 3 months after disease recurrence. The deteriorating HRQoL of the patients over the entire post-recurrence health state were not fully captured in the trial. </w:t>
      </w:r>
      <w:r w:rsidR="0089536F" w:rsidRPr="003B4086">
        <w:rPr>
          <w:rFonts w:eastAsiaTheme="minorHAnsi"/>
          <w:iCs/>
        </w:rPr>
        <w:t>Overall, the utilities for both health state, especially the post-recurrence, could have been overestimated in the model</w:t>
      </w:r>
      <w:r w:rsidRPr="003B4086">
        <w:rPr>
          <w:rFonts w:eastAsiaTheme="minorHAnsi"/>
          <w:iCs/>
        </w:rPr>
        <w:t xml:space="preserve">. </w:t>
      </w:r>
      <w:r w:rsidR="0089536F" w:rsidRPr="003B4086">
        <w:rPr>
          <w:rFonts w:eastAsiaTheme="minorHAnsi"/>
          <w:iCs/>
        </w:rPr>
        <w:t>A sensitivity analysi</w:t>
      </w:r>
      <w:r w:rsidRPr="003B4086">
        <w:rPr>
          <w:rFonts w:eastAsiaTheme="minorHAnsi"/>
          <w:iCs/>
        </w:rPr>
        <w:t>s was performed during the evaluation by reducing the utility for pre-recurrence health state by 0.05 (arbitrary value) and for post-recurrence health state by 0.1 (arbitrary value)</w:t>
      </w:r>
      <w:r w:rsidR="0089536F" w:rsidRPr="003B4086">
        <w:rPr>
          <w:rFonts w:eastAsiaTheme="minorHAnsi"/>
          <w:iCs/>
        </w:rPr>
        <w:t>. The result showed that the model was not sensitive to these utility inputs</w:t>
      </w:r>
      <w:r w:rsidRPr="003B4086">
        <w:rPr>
          <w:rFonts w:eastAsiaTheme="minorHAnsi"/>
          <w:iCs/>
        </w:rPr>
        <w:t xml:space="preserve">. </w:t>
      </w:r>
    </w:p>
    <w:p w14:paraId="37D7CA4F" w14:textId="432B2D78" w:rsidR="00605910" w:rsidRPr="003B4086" w:rsidRDefault="00605910" w:rsidP="00605910">
      <w:pPr>
        <w:pStyle w:val="3-BodyText"/>
      </w:pPr>
      <w:r w:rsidRPr="003B4086">
        <w:t xml:space="preserve">A summary of the key drivers of the model is given in </w:t>
      </w:r>
      <w:r w:rsidR="000A2036" w:rsidRPr="003B4086">
        <w:fldChar w:fldCharType="begin"/>
      </w:r>
      <w:r w:rsidR="000A2036" w:rsidRPr="003B4086">
        <w:instrText xml:space="preserve"> REF _Ref103007144 \h  \* MERGEFORMAT </w:instrText>
      </w:r>
      <w:r w:rsidR="000A2036" w:rsidRPr="003B4086">
        <w:fldChar w:fldCharType="separate"/>
      </w:r>
      <w:r w:rsidR="00DA327A" w:rsidRPr="00DA327A">
        <w:t>Table 12</w:t>
      </w:r>
      <w:r w:rsidR="000A2036" w:rsidRPr="003B4086">
        <w:fldChar w:fldCharType="end"/>
      </w:r>
      <w:r w:rsidRPr="003B4086">
        <w:t>.</w:t>
      </w:r>
    </w:p>
    <w:p w14:paraId="6C78F9F6" w14:textId="5CAE164E" w:rsidR="00605910" w:rsidRPr="003B4086" w:rsidRDefault="00605910" w:rsidP="00D643B0">
      <w:pPr>
        <w:keepNext/>
        <w:rPr>
          <w:rStyle w:val="CommentReference"/>
        </w:rPr>
      </w:pPr>
      <w:bookmarkStart w:id="55" w:name="_Ref103007144"/>
      <w:bookmarkStart w:id="56" w:name="_Ref103007138"/>
      <w:r w:rsidRPr="003B4086">
        <w:rPr>
          <w:rStyle w:val="CommentReference"/>
        </w:rPr>
        <w:t xml:space="preserve">Table </w:t>
      </w:r>
      <w:r w:rsidRPr="003B4086">
        <w:rPr>
          <w:rStyle w:val="CommentReference"/>
        </w:rPr>
        <w:fldChar w:fldCharType="begin"/>
      </w:r>
      <w:r w:rsidRPr="003B4086">
        <w:rPr>
          <w:rStyle w:val="CommentReference"/>
        </w:rPr>
        <w:instrText xml:space="preserve"> SEQ Table \* ARABIC </w:instrText>
      </w:r>
      <w:r w:rsidRPr="003B4086">
        <w:rPr>
          <w:rStyle w:val="CommentReference"/>
        </w:rPr>
        <w:fldChar w:fldCharType="separate"/>
      </w:r>
      <w:r w:rsidR="00C6296C" w:rsidRPr="003B4086">
        <w:rPr>
          <w:rStyle w:val="CommentReference"/>
          <w:noProof/>
        </w:rPr>
        <w:t>12</w:t>
      </w:r>
      <w:r w:rsidRPr="003B4086">
        <w:rPr>
          <w:rStyle w:val="CommentReference"/>
        </w:rPr>
        <w:fldChar w:fldCharType="end"/>
      </w:r>
      <w:bookmarkEnd w:id="55"/>
      <w:r w:rsidRPr="003B4086">
        <w:rPr>
          <w:rStyle w:val="CommentReference"/>
        </w:rPr>
        <w:t>: Key drivers of the model</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drivers of the model"/>
      </w:tblPr>
      <w:tblGrid>
        <w:gridCol w:w="1695"/>
        <w:gridCol w:w="2694"/>
        <w:gridCol w:w="4627"/>
      </w:tblGrid>
      <w:tr w:rsidR="00605910" w:rsidRPr="003B4086" w14:paraId="08B4C7C0" w14:textId="77777777" w:rsidTr="00D83473">
        <w:trPr>
          <w:tblHeader/>
        </w:trPr>
        <w:tc>
          <w:tcPr>
            <w:tcW w:w="940" w:type="pct"/>
            <w:shd w:val="clear" w:color="auto" w:fill="auto"/>
            <w:vAlign w:val="center"/>
          </w:tcPr>
          <w:p w14:paraId="781A3438" w14:textId="77777777" w:rsidR="00605910" w:rsidRPr="003B4086" w:rsidRDefault="00605910" w:rsidP="00D83473">
            <w:pPr>
              <w:pStyle w:val="In-tableHeading"/>
              <w:rPr>
                <w:lang w:val="en-AU"/>
              </w:rPr>
            </w:pPr>
            <w:r w:rsidRPr="003B4086">
              <w:rPr>
                <w:lang w:val="en-AU"/>
              </w:rPr>
              <w:t>Description</w:t>
            </w:r>
          </w:p>
        </w:tc>
        <w:tc>
          <w:tcPr>
            <w:tcW w:w="1494" w:type="pct"/>
            <w:shd w:val="clear" w:color="auto" w:fill="auto"/>
            <w:vAlign w:val="center"/>
          </w:tcPr>
          <w:p w14:paraId="2052513D" w14:textId="77777777" w:rsidR="00605910" w:rsidRPr="003B4086" w:rsidRDefault="00605910" w:rsidP="00D83473">
            <w:pPr>
              <w:pStyle w:val="In-tableHeading"/>
              <w:jc w:val="center"/>
              <w:rPr>
                <w:lang w:val="en-AU"/>
              </w:rPr>
            </w:pPr>
            <w:r w:rsidRPr="003B4086">
              <w:rPr>
                <w:lang w:val="en-AU"/>
              </w:rPr>
              <w:t>Method/Value</w:t>
            </w:r>
          </w:p>
        </w:tc>
        <w:tc>
          <w:tcPr>
            <w:tcW w:w="2566" w:type="pct"/>
            <w:shd w:val="clear" w:color="auto" w:fill="auto"/>
            <w:vAlign w:val="center"/>
          </w:tcPr>
          <w:p w14:paraId="1103659C" w14:textId="77777777" w:rsidR="00605910" w:rsidRPr="003B4086" w:rsidRDefault="00605910" w:rsidP="00D83473">
            <w:pPr>
              <w:pStyle w:val="In-tableHeading"/>
              <w:jc w:val="center"/>
              <w:rPr>
                <w:lang w:val="en-AU"/>
              </w:rPr>
            </w:pPr>
            <w:r w:rsidRPr="003B4086">
              <w:rPr>
                <w:lang w:val="en-AU"/>
              </w:rPr>
              <w:t>Impact</w:t>
            </w:r>
          </w:p>
          <w:p w14:paraId="4A5DB9FC" w14:textId="2036AEDD" w:rsidR="00605910" w:rsidRPr="003B4086" w:rsidRDefault="00605910" w:rsidP="00D83473">
            <w:pPr>
              <w:pStyle w:val="In-tableHeading"/>
              <w:jc w:val="center"/>
              <w:rPr>
                <w:vertAlign w:val="superscript"/>
                <w:lang w:val="en-AU"/>
              </w:rPr>
            </w:pPr>
            <w:r w:rsidRPr="003B4086">
              <w:rPr>
                <w:lang w:val="en-AU"/>
              </w:rPr>
              <w:t>Base case: $</w:t>
            </w:r>
            <w:r w:rsidR="00E020DE" w:rsidRPr="00E020DE">
              <w:rPr>
                <w:color w:val="000000"/>
                <w:shd w:val="solid" w:color="000000" w:fill="000000"/>
                <w:lang w:val="en-AU"/>
                <w14:textFill>
                  <w14:solidFill>
                    <w14:srgbClr w14:val="000000">
                      <w14:alpha w14:val="100000"/>
                    </w14:srgbClr>
                  </w14:solidFill>
                </w14:textFill>
              </w:rPr>
              <w:t>|</w:t>
            </w:r>
            <w:r w:rsidR="0095686A">
              <w:rPr>
                <w:vertAlign w:val="superscript"/>
                <w:lang w:val="en-AU"/>
              </w:rPr>
              <w:t>1</w:t>
            </w:r>
            <w:r w:rsidRPr="003B4086">
              <w:rPr>
                <w:lang w:val="en-AU"/>
              </w:rPr>
              <w:t>/QALY</w:t>
            </w:r>
          </w:p>
        </w:tc>
      </w:tr>
      <w:tr w:rsidR="00605910" w:rsidRPr="003B4086" w14:paraId="30D45205" w14:textId="77777777" w:rsidTr="00D83473">
        <w:tc>
          <w:tcPr>
            <w:tcW w:w="940" w:type="pct"/>
            <w:shd w:val="clear" w:color="auto" w:fill="auto"/>
            <w:vAlign w:val="center"/>
          </w:tcPr>
          <w:p w14:paraId="1A5FC401" w14:textId="77777777" w:rsidR="00605910" w:rsidRPr="003B4086" w:rsidRDefault="00605910" w:rsidP="00D83473">
            <w:pPr>
              <w:pStyle w:val="TableText0"/>
            </w:pPr>
            <w:r w:rsidRPr="003B4086">
              <w:t>Time horizon</w:t>
            </w:r>
          </w:p>
        </w:tc>
        <w:tc>
          <w:tcPr>
            <w:tcW w:w="1494" w:type="pct"/>
            <w:shd w:val="clear" w:color="auto" w:fill="auto"/>
            <w:vAlign w:val="center"/>
          </w:tcPr>
          <w:p w14:paraId="66EF1721" w14:textId="77777777" w:rsidR="00605910" w:rsidRPr="003B4086" w:rsidRDefault="00605910" w:rsidP="00D83473">
            <w:pPr>
              <w:pStyle w:val="TableText0"/>
            </w:pPr>
            <w:r w:rsidRPr="003B4086">
              <w:t xml:space="preserve">Model adopted a 20-year time horizon. </w:t>
            </w:r>
          </w:p>
        </w:tc>
        <w:tc>
          <w:tcPr>
            <w:tcW w:w="2566" w:type="pct"/>
            <w:shd w:val="clear" w:color="auto" w:fill="auto"/>
            <w:vAlign w:val="center"/>
          </w:tcPr>
          <w:p w14:paraId="7D5732BD" w14:textId="77777777" w:rsidR="00605910" w:rsidRPr="003B4086" w:rsidRDefault="00605910" w:rsidP="00D83473">
            <w:pPr>
              <w:pStyle w:val="TableText0"/>
            </w:pPr>
            <w:r w:rsidRPr="003B4086">
              <w:t>Moderate, favoured nivolumab.</w:t>
            </w:r>
          </w:p>
          <w:p w14:paraId="15427021" w14:textId="544646CC" w:rsidR="00605910" w:rsidRPr="003B4086" w:rsidRDefault="00605910" w:rsidP="00D83473">
            <w:pPr>
              <w:pStyle w:val="TableText0"/>
              <w:rPr>
                <w:i/>
              </w:rPr>
            </w:pPr>
            <w:r w:rsidRPr="003B4086">
              <w:t>Time horizon of 10 years and 15 years, increased the ICER to $</w:t>
            </w:r>
            <w:r w:rsidR="00E020DE" w:rsidRPr="00E020DE">
              <w:rPr>
                <w:color w:val="000000"/>
                <w:spacing w:val="48"/>
                <w:shd w:val="solid" w:color="000000" w:fill="000000"/>
                <w:fitText w:val="500" w:id="-1435269887"/>
                <w14:textFill>
                  <w14:solidFill>
                    <w14:srgbClr w14:val="000000">
                      <w14:alpha w14:val="100000"/>
                    </w14:srgbClr>
                  </w14:solidFill>
                </w14:textFill>
              </w:rPr>
              <w:t>|||||</w:t>
            </w:r>
            <w:r w:rsidR="00E020DE" w:rsidRPr="00E020DE">
              <w:rPr>
                <w:color w:val="000000"/>
                <w:spacing w:val="5"/>
                <w:shd w:val="solid" w:color="000000" w:fill="000000"/>
                <w:fitText w:val="500" w:id="-1435269887"/>
                <w14:textFill>
                  <w14:solidFill>
                    <w14:srgbClr w14:val="000000">
                      <w14:alpha w14:val="100000"/>
                    </w14:srgbClr>
                  </w14:solidFill>
                </w14:textFill>
              </w:rPr>
              <w:t>|</w:t>
            </w:r>
            <w:r w:rsidR="006964F9">
              <w:rPr>
                <w:vertAlign w:val="superscript"/>
              </w:rPr>
              <w:t>2</w:t>
            </w:r>
            <w:r w:rsidRPr="003B4086">
              <w:t>/QALY and $</w:t>
            </w:r>
            <w:r w:rsidR="00E020DE" w:rsidRPr="00E020DE">
              <w:rPr>
                <w:color w:val="000000"/>
                <w:spacing w:val="48"/>
                <w:shd w:val="solid" w:color="000000" w:fill="000000"/>
                <w:fitText w:val="500" w:id="-1435269886"/>
                <w14:textFill>
                  <w14:solidFill>
                    <w14:srgbClr w14:val="000000">
                      <w14:alpha w14:val="100000"/>
                    </w14:srgbClr>
                  </w14:solidFill>
                </w14:textFill>
              </w:rPr>
              <w:t>|||||</w:t>
            </w:r>
            <w:r w:rsidR="00E020DE" w:rsidRPr="00E020DE">
              <w:rPr>
                <w:color w:val="000000"/>
                <w:spacing w:val="5"/>
                <w:shd w:val="solid" w:color="000000" w:fill="000000"/>
                <w:fitText w:val="500" w:id="-1435269886"/>
                <w14:textFill>
                  <w14:solidFill>
                    <w14:srgbClr w14:val="000000">
                      <w14:alpha w14:val="100000"/>
                    </w14:srgbClr>
                  </w14:solidFill>
                </w14:textFill>
              </w:rPr>
              <w:t>|</w:t>
            </w:r>
            <w:r w:rsidR="0095686A">
              <w:rPr>
                <w:vertAlign w:val="superscript"/>
              </w:rPr>
              <w:t>1</w:t>
            </w:r>
            <w:r w:rsidRPr="003B4086">
              <w:t>/QALY</w:t>
            </w:r>
            <w:r w:rsidR="009C00F8" w:rsidRPr="003B4086">
              <w:t>,</w:t>
            </w:r>
            <w:r w:rsidRPr="003B4086">
              <w:t xml:space="preserve"> respectively.</w:t>
            </w:r>
          </w:p>
        </w:tc>
      </w:tr>
      <w:tr w:rsidR="00605910" w:rsidRPr="003B4086" w14:paraId="4C34727A" w14:textId="77777777" w:rsidTr="00D83473">
        <w:trPr>
          <w:trHeight w:val="451"/>
        </w:trPr>
        <w:tc>
          <w:tcPr>
            <w:tcW w:w="940" w:type="pct"/>
            <w:shd w:val="clear" w:color="auto" w:fill="auto"/>
            <w:vAlign w:val="center"/>
          </w:tcPr>
          <w:p w14:paraId="5C5B4DDA" w14:textId="77777777" w:rsidR="00605910" w:rsidRPr="003B4086" w:rsidRDefault="00605910" w:rsidP="00D83473">
            <w:pPr>
              <w:pStyle w:val="TableText0"/>
            </w:pPr>
            <w:r w:rsidRPr="003B4086">
              <w:t>Extrapolation time point</w:t>
            </w:r>
          </w:p>
        </w:tc>
        <w:tc>
          <w:tcPr>
            <w:tcW w:w="1494" w:type="pct"/>
            <w:shd w:val="clear" w:color="auto" w:fill="auto"/>
            <w:vAlign w:val="center"/>
          </w:tcPr>
          <w:p w14:paraId="35C67B56" w14:textId="77777777" w:rsidR="00605910" w:rsidRPr="003B4086" w:rsidRDefault="00605910" w:rsidP="00D83473">
            <w:pPr>
              <w:pStyle w:val="TableText0"/>
            </w:pPr>
            <w:r w:rsidRPr="003B4086">
              <w:t>29.5 months</w:t>
            </w:r>
          </w:p>
        </w:tc>
        <w:tc>
          <w:tcPr>
            <w:tcW w:w="2566" w:type="pct"/>
            <w:shd w:val="clear" w:color="auto" w:fill="auto"/>
            <w:vAlign w:val="center"/>
          </w:tcPr>
          <w:p w14:paraId="1A76759A" w14:textId="77777777" w:rsidR="00605910" w:rsidRPr="003B4086" w:rsidRDefault="00605910" w:rsidP="00D83473">
            <w:pPr>
              <w:pStyle w:val="TableText0"/>
            </w:pPr>
            <w:r w:rsidRPr="003B4086">
              <w:t>Moderate, favoured nivolumab</w:t>
            </w:r>
          </w:p>
          <w:p w14:paraId="4D8A42E0" w14:textId="61F98B46" w:rsidR="00605910" w:rsidRPr="003B4086" w:rsidRDefault="00605910" w:rsidP="00D83473">
            <w:pPr>
              <w:pStyle w:val="TableText0"/>
              <w:rPr>
                <w:i/>
              </w:rPr>
            </w:pPr>
            <w:r w:rsidRPr="003B4086">
              <w:t>Trial data extrapolated from 42 months, the ICER increased to $</w:t>
            </w:r>
            <w:r w:rsidR="00E020DE" w:rsidRPr="00E020DE">
              <w:rPr>
                <w:color w:val="000000"/>
                <w:spacing w:val="48"/>
                <w:shd w:val="solid" w:color="000000" w:fill="000000"/>
                <w:fitText w:val="500" w:id="-1435269885"/>
                <w14:textFill>
                  <w14:solidFill>
                    <w14:srgbClr w14:val="000000">
                      <w14:alpha w14:val="100000"/>
                    </w14:srgbClr>
                  </w14:solidFill>
                </w14:textFill>
              </w:rPr>
              <w:t>|||||</w:t>
            </w:r>
            <w:r w:rsidR="00E020DE" w:rsidRPr="00E020DE">
              <w:rPr>
                <w:color w:val="000000"/>
                <w:spacing w:val="5"/>
                <w:shd w:val="solid" w:color="000000" w:fill="000000"/>
                <w:fitText w:val="500" w:id="-1435269885"/>
                <w14:textFill>
                  <w14:solidFill>
                    <w14:srgbClr w14:val="000000">
                      <w14:alpha w14:val="100000"/>
                    </w14:srgbClr>
                  </w14:solidFill>
                </w14:textFill>
              </w:rPr>
              <w:t>|</w:t>
            </w:r>
            <w:r w:rsidR="0095686A">
              <w:rPr>
                <w:vertAlign w:val="superscript"/>
              </w:rPr>
              <w:t>1</w:t>
            </w:r>
            <w:r w:rsidRPr="003B4086">
              <w:t>/QALY.</w:t>
            </w:r>
          </w:p>
        </w:tc>
      </w:tr>
      <w:tr w:rsidR="00605910" w:rsidRPr="003B4086" w14:paraId="35484F5D" w14:textId="77777777" w:rsidTr="00D83473">
        <w:trPr>
          <w:trHeight w:val="451"/>
        </w:trPr>
        <w:tc>
          <w:tcPr>
            <w:tcW w:w="940" w:type="pct"/>
            <w:shd w:val="clear" w:color="auto" w:fill="auto"/>
            <w:vAlign w:val="center"/>
          </w:tcPr>
          <w:p w14:paraId="131889C4" w14:textId="77777777" w:rsidR="00605910" w:rsidRPr="003B4086" w:rsidRDefault="00605910" w:rsidP="00D83473">
            <w:pPr>
              <w:pStyle w:val="TableText0"/>
            </w:pPr>
            <w:r w:rsidRPr="003B4086">
              <w:t>Extrapolation of DFS</w:t>
            </w:r>
          </w:p>
        </w:tc>
        <w:tc>
          <w:tcPr>
            <w:tcW w:w="1494" w:type="pct"/>
            <w:shd w:val="clear" w:color="auto" w:fill="auto"/>
            <w:vAlign w:val="center"/>
          </w:tcPr>
          <w:p w14:paraId="2F69D6B5" w14:textId="77777777" w:rsidR="00605910" w:rsidRPr="003B4086" w:rsidRDefault="00605910" w:rsidP="00D83473">
            <w:pPr>
              <w:pStyle w:val="TableText0"/>
            </w:pPr>
            <w:r w:rsidRPr="003B4086">
              <w:t>Generalised gamma in both arms</w:t>
            </w:r>
          </w:p>
        </w:tc>
        <w:tc>
          <w:tcPr>
            <w:tcW w:w="2566" w:type="pct"/>
            <w:shd w:val="clear" w:color="auto" w:fill="auto"/>
            <w:vAlign w:val="center"/>
          </w:tcPr>
          <w:p w14:paraId="0A5EA191" w14:textId="77777777" w:rsidR="00605910" w:rsidRPr="003B4086" w:rsidRDefault="00605910" w:rsidP="00D83473">
            <w:pPr>
              <w:pStyle w:val="TableText0"/>
            </w:pPr>
            <w:r w:rsidRPr="003B4086">
              <w:t>Moderate, favoured nivolumab</w:t>
            </w:r>
          </w:p>
          <w:p w14:paraId="6B68F9E9" w14:textId="277C3263" w:rsidR="00605910" w:rsidRPr="003B4086" w:rsidRDefault="00605910" w:rsidP="00D83473">
            <w:pPr>
              <w:pStyle w:val="TableText0"/>
              <w:rPr>
                <w:i/>
              </w:rPr>
            </w:pPr>
            <w:r w:rsidRPr="003B4086">
              <w:t>Changing the method of extrapolation to Gompertz in both arms, increased the ICER to $</w:t>
            </w:r>
            <w:r w:rsidR="00E020DE" w:rsidRPr="00E020DE">
              <w:rPr>
                <w:color w:val="000000"/>
                <w:spacing w:val="48"/>
                <w:shd w:val="solid" w:color="000000" w:fill="000000"/>
                <w:fitText w:val="500" w:id="-1435269884"/>
                <w14:textFill>
                  <w14:solidFill>
                    <w14:srgbClr w14:val="000000">
                      <w14:alpha w14:val="100000"/>
                    </w14:srgbClr>
                  </w14:solidFill>
                </w14:textFill>
              </w:rPr>
              <w:t>|||||</w:t>
            </w:r>
            <w:r w:rsidR="00E020DE" w:rsidRPr="00E020DE">
              <w:rPr>
                <w:color w:val="000000"/>
                <w:spacing w:val="5"/>
                <w:shd w:val="solid" w:color="000000" w:fill="000000"/>
                <w:fitText w:val="500" w:id="-1435269884"/>
                <w14:textFill>
                  <w14:solidFill>
                    <w14:srgbClr w14:val="000000">
                      <w14:alpha w14:val="100000"/>
                    </w14:srgbClr>
                  </w14:solidFill>
                </w14:textFill>
              </w:rPr>
              <w:t>|</w:t>
            </w:r>
            <w:r w:rsidR="006964F9">
              <w:rPr>
                <w:vertAlign w:val="superscript"/>
              </w:rPr>
              <w:t>3</w:t>
            </w:r>
            <w:r w:rsidRPr="003B4086">
              <w:t>/QALY.</w:t>
            </w:r>
          </w:p>
        </w:tc>
      </w:tr>
      <w:tr w:rsidR="00605910" w:rsidRPr="003B4086" w14:paraId="64FD64D9" w14:textId="77777777" w:rsidTr="00D83473">
        <w:trPr>
          <w:trHeight w:val="451"/>
        </w:trPr>
        <w:tc>
          <w:tcPr>
            <w:tcW w:w="940" w:type="pct"/>
            <w:shd w:val="clear" w:color="auto" w:fill="auto"/>
            <w:vAlign w:val="center"/>
          </w:tcPr>
          <w:p w14:paraId="32197608" w14:textId="77777777" w:rsidR="00605910" w:rsidRPr="003B4086" w:rsidRDefault="00605910" w:rsidP="00D83473">
            <w:pPr>
              <w:pStyle w:val="TableText0"/>
            </w:pPr>
            <w:r w:rsidRPr="003B4086">
              <w:t>Application of cure assumption</w:t>
            </w:r>
          </w:p>
        </w:tc>
        <w:tc>
          <w:tcPr>
            <w:tcW w:w="1494" w:type="pct"/>
            <w:shd w:val="clear" w:color="auto" w:fill="auto"/>
            <w:vAlign w:val="center"/>
          </w:tcPr>
          <w:p w14:paraId="15D1E32E" w14:textId="77777777" w:rsidR="00605910" w:rsidRPr="003B4086" w:rsidRDefault="00605910" w:rsidP="00D83473">
            <w:pPr>
              <w:pStyle w:val="TableText0"/>
            </w:pPr>
            <w:r w:rsidRPr="003B4086">
              <w:t>5 years</w:t>
            </w:r>
          </w:p>
        </w:tc>
        <w:tc>
          <w:tcPr>
            <w:tcW w:w="2566" w:type="pct"/>
            <w:shd w:val="clear" w:color="auto" w:fill="auto"/>
            <w:vAlign w:val="center"/>
          </w:tcPr>
          <w:p w14:paraId="3005201F" w14:textId="77777777" w:rsidR="00605910" w:rsidRPr="003B4086" w:rsidRDefault="00605910" w:rsidP="00D83473">
            <w:pPr>
              <w:pStyle w:val="TableText0"/>
            </w:pPr>
            <w:r w:rsidRPr="003B4086">
              <w:t>Moderate, favoured nivolumab</w:t>
            </w:r>
          </w:p>
          <w:p w14:paraId="4FAE18E2" w14:textId="6AE82011" w:rsidR="00605910" w:rsidRPr="003B4086" w:rsidRDefault="00605910" w:rsidP="00D83473">
            <w:pPr>
              <w:pStyle w:val="TableText0"/>
              <w:rPr>
                <w:i/>
              </w:rPr>
            </w:pPr>
            <w:r w:rsidRPr="003B4086">
              <w:t>Applying the cure assumption at 7 years and 10 years increased the ICER to $</w:t>
            </w:r>
            <w:r w:rsidR="00E020DE" w:rsidRPr="00E020DE">
              <w:rPr>
                <w:color w:val="000000"/>
                <w:spacing w:val="48"/>
                <w:shd w:val="solid" w:color="000000" w:fill="000000"/>
                <w:fitText w:val="500" w:id="-1435269883"/>
                <w14:textFill>
                  <w14:solidFill>
                    <w14:srgbClr w14:val="000000">
                      <w14:alpha w14:val="100000"/>
                    </w14:srgbClr>
                  </w14:solidFill>
                </w14:textFill>
              </w:rPr>
              <w:t>|||||</w:t>
            </w:r>
            <w:r w:rsidR="00E020DE" w:rsidRPr="00E020DE">
              <w:rPr>
                <w:color w:val="000000"/>
                <w:spacing w:val="5"/>
                <w:shd w:val="solid" w:color="000000" w:fill="000000"/>
                <w:fitText w:val="500" w:id="-1435269883"/>
                <w14:textFill>
                  <w14:solidFill>
                    <w14:srgbClr w14:val="000000">
                      <w14:alpha w14:val="100000"/>
                    </w14:srgbClr>
                  </w14:solidFill>
                </w14:textFill>
              </w:rPr>
              <w:t>|</w:t>
            </w:r>
            <w:r w:rsidR="0095686A">
              <w:rPr>
                <w:vertAlign w:val="superscript"/>
              </w:rPr>
              <w:t>1</w:t>
            </w:r>
            <w:r w:rsidRPr="003B4086">
              <w:t>/QALY and $</w:t>
            </w:r>
            <w:r w:rsidR="00E020DE" w:rsidRPr="00E020DE">
              <w:rPr>
                <w:color w:val="000000"/>
                <w:spacing w:val="48"/>
                <w:shd w:val="solid" w:color="000000" w:fill="000000"/>
                <w:fitText w:val="500" w:id="-1435269882"/>
                <w14:textFill>
                  <w14:solidFill>
                    <w14:srgbClr w14:val="000000">
                      <w14:alpha w14:val="100000"/>
                    </w14:srgbClr>
                  </w14:solidFill>
                </w14:textFill>
              </w:rPr>
              <w:t>|||||</w:t>
            </w:r>
            <w:r w:rsidR="00E020DE" w:rsidRPr="00E020DE">
              <w:rPr>
                <w:color w:val="000000"/>
                <w:spacing w:val="5"/>
                <w:shd w:val="solid" w:color="000000" w:fill="000000"/>
                <w:fitText w:val="500" w:id="-1435269882"/>
                <w14:textFill>
                  <w14:solidFill>
                    <w14:srgbClr w14:val="000000">
                      <w14:alpha w14:val="100000"/>
                    </w14:srgbClr>
                  </w14:solidFill>
                </w14:textFill>
              </w:rPr>
              <w:t>|</w:t>
            </w:r>
            <w:r w:rsidR="006964F9" w:rsidRPr="006964F9">
              <w:rPr>
                <w:vertAlign w:val="superscript"/>
              </w:rPr>
              <w:t>3</w:t>
            </w:r>
            <w:r w:rsidRPr="003B4086">
              <w:t>/QALY.</w:t>
            </w:r>
          </w:p>
        </w:tc>
      </w:tr>
    </w:tbl>
    <w:p w14:paraId="6812D55C" w14:textId="77777777" w:rsidR="00605910" w:rsidRPr="003B4086" w:rsidRDefault="00605910" w:rsidP="00605910">
      <w:pPr>
        <w:pStyle w:val="TableFigureFooter"/>
      </w:pPr>
      <w:r w:rsidRPr="003B4086">
        <w:t>Source: Compiled during the evaluation, based on Section 3.9 of the submission and the sensitivity analyses performed during the evaluation</w:t>
      </w:r>
    </w:p>
    <w:p w14:paraId="35902648" w14:textId="7BB94866" w:rsidR="00605910" w:rsidRDefault="00605910" w:rsidP="00605910">
      <w:pPr>
        <w:pStyle w:val="TableFigureFooter"/>
      </w:pPr>
      <w:r w:rsidRPr="003B4086">
        <w:t xml:space="preserve">DFS = disease-free survival; ICER = incremental cost-effectiveness ratio; QALY = quality-adjusted life year; </w:t>
      </w:r>
    </w:p>
    <w:p w14:paraId="0E1B7947" w14:textId="4F0854F6" w:rsidR="0095686A" w:rsidRDefault="0095686A" w:rsidP="00605910">
      <w:pPr>
        <w:pStyle w:val="TableFigureFooter"/>
      </w:pPr>
    </w:p>
    <w:p w14:paraId="5B894A9D" w14:textId="77777777" w:rsidR="0095686A" w:rsidRPr="00546335" w:rsidRDefault="0095686A" w:rsidP="0095686A">
      <w:pPr>
        <w:pStyle w:val="TableFigureFooter"/>
        <w:keepNext/>
        <w:spacing w:after="0"/>
        <w:contextualSpacing w:val="0"/>
        <w:rPr>
          <w:i/>
        </w:rPr>
      </w:pPr>
      <w:bookmarkStart w:id="57" w:name="_Hlk112839435"/>
      <w:r w:rsidRPr="00546335">
        <w:rPr>
          <w:i/>
        </w:rPr>
        <w:t>The redacted values correspond to the following ranges:</w:t>
      </w:r>
    </w:p>
    <w:bookmarkEnd w:id="57"/>
    <w:p w14:paraId="0DB035BD" w14:textId="03F43F47" w:rsidR="0095686A" w:rsidRDefault="0095686A" w:rsidP="00605910">
      <w:pPr>
        <w:pStyle w:val="TableFigureFooter"/>
      </w:pPr>
      <w:r>
        <w:rPr>
          <w:vertAlign w:val="superscript"/>
        </w:rPr>
        <w:t>1</w:t>
      </w:r>
      <w:r>
        <w:t>$35,000 to &lt; $45,000</w:t>
      </w:r>
    </w:p>
    <w:p w14:paraId="4C2C2BE2" w14:textId="220B708D" w:rsidR="006964F9" w:rsidRDefault="006964F9" w:rsidP="00605910">
      <w:pPr>
        <w:pStyle w:val="TableFigureFooter"/>
      </w:pPr>
      <w:r>
        <w:rPr>
          <w:vertAlign w:val="superscript"/>
        </w:rPr>
        <w:t>2</w:t>
      </w:r>
      <w:r>
        <w:t>$55,000 to &lt; $75,000</w:t>
      </w:r>
    </w:p>
    <w:p w14:paraId="2BE9993B" w14:textId="2D9A1D4B" w:rsidR="006964F9" w:rsidRPr="006964F9" w:rsidRDefault="006964F9" w:rsidP="00605910">
      <w:pPr>
        <w:pStyle w:val="TableFigureFooter"/>
      </w:pPr>
      <w:r>
        <w:rPr>
          <w:vertAlign w:val="superscript"/>
        </w:rPr>
        <w:t>3</w:t>
      </w:r>
      <w:r>
        <w:t>$45,000 to &lt; $55,000</w:t>
      </w:r>
    </w:p>
    <w:p w14:paraId="7619554B" w14:textId="1DD08FDE" w:rsidR="00605910" w:rsidRPr="003B4086" w:rsidRDefault="00605910" w:rsidP="00605910">
      <w:pPr>
        <w:pStyle w:val="3-BodyText"/>
        <w:widowControl w:val="0"/>
      </w:pPr>
      <w:r w:rsidRPr="003B4086">
        <w:t xml:space="preserve">The results of the stepped economic evaluation presented in the submission are summarised in </w:t>
      </w:r>
      <w:r w:rsidRPr="003B4086">
        <w:rPr>
          <w:highlight w:val="yellow"/>
        </w:rPr>
        <w:fldChar w:fldCharType="begin"/>
      </w:r>
      <w:r w:rsidRPr="003B4086">
        <w:instrText xml:space="preserve"> REF _Ref102150149 \h </w:instrText>
      </w:r>
      <w:r w:rsidRPr="003B4086">
        <w:rPr>
          <w:highlight w:val="yellow"/>
        </w:rPr>
      </w:r>
      <w:r w:rsidRPr="003B4086">
        <w:rPr>
          <w:highlight w:val="yellow"/>
        </w:rPr>
        <w:fldChar w:fldCharType="separate"/>
      </w:r>
      <w:r w:rsidR="00C6296C" w:rsidRPr="003B4086">
        <w:t xml:space="preserve">Table </w:t>
      </w:r>
      <w:r w:rsidR="00C6296C" w:rsidRPr="003B4086">
        <w:rPr>
          <w:noProof/>
        </w:rPr>
        <w:t>13</w:t>
      </w:r>
      <w:r w:rsidRPr="003B4086">
        <w:rPr>
          <w:highlight w:val="yellow"/>
        </w:rPr>
        <w:fldChar w:fldCharType="end"/>
      </w:r>
      <w:r w:rsidRPr="003B4086">
        <w:t>.</w:t>
      </w:r>
    </w:p>
    <w:p w14:paraId="44EA26D7" w14:textId="4E6A467C" w:rsidR="00605910" w:rsidRPr="003B4086" w:rsidRDefault="00605910" w:rsidP="00605910">
      <w:pPr>
        <w:pStyle w:val="TableFigureHeading"/>
        <w:rPr>
          <w:rStyle w:val="CommentReference"/>
          <w:b/>
          <w:szCs w:val="24"/>
        </w:rPr>
      </w:pPr>
      <w:bookmarkStart w:id="58" w:name="_Ref102150149"/>
      <w:r w:rsidRPr="003B4086">
        <w:lastRenderedPageBreak/>
        <w:t xml:space="preserve">Table </w:t>
      </w:r>
      <w:r w:rsidR="00785573">
        <w:fldChar w:fldCharType="begin"/>
      </w:r>
      <w:r w:rsidR="00785573">
        <w:instrText xml:space="preserve"> SEQ Table \* ARABIC </w:instrText>
      </w:r>
      <w:r w:rsidR="00785573">
        <w:fldChar w:fldCharType="separate"/>
      </w:r>
      <w:r w:rsidR="00C6296C" w:rsidRPr="003B4086">
        <w:rPr>
          <w:noProof/>
        </w:rPr>
        <w:t>13</w:t>
      </w:r>
      <w:r w:rsidR="00785573">
        <w:rPr>
          <w:noProof/>
        </w:rPr>
        <w:fldChar w:fldCharType="end"/>
      </w:r>
      <w:bookmarkEnd w:id="58"/>
      <w:r w:rsidRPr="003B4086">
        <w:rPr>
          <w:rStyle w:val="CommentReference"/>
          <w:b/>
          <w:szCs w:val="24"/>
        </w:rPr>
        <w:t>: Results of the stepped economic evaluation</w:t>
      </w:r>
    </w:p>
    <w:tbl>
      <w:tblPr>
        <w:tblStyle w:val="TableGrid"/>
        <w:tblW w:w="0" w:type="auto"/>
        <w:tblLayout w:type="fixed"/>
        <w:tblLook w:val="04A0" w:firstRow="1" w:lastRow="0" w:firstColumn="1" w:lastColumn="0" w:noHBand="0" w:noVBand="1"/>
      </w:tblPr>
      <w:tblGrid>
        <w:gridCol w:w="1271"/>
        <w:gridCol w:w="1134"/>
        <w:gridCol w:w="1276"/>
        <w:gridCol w:w="1134"/>
        <w:gridCol w:w="1134"/>
        <w:gridCol w:w="1417"/>
        <w:gridCol w:w="1650"/>
      </w:tblGrid>
      <w:tr w:rsidR="00605910" w:rsidRPr="003B4086" w14:paraId="4F41F930" w14:textId="77777777" w:rsidTr="009C00F8">
        <w:tc>
          <w:tcPr>
            <w:tcW w:w="3681" w:type="dxa"/>
            <w:gridSpan w:val="3"/>
            <w:shd w:val="clear" w:color="auto" w:fill="FFFFFF" w:themeFill="background1"/>
          </w:tcPr>
          <w:p w14:paraId="65E0E50A" w14:textId="77777777" w:rsidR="00605910" w:rsidRPr="003B4086" w:rsidRDefault="00605910" w:rsidP="00D83473">
            <w:pPr>
              <w:pStyle w:val="TableText0"/>
              <w:jc w:val="center"/>
              <w:rPr>
                <w:b/>
              </w:rPr>
            </w:pPr>
            <w:r w:rsidRPr="003B4086">
              <w:rPr>
                <w:b/>
              </w:rPr>
              <w:t>Costs</w:t>
            </w:r>
          </w:p>
        </w:tc>
        <w:tc>
          <w:tcPr>
            <w:tcW w:w="3685" w:type="dxa"/>
            <w:gridSpan w:val="3"/>
            <w:shd w:val="clear" w:color="auto" w:fill="FFFFFF" w:themeFill="background1"/>
          </w:tcPr>
          <w:p w14:paraId="7FBF8FCA" w14:textId="77777777" w:rsidR="00605910" w:rsidRPr="003B4086" w:rsidRDefault="00605910" w:rsidP="00D83473">
            <w:pPr>
              <w:pStyle w:val="TableText0"/>
              <w:jc w:val="center"/>
              <w:rPr>
                <w:b/>
              </w:rPr>
            </w:pPr>
            <w:r w:rsidRPr="003B4086">
              <w:rPr>
                <w:b/>
              </w:rPr>
              <w:t>Health outcomes</w:t>
            </w:r>
          </w:p>
        </w:tc>
        <w:tc>
          <w:tcPr>
            <w:tcW w:w="1650" w:type="dxa"/>
            <w:vMerge w:val="restart"/>
            <w:shd w:val="clear" w:color="auto" w:fill="FFFFFF" w:themeFill="background1"/>
          </w:tcPr>
          <w:p w14:paraId="72FC2C72" w14:textId="0E1EB153" w:rsidR="00605910" w:rsidRPr="003B4086" w:rsidRDefault="00605910" w:rsidP="00D83473">
            <w:pPr>
              <w:pStyle w:val="TableText0"/>
              <w:jc w:val="center"/>
              <w:rPr>
                <w:b/>
              </w:rPr>
            </w:pPr>
            <w:r w:rsidRPr="003B4086">
              <w:rPr>
                <w:b/>
              </w:rPr>
              <w:t>ICER</w:t>
            </w:r>
            <w:r w:rsidR="00AE7A6E">
              <w:rPr>
                <w:b/>
              </w:rPr>
              <w:t xml:space="preserve"> ($)</w:t>
            </w:r>
          </w:p>
        </w:tc>
      </w:tr>
      <w:tr w:rsidR="00605910" w:rsidRPr="003B4086" w14:paraId="0C2633A0" w14:textId="77777777" w:rsidTr="009C00F8">
        <w:tc>
          <w:tcPr>
            <w:tcW w:w="1271" w:type="dxa"/>
            <w:shd w:val="clear" w:color="auto" w:fill="FFFFFF" w:themeFill="background1"/>
          </w:tcPr>
          <w:p w14:paraId="3101964F" w14:textId="2BF23E67" w:rsidR="00605910" w:rsidRPr="003B4086" w:rsidRDefault="00605910" w:rsidP="00D83473">
            <w:pPr>
              <w:pStyle w:val="TableText0"/>
              <w:jc w:val="center"/>
              <w:rPr>
                <w:rFonts w:cs="Arial"/>
                <w:b/>
                <w:bCs w:val="0"/>
                <w:color w:val="222222"/>
                <w:szCs w:val="21"/>
              </w:rPr>
            </w:pPr>
            <w:r w:rsidRPr="003B4086">
              <w:rPr>
                <w:b/>
              </w:rPr>
              <w:t>NIVO</w:t>
            </w:r>
            <w:r w:rsidR="006964F9">
              <w:rPr>
                <w:b/>
              </w:rPr>
              <w:t xml:space="preserve"> ($)</w:t>
            </w:r>
          </w:p>
        </w:tc>
        <w:tc>
          <w:tcPr>
            <w:tcW w:w="1134" w:type="dxa"/>
            <w:shd w:val="clear" w:color="auto" w:fill="FFFFFF" w:themeFill="background1"/>
          </w:tcPr>
          <w:p w14:paraId="24F00F72" w14:textId="218B5B06" w:rsidR="00605910" w:rsidRPr="003B4086" w:rsidRDefault="00605910" w:rsidP="00D83473">
            <w:pPr>
              <w:pStyle w:val="TableText0"/>
              <w:jc w:val="center"/>
              <w:rPr>
                <w:rFonts w:cs="Arial"/>
                <w:b/>
                <w:bCs w:val="0"/>
                <w:color w:val="222222"/>
                <w:szCs w:val="21"/>
              </w:rPr>
            </w:pPr>
            <w:r w:rsidRPr="003B4086">
              <w:rPr>
                <w:b/>
              </w:rPr>
              <w:t>WW</w:t>
            </w:r>
            <w:r w:rsidR="006964F9">
              <w:rPr>
                <w:b/>
              </w:rPr>
              <w:t xml:space="preserve"> ($)</w:t>
            </w:r>
          </w:p>
        </w:tc>
        <w:tc>
          <w:tcPr>
            <w:tcW w:w="1276" w:type="dxa"/>
            <w:shd w:val="clear" w:color="auto" w:fill="FFFFFF" w:themeFill="background1"/>
          </w:tcPr>
          <w:p w14:paraId="288D4B7A" w14:textId="154899F6" w:rsidR="00605910" w:rsidRPr="003B4086" w:rsidRDefault="00605910" w:rsidP="00D83473">
            <w:pPr>
              <w:pStyle w:val="TableText0"/>
              <w:jc w:val="center"/>
              <w:rPr>
                <w:rFonts w:cs="Arial"/>
                <w:b/>
                <w:bCs w:val="0"/>
                <w:color w:val="222222"/>
                <w:szCs w:val="21"/>
              </w:rPr>
            </w:pPr>
            <w:r w:rsidRPr="003B4086">
              <w:rPr>
                <w:b/>
              </w:rPr>
              <w:t>Incremental</w:t>
            </w:r>
            <w:r w:rsidR="006964F9">
              <w:rPr>
                <w:b/>
              </w:rPr>
              <w:t xml:space="preserve"> ($)</w:t>
            </w:r>
          </w:p>
        </w:tc>
        <w:tc>
          <w:tcPr>
            <w:tcW w:w="1134" w:type="dxa"/>
            <w:shd w:val="clear" w:color="auto" w:fill="FFFFFF" w:themeFill="background1"/>
          </w:tcPr>
          <w:p w14:paraId="4F955099" w14:textId="77777777" w:rsidR="00605910" w:rsidRPr="003B4086" w:rsidRDefault="00605910" w:rsidP="00D83473">
            <w:pPr>
              <w:pStyle w:val="TableText0"/>
              <w:jc w:val="center"/>
              <w:rPr>
                <w:rFonts w:cs="Arial"/>
                <w:b/>
                <w:bCs w:val="0"/>
                <w:color w:val="222222"/>
                <w:szCs w:val="21"/>
              </w:rPr>
            </w:pPr>
            <w:r w:rsidRPr="003B4086">
              <w:rPr>
                <w:b/>
              </w:rPr>
              <w:t>NIVO</w:t>
            </w:r>
          </w:p>
        </w:tc>
        <w:tc>
          <w:tcPr>
            <w:tcW w:w="1134" w:type="dxa"/>
            <w:shd w:val="clear" w:color="auto" w:fill="FFFFFF" w:themeFill="background1"/>
          </w:tcPr>
          <w:p w14:paraId="2E41F026" w14:textId="77777777" w:rsidR="00605910" w:rsidRPr="003B4086" w:rsidRDefault="00605910" w:rsidP="00D83473">
            <w:pPr>
              <w:pStyle w:val="TableText0"/>
              <w:jc w:val="center"/>
              <w:rPr>
                <w:rFonts w:cs="Arial"/>
                <w:b/>
                <w:bCs w:val="0"/>
                <w:color w:val="222222"/>
                <w:szCs w:val="21"/>
              </w:rPr>
            </w:pPr>
            <w:r w:rsidRPr="003B4086">
              <w:rPr>
                <w:b/>
              </w:rPr>
              <w:t>WW</w:t>
            </w:r>
          </w:p>
        </w:tc>
        <w:tc>
          <w:tcPr>
            <w:tcW w:w="1417" w:type="dxa"/>
            <w:shd w:val="clear" w:color="auto" w:fill="FFFFFF" w:themeFill="background1"/>
          </w:tcPr>
          <w:p w14:paraId="32A6B13B" w14:textId="77777777" w:rsidR="00605910" w:rsidRPr="003B4086" w:rsidRDefault="00605910" w:rsidP="00D83473">
            <w:pPr>
              <w:pStyle w:val="TableText0"/>
              <w:jc w:val="center"/>
              <w:rPr>
                <w:rFonts w:cs="Arial"/>
                <w:b/>
                <w:bCs w:val="0"/>
                <w:color w:val="222222"/>
                <w:szCs w:val="21"/>
              </w:rPr>
            </w:pPr>
            <w:r w:rsidRPr="003B4086">
              <w:rPr>
                <w:b/>
              </w:rPr>
              <w:t>Incremental</w:t>
            </w:r>
          </w:p>
        </w:tc>
        <w:tc>
          <w:tcPr>
            <w:tcW w:w="1650" w:type="dxa"/>
            <w:vMerge/>
            <w:shd w:val="clear" w:color="auto" w:fill="FFFFFF" w:themeFill="background1"/>
          </w:tcPr>
          <w:p w14:paraId="3FE9EC97" w14:textId="77777777" w:rsidR="00605910" w:rsidRPr="003B4086" w:rsidRDefault="00605910" w:rsidP="00D83473">
            <w:pPr>
              <w:pStyle w:val="TableText0"/>
              <w:jc w:val="center"/>
              <w:rPr>
                <w:rFonts w:cs="Arial"/>
                <w:b/>
                <w:bCs w:val="0"/>
                <w:color w:val="222222"/>
                <w:szCs w:val="21"/>
              </w:rPr>
            </w:pPr>
          </w:p>
        </w:tc>
      </w:tr>
      <w:tr w:rsidR="00605910" w:rsidRPr="003B4086" w14:paraId="532484C3" w14:textId="77777777" w:rsidTr="009C00F8">
        <w:tc>
          <w:tcPr>
            <w:tcW w:w="7366" w:type="dxa"/>
            <w:gridSpan w:val="6"/>
            <w:shd w:val="clear" w:color="auto" w:fill="FFFFFF" w:themeFill="background1"/>
          </w:tcPr>
          <w:p w14:paraId="309741A4" w14:textId="3982BE1A" w:rsidR="00605910" w:rsidRPr="003B4086" w:rsidRDefault="00605910" w:rsidP="00D83473">
            <w:pPr>
              <w:pStyle w:val="TableText0"/>
              <w:rPr>
                <w:b/>
                <w:vertAlign w:val="superscript"/>
              </w:rPr>
            </w:pPr>
            <w:r w:rsidRPr="003B4086">
              <w:rPr>
                <w:b/>
                <w:bCs w:val="0"/>
              </w:rPr>
              <w:t>Step 1 - Comparative study data</w:t>
            </w:r>
            <w:r w:rsidR="00F42F3A" w:rsidRPr="003B4086">
              <w:rPr>
                <w:b/>
                <w:bCs w:val="0"/>
                <w:vertAlign w:val="superscript"/>
              </w:rPr>
              <w:t>c</w:t>
            </w:r>
          </w:p>
        </w:tc>
        <w:tc>
          <w:tcPr>
            <w:tcW w:w="1650" w:type="dxa"/>
            <w:shd w:val="clear" w:color="auto" w:fill="FFFFFF" w:themeFill="background1"/>
          </w:tcPr>
          <w:p w14:paraId="35BDF31E" w14:textId="164920B4" w:rsidR="00605910" w:rsidRPr="003B4086" w:rsidRDefault="00F42F3A" w:rsidP="00D83473">
            <w:pPr>
              <w:pStyle w:val="TableText0"/>
              <w:jc w:val="center"/>
              <w:rPr>
                <w:rFonts w:cs="Arial"/>
                <w:b/>
                <w:bCs w:val="0"/>
                <w:color w:val="222222"/>
                <w:szCs w:val="21"/>
              </w:rPr>
            </w:pPr>
            <w:r w:rsidRPr="003B4086">
              <w:t>R</w:t>
            </w:r>
            <w:r w:rsidR="00605910" w:rsidRPr="003B4086">
              <w:t xml:space="preserve">ecurrence </w:t>
            </w:r>
            <w:r w:rsidRPr="003B4086">
              <w:t xml:space="preserve">or death </w:t>
            </w:r>
            <w:r w:rsidR="00605910" w:rsidRPr="003B4086">
              <w:t>avoided</w:t>
            </w:r>
          </w:p>
        </w:tc>
      </w:tr>
      <w:tr w:rsidR="00605910" w:rsidRPr="003B4086" w14:paraId="39822509" w14:textId="77777777" w:rsidTr="00E020DE">
        <w:tc>
          <w:tcPr>
            <w:tcW w:w="1271" w:type="dxa"/>
            <w:shd w:val="solid" w:color="000000" w:fill="000000"/>
          </w:tcPr>
          <w:p w14:paraId="3B0615E4" w14:textId="0EC0386A" w:rsidR="00605910" w:rsidRPr="00E020DE" w:rsidRDefault="00E020DE" w:rsidP="00D83473">
            <w:pPr>
              <w:pStyle w:val="TableText0"/>
              <w:jc w:val="center"/>
            </w:pPr>
            <w:r w:rsidRPr="00E020DE">
              <w:rPr>
                <w:color w:val="000000"/>
                <w:spacing w:val="46"/>
                <w:fitText w:val="310" w:id="-1435269881"/>
                <w14:textFill>
                  <w14:solidFill>
                    <w14:srgbClr w14:val="000000">
                      <w14:alpha w14:val="100000"/>
                    </w14:srgbClr>
                  </w14:solidFill>
                </w14:textFill>
              </w:rPr>
              <w:t>|||</w:t>
            </w:r>
            <w:r w:rsidRPr="00E020DE">
              <w:rPr>
                <w:color w:val="000000"/>
                <w:spacing w:val="2"/>
                <w:fitText w:val="310" w:id="-1435269881"/>
                <w14:textFill>
                  <w14:solidFill>
                    <w14:srgbClr w14:val="000000">
                      <w14:alpha w14:val="100000"/>
                    </w14:srgbClr>
                  </w14:solidFill>
                </w14:textFill>
              </w:rPr>
              <w:t>|</w:t>
            </w:r>
          </w:p>
        </w:tc>
        <w:tc>
          <w:tcPr>
            <w:tcW w:w="1134" w:type="dxa"/>
            <w:shd w:val="solid" w:color="000000" w:fill="000000"/>
          </w:tcPr>
          <w:p w14:paraId="738298A0" w14:textId="674F02EB" w:rsidR="00605910" w:rsidRPr="00E020DE" w:rsidRDefault="00E020DE" w:rsidP="00D83473">
            <w:pPr>
              <w:pStyle w:val="TableText0"/>
              <w:jc w:val="center"/>
            </w:pPr>
            <w:r w:rsidRPr="00E020DE">
              <w:rPr>
                <w:color w:val="000000"/>
                <w:spacing w:val="66"/>
                <w:fitText w:val="370" w:id="-1435269880"/>
                <w14:textFill>
                  <w14:solidFill>
                    <w14:srgbClr w14:val="000000">
                      <w14:alpha w14:val="100000"/>
                    </w14:srgbClr>
                  </w14:solidFill>
                </w14:textFill>
              </w:rPr>
              <w:t>|||</w:t>
            </w:r>
            <w:r w:rsidRPr="00E020DE">
              <w:rPr>
                <w:color w:val="000000"/>
                <w:spacing w:val="2"/>
                <w:fitText w:val="370" w:id="-1435269880"/>
                <w14:textFill>
                  <w14:solidFill>
                    <w14:srgbClr w14:val="000000">
                      <w14:alpha w14:val="100000"/>
                    </w14:srgbClr>
                  </w14:solidFill>
                </w14:textFill>
              </w:rPr>
              <w:t>|</w:t>
            </w:r>
          </w:p>
        </w:tc>
        <w:tc>
          <w:tcPr>
            <w:tcW w:w="1276" w:type="dxa"/>
            <w:shd w:val="solid" w:color="000000" w:fill="000000"/>
          </w:tcPr>
          <w:p w14:paraId="7426394B" w14:textId="78B98B7A" w:rsidR="00605910" w:rsidRPr="00E020DE" w:rsidRDefault="00E020DE" w:rsidP="00D83473">
            <w:pPr>
              <w:pStyle w:val="TableText0"/>
              <w:jc w:val="center"/>
            </w:pPr>
            <w:r w:rsidRPr="00E020DE">
              <w:rPr>
                <w:color w:val="000000"/>
                <w:spacing w:val="214"/>
                <w:fitText w:val="300" w:id="-1435269879"/>
                <w14:textFill>
                  <w14:solidFill>
                    <w14:srgbClr w14:val="000000">
                      <w14:alpha w14:val="100000"/>
                    </w14:srgbClr>
                  </w14:solidFill>
                </w14:textFill>
              </w:rPr>
              <w:t>|</w:t>
            </w:r>
            <w:r w:rsidRPr="00E020DE">
              <w:rPr>
                <w:color w:val="000000"/>
                <w:fitText w:val="300" w:id="-1435269879"/>
                <w14:textFill>
                  <w14:solidFill>
                    <w14:srgbClr w14:val="000000">
                      <w14:alpha w14:val="100000"/>
                    </w14:srgbClr>
                  </w14:solidFill>
                </w14:textFill>
              </w:rPr>
              <w:t>|</w:t>
            </w:r>
          </w:p>
        </w:tc>
        <w:tc>
          <w:tcPr>
            <w:tcW w:w="1134" w:type="dxa"/>
          </w:tcPr>
          <w:p w14:paraId="7970E628" w14:textId="46FEA6AE" w:rsidR="00605910" w:rsidRPr="003B4086" w:rsidRDefault="00605910" w:rsidP="00D83473">
            <w:pPr>
              <w:pStyle w:val="TableText0"/>
              <w:jc w:val="center"/>
            </w:pPr>
            <w:r w:rsidRPr="003B4086">
              <w:t>48.16%</w:t>
            </w:r>
            <w:r w:rsidR="00F42F3A" w:rsidRPr="003B4086">
              <w:rPr>
                <w:vertAlign w:val="superscript"/>
              </w:rPr>
              <w:t>b</w:t>
            </w:r>
          </w:p>
        </w:tc>
        <w:tc>
          <w:tcPr>
            <w:tcW w:w="1134" w:type="dxa"/>
          </w:tcPr>
          <w:p w14:paraId="7B3A8CBB" w14:textId="385EB46D" w:rsidR="00605910" w:rsidRPr="003B4086" w:rsidRDefault="00605910" w:rsidP="00F42F3A">
            <w:pPr>
              <w:pStyle w:val="TableText0"/>
              <w:jc w:val="center"/>
            </w:pPr>
            <w:r w:rsidRPr="003B4086">
              <w:t>57.30%</w:t>
            </w:r>
            <w:r w:rsidR="00F42F3A" w:rsidRPr="003B4086">
              <w:rPr>
                <w:vertAlign w:val="superscript"/>
              </w:rPr>
              <w:t>b</w:t>
            </w:r>
          </w:p>
        </w:tc>
        <w:tc>
          <w:tcPr>
            <w:tcW w:w="1417" w:type="dxa"/>
          </w:tcPr>
          <w:p w14:paraId="1035DA0C" w14:textId="42DAA0E5" w:rsidR="00605910" w:rsidRPr="003B4086" w:rsidRDefault="00605910" w:rsidP="00D83473">
            <w:pPr>
              <w:pStyle w:val="TableText0"/>
              <w:jc w:val="center"/>
              <w:rPr>
                <w:vertAlign w:val="superscript"/>
              </w:rPr>
            </w:pPr>
            <w:r w:rsidRPr="003B4086">
              <w:t>9.14%</w:t>
            </w:r>
            <w:r w:rsidR="00F42F3A" w:rsidRPr="003B4086">
              <w:rPr>
                <w:vertAlign w:val="superscript"/>
              </w:rPr>
              <w:t>b</w:t>
            </w:r>
          </w:p>
        </w:tc>
        <w:tc>
          <w:tcPr>
            <w:tcW w:w="1650" w:type="dxa"/>
          </w:tcPr>
          <w:p w14:paraId="7CFAB86D" w14:textId="6B5151B7" w:rsidR="00605910" w:rsidRPr="003B4086" w:rsidRDefault="00E020DE" w:rsidP="00D83473">
            <w:pPr>
              <w:pStyle w:val="TableText0"/>
              <w:jc w:val="center"/>
              <w:rPr>
                <w:vertAlign w:val="superscript"/>
              </w:rPr>
            </w:pPr>
            <w:r w:rsidRPr="00E020DE">
              <w:rPr>
                <w:rFonts w:hint="eastAsia"/>
                <w:color w:val="000000"/>
                <w:w w:val="33"/>
                <w:shd w:val="solid" w:color="000000" w:fill="000000"/>
                <w:fitText w:val="150" w:id="-1435269878"/>
                <w14:textFill>
                  <w14:solidFill>
                    <w14:srgbClr w14:val="000000">
                      <w14:alpha w14:val="100000"/>
                    </w14:srgbClr>
                  </w14:solidFill>
                </w14:textFill>
              </w:rPr>
              <w:t xml:space="preserve">　</w:t>
            </w:r>
            <w:r w:rsidRPr="00E020DE">
              <w:rPr>
                <w:color w:val="000000"/>
                <w:w w:val="33"/>
                <w:shd w:val="solid" w:color="000000" w:fill="000000"/>
                <w:fitText w:val="150" w:id="-1435269878"/>
                <w14:textFill>
                  <w14:solidFill>
                    <w14:srgbClr w14:val="000000">
                      <w14:alpha w14:val="100000"/>
                    </w14:srgbClr>
                  </w14:solidFill>
                </w14:textFill>
              </w:rPr>
              <w:t>|</w:t>
            </w:r>
            <w:r w:rsidRPr="00E020DE">
              <w:rPr>
                <w:rFonts w:hint="eastAsia"/>
                <w:color w:val="000000"/>
                <w:spacing w:val="4"/>
                <w:w w:val="33"/>
                <w:shd w:val="solid" w:color="000000" w:fill="000000"/>
                <w:fitText w:val="150" w:id="-1435269878"/>
                <w14:textFill>
                  <w14:solidFill>
                    <w14:srgbClr w14:val="000000">
                      <w14:alpha w14:val="100000"/>
                    </w14:srgbClr>
                  </w14:solidFill>
                </w14:textFill>
              </w:rPr>
              <w:t xml:space="preserve">　</w:t>
            </w:r>
            <w:r w:rsidR="00AE7A6E">
              <w:rPr>
                <w:vertAlign w:val="superscript"/>
              </w:rPr>
              <w:t>1</w:t>
            </w:r>
            <w:r w:rsidR="00605910" w:rsidRPr="003B4086">
              <w:t xml:space="preserve"> </w:t>
            </w:r>
            <w:r w:rsidRPr="00E020DE">
              <w:rPr>
                <w:b/>
                <w:color w:val="000000"/>
                <w:spacing w:val="178"/>
                <w:shd w:val="solid" w:color="000000" w:fill="000000"/>
                <w:fitText w:val="270" w:id="-1435269877"/>
                <w14:textFill>
                  <w14:solidFill>
                    <w14:srgbClr w14:val="000000">
                      <w14:alpha w14:val="100000"/>
                    </w14:srgbClr>
                  </w14:solidFill>
                </w14:textFill>
              </w:rPr>
              <w:t>|</w:t>
            </w:r>
            <w:r w:rsidRPr="00E020DE">
              <w:rPr>
                <w:b/>
                <w:color w:val="000000"/>
                <w:spacing w:val="1"/>
                <w:shd w:val="solid" w:color="000000" w:fill="000000"/>
                <w:fitText w:val="270" w:id="-1435269877"/>
                <w14:textFill>
                  <w14:solidFill>
                    <w14:srgbClr w14:val="000000">
                      <w14:alpha w14:val="100000"/>
                    </w14:srgbClr>
                  </w14:solidFill>
                </w14:textFill>
              </w:rPr>
              <w:t>|</w:t>
            </w:r>
            <w:r w:rsidR="00605910" w:rsidRPr="003B4086">
              <w:rPr>
                <w:b/>
                <w:vertAlign w:val="superscript"/>
              </w:rPr>
              <w:t>a</w:t>
            </w:r>
            <w:r w:rsidR="00AE7A6E">
              <w:rPr>
                <w:b/>
                <w:vertAlign w:val="superscript"/>
              </w:rPr>
              <w:t>2</w:t>
            </w:r>
          </w:p>
        </w:tc>
      </w:tr>
      <w:tr w:rsidR="00605910" w:rsidRPr="003B4086" w14:paraId="602374A9" w14:textId="77777777" w:rsidTr="009C00F8">
        <w:tc>
          <w:tcPr>
            <w:tcW w:w="7366" w:type="dxa"/>
            <w:gridSpan w:val="6"/>
          </w:tcPr>
          <w:p w14:paraId="50D3926D" w14:textId="11869C11" w:rsidR="00605910" w:rsidRPr="003B4086" w:rsidRDefault="00F42F3A" w:rsidP="00D83473">
            <w:pPr>
              <w:pStyle w:val="TableText0"/>
              <w:rPr>
                <w:vertAlign w:val="superscript"/>
              </w:rPr>
            </w:pPr>
            <w:r w:rsidRPr="003B4086">
              <w:rPr>
                <w:b/>
                <w:bCs w:val="0"/>
              </w:rPr>
              <w:t>Step 2 - Comparative study data</w:t>
            </w:r>
            <w:r w:rsidRPr="003B4086">
              <w:rPr>
                <w:b/>
                <w:bCs w:val="0"/>
                <w:vertAlign w:val="superscript"/>
              </w:rPr>
              <w:t>c</w:t>
            </w:r>
          </w:p>
        </w:tc>
        <w:tc>
          <w:tcPr>
            <w:tcW w:w="1650" w:type="dxa"/>
          </w:tcPr>
          <w:p w14:paraId="5FA5365D" w14:textId="77777777" w:rsidR="00605910" w:rsidRPr="003B4086" w:rsidRDefault="00605910" w:rsidP="00D83473">
            <w:pPr>
              <w:pStyle w:val="TableText0"/>
              <w:jc w:val="center"/>
            </w:pPr>
            <w:r w:rsidRPr="003B4086">
              <w:t>LYG</w:t>
            </w:r>
          </w:p>
        </w:tc>
      </w:tr>
      <w:tr w:rsidR="00605910" w:rsidRPr="003B4086" w14:paraId="398220DF" w14:textId="77777777" w:rsidTr="00E020DE">
        <w:tc>
          <w:tcPr>
            <w:tcW w:w="1271" w:type="dxa"/>
            <w:shd w:val="solid" w:color="000000" w:fill="000000"/>
          </w:tcPr>
          <w:p w14:paraId="4B3F604B" w14:textId="3CB26C8C" w:rsidR="00605910" w:rsidRPr="00E020DE" w:rsidRDefault="00E020DE" w:rsidP="00D83473">
            <w:pPr>
              <w:pStyle w:val="TableText0"/>
              <w:jc w:val="center"/>
            </w:pPr>
            <w:r w:rsidRPr="00E020DE">
              <w:rPr>
                <w:color w:val="000000"/>
                <w:spacing w:val="46"/>
                <w:fitText w:val="310" w:id="-1435269876"/>
                <w14:textFill>
                  <w14:solidFill>
                    <w14:srgbClr w14:val="000000">
                      <w14:alpha w14:val="100000"/>
                    </w14:srgbClr>
                  </w14:solidFill>
                </w14:textFill>
              </w:rPr>
              <w:t>|||</w:t>
            </w:r>
            <w:r w:rsidRPr="00E020DE">
              <w:rPr>
                <w:color w:val="000000"/>
                <w:spacing w:val="2"/>
                <w:fitText w:val="310" w:id="-1435269876"/>
                <w14:textFill>
                  <w14:solidFill>
                    <w14:srgbClr w14:val="000000">
                      <w14:alpha w14:val="100000"/>
                    </w14:srgbClr>
                  </w14:solidFill>
                </w14:textFill>
              </w:rPr>
              <w:t>|</w:t>
            </w:r>
          </w:p>
        </w:tc>
        <w:tc>
          <w:tcPr>
            <w:tcW w:w="1134" w:type="dxa"/>
            <w:shd w:val="solid" w:color="000000" w:fill="000000"/>
          </w:tcPr>
          <w:p w14:paraId="595E0279" w14:textId="74789BBA" w:rsidR="00605910" w:rsidRPr="00E020DE" w:rsidRDefault="00E020DE" w:rsidP="00D83473">
            <w:pPr>
              <w:pStyle w:val="TableText0"/>
              <w:jc w:val="center"/>
            </w:pPr>
            <w:r w:rsidRPr="00E020DE">
              <w:rPr>
                <w:color w:val="000000"/>
                <w:spacing w:val="66"/>
                <w:fitText w:val="370" w:id="-1435269875"/>
                <w14:textFill>
                  <w14:solidFill>
                    <w14:srgbClr w14:val="000000">
                      <w14:alpha w14:val="100000"/>
                    </w14:srgbClr>
                  </w14:solidFill>
                </w14:textFill>
              </w:rPr>
              <w:t>|||</w:t>
            </w:r>
            <w:r w:rsidRPr="00E020DE">
              <w:rPr>
                <w:color w:val="000000"/>
                <w:spacing w:val="2"/>
                <w:fitText w:val="370" w:id="-1435269875"/>
                <w14:textFill>
                  <w14:solidFill>
                    <w14:srgbClr w14:val="000000">
                      <w14:alpha w14:val="100000"/>
                    </w14:srgbClr>
                  </w14:solidFill>
                </w14:textFill>
              </w:rPr>
              <w:t>|</w:t>
            </w:r>
          </w:p>
        </w:tc>
        <w:tc>
          <w:tcPr>
            <w:tcW w:w="1276" w:type="dxa"/>
            <w:shd w:val="solid" w:color="000000" w:fill="000000"/>
          </w:tcPr>
          <w:p w14:paraId="0691C503" w14:textId="66E95368" w:rsidR="00605910" w:rsidRPr="00E020DE" w:rsidRDefault="00E020DE" w:rsidP="00D83473">
            <w:pPr>
              <w:pStyle w:val="TableText0"/>
              <w:jc w:val="center"/>
            </w:pPr>
            <w:r w:rsidRPr="00E020DE">
              <w:rPr>
                <w:color w:val="000000"/>
                <w:spacing w:val="214"/>
                <w:fitText w:val="300" w:id="-1435269874"/>
                <w14:textFill>
                  <w14:solidFill>
                    <w14:srgbClr w14:val="000000">
                      <w14:alpha w14:val="100000"/>
                    </w14:srgbClr>
                  </w14:solidFill>
                </w14:textFill>
              </w:rPr>
              <w:t>|</w:t>
            </w:r>
            <w:r w:rsidRPr="00E020DE">
              <w:rPr>
                <w:color w:val="000000"/>
                <w:fitText w:val="300" w:id="-1435269874"/>
                <w14:textFill>
                  <w14:solidFill>
                    <w14:srgbClr w14:val="000000">
                      <w14:alpha w14:val="100000"/>
                    </w14:srgbClr>
                  </w14:solidFill>
                </w14:textFill>
              </w:rPr>
              <w:t>|</w:t>
            </w:r>
          </w:p>
        </w:tc>
        <w:tc>
          <w:tcPr>
            <w:tcW w:w="1134" w:type="dxa"/>
          </w:tcPr>
          <w:p w14:paraId="213FAA88" w14:textId="4EE4186D" w:rsidR="00605910" w:rsidRPr="003B4086" w:rsidRDefault="00605910" w:rsidP="00D83473">
            <w:pPr>
              <w:pStyle w:val="TableText0"/>
              <w:jc w:val="center"/>
            </w:pPr>
            <w:r w:rsidRPr="003B4086">
              <w:t>2.017</w:t>
            </w:r>
          </w:p>
        </w:tc>
        <w:tc>
          <w:tcPr>
            <w:tcW w:w="1134" w:type="dxa"/>
          </w:tcPr>
          <w:p w14:paraId="227DDDDA" w14:textId="4D88DBB3" w:rsidR="00605910" w:rsidRPr="003B4086" w:rsidRDefault="00605910" w:rsidP="00D83473">
            <w:pPr>
              <w:pStyle w:val="TableText0"/>
              <w:jc w:val="center"/>
            </w:pPr>
            <w:r w:rsidRPr="003B4086">
              <w:t>1.862</w:t>
            </w:r>
          </w:p>
        </w:tc>
        <w:tc>
          <w:tcPr>
            <w:tcW w:w="1417" w:type="dxa"/>
          </w:tcPr>
          <w:p w14:paraId="51B4C1BF" w14:textId="2E9AD03F" w:rsidR="00605910" w:rsidRPr="003B4086" w:rsidRDefault="00605910" w:rsidP="00D83473">
            <w:pPr>
              <w:pStyle w:val="TableText0"/>
              <w:jc w:val="center"/>
            </w:pPr>
            <w:r w:rsidRPr="003B4086">
              <w:t>0.155</w:t>
            </w:r>
          </w:p>
        </w:tc>
        <w:tc>
          <w:tcPr>
            <w:tcW w:w="1650" w:type="dxa"/>
          </w:tcPr>
          <w:p w14:paraId="1E799627" w14:textId="64D109F1" w:rsidR="00605910" w:rsidRPr="003B4086" w:rsidRDefault="00E020DE" w:rsidP="00D83473">
            <w:pPr>
              <w:pStyle w:val="TableText0"/>
              <w:jc w:val="center"/>
            </w:pPr>
            <w:r w:rsidRPr="00E020DE">
              <w:rPr>
                <w:rFonts w:hint="eastAsia"/>
                <w:color w:val="000000"/>
                <w:w w:val="33"/>
                <w:shd w:val="solid" w:color="000000" w:fill="000000"/>
                <w:fitText w:val="150" w:id="-1435269873"/>
                <w14:textFill>
                  <w14:solidFill>
                    <w14:srgbClr w14:val="000000">
                      <w14:alpha w14:val="100000"/>
                    </w14:srgbClr>
                  </w14:solidFill>
                </w14:textFill>
              </w:rPr>
              <w:t xml:space="preserve">　</w:t>
            </w:r>
            <w:r w:rsidRPr="00E020DE">
              <w:rPr>
                <w:color w:val="000000"/>
                <w:w w:val="33"/>
                <w:shd w:val="solid" w:color="000000" w:fill="000000"/>
                <w:fitText w:val="150" w:id="-1435269873"/>
                <w14:textFill>
                  <w14:solidFill>
                    <w14:srgbClr w14:val="000000">
                      <w14:alpha w14:val="100000"/>
                    </w14:srgbClr>
                  </w14:solidFill>
                </w14:textFill>
              </w:rPr>
              <w:t>|</w:t>
            </w:r>
            <w:r w:rsidRPr="00E020DE">
              <w:rPr>
                <w:rFonts w:hint="eastAsia"/>
                <w:color w:val="000000"/>
                <w:spacing w:val="4"/>
                <w:w w:val="33"/>
                <w:shd w:val="solid" w:color="000000" w:fill="000000"/>
                <w:fitText w:val="150" w:id="-1435269873"/>
                <w14:textFill>
                  <w14:solidFill>
                    <w14:srgbClr w14:val="000000">
                      <w14:alpha w14:val="100000"/>
                    </w14:srgbClr>
                  </w14:solidFill>
                </w14:textFill>
              </w:rPr>
              <w:t xml:space="preserve">　</w:t>
            </w:r>
            <w:r w:rsidR="00AE7A6E">
              <w:rPr>
                <w:b/>
                <w:vertAlign w:val="superscript"/>
              </w:rPr>
              <w:t>3</w:t>
            </w:r>
          </w:p>
        </w:tc>
      </w:tr>
      <w:tr w:rsidR="00605910" w:rsidRPr="003B4086" w14:paraId="3AA872AE" w14:textId="77777777" w:rsidTr="009C00F8">
        <w:tc>
          <w:tcPr>
            <w:tcW w:w="7366" w:type="dxa"/>
            <w:gridSpan w:val="6"/>
          </w:tcPr>
          <w:p w14:paraId="5033E886" w14:textId="03B4403E" w:rsidR="00605910" w:rsidRPr="003B4086" w:rsidRDefault="00605910" w:rsidP="00D83473">
            <w:pPr>
              <w:pStyle w:val="TableText0"/>
              <w:tabs>
                <w:tab w:val="left" w:pos="2029"/>
              </w:tabs>
              <w:jc w:val="both"/>
              <w:rPr>
                <w:vertAlign w:val="superscript"/>
              </w:rPr>
            </w:pPr>
            <w:r w:rsidRPr="003B4086">
              <w:rPr>
                <w:b/>
                <w:bCs w:val="0"/>
              </w:rPr>
              <w:t>Step 3 - Study data transformed to QALY</w:t>
            </w:r>
            <w:r w:rsidR="00F42F3A" w:rsidRPr="003B4086">
              <w:rPr>
                <w:b/>
                <w:bCs w:val="0"/>
              </w:rPr>
              <w:t xml:space="preserve"> outcome</w:t>
            </w:r>
            <w:r w:rsidR="00F42F3A" w:rsidRPr="003B4086">
              <w:rPr>
                <w:b/>
                <w:bCs w:val="0"/>
                <w:vertAlign w:val="superscript"/>
              </w:rPr>
              <w:t>c</w:t>
            </w:r>
          </w:p>
        </w:tc>
        <w:tc>
          <w:tcPr>
            <w:tcW w:w="1650" w:type="dxa"/>
          </w:tcPr>
          <w:p w14:paraId="726C2A87" w14:textId="77777777" w:rsidR="00605910" w:rsidRPr="003B4086" w:rsidRDefault="00605910" w:rsidP="00D83473">
            <w:pPr>
              <w:pStyle w:val="TableText0"/>
              <w:jc w:val="center"/>
            </w:pPr>
            <w:r w:rsidRPr="003B4086">
              <w:t>QALY</w:t>
            </w:r>
          </w:p>
        </w:tc>
      </w:tr>
      <w:tr w:rsidR="00605910" w:rsidRPr="003B4086" w14:paraId="6356FF35" w14:textId="77777777" w:rsidTr="00E020DE">
        <w:tc>
          <w:tcPr>
            <w:tcW w:w="1271" w:type="dxa"/>
            <w:shd w:val="solid" w:color="000000" w:fill="000000"/>
          </w:tcPr>
          <w:p w14:paraId="6B445DF1" w14:textId="2F7565A1" w:rsidR="00605910" w:rsidRPr="00E020DE" w:rsidRDefault="00E020DE" w:rsidP="00D83473">
            <w:pPr>
              <w:pStyle w:val="TableText0"/>
              <w:jc w:val="center"/>
            </w:pPr>
            <w:r w:rsidRPr="00E020DE">
              <w:rPr>
                <w:color w:val="000000"/>
                <w:spacing w:val="46"/>
                <w:fitText w:val="310" w:id="-1435269872"/>
                <w14:textFill>
                  <w14:solidFill>
                    <w14:srgbClr w14:val="000000">
                      <w14:alpha w14:val="100000"/>
                    </w14:srgbClr>
                  </w14:solidFill>
                </w14:textFill>
              </w:rPr>
              <w:t>|||</w:t>
            </w:r>
            <w:r w:rsidRPr="00E020DE">
              <w:rPr>
                <w:color w:val="000000"/>
                <w:spacing w:val="2"/>
                <w:fitText w:val="310" w:id="-1435269872"/>
                <w14:textFill>
                  <w14:solidFill>
                    <w14:srgbClr w14:val="000000">
                      <w14:alpha w14:val="100000"/>
                    </w14:srgbClr>
                  </w14:solidFill>
                </w14:textFill>
              </w:rPr>
              <w:t>|</w:t>
            </w:r>
          </w:p>
        </w:tc>
        <w:tc>
          <w:tcPr>
            <w:tcW w:w="1134" w:type="dxa"/>
            <w:shd w:val="solid" w:color="000000" w:fill="000000"/>
          </w:tcPr>
          <w:p w14:paraId="38D4D37F" w14:textId="1E68A28F" w:rsidR="00605910" w:rsidRPr="00E020DE" w:rsidRDefault="00E020DE" w:rsidP="00D83473">
            <w:pPr>
              <w:pStyle w:val="TableText0"/>
              <w:jc w:val="center"/>
            </w:pPr>
            <w:r w:rsidRPr="00E020DE">
              <w:rPr>
                <w:color w:val="000000"/>
                <w:spacing w:val="66"/>
                <w:fitText w:val="370" w:id="-1435269888"/>
                <w14:textFill>
                  <w14:solidFill>
                    <w14:srgbClr w14:val="000000">
                      <w14:alpha w14:val="100000"/>
                    </w14:srgbClr>
                  </w14:solidFill>
                </w14:textFill>
              </w:rPr>
              <w:t>|||</w:t>
            </w:r>
            <w:r w:rsidRPr="00E020DE">
              <w:rPr>
                <w:color w:val="000000"/>
                <w:spacing w:val="2"/>
                <w:fitText w:val="370" w:id="-1435269888"/>
                <w14:textFill>
                  <w14:solidFill>
                    <w14:srgbClr w14:val="000000">
                      <w14:alpha w14:val="100000"/>
                    </w14:srgbClr>
                  </w14:solidFill>
                </w14:textFill>
              </w:rPr>
              <w:t>|</w:t>
            </w:r>
          </w:p>
        </w:tc>
        <w:tc>
          <w:tcPr>
            <w:tcW w:w="1276" w:type="dxa"/>
            <w:shd w:val="solid" w:color="000000" w:fill="000000"/>
          </w:tcPr>
          <w:p w14:paraId="57C28D2C" w14:textId="4AD7FB43" w:rsidR="00605910" w:rsidRPr="00E020DE" w:rsidRDefault="00E020DE" w:rsidP="00D83473">
            <w:pPr>
              <w:pStyle w:val="TableText0"/>
              <w:jc w:val="center"/>
            </w:pPr>
            <w:r w:rsidRPr="00E020DE">
              <w:rPr>
                <w:color w:val="000000"/>
                <w:spacing w:val="214"/>
                <w:fitText w:val="300" w:id="-1435269887"/>
                <w14:textFill>
                  <w14:solidFill>
                    <w14:srgbClr w14:val="000000">
                      <w14:alpha w14:val="100000"/>
                    </w14:srgbClr>
                  </w14:solidFill>
                </w14:textFill>
              </w:rPr>
              <w:t>|</w:t>
            </w:r>
            <w:r w:rsidRPr="00E020DE">
              <w:rPr>
                <w:color w:val="000000"/>
                <w:fitText w:val="300" w:id="-1435269887"/>
                <w14:textFill>
                  <w14:solidFill>
                    <w14:srgbClr w14:val="000000">
                      <w14:alpha w14:val="100000"/>
                    </w14:srgbClr>
                  </w14:solidFill>
                </w14:textFill>
              </w:rPr>
              <w:t>|</w:t>
            </w:r>
          </w:p>
        </w:tc>
        <w:tc>
          <w:tcPr>
            <w:tcW w:w="1134" w:type="dxa"/>
          </w:tcPr>
          <w:p w14:paraId="5DAEA940" w14:textId="77777777" w:rsidR="00605910" w:rsidRPr="003B4086" w:rsidRDefault="00605910" w:rsidP="00D83473">
            <w:pPr>
              <w:pStyle w:val="TableText0"/>
              <w:jc w:val="center"/>
            </w:pPr>
            <w:r w:rsidRPr="003B4086">
              <w:t>1.627</w:t>
            </w:r>
          </w:p>
        </w:tc>
        <w:tc>
          <w:tcPr>
            <w:tcW w:w="1134" w:type="dxa"/>
          </w:tcPr>
          <w:p w14:paraId="109FD50B" w14:textId="77777777" w:rsidR="00605910" w:rsidRPr="003B4086" w:rsidRDefault="00605910" w:rsidP="00D83473">
            <w:pPr>
              <w:pStyle w:val="TableText0"/>
              <w:jc w:val="center"/>
            </w:pPr>
            <w:r w:rsidRPr="003B4086">
              <w:t>1.486</w:t>
            </w:r>
          </w:p>
        </w:tc>
        <w:tc>
          <w:tcPr>
            <w:tcW w:w="1417" w:type="dxa"/>
          </w:tcPr>
          <w:p w14:paraId="5EBCC3D6" w14:textId="77777777" w:rsidR="00605910" w:rsidRPr="003B4086" w:rsidRDefault="00605910" w:rsidP="00D83473">
            <w:pPr>
              <w:pStyle w:val="TableText0"/>
              <w:jc w:val="center"/>
            </w:pPr>
            <w:r w:rsidRPr="003B4086">
              <w:t>0.141</w:t>
            </w:r>
          </w:p>
        </w:tc>
        <w:tc>
          <w:tcPr>
            <w:tcW w:w="1650" w:type="dxa"/>
          </w:tcPr>
          <w:p w14:paraId="0AB1D577" w14:textId="60E2A056" w:rsidR="00605910" w:rsidRPr="003B4086" w:rsidRDefault="00E020DE" w:rsidP="00D83473">
            <w:pPr>
              <w:pStyle w:val="TableText0"/>
              <w:jc w:val="center"/>
            </w:pPr>
            <w:r w:rsidRPr="00E020DE">
              <w:rPr>
                <w:rFonts w:hint="eastAsia"/>
                <w:color w:val="000000"/>
                <w:w w:val="33"/>
                <w:shd w:val="solid" w:color="000000" w:fill="000000"/>
                <w:fitText w:val="150" w:id="-1435269886"/>
                <w14:textFill>
                  <w14:solidFill>
                    <w14:srgbClr w14:val="000000">
                      <w14:alpha w14:val="100000"/>
                    </w14:srgbClr>
                  </w14:solidFill>
                </w14:textFill>
              </w:rPr>
              <w:t xml:space="preserve">　</w:t>
            </w:r>
            <w:r w:rsidRPr="00E020DE">
              <w:rPr>
                <w:color w:val="000000"/>
                <w:w w:val="33"/>
                <w:shd w:val="solid" w:color="000000" w:fill="000000"/>
                <w:fitText w:val="150" w:id="-1435269886"/>
                <w14:textFill>
                  <w14:solidFill>
                    <w14:srgbClr w14:val="000000">
                      <w14:alpha w14:val="100000"/>
                    </w14:srgbClr>
                  </w14:solidFill>
                </w14:textFill>
              </w:rPr>
              <w:t>|</w:t>
            </w:r>
            <w:r w:rsidRPr="00E020DE">
              <w:rPr>
                <w:rFonts w:hint="eastAsia"/>
                <w:color w:val="000000"/>
                <w:spacing w:val="4"/>
                <w:w w:val="33"/>
                <w:shd w:val="solid" w:color="000000" w:fill="000000"/>
                <w:fitText w:val="150" w:id="-1435269886"/>
                <w14:textFill>
                  <w14:solidFill>
                    <w14:srgbClr w14:val="000000">
                      <w14:alpha w14:val="100000"/>
                    </w14:srgbClr>
                  </w14:solidFill>
                </w14:textFill>
              </w:rPr>
              <w:t xml:space="preserve">　</w:t>
            </w:r>
            <w:r w:rsidR="00AE7A6E">
              <w:rPr>
                <w:b/>
                <w:vertAlign w:val="superscript"/>
              </w:rPr>
              <w:t>3</w:t>
            </w:r>
          </w:p>
        </w:tc>
      </w:tr>
      <w:tr w:rsidR="00605910" w:rsidRPr="003B4086" w14:paraId="7C321E53" w14:textId="77777777" w:rsidTr="009C00F8">
        <w:tc>
          <w:tcPr>
            <w:tcW w:w="7366" w:type="dxa"/>
            <w:gridSpan w:val="6"/>
          </w:tcPr>
          <w:p w14:paraId="1B899150" w14:textId="77777777" w:rsidR="00605910" w:rsidRPr="003B4086" w:rsidRDefault="00605910" w:rsidP="00D83473">
            <w:pPr>
              <w:pStyle w:val="TableText0"/>
              <w:tabs>
                <w:tab w:val="left" w:pos="2079"/>
              </w:tabs>
              <w:jc w:val="both"/>
            </w:pPr>
            <w:r w:rsidRPr="003B4086">
              <w:rPr>
                <w:b/>
                <w:bCs w:val="0"/>
              </w:rPr>
              <w:t>Step 4 - Study data transformed to QALYs &amp; extrapolated to 20 year time horizon</w:t>
            </w:r>
          </w:p>
        </w:tc>
        <w:tc>
          <w:tcPr>
            <w:tcW w:w="1650" w:type="dxa"/>
          </w:tcPr>
          <w:p w14:paraId="0798639C" w14:textId="77777777" w:rsidR="00605910" w:rsidRPr="003B4086" w:rsidRDefault="00605910" w:rsidP="00D83473">
            <w:pPr>
              <w:pStyle w:val="TableText0"/>
              <w:jc w:val="center"/>
            </w:pPr>
            <w:r w:rsidRPr="003B4086">
              <w:t>QALY</w:t>
            </w:r>
          </w:p>
        </w:tc>
      </w:tr>
      <w:tr w:rsidR="00605910" w:rsidRPr="003B4086" w14:paraId="103123E1" w14:textId="77777777" w:rsidTr="00E020DE">
        <w:tc>
          <w:tcPr>
            <w:tcW w:w="1271" w:type="dxa"/>
            <w:shd w:val="solid" w:color="000000" w:fill="000000"/>
          </w:tcPr>
          <w:p w14:paraId="29C2615F" w14:textId="12886C33" w:rsidR="00605910" w:rsidRPr="00E020DE" w:rsidRDefault="00E020DE" w:rsidP="00D83473">
            <w:pPr>
              <w:pStyle w:val="TableText0"/>
              <w:jc w:val="center"/>
            </w:pPr>
            <w:r w:rsidRPr="00E020DE">
              <w:rPr>
                <w:color w:val="000000"/>
                <w:spacing w:val="46"/>
                <w:fitText w:val="310" w:id="-1435269885"/>
                <w14:textFill>
                  <w14:solidFill>
                    <w14:srgbClr w14:val="000000">
                      <w14:alpha w14:val="100000"/>
                    </w14:srgbClr>
                  </w14:solidFill>
                </w14:textFill>
              </w:rPr>
              <w:t>|||</w:t>
            </w:r>
            <w:r w:rsidRPr="00E020DE">
              <w:rPr>
                <w:color w:val="000000"/>
                <w:spacing w:val="2"/>
                <w:fitText w:val="310" w:id="-1435269885"/>
                <w14:textFill>
                  <w14:solidFill>
                    <w14:srgbClr w14:val="000000">
                      <w14:alpha w14:val="100000"/>
                    </w14:srgbClr>
                  </w14:solidFill>
                </w14:textFill>
              </w:rPr>
              <w:t>|</w:t>
            </w:r>
          </w:p>
        </w:tc>
        <w:tc>
          <w:tcPr>
            <w:tcW w:w="1134" w:type="dxa"/>
            <w:shd w:val="solid" w:color="000000" w:fill="000000"/>
          </w:tcPr>
          <w:p w14:paraId="211E3FDF" w14:textId="659BE694" w:rsidR="00605910" w:rsidRPr="00E020DE" w:rsidRDefault="00E020DE" w:rsidP="00D83473">
            <w:pPr>
              <w:pStyle w:val="TableText0"/>
              <w:jc w:val="center"/>
            </w:pPr>
            <w:r w:rsidRPr="00E020DE">
              <w:rPr>
                <w:color w:val="000000"/>
                <w:spacing w:val="66"/>
                <w:fitText w:val="370" w:id="-1435269884"/>
                <w14:textFill>
                  <w14:solidFill>
                    <w14:srgbClr w14:val="000000">
                      <w14:alpha w14:val="100000"/>
                    </w14:srgbClr>
                  </w14:solidFill>
                </w14:textFill>
              </w:rPr>
              <w:t>|||</w:t>
            </w:r>
            <w:r w:rsidRPr="00E020DE">
              <w:rPr>
                <w:color w:val="000000"/>
                <w:spacing w:val="2"/>
                <w:fitText w:val="370" w:id="-1435269884"/>
                <w14:textFill>
                  <w14:solidFill>
                    <w14:srgbClr w14:val="000000">
                      <w14:alpha w14:val="100000"/>
                    </w14:srgbClr>
                  </w14:solidFill>
                </w14:textFill>
              </w:rPr>
              <w:t>|</w:t>
            </w:r>
          </w:p>
        </w:tc>
        <w:tc>
          <w:tcPr>
            <w:tcW w:w="1276" w:type="dxa"/>
            <w:shd w:val="solid" w:color="000000" w:fill="000000"/>
          </w:tcPr>
          <w:p w14:paraId="208516FE" w14:textId="01F439A2" w:rsidR="00605910" w:rsidRPr="00E020DE" w:rsidRDefault="00E020DE" w:rsidP="00D83473">
            <w:pPr>
              <w:pStyle w:val="TableText0"/>
              <w:jc w:val="center"/>
            </w:pPr>
            <w:r w:rsidRPr="00E020DE">
              <w:rPr>
                <w:color w:val="000000"/>
                <w:spacing w:val="214"/>
                <w:fitText w:val="300" w:id="-1435269883"/>
                <w14:textFill>
                  <w14:solidFill>
                    <w14:srgbClr w14:val="000000">
                      <w14:alpha w14:val="100000"/>
                    </w14:srgbClr>
                  </w14:solidFill>
                </w14:textFill>
              </w:rPr>
              <w:t>|</w:t>
            </w:r>
            <w:r w:rsidRPr="00E020DE">
              <w:rPr>
                <w:color w:val="000000"/>
                <w:fitText w:val="300" w:id="-1435269883"/>
                <w14:textFill>
                  <w14:solidFill>
                    <w14:srgbClr w14:val="000000">
                      <w14:alpha w14:val="100000"/>
                    </w14:srgbClr>
                  </w14:solidFill>
                </w14:textFill>
              </w:rPr>
              <w:t>|</w:t>
            </w:r>
          </w:p>
        </w:tc>
        <w:tc>
          <w:tcPr>
            <w:tcW w:w="1134" w:type="dxa"/>
          </w:tcPr>
          <w:p w14:paraId="2CCFE4F8" w14:textId="77777777" w:rsidR="00605910" w:rsidRPr="003B4086" w:rsidRDefault="00605910" w:rsidP="00D83473">
            <w:pPr>
              <w:pStyle w:val="TableText0"/>
              <w:jc w:val="center"/>
            </w:pPr>
            <w:r w:rsidRPr="003B4086">
              <w:t>4.410</w:t>
            </w:r>
          </w:p>
        </w:tc>
        <w:tc>
          <w:tcPr>
            <w:tcW w:w="1134" w:type="dxa"/>
          </w:tcPr>
          <w:p w14:paraId="3E8FB7A4" w14:textId="77777777" w:rsidR="00605910" w:rsidRPr="003B4086" w:rsidRDefault="00605910" w:rsidP="00D83473">
            <w:pPr>
              <w:pStyle w:val="TableText0"/>
              <w:jc w:val="center"/>
            </w:pPr>
            <w:r w:rsidRPr="003B4086">
              <w:t>3.679</w:t>
            </w:r>
          </w:p>
        </w:tc>
        <w:tc>
          <w:tcPr>
            <w:tcW w:w="1417" w:type="dxa"/>
          </w:tcPr>
          <w:p w14:paraId="2A84D53D" w14:textId="77777777" w:rsidR="00605910" w:rsidRPr="003B4086" w:rsidRDefault="00605910" w:rsidP="00D83473">
            <w:pPr>
              <w:pStyle w:val="TableText0"/>
              <w:jc w:val="center"/>
            </w:pPr>
            <w:r w:rsidRPr="003B4086">
              <w:t>0.731</w:t>
            </w:r>
          </w:p>
        </w:tc>
        <w:tc>
          <w:tcPr>
            <w:tcW w:w="1650" w:type="dxa"/>
          </w:tcPr>
          <w:p w14:paraId="44F543A6" w14:textId="7775747D" w:rsidR="00605910" w:rsidRPr="003B4086" w:rsidRDefault="00E020DE" w:rsidP="00D83473">
            <w:pPr>
              <w:pStyle w:val="TableText0"/>
              <w:jc w:val="center"/>
            </w:pPr>
            <w:r w:rsidRPr="00E020DE">
              <w:rPr>
                <w:rFonts w:hint="eastAsia"/>
                <w:color w:val="000000"/>
                <w:w w:val="33"/>
                <w:shd w:val="solid" w:color="000000" w:fill="000000"/>
                <w:fitText w:val="150" w:id="-1435269882"/>
                <w14:textFill>
                  <w14:solidFill>
                    <w14:srgbClr w14:val="000000">
                      <w14:alpha w14:val="100000"/>
                    </w14:srgbClr>
                  </w14:solidFill>
                </w14:textFill>
              </w:rPr>
              <w:t xml:space="preserve">　</w:t>
            </w:r>
            <w:r w:rsidRPr="00E020DE">
              <w:rPr>
                <w:color w:val="000000"/>
                <w:w w:val="33"/>
                <w:shd w:val="solid" w:color="000000" w:fill="000000"/>
                <w:fitText w:val="150" w:id="-1435269882"/>
                <w14:textFill>
                  <w14:solidFill>
                    <w14:srgbClr w14:val="000000">
                      <w14:alpha w14:val="100000"/>
                    </w14:srgbClr>
                  </w14:solidFill>
                </w14:textFill>
              </w:rPr>
              <w:t>|</w:t>
            </w:r>
            <w:r w:rsidRPr="00E020DE">
              <w:rPr>
                <w:rFonts w:hint="eastAsia"/>
                <w:color w:val="000000"/>
                <w:spacing w:val="4"/>
                <w:w w:val="33"/>
                <w:shd w:val="solid" w:color="000000" w:fill="000000"/>
                <w:fitText w:val="150" w:id="-1435269882"/>
                <w14:textFill>
                  <w14:solidFill>
                    <w14:srgbClr w14:val="000000">
                      <w14:alpha w14:val="100000"/>
                    </w14:srgbClr>
                  </w14:solidFill>
                </w14:textFill>
              </w:rPr>
              <w:t xml:space="preserve">　</w:t>
            </w:r>
            <w:r w:rsidR="00AE7A6E">
              <w:rPr>
                <w:b/>
                <w:vertAlign w:val="superscript"/>
              </w:rPr>
              <w:t>4</w:t>
            </w:r>
          </w:p>
        </w:tc>
      </w:tr>
    </w:tbl>
    <w:p w14:paraId="483A29C8" w14:textId="77777777" w:rsidR="00605910" w:rsidRPr="003B4086" w:rsidRDefault="00605910" w:rsidP="00605910">
      <w:pPr>
        <w:pStyle w:val="TableFigureFooter"/>
      </w:pPr>
      <w:r w:rsidRPr="003B4086">
        <w:t>Source: Table 65, p141 of the submission</w:t>
      </w:r>
    </w:p>
    <w:p w14:paraId="7A61BC96" w14:textId="77777777" w:rsidR="00605910" w:rsidRPr="003B4086" w:rsidRDefault="00605910" w:rsidP="00605910">
      <w:pPr>
        <w:pStyle w:val="TableFigureFooter"/>
      </w:pPr>
      <w:r w:rsidRPr="003B4086">
        <w:t>ICER = incremental cost-effectiveness ratio; NIVO = nivolumab; WW = watchful waiting</w:t>
      </w:r>
    </w:p>
    <w:p w14:paraId="128CCC04" w14:textId="78AEB89B" w:rsidR="00605910" w:rsidRPr="003B4086" w:rsidRDefault="00605910" w:rsidP="00605910">
      <w:pPr>
        <w:pStyle w:val="TableFigureFooter"/>
        <w:rPr>
          <w:vertAlign w:val="superscript"/>
        </w:rPr>
      </w:pPr>
      <w:r w:rsidRPr="003B4086">
        <w:rPr>
          <w:vertAlign w:val="superscript"/>
        </w:rPr>
        <w:t>a</w:t>
      </w:r>
      <w:r w:rsidRPr="003B4086">
        <w:t xml:space="preserve"> It is unclear how the ICER of </w:t>
      </w:r>
      <w:r w:rsidR="006964F9" w:rsidRPr="006964F9">
        <w:t>$555,000 to &lt; $655,000</w:t>
      </w:r>
      <w:r w:rsidR="006964F9">
        <w:t xml:space="preserve"> </w:t>
      </w:r>
      <w:r w:rsidRPr="003B4086">
        <w:t>per recurrence or death avoided was calculated in the submission. Based on the given incremental cost ($</w:t>
      </w:r>
      <w:r w:rsidR="00E020DE" w:rsidRPr="00E020DE">
        <w:rPr>
          <w:color w:val="000000"/>
          <w:spacing w:val="16"/>
          <w:shd w:val="solid" w:color="000000" w:fill="000000"/>
          <w:fitText w:val="430" w:id="-1435269881"/>
          <w14:textFill>
            <w14:solidFill>
              <w14:srgbClr w14:val="000000">
                <w14:alpha w14:val="100000"/>
              </w14:srgbClr>
            </w14:solidFill>
          </w14:textFill>
        </w:rPr>
        <w:t>|||  ||</w:t>
      </w:r>
      <w:r w:rsidR="00E020DE" w:rsidRPr="00E020DE">
        <w:rPr>
          <w:color w:val="000000"/>
          <w:spacing w:val="6"/>
          <w:shd w:val="solid" w:color="000000" w:fill="000000"/>
          <w:fitText w:val="430" w:id="-1435269881"/>
          <w14:textFill>
            <w14:solidFill>
              <w14:srgbClr w14:val="000000">
                <w14:alpha w14:val="100000"/>
              </w14:srgbClr>
            </w14:solidFill>
          </w14:textFill>
        </w:rPr>
        <w:t>|</w:t>
      </w:r>
      <w:r w:rsidRPr="003B4086">
        <w:t xml:space="preserve">) and incremental outcome (9.14% recurrence or death avoided), the ICER was estimated to be </w:t>
      </w:r>
      <w:r w:rsidR="006964F9" w:rsidRPr="006964F9">
        <w:t>$255,000 to &lt; $355,000</w:t>
      </w:r>
      <w:r w:rsidRPr="003B4086">
        <w:t>per recurrence or death avoided.</w:t>
      </w:r>
    </w:p>
    <w:p w14:paraId="63A4E9EB" w14:textId="5AF086D2" w:rsidR="00F42F3A" w:rsidRPr="003B4086" w:rsidRDefault="00F42F3A" w:rsidP="00F42F3A">
      <w:pPr>
        <w:pStyle w:val="TableFigureFooter"/>
        <w:rPr>
          <w:szCs w:val="18"/>
        </w:rPr>
      </w:pPr>
      <w:r w:rsidRPr="003B4086">
        <w:rPr>
          <w:szCs w:val="18"/>
          <w:vertAlign w:val="superscript"/>
        </w:rPr>
        <w:t>b</w:t>
      </w:r>
      <w:r w:rsidRPr="003B4086">
        <w:rPr>
          <w:szCs w:val="18"/>
        </w:rPr>
        <w:t xml:space="preserve"> Includes recurrence and death</w:t>
      </w:r>
    </w:p>
    <w:p w14:paraId="3E7B834E" w14:textId="662E71D9" w:rsidR="00605910" w:rsidRDefault="00F42F3A" w:rsidP="00605910">
      <w:pPr>
        <w:pStyle w:val="TableFigureFooter"/>
        <w:rPr>
          <w:szCs w:val="18"/>
        </w:rPr>
      </w:pPr>
      <w:r w:rsidRPr="003B4086">
        <w:rPr>
          <w:szCs w:val="18"/>
          <w:vertAlign w:val="superscript"/>
        </w:rPr>
        <w:t>c</w:t>
      </w:r>
      <w:r w:rsidRPr="003B4086">
        <w:rPr>
          <w:szCs w:val="18"/>
        </w:rPr>
        <w:t xml:space="preserve"> T</w:t>
      </w:r>
      <w:r w:rsidR="00605910" w:rsidRPr="003B4086">
        <w:rPr>
          <w:szCs w:val="18"/>
        </w:rPr>
        <w:t>ime horizon set to median follow-up of trial of approximately 30 months (2.5 years)</w:t>
      </w:r>
    </w:p>
    <w:p w14:paraId="1ED29196" w14:textId="0F27F5B8" w:rsidR="00AE7A6E" w:rsidRDefault="00AE7A6E" w:rsidP="00605910">
      <w:pPr>
        <w:pStyle w:val="TableFigureFooter"/>
        <w:rPr>
          <w:szCs w:val="18"/>
        </w:rPr>
      </w:pPr>
    </w:p>
    <w:p w14:paraId="28023C90" w14:textId="77777777" w:rsidR="00AE7A6E" w:rsidRPr="00546335" w:rsidRDefault="00AE7A6E" w:rsidP="00AE7A6E">
      <w:pPr>
        <w:pStyle w:val="TableFigureFooter"/>
        <w:keepNext/>
        <w:spacing w:after="0"/>
        <w:contextualSpacing w:val="0"/>
        <w:rPr>
          <w:i/>
        </w:rPr>
      </w:pPr>
      <w:r w:rsidRPr="00546335">
        <w:rPr>
          <w:i/>
        </w:rPr>
        <w:t>The redacted values correspond to the following ranges:</w:t>
      </w:r>
    </w:p>
    <w:p w14:paraId="0B0A5F9A" w14:textId="4017849E" w:rsidR="00AE7A6E" w:rsidRDefault="00AE7A6E" w:rsidP="00605910">
      <w:pPr>
        <w:pStyle w:val="TableFigureFooter"/>
        <w:rPr>
          <w:szCs w:val="18"/>
        </w:rPr>
      </w:pPr>
      <w:r>
        <w:rPr>
          <w:szCs w:val="18"/>
          <w:vertAlign w:val="superscript"/>
        </w:rPr>
        <w:t>1</w:t>
      </w:r>
      <w:r>
        <w:rPr>
          <w:szCs w:val="18"/>
        </w:rPr>
        <w:t>$555,000 to &lt; $655,000</w:t>
      </w:r>
    </w:p>
    <w:p w14:paraId="61478247" w14:textId="769BFC5C" w:rsidR="00AE7A6E" w:rsidRDefault="00AE7A6E" w:rsidP="00605910">
      <w:pPr>
        <w:pStyle w:val="TableFigureFooter"/>
        <w:rPr>
          <w:szCs w:val="18"/>
        </w:rPr>
      </w:pPr>
      <w:r>
        <w:rPr>
          <w:szCs w:val="18"/>
          <w:vertAlign w:val="superscript"/>
        </w:rPr>
        <w:t>2</w:t>
      </w:r>
      <w:r>
        <w:rPr>
          <w:szCs w:val="18"/>
        </w:rPr>
        <w:t>$255,000 to &lt; $355,000</w:t>
      </w:r>
    </w:p>
    <w:p w14:paraId="592D49C9" w14:textId="7AE60541" w:rsidR="00AE7A6E" w:rsidRDefault="00AE7A6E" w:rsidP="00605910">
      <w:pPr>
        <w:pStyle w:val="TableFigureFooter"/>
        <w:rPr>
          <w:szCs w:val="18"/>
        </w:rPr>
      </w:pPr>
      <w:r>
        <w:rPr>
          <w:szCs w:val="18"/>
          <w:vertAlign w:val="superscript"/>
        </w:rPr>
        <w:t>3</w:t>
      </w:r>
      <w:r>
        <w:rPr>
          <w:szCs w:val="18"/>
        </w:rPr>
        <w:t>$155,000 to &lt; $255,000</w:t>
      </w:r>
    </w:p>
    <w:p w14:paraId="65647F74" w14:textId="2D67EC26" w:rsidR="00AE7A6E" w:rsidRPr="00AE7A6E" w:rsidRDefault="00AE7A6E" w:rsidP="00605910">
      <w:pPr>
        <w:pStyle w:val="TableFigureFooter"/>
        <w:rPr>
          <w:szCs w:val="18"/>
        </w:rPr>
      </w:pPr>
      <w:r>
        <w:rPr>
          <w:szCs w:val="18"/>
          <w:vertAlign w:val="superscript"/>
        </w:rPr>
        <w:t>4</w:t>
      </w:r>
      <w:r>
        <w:rPr>
          <w:szCs w:val="18"/>
        </w:rPr>
        <w:t>$35,000 to &lt; $45,000</w:t>
      </w:r>
    </w:p>
    <w:p w14:paraId="1E727BDB" w14:textId="032215A7" w:rsidR="00AE7A6E" w:rsidRPr="00AE7A6E" w:rsidRDefault="00AE7A6E" w:rsidP="00605910">
      <w:pPr>
        <w:pStyle w:val="TableFigureFooter"/>
        <w:rPr>
          <w:szCs w:val="18"/>
        </w:rPr>
      </w:pPr>
    </w:p>
    <w:p w14:paraId="25A87FA0" w14:textId="6E93279F" w:rsidR="00605910" w:rsidRPr="003B4086" w:rsidRDefault="00605910" w:rsidP="00605910">
      <w:pPr>
        <w:pStyle w:val="3-BodyText"/>
      </w:pPr>
      <w:r w:rsidRPr="003B4086">
        <w:t>The extension of the time horizon to 20 years (Step 4) had a significant impact on the ICER, increasing the incremental QALYs gained from 0.141 to 0.731. Meanwhile, the extension of the time horizon only resulted in a slight increase in incremental costs from $</w:t>
      </w:r>
      <w:r w:rsidR="00E020DE" w:rsidRPr="00785573">
        <w:rPr>
          <w:color w:val="000000"/>
          <w:w w:val="15"/>
          <w:shd w:val="solid" w:color="000000" w:fill="000000"/>
          <w:fitText w:val="-20" w:id="-1435269880"/>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0"/>
          <w14:textFill>
            <w14:solidFill>
              <w14:srgbClr w14:val="000000">
                <w14:alpha w14:val="100000"/>
              </w14:srgbClr>
            </w14:solidFill>
          </w14:textFill>
        </w:rPr>
        <w:t>|</w:t>
      </w:r>
      <w:r w:rsidRPr="003B4086">
        <w:t xml:space="preserve"> to $</w:t>
      </w:r>
      <w:r w:rsidR="00E020DE" w:rsidRPr="00785573">
        <w:rPr>
          <w:color w:val="000000"/>
          <w:w w:val="15"/>
          <w:shd w:val="solid" w:color="000000" w:fill="000000"/>
          <w:fitText w:val="-20" w:id="-1435269879"/>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79"/>
          <w14:textFill>
            <w14:solidFill>
              <w14:srgbClr w14:val="000000">
                <w14:alpha w14:val="100000"/>
              </w14:srgbClr>
            </w14:solidFill>
          </w14:textFill>
        </w:rPr>
        <w:t>|</w:t>
      </w:r>
      <w:r w:rsidRPr="003B4086">
        <w:t xml:space="preserve">, which was primarily due to the differential disease management costs accumulated between the two treatment arms. The ICER decreased from </w:t>
      </w:r>
      <w:r w:rsidR="006964F9" w:rsidRPr="006964F9">
        <w:t>$155,000 to &lt; $255,000</w:t>
      </w:r>
      <w:r w:rsidRPr="003B4086">
        <w:t xml:space="preserve">/QALY gained in the trial period to </w:t>
      </w:r>
      <w:r w:rsidR="006964F9" w:rsidRPr="006964F9">
        <w:t>$35,000 to &lt; $45,000</w:t>
      </w:r>
      <w:r w:rsidRPr="003B4086">
        <w:t>/QALY gained at 20-year time horizon.</w:t>
      </w:r>
    </w:p>
    <w:p w14:paraId="4C34DCE3" w14:textId="2B219F78" w:rsidR="00605910" w:rsidRPr="003B4086" w:rsidRDefault="00605910" w:rsidP="00605910">
      <w:pPr>
        <w:pStyle w:val="3-BodyText"/>
      </w:pPr>
      <w:bookmarkStart w:id="59" w:name="_Ref110525194"/>
      <w:r w:rsidRPr="003B4086">
        <w:t xml:space="preserve">The </w:t>
      </w:r>
      <w:r w:rsidR="00982DE0" w:rsidRPr="003B4086">
        <w:t>evaluation</w:t>
      </w:r>
      <w:r w:rsidRPr="003B4086">
        <w:t xml:space="preserve"> identified a number of issues with the approaches and assumptions in the model.  The results of a respecified model are presented in </w:t>
      </w:r>
      <w:r w:rsidRPr="003B4086">
        <w:fldChar w:fldCharType="begin"/>
      </w:r>
      <w:r w:rsidRPr="003B4086">
        <w:instrText xml:space="preserve"> REF _Ref103003156 \h  \* MERGEFORMAT </w:instrText>
      </w:r>
      <w:r w:rsidRPr="003B4086">
        <w:fldChar w:fldCharType="separate"/>
      </w:r>
      <w:r w:rsidR="003366B5" w:rsidRPr="003B4086">
        <w:t xml:space="preserve">Table </w:t>
      </w:r>
      <w:r w:rsidR="003366B5" w:rsidRPr="003B4086">
        <w:rPr>
          <w:noProof/>
        </w:rPr>
        <w:t>14</w:t>
      </w:r>
      <w:r w:rsidRPr="003B4086">
        <w:fldChar w:fldCharType="end"/>
      </w:r>
      <w:r w:rsidRPr="003B4086">
        <w:t>.  This base case</w:t>
      </w:r>
      <w:r w:rsidR="00DD2437" w:rsidRPr="003B4086">
        <w:t>:</w:t>
      </w:r>
      <w:bookmarkEnd w:id="59"/>
    </w:p>
    <w:p w14:paraId="230AE069" w14:textId="75A77E71" w:rsidR="00605910" w:rsidRPr="003B4086" w:rsidRDefault="00605910" w:rsidP="00773A6D">
      <w:pPr>
        <w:pStyle w:val="3-BodyText"/>
        <w:numPr>
          <w:ilvl w:val="0"/>
          <w:numId w:val="14"/>
        </w:numPr>
        <w:ind w:left="1418" w:hanging="284"/>
      </w:pPr>
      <w:r w:rsidRPr="003B4086">
        <w:t>utilise</w:t>
      </w:r>
      <w:r w:rsidR="00DD2437" w:rsidRPr="003B4086">
        <w:t>d</w:t>
      </w:r>
      <w:r w:rsidRPr="003B4086">
        <w:t xml:space="preserve"> the best-fitting Gompertz functions to independently extrapolate each arm</w:t>
      </w:r>
      <w:r w:rsidR="004C2F31" w:rsidRPr="003B4086">
        <w:t>;</w:t>
      </w:r>
    </w:p>
    <w:p w14:paraId="734FDDDB" w14:textId="011E84FB" w:rsidR="00605910" w:rsidRPr="003B4086" w:rsidRDefault="00605910" w:rsidP="00773A6D">
      <w:pPr>
        <w:pStyle w:val="3-BodyText"/>
        <w:numPr>
          <w:ilvl w:val="0"/>
          <w:numId w:val="14"/>
        </w:numPr>
        <w:ind w:left="1418" w:hanging="284"/>
      </w:pPr>
      <w:r w:rsidRPr="003B4086">
        <w:t>use</w:t>
      </w:r>
      <w:r w:rsidR="00DD2437" w:rsidRPr="003B4086">
        <w:t>d</w:t>
      </w:r>
      <w:r w:rsidRPr="003B4086">
        <w:t xml:space="preserve"> more of the clinical trial data (truncate</w:t>
      </w:r>
      <w:r w:rsidR="00DD2437" w:rsidRPr="003B4086">
        <w:t>d</w:t>
      </w:r>
      <w:r w:rsidRPr="003B4086">
        <w:t xml:space="preserve"> at 42 months)</w:t>
      </w:r>
      <w:r w:rsidR="004C2F31" w:rsidRPr="003B4086">
        <w:t>;</w:t>
      </w:r>
    </w:p>
    <w:p w14:paraId="59FEFFDC" w14:textId="055B55E3" w:rsidR="00605910" w:rsidRPr="003B4086" w:rsidRDefault="00605910" w:rsidP="00773A6D">
      <w:pPr>
        <w:pStyle w:val="3-BodyText"/>
        <w:numPr>
          <w:ilvl w:val="0"/>
          <w:numId w:val="14"/>
        </w:numPr>
        <w:ind w:left="1418" w:hanging="284"/>
      </w:pPr>
      <w:r w:rsidRPr="003B4086">
        <w:t>d</w:t>
      </w:r>
      <w:r w:rsidR="00DD2437" w:rsidRPr="003B4086">
        <w:t xml:space="preserve">id </w:t>
      </w:r>
      <w:r w:rsidRPr="003B4086">
        <w:t xml:space="preserve">not add </w:t>
      </w:r>
      <w:r w:rsidR="00DD2437" w:rsidRPr="003B4086">
        <w:t>a 5 year cure assumption (this ha</w:t>
      </w:r>
      <w:r w:rsidRPr="003B4086">
        <w:t xml:space="preserve">s </w:t>
      </w:r>
      <w:r w:rsidR="00DD2437" w:rsidRPr="003B4086">
        <w:t xml:space="preserve">been </w:t>
      </w:r>
      <w:r w:rsidRPr="003B4086">
        <w:t>captured in the Gompertz curve)</w:t>
      </w:r>
      <w:r w:rsidR="004C2F31" w:rsidRPr="003B4086">
        <w:t>;</w:t>
      </w:r>
    </w:p>
    <w:p w14:paraId="26AA8AF1" w14:textId="15AC3CDE" w:rsidR="00605910" w:rsidRPr="003B4086" w:rsidRDefault="00DD2437" w:rsidP="00773A6D">
      <w:pPr>
        <w:pStyle w:val="3-BodyText"/>
        <w:numPr>
          <w:ilvl w:val="0"/>
          <w:numId w:val="14"/>
        </w:numPr>
        <w:ind w:left="1418" w:hanging="284"/>
      </w:pPr>
      <w:r w:rsidRPr="003B4086">
        <w:t>maintained</w:t>
      </w:r>
      <w:r w:rsidR="00605910" w:rsidRPr="003B4086">
        <w:t xml:space="preserve"> the increased SMR for all-cause mortality throughout the model</w:t>
      </w:r>
      <w:r w:rsidR="004C2F31" w:rsidRPr="003B4086">
        <w:t>;</w:t>
      </w:r>
    </w:p>
    <w:p w14:paraId="77A1083A" w14:textId="0E43E32F" w:rsidR="00605910" w:rsidRPr="003B4086" w:rsidRDefault="00605910" w:rsidP="00773A6D">
      <w:pPr>
        <w:pStyle w:val="3-BodyText"/>
        <w:numPr>
          <w:ilvl w:val="0"/>
          <w:numId w:val="14"/>
        </w:numPr>
        <w:ind w:left="1418" w:hanging="284"/>
      </w:pPr>
      <w:r w:rsidRPr="003B4086">
        <w:t>increase</w:t>
      </w:r>
      <w:r w:rsidR="004C2F31" w:rsidRPr="003B4086">
        <w:t>d</w:t>
      </w:r>
      <w:r w:rsidRPr="003B4086">
        <w:t xml:space="preserve"> the disutility for adverse events</w:t>
      </w:r>
      <w:r w:rsidR="004C2F31" w:rsidRPr="003B4086">
        <w:t>; and</w:t>
      </w:r>
    </w:p>
    <w:p w14:paraId="77C5A09D" w14:textId="2DC2003C" w:rsidR="00605910" w:rsidRPr="003B4086" w:rsidRDefault="00605910" w:rsidP="00773A6D">
      <w:pPr>
        <w:pStyle w:val="3-BodyText"/>
        <w:numPr>
          <w:ilvl w:val="0"/>
          <w:numId w:val="14"/>
        </w:numPr>
        <w:ind w:left="1418" w:hanging="284"/>
      </w:pPr>
      <w:r w:rsidRPr="003B4086">
        <w:t>correct</w:t>
      </w:r>
      <w:r w:rsidR="004C2F31" w:rsidRPr="003B4086">
        <w:t>ed</w:t>
      </w:r>
      <w:r w:rsidRPr="003B4086">
        <w:t xml:space="preserve"> the chemotherapy pricing.</w:t>
      </w:r>
    </w:p>
    <w:p w14:paraId="73AF9780" w14:textId="1BA20B8C" w:rsidR="00605910" w:rsidRPr="003B4086" w:rsidRDefault="00605910" w:rsidP="00605910">
      <w:pPr>
        <w:pStyle w:val="TableFigureHeading"/>
        <w:rPr>
          <w:rStyle w:val="CommentReference"/>
          <w:b/>
          <w:szCs w:val="24"/>
        </w:rPr>
      </w:pPr>
      <w:bookmarkStart w:id="60" w:name="_Ref103003156"/>
      <w:r w:rsidRPr="003B4086">
        <w:lastRenderedPageBreak/>
        <w:t xml:space="preserve">Table </w:t>
      </w:r>
      <w:r w:rsidR="00785573">
        <w:fldChar w:fldCharType="begin"/>
      </w:r>
      <w:r w:rsidR="00785573">
        <w:instrText xml:space="preserve"> SEQ Table \* ARABIC </w:instrText>
      </w:r>
      <w:r w:rsidR="00785573">
        <w:fldChar w:fldCharType="separate"/>
      </w:r>
      <w:r w:rsidR="00C6296C" w:rsidRPr="003B4086">
        <w:rPr>
          <w:noProof/>
        </w:rPr>
        <w:t>14</w:t>
      </w:r>
      <w:r w:rsidR="00785573">
        <w:rPr>
          <w:noProof/>
        </w:rPr>
        <w:fldChar w:fldCharType="end"/>
      </w:r>
      <w:bookmarkEnd w:id="60"/>
      <w:r w:rsidRPr="003B4086">
        <w:rPr>
          <w:noProof/>
        </w:rPr>
        <w:t xml:space="preserve">: </w:t>
      </w:r>
      <w:r w:rsidRPr="003B4086">
        <w:rPr>
          <w:rStyle w:val="CommentReference"/>
          <w:b/>
          <w:szCs w:val="24"/>
        </w:rPr>
        <w:t>Results of the stepped economic evaluation with respecifications</w:t>
      </w:r>
    </w:p>
    <w:tbl>
      <w:tblPr>
        <w:tblStyle w:val="TableGrid"/>
        <w:tblW w:w="0" w:type="auto"/>
        <w:tblLayout w:type="fixed"/>
        <w:tblLook w:val="04A0" w:firstRow="1" w:lastRow="0" w:firstColumn="1" w:lastColumn="0" w:noHBand="0" w:noVBand="1"/>
      </w:tblPr>
      <w:tblGrid>
        <w:gridCol w:w="1156"/>
        <w:gridCol w:w="1157"/>
        <w:gridCol w:w="1157"/>
        <w:gridCol w:w="1157"/>
        <w:gridCol w:w="1157"/>
        <w:gridCol w:w="1157"/>
        <w:gridCol w:w="2075"/>
      </w:tblGrid>
      <w:tr w:rsidR="00605910" w:rsidRPr="003B4086" w14:paraId="7EC77119" w14:textId="77777777" w:rsidTr="00D83473">
        <w:tc>
          <w:tcPr>
            <w:tcW w:w="3470" w:type="dxa"/>
            <w:gridSpan w:val="3"/>
            <w:shd w:val="clear" w:color="auto" w:fill="FFFFFF" w:themeFill="background1"/>
          </w:tcPr>
          <w:p w14:paraId="3253FC11" w14:textId="77777777" w:rsidR="00605910" w:rsidRPr="003B4086" w:rsidRDefault="00605910" w:rsidP="00D83473">
            <w:pPr>
              <w:pStyle w:val="TableText0"/>
              <w:spacing w:before="2" w:after="2"/>
              <w:jc w:val="center"/>
              <w:rPr>
                <w:b/>
              </w:rPr>
            </w:pPr>
            <w:r w:rsidRPr="003B4086">
              <w:rPr>
                <w:b/>
              </w:rPr>
              <w:t>Costs</w:t>
            </w:r>
          </w:p>
        </w:tc>
        <w:tc>
          <w:tcPr>
            <w:tcW w:w="3471" w:type="dxa"/>
            <w:gridSpan w:val="3"/>
            <w:shd w:val="clear" w:color="auto" w:fill="FFFFFF" w:themeFill="background1"/>
          </w:tcPr>
          <w:p w14:paraId="5AF9E7AC" w14:textId="77777777" w:rsidR="00605910" w:rsidRPr="003B4086" w:rsidRDefault="00605910" w:rsidP="00D83473">
            <w:pPr>
              <w:pStyle w:val="TableText0"/>
              <w:spacing w:before="2" w:after="2"/>
              <w:jc w:val="center"/>
              <w:rPr>
                <w:b/>
              </w:rPr>
            </w:pPr>
            <w:r w:rsidRPr="003B4086">
              <w:rPr>
                <w:b/>
              </w:rPr>
              <w:t>Health outcomes</w:t>
            </w:r>
          </w:p>
        </w:tc>
        <w:tc>
          <w:tcPr>
            <w:tcW w:w="2075" w:type="dxa"/>
            <w:vMerge w:val="restart"/>
            <w:shd w:val="clear" w:color="auto" w:fill="FFFFFF" w:themeFill="background1"/>
          </w:tcPr>
          <w:p w14:paraId="4039A6F9" w14:textId="51F2E228" w:rsidR="00605910" w:rsidRPr="003B4086" w:rsidRDefault="00605910" w:rsidP="00D83473">
            <w:pPr>
              <w:pStyle w:val="TableText0"/>
              <w:spacing w:before="2" w:after="2"/>
              <w:jc w:val="center"/>
              <w:rPr>
                <w:b/>
              </w:rPr>
            </w:pPr>
            <w:r w:rsidRPr="003B4086">
              <w:rPr>
                <w:b/>
              </w:rPr>
              <w:t>ICER</w:t>
            </w:r>
            <w:r w:rsidR="006964F9">
              <w:rPr>
                <w:b/>
              </w:rPr>
              <w:t xml:space="preserve"> ($)</w:t>
            </w:r>
          </w:p>
        </w:tc>
      </w:tr>
      <w:tr w:rsidR="00605910" w:rsidRPr="003B4086" w14:paraId="50BCDFF0" w14:textId="77777777" w:rsidTr="00D83473">
        <w:tc>
          <w:tcPr>
            <w:tcW w:w="1156" w:type="dxa"/>
            <w:shd w:val="clear" w:color="auto" w:fill="FFFFFF" w:themeFill="background1"/>
          </w:tcPr>
          <w:p w14:paraId="444AD9B2" w14:textId="302BCB74" w:rsidR="00605910" w:rsidRPr="003B4086" w:rsidRDefault="00605910" w:rsidP="00D83473">
            <w:pPr>
              <w:pStyle w:val="TableText0"/>
              <w:spacing w:before="2" w:after="2"/>
              <w:jc w:val="center"/>
              <w:rPr>
                <w:rFonts w:cs="Arial"/>
                <w:b/>
                <w:bCs w:val="0"/>
                <w:color w:val="222222"/>
                <w:szCs w:val="21"/>
              </w:rPr>
            </w:pPr>
            <w:r w:rsidRPr="003B4086">
              <w:rPr>
                <w:b/>
              </w:rPr>
              <w:t>Nivo</w:t>
            </w:r>
            <w:r w:rsidR="006964F9">
              <w:rPr>
                <w:b/>
              </w:rPr>
              <w:t xml:space="preserve"> ($)</w:t>
            </w:r>
          </w:p>
        </w:tc>
        <w:tc>
          <w:tcPr>
            <w:tcW w:w="1157" w:type="dxa"/>
            <w:shd w:val="clear" w:color="auto" w:fill="FFFFFF" w:themeFill="background1"/>
          </w:tcPr>
          <w:p w14:paraId="068E6732" w14:textId="2C19DE14" w:rsidR="00605910" w:rsidRPr="003B4086" w:rsidRDefault="00605910" w:rsidP="00D83473">
            <w:pPr>
              <w:pStyle w:val="TableText0"/>
              <w:spacing w:before="2" w:after="2"/>
              <w:jc w:val="center"/>
              <w:rPr>
                <w:rFonts w:cs="Arial"/>
                <w:b/>
                <w:bCs w:val="0"/>
                <w:color w:val="222222"/>
                <w:szCs w:val="21"/>
              </w:rPr>
            </w:pPr>
            <w:r w:rsidRPr="003B4086">
              <w:rPr>
                <w:b/>
              </w:rPr>
              <w:t>WW</w:t>
            </w:r>
            <w:r w:rsidR="006964F9">
              <w:rPr>
                <w:b/>
              </w:rPr>
              <w:t xml:space="preserve"> ($)</w:t>
            </w:r>
          </w:p>
        </w:tc>
        <w:tc>
          <w:tcPr>
            <w:tcW w:w="1157" w:type="dxa"/>
            <w:shd w:val="clear" w:color="auto" w:fill="FFFFFF" w:themeFill="background1"/>
          </w:tcPr>
          <w:p w14:paraId="2019A15D" w14:textId="0A00EDEA" w:rsidR="00605910" w:rsidRPr="003B4086" w:rsidRDefault="00605910" w:rsidP="00D83473">
            <w:pPr>
              <w:pStyle w:val="TableText0"/>
              <w:spacing w:before="2" w:after="2"/>
              <w:jc w:val="center"/>
              <w:rPr>
                <w:rFonts w:cs="Arial"/>
                <w:b/>
                <w:bCs w:val="0"/>
                <w:color w:val="222222"/>
                <w:szCs w:val="21"/>
              </w:rPr>
            </w:pPr>
            <w:r w:rsidRPr="003B4086">
              <w:rPr>
                <w:b/>
              </w:rPr>
              <w:t>Incremental</w:t>
            </w:r>
            <w:r w:rsidR="006964F9">
              <w:rPr>
                <w:b/>
              </w:rPr>
              <w:t xml:space="preserve"> ($)</w:t>
            </w:r>
          </w:p>
        </w:tc>
        <w:tc>
          <w:tcPr>
            <w:tcW w:w="1157" w:type="dxa"/>
            <w:shd w:val="clear" w:color="auto" w:fill="FFFFFF" w:themeFill="background1"/>
          </w:tcPr>
          <w:p w14:paraId="1250291B" w14:textId="77777777" w:rsidR="00605910" w:rsidRPr="003B4086" w:rsidRDefault="00605910" w:rsidP="00D83473">
            <w:pPr>
              <w:pStyle w:val="TableText0"/>
              <w:spacing w:before="2" w:after="2"/>
              <w:jc w:val="center"/>
              <w:rPr>
                <w:rFonts w:cs="Arial"/>
                <w:b/>
                <w:bCs w:val="0"/>
                <w:color w:val="222222"/>
                <w:szCs w:val="21"/>
              </w:rPr>
            </w:pPr>
            <w:r w:rsidRPr="003B4086">
              <w:rPr>
                <w:b/>
              </w:rPr>
              <w:t>Nivo</w:t>
            </w:r>
          </w:p>
        </w:tc>
        <w:tc>
          <w:tcPr>
            <w:tcW w:w="1157" w:type="dxa"/>
            <w:shd w:val="clear" w:color="auto" w:fill="FFFFFF" w:themeFill="background1"/>
          </w:tcPr>
          <w:p w14:paraId="2845ACC1" w14:textId="77777777" w:rsidR="00605910" w:rsidRPr="003B4086" w:rsidRDefault="00605910" w:rsidP="00D83473">
            <w:pPr>
              <w:pStyle w:val="TableText0"/>
              <w:spacing w:before="2" w:after="2"/>
              <w:jc w:val="center"/>
              <w:rPr>
                <w:rFonts w:cs="Arial"/>
                <w:b/>
                <w:bCs w:val="0"/>
                <w:color w:val="222222"/>
                <w:szCs w:val="21"/>
              </w:rPr>
            </w:pPr>
            <w:r w:rsidRPr="003B4086">
              <w:rPr>
                <w:b/>
              </w:rPr>
              <w:t>WW</w:t>
            </w:r>
          </w:p>
        </w:tc>
        <w:tc>
          <w:tcPr>
            <w:tcW w:w="1157" w:type="dxa"/>
            <w:shd w:val="clear" w:color="auto" w:fill="FFFFFF" w:themeFill="background1"/>
          </w:tcPr>
          <w:p w14:paraId="14012795" w14:textId="77777777" w:rsidR="00605910" w:rsidRPr="003B4086" w:rsidRDefault="00605910" w:rsidP="00D83473">
            <w:pPr>
              <w:pStyle w:val="TableText0"/>
              <w:spacing w:before="2" w:after="2"/>
              <w:jc w:val="center"/>
              <w:rPr>
                <w:rFonts w:cs="Arial"/>
                <w:b/>
                <w:bCs w:val="0"/>
                <w:color w:val="222222"/>
                <w:szCs w:val="21"/>
              </w:rPr>
            </w:pPr>
            <w:r w:rsidRPr="003B4086">
              <w:rPr>
                <w:b/>
              </w:rPr>
              <w:t>Incremental</w:t>
            </w:r>
          </w:p>
        </w:tc>
        <w:tc>
          <w:tcPr>
            <w:tcW w:w="2075" w:type="dxa"/>
            <w:vMerge/>
            <w:shd w:val="clear" w:color="auto" w:fill="FFFFFF" w:themeFill="background1"/>
          </w:tcPr>
          <w:p w14:paraId="0B582CD7" w14:textId="77777777" w:rsidR="00605910" w:rsidRPr="003B4086" w:rsidRDefault="00605910" w:rsidP="00D83473">
            <w:pPr>
              <w:pStyle w:val="TableText0"/>
              <w:spacing w:before="2" w:after="2"/>
              <w:jc w:val="center"/>
              <w:rPr>
                <w:rFonts w:cs="Arial"/>
                <w:b/>
                <w:bCs w:val="0"/>
                <w:color w:val="222222"/>
                <w:szCs w:val="21"/>
              </w:rPr>
            </w:pPr>
          </w:p>
        </w:tc>
      </w:tr>
      <w:tr w:rsidR="00605910" w:rsidRPr="003B4086" w14:paraId="0A3134E8" w14:textId="77777777" w:rsidTr="00D83473">
        <w:tc>
          <w:tcPr>
            <w:tcW w:w="6941" w:type="dxa"/>
            <w:gridSpan w:val="6"/>
            <w:shd w:val="clear" w:color="auto" w:fill="FFFFFF" w:themeFill="background1"/>
          </w:tcPr>
          <w:p w14:paraId="78E7DDFD" w14:textId="11656760" w:rsidR="00605910" w:rsidRPr="003B4086" w:rsidRDefault="00605910" w:rsidP="00D83473">
            <w:pPr>
              <w:pStyle w:val="TableText0"/>
              <w:spacing w:before="2" w:after="2"/>
              <w:rPr>
                <w:b/>
                <w:vertAlign w:val="superscript"/>
              </w:rPr>
            </w:pPr>
            <w:r w:rsidRPr="003B4086">
              <w:rPr>
                <w:b/>
                <w:bCs w:val="0"/>
              </w:rPr>
              <w:t>Step 1 - Comparative study data</w:t>
            </w:r>
            <w:r w:rsidR="004C2F31" w:rsidRPr="003B4086">
              <w:rPr>
                <w:sz w:val="16"/>
                <w:szCs w:val="16"/>
                <w:vertAlign w:val="superscript"/>
              </w:rPr>
              <w:t>b</w:t>
            </w:r>
          </w:p>
        </w:tc>
        <w:tc>
          <w:tcPr>
            <w:tcW w:w="2075" w:type="dxa"/>
            <w:shd w:val="clear" w:color="auto" w:fill="FFFFFF" w:themeFill="background1"/>
          </w:tcPr>
          <w:p w14:paraId="723C3103" w14:textId="6AC6F976" w:rsidR="00605910" w:rsidRPr="003B4086" w:rsidRDefault="004C2F31" w:rsidP="00D83473">
            <w:pPr>
              <w:pStyle w:val="TableText0"/>
              <w:spacing w:before="2" w:after="2"/>
              <w:jc w:val="center"/>
              <w:rPr>
                <w:rFonts w:cs="Arial"/>
                <w:b/>
                <w:bCs w:val="0"/>
                <w:color w:val="222222"/>
                <w:szCs w:val="21"/>
              </w:rPr>
            </w:pPr>
            <w:r w:rsidRPr="003B4086">
              <w:t>R</w:t>
            </w:r>
            <w:r w:rsidR="00605910" w:rsidRPr="003B4086">
              <w:t>ecurrence avoided</w:t>
            </w:r>
          </w:p>
        </w:tc>
      </w:tr>
      <w:tr w:rsidR="00605910" w:rsidRPr="003B4086" w14:paraId="283DB73F" w14:textId="77777777" w:rsidTr="00E020DE">
        <w:tc>
          <w:tcPr>
            <w:tcW w:w="1156" w:type="dxa"/>
            <w:shd w:val="solid" w:color="000000" w:fill="000000"/>
          </w:tcPr>
          <w:p w14:paraId="1CC762A7" w14:textId="7A1D60AB" w:rsidR="00605910" w:rsidRPr="00E020DE" w:rsidRDefault="00E020DE" w:rsidP="00D83473">
            <w:pPr>
              <w:pStyle w:val="TableText0"/>
              <w:spacing w:before="2" w:after="2"/>
              <w:jc w:val="center"/>
            </w:pPr>
            <w:r w:rsidRPr="00E020DE">
              <w:rPr>
                <w:color w:val="000000"/>
                <w:spacing w:val="63"/>
                <w:fitText w:val="360" w:id="-1435269878"/>
                <w14:textFill>
                  <w14:solidFill>
                    <w14:srgbClr w14:val="000000">
                      <w14:alpha w14:val="100000"/>
                    </w14:srgbClr>
                  </w14:solidFill>
                </w14:textFill>
              </w:rPr>
              <w:t>|||</w:t>
            </w:r>
            <w:r w:rsidRPr="00E020DE">
              <w:rPr>
                <w:color w:val="000000"/>
                <w:spacing w:val="1"/>
                <w:fitText w:val="360" w:id="-1435269878"/>
                <w14:textFill>
                  <w14:solidFill>
                    <w14:srgbClr w14:val="000000">
                      <w14:alpha w14:val="100000"/>
                    </w14:srgbClr>
                  </w14:solidFill>
                </w14:textFill>
              </w:rPr>
              <w:t>|</w:t>
            </w:r>
          </w:p>
        </w:tc>
        <w:tc>
          <w:tcPr>
            <w:tcW w:w="1157" w:type="dxa"/>
            <w:shd w:val="solid" w:color="000000" w:fill="000000"/>
          </w:tcPr>
          <w:p w14:paraId="28206741" w14:textId="697EB3B2" w:rsidR="00605910" w:rsidRPr="00E020DE" w:rsidRDefault="00E020DE" w:rsidP="00D83473">
            <w:pPr>
              <w:pStyle w:val="TableText0"/>
              <w:spacing w:before="2" w:after="2"/>
              <w:jc w:val="center"/>
            </w:pPr>
            <w:r w:rsidRPr="00E020DE">
              <w:rPr>
                <w:color w:val="000000"/>
                <w:spacing w:val="63"/>
                <w:fitText w:val="360" w:id="-1435269877"/>
                <w14:textFill>
                  <w14:solidFill>
                    <w14:srgbClr w14:val="000000">
                      <w14:alpha w14:val="100000"/>
                    </w14:srgbClr>
                  </w14:solidFill>
                </w14:textFill>
              </w:rPr>
              <w:t>|||</w:t>
            </w:r>
            <w:r w:rsidRPr="00E020DE">
              <w:rPr>
                <w:color w:val="000000"/>
                <w:spacing w:val="1"/>
                <w:fitText w:val="360" w:id="-1435269877"/>
                <w14:textFill>
                  <w14:solidFill>
                    <w14:srgbClr w14:val="000000">
                      <w14:alpha w14:val="100000"/>
                    </w14:srgbClr>
                  </w14:solidFill>
                </w14:textFill>
              </w:rPr>
              <w:t>|</w:t>
            </w:r>
          </w:p>
        </w:tc>
        <w:tc>
          <w:tcPr>
            <w:tcW w:w="1157" w:type="dxa"/>
            <w:shd w:val="solid" w:color="000000" w:fill="000000"/>
          </w:tcPr>
          <w:p w14:paraId="7E25E022" w14:textId="0CF86E4B" w:rsidR="00605910" w:rsidRPr="00E020DE" w:rsidRDefault="00E020DE" w:rsidP="00D83473">
            <w:pPr>
              <w:pStyle w:val="TableText0"/>
              <w:spacing w:before="2" w:after="2"/>
              <w:jc w:val="center"/>
            </w:pPr>
            <w:r w:rsidRPr="00E020DE">
              <w:rPr>
                <w:color w:val="000000"/>
                <w:spacing w:val="63"/>
                <w:fitText w:val="360" w:id="-1435269876"/>
                <w14:textFill>
                  <w14:solidFill>
                    <w14:srgbClr w14:val="000000">
                      <w14:alpha w14:val="100000"/>
                    </w14:srgbClr>
                  </w14:solidFill>
                </w14:textFill>
              </w:rPr>
              <w:t>|||</w:t>
            </w:r>
            <w:r w:rsidRPr="00E020DE">
              <w:rPr>
                <w:color w:val="000000"/>
                <w:spacing w:val="1"/>
                <w:fitText w:val="360" w:id="-1435269876"/>
                <w14:textFill>
                  <w14:solidFill>
                    <w14:srgbClr w14:val="000000">
                      <w14:alpha w14:val="100000"/>
                    </w14:srgbClr>
                  </w14:solidFill>
                </w14:textFill>
              </w:rPr>
              <w:t>|</w:t>
            </w:r>
          </w:p>
        </w:tc>
        <w:tc>
          <w:tcPr>
            <w:tcW w:w="1157" w:type="dxa"/>
          </w:tcPr>
          <w:p w14:paraId="0E14690C" w14:textId="527EB885" w:rsidR="00605910" w:rsidRPr="003B4086" w:rsidRDefault="00605910" w:rsidP="00D83473">
            <w:pPr>
              <w:pStyle w:val="TableText0"/>
              <w:spacing w:before="2" w:after="2"/>
              <w:jc w:val="center"/>
              <w:rPr>
                <w:vertAlign w:val="superscript"/>
              </w:rPr>
            </w:pPr>
            <w:r w:rsidRPr="003B4086">
              <w:t>48.16%</w:t>
            </w:r>
            <w:r w:rsidR="004C2F31" w:rsidRPr="003B4086">
              <w:rPr>
                <w:vertAlign w:val="superscript"/>
              </w:rPr>
              <w:t>a</w:t>
            </w:r>
          </w:p>
        </w:tc>
        <w:tc>
          <w:tcPr>
            <w:tcW w:w="1157" w:type="dxa"/>
          </w:tcPr>
          <w:p w14:paraId="400EAC07" w14:textId="3637DCA1" w:rsidR="00605910" w:rsidRPr="003B4086" w:rsidRDefault="00605910" w:rsidP="00D83473">
            <w:pPr>
              <w:pStyle w:val="TableText0"/>
              <w:spacing w:before="2" w:after="2"/>
              <w:jc w:val="center"/>
              <w:rPr>
                <w:vertAlign w:val="superscript"/>
              </w:rPr>
            </w:pPr>
            <w:r w:rsidRPr="003B4086">
              <w:t>57.30%</w:t>
            </w:r>
            <w:r w:rsidR="004C2F31" w:rsidRPr="003B4086">
              <w:rPr>
                <w:vertAlign w:val="superscript"/>
              </w:rPr>
              <w:t>a</w:t>
            </w:r>
          </w:p>
        </w:tc>
        <w:tc>
          <w:tcPr>
            <w:tcW w:w="1157" w:type="dxa"/>
          </w:tcPr>
          <w:p w14:paraId="0DEA6B01" w14:textId="20F6EE46" w:rsidR="00605910" w:rsidRPr="003B4086" w:rsidRDefault="00605910" w:rsidP="00D83473">
            <w:pPr>
              <w:pStyle w:val="TableText0"/>
              <w:spacing w:before="2" w:after="2"/>
              <w:jc w:val="center"/>
              <w:rPr>
                <w:vertAlign w:val="superscript"/>
              </w:rPr>
            </w:pPr>
            <w:r w:rsidRPr="003B4086">
              <w:t>9.14%</w:t>
            </w:r>
            <w:r w:rsidR="004C2F31" w:rsidRPr="003B4086">
              <w:rPr>
                <w:vertAlign w:val="superscript"/>
              </w:rPr>
              <w:t>a</w:t>
            </w:r>
          </w:p>
        </w:tc>
        <w:tc>
          <w:tcPr>
            <w:tcW w:w="2075" w:type="dxa"/>
          </w:tcPr>
          <w:p w14:paraId="7517AC66" w14:textId="2A5C6F81" w:rsidR="00605910" w:rsidRPr="00AE7A6E" w:rsidRDefault="00E020DE" w:rsidP="00D83473">
            <w:pPr>
              <w:pStyle w:val="TableText0"/>
              <w:spacing w:before="2" w:after="2"/>
              <w:jc w:val="center"/>
              <w:rPr>
                <w:vertAlign w:val="superscript"/>
              </w:rPr>
            </w:pPr>
            <w:r w:rsidRPr="00E020DE">
              <w:rPr>
                <w:color w:val="000000"/>
                <w:shd w:val="solid" w:color="000000" w:fill="000000"/>
                <w14:textFill>
                  <w14:solidFill>
                    <w14:srgbClr w14:val="000000">
                      <w14:alpha w14:val="100000"/>
                    </w14:srgbClr>
                  </w14:solidFill>
                </w14:textFill>
              </w:rPr>
              <w:t>|</w:t>
            </w:r>
            <w:r w:rsidR="00AE7A6E">
              <w:rPr>
                <w:vertAlign w:val="superscript"/>
              </w:rPr>
              <w:t>1</w:t>
            </w:r>
          </w:p>
        </w:tc>
      </w:tr>
      <w:tr w:rsidR="00605910" w:rsidRPr="003B4086" w14:paraId="26250FF9" w14:textId="77777777" w:rsidTr="00D83473">
        <w:tc>
          <w:tcPr>
            <w:tcW w:w="6941" w:type="dxa"/>
            <w:gridSpan w:val="6"/>
          </w:tcPr>
          <w:p w14:paraId="62ABBED5" w14:textId="37EAAFD5" w:rsidR="00605910" w:rsidRPr="003B4086" w:rsidRDefault="004C2F31" w:rsidP="00D83473">
            <w:pPr>
              <w:pStyle w:val="TableText0"/>
              <w:spacing w:before="2" w:after="2"/>
              <w:rPr>
                <w:vertAlign w:val="superscript"/>
              </w:rPr>
            </w:pPr>
            <w:r w:rsidRPr="003B4086">
              <w:rPr>
                <w:b/>
                <w:bCs w:val="0"/>
              </w:rPr>
              <w:t>Step 2 - Comparative study data</w:t>
            </w:r>
            <w:r w:rsidRPr="003B4086">
              <w:rPr>
                <w:b/>
                <w:bCs w:val="0"/>
                <w:vertAlign w:val="superscript"/>
              </w:rPr>
              <w:t>b</w:t>
            </w:r>
          </w:p>
        </w:tc>
        <w:tc>
          <w:tcPr>
            <w:tcW w:w="2075" w:type="dxa"/>
          </w:tcPr>
          <w:p w14:paraId="71C4CE23" w14:textId="77777777" w:rsidR="00605910" w:rsidRPr="003B4086" w:rsidRDefault="00605910" w:rsidP="00D83473">
            <w:pPr>
              <w:pStyle w:val="TableText0"/>
              <w:spacing w:before="2" w:after="2"/>
              <w:jc w:val="center"/>
            </w:pPr>
            <w:r w:rsidRPr="003B4086">
              <w:t>LYG</w:t>
            </w:r>
          </w:p>
        </w:tc>
      </w:tr>
      <w:tr w:rsidR="00605910" w:rsidRPr="003B4086" w14:paraId="797379D9" w14:textId="77777777" w:rsidTr="00E020DE">
        <w:tc>
          <w:tcPr>
            <w:tcW w:w="1156" w:type="dxa"/>
            <w:shd w:val="solid" w:color="000000" w:fill="000000"/>
          </w:tcPr>
          <w:p w14:paraId="76E295A6" w14:textId="5BCD5B85" w:rsidR="00605910" w:rsidRPr="00E020DE" w:rsidRDefault="00E020DE" w:rsidP="00D83473">
            <w:pPr>
              <w:pStyle w:val="TableText0"/>
              <w:spacing w:before="2" w:after="2"/>
              <w:jc w:val="center"/>
            </w:pPr>
            <w:r w:rsidRPr="00E020DE">
              <w:rPr>
                <w:color w:val="000000"/>
                <w:spacing w:val="63"/>
                <w:fitText w:val="360" w:id="-1435269875"/>
                <w14:textFill>
                  <w14:solidFill>
                    <w14:srgbClr w14:val="000000">
                      <w14:alpha w14:val="100000"/>
                    </w14:srgbClr>
                  </w14:solidFill>
                </w14:textFill>
              </w:rPr>
              <w:t>|||</w:t>
            </w:r>
            <w:r w:rsidRPr="00E020DE">
              <w:rPr>
                <w:color w:val="000000"/>
                <w:spacing w:val="1"/>
                <w:fitText w:val="360" w:id="-1435269875"/>
                <w14:textFill>
                  <w14:solidFill>
                    <w14:srgbClr w14:val="000000">
                      <w14:alpha w14:val="100000"/>
                    </w14:srgbClr>
                  </w14:solidFill>
                </w14:textFill>
              </w:rPr>
              <w:t>|</w:t>
            </w:r>
          </w:p>
        </w:tc>
        <w:tc>
          <w:tcPr>
            <w:tcW w:w="1157" w:type="dxa"/>
            <w:shd w:val="solid" w:color="000000" w:fill="000000"/>
          </w:tcPr>
          <w:p w14:paraId="6D940B78" w14:textId="3489E811" w:rsidR="00605910" w:rsidRPr="00E020DE" w:rsidRDefault="00E020DE" w:rsidP="00D83473">
            <w:pPr>
              <w:pStyle w:val="TableText0"/>
              <w:spacing w:before="2" w:after="2"/>
              <w:jc w:val="center"/>
            </w:pPr>
            <w:r w:rsidRPr="00E020DE">
              <w:rPr>
                <w:color w:val="000000"/>
                <w:spacing w:val="63"/>
                <w:fitText w:val="360" w:id="-1435269874"/>
                <w14:textFill>
                  <w14:solidFill>
                    <w14:srgbClr w14:val="000000">
                      <w14:alpha w14:val="100000"/>
                    </w14:srgbClr>
                  </w14:solidFill>
                </w14:textFill>
              </w:rPr>
              <w:t>|||</w:t>
            </w:r>
            <w:r w:rsidRPr="00E020DE">
              <w:rPr>
                <w:color w:val="000000"/>
                <w:spacing w:val="1"/>
                <w:fitText w:val="360" w:id="-1435269874"/>
                <w14:textFill>
                  <w14:solidFill>
                    <w14:srgbClr w14:val="000000">
                      <w14:alpha w14:val="100000"/>
                    </w14:srgbClr>
                  </w14:solidFill>
                </w14:textFill>
              </w:rPr>
              <w:t>|</w:t>
            </w:r>
          </w:p>
        </w:tc>
        <w:tc>
          <w:tcPr>
            <w:tcW w:w="1157" w:type="dxa"/>
            <w:shd w:val="solid" w:color="000000" w:fill="000000"/>
          </w:tcPr>
          <w:p w14:paraId="6388F8B2" w14:textId="7DF9F0EE" w:rsidR="00605910" w:rsidRPr="00E020DE" w:rsidRDefault="00E020DE" w:rsidP="00D83473">
            <w:pPr>
              <w:pStyle w:val="TableText0"/>
              <w:spacing w:before="2" w:after="2"/>
              <w:jc w:val="center"/>
            </w:pPr>
            <w:r w:rsidRPr="00E020DE">
              <w:rPr>
                <w:color w:val="000000"/>
                <w:spacing w:val="63"/>
                <w:fitText w:val="360" w:id="-1435269873"/>
                <w14:textFill>
                  <w14:solidFill>
                    <w14:srgbClr w14:val="000000">
                      <w14:alpha w14:val="100000"/>
                    </w14:srgbClr>
                  </w14:solidFill>
                </w14:textFill>
              </w:rPr>
              <w:t>|||</w:t>
            </w:r>
            <w:r w:rsidRPr="00E020DE">
              <w:rPr>
                <w:color w:val="000000"/>
                <w:spacing w:val="1"/>
                <w:fitText w:val="360" w:id="-1435269873"/>
                <w14:textFill>
                  <w14:solidFill>
                    <w14:srgbClr w14:val="000000">
                      <w14:alpha w14:val="100000"/>
                    </w14:srgbClr>
                  </w14:solidFill>
                </w14:textFill>
              </w:rPr>
              <w:t>|</w:t>
            </w:r>
          </w:p>
        </w:tc>
        <w:tc>
          <w:tcPr>
            <w:tcW w:w="1157" w:type="dxa"/>
          </w:tcPr>
          <w:p w14:paraId="18B9B97B" w14:textId="404BDECB" w:rsidR="00605910" w:rsidRPr="003B4086" w:rsidRDefault="00605910" w:rsidP="00D83473">
            <w:pPr>
              <w:pStyle w:val="TableText0"/>
              <w:spacing w:before="2" w:after="2"/>
              <w:jc w:val="center"/>
            </w:pPr>
            <w:r w:rsidRPr="003B4086">
              <w:t>2.017</w:t>
            </w:r>
          </w:p>
        </w:tc>
        <w:tc>
          <w:tcPr>
            <w:tcW w:w="1157" w:type="dxa"/>
          </w:tcPr>
          <w:p w14:paraId="280D5DFB" w14:textId="031521E9" w:rsidR="00605910" w:rsidRPr="003B4086" w:rsidRDefault="00605910" w:rsidP="00D83473">
            <w:pPr>
              <w:pStyle w:val="TableText0"/>
              <w:spacing w:before="2" w:after="2"/>
              <w:jc w:val="center"/>
            </w:pPr>
            <w:r w:rsidRPr="003B4086">
              <w:t>1.862</w:t>
            </w:r>
          </w:p>
        </w:tc>
        <w:tc>
          <w:tcPr>
            <w:tcW w:w="1157" w:type="dxa"/>
          </w:tcPr>
          <w:p w14:paraId="23DB25CD" w14:textId="758A295F" w:rsidR="00605910" w:rsidRPr="003B4086" w:rsidRDefault="00605910" w:rsidP="00D83473">
            <w:pPr>
              <w:pStyle w:val="TableText0"/>
              <w:spacing w:before="2" w:after="2"/>
              <w:jc w:val="center"/>
            </w:pPr>
            <w:r w:rsidRPr="003B4086">
              <w:t>0.155</w:t>
            </w:r>
          </w:p>
        </w:tc>
        <w:tc>
          <w:tcPr>
            <w:tcW w:w="2075" w:type="dxa"/>
          </w:tcPr>
          <w:p w14:paraId="2945E51E" w14:textId="640FD58B" w:rsidR="00605910" w:rsidRPr="003B4086" w:rsidRDefault="00E020DE" w:rsidP="00D83473">
            <w:pPr>
              <w:pStyle w:val="TableText0"/>
              <w:spacing w:before="2" w:after="2"/>
              <w:jc w:val="center"/>
            </w:pPr>
            <w:r w:rsidRPr="00E020DE">
              <w:rPr>
                <w:color w:val="000000"/>
                <w:shd w:val="solid" w:color="000000" w:fill="000000"/>
                <w14:textFill>
                  <w14:solidFill>
                    <w14:srgbClr w14:val="000000">
                      <w14:alpha w14:val="100000"/>
                    </w14:srgbClr>
                  </w14:solidFill>
                </w14:textFill>
              </w:rPr>
              <w:t>|</w:t>
            </w:r>
            <w:r w:rsidR="00AE7A6E">
              <w:rPr>
                <w:vertAlign w:val="superscript"/>
              </w:rPr>
              <w:t>2</w:t>
            </w:r>
          </w:p>
        </w:tc>
      </w:tr>
      <w:tr w:rsidR="00605910" w:rsidRPr="003B4086" w14:paraId="20A4E90C" w14:textId="77777777" w:rsidTr="00D83473">
        <w:tc>
          <w:tcPr>
            <w:tcW w:w="6941" w:type="dxa"/>
            <w:gridSpan w:val="6"/>
          </w:tcPr>
          <w:p w14:paraId="5E1684BF" w14:textId="79D6252E" w:rsidR="00605910" w:rsidRPr="003B4086" w:rsidRDefault="00605910" w:rsidP="00D83473">
            <w:pPr>
              <w:pStyle w:val="TableText0"/>
              <w:tabs>
                <w:tab w:val="left" w:pos="2029"/>
              </w:tabs>
              <w:spacing w:before="2" w:after="2"/>
              <w:jc w:val="both"/>
              <w:rPr>
                <w:vertAlign w:val="superscript"/>
              </w:rPr>
            </w:pPr>
            <w:r w:rsidRPr="003B4086">
              <w:rPr>
                <w:b/>
                <w:bCs w:val="0"/>
              </w:rPr>
              <w:t>Step 3 - Study d</w:t>
            </w:r>
            <w:r w:rsidR="004C2F31" w:rsidRPr="003B4086">
              <w:rPr>
                <w:b/>
                <w:bCs w:val="0"/>
              </w:rPr>
              <w:t>ata transformed to QALY outcome</w:t>
            </w:r>
            <w:r w:rsidR="004C2F31" w:rsidRPr="003B4086">
              <w:rPr>
                <w:b/>
                <w:bCs w:val="0"/>
                <w:vertAlign w:val="superscript"/>
              </w:rPr>
              <w:t>b</w:t>
            </w:r>
          </w:p>
        </w:tc>
        <w:tc>
          <w:tcPr>
            <w:tcW w:w="2075" w:type="dxa"/>
          </w:tcPr>
          <w:p w14:paraId="20EF8A9A" w14:textId="77777777" w:rsidR="00605910" w:rsidRPr="003B4086" w:rsidRDefault="00605910" w:rsidP="00D83473">
            <w:pPr>
              <w:pStyle w:val="TableText0"/>
              <w:spacing w:before="2" w:after="2"/>
              <w:jc w:val="center"/>
            </w:pPr>
            <w:r w:rsidRPr="003B4086">
              <w:t>QALY</w:t>
            </w:r>
          </w:p>
        </w:tc>
      </w:tr>
      <w:tr w:rsidR="00605910" w:rsidRPr="003B4086" w14:paraId="5EE2ACA7" w14:textId="77777777" w:rsidTr="00E020DE">
        <w:tc>
          <w:tcPr>
            <w:tcW w:w="1156" w:type="dxa"/>
            <w:shd w:val="solid" w:color="000000" w:fill="000000"/>
          </w:tcPr>
          <w:p w14:paraId="718D468D" w14:textId="45EC8949" w:rsidR="00605910" w:rsidRPr="00E020DE" w:rsidRDefault="00E020DE" w:rsidP="00D83473">
            <w:pPr>
              <w:pStyle w:val="TableText0"/>
              <w:spacing w:before="2" w:after="2"/>
              <w:jc w:val="center"/>
            </w:pPr>
            <w:r w:rsidRPr="00E020DE">
              <w:rPr>
                <w:color w:val="000000"/>
                <w:spacing w:val="63"/>
                <w:fitText w:val="360" w:id="-1435269872"/>
                <w14:textFill>
                  <w14:solidFill>
                    <w14:srgbClr w14:val="000000">
                      <w14:alpha w14:val="100000"/>
                    </w14:srgbClr>
                  </w14:solidFill>
                </w14:textFill>
              </w:rPr>
              <w:t>|||</w:t>
            </w:r>
            <w:r w:rsidRPr="00E020DE">
              <w:rPr>
                <w:color w:val="000000"/>
                <w:spacing w:val="1"/>
                <w:fitText w:val="360" w:id="-1435269872"/>
                <w14:textFill>
                  <w14:solidFill>
                    <w14:srgbClr w14:val="000000">
                      <w14:alpha w14:val="100000"/>
                    </w14:srgbClr>
                  </w14:solidFill>
                </w14:textFill>
              </w:rPr>
              <w:t>|</w:t>
            </w:r>
          </w:p>
        </w:tc>
        <w:tc>
          <w:tcPr>
            <w:tcW w:w="1157" w:type="dxa"/>
            <w:shd w:val="solid" w:color="000000" w:fill="000000"/>
          </w:tcPr>
          <w:p w14:paraId="53D87D37" w14:textId="7066D4C6" w:rsidR="00605910" w:rsidRPr="00E020DE" w:rsidRDefault="00E020DE" w:rsidP="00D83473">
            <w:pPr>
              <w:pStyle w:val="TableText0"/>
              <w:spacing w:before="2" w:after="2"/>
              <w:jc w:val="center"/>
            </w:pPr>
            <w:r w:rsidRPr="00E020DE">
              <w:rPr>
                <w:color w:val="000000"/>
                <w:spacing w:val="63"/>
                <w:fitText w:val="360" w:id="-1435269888"/>
                <w14:textFill>
                  <w14:solidFill>
                    <w14:srgbClr w14:val="000000">
                      <w14:alpha w14:val="100000"/>
                    </w14:srgbClr>
                  </w14:solidFill>
                </w14:textFill>
              </w:rPr>
              <w:t>|||</w:t>
            </w:r>
            <w:r w:rsidRPr="00E020DE">
              <w:rPr>
                <w:color w:val="000000"/>
                <w:spacing w:val="1"/>
                <w:fitText w:val="360" w:id="-1435269888"/>
                <w14:textFill>
                  <w14:solidFill>
                    <w14:srgbClr w14:val="000000">
                      <w14:alpha w14:val="100000"/>
                    </w14:srgbClr>
                  </w14:solidFill>
                </w14:textFill>
              </w:rPr>
              <w:t>|</w:t>
            </w:r>
          </w:p>
        </w:tc>
        <w:tc>
          <w:tcPr>
            <w:tcW w:w="1157" w:type="dxa"/>
            <w:shd w:val="solid" w:color="000000" w:fill="000000"/>
          </w:tcPr>
          <w:p w14:paraId="334899B2" w14:textId="56ADF38B" w:rsidR="00605910" w:rsidRPr="00E020DE" w:rsidRDefault="00E020DE" w:rsidP="00D83473">
            <w:pPr>
              <w:pStyle w:val="TableText0"/>
              <w:spacing w:before="2" w:after="2"/>
              <w:jc w:val="center"/>
            </w:pPr>
            <w:r w:rsidRPr="00E020DE">
              <w:rPr>
                <w:color w:val="000000"/>
                <w:spacing w:val="63"/>
                <w:fitText w:val="360" w:id="-1435269887"/>
                <w14:textFill>
                  <w14:solidFill>
                    <w14:srgbClr w14:val="000000">
                      <w14:alpha w14:val="100000"/>
                    </w14:srgbClr>
                  </w14:solidFill>
                </w14:textFill>
              </w:rPr>
              <w:t>|||</w:t>
            </w:r>
            <w:r w:rsidRPr="00E020DE">
              <w:rPr>
                <w:color w:val="000000"/>
                <w:spacing w:val="1"/>
                <w:fitText w:val="360" w:id="-1435269887"/>
                <w14:textFill>
                  <w14:solidFill>
                    <w14:srgbClr w14:val="000000">
                      <w14:alpha w14:val="100000"/>
                    </w14:srgbClr>
                  </w14:solidFill>
                </w14:textFill>
              </w:rPr>
              <w:t>|</w:t>
            </w:r>
          </w:p>
        </w:tc>
        <w:tc>
          <w:tcPr>
            <w:tcW w:w="1157" w:type="dxa"/>
          </w:tcPr>
          <w:p w14:paraId="033D1F07" w14:textId="77777777" w:rsidR="00605910" w:rsidRPr="003B4086" w:rsidRDefault="00605910" w:rsidP="00D83473">
            <w:pPr>
              <w:pStyle w:val="TableText0"/>
              <w:spacing w:before="2" w:after="2"/>
              <w:jc w:val="center"/>
            </w:pPr>
            <w:r w:rsidRPr="003B4086">
              <w:t>1.622</w:t>
            </w:r>
          </w:p>
        </w:tc>
        <w:tc>
          <w:tcPr>
            <w:tcW w:w="1157" w:type="dxa"/>
          </w:tcPr>
          <w:p w14:paraId="5ADC0F75" w14:textId="77777777" w:rsidR="00605910" w:rsidRPr="003B4086" w:rsidRDefault="00605910" w:rsidP="00D83473">
            <w:pPr>
              <w:pStyle w:val="TableText0"/>
              <w:spacing w:before="2" w:after="2"/>
              <w:jc w:val="center"/>
            </w:pPr>
            <w:r w:rsidRPr="003B4086">
              <w:t>1.485</w:t>
            </w:r>
          </w:p>
        </w:tc>
        <w:tc>
          <w:tcPr>
            <w:tcW w:w="1157" w:type="dxa"/>
          </w:tcPr>
          <w:p w14:paraId="4749D306" w14:textId="77777777" w:rsidR="00605910" w:rsidRPr="003B4086" w:rsidRDefault="00605910" w:rsidP="00D83473">
            <w:pPr>
              <w:pStyle w:val="TableText0"/>
              <w:spacing w:before="2" w:after="2"/>
              <w:jc w:val="center"/>
            </w:pPr>
            <w:r w:rsidRPr="003B4086">
              <w:t>0.137</w:t>
            </w:r>
          </w:p>
        </w:tc>
        <w:tc>
          <w:tcPr>
            <w:tcW w:w="2075" w:type="dxa"/>
          </w:tcPr>
          <w:p w14:paraId="76315DA6" w14:textId="633C2B22" w:rsidR="00605910" w:rsidRPr="003B4086" w:rsidRDefault="00E020DE" w:rsidP="00D83473">
            <w:pPr>
              <w:pStyle w:val="TableText0"/>
              <w:spacing w:before="2" w:after="2"/>
              <w:jc w:val="center"/>
            </w:pPr>
            <w:r w:rsidRPr="00E020DE">
              <w:rPr>
                <w:color w:val="000000"/>
                <w:shd w:val="solid" w:color="000000" w:fill="000000"/>
                <w14:textFill>
                  <w14:solidFill>
                    <w14:srgbClr w14:val="000000">
                      <w14:alpha w14:val="100000"/>
                    </w14:srgbClr>
                  </w14:solidFill>
                </w14:textFill>
              </w:rPr>
              <w:t>|</w:t>
            </w:r>
            <w:r w:rsidR="00AE7A6E">
              <w:rPr>
                <w:vertAlign w:val="superscript"/>
              </w:rPr>
              <w:t>2</w:t>
            </w:r>
          </w:p>
        </w:tc>
      </w:tr>
      <w:tr w:rsidR="00605910" w:rsidRPr="003B4086" w14:paraId="0BF9AD8D" w14:textId="77777777" w:rsidTr="00D83473">
        <w:tc>
          <w:tcPr>
            <w:tcW w:w="6941" w:type="dxa"/>
            <w:gridSpan w:val="6"/>
          </w:tcPr>
          <w:p w14:paraId="39066C8B" w14:textId="77777777" w:rsidR="00605910" w:rsidRPr="003B4086" w:rsidRDefault="00605910" w:rsidP="00D83473">
            <w:pPr>
              <w:pStyle w:val="TableText0"/>
              <w:tabs>
                <w:tab w:val="left" w:pos="2079"/>
              </w:tabs>
              <w:spacing w:before="2" w:after="2"/>
              <w:jc w:val="both"/>
            </w:pPr>
            <w:r w:rsidRPr="003B4086">
              <w:rPr>
                <w:b/>
                <w:bCs w:val="0"/>
              </w:rPr>
              <w:t>Step 4 - Study data transformed to QALYs &amp; extrapolated to 20 year time horizon</w:t>
            </w:r>
          </w:p>
        </w:tc>
        <w:tc>
          <w:tcPr>
            <w:tcW w:w="2075" w:type="dxa"/>
          </w:tcPr>
          <w:p w14:paraId="467EDD39" w14:textId="77777777" w:rsidR="00605910" w:rsidRPr="003B4086" w:rsidRDefault="00605910" w:rsidP="00D83473">
            <w:pPr>
              <w:pStyle w:val="TableText0"/>
              <w:spacing w:before="2" w:after="2"/>
              <w:jc w:val="center"/>
            </w:pPr>
            <w:r w:rsidRPr="003B4086">
              <w:t>QALY</w:t>
            </w:r>
          </w:p>
        </w:tc>
      </w:tr>
      <w:tr w:rsidR="00605910" w:rsidRPr="003B4086" w14:paraId="46B7DD67" w14:textId="77777777" w:rsidTr="00E020DE">
        <w:tc>
          <w:tcPr>
            <w:tcW w:w="1156" w:type="dxa"/>
            <w:shd w:val="solid" w:color="000000" w:fill="000000"/>
          </w:tcPr>
          <w:p w14:paraId="0483A589" w14:textId="6249AC83" w:rsidR="00605910" w:rsidRPr="00E020DE" w:rsidRDefault="00E020DE" w:rsidP="00D83473">
            <w:pPr>
              <w:pStyle w:val="TableText0"/>
              <w:spacing w:before="2" w:after="2"/>
              <w:jc w:val="center"/>
            </w:pPr>
            <w:r w:rsidRPr="00E020DE">
              <w:rPr>
                <w:color w:val="000000"/>
                <w:spacing w:val="63"/>
                <w:fitText w:val="360" w:id="-1435269886"/>
                <w14:textFill>
                  <w14:solidFill>
                    <w14:srgbClr w14:val="000000">
                      <w14:alpha w14:val="100000"/>
                    </w14:srgbClr>
                  </w14:solidFill>
                </w14:textFill>
              </w:rPr>
              <w:t>|||</w:t>
            </w:r>
            <w:r w:rsidRPr="00E020DE">
              <w:rPr>
                <w:color w:val="000000"/>
                <w:spacing w:val="1"/>
                <w:fitText w:val="360" w:id="-1435269886"/>
                <w14:textFill>
                  <w14:solidFill>
                    <w14:srgbClr w14:val="000000">
                      <w14:alpha w14:val="100000"/>
                    </w14:srgbClr>
                  </w14:solidFill>
                </w14:textFill>
              </w:rPr>
              <w:t>|</w:t>
            </w:r>
          </w:p>
        </w:tc>
        <w:tc>
          <w:tcPr>
            <w:tcW w:w="1157" w:type="dxa"/>
            <w:shd w:val="solid" w:color="000000" w:fill="000000"/>
          </w:tcPr>
          <w:p w14:paraId="49722BCC" w14:textId="36263B3D" w:rsidR="00605910" w:rsidRPr="00E020DE" w:rsidRDefault="00E020DE" w:rsidP="00D83473">
            <w:pPr>
              <w:pStyle w:val="TableText0"/>
              <w:spacing w:before="2" w:after="2"/>
              <w:jc w:val="center"/>
            </w:pPr>
            <w:r w:rsidRPr="00E020DE">
              <w:rPr>
                <w:color w:val="000000"/>
                <w:spacing w:val="63"/>
                <w:fitText w:val="360" w:id="-1435269885"/>
                <w14:textFill>
                  <w14:solidFill>
                    <w14:srgbClr w14:val="000000">
                      <w14:alpha w14:val="100000"/>
                    </w14:srgbClr>
                  </w14:solidFill>
                </w14:textFill>
              </w:rPr>
              <w:t>|||</w:t>
            </w:r>
            <w:r w:rsidRPr="00E020DE">
              <w:rPr>
                <w:color w:val="000000"/>
                <w:spacing w:val="1"/>
                <w:fitText w:val="360" w:id="-1435269885"/>
                <w14:textFill>
                  <w14:solidFill>
                    <w14:srgbClr w14:val="000000">
                      <w14:alpha w14:val="100000"/>
                    </w14:srgbClr>
                  </w14:solidFill>
                </w14:textFill>
              </w:rPr>
              <w:t>|</w:t>
            </w:r>
          </w:p>
        </w:tc>
        <w:tc>
          <w:tcPr>
            <w:tcW w:w="1157" w:type="dxa"/>
            <w:shd w:val="solid" w:color="000000" w:fill="000000"/>
          </w:tcPr>
          <w:p w14:paraId="3C06FF56" w14:textId="30F7463E" w:rsidR="00605910" w:rsidRPr="00E020DE" w:rsidRDefault="00E020DE" w:rsidP="00D83473">
            <w:pPr>
              <w:pStyle w:val="TableText0"/>
              <w:spacing w:before="2" w:after="2"/>
              <w:jc w:val="center"/>
            </w:pPr>
            <w:r w:rsidRPr="00E020DE">
              <w:rPr>
                <w:color w:val="000000"/>
                <w:spacing w:val="63"/>
                <w:fitText w:val="360" w:id="-1435269884"/>
                <w14:textFill>
                  <w14:solidFill>
                    <w14:srgbClr w14:val="000000">
                      <w14:alpha w14:val="100000"/>
                    </w14:srgbClr>
                  </w14:solidFill>
                </w14:textFill>
              </w:rPr>
              <w:t>|||</w:t>
            </w:r>
            <w:r w:rsidRPr="00E020DE">
              <w:rPr>
                <w:color w:val="000000"/>
                <w:spacing w:val="1"/>
                <w:fitText w:val="360" w:id="-1435269884"/>
                <w14:textFill>
                  <w14:solidFill>
                    <w14:srgbClr w14:val="000000">
                      <w14:alpha w14:val="100000"/>
                    </w14:srgbClr>
                  </w14:solidFill>
                </w14:textFill>
              </w:rPr>
              <w:t>|</w:t>
            </w:r>
          </w:p>
        </w:tc>
        <w:tc>
          <w:tcPr>
            <w:tcW w:w="1157" w:type="dxa"/>
          </w:tcPr>
          <w:p w14:paraId="737E51FE" w14:textId="77777777" w:rsidR="00605910" w:rsidRPr="003B4086" w:rsidRDefault="00605910" w:rsidP="00D83473">
            <w:pPr>
              <w:pStyle w:val="TableText0"/>
              <w:spacing w:before="2" w:after="2"/>
              <w:jc w:val="center"/>
            </w:pPr>
            <w:r w:rsidRPr="003B4086">
              <w:t>4.616</w:t>
            </w:r>
          </w:p>
        </w:tc>
        <w:tc>
          <w:tcPr>
            <w:tcW w:w="1157" w:type="dxa"/>
          </w:tcPr>
          <w:p w14:paraId="501C6F9D" w14:textId="77777777" w:rsidR="00605910" w:rsidRPr="003B4086" w:rsidRDefault="00605910" w:rsidP="00D83473">
            <w:pPr>
              <w:pStyle w:val="TableText0"/>
              <w:spacing w:before="2" w:after="2"/>
              <w:jc w:val="center"/>
            </w:pPr>
            <w:r w:rsidRPr="003B4086">
              <w:t>4.083</w:t>
            </w:r>
          </w:p>
        </w:tc>
        <w:tc>
          <w:tcPr>
            <w:tcW w:w="1157" w:type="dxa"/>
          </w:tcPr>
          <w:p w14:paraId="6DF2BB11" w14:textId="77777777" w:rsidR="00605910" w:rsidRPr="003B4086" w:rsidRDefault="00605910" w:rsidP="00D83473">
            <w:pPr>
              <w:pStyle w:val="TableText0"/>
              <w:spacing w:before="2" w:after="2"/>
              <w:jc w:val="center"/>
            </w:pPr>
            <w:r w:rsidRPr="003B4086">
              <w:t>0.533</w:t>
            </w:r>
          </w:p>
        </w:tc>
        <w:tc>
          <w:tcPr>
            <w:tcW w:w="2075" w:type="dxa"/>
          </w:tcPr>
          <w:p w14:paraId="13FF5DA2" w14:textId="5D84415A" w:rsidR="00605910" w:rsidRPr="003B4086" w:rsidRDefault="00E020DE" w:rsidP="00D83473">
            <w:pPr>
              <w:pStyle w:val="TableText0"/>
              <w:spacing w:before="2" w:after="2"/>
              <w:jc w:val="center"/>
            </w:pPr>
            <w:r w:rsidRPr="00E020DE">
              <w:rPr>
                <w:color w:val="000000"/>
                <w:shd w:val="solid" w:color="000000" w:fill="000000"/>
                <w14:textFill>
                  <w14:solidFill>
                    <w14:srgbClr w14:val="000000">
                      <w14:alpha w14:val="100000"/>
                    </w14:srgbClr>
                  </w14:solidFill>
                </w14:textFill>
              </w:rPr>
              <w:t>|</w:t>
            </w:r>
            <w:r w:rsidR="00AE7A6E">
              <w:rPr>
                <w:vertAlign w:val="superscript"/>
              </w:rPr>
              <w:t>3</w:t>
            </w:r>
          </w:p>
        </w:tc>
      </w:tr>
    </w:tbl>
    <w:p w14:paraId="2B166202" w14:textId="77777777" w:rsidR="004C2F31" w:rsidRPr="003B4086" w:rsidRDefault="00605910" w:rsidP="004C2F31">
      <w:pPr>
        <w:pStyle w:val="TableFigureFooter"/>
      </w:pPr>
      <w:r w:rsidRPr="003B4086">
        <w:t>Source: Constructed during the evaluation based on, Table 65, p141 of the submission and respecified model assumptions</w:t>
      </w:r>
    </w:p>
    <w:p w14:paraId="284CB77D" w14:textId="77777777" w:rsidR="004C2F31" w:rsidRPr="003B4086" w:rsidRDefault="00605910" w:rsidP="004C2F31">
      <w:pPr>
        <w:pStyle w:val="TableFigureFooter"/>
      </w:pPr>
      <w:r w:rsidRPr="003B4086">
        <w:t>ICER = incremental cost-effectiveness ratio; Nivo = nivolumab; WW = watchful waiting</w:t>
      </w:r>
    </w:p>
    <w:p w14:paraId="33C00B7A" w14:textId="54F6DADF" w:rsidR="004C2F31" w:rsidRPr="003B4086" w:rsidRDefault="004C2F31" w:rsidP="004C2F31">
      <w:pPr>
        <w:pStyle w:val="TableFigureFooter"/>
        <w:rPr>
          <w:szCs w:val="18"/>
        </w:rPr>
      </w:pPr>
      <w:r w:rsidRPr="003B4086">
        <w:rPr>
          <w:szCs w:val="18"/>
          <w:vertAlign w:val="superscript"/>
        </w:rPr>
        <w:t>a</w:t>
      </w:r>
      <w:r w:rsidRPr="003B4086">
        <w:rPr>
          <w:szCs w:val="18"/>
        </w:rPr>
        <w:t xml:space="preserve"> Includes recurrence and death</w:t>
      </w:r>
    </w:p>
    <w:p w14:paraId="69852641" w14:textId="7C5844D5" w:rsidR="004C2F31" w:rsidRDefault="004C2F31" w:rsidP="004C2F31">
      <w:pPr>
        <w:pStyle w:val="TableFigureFooter"/>
        <w:rPr>
          <w:szCs w:val="18"/>
        </w:rPr>
      </w:pPr>
      <w:r w:rsidRPr="003B4086">
        <w:rPr>
          <w:szCs w:val="18"/>
          <w:vertAlign w:val="superscript"/>
        </w:rPr>
        <w:t>b</w:t>
      </w:r>
      <w:r w:rsidRPr="003B4086">
        <w:rPr>
          <w:szCs w:val="18"/>
        </w:rPr>
        <w:t xml:space="preserve"> Time horizon set to median follow-up of trial of approximately 30 months (2.5 years)</w:t>
      </w:r>
    </w:p>
    <w:p w14:paraId="6155A38D" w14:textId="2D7041F3" w:rsidR="00AE7A6E" w:rsidRDefault="00AE7A6E" w:rsidP="004C2F31">
      <w:pPr>
        <w:pStyle w:val="TableFigureFooter"/>
        <w:rPr>
          <w:szCs w:val="18"/>
        </w:rPr>
      </w:pPr>
    </w:p>
    <w:p w14:paraId="54215C42" w14:textId="77777777" w:rsidR="00AE7A6E" w:rsidRPr="00546335" w:rsidRDefault="00AE7A6E" w:rsidP="00AE7A6E">
      <w:pPr>
        <w:pStyle w:val="TableFigureFooter"/>
        <w:keepNext/>
        <w:spacing w:after="0"/>
        <w:contextualSpacing w:val="0"/>
        <w:rPr>
          <w:i/>
        </w:rPr>
      </w:pPr>
      <w:r w:rsidRPr="00546335">
        <w:rPr>
          <w:i/>
        </w:rPr>
        <w:t>The redacted values correspond to the following ranges:</w:t>
      </w:r>
    </w:p>
    <w:p w14:paraId="1EDD20E7" w14:textId="064232B9" w:rsidR="00AE7A6E" w:rsidRDefault="00AE7A6E" w:rsidP="00AE7A6E">
      <w:pPr>
        <w:pStyle w:val="TableFigureFooter"/>
        <w:rPr>
          <w:szCs w:val="18"/>
        </w:rPr>
      </w:pPr>
      <w:r>
        <w:rPr>
          <w:szCs w:val="18"/>
          <w:vertAlign w:val="superscript"/>
        </w:rPr>
        <w:t>1</w:t>
      </w:r>
      <w:r>
        <w:rPr>
          <w:szCs w:val="18"/>
        </w:rPr>
        <w:t>$255,000 to &lt; $355,000</w:t>
      </w:r>
    </w:p>
    <w:p w14:paraId="34A086F3" w14:textId="11553D34" w:rsidR="00AE7A6E" w:rsidRDefault="00AE7A6E" w:rsidP="00AE7A6E">
      <w:pPr>
        <w:pStyle w:val="TableFigureFooter"/>
        <w:rPr>
          <w:szCs w:val="18"/>
        </w:rPr>
      </w:pPr>
      <w:r>
        <w:rPr>
          <w:szCs w:val="18"/>
          <w:vertAlign w:val="superscript"/>
        </w:rPr>
        <w:t>2</w:t>
      </w:r>
      <w:r>
        <w:rPr>
          <w:szCs w:val="18"/>
        </w:rPr>
        <w:t>$155,000 to &lt; $255,000</w:t>
      </w:r>
    </w:p>
    <w:p w14:paraId="0E19A74B" w14:textId="60595FB7" w:rsidR="00AE7A6E" w:rsidRPr="00AE7A6E" w:rsidRDefault="00AE7A6E" w:rsidP="00AE7A6E">
      <w:pPr>
        <w:pStyle w:val="TableFigureFooter"/>
        <w:rPr>
          <w:szCs w:val="18"/>
        </w:rPr>
      </w:pPr>
      <w:r>
        <w:rPr>
          <w:szCs w:val="18"/>
          <w:vertAlign w:val="superscript"/>
        </w:rPr>
        <w:t>3</w:t>
      </w:r>
      <w:r>
        <w:rPr>
          <w:szCs w:val="18"/>
        </w:rPr>
        <w:t>$55,000 to &lt; $75,000</w:t>
      </w:r>
    </w:p>
    <w:p w14:paraId="469EC611" w14:textId="77777777" w:rsidR="00AE7A6E" w:rsidRPr="003B4086" w:rsidRDefault="00AE7A6E" w:rsidP="004C2F31">
      <w:pPr>
        <w:pStyle w:val="TableFigureFooter"/>
        <w:rPr>
          <w:szCs w:val="18"/>
        </w:rPr>
      </w:pPr>
    </w:p>
    <w:p w14:paraId="3256B2CE" w14:textId="202EDB66" w:rsidR="00605910" w:rsidRPr="003B4086" w:rsidRDefault="005D0797" w:rsidP="00605910">
      <w:pPr>
        <w:pStyle w:val="3-BodyText"/>
        <w:rPr>
          <w:rFonts w:ascii="Arial Narrow" w:hAnsi="Arial Narrow"/>
          <w:b/>
          <w:sz w:val="20"/>
          <w:szCs w:val="16"/>
        </w:rPr>
      </w:pPr>
      <w:r w:rsidRPr="003B4086">
        <w:fldChar w:fldCharType="begin"/>
      </w:r>
      <w:r w:rsidRPr="003B4086">
        <w:instrText xml:space="preserve"> REF _Ref106113760 \h  \* MERGEFORMAT </w:instrText>
      </w:r>
      <w:r w:rsidRPr="003B4086">
        <w:fldChar w:fldCharType="separate"/>
      </w:r>
      <w:r w:rsidR="003366B5" w:rsidRPr="003366B5">
        <w:t>Table 15</w:t>
      </w:r>
      <w:r w:rsidRPr="003B4086">
        <w:fldChar w:fldCharType="end"/>
      </w:r>
      <w:r w:rsidRPr="003B4086">
        <w:t xml:space="preserve"> </w:t>
      </w:r>
      <w:r w:rsidR="00605910" w:rsidRPr="003B4086">
        <w:t xml:space="preserve">summarises the number of recurrences and deaths avoided in the economic model over the 20-year time horizon together with a comparison of the number of events avoided in the </w:t>
      </w:r>
      <w:r w:rsidR="00E90FE6" w:rsidRPr="003B4086">
        <w:t>CM</w:t>
      </w:r>
      <w:r w:rsidR="00605910" w:rsidRPr="003B4086">
        <w:t xml:space="preserve">274 trial. </w:t>
      </w:r>
      <w:bookmarkStart w:id="61" w:name="_Ref102150243"/>
    </w:p>
    <w:p w14:paraId="431656B0" w14:textId="411E9D18" w:rsidR="00605910" w:rsidRPr="003B4086" w:rsidRDefault="00605910" w:rsidP="00E824C3">
      <w:pPr>
        <w:pStyle w:val="TableFigureHeading"/>
        <w:keepLines/>
        <w:rPr>
          <w:rStyle w:val="CommentReference"/>
          <w:b/>
          <w:szCs w:val="24"/>
        </w:rPr>
      </w:pPr>
      <w:bookmarkStart w:id="62" w:name="_Ref106113760"/>
      <w:r w:rsidRPr="003B4086">
        <w:rPr>
          <w:rStyle w:val="CommentReference"/>
          <w:b/>
          <w:szCs w:val="24"/>
        </w:rPr>
        <w:t xml:space="preserve">Table </w:t>
      </w:r>
      <w:r w:rsidRPr="003B4086">
        <w:rPr>
          <w:rStyle w:val="CommentReference"/>
          <w:b/>
          <w:szCs w:val="24"/>
        </w:rPr>
        <w:fldChar w:fldCharType="begin"/>
      </w:r>
      <w:r w:rsidRPr="003B4086">
        <w:rPr>
          <w:rStyle w:val="CommentReference"/>
          <w:b/>
          <w:szCs w:val="24"/>
        </w:rPr>
        <w:instrText xml:space="preserve"> SEQ Table \* ARABIC </w:instrText>
      </w:r>
      <w:r w:rsidRPr="003B4086">
        <w:rPr>
          <w:rStyle w:val="CommentReference"/>
          <w:b/>
          <w:szCs w:val="24"/>
        </w:rPr>
        <w:fldChar w:fldCharType="separate"/>
      </w:r>
      <w:r w:rsidR="00C6296C" w:rsidRPr="003B4086">
        <w:rPr>
          <w:rStyle w:val="CommentReference"/>
          <w:b/>
          <w:noProof/>
          <w:szCs w:val="24"/>
        </w:rPr>
        <w:t>15</w:t>
      </w:r>
      <w:r w:rsidRPr="003B4086">
        <w:rPr>
          <w:rStyle w:val="CommentReference"/>
          <w:b/>
          <w:szCs w:val="24"/>
        </w:rPr>
        <w:fldChar w:fldCharType="end"/>
      </w:r>
      <w:bookmarkEnd w:id="61"/>
      <w:bookmarkEnd w:id="62"/>
      <w:r w:rsidRPr="003B4086">
        <w:rPr>
          <w:rStyle w:val="CommentReference"/>
          <w:b/>
          <w:szCs w:val="24"/>
        </w:rPr>
        <w:t>: Average events per patient in the trial versus the economic model</w:t>
      </w:r>
    </w:p>
    <w:tbl>
      <w:tblPr>
        <w:tblStyle w:val="TableGrid"/>
        <w:tblW w:w="9209" w:type="dxa"/>
        <w:tblLook w:val="04A0" w:firstRow="1" w:lastRow="0" w:firstColumn="1" w:lastColumn="0" w:noHBand="0" w:noVBand="1"/>
      </w:tblPr>
      <w:tblGrid>
        <w:gridCol w:w="1413"/>
        <w:gridCol w:w="1417"/>
        <w:gridCol w:w="1418"/>
        <w:gridCol w:w="1275"/>
        <w:gridCol w:w="9"/>
        <w:gridCol w:w="1267"/>
        <w:gridCol w:w="1276"/>
        <w:gridCol w:w="1134"/>
      </w:tblGrid>
      <w:tr w:rsidR="00605910" w:rsidRPr="003B4086" w14:paraId="1C18226E" w14:textId="77777777" w:rsidTr="00D83473">
        <w:trPr>
          <w:cantSplit/>
          <w:tblHeader/>
        </w:trPr>
        <w:tc>
          <w:tcPr>
            <w:tcW w:w="1413" w:type="dxa"/>
            <w:vMerge w:val="restart"/>
          </w:tcPr>
          <w:p w14:paraId="4B086D36" w14:textId="77777777" w:rsidR="00605910" w:rsidRPr="003B4086" w:rsidRDefault="00605910" w:rsidP="00E824C3">
            <w:pPr>
              <w:keepNext/>
              <w:keepLines/>
              <w:rPr>
                <w:rFonts w:ascii="Arial Narrow" w:hAnsi="Arial Narrow"/>
                <w:b/>
                <w:iCs/>
                <w:sz w:val="20"/>
                <w:szCs w:val="16"/>
              </w:rPr>
            </w:pPr>
          </w:p>
        </w:tc>
        <w:tc>
          <w:tcPr>
            <w:tcW w:w="4119" w:type="dxa"/>
            <w:gridSpan w:val="4"/>
          </w:tcPr>
          <w:p w14:paraId="1D529134" w14:textId="77777777" w:rsidR="00605910" w:rsidRPr="003B4086" w:rsidRDefault="00605910" w:rsidP="00E824C3">
            <w:pPr>
              <w:keepNext/>
              <w:keepLines/>
              <w:jc w:val="center"/>
              <w:rPr>
                <w:rFonts w:ascii="Arial Narrow" w:hAnsi="Arial Narrow"/>
                <w:b/>
                <w:iCs/>
                <w:sz w:val="20"/>
                <w:szCs w:val="16"/>
              </w:rPr>
            </w:pPr>
            <w:r w:rsidRPr="003B4086">
              <w:rPr>
                <w:rFonts w:ascii="Arial Narrow" w:hAnsi="Arial Narrow"/>
                <w:b/>
                <w:iCs/>
                <w:sz w:val="20"/>
                <w:szCs w:val="16"/>
              </w:rPr>
              <w:t>CheckMate274</w:t>
            </w:r>
          </w:p>
          <w:p w14:paraId="0399308A" w14:textId="77777777" w:rsidR="00605910" w:rsidRPr="003B4086" w:rsidRDefault="00605910" w:rsidP="00E824C3">
            <w:pPr>
              <w:keepNext/>
              <w:keepLines/>
              <w:jc w:val="center"/>
              <w:rPr>
                <w:rFonts w:ascii="Arial Narrow" w:hAnsi="Arial Narrow"/>
                <w:b/>
                <w:iCs/>
                <w:sz w:val="20"/>
                <w:szCs w:val="16"/>
              </w:rPr>
            </w:pPr>
            <w:r w:rsidRPr="003B4086">
              <w:rPr>
                <w:rFonts w:ascii="Arial Narrow" w:hAnsi="Arial Narrow"/>
                <w:b/>
                <w:iCs/>
                <w:sz w:val="20"/>
                <w:szCs w:val="16"/>
              </w:rPr>
              <w:t xml:space="preserve">(median follow-up: </w:t>
            </w:r>
            <w:r w:rsidRPr="003B4086">
              <w:rPr>
                <w:rFonts w:ascii="Arial Narrow" w:hAnsi="Arial Narrow"/>
                <w:b/>
                <w:iCs/>
                <w:sz w:val="20"/>
                <w:szCs w:val="20"/>
              </w:rPr>
              <w:t>24.4 months in the nivolumab arm and 22.5 months in the watchful waiting arm</w:t>
            </w:r>
            <w:r w:rsidRPr="003B4086">
              <w:rPr>
                <w:rFonts w:ascii="Arial Narrow" w:hAnsi="Arial Narrow"/>
                <w:b/>
                <w:iCs/>
                <w:sz w:val="20"/>
                <w:szCs w:val="16"/>
              </w:rPr>
              <w:t>)</w:t>
            </w:r>
          </w:p>
        </w:tc>
        <w:tc>
          <w:tcPr>
            <w:tcW w:w="3677" w:type="dxa"/>
            <w:gridSpan w:val="3"/>
          </w:tcPr>
          <w:p w14:paraId="26E7DDE6" w14:textId="77777777" w:rsidR="00605910" w:rsidRPr="003B4086" w:rsidRDefault="00605910" w:rsidP="00E824C3">
            <w:pPr>
              <w:keepNext/>
              <w:keepLines/>
              <w:jc w:val="center"/>
              <w:rPr>
                <w:rFonts w:ascii="Arial Narrow" w:hAnsi="Arial Narrow"/>
                <w:b/>
                <w:iCs/>
                <w:sz w:val="20"/>
                <w:szCs w:val="16"/>
              </w:rPr>
            </w:pPr>
            <w:r w:rsidRPr="003B4086">
              <w:rPr>
                <w:rFonts w:ascii="Arial Narrow" w:hAnsi="Arial Narrow"/>
                <w:b/>
                <w:iCs/>
                <w:sz w:val="20"/>
                <w:szCs w:val="16"/>
              </w:rPr>
              <w:t>Economic model</w:t>
            </w:r>
          </w:p>
          <w:p w14:paraId="28388A23" w14:textId="77777777" w:rsidR="00605910" w:rsidRPr="003B4086" w:rsidRDefault="00605910" w:rsidP="00E824C3">
            <w:pPr>
              <w:keepNext/>
              <w:keepLines/>
              <w:jc w:val="center"/>
              <w:rPr>
                <w:rFonts w:ascii="Arial Narrow" w:hAnsi="Arial Narrow"/>
                <w:b/>
                <w:iCs/>
                <w:sz w:val="20"/>
                <w:szCs w:val="16"/>
              </w:rPr>
            </w:pPr>
            <w:r w:rsidRPr="003B4086">
              <w:rPr>
                <w:rFonts w:ascii="Arial Narrow" w:hAnsi="Arial Narrow"/>
                <w:b/>
                <w:iCs/>
                <w:sz w:val="20"/>
                <w:szCs w:val="16"/>
              </w:rPr>
              <w:t>(time horizon of 20 years)</w:t>
            </w:r>
          </w:p>
        </w:tc>
      </w:tr>
      <w:tr w:rsidR="00605910" w:rsidRPr="003B4086" w14:paraId="73373CB2" w14:textId="77777777" w:rsidTr="00D83473">
        <w:trPr>
          <w:cantSplit/>
          <w:tblHeader/>
        </w:trPr>
        <w:tc>
          <w:tcPr>
            <w:tcW w:w="1413" w:type="dxa"/>
            <w:vMerge/>
          </w:tcPr>
          <w:p w14:paraId="64ED94E6" w14:textId="77777777" w:rsidR="00605910" w:rsidRPr="003B4086" w:rsidRDefault="00605910" w:rsidP="00E824C3">
            <w:pPr>
              <w:keepNext/>
              <w:keepLines/>
              <w:rPr>
                <w:rFonts w:ascii="Arial Narrow" w:hAnsi="Arial Narrow"/>
                <w:iCs/>
                <w:sz w:val="20"/>
                <w:szCs w:val="16"/>
              </w:rPr>
            </w:pPr>
          </w:p>
        </w:tc>
        <w:tc>
          <w:tcPr>
            <w:tcW w:w="1417" w:type="dxa"/>
          </w:tcPr>
          <w:p w14:paraId="09762B93" w14:textId="77777777" w:rsidR="00605910" w:rsidRPr="003B4086" w:rsidRDefault="00605910" w:rsidP="00E824C3">
            <w:pPr>
              <w:keepNext/>
              <w:keepLines/>
              <w:jc w:val="center"/>
              <w:rPr>
                <w:rFonts w:ascii="Arial Narrow" w:hAnsi="Arial Narrow"/>
                <w:b/>
                <w:iCs/>
                <w:sz w:val="20"/>
                <w:szCs w:val="16"/>
              </w:rPr>
            </w:pPr>
            <w:r w:rsidRPr="003B4086">
              <w:rPr>
                <w:rFonts w:ascii="Arial Narrow" w:hAnsi="Arial Narrow"/>
                <w:b/>
                <w:iCs/>
                <w:sz w:val="20"/>
                <w:szCs w:val="16"/>
              </w:rPr>
              <w:t>Nivolumab</w:t>
            </w:r>
          </w:p>
        </w:tc>
        <w:tc>
          <w:tcPr>
            <w:tcW w:w="1418" w:type="dxa"/>
          </w:tcPr>
          <w:p w14:paraId="15726F16" w14:textId="77777777" w:rsidR="00605910" w:rsidRPr="003B4086" w:rsidRDefault="00605910" w:rsidP="00E824C3">
            <w:pPr>
              <w:keepNext/>
              <w:keepLines/>
              <w:jc w:val="center"/>
              <w:rPr>
                <w:rFonts w:ascii="Arial Narrow" w:hAnsi="Arial Narrow"/>
                <w:b/>
                <w:iCs/>
                <w:sz w:val="20"/>
                <w:szCs w:val="16"/>
              </w:rPr>
            </w:pPr>
            <w:r w:rsidRPr="003B4086">
              <w:rPr>
                <w:rFonts w:ascii="Arial Narrow" w:hAnsi="Arial Narrow"/>
                <w:b/>
                <w:iCs/>
                <w:sz w:val="20"/>
                <w:szCs w:val="16"/>
              </w:rPr>
              <w:t xml:space="preserve">Watchful waiting </w:t>
            </w:r>
          </w:p>
        </w:tc>
        <w:tc>
          <w:tcPr>
            <w:tcW w:w="1275" w:type="dxa"/>
          </w:tcPr>
          <w:p w14:paraId="621C59CF" w14:textId="77777777" w:rsidR="00605910" w:rsidRPr="003B4086" w:rsidRDefault="00605910" w:rsidP="00E824C3">
            <w:pPr>
              <w:keepNext/>
              <w:keepLines/>
              <w:jc w:val="center"/>
              <w:rPr>
                <w:rFonts w:ascii="Arial Narrow" w:hAnsi="Arial Narrow"/>
                <w:b/>
                <w:iCs/>
                <w:sz w:val="20"/>
                <w:szCs w:val="16"/>
              </w:rPr>
            </w:pPr>
            <w:r w:rsidRPr="003B4086">
              <w:rPr>
                <w:rFonts w:ascii="Arial Narrow" w:hAnsi="Arial Narrow"/>
                <w:b/>
                <w:iCs/>
                <w:sz w:val="20"/>
                <w:szCs w:val="16"/>
              </w:rPr>
              <w:t>Difference</w:t>
            </w:r>
          </w:p>
        </w:tc>
        <w:tc>
          <w:tcPr>
            <w:tcW w:w="1276" w:type="dxa"/>
            <w:gridSpan w:val="2"/>
          </w:tcPr>
          <w:p w14:paraId="74AE4A97" w14:textId="77777777" w:rsidR="00605910" w:rsidRPr="003B4086" w:rsidRDefault="00605910" w:rsidP="00E824C3">
            <w:pPr>
              <w:keepNext/>
              <w:keepLines/>
              <w:jc w:val="center"/>
              <w:rPr>
                <w:rFonts w:ascii="Arial Narrow" w:hAnsi="Arial Narrow"/>
                <w:iCs/>
                <w:sz w:val="20"/>
                <w:szCs w:val="16"/>
              </w:rPr>
            </w:pPr>
            <w:r w:rsidRPr="003B4086">
              <w:rPr>
                <w:rFonts w:ascii="Arial Narrow" w:hAnsi="Arial Narrow"/>
                <w:b/>
                <w:iCs/>
                <w:sz w:val="20"/>
                <w:szCs w:val="16"/>
              </w:rPr>
              <w:t>Nivolumab</w:t>
            </w:r>
          </w:p>
        </w:tc>
        <w:tc>
          <w:tcPr>
            <w:tcW w:w="1276" w:type="dxa"/>
          </w:tcPr>
          <w:p w14:paraId="5D706E60" w14:textId="77777777" w:rsidR="00605910" w:rsidRPr="003B4086" w:rsidRDefault="00605910" w:rsidP="00E824C3">
            <w:pPr>
              <w:keepNext/>
              <w:keepLines/>
              <w:jc w:val="center"/>
              <w:rPr>
                <w:rFonts w:ascii="Arial Narrow" w:hAnsi="Arial Narrow"/>
                <w:iCs/>
                <w:sz w:val="20"/>
                <w:szCs w:val="16"/>
              </w:rPr>
            </w:pPr>
            <w:r w:rsidRPr="003B4086">
              <w:rPr>
                <w:rFonts w:ascii="Arial Narrow" w:hAnsi="Arial Narrow"/>
                <w:b/>
                <w:iCs/>
                <w:sz w:val="20"/>
                <w:szCs w:val="16"/>
              </w:rPr>
              <w:t>Watchful waiting</w:t>
            </w:r>
          </w:p>
        </w:tc>
        <w:tc>
          <w:tcPr>
            <w:tcW w:w="1134" w:type="dxa"/>
          </w:tcPr>
          <w:p w14:paraId="3D474BE4" w14:textId="77777777" w:rsidR="00605910" w:rsidRPr="003B4086" w:rsidRDefault="00605910" w:rsidP="00E824C3">
            <w:pPr>
              <w:keepNext/>
              <w:keepLines/>
              <w:jc w:val="center"/>
              <w:rPr>
                <w:rFonts w:ascii="Arial Narrow" w:hAnsi="Arial Narrow"/>
                <w:iCs/>
                <w:sz w:val="20"/>
                <w:szCs w:val="16"/>
              </w:rPr>
            </w:pPr>
            <w:r w:rsidRPr="003B4086">
              <w:rPr>
                <w:rFonts w:ascii="Arial Narrow" w:hAnsi="Arial Narrow"/>
                <w:b/>
                <w:iCs/>
                <w:sz w:val="20"/>
                <w:szCs w:val="16"/>
              </w:rPr>
              <w:t>Difference</w:t>
            </w:r>
          </w:p>
        </w:tc>
      </w:tr>
      <w:tr w:rsidR="00605910" w:rsidRPr="003B4086" w14:paraId="61ACDFEC" w14:textId="77777777" w:rsidTr="00D83473">
        <w:tc>
          <w:tcPr>
            <w:tcW w:w="1413" w:type="dxa"/>
          </w:tcPr>
          <w:p w14:paraId="292074D2" w14:textId="77777777" w:rsidR="00605910" w:rsidRPr="003B4086" w:rsidRDefault="00605910" w:rsidP="00E824C3">
            <w:pPr>
              <w:keepNext/>
              <w:keepLines/>
              <w:rPr>
                <w:rFonts w:ascii="Arial Narrow" w:hAnsi="Arial Narrow"/>
                <w:iCs/>
                <w:sz w:val="20"/>
                <w:szCs w:val="16"/>
              </w:rPr>
            </w:pPr>
            <w:r w:rsidRPr="003B4086">
              <w:rPr>
                <w:rFonts w:ascii="Arial Narrow" w:hAnsi="Arial Narrow"/>
                <w:iCs/>
                <w:sz w:val="20"/>
                <w:szCs w:val="16"/>
              </w:rPr>
              <w:t>Recurrence events</w:t>
            </w:r>
          </w:p>
        </w:tc>
        <w:tc>
          <w:tcPr>
            <w:tcW w:w="1417" w:type="dxa"/>
          </w:tcPr>
          <w:p w14:paraId="5D2E7561" w14:textId="5A2F00BD" w:rsidR="00605910" w:rsidRPr="003B4086" w:rsidRDefault="0029503E" w:rsidP="00E824C3">
            <w:pPr>
              <w:keepNext/>
              <w:keepLines/>
              <w:jc w:val="center"/>
              <w:rPr>
                <w:rFonts w:ascii="Arial Narrow" w:hAnsi="Arial Narrow"/>
                <w:iCs/>
                <w:sz w:val="20"/>
                <w:szCs w:val="16"/>
                <w:vertAlign w:val="superscript"/>
              </w:rPr>
            </w:pPr>
            <w:r w:rsidRPr="0029503E">
              <w:rPr>
                <w:rFonts w:ascii="Arial Narrow" w:hAnsi="Arial Narrow"/>
                <w:iCs/>
                <w:color w:val="000000"/>
                <w:sz w:val="20"/>
                <w:szCs w:val="16"/>
                <w:shd w:val="solid" w:color="000000" w:fill="000000"/>
                <w14:textFill>
                  <w14:solidFill>
                    <w14:srgbClr w14:val="000000">
                      <w14:alpha w14:val="100000"/>
                    </w14:srgbClr>
                  </w14:solidFill>
                </w14:textFill>
              </w:rPr>
              <w:t>|</w:t>
            </w:r>
            <w:r w:rsidR="00605910" w:rsidRPr="003B4086">
              <w:rPr>
                <w:rFonts w:ascii="Arial Narrow" w:hAnsi="Arial Narrow"/>
                <w:iCs/>
                <w:sz w:val="20"/>
                <w:szCs w:val="16"/>
              </w:rPr>
              <w:t>%</w:t>
            </w:r>
            <w:r w:rsidR="00605910" w:rsidRPr="003B4086">
              <w:rPr>
                <w:rFonts w:ascii="Arial Narrow" w:hAnsi="Arial Narrow"/>
                <w:iCs/>
                <w:sz w:val="20"/>
                <w:szCs w:val="16"/>
                <w:vertAlign w:val="superscript"/>
              </w:rPr>
              <w:t>a</w:t>
            </w:r>
          </w:p>
        </w:tc>
        <w:tc>
          <w:tcPr>
            <w:tcW w:w="1418" w:type="dxa"/>
          </w:tcPr>
          <w:p w14:paraId="5A59E2F4" w14:textId="01195DE3" w:rsidR="00605910" w:rsidRPr="003B4086" w:rsidRDefault="0029503E" w:rsidP="00E824C3">
            <w:pPr>
              <w:keepNext/>
              <w:keepLines/>
              <w:ind w:left="-57" w:right="-57"/>
              <w:jc w:val="center"/>
              <w:rPr>
                <w:rFonts w:ascii="Arial Narrow" w:hAnsi="Arial Narrow"/>
                <w:iCs/>
                <w:sz w:val="20"/>
                <w:szCs w:val="16"/>
                <w:vertAlign w:val="superscript"/>
              </w:rPr>
            </w:pPr>
            <w:r w:rsidRPr="0029503E">
              <w:rPr>
                <w:rFonts w:ascii="Arial Narrow" w:hAnsi="Arial Narrow"/>
                <w:iCs/>
                <w:color w:val="000000"/>
                <w:sz w:val="20"/>
                <w:szCs w:val="16"/>
                <w:shd w:val="solid" w:color="000000" w:fill="000000"/>
                <w14:textFill>
                  <w14:solidFill>
                    <w14:srgbClr w14:val="000000">
                      <w14:alpha w14:val="100000"/>
                    </w14:srgbClr>
                  </w14:solidFill>
                </w14:textFill>
              </w:rPr>
              <w:t>|</w:t>
            </w:r>
            <w:r w:rsidR="00605910" w:rsidRPr="003B4086">
              <w:rPr>
                <w:rFonts w:ascii="Arial Narrow" w:hAnsi="Arial Narrow"/>
                <w:iCs/>
                <w:sz w:val="20"/>
                <w:szCs w:val="16"/>
              </w:rPr>
              <w:t>%</w:t>
            </w:r>
            <w:r w:rsidR="00605910" w:rsidRPr="003B4086">
              <w:rPr>
                <w:rFonts w:ascii="Arial Narrow" w:hAnsi="Arial Narrow"/>
                <w:iCs/>
                <w:sz w:val="20"/>
                <w:szCs w:val="16"/>
                <w:vertAlign w:val="superscript"/>
              </w:rPr>
              <w:t>a</w:t>
            </w:r>
          </w:p>
        </w:tc>
        <w:tc>
          <w:tcPr>
            <w:tcW w:w="1275" w:type="dxa"/>
          </w:tcPr>
          <w:p w14:paraId="456486E1" w14:textId="1838C9DF" w:rsidR="00605910" w:rsidRPr="003B4086" w:rsidRDefault="00605910" w:rsidP="00E824C3">
            <w:pPr>
              <w:keepNext/>
              <w:keepLines/>
              <w:jc w:val="center"/>
              <w:rPr>
                <w:rFonts w:ascii="Arial Narrow" w:hAnsi="Arial Narrow"/>
                <w:iCs/>
                <w:sz w:val="20"/>
                <w:szCs w:val="16"/>
              </w:rPr>
            </w:pPr>
            <w:r w:rsidRPr="003B4086">
              <w:rPr>
                <w:rFonts w:ascii="Arial Narrow" w:hAnsi="Arial Narrow"/>
                <w:iCs/>
                <w:sz w:val="20"/>
                <w:szCs w:val="16"/>
              </w:rPr>
              <w:t>-</w:t>
            </w:r>
            <w:r w:rsidR="0029503E" w:rsidRPr="0029503E">
              <w:rPr>
                <w:rFonts w:ascii="Arial Narrow" w:hAnsi="Arial Narrow"/>
                <w:iCs/>
                <w:color w:val="000000"/>
                <w:sz w:val="20"/>
                <w:szCs w:val="16"/>
                <w:shd w:val="solid" w:color="000000" w:fill="000000"/>
                <w14:textFill>
                  <w14:solidFill>
                    <w14:srgbClr w14:val="000000">
                      <w14:alpha w14:val="100000"/>
                    </w14:srgbClr>
                  </w14:solidFill>
                </w14:textFill>
              </w:rPr>
              <w:t>|</w:t>
            </w:r>
            <w:r w:rsidRPr="003B4086">
              <w:rPr>
                <w:rFonts w:ascii="Arial Narrow" w:hAnsi="Arial Narrow"/>
                <w:iCs/>
                <w:sz w:val="20"/>
                <w:szCs w:val="16"/>
              </w:rPr>
              <w:t>%</w:t>
            </w:r>
          </w:p>
        </w:tc>
        <w:tc>
          <w:tcPr>
            <w:tcW w:w="1276" w:type="dxa"/>
            <w:gridSpan w:val="2"/>
          </w:tcPr>
          <w:p w14:paraId="3C973038" w14:textId="77777777" w:rsidR="00605910" w:rsidRPr="003B4086" w:rsidRDefault="00605910" w:rsidP="00E824C3">
            <w:pPr>
              <w:keepNext/>
              <w:keepLines/>
              <w:jc w:val="center"/>
              <w:rPr>
                <w:rFonts w:ascii="Arial Narrow" w:hAnsi="Arial Narrow"/>
                <w:iCs/>
                <w:sz w:val="20"/>
                <w:szCs w:val="16"/>
                <w:vertAlign w:val="superscript"/>
              </w:rPr>
            </w:pPr>
            <w:r w:rsidRPr="003B4086">
              <w:rPr>
                <w:rFonts w:ascii="Arial Narrow" w:hAnsi="Arial Narrow"/>
                <w:iCs/>
                <w:sz w:val="20"/>
                <w:szCs w:val="16"/>
              </w:rPr>
              <w:t>65.9%</w:t>
            </w:r>
            <w:r w:rsidRPr="003B4086">
              <w:rPr>
                <w:rFonts w:ascii="Arial Narrow" w:hAnsi="Arial Narrow"/>
                <w:iCs/>
                <w:sz w:val="20"/>
                <w:szCs w:val="16"/>
                <w:vertAlign w:val="superscript"/>
              </w:rPr>
              <w:t>b</w:t>
            </w:r>
          </w:p>
        </w:tc>
        <w:tc>
          <w:tcPr>
            <w:tcW w:w="1276" w:type="dxa"/>
          </w:tcPr>
          <w:p w14:paraId="0F219CF4" w14:textId="77777777" w:rsidR="00605910" w:rsidRPr="003B4086" w:rsidRDefault="00605910" w:rsidP="00E824C3">
            <w:pPr>
              <w:keepNext/>
              <w:keepLines/>
              <w:jc w:val="center"/>
              <w:rPr>
                <w:rFonts w:ascii="Arial Narrow" w:hAnsi="Arial Narrow"/>
                <w:iCs/>
                <w:sz w:val="20"/>
                <w:szCs w:val="16"/>
                <w:vertAlign w:val="superscript"/>
              </w:rPr>
            </w:pPr>
            <w:r w:rsidRPr="003B4086">
              <w:rPr>
                <w:rFonts w:ascii="Arial Narrow" w:hAnsi="Arial Narrow"/>
                <w:iCs/>
                <w:sz w:val="20"/>
                <w:szCs w:val="16"/>
              </w:rPr>
              <w:t>73.6%</w:t>
            </w:r>
            <w:r w:rsidRPr="003B4086">
              <w:rPr>
                <w:rFonts w:ascii="Arial Narrow" w:hAnsi="Arial Narrow"/>
                <w:iCs/>
                <w:sz w:val="20"/>
                <w:szCs w:val="16"/>
                <w:vertAlign w:val="superscript"/>
              </w:rPr>
              <w:t>c</w:t>
            </w:r>
          </w:p>
        </w:tc>
        <w:tc>
          <w:tcPr>
            <w:tcW w:w="1134" w:type="dxa"/>
          </w:tcPr>
          <w:p w14:paraId="178EF07E" w14:textId="77777777" w:rsidR="00605910" w:rsidRPr="003B4086" w:rsidRDefault="00605910" w:rsidP="00E824C3">
            <w:pPr>
              <w:keepNext/>
              <w:keepLines/>
              <w:jc w:val="center"/>
              <w:rPr>
                <w:rFonts w:ascii="Arial Narrow" w:hAnsi="Arial Narrow"/>
                <w:iCs/>
                <w:sz w:val="20"/>
                <w:szCs w:val="16"/>
              </w:rPr>
            </w:pPr>
            <w:r w:rsidRPr="003B4086">
              <w:rPr>
                <w:rFonts w:ascii="Arial Narrow" w:hAnsi="Arial Narrow"/>
                <w:iCs/>
                <w:sz w:val="20"/>
                <w:szCs w:val="16"/>
              </w:rPr>
              <w:t>-7.7%</w:t>
            </w:r>
          </w:p>
        </w:tc>
      </w:tr>
      <w:tr w:rsidR="00605910" w:rsidRPr="003B4086" w14:paraId="569061B3" w14:textId="77777777" w:rsidTr="00D83473">
        <w:tc>
          <w:tcPr>
            <w:tcW w:w="1413" w:type="dxa"/>
          </w:tcPr>
          <w:p w14:paraId="40174BE2" w14:textId="77777777" w:rsidR="00605910" w:rsidRPr="003B4086" w:rsidRDefault="00605910" w:rsidP="00E824C3">
            <w:pPr>
              <w:keepNext/>
              <w:keepLines/>
              <w:rPr>
                <w:rFonts w:ascii="Arial Narrow" w:hAnsi="Arial Narrow"/>
                <w:iCs/>
                <w:sz w:val="20"/>
                <w:szCs w:val="16"/>
              </w:rPr>
            </w:pPr>
            <w:r w:rsidRPr="003B4086">
              <w:rPr>
                <w:rFonts w:ascii="Arial Narrow" w:hAnsi="Arial Narrow"/>
                <w:iCs/>
                <w:sz w:val="20"/>
                <w:szCs w:val="16"/>
              </w:rPr>
              <w:t>Deaths</w:t>
            </w:r>
          </w:p>
        </w:tc>
        <w:tc>
          <w:tcPr>
            <w:tcW w:w="1417" w:type="dxa"/>
            <w:shd w:val="clear" w:color="auto" w:fill="auto"/>
          </w:tcPr>
          <w:p w14:paraId="58C6ED33" w14:textId="22951769" w:rsidR="00605910" w:rsidRPr="003B4086" w:rsidRDefault="0029503E" w:rsidP="00E824C3">
            <w:pPr>
              <w:keepNext/>
              <w:keepLines/>
              <w:jc w:val="center"/>
              <w:rPr>
                <w:rFonts w:ascii="Arial Narrow" w:hAnsi="Arial Narrow"/>
                <w:iCs/>
                <w:sz w:val="20"/>
                <w:szCs w:val="16"/>
                <w:vertAlign w:val="superscript"/>
              </w:rPr>
            </w:pPr>
            <w:r w:rsidRPr="0029503E">
              <w:rPr>
                <w:rFonts w:ascii="Arial Narrow" w:hAnsi="Arial Narrow"/>
                <w:iCs/>
                <w:color w:val="000000"/>
                <w:sz w:val="20"/>
                <w:szCs w:val="16"/>
                <w:shd w:val="solid" w:color="000000" w:fill="000000"/>
                <w14:textFill>
                  <w14:solidFill>
                    <w14:srgbClr w14:val="000000">
                      <w14:alpha w14:val="100000"/>
                    </w14:srgbClr>
                  </w14:solidFill>
                </w14:textFill>
              </w:rPr>
              <w:t>|</w:t>
            </w:r>
            <w:r w:rsidR="00605910" w:rsidRPr="003B4086">
              <w:rPr>
                <w:rFonts w:ascii="Arial Narrow" w:hAnsi="Arial Narrow"/>
                <w:iCs/>
                <w:sz w:val="20"/>
                <w:szCs w:val="16"/>
              </w:rPr>
              <w:t>%</w:t>
            </w:r>
            <w:r w:rsidR="00605910" w:rsidRPr="003B4086">
              <w:rPr>
                <w:rFonts w:ascii="Arial Narrow" w:hAnsi="Arial Narrow"/>
                <w:iCs/>
                <w:sz w:val="20"/>
                <w:szCs w:val="16"/>
                <w:vertAlign w:val="superscript"/>
              </w:rPr>
              <w:t>d</w:t>
            </w:r>
          </w:p>
        </w:tc>
        <w:tc>
          <w:tcPr>
            <w:tcW w:w="1418" w:type="dxa"/>
            <w:shd w:val="clear" w:color="auto" w:fill="auto"/>
          </w:tcPr>
          <w:p w14:paraId="62869E08" w14:textId="79DDC921" w:rsidR="00605910" w:rsidRPr="003B4086" w:rsidRDefault="0029503E" w:rsidP="00E824C3">
            <w:pPr>
              <w:keepNext/>
              <w:keepLines/>
              <w:jc w:val="center"/>
              <w:rPr>
                <w:rFonts w:ascii="Arial Narrow" w:hAnsi="Arial Narrow"/>
                <w:iCs/>
                <w:sz w:val="20"/>
                <w:szCs w:val="16"/>
                <w:vertAlign w:val="superscript"/>
              </w:rPr>
            </w:pPr>
            <w:r w:rsidRPr="0029503E">
              <w:rPr>
                <w:rFonts w:ascii="Arial Narrow" w:hAnsi="Arial Narrow"/>
                <w:iCs/>
                <w:color w:val="000000"/>
                <w:sz w:val="20"/>
                <w:szCs w:val="16"/>
                <w:shd w:val="solid" w:color="000000" w:fill="000000"/>
                <w14:textFill>
                  <w14:solidFill>
                    <w14:srgbClr w14:val="000000">
                      <w14:alpha w14:val="100000"/>
                    </w14:srgbClr>
                  </w14:solidFill>
                </w14:textFill>
              </w:rPr>
              <w:t>|</w:t>
            </w:r>
            <w:r w:rsidR="00605910" w:rsidRPr="003B4086">
              <w:rPr>
                <w:rFonts w:ascii="Arial Narrow" w:hAnsi="Arial Narrow"/>
                <w:iCs/>
                <w:sz w:val="20"/>
                <w:szCs w:val="16"/>
              </w:rPr>
              <w:t>%</w:t>
            </w:r>
            <w:r w:rsidR="00605910" w:rsidRPr="003B4086">
              <w:rPr>
                <w:rFonts w:ascii="Arial Narrow" w:hAnsi="Arial Narrow"/>
                <w:iCs/>
                <w:sz w:val="20"/>
                <w:szCs w:val="16"/>
                <w:vertAlign w:val="superscript"/>
              </w:rPr>
              <w:t>d</w:t>
            </w:r>
          </w:p>
        </w:tc>
        <w:tc>
          <w:tcPr>
            <w:tcW w:w="1275" w:type="dxa"/>
          </w:tcPr>
          <w:p w14:paraId="6169974F" w14:textId="540C0C75" w:rsidR="00605910" w:rsidRPr="003B4086" w:rsidRDefault="00605910" w:rsidP="00E824C3">
            <w:pPr>
              <w:keepNext/>
              <w:keepLines/>
              <w:jc w:val="center"/>
              <w:rPr>
                <w:rFonts w:ascii="Arial Narrow" w:hAnsi="Arial Narrow"/>
                <w:iCs/>
                <w:sz w:val="20"/>
                <w:szCs w:val="16"/>
              </w:rPr>
            </w:pPr>
            <w:r w:rsidRPr="003B4086">
              <w:rPr>
                <w:rFonts w:ascii="Arial Narrow" w:hAnsi="Arial Narrow"/>
                <w:iCs/>
                <w:sz w:val="20"/>
                <w:szCs w:val="16"/>
              </w:rPr>
              <w:t>-</w:t>
            </w:r>
            <w:r w:rsidR="0029503E" w:rsidRPr="0029503E">
              <w:rPr>
                <w:rFonts w:ascii="Arial Narrow" w:hAnsi="Arial Narrow"/>
                <w:iCs/>
                <w:color w:val="000000"/>
                <w:sz w:val="20"/>
                <w:szCs w:val="16"/>
                <w:shd w:val="solid" w:color="000000" w:fill="000000"/>
                <w14:textFill>
                  <w14:solidFill>
                    <w14:srgbClr w14:val="000000">
                      <w14:alpha w14:val="100000"/>
                    </w14:srgbClr>
                  </w14:solidFill>
                </w14:textFill>
              </w:rPr>
              <w:t>|</w:t>
            </w:r>
            <w:r w:rsidRPr="003B4086">
              <w:rPr>
                <w:rFonts w:ascii="Arial Narrow" w:hAnsi="Arial Narrow"/>
                <w:iCs/>
                <w:sz w:val="20"/>
                <w:szCs w:val="16"/>
              </w:rPr>
              <w:t>%</w:t>
            </w:r>
          </w:p>
        </w:tc>
        <w:tc>
          <w:tcPr>
            <w:tcW w:w="1276" w:type="dxa"/>
            <w:gridSpan w:val="2"/>
          </w:tcPr>
          <w:p w14:paraId="2ADE9BF3" w14:textId="77777777" w:rsidR="00605910" w:rsidRPr="003B4086" w:rsidRDefault="00605910" w:rsidP="00E824C3">
            <w:pPr>
              <w:keepNext/>
              <w:keepLines/>
              <w:jc w:val="center"/>
              <w:rPr>
                <w:rFonts w:ascii="Arial Narrow" w:hAnsi="Arial Narrow"/>
                <w:iCs/>
                <w:sz w:val="20"/>
                <w:szCs w:val="16"/>
                <w:vertAlign w:val="superscript"/>
              </w:rPr>
            </w:pPr>
            <w:r w:rsidRPr="003B4086">
              <w:rPr>
                <w:rFonts w:ascii="Arial Narrow" w:hAnsi="Arial Narrow"/>
                <w:iCs/>
                <w:sz w:val="20"/>
                <w:szCs w:val="16"/>
              </w:rPr>
              <w:t>82.3%</w:t>
            </w:r>
            <w:r w:rsidRPr="003B4086">
              <w:rPr>
                <w:rFonts w:ascii="Arial Narrow" w:hAnsi="Arial Narrow"/>
                <w:iCs/>
                <w:sz w:val="20"/>
                <w:szCs w:val="16"/>
                <w:vertAlign w:val="superscript"/>
              </w:rPr>
              <w:t>e</w:t>
            </w:r>
          </w:p>
        </w:tc>
        <w:tc>
          <w:tcPr>
            <w:tcW w:w="1276" w:type="dxa"/>
          </w:tcPr>
          <w:p w14:paraId="3911827C" w14:textId="77777777" w:rsidR="00605910" w:rsidRPr="003B4086" w:rsidRDefault="00605910" w:rsidP="00E824C3">
            <w:pPr>
              <w:keepNext/>
              <w:keepLines/>
              <w:jc w:val="center"/>
              <w:rPr>
                <w:rFonts w:ascii="Arial Narrow" w:hAnsi="Arial Narrow"/>
                <w:iCs/>
                <w:sz w:val="20"/>
                <w:szCs w:val="16"/>
                <w:vertAlign w:val="superscript"/>
              </w:rPr>
            </w:pPr>
            <w:r w:rsidRPr="003B4086">
              <w:rPr>
                <w:rFonts w:ascii="Arial Narrow" w:hAnsi="Arial Narrow"/>
                <w:iCs/>
                <w:sz w:val="20"/>
                <w:szCs w:val="16"/>
              </w:rPr>
              <w:t>86.4%</w:t>
            </w:r>
            <w:r w:rsidRPr="003B4086">
              <w:rPr>
                <w:rFonts w:ascii="Arial Narrow" w:hAnsi="Arial Narrow"/>
                <w:iCs/>
                <w:sz w:val="20"/>
                <w:szCs w:val="16"/>
                <w:vertAlign w:val="superscript"/>
              </w:rPr>
              <w:t>f</w:t>
            </w:r>
          </w:p>
        </w:tc>
        <w:tc>
          <w:tcPr>
            <w:tcW w:w="1134" w:type="dxa"/>
          </w:tcPr>
          <w:p w14:paraId="6FC79447" w14:textId="77777777" w:rsidR="00605910" w:rsidRPr="003B4086" w:rsidRDefault="00605910" w:rsidP="00E824C3">
            <w:pPr>
              <w:keepNext/>
              <w:keepLines/>
              <w:jc w:val="center"/>
              <w:rPr>
                <w:rFonts w:ascii="Arial Narrow" w:hAnsi="Arial Narrow"/>
                <w:iCs/>
                <w:sz w:val="20"/>
                <w:szCs w:val="16"/>
              </w:rPr>
            </w:pPr>
            <w:r w:rsidRPr="003B4086">
              <w:rPr>
                <w:rFonts w:ascii="Arial Narrow" w:hAnsi="Arial Narrow"/>
                <w:iCs/>
                <w:sz w:val="20"/>
                <w:szCs w:val="16"/>
              </w:rPr>
              <w:t>-4.1%</w:t>
            </w:r>
          </w:p>
        </w:tc>
      </w:tr>
      <w:tr w:rsidR="00605910" w:rsidRPr="003B4086" w14:paraId="1CA31F84" w14:textId="77777777" w:rsidTr="00D83473">
        <w:tc>
          <w:tcPr>
            <w:tcW w:w="1413" w:type="dxa"/>
          </w:tcPr>
          <w:p w14:paraId="7C00FE3E" w14:textId="1365C955" w:rsidR="00605910" w:rsidRPr="003B4086" w:rsidRDefault="00605910" w:rsidP="00E824C3">
            <w:pPr>
              <w:keepNext/>
              <w:keepLines/>
              <w:jc w:val="left"/>
              <w:rPr>
                <w:rFonts w:ascii="Arial Narrow" w:hAnsi="Arial Narrow"/>
                <w:iCs/>
                <w:sz w:val="20"/>
                <w:szCs w:val="16"/>
              </w:rPr>
            </w:pPr>
            <w:r w:rsidRPr="003B4086">
              <w:rPr>
                <w:rFonts w:ascii="Arial Narrow" w:hAnsi="Arial Narrow"/>
                <w:iCs/>
                <w:sz w:val="20"/>
                <w:szCs w:val="16"/>
              </w:rPr>
              <w:t>Life years (undiscounted)</w:t>
            </w:r>
          </w:p>
        </w:tc>
        <w:tc>
          <w:tcPr>
            <w:tcW w:w="1417" w:type="dxa"/>
          </w:tcPr>
          <w:p w14:paraId="4D269825" w14:textId="77777777" w:rsidR="00605910" w:rsidRPr="003B4086" w:rsidRDefault="00605910" w:rsidP="00E824C3">
            <w:pPr>
              <w:keepNext/>
              <w:keepLines/>
              <w:jc w:val="center"/>
              <w:rPr>
                <w:rFonts w:ascii="Arial Narrow" w:hAnsi="Arial Narrow"/>
                <w:iCs/>
                <w:sz w:val="20"/>
                <w:szCs w:val="16"/>
                <w:vertAlign w:val="superscript"/>
              </w:rPr>
            </w:pPr>
            <w:r w:rsidRPr="003B4086">
              <w:rPr>
                <w:rFonts w:ascii="Arial Narrow" w:hAnsi="Arial Narrow"/>
                <w:iCs/>
                <w:sz w:val="20"/>
                <w:szCs w:val="16"/>
              </w:rPr>
              <w:t>1.751</w:t>
            </w:r>
            <w:r w:rsidRPr="003B4086">
              <w:rPr>
                <w:rFonts w:ascii="Arial Narrow" w:hAnsi="Arial Narrow"/>
                <w:iCs/>
                <w:sz w:val="20"/>
                <w:szCs w:val="16"/>
                <w:vertAlign w:val="superscript"/>
              </w:rPr>
              <w:t>g</w:t>
            </w:r>
          </w:p>
        </w:tc>
        <w:tc>
          <w:tcPr>
            <w:tcW w:w="1418" w:type="dxa"/>
          </w:tcPr>
          <w:p w14:paraId="5CA79496" w14:textId="77777777" w:rsidR="00605910" w:rsidRPr="003B4086" w:rsidRDefault="00605910" w:rsidP="00E824C3">
            <w:pPr>
              <w:keepNext/>
              <w:keepLines/>
              <w:jc w:val="center"/>
              <w:rPr>
                <w:rFonts w:ascii="Arial Narrow" w:hAnsi="Arial Narrow"/>
                <w:iCs/>
                <w:sz w:val="20"/>
                <w:szCs w:val="16"/>
                <w:vertAlign w:val="superscript"/>
              </w:rPr>
            </w:pPr>
            <w:r w:rsidRPr="003B4086">
              <w:rPr>
                <w:rFonts w:ascii="Arial Narrow" w:hAnsi="Arial Narrow"/>
                <w:iCs/>
                <w:sz w:val="20"/>
                <w:szCs w:val="16"/>
              </w:rPr>
              <w:t>1.478</w:t>
            </w:r>
            <w:r w:rsidRPr="003B4086">
              <w:rPr>
                <w:rFonts w:ascii="Arial Narrow" w:hAnsi="Arial Narrow"/>
                <w:iCs/>
                <w:sz w:val="20"/>
                <w:szCs w:val="16"/>
                <w:vertAlign w:val="superscript"/>
              </w:rPr>
              <w:t>h</w:t>
            </w:r>
          </w:p>
        </w:tc>
        <w:tc>
          <w:tcPr>
            <w:tcW w:w="1275" w:type="dxa"/>
          </w:tcPr>
          <w:p w14:paraId="23FC33D5" w14:textId="77777777" w:rsidR="00605910" w:rsidRPr="003B4086" w:rsidRDefault="00605910" w:rsidP="00E824C3">
            <w:pPr>
              <w:keepNext/>
              <w:keepLines/>
              <w:jc w:val="center"/>
              <w:rPr>
                <w:rFonts w:ascii="Arial Narrow" w:hAnsi="Arial Narrow"/>
                <w:iCs/>
                <w:sz w:val="20"/>
                <w:szCs w:val="16"/>
              </w:rPr>
            </w:pPr>
            <w:r w:rsidRPr="003B4086">
              <w:rPr>
                <w:rFonts w:ascii="Arial Narrow" w:hAnsi="Arial Narrow"/>
                <w:iCs/>
                <w:sz w:val="20"/>
                <w:szCs w:val="16"/>
              </w:rPr>
              <w:t>0.273</w:t>
            </w:r>
          </w:p>
        </w:tc>
        <w:tc>
          <w:tcPr>
            <w:tcW w:w="1276" w:type="dxa"/>
            <w:gridSpan w:val="2"/>
          </w:tcPr>
          <w:p w14:paraId="1D5D3717" w14:textId="77777777" w:rsidR="00605910" w:rsidRPr="003B4086" w:rsidRDefault="00605910" w:rsidP="00E824C3">
            <w:pPr>
              <w:keepNext/>
              <w:keepLines/>
              <w:jc w:val="center"/>
              <w:rPr>
                <w:rFonts w:ascii="Arial Narrow" w:hAnsi="Arial Narrow"/>
                <w:iCs/>
                <w:sz w:val="20"/>
                <w:szCs w:val="16"/>
                <w:vertAlign w:val="superscript"/>
              </w:rPr>
            </w:pPr>
            <w:r w:rsidRPr="003B4086">
              <w:rPr>
                <w:rFonts w:ascii="Arial Narrow" w:hAnsi="Arial Narrow"/>
                <w:iCs/>
                <w:sz w:val="20"/>
                <w:szCs w:val="16"/>
              </w:rPr>
              <w:t>7.264</w:t>
            </w:r>
            <w:r w:rsidRPr="003B4086">
              <w:rPr>
                <w:rFonts w:ascii="Arial Narrow" w:hAnsi="Arial Narrow"/>
                <w:iCs/>
                <w:sz w:val="20"/>
                <w:szCs w:val="16"/>
                <w:vertAlign w:val="superscript"/>
              </w:rPr>
              <w:t>i</w:t>
            </w:r>
          </w:p>
        </w:tc>
        <w:tc>
          <w:tcPr>
            <w:tcW w:w="1276" w:type="dxa"/>
          </w:tcPr>
          <w:p w14:paraId="1C17367D" w14:textId="77777777" w:rsidR="00605910" w:rsidRPr="003B4086" w:rsidRDefault="00605910" w:rsidP="00E824C3">
            <w:pPr>
              <w:keepNext/>
              <w:keepLines/>
              <w:jc w:val="center"/>
              <w:rPr>
                <w:rFonts w:ascii="Arial Narrow" w:hAnsi="Arial Narrow"/>
                <w:iCs/>
                <w:sz w:val="20"/>
                <w:szCs w:val="16"/>
                <w:vertAlign w:val="superscript"/>
              </w:rPr>
            </w:pPr>
            <w:r w:rsidRPr="003B4086">
              <w:rPr>
                <w:rFonts w:ascii="Arial Narrow" w:hAnsi="Arial Narrow"/>
                <w:iCs/>
                <w:sz w:val="20"/>
                <w:szCs w:val="16"/>
              </w:rPr>
              <w:t>5.989</w:t>
            </w:r>
            <w:r w:rsidRPr="003B4086">
              <w:rPr>
                <w:rFonts w:ascii="Arial Narrow" w:hAnsi="Arial Narrow"/>
                <w:iCs/>
                <w:sz w:val="20"/>
                <w:szCs w:val="16"/>
                <w:vertAlign w:val="superscript"/>
              </w:rPr>
              <w:t>j</w:t>
            </w:r>
          </w:p>
        </w:tc>
        <w:tc>
          <w:tcPr>
            <w:tcW w:w="1134" w:type="dxa"/>
          </w:tcPr>
          <w:p w14:paraId="419217AD" w14:textId="77777777" w:rsidR="00605910" w:rsidRPr="003B4086" w:rsidRDefault="00605910" w:rsidP="00E824C3">
            <w:pPr>
              <w:keepNext/>
              <w:keepLines/>
              <w:jc w:val="center"/>
              <w:rPr>
                <w:rFonts w:ascii="Arial Narrow" w:hAnsi="Arial Narrow"/>
                <w:iCs/>
                <w:sz w:val="20"/>
                <w:szCs w:val="16"/>
              </w:rPr>
            </w:pPr>
            <w:r w:rsidRPr="003B4086">
              <w:rPr>
                <w:rFonts w:ascii="Arial Narrow" w:hAnsi="Arial Narrow"/>
                <w:iCs/>
                <w:sz w:val="20"/>
                <w:szCs w:val="16"/>
              </w:rPr>
              <w:t>1.275</w:t>
            </w:r>
          </w:p>
        </w:tc>
      </w:tr>
    </w:tbl>
    <w:p w14:paraId="38FCD25C" w14:textId="77777777" w:rsidR="00605910" w:rsidRPr="003B4086" w:rsidRDefault="00605910" w:rsidP="00E824C3">
      <w:pPr>
        <w:pStyle w:val="TableFigureFooter"/>
        <w:keepNext/>
        <w:keepLines/>
        <w:rPr>
          <w:iCs/>
        </w:rPr>
      </w:pPr>
      <w:r w:rsidRPr="003B4086">
        <w:t xml:space="preserve">Source: Table compiled during the evaluation, based on </w:t>
      </w:r>
      <w:r w:rsidRPr="003B4086">
        <w:rPr>
          <w:iCs/>
        </w:rPr>
        <w:t xml:space="preserve">the </w:t>
      </w:r>
      <w:r w:rsidRPr="003B4086">
        <w:t>‘Attachment 12 - Nivolumab Adjuvant MIUC Economic Evaluation’ Excel workbook</w:t>
      </w:r>
      <w:r w:rsidRPr="003B4086">
        <w:rPr>
          <w:iCs/>
        </w:rPr>
        <w:t>.</w:t>
      </w:r>
    </w:p>
    <w:p w14:paraId="561EF13B" w14:textId="739B12FD" w:rsidR="00605910" w:rsidRPr="003B4086" w:rsidRDefault="00605910" w:rsidP="00E824C3">
      <w:pPr>
        <w:pStyle w:val="TableFigureFooter"/>
        <w:keepNext/>
        <w:keepLines/>
        <w:rPr>
          <w:iCs/>
        </w:rPr>
      </w:pPr>
      <w:r w:rsidRPr="003B4086">
        <w:rPr>
          <w:iCs/>
          <w:vertAlign w:val="superscript"/>
        </w:rPr>
        <w:t xml:space="preserve">a </w:t>
      </w:r>
      <w:r w:rsidRPr="003B4086">
        <w:rPr>
          <w:iCs/>
        </w:rPr>
        <w:t>Calculated by subtracting pre-recurrence deaths</w:t>
      </w:r>
      <w:r w:rsidR="000A2036" w:rsidRPr="003B4086">
        <w:rPr>
          <w:iCs/>
        </w:rPr>
        <w:t xml:space="preserve"> from number of patients with a DFS event</w:t>
      </w:r>
      <w:r w:rsidRPr="003B4086">
        <w:rPr>
          <w:iCs/>
        </w:rPr>
        <w:t xml:space="preserve"> in each arm (</w:t>
      </w:r>
      <w:r w:rsidR="002A6FC0" w:rsidRPr="003B4086">
        <w:rPr>
          <w:iCs/>
        </w:rPr>
        <w:t>153/353 in nivolumab arm and 193/356 in watchful waiting arm)</w:t>
      </w:r>
    </w:p>
    <w:p w14:paraId="7C194E27" w14:textId="77777777" w:rsidR="00605910" w:rsidRPr="003B4086" w:rsidRDefault="00605910" w:rsidP="00E824C3">
      <w:pPr>
        <w:pStyle w:val="TableFigureFooter"/>
        <w:keepNext/>
        <w:keepLines/>
        <w:rPr>
          <w:iCs/>
        </w:rPr>
      </w:pPr>
      <w:r w:rsidRPr="003B4086">
        <w:rPr>
          <w:iCs/>
          <w:vertAlign w:val="superscript"/>
        </w:rPr>
        <w:t>b</w:t>
      </w:r>
      <w:r w:rsidRPr="003B4086">
        <w:rPr>
          <w:iCs/>
        </w:rPr>
        <w:t xml:space="preserve"> Sum Z101:Z129 in ‘Model’ tab of </w:t>
      </w:r>
      <w:r w:rsidRPr="003B4086">
        <w:t>‘Attachment 12 - Nivolumab Adjuvant MIUC Economic Evaluation’ Excel workbook</w:t>
      </w:r>
      <w:r w:rsidRPr="003B4086">
        <w:rPr>
          <w:iCs/>
        </w:rPr>
        <w:t>.</w:t>
      </w:r>
    </w:p>
    <w:p w14:paraId="71D839AF" w14:textId="77777777" w:rsidR="00605910" w:rsidRPr="003B4086" w:rsidRDefault="00605910" w:rsidP="00E824C3">
      <w:pPr>
        <w:pStyle w:val="TableFigureFooter"/>
        <w:keepNext/>
        <w:keepLines/>
        <w:rPr>
          <w:iCs/>
        </w:rPr>
      </w:pPr>
      <w:r w:rsidRPr="003B4086">
        <w:rPr>
          <w:iCs/>
          <w:vertAlign w:val="superscript"/>
        </w:rPr>
        <w:t>c</w:t>
      </w:r>
      <w:r w:rsidRPr="003B4086">
        <w:rPr>
          <w:iCs/>
        </w:rPr>
        <w:t xml:space="preserve"> Sum AR101:AR129 in ‘Model’ tab of </w:t>
      </w:r>
      <w:r w:rsidRPr="003B4086">
        <w:t>‘Attachment 12 - Nivolumab Adjuvant MIUC Economic Evaluation’ Excel workbook</w:t>
      </w:r>
      <w:r w:rsidRPr="003B4086">
        <w:rPr>
          <w:iCs/>
        </w:rPr>
        <w:t>.</w:t>
      </w:r>
    </w:p>
    <w:p w14:paraId="0F29D0CF" w14:textId="331CCDE3" w:rsidR="00605910" w:rsidRPr="003B4086" w:rsidRDefault="00605910" w:rsidP="00E824C3">
      <w:pPr>
        <w:pStyle w:val="TableFigureFooter"/>
        <w:keepNext/>
        <w:keepLines/>
        <w:rPr>
          <w:iCs/>
        </w:rPr>
      </w:pPr>
      <w:r w:rsidRPr="003B4086">
        <w:rPr>
          <w:iCs/>
          <w:vertAlign w:val="superscript"/>
        </w:rPr>
        <w:t>d</w:t>
      </w:r>
      <w:r w:rsidRPr="003B4086">
        <w:rPr>
          <w:iCs/>
        </w:rPr>
        <w:t xml:space="preserve"> </w:t>
      </w:r>
      <w:r w:rsidR="0029503E" w:rsidRPr="0029503E">
        <w:rPr>
          <w:iCs/>
          <w:color w:val="000000"/>
          <w:spacing w:val="22"/>
          <w:shd w:val="solid" w:color="000000" w:fill="000000"/>
          <w:fitText w:val="3253" w:id="-1425306624"/>
          <w14:textFill>
            <w14:solidFill>
              <w14:srgbClr w14:val="000000">
                <w14:alpha w14:val="100000"/>
              </w14:srgbClr>
            </w14:solidFill>
          </w14:textFill>
        </w:rPr>
        <w:t>||||||||||||||||||||||||||  |||||||||||||||||||||||||</w:t>
      </w:r>
      <w:r w:rsidR="0029503E" w:rsidRPr="0029503E">
        <w:rPr>
          <w:iCs/>
          <w:color w:val="000000"/>
          <w:spacing w:val="13"/>
          <w:shd w:val="solid" w:color="000000" w:fill="000000"/>
          <w:fitText w:val="3253" w:id="-1425306624"/>
          <w14:textFill>
            <w14:solidFill>
              <w14:srgbClr w14:val="000000">
                <w14:alpha w14:val="100000"/>
              </w14:srgbClr>
            </w14:solidFill>
          </w14:textFill>
        </w:rPr>
        <w:t>|</w:t>
      </w:r>
    </w:p>
    <w:p w14:paraId="523C4DC5" w14:textId="77777777" w:rsidR="00605910" w:rsidRPr="003B4086" w:rsidRDefault="00605910" w:rsidP="00E824C3">
      <w:pPr>
        <w:pStyle w:val="TableFigureFooter"/>
        <w:keepNext/>
        <w:keepLines/>
        <w:rPr>
          <w:iCs/>
        </w:rPr>
      </w:pPr>
      <w:r w:rsidRPr="003B4086">
        <w:rPr>
          <w:iCs/>
          <w:vertAlign w:val="superscript"/>
        </w:rPr>
        <w:t>e</w:t>
      </w:r>
      <w:r w:rsidRPr="003B4086">
        <w:rPr>
          <w:iCs/>
        </w:rPr>
        <w:t xml:space="preserve"> Sum AA101:AA189 in ‘Model’ tab of </w:t>
      </w:r>
      <w:r w:rsidRPr="003B4086">
        <w:t>‘Attachment 12 - Nivolumab Adjuvant MIUC Economic Evaluation’ Excel workbook</w:t>
      </w:r>
      <w:r w:rsidRPr="003B4086">
        <w:rPr>
          <w:iCs/>
        </w:rPr>
        <w:t>.</w:t>
      </w:r>
    </w:p>
    <w:p w14:paraId="6E805DB9" w14:textId="77777777" w:rsidR="00605910" w:rsidRPr="003B4086" w:rsidRDefault="00605910" w:rsidP="00E824C3">
      <w:pPr>
        <w:pStyle w:val="TableFigureFooter"/>
        <w:keepNext/>
        <w:keepLines/>
        <w:rPr>
          <w:iCs/>
        </w:rPr>
      </w:pPr>
      <w:r w:rsidRPr="003B4086">
        <w:rPr>
          <w:iCs/>
          <w:vertAlign w:val="superscript"/>
        </w:rPr>
        <w:t>f</w:t>
      </w:r>
      <w:r w:rsidRPr="003B4086">
        <w:rPr>
          <w:iCs/>
        </w:rPr>
        <w:t xml:space="preserve"> Sum AS101:AS189 in ‘Model’ tab of </w:t>
      </w:r>
      <w:r w:rsidRPr="003B4086">
        <w:t>‘Attachment 12 - Nivolumab Adjuvant MIUC Economic Evaluation’ Excel workbook</w:t>
      </w:r>
      <w:r w:rsidRPr="003B4086">
        <w:rPr>
          <w:iCs/>
        </w:rPr>
        <w:t>.</w:t>
      </w:r>
    </w:p>
    <w:p w14:paraId="4D987645" w14:textId="0B29DDBB" w:rsidR="00605910" w:rsidRPr="003B4086" w:rsidRDefault="00605910" w:rsidP="00E824C3">
      <w:pPr>
        <w:pStyle w:val="TableFigureFooter"/>
        <w:keepNext/>
        <w:keepLines/>
        <w:rPr>
          <w:iCs/>
        </w:rPr>
      </w:pPr>
      <w:r w:rsidRPr="003B4086">
        <w:rPr>
          <w:iCs/>
          <w:vertAlign w:val="superscript"/>
        </w:rPr>
        <w:t>g</w:t>
      </w:r>
      <w:r w:rsidRPr="003B4086">
        <w:rPr>
          <w:iCs/>
        </w:rPr>
        <w:t xml:space="preserve"> Value in cell G8 after Setting Cell E35 = 2.033 and Cell E36 = 0% in ‘Model’ tab of </w:t>
      </w:r>
      <w:r w:rsidRPr="003B4086">
        <w:t>Attachment 12 - Nivolumab Adjuvant MIUC Economic Evaluation’ Excel workbook</w:t>
      </w:r>
      <w:r w:rsidRPr="003B4086">
        <w:rPr>
          <w:iCs/>
        </w:rPr>
        <w:t>.</w:t>
      </w:r>
    </w:p>
    <w:p w14:paraId="6CFE1CD7" w14:textId="77777777" w:rsidR="00605910" w:rsidRPr="003B4086" w:rsidRDefault="00605910" w:rsidP="00E824C3">
      <w:pPr>
        <w:pStyle w:val="TableFigureFooter"/>
        <w:keepNext/>
        <w:keepLines/>
        <w:rPr>
          <w:iCs/>
        </w:rPr>
      </w:pPr>
      <w:r w:rsidRPr="003B4086">
        <w:rPr>
          <w:iCs/>
          <w:vertAlign w:val="superscript"/>
        </w:rPr>
        <w:t>h</w:t>
      </w:r>
      <w:r w:rsidRPr="003B4086">
        <w:rPr>
          <w:iCs/>
        </w:rPr>
        <w:t xml:space="preserve"> Value in cell H8 after Setting Cell E35 = 1.875 and Cell E36 = 0% in ‘Model’ tab of </w:t>
      </w:r>
      <w:r w:rsidRPr="003B4086">
        <w:t>Attachment 12 - Nivolumab Adjuvant MIUC Economic Evaluation’ Excel workbook</w:t>
      </w:r>
      <w:r w:rsidRPr="003B4086">
        <w:rPr>
          <w:iCs/>
        </w:rPr>
        <w:t>.</w:t>
      </w:r>
    </w:p>
    <w:p w14:paraId="6BA553E5" w14:textId="77777777" w:rsidR="00605910" w:rsidRPr="003B4086" w:rsidRDefault="00605910" w:rsidP="00E824C3">
      <w:pPr>
        <w:pStyle w:val="TableFigureFooter"/>
        <w:keepNext/>
        <w:keepLines/>
        <w:rPr>
          <w:iCs/>
        </w:rPr>
      </w:pPr>
      <w:r w:rsidRPr="003B4086">
        <w:rPr>
          <w:iCs/>
          <w:vertAlign w:val="superscript"/>
        </w:rPr>
        <w:t>i</w:t>
      </w:r>
      <w:r w:rsidRPr="003B4086">
        <w:rPr>
          <w:iCs/>
        </w:rPr>
        <w:t xml:space="preserve"> Value in cell G8 after Setting Cell E35 = 20 and Cell E36 = 0% in ‘Model’ tab of </w:t>
      </w:r>
      <w:r w:rsidRPr="003B4086">
        <w:t>Attachment 12 - Nivolumab Adjuvant MIUC Economic Evaluation’ Excel workbook</w:t>
      </w:r>
      <w:r w:rsidRPr="003B4086">
        <w:rPr>
          <w:iCs/>
        </w:rPr>
        <w:t>.</w:t>
      </w:r>
    </w:p>
    <w:p w14:paraId="409078B2" w14:textId="77777777" w:rsidR="00605910" w:rsidRPr="003B4086" w:rsidRDefault="00605910" w:rsidP="00E824C3">
      <w:pPr>
        <w:pStyle w:val="TableFigureFooter"/>
        <w:keepNext/>
        <w:keepLines/>
        <w:rPr>
          <w:iCs/>
        </w:rPr>
      </w:pPr>
      <w:r w:rsidRPr="003B4086">
        <w:rPr>
          <w:iCs/>
          <w:vertAlign w:val="superscript"/>
        </w:rPr>
        <w:t>j</w:t>
      </w:r>
      <w:r w:rsidRPr="003B4086">
        <w:rPr>
          <w:iCs/>
        </w:rPr>
        <w:t xml:space="preserve"> Value in cell H8 after Setting Cell E35 = 20 and Cell E36 = 0% in ‘Model’ tab of </w:t>
      </w:r>
      <w:r w:rsidRPr="003B4086">
        <w:t>Attachment 12 - Nivolumab Adjuvant MIUC Economic Evaluation’ Excel workbook</w:t>
      </w:r>
      <w:r w:rsidRPr="003B4086">
        <w:rPr>
          <w:iCs/>
        </w:rPr>
        <w:t>.</w:t>
      </w:r>
    </w:p>
    <w:p w14:paraId="07262EE6" w14:textId="6628C3E4" w:rsidR="00AD68BC" w:rsidRPr="003B4086" w:rsidRDefault="00605910" w:rsidP="00AD68BC">
      <w:pPr>
        <w:pStyle w:val="3-BodyText"/>
      </w:pPr>
      <w:r w:rsidRPr="003B4086">
        <w:t>The proportion of patients experiencing recurrence in the nivolumab arm increased from 43.3</w:t>
      </w:r>
      <w:r w:rsidRPr="003B4086">
        <w:rPr>
          <w:rFonts w:ascii="Calibri" w:hAnsi="Calibri"/>
        </w:rPr>
        <w:t xml:space="preserve">% </w:t>
      </w:r>
      <w:r w:rsidRPr="003B4086">
        <w:t xml:space="preserve">in </w:t>
      </w:r>
      <w:r w:rsidR="00BE6B7F" w:rsidRPr="003B4086">
        <w:t xml:space="preserve">the </w:t>
      </w:r>
      <w:r w:rsidRPr="003B4086">
        <w:t>CM274</w:t>
      </w:r>
      <w:r w:rsidR="00BE6B7F" w:rsidRPr="003B4086">
        <w:t xml:space="preserve"> trial</w:t>
      </w:r>
      <w:r w:rsidRPr="003B4086">
        <w:t xml:space="preserve"> to 65.9% by the end of the 5 years in the model. The corresponding recurrence results in the comparator arm were </w:t>
      </w:r>
      <w:r w:rsidRPr="003B4086">
        <w:rPr>
          <w:rFonts w:ascii="Calibri" w:hAnsi="Calibri"/>
        </w:rPr>
        <w:t xml:space="preserve">54.2% </w:t>
      </w:r>
      <w:r w:rsidRPr="003B4086">
        <w:t xml:space="preserve">in the trial versus 73.6% in the economic model. Though the modelled time horizon was 20 years, recurrence events were considered to occur only until 5 years, thereafter a 100% cure </w:t>
      </w:r>
      <w:r w:rsidRPr="003B4086">
        <w:lastRenderedPageBreak/>
        <w:t>rate (i.e. no recurrence) was assumed. The absolute difference between the two treatment arms was smaller at the end of 5 years than in the trial (-</w:t>
      </w:r>
      <w:r w:rsidR="0029503E" w:rsidRPr="00785573">
        <w:rPr>
          <w:color w:val="000000"/>
          <w:w w:val="15"/>
          <w:shd w:val="solid" w:color="000000" w:fill="000000"/>
          <w:fitText w:val="-20" w:id="-1425306623"/>
          <w14:textFill>
            <w14:solidFill>
              <w14:srgbClr w14:val="000000">
                <w14:alpha w14:val="100000"/>
              </w14:srgbClr>
            </w14:solidFill>
          </w14:textFill>
        </w:rPr>
        <w:t xml:space="preserve">|  </w:t>
      </w:r>
      <w:r w:rsidR="0029503E" w:rsidRPr="00785573">
        <w:rPr>
          <w:color w:val="000000"/>
          <w:spacing w:val="-69"/>
          <w:w w:val="15"/>
          <w:shd w:val="solid" w:color="000000" w:fill="000000"/>
          <w:fitText w:val="-20" w:id="-1425306623"/>
          <w14:textFill>
            <w14:solidFill>
              <w14:srgbClr w14:val="000000">
                <w14:alpha w14:val="100000"/>
              </w14:srgbClr>
            </w14:solidFill>
          </w14:textFill>
        </w:rPr>
        <w:t>|</w:t>
      </w:r>
      <w:r w:rsidRPr="003B4086">
        <w:t xml:space="preserve">% vs. -7.7%), because over time a higher proportion of patients transitioned from pre-recurrence to recurrence health state in the nivolumab arm, compared with the watchful waiting arm, due to a higher proportion of patient at risk (i.e. remaining in the pre-recurrence state). The proportion of patients who died increased from </w:t>
      </w:r>
      <w:r w:rsidR="00B948A5" w:rsidRPr="00785573">
        <w:rPr>
          <w:color w:val="000000"/>
          <w:w w:val="15"/>
          <w:shd w:val="solid" w:color="000000" w:fill="000000"/>
          <w:fitText w:val="-20" w:id="-1422114816"/>
          <w14:textFill>
            <w14:solidFill>
              <w14:srgbClr w14:val="000000">
                <w14:alpha w14:val="100000"/>
              </w14:srgbClr>
            </w14:solidFill>
          </w14:textFill>
        </w:rPr>
        <w:t xml:space="preserve">|  </w:t>
      </w:r>
      <w:r w:rsidR="00B948A5" w:rsidRPr="00785573">
        <w:rPr>
          <w:color w:val="000000"/>
          <w:spacing w:val="-69"/>
          <w:w w:val="15"/>
          <w:shd w:val="solid" w:color="000000" w:fill="000000"/>
          <w:fitText w:val="-20" w:id="-1422114816"/>
          <w14:textFill>
            <w14:solidFill>
              <w14:srgbClr w14:val="000000">
                <w14:alpha w14:val="100000"/>
              </w14:srgbClr>
            </w14:solidFill>
          </w14:textFill>
        </w:rPr>
        <w:t>|</w:t>
      </w:r>
      <w:r w:rsidRPr="003B4086">
        <w:t xml:space="preserve">% to 82.3% in the nivolumab arm and from </w:t>
      </w:r>
      <w:r w:rsidR="00B948A5" w:rsidRPr="00785573">
        <w:rPr>
          <w:color w:val="000000"/>
          <w:w w:val="15"/>
          <w:shd w:val="solid" w:color="000000" w:fill="000000"/>
          <w:fitText w:val="-20" w:id="-1422114815"/>
          <w14:textFill>
            <w14:solidFill>
              <w14:srgbClr w14:val="000000">
                <w14:alpha w14:val="100000"/>
              </w14:srgbClr>
            </w14:solidFill>
          </w14:textFill>
        </w:rPr>
        <w:t xml:space="preserve">|  </w:t>
      </w:r>
      <w:r w:rsidR="00B948A5" w:rsidRPr="00785573">
        <w:rPr>
          <w:color w:val="000000"/>
          <w:spacing w:val="-69"/>
          <w:w w:val="15"/>
          <w:shd w:val="solid" w:color="000000" w:fill="000000"/>
          <w:fitText w:val="-20" w:id="-1422114815"/>
          <w14:textFill>
            <w14:solidFill>
              <w14:srgbClr w14:val="000000">
                <w14:alpha w14:val="100000"/>
              </w14:srgbClr>
            </w14:solidFill>
          </w14:textFill>
        </w:rPr>
        <w:t>|</w:t>
      </w:r>
      <w:r w:rsidRPr="003B4086">
        <w:t>% to 86.4% in the watchful waiting arm during the extrapolation period. A comparison of the trial results and the model results suggested that the main benefit of adjuvant nivolumab relative to watchful waiting over the 20-year time horizon was delaying and preventing the occurrence of disease recurrence, and thus death events. The mean LYs gained increased from 0.273 during the trial period to an extrapolated 1.275 at Year 20.</w:t>
      </w:r>
    </w:p>
    <w:p w14:paraId="1883189A" w14:textId="77777777" w:rsidR="00AD68BC" w:rsidRPr="003B4086" w:rsidRDefault="005E63B4" w:rsidP="00AD68BC">
      <w:pPr>
        <w:pStyle w:val="3-BodyText"/>
      </w:pPr>
      <w:r w:rsidRPr="003B4086">
        <w:t>The base case (20 year time horizon) estimated (undiscounted) for every patient treated with nivolumab:</w:t>
      </w:r>
    </w:p>
    <w:p w14:paraId="0ED1A975" w14:textId="08FBBB40" w:rsidR="005E63B4" w:rsidRPr="003B4086" w:rsidRDefault="005E63B4" w:rsidP="00773A6D">
      <w:pPr>
        <w:pStyle w:val="3-BodyText"/>
        <w:numPr>
          <w:ilvl w:val="0"/>
          <w:numId w:val="15"/>
        </w:numPr>
      </w:pPr>
      <w:r w:rsidRPr="003B4086">
        <w:t>A primary drug cost of $</w:t>
      </w:r>
      <w:r w:rsidR="00E020DE" w:rsidRPr="00785573">
        <w:rPr>
          <w:color w:val="000000"/>
          <w:w w:val="15"/>
          <w:shd w:val="solid" w:color="000000" w:fill="000000"/>
          <w:fitText w:val="-20" w:id="-1435269883"/>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3"/>
          <w14:textFill>
            <w14:solidFill>
              <w14:srgbClr w14:val="000000">
                <w14:alpha w14:val="100000"/>
              </w14:srgbClr>
            </w14:solidFill>
          </w14:textFill>
        </w:rPr>
        <w:t>|</w:t>
      </w:r>
      <w:r w:rsidR="00AD68BC" w:rsidRPr="003B4086">
        <w:t>; and</w:t>
      </w:r>
    </w:p>
    <w:p w14:paraId="42313D85" w14:textId="228890B5" w:rsidR="005E63B4" w:rsidRPr="003B4086" w:rsidRDefault="005E63B4" w:rsidP="00773A6D">
      <w:pPr>
        <w:pStyle w:val="3-BodyText"/>
        <w:numPr>
          <w:ilvl w:val="0"/>
          <w:numId w:val="15"/>
        </w:numPr>
      </w:pPr>
      <w:r w:rsidRPr="003B4086">
        <w:t>1.275 LYs gained</w:t>
      </w:r>
      <w:r w:rsidR="00AD68BC" w:rsidRPr="003B4086">
        <w:t>.</w:t>
      </w:r>
    </w:p>
    <w:p w14:paraId="5F3B7675" w14:textId="3B72ACDA" w:rsidR="005E63B4" w:rsidRPr="003B4086" w:rsidRDefault="005E63B4" w:rsidP="005E63B4">
      <w:pPr>
        <w:pStyle w:val="3-BodyText"/>
        <w:numPr>
          <w:ilvl w:val="0"/>
          <w:numId w:val="0"/>
        </w:numPr>
        <w:ind w:left="1440" w:hanging="720"/>
      </w:pPr>
      <w:r w:rsidRPr="003B4086">
        <w:t>For every 1</w:t>
      </w:r>
      <w:r w:rsidR="00C01D38" w:rsidRPr="003B4086">
        <w:t>,</w:t>
      </w:r>
      <w:r w:rsidRPr="003B4086">
        <w:t>000 patients treated:</w:t>
      </w:r>
    </w:p>
    <w:p w14:paraId="4BA6F54C" w14:textId="42AC12D6" w:rsidR="00605910" w:rsidRPr="003B4086" w:rsidRDefault="00605910" w:rsidP="00773A6D">
      <w:pPr>
        <w:pStyle w:val="3-BodyText"/>
        <w:numPr>
          <w:ilvl w:val="0"/>
          <w:numId w:val="5"/>
        </w:numPr>
      </w:pPr>
      <w:r w:rsidRPr="003B4086">
        <w:t>Nivolumab drug cost of $</w:t>
      </w:r>
      <w:r w:rsidR="00E020DE" w:rsidRPr="00785573">
        <w:rPr>
          <w:color w:val="000000"/>
          <w:w w:val="15"/>
          <w:shd w:val="solid" w:color="000000" w:fill="000000"/>
          <w:fitText w:val="-20" w:id="-1435269882"/>
          <w14:textFill>
            <w14:solidFill>
              <w14:srgbClr w14:val="000000">
                <w14:alpha w14:val="100000"/>
              </w14:srgbClr>
            </w14:solidFill>
          </w14:textFill>
        </w:rPr>
        <w:t xml:space="preserve">|  </w:t>
      </w:r>
      <w:r w:rsidR="00E020DE" w:rsidRPr="00785573">
        <w:rPr>
          <w:color w:val="000000"/>
          <w:spacing w:val="-69"/>
          <w:w w:val="15"/>
          <w:shd w:val="solid" w:color="000000" w:fill="000000"/>
          <w:fitText w:val="-20" w:id="-1435269882"/>
          <w14:textFill>
            <w14:solidFill>
              <w14:srgbClr w14:val="000000">
                <w14:alpha w14:val="100000"/>
              </w14:srgbClr>
            </w14:solidFill>
          </w14:textFill>
        </w:rPr>
        <w:t>|</w:t>
      </w:r>
      <w:r w:rsidRPr="003B4086">
        <w:t xml:space="preserve">; </w:t>
      </w:r>
    </w:p>
    <w:p w14:paraId="5F1D45B7" w14:textId="0098A3A5" w:rsidR="00605910" w:rsidRPr="003B4086" w:rsidRDefault="00605910" w:rsidP="00773A6D">
      <w:pPr>
        <w:pStyle w:val="3-BodyText"/>
        <w:numPr>
          <w:ilvl w:val="0"/>
          <w:numId w:val="5"/>
        </w:numPr>
      </w:pPr>
      <w:r w:rsidRPr="003B4086">
        <w:t xml:space="preserve">77 recurrence events avoided; </w:t>
      </w:r>
    </w:p>
    <w:p w14:paraId="590EC935" w14:textId="7ACAAEE7" w:rsidR="005E63B4" w:rsidRPr="003B4086" w:rsidRDefault="00D04E07" w:rsidP="00773A6D">
      <w:pPr>
        <w:pStyle w:val="3-BodyText"/>
        <w:numPr>
          <w:ilvl w:val="0"/>
          <w:numId w:val="5"/>
        </w:numPr>
      </w:pPr>
      <w:r w:rsidRPr="003B4086">
        <w:t>70 more people cured</w:t>
      </w:r>
      <w:r w:rsidR="00C468A7" w:rsidRPr="003B4086">
        <w:t xml:space="preserve"> (at year 5)</w:t>
      </w:r>
      <w:r w:rsidR="00AD68BC" w:rsidRPr="003B4086">
        <w:t>;</w:t>
      </w:r>
    </w:p>
    <w:p w14:paraId="010866E9" w14:textId="77777777" w:rsidR="00605910" w:rsidRPr="003B4086" w:rsidRDefault="00605910" w:rsidP="00773A6D">
      <w:pPr>
        <w:pStyle w:val="3-BodyText"/>
        <w:numPr>
          <w:ilvl w:val="0"/>
          <w:numId w:val="5"/>
        </w:numPr>
      </w:pPr>
      <w:r w:rsidRPr="003B4086">
        <w:t xml:space="preserve">41 deaths avoided; and </w:t>
      </w:r>
    </w:p>
    <w:p w14:paraId="3A609B90" w14:textId="73574253" w:rsidR="00605910" w:rsidRPr="003B4086" w:rsidRDefault="00605910" w:rsidP="00773A6D">
      <w:pPr>
        <w:pStyle w:val="3-BodyText"/>
        <w:numPr>
          <w:ilvl w:val="0"/>
          <w:numId w:val="5"/>
        </w:numPr>
      </w:pPr>
      <w:r w:rsidRPr="003B4086">
        <w:t>1,275 LYs gained.</w:t>
      </w:r>
    </w:p>
    <w:p w14:paraId="273CAF85" w14:textId="55528C52" w:rsidR="00605910" w:rsidRPr="003B4086" w:rsidRDefault="00605910" w:rsidP="00605910">
      <w:pPr>
        <w:pStyle w:val="ListParagraph"/>
        <w:numPr>
          <w:ilvl w:val="1"/>
          <w:numId w:val="1"/>
        </w:numPr>
        <w:spacing w:after="160"/>
      </w:pPr>
      <w:r w:rsidRPr="003B4086">
        <w:t xml:space="preserve">Results of univariate and multivariate sensitivity analyses specified by the submission </w:t>
      </w:r>
      <w:r w:rsidRPr="003B4086">
        <w:rPr>
          <w:iCs/>
        </w:rPr>
        <w:t xml:space="preserve">and additional analyses conducted during the evaluation are presented in </w:t>
      </w:r>
      <w:r w:rsidRPr="003B4086">
        <w:rPr>
          <w:iCs/>
        </w:rPr>
        <w:fldChar w:fldCharType="begin"/>
      </w:r>
      <w:r w:rsidRPr="003B4086">
        <w:rPr>
          <w:iCs/>
        </w:rPr>
        <w:instrText xml:space="preserve"> REF _Ref102150717 \h  \* MERGEFORMAT </w:instrText>
      </w:r>
      <w:r w:rsidRPr="003B4086">
        <w:rPr>
          <w:iCs/>
        </w:rPr>
      </w:r>
      <w:r w:rsidRPr="003B4086">
        <w:rPr>
          <w:iCs/>
        </w:rPr>
        <w:fldChar w:fldCharType="separate"/>
      </w:r>
      <w:r w:rsidR="003366B5" w:rsidRPr="003366B5">
        <w:rPr>
          <w:iCs/>
        </w:rPr>
        <w:t>Figure 6</w:t>
      </w:r>
      <w:r w:rsidRPr="003B4086">
        <w:rPr>
          <w:iCs/>
        </w:rPr>
        <w:fldChar w:fldCharType="end"/>
      </w:r>
      <w:r w:rsidRPr="003B4086">
        <w:rPr>
          <w:iCs/>
        </w:rPr>
        <w:t xml:space="preserve"> and </w:t>
      </w:r>
      <w:r w:rsidRPr="003B4086">
        <w:rPr>
          <w:iCs/>
        </w:rPr>
        <w:fldChar w:fldCharType="begin"/>
      </w:r>
      <w:r w:rsidRPr="003B4086">
        <w:rPr>
          <w:iCs/>
        </w:rPr>
        <w:instrText xml:space="preserve"> REF _Ref102150752 \h  \* MERGEFORMAT </w:instrText>
      </w:r>
      <w:r w:rsidRPr="003B4086">
        <w:rPr>
          <w:iCs/>
        </w:rPr>
      </w:r>
      <w:r w:rsidRPr="003B4086">
        <w:rPr>
          <w:iCs/>
        </w:rPr>
        <w:fldChar w:fldCharType="separate"/>
      </w:r>
      <w:r w:rsidR="003366B5" w:rsidRPr="003B4086">
        <w:t xml:space="preserve">Table </w:t>
      </w:r>
      <w:r w:rsidR="003366B5" w:rsidRPr="003B4086">
        <w:rPr>
          <w:noProof/>
        </w:rPr>
        <w:t>16</w:t>
      </w:r>
      <w:r w:rsidRPr="003B4086">
        <w:rPr>
          <w:iCs/>
        </w:rPr>
        <w:fldChar w:fldCharType="end"/>
      </w:r>
      <w:r w:rsidRPr="003B4086">
        <w:rPr>
          <w:iCs/>
        </w:rPr>
        <w:t>.</w:t>
      </w:r>
    </w:p>
    <w:p w14:paraId="5E2635D7" w14:textId="040D7856" w:rsidR="00605910" w:rsidRPr="003B4086" w:rsidRDefault="00605910" w:rsidP="00605910">
      <w:pPr>
        <w:pStyle w:val="TableFigureHeading"/>
      </w:pPr>
      <w:bookmarkStart w:id="63" w:name="_Ref102150717"/>
      <w:r w:rsidRPr="003B4086">
        <w:rPr>
          <w:rStyle w:val="CommentReference"/>
          <w:b/>
          <w:szCs w:val="24"/>
        </w:rPr>
        <w:t xml:space="preserve">Figure </w:t>
      </w:r>
      <w:r w:rsidRPr="003B4086">
        <w:rPr>
          <w:rStyle w:val="CommentReference"/>
          <w:b/>
          <w:szCs w:val="24"/>
        </w:rPr>
        <w:fldChar w:fldCharType="begin"/>
      </w:r>
      <w:r w:rsidRPr="003B4086">
        <w:rPr>
          <w:rStyle w:val="CommentReference"/>
          <w:b/>
          <w:szCs w:val="24"/>
        </w:rPr>
        <w:instrText xml:space="preserve"> SEQ Figure \* ARABIC </w:instrText>
      </w:r>
      <w:r w:rsidRPr="003B4086">
        <w:rPr>
          <w:rStyle w:val="CommentReference"/>
          <w:b/>
          <w:szCs w:val="24"/>
        </w:rPr>
        <w:fldChar w:fldCharType="separate"/>
      </w:r>
      <w:r w:rsidR="00C6296C" w:rsidRPr="003B4086">
        <w:rPr>
          <w:rStyle w:val="CommentReference"/>
          <w:b/>
          <w:noProof/>
          <w:szCs w:val="24"/>
        </w:rPr>
        <w:t>6</w:t>
      </w:r>
      <w:r w:rsidRPr="003B4086">
        <w:rPr>
          <w:rStyle w:val="CommentReference"/>
          <w:b/>
          <w:szCs w:val="24"/>
        </w:rPr>
        <w:fldChar w:fldCharType="end"/>
      </w:r>
      <w:bookmarkEnd w:id="63"/>
      <w:r w:rsidRPr="003B4086">
        <w:rPr>
          <w:rStyle w:val="CommentReference"/>
          <w:b/>
          <w:szCs w:val="24"/>
        </w:rPr>
        <w:t>: Change in ICER over time horizon</w:t>
      </w:r>
    </w:p>
    <w:p w14:paraId="7AEC5F9B" w14:textId="0CA6A000" w:rsidR="00605910" w:rsidRPr="00C04D44" w:rsidRDefault="00C04D44" w:rsidP="00605910">
      <w:r w:rsidRPr="00C04D44">
        <w:rPr>
          <w:noProof/>
        </w:rPr>
        <w:t xml:space="preserve"> </w:t>
      </w:r>
      <w:r w:rsidRPr="00452641">
        <w:rPr>
          <w:noProof/>
          <w:color w:val="000000"/>
          <w:w w:val="63"/>
          <w:shd w:val="solid" w:color="000000" w:fill="000000"/>
          <w:fitText w:val="620" w:id="-1435267584"/>
          <w14:textFill>
            <w14:solidFill>
              <w14:srgbClr w14:val="000000">
                <w14:alpha w14:val="100000"/>
              </w14:srgbClr>
            </w14:solidFill>
          </w14:textFill>
        </w:rPr>
        <w:t>||||  ||||</w:t>
      </w:r>
    </w:p>
    <w:p w14:paraId="591CA9BB" w14:textId="7354ECC7" w:rsidR="00605910" w:rsidRPr="003B4086" w:rsidRDefault="00605910" w:rsidP="00605910">
      <w:pPr>
        <w:pStyle w:val="TableFigureFooter"/>
      </w:pPr>
      <w:r w:rsidRPr="003B4086">
        <w:rPr>
          <w:rStyle w:val="CommentReference"/>
          <w:b w:val="0"/>
          <w:sz w:val="18"/>
          <w:szCs w:val="22"/>
        </w:rPr>
        <w:t xml:space="preserve">Source: Figure constructed during the evaluation, based on </w:t>
      </w:r>
      <w:r w:rsidRPr="003B4086">
        <w:t xml:space="preserve">‘Attachment 12 </w:t>
      </w:r>
      <w:r w:rsidR="00FF0970" w:rsidRPr="003B4086">
        <w:t>–</w:t>
      </w:r>
      <w:r w:rsidRPr="003B4086">
        <w:t xml:space="preserve"> Nivolumab Adjuvant MIUC Economic Evaluation’ Excel workbook.</w:t>
      </w:r>
    </w:p>
    <w:p w14:paraId="3BA83E7B" w14:textId="77777777" w:rsidR="00605910" w:rsidRPr="003B4086" w:rsidRDefault="00605910" w:rsidP="00605910">
      <w:pPr>
        <w:pStyle w:val="TableFigureFooter"/>
        <w:rPr>
          <w:rStyle w:val="CommentReference"/>
          <w:b w:val="0"/>
          <w:sz w:val="18"/>
          <w:szCs w:val="22"/>
        </w:rPr>
      </w:pPr>
      <w:r w:rsidRPr="003B4086">
        <w:rPr>
          <w:rStyle w:val="CommentReference"/>
          <w:b w:val="0"/>
          <w:sz w:val="18"/>
          <w:szCs w:val="22"/>
        </w:rPr>
        <w:t>ICER = incremental cost-effectiveness ratio; QALYs = quality-adjusted life years</w:t>
      </w:r>
    </w:p>
    <w:p w14:paraId="4071BC77" w14:textId="77777777" w:rsidR="00605910" w:rsidRPr="003B4086" w:rsidRDefault="00605910" w:rsidP="00605910">
      <w:pPr>
        <w:pStyle w:val="TableFigureFooter"/>
      </w:pPr>
    </w:p>
    <w:p w14:paraId="6657FB84" w14:textId="1F612FB2" w:rsidR="00605910" w:rsidRPr="003B4086" w:rsidRDefault="00605910" w:rsidP="00605910">
      <w:pPr>
        <w:pStyle w:val="ListParagraph"/>
        <w:numPr>
          <w:ilvl w:val="1"/>
          <w:numId w:val="1"/>
        </w:numPr>
        <w:spacing w:after="160"/>
      </w:pPr>
      <w:r w:rsidRPr="003B4086">
        <w:t xml:space="preserve">Examining the relationship between the ICER and the time horizon of the model reveal that the ICER dropped substantially until levelling out at around 4 years at about </w:t>
      </w:r>
      <w:r w:rsidR="00D5689A" w:rsidRPr="00D5689A">
        <w:t>$115,000 to &lt; $135,000</w:t>
      </w:r>
      <w:r w:rsidRPr="003B4086">
        <w:t xml:space="preserve">/QALY gained. Then the ICER decreased gradually to less than </w:t>
      </w:r>
      <w:r w:rsidR="00D5689A" w:rsidRPr="00D5689A">
        <w:t>$45,000 to &lt; $55,000</w:t>
      </w:r>
      <w:r w:rsidRPr="003B4086">
        <w:t xml:space="preserve">/QALY gained at around 12 years before approaching </w:t>
      </w:r>
      <w:r w:rsidR="00D5689A" w:rsidRPr="00D5689A">
        <w:t>$35,000 to &lt; $45,000</w:t>
      </w:r>
      <w:r w:rsidRPr="003B4086">
        <w:t>/QALY gained at year 20.</w:t>
      </w:r>
    </w:p>
    <w:p w14:paraId="5858F26F" w14:textId="5C2EFAEE" w:rsidR="00605910" w:rsidRPr="003B4086" w:rsidRDefault="00605910" w:rsidP="00605910">
      <w:pPr>
        <w:pStyle w:val="TableFigureHeading"/>
        <w:rPr>
          <w:rStyle w:val="CommentReference"/>
          <w:b/>
        </w:rPr>
      </w:pPr>
      <w:bookmarkStart w:id="64" w:name="_Ref102150752"/>
      <w:r w:rsidRPr="003B4086">
        <w:lastRenderedPageBreak/>
        <w:t xml:space="preserve">Table </w:t>
      </w:r>
      <w:r w:rsidR="00785573">
        <w:fldChar w:fldCharType="begin"/>
      </w:r>
      <w:r w:rsidR="00785573">
        <w:instrText xml:space="preserve"> SEQ Table \* ARABIC </w:instrText>
      </w:r>
      <w:r w:rsidR="00785573">
        <w:fldChar w:fldCharType="separate"/>
      </w:r>
      <w:r w:rsidR="00C6296C" w:rsidRPr="003B4086">
        <w:rPr>
          <w:noProof/>
        </w:rPr>
        <w:t>16</w:t>
      </w:r>
      <w:r w:rsidR="00785573">
        <w:rPr>
          <w:noProof/>
        </w:rPr>
        <w:fldChar w:fldCharType="end"/>
      </w:r>
      <w:bookmarkEnd w:id="64"/>
      <w:r w:rsidRPr="003B4086">
        <w:rPr>
          <w:rStyle w:val="CommentReference"/>
          <w:b/>
        </w:rPr>
        <w:t>: Results of sensitivity analyses</w:t>
      </w:r>
    </w:p>
    <w:tbl>
      <w:tblPr>
        <w:tblStyle w:val="TableGrid"/>
        <w:tblW w:w="5000" w:type="pct"/>
        <w:tblLook w:val="04A0" w:firstRow="1" w:lastRow="0" w:firstColumn="1" w:lastColumn="0" w:noHBand="0" w:noVBand="1"/>
      </w:tblPr>
      <w:tblGrid>
        <w:gridCol w:w="790"/>
        <w:gridCol w:w="2312"/>
        <w:gridCol w:w="1875"/>
        <w:gridCol w:w="1875"/>
        <w:gridCol w:w="1082"/>
        <w:gridCol w:w="1082"/>
      </w:tblGrid>
      <w:tr w:rsidR="00605910" w:rsidRPr="003B4086" w14:paraId="13F28DBD" w14:textId="77777777" w:rsidTr="00D83473">
        <w:tc>
          <w:tcPr>
            <w:tcW w:w="438" w:type="pct"/>
            <w:tcBorders>
              <w:top w:val="single" w:sz="4" w:space="0" w:color="auto"/>
              <w:left w:val="single" w:sz="4" w:space="0" w:color="auto"/>
              <w:bottom w:val="single" w:sz="4" w:space="0" w:color="auto"/>
              <w:right w:val="single" w:sz="4" w:space="0" w:color="auto"/>
            </w:tcBorders>
            <w:shd w:val="clear" w:color="auto" w:fill="auto"/>
          </w:tcPr>
          <w:p w14:paraId="67597359" w14:textId="77777777" w:rsidR="00605910" w:rsidRPr="003B4086" w:rsidRDefault="00605910" w:rsidP="00D83473">
            <w:pPr>
              <w:pStyle w:val="TableText0"/>
              <w:rPr>
                <w:b/>
              </w:rPr>
            </w:pP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6DAB142A" w14:textId="77777777" w:rsidR="00605910" w:rsidRPr="003B4086" w:rsidRDefault="00605910" w:rsidP="00D83473">
            <w:pPr>
              <w:pStyle w:val="TableText0"/>
              <w:rPr>
                <w:b/>
              </w:rPr>
            </w:pPr>
            <w:r w:rsidRPr="003B4086">
              <w:rPr>
                <w:b/>
              </w:rPr>
              <w:t>Variable</w:t>
            </w:r>
          </w:p>
        </w:tc>
        <w:tc>
          <w:tcPr>
            <w:tcW w:w="1040" w:type="pct"/>
            <w:tcBorders>
              <w:top w:val="single" w:sz="4" w:space="0" w:color="auto"/>
              <w:left w:val="nil"/>
              <w:bottom w:val="single" w:sz="4" w:space="0" w:color="auto"/>
              <w:right w:val="single" w:sz="4" w:space="0" w:color="auto"/>
            </w:tcBorders>
            <w:shd w:val="clear" w:color="auto" w:fill="auto"/>
            <w:vAlign w:val="center"/>
          </w:tcPr>
          <w:p w14:paraId="5731929B" w14:textId="77777777" w:rsidR="00605910" w:rsidRPr="003B4086" w:rsidRDefault="00605910" w:rsidP="00D83473">
            <w:pPr>
              <w:pStyle w:val="TableText0"/>
              <w:rPr>
                <w:b/>
              </w:rPr>
            </w:pPr>
            <w:r w:rsidRPr="003B4086">
              <w:rPr>
                <w:b/>
              </w:rPr>
              <w:t>Base case</w:t>
            </w:r>
          </w:p>
        </w:tc>
        <w:tc>
          <w:tcPr>
            <w:tcW w:w="1040" w:type="pct"/>
            <w:tcBorders>
              <w:top w:val="single" w:sz="4" w:space="0" w:color="auto"/>
              <w:left w:val="nil"/>
              <w:bottom w:val="single" w:sz="4" w:space="0" w:color="auto"/>
              <w:right w:val="single" w:sz="4" w:space="0" w:color="auto"/>
            </w:tcBorders>
            <w:shd w:val="clear" w:color="auto" w:fill="auto"/>
            <w:vAlign w:val="center"/>
          </w:tcPr>
          <w:p w14:paraId="23D22E2F" w14:textId="77777777" w:rsidR="00605910" w:rsidRPr="003B4086" w:rsidRDefault="00605910" w:rsidP="00D83473">
            <w:pPr>
              <w:pStyle w:val="TableText0"/>
              <w:rPr>
                <w:b/>
              </w:rPr>
            </w:pPr>
            <w:r w:rsidRPr="003B4086">
              <w:rPr>
                <w:b/>
              </w:rPr>
              <w:t>Sensitivity analysis</w:t>
            </w:r>
          </w:p>
        </w:tc>
        <w:tc>
          <w:tcPr>
            <w:tcW w:w="600" w:type="pct"/>
            <w:tcBorders>
              <w:top w:val="single" w:sz="4" w:space="0" w:color="auto"/>
              <w:left w:val="nil"/>
              <w:bottom w:val="single" w:sz="4" w:space="0" w:color="auto"/>
              <w:right w:val="single" w:sz="4" w:space="0" w:color="auto"/>
            </w:tcBorders>
            <w:shd w:val="clear" w:color="auto" w:fill="auto"/>
            <w:vAlign w:val="center"/>
          </w:tcPr>
          <w:p w14:paraId="51428DCD" w14:textId="21172176" w:rsidR="00605910" w:rsidRPr="003B4086" w:rsidRDefault="00605910" w:rsidP="00D83473">
            <w:pPr>
              <w:pStyle w:val="TableText0"/>
              <w:jc w:val="center"/>
              <w:rPr>
                <w:b/>
              </w:rPr>
            </w:pPr>
            <w:r w:rsidRPr="003B4086">
              <w:rPr>
                <w:b/>
              </w:rPr>
              <w:t>Cost/QALY</w:t>
            </w:r>
            <w:r w:rsidR="00D5689A">
              <w:rPr>
                <w:b/>
              </w:rPr>
              <w:t xml:space="preserve"> ($)</w:t>
            </w:r>
          </w:p>
        </w:tc>
        <w:tc>
          <w:tcPr>
            <w:tcW w:w="600" w:type="pct"/>
            <w:tcBorders>
              <w:top w:val="single" w:sz="4" w:space="0" w:color="auto"/>
              <w:left w:val="nil"/>
              <w:bottom w:val="single" w:sz="4" w:space="0" w:color="auto"/>
              <w:right w:val="single" w:sz="4" w:space="0" w:color="auto"/>
            </w:tcBorders>
            <w:shd w:val="clear" w:color="auto" w:fill="auto"/>
            <w:vAlign w:val="center"/>
          </w:tcPr>
          <w:p w14:paraId="0146CB51" w14:textId="77777777" w:rsidR="00605910" w:rsidRPr="003B4086" w:rsidRDefault="00605910" w:rsidP="00D83473">
            <w:pPr>
              <w:pStyle w:val="TableText0"/>
              <w:jc w:val="center"/>
              <w:rPr>
                <w:b/>
              </w:rPr>
            </w:pPr>
            <w:r w:rsidRPr="003B4086">
              <w:rPr>
                <w:b/>
              </w:rPr>
              <w:t>% change from base case</w:t>
            </w:r>
          </w:p>
        </w:tc>
      </w:tr>
      <w:tr w:rsidR="00605910" w:rsidRPr="003B4086" w14:paraId="59D459CA" w14:textId="77777777" w:rsidTr="00D83473">
        <w:tc>
          <w:tcPr>
            <w:tcW w:w="1720" w:type="pct"/>
            <w:gridSpan w:val="2"/>
            <w:tcBorders>
              <w:top w:val="nil"/>
              <w:left w:val="single" w:sz="4" w:space="0" w:color="auto"/>
              <w:bottom w:val="single" w:sz="4" w:space="0" w:color="auto"/>
              <w:right w:val="single" w:sz="4" w:space="0" w:color="auto"/>
            </w:tcBorders>
          </w:tcPr>
          <w:p w14:paraId="5B343EB0" w14:textId="77777777" w:rsidR="00605910" w:rsidRPr="003B4086" w:rsidRDefault="00605910" w:rsidP="00D83473">
            <w:pPr>
              <w:pStyle w:val="TableText0"/>
              <w:rPr>
                <w:b/>
              </w:rPr>
            </w:pPr>
            <w:r w:rsidRPr="003B4086">
              <w:rPr>
                <w:b/>
              </w:rPr>
              <w:t>Base case </w:t>
            </w:r>
          </w:p>
        </w:tc>
        <w:tc>
          <w:tcPr>
            <w:tcW w:w="1040" w:type="pct"/>
            <w:tcBorders>
              <w:top w:val="nil"/>
              <w:left w:val="single" w:sz="4" w:space="0" w:color="auto"/>
              <w:bottom w:val="single" w:sz="4" w:space="0" w:color="auto"/>
              <w:right w:val="single" w:sz="4" w:space="0" w:color="auto"/>
            </w:tcBorders>
            <w:shd w:val="clear" w:color="auto" w:fill="auto"/>
            <w:vAlign w:val="center"/>
          </w:tcPr>
          <w:p w14:paraId="7E55BFA9" w14:textId="77777777" w:rsidR="00605910" w:rsidRPr="003B4086" w:rsidRDefault="00605910" w:rsidP="00D83473">
            <w:pPr>
              <w:pStyle w:val="TableText0"/>
            </w:pPr>
          </w:p>
        </w:tc>
        <w:tc>
          <w:tcPr>
            <w:tcW w:w="1040" w:type="pct"/>
            <w:tcBorders>
              <w:top w:val="nil"/>
              <w:left w:val="single" w:sz="4" w:space="0" w:color="auto"/>
              <w:bottom w:val="single" w:sz="4" w:space="0" w:color="auto"/>
              <w:right w:val="single" w:sz="4" w:space="0" w:color="auto"/>
            </w:tcBorders>
            <w:shd w:val="clear" w:color="auto" w:fill="auto"/>
            <w:vAlign w:val="center"/>
          </w:tcPr>
          <w:p w14:paraId="3AA6B71F" w14:textId="77777777" w:rsidR="00605910" w:rsidRPr="003B4086" w:rsidRDefault="00605910" w:rsidP="00D83473">
            <w:pPr>
              <w:pStyle w:val="TableText0"/>
            </w:pPr>
          </w:p>
        </w:tc>
        <w:tc>
          <w:tcPr>
            <w:tcW w:w="600" w:type="pct"/>
            <w:tcBorders>
              <w:top w:val="nil"/>
              <w:left w:val="nil"/>
              <w:bottom w:val="single" w:sz="4" w:space="0" w:color="auto"/>
              <w:right w:val="single" w:sz="4" w:space="0" w:color="auto"/>
            </w:tcBorders>
            <w:shd w:val="clear" w:color="auto" w:fill="auto"/>
            <w:vAlign w:val="center"/>
          </w:tcPr>
          <w:p w14:paraId="28CBFC80" w14:textId="30E28E5A" w:rsidR="00605910" w:rsidRPr="00D5689A" w:rsidRDefault="00E020DE" w:rsidP="00D83473">
            <w:pPr>
              <w:pStyle w:val="TableText0"/>
              <w:jc w:val="center"/>
              <w:rPr>
                <w:highlight w:val="lightGray"/>
              </w:rPr>
            </w:pPr>
            <w:r w:rsidRPr="00C04D44">
              <w:rPr>
                <w:color w:val="000000"/>
                <w:spacing w:val="34"/>
                <w:shd w:val="solid" w:color="000000" w:fill="000000"/>
                <w:fitText w:val="430" w:id="-1435269881"/>
                <w14:textFill>
                  <w14:solidFill>
                    <w14:srgbClr w14:val="000000">
                      <w14:alpha w14:val="100000"/>
                    </w14:srgbClr>
                  </w14:solidFill>
                </w14:textFill>
              </w:rPr>
              <w:t>|||||</w:t>
            </w:r>
            <w:r w:rsidRPr="00C04D44">
              <w:rPr>
                <w:color w:val="000000"/>
                <w:spacing w:val="5"/>
                <w:shd w:val="solid" w:color="000000" w:fill="000000"/>
                <w:fitText w:val="430" w:id="-1435269881"/>
                <w14:textFill>
                  <w14:solidFill>
                    <w14:srgbClr w14:val="000000">
                      <w14:alpha w14:val="100000"/>
                    </w14:srgbClr>
                  </w14:solidFill>
                </w14:textFill>
              </w:rPr>
              <w:t>|</w:t>
            </w:r>
            <w:r w:rsidR="00D5689A" w:rsidRPr="00D5689A">
              <w:rPr>
                <w:vertAlign w:val="superscript"/>
              </w:rPr>
              <w:t>1</w:t>
            </w:r>
          </w:p>
        </w:tc>
        <w:tc>
          <w:tcPr>
            <w:tcW w:w="600" w:type="pct"/>
            <w:tcBorders>
              <w:top w:val="nil"/>
              <w:left w:val="nil"/>
              <w:bottom w:val="single" w:sz="4" w:space="0" w:color="auto"/>
              <w:right w:val="single" w:sz="4" w:space="0" w:color="auto"/>
            </w:tcBorders>
            <w:shd w:val="clear" w:color="auto" w:fill="auto"/>
            <w:vAlign w:val="center"/>
          </w:tcPr>
          <w:p w14:paraId="34A284FB" w14:textId="77777777" w:rsidR="00605910" w:rsidRPr="003B4086" w:rsidRDefault="00605910" w:rsidP="00D83473">
            <w:pPr>
              <w:pStyle w:val="TableText0"/>
              <w:jc w:val="center"/>
            </w:pPr>
            <w:r w:rsidRPr="003B4086">
              <w:t>-</w:t>
            </w:r>
          </w:p>
        </w:tc>
      </w:tr>
      <w:tr w:rsidR="00605910" w:rsidRPr="003B4086" w14:paraId="4E4E7295" w14:textId="77777777" w:rsidTr="00D83473">
        <w:tc>
          <w:tcPr>
            <w:tcW w:w="438" w:type="pct"/>
            <w:tcBorders>
              <w:top w:val="nil"/>
              <w:left w:val="single" w:sz="4" w:space="0" w:color="auto"/>
              <w:right w:val="single" w:sz="4" w:space="0" w:color="auto"/>
            </w:tcBorders>
          </w:tcPr>
          <w:p w14:paraId="42857499" w14:textId="77777777" w:rsidR="00605910" w:rsidRPr="003B4086" w:rsidRDefault="00605910" w:rsidP="00D83473">
            <w:pPr>
              <w:pStyle w:val="TableText0"/>
            </w:pPr>
            <w:r w:rsidRPr="003B4086">
              <w:t>SA.1</w:t>
            </w:r>
          </w:p>
        </w:tc>
        <w:tc>
          <w:tcPr>
            <w:tcW w:w="1282" w:type="pct"/>
            <w:vMerge w:val="restart"/>
            <w:tcBorders>
              <w:top w:val="nil"/>
              <w:left w:val="single" w:sz="4" w:space="0" w:color="auto"/>
              <w:right w:val="single" w:sz="4" w:space="0" w:color="auto"/>
            </w:tcBorders>
            <w:shd w:val="clear" w:color="auto" w:fill="auto"/>
            <w:vAlign w:val="center"/>
          </w:tcPr>
          <w:p w14:paraId="14D6DFBC" w14:textId="77777777" w:rsidR="00605910" w:rsidRPr="003B4086" w:rsidRDefault="00605910" w:rsidP="00D83473">
            <w:pPr>
              <w:pStyle w:val="TableText0"/>
            </w:pPr>
            <w:r w:rsidRPr="003B4086">
              <w:t>Time horizon</w:t>
            </w:r>
          </w:p>
        </w:tc>
        <w:tc>
          <w:tcPr>
            <w:tcW w:w="1040" w:type="pct"/>
            <w:vMerge w:val="restart"/>
            <w:tcBorders>
              <w:top w:val="nil"/>
              <w:left w:val="single" w:sz="4" w:space="0" w:color="auto"/>
              <w:right w:val="single" w:sz="4" w:space="0" w:color="auto"/>
            </w:tcBorders>
            <w:shd w:val="clear" w:color="auto" w:fill="auto"/>
            <w:vAlign w:val="center"/>
          </w:tcPr>
          <w:p w14:paraId="1251F416" w14:textId="77777777" w:rsidR="00605910" w:rsidRPr="003B4086" w:rsidRDefault="00605910" w:rsidP="00D83473">
            <w:pPr>
              <w:pStyle w:val="TableText0"/>
            </w:pPr>
            <w:r w:rsidRPr="003B4086">
              <w:t>20 years</w:t>
            </w:r>
          </w:p>
        </w:tc>
        <w:tc>
          <w:tcPr>
            <w:tcW w:w="1040" w:type="pct"/>
            <w:tcBorders>
              <w:top w:val="nil"/>
              <w:left w:val="single" w:sz="4" w:space="0" w:color="auto"/>
              <w:bottom w:val="single" w:sz="4" w:space="0" w:color="auto"/>
              <w:right w:val="single" w:sz="4" w:space="0" w:color="auto"/>
            </w:tcBorders>
            <w:shd w:val="clear" w:color="auto" w:fill="auto"/>
            <w:vAlign w:val="center"/>
          </w:tcPr>
          <w:p w14:paraId="6D0D99BA" w14:textId="77777777" w:rsidR="00605910" w:rsidRPr="003B4086" w:rsidRDefault="00605910" w:rsidP="00D83473">
            <w:pPr>
              <w:pStyle w:val="TableText0"/>
            </w:pPr>
            <w:r w:rsidRPr="003B4086">
              <w:t>10 years</w:t>
            </w:r>
          </w:p>
        </w:tc>
        <w:tc>
          <w:tcPr>
            <w:tcW w:w="600" w:type="pct"/>
            <w:tcBorders>
              <w:top w:val="nil"/>
              <w:left w:val="nil"/>
              <w:bottom w:val="single" w:sz="4" w:space="0" w:color="auto"/>
              <w:right w:val="single" w:sz="4" w:space="0" w:color="auto"/>
            </w:tcBorders>
            <w:shd w:val="clear" w:color="auto" w:fill="auto"/>
            <w:vAlign w:val="center"/>
          </w:tcPr>
          <w:p w14:paraId="3DCF5514" w14:textId="2F8D2D45" w:rsidR="00605910" w:rsidRPr="00D5689A" w:rsidRDefault="00E020DE" w:rsidP="00D83473">
            <w:pPr>
              <w:pStyle w:val="TableText0"/>
              <w:jc w:val="center"/>
              <w:rPr>
                <w:highlight w:val="lightGray"/>
                <w:vertAlign w:val="superscript"/>
              </w:rPr>
            </w:pPr>
            <w:r w:rsidRPr="00C04D44">
              <w:rPr>
                <w:color w:val="000000"/>
                <w:spacing w:val="34"/>
                <w:shd w:val="solid" w:color="000000" w:fill="000000"/>
                <w:fitText w:val="430" w:id="-1435269880"/>
                <w14:textFill>
                  <w14:solidFill>
                    <w14:srgbClr w14:val="000000">
                      <w14:alpha w14:val="100000"/>
                    </w14:srgbClr>
                  </w14:solidFill>
                </w14:textFill>
              </w:rPr>
              <w:t>|||||</w:t>
            </w:r>
            <w:r w:rsidRPr="00C04D44">
              <w:rPr>
                <w:color w:val="000000"/>
                <w:spacing w:val="5"/>
                <w:shd w:val="solid" w:color="000000" w:fill="000000"/>
                <w:fitText w:val="430" w:id="-1435269880"/>
                <w14:textFill>
                  <w14:solidFill>
                    <w14:srgbClr w14:val="000000">
                      <w14:alpha w14:val="100000"/>
                    </w14:srgbClr>
                  </w14:solidFill>
                </w14:textFill>
              </w:rPr>
              <w:t>|</w:t>
            </w:r>
            <w:r w:rsidR="00D5689A" w:rsidRPr="00D5689A">
              <w:rPr>
                <w:vertAlign w:val="superscript"/>
              </w:rPr>
              <w:t>2</w:t>
            </w:r>
          </w:p>
        </w:tc>
        <w:tc>
          <w:tcPr>
            <w:tcW w:w="600" w:type="pct"/>
            <w:tcBorders>
              <w:top w:val="nil"/>
              <w:left w:val="nil"/>
              <w:bottom w:val="single" w:sz="4" w:space="0" w:color="auto"/>
              <w:right w:val="single" w:sz="4" w:space="0" w:color="auto"/>
            </w:tcBorders>
            <w:shd w:val="clear" w:color="auto" w:fill="auto"/>
            <w:vAlign w:val="center"/>
          </w:tcPr>
          <w:p w14:paraId="55FFB84E" w14:textId="77777777" w:rsidR="00605910" w:rsidRPr="003B4086" w:rsidRDefault="00605910" w:rsidP="00D83473">
            <w:pPr>
              <w:pStyle w:val="TableText0"/>
              <w:jc w:val="center"/>
            </w:pPr>
            <w:r w:rsidRPr="003B4086">
              <w:t>43%</w:t>
            </w:r>
          </w:p>
        </w:tc>
      </w:tr>
      <w:tr w:rsidR="00605910" w:rsidRPr="003B4086" w14:paraId="551FE00A" w14:textId="77777777" w:rsidTr="00D83473">
        <w:trPr>
          <w:trHeight w:val="60"/>
        </w:trPr>
        <w:tc>
          <w:tcPr>
            <w:tcW w:w="438" w:type="pct"/>
            <w:tcBorders>
              <w:left w:val="single" w:sz="4" w:space="0" w:color="auto"/>
              <w:right w:val="single" w:sz="4" w:space="0" w:color="auto"/>
            </w:tcBorders>
          </w:tcPr>
          <w:p w14:paraId="328EADB3" w14:textId="77777777" w:rsidR="00605910" w:rsidRPr="003B4086" w:rsidRDefault="00605910" w:rsidP="00D83473">
            <w:pPr>
              <w:pStyle w:val="TableText0"/>
            </w:pPr>
            <w:r w:rsidRPr="003B4086">
              <w:t>SA.2</w:t>
            </w:r>
          </w:p>
        </w:tc>
        <w:tc>
          <w:tcPr>
            <w:tcW w:w="1282" w:type="pct"/>
            <w:vMerge/>
            <w:tcBorders>
              <w:left w:val="single" w:sz="4" w:space="0" w:color="auto"/>
              <w:right w:val="single" w:sz="4" w:space="0" w:color="auto"/>
            </w:tcBorders>
            <w:shd w:val="clear" w:color="auto" w:fill="auto"/>
            <w:vAlign w:val="center"/>
          </w:tcPr>
          <w:p w14:paraId="26AA7143" w14:textId="77777777" w:rsidR="00605910" w:rsidRPr="003B4086" w:rsidRDefault="00605910" w:rsidP="00D83473">
            <w:pPr>
              <w:pStyle w:val="TableText0"/>
            </w:pPr>
          </w:p>
        </w:tc>
        <w:tc>
          <w:tcPr>
            <w:tcW w:w="1040" w:type="pct"/>
            <w:vMerge/>
            <w:tcBorders>
              <w:left w:val="single" w:sz="4" w:space="0" w:color="auto"/>
              <w:right w:val="single" w:sz="4" w:space="0" w:color="auto"/>
            </w:tcBorders>
            <w:shd w:val="clear" w:color="auto" w:fill="auto"/>
            <w:vAlign w:val="center"/>
          </w:tcPr>
          <w:p w14:paraId="73C7EAE2" w14:textId="77777777" w:rsidR="00605910" w:rsidRPr="003B4086" w:rsidRDefault="00605910" w:rsidP="00D83473">
            <w:pPr>
              <w:pStyle w:val="TableText0"/>
            </w:pPr>
          </w:p>
        </w:tc>
        <w:tc>
          <w:tcPr>
            <w:tcW w:w="1040" w:type="pct"/>
            <w:tcBorders>
              <w:top w:val="nil"/>
              <w:left w:val="nil"/>
              <w:right w:val="single" w:sz="4" w:space="0" w:color="auto"/>
            </w:tcBorders>
            <w:shd w:val="clear" w:color="auto" w:fill="auto"/>
            <w:vAlign w:val="center"/>
          </w:tcPr>
          <w:p w14:paraId="578ACE3F" w14:textId="77777777" w:rsidR="00605910" w:rsidRPr="003B4086" w:rsidRDefault="00605910" w:rsidP="00D83473">
            <w:pPr>
              <w:pStyle w:val="TableText0"/>
            </w:pPr>
            <w:r w:rsidRPr="003B4086">
              <w:t>15 years</w:t>
            </w:r>
          </w:p>
        </w:tc>
        <w:tc>
          <w:tcPr>
            <w:tcW w:w="600" w:type="pct"/>
            <w:tcBorders>
              <w:top w:val="nil"/>
              <w:left w:val="nil"/>
              <w:right w:val="single" w:sz="4" w:space="0" w:color="auto"/>
            </w:tcBorders>
            <w:shd w:val="clear" w:color="auto" w:fill="auto"/>
            <w:vAlign w:val="center"/>
          </w:tcPr>
          <w:p w14:paraId="03172154" w14:textId="0581A167" w:rsidR="00605910" w:rsidRPr="00D5689A" w:rsidRDefault="00E020DE" w:rsidP="00D83473">
            <w:pPr>
              <w:pStyle w:val="TableText0"/>
              <w:jc w:val="center"/>
              <w:rPr>
                <w:rFonts w:ascii="Arial" w:hAnsi="Arial" w:cs="Arial"/>
                <w:szCs w:val="20"/>
                <w:highlight w:val="lightGray"/>
              </w:rPr>
            </w:pPr>
            <w:r w:rsidRPr="00C04D44">
              <w:rPr>
                <w:color w:val="000000"/>
                <w:spacing w:val="34"/>
                <w:shd w:val="solid" w:color="000000" w:fill="000000"/>
                <w:fitText w:val="430" w:id="-1435269879"/>
                <w14:textFill>
                  <w14:solidFill>
                    <w14:srgbClr w14:val="000000">
                      <w14:alpha w14:val="100000"/>
                    </w14:srgbClr>
                  </w14:solidFill>
                </w14:textFill>
              </w:rPr>
              <w:t>|||||</w:t>
            </w:r>
            <w:r w:rsidRPr="00C04D44">
              <w:rPr>
                <w:color w:val="000000"/>
                <w:spacing w:val="5"/>
                <w:shd w:val="solid" w:color="000000" w:fill="000000"/>
                <w:fitText w:val="430" w:id="-1435269879"/>
                <w14:textFill>
                  <w14:solidFill>
                    <w14:srgbClr w14:val="000000">
                      <w14:alpha w14:val="100000"/>
                    </w14:srgbClr>
                  </w14:solidFill>
                </w14:textFill>
              </w:rPr>
              <w:t>|</w:t>
            </w:r>
            <w:r w:rsidR="00D5689A" w:rsidRPr="00D5689A">
              <w:rPr>
                <w:vertAlign w:val="superscript"/>
              </w:rPr>
              <w:t>1</w:t>
            </w:r>
          </w:p>
        </w:tc>
        <w:tc>
          <w:tcPr>
            <w:tcW w:w="600" w:type="pct"/>
            <w:tcBorders>
              <w:top w:val="nil"/>
              <w:left w:val="nil"/>
              <w:right w:val="single" w:sz="8" w:space="0" w:color="auto"/>
            </w:tcBorders>
            <w:shd w:val="clear" w:color="auto" w:fill="auto"/>
            <w:vAlign w:val="center"/>
          </w:tcPr>
          <w:p w14:paraId="29665036" w14:textId="77777777" w:rsidR="00605910" w:rsidRPr="003B4086" w:rsidRDefault="00605910" w:rsidP="00D83473">
            <w:pPr>
              <w:pStyle w:val="TableText0"/>
              <w:jc w:val="center"/>
            </w:pPr>
            <w:r w:rsidRPr="003B4086">
              <w:t>13%</w:t>
            </w:r>
          </w:p>
        </w:tc>
      </w:tr>
      <w:tr w:rsidR="00605910" w:rsidRPr="003B4086" w14:paraId="37076C91" w14:textId="77777777" w:rsidTr="00D83473">
        <w:tc>
          <w:tcPr>
            <w:tcW w:w="438" w:type="pct"/>
            <w:tcBorders>
              <w:top w:val="nil"/>
              <w:left w:val="single" w:sz="4" w:space="0" w:color="auto"/>
              <w:right w:val="single" w:sz="4" w:space="0" w:color="auto"/>
            </w:tcBorders>
          </w:tcPr>
          <w:p w14:paraId="42E2C7DC" w14:textId="77777777" w:rsidR="00605910" w:rsidRPr="003B4086" w:rsidRDefault="00605910" w:rsidP="00D83473">
            <w:pPr>
              <w:pStyle w:val="TableText0"/>
            </w:pPr>
            <w:r w:rsidRPr="003B4086">
              <w:t>SA.3</w:t>
            </w:r>
          </w:p>
        </w:tc>
        <w:tc>
          <w:tcPr>
            <w:tcW w:w="1282" w:type="pct"/>
            <w:vMerge w:val="restart"/>
            <w:tcBorders>
              <w:top w:val="nil"/>
              <w:left w:val="single" w:sz="4" w:space="0" w:color="auto"/>
              <w:right w:val="single" w:sz="4" w:space="0" w:color="auto"/>
            </w:tcBorders>
            <w:shd w:val="clear" w:color="auto" w:fill="auto"/>
            <w:vAlign w:val="center"/>
          </w:tcPr>
          <w:p w14:paraId="111A0FCD" w14:textId="77777777" w:rsidR="00605910" w:rsidRPr="003B4086" w:rsidRDefault="00605910" w:rsidP="00D83473">
            <w:pPr>
              <w:pStyle w:val="TableText0"/>
            </w:pPr>
            <w:r w:rsidRPr="003B4086">
              <w:t>Extrapolation of nivolumab DFS</w:t>
            </w:r>
          </w:p>
        </w:tc>
        <w:tc>
          <w:tcPr>
            <w:tcW w:w="1040" w:type="pct"/>
            <w:vMerge w:val="restart"/>
            <w:tcBorders>
              <w:top w:val="nil"/>
              <w:left w:val="single" w:sz="4" w:space="0" w:color="auto"/>
              <w:right w:val="single" w:sz="4" w:space="0" w:color="auto"/>
            </w:tcBorders>
            <w:shd w:val="clear" w:color="auto" w:fill="auto"/>
            <w:vAlign w:val="center"/>
          </w:tcPr>
          <w:p w14:paraId="497889E5" w14:textId="49770DBB" w:rsidR="00605910" w:rsidRPr="003B4086" w:rsidRDefault="00605910" w:rsidP="00D83473">
            <w:pPr>
              <w:pStyle w:val="TableText0"/>
            </w:pPr>
            <w:r w:rsidRPr="003B4086">
              <w:t>Generalised</w:t>
            </w:r>
            <w:r w:rsidR="00BC703C" w:rsidRPr="003B4086">
              <w:t xml:space="preserve"> gamma</w:t>
            </w:r>
          </w:p>
        </w:tc>
        <w:tc>
          <w:tcPr>
            <w:tcW w:w="1040" w:type="pct"/>
            <w:tcBorders>
              <w:top w:val="nil"/>
              <w:left w:val="nil"/>
              <w:bottom w:val="single" w:sz="4" w:space="0" w:color="auto"/>
              <w:right w:val="single" w:sz="4" w:space="0" w:color="auto"/>
            </w:tcBorders>
            <w:shd w:val="clear" w:color="auto" w:fill="auto"/>
          </w:tcPr>
          <w:p w14:paraId="304EF055" w14:textId="77777777" w:rsidR="00605910" w:rsidRPr="003B4086" w:rsidRDefault="00605910" w:rsidP="00D83473">
            <w:pPr>
              <w:pStyle w:val="TableText0"/>
            </w:pPr>
            <w:r w:rsidRPr="003B4086">
              <w:t>Log-logistic</w:t>
            </w:r>
          </w:p>
        </w:tc>
        <w:tc>
          <w:tcPr>
            <w:tcW w:w="600" w:type="pct"/>
            <w:tcBorders>
              <w:top w:val="nil"/>
              <w:left w:val="nil"/>
              <w:bottom w:val="single" w:sz="4" w:space="0" w:color="auto"/>
              <w:right w:val="single" w:sz="4" w:space="0" w:color="auto"/>
            </w:tcBorders>
            <w:shd w:val="clear" w:color="auto" w:fill="auto"/>
          </w:tcPr>
          <w:p w14:paraId="5F66B40F" w14:textId="229459BF" w:rsidR="00605910" w:rsidRPr="00D5689A" w:rsidRDefault="00E020DE" w:rsidP="00D83473">
            <w:pPr>
              <w:pStyle w:val="TableText0"/>
              <w:jc w:val="center"/>
              <w:rPr>
                <w:highlight w:val="lightGray"/>
              </w:rPr>
            </w:pPr>
            <w:r w:rsidRPr="00C04D44">
              <w:rPr>
                <w:color w:val="000000"/>
                <w:spacing w:val="34"/>
                <w:szCs w:val="20"/>
                <w:shd w:val="solid" w:color="000000" w:fill="000000"/>
                <w:fitText w:val="430" w:id="-1435269878"/>
                <w14:textFill>
                  <w14:solidFill>
                    <w14:srgbClr w14:val="000000">
                      <w14:alpha w14:val="100000"/>
                    </w14:srgbClr>
                  </w14:solidFill>
                </w14:textFill>
              </w:rPr>
              <w:t>|||||</w:t>
            </w:r>
            <w:r w:rsidRPr="00C04D44">
              <w:rPr>
                <w:color w:val="000000"/>
                <w:spacing w:val="5"/>
                <w:szCs w:val="20"/>
                <w:shd w:val="solid" w:color="000000" w:fill="000000"/>
                <w:fitText w:val="430" w:id="-1435269878"/>
                <w14:textFill>
                  <w14:solidFill>
                    <w14:srgbClr w14:val="000000">
                      <w14:alpha w14:val="100000"/>
                    </w14:srgbClr>
                  </w14:solidFill>
                </w14:textFill>
              </w:rPr>
              <w:t>|</w:t>
            </w:r>
            <w:r w:rsidR="00D5689A" w:rsidRPr="00D5689A">
              <w:rPr>
                <w:szCs w:val="20"/>
                <w:vertAlign w:val="superscript"/>
              </w:rPr>
              <w:t>3</w:t>
            </w:r>
          </w:p>
        </w:tc>
        <w:tc>
          <w:tcPr>
            <w:tcW w:w="600" w:type="pct"/>
            <w:tcBorders>
              <w:top w:val="nil"/>
              <w:left w:val="nil"/>
              <w:bottom w:val="single" w:sz="8" w:space="0" w:color="auto"/>
              <w:right w:val="single" w:sz="8" w:space="0" w:color="auto"/>
            </w:tcBorders>
            <w:shd w:val="clear" w:color="auto" w:fill="auto"/>
            <w:vAlign w:val="bottom"/>
          </w:tcPr>
          <w:p w14:paraId="021692B9" w14:textId="77777777" w:rsidR="00605910" w:rsidRPr="003B4086" w:rsidRDefault="00605910" w:rsidP="00D83473">
            <w:pPr>
              <w:pStyle w:val="TableText0"/>
              <w:jc w:val="center"/>
            </w:pPr>
            <w:r w:rsidRPr="003B4086">
              <w:rPr>
                <w:szCs w:val="20"/>
              </w:rPr>
              <w:t>27%</w:t>
            </w:r>
          </w:p>
        </w:tc>
      </w:tr>
      <w:tr w:rsidR="00605910" w:rsidRPr="003B4086" w14:paraId="470AF66B" w14:textId="77777777" w:rsidTr="00D83473">
        <w:tc>
          <w:tcPr>
            <w:tcW w:w="438" w:type="pct"/>
            <w:tcBorders>
              <w:left w:val="single" w:sz="4" w:space="0" w:color="auto"/>
              <w:right w:val="single" w:sz="4" w:space="0" w:color="auto"/>
            </w:tcBorders>
          </w:tcPr>
          <w:p w14:paraId="32DCDAB5" w14:textId="77777777" w:rsidR="00605910" w:rsidRPr="003B4086" w:rsidRDefault="00605910" w:rsidP="00D83473">
            <w:pPr>
              <w:pStyle w:val="TableText0"/>
            </w:pPr>
            <w:r w:rsidRPr="003B4086">
              <w:t>SA.4</w:t>
            </w:r>
          </w:p>
        </w:tc>
        <w:tc>
          <w:tcPr>
            <w:tcW w:w="1282" w:type="pct"/>
            <w:vMerge/>
            <w:tcBorders>
              <w:left w:val="single" w:sz="4" w:space="0" w:color="auto"/>
              <w:right w:val="single" w:sz="4" w:space="0" w:color="auto"/>
            </w:tcBorders>
            <w:shd w:val="clear" w:color="auto" w:fill="auto"/>
            <w:vAlign w:val="center"/>
          </w:tcPr>
          <w:p w14:paraId="5DBF2F0A" w14:textId="77777777" w:rsidR="00605910" w:rsidRPr="003B4086" w:rsidRDefault="00605910" w:rsidP="00D83473">
            <w:pPr>
              <w:pStyle w:val="TableText0"/>
            </w:pPr>
          </w:p>
        </w:tc>
        <w:tc>
          <w:tcPr>
            <w:tcW w:w="1040" w:type="pct"/>
            <w:vMerge/>
            <w:tcBorders>
              <w:left w:val="single" w:sz="4" w:space="0" w:color="auto"/>
              <w:right w:val="single" w:sz="4" w:space="0" w:color="auto"/>
            </w:tcBorders>
            <w:shd w:val="clear" w:color="auto" w:fill="auto"/>
            <w:vAlign w:val="center"/>
          </w:tcPr>
          <w:p w14:paraId="0A7C71F2" w14:textId="77777777" w:rsidR="00605910" w:rsidRPr="003B4086" w:rsidRDefault="00605910" w:rsidP="00D83473">
            <w:pPr>
              <w:pStyle w:val="TableText0"/>
            </w:pPr>
          </w:p>
        </w:tc>
        <w:tc>
          <w:tcPr>
            <w:tcW w:w="1040" w:type="pct"/>
            <w:tcBorders>
              <w:top w:val="nil"/>
              <w:left w:val="nil"/>
              <w:bottom w:val="single" w:sz="4" w:space="0" w:color="auto"/>
              <w:right w:val="single" w:sz="4" w:space="0" w:color="auto"/>
            </w:tcBorders>
            <w:shd w:val="clear" w:color="auto" w:fill="auto"/>
          </w:tcPr>
          <w:p w14:paraId="632C0630" w14:textId="77777777" w:rsidR="00605910" w:rsidRPr="003B4086" w:rsidRDefault="00605910" w:rsidP="00D83473">
            <w:pPr>
              <w:pStyle w:val="TableText0"/>
            </w:pPr>
            <w:r w:rsidRPr="003B4086">
              <w:t>Gompertz</w:t>
            </w:r>
          </w:p>
        </w:tc>
        <w:tc>
          <w:tcPr>
            <w:tcW w:w="600" w:type="pct"/>
            <w:tcBorders>
              <w:top w:val="nil"/>
              <w:left w:val="nil"/>
              <w:bottom w:val="single" w:sz="4" w:space="0" w:color="auto"/>
              <w:right w:val="single" w:sz="4" w:space="0" w:color="auto"/>
            </w:tcBorders>
            <w:shd w:val="clear" w:color="auto" w:fill="auto"/>
          </w:tcPr>
          <w:p w14:paraId="2AF63EE6" w14:textId="48094E36" w:rsidR="00605910" w:rsidRPr="00D5689A" w:rsidRDefault="00E020DE" w:rsidP="00D83473">
            <w:pPr>
              <w:pStyle w:val="TableText0"/>
              <w:jc w:val="center"/>
              <w:rPr>
                <w:highlight w:val="lightGray"/>
              </w:rPr>
            </w:pPr>
            <w:r w:rsidRPr="00C04D44">
              <w:rPr>
                <w:color w:val="000000"/>
                <w:spacing w:val="34"/>
                <w:szCs w:val="20"/>
                <w:shd w:val="solid" w:color="000000" w:fill="000000"/>
                <w:fitText w:val="430" w:id="-1435269877"/>
                <w14:textFill>
                  <w14:solidFill>
                    <w14:srgbClr w14:val="000000">
                      <w14:alpha w14:val="100000"/>
                    </w14:srgbClr>
                  </w14:solidFill>
                </w14:textFill>
              </w:rPr>
              <w:t>|||||</w:t>
            </w:r>
            <w:r w:rsidRPr="00C04D44">
              <w:rPr>
                <w:color w:val="000000"/>
                <w:spacing w:val="5"/>
                <w:szCs w:val="20"/>
                <w:shd w:val="solid" w:color="000000" w:fill="000000"/>
                <w:fitText w:val="430" w:id="-1435269877"/>
                <w14:textFill>
                  <w14:solidFill>
                    <w14:srgbClr w14:val="000000">
                      <w14:alpha w14:val="100000"/>
                    </w14:srgbClr>
                  </w14:solidFill>
                </w14:textFill>
              </w:rPr>
              <w:t>|</w:t>
            </w:r>
            <w:r w:rsidR="00D5689A" w:rsidRPr="00D5689A">
              <w:rPr>
                <w:szCs w:val="20"/>
                <w:vertAlign w:val="superscript"/>
              </w:rPr>
              <w:t>4</w:t>
            </w:r>
          </w:p>
        </w:tc>
        <w:tc>
          <w:tcPr>
            <w:tcW w:w="600" w:type="pct"/>
            <w:tcBorders>
              <w:top w:val="nil"/>
              <w:left w:val="nil"/>
              <w:bottom w:val="single" w:sz="8" w:space="0" w:color="auto"/>
              <w:right w:val="single" w:sz="8" w:space="0" w:color="auto"/>
            </w:tcBorders>
            <w:shd w:val="clear" w:color="auto" w:fill="auto"/>
            <w:vAlign w:val="bottom"/>
          </w:tcPr>
          <w:p w14:paraId="43D7C0C4" w14:textId="77777777" w:rsidR="00605910" w:rsidRPr="003B4086" w:rsidRDefault="00605910" w:rsidP="00D83473">
            <w:pPr>
              <w:pStyle w:val="TableText0"/>
              <w:jc w:val="center"/>
            </w:pPr>
            <w:r w:rsidRPr="003B4086">
              <w:rPr>
                <w:szCs w:val="20"/>
              </w:rPr>
              <w:t>-35%</w:t>
            </w:r>
          </w:p>
        </w:tc>
      </w:tr>
      <w:tr w:rsidR="00605910" w:rsidRPr="003B4086" w14:paraId="160C5C01" w14:textId="77777777" w:rsidTr="00D83473">
        <w:trPr>
          <w:trHeight w:val="111"/>
        </w:trPr>
        <w:tc>
          <w:tcPr>
            <w:tcW w:w="438" w:type="pct"/>
            <w:tcBorders>
              <w:left w:val="single" w:sz="4" w:space="0" w:color="auto"/>
              <w:right w:val="single" w:sz="4" w:space="0" w:color="auto"/>
            </w:tcBorders>
          </w:tcPr>
          <w:p w14:paraId="0A9C5133" w14:textId="77777777" w:rsidR="00605910" w:rsidRPr="003B4086" w:rsidRDefault="00605910" w:rsidP="00D83473">
            <w:pPr>
              <w:pStyle w:val="TableText0"/>
            </w:pPr>
            <w:r w:rsidRPr="003B4086">
              <w:t>SA.5</w:t>
            </w:r>
          </w:p>
        </w:tc>
        <w:tc>
          <w:tcPr>
            <w:tcW w:w="1282" w:type="pct"/>
            <w:vMerge/>
            <w:tcBorders>
              <w:left w:val="single" w:sz="4" w:space="0" w:color="auto"/>
              <w:right w:val="single" w:sz="4" w:space="0" w:color="auto"/>
            </w:tcBorders>
            <w:shd w:val="clear" w:color="auto" w:fill="auto"/>
            <w:vAlign w:val="center"/>
          </w:tcPr>
          <w:p w14:paraId="29E3BB57" w14:textId="77777777" w:rsidR="00605910" w:rsidRPr="003B4086" w:rsidRDefault="00605910" w:rsidP="00D83473">
            <w:pPr>
              <w:pStyle w:val="TableText0"/>
            </w:pPr>
          </w:p>
        </w:tc>
        <w:tc>
          <w:tcPr>
            <w:tcW w:w="1040" w:type="pct"/>
            <w:vMerge/>
            <w:tcBorders>
              <w:left w:val="single" w:sz="4" w:space="0" w:color="auto"/>
              <w:right w:val="single" w:sz="4" w:space="0" w:color="auto"/>
            </w:tcBorders>
            <w:shd w:val="clear" w:color="auto" w:fill="auto"/>
            <w:vAlign w:val="center"/>
          </w:tcPr>
          <w:p w14:paraId="2096B9B8" w14:textId="77777777" w:rsidR="00605910" w:rsidRPr="003B4086" w:rsidRDefault="00605910" w:rsidP="00D83473">
            <w:pPr>
              <w:pStyle w:val="TableText0"/>
            </w:pPr>
          </w:p>
        </w:tc>
        <w:tc>
          <w:tcPr>
            <w:tcW w:w="1040" w:type="pct"/>
            <w:tcBorders>
              <w:top w:val="nil"/>
              <w:left w:val="nil"/>
              <w:right w:val="single" w:sz="4" w:space="0" w:color="auto"/>
            </w:tcBorders>
            <w:shd w:val="clear" w:color="auto" w:fill="auto"/>
          </w:tcPr>
          <w:p w14:paraId="515F9BC3" w14:textId="77777777" w:rsidR="00605910" w:rsidRPr="003B4086" w:rsidRDefault="00605910" w:rsidP="00D83473">
            <w:pPr>
              <w:pStyle w:val="TableText0"/>
            </w:pPr>
            <w:r w:rsidRPr="003B4086">
              <w:t>Log-normal</w:t>
            </w:r>
          </w:p>
        </w:tc>
        <w:tc>
          <w:tcPr>
            <w:tcW w:w="600" w:type="pct"/>
            <w:tcBorders>
              <w:top w:val="nil"/>
              <w:left w:val="nil"/>
              <w:right w:val="single" w:sz="4" w:space="0" w:color="auto"/>
            </w:tcBorders>
            <w:shd w:val="clear" w:color="auto" w:fill="auto"/>
          </w:tcPr>
          <w:p w14:paraId="5BE77276" w14:textId="7AAF8800" w:rsidR="00605910" w:rsidRPr="00D5689A" w:rsidRDefault="00E020DE" w:rsidP="00D83473">
            <w:pPr>
              <w:pStyle w:val="TableText0"/>
              <w:jc w:val="center"/>
              <w:rPr>
                <w:highlight w:val="lightGray"/>
              </w:rPr>
            </w:pPr>
            <w:r w:rsidRPr="00C04D44">
              <w:rPr>
                <w:color w:val="000000"/>
                <w:spacing w:val="34"/>
                <w:szCs w:val="20"/>
                <w:shd w:val="solid" w:color="000000" w:fill="000000"/>
                <w:fitText w:val="430" w:id="-1435269876"/>
                <w14:textFill>
                  <w14:solidFill>
                    <w14:srgbClr w14:val="000000">
                      <w14:alpha w14:val="100000"/>
                    </w14:srgbClr>
                  </w14:solidFill>
                </w14:textFill>
              </w:rPr>
              <w:t>|||||</w:t>
            </w:r>
            <w:r w:rsidRPr="00C04D44">
              <w:rPr>
                <w:color w:val="000000"/>
                <w:spacing w:val="5"/>
                <w:szCs w:val="20"/>
                <w:shd w:val="solid" w:color="000000" w:fill="000000"/>
                <w:fitText w:val="430" w:id="-1435269876"/>
                <w14:textFill>
                  <w14:solidFill>
                    <w14:srgbClr w14:val="000000">
                      <w14:alpha w14:val="100000"/>
                    </w14:srgbClr>
                  </w14:solidFill>
                </w14:textFill>
              </w:rPr>
              <w:t>|</w:t>
            </w:r>
            <w:r w:rsidR="00D5689A" w:rsidRPr="00D5689A">
              <w:rPr>
                <w:szCs w:val="20"/>
                <w:vertAlign w:val="superscript"/>
              </w:rPr>
              <w:t>3</w:t>
            </w:r>
          </w:p>
        </w:tc>
        <w:tc>
          <w:tcPr>
            <w:tcW w:w="600" w:type="pct"/>
            <w:tcBorders>
              <w:top w:val="nil"/>
              <w:left w:val="nil"/>
              <w:right w:val="single" w:sz="8" w:space="0" w:color="auto"/>
            </w:tcBorders>
            <w:shd w:val="clear" w:color="auto" w:fill="auto"/>
            <w:vAlign w:val="bottom"/>
          </w:tcPr>
          <w:p w14:paraId="591F04EA" w14:textId="77777777" w:rsidR="00605910" w:rsidRPr="003B4086" w:rsidRDefault="00605910" w:rsidP="00D83473">
            <w:pPr>
              <w:pStyle w:val="TableText0"/>
              <w:jc w:val="center"/>
            </w:pPr>
            <w:r w:rsidRPr="003B4086">
              <w:rPr>
                <w:szCs w:val="20"/>
              </w:rPr>
              <w:t>13%</w:t>
            </w:r>
          </w:p>
        </w:tc>
      </w:tr>
      <w:tr w:rsidR="00605910" w:rsidRPr="003B4086" w14:paraId="0A061880" w14:textId="77777777" w:rsidTr="00D83473">
        <w:tc>
          <w:tcPr>
            <w:tcW w:w="438" w:type="pct"/>
            <w:tcBorders>
              <w:left w:val="single" w:sz="4" w:space="0" w:color="auto"/>
              <w:right w:val="single" w:sz="4" w:space="0" w:color="auto"/>
            </w:tcBorders>
          </w:tcPr>
          <w:p w14:paraId="7332416A" w14:textId="77777777" w:rsidR="00605910" w:rsidRPr="003B4086" w:rsidRDefault="00605910" w:rsidP="00D83473">
            <w:pPr>
              <w:pStyle w:val="TableText0"/>
            </w:pPr>
            <w:r w:rsidRPr="003B4086">
              <w:t>SA.6</w:t>
            </w:r>
          </w:p>
        </w:tc>
        <w:tc>
          <w:tcPr>
            <w:tcW w:w="1282" w:type="pct"/>
            <w:vMerge w:val="restart"/>
            <w:tcBorders>
              <w:left w:val="single" w:sz="4" w:space="0" w:color="auto"/>
              <w:right w:val="single" w:sz="4" w:space="0" w:color="auto"/>
            </w:tcBorders>
            <w:shd w:val="clear" w:color="auto" w:fill="auto"/>
            <w:vAlign w:val="center"/>
          </w:tcPr>
          <w:p w14:paraId="6A048268" w14:textId="77777777" w:rsidR="00605910" w:rsidRPr="003B4086" w:rsidRDefault="00605910" w:rsidP="00D83473">
            <w:pPr>
              <w:pStyle w:val="TableText0"/>
            </w:pPr>
            <w:r w:rsidRPr="003B4086">
              <w:t>Extrapolation of placebo DFS</w:t>
            </w:r>
          </w:p>
        </w:tc>
        <w:tc>
          <w:tcPr>
            <w:tcW w:w="1040" w:type="pct"/>
            <w:vMerge w:val="restart"/>
            <w:tcBorders>
              <w:left w:val="single" w:sz="4" w:space="0" w:color="auto"/>
              <w:right w:val="single" w:sz="4" w:space="0" w:color="auto"/>
            </w:tcBorders>
            <w:shd w:val="clear" w:color="auto" w:fill="auto"/>
            <w:vAlign w:val="center"/>
          </w:tcPr>
          <w:p w14:paraId="4A0BB635" w14:textId="77777777" w:rsidR="00605910" w:rsidRPr="003B4086" w:rsidRDefault="00605910" w:rsidP="00D83473">
            <w:pPr>
              <w:pStyle w:val="TableText0"/>
            </w:pPr>
            <w:r w:rsidRPr="003B4086">
              <w:t>Generalised gamma</w:t>
            </w:r>
          </w:p>
        </w:tc>
        <w:tc>
          <w:tcPr>
            <w:tcW w:w="1040" w:type="pct"/>
            <w:tcBorders>
              <w:top w:val="nil"/>
              <w:left w:val="nil"/>
              <w:bottom w:val="single" w:sz="4" w:space="0" w:color="auto"/>
              <w:right w:val="single" w:sz="4" w:space="0" w:color="auto"/>
            </w:tcBorders>
            <w:shd w:val="clear" w:color="auto" w:fill="auto"/>
          </w:tcPr>
          <w:p w14:paraId="3E59F4B5" w14:textId="77777777" w:rsidR="00605910" w:rsidRPr="003B4086" w:rsidRDefault="00605910" w:rsidP="00D83473">
            <w:pPr>
              <w:pStyle w:val="TableText0"/>
            </w:pPr>
            <w:r w:rsidRPr="003B4086">
              <w:t>Log-logistic</w:t>
            </w:r>
          </w:p>
        </w:tc>
        <w:tc>
          <w:tcPr>
            <w:tcW w:w="600" w:type="pct"/>
            <w:tcBorders>
              <w:top w:val="nil"/>
              <w:left w:val="nil"/>
              <w:bottom w:val="single" w:sz="4" w:space="0" w:color="auto"/>
              <w:right w:val="single" w:sz="4" w:space="0" w:color="auto"/>
            </w:tcBorders>
            <w:shd w:val="clear" w:color="auto" w:fill="auto"/>
          </w:tcPr>
          <w:p w14:paraId="1C0D9B59" w14:textId="4CF51454" w:rsidR="00605910" w:rsidRPr="00D5689A" w:rsidRDefault="00E020DE" w:rsidP="00D83473">
            <w:pPr>
              <w:pStyle w:val="TableText0"/>
              <w:jc w:val="center"/>
              <w:rPr>
                <w:highlight w:val="lightGray"/>
              </w:rPr>
            </w:pPr>
            <w:r w:rsidRPr="00C04D44">
              <w:rPr>
                <w:color w:val="000000"/>
                <w:spacing w:val="34"/>
                <w:szCs w:val="20"/>
                <w:shd w:val="solid" w:color="000000" w:fill="000000"/>
                <w:fitText w:val="430" w:id="-1435269875"/>
                <w14:textFill>
                  <w14:solidFill>
                    <w14:srgbClr w14:val="000000">
                      <w14:alpha w14:val="100000"/>
                    </w14:srgbClr>
                  </w14:solidFill>
                </w14:textFill>
              </w:rPr>
              <w:t>|||||</w:t>
            </w:r>
            <w:r w:rsidRPr="00C04D44">
              <w:rPr>
                <w:color w:val="000000"/>
                <w:spacing w:val="5"/>
                <w:szCs w:val="20"/>
                <w:shd w:val="solid" w:color="000000" w:fill="000000"/>
                <w:fitText w:val="430" w:id="-1435269875"/>
                <w14:textFill>
                  <w14:solidFill>
                    <w14:srgbClr w14:val="000000">
                      <w14:alpha w14:val="100000"/>
                    </w14:srgbClr>
                  </w14:solidFill>
                </w14:textFill>
              </w:rPr>
              <w:t>|</w:t>
            </w:r>
            <w:r w:rsidR="00D5689A" w:rsidRPr="00D5689A">
              <w:rPr>
                <w:szCs w:val="20"/>
                <w:vertAlign w:val="superscript"/>
              </w:rPr>
              <w:t>4</w:t>
            </w:r>
          </w:p>
        </w:tc>
        <w:tc>
          <w:tcPr>
            <w:tcW w:w="600" w:type="pct"/>
            <w:tcBorders>
              <w:top w:val="nil"/>
              <w:left w:val="nil"/>
              <w:bottom w:val="single" w:sz="8" w:space="0" w:color="auto"/>
              <w:right w:val="single" w:sz="8" w:space="0" w:color="auto"/>
            </w:tcBorders>
            <w:shd w:val="clear" w:color="auto" w:fill="auto"/>
            <w:vAlign w:val="bottom"/>
          </w:tcPr>
          <w:p w14:paraId="510D65C5" w14:textId="77777777" w:rsidR="00605910" w:rsidRPr="003B4086" w:rsidRDefault="00605910" w:rsidP="00D83473">
            <w:pPr>
              <w:pStyle w:val="TableText0"/>
              <w:jc w:val="center"/>
            </w:pPr>
            <w:r w:rsidRPr="003B4086">
              <w:rPr>
                <w:szCs w:val="20"/>
              </w:rPr>
              <w:t>-15%</w:t>
            </w:r>
          </w:p>
        </w:tc>
      </w:tr>
      <w:tr w:rsidR="00605910" w:rsidRPr="003B4086" w14:paraId="121C91A3" w14:textId="77777777" w:rsidTr="00D83473">
        <w:tc>
          <w:tcPr>
            <w:tcW w:w="438" w:type="pct"/>
            <w:tcBorders>
              <w:left w:val="single" w:sz="4" w:space="0" w:color="auto"/>
              <w:right w:val="single" w:sz="4" w:space="0" w:color="auto"/>
            </w:tcBorders>
          </w:tcPr>
          <w:p w14:paraId="26E6A97D" w14:textId="77777777" w:rsidR="00605910" w:rsidRPr="003B4086" w:rsidRDefault="00605910" w:rsidP="00D83473">
            <w:pPr>
              <w:pStyle w:val="TableText0"/>
            </w:pPr>
            <w:r w:rsidRPr="003B4086">
              <w:t>SA.7</w:t>
            </w:r>
          </w:p>
        </w:tc>
        <w:tc>
          <w:tcPr>
            <w:tcW w:w="1282" w:type="pct"/>
            <w:vMerge/>
            <w:tcBorders>
              <w:left w:val="single" w:sz="4" w:space="0" w:color="auto"/>
              <w:right w:val="single" w:sz="4" w:space="0" w:color="auto"/>
            </w:tcBorders>
            <w:shd w:val="clear" w:color="auto" w:fill="auto"/>
            <w:vAlign w:val="center"/>
          </w:tcPr>
          <w:p w14:paraId="7A00E2B8" w14:textId="77777777" w:rsidR="00605910" w:rsidRPr="003B4086" w:rsidRDefault="00605910" w:rsidP="00D83473">
            <w:pPr>
              <w:pStyle w:val="TableText0"/>
            </w:pPr>
          </w:p>
        </w:tc>
        <w:tc>
          <w:tcPr>
            <w:tcW w:w="1040" w:type="pct"/>
            <w:vMerge/>
            <w:tcBorders>
              <w:left w:val="single" w:sz="4" w:space="0" w:color="auto"/>
              <w:right w:val="single" w:sz="4" w:space="0" w:color="auto"/>
            </w:tcBorders>
            <w:shd w:val="clear" w:color="auto" w:fill="auto"/>
            <w:vAlign w:val="center"/>
          </w:tcPr>
          <w:p w14:paraId="0F06A389" w14:textId="77777777" w:rsidR="00605910" w:rsidRPr="003B4086" w:rsidRDefault="00605910" w:rsidP="00D83473">
            <w:pPr>
              <w:pStyle w:val="TableText0"/>
            </w:pPr>
          </w:p>
        </w:tc>
        <w:tc>
          <w:tcPr>
            <w:tcW w:w="1040" w:type="pct"/>
            <w:tcBorders>
              <w:top w:val="nil"/>
              <w:left w:val="nil"/>
              <w:bottom w:val="single" w:sz="4" w:space="0" w:color="auto"/>
              <w:right w:val="single" w:sz="4" w:space="0" w:color="auto"/>
            </w:tcBorders>
            <w:shd w:val="clear" w:color="auto" w:fill="auto"/>
          </w:tcPr>
          <w:p w14:paraId="0CBC6776" w14:textId="77777777" w:rsidR="00605910" w:rsidRPr="003B4086" w:rsidRDefault="00605910" w:rsidP="00D83473">
            <w:pPr>
              <w:pStyle w:val="TableText0"/>
            </w:pPr>
            <w:r w:rsidRPr="003B4086">
              <w:t>Gompertz</w:t>
            </w:r>
          </w:p>
        </w:tc>
        <w:tc>
          <w:tcPr>
            <w:tcW w:w="600" w:type="pct"/>
            <w:tcBorders>
              <w:top w:val="nil"/>
              <w:left w:val="nil"/>
              <w:bottom w:val="single" w:sz="4" w:space="0" w:color="auto"/>
              <w:right w:val="single" w:sz="4" w:space="0" w:color="auto"/>
            </w:tcBorders>
            <w:shd w:val="clear" w:color="auto" w:fill="auto"/>
          </w:tcPr>
          <w:p w14:paraId="32D9BF2F" w14:textId="2A0891E3" w:rsidR="00605910" w:rsidRPr="00D5689A" w:rsidRDefault="00E020DE" w:rsidP="00D83473">
            <w:pPr>
              <w:pStyle w:val="TableText0"/>
              <w:jc w:val="center"/>
              <w:rPr>
                <w:highlight w:val="lightGray"/>
              </w:rPr>
            </w:pPr>
            <w:r w:rsidRPr="00C04D44">
              <w:rPr>
                <w:color w:val="000000"/>
                <w:spacing w:val="34"/>
                <w:szCs w:val="20"/>
                <w:shd w:val="solid" w:color="000000" w:fill="000000"/>
                <w:fitText w:val="430" w:id="-1435269874"/>
                <w14:textFill>
                  <w14:solidFill>
                    <w14:srgbClr w14:val="000000">
                      <w14:alpha w14:val="100000"/>
                    </w14:srgbClr>
                  </w14:solidFill>
                </w14:textFill>
              </w:rPr>
              <w:t>|||||</w:t>
            </w:r>
            <w:r w:rsidRPr="00C04D44">
              <w:rPr>
                <w:color w:val="000000"/>
                <w:spacing w:val="5"/>
                <w:szCs w:val="20"/>
                <w:shd w:val="solid" w:color="000000" w:fill="000000"/>
                <w:fitText w:val="430" w:id="-1435269874"/>
                <w14:textFill>
                  <w14:solidFill>
                    <w14:srgbClr w14:val="000000">
                      <w14:alpha w14:val="100000"/>
                    </w14:srgbClr>
                  </w14:solidFill>
                </w14:textFill>
              </w:rPr>
              <w:t>|</w:t>
            </w:r>
            <w:r w:rsidR="00D5689A" w:rsidRPr="00D5689A">
              <w:rPr>
                <w:szCs w:val="20"/>
                <w:vertAlign w:val="superscript"/>
              </w:rPr>
              <w:t>5</w:t>
            </w:r>
          </w:p>
        </w:tc>
        <w:tc>
          <w:tcPr>
            <w:tcW w:w="600" w:type="pct"/>
            <w:tcBorders>
              <w:top w:val="nil"/>
              <w:left w:val="nil"/>
              <w:bottom w:val="single" w:sz="8" w:space="0" w:color="auto"/>
              <w:right w:val="single" w:sz="8" w:space="0" w:color="auto"/>
            </w:tcBorders>
            <w:shd w:val="clear" w:color="auto" w:fill="auto"/>
            <w:vAlign w:val="bottom"/>
          </w:tcPr>
          <w:p w14:paraId="66883315" w14:textId="77777777" w:rsidR="00605910" w:rsidRPr="003B4086" w:rsidRDefault="00605910" w:rsidP="00D83473">
            <w:pPr>
              <w:pStyle w:val="TableText0"/>
              <w:jc w:val="center"/>
            </w:pPr>
            <w:r w:rsidRPr="003B4086">
              <w:rPr>
                <w:szCs w:val="20"/>
              </w:rPr>
              <w:t>290%</w:t>
            </w:r>
          </w:p>
        </w:tc>
      </w:tr>
      <w:tr w:rsidR="00605910" w:rsidRPr="003B4086" w14:paraId="5873E1CE" w14:textId="77777777" w:rsidTr="00D83473">
        <w:trPr>
          <w:trHeight w:val="50"/>
        </w:trPr>
        <w:tc>
          <w:tcPr>
            <w:tcW w:w="438" w:type="pct"/>
            <w:tcBorders>
              <w:left w:val="single" w:sz="4" w:space="0" w:color="auto"/>
              <w:right w:val="single" w:sz="4" w:space="0" w:color="auto"/>
            </w:tcBorders>
          </w:tcPr>
          <w:p w14:paraId="6D0BC7FE" w14:textId="77777777" w:rsidR="00605910" w:rsidRPr="003B4086" w:rsidRDefault="00605910" w:rsidP="00D83473">
            <w:pPr>
              <w:pStyle w:val="TableText0"/>
            </w:pPr>
            <w:r w:rsidRPr="003B4086">
              <w:t>SA.8</w:t>
            </w:r>
          </w:p>
        </w:tc>
        <w:tc>
          <w:tcPr>
            <w:tcW w:w="1282" w:type="pct"/>
            <w:vMerge/>
            <w:tcBorders>
              <w:left w:val="single" w:sz="4" w:space="0" w:color="auto"/>
              <w:right w:val="single" w:sz="4" w:space="0" w:color="auto"/>
            </w:tcBorders>
            <w:shd w:val="clear" w:color="auto" w:fill="auto"/>
            <w:vAlign w:val="center"/>
          </w:tcPr>
          <w:p w14:paraId="78045ACC" w14:textId="77777777" w:rsidR="00605910" w:rsidRPr="003B4086" w:rsidRDefault="00605910" w:rsidP="00D83473">
            <w:pPr>
              <w:pStyle w:val="TableText0"/>
            </w:pPr>
          </w:p>
        </w:tc>
        <w:tc>
          <w:tcPr>
            <w:tcW w:w="1040" w:type="pct"/>
            <w:vMerge/>
            <w:tcBorders>
              <w:left w:val="single" w:sz="4" w:space="0" w:color="auto"/>
              <w:right w:val="single" w:sz="4" w:space="0" w:color="auto"/>
            </w:tcBorders>
            <w:shd w:val="clear" w:color="auto" w:fill="auto"/>
            <w:vAlign w:val="center"/>
          </w:tcPr>
          <w:p w14:paraId="5A1C4A4E" w14:textId="77777777" w:rsidR="00605910" w:rsidRPr="003B4086" w:rsidRDefault="00605910" w:rsidP="00D83473">
            <w:pPr>
              <w:pStyle w:val="TableText0"/>
            </w:pPr>
          </w:p>
        </w:tc>
        <w:tc>
          <w:tcPr>
            <w:tcW w:w="1040" w:type="pct"/>
            <w:tcBorders>
              <w:top w:val="nil"/>
              <w:left w:val="nil"/>
              <w:right w:val="single" w:sz="4" w:space="0" w:color="auto"/>
            </w:tcBorders>
            <w:shd w:val="clear" w:color="auto" w:fill="auto"/>
          </w:tcPr>
          <w:p w14:paraId="0A5B7878" w14:textId="77777777" w:rsidR="00605910" w:rsidRPr="003B4086" w:rsidRDefault="00605910" w:rsidP="00D83473">
            <w:pPr>
              <w:pStyle w:val="TableText0"/>
            </w:pPr>
            <w:r w:rsidRPr="003B4086">
              <w:t>Log-normal</w:t>
            </w:r>
          </w:p>
        </w:tc>
        <w:tc>
          <w:tcPr>
            <w:tcW w:w="600" w:type="pct"/>
            <w:tcBorders>
              <w:top w:val="nil"/>
              <w:left w:val="nil"/>
              <w:right w:val="single" w:sz="4" w:space="0" w:color="auto"/>
            </w:tcBorders>
            <w:shd w:val="clear" w:color="auto" w:fill="auto"/>
          </w:tcPr>
          <w:p w14:paraId="722936CF" w14:textId="719305D9" w:rsidR="00605910" w:rsidRPr="00D5689A" w:rsidRDefault="00E020DE" w:rsidP="00D83473">
            <w:pPr>
              <w:pStyle w:val="TableText0"/>
              <w:jc w:val="center"/>
              <w:rPr>
                <w:highlight w:val="lightGray"/>
              </w:rPr>
            </w:pPr>
            <w:r w:rsidRPr="00C04D44">
              <w:rPr>
                <w:color w:val="000000"/>
                <w:spacing w:val="34"/>
                <w:szCs w:val="20"/>
                <w:shd w:val="solid" w:color="000000" w:fill="000000"/>
                <w:fitText w:val="430" w:id="-1435269873"/>
                <w14:textFill>
                  <w14:solidFill>
                    <w14:srgbClr w14:val="000000">
                      <w14:alpha w14:val="100000"/>
                    </w14:srgbClr>
                  </w14:solidFill>
                </w14:textFill>
              </w:rPr>
              <w:t>|||||</w:t>
            </w:r>
            <w:r w:rsidRPr="00C04D44">
              <w:rPr>
                <w:color w:val="000000"/>
                <w:spacing w:val="5"/>
                <w:szCs w:val="20"/>
                <w:shd w:val="solid" w:color="000000" w:fill="000000"/>
                <w:fitText w:val="430" w:id="-1435269873"/>
                <w14:textFill>
                  <w14:solidFill>
                    <w14:srgbClr w14:val="000000">
                      <w14:alpha w14:val="100000"/>
                    </w14:srgbClr>
                  </w14:solidFill>
                </w14:textFill>
              </w:rPr>
              <w:t>|</w:t>
            </w:r>
            <w:r w:rsidR="00D5689A" w:rsidRPr="00D5689A">
              <w:rPr>
                <w:vertAlign w:val="superscript"/>
              </w:rPr>
              <w:t>1</w:t>
            </w:r>
          </w:p>
        </w:tc>
        <w:tc>
          <w:tcPr>
            <w:tcW w:w="600" w:type="pct"/>
            <w:tcBorders>
              <w:top w:val="nil"/>
              <w:left w:val="nil"/>
              <w:right w:val="single" w:sz="8" w:space="0" w:color="auto"/>
            </w:tcBorders>
            <w:shd w:val="clear" w:color="auto" w:fill="auto"/>
            <w:vAlign w:val="bottom"/>
          </w:tcPr>
          <w:p w14:paraId="32288B47" w14:textId="77777777" w:rsidR="00605910" w:rsidRPr="003B4086" w:rsidRDefault="00605910" w:rsidP="00D83473">
            <w:pPr>
              <w:pStyle w:val="TableText0"/>
              <w:jc w:val="center"/>
            </w:pPr>
            <w:r w:rsidRPr="003B4086">
              <w:rPr>
                <w:szCs w:val="20"/>
              </w:rPr>
              <w:t>-12%</w:t>
            </w:r>
          </w:p>
        </w:tc>
      </w:tr>
      <w:tr w:rsidR="00605910" w:rsidRPr="003B4086" w14:paraId="381EE998" w14:textId="77777777" w:rsidTr="00BC703C">
        <w:tc>
          <w:tcPr>
            <w:tcW w:w="438" w:type="pct"/>
            <w:tcBorders>
              <w:left w:val="single" w:sz="4" w:space="0" w:color="auto"/>
              <w:right w:val="single" w:sz="4" w:space="0" w:color="auto"/>
            </w:tcBorders>
          </w:tcPr>
          <w:p w14:paraId="70AA92D2" w14:textId="77777777" w:rsidR="00605910" w:rsidRPr="003B4086" w:rsidRDefault="00605910" w:rsidP="00D83473">
            <w:pPr>
              <w:pStyle w:val="TableText0"/>
              <w:rPr>
                <w:vertAlign w:val="superscript"/>
              </w:rPr>
            </w:pPr>
            <w:r w:rsidRPr="003B4086">
              <w:t>SA.9</w:t>
            </w:r>
            <w:r w:rsidRPr="003B4086">
              <w:rPr>
                <w:vertAlign w:val="superscript"/>
              </w:rPr>
              <w:t>a</w:t>
            </w:r>
          </w:p>
        </w:tc>
        <w:tc>
          <w:tcPr>
            <w:tcW w:w="1282" w:type="pct"/>
            <w:tcBorders>
              <w:left w:val="single" w:sz="4" w:space="0" w:color="auto"/>
              <w:right w:val="single" w:sz="4" w:space="0" w:color="auto"/>
            </w:tcBorders>
            <w:shd w:val="clear" w:color="auto" w:fill="auto"/>
            <w:vAlign w:val="center"/>
          </w:tcPr>
          <w:p w14:paraId="5ACF6D36" w14:textId="77777777" w:rsidR="00605910" w:rsidRPr="003B4086" w:rsidRDefault="00605910" w:rsidP="00D83473">
            <w:pPr>
              <w:pStyle w:val="TableText0"/>
            </w:pPr>
            <w:r w:rsidRPr="003B4086">
              <w:t>Extrapolation of nivolumab and placebo DFS</w:t>
            </w:r>
          </w:p>
        </w:tc>
        <w:tc>
          <w:tcPr>
            <w:tcW w:w="1040" w:type="pct"/>
            <w:tcBorders>
              <w:left w:val="single" w:sz="4" w:space="0" w:color="auto"/>
              <w:right w:val="single" w:sz="4" w:space="0" w:color="auto"/>
            </w:tcBorders>
            <w:shd w:val="clear" w:color="auto" w:fill="auto"/>
            <w:vAlign w:val="center"/>
          </w:tcPr>
          <w:p w14:paraId="629D923F" w14:textId="77777777" w:rsidR="00605910" w:rsidRPr="003B4086" w:rsidRDefault="00605910" w:rsidP="00D83473">
            <w:pPr>
              <w:pStyle w:val="TableText0"/>
            </w:pPr>
            <w:r w:rsidRPr="003B4086">
              <w:t>Generalised gamma</w:t>
            </w:r>
          </w:p>
        </w:tc>
        <w:tc>
          <w:tcPr>
            <w:tcW w:w="1040" w:type="pct"/>
            <w:tcBorders>
              <w:top w:val="nil"/>
              <w:left w:val="nil"/>
              <w:bottom w:val="single" w:sz="4" w:space="0" w:color="auto"/>
              <w:right w:val="single" w:sz="4" w:space="0" w:color="auto"/>
            </w:tcBorders>
            <w:shd w:val="clear" w:color="auto" w:fill="auto"/>
            <w:vAlign w:val="center"/>
          </w:tcPr>
          <w:p w14:paraId="52006EBA" w14:textId="77777777" w:rsidR="00605910" w:rsidRPr="003B4086" w:rsidRDefault="00605910" w:rsidP="00BC703C">
            <w:pPr>
              <w:pStyle w:val="TableText0"/>
            </w:pPr>
            <w:r w:rsidRPr="003B4086">
              <w:t>Gompertz (both arms)</w:t>
            </w:r>
          </w:p>
        </w:tc>
        <w:tc>
          <w:tcPr>
            <w:tcW w:w="600" w:type="pct"/>
            <w:tcBorders>
              <w:top w:val="nil"/>
              <w:left w:val="nil"/>
              <w:bottom w:val="single" w:sz="4" w:space="0" w:color="auto"/>
              <w:right w:val="single" w:sz="4" w:space="0" w:color="auto"/>
            </w:tcBorders>
            <w:shd w:val="clear" w:color="auto" w:fill="auto"/>
            <w:vAlign w:val="center"/>
          </w:tcPr>
          <w:p w14:paraId="75A4A85D" w14:textId="6FF5C129" w:rsidR="00605910" w:rsidRPr="00D5689A" w:rsidRDefault="00E020DE" w:rsidP="00BC703C">
            <w:pPr>
              <w:pStyle w:val="TableText0"/>
              <w:jc w:val="center"/>
              <w:rPr>
                <w:szCs w:val="20"/>
                <w:highlight w:val="lightGray"/>
              </w:rPr>
            </w:pPr>
            <w:r w:rsidRPr="00C04D44">
              <w:rPr>
                <w:color w:val="000000"/>
                <w:spacing w:val="34"/>
                <w:szCs w:val="20"/>
                <w:shd w:val="solid" w:color="000000" w:fill="000000"/>
                <w:fitText w:val="430" w:id="-1435269872"/>
                <w14:textFill>
                  <w14:solidFill>
                    <w14:srgbClr w14:val="000000">
                      <w14:alpha w14:val="100000"/>
                    </w14:srgbClr>
                  </w14:solidFill>
                </w14:textFill>
              </w:rPr>
              <w:t>|||||</w:t>
            </w:r>
            <w:r w:rsidRPr="00C04D44">
              <w:rPr>
                <w:color w:val="000000"/>
                <w:spacing w:val="5"/>
                <w:szCs w:val="20"/>
                <w:shd w:val="solid" w:color="000000" w:fill="000000"/>
                <w:fitText w:val="430" w:id="-1435269872"/>
                <w14:textFill>
                  <w14:solidFill>
                    <w14:srgbClr w14:val="000000">
                      <w14:alpha w14:val="100000"/>
                    </w14:srgbClr>
                  </w14:solidFill>
                </w14:textFill>
              </w:rPr>
              <w:t>|</w:t>
            </w:r>
            <w:r w:rsidR="00D5689A" w:rsidRPr="00D5689A">
              <w:rPr>
                <w:szCs w:val="20"/>
                <w:vertAlign w:val="superscript"/>
              </w:rPr>
              <w:t>3</w:t>
            </w:r>
          </w:p>
        </w:tc>
        <w:tc>
          <w:tcPr>
            <w:tcW w:w="600" w:type="pct"/>
            <w:tcBorders>
              <w:top w:val="nil"/>
              <w:left w:val="nil"/>
              <w:bottom w:val="single" w:sz="8" w:space="0" w:color="auto"/>
              <w:right w:val="single" w:sz="8" w:space="0" w:color="auto"/>
            </w:tcBorders>
            <w:shd w:val="clear" w:color="auto" w:fill="auto"/>
            <w:vAlign w:val="center"/>
          </w:tcPr>
          <w:p w14:paraId="48DBECF9" w14:textId="77777777" w:rsidR="00605910" w:rsidRPr="003B4086" w:rsidRDefault="00605910" w:rsidP="00BC703C">
            <w:pPr>
              <w:pStyle w:val="TableText0"/>
              <w:jc w:val="center"/>
              <w:rPr>
                <w:szCs w:val="20"/>
              </w:rPr>
            </w:pPr>
            <w:r w:rsidRPr="003B4086">
              <w:rPr>
                <w:szCs w:val="20"/>
              </w:rPr>
              <w:t>37%</w:t>
            </w:r>
          </w:p>
        </w:tc>
      </w:tr>
      <w:tr w:rsidR="00605910" w:rsidRPr="003B4086" w14:paraId="363C3E42" w14:textId="77777777" w:rsidTr="00D83473">
        <w:trPr>
          <w:trHeight w:val="708"/>
        </w:trPr>
        <w:tc>
          <w:tcPr>
            <w:tcW w:w="438" w:type="pct"/>
            <w:tcBorders>
              <w:top w:val="nil"/>
              <w:left w:val="single" w:sz="4" w:space="0" w:color="auto"/>
              <w:right w:val="single" w:sz="4" w:space="0" w:color="auto"/>
            </w:tcBorders>
          </w:tcPr>
          <w:p w14:paraId="14F43D98" w14:textId="77777777" w:rsidR="00605910" w:rsidRPr="003B4086" w:rsidRDefault="00605910" w:rsidP="00D83473">
            <w:pPr>
              <w:pStyle w:val="TableText0"/>
            </w:pPr>
            <w:r w:rsidRPr="003B4086">
              <w:t>SA.10</w:t>
            </w:r>
            <w:r w:rsidRPr="003B4086">
              <w:rPr>
                <w:vertAlign w:val="superscript"/>
              </w:rPr>
              <w:t xml:space="preserve"> a</w:t>
            </w:r>
          </w:p>
        </w:tc>
        <w:tc>
          <w:tcPr>
            <w:tcW w:w="1282" w:type="pct"/>
            <w:tcBorders>
              <w:top w:val="nil"/>
              <w:left w:val="single" w:sz="4" w:space="0" w:color="auto"/>
              <w:right w:val="single" w:sz="4" w:space="0" w:color="auto"/>
            </w:tcBorders>
            <w:shd w:val="clear" w:color="auto" w:fill="auto"/>
            <w:vAlign w:val="center"/>
          </w:tcPr>
          <w:p w14:paraId="78EBADBB" w14:textId="77777777" w:rsidR="00605910" w:rsidRPr="003B4086" w:rsidRDefault="00605910" w:rsidP="00D83473">
            <w:pPr>
              <w:pStyle w:val="TableText0"/>
            </w:pPr>
            <w:r w:rsidRPr="003B4086">
              <w:t>Point of extrapolation of DFS</w:t>
            </w:r>
          </w:p>
        </w:tc>
        <w:tc>
          <w:tcPr>
            <w:tcW w:w="1040" w:type="pct"/>
            <w:tcBorders>
              <w:top w:val="nil"/>
              <w:left w:val="single" w:sz="4" w:space="0" w:color="auto"/>
              <w:right w:val="single" w:sz="4" w:space="0" w:color="auto"/>
            </w:tcBorders>
            <w:shd w:val="clear" w:color="auto" w:fill="auto"/>
            <w:vAlign w:val="center"/>
          </w:tcPr>
          <w:p w14:paraId="0474E403" w14:textId="77777777" w:rsidR="00605910" w:rsidRPr="003B4086" w:rsidRDefault="00605910" w:rsidP="00D83473">
            <w:pPr>
              <w:pStyle w:val="TableText0"/>
            </w:pPr>
            <w:r w:rsidRPr="003B4086">
              <w:t>Median time to follow-up (30 months)</w:t>
            </w:r>
          </w:p>
        </w:tc>
        <w:tc>
          <w:tcPr>
            <w:tcW w:w="1040" w:type="pct"/>
            <w:tcBorders>
              <w:top w:val="nil"/>
              <w:left w:val="nil"/>
              <w:right w:val="single" w:sz="4" w:space="0" w:color="auto"/>
            </w:tcBorders>
            <w:shd w:val="clear" w:color="auto" w:fill="auto"/>
            <w:vAlign w:val="center"/>
          </w:tcPr>
          <w:p w14:paraId="135BEAFC" w14:textId="77777777" w:rsidR="00605910" w:rsidRPr="003B4086" w:rsidRDefault="00605910" w:rsidP="00D83473">
            <w:pPr>
              <w:pStyle w:val="TableText0"/>
            </w:pPr>
            <w:r w:rsidRPr="003B4086">
              <w:t>42 months</w:t>
            </w:r>
          </w:p>
        </w:tc>
        <w:tc>
          <w:tcPr>
            <w:tcW w:w="600" w:type="pct"/>
            <w:tcBorders>
              <w:top w:val="nil"/>
              <w:left w:val="nil"/>
              <w:right w:val="single" w:sz="4" w:space="0" w:color="auto"/>
            </w:tcBorders>
            <w:shd w:val="clear" w:color="auto" w:fill="auto"/>
            <w:vAlign w:val="center"/>
          </w:tcPr>
          <w:p w14:paraId="4852793F" w14:textId="63055998" w:rsidR="00605910" w:rsidRPr="00D5689A" w:rsidRDefault="00E020DE" w:rsidP="00D83473">
            <w:pPr>
              <w:pStyle w:val="TableText0"/>
              <w:jc w:val="center"/>
              <w:rPr>
                <w:highlight w:val="lightGray"/>
              </w:rPr>
            </w:pPr>
            <w:r w:rsidRPr="00C04D44">
              <w:rPr>
                <w:color w:val="000000"/>
                <w:spacing w:val="34"/>
                <w:shd w:val="solid" w:color="000000" w:fill="000000"/>
                <w:fitText w:val="430" w:id="-1435269888"/>
                <w14:textFill>
                  <w14:solidFill>
                    <w14:srgbClr w14:val="000000">
                      <w14:alpha w14:val="100000"/>
                    </w14:srgbClr>
                  </w14:solidFill>
                </w14:textFill>
              </w:rPr>
              <w:t>|||||</w:t>
            </w:r>
            <w:r w:rsidRPr="00C04D44">
              <w:rPr>
                <w:color w:val="000000"/>
                <w:spacing w:val="5"/>
                <w:shd w:val="solid" w:color="000000" w:fill="000000"/>
                <w:fitText w:val="430" w:id="-1435269888"/>
                <w14:textFill>
                  <w14:solidFill>
                    <w14:srgbClr w14:val="000000">
                      <w14:alpha w14:val="100000"/>
                    </w14:srgbClr>
                  </w14:solidFill>
                </w14:textFill>
              </w:rPr>
              <w:t>|</w:t>
            </w:r>
            <w:r w:rsidR="00D5689A" w:rsidRPr="00D5689A">
              <w:rPr>
                <w:vertAlign w:val="superscript"/>
              </w:rPr>
              <w:t>1</w:t>
            </w:r>
          </w:p>
        </w:tc>
        <w:tc>
          <w:tcPr>
            <w:tcW w:w="600" w:type="pct"/>
            <w:tcBorders>
              <w:top w:val="nil"/>
              <w:left w:val="nil"/>
              <w:right w:val="single" w:sz="8" w:space="0" w:color="auto"/>
            </w:tcBorders>
            <w:shd w:val="clear" w:color="auto" w:fill="auto"/>
            <w:vAlign w:val="center"/>
          </w:tcPr>
          <w:p w14:paraId="1F024C77" w14:textId="77777777" w:rsidR="00605910" w:rsidRPr="003B4086" w:rsidRDefault="00605910" w:rsidP="00D83473">
            <w:pPr>
              <w:pStyle w:val="TableText0"/>
              <w:jc w:val="center"/>
            </w:pPr>
            <w:r w:rsidRPr="003B4086">
              <w:t>13%</w:t>
            </w:r>
          </w:p>
        </w:tc>
      </w:tr>
      <w:tr w:rsidR="00605910" w:rsidRPr="003B4086" w14:paraId="2F946208" w14:textId="77777777" w:rsidTr="00D83473">
        <w:trPr>
          <w:trHeight w:val="469"/>
        </w:trPr>
        <w:tc>
          <w:tcPr>
            <w:tcW w:w="438" w:type="pct"/>
            <w:tcBorders>
              <w:top w:val="single" w:sz="4" w:space="0" w:color="auto"/>
              <w:left w:val="single" w:sz="4" w:space="0" w:color="auto"/>
              <w:right w:val="single" w:sz="4" w:space="0" w:color="auto"/>
            </w:tcBorders>
          </w:tcPr>
          <w:p w14:paraId="402D3953" w14:textId="77777777" w:rsidR="00605910" w:rsidRPr="003B4086" w:rsidRDefault="00605910" w:rsidP="00D83473">
            <w:pPr>
              <w:pStyle w:val="TableText0"/>
            </w:pPr>
            <w:r w:rsidRPr="003B4086">
              <w:t>SA.11</w:t>
            </w:r>
            <w:r w:rsidRPr="003B4086">
              <w:rPr>
                <w:vertAlign w:val="superscript"/>
              </w:rPr>
              <w:t>a</w:t>
            </w:r>
          </w:p>
        </w:tc>
        <w:tc>
          <w:tcPr>
            <w:tcW w:w="1282" w:type="pct"/>
            <w:vMerge w:val="restart"/>
            <w:tcBorders>
              <w:top w:val="single" w:sz="4" w:space="0" w:color="auto"/>
              <w:left w:val="single" w:sz="4" w:space="0" w:color="auto"/>
              <w:right w:val="single" w:sz="4" w:space="0" w:color="auto"/>
            </w:tcBorders>
            <w:shd w:val="clear" w:color="auto" w:fill="auto"/>
            <w:vAlign w:val="center"/>
          </w:tcPr>
          <w:p w14:paraId="21FD0CB5" w14:textId="77777777" w:rsidR="00605910" w:rsidRPr="003B4086" w:rsidRDefault="00605910" w:rsidP="00D83473">
            <w:pPr>
              <w:pStyle w:val="TableText0"/>
            </w:pPr>
            <w:r w:rsidRPr="003B4086">
              <w:t>Cure assumption</w:t>
            </w:r>
          </w:p>
        </w:tc>
        <w:tc>
          <w:tcPr>
            <w:tcW w:w="1040" w:type="pct"/>
            <w:vMerge w:val="restart"/>
            <w:tcBorders>
              <w:top w:val="single" w:sz="4" w:space="0" w:color="auto"/>
              <w:left w:val="nil"/>
              <w:right w:val="single" w:sz="4" w:space="0" w:color="auto"/>
            </w:tcBorders>
            <w:shd w:val="clear" w:color="auto" w:fill="auto"/>
            <w:vAlign w:val="center"/>
          </w:tcPr>
          <w:p w14:paraId="03DD3048" w14:textId="77777777" w:rsidR="00605910" w:rsidRPr="003B4086" w:rsidRDefault="00605910" w:rsidP="00D83473">
            <w:pPr>
              <w:pStyle w:val="TableText0"/>
            </w:pPr>
            <w:r w:rsidRPr="003B4086">
              <w:t>5 years</w:t>
            </w:r>
          </w:p>
        </w:tc>
        <w:tc>
          <w:tcPr>
            <w:tcW w:w="1040" w:type="pct"/>
            <w:tcBorders>
              <w:top w:val="single" w:sz="4" w:space="0" w:color="auto"/>
              <w:left w:val="nil"/>
              <w:right w:val="single" w:sz="4" w:space="0" w:color="auto"/>
            </w:tcBorders>
            <w:shd w:val="clear" w:color="auto" w:fill="auto"/>
            <w:vAlign w:val="center"/>
          </w:tcPr>
          <w:p w14:paraId="5791FA4B" w14:textId="77777777" w:rsidR="00605910" w:rsidRPr="003B4086" w:rsidRDefault="00605910" w:rsidP="00D83473">
            <w:pPr>
              <w:pStyle w:val="TableText0"/>
            </w:pPr>
            <w:r w:rsidRPr="003B4086">
              <w:t>3 years</w:t>
            </w:r>
          </w:p>
        </w:tc>
        <w:tc>
          <w:tcPr>
            <w:tcW w:w="600" w:type="pct"/>
            <w:tcBorders>
              <w:top w:val="single" w:sz="4" w:space="0" w:color="auto"/>
              <w:left w:val="nil"/>
              <w:right w:val="single" w:sz="4" w:space="0" w:color="auto"/>
            </w:tcBorders>
            <w:shd w:val="clear" w:color="auto" w:fill="auto"/>
            <w:vAlign w:val="center"/>
          </w:tcPr>
          <w:p w14:paraId="163BFBAC" w14:textId="2FA6C4E5" w:rsidR="00605910" w:rsidRPr="00D5689A" w:rsidRDefault="00E020DE" w:rsidP="00D83473">
            <w:pPr>
              <w:pStyle w:val="TableText0"/>
              <w:jc w:val="center"/>
              <w:rPr>
                <w:highlight w:val="lightGray"/>
              </w:rPr>
            </w:pPr>
            <w:r w:rsidRPr="00E020DE">
              <w:rPr>
                <w:color w:val="000000"/>
                <w:spacing w:val="34"/>
                <w:shd w:val="solid" w:color="000000" w:fill="000000"/>
                <w:fitText w:val="430" w:id="-1435269887"/>
                <w14:textFill>
                  <w14:solidFill>
                    <w14:srgbClr w14:val="000000">
                      <w14:alpha w14:val="100000"/>
                    </w14:srgbClr>
                  </w14:solidFill>
                </w14:textFill>
              </w:rPr>
              <w:t>|||||</w:t>
            </w:r>
            <w:r w:rsidRPr="00E020DE">
              <w:rPr>
                <w:color w:val="000000"/>
                <w:spacing w:val="5"/>
                <w:shd w:val="solid" w:color="000000" w:fill="000000"/>
                <w:fitText w:val="430" w:id="-1435269887"/>
                <w14:textFill>
                  <w14:solidFill>
                    <w14:srgbClr w14:val="000000">
                      <w14:alpha w14:val="100000"/>
                    </w14:srgbClr>
                  </w14:solidFill>
                </w14:textFill>
              </w:rPr>
              <w:t>|</w:t>
            </w:r>
            <w:r w:rsidR="00D5689A" w:rsidRPr="00D5689A">
              <w:rPr>
                <w:szCs w:val="20"/>
                <w:vertAlign w:val="superscript"/>
              </w:rPr>
              <w:t>4</w:t>
            </w:r>
          </w:p>
        </w:tc>
        <w:tc>
          <w:tcPr>
            <w:tcW w:w="600" w:type="pct"/>
            <w:tcBorders>
              <w:top w:val="single" w:sz="4" w:space="0" w:color="auto"/>
              <w:left w:val="nil"/>
              <w:right w:val="single" w:sz="8" w:space="0" w:color="auto"/>
            </w:tcBorders>
            <w:shd w:val="clear" w:color="auto" w:fill="auto"/>
            <w:vAlign w:val="center"/>
          </w:tcPr>
          <w:p w14:paraId="1632A298" w14:textId="77777777" w:rsidR="00605910" w:rsidRPr="003B4086" w:rsidRDefault="00605910" w:rsidP="00D83473">
            <w:pPr>
              <w:pStyle w:val="TableText0"/>
              <w:jc w:val="center"/>
            </w:pPr>
            <w:r w:rsidRPr="003B4086">
              <w:t>-17%</w:t>
            </w:r>
          </w:p>
        </w:tc>
      </w:tr>
      <w:tr w:rsidR="00605910" w:rsidRPr="003B4086" w14:paraId="13244A66" w14:textId="77777777" w:rsidTr="00D83473">
        <w:trPr>
          <w:trHeight w:val="469"/>
        </w:trPr>
        <w:tc>
          <w:tcPr>
            <w:tcW w:w="438" w:type="pct"/>
            <w:tcBorders>
              <w:left w:val="single" w:sz="4" w:space="0" w:color="auto"/>
              <w:right w:val="single" w:sz="4" w:space="0" w:color="auto"/>
            </w:tcBorders>
          </w:tcPr>
          <w:p w14:paraId="6A81AB50" w14:textId="77777777" w:rsidR="00605910" w:rsidRPr="003B4086" w:rsidRDefault="00605910" w:rsidP="00D83473">
            <w:pPr>
              <w:pStyle w:val="TableText0"/>
            </w:pPr>
            <w:r w:rsidRPr="003B4086">
              <w:t>SA.12</w:t>
            </w:r>
            <w:r w:rsidRPr="003B4086">
              <w:rPr>
                <w:vertAlign w:val="superscript"/>
              </w:rPr>
              <w:t xml:space="preserve"> a</w:t>
            </w:r>
          </w:p>
        </w:tc>
        <w:tc>
          <w:tcPr>
            <w:tcW w:w="1282" w:type="pct"/>
            <w:vMerge/>
            <w:tcBorders>
              <w:left w:val="single" w:sz="4" w:space="0" w:color="auto"/>
              <w:right w:val="single" w:sz="4" w:space="0" w:color="auto"/>
            </w:tcBorders>
            <w:shd w:val="clear" w:color="auto" w:fill="auto"/>
            <w:vAlign w:val="center"/>
          </w:tcPr>
          <w:p w14:paraId="0B96172C" w14:textId="77777777" w:rsidR="00605910" w:rsidRPr="003B4086" w:rsidRDefault="00605910" w:rsidP="00D83473">
            <w:pPr>
              <w:pStyle w:val="TableText0"/>
            </w:pPr>
          </w:p>
        </w:tc>
        <w:tc>
          <w:tcPr>
            <w:tcW w:w="1040" w:type="pct"/>
            <w:vMerge/>
            <w:tcBorders>
              <w:left w:val="nil"/>
              <w:right w:val="single" w:sz="4" w:space="0" w:color="auto"/>
            </w:tcBorders>
            <w:shd w:val="clear" w:color="auto" w:fill="auto"/>
            <w:vAlign w:val="center"/>
          </w:tcPr>
          <w:p w14:paraId="1803B72C" w14:textId="77777777" w:rsidR="00605910" w:rsidRPr="003B4086" w:rsidRDefault="00605910" w:rsidP="00D83473">
            <w:pPr>
              <w:pStyle w:val="TableText0"/>
            </w:pPr>
          </w:p>
        </w:tc>
        <w:tc>
          <w:tcPr>
            <w:tcW w:w="1040" w:type="pct"/>
            <w:tcBorders>
              <w:top w:val="single" w:sz="4" w:space="0" w:color="auto"/>
              <w:left w:val="nil"/>
              <w:right w:val="single" w:sz="4" w:space="0" w:color="auto"/>
            </w:tcBorders>
            <w:shd w:val="clear" w:color="auto" w:fill="auto"/>
            <w:vAlign w:val="center"/>
          </w:tcPr>
          <w:p w14:paraId="6196D1B3" w14:textId="77777777" w:rsidR="00605910" w:rsidRPr="003B4086" w:rsidRDefault="00605910" w:rsidP="00D83473">
            <w:pPr>
              <w:pStyle w:val="TableText0"/>
            </w:pPr>
            <w:r w:rsidRPr="003B4086">
              <w:t>10 years</w:t>
            </w:r>
          </w:p>
        </w:tc>
        <w:tc>
          <w:tcPr>
            <w:tcW w:w="600" w:type="pct"/>
            <w:tcBorders>
              <w:top w:val="single" w:sz="4" w:space="0" w:color="auto"/>
              <w:left w:val="nil"/>
              <w:right w:val="single" w:sz="4" w:space="0" w:color="auto"/>
            </w:tcBorders>
            <w:shd w:val="clear" w:color="auto" w:fill="auto"/>
            <w:vAlign w:val="center"/>
          </w:tcPr>
          <w:p w14:paraId="71F79B23" w14:textId="36A65043" w:rsidR="00605910" w:rsidRPr="00D5689A" w:rsidRDefault="00E020DE" w:rsidP="00D83473">
            <w:pPr>
              <w:pStyle w:val="TableText0"/>
              <w:jc w:val="center"/>
              <w:rPr>
                <w:highlight w:val="lightGray"/>
              </w:rPr>
            </w:pPr>
            <w:r w:rsidRPr="00E020DE">
              <w:rPr>
                <w:color w:val="000000"/>
                <w:spacing w:val="34"/>
                <w:shd w:val="solid" w:color="000000" w:fill="000000"/>
                <w:fitText w:val="430" w:id="-1435269886"/>
                <w14:textFill>
                  <w14:solidFill>
                    <w14:srgbClr w14:val="000000">
                      <w14:alpha w14:val="100000"/>
                    </w14:srgbClr>
                  </w14:solidFill>
                </w14:textFill>
              </w:rPr>
              <w:t>|||||</w:t>
            </w:r>
            <w:r w:rsidRPr="00E020DE">
              <w:rPr>
                <w:color w:val="000000"/>
                <w:spacing w:val="5"/>
                <w:shd w:val="solid" w:color="000000" w:fill="000000"/>
                <w:fitText w:val="430" w:id="-1435269886"/>
                <w14:textFill>
                  <w14:solidFill>
                    <w14:srgbClr w14:val="000000">
                      <w14:alpha w14:val="100000"/>
                    </w14:srgbClr>
                  </w14:solidFill>
                </w14:textFill>
              </w:rPr>
              <w:t>|</w:t>
            </w:r>
            <w:r w:rsidR="00D5689A" w:rsidRPr="00D5689A">
              <w:rPr>
                <w:szCs w:val="20"/>
                <w:vertAlign w:val="superscript"/>
              </w:rPr>
              <w:t>3</w:t>
            </w:r>
          </w:p>
        </w:tc>
        <w:tc>
          <w:tcPr>
            <w:tcW w:w="600" w:type="pct"/>
            <w:tcBorders>
              <w:top w:val="single" w:sz="4" w:space="0" w:color="auto"/>
              <w:left w:val="nil"/>
              <w:right w:val="single" w:sz="8" w:space="0" w:color="auto"/>
            </w:tcBorders>
            <w:shd w:val="clear" w:color="auto" w:fill="auto"/>
            <w:vAlign w:val="center"/>
          </w:tcPr>
          <w:p w14:paraId="4307891F" w14:textId="77777777" w:rsidR="00605910" w:rsidRPr="003B4086" w:rsidRDefault="00605910" w:rsidP="00D83473">
            <w:pPr>
              <w:pStyle w:val="TableText0"/>
              <w:jc w:val="center"/>
            </w:pPr>
            <w:r w:rsidRPr="003B4086">
              <w:t>16%</w:t>
            </w:r>
          </w:p>
        </w:tc>
      </w:tr>
      <w:tr w:rsidR="00605910" w:rsidRPr="003B4086" w14:paraId="7BB35E72" w14:textId="77777777" w:rsidTr="00D83473">
        <w:tc>
          <w:tcPr>
            <w:tcW w:w="438" w:type="pct"/>
            <w:tcBorders>
              <w:left w:val="single" w:sz="4" w:space="0" w:color="auto"/>
              <w:bottom w:val="single" w:sz="4" w:space="0" w:color="auto"/>
              <w:right w:val="single" w:sz="4" w:space="0" w:color="auto"/>
            </w:tcBorders>
          </w:tcPr>
          <w:p w14:paraId="7246E040" w14:textId="77777777" w:rsidR="00605910" w:rsidRPr="003B4086" w:rsidRDefault="00605910" w:rsidP="00D83473">
            <w:pPr>
              <w:pStyle w:val="TableText0"/>
            </w:pPr>
            <w:r w:rsidRPr="003B4086">
              <w:t>SA.13</w:t>
            </w:r>
            <w:r w:rsidRPr="003B4086">
              <w:rPr>
                <w:vertAlign w:val="superscript"/>
              </w:rPr>
              <w:t xml:space="preserve"> a</w:t>
            </w:r>
          </w:p>
        </w:tc>
        <w:tc>
          <w:tcPr>
            <w:tcW w:w="1282" w:type="pct"/>
            <w:vMerge/>
            <w:tcBorders>
              <w:left w:val="single" w:sz="4" w:space="0" w:color="auto"/>
              <w:bottom w:val="single" w:sz="4" w:space="0" w:color="auto"/>
              <w:right w:val="single" w:sz="4" w:space="0" w:color="auto"/>
            </w:tcBorders>
            <w:shd w:val="clear" w:color="auto" w:fill="auto"/>
            <w:vAlign w:val="center"/>
          </w:tcPr>
          <w:p w14:paraId="2415F61B" w14:textId="77777777" w:rsidR="00605910" w:rsidRPr="003B4086" w:rsidRDefault="00605910" w:rsidP="00D83473">
            <w:pPr>
              <w:pStyle w:val="TableText0"/>
            </w:pPr>
          </w:p>
        </w:tc>
        <w:tc>
          <w:tcPr>
            <w:tcW w:w="1040" w:type="pct"/>
            <w:vMerge/>
            <w:tcBorders>
              <w:left w:val="nil"/>
              <w:bottom w:val="single" w:sz="4" w:space="0" w:color="auto"/>
              <w:right w:val="single" w:sz="4" w:space="0" w:color="auto"/>
            </w:tcBorders>
            <w:shd w:val="clear" w:color="auto" w:fill="auto"/>
            <w:vAlign w:val="center"/>
          </w:tcPr>
          <w:p w14:paraId="798F3136" w14:textId="77777777" w:rsidR="00605910" w:rsidRPr="003B4086" w:rsidRDefault="00605910" w:rsidP="00D83473">
            <w:pPr>
              <w:pStyle w:val="TableText0"/>
            </w:pPr>
          </w:p>
        </w:tc>
        <w:tc>
          <w:tcPr>
            <w:tcW w:w="1040" w:type="pct"/>
            <w:tcBorders>
              <w:top w:val="single" w:sz="4" w:space="0" w:color="auto"/>
              <w:left w:val="nil"/>
              <w:bottom w:val="single" w:sz="4" w:space="0" w:color="auto"/>
              <w:right w:val="single" w:sz="4" w:space="0" w:color="auto"/>
            </w:tcBorders>
            <w:shd w:val="clear" w:color="auto" w:fill="auto"/>
            <w:vAlign w:val="center"/>
          </w:tcPr>
          <w:p w14:paraId="055FE8CB" w14:textId="77777777" w:rsidR="00605910" w:rsidRPr="003B4086" w:rsidRDefault="00605910" w:rsidP="00D83473">
            <w:pPr>
              <w:pStyle w:val="TableText0"/>
            </w:pPr>
            <w:r w:rsidRPr="003B4086">
              <w:t>20 years (no cure)</w:t>
            </w:r>
          </w:p>
        </w:tc>
        <w:tc>
          <w:tcPr>
            <w:tcW w:w="600" w:type="pct"/>
            <w:tcBorders>
              <w:top w:val="single" w:sz="4" w:space="0" w:color="auto"/>
              <w:left w:val="nil"/>
              <w:bottom w:val="single" w:sz="4" w:space="0" w:color="auto"/>
              <w:right w:val="single" w:sz="4" w:space="0" w:color="auto"/>
            </w:tcBorders>
            <w:shd w:val="clear" w:color="auto" w:fill="auto"/>
            <w:vAlign w:val="center"/>
          </w:tcPr>
          <w:p w14:paraId="4B72771B" w14:textId="3426408D" w:rsidR="00605910" w:rsidRPr="00D5689A" w:rsidRDefault="00E020DE" w:rsidP="00D83473">
            <w:pPr>
              <w:pStyle w:val="TableText0"/>
              <w:jc w:val="center"/>
              <w:rPr>
                <w:highlight w:val="lightGray"/>
              </w:rPr>
            </w:pPr>
            <w:r w:rsidRPr="00E020DE">
              <w:rPr>
                <w:color w:val="000000"/>
                <w:spacing w:val="34"/>
                <w:shd w:val="solid" w:color="000000" w:fill="000000"/>
                <w:fitText w:val="430" w:id="-1435269885"/>
                <w14:textFill>
                  <w14:solidFill>
                    <w14:srgbClr w14:val="000000">
                      <w14:alpha w14:val="100000"/>
                    </w14:srgbClr>
                  </w14:solidFill>
                </w14:textFill>
              </w:rPr>
              <w:t>|||||</w:t>
            </w:r>
            <w:r w:rsidRPr="00E020DE">
              <w:rPr>
                <w:color w:val="000000"/>
                <w:spacing w:val="5"/>
                <w:shd w:val="solid" w:color="000000" w:fill="000000"/>
                <w:fitText w:val="430" w:id="-1435269885"/>
                <w14:textFill>
                  <w14:solidFill>
                    <w14:srgbClr w14:val="000000">
                      <w14:alpha w14:val="100000"/>
                    </w14:srgbClr>
                  </w14:solidFill>
                </w14:textFill>
              </w:rPr>
              <w:t>|</w:t>
            </w:r>
            <w:r w:rsidR="00D5689A" w:rsidRPr="00D5689A">
              <w:rPr>
                <w:szCs w:val="20"/>
                <w:vertAlign w:val="superscript"/>
              </w:rPr>
              <w:t>3</w:t>
            </w:r>
          </w:p>
        </w:tc>
        <w:tc>
          <w:tcPr>
            <w:tcW w:w="600" w:type="pct"/>
            <w:tcBorders>
              <w:top w:val="single" w:sz="4" w:space="0" w:color="auto"/>
              <w:left w:val="nil"/>
              <w:bottom w:val="single" w:sz="4" w:space="0" w:color="auto"/>
              <w:right w:val="single" w:sz="8" w:space="0" w:color="auto"/>
            </w:tcBorders>
            <w:shd w:val="clear" w:color="auto" w:fill="auto"/>
            <w:vAlign w:val="center"/>
          </w:tcPr>
          <w:p w14:paraId="01502BF7" w14:textId="77777777" w:rsidR="00605910" w:rsidRPr="003B4086" w:rsidRDefault="00605910" w:rsidP="00D83473">
            <w:pPr>
              <w:pStyle w:val="TableText0"/>
              <w:jc w:val="center"/>
            </w:pPr>
            <w:r w:rsidRPr="003B4086">
              <w:t>19%</w:t>
            </w:r>
          </w:p>
        </w:tc>
      </w:tr>
      <w:tr w:rsidR="00605910" w:rsidRPr="003B4086" w14:paraId="48C5C702" w14:textId="77777777" w:rsidTr="00D83473">
        <w:tc>
          <w:tcPr>
            <w:tcW w:w="438" w:type="pct"/>
            <w:tcBorders>
              <w:left w:val="single" w:sz="4" w:space="0" w:color="auto"/>
              <w:bottom w:val="single" w:sz="4" w:space="0" w:color="auto"/>
              <w:right w:val="single" w:sz="4" w:space="0" w:color="auto"/>
            </w:tcBorders>
          </w:tcPr>
          <w:p w14:paraId="2B3B32B4" w14:textId="77777777" w:rsidR="00605910" w:rsidRPr="003B4086" w:rsidRDefault="00605910" w:rsidP="00D83473">
            <w:pPr>
              <w:pStyle w:val="TableText0"/>
            </w:pPr>
            <w:r w:rsidRPr="003B4086">
              <w:t>SA.14</w:t>
            </w:r>
            <w:r w:rsidRPr="003B4086">
              <w:rPr>
                <w:vertAlign w:val="superscript"/>
              </w:rPr>
              <w:t xml:space="preserve"> a</w:t>
            </w:r>
          </w:p>
        </w:tc>
        <w:tc>
          <w:tcPr>
            <w:tcW w:w="1282" w:type="pct"/>
            <w:tcBorders>
              <w:left w:val="single" w:sz="4" w:space="0" w:color="auto"/>
              <w:bottom w:val="single" w:sz="4" w:space="0" w:color="auto"/>
              <w:right w:val="single" w:sz="4" w:space="0" w:color="auto"/>
            </w:tcBorders>
            <w:shd w:val="clear" w:color="auto" w:fill="auto"/>
            <w:vAlign w:val="center"/>
          </w:tcPr>
          <w:p w14:paraId="1914E900" w14:textId="77777777" w:rsidR="00605910" w:rsidRPr="003B4086" w:rsidRDefault="00605910" w:rsidP="00D83473">
            <w:pPr>
              <w:pStyle w:val="TableText0"/>
              <w:rPr>
                <w:vertAlign w:val="superscript"/>
              </w:rPr>
            </w:pPr>
            <w:r w:rsidRPr="003B4086">
              <w:t>Utilities</w:t>
            </w:r>
            <w:r w:rsidRPr="003B4086">
              <w:rPr>
                <w:vertAlign w:val="superscript"/>
              </w:rPr>
              <w:t>a</w:t>
            </w:r>
          </w:p>
        </w:tc>
        <w:tc>
          <w:tcPr>
            <w:tcW w:w="1040" w:type="pct"/>
            <w:tcBorders>
              <w:left w:val="nil"/>
              <w:bottom w:val="single" w:sz="4" w:space="0" w:color="auto"/>
              <w:right w:val="single" w:sz="4" w:space="0" w:color="auto"/>
            </w:tcBorders>
            <w:shd w:val="clear" w:color="auto" w:fill="auto"/>
            <w:vAlign w:val="center"/>
          </w:tcPr>
          <w:p w14:paraId="523B7506" w14:textId="77777777" w:rsidR="00605910" w:rsidRPr="003B4086" w:rsidRDefault="00605910" w:rsidP="00D83473">
            <w:pPr>
              <w:pStyle w:val="TableText0"/>
            </w:pPr>
            <w:r w:rsidRPr="003B4086">
              <w:t>Pre-recurrence: 0.83</w:t>
            </w:r>
          </w:p>
          <w:p w14:paraId="4E0540B8" w14:textId="77777777" w:rsidR="00605910" w:rsidRPr="003B4086" w:rsidRDefault="00605910" w:rsidP="00D83473">
            <w:pPr>
              <w:pStyle w:val="TableText0"/>
            </w:pPr>
            <w:r w:rsidRPr="003B4086">
              <w:t>Post-recurrence: 0.734</w:t>
            </w:r>
          </w:p>
        </w:tc>
        <w:tc>
          <w:tcPr>
            <w:tcW w:w="1040" w:type="pct"/>
            <w:tcBorders>
              <w:top w:val="single" w:sz="4" w:space="0" w:color="auto"/>
              <w:left w:val="nil"/>
              <w:bottom w:val="single" w:sz="4" w:space="0" w:color="auto"/>
              <w:right w:val="single" w:sz="4" w:space="0" w:color="auto"/>
            </w:tcBorders>
            <w:shd w:val="clear" w:color="auto" w:fill="auto"/>
            <w:vAlign w:val="center"/>
          </w:tcPr>
          <w:p w14:paraId="3A90AF02" w14:textId="77777777" w:rsidR="00605910" w:rsidRPr="003B4086" w:rsidRDefault="00605910" w:rsidP="00D83473">
            <w:pPr>
              <w:pStyle w:val="TableText0"/>
            </w:pPr>
            <w:r w:rsidRPr="003B4086">
              <w:t>Pre-recurrence: 0.78</w:t>
            </w:r>
          </w:p>
          <w:p w14:paraId="5B96A33C" w14:textId="77777777" w:rsidR="00605910" w:rsidRPr="003B4086" w:rsidRDefault="00605910" w:rsidP="00D83473">
            <w:pPr>
              <w:pStyle w:val="TableText0"/>
            </w:pPr>
            <w:r w:rsidRPr="003B4086">
              <w:t>Post-recurrence: 0.634</w:t>
            </w:r>
          </w:p>
        </w:tc>
        <w:tc>
          <w:tcPr>
            <w:tcW w:w="600" w:type="pct"/>
            <w:tcBorders>
              <w:top w:val="single" w:sz="4" w:space="0" w:color="auto"/>
              <w:left w:val="nil"/>
              <w:bottom w:val="single" w:sz="4" w:space="0" w:color="auto"/>
              <w:right w:val="single" w:sz="4" w:space="0" w:color="auto"/>
            </w:tcBorders>
            <w:shd w:val="clear" w:color="auto" w:fill="auto"/>
            <w:vAlign w:val="center"/>
          </w:tcPr>
          <w:p w14:paraId="3D0127E3" w14:textId="54E2EAD2" w:rsidR="00605910" w:rsidRPr="00D5689A" w:rsidRDefault="00E020DE" w:rsidP="00D83473">
            <w:pPr>
              <w:pStyle w:val="TableText0"/>
              <w:jc w:val="center"/>
              <w:rPr>
                <w:highlight w:val="lightGray"/>
              </w:rPr>
            </w:pPr>
            <w:r w:rsidRPr="00E020DE">
              <w:rPr>
                <w:color w:val="000000"/>
                <w:spacing w:val="34"/>
                <w:shd w:val="solid" w:color="000000" w:fill="000000"/>
                <w:fitText w:val="430" w:id="-1435269884"/>
                <w14:textFill>
                  <w14:solidFill>
                    <w14:srgbClr w14:val="000000">
                      <w14:alpha w14:val="100000"/>
                    </w14:srgbClr>
                  </w14:solidFill>
                </w14:textFill>
              </w:rPr>
              <w:t>|||||</w:t>
            </w:r>
            <w:r w:rsidRPr="00E020DE">
              <w:rPr>
                <w:color w:val="000000"/>
                <w:spacing w:val="5"/>
                <w:shd w:val="solid" w:color="000000" w:fill="000000"/>
                <w:fitText w:val="430" w:id="-1435269884"/>
                <w14:textFill>
                  <w14:solidFill>
                    <w14:srgbClr w14:val="000000">
                      <w14:alpha w14:val="100000"/>
                    </w14:srgbClr>
                  </w14:solidFill>
                </w14:textFill>
              </w:rPr>
              <w:t>|</w:t>
            </w:r>
            <w:r w:rsidR="00D5689A" w:rsidRPr="00D5689A">
              <w:rPr>
                <w:vertAlign w:val="superscript"/>
              </w:rPr>
              <w:t>1</w:t>
            </w:r>
          </w:p>
        </w:tc>
        <w:tc>
          <w:tcPr>
            <w:tcW w:w="600" w:type="pct"/>
            <w:tcBorders>
              <w:top w:val="single" w:sz="4" w:space="0" w:color="auto"/>
              <w:left w:val="nil"/>
              <w:bottom w:val="single" w:sz="4" w:space="0" w:color="auto"/>
              <w:right w:val="single" w:sz="8" w:space="0" w:color="auto"/>
            </w:tcBorders>
            <w:shd w:val="clear" w:color="auto" w:fill="auto"/>
            <w:vAlign w:val="center"/>
          </w:tcPr>
          <w:p w14:paraId="7064094D" w14:textId="77777777" w:rsidR="00605910" w:rsidRPr="003B4086" w:rsidRDefault="00605910" w:rsidP="00D83473">
            <w:pPr>
              <w:pStyle w:val="TableText0"/>
              <w:jc w:val="center"/>
            </w:pPr>
            <w:r w:rsidRPr="003B4086">
              <w:t>6%</w:t>
            </w:r>
          </w:p>
        </w:tc>
      </w:tr>
      <w:tr w:rsidR="00D528D7" w:rsidRPr="003B4086" w14:paraId="6786EB4B" w14:textId="77777777" w:rsidTr="00D528D7">
        <w:trPr>
          <w:trHeight w:val="469"/>
        </w:trPr>
        <w:tc>
          <w:tcPr>
            <w:tcW w:w="438" w:type="pct"/>
            <w:tcBorders>
              <w:left w:val="single" w:sz="4" w:space="0" w:color="auto"/>
              <w:right w:val="single" w:sz="4" w:space="0" w:color="auto"/>
            </w:tcBorders>
          </w:tcPr>
          <w:p w14:paraId="66707144" w14:textId="77777777" w:rsidR="00D528D7" w:rsidRPr="003B4086" w:rsidRDefault="00D528D7" w:rsidP="00D83473">
            <w:pPr>
              <w:pStyle w:val="TableText0"/>
            </w:pPr>
            <w:r w:rsidRPr="003B4086">
              <w:t>SA.15</w:t>
            </w:r>
            <w:r w:rsidRPr="003B4086">
              <w:rPr>
                <w:vertAlign w:val="superscript"/>
              </w:rPr>
              <w:t xml:space="preserve"> a</w:t>
            </w:r>
          </w:p>
        </w:tc>
        <w:tc>
          <w:tcPr>
            <w:tcW w:w="1282" w:type="pct"/>
            <w:tcBorders>
              <w:left w:val="single" w:sz="4" w:space="0" w:color="auto"/>
              <w:right w:val="single" w:sz="4" w:space="0" w:color="auto"/>
            </w:tcBorders>
            <w:shd w:val="clear" w:color="auto" w:fill="auto"/>
            <w:vAlign w:val="center"/>
          </w:tcPr>
          <w:p w14:paraId="02B619DE" w14:textId="77777777" w:rsidR="00D528D7" w:rsidRPr="003B4086" w:rsidRDefault="00D528D7" w:rsidP="00D83473">
            <w:pPr>
              <w:pStyle w:val="TableText0"/>
            </w:pPr>
            <w:r w:rsidRPr="003B4086">
              <w:t>Background mortality multiplier (x1.5)</w:t>
            </w:r>
          </w:p>
        </w:tc>
        <w:tc>
          <w:tcPr>
            <w:tcW w:w="1040" w:type="pct"/>
            <w:tcBorders>
              <w:left w:val="nil"/>
              <w:right w:val="single" w:sz="4" w:space="0" w:color="auto"/>
            </w:tcBorders>
            <w:shd w:val="clear" w:color="auto" w:fill="auto"/>
            <w:vAlign w:val="center"/>
          </w:tcPr>
          <w:p w14:paraId="1F0B1D29" w14:textId="77777777" w:rsidR="00D528D7" w:rsidRPr="003B4086" w:rsidRDefault="00D528D7" w:rsidP="00D83473">
            <w:pPr>
              <w:pStyle w:val="TableText0"/>
            </w:pPr>
            <w:r w:rsidRPr="003B4086">
              <w:t>Limited to first 2 years</w:t>
            </w:r>
          </w:p>
        </w:tc>
        <w:tc>
          <w:tcPr>
            <w:tcW w:w="1040" w:type="pct"/>
            <w:tcBorders>
              <w:top w:val="single" w:sz="4" w:space="0" w:color="auto"/>
              <w:left w:val="nil"/>
              <w:right w:val="single" w:sz="4" w:space="0" w:color="auto"/>
            </w:tcBorders>
            <w:shd w:val="clear" w:color="auto" w:fill="auto"/>
            <w:vAlign w:val="center"/>
          </w:tcPr>
          <w:p w14:paraId="086A7AA1" w14:textId="77777777" w:rsidR="00D528D7" w:rsidRPr="003B4086" w:rsidRDefault="00D528D7" w:rsidP="00D83473">
            <w:pPr>
              <w:pStyle w:val="TableText0"/>
            </w:pPr>
            <w:r w:rsidRPr="003B4086">
              <w:t>Entire time horizon (20 years)</w:t>
            </w:r>
          </w:p>
        </w:tc>
        <w:tc>
          <w:tcPr>
            <w:tcW w:w="600" w:type="pct"/>
            <w:tcBorders>
              <w:top w:val="single" w:sz="4" w:space="0" w:color="auto"/>
              <w:left w:val="nil"/>
              <w:right w:val="single" w:sz="4" w:space="0" w:color="auto"/>
            </w:tcBorders>
            <w:shd w:val="clear" w:color="auto" w:fill="auto"/>
            <w:vAlign w:val="center"/>
          </w:tcPr>
          <w:p w14:paraId="77EF169A" w14:textId="0E1F5600" w:rsidR="00D528D7" w:rsidRPr="00D5689A" w:rsidRDefault="00E020DE" w:rsidP="00D83473">
            <w:pPr>
              <w:pStyle w:val="TableText0"/>
              <w:jc w:val="center"/>
              <w:rPr>
                <w:highlight w:val="lightGray"/>
              </w:rPr>
            </w:pPr>
            <w:r w:rsidRPr="00E020DE">
              <w:rPr>
                <w:color w:val="000000"/>
                <w:spacing w:val="34"/>
                <w:shd w:val="solid" w:color="000000" w:fill="000000"/>
                <w:fitText w:val="430" w:id="-1435269883"/>
                <w14:textFill>
                  <w14:solidFill>
                    <w14:srgbClr w14:val="000000">
                      <w14:alpha w14:val="100000"/>
                    </w14:srgbClr>
                  </w14:solidFill>
                </w14:textFill>
              </w:rPr>
              <w:t>|||||</w:t>
            </w:r>
            <w:r w:rsidRPr="00E020DE">
              <w:rPr>
                <w:color w:val="000000"/>
                <w:spacing w:val="5"/>
                <w:shd w:val="solid" w:color="000000" w:fill="000000"/>
                <w:fitText w:val="430" w:id="-1435269883"/>
                <w14:textFill>
                  <w14:solidFill>
                    <w14:srgbClr w14:val="000000">
                      <w14:alpha w14:val="100000"/>
                    </w14:srgbClr>
                  </w14:solidFill>
                </w14:textFill>
              </w:rPr>
              <w:t>|</w:t>
            </w:r>
            <w:r w:rsidR="00D5689A" w:rsidRPr="00D5689A">
              <w:rPr>
                <w:vertAlign w:val="superscript"/>
              </w:rPr>
              <w:t>1</w:t>
            </w:r>
          </w:p>
        </w:tc>
        <w:tc>
          <w:tcPr>
            <w:tcW w:w="600" w:type="pct"/>
            <w:tcBorders>
              <w:top w:val="single" w:sz="4" w:space="0" w:color="auto"/>
              <w:left w:val="nil"/>
              <w:right w:val="single" w:sz="8" w:space="0" w:color="auto"/>
            </w:tcBorders>
            <w:shd w:val="clear" w:color="auto" w:fill="auto"/>
            <w:vAlign w:val="center"/>
          </w:tcPr>
          <w:p w14:paraId="2A4300EA" w14:textId="77777777" w:rsidR="00D528D7" w:rsidRPr="003B4086" w:rsidRDefault="00D528D7" w:rsidP="00D83473">
            <w:pPr>
              <w:pStyle w:val="TableText0"/>
              <w:jc w:val="center"/>
            </w:pPr>
            <w:r w:rsidRPr="003B4086">
              <w:t>5%</w:t>
            </w:r>
          </w:p>
        </w:tc>
      </w:tr>
      <w:tr w:rsidR="0064368D" w:rsidRPr="003B4086" w14:paraId="08F00301" w14:textId="77777777" w:rsidTr="00D83473">
        <w:tc>
          <w:tcPr>
            <w:tcW w:w="438" w:type="pct"/>
            <w:tcBorders>
              <w:left w:val="single" w:sz="4" w:space="0" w:color="auto"/>
              <w:bottom w:val="single" w:sz="4" w:space="0" w:color="auto"/>
              <w:right w:val="single" w:sz="4" w:space="0" w:color="auto"/>
            </w:tcBorders>
          </w:tcPr>
          <w:p w14:paraId="29F49A12" w14:textId="3110C3CA" w:rsidR="0064368D" w:rsidRPr="003B4086" w:rsidRDefault="0064368D" w:rsidP="00D83473">
            <w:pPr>
              <w:pStyle w:val="TableText0"/>
            </w:pPr>
            <w:r w:rsidRPr="003B4086">
              <w:t>SA.16</w:t>
            </w:r>
            <w:r w:rsidRPr="003B4086">
              <w:rPr>
                <w:vertAlign w:val="superscript"/>
              </w:rPr>
              <w:t xml:space="preserve"> a</w:t>
            </w:r>
          </w:p>
        </w:tc>
        <w:tc>
          <w:tcPr>
            <w:tcW w:w="1282" w:type="pct"/>
            <w:tcBorders>
              <w:left w:val="single" w:sz="4" w:space="0" w:color="auto"/>
              <w:bottom w:val="single" w:sz="4" w:space="0" w:color="auto"/>
              <w:right w:val="single" w:sz="4" w:space="0" w:color="auto"/>
            </w:tcBorders>
            <w:shd w:val="clear" w:color="auto" w:fill="auto"/>
            <w:vAlign w:val="center"/>
          </w:tcPr>
          <w:p w14:paraId="27C76966" w14:textId="2C5A57AF" w:rsidR="0064368D" w:rsidRPr="003B4086" w:rsidRDefault="0064368D" w:rsidP="00D83473">
            <w:pPr>
              <w:pStyle w:val="TableText0"/>
            </w:pPr>
            <w:r w:rsidRPr="003B4086">
              <w:t>Convergence of curves</w:t>
            </w:r>
          </w:p>
        </w:tc>
        <w:tc>
          <w:tcPr>
            <w:tcW w:w="1040" w:type="pct"/>
            <w:tcBorders>
              <w:left w:val="nil"/>
              <w:bottom w:val="single" w:sz="4" w:space="0" w:color="auto"/>
              <w:right w:val="single" w:sz="4" w:space="0" w:color="auto"/>
            </w:tcBorders>
            <w:shd w:val="clear" w:color="auto" w:fill="auto"/>
            <w:vAlign w:val="center"/>
          </w:tcPr>
          <w:p w14:paraId="28234520" w14:textId="2580ECFB" w:rsidR="0064368D" w:rsidRPr="003B4086" w:rsidRDefault="0064368D" w:rsidP="00D83473">
            <w:pPr>
              <w:pStyle w:val="TableText0"/>
            </w:pPr>
            <w:r w:rsidRPr="003B4086">
              <w:t>No convergence</w:t>
            </w:r>
          </w:p>
        </w:tc>
        <w:tc>
          <w:tcPr>
            <w:tcW w:w="1040" w:type="pct"/>
            <w:tcBorders>
              <w:top w:val="single" w:sz="4" w:space="0" w:color="auto"/>
              <w:left w:val="nil"/>
              <w:bottom w:val="single" w:sz="4" w:space="0" w:color="auto"/>
              <w:right w:val="single" w:sz="4" w:space="0" w:color="auto"/>
            </w:tcBorders>
            <w:shd w:val="clear" w:color="auto" w:fill="auto"/>
            <w:vAlign w:val="center"/>
          </w:tcPr>
          <w:p w14:paraId="6C1F92A5" w14:textId="4DA747F9" w:rsidR="0064368D" w:rsidRPr="003B4086" w:rsidRDefault="00D528D7" w:rsidP="00D83473">
            <w:pPr>
              <w:pStyle w:val="TableText0"/>
              <w:rPr>
                <w:vertAlign w:val="superscript"/>
              </w:rPr>
            </w:pPr>
            <w:r w:rsidRPr="003B4086">
              <w:t xml:space="preserve">At </w:t>
            </w:r>
            <w:r w:rsidR="00750428" w:rsidRPr="003B4086">
              <w:t>15 Years</w:t>
            </w:r>
            <w:r w:rsidRPr="003B4086">
              <w:rPr>
                <w:vertAlign w:val="superscript"/>
              </w:rPr>
              <w:t>b</w:t>
            </w:r>
          </w:p>
        </w:tc>
        <w:tc>
          <w:tcPr>
            <w:tcW w:w="600" w:type="pct"/>
            <w:tcBorders>
              <w:top w:val="single" w:sz="4" w:space="0" w:color="auto"/>
              <w:left w:val="nil"/>
              <w:bottom w:val="single" w:sz="4" w:space="0" w:color="auto"/>
              <w:right w:val="single" w:sz="4" w:space="0" w:color="auto"/>
            </w:tcBorders>
            <w:shd w:val="clear" w:color="auto" w:fill="auto"/>
            <w:vAlign w:val="center"/>
          </w:tcPr>
          <w:p w14:paraId="1249C2B9" w14:textId="54A01B2F" w:rsidR="0064368D" w:rsidRPr="00D5689A" w:rsidRDefault="00E020DE" w:rsidP="00D83473">
            <w:pPr>
              <w:pStyle w:val="TableText0"/>
              <w:jc w:val="center"/>
              <w:rPr>
                <w:highlight w:val="lightGray"/>
              </w:rPr>
            </w:pPr>
            <w:r w:rsidRPr="00E020DE">
              <w:rPr>
                <w:color w:val="000000"/>
                <w:spacing w:val="34"/>
                <w:shd w:val="solid" w:color="000000" w:fill="000000"/>
                <w:fitText w:val="430" w:id="-1435269882"/>
                <w14:textFill>
                  <w14:solidFill>
                    <w14:srgbClr w14:val="000000">
                      <w14:alpha w14:val="100000"/>
                    </w14:srgbClr>
                  </w14:solidFill>
                </w14:textFill>
              </w:rPr>
              <w:t>|||||</w:t>
            </w:r>
            <w:r w:rsidRPr="00E020DE">
              <w:rPr>
                <w:color w:val="000000"/>
                <w:spacing w:val="5"/>
                <w:shd w:val="solid" w:color="000000" w:fill="000000"/>
                <w:fitText w:val="430" w:id="-1435269882"/>
                <w14:textFill>
                  <w14:solidFill>
                    <w14:srgbClr w14:val="000000">
                      <w14:alpha w14:val="100000"/>
                    </w14:srgbClr>
                  </w14:solidFill>
                </w14:textFill>
              </w:rPr>
              <w:t>|</w:t>
            </w:r>
            <w:r w:rsidR="00D5689A" w:rsidRPr="00D5689A">
              <w:rPr>
                <w:vertAlign w:val="superscript"/>
              </w:rPr>
              <w:t>6</w:t>
            </w:r>
          </w:p>
        </w:tc>
        <w:tc>
          <w:tcPr>
            <w:tcW w:w="600" w:type="pct"/>
            <w:tcBorders>
              <w:top w:val="single" w:sz="4" w:space="0" w:color="auto"/>
              <w:left w:val="nil"/>
              <w:bottom w:val="single" w:sz="4" w:space="0" w:color="auto"/>
              <w:right w:val="single" w:sz="8" w:space="0" w:color="auto"/>
            </w:tcBorders>
            <w:shd w:val="clear" w:color="auto" w:fill="auto"/>
            <w:vAlign w:val="center"/>
          </w:tcPr>
          <w:p w14:paraId="32BFF392" w14:textId="7CB85721" w:rsidR="0064368D" w:rsidRPr="003B4086" w:rsidRDefault="00D528D7" w:rsidP="00D83473">
            <w:pPr>
              <w:pStyle w:val="TableText0"/>
              <w:jc w:val="center"/>
            </w:pPr>
            <w:r w:rsidRPr="003B4086">
              <w:t>93%</w:t>
            </w:r>
          </w:p>
        </w:tc>
      </w:tr>
      <w:tr w:rsidR="00605910" w:rsidRPr="003B4086" w14:paraId="355C6513" w14:textId="77777777" w:rsidTr="00D83473">
        <w:tc>
          <w:tcPr>
            <w:tcW w:w="3800" w:type="pct"/>
            <w:gridSpan w:val="4"/>
            <w:tcBorders>
              <w:top w:val="single" w:sz="4" w:space="0" w:color="auto"/>
              <w:left w:val="single" w:sz="4" w:space="0" w:color="auto"/>
              <w:bottom w:val="single" w:sz="4" w:space="0" w:color="auto"/>
              <w:right w:val="single" w:sz="4" w:space="0" w:color="auto"/>
            </w:tcBorders>
          </w:tcPr>
          <w:p w14:paraId="3DFD97BA" w14:textId="77777777" w:rsidR="00605910" w:rsidRPr="003B4086" w:rsidRDefault="00605910" w:rsidP="00D83473">
            <w:pPr>
              <w:pStyle w:val="TableText0"/>
            </w:pPr>
            <w:r w:rsidRPr="003B4086">
              <w:t>SA.9+SA.13 (Gompertz + No cure)</w:t>
            </w:r>
            <w:r w:rsidRPr="003B4086">
              <w:rPr>
                <w:vertAlign w:val="superscript"/>
              </w:rPr>
              <w:t xml:space="preserve"> a</w:t>
            </w:r>
          </w:p>
        </w:tc>
        <w:tc>
          <w:tcPr>
            <w:tcW w:w="600" w:type="pct"/>
            <w:tcBorders>
              <w:top w:val="single" w:sz="4" w:space="0" w:color="auto"/>
              <w:left w:val="nil"/>
              <w:bottom w:val="single" w:sz="4" w:space="0" w:color="auto"/>
              <w:right w:val="single" w:sz="4" w:space="0" w:color="auto"/>
            </w:tcBorders>
            <w:shd w:val="clear" w:color="auto" w:fill="auto"/>
            <w:vAlign w:val="center"/>
          </w:tcPr>
          <w:p w14:paraId="44B2A199" w14:textId="05563411" w:rsidR="00605910" w:rsidRPr="00D5689A" w:rsidRDefault="00E020DE" w:rsidP="00D83473">
            <w:pPr>
              <w:pStyle w:val="TableText0"/>
              <w:jc w:val="center"/>
              <w:rPr>
                <w:highlight w:val="lightGray"/>
              </w:rPr>
            </w:pPr>
            <w:r w:rsidRPr="00E020DE">
              <w:rPr>
                <w:color w:val="000000"/>
                <w:spacing w:val="34"/>
                <w:shd w:val="solid" w:color="000000" w:fill="000000"/>
                <w:fitText w:val="430" w:id="-1435269881"/>
                <w14:textFill>
                  <w14:solidFill>
                    <w14:srgbClr w14:val="000000">
                      <w14:alpha w14:val="100000"/>
                    </w14:srgbClr>
                  </w14:solidFill>
                </w14:textFill>
              </w:rPr>
              <w:t>|||||</w:t>
            </w:r>
            <w:r w:rsidRPr="00E020DE">
              <w:rPr>
                <w:color w:val="000000"/>
                <w:spacing w:val="5"/>
                <w:shd w:val="solid" w:color="000000" w:fill="000000"/>
                <w:fitText w:val="430" w:id="-1435269881"/>
                <w14:textFill>
                  <w14:solidFill>
                    <w14:srgbClr w14:val="000000">
                      <w14:alpha w14:val="100000"/>
                    </w14:srgbClr>
                  </w14:solidFill>
                </w14:textFill>
              </w:rPr>
              <w:t>|</w:t>
            </w:r>
            <w:r w:rsidR="00D5689A" w:rsidRPr="00D5689A">
              <w:rPr>
                <w:vertAlign w:val="superscript"/>
              </w:rPr>
              <w:t>2</w:t>
            </w:r>
          </w:p>
        </w:tc>
        <w:tc>
          <w:tcPr>
            <w:tcW w:w="600" w:type="pct"/>
            <w:tcBorders>
              <w:top w:val="single" w:sz="4" w:space="0" w:color="auto"/>
              <w:left w:val="nil"/>
              <w:bottom w:val="single" w:sz="4" w:space="0" w:color="auto"/>
              <w:right w:val="single" w:sz="8" w:space="0" w:color="auto"/>
            </w:tcBorders>
            <w:shd w:val="clear" w:color="auto" w:fill="auto"/>
            <w:vAlign w:val="center"/>
          </w:tcPr>
          <w:p w14:paraId="13EE3B0F" w14:textId="77777777" w:rsidR="00605910" w:rsidRPr="003B4086" w:rsidRDefault="00605910" w:rsidP="00D83473">
            <w:pPr>
              <w:pStyle w:val="TableText0"/>
              <w:jc w:val="center"/>
            </w:pPr>
            <w:r w:rsidRPr="003B4086">
              <w:t>47%</w:t>
            </w:r>
          </w:p>
        </w:tc>
      </w:tr>
      <w:tr w:rsidR="00605910" w:rsidRPr="003B4086" w14:paraId="5EA9F1AF" w14:textId="77777777" w:rsidTr="00D83473">
        <w:tc>
          <w:tcPr>
            <w:tcW w:w="3800" w:type="pct"/>
            <w:gridSpan w:val="4"/>
            <w:tcBorders>
              <w:top w:val="single" w:sz="4" w:space="0" w:color="auto"/>
              <w:left w:val="single" w:sz="4" w:space="0" w:color="auto"/>
              <w:bottom w:val="single" w:sz="4" w:space="0" w:color="auto"/>
              <w:right w:val="single" w:sz="4" w:space="0" w:color="auto"/>
            </w:tcBorders>
          </w:tcPr>
          <w:p w14:paraId="349E4D57" w14:textId="77777777" w:rsidR="00605910" w:rsidRPr="003B4086" w:rsidRDefault="00605910" w:rsidP="00D83473">
            <w:pPr>
              <w:pStyle w:val="TableText0"/>
            </w:pPr>
            <w:r w:rsidRPr="003B4086">
              <w:t>SA.9+SA.10+SA.13 (Gompertz + 42 months extrapolation +No cure)</w:t>
            </w:r>
            <w:r w:rsidRPr="003B4086">
              <w:rPr>
                <w:vertAlign w:val="superscript"/>
              </w:rPr>
              <w:t xml:space="preserve"> a</w:t>
            </w:r>
          </w:p>
        </w:tc>
        <w:tc>
          <w:tcPr>
            <w:tcW w:w="600" w:type="pct"/>
            <w:tcBorders>
              <w:top w:val="single" w:sz="4" w:space="0" w:color="auto"/>
              <w:left w:val="nil"/>
              <w:bottom w:val="single" w:sz="4" w:space="0" w:color="auto"/>
              <w:right w:val="single" w:sz="4" w:space="0" w:color="auto"/>
            </w:tcBorders>
            <w:shd w:val="clear" w:color="auto" w:fill="auto"/>
            <w:vAlign w:val="center"/>
          </w:tcPr>
          <w:p w14:paraId="3809C85D" w14:textId="434CA5D8" w:rsidR="00605910" w:rsidRPr="00D5689A" w:rsidRDefault="00E020DE" w:rsidP="00D83473">
            <w:pPr>
              <w:pStyle w:val="TableText0"/>
              <w:jc w:val="center"/>
              <w:rPr>
                <w:highlight w:val="lightGray"/>
              </w:rPr>
            </w:pPr>
            <w:r w:rsidRPr="00E020DE">
              <w:rPr>
                <w:color w:val="000000"/>
                <w:spacing w:val="34"/>
                <w:shd w:val="solid" w:color="000000" w:fill="000000"/>
                <w:fitText w:val="430" w:id="-1435269880"/>
                <w14:textFill>
                  <w14:solidFill>
                    <w14:srgbClr w14:val="000000">
                      <w14:alpha w14:val="100000"/>
                    </w14:srgbClr>
                  </w14:solidFill>
                </w14:textFill>
              </w:rPr>
              <w:t>|||||</w:t>
            </w:r>
            <w:r w:rsidRPr="00E020DE">
              <w:rPr>
                <w:color w:val="000000"/>
                <w:spacing w:val="5"/>
                <w:shd w:val="solid" w:color="000000" w:fill="000000"/>
                <w:fitText w:val="430" w:id="-1435269880"/>
                <w14:textFill>
                  <w14:solidFill>
                    <w14:srgbClr w14:val="000000">
                      <w14:alpha w14:val="100000"/>
                    </w14:srgbClr>
                  </w14:solidFill>
                </w14:textFill>
              </w:rPr>
              <w:t>|</w:t>
            </w:r>
            <w:r w:rsidR="00D5689A" w:rsidRPr="00D5689A">
              <w:rPr>
                <w:vertAlign w:val="superscript"/>
              </w:rPr>
              <w:t>2</w:t>
            </w:r>
          </w:p>
        </w:tc>
        <w:tc>
          <w:tcPr>
            <w:tcW w:w="600" w:type="pct"/>
            <w:tcBorders>
              <w:top w:val="single" w:sz="4" w:space="0" w:color="auto"/>
              <w:left w:val="nil"/>
              <w:bottom w:val="single" w:sz="4" w:space="0" w:color="auto"/>
              <w:right w:val="single" w:sz="8" w:space="0" w:color="auto"/>
            </w:tcBorders>
            <w:shd w:val="clear" w:color="auto" w:fill="auto"/>
            <w:vAlign w:val="center"/>
          </w:tcPr>
          <w:p w14:paraId="6A5875BE" w14:textId="77777777" w:rsidR="00605910" w:rsidRPr="003B4086" w:rsidRDefault="00605910" w:rsidP="00D83473">
            <w:pPr>
              <w:pStyle w:val="TableText0"/>
              <w:jc w:val="center"/>
            </w:pPr>
            <w:r w:rsidRPr="003B4086">
              <w:t>44%</w:t>
            </w:r>
          </w:p>
        </w:tc>
      </w:tr>
      <w:tr w:rsidR="00605910" w:rsidRPr="003B4086" w14:paraId="2D6705FC" w14:textId="77777777" w:rsidTr="00D83473">
        <w:tc>
          <w:tcPr>
            <w:tcW w:w="3800" w:type="pct"/>
            <w:gridSpan w:val="4"/>
            <w:tcBorders>
              <w:top w:val="single" w:sz="4" w:space="0" w:color="auto"/>
              <w:left w:val="single" w:sz="4" w:space="0" w:color="auto"/>
              <w:bottom w:val="single" w:sz="4" w:space="0" w:color="auto"/>
              <w:right w:val="single" w:sz="4" w:space="0" w:color="auto"/>
            </w:tcBorders>
          </w:tcPr>
          <w:p w14:paraId="38A9A37C" w14:textId="77777777" w:rsidR="00605910" w:rsidRPr="003B4086" w:rsidRDefault="00605910" w:rsidP="00D83473">
            <w:pPr>
              <w:pStyle w:val="TableText0"/>
            </w:pPr>
            <w:r w:rsidRPr="003B4086">
              <w:t>SA.9+SA.10+SA.13 +SA.15 (Gompertz + 42 months extrapolation + No cure + background mortality multiplier (x1.5) for 20 years)</w:t>
            </w:r>
            <w:r w:rsidRPr="003B4086">
              <w:rPr>
                <w:vertAlign w:val="superscript"/>
              </w:rPr>
              <w:t xml:space="preserve"> a</w:t>
            </w:r>
          </w:p>
        </w:tc>
        <w:tc>
          <w:tcPr>
            <w:tcW w:w="600" w:type="pct"/>
            <w:tcBorders>
              <w:top w:val="single" w:sz="4" w:space="0" w:color="auto"/>
              <w:left w:val="nil"/>
              <w:bottom w:val="single" w:sz="4" w:space="0" w:color="auto"/>
              <w:right w:val="single" w:sz="4" w:space="0" w:color="auto"/>
            </w:tcBorders>
            <w:shd w:val="clear" w:color="auto" w:fill="auto"/>
            <w:vAlign w:val="center"/>
          </w:tcPr>
          <w:p w14:paraId="5EF1AEE0" w14:textId="7CAC2CF3" w:rsidR="00605910" w:rsidRPr="00D5689A" w:rsidRDefault="00E020DE" w:rsidP="00D83473">
            <w:pPr>
              <w:pStyle w:val="TableText0"/>
              <w:jc w:val="center"/>
              <w:rPr>
                <w:highlight w:val="lightGray"/>
              </w:rPr>
            </w:pPr>
            <w:r w:rsidRPr="00E020DE">
              <w:rPr>
                <w:color w:val="000000"/>
                <w:spacing w:val="34"/>
                <w:shd w:val="solid" w:color="000000" w:fill="000000"/>
                <w:fitText w:val="430" w:id="-1435269879"/>
                <w14:textFill>
                  <w14:solidFill>
                    <w14:srgbClr w14:val="000000">
                      <w14:alpha w14:val="100000"/>
                    </w14:srgbClr>
                  </w14:solidFill>
                </w14:textFill>
              </w:rPr>
              <w:t>|||||</w:t>
            </w:r>
            <w:r w:rsidRPr="00E020DE">
              <w:rPr>
                <w:color w:val="000000"/>
                <w:spacing w:val="5"/>
                <w:shd w:val="solid" w:color="000000" w:fill="000000"/>
                <w:fitText w:val="430" w:id="-1435269879"/>
                <w14:textFill>
                  <w14:solidFill>
                    <w14:srgbClr w14:val="000000">
                      <w14:alpha w14:val="100000"/>
                    </w14:srgbClr>
                  </w14:solidFill>
                </w14:textFill>
              </w:rPr>
              <w:t>|</w:t>
            </w:r>
            <w:r w:rsidR="00D5689A" w:rsidRPr="00D5689A">
              <w:rPr>
                <w:vertAlign w:val="superscript"/>
              </w:rPr>
              <w:t>2</w:t>
            </w:r>
          </w:p>
        </w:tc>
        <w:tc>
          <w:tcPr>
            <w:tcW w:w="600" w:type="pct"/>
            <w:tcBorders>
              <w:top w:val="single" w:sz="4" w:space="0" w:color="auto"/>
              <w:left w:val="nil"/>
              <w:bottom w:val="single" w:sz="4" w:space="0" w:color="auto"/>
              <w:right w:val="single" w:sz="8" w:space="0" w:color="auto"/>
            </w:tcBorders>
            <w:shd w:val="clear" w:color="auto" w:fill="auto"/>
            <w:vAlign w:val="center"/>
          </w:tcPr>
          <w:p w14:paraId="78CEB79D" w14:textId="77777777" w:rsidR="00605910" w:rsidRPr="003B4086" w:rsidRDefault="00605910" w:rsidP="00D83473">
            <w:pPr>
              <w:pStyle w:val="TableText0"/>
              <w:jc w:val="center"/>
            </w:pPr>
            <w:r w:rsidRPr="003B4086">
              <w:t>41%</w:t>
            </w:r>
          </w:p>
        </w:tc>
      </w:tr>
    </w:tbl>
    <w:p w14:paraId="645D6970" w14:textId="77777777" w:rsidR="00605910" w:rsidRPr="003B4086" w:rsidRDefault="00605910" w:rsidP="00605910">
      <w:pPr>
        <w:pStyle w:val="TableFooter"/>
      </w:pPr>
      <w:r w:rsidRPr="003B4086">
        <w:t>Source: Table 72, p146 of the submission and additional analyses conducted during the evaluation.</w:t>
      </w:r>
    </w:p>
    <w:p w14:paraId="6EA2E62B" w14:textId="77777777" w:rsidR="00605910" w:rsidRPr="003B4086" w:rsidRDefault="00605910" w:rsidP="00605910">
      <w:pPr>
        <w:pStyle w:val="TableFooter"/>
      </w:pPr>
      <w:r w:rsidRPr="003B4086">
        <w:t>DFS = disease-free survival; QALY = quality-adjusted life year</w:t>
      </w:r>
    </w:p>
    <w:p w14:paraId="7A6502D1" w14:textId="3B79FBE2" w:rsidR="00605910" w:rsidRPr="003B4086" w:rsidRDefault="00605910" w:rsidP="00605910">
      <w:pPr>
        <w:pStyle w:val="TableFooter"/>
      </w:pPr>
      <w:r w:rsidRPr="003B4086">
        <w:rPr>
          <w:vertAlign w:val="superscript"/>
        </w:rPr>
        <w:t>a</w:t>
      </w:r>
      <w:r w:rsidRPr="003B4086">
        <w:t xml:space="preserve"> Sensitivity analyses performed during the evaluation. </w:t>
      </w:r>
    </w:p>
    <w:p w14:paraId="51C0CF43" w14:textId="2649783A" w:rsidR="00D528D7" w:rsidRDefault="00D528D7" w:rsidP="00F86D13">
      <w:pPr>
        <w:pStyle w:val="TableFooter"/>
        <w:spacing w:after="120"/>
      </w:pPr>
      <w:r w:rsidRPr="003B4086">
        <w:rPr>
          <w:vertAlign w:val="superscript"/>
        </w:rPr>
        <w:t>b</w:t>
      </w:r>
      <w:r w:rsidRPr="003B4086">
        <w:t xml:space="preserve"> DFS and OS curves </w:t>
      </w:r>
      <w:r w:rsidR="00656AEF" w:rsidRPr="003B4086">
        <w:t>of</w:t>
      </w:r>
      <w:r w:rsidRPr="003B4086">
        <w:t xml:space="preserve"> both arms were made to converge by </w:t>
      </w:r>
      <w:r w:rsidR="00656AEF" w:rsidRPr="003B4086">
        <w:t>changing the point of cure to 15 years and by increasing the transition probability of pre-recurrence to recurrence and recurrence to death by approximately 1.3 and 1.5 times respectively in the nivolumab arm</w:t>
      </w:r>
      <w:r w:rsidR="00A13B64" w:rsidRPr="003B4086">
        <w:t xml:space="preserve"> from year 4. </w:t>
      </w:r>
    </w:p>
    <w:p w14:paraId="49F0F091" w14:textId="77777777" w:rsidR="00D5689A" w:rsidRPr="00546335" w:rsidRDefault="00D5689A" w:rsidP="00D5689A">
      <w:pPr>
        <w:pStyle w:val="TableFigureFooter"/>
        <w:keepNext/>
        <w:spacing w:after="0"/>
        <w:contextualSpacing w:val="0"/>
        <w:rPr>
          <w:i/>
        </w:rPr>
      </w:pPr>
      <w:r w:rsidRPr="00546335">
        <w:rPr>
          <w:i/>
        </w:rPr>
        <w:t>The redacted values correspond to the following ranges:</w:t>
      </w:r>
    </w:p>
    <w:p w14:paraId="3DAA50F7" w14:textId="343DD6BF" w:rsidR="00D5689A" w:rsidRDefault="00D5689A" w:rsidP="00D5689A">
      <w:pPr>
        <w:pStyle w:val="TableFooter"/>
      </w:pPr>
      <w:r>
        <w:rPr>
          <w:vertAlign w:val="superscript"/>
        </w:rPr>
        <w:t>1</w:t>
      </w:r>
      <w:r>
        <w:t>$35,000 to &lt; $45,000</w:t>
      </w:r>
    </w:p>
    <w:p w14:paraId="43642D7C" w14:textId="17607B86" w:rsidR="00D5689A" w:rsidRDefault="00D5689A" w:rsidP="00D5689A">
      <w:pPr>
        <w:pStyle w:val="TableFooter"/>
      </w:pPr>
      <w:r>
        <w:rPr>
          <w:vertAlign w:val="superscript"/>
        </w:rPr>
        <w:t>2</w:t>
      </w:r>
      <w:r>
        <w:t>$55,000 to &lt; $75,000</w:t>
      </w:r>
    </w:p>
    <w:p w14:paraId="6B6F8889" w14:textId="1B6C86B8" w:rsidR="00D5689A" w:rsidRDefault="00D5689A" w:rsidP="00D5689A">
      <w:pPr>
        <w:pStyle w:val="TableFooter"/>
      </w:pPr>
      <w:r>
        <w:rPr>
          <w:vertAlign w:val="superscript"/>
        </w:rPr>
        <w:t>3</w:t>
      </w:r>
      <w:r>
        <w:t>$45,000 to &lt; $55,000</w:t>
      </w:r>
    </w:p>
    <w:p w14:paraId="2D79058E" w14:textId="1EF65872" w:rsidR="00D5689A" w:rsidRDefault="00D5689A" w:rsidP="00D5689A">
      <w:pPr>
        <w:pStyle w:val="TableFooter"/>
      </w:pPr>
      <w:r>
        <w:rPr>
          <w:vertAlign w:val="superscript"/>
        </w:rPr>
        <w:t>4</w:t>
      </w:r>
      <w:r>
        <w:t>$25,000 to &lt; $35,000</w:t>
      </w:r>
    </w:p>
    <w:p w14:paraId="6BABC529" w14:textId="373EF7C8" w:rsidR="00D5689A" w:rsidRDefault="00D5689A" w:rsidP="00D5689A">
      <w:pPr>
        <w:pStyle w:val="TableFooter"/>
        <w:rPr>
          <w:szCs w:val="20"/>
        </w:rPr>
      </w:pPr>
      <w:r w:rsidRPr="00D5689A">
        <w:rPr>
          <w:szCs w:val="20"/>
          <w:vertAlign w:val="superscript"/>
        </w:rPr>
        <w:t>5</w:t>
      </w:r>
      <w:r>
        <w:rPr>
          <w:szCs w:val="20"/>
        </w:rPr>
        <w:t>$155,000 to &lt; $255,000</w:t>
      </w:r>
    </w:p>
    <w:p w14:paraId="05B4951B" w14:textId="4EC863B0" w:rsidR="00D5689A" w:rsidRDefault="00D5689A" w:rsidP="00D5689A">
      <w:pPr>
        <w:pStyle w:val="TableFooter"/>
        <w:rPr>
          <w:szCs w:val="20"/>
        </w:rPr>
      </w:pPr>
      <w:r>
        <w:rPr>
          <w:szCs w:val="20"/>
          <w:vertAlign w:val="superscript"/>
        </w:rPr>
        <w:t>6</w:t>
      </w:r>
      <w:r>
        <w:rPr>
          <w:szCs w:val="20"/>
        </w:rPr>
        <w:t>$75,000 to &lt; $95,000</w:t>
      </w:r>
    </w:p>
    <w:p w14:paraId="78A52622" w14:textId="77777777" w:rsidR="00D5689A" w:rsidRPr="00D5689A" w:rsidRDefault="00D5689A" w:rsidP="00D5689A">
      <w:pPr>
        <w:pStyle w:val="TableFooter"/>
      </w:pPr>
    </w:p>
    <w:p w14:paraId="38709C1D" w14:textId="46B7A5B2" w:rsidR="00605910" w:rsidRPr="003B4086" w:rsidRDefault="00605910" w:rsidP="00605910">
      <w:pPr>
        <w:pStyle w:val="3-BodyText"/>
      </w:pPr>
      <w:r w:rsidRPr="003B4086">
        <w:t xml:space="preserve">The ICER was found to be moderately sensitive to time horizon, choice of parametric function for extrapolation of DFS, time point of extrapolation of DFS and cure assumption. If Gompertz parametric function was used to extrapolate DFS in both treatment arms from 42 months, no cure was considered and the background mortality multiplier of 1.5 was applied to the entire time horizon of 20 years, the ICER would increase by 41% to </w:t>
      </w:r>
      <w:r w:rsidR="00320CFC" w:rsidRPr="00320CFC">
        <w:t xml:space="preserve">$55,000 to &lt; $75,000 </w:t>
      </w:r>
      <w:r w:rsidRPr="003B4086">
        <w:t xml:space="preserve">/QALY gained (base case: </w:t>
      </w:r>
      <w:r w:rsidR="00320CFC" w:rsidRPr="00320CFC">
        <w:t>$35,000 to &lt; $45,000</w:t>
      </w:r>
      <w:r w:rsidRPr="003B4086">
        <w:t>/QALY gained).</w:t>
      </w:r>
    </w:p>
    <w:p w14:paraId="6C84B2DC" w14:textId="7AB10B92" w:rsidR="007F2F86" w:rsidRPr="003B4086" w:rsidRDefault="007F2F86" w:rsidP="00605910">
      <w:pPr>
        <w:pStyle w:val="3-BodyText"/>
      </w:pPr>
      <w:bookmarkStart w:id="65" w:name="_Ref106395375"/>
      <w:r w:rsidRPr="003B4086">
        <w:t xml:space="preserve">The ESC considered that the respecified base case outlined in </w:t>
      </w:r>
      <w:r w:rsidRPr="003B4086">
        <w:fldChar w:fldCharType="begin"/>
      </w:r>
      <w:r w:rsidRPr="003B4086">
        <w:instrText xml:space="preserve"> REF _Ref103003156 \h  \* MERGEFORMAT </w:instrText>
      </w:r>
      <w:r w:rsidRPr="003B4086">
        <w:fldChar w:fldCharType="separate"/>
      </w:r>
      <w:r w:rsidR="00E7401A" w:rsidRPr="003B4086">
        <w:t>Table 14</w:t>
      </w:r>
      <w:r w:rsidRPr="003B4086">
        <w:fldChar w:fldCharType="end"/>
      </w:r>
      <w:r w:rsidRPr="003B4086">
        <w:t xml:space="preserve"> is likely to be a more accurate representation of the true ICER than the base case provided in the </w:t>
      </w:r>
      <w:r w:rsidRPr="003B4086">
        <w:lastRenderedPageBreak/>
        <w:t>submission. The ESC advised it would be appropriate for the respecified base case assumptions to be used when consideration is given to providing a model with a more granular recurrence state.</w:t>
      </w:r>
      <w:bookmarkEnd w:id="65"/>
    </w:p>
    <w:p w14:paraId="5321E498" w14:textId="77777777" w:rsidR="00605910" w:rsidRPr="003B4086" w:rsidRDefault="00605910" w:rsidP="00605910">
      <w:pPr>
        <w:pStyle w:val="4-SubsectionHeading"/>
      </w:pPr>
      <w:bookmarkStart w:id="66" w:name="_Toc22897646"/>
      <w:bookmarkStart w:id="67" w:name="_Toc22898858"/>
      <w:bookmarkStart w:id="68" w:name="_Toc103768135"/>
      <w:r w:rsidRPr="003B4086">
        <w:t>Drug cost/patient/course</w:t>
      </w:r>
      <w:bookmarkEnd w:id="66"/>
      <w:bookmarkEnd w:id="67"/>
      <w:bookmarkEnd w:id="68"/>
    </w:p>
    <w:p w14:paraId="564B6FD0" w14:textId="36DE8788" w:rsidR="00605910" w:rsidRPr="003B4086" w:rsidRDefault="00605910" w:rsidP="00605910">
      <w:pPr>
        <w:pStyle w:val="TableFigureHeading"/>
        <w:rPr>
          <w:rStyle w:val="CommentReference"/>
          <w:b/>
          <w:szCs w:val="24"/>
        </w:rPr>
      </w:pPr>
      <w:r w:rsidRPr="003B4086">
        <w:t xml:space="preserve">Table </w:t>
      </w:r>
      <w:r w:rsidR="00785573">
        <w:fldChar w:fldCharType="begin"/>
      </w:r>
      <w:r w:rsidR="00785573">
        <w:instrText xml:space="preserve"> SEQ Table \</w:instrText>
      </w:r>
      <w:r w:rsidR="00785573">
        <w:instrText xml:space="preserve">* ARABIC </w:instrText>
      </w:r>
      <w:r w:rsidR="00785573">
        <w:fldChar w:fldCharType="separate"/>
      </w:r>
      <w:r w:rsidR="00C6296C" w:rsidRPr="003B4086">
        <w:rPr>
          <w:noProof/>
        </w:rPr>
        <w:t>17</w:t>
      </w:r>
      <w:r w:rsidR="00785573">
        <w:rPr>
          <w:noProof/>
        </w:rPr>
        <w:fldChar w:fldCharType="end"/>
      </w:r>
      <w:r w:rsidRPr="003B4086">
        <w:rPr>
          <w:noProof/>
        </w:rPr>
        <w:t xml:space="preserve">: </w:t>
      </w:r>
      <w:r w:rsidRPr="003B4086">
        <w:rPr>
          <w:rStyle w:val="CommentReference"/>
          <w:b/>
          <w:szCs w:val="24"/>
        </w:rPr>
        <w:t>Drug cost per patient for nivolumab as adjuvant therapy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Drug cost per patient for nivolumab as adjuvant therapy"/>
      </w:tblPr>
      <w:tblGrid>
        <w:gridCol w:w="2527"/>
        <w:gridCol w:w="2163"/>
        <w:gridCol w:w="2160"/>
        <w:gridCol w:w="2166"/>
      </w:tblGrid>
      <w:tr w:rsidR="00605910" w:rsidRPr="003B4086" w14:paraId="3E6A0C71" w14:textId="77777777" w:rsidTr="00D83473">
        <w:trPr>
          <w:cantSplit/>
          <w:tblHeader/>
          <w:jc w:val="center"/>
        </w:trPr>
        <w:tc>
          <w:tcPr>
            <w:tcW w:w="1401" w:type="pct"/>
            <w:shd w:val="clear" w:color="auto" w:fill="auto"/>
            <w:vAlign w:val="center"/>
          </w:tcPr>
          <w:p w14:paraId="270D5B2D" w14:textId="77777777" w:rsidR="00605910" w:rsidRPr="003B4086" w:rsidRDefault="00605910" w:rsidP="00D83473">
            <w:pPr>
              <w:pStyle w:val="In-tableHeading"/>
              <w:jc w:val="center"/>
              <w:rPr>
                <w:lang w:val="en-AU"/>
              </w:rPr>
            </w:pPr>
          </w:p>
        </w:tc>
        <w:tc>
          <w:tcPr>
            <w:tcW w:w="1199" w:type="pct"/>
            <w:shd w:val="clear" w:color="auto" w:fill="auto"/>
            <w:vAlign w:val="center"/>
          </w:tcPr>
          <w:p w14:paraId="466F944E" w14:textId="77777777" w:rsidR="00605910" w:rsidRPr="003B4086" w:rsidRDefault="00605910" w:rsidP="00D83473">
            <w:pPr>
              <w:pStyle w:val="In-tableHeading"/>
              <w:jc w:val="center"/>
              <w:rPr>
                <w:lang w:val="en-AU"/>
              </w:rPr>
            </w:pPr>
            <w:r w:rsidRPr="003B4086">
              <w:rPr>
                <w:lang w:val="en-AU"/>
              </w:rPr>
              <w:t>Trial dose and duration</w:t>
            </w:r>
          </w:p>
        </w:tc>
        <w:tc>
          <w:tcPr>
            <w:tcW w:w="1198" w:type="pct"/>
            <w:shd w:val="clear" w:color="auto" w:fill="auto"/>
            <w:vAlign w:val="center"/>
          </w:tcPr>
          <w:p w14:paraId="41994EB3" w14:textId="77777777" w:rsidR="00605910" w:rsidRPr="003B4086" w:rsidRDefault="00605910" w:rsidP="00D83473">
            <w:pPr>
              <w:pStyle w:val="In-tableHeading"/>
              <w:jc w:val="center"/>
              <w:rPr>
                <w:lang w:val="en-AU"/>
              </w:rPr>
            </w:pPr>
            <w:r w:rsidRPr="003B4086">
              <w:rPr>
                <w:lang w:val="en-AU"/>
              </w:rPr>
              <w:t>Model</w:t>
            </w:r>
          </w:p>
        </w:tc>
        <w:tc>
          <w:tcPr>
            <w:tcW w:w="1201" w:type="pct"/>
            <w:shd w:val="clear" w:color="auto" w:fill="auto"/>
            <w:vAlign w:val="center"/>
          </w:tcPr>
          <w:p w14:paraId="316D051E" w14:textId="77777777" w:rsidR="00605910" w:rsidRPr="003B4086" w:rsidRDefault="00605910" w:rsidP="00D83473">
            <w:pPr>
              <w:pStyle w:val="In-tableHeading"/>
              <w:jc w:val="center"/>
              <w:rPr>
                <w:lang w:val="en-AU"/>
              </w:rPr>
            </w:pPr>
            <w:r w:rsidRPr="003B4086">
              <w:rPr>
                <w:lang w:val="en-AU"/>
              </w:rPr>
              <w:t>Financial estimates</w:t>
            </w:r>
          </w:p>
        </w:tc>
      </w:tr>
      <w:tr w:rsidR="00605910" w:rsidRPr="003B4086" w14:paraId="549A2F62" w14:textId="77777777" w:rsidTr="00D83473">
        <w:trPr>
          <w:cantSplit/>
          <w:jc w:val="center"/>
        </w:trPr>
        <w:tc>
          <w:tcPr>
            <w:tcW w:w="1401" w:type="pct"/>
            <w:shd w:val="clear" w:color="auto" w:fill="auto"/>
            <w:vAlign w:val="center"/>
          </w:tcPr>
          <w:p w14:paraId="056C1BE7" w14:textId="77777777" w:rsidR="00605910" w:rsidRPr="003B4086" w:rsidRDefault="00605910" w:rsidP="00D83473">
            <w:pPr>
              <w:pStyle w:val="TableText0"/>
            </w:pPr>
            <w:r w:rsidRPr="003B4086">
              <w:t>Mean dose per infusion</w:t>
            </w:r>
          </w:p>
        </w:tc>
        <w:tc>
          <w:tcPr>
            <w:tcW w:w="1199" w:type="pct"/>
            <w:shd w:val="clear" w:color="auto" w:fill="auto"/>
            <w:vAlign w:val="center"/>
          </w:tcPr>
          <w:p w14:paraId="1F772005" w14:textId="77777777" w:rsidR="00605910" w:rsidRPr="003B4086" w:rsidRDefault="00605910" w:rsidP="00D83473">
            <w:pPr>
              <w:pStyle w:val="TableText0"/>
              <w:jc w:val="center"/>
            </w:pPr>
            <w:r w:rsidRPr="003B4086">
              <w:t>240mg Q2W</w:t>
            </w:r>
          </w:p>
        </w:tc>
        <w:tc>
          <w:tcPr>
            <w:tcW w:w="1198" w:type="pct"/>
            <w:shd w:val="clear" w:color="auto" w:fill="auto"/>
            <w:vAlign w:val="center"/>
          </w:tcPr>
          <w:p w14:paraId="38143503" w14:textId="77777777" w:rsidR="00605910" w:rsidRPr="003B4086" w:rsidRDefault="00605910" w:rsidP="00D83473">
            <w:pPr>
              <w:pStyle w:val="TableText0"/>
              <w:jc w:val="center"/>
            </w:pPr>
            <w:r w:rsidRPr="003B4086">
              <w:t>480mg Q4W</w:t>
            </w:r>
          </w:p>
        </w:tc>
        <w:tc>
          <w:tcPr>
            <w:tcW w:w="1201" w:type="pct"/>
            <w:shd w:val="clear" w:color="auto" w:fill="auto"/>
            <w:vAlign w:val="center"/>
          </w:tcPr>
          <w:p w14:paraId="7A427BB8" w14:textId="77777777" w:rsidR="00605910" w:rsidRPr="003B4086" w:rsidRDefault="00605910" w:rsidP="00D83473">
            <w:pPr>
              <w:pStyle w:val="TableText0"/>
              <w:jc w:val="center"/>
            </w:pPr>
            <w:r w:rsidRPr="003B4086">
              <w:t>240mg Q2W (10%)</w:t>
            </w:r>
          </w:p>
          <w:p w14:paraId="6391348F" w14:textId="77777777" w:rsidR="00605910" w:rsidRPr="003B4086" w:rsidRDefault="00605910" w:rsidP="00D83473">
            <w:pPr>
              <w:pStyle w:val="TableText0"/>
              <w:jc w:val="center"/>
            </w:pPr>
            <w:r w:rsidRPr="003B4086">
              <w:t>480mg Q4W (90%)</w:t>
            </w:r>
          </w:p>
        </w:tc>
      </w:tr>
      <w:tr w:rsidR="00605910" w:rsidRPr="003B4086" w14:paraId="7E4B7662" w14:textId="77777777" w:rsidTr="00D83473">
        <w:trPr>
          <w:cantSplit/>
          <w:jc w:val="center"/>
        </w:trPr>
        <w:tc>
          <w:tcPr>
            <w:tcW w:w="1401" w:type="pct"/>
            <w:shd w:val="clear" w:color="auto" w:fill="auto"/>
            <w:vAlign w:val="center"/>
          </w:tcPr>
          <w:p w14:paraId="3A18AFD9" w14:textId="77777777" w:rsidR="00605910" w:rsidRPr="003B4086" w:rsidRDefault="00605910" w:rsidP="00D83473">
            <w:pPr>
              <w:pStyle w:val="TableText0"/>
            </w:pPr>
            <w:r w:rsidRPr="003B4086">
              <w:t>Mean duration</w:t>
            </w:r>
          </w:p>
        </w:tc>
        <w:tc>
          <w:tcPr>
            <w:tcW w:w="1199" w:type="pct"/>
            <w:shd w:val="clear" w:color="auto" w:fill="auto"/>
            <w:vAlign w:val="center"/>
          </w:tcPr>
          <w:p w14:paraId="601EEB3A" w14:textId="77777777" w:rsidR="00605910" w:rsidRPr="003B4086" w:rsidRDefault="00605910" w:rsidP="00D83473">
            <w:pPr>
              <w:pStyle w:val="TableText0"/>
              <w:jc w:val="center"/>
              <w:rPr>
                <w:vertAlign w:val="superscript"/>
              </w:rPr>
            </w:pPr>
            <w:r w:rsidRPr="003B4086">
              <w:t>16.9 cycles</w:t>
            </w:r>
            <w:r w:rsidRPr="003B4086">
              <w:rPr>
                <w:vertAlign w:val="superscript"/>
              </w:rPr>
              <w:t>a</w:t>
            </w:r>
          </w:p>
        </w:tc>
        <w:tc>
          <w:tcPr>
            <w:tcW w:w="1198" w:type="pct"/>
            <w:shd w:val="clear" w:color="auto" w:fill="auto"/>
            <w:vAlign w:val="center"/>
          </w:tcPr>
          <w:p w14:paraId="1D32F048" w14:textId="77777777" w:rsidR="00605910" w:rsidRPr="003B4086" w:rsidRDefault="00605910" w:rsidP="00D83473">
            <w:pPr>
              <w:pStyle w:val="TableText0"/>
              <w:jc w:val="center"/>
              <w:rPr>
                <w:vertAlign w:val="superscript"/>
              </w:rPr>
            </w:pPr>
            <w:r w:rsidRPr="003B4086">
              <w:t>8.5 cycles</w:t>
            </w:r>
            <w:r w:rsidRPr="003B4086">
              <w:rPr>
                <w:vertAlign w:val="superscript"/>
              </w:rPr>
              <w:t>a</w:t>
            </w:r>
          </w:p>
        </w:tc>
        <w:tc>
          <w:tcPr>
            <w:tcW w:w="1201" w:type="pct"/>
            <w:shd w:val="clear" w:color="auto" w:fill="auto"/>
            <w:vAlign w:val="center"/>
          </w:tcPr>
          <w:p w14:paraId="4638B653" w14:textId="77777777" w:rsidR="00605910" w:rsidRPr="003B4086" w:rsidRDefault="00605910" w:rsidP="00D83473">
            <w:pPr>
              <w:pStyle w:val="TableText0"/>
              <w:jc w:val="center"/>
              <w:rPr>
                <w:vertAlign w:val="superscript"/>
              </w:rPr>
            </w:pPr>
            <w:r w:rsidRPr="003B4086">
              <w:t>240mg Q2W: 16.9 cycles</w:t>
            </w:r>
            <w:r w:rsidRPr="003B4086">
              <w:rPr>
                <w:vertAlign w:val="superscript"/>
              </w:rPr>
              <w:t>a</w:t>
            </w:r>
          </w:p>
          <w:p w14:paraId="08B76286" w14:textId="77777777" w:rsidR="00605910" w:rsidRPr="003B4086" w:rsidRDefault="00605910" w:rsidP="00D83473">
            <w:pPr>
              <w:pStyle w:val="TableText0"/>
              <w:jc w:val="center"/>
              <w:rPr>
                <w:vertAlign w:val="superscript"/>
              </w:rPr>
            </w:pPr>
            <w:r w:rsidRPr="003B4086">
              <w:t>480mg Q4W: 8.5 cycles</w:t>
            </w:r>
            <w:r w:rsidRPr="003B4086">
              <w:rPr>
                <w:vertAlign w:val="superscript"/>
              </w:rPr>
              <w:t>a</w:t>
            </w:r>
          </w:p>
        </w:tc>
      </w:tr>
      <w:tr w:rsidR="00605910" w:rsidRPr="003B4086" w14:paraId="4C2A7B82" w14:textId="77777777" w:rsidTr="00D83473">
        <w:trPr>
          <w:cantSplit/>
          <w:jc w:val="center"/>
        </w:trPr>
        <w:tc>
          <w:tcPr>
            <w:tcW w:w="1401" w:type="pct"/>
            <w:shd w:val="clear" w:color="auto" w:fill="auto"/>
            <w:vAlign w:val="center"/>
          </w:tcPr>
          <w:p w14:paraId="30098749" w14:textId="77777777" w:rsidR="00605910" w:rsidRPr="003B4086" w:rsidRDefault="00605910" w:rsidP="00D83473">
            <w:pPr>
              <w:pStyle w:val="TableText0"/>
            </w:pPr>
            <w:r w:rsidRPr="003B4086">
              <w:t>Cost/patient/cycle</w:t>
            </w:r>
          </w:p>
        </w:tc>
        <w:tc>
          <w:tcPr>
            <w:tcW w:w="1199" w:type="pct"/>
            <w:shd w:val="clear" w:color="auto" w:fill="auto"/>
            <w:vAlign w:val="center"/>
          </w:tcPr>
          <w:p w14:paraId="7897D4C2" w14:textId="0B0284E2" w:rsidR="00605910" w:rsidRPr="003B4086" w:rsidRDefault="00605910" w:rsidP="00D83473">
            <w:pPr>
              <w:pStyle w:val="TableText0"/>
              <w:jc w:val="center"/>
              <w:rPr>
                <w:vertAlign w:val="superscript"/>
              </w:rPr>
            </w:pPr>
            <w:r w:rsidRPr="003B4086">
              <w:t>$</w:t>
            </w:r>
            <w:r w:rsidR="00E020DE" w:rsidRPr="00E020DE">
              <w:rPr>
                <w:color w:val="000000"/>
                <w:shd w:val="solid" w:color="000000" w:fill="000000"/>
                <w14:textFill>
                  <w14:solidFill>
                    <w14:srgbClr w14:val="000000">
                      <w14:alpha w14:val="100000"/>
                    </w14:srgbClr>
                  </w14:solidFill>
                </w14:textFill>
              </w:rPr>
              <w:t>|</w:t>
            </w:r>
            <w:r w:rsidRPr="003B4086">
              <w:rPr>
                <w:vertAlign w:val="superscript"/>
              </w:rPr>
              <w:t>b</w:t>
            </w:r>
          </w:p>
        </w:tc>
        <w:tc>
          <w:tcPr>
            <w:tcW w:w="1198" w:type="pct"/>
            <w:shd w:val="clear" w:color="auto" w:fill="auto"/>
            <w:vAlign w:val="center"/>
          </w:tcPr>
          <w:p w14:paraId="73C9FD20" w14:textId="3DD0371A" w:rsidR="00605910" w:rsidRPr="003B4086" w:rsidRDefault="00605910" w:rsidP="00D83473">
            <w:pPr>
              <w:pStyle w:val="TableText0"/>
              <w:jc w:val="center"/>
              <w:rPr>
                <w:vertAlign w:val="superscript"/>
              </w:rPr>
            </w:pPr>
            <w:r w:rsidRPr="003B4086">
              <w:t>$</w:t>
            </w:r>
            <w:r w:rsidR="00E020DE" w:rsidRPr="00E020DE">
              <w:rPr>
                <w:color w:val="000000"/>
                <w:shd w:val="solid" w:color="000000" w:fill="000000"/>
                <w14:textFill>
                  <w14:solidFill>
                    <w14:srgbClr w14:val="000000">
                      <w14:alpha w14:val="100000"/>
                    </w14:srgbClr>
                  </w14:solidFill>
                </w14:textFill>
              </w:rPr>
              <w:t>|</w:t>
            </w:r>
            <w:r w:rsidRPr="003B4086">
              <w:rPr>
                <w:vertAlign w:val="superscript"/>
              </w:rPr>
              <w:t>b</w:t>
            </w:r>
          </w:p>
        </w:tc>
        <w:tc>
          <w:tcPr>
            <w:tcW w:w="1201" w:type="pct"/>
            <w:shd w:val="clear" w:color="auto" w:fill="auto"/>
            <w:vAlign w:val="center"/>
          </w:tcPr>
          <w:p w14:paraId="2700AF22" w14:textId="49583E20" w:rsidR="00605910" w:rsidRPr="003B4086" w:rsidRDefault="00605910" w:rsidP="00D83473">
            <w:pPr>
              <w:pStyle w:val="TableText0"/>
              <w:jc w:val="center"/>
              <w:rPr>
                <w:vertAlign w:val="superscript"/>
              </w:rPr>
            </w:pPr>
            <w:r w:rsidRPr="003B4086">
              <w:t>240mg Q2W: $</w:t>
            </w:r>
            <w:r w:rsidR="00E020DE" w:rsidRPr="00E020DE">
              <w:rPr>
                <w:color w:val="000000"/>
                <w:spacing w:val="63"/>
                <w:shd w:val="solid" w:color="000000" w:fill="000000"/>
                <w:fitText w:val="360" w:id="-1435269878"/>
                <w14:textFill>
                  <w14:solidFill>
                    <w14:srgbClr w14:val="000000">
                      <w14:alpha w14:val="100000"/>
                    </w14:srgbClr>
                  </w14:solidFill>
                </w14:textFill>
              </w:rPr>
              <w:t>|||</w:t>
            </w:r>
            <w:r w:rsidR="00E020DE" w:rsidRPr="00E020DE">
              <w:rPr>
                <w:color w:val="000000"/>
                <w:spacing w:val="1"/>
                <w:shd w:val="solid" w:color="000000" w:fill="000000"/>
                <w:fitText w:val="360" w:id="-1435269878"/>
                <w14:textFill>
                  <w14:solidFill>
                    <w14:srgbClr w14:val="000000">
                      <w14:alpha w14:val="100000"/>
                    </w14:srgbClr>
                  </w14:solidFill>
                </w14:textFill>
              </w:rPr>
              <w:t>|</w:t>
            </w:r>
            <w:r w:rsidRPr="003B4086">
              <w:rPr>
                <w:vertAlign w:val="superscript"/>
              </w:rPr>
              <w:t>b</w:t>
            </w:r>
          </w:p>
          <w:p w14:paraId="604B8497" w14:textId="3055B85A" w:rsidR="00605910" w:rsidRPr="003B4086" w:rsidRDefault="00605910" w:rsidP="00D83473">
            <w:pPr>
              <w:pStyle w:val="TableText0"/>
              <w:jc w:val="center"/>
              <w:rPr>
                <w:vertAlign w:val="superscript"/>
              </w:rPr>
            </w:pPr>
            <w:r w:rsidRPr="003B4086">
              <w:t>480mg Q4W: $</w:t>
            </w:r>
            <w:r w:rsidR="00E020DE" w:rsidRPr="00E020DE">
              <w:rPr>
                <w:color w:val="000000"/>
                <w:spacing w:val="63"/>
                <w:shd w:val="solid" w:color="000000" w:fill="000000"/>
                <w:fitText w:val="360" w:id="-1435269877"/>
                <w14:textFill>
                  <w14:solidFill>
                    <w14:srgbClr w14:val="000000">
                      <w14:alpha w14:val="100000"/>
                    </w14:srgbClr>
                  </w14:solidFill>
                </w14:textFill>
              </w:rPr>
              <w:t>|||</w:t>
            </w:r>
            <w:r w:rsidR="00E020DE" w:rsidRPr="00E020DE">
              <w:rPr>
                <w:color w:val="000000"/>
                <w:spacing w:val="1"/>
                <w:shd w:val="solid" w:color="000000" w:fill="000000"/>
                <w:fitText w:val="360" w:id="-1435269877"/>
                <w14:textFill>
                  <w14:solidFill>
                    <w14:srgbClr w14:val="000000">
                      <w14:alpha w14:val="100000"/>
                    </w14:srgbClr>
                  </w14:solidFill>
                </w14:textFill>
              </w:rPr>
              <w:t>|</w:t>
            </w:r>
            <w:r w:rsidRPr="003B4086">
              <w:rPr>
                <w:vertAlign w:val="superscript"/>
              </w:rPr>
              <w:t>b</w:t>
            </w:r>
          </w:p>
        </w:tc>
      </w:tr>
      <w:tr w:rsidR="00605910" w:rsidRPr="003B4086" w14:paraId="5539D8CB" w14:textId="77777777" w:rsidTr="00D83473">
        <w:trPr>
          <w:cantSplit/>
          <w:jc w:val="center"/>
        </w:trPr>
        <w:tc>
          <w:tcPr>
            <w:tcW w:w="1401" w:type="pct"/>
            <w:shd w:val="clear" w:color="auto" w:fill="auto"/>
            <w:vAlign w:val="center"/>
          </w:tcPr>
          <w:p w14:paraId="14D0FE39" w14:textId="77777777" w:rsidR="00605910" w:rsidRPr="003B4086" w:rsidRDefault="00605910" w:rsidP="00D83473">
            <w:pPr>
              <w:pStyle w:val="TableText0"/>
            </w:pPr>
            <w:r w:rsidRPr="003B4086">
              <w:t>Cost/patient/course</w:t>
            </w:r>
          </w:p>
        </w:tc>
        <w:tc>
          <w:tcPr>
            <w:tcW w:w="1199" w:type="pct"/>
            <w:shd w:val="clear" w:color="auto" w:fill="auto"/>
            <w:vAlign w:val="center"/>
          </w:tcPr>
          <w:p w14:paraId="30B59BF0" w14:textId="26C62C1E" w:rsidR="00605910" w:rsidRPr="003B4086" w:rsidRDefault="00605910" w:rsidP="00D83473">
            <w:pPr>
              <w:pStyle w:val="TableText0"/>
              <w:jc w:val="center"/>
            </w:pPr>
            <w:r w:rsidRPr="003B4086">
              <w:t>$</w:t>
            </w:r>
            <w:r w:rsidR="00E020DE" w:rsidRPr="00E020DE">
              <w:rPr>
                <w:color w:val="000000"/>
                <w:shd w:val="solid" w:color="000000" w:fill="000000"/>
                <w14:textFill>
                  <w14:solidFill>
                    <w14:srgbClr w14:val="000000">
                      <w14:alpha w14:val="100000"/>
                    </w14:srgbClr>
                  </w14:solidFill>
                </w14:textFill>
              </w:rPr>
              <w:t>|</w:t>
            </w:r>
          </w:p>
        </w:tc>
        <w:tc>
          <w:tcPr>
            <w:tcW w:w="1198" w:type="pct"/>
            <w:shd w:val="clear" w:color="auto" w:fill="auto"/>
            <w:vAlign w:val="center"/>
          </w:tcPr>
          <w:p w14:paraId="422C07C0" w14:textId="603C62F2" w:rsidR="00605910" w:rsidRPr="003B4086" w:rsidRDefault="00605910" w:rsidP="00D83473">
            <w:pPr>
              <w:pStyle w:val="TableText0"/>
              <w:jc w:val="center"/>
            </w:pPr>
            <w:r w:rsidRPr="003B4086">
              <w:t>$</w:t>
            </w:r>
            <w:r w:rsidR="00E020DE" w:rsidRPr="00E020DE">
              <w:rPr>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2E32281E" w14:textId="714776E7" w:rsidR="00605910" w:rsidRPr="003B4086" w:rsidRDefault="00605910" w:rsidP="00D83473">
            <w:pPr>
              <w:pStyle w:val="TableText0"/>
              <w:jc w:val="center"/>
            </w:pPr>
            <w:r w:rsidRPr="003B4086">
              <w:t>$</w:t>
            </w:r>
            <w:r w:rsidR="00E020DE" w:rsidRPr="00E020DE">
              <w:rPr>
                <w:color w:val="000000"/>
                <w:shd w:val="solid" w:color="000000" w:fill="000000"/>
                <w14:textFill>
                  <w14:solidFill>
                    <w14:srgbClr w14:val="000000">
                      <w14:alpha w14:val="100000"/>
                    </w14:srgbClr>
                  </w14:solidFill>
                </w14:textFill>
              </w:rPr>
              <w:t>|</w:t>
            </w:r>
          </w:p>
        </w:tc>
      </w:tr>
    </w:tbl>
    <w:p w14:paraId="273ED20B" w14:textId="1C0C832F" w:rsidR="00605910" w:rsidRPr="003B4086" w:rsidRDefault="00605910" w:rsidP="00605910">
      <w:pPr>
        <w:pStyle w:val="TableFigureFooter"/>
        <w:rPr>
          <w:rFonts w:eastAsiaTheme="minorHAnsi"/>
          <w:bCs/>
          <w:color w:val="222222"/>
          <w:szCs w:val="18"/>
          <w:lang w:eastAsia="en-US"/>
        </w:rPr>
      </w:pPr>
      <w:r w:rsidRPr="003B4086">
        <w:t xml:space="preserve">Source: Table constructed during the evaluation, based on Table 21, p59 of the submission; </w:t>
      </w:r>
      <w:r w:rsidRPr="003B4086">
        <w:rPr>
          <w:rStyle w:val="CommentReference"/>
          <w:b w:val="0"/>
          <w:sz w:val="18"/>
          <w:szCs w:val="22"/>
        </w:rPr>
        <w:t xml:space="preserve">on </w:t>
      </w:r>
      <w:r w:rsidRPr="003B4086">
        <w:t xml:space="preserve">‘Attachment 12 </w:t>
      </w:r>
      <w:r w:rsidR="00FF0970" w:rsidRPr="003B4086">
        <w:t>–</w:t>
      </w:r>
      <w:r w:rsidRPr="003B4086">
        <w:t xml:space="preserve"> Nivolumab Adjuvant MIUC Economic Evaluation’</w:t>
      </w:r>
      <w:r w:rsidRPr="003B4086">
        <w:rPr>
          <w:rFonts w:eastAsiaTheme="minorHAnsi"/>
          <w:bCs/>
          <w:color w:val="222222"/>
          <w:szCs w:val="18"/>
          <w:lang w:eastAsia="en-US"/>
        </w:rPr>
        <w:t>; Table 74 of the submission</w:t>
      </w:r>
    </w:p>
    <w:p w14:paraId="300CB1DC" w14:textId="77777777" w:rsidR="00605910" w:rsidRPr="003B4086" w:rsidRDefault="00605910" w:rsidP="00605910">
      <w:pPr>
        <w:pStyle w:val="TableFigureFooter"/>
      </w:pPr>
      <w:r w:rsidRPr="003B4086">
        <w:t>Q2W = every 2 weeks; Q4W = every 4 weeks</w:t>
      </w:r>
    </w:p>
    <w:p w14:paraId="721011CC" w14:textId="77777777" w:rsidR="00605910" w:rsidRPr="003B4086" w:rsidRDefault="00605910" w:rsidP="00605910">
      <w:pPr>
        <w:pStyle w:val="TableFigureFooter"/>
      </w:pPr>
      <w:r w:rsidRPr="003B4086">
        <w:rPr>
          <w:vertAlign w:val="superscript"/>
        </w:rPr>
        <w:t>a</w:t>
      </w:r>
      <w:r w:rsidRPr="003B4086">
        <w:t xml:space="preserve"> Based on cumulative mean dose from CheckMate 274 trial</w:t>
      </w:r>
    </w:p>
    <w:p w14:paraId="6D87A6E2" w14:textId="77777777" w:rsidR="00605910" w:rsidRPr="003B4086" w:rsidRDefault="00605910" w:rsidP="00605910">
      <w:pPr>
        <w:pStyle w:val="TableFigureFooter"/>
      </w:pPr>
      <w:r w:rsidRPr="003B4086">
        <w:rPr>
          <w:vertAlign w:val="superscript"/>
        </w:rPr>
        <w:t>b</w:t>
      </w:r>
      <w:r w:rsidRPr="003B4086">
        <w:t xml:space="preserve"> Assuming 33.35% of the nivolumab scripts will be dispensed in a public hospital setting, and 66.65% in a private hospital setting.</w:t>
      </w:r>
    </w:p>
    <w:p w14:paraId="6CAFDA46" w14:textId="77777777" w:rsidR="00605910" w:rsidRPr="003B4086" w:rsidRDefault="00605910" w:rsidP="00605910">
      <w:pPr>
        <w:pStyle w:val="4-SubsectionHeading"/>
      </w:pPr>
      <w:bookmarkStart w:id="69" w:name="_Toc22897647"/>
      <w:bookmarkStart w:id="70" w:name="_Toc22898859"/>
      <w:bookmarkStart w:id="71" w:name="_Toc103768136"/>
      <w:r w:rsidRPr="003B4086">
        <w:t>Estimated PBS usage &amp; financial implications</w:t>
      </w:r>
      <w:bookmarkEnd w:id="69"/>
      <w:bookmarkEnd w:id="70"/>
      <w:bookmarkEnd w:id="71"/>
    </w:p>
    <w:p w14:paraId="389C1AEC" w14:textId="6AE6004A" w:rsidR="00FE076E" w:rsidRPr="003B4086" w:rsidRDefault="00FE076E" w:rsidP="00605910">
      <w:pPr>
        <w:pStyle w:val="ListParagraph"/>
        <w:numPr>
          <w:ilvl w:val="1"/>
          <w:numId w:val="1"/>
        </w:numPr>
        <w:spacing w:after="160"/>
      </w:pPr>
      <w:r w:rsidRPr="003B4086">
        <w:t>This submission was not considered by DUSC.</w:t>
      </w:r>
    </w:p>
    <w:p w14:paraId="31559FD3" w14:textId="3DFD23EC" w:rsidR="00605910" w:rsidRPr="003B4086" w:rsidRDefault="00605910" w:rsidP="00605910">
      <w:pPr>
        <w:pStyle w:val="ListParagraph"/>
        <w:numPr>
          <w:ilvl w:val="1"/>
          <w:numId w:val="1"/>
        </w:numPr>
        <w:spacing w:after="160"/>
        <w:rPr>
          <w:color w:val="0066FF"/>
        </w:rPr>
      </w:pPr>
      <w:r w:rsidRPr="003B4086">
        <w:t xml:space="preserve">A summary of the data sources and parameter values used to estimate the utilisation and financial implications associated with the listing of adjuvant nivolumab is provided in </w:t>
      </w:r>
      <w:r w:rsidR="00C20626" w:rsidRPr="003B4086">
        <w:fldChar w:fldCharType="begin"/>
      </w:r>
      <w:r w:rsidR="00C20626" w:rsidRPr="003B4086">
        <w:instrText xml:space="preserve"> REF _Ref103191769 \h </w:instrText>
      </w:r>
      <w:r w:rsidR="00C20626" w:rsidRPr="003B4086">
        <w:fldChar w:fldCharType="separate"/>
      </w:r>
      <w:r w:rsidR="00DA327A" w:rsidRPr="003B4086">
        <w:t xml:space="preserve">Table </w:t>
      </w:r>
      <w:r w:rsidR="00DA327A" w:rsidRPr="003B4086">
        <w:rPr>
          <w:noProof/>
        </w:rPr>
        <w:t>18</w:t>
      </w:r>
      <w:r w:rsidR="00C20626" w:rsidRPr="003B4086">
        <w:fldChar w:fldCharType="end"/>
      </w:r>
      <w:r w:rsidR="00E64696" w:rsidRPr="003B4086">
        <w:t>.</w:t>
      </w:r>
    </w:p>
    <w:p w14:paraId="3CE126D0" w14:textId="2C6A1F3D" w:rsidR="00605910" w:rsidRPr="003B4086" w:rsidRDefault="00605910" w:rsidP="00605910">
      <w:pPr>
        <w:pStyle w:val="TableFigureHeading"/>
        <w:rPr>
          <w:rStyle w:val="CommentReference"/>
          <w:b/>
          <w:szCs w:val="24"/>
        </w:rPr>
      </w:pPr>
      <w:bookmarkStart w:id="72" w:name="_Ref103191769"/>
      <w:r w:rsidRPr="003B4086">
        <w:t xml:space="preserve">Table </w:t>
      </w:r>
      <w:r w:rsidR="00785573">
        <w:fldChar w:fldCharType="begin"/>
      </w:r>
      <w:r w:rsidR="00785573">
        <w:instrText xml:space="preserve"> SEQ Table \* ARABIC </w:instrText>
      </w:r>
      <w:r w:rsidR="00785573">
        <w:fldChar w:fldCharType="separate"/>
      </w:r>
      <w:r w:rsidR="00DA327A">
        <w:rPr>
          <w:noProof/>
        </w:rPr>
        <w:t>18</w:t>
      </w:r>
      <w:r w:rsidR="00785573">
        <w:rPr>
          <w:noProof/>
        </w:rPr>
        <w:fldChar w:fldCharType="end"/>
      </w:r>
      <w:bookmarkEnd w:id="72"/>
      <w:r w:rsidRPr="003B4086">
        <w:rPr>
          <w:noProof/>
        </w:rPr>
        <w:t xml:space="preserve">: </w:t>
      </w:r>
      <w:r w:rsidRPr="003B4086">
        <w:rPr>
          <w:rStyle w:val="CommentReference"/>
          <w:b/>
          <w:szCs w:val="24"/>
        </w:rPr>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85" w:type="dxa"/>
          <w:right w:w="85" w:type="dxa"/>
        </w:tblCellMar>
        <w:tblLook w:val="0000" w:firstRow="0" w:lastRow="0" w:firstColumn="0" w:lastColumn="0" w:noHBand="0" w:noVBand="0"/>
        <w:tblCaption w:val="Table 18: Data sources and parameter values applied in the utilisation and financial estimates"/>
      </w:tblPr>
      <w:tblGrid>
        <w:gridCol w:w="2090"/>
        <w:gridCol w:w="2377"/>
        <w:gridCol w:w="4540"/>
        <w:gridCol w:w="9"/>
      </w:tblGrid>
      <w:tr w:rsidR="00605910" w:rsidRPr="003B4086" w14:paraId="4C7D60B9" w14:textId="77777777" w:rsidTr="00D83473">
        <w:trPr>
          <w:gridAfter w:val="1"/>
          <w:wAfter w:w="5" w:type="pct"/>
          <w:tblHeader/>
        </w:trPr>
        <w:tc>
          <w:tcPr>
            <w:tcW w:w="1159" w:type="pct"/>
            <w:shd w:val="clear" w:color="auto" w:fill="FFFFFF" w:themeFill="background1"/>
          </w:tcPr>
          <w:p w14:paraId="249AC624" w14:textId="77777777" w:rsidR="00605910" w:rsidRPr="003B4086" w:rsidRDefault="00605910" w:rsidP="00D83473">
            <w:pPr>
              <w:pStyle w:val="TableText0"/>
              <w:keepNext w:val="0"/>
              <w:rPr>
                <w:b/>
              </w:rPr>
            </w:pPr>
            <w:r w:rsidRPr="003B4086">
              <w:rPr>
                <w:b/>
              </w:rPr>
              <w:t>Data</w:t>
            </w:r>
          </w:p>
        </w:tc>
        <w:tc>
          <w:tcPr>
            <w:tcW w:w="1318" w:type="pct"/>
            <w:shd w:val="clear" w:color="auto" w:fill="FFFFFF" w:themeFill="background1"/>
          </w:tcPr>
          <w:p w14:paraId="60B01EFB" w14:textId="77777777" w:rsidR="00605910" w:rsidRPr="003B4086" w:rsidRDefault="00605910" w:rsidP="00D83473">
            <w:pPr>
              <w:pStyle w:val="TableText0"/>
              <w:keepNext w:val="0"/>
              <w:rPr>
                <w:b/>
              </w:rPr>
            </w:pPr>
            <w:r w:rsidRPr="003B4086">
              <w:rPr>
                <w:b/>
              </w:rPr>
              <w:t>Value</w:t>
            </w:r>
          </w:p>
        </w:tc>
        <w:tc>
          <w:tcPr>
            <w:tcW w:w="2518" w:type="pct"/>
            <w:shd w:val="clear" w:color="auto" w:fill="FFFFFF" w:themeFill="background1"/>
          </w:tcPr>
          <w:p w14:paraId="5FA15D19" w14:textId="77777777" w:rsidR="00605910" w:rsidRPr="003B4086" w:rsidRDefault="00605910" w:rsidP="00D83473">
            <w:pPr>
              <w:pStyle w:val="TableText0"/>
              <w:keepNext w:val="0"/>
              <w:rPr>
                <w:b/>
              </w:rPr>
            </w:pPr>
            <w:r w:rsidRPr="003B4086">
              <w:rPr>
                <w:b/>
              </w:rPr>
              <w:t>Source and Comment</w:t>
            </w:r>
          </w:p>
        </w:tc>
      </w:tr>
      <w:tr w:rsidR="00605910" w:rsidRPr="003B4086" w14:paraId="3C3F0CEC" w14:textId="77777777" w:rsidTr="00D83473">
        <w:tc>
          <w:tcPr>
            <w:tcW w:w="5000" w:type="pct"/>
            <w:gridSpan w:val="4"/>
            <w:shd w:val="clear" w:color="auto" w:fill="FFFFFF" w:themeFill="background1"/>
          </w:tcPr>
          <w:p w14:paraId="00F46E7B" w14:textId="77777777" w:rsidR="00605910" w:rsidRPr="003B4086" w:rsidRDefault="00605910" w:rsidP="00D83473">
            <w:pPr>
              <w:pStyle w:val="TableText0"/>
              <w:keepNext w:val="0"/>
              <w:rPr>
                <w:b/>
              </w:rPr>
            </w:pPr>
            <w:r w:rsidRPr="003B4086">
              <w:rPr>
                <w:b/>
              </w:rPr>
              <w:t>Eligible population</w:t>
            </w:r>
          </w:p>
        </w:tc>
      </w:tr>
      <w:tr w:rsidR="00605910" w:rsidRPr="003B4086" w14:paraId="5B1509E3" w14:textId="77777777" w:rsidTr="00D83473">
        <w:trPr>
          <w:gridAfter w:val="1"/>
          <w:wAfter w:w="5" w:type="pct"/>
        </w:trPr>
        <w:tc>
          <w:tcPr>
            <w:tcW w:w="1159" w:type="pct"/>
            <w:shd w:val="clear" w:color="auto" w:fill="FFFFFF" w:themeFill="background1"/>
          </w:tcPr>
          <w:p w14:paraId="59DF81F7" w14:textId="77777777" w:rsidR="00605910" w:rsidRPr="003B4086" w:rsidRDefault="00605910" w:rsidP="00D83473">
            <w:pPr>
              <w:pStyle w:val="TableText0"/>
              <w:keepNext w:val="0"/>
            </w:pPr>
            <w:r w:rsidRPr="003B4086">
              <w:t>Incident cases of (T1-T4)</w:t>
            </w:r>
          </w:p>
        </w:tc>
        <w:tc>
          <w:tcPr>
            <w:tcW w:w="1318" w:type="pct"/>
            <w:shd w:val="clear" w:color="auto" w:fill="FFFFFF" w:themeFill="background1"/>
          </w:tcPr>
          <w:p w14:paraId="6E89C9ED" w14:textId="77777777" w:rsidR="00605910" w:rsidRPr="003B4086" w:rsidRDefault="00605910" w:rsidP="00D83473">
            <w:pPr>
              <w:pStyle w:val="TableText0"/>
              <w:keepNext w:val="0"/>
            </w:pPr>
            <w:r w:rsidRPr="003B4086">
              <w:t>3,699 in Year 1 (2023) to 3,964 in Year 6 (2028)</w:t>
            </w:r>
          </w:p>
        </w:tc>
        <w:tc>
          <w:tcPr>
            <w:tcW w:w="2518" w:type="pct"/>
            <w:shd w:val="clear" w:color="auto" w:fill="FFFFFF" w:themeFill="background1"/>
          </w:tcPr>
          <w:p w14:paraId="37148A33" w14:textId="2C6E21CA" w:rsidR="00605910" w:rsidRPr="003B4086" w:rsidRDefault="00605910" w:rsidP="00D83473">
            <w:pPr>
              <w:pStyle w:val="TableText0"/>
              <w:keepNext w:val="0"/>
            </w:pPr>
            <w:r w:rsidRPr="003B4086">
              <w:t>AIHW cancer incidence, ABS data on the growth rate of Australian population</w:t>
            </w:r>
            <w:r w:rsidR="00912792" w:rsidRPr="003B4086">
              <w:t>.</w:t>
            </w:r>
          </w:p>
          <w:p w14:paraId="2A069F2B" w14:textId="6CA94AA4" w:rsidR="00605910" w:rsidRPr="003B4086" w:rsidRDefault="00605910" w:rsidP="00D83473">
            <w:pPr>
              <w:pStyle w:val="TableText0"/>
              <w:keepNext w:val="0"/>
              <w:rPr>
                <w:i/>
              </w:rPr>
            </w:pPr>
            <w:r w:rsidRPr="003B4086">
              <w:t xml:space="preserve">While the AIHW was an appropriate data source for incidence, the </w:t>
            </w:r>
            <w:r w:rsidR="004808C6">
              <w:t xml:space="preserve">evaluation considered the </w:t>
            </w:r>
            <w:r w:rsidRPr="003B4086">
              <w:t>growth rate of the Australian general population cannot reflect the growth rate of incident patients with bladder, ureter or renal pelvis cancer.</w:t>
            </w:r>
          </w:p>
        </w:tc>
      </w:tr>
      <w:tr w:rsidR="00605910" w:rsidRPr="003B4086" w14:paraId="304F0EF5" w14:textId="77777777" w:rsidTr="00D83473">
        <w:trPr>
          <w:gridAfter w:val="1"/>
          <w:wAfter w:w="5" w:type="pct"/>
        </w:trPr>
        <w:tc>
          <w:tcPr>
            <w:tcW w:w="1159" w:type="pct"/>
            <w:shd w:val="clear" w:color="auto" w:fill="FFFFFF" w:themeFill="background1"/>
          </w:tcPr>
          <w:p w14:paraId="51293E6D" w14:textId="77777777" w:rsidR="00605910" w:rsidRPr="003B4086" w:rsidRDefault="00605910" w:rsidP="00D83473">
            <w:pPr>
              <w:pStyle w:val="TableText0"/>
              <w:keepNext w:val="0"/>
            </w:pPr>
            <w:r w:rsidRPr="003B4086">
              <w:t>Incident cases of bladder, ureter or renal pelvis cancer (Ta and Tis)</w:t>
            </w:r>
          </w:p>
        </w:tc>
        <w:tc>
          <w:tcPr>
            <w:tcW w:w="1318" w:type="pct"/>
            <w:shd w:val="clear" w:color="auto" w:fill="FFFFFF" w:themeFill="background1"/>
          </w:tcPr>
          <w:p w14:paraId="364CCA31" w14:textId="77777777" w:rsidR="00605910" w:rsidRPr="003B4086" w:rsidRDefault="00605910" w:rsidP="00D83473">
            <w:pPr>
              <w:pStyle w:val="TableText0"/>
              <w:keepNext w:val="0"/>
            </w:pPr>
            <w:r w:rsidRPr="003B4086">
              <w:t>4,689 in year 1 (2023) to 5,001 in year 6 (2028)</w:t>
            </w:r>
          </w:p>
        </w:tc>
        <w:tc>
          <w:tcPr>
            <w:tcW w:w="2518" w:type="pct"/>
            <w:shd w:val="clear" w:color="auto" w:fill="FFFFFF" w:themeFill="background1"/>
          </w:tcPr>
          <w:p w14:paraId="3AF59789" w14:textId="77777777" w:rsidR="00605910" w:rsidRPr="003B4086" w:rsidRDefault="00605910" w:rsidP="00D83473">
            <w:pPr>
              <w:pStyle w:val="TableText0"/>
              <w:keepNext w:val="0"/>
            </w:pPr>
            <w:r w:rsidRPr="003B4086">
              <w:rPr>
                <w:szCs w:val="22"/>
              </w:rPr>
              <w:t xml:space="preserve">AIHW cancer incidence data, with an annual </w:t>
            </w:r>
            <w:r w:rsidRPr="003B4086">
              <w:t xml:space="preserve">growth rate of 1.3%, </w:t>
            </w:r>
            <w:r w:rsidRPr="003B4086">
              <w:rPr>
                <w:szCs w:val="22"/>
              </w:rPr>
              <w:t xml:space="preserve">Reynolds et al 2021 </w:t>
            </w:r>
          </w:p>
          <w:p w14:paraId="7AC34586" w14:textId="4E7D744A" w:rsidR="00605910" w:rsidRPr="003B4086" w:rsidRDefault="004808C6" w:rsidP="00D83473">
            <w:pPr>
              <w:pStyle w:val="TableText0"/>
              <w:keepNext w:val="0"/>
              <w:rPr>
                <w:i/>
              </w:rPr>
            </w:pPr>
            <w:r>
              <w:t>The evaluation considered this was r</w:t>
            </w:r>
            <w:r w:rsidR="00605910" w:rsidRPr="003B4086">
              <w:t>easonable, apart from the annual growth rate</w:t>
            </w:r>
            <w:r w:rsidR="00982DE0" w:rsidRPr="003B4086">
              <w:t>.</w:t>
            </w:r>
          </w:p>
        </w:tc>
      </w:tr>
      <w:tr w:rsidR="00605910" w:rsidRPr="003B4086" w14:paraId="225DAEB4" w14:textId="77777777" w:rsidTr="00D83473">
        <w:trPr>
          <w:gridAfter w:val="1"/>
          <w:wAfter w:w="5" w:type="pct"/>
        </w:trPr>
        <w:tc>
          <w:tcPr>
            <w:tcW w:w="1159" w:type="pct"/>
            <w:shd w:val="clear" w:color="auto" w:fill="FFFFFF" w:themeFill="background1"/>
          </w:tcPr>
          <w:p w14:paraId="63FD886C" w14:textId="77777777" w:rsidR="00605910" w:rsidRPr="003B4086" w:rsidRDefault="00605910" w:rsidP="00D83473">
            <w:pPr>
              <w:pStyle w:val="TableText0"/>
              <w:keepNext w:val="0"/>
            </w:pPr>
            <w:r w:rsidRPr="003B4086">
              <w:rPr>
                <w:rFonts w:eastAsiaTheme="minorHAnsi"/>
                <w:color w:val="222222"/>
              </w:rPr>
              <w:t>Proportion of urothelial carcinoma</w:t>
            </w:r>
          </w:p>
        </w:tc>
        <w:tc>
          <w:tcPr>
            <w:tcW w:w="1318" w:type="pct"/>
            <w:shd w:val="clear" w:color="auto" w:fill="FFFFFF" w:themeFill="background1"/>
          </w:tcPr>
          <w:p w14:paraId="106772A6" w14:textId="77777777" w:rsidR="00605910" w:rsidRPr="003B4086" w:rsidRDefault="00605910" w:rsidP="00D83473">
            <w:pPr>
              <w:keepNext/>
              <w:spacing w:before="20" w:after="20"/>
              <w:contextualSpacing/>
              <w:jc w:val="left"/>
              <w:rPr>
                <w:rFonts w:ascii="Arial Narrow" w:eastAsiaTheme="majorEastAsia" w:hAnsi="Arial Narrow" w:cstheme="majorBidi"/>
                <w:bCs/>
                <w:sz w:val="20"/>
              </w:rPr>
            </w:pPr>
            <w:r w:rsidRPr="003B4086">
              <w:rPr>
                <w:rFonts w:ascii="Arial Narrow" w:eastAsiaTheme="majorEastAsia" w:hAnsi="Arial Narrow" w:cstheme="majorBidi"/>
                <w:bCs/>
                <w:sz w:val="20"/>
              </w:rPr>
              <w:t>In bladder cancer: 89%</w:t>
            </w:r>
          </w:p>
          <w:p w14:paraId="6BA614DB" w14:textId="77777777" w:rsidR="00605910" w:rsidRPr="003B4086" w:rsidRDefault="00605910" w:rsidP="00D83473">
            <w:pPr>
              <w:pStyle w:val="TableText0"/>
              <w:keepNext w:val="0"/>
              <w:tabs>
                <w:tab w:val="center" w:pos="1103"/>
              </w:tabs>
            </w:pPr>
            <w:r w:rsidRPr="003B4086">
              <w:rPr>
                <w:rFonts w:eastAsiaTheme="minorHAnsi" w:cs="Arial"/>
                <w:color w:val="222222"/>
              </w:rPr>
              <w:t>In ureter and renal pelvis cancer: 93.5%</w:t>
            </w:r>
          </w:p>
        </w:tc>
        <w:tc>
          <w:tcPr>
            <w:tcW w:w="2518" w:type="pct"/>
            <w:shd w:val="clear" w:color="auto" w:fill="FFFFFF" w:themeFill="background1"/>
          </w:tcPr>
          <w:p w14:paraId="5D7B0B7F" w14:textId="77777777" w:rsidR="00605910" w:rsidRPr="003B4086" w:rsidRDefault="00605910" w:rsidP="00D83473">
            <w:pPr>
              <w:pStyle w:val="TableText0"/>
              <w:keepNext w:val="0"/>
            </w:pPr>
            <w:r w:rsidRPr="003B4086">
              <w:t>Personal communication of the sponsor with AIHW</w:t>
            </w:r>
          </w:p>
          <w:p w14:paraId="5474DD61" w14:textId="3DE31B2B" w:rsidR="00605910" w:rsidRPr="003B4086" w:rsidRDefault="004808C6" w:rsidP="00D83473">
            <w:pPr>
              <w:pStyle w:val="TableText0"/>
              <w:keepNext w:val="0"/>
            </w:pPr>
            <w:r>
              <w:t>The evaluation considered the e</w:t>
            </w:r>
            <w:r w:rsidR="00605910" w:rsidRPr="003B4086">
              <w:t xml:space="preserve">stimates appeared to be comparable with the literature </w:t>
            </w:r>
          </w:p>
        </w:tc>
      </w:tr>
      <w:tr w:rsidR="00605910" w:rsidRPr="003B4086" w14:paraId="6806193E" w14:textId="77777777" w:rsidTr="00D83473">
        <w:trPr>
          <w:gridAfter w:val="1"/>
          <w:wAfter w:w="5" w:type="pct"/>
        </w:trPr>
        <w:tc>
          <w:tcPr>
            <w:tcW w:w="1159" w:type="pct"/>
            <w:shd w:val="clear" w:color="auto" w:fill="FFFFFF" w:themeFill="background1"/>
          </w:tcPr>
          <w:p w14:paraId="7F03E868" w14:textId="77777777" w:rsidR="00605910" w:rsidRPr="003B4086" w:rsidRDefault="00605910" w:rsidP="00D83473">
            <w:pPr>
              <w:pStyle w:val="TableText0"/>
              <w:keepNext w:val="0"/>
            </w:pPr>
            <w:r w:rsidRPr="003B4086">
              <w:rPr>
                <w:rFonts w:eastAsiaTheme="minorHAnsi" w:cs="Arial"/>
                <w:color w:val="222222"/>
              </w:rPr>
              <w:t>Proportion diagnosed with MIUC (T2-T4a, N+, M0)</w:t>
            </w:r>
          </w:p>
        </w:tc>
        <w:tc>
          <w:tcPr>
            <w:tcW w:w="1318" w:type="pct"/>
            <w:shd w:val="clear" w:color="auto" w:fill="FFFFFF" w:themeFill="background1"/>
          </w:tcPr>
          <w:p w14:paraId="53F7E6C0" w14:textId="77777777" w:rsidR="00605910" w:rsidRPr="003B4086" w:rsidRDefault="00605910" w:rsidP="00D83473">
            <w:pPr>
              <w:pStyle w:val="TableText0"/>
              <w:keepNext w:val="0"/>
            </w:pPr>
            <w:r w:rsidRPr="003B4086">
              <w:rPr>
                <w:rFonts w:eastAsiaTheme="minorHAnsi" w:cs="Arial"/>
                <w:color w:val="222222"/>
              </w:rPr>
              <w:t>53.47% of T1 to T4 population</w:t>
            </w:r>
          </w:p>
        </w:tc>
        <w:tc>
          <w:tcPr>
            <w:tcW w:w="2518" w:type="pct"/>
            <w:shd w:val="clear" w:color="auto" w:fill="FFFFFF" w:themeFill="background1"/>
          </w:tcPr>
          <w:p w14:paraId="685C2F16" w14:textId="77777777" w:rsidR="00605910" w:rsidRPr="003B4086" w:rsidRDefault="00605910" w:rsidP="00D83473">
            <w:pPr>
              <w:pStyle w:val="TableText0"/>
              <w:keepNext w:val="0"/>
            </w:pPr>
            <w:r w:rsidRPr="003B4086">
              <w:t>Reynolds et al 2021</w:t>
            </w:r>
          </w:p>
          <w:p w14:paraId="338748F1" w14:textId="4C9603C2" w:rsidR="00605910" w:rsidRPr="003B4086" w:rsidRDefault="004808C6" w:rsidP="00D83473">
            <w:pPr>
              <w:pStyle w:val="TableText0"/>
              <w:keepNext w:val="0"/>
            </w:pPr>
            <w:r>
              <w:t>The evaluation considered this was a r</w:t>
            </w:r>
            <w:r w:rsidR="00605910" w:rsidRPr="003B4086">
              <w:t>easonable data source</w:t>
            </w:r>
          </w:p>
        </w:tc>
      </w:tr>
      <w:tr w:rsidR="00605910" w:rsidRPr="003B4086" w14:paraId="711B38E9" w14:textId="77777777" w:rsidTr="00D83473">
        <w:trPr>
          <w:gridAfter w:val="1"/>
          <w:wAfter w:w="5" w:type="pct"/>
        </w:trPr>
        <w:tc>
          <w:tcPr>
            <w:tcW w:w="1159" w:type="pct"/>
            <w:shd w:val="clear" w:color="auto" w:fill="FFFFFF" w:themeFill="background1"/>
          </w:tcPr>
          <w:p w14:paraId="4D035B9B" w14:textId="77777777" w:rsidR="00605910" w:rsidRPr="003B4086" w:rsidRDefault="00605910" w:rsidP="00D83473">
            <w:pPr>
              <w:pStyle w:val="TableText0"/>
              <w:keepNext w:val="0"/>
            </w:pPr>
            <w:r w:rsidRPr="003B4086">
              <w:rPr>
                <w:rFonts w:eastAsiaTheme="minorHAnsi" w:cs="Arial"/>
                <w:color w:val="222222"/>
              </w:rPr>
              <w:t>Proportion of patients with NMIUC</w:t>
            </w:r>
          </w:p>
        </w:tc>
        <w:tc>
          <w:tcPr>
            <w:tcW w:w="1318" w:type="pct"/>
            <w:shd w:val="clear" w:color="auto" w:fill="FFFFFF" w:themeFill="background1"/>
          </w:tcPr>
          <w:p w14:paraId="14DE1B5C" w14:textId="77777777" w:rsidR="00605910" w:rsidRPr="003B4086" w:rsidRDefault="00605910" w:rsidP="00D83473">
            <w:pPr>
              <w:keepNext/>
              <w:spacing w:before="20" w:after="20"/>
              <w:contextualSpacing/>
              <w:jc w:val="left"/>
              <w:rPr>
                <w:rFonts w:ascii="Arial Narrow" w:eastAsiaTheme="minorHAnsi" w:hAnsi="Arial Narrow"/>
                <w:bCs/>
                <w:color w:val="222222"/>
                <w:sz w:val="20"/>
              </w:rPr>
            </w:pPr>
            <w:r w:rsidRPr="003B4086">
              <w:rPr>
                <w:rFonts w:ascii="Arial Narrow" w:eastAsiaTheme="minorHAnsi" w:hAnsi="Arial Narrow"/>
                <w:bCs/>
                <w:color w:val="222222"/>
                <w:sz w:val="20"/>
              </w:rPr>
              <w:t>Proportion T1: 46.53% of T1 to T4 population</w:t>
            </w:r>
          </w:p>
          <w:p w14:paraId="27CC47EE" w14:textId="77777777" w:rsidR="00605910" w:rsidRPr="003B4086" w:rsidRDefault="00605910" w:rsidP="00D83473">
            <w:pPr>
              <w:keepNext/>
              <w:spacing w:before="20" w:after="20"/>
              <w:contextualSpacing/>
              <w:jc w:val="left"/>
              <w:rPr>
                <w:rFonts w:ascii="Arial Narrow" w:eastAsiaTheme="minorHAnsi" w:hAnsi="Arial Narrow"/>
                <w:bCs/>
                <w:color w:val="222222"/>
                <w:sz w:val="20"/>
              </w:rPr>
            </w:pPr>
          </w:p>
          <w:p w14:paraId="62F02F14" w14:textId="77777777" w:rsidR="00605910" w:rsidRPr="003B4086" w:rsidRDefault="00605910" w:rsidP="00D83473">
            <w:pPr>
              <w:keepNext/>
              <w:spacing w:before="20" w:after="20"/>
              <w:contextualSpacing/>
              <w:jc w:val="left"/>
            </w:pPr>
            <w:r w:rsidRPr="003B4086">
              <w:rPr>
                <w:rFonts w:ascii="Arial Narrow" w:eastAsiaTheme="minorHAnsi" w:hAnsi="Arial Narrow"/>
                <w:bCs/>
                <w:color w:val="222222"/>
                <w:sz w:val="20"/>
              </w:rPr>
              <w:t>Ta and Tis population: 55.9% of all urothelial cancer cases in Australia</w:t>
            </w:r>
          </w:p>
        </w:tc>
        <w:tc>
          <w:tcPr>
            <w:tcW w:w="2518" w:type="pct"/>
            <w:shd w:val="clear" w:color="auto" w:fill="FFFFFF" w:themeFill="background1"/>
          </w:tcPr>
          <w:p w14:paraId="334B0641" w14:textId="77777777" w:rsidR="00605910" w:rsidRPr="003B4086" w:rsidRDefault="00605910" w:rsidP="00D83473">
            <w:pPr>
              <w:pStyle w:val="TableText0"/>
              <w:keepNext w:val="0"/>
            </w:pPr>
            <w:r w:rsidRPr="003B4086">
              <w:rPr>
                <w:szCs w:val="22"/>
              </w:rPr>
              <w:t xml:space="preserve">AIHW, </w:t>
            </w:r>
            <w:r w:rsidRPr="003B4086">
              <w:t>Reynolds et al 2021</w:t>
            </w:r>
          </w:p>
          <w:p w14:paraId="603BCC58" w14:textId="321AF9BA" w:rsidR="00605910" w:rsidRPr="003B4086" w:rsidRDefault="004808C6" w:rsidP="00D83473">
            <w:pPr>
              <w:pStyle w:val="TableText0"/>
              <w:keepNext w:val="0"/>
              <w:rPr>
                <w:i/>
              </w:rPr>
            </w:pPr>
            <w:r>
              <w:t>The evaluation considered this was r</w:t>
            </w:r>
            <w:r w:rsidR="00605910" w:rsidRPr="003B4086">
              <w:t>easonable</w:t>
            </w:r>
          </w:p>
        </w:tc>
      </w:tr>
      <w:tr w:rsidR="00605910" w:rsidRPr="003B4086" w14:paraId="661CEEFC" w14:textId="77777777" w:rsidTr="00D83473">
        <w:trPr>
          <w:gridAfter w:val="1"/>
          <w:wAfter w:w="5" w:type="pct"/>
        </w:trPr>
        <w:tc>
          <w:tcPr>
            <w:tcW w:w="1159" w:type="pct"/>
            <w:shd w:val="clear" w:color="auto" w:fill="FFFFFF" w:themeFill="background1"/>
          </w:tcPr>
          <w:p w14:paraId="3C6346E5" w14:textId="77777777" w:rsidR="00605910" w:rsidRPr="003B4086" w:rsidRDefault="00605910" w:rsidP="00D83473">
            <w:pPr>
              <w:pStyle w:val="TableText0"/>
              <w:keepNext w:val="0"/>
            </w:pPr>
            <w:r w:rsidRPr="003B4086">
              <w:rPr>
                <w:rFonts w:eastAsiaTheme="minorHAnsi" w:cs="Arial"/>
                <w:color w:val="222222"/>
              </w:rPr>
              <w:t>Proportion diagnosed with NMIUC who progress to MIUC</w:t>
            </w:r>
          </w:p>
        </w:tc>
        <w:tc>
          <w:tcPr>
            <w:tcW w:w="1318" w:type="pct"/>
            <w:shd w:val="clear" w:color="auto" w:fill="FFFFFF" w:themeFill="background1"/>
          </w:tcPr>
          <w:p w14:paraId="47A38998" w14:textId="77777777" w:rsidR="00605910" w:rsidRPr="003B4086" w:rsidRDefault="00605910" w:rsidP="00D83473">
            <w:pPr>
              <w:pStyle w:val="TableText0"/>
              <w:keepNext w:val="0"/>
            </w:pPr>
            <w:r w:rsidRPr="003B4086">
              <w:t>13%</w:t>
            </w:r>
          </w:p>
        </w:tc>
        <w:tc>
          <w:tcPr>
            <w:tcW w:w="2518" w:type="pct"/>
            <w:shd w:val="clear" w:color="auto" w:fill="FFFFFF" w:themeFill="background1"/>
          </w:tcPr>
          <w:p w14:paraId="67E27438" w14:textId="77777777" w:rsidR="00605910" w:rsidRPr="003B4086" w:rsidRDefault="00605910" w:rsidP="00D83473">
            <w:pPr>
              <w:pStyle w:val="TableText0"/>
              <w:keepNext w:val="0"/>
              <w:rPr>
                <w:vertAlign w:val="superscript"/>
              </w:rPr>
            </w:pPr>
            <w:r w:rsidRPr="003B4086">
              <w:t>BLADDA registry</w:t>
            </w:r>
            <w:r w:rsidRPr="003B4086">
              <w:rPr>
                <w:vertAlign w:val="superscript"/>
              </w:rPr>
              <w:t>a</w:t>
            </w:r>
          </w:p>
          <w:p w14:paraId="759166AD" w14:textId="77777777" w:rsidR="00605910" w:rsidRPr="003B4086" w:rsidRDefault="00605910" w:rsidP="00D83473">
            <w:pPr>
              <w:pStyle w:val="TableText0"/>
              <w:keepNext w:val="0"/>
            </w:pPr>
            <w:r w:rsidRPr="003B4086">
              <w:t>Consistent with the estimate reported in the literature</w:t>
            </w:r>
          </w:p>
        </w:tc>
      </w:tr>
      <w:tr w:rsidR="00605910" w:rsidRPr="003B4086" w14:paraId="7FE25A9E" w14:textId="77777777" w:rsidTr="00D83473">
        <w:trPr>
          <w:gridAfter w:val="1"/>
          <w:wAfter w:w="5" w:type="pct"/>
          <w:trHeight w:val="279"/>
        </w:trPr>
        <w:tc>
          <w:tcPr>
            <w:tcW w:w="1159" w:type="pct"/>
            <w:shd w:val="clear" w:color="auto" w:fill="FFFFFF" w:themeFill="background1"/>
          </w:tcPr>
          <w:p w14:paraId="7F09285D" w14:textId="77777777" w:rsidR="00605910" w:rsidRPr="003B4086" w:rsidRDefault="00605910" w:rsidP="00D83473">
            <w:pPr>
              <w:pStyle w:val="TableText0"/>
              <w:keepNext w:val="0"/>
            </w:pPr>
            <w:r w:rsidRPr="003B4086">
              <w:rPr>
                <w:rFonts w:eastAsiaTheme="minorHAnsi" w:cs="Arial"/>
                <w:color w:val="222222"/>
              </w:rPr>
              <w:lastRenderedPageBreak/>
              <w:t>Proportion of MIUC with radical resection</w:t>
            </w:r>
          </w:p>
        </w:tc>
        <w:tc>
          <w:tcPr>
            <w:tcW w:w="1318" w:type="pct"/>
            <w:shd w:val="clear" w:color="auto" w:fill="FFFFFF" w:themeFill="background1"/>
          </w:tcPr>
          <w:p w14:paraId="1D5E6A6E" w14:textId="77777777" w:rsidR="00605910" w:rsidRPr="003B4086" w:rsidRDefault="00605910" w:rsidP="00D83473">
            <w:pPr>
              <w:pStyle w:val="TableText0"/>
              <w:keepNext w:val="0"/>
            </w:pPr>
            <w:r w:rsidRPr="003B4086">
              <w:t>64.67%</w:t>
            </w:r>
          </w:p>
        </w:tc>
        <w:tc>
          <w:tcPr>
            <w:tcW w:w="2518" w:type="pct"/>
            <w:shd w:val="clear" w:color="auto" w:fill="FFFFFF" w:themeFill="background1"/>
          </w:tcPr>
          <w:p w14:paraId="4A25AE24" w14:textId="77777777" w:rsidR="00605910" w:rsidRPr="003B4086" w:rsidRDefault="00605910" w:rsidP="00D83473">
            <w:pPr>
              <w:pStyle w:val="TableText0"/>
              <w:keepNext w:val="0"/>
              <w:rPr>
                <w:vertAlign w:val="superscript"/>
              </w:rPr>
            </w:pPr>
            <w:r w:rsidRPr="003B4086">
              <w:t>BLADDA registry</w:t>
            </w:r>
            <w:r w:rsidRPr="003B4086">
              <w:rPr>
                <w:vertAlign w:val="superscript"/>
              </w:rPr>
              <w:t>a</w:t>
            </w:r>
          </w:p>
          <w:p w14:paraId="22966D0D" w14:textId="77777777" w:rsidR="00605910" w:rsidRPr="003B4086" w:rsidRDefault="00605910" w:rsidP="00D83473">
            <w:pPr>
              <w:pStyle w:val="TableText0"/>
              <w:keepNext w:val="0"/>
            </w:pPr>
            <w:r w:rsidRPr="003B4086">
              <w:t>Consistent with the estimate reported in literature and clinician opinion</w:t>
            </w:r>
          </w:p>
        </w:tc>
      </w:tr>
      <w:tr w:rsidR="00605910" w:rsidRPr="003B4086" w14:paraId="521792FA" w14:textId="77777777" w:rsidTr="00D83473">
        <w:trPr>
          <w:gridAfter w:val="1"/>
          <w:wAfter w:w="5" w:type="pct"/>
        </w:trPr>
        <w:tc>
          <w:tcPr>
            <w:tcW w:w="1159" w:type="pct"/>
            <w:shd w:val="clear" w:color="auto" w:fill="FFFFFF" w:themeFill="background1"/>
          </w:tcPr>
          <w:p w14:paraId="29BB69DE" w14:textId="77777777" w:rsidR="00605910" w:rsidRPr="003B4086" w:rsidRDefault="00605910" w:rsidP="00D83473">
            <w:pPr>
              <w:pStyle w:val="TableText0"/>
              <w:keepNext w:val="0"/>
            </w:pPr>
            <w:r w:rsidRPr="003B4086">
              <w:rPr>
                <w:rFonts w:eastAsiaTheme="minorHAnsi" w:cs="Arial"/>
                <w:color w:val="222222"/>
              </w:rPr>
              <w:t>Proportion of patients with WHO performance status of 0 or 1</w:t>
            </w:r>
          </w:p>
        </w:tc>
        <w:tc>
          <w:tcPr>
            <w:tcW w:w="1318" w:type="pct"/>
            <w:shd w:val="clear" w:color="auto" w:fill="FFFFFF" w:themeFill="background1"/>
          </w:tcPr>
          <w:p w14:paraId="15D936E7" w14:textId="77777777" w:rsidR="00605910" w:rsidRPr="003B4086" w:rsidRDefault="00605910" w:rsidP="00D83473">
            <w:pPr>
              <w:pStyle w:val="TableText0"/>
              <w:keepNext w:val="0"/>
            </w:pPr>
            <w:r w:rsidRPr="003B4086">
              <w:t>98%</w:t>
            </w:r>
          </w:p>
        </w:tc>
        <w:tc>
          <w:tcPr>
            <w:tcW w:w="2518" w:type="pct"/>
            <w:shd w:val="clear" w:color="auto" w:fill="FFFFFF" w:themeFill="background1"/>
          </w:tcPr>
          <w:p w14:paraId="491BF9CF" w14:textId="77777777" w:rsidR="00605910" w:rsidRPr="003B4086" w:rsidRDefault="00605910" w:rsidP="00D83473">
            <w:pPr>
              <w:pStyle w:val="TableText0"/>
              <w:keepNext w:val="0"/>
              <w:rPr>
                <w:vertAlign w:val="superscript"/>
              </w:rPr>
            </w:pPr>
            <w:r w:rsidRPr="003B4086">
              <w:t>BLADDA registry</w:t>
            </w:r>
            <w:r w:rsidRPr="003B4086">
              <w:rPr>
                <w:vertAlign w:val="superscript"/>
              </w:rPr>
              <w:t>a</w:t>
            </w:r>
          </w:p>
          <w:p w14:paraId="514B5563" w14:textId="4FEB1CA7" w:rsidR="00605910" w:rsidRPr="003B4086" w:rsidRDefault="004808C6" w:rsidP="00D83473">
            <w:pPr>
              <w:pStyle w:val="TableText0"/>
              <w:keepNext w:val="0"/>
              <w:rPr>
                <w:i/>
              </w:rPr>
            </w:pPr>
            <w:r>
              <w:t>The evaluation considered this was r</w:t>
            </w:r>
            <w:r w:rsidR="00605910" w:rsidRPr="003B4086">
              <w:t>easonable</w:t>
            </w:r>
          </w:p>
        </w:tc>
      </w:tr>
      <w:tr w:rsidR="00605910" w:rsidRPr="003B4086" w14:paraId="75AAB3C8" w14:textId="77777777" w:rsidTr="00D83473">
        <w:trPr>
          <w:gridAfter w:val="1"/>
          <w:wAfter w:w="5" w:type="pct"/>
        </w:trPr>
        <w:tc>
          <w:tcPr>
            <w:tcW w:w="1159" w:type="pct"/>
            <w:shd w:val="clear" w:color="auto" w:fill="FFFFFF" w:themeFill="background1"/>
          </w:tcPr>
          <w:p w14:paraId="6D6E5CC1" w14:textId="77777777" w:rsidR="00605910" w:rsidRPr="003B4086" w:rsidRDefault="00605910" w:rsidP="00D83473">
            <w:pPr>
              <w:pStyle w:val="TableText0"/>
              <w:keepNext w:val="0"/>
            </w:pPr>
            <w:r w:rsidRPr="003B4086">
              <w:rPr>
                <w:rFonts w:eastAsiaTheme="minorHAnsi" w:cs="Arial"/>
                <w:color w:val="222222"/>
              </w:rPr>
              <w:t>Risk of recurrence after radical surgery</w:t>
            </w:r>
          </w:p>
        </w:tc>
        <w:tc>
          <w:tcPr>
            <w:tcW w:w="1318" w:type="pct"/>
            <w:shd w:val="clear" w:color="auto" w:fill="FFFFFF" w:themeFill="background1"/>
          </w:tcPr>
          <w:p w14:paraId="3DE95372" w14:textId="77777777" w:rsidR="00605910" w:rsidRPr="003B4086" w:rsidRDefault="00605910" w:rsidP="00D83473">
            <w:pPr>
              <w:pStyle w:val="TableText0"/>
              <w:keepNext w:val="0"/>
            </w:pPr>
            <w:r w:rsidRPr="00C26736">
              <w:t>50%</w:t>
            </w:r>
          </w:p>
        </w:tc>
        <w:tc>
          <w:tcPr>
            <w:tcW w:w="2518" w:type="pct"/>
            <w:shd w:val="clear" w:color="auto" w:fill="FFFFFF" w:themeFill="background1"/>
          </w:tcPr>
          <w:p w14:paraId="3B3315A7" w14:textId="77777777" w:rsidR="00605910" w:rsidRPr="003B4086" w:rsidRDefault="00605910" w:rsidP="00D83473">
            <w:pPr>
              <w:pStyle w:val="TableText0"/>
              <w:keepNext w:val="0"/>
              <w:rPr>
                <w:szCs w:val="20"/>
              </w:rPr>
            </w:pPr>
            <w:r w:rsidRPr="003B4086">
              <w:rPr>
                <w:szCs w:val="20"/>
              </w:rPr>
              <w:t>Pre-Advisory Board survey</w:t>
            </w:r>
          </w:p>
          <w:p w14:paraId="31D28E52" w14:textId="05906268" w:rsidR="00605910" w:rsidRPr="003B4086" w:rsidRDefault="00940541" w:rsidP="0088322E">
            <w:pPr>
              <w:pStyle w:val="TableText0"/>
              <w:keepNext w:val="0"/>
              <w:rPr>
                <w:i/>
              </w:rPr>
            </w:pPr>
            <w:r>
              <w:t>The evaluation considered this was</w:t>
            </w:r>
            <w:r w:rsidR="00605910" w:rsidRPr="003B4086">
              <w:t xml:space="preserve"> a likely unde</w:t>
            </w:r>
            <w:r w:rsidR="0088322E" w:rsidRPr="003B4086">
              <w:t xml:space="preserve">restimate (see </w:t>
            </w:r>
            <w:r w:rsidR="00982DE0" w:rsidRPr="003B4086">
              <w:t>p</w:t>
            </w:r>
            <w:r w:rsidR="00605910" w:rsidRPr="003B4086">
              <w:t>ara</w:t>
            </w:r>
            <w:r w:rsidR="00982DE0" w:rsidRPr="003B4086">
              <w:t>graph</w:t>
            </w:r>
            <w:r w:rsidR="00605910" w:rsidRPr="003B4086">
              <w:t xml:space="preserve"> </w:t>
            </w:r>
            <w:r w:rsidR="0088322E" w:rsidRPr="003B4086">
              <w:fldChar w:fldCharType="begin"/>
            </w:r>
            <w:r w:rsidR="0088322E" w:rsidRPr="003B4086">
              <w:instrText xml:space="preserve"> REF _Ref103015543 \r \h </w:instrText>
            </w:r>
            <w:r w:rsidR="0088322E" w:rsidRPr="003B4086">
              <w:fldChar w:fldCharType="separate"/>
            </w:r>
            <w:r w:rsidR="00994246">
              <w:t>6.69</w:t>
            </w:r>
            <w:r w:rsidR="0088322E" w:rsidRPr="003B4086">
              <w:fldChar w:fldCharType="end"/>
            </w:r>
            <w:r w:rsidR="00605910" w:rsidRPr="003B4086">
              <w:t xml:space="preserve"> for details).</w:t>
            </w:r>
          </w:p>
        </w:tc>
      </w:tr>
      <w:tr w:rsidR="00605910" w:rsidRPr="003B4086" w14:paraId="4E96E5D0" w14:textId="77777777" w:rsidTr="00D83473">
        <w:trPr>
          <w:trHeight w:val="203"/>
        </w:trPr>
        <w:tc>
          <w:tcPr>
            <w:tcW w:w="5000" w:type="pct"/>
            <w:gridSpan w:val="4"/>
            <w:shd w:val="clear" w:color="auto" w:fill="FFFFFF" w:themeFill="background1"/>
          </w:tcPr>
          <w:p w14:paraId="30BFF140" w14:textId="77777777" w:rsidR="00605910" w:rsidRPr="003B4086" w:rsidRDefault="00605910" w:rsidP="00D83473">
            <w:pPr>
              <w:pStyle w:val="TableText0"/>
              <w:keepNext w:val="0"/>
              <w:rPr>
                <w:b/>
                <w:szCs w:val="20"/>
              </w:rPr>
            </w:pPr>
            <w:r w:rsidRPr="003B4086">
              <w:rPr>
                <w:b/>
                <w:szCs w:val="20"/>
              </w:rPr>
              <w:t>Treatment utilisation</w:t>
            </w:r>
          </w:p>
        </w:tc>
      </w:tr>
      <w:tr w:rsidR="00605910" w:rsidRPr="003B4086" w14:paraId="6AF3669C" w14:textId="77777777" w:rsidTr="00D83473">
        <w:trPr>
          <w:gridAfter w:val="1"/>
          <w:wAfter w:w="5" w:type="pct"/>
        </w:trPr>
        <w:tc>
          <w:tcPr>
            <w:tcW w:w="1159" w:type="pct"/>
            <w:shd w:val="clear" w:color="auto" w:fill="FFFFFF" w:themeFill="background1"/>
          </w:tcPr>
          <w:p w14:paraId="0DFB33EF" w14:textId="77777777" w:rsidR="00605910" w:rsidRPr="003B4086" w:rsidRDefault="00605910" w:rsidP="00D83473">
            <w:pPr>
              <w:pStyle w:val="TableText0"/>
              <w:keepNext w:val="0"/>
            </w:pPr>
            <w:r w:rsidRPr="003B4086">
              <w:rPr>
                <w:rFonts w:eastAsiaTheme="minorHAnsi" w:cs="Arial"/>
                <w:color w:val="222222"/>
              </w:rPr>
              <w:t>Uptake rate of nivolumab</w:t>
            </w:r>
          </w:p>
        </w:tc>
        <w:tc>
          <w:tcPr>
            <w:tcW w:w="1318" w:type="pct"/>
            <w:shd w:val="clear" w:color="auto" w:fill="FFFFFF" w:themeFill="background1"/>
          </w:tcPr>
          <w:p w14:paraId="7904035B" w14:textId="4D223D76" w:rsidR="00605910" w:rsidRPr="003B4086" w:rsidRDefault="00626BA0" w:rsidP="00D83473">
            <w:pPr>
              <w:pStyle w:val="TableText0"/>
              <w:keepNext w:val="0"/>
            </w:pPr>
            <w:r w:rsidRPr="00626BA0">
              <w:rPr>
                <w:rFonts w:hint="eastAsia"/>
                <w:color w:val="000000"/>
                <w:w w:val="19"/>
                <w:shd w:val="solid" w:color="000000" w:fill="000000"/>
                <w:fitText w:val="87" w:id="-1432104704"/>
                <w14:textFill>
                  <w14:solidFill>
                    <w14:srgbClr w14:val="000000">
                      <w14:alpha w14:val="100000"/>
                    </w14:srgbClr>
                  </w14:solidFill>
                </w14:textFill>
              </w:rPr>
              <w:t xml:space="preserve">　</w:t>
            </w:r>
            <w:r w:rsidRPr="00626BA0">
              <w:rPr>
                <w:color w:val="000000"/>
                <w:w w:val="19"/>
                <w:shd w:val="solid" w:color="000000" w:fill="000000"/>
                <w:fitText w:val="87" w:id="-1432104704"/>
                <w14:textFill>
                  <w14:solidFill>
                    <w14:srgbClr w14:val="000000">
                      <w14:alpha w14:val="100000"/>
                    </w14:srgbClr>
                  </w14:solidFill>
                </w14:textFill>
              </w:rPr>
              <w:t>|</w:t>
            </w:r>
            <w:r w:rsidRPr="00626BA0">
              <w:rPr>
                <w:rFonts w:hint="eastAsia"/>
                <w:color w:val="000000"/>
                <w:w w:val="19"/>
                <w:shd w:val="solid" w:color="000000" w:fill="000000"/>
                <w:fitText w:val="87" w:id="-1432104704"/>
                <w14:textFill>
                  <w14:solidFill>
                    <w14:srgbClr w14:val="000000">
                      <w14:alpha w14:val="100000"/>
                    </w14:srgbClr>
                  </w14:solidFill>
                </w14:textFill>
              </w:rPr>
              <w:t xml:space="preserve">　</w:t>
            </w:r>
            <w:r w:rsidR="00605910" w:rsidRPr="002D26DF">
              <w:t>%</w:t>
            </w:r>
            <w:r w:rsidR="00F45979" w:rsidRPr="002D26DF">
              <w:t xml:space="preserve"> </w:t>
            </w:r>
            <w:r w:rsidR="00F45979" w:rsidRPr="003B4086">
              <w:t>across Years 1 to 6</w:t>
            </w:r>
          </w:p>
        </w:tc>
        <w:tc>
          <w:tcPr>
            <w:tcW w:w="2518" w:type="pct"/>
            <w:shd w:val="clear" w:color="auto" w:fill="FFFFFF" w:themeFill="background1"/>
          </w:tcPr>
          <w:p w14:paraId="2A01A85B" w14:textId="77777777" w:rsidR="00605910" w:rsidRPr="003B4086" w:rsidRDefault="00605910" w:rsidP="00D83473">
            <w:pPr>
              <w:pStyle w:val="TableText0"/>
              <w:keepNext w:val="0"/>
              <w:rPr>
                <w:szCs w:val="20"/>
              </w:rPr>
            </w:pPr>
            <w:r w:rsidRPr="003B4086">
              <w:rPr>
                <w:szCs w:val="20"/>
              </w:rPr>
              <w:t>Pre-Advisory Board survey</w:t>
            </w:r>
          </w:p>
          <w:p w14:paraId="1CA46CEC" w14:textId="77777777" w:rsidR="00605910" w:rsidRPr="003B4086" w:rsidRDefault="00605910" w:rsidP="00D83473">
            <w:pPr>
              <w:pStyle w:val="TableText0"/>
              <w:keepNext w:val="0"/>
              <w:rPr>
                <w:i/>
              </w:rPr>
            </w:pPr>
            <w:r w:rsidRPr="003B4086">
              <w:t xml:space="preserve">Uncertain, not adequately justified. </w:t>
            </w:r>
          </w:p>
        </w:tc>
      </w:tr>
      <w:tr w:rsidR="00605910" w:rsidRPr="003B4086" w14:paraId="20B9017C" w14:textId="77777777" w:rsidTr="00D83473">
        <w:trPr>
          <w:gridAfter w:val="1"/>
          <w:wAfter w:w="5" w:type="pct"/>
        </w:trPr>
        <w:tc>
          <w:tcPr>
            <w:tcW w:w="1159" w:type="pct"/>
            <w:shd w:val="clear" w:color="auto" w:fill="FFFFFF" w:themeFill="background1"/>
          </w:tcPr>
          <w:p w14:paraId="16B45673" w14:textId="77777777" w:rsidR="00605910" w:rsidRPr="003B4086" w:rsidRDefault="00605910" w:rsidP="00D83473">
            <w:pPr>
              <w:pStyle w:val="TableText0"/>
              <w:keepNext w:val="0"/>
            </w:pPr>
            <w:r w:rsidRPr="003B4086">
              <w:t>Treatment duration of nivolumab</w:t>
            </w:r>
          </w:p>
        </w:tc>
        <w:tc>
          <w:tcPr>
            <w:tcW w:w="1318" w:type="pct"/>
            <w:shd w:val="clear" w:color="auto" w:fill="FFFFFF" w:themeFill="background1"/>
          </w:tcPr>
          <w:p w14:paraId="1F654349" w14:textId="77777777" w:rsidR="00605910" w:rsidRPr="003B4086" w:rsidRDefault="00605910" w:rsidP="00D83473">
            <w:pPr>
              <w:pStyle w:val="TableText0"/>
              <w:keepNext w:val="0"/>
            </w:pPr>
            <w:r w:rsidRPr="003B4086">
              <w:rPr>
                <w:rFonts w:eastAsiaTheme="minorHAnsi" w:cs="Arial"/>
                <w:color w:val="222222"/>
              </w:rPr>
              <w:t>Q2W: 16.90, Q4W: 8.48 (based on Q2W)</w:t>
            </w:r>
          </w:p>
        </w:tc>
        <w:tc>
          <w:tcPr>
            <w:tcW w:w="2518" w:type="pct"/>
            <w:shd w:val="clear" w:color="auto" w:fill="FFFFFF" w:themeFill="background1"/>
          </w:tcPr>
          <w:p w14:paraId="0AD30244" w14:textId="4318AC8F" w:rsidR="00605910" w:rsidRPr="003B4086" w:rsidRDefault="00605910" w:rsidP="00D83473">
            <w:pPr>
              <w:pStyle w:val="TableText0"/>
              <w:keepNext w:val="0"/>
            </w:pPr>
            <w:r w:rsidRPr="003B4086">
              <w:t xml:space="preserve">CM274 </w:t>
            </w:r>
            <w:r w:rsidR="000B5C55" w:rsidRPr="003B4086">
              <w:t>trial</w:t>
            </w:r>
          </w:p>
          <w:p w14:paraId="5C0AADC3" w14:textId="40EBEB98" w:rsidR="00605910" w:rsidRPr="003B4086" w:rsidRDefault="00940541" w:rsidP="00D83473">
            <w:pPr>
              <w:pStyle w:val="TableText0"/>
              <w:keepNext w:val="0"/>
              <w:rPr>
                <w:i/>
              </w:rPr>
            </w:pPr>
            <w:r>
              <w:t>The evaluation considered this was a</w:t>
            </w:r>
            <w:r w:rsidR="00605910" w:rsidRPr="003B4086">
              <w:t>ppropriate</w:t>
            </w:r>
          </w:p>
        </w:tc>
      </w:tr>
      <w:tr w:rsidR="00605910" w:rsidRPr="003B4086" w14:paraId="2023FADE" w14:textId="77777777" w:rsidTr="00D83473">
        <w:trPr>
          <w:gridAfter w:val="1"/>
          <w:wAfter w:w="5" w:type="pct"/>
        </w:trPr>
        <w:tc>
          <w:tcPr>
            <w:tcW w:w="1159" w:type="pct"/>
            <w:shd w:val="clear" w:color="auto" w:fill="FFFFFF" w:themeFill="background1"/>
          </w:tcPr>
          <w:p w14:paraId="747ABE3F" w14:textId="77777777" w:rsidR="00605910" w:rsidRPr="003B4086" w:rsidRDefault="00605910" w:rsidP="00D83473">
            <w:pPr>
              <w:pStyle w:val="TableText0"/>
              <w:keepNext w:val="0"/>
            </w:pPr>
            <w:r w:rsidRPr="003B4086">
              <w:rPr>
                <w:rFonts w:eastAsiaTheme="minorHAnsi" w:cs="Arial"/>
                <w:color w:val="222222"/>
              </w:rPr>
              <w:t xml:space="preserve">Relative use of nivolumab Q2W vs Q4W </w:t>
            </w:r>
          </w:p>
        </w:tc>
        <w:tc>
          <w:tcPr>
            <w:tcW w:w="1318" w:type="pct"/>
            <w:shd w:val="clear" w:color="auto" w:fill="FFFFFF" w:themeFill="background1"/>
          </w:tcPr>
          <w:p w14:paraId="23E16CAD" w14:textId="77777777" w:rsidR="00605910" w:rsidRPr="003B4086" w:rsidRDefault="00605910" w:rsidP="00D83473">
            <w:pPr>
              <w:pStyle w:val="TableText0"/>
              <w:keepNext w:val="0"/>
            </w:pPr>
            <w:r w:rsidRPr="003B4086">
              <w:rPr>
                <w:rFonts w:eastAsiaTheme="minorHAnsi" w:cs="Arial"/>
                <w:color w:val="222222"/>
              </w:rPr>
              <w:t>Q2W: 10%, Q4W: 90%</w:t>
            </w:r>
          </w:p>
        </w:tc>
        <w:tc>
          <w:tcPr>
            <w:tcW w:w="2518" w:type="pct"/>
            <w:shd w:val="clear" w:color="auto" w:fill="FFFFFF" w:themeFill="background1"/>
          </w:tcPr>
          <w:p w14:paraId="1A12F102" w14:textId="474DAD77" w:rsidR="00605910" w:rsidRPr="003B4086" w:rsidRDefault="0088322E" w:rsidP="00D83473">
            <w:pPr>
              <w:pStyle w:val="TableText0"/>
              <w:keepNext w:val="0"/>
            </w:pPr>
            <w:r w:rsidRPr="003B4086">
              <w:t xml:space="preserve">Previous </w:t>
            </w:r>
            <w:r w:rsidR="00605910" w:rsidRPr="003B4086">
              <w:t>PBAC advice (Nivolumab PSD, March 2019)</w:t>
            </w:r>
          </w:p>
          <w:p w14:paraId="63B48A21" w14:textId="2BEA5F79" w:rsidR="00605910" w:rsidRPr="003B4086" w:rsidRDefault="00605910" w:rsidP="0088322E">
            <w:pPr>
              <w:pStyle w:val="TableText0"/>
              <w:keepNext w:val="0"/>
              <w:rPr>
                <w:i/>
              </w:rPr>
            </w:pPr>
            <w:r w:rsidRPr="003B4086">
              <w:t>The PBAC considered that it was reasonable to assume that the majority of patients would be prescribed the 480 mg Q4W dosing regimen if available.</w:t>
            </w:r>
          </w:p>
        </w:tc>
      </w:tr>
      <w:tr w:rsidR="00605910" w:rsidRPr="003B4086" w14:paraId="21A7C54E" w14:textId="77777777" w:rsidTr="00D83473">
        <w:trPr>
          <w:gridAfter w:val="1"/>
          <w:wAfter w:w="5" w:type="pct"/>
        </w:trPr>
        <w:tc>
          <w:tcPr>
            <w:tcW w:w="4995" w:type="pct"/>
            <w:gridSpan w:val="3"/>
            <w:shd w:val="clear" w:color="auto" w:fill="FFFFFF" w:themeFill="background1"/>
          </w:tcPr>
          <w:p w14:paraId="1F5BD930" w14:textId="77777777" w:rsidR="00605910" w:rsidRPr="003B4086" w:rsidRDefault="00605910" w:rsidP="00D83473">
            <w:pPr>
              <w:pStyle w:val="TableText0"/>
              <w:keepNext w:val="0"/>
              <w:rPr>
                <w:b/>
              </w:rPr>
            </w:pPr>
            <w:r w:rsidRPr="003B4086">
              <w:rPr>
                <w:b/>
              </w:rPr>
              <w:t xml:space="preserve">Drug cost </w:t>
            </w:r>
          </w:p>
        </w:tc>
      </w:tr>
      <w:tr w:rsidR="00605910" w:rsidRPr="003B4086" w14:paraId="5F266793" w14:textId="77777777" w:rsidTr="00D83473">
        <w:trPr>
          <w:gridAfter w:val="1"/>
          <w:wAfter w:w="5" w:type="pct"/>
        </w:trPr>
        <w:tc>
          <w:tcPr>
            <w:tcW w:w="1159" w:type="pct"/>
            <w:shd w:val="clear" w:color="auto" w:fill="FFFFFF" w:themeFill="background1"/>
          </w:tcPr>
          <w:p w14:paraId="3C490406" w14:textId="77777777" w:rsidR="00605910" w:rsidRPr="003B4086" w:rsidRDefault="00605910" w:rsidP="00D83473">
            <w:pPr>
              <w:pStyle w:val="TableText0"/>
              <w:keepNext w:val="0"/>
            </w:pPr>
            <w:r w:rsidRPr="003B4086">
              <w:t>Nivolumab effective cost per administration (weighted)</w:t>
            </w:r>
          </w:p>
        </w:tc>
        <w:tc>
          <w:tcPr>
            <w:tcW w:w="1318" w:type="pct"/>
            <w:shd w:val="clear" w:color="auto" w:fill="FFFFFF" w:themeFill="background1"/>
          </w:tcPr>
          <w:p w14:paraId="582C26FB" w14:textId="3EDD56E5" w:rsidR="00605910" w:rsidRPr="003B4086" w:rsidRDefault="00605910" w:rsidP="00D83473">
            <w:pPr>
              <w:pStyle w:val="TableText0"/>
              <w:keepNext w:val="0"/>
            </w:pPr>
            <w:r w:rsidRPr="003B4086">
              <w:t>240mg: $</w:t>
            </w:r>
            <w:r w:rsidR="00E020DE" w:rsidRPr="00E020DE">
              <w:rPr>
                <w:color w:val="000000"/>
                <w:spacing w:val="48"/>
                <w:shd w:val="solid" w:color="000000" w:fill="000000"/>
                <w:fitText w:val="500" w:id="-1435269876"/>
                <w14:textFill>
                  <w14:solidFill>
                    <w14:srgbClr w14:val="000000">
                      <w14:alpha w14:val="100000"/>
                    </w14:srgbClr>
                  </w14:solidFill>
                </w14:textFill>
              </w:rPr>
              <w:t>|||||</w:t>
            </w:r>
            <w:r w:rsidR="00E020DE" w:rsidRPr="00E020DE">
              <w:rPr>
                <w:color w:val="000000"/>
                <w:spacing w:val="5"/>
                <w:shd w:val="solid" w:color="000000" w:fill="000000"/>
                <w:fitText w:val="500" w:id="-1435269876"/>
                <w14:textFill>
                  <w14:solidFill>
                    <w14:srgbClr w14:val="000000">
                      <w14:alpha w14:val="100000"/>
                    </w14:srgbClr>
                  </w14:solidFill>
                </w14:textFill>
              </w:rPr>
              <w:t>|</w:t>
            </w:r>
            <w:r w:rsidRPr="003B4086">
              <w:t xml:space="preserve"> </w:t>
            </w:r>
          </w:p>
          <w:p w14:paraId="30E04BFE" w14:textId="354ECE46" w:rsidR="00605910" w:rsidRPr="003B4086" w:rsidRDefault="00605910" w:rsidP="00D83473">
            <w:pPr>
              <w:pStyle w:val="TableText0"/>
              <w:keepNext w:val="0"/>
            </w:pPr>
            <w:r w:rsidRPr="003B4086">
              <w:t>480 mg: $</w:t>
            </w:r>
            <w:r w:rsidR="00E020DE" w:rsidRPr="00E020DE">
              <w:rPr>
                <w:color w:val="000000"/>
                <w:spacing w:val="48"/>
                <w:shd w:val="solid" w:color="000000" w:fill="000000"/>
                <w:fitText w:val="500" w:id="-1435269875"/>
                <w14:textFill>
                  <w14:solidFill>
                    <w14:srgbClr w14:val="000000">
                      <w14:alpha w14:val="100000"/>
                    </w14:srgbClr>
                  </w14:solidFill>
                </w14:textFill>
              </w:rPr>
              <w:t>|||||</w:t>
            </w:r>
            <w:r w:rsidR="00E020DE" w:rsidRPr="00E020DE">
              <w:rPr>
                <w:color w:val="000000"/>
                <w:spacing w:val="5"/>
                <w:shd w:val="solid" w:color="000000" w:fill="000000"/>
                <w:fitText w:val="500" w:id="-1435269875"/>
                <w14:textFill>
                  <w14:solidFill>
                    <w14:srgbClr w14:val="000000">
                      <w14:alpha w14:val="100000"/>
                    </w14:srgbClr>
                  </w14:solidFill>
                </w14:textFill>
              </w:rPr>
              <w:t>|</w:t>
            </w:r>
          </w:p>
        </w:tc>
        <w:tc>
          <w:tcPr>
            <w:tcW w:w="2518" w:type="pct"/>
            <w:shd w:val="clear" w:color="auto" w:fill="FFFFFF" w:themeFill="background1"/>
          </w:tcPr>
          <w:p w14:paraId="27D01CD3" w14:textId="77777777" w:rsidR="00605910" w:rsidRPr="003B4086" w:rsidRDefault="00605910" w:rsidP="00D83473">
            <w:pPr>
              <w:pStyle w:val="TableText0"/>
              <w:keepNext w:val="0"/>
            </w:pPr>
            <w:r w:rsidRPr="003B4086">
              <w:t>Proposed effective price</w:t>
            </w:r>
          </w:p>
          <w:p w14:paraId="75EEA46A" w14:textId="77777777" w:rsidR="00605910" w:rsidRPr="003B4086" w:rsidRDefault="00605910" w:rsidP="00D83473">
            <w:pPr>
              <w:pStyle w:val="TableText0"/>
              <w:keepNext w:val="0"/>
              <w:rPr>
                <w:i/>
              </w:rPr>
            </w:pPr>
            <w:r w:rsidRPr="003B4086">
              <w:t>Appropriate</w:t>
            </w:r>
          </w:p>
        </w:tc>
      </w:tr>
      <w:tr w:rsidR="00605910" w:rsidRPr="003B4086" w14:paraId="0CE971BC" w14:textId="77777777" w:rsidTr="00D83473">
        <w:trPr>
          <w:gridAfter w:val="1"/>
          <w:wAfter w:w="5" w:type="pct"/>
        </w:trPr>
        <w:tc>
          <w:tcPr>
            <w:tcW w:w="4995" w:type="pct"/>
            <w:gridSpan w:val="3"/>
            <w:shd w:val="clear" w:color="auto" w:fill="FFFFFF" w:themeFill="background1"/>
          </w:tcPr>
          <w:p w14:paraId="5F604FFC" w14:textId="77777777" w:rsidR="00605910" w:rsidRPr="003B4086" w:rsidRDefault="00605910" w:rsidP="00D83473">
            <w:pPr>
              <w:pStyle w:val="TableText0"/>
              <w:keepNext w:val="0"/>
              <w:rPr>
                <w:b/>
              </w:rPr>
            </w:pPr>
            <w:r w:rsidRPr="003B4086">
              <w:rPr>
                <w:b/>
              </w:rPr>
              <w:t>MBS fee</w:t>
            </w:r>
          </w:p>
        </w:tc>
      </w:tr>
      <w:tr w:rsidR="00605910" w:rsidRPr="003B4086" w14:paraId="24FD35F5" w14:textId="77777777" w:rsidTr="00D83473">
        <w:trPr>
          <w:gridAfter w:val="1"/>
          <w:wAfter w:w="5" w:type="pct"/>
        </w:trPr>
        <w:tc>
          <w:tcPr>
            <w:tcW w:w="1159" w:type="pct"/>
            <w:shd w:val="clear" w:color="auto" w:fill="FFFFFF" w:themeFill="background1"/>
          </w:tcPr>
          <w:p w14:paraId="72BCDE15" w14:textId="77777777" w:rsidR="00605910" w:rsidRPr="003B4086" w:rsidRDefault="00605910" w:rsidP="00D83473">
            <w:pPr>
              <w:pStyle w:val="TableText0"/>
              <w:keepNext w:val="0"/>
            </w:pPr>
            <w:r w:rsidRPr="003B4086">
              <w:t>Administration of antineoplastic agent</w:t>
            </w:r>
          </w:p>
        </w:tc>
        <w:tc>
          <w:tcPr>
            <w:tcW w:w="1318" w:type="pct"/>
            <w:shd w:val="clear" w:color="auto" w:fill="FFFFFF" w:themeFill="background1"/>
          </w:tcPr>
          <w:p w14:paraId="52A0D2F3" w14:textId="77777777" w:rsidR="00605910" w:rsidRPr="003B4086" w:rsidRDefault="00605910" w:rsidP="00D83473">
            <w:pPr>
              <w:pStyle w:val="TableText0"/>
              <w:keepNext w:val="0"/>
            </w:pPr>
            <w:r w:rsidRPr="003B4086">
              <w:t>$112.40</w:t>
            </w:r>
          </w:p>
        </w:tc>
        <w:tc>
          <w:tcPr>
            <w:tcW w:w="2518" w:type="pct"/>
            <w:shd w:val="clear" w:color="auto" w:fill="FFFFFF" w:themeFill="background1"/>
          </w:tcPr>
          <w:p w14:paraId="7EC98FE9" w14:textId="77777777" w:rsidR="00605910" w:rsidRPr="003B4086" w:rsidRDefault="00605910" w:rsidP="00D83473">
            <w:pPr>
              <w:pStyle w:val="TableText0"/>
              <w:keepNext w:val="0"/>
            </w:pPr>
            <w:r w:rsidRPr="003B4086">
              <w:t>MBS item 13950</w:t>
            </w:r>
          </w:p>
          <w:p w14:paraId="15A2E378" w14:textId="77777777" w:rsidR="00605910" w:rsidRPr="003B4086" w:rsidRDefault="00605910" w:rsidP="00D83473">
            <w:pPr>
              <w:pStyle w:val="TableText0"/>
              <w:keepNext w:val="0"/>
              <w:rPr>
                <w:i/>
              </w:rPr>
            </w:pPr>
            <w:r w:rsidRPr="003B4086">
              <w:t>Appropriate</w:t>
            </w:r>
          </w:p>
        </w:tc>
      </w:tr>
      <w:tr w:rsidR="00605910" w:rsidRPr="003B4086" w14:paraId="59706BD3" w14:textId="77777777" w:rsidTr="00D83473">
        <w:trPr>
          <w:gridAfter w:val="1"/>
          <w:wAfter w:w="5" w:type="pct"/>
        </w:trPr>
        <w:tc>
          <w:tcPr>
            <w:tcW w:w="4995" w:type="pct"/>
            <w:gridSpan w:val="3"/>
            <w:shd w:val="clear" w:color="auto" w:fill="FFFFFF" w:themeFill="background1"/>
          </w:tcPr>
          <w:p w14:paraId="210BB6CC" w14:textId="77777777" w:rsidR="00605910" w:rsidRPr="003B4086" w:rsidRDefault="00605910" w:rsidP="00D83473">
            <w:pPr>
              <w:pStyle w:val="TableText0"/>
              <w:keepNext w:val="0"/>
              <w:rPr>
                <w:b/>
              </w:rPr>
            </w:pPr>
            <w:r w:rsidRPr="003B4086">
              <w:rPr>
                <w:b/>
              </w:rPr>
              <w:t xml:space="preserve">Others </w:t>
            </w:r>
          </w:p>
        </w:tc>
      </w:tr>
      <w:tr w:rsidR="00605910" w:rsidRPr="003B4086" w14:paraId="156F0E95" w14:textId="77777777" w:rsidTr="00D83473">
        <w:trPr>
          <w:gridAfter w:val="1"/>
          <w:wAfter w:w="5" w:type="pct"/>
        </w:trPr>
        <w:tc>
          <w:tcPr>
            <w:tcW w:w="1159" w:type="pct"/>
            <w:shd w:val="clear" w:color="auto" w:fill="FFFFFF" w:themeFill="background1"/>
          </w:tcPr>
          <w:p w14:paraId="48E574F0" w14:textId="77777777" w:rsidR="00605910" w:rsidRPr="003B4086" w:rsidRDefault="00605910" w:rsidP="00D83473">
            <w:pPr>
              <w:pStyle w:val="TableText0"/>
              <w:keepNext w:val="0"/>
              <w:ind w:right="-57"/>
            </w:pPr>
            <w:r w:rsidRPr="003B4086">
              <w:t>Proportion of PBS vs. RPBS</w:t>
            </w:r>
          </w:p>
        </w:tc>
        <w:tc>
          <w:tcPr>
            <w:tcW w:w="1318" w:type="pct"/>
            <w:shd w:val="clear" w:color="auto" w:fill="FFFFFF" w:themeFill="background1"/>
          </w:tcPr>
          <w:p w14:paraId="25C3FB9F" w14:textId="77777777" w:rsidR="00605910" w:rsidRPr="003B4086" w:rsidRDefault="00605910" w:rsidP="00D83473">
            <w:pPr>
              <w:pStyle w:val="TableText0"/>
              <w:keepNext w:val="0"/>
            </w:pPr>
            <w:r w:rsidRPr="003B4086">
              <w:t>PBS: 96.84%, RPBS: 3.16%</w:t>
            </w:r>
          </w:p>
        </w:tc>
        <w:tc>
          <w:tcPr>
            <w:tcW w:w="2518" w:type="pct"/>
            <w:vMerge w:val="restart"/>
            <w:shd w:val="clear" w:color="auto" w:fill="FFFFFF" w:themeFill="background1"/>
          </w:tcPr>
          <w:p w14:paraId="6A98D3D5" w14:textId="77777777" w:rsidR="00605910" w:rsidRPr="003B4086" w:rsidRDefault="00605910" w:rsidP="00D83473">
            <w:pPr>
              <w:pStyle w:val="TableText0"/>
              <w:keepNext w:val="0"/>
              <w:rPr>
                <w:szCs w:val="20"/>
              </w:rPr>
            </w:pPr>
            <w:r w:rsidRPr="003B4086">
              <w:rPr>
                <w:rFonts w:eastAsiaTheme="minorHAnsi" w:cs="Arial"/>
                <w:color w:val="222222"/>
                <w:szCs w:val="20"/>
              </w:rPr>
              <w:t>Based on existing PBS Item statistics from January to December 2021 for nivolumab PBS listings for adjuvant melanoma.</w:t>
            </w:r>
          </w:p>
          <w:p w14:paraId="040380C1" w14:textId="77777777" w:rsidR="00605910" w:rsidRPr="003B4086" w:rsidRDefault="00605910" w:rsidP="00D83473">
            <w:pPr>
              <w:pStyle w:val="TableText0"/>
              <w:keepNext w:val="0"/>
              <w:rPr>
                <w:i/>
              </w:rPr>
            </w:pPr>
            <w:r w:rsidRPr="003B4086">
              <w:t>Reasonable</w:t>
            </w:r>
          </w:p>
        </w:tc>
      </w:tr>
      <w:tr w:rsidR="00605910" w:rsidRPr="003B4086" w14:paraId="6D66A3E7" w14:textId="77777777" w:rsidTr="00D83473">
        <w:trPr>
          <w:gridAfter w:val="1"/>
          <w:wAfter w:w="5" w:type="pct"/>
        </w:trPr>
        <w:tc>
          <w:tcPr>
            <w:tcW w:w="1159" w:type="pct"/>
            <w:shd w:val="clear" w:color="auto" w:fill="FFFFFF" w:themeFill="background1"/>
          </w:tcPr>
          <w:p w14:paraId="608F32E2" w14:textId="77777777" w:rsidR="00605910" w:rsidRPr="003B4086" w:rsidRDefault="00605910" w:rsidP="00D83473">
            <w:pPr>
              <w:pStyle w:val="TableText0"/>
              <w:keepNext w:val="0"/>
              <w:ind w:right="-57"/>
            </w:pPr>
            <w:r w:rsidRPr="003B4086">
              <w:t>Patient co-payment</w:t>
            </w:r>
          </w:p>
        </w:tc>
        <w:tc>
          <w:tcPr>
            <w:tcW w:w="1318" w:type="pct"/>
            <w:shd w:val="clear" w:color="auto" w:fill="FFFFFF" w:themeFill="background1"/>
          </w:tcPr>
          <w:p w14:paraId="709FF040" w14:textId="77777777" w:rsidR="00605910" w:rsidRPr="003B4086" w:rsidRDefault="00605910" w:rsidP="00D83473">
            <w:pPr>
              <w:pStyle w:val="TableText0"/>
              <w:keepNext w:val="0"/>
            </w:pPr>
            <w:r w:rsidRPr="003B4086">
              <w:t>PBS: $26.69</w:t>
            </w:r>
          </w:p>
          <w:p w14:paraId="42D0B386" w14:textId="77777777" w:rsidR="00605910" w:rsidRPr="003B4086" w:rsidRDefault="00605910" w:rsidP="00D83473">
            <w:pPr>
              <w:pStyle w:val="TableText0"/>
              <w:keepNext w:val="0"/>
            </w:pPr>
            <w:r w:rsidRPr="003B4086">
              <w:t>RPBS: $6.77</w:t>
            </w:r>
          </w:p>
        </w:tc>
        <w:tc>
          <w:tcPr>
            <w:tcW w:w="2518" w:type="pct"/>
            <w:vMerge/>
            <w:shd w:val="clear" w:color="auto" w:fill="FFFFFF" w:themeFill="background1"/>
          </w:tcPr>
          <w:p w14:paraId="5B83E149" w14:textId="77777777" w:rsidR="00605910" w:rsidRPr="003B4086" w:rsidRDefault="00605910" w:rsidP="00D83473">
            <w:pPr>
              <w:pStyle w:val="TableText0"/>
              <w:keepNext w:val="0"/>
            </w:pPr>
          </w:p>
        </w:tc>
      </w:tr>
    </w:tbl>
    <w:p w14:paraId="15AAD4D3" w14:textId="77777777" w:rsidR="00605910" w:rsidRPr="003B4086" w:rsidRDefault="00605910" w:rsidP="00605910">
      <w:pPr>
        <w:pStyle w:val="TableFigureFooter"/>
      </w:pPr>
      <w:r w:rsidRPr="003B4086">
        <w:t>Source: Table 75, p175 of the submission</w:t>
      </w:r>
    </w:p>
    <w:p w14:paraId="55B35886" w14:textId="77777777" w:rsidR="00605910" w:rsidRPr="003B4086" w:rsidRDefault="00605910" w:rsidP="00605910">
      <w:pPr>
        <w:pStyle w:val="TableFigureFooter"/>
      </w:pPr>
      <w:r w:rsidRPr="003B4086">
        <w:t>ABS = Australian Bureau of Statistics; AIHW = Australian Institute of Health and Welfare; MIUC = muscle invasive urothelial carcinoma; NMIUC = non-muscle invasive urothelial carcinoma; PBAC = Pharmaceutical Benefits Advisory Committee; PBS = Pharmaceutical Benefits Scheme; PSD = public summary document; Q2W = two-weekly dosing; Q4W = four-weekly dosing; RPBS = Repatriation Pharmaceutical Benefits Scheme</w:t>
      </w:r>
    </w:p>
    <w:p w14:paraId="5C57FD85" w14:textId="27116357" w:rsidR="00605910" w:rsidRPr="003B4086" w:rsidRDefault="00605910" w:rsidP="00605910">
      <w:pPr>
        <w:pStyle w:val="TableFigureFooter"/>
        <w:keepNext/>
        <w:widowControl w:val="0"/>
      </w:pPr>
      <w:r w:rsidRPr="003B4086">
        <w:rPr>
          <w:vertAlign w:val="superscript"/>
        </w:rPr>
        <w:t>a</w:t>
      </w:r>
      <w:r w:rsidRPr="003B4086">
        <w:t xml:space="preserve">Tran, B. (2022). BLADDA </w:t>
      </w:r>
      <w:r w:rsidR="00FF0970" w:rsidRPr="003B4086">
        <w:t>–</w:t>
      </w:r>
      <w:r w:rsidRPr="003B4086">
        <w:t xml:space="preserve"> Bladder and Urothelial Cancer Data and Biobank, Data Report. References folder (Part 3) accompanying the submission.</w:t>
      </w:r>
    </w:p>
    <w:p w14:paraId="36A5C649" w14:textId="6FAFECDC" w:rsidR="00605910" w:rsidRPr="003B4086" w:rsidRDefault="00605910" w:rsidP="009572B2">
      <w:pPr>
        <w:pStyle w:val="3-BodyText"/>
      </w:pPr>
      <w:r w:rsidRPr="003B4086">
        <w:t>The size of the eligible population was estimated using the Australian Institute Health and Welfare (AIHW) data on the number of incident cases of bladder cancer in Year 2021 and the number of incident cases of cancer of other urinary organs (ureter cancer and renal pelvis cancer) in Year 2016. An annual rate of 1.3% was applied, based on the Australian population growth rate from the Australian Bureau of Statistics. The growth rate of the general population may not reflect the growth rate of cancer incidence. The average annual growth rate of incident patients diagnosed with bladder, ureter or renal pelvis cancer was estimated to be 2.1%, ba</w:t>
      </w:r>
      <w:r w:rsidR="00D2204C" w:rsidRPr="003B4086">
        <w:t>sed on the AIHW data in 2010-202</w:t>
      </w:r>
      <w:r w:rsidRPr="003B4086">
        <w:t>1</w:t>
      </w:r>
      <w:r w:rsidR="001E5A86" w:rsidRPr="003B4086">
        <w:t xml:space="preserve"> (actual incidence data from 2010</w:t>
      </w:r>
      <w:r w:rsidR="00996437" w:rsidRPr="003B4086">
        <w:rPr>
          <w:rFonts w:cstheme="minorHAnsi"/>
        </w:rPr>
        <w:t>−</w:t>
      </w:r>
      <w:r w:rsidR="001E5A86" w:rsidRPr="003B4086">
        <w:t>2017 and projected data from 2018</w:t>
      </w:r>
      <w:r w:rsidR="00996437" w:rsidRPr="003B4086">
        <w:rPr>
          <w:rFonts w:cstheme="minorHAnsi"/>
        </w:rPr>
        <w:t>−</w:t>
      </w:r>
      <w:r w:rsidR="001E5A86" w:rsidRPr="003B4086">
        <w:t>2021)</w:t>
      </w:r>
      <w:r w:rsidRPr="003B4086">
        <w:t>, higher than the 1.3% rate used in the financial analysis. Therefore, the submission could have underestimated the number of the eligible patients and, thus, the cost of the treatment with nivolumab.</w:t>
      </w:r>
      <w:r w:rsidR="009572B2" w:rsidRPr="003B4086">
        <w:t xml:space="preserve"> It </w:t>
      </w:r>
      <w:r w:rsidR="00335D00" w:rsidRPr="003B4086">
        <w:t>wa</w:t>
      </w:r>
      <w:r w:rsidR="009572B2" w:rsidRPr="003B4086">
        <w:t>s stated in the PSCR that more recent (</w:t>
      </w:r>
      <w:r w:rsidR="00335D00" w:rsidRPr="003B4086">
        <w:t>2016</w:t>
      </w:r>
      <w:r w:rsidR="00335D00" w:rsidRPr="003B4086">
        <w:rPr>
          <w:rFonts w:cstheme="minorHAnsi"/>
        </w:rPr>
        <w:t>−</w:t>
      </w:r>
      <w:r w:rsidR="002149D6" w:rsidRPr="003B4086">
        <w:t>2017</w:t>
      </w:r>
      <w:r w:rsidR="009572B2" w:rsidRPr="003B4086">
        <w:t xml:space="preserve">) data was received from the AIHW </w:t>
      </w:r>
      <w:r w:rsidR="00807B61" w:rsidRPr="003B4086">
        <w:t>for</w:t>
      </w:r>
      <w:r w:rsidR="009572B2" w:rsidRPr="003B4086">
        <w:t xml:space="preserve"> the incidence of cancer of the bladder, renal pelvis and ureter for urothelial cell carcinoma histological types. </w:t>
      </w:r>
      <w:r w:rsidR="002149D6" w:rsidRPr="003B4086">
        <w:t>Based on these data, t</w:t>
      </w:r>
      <w:r w:rsidR="009572B2" w:rsidRPr="003B4086">
        <w:t xml:space="preserve">he growth rate of incident patients in 2016 </w:t>
      </w:r>
      <w:r w:rsidR="002149D6" w:rsidRPr="003B4086">
        <w:t>was</w:t>
      </w:r>
      <w:r w:rsidR="009572B2" w:rsidRPr="003B4086">
        <w:t xml:space="preserve"> 1.02% and 0.99% in 2017. The </w:t>
      </w:r>
      <w:r w:rsidR="008061F0" w:rsidRPr="003B4086">
        <w:t>PSCR</w:t>
      </w:r>
      <w:r w:rsidR="009572B2" w:rsidRPr="003B4086">
        <w:t xml:space="preserve"> consider</w:t>
      </w:r>
      <w:r w:rsidR="00335D00" w:rsidRPr="003B4086">
        <w:t>ed</w:t>
      </w:r>
      <w:r w:rsidR="009572B2" w:rsidRPr="003B4086">
        <w:t xml:space="preserve"> </w:t>
      </w:r>
      <w:r w:rsidR="00912792" w:rsidRPr="003B4086">
        <w:t>these data</w:t>
      </w:r>
      <w:r w:rsidR="009572B2" w:rsidRPr="003B4086">
        <w:t xml:space="preserve"> an accurate estimate of growth </w:t>
      </w:r>
      <w:r w:rsidR="002149D6" w:rsidRPr="003B4086">
        <w:t>and note</w:t>
      </w:r>
      <w:r w:rsidR="00E44CEC" w:rsidRPr="003B4086">
        <w:t>d</w:t>
      </w:r>
      <w:r w:rsidR="002149D6" w:rsidRPr="003B4086">
        <w:t xml:space="preserve"> </w:t>
      </w:r>
      <w:r w:rsidR="002149D6" w:rsidRPr="003B4086">
        <w:lastRenderedPageBreak/>
        <w:t>that it</w:t>
      </w:r>
      <w:r w:rsidR="009572B2" w:rsidRPr="003B4086">
        <w:t xml:space="preserve"> </w:t>
      </w:r>
      <w:r w:rsidR="002149D6" w:rsidRPr="003B4086">
        <w:t xml:space="preserve">is similar to the </w:t>
      </w:r>
      <w:r w:rsidR="009572B2" w:rsidRPr="003B4086">
        <w:t xml:space="preserve">1.3% used in the financial analysis. </w:t>
      </w:r>
      <w:r w:rsidR="005339EB" w:rsidRPr="003B4086">
        <w:t>The ESC considered the 3-year incidence data may be of insufficient duration for estimating the growth of incidence patients</w:t>
      </w:r>
      <w:r w:rsidR="00F072CA" w:rsidRPr="003B4086">
        <w:t xml:space="preserve">, and </w:t>
      </w:r>
      <w:r w:rsidR="00940541">
        <w:t xml:space="preserve">advised </w:t>
      </w:r>
      <w:r w:rsidR="00F072CA" w:rsidRPr="003B4086">
        <w:t>the estimates within the evaluation were more reliable for decision-making</w:t>
      </w:r>
      <w:r w:rsidR="005339EB" w:rsidRPr="003B4086">
        <w:t>.</w:t>
      </w:r>
      <w:r w:rsidR="0017557F" w:rsidRPr="003B4086">
        <w:t xml:space="preserve"> The sponsor maintained that </w:t>
      </w:r>
      <w:r w:rsidR="00216BBA" w:rsidRPr="003B4086">
        <w:t>the Australian general population growth and the updated AIHW data (2016</w:t>
      </w:r>
      <w:r w:rsidR="00216BBA" w:rsidRPr="003B4086">
        <w:rPr>
          <w:rFonts w:cstheme="minorHAnsi"/>
        </w:rPr>
        <w:t>−</w:t>
      </w:r>
      <w:r w:rsidR="00216BBA" w:rsidRPr="003B4086">
        <w:t>2017) were more accurate sources to estimate the annual growth in incidence</w:t>
      </w:r>
      <w:r w:rsidR="0017557F" w:rsidRPr="003B4086">
        <w:t xml:space="preserve"> </w:t>
      </w:r>
      <w:r w:rsidR="00216BBA" w:rsidRPr="003B4086">
        <w:t xml:space="preserve">than </w:t>
      </w:r>
      <w:r w:rsidR="00A6290E">
        <w:t>t</w:t>
      </w:r>
      <w:r w:rsidR="00216BBA" w:rsidRPr="003B4086">
        <w:t>he actual/projected AIHW data (2010</w:t>
      </w:r>
      <w:r w:rsidR="00216BBA" w:rsidRPr="003B4086">
        <w:rPr>
          <w:rFonts w:cstheme="minorHAnsi"/>
        </w:rPr>
        <w:t>−2017)</w:t>
      </w:r>
      <w:r w:rsidR="00216BBA" w:rsidRPr="003B4086">
        <w:t xml:space="preserve"> suggested in the evaluation </w:t>
      </w:r>
      <w:r w:rsidR="00A6290E">
        <w:t xml:space="preserve">and supported by the ESC </w:t>
      </w:r>
      <w:r w:rsidR="0017557F" w:rsidRPr="003B4086">
        <w:t>(pre-PBAC response).</w:t>
      </w:r>
    </w:p>
    <w:p w14:paraId="10B4B8BD" w14:textId="70148C81" w:rsidR="00605910" w:rsidRPr="003B4086" w:rsidRDefault="00605910" w:rsidP="00605910">
      <w:pPr>
        <w:pStyle w:val="3-BodyText"/>
      </w:pPr>
      <w:bookmarkStart w:id="73" w:name="_Ref103015543"/>
      <w:r w:rsidRPr="003B4086">
        <w:t xml:space="preserve">The submission assumed </w:t>
      </w:r>
      <w:r w:rsidRPr="00C26736">
        <w:t xml:space="preserve">that 50% of patients with T2-T4 disease (i.e. </w:t>
      </w:r>
      <w:r w:rsidR="00FB3A82" w:rsidRPr="00C26736">
        <w:t xml:space="preserve">MIUC) </w:t>
      </w:r>
      <w:r w:rsidR="0061430B" w:rsidRPr="00C26736">
        <w:t>will recur</w:t>
      </w:r>
      <w:r w:rsidRPr="00C26736">
        <w:t xml:space="preserve"> following radical resection. The submission stated that this estimate was based on the feedback from a </w:t>
      </w:r>
      <w:r w:rsidR="00542BA4" w:rsidRPr="00C26736">
        <w:t>G</w:t>
      </w:r>
      <w:r w:rsidRPr="00C26736">
        <w:t xml:space="preserve">enitourinary Advisory Board meeting with medical oncologists and urologists held by the sponsor. High risk was not defined when the clinicians in the Advisory Board provided the estimate. The financial analysis effectively assumed that only 50% of </w:t>
      </w:r>
      <w:r w:rsidR="0061430B" w:rsidRPr="00C26736">
        <w:t xml:space="preserve">the </w:t>
      </w:r>
      <w:r w:rsidRPr="00C26736">
        <w:t xml:space="preserve">patients who are classified as Stage T2-T4 (MIUC) before surgery </w:t>
      </w:r>
      <w:r w:rsidR="0061430B" w:rsidRPr="00C26736">
        <w:t>will have</w:t>
      </w:r>
      <w:r w:rsidRPr="00C26736">
        <w:t xml:space="preserve"> pathological Stage ypT2-pT4a or ypN+ (where neoadjuvant chemotherapy has been given) or pT3-pT4a or pN+ (where no neoadjuvant chemotherapy has been given) </w:t>
      </w:r>
      <w:r w:rsidR="0061430B" w:rsidRPr="00C26736">
        <w:t xml:space="preserve">disease </w:t>
      </w:r>
      <w:r w:rsidRPr="00C26736">
        <w:t>based on pathological sta</w:t>
      </w:r>
      <w:r w:rsidR="005339EB" w:rsidRPr="00C26736">
        <w:t>g</w:t>
      </w:r>
      <w:r w:rsidRPr="00C26736">
        <w:t xml:space="preserve">ing of radical surgery tissue, as per the definition of high risk in the proposed PBS listing. </w:t>
      </w:r>
      <w:r w:rsidR="001850FB" w:rsidRPr="00C26736">
        <w:t xml:space="preserve">It was </w:t>
      </w:r>
      <w:r w:rsidR="000E41FF" w:rsidRPr="00C26736">
        <w:t>stated</w:t>
      </w:r>
      <w:r w:rsidR="001850FB" w:rsidRPr="00C26736">
        <w:t xml:space="preserve"> in the PSCR that the percentage estimate for recurrence was </w:t>
      </w:r>
      <w:r w:rsidR="00783ECF" w:rsidRPr="00C26736">
        <w:t xml:space="preserve">also </w:t>
      </w:r>
      <w:r w:rsidR="001850FB" w:rsidRPr="00C26736">
        <w:t>supported by a retrospective review of radical cystectomy</w:t>
      </w:r>
      <w:r w:rsidR="0006704A" w:rsidRPr="00C26736">
        <w:t xml:space="preserve"> reporting</w:t>
      </w:r>
      <w:r w:rsidR="001850FB" w:rsidRPr="00C26736">
        <w:t xml:space="preserve"> 46% of patients developed a recurrence, which aligns with the 50% estimate</w:t>
      </w:r>
      <w:r w:rsidR="001850FB" w:rsidRPr="003B4086">
        <w:t xml:space="preserve"> applied in the submission. Despite this, the ESC considered that this </w:t>
      </w:r>
      <w:r w:rsidRPr="003B4086">
        <w:t xml:space="preserve">assumption </w:t>
      </w:r>
      <w:r w:rsidR="00871ADD" w:rsidRPr="003B4086">
        <w:t xml:space="preserve">was not reasonable and results in uncertainty </w:t>
      </w:r>
      <w:r w:rsidRPr="003B4086">
        <w:t>of the number of eligible patients and the cost of nivolumab adjuvant treatment.</w:t>
      </w:r>
      <w:bookmarkEnd w:id="73"/>
      <w:r w:rsidR="001850FB" w:rsidRPr="003B4086">
        <w:t xml:space="preserve"> </w:t>
      </w:r>
      <w:r w:rsidR="0006704A" w:rsidRPr="003B4086">
        <w:t xml:space="preserve"> </w:t>
      </w:r>
      <w:r w:rsidR="00996437" w:rsidRPr="003B4086">
        <w:t xml:space="preserve">It was maintained by the sponsor in the pre-PBAC response that Australian clinicians are </w:t>
      </w:r>
      <w:r w:rsidR="006C5264">
        <w:t xml:space="preserve">the </w:t>
      </w:r>
      <w:r w:rsidR="00996437" w:rsidRPr="003B4086">
        <w:t xml:space="preserve">best placed to inform the proportion of patients </w:t>
      </w:r>
      <w:r w:rsidR="006C5264">
        <w:t>that are at</w:t>
      </w:r>
      <w:r w:rsidR="00996437" w:rsidRPr="003B4086">
        <w:t xml:space="preserve"> high risk of recurrence.</w:t>
      </w:r>
    </w:p>
    <w:p w14:paraId="001FD274" w14:textId="016C6D40" w:rsidR="00605910" w:rsidRPr="003B4086" w:rsidRDefault="00605910" w:rsidP="00605910">
      <w:pPr>
        <w:pStyle w:val="ListParagraph"/>
        <w:numPr>
          <w:ilvl w:val="1"/>
          <w:numId w:val="1"/>
        </w:numPr>
        <w:spacing w:after="160"/>
      </w:pPr>
      <w:r w:rsidRPr="003B4086">
        <w:t>The rate of uptake of treatment with nivolumab (</w:t>
      </w:r>
      <w:r w:rsidR="00E020DE" w:rsidRPr="00E020DE">
        <w:rPr>
          <w:color w:val="000000"/>
          <w:w w:val="62"/>
          <w:shd w:val="solid" w:color="000000" w:fill="000000"/>
          <w:fitText w:val="620" w:id="-1435269874"/>
          <w14:textFill>
            <w14:solidFill>
              <w14:srgbClr w14:val="000000">
                <w14:alpha w14:val="100000"/>
              </w14:srgbClr>
            </w14:solidFill>
          </w14:textFill>
        </w:rPr>
        <w:t>||||  |||</w:t>
      </w:r>
      <w:r w:rsidR="00E020DE" w:rsidRPr="00E020DE">
        <w:rPr>
          <w:color w:val="000000"/>
          <w:spacing w:val="5"/>
          <w:w w:val="62"/>
          <w:shd w:val="solid" w:color="000000" w:fill="000000"/>
          <w:fitText w:val="620" w:id="-1435269874"/>
          <w14:textFill>
            <w14:solidFill>
              <w14:srgbClr w14:val="000000">
                <w14:alpha w14:val="100000"/>
              </w14:srgbClr>
            </w14:solidFill>
          </w14:textFill>
        </w:rPr>
        <w:t>|</w:t>
      </w:r>
      <w:r w:rsidRPr="008D0F88">
        <w:t>%)</w:t>
      </w:r>
      <w:r w:rsidRPr="003B4086">
        <w:t xml:space="preserve"> used in the financial analysis was based on the expert opinion from the </w:t>
      </w:r>
      <w:r w:rsidR="005332CB" w:rsidRPr="003B4086">
        <w:t>G</w:t>
      </w:r>
      <w:r w:rsidRPr="003B4086">
        <w:t>enitourinary Advisory Board, with no further justification. It is unknown whether the uptake of adjuvant nivolumab estimated by the 12 medical oncologists and urologists in the Advisory Board could be realised in Australian clinical practice following the proposed listing of nivolumab.</w:t>
      </w:r>
      <w:r w:rsidR="00C3798A" w:rsidRPr="003B4086">
        <w:t xml:space="preserve"> The </w:t>
      </w:r>
      <w:r w:rsidR="00CD56A9">
        <w:t>s</w:t>
      </w:r>
      <w:r w:rsidR="00C3798A" w:rsidRPr="003B4086">
        <w:t>ponsor stated in the PSCR that the uptake rate assumed in the submission was supported by an additional follow-up consultation with urologists</w:t>
      </w:r>
      <w:r w:rsidR="00365F8E" w:rsidRPr="003B4086">
        <w:t>.</w:t>
      </w:r>
      <w:r w:rsidR="0086155D" w:rsidRPr="003B4086">
        <w:t xml:space="preserve"> The ESC agreed with the evaluation that the uptake rate assumed in the submission may be underestimated.</w:t>
      </w:r>
      <w:r w:rsidR="00996437" w:rsidRPr="003B4086">
        <w:t xml:space="preserve"> It was maintained by the sponsor in the pre-PBAC response that Australian clinicians are</w:t>
      </w:r>
      <w:r w:rsidR="006C5264">
        <w:t xml:space="preserve"> the</w:t>
      </w:r>
      <w:r w:rsidR="00996437" w:rsidRPr="003B4086">
        <w:t xml:space="preserve"> best placed to inform the uptake rate of nivolumab.</w:t>
      </w:r>
    </w:p>
    <w:p w14:paraId="5FD94A8F" w14:textId="61CB4601" w:rsidR="00605910" w:rsidRPr="003B4086" w:rsidRDefault="00605910" w:rsidP="00605910">
      <w:pPr>
        <w:pStyle w:val="ListParagraph"/>
        <w:numPr>
          <w:ilvl w:val="1"/>
          <w:numId w:val="1"/>
        </w:numPr>
        <w:spacing w:after="160"/>
      </w:pPr>
      <w:r w:rsidRPr="003B4086">
        <w:t xml:space="preserve">The submission assumed that the PBS listing of adjuvant nivolumab will not result in a change in the use of other PBS medicines as the main comparator is </w:t>
      </w:r>
      <w:r w:rsidR="00906909" w:rsidRPr="003B4086">
        <w:t>‘</w:t>
      </w:r>
      <w:r w:rsidRPr="003B4086">
        <w:t>watch and wait</w:t>
      </w:r>
      <w:r w:rsidR="00906909" w:rsidRPr="003B4086">
        <w:t>’</w:t>
      </w:r>
      <w:r w:rsidRPr="003B4086">
        <w:t xml:space="preserve"> surveillance; and nivolumab as adjuvant therapy is expected to substitute no active treatment. However, it should be noted that the availability of nivolumab has the following impacts:</w:t>
      </w:r>
    </w:p>
    <w:p w14:paraId="2E0E466A" w14:textId="0FDC4E9E" w:rsidR="00605910" w:rsidRPr="003B4086" w:rsidRDefault="00605910" w:rsidP="00605910">
      <w:pPr>
        <w:pStyle w:val="ListBullet"/>
        <w:tabs>
          <w:tab w:val="clear" w:pos="360"/>
          <w:tab w:val="num" w:pos="1080"/>
        </w:tabs>
        <w:ind w:left="1080"/>
      </w:pPr>
      <w:r w:rsidRPr="003B4086">
        <w:t>Given the inferior safety of nivolumab in comparison with no active treatment, patients receiving nivolumab may require medicines for management of treatment-related A</w:t>
      </w:r>
      <w:r w:rsidR="00B07BCB" w:rsidRPr="003B4086">
        <w:t>E</w:t>
      </w:r>
      <w:r w:rsidRPr="003B4086">
        <w:t>s.</w:t>
      </w:r>
    </w:p>
    <w:p w14:paraId="74B01909" w14:textId="5B008E36" w:rsidR="00605910" w:rsidRPr="003B4086" w:rsidRDefault="00605910" w:rsidP="00605910">
      <w:pPr>
        <w:pStyle w:val="ListBullet"/>
        <w:tabs>
          <w:tab w:val="clear" w:pos="360"/>
          <w:tab w:val="num" w:pos="1080"/>
        </w:tabs>
        <w:ind w:left="1080"/>
      </w:pPr>
      <w:r w:rsidRPr="003B4086">
        <w:lastRenderedPageBreak/>
        <w:t xml:space="preserve">Meeting minutes of </w:t>
      </w:r>
      <w:r w:rsidR="00FA29CB">
        <w:t xml:space="preserve">clinician </w:t>
      </w:r>
      <w:r w:rsidRPr="003B4086">
        <w:t>consultation provided as part of the submission suggested that the introduction of adjuvant nivolumab will likely cause 10% increase in the use of neoadjuvant chemotherapy.</w:t>
      </w:r>
    </w:p>
    <w:p w14:paraId="22BD67E1" w14:textId="073CD6E4" w:rsidR="00605910" w:rsidRPr="003B4086" w:rsidRDefault="00605910" w:rsidP="00605910">
      <w:pPr>
        <w:pStyle w:val="ListBullet"/>
        <w:tabs>
          <w:tab w:val="clear" w:pos="360"/>
          <w:tab w:val="num" w:pos="1080"/>
        </w:tabs>
        <w:ind w:left="1080"/>
      </w:pPr>
      <w:r w:rsidRPr="003B4086">
        <w:t>It was envisaged that some patients treated with nivolumab as adjuvant therapy would otherwise receive adjuvant chemotherapy w</w:t>
      </w:r>
      <w:r w:rsidR="00FB3A82" w:rsidRPr="003B4086">
        <w:t>ithout the listing of nivolumab.</w:t>
      </w:r>
    </w:p>
    <w:p w14:paraId="5746F515" w14:textId="77777777" w:rsidR="00605910" w:rsidRPr="003B4086" w:rsidRDefault="00605910" w:rsidP="00605910">
      <w:pPr>
        <w:pStyle w:val="ListBullet"/>
        <w:tabs>
          <w:tab w:val="clear" w:pos="360"/>
          <w:tab w:val="num" w:pos="1080"/>
        </w:tabs>
        <w:spacing w:after="240"/>
        <w:ind w:left="1080"/>
      </w:pPr>
      <w:r w:rsidRPr="003B4086">
        <w:t>It is likely that PD-1/PD-L1 inhibitors (such as pembrolizumab) may be prescribed in the later lines of therapy after recurrence in current clinical practice (before the listing of adjuvant nivolumab), but not in patient treated with nivolumab in the adjuvant setting.</w:t>
      </w:r>
    </w:p>
    <w:p w14:paraId="5835185E" w14:textId="6B9BCE5F" w:rsidR="00605910" w:rsidRDefault="00605910" w:rsidP="00605910">
      <w:pPr>
        <w:pStyle w:val="ListParagraph"/>
        <w:numPr>
          <w:ilvl w:val="1"/>
          <w:numId w:val="1"/>
        </w:numPr>
        <w:spacing w:after="160"/>
      </w:pPr>
      <w:r w:rsidRPr="003B4086">
        <w:t xml:space="preserve">The submission assumed that the only MBS item likely to be affected by the PBS listing of nivolumab is item 13950, which is associated with administration of adjuvant nivolumab therapy. </w:t>
      </w:r>
      <w:r w:rsidR="00C377C0">
        <w:t xml:space="preserve">Eighty percent </w:t>
      </w:r>
      <w:r w:rsidRPr="003B4086">
        <w:t>of the MBS schedule fee ($98.92 = $112.4 x 80%) was applied to all patients who receive intravenous infusion of nivolumab. Given the toxicity profile of nivolumab, patients receiving nivolumab might require additional clinician visits and investigational services (e.g. renal function test, hepatic function test etc) for monitoring of drug toxicities and, thus, incur additional costs to the MBS. The submission did not include these costs.</w:t>
      </w:r>
    </w:p>
    <w:p w14:paraId="7F65D896" w14:textId="73DC99EE" w:rsidR="00C377C0" w:rsidRPr="00C377C0" w:rsidRDefault="00C377C0" w:rsidP="00C377C0">
      <w:pPr>
        <w:pStyle w:val="ListParagraph"/>
        <w:numPr>
          <w:ilvl w:val="1"/>
          <w:numId w:val="1"/>
        </w:numPr>
        <w:spacing w:after="160"/>
      </w:pPr>
      <w:r>
        <w:t xml:space="preserve">At year 6, the estimated number of patients was 476 and the net cost to the PBS/RPBS would be </w:t>
      </w:r>
      <w:r w:rsidR="00320CFC" w:rsidRPr="00320CFC">
        <w:t>$10 million to &lt; $20 million</w:t>
      </w:r>
      <w:r>
        <w:t>.</w:t>
      </w:r>
    </w:p>
    <w:p w14:paraId="07F4C404" w14:textId="271E9445" w:rsidR="00605910" w:rsidRPr="003B4086" w:rsidRDefault="00605910" w:rsidP="00605910">
      <w:pPr>
        <w:pStyle w:val="TableFigureHeading"/>
      </w:pPr>
      <w:r w:rsidRPr="003B4086">
        <w:t xml:space="preserve">Table </w:t>
      </w:r>
      <w:r w:rsidR="00785573">
        <w:fldChar w:fldCharType="begin"/>
      </w:r>
      <w:r w:rsidR="00785573">
        <w:instrText xml:space="preserve"> SEQ Table \* ARABIC </w:instrText>
      </w:r>
      <w:r w:rsidR="00785573">
        <w:fldChar w:fldCharType="separate"/>
      </w:r>
      <w:r w:rsidR="00C6296C" w:rsidRPr="003B4086">
        <w:rPr>
          <w:noProof/>
        </w:rPr>
        <w:t>19</w:t>
      </w:r>
      <w:r w:rsidR="00785573">
        <w:rPr>
          <w:noProof/>
        </w:rPr>
        <w:fldChar w:fldCharType="end"/>
      </w:r>
      <w:r w:rsidRPr="003B4086">
        <w:rPr>
          <w:noProof/>
        </w:rPr>
        <w:t xml:space="preserve">: </w:t>
      </w:r>
      <w:r w:rsidRPr="003B4086">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use and financial implications"/>
      </w:tblPr>
      <w:tblGrid>
        <w:gridCol w:w="2010"/>
        <w:gridCol w:w="1166"/>
        <w:gridCol w:w="1167"/>
        <w:gridCol w:w="1167"/>
        <w:gridCol w:w="1167"/>
        <w:gridCol w:w="1167"/>
        <w:gridCol w:w="1172"/>
      </w:tblGrid>
      <w:tr w:rsidR="00605910" w:rsidRPr="003B4086" w14:paraId="7E529B12" w14:textId="77777777" w:rsidTr="00D83473">
        <w:trPr>
          <w:tblHeader/>
        </w:trPr>
        <w:tc>
          <w:tcPr>
            <w:tcW w:w="1115" w:type="pct"/>
            <w:shd w:val="clear" w:color="auto" w:fill="auto"/>
            <w:vAlign w:val="center"/>
          </w:tcPr>
          <w:p w14:paraId="54107637" w14:textId="77777777" w:rsidR="00605910" w:rsidRPr="003B4086" w:rsidRDefault="00605910" w:rsidP="00D83473">
            <w:pPr>
              <w:pStyle w:val="In-tableHeading"/>
              <w:jc w:val="center"/>
              <w:rPr>
                <w:lang w:val="en-AU"/>
              </w:rPr>
            </w:pPr>
          </w:p>
        </w:tc>
        <w:tc>
          <w:tcPr>
            <w:tcW w:w="647" w:type="pct"/>
            <w:shd w:val="clear" w:color="auto" w:fill="auto"/>
            <w:vAlign w:val="center"/>
          </w:tcPr>
          <w:p w14:paraId="1693EEA1" w14:textId="77777777" w:rsidR="00605910" w:rsidRPr="003B4086" w:rsidRDefault="00605910" w:rsidP="00D83473">
            <w:pPr>
              <w:pStyle w:val="In-tableHeading"/>
              <w:jc w:val="center"/>
              <w:rPr>
                <w:lang w:val="en-AU"/>
              </w:rPr>
            </w:pPr>
            <w:r w:rsidRPr="003B4086">
              <w:rPr>
                <w:lang w:val="en-AU"/>
              </w:rPr>
              <w:t>Year 1</w:t>
            </w:r>
          </w:p>
        </w:tc>
        <w:tc>
          <w:tcPr>
            <w:tcW w:w="647" w:type="pct"/>
            <w:shd w:val="clear" w:color="auto" w:fill="auto"/>
            <w:vAlign w:val="center"/>
          </w:tcPr>
          <w:p w14:paraId="44365760" w14:textId="77777777" w:rsidR="00605910" w:rsidRPr="003B4086" w:rsidRDefault="00605910" w:rsidP="00D83473">
            <w:pPr>
              <w:pStyle w:val="In-tableHeading"/>
              <w:jc w:val="center"/>
              <w:rPr>
                <w:lang w:val="en-AU"/>
              </w:rPr>
            </w:pPr>
            <w:r w:rsidRPr="003B4086">
              <w:rPr>
                <w:lang w:val="en-AU"/>
              </w:rPr>
              <w:t>Year 2</w:t>
            </w:r>
          </w:p>
        </w:tc>
        <w:tc>
          <w:tcPr>
            <w:tcW w:w="647" w:type="pct"/>
            <w:shd w:val="clear" w:color="auto" w:fill="auto"/>
            <w:vAlign w:val="center"/>
          </w:tcPr>
          <w:p w14:paraId="73C2E340" w14:textId="77777777" w:rsidR="00605910" w:rsidRPr="003B4086" w:rsidRDefault="00605910" w:rsidP="00D83473">
            <w:pPr>
              <w:pStyle w:val="In-tableHeading"/>
              <w:jc w:val="center"/>
              <w:rPr>
                <w:lang w:val="en-AU"/>
              </w:rPr>
            </w:pPr>
            <w:r w:rsidRPr="003B4086">
              <w:rPr>
                <w:lang w:val="en-AU"/>
              </w:rPr>
              <w:t>Year 3</w:t>
            </w:r>
          </w:p>
        </w:tc>
        <w:tc>
          <w:tcPr>
            <w:tcW w:w="647" w:type="pct"/>
            <w:shd w:val="clear" w:color="auto" w:fill="auto"/>
            <w:vAlign w:val="center"/>
          </w:tcPr>
          <w:p w14:paraId="1695053D" w14:textId="77777777" w:rsidR="00605910" w:rsidRPr="003B4086" w:rsidRDefault="00605910" w:rsidP="00D83473">
            <w:pPr>
              <w:pStyle w:val="In-tableHeading"/>
              <w:jc w:val="center"/>
              <w:rPr>
                <w:lang w:val="en-AU"/>
              </w:rPr>
            </w:pPr>
            <w:r w:rsidRPr="003B4086">
              <w:rPr>
                <w:lang w:val="en-AU"/>
              </w:rPr>
              <w:t>Year 4</w:t>
            </w:r>
          </w:p>
        </w:tc>
        <w:tc>
          <w:tcPr>
            <w:tcW w:w="647" w:type="pct"/>
            <w:shd w:val="clear" w:color="auto" w:fill="auto"/>
            <w:vAlign w:val="center"/>
          </w:tcPr>
          <w:p w14:paraId="6DF6B9B8" w14:textId="77777777" w:rsidR="00605910" w:rsidRPr="003B4086" w:rsidRDefault="00605910" w:rsidP="00D83473">
            <w:pPr>
              <w:pStyle w:val="In-tableHeading"/>
              <w:jc w:val="center"/>
              <w:rPr>
                <w:lang w:val="en-AU"/>
              </w:rPr>
            </w:pPr>
            <w:r w:rsidRPr="003B4086">
              <w:rPr>
                <w:lang w:val="en-AU"/>
              </w:rPr>
              <w:t>Year 5</w:t>
            </w:r>
          </w:p>
        </w:tc>
        <w:tc>
          <w:tcPr>
            <w:tcW w:w="649" w:type="pct"/>
          </w:tcPr>
          <w:p w14:paraId="2D3FA967" w14:textId="77777777" w:rsidR="00605910" w:rsidRPr="003B4086" w:rsidRDefault="00605910" w:rsidP="00D83473">
            <w:pPr>
              <w:pStyle w:val="In-tableHeading"/>
              <w:jc w:val="center"/>
              <w:rPr>
                <w:lang w:val="en-AU"/>
              </w:rPr>
            </w:pPr>
            <w:r w:rsidRPr="003B4086">
              <w:rPr>
                <w:lang w:val="en-AU"/>
              </w:rPr>
              <w:t>Year 6</w:t>
            </w:r>
          </w:p>
        </w:tc>
      </w:tr>
      <w:tr w:rsidR="00605910" w:rsidRPr="003B4086" w14:paraId="163A34D6" w14:textId="77777777" w:rsidTr="00D83473">
        <w:tc>
          <w:tcPr>
            <w:tcW w:w="5000" w:type="pct"/>
            <w:gridSpan w:val="7"/>
            <w:shd w:val="clear" w:color="auto" w:fill="auto"/>
            <w:vAlign w:val="center"/>
          </w:tcPr>
          <w:p w14:paraId="42140CC2" w14:textId="77777777" w:rsidR="00605910" w:rsidRPr="003B4086" w:rsidRDefault="00605910" w:rsidP="00D83473">
            <w:pPr>
              <w:pStyle w:val="In-tableHeading"/>
              <w:rPr>
                <w:bCs/>
                <w:color w:val="000000"/>
                <w:lang w:val="en-AU"/>
              </w:rPr>
            </w:pPr>
            <w:r w:rsidRPr="003B4086">
              <w:rPr>
                <w:bCs/>
                <w:color w:val="000000"/>
                <w:lang w:val="en-AU"/>
              </w:rPr>
              <w:t>Estimated extent of use</w:t>
            </w:r>
          </w:p>
        </w:tc>
      </w:tr>
      <w:tr w:rsidR="00605910" w:rsidRPr="003B4086" w14:paraId="4A8913CD" w14:textId="77777777" w:rsidTr="00D83473">
        <w:tc>
          <w:tcPr>
            <w:tcW w:w="1115" w:type="pct"/>
            <w:shd w:val="clear" w:color="auto" w:fill="auto"/>
            <w:vAlign w:val="center"/>
          </w:tcPr>
          <w:p w14:paraId="5209BEB9" w14:textId="77777777" w:rsidR="00605910" w:rsidRPr="003B4086" w:rsidRDefault="00605910" w:rsidP="00D83473">
            <w:pPr>
              <w:pStyle w:val="TableText0"/>
              <w:rPr>
                <w:rFonts w:ascii="Times" w:hAnsi="Times"/>
              </w:rPr>
            </w:pPr>
            <w:r w:rsidRPr="003B4086">
              <w:t>Number of patients treated</w:t>
            </w:r>
          </w:p>
        </w:tc>
        <w:tc>
          <w:tcPr>
            <w:tcW w:w="647" w:type="pct"/>
            <w:shd w:val="clear" w:color="auto" w:fill="auto"/>
            <w:vAlign w:val="center"/>
          </w:tcPr>
          <w:p w14:paraId="5AE695E6" w14:textId="0E22FE00" w:rsidR="00605910" w:rsidRPr="00320CFC" w:rsidRDefault="00E020DE" w:rsidP="00D83473">
            <w:pPr>
              <w:pStyle w:val="TableText0"/>
              <w:jc w:val="center"/>
              <w:rPr>
                <w:bCs w:val="0"/>
                <w:color w:val="000000"/>
                <w:highlight w:val="lightGray"/>
                <w:vertAlign w:val="superscript"/>
              </w:rPr>
            </w:pPr>
            <w:r w:rsidRPr="00E020DE">
              <w:rPr>
                <w:rFonts w:eastAsia="Times New Roman" w:cs="Arial"/>
                <w:bCs w:val="0"/>
                <w:color w:val="000000"/>
                <w:spacing w:val="46"/>
                <w:szCs w:val="20"/>
                <w:shd w:val="solid" w:color="000000" w:fill="000000"/>
                <w:fitText w:val="310" w:id="-1435269873"/>
                <w14:textFill>
                  <w14:solidFill>
                    <w14:srgbClr w14:val="000000">
                      <w14:alpha w14:val="100000"/>
                    </w14:srgbClr>
                  </w14:solidFill>
                </w14:textFill>
              </w:rPr>
              <w:t>|||</w:t>
            </w:r>
            <w:r w:rsidRPr="00E020DE">
              <w:rPr>
                <w:rFonts w:eastAsia="Times New Roman" w:cs="Arial"/>
                <w:bCs w:val="0"/>
                <w:color w:val="000000"/>
                <w:spacing w:val="2"/>
                <w:szCs w:val="20"/>
                <w:shd w:val="solid" w:color="000000" w:fill="000000"/>
                <w:fitText w:val="310" w:id="-1435269873"/>
                <w14:textFill>
                  <w14:solidFill>
                    <w14:srgbClr w14:val="000000">
                      <w14:alpha w14:val="100000"/>
                    </w14:srgbClr>
                  </w14:solidFill>
                </w14:textFill>
              </w:rPr>
              <w:t>|</w:t>
            </w:r>
            <w:r w:rsidR="00320CFC" w:rsidRPr="00320CFC">
              <w:rPr>
                <w:rFonts w:eastAsia="Times New Roman" w:cs="Arial"/>
                <w:bCs w:val="0"/>
                <w:szCs w:val="20"/>
                <w:vertAlign w:val="superscript"/>
              </w:rPr>
              <w:t>1</w:t>
            </w:r>
          </w:p>
        </w:tc>
        <w:tc>
          <w:tcPr>
            <w:tcW w:w="647" w:type="pct"/>
            <w:shd w:val="clear" w:color="auto" w:fill="auto"/>
            <w:vAlign w:val="center"/>
          </w:tcPr>
          <w:p w14:paraId="5B117876" w14:textId="742E43EF" w:rsidR="00605910" w:rsidRPr="00320CFC" w:rsidRDefault="00E020DE" w:rsidP="00D83473">
            <w:pPr>
              <w:pStyle w:val="TableText0"/>
              <w:jc w:val="center"/>
              <w:rPr>
                <w:bCs w:val="0"/>
                <w:color w:val="000000"/>
                <w:highlight w:val="lightGray"/>
              </w:rPr>
            </w:pPr>
            <w:r w:rsidRPr="00E020DE">
              <w:rPr>
                <w:rFonts w:eastAsia="Times New Roman" w:cs="Arial"/>
                <w:bCs w:val="0"/>
                <w:color w:val="000000"/>
                <w:spacing w:val="46"/>
                <w:szCs w:val="20"/>
                <w:shd w:val="solid" w:color="000000" w:fill="000000"/>
                <w:fitText w:val="310" w:id="-1435269872"/>
                <w14:textFill>
                  <w14:solidFill>
                    <w14:srgbClr w14:val="000000">
                      <w14:alpha w14:val="100000"/>
                    </w14:srgbClr>
                  </w14:solidFill>
                </w14:textFill>
              </w:rPr>
              <w:t>|||</w:t>
            </w:r>
            <w:r w:rsidRPr="00E020DE">
              <w:rPr>
                <w:rFonts w:eastAsia="Times New Roman" w:cs="Arial"/>
                <w:bCs w:val="0"/>
                <w:color w:val="000000"/>
                <w:spacing w:val="2"/>
                <w:szCs w:val="20"/>
                <w:shd w:val="solid" w:color="000000" w:fill="000000"/>
                <w:fitText w:val="310" w:id="-1435269872"/>
                <w14:textFill>
                  <w14:solidFill>
                    <w14:srgbClr w14:val="000000">
                      <w14:alpha w14:val="100000"/>
                    </w14:srgbClr>
                  </w14:solidFill>
                </w14:textFill>
              </w:rPr>
              <w:t>|</w:t>
            </w:r>
            <w:r w:rsidR="00320CFC" w:rsidRPr="00320CFC">
              <w:rPr>
                <w:rFonts w:eastAsia="Times New Roman" w:cs="Arial"/>
                <w:bCs w:val="0"/>
                <w:szCs w:val="20"/>
                <w:vertAlign w:val="superscript"/>
              </w:rPr>
              <w:t>1</w:t>
            </w:r>
          </w:p>
        </w:tc>
        <w:tc>
          <w:tcPr>
            <w:tcW w:w="647" w:type="pct"/>
            <w:shd w:val="clear" w:color="auto" w:fill="auto"/>
            <w:vAlign w:val="center"/>
          </w:tcPr>
          <w:p w14:paraId="484733E3" w14:textId="21925EC5" w:rsidR="00605910" w:rsidRPr="00320CFC" w:rsidRDefault="00E020DE" w:rsidP="00D83473">
            <w:pPr>
              <w:pStyle w:val="TableText0"/>
              <w:jc w:val="center"/>
              <w:rPr>
                <w:bCs w:val="0"/>
                <w:color w:val="000000"/>
                <w:highlight w:val="lightGray"/>
              </w:rPr>
            </w:pPr>
            <w:r w:rsidRPr="00E020DE">
              <w:rPr>
                <w:rFonts w:eastAsia="Times New Roman" w:cs="Arial"/>
                <w:bCs w:val="0"/>
                <w:color w:val="000000"/>
                <w:spacing w:val="46"/>
                <w:szCs w:val="20"/>
                <w:shd w:val="solid" w:color="000000" w:fill="000000"/>
                <w:fitText w:val="310" w:id="-1435269888"/>
                <w14:textFill>
                  <w14:solidFill>
                    <w14:srgbClr w14:val="000000">
                      <w14:alpha w14:val="100000"/>
                    </w14:srgbClr>
                  </w14:solidFill>
                </w14:textFill>
              </w:rPr>
              <w:t>|||</w:t>
            </w:r>
            <w:r w:rsidRPr="00E020DE">
              <w:rPr>
                <w:rFonts w:eastAsia="Times New Roman" w:cs="Arial"/>
                <w:bCs w:val="0"/>
                <w:color w:val="000000"/>
                <w:spacing w:val="2"/>
                <w:szCs w:val="20"/>
                <w:shd w:val="solid" w:color="000000" w:fill="000000"/>
                <w:fitText w:val="310" w:id="-1435269888"/>
                <w14:textFill>
                  <w14:solidFill>
                    <w14:srgbClr w14:val="000000">
                      <w14:alpha w14:val="100000"/>
                    </w14:srgbClr>
                  </w14:solidFill>
                </w14:textFill>
              </w:rPr>
              <w:t>|</w:t>
            </w:r>
            <w:r w:rsidR="00320CFC" w:rsidRPr="00320CFC">
              <w:rPr>
                <w:rFonts w:eastAsia="Times New Roman" w:cs="Arial"/>
                <w:bCs w:val="0"/>
                <w:szCs w:val="20"/>
                <w:vertAlign w:val="superscript"/>
              </w:rPr>
              <w:t>1</w:t>
            </w:r>
          </w:p>
        </w:tc>
        <w:tc>
          <w:tcPr>
            <w:tcW w:w="647" w:type="pct"/>
            <w:shd w:val="clear" w:color="auto" w:fill="auto"/>
            <w:vAlign w:val="center"/>
          </w:tcPr>
          <w:p w14:paraId="6E9E7051" w14:textId="7F12FD68" w:rsidR="00605910" w:rsidRPr="00320CFC" w:rsidRDefault="00E020DE" w:rsidP="00D83473">
            <w:pPr>
              <w:pStyle w:val="TableText0"/>
              <w:jc w:val="center"/>
              <w:rPr>
                <w:bCs w:val="0"/>
                <w:color w:val="000000"/>
                <w:highlight w:val="lightGray"/>
              </w:rPr>
            </w:pPr>
            <w:r w:rsidRPr="00E020DE">
              <w:rPr>
                <w:rFonts w:eastAsia="Times New Roman" w:cs="Arial"/>
                <w:bCs w:val="0"/>
                <w:color w:val="000000"/>
                <w:spacing w:val="46"/>
                <w:szCs w:val="20"/>
                <w:shd w:val="solid" w:color="000000" w:fill="000000"/>
                <w:fitText w:val="310" w:id="-1435269887"/>
                <w14:textFill>
                  <w14:solidFill>
                    <w14:srgbClr w14:val="000000">
                      <w14:alpha w14:val="100000"/>
                    </w14:srgbClr>
                  </w14:solidFill>
                </w14:textFill>
              </w:rPr>
              <w:t>|||</w:t>
            </w:r>
            <w:r w:rsidRPr="00E020DE">
              <w:rPr>
                <w:rFonts w:eastAsia="Times New Roman" w:cs="Arial"/>
                <w:bCs w:val="0"/>
                <w:color w:val="000000"/>
                <w:spacing w:val="2"/>
                <w:szCs w:val="20"/>
                <w:shd w:val="solid" w:color="000000" w:fill="000000"/>
                <w:fitText w:val="310" w:id="-1435269887"/>
                <w14:textFill>
                  <w14:solidFill>
                    <w14:srgbClr w14:val="000000">
                      <w14:alpha w14:val="100000"/>
                    </w14:srgbClr>
                  </w14:solidFill>
                </w14:textFill>
              </w:rPr>
              <w:t>|</w:t>
            </w:r>
            <w:r w:rsidR="00320CFC" w:rsidRPr="00320CFC">
              <w:rPr>
                <w:rFonts w:eastAsia="Times New Roman" w:cs="Arial"/>
                <w:bCs w:val="0"/>
                <w:szCs w:val="20"/>
                <w:vertAlign w:val="superscript"/>
              </w:rPr>
              <w:t>1</w:t>
            </w:r>
          </w:p>
        </w:tc>
        <w:tc>
          <w:tcPr>
            <w:tcW w:w="647" w:type="pct"/>
            <w:shd w:val="clear" w:color="auto" w:fill="auto"/>
            <w:vAlign w:val="center"/>
          </w:tcPr>
          <w:p w14:paraId="4F47BFFF" w14:textId="1776943F" w:rsidR="00605910" w:rsidRPr="00320CFC" w:rsidRDefault="00E020DE" w:rsidP="00D83473">
            <w:pPr>
              <w:pStyle w:val="TableText0"/>
              <w:jc w:val="center"/>
              <w:rPr>
                <w:bCs w:val="0"/>
                <w:color w:val="000000"/>
                <w:highlight w:val="lightGray"/>
              </w:rPr>
            </w:pPr>
            <w:r w:rsidRPr="00E020DE">
              <w:rPr>
                <w:rFonts w:eastAsia="Times New Roman" w:cs="Arial"/>
                <w:bCs w:val="0"/>
                <w:color w:val="000000"/>
                <w:spacing w:val="46"/>
                <w:szCs w:val="20"/>
                <w:shd w:val="solid" w:color="000000" w:fill="000000"/>
                <w:fitText w:val="310" w:id="-1435269886"/>
                <w14:textFill>
                  <w14:solidFill>
                    <w14:srgbClr w14:val="000000">
                      <w14:alpha w14:val="100000"/>
                    </w14:srgbClr>
                  </w14:solidFill>
                </w14:textFill>
              </w:rPr>
              <w:t>|||</w:t>
            </w:r>
            <w:r w:rsidRPr="00E020DE">
              <w:rPr>
                <w:rFonts w:eastAsia="Times New Roman" w:cs="Arial"/>
                <w:bCs w:val="0"/>
                <w:color w:val="000000"/>
                <w:spacing w:val="2"/>
                <w:szCs w:val="20"/>
                <w:shd w:val="solid" w:color="000000" w:fill="000000"/>
                <w:fitText w:val="310" w:id="-1435269886"/>
                <w14:textFill>
                  <w14:solidFill>
                    <w14:srgbClr w14:val="000000">
                      <w14:alpha w14:val="100000"/>
                    </w14:srgbClr>
                  </w14:solidFill>
                </w14:textFill>
              </w:rPr>
              <w:t>|</w:t>
            </w:r>
            <w:r w:rsidR="00320CFC" w:rsidRPr="00320CFC">
              <w:rPr>
                <w:rFonts w:eastAsia="Times New Roman" w:cs="Arial"/>
                <w:bCs w:val="0"/>
                <w:szCs w:val="20"/>
                <w:vertAlign w:val="superscript"/>
              </w:rPr>
              <w:t>1</w:t>
            </w:r>
          </w:p>
        </w:tc>
        <w:tc>
          <w:tcPr>
            <w:tcW w:w="649" w:type="pct"/>
            <w:vAlign w:val="center"/>
          </w:tcPr>
          <w:p w14:paraId="0E9D7B1F" w14:textId="5878672E" w:rsidR="00605910" w:rsidRPr="00320CFC" w:rsidRDefault="00E020DE" w:rsidP="00D83473">
            <w:pPr>
              <w:pStyle w:val="TableText0"/>
              <w:jc w:val="center"/>
              <w:rPr>
                <w:bCs w:val="0"/>
                <w:color w:val="000000"/>
                <w:highlight w:val="lightGray"/>
              </w:rPr>
            </w:pPr>
            <w:r w:rsidRPr="00E020DE">
              <w:rPr>
                <w:rFonts w:eastAsia="Times New Roman" w:cs="Arial"/>
                <w:bCs w:val="0"/>
                <w:color w:val="000000"/>
                <w:spacing w:val="214"/>
                <w:szCs w:val="20"/>
                <w:shd w:val="solid" w:color="000000" w:fill="000000"/>
                <w:fitText w:val="300" w:id="-1435269885"/>
                <w14:textFill>
                  <w14:solidFill>
                    <w14:srgbClr w14:val="000000">
                      <w14:alpha w14:val="100000"/>
                    </w14:srgbClr>
                  </w14:solidFill>
                </w14:textFill>
              </w:rPr>
              <w:t>|</w:t>
            </w:r>
            <w:r w:rsidRPr="00E020DE">
              <w:rPr>
                <w:rFonts w:eastAsia="Times New Roman" w:cs="Arial"/>
                <w:bCs w:val="0"/>
                <w:color w:val="000000"/>
                <w:spacing w:val="1"/>
                <w:szCs w:val="20"/>
                <w:shd w:val="solid" w:color="000000" w:fill="000000"/>
                <w:fitText w:val="300" w:id="-1435269885"/>
                <w14:textFill>
                  <w14:solidFill>
                    <w14:srgbClr w14:val="000000">
                      <w14:alpha w14:val="100000"/>
                    </w14:srgbClr>
                  </w14:solidFill>
                </w14:textFill>
              </w:rPr>
              <w:t>|</w:t>
            </w:r>
            <w:r w:rsidR="00320CFC" w:rsidRPr="00320CFC">
              <w:rPr>
                <w:rFonts w:eastAsia="Times New Roman" w:cs="Arial"/>
                <w:bCs w:val="0"/>
                <w:szCs w:val="20"/>
                <w:vertAlign w:val="superscript"/>
              </w:rPr>
              <w:t>1</w:t>
            </w:r>
          </w:p>
        </w:tc>
      </w:tr>
      <w:tr w:rsidR="00605910" w:rsidRPr="003B4086" w14:paraId="52E19FBD" w14:textId="77777777" w:rsidTr="00D83473">
        <w:tc>
          <w:tcPr>
            <w:tcW w:w="1115" w:type="pct"/>
            <w:shd w:val="clear" w:color="auto" w:fill="auto"/>
            <w:vAlign w:val="center"/>
          </w:tcPr>
          <w:p w14:paraId="07C97A84" w14:textId="77777777" w:rsidR="00605910" w:rsidRPr="003B4086" w:rsidRDefault="00605910" w:rsidP="00D83473">
            <w:pPr>
              <w:pStyle w:val="TableText0"/>
              <w:rPr>
                <w:rFonts w:ascii="Times" w:hAnsi="Times"/>
              </w:rPr>
            </w:pPr>
            <w:r w:rsidRPr="003B4086">
              <w:t>Number of scripts dispensed</w:t>
            </w:r>
            <w:r w:rsidRPr="003B4086">
              <w:rPr>
                <w:vertAlign w:val="superscript"/>
              </w:rPr>
              <w:t>a</w:t>
            </w:r>
          </w:p>
        </w:tc>
        <w:tc>
          <w:tcPr>
            <w:tcW w:w="647" w:type="pct"/>
            <w:shd w:val="clear" w:color="auto" w:fill="auto"/>
            <w:vAlign w:val="center"/>
          </w:tcPr>
          <w:p w14:paraId="576DC1AA" w14:textId="17CE5D9A" w:rsidR="00605910" w:rsidRPr="00320CFC" w:rsidRDefault="00E020DE" w:rsidP="00D83473">
            <w:pPr>
              <w:pStyle w:val="TableText0"/>
              <w:jc w:val="center"/>
              <w:rPr>
                <w:bCs w:val="0"/>
                <w:color w:val="000000"/>
                <w:highlight w:val="lightGray"/>
              </w:rPr>
            </w:pPr>
            <w:r w:rsidRPr="00626BA0">
              <w:rPr>
                <w:bCs w:val="0"/>
                <w:color w:val="000000"/>
                <w:spacing w:val="42"/>
                <w:shd w:val="solid" w:color="000000" w:fill="000000"/>
                <w:fitText w:val="470" w:id="-1435269884"/>
                <w14:textFill>
                  <w14:solidFill>
                    <w14:srgbClr w14:val="000000">
                      <w14:alpha w14:val="100000"/>
                    </w14:srgbClr>
                  </w14:solidFill>
                </w14:textFill>
              </w:rPr>
              <w:t>|||||</w:t>
            </w:r>
            <w:r w:rsidRPr="00626BA0">
              <w:rPr>
                <w:bCs w:val="0"/>
                <w:color w:val="000000"/>
                <w:spacing w:val="5"/>
                <w:shd w:val="solid" w:color="000000" w:fill="000000"/>
                <w:fitText w:val="470" w:id="-1435269884"/>
                <w14:textFill>
                  <w14:solidFill>
                    <w14:srgbClr w14:val="000000">
                      <w14:alpha w14:val="100000"/>
                    </w14:srgbClr>
                  </w14:solidFill>
                </w14:textFill>
              </w:rPr>
              <w:t>|</w:t>
            </w:r>
            <w:r w:rsidR="00320CFC" w:rsidRPr="00320CFC">
              <w:rPr>
                <w:bCs w:val="0"/>
                <w:color w:val="000000"/>
                <w:vertAlign w:val="superscript"/>
              </w:rPr>
              <w:t>2</w:t>
            </w:r>
            <w:r w:rsidRPr="00626BA0">
              <w:rPr>
                <w:rFonts w:hint="eastAsia"/>
                <w:bCs w:val="0"/>
                <w:color w:val="000000"/>
                <w:shd w:val="solid" w:color="000000" w:fill="000000"/>
                <w:fitText w:val="120" w:id="-1435269883"/>
                <w:vertAlign w:val="superscript"/>
                <w14:textFill>
                  <w14:solidFill>
                    <w14:srgbClr w14:val="000000">
                      <w14:alpha w14:val="100000"/>
                    </w14:srgbClr>
                  </w14:solidFill>
                </w14:textFill>
              </w:rPr>
              <w:t xml:space="preserve">　</w:t>
            </w:r>
            <w:r w:rsidRPr="00626BA0">
              <w:rPr>
                <w:bCs w:val="0"/>
                <w:color w:val="000000"/>
                <w:spacing w:val="51"/>
                <w:shd w:val="solid" w:color="000000" w:fill="000000"/>
                <w:fitText w:val="230" w:id="-1435269882"/>
                <w14:textFill>
                  <w14:solidFill>
                    <w14:srgbClr w14:val="000000">
                      <w14:alpha w14:val="100000"/>
                    </w14:srgbClr>
                  </w14:solidFill>
                </w14:textFill>
              </w:rPr>
              <w:t>||</w:t>
            </w:r>
            <w:r w:rsidRPr="00626BA0">
              <w:rPr>
                <w:bCs w:val="0"/>
                <w:color w:val="000000"/>
                <w:spacing w:val="1"/>
                <w:shd w:val="solid" w:color="000000" w:fill="000000"/>
                <w:fitText w:val="230" w:id="-1435269882"/>
                <w14:textFill>
                  <w14:solidFill>
                    <w14:srgbClr w14:val="000000">
                      <w14:alpha w14:val="100000"/>
                    </w14:srgbClr>
                  </w14:solidFill>
                </w14:textFill>
              </w:rPr>
              <w:t>|</w:t>
            </w:r>
          </w:p>
        </w:tc>
        <w:tc>
          <w:tcPr>
            <w:tcW w:w="647" w:type="pct"/>
            <w:shd w:val="clear" w:color="auto" w:fill="auto"/>
            <w:vAlign w:val="center"/>
          </w:tcPr>
          <w:p w14:paraId="28AB7AF0" w14:textId="216D75D8" w:rsidR="00605910" w:rsidRPr="00320CFC" w:rsidRDefault="00E020DE" w:rsidP="00D83473">
            <w:pPr>
              <w:pStyle w:val="TableText0"/>
              <w:jc w:val="center"/>
              <w:rPr>
                <w:bCs w:val="0"/>
                <w:color w:val="000000"/>
                <w:highlight w:val="lightGray"/>
              </w:rPr>
            </w:pPr>
            <w:r w:rsidRPr="00626BA0">
              <w:rPr>
                <w:bCs w:val="0"/>
                <w:color w:val="000000"/>
                <w:spacing w:val="42"/>
                <w:shd w:val="solid" w:color="000000" w:fill="000000"/>
                <w:fitText w:val="470" w:id="-1435269881"/>
                <w14:textFill>
                  <w14:solidFill>
                    <w14:srgbClr w14:val="000000">
                      <w14:alpha w14:val="100000"/>
                    </w14:srgbClr>
                  </w14:solidFill>
                </w14:textFill>
              </w:rPr>
              <w:t>|||||</w:t>
            </w:r>
            <w:r w:rsidRPr="00626BA0">
              <w:rPr>
                <w:bCs w:val="0"/>
                <w:color w:val="000000"/>
                <w:spacing w:val="5"/>
                <w:shd w:val="solid" w:color="000000" w:fill="000000"/>
                <w:fitText w:val="470" w:id="-1435269881"/>
                <w14:textFill>
                  <w14:solidFill>
                    <w14:srgbClr w14:val="000000">
                      <w14:alpha w14:val="100000"/>
                    </w14:srgbClr>
                  </w14:solidFill>
                </w14:textFill>
              </w:rPr>
              <w:t>|</w:t>
            </w:r>
            <w:r w:rsidR="00320CFC" w:rsidRPr="00320CFC">
              <w:rPr>
                <w:bCs w:val="0"/>
                <w:color w:val="000000"/>
                <w:vertAlign w:val="superscript"/>
              </w:rPr>
              <w:t>2</w:t>
            </w:r>
          </w:p>
        </w:tc>
        <w:tc>
          <w:tcPr>
            <w:tcW w:w="647" w:type="pct"/>
            <w:shd w:val="clear" w:color="auto" w:fill="auto"/>
            <w:vAlign w:val="center"/>
          </w:tcPr>
          <w:p w14:paraId="55981D68" w14:textId="6E38C022" w:rsidR="00605910" w:rsidRPr="00320CFC" w:rsidRDefault="00E020DE" w:rsidP="00D83473">
            <w:pPr>
              <w:pStyle w:val="TableText0"/>
              <w:jc w:val="center"/>
              <w:rPr>
                <w:bCs w:val="0"/>
                <w:color w:val="000000"/>
                <w:highlight w:val="lightGray"/>
              </w:rPr>
            </w:pPr>
            <w:r w:rsidRPr="00626BA0">
              <w:rPr>
                <w:bCs w:val="0"/>
                <w:color w:val="000000"/>
                <w:spacing w:val="42"/>
                <w:shd w:val="solid" w:color="000000" w:fill="000000"/>
                <w:fitText w:val="470" w:id="-1435269878"/>
                <w14:textFill>
                  <w14:solidFill>
                    <w14:srgbClr w14:val="000000">
                      <w14:alpha w14:val="100000"/>
                    </w14:srgbClr>
                  </w14:solidFill>
                </w14:textFill>
              </w:rPr>
              <w:t>|||||</w:t>
            </w:r>
            <w:r w:rsidRPr="00626BA0">
              <w:rPr>
                <w:bCs w:val="0"/>
                <w:color w:val="000000"/>
                <w:spacing w:val="5"/>
                <w:shd w:val="solid" w:color="000000" w:fill="000000"/>
                <w:fitText w:val="470" w:id="-1435269878"/>
                <w14:textFill>
                  <w14:solidFill>
                    <w14:srgbClr w14:val="000000">
                      <w14:alpha w14:val="100000"/>
                    </w14:srgbClr>
                  </w14:solidFill>
                </w14:textFill>
              </w:rPr>
              <w:t>|</w:t>
            </w:r>
            <w:r w:rsidR="00320CFC" w:rsidRPr="00320CFC">
              <w:rPr>
                <w:bCs w:val="0"/>
                <w:color w:val="000000"/>
                <w:vertAlign w:val="superscript"/>
              </w:rPr>
              <w:t>2</w:t>
            </w:r>
          </w:p>
        </w:tc>
        <w:tc>
          <w:tcPr>
            <w:tcW w:w="647" w:type="pct"/>
            <w:shd w:val="clear" w:color="auto" w:fill="auto"/>
            <w:vAlign w:val="center"/>
          </w:tcPr>
          <w:p w14:paraId="47ACFEEA" w14:textId="43055563" w:rsidR="00605910" w:rsidRPr="00320CFC" w:rsidRDefault="00E020DE" w:rsidP="00D83473">
            <w:pPr>
              <w:pStyle w:val="TableText0"/>
              <w:jc w:val="center"/>
              <w:rPr>
                <w:bCs w:val="0"/>
                <w:color w:val="000000"/>
                <w:highlight w:val="lightGray"/>
              </w:rPr>
            </w:pPr>
            <w:r w:rsidRPr="00626BA0">
              <w:rPr>
                <w:bCs w:val="0"/>
                <w:color w:val="000000"/>
                <w:spacing w:val="42"/>
                <w:shd w:val="solid" w:color="000000" w:fill="000000"/>
                <w:fitText w:val="470" w:id="-1435269875"/>
                <w14:textFill>
                  <w14:solidFill>
                    <w14:srgbClr w14:val="000000">
                      <w14:alpha w14:val="100000"/>
                    </w14:srgbClr>
                  </w14:solidFill>
                </w14:textFill>
              </w:rPr>
              <w:t>|||||</w:t>
            </w:r>
            <w:r w:rsidRPr="00626BA0">
              <w:rPr>
                <w:bCs w:val="0"/>
                <w:color w:val="000000"/>
                <w:spacing w:val="5"/>
                <w:shd w:val="solid" w:color="000000" w:fill="000000"/>
                <w:fitText w:val="470" w:id="-1435269875"/>
                <w14:textFill>
                  <w14:solidFill>
                    <w14:srgbClr w14:val="000000">
                      <w14:alpha w14:val="100000"/>
                    </w14:srgbClr>
                  </w14:solidFill>
                </w14:textFill>
              </w:rPr>
              <w:t>|</w:t>
            </w:r>
            <w:r w:rsidR="00320CFC" w:rsidRPr="00320CFC">
              <w:rPr>
                <w:bCs w:val="0"/>
                <w:color w:val="000000"/>
                <w:vertAlign w:val="superscript"/>
              </w:rPr>
              <w:t>2</w:t>
            </w:r>
          </w:p>
        </w:tc>
        <w:tc>
          <w:tcPr>
            <w:tcW w:w="647" w:type="pct"/>
            <w:shd w:val="clear" w:color="auto" w:fill="auto"/>
            <w:vAlign w:val="center"/>
          </w:tcPr>
          <w:p w14:paraId="52BC3292" w14:textId="0FED60E4" w:rsidR="00605910" w:rsidRPr="00320CFC" w:rsidRDefault="00E020DE" w:rsidP="00D83473">
            <w:pPr>
              <w:pStyle w:val="TableText0"/>
              <w:jc w:val="center"/>
              <w:rPr>
                <w:bCs w:val="0"/>
                <w:color w:val="000000"/>
                <w:highlight w:val="lightGray"/>
              </w:rPr>
            </w:pPr>
            <w:r w:rsidRPr="00626BA0">
              <w:rPr>
                <w:bCs w:val="0"/>
                <w:color w:val="000000"/>
                <w:spacing w:val="42"/>
                <w:shd w:val="solid" w:color="000000" w:fill="000000"/>
                <w:fitText w:val="470" w:id="-1435269872"/>
                <w14:textFill>
                  <w14:solidFill>
                    <w14:srgbClr w14:val="000000">
                      <w14:alpha w14:val="100000"/>
                    </w14:srgbClr>
                  </w14:solidFill>
                </w14:textFill>
              </w:rPr>
              <w:t>|||||</w:t>
            </w:r>
            <w:r w:rsidRPr="00626BA0">
              <w:rPr>
                <w:bCs w:val="0"/>
                <w:color w:val="000000"/>
                <w:spacing w:val="5"/>
                <w:shd w:val="solid" w:color="000000" w:fill="000000"/>
                <w:fitText w:val="470" w:id="-1435269872"/>
                <w14:textFill>
                  <w14:solidFill>
                    <w14:srgbClr w14:val="000000">
                      <w14:alpha w14:val="100000"/>
                    </w14:srgbClr>
                  </w14:solidFill>
                </w14:textFill>
              </w:rPr>
              <w:t>|</w:t>
            </w:r>
            <w:r w:rsidR="00320CFC" w:rsidRPr="00320CFC">
              <w:rPr>
                <w:bCs w:val="0"/>
                <w:color w:val="000000"/>
                <w:vertAlign w:val="superscript"/>
              </w:rPr>
              <w:t>2</w:t>
            </w:r>
          </w:p>
        </w:tc>
        <w:tc>
          <w:tcPr>
            <w:tcW w:w="649" w:type="pct"/>
            <w:vAlign w:val="center"/>
          </w:tcPr>
          <w:p w14:paraId="18ECE388" w14:textId="22768AC2" w:rsidR="00605910" w:rsidRPr="00320CFC" w:rsidRDefault="00E020DE" w:rsidP="00D83473">
            <w:pPr>
              <w:pStyle w:val="TableText0"/>
              <w:jc w:val="center"/>
              <w:rPr>
                <w:bCs w:val="0"/>
                <w:color w:val="000000"/>
                <w:highlight w:val="lightGray"/>
              </w:rPr>
            </w:pPr>
            <w:r w:rsidRPr="00E020DE">
              <w:rPr>
                <w:bCs w:val="0"/>
                <w:color w:val="000000"/>
                <w:spacing w:val="40"/>
                <w:shd w:val="solid" w:color="000000" w:fill="000000"/>
                <w:fitText w:val="460" w:id="-1435269886"/>
                <w14:textFill>
                  <w14:solidFill>
                    <w14:srgbClr w14:val="000000">
                      <w14:alpha w14:val="100000"/>
                    </w14:srgbClr>
                  </w14:solidFill>
                </w14:textFill>
              </w:rPr>
              <w:t>|||||</w:t>
            </w:r>
            <w:r w:rsidRPr="00E020DE">
              <w:rPr>
                <w:bCs w:val="0"/>
                <w:color w:val="000000"/>
                <w:spacing w:val="5"/>
                <w:shd w:val="solid" w:color="000000" w:fill="000000"/>
                <w:fitText w:val="460" w:id="-1435269886"/>
                <w14:textFill>
                  <w14:solidFill>
                    <w14:srgbClr w14:val="000000">
                      <w14:alpha w14:val="100000"/>
                    </w14:srgbClr>
                  </w14:solidFill>
                </w14:textFill>
              </w:rPr>
              <w:t>|</w:t>
            </w:r>
            <w:r w:rsidR="00320CFC" w:rsidRPr="00320CFC">
              <w:rPr>
                <w:bCs w:val="0"/>
                <w:color w:val="000000"/>
                <w:vertAlign w:val="superscript"/>
              </w:rPr>
              <w:t>2</w:t>
            </w:r>
          </w:p>
        </w:tc>
      </w:tr>
      <w:tr w:rsidR="00605910" w:rsidRPr="003B4086" w14:paraId="5BB2D858" w14:textId="77777777" w:rsidTr="00D83473">
        <w:tc>
          <w:tcPr>
            <w:tcW w:w="5000" w:type="pct"/>
            <w:gridSpan w:val="7"/>
            <w:shd w:val="clear" w:color="auto" w:fill="auto"/>
            <w:vAlign w:val="center"/>
          </w:tcPr>
          <w:p w14:paraId="34B9EC81" w14:textId="2AD6B027" w:rsidR="00605910" w:rsidRPr="003B4086" w:rsidRDefault="00605910" w:rsidP="0088322E">
            <w:pPr>
              <w:pStyle w:val="In-tableHeading"/>
              <w:rPr>
                <w:lang w:val="en-AU"/>
              </w:rPr>
            </w:pPr>
            <w:r w:rsidRPr="003B4086">
              <w:rPr>
                <w:lang w:val="en-AU"/>
              </w:rPr>
              <w:t xml:space="preserve">Estimated financial implications of </w:t>
            </w:r>
            <w:r w:rsidR="0088322E" w:rsidRPr="003B4086">
              <w:rPr>
                <w:lang w:val="en-AU"/>
              </w:rPr>
              <w:t>nivolumab</w:t>
            </w:r>
          </w:p>
        </w:tc>
      </w:tr>
      <w:tr w:rsidR="00605910" w:rsidRPr="003B4086" w14:paraId="23445329" w14:textId="77777777" w:rsidTr="00D83473">
        <w:tc>
          <w:tcPr>
            <w:tcW w:w="1115" w:type="pct"/>
            <w:shd w:val="clear" w:color="auto" w:fill="auto"/>
            <w:vAlign w:val="center"/>
          </w:tcPr>
          <w:p w14:paraId="77228CBF" w14:textId="03FE7B23" w:rsidR="00605910" w:rsidRPr="003B4086" w:rsidRDefault="00605910" w:rsidP="00D83473">
            <w:pPr>
              <w:pStyle w:val="TableText0"/>
              <w:rPr>
                <w:sz w:val="19"/>
                <w:szCs w:val="19"/>
              </w:rPr>
            </w:pPr>
            <w:r w:rsidRPr="003B4086">
              <w:rPr>
                <w:sz w:val="19"/>
                <w:szCs w:val="19"/>
              </w:rPr>
              <w:t>Cost to PBS/RPBS less copayments</w:t>
            </w:r>
            <w:r w:rsidR="00320CFC">
              <w:rPr>
                <w:sz w:val="19"/>
                <w:szCs w:val="19"/>
              </w:rPr>
              <w:t xml:space="preserve"> ($)</w:t>
            </w:r>
          </w:p>
        </w:tc>
        <w:tc>
          <w:tcPr>
            <w:tcW w:w="647" w:type="pct"/>
            <w:shd w:val="clear" w:color="auto" w:fill="auto"/>
            <w:vAlign w:val="center"/>
          </w:tcPr>
          <w:p w14:paraId="037E60FE" w14:textId="7EAA024F" w:rsidR="00605910" w:rsidRPr="00320CFC" w:rsidRDefault="00E020DE" w:rsidP="00D83473">
            <w:pPr>
              <w:pStyle w:val="TableText0"/>
              <w:jc w:val="center"/>
              <w:rPr>
                <w:bCs w:val="0"/>
                <w:highlight w:val="lightGray"/>
              </w:rPr>
            </w:pPr>
            <w:r w:rsidRPr="00E020DE">
              <w:rPr>
                <w:bCs w:val="0"/>
                <w:color w:val="000000"/>
                <w:spacing w:val="46"/>
                <w:shd w:val="solid" w:color="000000" w:fill="000000"/>
                <w:fitText w:val="310" w:id="-1435269883"/>
                <w14:textFill>
                  <w14:solidFill>
                    <w14:srgbClr w14:val="000000">
                      <w14:alpha w14:val="100000"/>
                    </w14:srgbClr>
                  </w14:solidFill>
                </w14:textFill>
              </w:rPr>
              <w:t>|||</w:t>
            </w:r>
            <w:r w:rsidRPr="00E020DE">
              <w:rPr>
                <w:bCs w:val="0"/>
                <w:color w:val="000000"/>
                <w:spacing w:val="2"/>
                <w:shd w:val="solid" w:color="000000" w:fill="000000"/>
                <w:fitText w:val="310" w:id="-1435269883"/>
                <w14:textFill>
                  <w14:solidFill>
                    <w14:srgbClr w14:val="000000">
                      <w14:alpha w14:val="100000"/>
                    </w14:srgbClr>
                  </w14:solidFill>
                </w14:textFill>
              </w:rPr>
              <w:t>|</w:t>
            </w:r>
            <w:r w:rsidR="00320CFC" w:rsidRPr="00320CFC">
              <w:rPr>
                <w:bCs w:val="0"/>
                <w:vertAlign w:val="superscript"/>
              </w:rPr>
              <w:t>3</w:t>
            </w:r>
          </w:p>
        </w:tc>
        <w:tc>
          <w:tcPr>
            <w:tcW w:w="647" w:type="pct"/>
            <w:shd w:val="clear" w:color="auto" w:fill="auto"/>
            <w:vAlign w:val="center"/>
          </w:tcPr>
          <w:p w14:paraId="225BAF71" w14:textId="1C8AE262" w:rsidR="00605910" w:rsidRPr="00320CFC" w:rsidRDefault="00E020DE" w:rsidP="00D83473">
            <w:pPr>
              <w:pStyle w:val="TableText0"/>
              <w:jc w:val="center"/>
              <w:rPr>
                <w:bCs w:val="0"/>
                <w:highlight w:val="lightGray"/>
              </w:rPr>
            </w:pPr>
            <w:r w:rsidRPr="00E020DE">
              <w:rPr>
                <w:bCs w:val="0"/>
                <w:color w:val="000000"/>
                <w:spacing w:val="46"/>
                <w:shd w:val="solid" w:color="000000" w:fill="000000"/>
                <w:fitText w:val="310" w:id="-1435269882"/>
                <w14:textFill>
                  <w14:solidFill>
                    <w14:srgbClr w14:val="000000">
                      <w14:alpha w14:val="100000"/>
                    </w14:srgbClr>
                  </w14:solidFill>
                </w14:textFill>
              </w:rPr>
              <w:t>|||</w:t>
            </w:r>
            <w:r w:rsidRPr="00E020DE">
              <w:rPr>
                <w:bCs w:val="0"/>
                <w:color w:val="000000"/>
                <w:spacing w:val="2"/>
                <w:shd w:val="solid" w:color="000000" w:fill="000000"/>
                <w:fitText w:val="310" w:id="-1435269882"/>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32663A40" w14:textId="34CEB332" w:rsidR="00605910" w:rsidRPr="00320CFC" w:rsidRDefault="00E020DE" w:rsidP="00D83473">
            <w:pPr>
              <w:pStyle w:val="TableText0"/>
              <w:jc w:val="center"/>
              <w:rPr>
                <w:bCs w:val="0"/>
                <w:highlight w:val="lightGray"/>
              </w:rPr>
            </w:pPr>
            <w:r w:rsidRPr="00E020DE">
              <w:rPr>
                <w:bCs w:val="0"/>
                <w:color w:val="000000"/>
                <w:spacing w:val="46"/>
                <w:shd w:val="solid" w:color="000000" w:fill="000000"/>
                <w:fitText w:val="310" w:id="-1435269881"/>
                <w14:textFill>
                  <w14:solidFill>
                    <w14:srgbClr w14:val="000000">
                      <w14:alpha w14:val="100000"/>
                    </w14:srgbClr>
                  </w14:solidFill>
                </w14:textFill>
              </w:rPr>
              <w:t>|||</w:t>
            </w:r>
            <w:r w:rsidRPr="00E020DE">
              <w:rPr>
                <w:bCs w:val="0"/>
                <w:color w:val="000000"/>
                <w:spacing w:val="2"/>
                <w:shd w:val="solid" w:color="000000" w:fill="000000"/>
                <w:fitText w:val="310" w:id="-1435269881"/>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16D56592" w14:textId="6526F8AE" w:rsidR="00605910" w:rsidRPr="00320CFC" w:rsidRDefault="00E020DE" w:rsidP="00D83473">
            <w:pPr>
              <w:pStyle w:val="TableText0"/>
              <w:jc w:val="center"/>
              <w:rPr>
                <w:bCs w:val="0"/>
                <w:highlight w:val="lightGray"/>
              </w:rPr>
            </w:pPr>
            <w:r w:rsidRPr="00E020DE">
              <w:rPr>
                <w:bCs w:val="0"/>
                <w:color w:val="000000"/>
                <w:spacing w:val="46"/>
                <w:shd w:val="solid" w:color="000000" w:fill="000000"/>
                <w:fitText w:val="310" w:id="-1435269880"/>
                <w14:textFill>
                  <w14:solidFill>
                    <w14:srgbClr w14:val="000000">
                      <w14:alpha w14:val="100000"/>
                    </w14:srgbClr>
                  </w14:solidFill>
                </w14:textFill>
              </w:rPr>
              <w:t>|||</w:t>
            </w:r>
            <w:r w:rsidRPr="00E020DE">
              <w:rPr>
                <w:bCs w:val="0"/>
                <w:color w:val="000000"/>
                <w:spacing w:val="2"/>
                <w:shd w:val="solid" w:color="000000" w:fill="000000"/>
                <w:fitText w:val="310" w:id="-1435269880"/>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13A64DFC" w14:textId="4534FA66" w:rsidR="00605910" w:rsidRPr="00320CFC" w:rsidRDefault="00E020DE" w:rsidP="00D83473">
            <w:pPr>
              <w:pStyle w:val="TableText0"/>
              <w:jc w:val="center"/>
              <w:rPr>
                <w:bCs w:val="0"/>
                <w:highlight w:val="lightGray"/>
              </w:rPr>
            </w:pPr>
            <w:r w:rsidRPr="00E020DE">
              <w:rPr>
                <w:bCs w:val="0"/>
                <w:color w:val="000000"/>
                <w:spacing w:val="46"/>
                <w:shd w:val="solid" w:color="000000" w:fill="000000"/>
                <w:fitText w:val="310" w:id="-1435269879"/>
                <w14:textFill>
                  <w14:solidFill>
                    <w14:srgbClr w14:val="000000">
                      <w14:alpha w14:val="100000"/>
                    </w14:srgbClr>
                  </w14:solidFill>
                </w14:textFill>
              </w:rPr>
              <w:t>|||</w:t>
            </w:r>
            <w:r w:rsidRPr="00E020DE">
              <w:rPr>
                <w:bCs w:val="0"/>
                <w:color w:val="000000"/>
                <w:spacing w:val="2"/>
                <w:shd w:val="solid" w:color="000000" w:fill="000000"/>
                <w:fitText w:val="310" w:id="-1435269879"/>
                <w14:textFill>
                  <w14:solidFill>
                    <w14:srgbClr w14:val="000000">
                      <w14:alpha w14:val="100000"/>
                    </w14:srgbClr>
                  </w14:solidFill>
                </w14:textFill>
              </w:rPr>
              <w:t>|</w:t>
            </w:r>
            <w:r w:rsidR="00637B21" w:rsidRPr="00320CFC">
              <w:rPr>
                <w:bCs w:val="0"/>
                <w:vertAlign w:val="superscript"/>
              </w:rPr>
              <w:t>3</w:t>
            </w:r>
          </w:p>
        </w:tc>
        <w:tc>
          <w:tcPr>
            <w:tcW w:w="649" w:type="pct"/>
            <w:vAlign w:val="center"/>
          </w:tcPr>
          <w:p w14:paraId="6E0A7C02" w14:textId="397F189A" w:rsidR="00605910" w:rsidRPr="00320CFC" w:rsidRDefault="00E020DE" w:rsidP="00D83473">
            <w:pPr>
              <w:pStyle w:val="TableText0"/>
              <w:jc w:val="center"/>
              <w:rPr>
                <w:bCs w:val="0"/>
                <w:highlight w:val="lightGray"/>
              </w:rPr>
            </w:pPr>
            <w:r w:rsidRPr="00E020DE">
              <w:rPr>
                <w:bCs w:val="0"/>
                <w:color w:val="000000"/>
                <w:spacing w:val="214"/>
                <w:shd w:val="solid" w:color="000000" w:fill="000000"/>
                <w:fitText w:val="300" w:id="-1435269878"/>
                <w14:textFill>
                  <w14:solidFill>
                    <w14:srgbClr w14:val="000000">
                      <w14:alpha w14:val="100000"/>
                    </w14:srgbClr>
                  </w14:solidFill>
                </w14:textFill>
              </w:rPr>
              <w:t>|</w:t>
            </w:r>
            <w:r w:rsidRPr="00E020DE">
              <w:rPr>
                <w:bCs w:val="0"/>
                <w:color w:val="000000"/>
                <w:spacing w:val="1"/>
                <w:shd w:val="solid" w:color="000000" w:fill="000000"/>
                <w:fitText w:val="300" w:id="-1435269878"/>
                <w14:textFill>
                  <w14:solidFill>
                    <w14:srgbClr w14:val="000000">
                      <w14:alpha w14:val="100000"/>
                    </w14:srgbClr>
                  </w14:solidFill>
                </w14:textFill>
              </w:rPr>
              <w:t>|</w:t>
            </w:r>
            <w:r w:rsidR="00637B21" w:rsidRPr="00320CFC">
              <w:rPr>
                <w:bCs w:val="0"/>
                <w:vertAlign w:val="superscript"/>
              </w:rPr>
              <w:t>3</w:t>
            </w:r>
          </w:p>
        </w:tc>
      </w:tr>
      <w:tr w:rsidR="00605910" w:rsidRPr="003B4086" w14:paraId="508FFBE7" w14:textId="77777777" w:rsidTr="00D83473">
        <w:tc>
          <w:tcPr>
            <w:tcW w:w="5000" w:type="pct"/>
            <w:gridSpan w:val="7"/>
            <w:shd w:val="clear" w:color="auto" w:fill="auto"/>
            <w:vAlign w:val="center"/>
          </w:tcPr>
          <w:p w14:paraId="0F371E3E" w14:textId="54DBE95B" w:rsidR="00605910" w:rsidRPr="003B4086" w:rsidRDefault="00605910" w:rsidP="00D83473">
            <w:pPr>
              <w:pStyle w:val="TableText0"/>
              <w:rPr>
                <w:b/>
                <w:bCs w:val="0"/>
              </w:rPr>
            </w:pPr>
            <w:r w:rsidRPr="003B4086">
              <w:rPr>
                <w:b/>
                <w:bCs w:val="0"/>
              </w:rPr>
              <w:t xml:space="preserve">Estimated </w:t>
            </w:r>
            <w:r w:rsidR="0088322E" w:rsidRPr="003B4086">
              <w:rPr>
                <w:b/>
                <w:bCs w:val="0"/>
              </w:rPr>
              <w:t>financial implications for other medicines</w:t>
            </w:r>
          </w:p>
        </w:tc>
      </w:tr>
      <w:tr w:rsidR="00605910" w:rsidRPr="003B4086" w14:paraId="20AB81EF" w14:textId="77777777" w:rsidTr="00D83473">
        <w:tc>
          <w:tcPr>
            <w:tcW w:w="1115" w:type="pct"/>
            <w:shd w:val="clear" w:color="auto" w:fill="auto"/>
            <w:vAlign w:val="center"/>
          </w:tcPr>
          <w:p w14:paraId="3EBF9C6B" w14:textId="77777777" w:rsidR="00605910" w:rsidRPr="003B4086" w:rsidRDefault="00605910" w:rsidP="00D83473">
            <w:pPr>
              <w:pStyle w:val="TableText0"/>
              <w:rPr>
                <w:sz w:val="19"/>
                <w:szCs w:val="19"/>
              </w:rPr>
            </w:pPr>
            <w:r w:rsidRPr="003B4086">
              <w:rPr>
                <w:sz w:val="19"/>
                <w:szCs w:val="19"/>
              </w:rPr>
              <w:t>Cost to PBS/RPBS less copayments</w:t>
            </w:r>
          </w:p>
        </w:tc>
        <w:tc>
          <w:tcPr>
            <w:tcW w:w="647" w:type="pct"/>
            <w:shd w:val="clear" w:color="auto" w:fill="auto"/>
            <w:vAlign w:val="center"/>
          </w:tcPr>
          <w:p w14:paraId="57E083FF" w14:textId="77777777" w:rsidR="00605910" w:rsidRPr="003B4086" w:rsidRDefault="00605910" w:rsidP="00D83473">
            <w:pPr>
              <w:pStyle w:val="TableText0"/>
              <w:jc w:val="center"/>
            </w:pPr>
            <w:r w:rsidRPr="003B4086">
              <w:t>$0</w:t>
            </w:r>
          </w:p>
        </w:tc>
        <w:tc>
          <w:tcPr>
            <w:tcW w:w="647" w:type="pct"/>
            <w:shd w:val="clear" w:color="auto" w:fill="auto"/>
            <w:vAlign w:val="center"/>
          </w:tcPr>
          <w:p w14:paraId="5B34A048" w14:textId="77777777" w:rsidR="00605910" w:rsidRPr="003B4086" w:rsidRDefault="00605910" w:rsidP="00D83473">
            <w:pPr>
              <w:pStyle w:val="TableText0"/>
              <w:jc w:val="center"/>
            </w:pPr>
            <w:r w:rsidRPr="003B4086">
              <w:t>$0</w:t>
            </w:r>
          </w:p>
        </w:tc>
        <w:tc>
          <w:tcPr>
            <w:tcW w:w="647" w:type="pct"/>
            <w:shd w:val="clear" w:color="auto" w:fill="auto"/>
            <w:vAlign w:val="center"/>
          </w:tcPr>
          <w:p w14:paraId="0CF5D169" w14:textId="77777777" w:rsidR="00605910" w:rsidRPr="003B4086" w:rsidRDefault="00605910" w:rsidP="00D83473">
            <w:pPr>
              <w:pStyle w:val="TableText0"/>
              <w:jc w:val="center"/>
            </w:pPr>
            <w:r w:rsidRPr="003B4086">
              <w:t>$0</w:t>
            </w:r>
          </w:p>
        </w:tc>
        <w:tc>
          <w:tcPr>
            <w:tcW w:w="647" w:type="pct"/>
            <w:shd w:val="clear" w:color="auto" w:fill="auto"/>
            <w:vAlign w:val="center"/>
          </w:tcPr>
          <w:p w14:paraId="4D6F6829" w14:textId="77777777" w:rsidR="00605910" w:rsidRPr="003B4086" w:rsidRDefault="00605910" w:rsidP="00D83473">
            <w:pPr>
              <w:pStyle w:val="TableText0"/>
              <w:jc w:val="center"/>
            </w:pPr>
            <w:r w:rsidRPr="003B4086">
              <w:t>$0</w:t>
            </w:r>
          </w:p>
        </w:tc>
        <w:tc>
          <w:tcPr>
            <w:tcW w:w="647" w:type="pct"/>
            <w:shd w:val="clear" w:color="auto" w:fill="auto"/>
            <w:vAlign w:val="center"/>
          </w:tcPr>
          <w:p w14:paraId="45FBBD84" w14:textId="77777777" w:rsidR="00605910" w:rsidRPr="003B4086" w:rsidRDefault="00605910" w:rsidP="00D83473">
            <w:pPr>
              <w:pStyle w:val="TableText0"/>
              <w:jc w:val="center"/>
            </w:pPr>
            <w:r w:rsidRPr="003B4086">
              <w:t>$0</w:t>
            </w:r>
          </w:p>
        </w:tc>
        <w:tc>
          <w:tcPr>
            <w:tcW w:w="649" w:type="pct"/>
            <w:vAlign w:val="center"/>
          </w:tcPr>
          <w:p w14:paraId="65A25BE0" w14:textId="77777777" w:rsidR="00605910" w:rsidRPr="003B4086" w:rsidRDefault="00605910" w:rsidP="00D83473">
            <w:pPr>
              <w:pStyle w:val="TableText0"/>
              <w:jc w:val="center"/>
            </w:pPr>
            <w:r w:rsidRPr="003B4086">
              <w:t>$0</w:t>
            </w:r>
          </w:p>
        </w:tc>
      </w:tr>
      <w:tr w:rsidR="00605910" w:rsidRPr="003B4086" w14:paraId="360FB7CC" w14:textId="77777777" w:rsidTr="00D83473">
        <w:tc>
          <w:tcPr>
            <w:tcW w:w="5000" w:type="pct"/>
            <w:gridSpan w:val="7"/>
            <w:shd w:val="clear" w:color="auto" w:fill="auto"/>
            <w:vAlign w:val="center"/>
          </w:tcPr>
          <w:p w14:paraId="6EA47454" w14:textId="77777777" w:rsidR="00605910" w:rsidRPr="003B4086" w:rsidRDefault="00605910" w:rsidP="00D83473">
            <w:pPr>
              <w:pStyle w:val="In-tableHeading"/>
              <w:rPr>
                <w:lang w:val="en-AU"/>
              </w:rPr>
            </w:pPr>
            <w:r w:rsidRPr="003B4086">
              <w:rPr>
                <w:lang w:val="en-AU"/>
              </w:rPr>
              <w:t>Net financial implications</w:t>
            </w:r>
            <w:r w:rsidRPr="003B4086">
              <w:rPr>
                <w:color w:val="4BACC6" w:themeColor="accent5"/>
                <w:lang w:val="en-AU"/>
              </w:rPr>
              <w:t xml:space="preserve"> </w:t>
            </w:r>
          </w:p>
        </w:tc>
      </w:tr>
      <w:tr w:rsidR="00605910" w:rsidRPr="003B4086" w14:paraId="35EC4766" w14:textId="77777777" w:rsidTr="00D83473">
        <w:tc>
          <w:tcPr>
            <w:tcW w:w="1115" w:type="pct"/>
            <w:shd w:val="clear" w:color="auto" w:fill="auto"/>
            <w:vAlign w:val="center"/>
          </w:tcPr>
          <w:p w14:paraId="140ADB90" w14:textId="11DE64C0" w:rsidR="00605910" w:rsidRPr="003B4086" w:rsidRDefault="00605910" w:rsidP="00D83473">
            <w:pPr>
              <w:pStyle w:val="TableText0"/>
              <w:rPr>
                <w:sz w:val="19"/>
                <w:szCs w:val="19"/>
              </w:rPr>
            </w:pPr>
            <w:r w:rsidRPr="003B4086">
              <w:rPr>
                <w:sz w:val="19"/>
                <w:szCs w:val="19"/>
              </w:rPr>
              <w:t>Net cost to PBS/RPBS</w:t>
            </w:r>
            <w:r w:rsidR="00320CFC">
              <w:rPr>
                <w:sz w:val="19"/>
                <w:szCs w:val="19"/>
              </w:rPr>
              <w:t xml:space="preserve"> ($)</w:t>
            </w:r>
          </w:p>
        </w:tc>
        <w:tc>
          <w:tcPr>
            <w:tcW w:w="647" w:type="pct"/>
            <w:shd w:val="clear" w:color="auto" w:fill="auto"/>
            <w:vAlign w:val="center"/>
          </w:tcPr>
          <w:p w14:paraId="7F95DD9A" w14:textId="640E5261"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77"/>
                <w14:textFill>
                  <w14:solidFill>
                    <w14:srgbClr w14:val="000000">
                      <w14:alpha w14:val="100000"/>
                    </w14:srgbClr>
                  </w14:solidFill>
                </w14:textFill>
              </w:rPr>
              <w:t>|||</w:t>
            </w:r>
            <w:r w:rsidRPr="00E020DE">
              <w:rPr>
                <w:color w:val="000000"/>
                <w:spacing w:val="2"/>
                <w:shd w:val="solid" w:color="000000" w:fill="000000"/>
                <w:fitText w:val="310" w:id="-1435269877"/>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33636949" w14:textId="190A7C34"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76"/>
                <w14:textFill>
                  <w14:solidFill>
                    <w14:srgbClr w14:val="000000">
                      <w14:alpha w14:val="100000"/>
                    </w14:srgbClr>
                  </w14:solidFill>
                </w14:textFill>
              </w:rPr>
              <w:t>|||</w:t>
            </w:r>
            <w:r w:rsidRPr="00E020DE">
              <w:rPr>
                <w:color w:val="000000"/>
                <w:spacing w:val="2"/>
                <w:shd w:val="solid" w:color="000000" w:fill="000000"/>
                <w:fitText w:val="310" w:id="-1435269876"/>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07CAF79B" w14:textId="36E35C1C"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75"/>
                <w14:textFill>
                  <w14:solidFill>
                    <w14:srgbClr w14:val="000000">
                      <w14:alpha w14:val="100000"/>
                    </w14:srgbClr>
                  </w14:solidFill>
                </w14:textFill>
              </w:rPr>
              <w:t>|||</w:t>
            </w:r>
            <w:r w:rsidRPr="00E020DE">
              <w:rPr>
                <w:color w:val="000000"/>
                <w:spacing w:val="2"/>
                <w:shd w:val="solid" w:color="000000" w:fill="000000"/>
                <w:fitText w:val="310" w:id="-1435269875"/>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10899FDF" w14:textId="0F05B27B"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74"/>
                <w14:textFill>
                  <w14:solidFill>
                    <w14:srgbClr w14:val="000000">
                      <w14:alpha w14:val="100000"/>
                    </w14:srgbClr>
                  </w14:solidFill>
                </w14:textFill>
              </w:rPr>
              <w:t>|||</w:t>
            </w:r>
            <w:r w:rsidRPr="00E020DE">
              <w:rPr>
                <w:color w:val="000000"/>
                <w:spacing w:val="2"/>
                <w:shd w:val="solid" w:color="000000" w:fill="000000"/>
                <w:fitText w:val="310" w:id="-1435269874"/>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0AC6E816" w14:textId="3FBACD35"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73"/>
                <w14:textFill>
                  <w14:solidFill>
                    <w14:srgbClr w14:val="000000">
                      <w14:alpha w14:val="100000"/>
                    </w14:srgbClr>
                  </w14:solidFill>
                </w14:textFill>
              </w:rPr>
              <w:t>|||</w:t>
            </w:r>
            <w:r w:rsidRPr="00E020DE">
              <w:rPr>
                <w:color w:val="000000"/>
                <w:spacing w:val="2"/>
                <w:shd w:val="solid" w:color="000000" w:fill="000000"/>
                <w:fitText w:val="310" w:id="-1435269873"/>
                <w14:textFill>
                  <w14:solidFill>
                    <w14:srgbClr w14:val="000000">
                      <w14:alpha w14:val="100000"/>
                    </w14:srgbClr>
                  </w14:solidFill>
                </w14:textFill>
              </w:rPr>
              <w:t>|</w:t>
            </w:r>
            <w:r w:rsidR="00637B21" w:rsidRPr="00320CFC">
              <w:rPr>
                <w:bCs w:val="0"/>
                <w:vertAlign w:val="superscript"/>
              </w:rPr>
              <w:t>3</w:t>
            </w:r>
          </w:p>
        </w:tc>
        <w:tc>
          <w:tcPr>
            <w:tcW w:w="649" w:type="pct"/>
            <w:vAlign w:val="center"/>
          </w:tcPr>
          <w:p w14:paraId="0BC23EB4" w14:textId="0FF0C0C6" w:rsidR="00605910" w:rsidRPr="00320CFC" w:rsidRDefault="00E020DE" w:rsidP="00D83473">
            <w:pPr>
              <w:pStyle w:val="TableText0"/>
              <w:jc w:val="center"/>
              <w:rPr>
                <w:highlight w:val="lightGray"/>
              </w:rPr>
            </w:pPr>
            <w:r w:rsidRPr="00E020DE">
              <w:rPr>
                <w:color w:val="000000"/>
                <w:spacing w:val="214"/>
                <w:shd w:val="solid" w:color="000000" w:fill="000000"/>
                <w:fitText w:val="300" w:id="-1435269872"/>
                <w14:textFill>
                  <w14:solidFill>
                    <w14:srgbClr w14:val="000000">
                      <w14:alpha w14:val="100000"/>
                    </w14:srgbClr>
                  </w14:solidFill>
                </w14:textFill>
              </w:rPr>
              <w:t>|</w:t>
            </w:r>
            <w:r w:rsidRPr="00E020DE">
              <w:rPr>
                <w:color w:val="000000"/>
                <w:spacing w:val="1"/>
                <w:shd w:val="solid" w:color="000000" w:fill="000000"/>
                <w:fitText w:val="300" w:id="-1435269872"/>
                <w14:textFill>
                  <w14:solidFill>
                    <w14:srgbClr w14:val="000000">
                      <w14:alpha w14:val="100000"/>
                    </w14:srgbClr>
                  </w14:solidFill>
                </w14:textFill>
              </w:rPr>
              <w:t>|</w:t>
            </w:r>
            <w:r w:rsidR="00637B21" w:rsidRPr="00320CFC">
              <w:rPr>
                <w:bCs w:val="0"/>
                <w:vertAlign w:val="superscript"/>
              </w:rPr>
              <w:t>3</w:t>
            </w:r>
          </w:p>
        </w:tc>
      </w:tr>
      <w:tr w:rsidR="00605910" w:rsidRPr="003B4086" w14:paraId="471E06A5" w14:textId="77777777" w:rsidTr="00D83473">
        <w:tc>
          <w:tcPr>
            <w:tcW w:w="1115" w:type="pct"/>
            <w:shd w:val="clear" w:color="auto" w:fill="auto"/>
            <w:vAlign w:val="center"/>
          </w:tcPr>
          <w:p w14:paraId="447BDCE3" w14:textId="7F846631" w:rsidR="00605910" w:rsidRPr="003B4086" w:rsidRDefault="00605910" w:rsidP="00D83473">
            <w:pPr>
              <w:pStyle w:val="TableText0"/>
              <w:rPr>
                <w:rFonts w:ascii="Times" w:hAnsi="Times"/>
              </w:rPr>
            </w:pPr>
            <w:r w:rsidRPr="003B4086">
              <w:rPr>
                <w:sz w:val="19"/>
                <w:szCs w:val="19"/>
              </w:rPr>
              <w:t>Net cost to MBS</w:t>
            </w:r>
            <w:r w:rsidR="00320CFC">
              <w:rPr>
                <w:sz w:val="19"/>
                <w:szCs w:val="19"/>
              </w:rPr>
              <w:t xml:space="preserve"> ($)</w:t>
            </w:r>
          </w:p>
        </w:tc>
        <w:tc>
          <w:tcPr>
            <w:tcW w:w="647" w:type="pct"/>
            <w:shd w:val="clear" w:color="auto" w:fill="auto"/>
            <w:vAlign w:val="center"/>
          </w:tcPr>
          <w:p w14:paraId="5ED5B938" w14:textId="46BCFC1C" w:rsidR="00605910" w:rsidRPr="00637B21" w:rsidRDefault="00E020DE" w:rsidP="00D83473">
            <w:pPr>
              <w:pStyle w:val="TableText0"/>
              <w:jc w:val="center"/>
              <w:rPr>
                <w:highlight w:val="lightGray"/>
              </w:rPr>
            </w:pPr>
            <w:r w:rsidRPr="00E020DE">
              <w:rPr>
                <w:color w:val="000000"/>
                <w:spacing w:val="46"/>
                <w:shd w:val="solid" w:color="000000" w:fill="000000"/>
                <w:fitText w:val="310" w:id="-1435269888"/>
                <w14:textFill>
                  <w14:solidFill>
                    <w14:srgbClr w14:val="000000">
                      <w14:alpha w14:val="100000"/>
                    </w14:srgbClr>
                  </w14:solidFill>
                </w14:textFill>
              </w:rPr>
              <w:t>|||</w:t>
            </w:r>
            <w:r w:rsidRPr="00E020DE">
              <w:rPr>
                <w:color w:val="000000"/>
                <w:spacing w:val="2"/>
                <w:shd w:val="solid" w:color="000000" w:fill="000000"/>
                <w:fitText w:val="310" w:id="-1435269888"/>
                <w14:textFill>
                  <w14:solidFill>
                    <w14:srgbClr w14:val="000000">
                      <w14:alpha w14:val="100000"/>
                    </w14:srgbClr>
                  </w14:solidFill>
                </w14:textFill>
              </w:rPr>
              <w:t>|</w:t>
            </w:r>
            <w:r w:rsidR="00637B21" w:rsidRPr="00637B21">
              <w:rPr>
                <w:color w:val="000000"/>
                <w:vertAlign w:val="superscript"/>
              </w:rPr>
              <w:t>4</w:t>
            </w:r>
          </w:p>
        </w:tc>
        <w:tc>
          <w:tcPr>
            <w:tcW w:w="647" w:type="pct"/>
            <w:shd w:val="clear" w:color="auto" w:fill="auto"/>
            <w:vAlign w:val="center"/>
          </w:tcPr>
          <w:p w14:paraId="482F817E" w14:textId="2E7BC693"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87"/>
                <w14:textFill>
                  <w14:solidFill>
                    <w14:srgbClr w14:val="000000">
                      <w14:alpha w14:val="100000"/>
                    </w14:srgbClr>
                  </w14:solidFill>
                </w14:textFill>
              </w:rPr>
              <w:t>|||</w:t>
            </w:r>
            <w:r w:rsidRPr="00E020DE">
              <w:rPr>
                <w:color w:val="000000"/>
                <w:spacing w:val="2"/>
                <w:shd w:val="solid" w:color="000000" w:fill="000000"/>
                <w:fitText w:val="310" w:id="-1435269887"/>
                <w14:textFill>
                  <w14:solidFill>
                    <w14:srgbClr w14:val="000000">
                      <w14:alpha w14:val="100000"/>
                    </w14:srgbClr>
                  </w14:solidFill>
                </w14:textFill>
              </w:rPr>
              <w:t>|</w:t>
            </w:r>
            <w:r w:rsidR="00637B21" w:rsidRPr="00637B21">
              <w:rPr>
                <w:color w:val="000000"/>
                <w:vertAlign w:val="superscript"/>
              </w:rPr>
              <w:t>4</w:t>
            </w:r>
          </w:p>
        </w:tc>
        <w:tc>
          <w:tcPr>
            <w:tcW w:w="647" w:type="pct"/>
            <w:shd w:val="clear" w:color="auto" w:fill="auto"/>
            <w:vAlign w:val="center"/>
          </w:tcPr>
          <w:p w14:paraId="6187AB0B" w14:textId="585DD397"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86"/>
                <w14:textFill>
                  <w14:solidFill>
                    <w14:srgbClr w14:val="000000">
                      <w14:alpha w14:val="100000"/>
                    </w14:srgbClr>
                  </w14:solidFill>
                </w14:textFill>
              </w:rPr>
              <w:t>|||</w:t>
            </w:r>
            <w:r w:rsidRPr="00E020DE">
              <w:rPr>
                <w:color w:val="000000"/>
                <w:spacing w:val="2"/>
                <w:shd w:val="solid" w:color="000000" w:fill="000000"/>
                <w:fitText w:val="310" w:id="-1435269886"/>
                <w14:textFill>
                  <w14:solidFill>
                    <w14:srgbClr w14:val="000000">
                      <w14:alpha w14:val="100000"/>
                    </w14:srgbClr>
                  </w14:solidFill>
                </w14:textFill>
              </w:rPr>
              <w:t>|</w:t>
            </w:r>
            <w:r w:rsidR="00637B21" w:rsidRPr="00637B21">
              <w:rPr>
                <w:color w:val="000000"/>
                <w:vertAlign w:val="superscript"/>
              </w:rPr>
              <w:t>4</w:t>
            </w:r>
          </w:p>
        </w:tc>
        <w:tc>
          <w:tcPr>
            <w:tcW w:w="647" w:type="pct"/>
            <w:shd w:val="clear" w:color="auto" w:fill="auto"/>
            <w:vAlign w:val="center"/>
          </w:tcPr>
          <w:p w14:paraId="2CB9B0E5" w14:textId="0F785EAE"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85"/>
                <w14:textFill>
                  <w14:solidFill>
                    <w14:srgbClr w14:val="000000">
                      <w14:alpha w14:val="100000"/>
                    </w14:srgbClr>
                  </w14:solidFill>
                </w14:textFill>
              </w:rPr>
              <w:t>|||</w:t>
            </w:r>
            <w:r w:rsidRPr="00E020DE">
              <w:rPr>
                <w:color w:val="000000"/>
                <w:spacing w:val="2"/>
                <w:shd w:val="solid" w:color="000000" w:fill="000000"/>
                <w:fitText w:val="310" w:id="-1435269885"/>
                <w14:textFill>
                  <w14:solidFill>
                    <w14:srgbClr w14:val="000000">
                      <w14:alpha w14:val="100000"/>
                    </w14:srgbClr>
                  </w14:solidFill>
                </w14:textFill>
              </w:rPr>
              <w:t>|</w:t>
            </w:r>
            <w:r w:rsidR="00637B21" w:rsidRPr="00637B21">
              <w:rPr>
                <w:color w:val="000000"/>
                <w:vertAlign w:val="superscript"/>
              </w:rPr>
              <w:t>4</w:t>
            </w:r>
          </w:p>
        </w:tc>
        <w:tc>
          <w:tcPr>
            <w:tcW w:w="647" w:type="pct"/>
            <w:shd w:val="clear" w:color="auto" w:fill="auto"/>
            <w:vAlign w:val="center"/>
          </w:tcPr>
          <w:p w14:paraId="6AC40A3F" w14:textId="6ED4CD89" w:rsidR="00605910" w:rsidRPr="00320CFC" w:rsidRDefault="00E020DE" w:rsidP="00D83473">
            <w:pPr>
              <w:pStyle w:val="TableText0"/>
              <w:jc w:val="center"/>
              <w:rPr>
                <w:highlight w:val="lightGray"/>
              </w:rPr>
            </w:pPr>
            <w:r w:rsidRPr="00E020DE">
              <w:rPr>
                <w:color w:val="000000"/>
                <w:spacing w:val="46"/>
                <w:shd w:val="solid" w:color="000000" w:fill="000000"/>
                <w:fitText w:val="310" w:id="-1435269884"/>
                <w14:textFill>
                  <w14:solidFill>
                    <w14:srgbClr w14:val="000000">
                      <w14:alpha w14:val="100000"/>
                    </w14:srgbClr>
                  </w14:solidFill>
                </w14:textFill>
              </w:rPr>
              <w:t>|||</w:t>
            </w:r>
            <w:r w:rsidRPr="00E020DE">
              <w:rPr>
                <w:color w:val="000000"/>
                <w:spacing w:val="2"/>
                <w:shd w:val="solid" w:color="000000" w:fill="000000"/>
                <w:fitText w:val="310" w:id="-1435269884"/>
                <w14:textFill>
                  <w14:solidFill>
                    <w14:srgbClr w14:val="000000">
                      <w14:alpha w14:val="100000"/>
                    </w14:srgbClr>
                  </w14:solidFill>
                </w14:textFill>
              </w:rPr>
              <w:t>|</w:t>
            </w:r>
            <w:r w:rsidR="00637B21" w:rsidRPr="00637B21">
              <w:rPr>
                <w:color w:val="000000"/>
                <w:vertAlign w:val="superscript"/>
              </w:rPr>
              <w:t>4</w:t>
            </w:r>
          </w:p>
        </w:tc>
        <w:tc>
          <w:tcPr>
            <w:tcW w:w="649" w:type="pct"/>
            <w:vAlign w:val="center"/>
          </w:tcPr>
          <w:p w14:paraId="7DC9F08B" w14:textId="2B2ADBFD" w:rsidR="00605910" w:rsidRPr="00320CFC" w:rsidRDefault="00E020DE" w:rsidP="00D83473">
            <w:pPr>
              <w:pStyle w:val="TableText0"/>
              <w:jc w:val="center"/>
              <w:rPr>
                <w:highlight w:val="lightGray"/>
              </w:rPr>
            </w:pPr>
            <w:r w:rsidRPr="00E020DE">
              <w:rPr>
                <w:color w:val="000000"/>
                <w:spacing w:val="214"/>
                <w:shd w:val="solid" w:color="000000" w:fill="000000"/>
                <w:fitText w:val="300" w:id="-1435269883"/>
                <w14:textFill>
                  <w14:solidFill>
                    <w14:srgbClr w14:val="000000">
                      <w14:alpha w14:val="100000"/>
                    </w14:srgbClr>
                  </w14:solidFill>
                </w14:textFill>
              </w:rPr>
              <w:t>|</w:t>
            </w:r>
            <w:r w:rsidRPr="00E020DE">
              <w:rPr>
                <w:color w:val="000000"/>
                <w:spacing w:val="1"/>
                <w:shd w:val="solid" w:color="000000" w:fill="000000"/>
                <w:fitText w:val="300" w:id="-1435269883"/>
                <w14:textFill>
                  <w14:solidFill>
                    <w14:srgbClr w14:val="000000">
                      <w14:alpha w14:val="100000"/>
                    </w14:srgbClr>
                  </w14:solidFill>
                </w14:textFill>
              </w:rPr>
              <w:t>|</w:t>
            </w:r>
            <w:r w:rsidR="00637B21" w:rsidRPr="00637B21">
              <w:rPr>
                <w:color w:val="000000"/>
                <w:vertAlign w:val="superscript"/>
              </w:rPr>
              <w:t>4</w:t>
            </w:r>
          </w:p>
        </w:tc>
      </w:tr>
      <w:tr w:rsidR="00605910" w:rsidRPr="003B4086" w14:paraId="0F9CC4AB" w14:textId="77777777" w:rsidTr="00D83473">
        <w:tc>
          <w:tcPr>
            <w:tcW w:w="1115" w:type="pct"/>
            <w:shd w:val="clear" w:color="auto" w:fill="auto"/>
            <w:vAlign w:val="center"/>
          </w:tcPr>
          <w:p w14:paraId="65F1D569" w14:textId="5C4E1DAE" w:rsidR="00605910" w:rsidRPr="003B4086" w:rsidRDefault="0088322E" w:rsidP="00D83473">
            <w:pPr>
              <w:pStyle w:val="TableText0"/>
              <w:rPr>
                <w:sz w:val="19"/>
                <w:szCs w:val="19"/>
              </w:rPr>
            </w:pPr>
            <w:r w:rsidRPr="003B4086">
              <w:rPr>
                <w:sz w:val="19"/>
                <w:szCs w:val="19"/>
              </w:rPr>
              <w:t xml:space="preserve">Net cost to </w:t>
            </w:r>
            <w:r w:rsidR="00605910" w:rsidRPr="003B4086">
              <w:rPr>
                <w:sz w:val="19"/>
                <w:szCs w:val="19"/>
              </w:rPr>
              <w:t>PBS/RPBS/MB</w:t>
            </w:r>
            <w:r w:rsidRPr="003B4086">
              <w:rPr>
                <w:sz w:val="19"/>
                <w:szCs w:val="19"/>
              </w:rPr>
              <w:t>S</w:t>
            </w:r>
            <w:r w:rsidR="00320CFC">
              <w:rPr>
                <w:sz w:val="19"/>
                <w:szCs w:val="19"/>
              </w:rPr>
              <w:t xml:space="preserve"> ($)</w:t>
            </w:r>
          </w:p>
        </w:tc>
        <w:tc>
          <w:tcPr>
            <w:tcW w:w="647" w:type="pct"/>
            <w:shd w:val="clear" w:color="auto" w:fill="auto"/>
            <w:vAlign w:val="center"/>
          </w:tcPr>
          <w:p w14:paraId="09950573" w14:textId="066E8545" w:rsidR="00605910" w:rsidRPr="00320CFC" w:rsidRDefault="00E020DE" w:rsidP="00D83473">
            <w:pPr>
              <w:pStyle w:val="TableText0"/>
              <w:jc w:val="center"/>
              <w:rPr>
                <w:highlight w:val="lightGray"/>
              </w:rPr>
            </w:pPr>
            <w:r w:rsidRPr="00E020DE">
              <w:rPr>
                <w:b/>
                <w:color w:val="000000"/>
                <w:spacing w:val="178"/>
                <w:shd w:val="solid" w:color="000000" w:fill="000000"/>
                <w:fitText w:val="270" w:id="-1435269882"/>
                <w14:textFill>
                  <w14:solidFill>
                    <w14:srgbClr w14:val="000000">
                      <w14:alpha w14:val="100000"/>
                    </w14:srgbClr>
                  </w14:solidFill>
                </w14:textFill>
              </w:rPr>
              <w:t>|</w:t>
            </w:r>
            <w:r w:rsidRPr="00E020DE">
              <w:rPr>
                <w:b/>
                <w:color w:val="000000"/>
                <w:spacing w:val="1"/>
                <w:shd w:val="solid" w:color="000000" w:fill="000000"/>
                <w:fitText w:val="270" w:id="-1435269882"/>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34FEBA43" w14:textId="52D3BA72" w:rsidR="00605910" w:rsidRPr="00320CFC" w:rsidRDefault="00E020DE" w:rsidP="00D83473">
            <w:pPr>
              <w:pStyle w:val="TableText0"/>
              <w:jc w:val="center"/>
              <w:rPr>
                <w:highlight w:val="lightGray"/>
              </w:rPr>
            </w:pPr>
            <w:r w:rsidRPr="00E020DE">
              <w:rPr>
                <w:b/>
                <w:color w:val="000000"/>
                <w:spacing w:val="178"/>
                <w:shd w:val="solid" w:color="000000" w:fill="000000"/>
                <w:fitText w:val="270" w:id="-1435269881"/>
                <w14:textFill>
                  <w14:solidFill>
                    <w14:srgbClr w14:val="000000">
                      <w14:alpha w14:val="100000"/>
                    </w14:srgbClr>
                  </w14:solidFill>
                </w14:textFill>
              </w:rPr>
              <w:t>|</w:t>
            </w:r>
            <w:r w:rsidRPr="00E020DE">
              <w:rPr>
                <w:b/>
                <w:color w:val="000000"/>
                <w:spacing w:val="1"/>
                <w:shd w:val="solid" w:color="000000" w:fill="000000"/>
                <w:fitText w:val="270" w:id="-1435269881"/>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2B3C59A2" w14:textId="1EFF67F5" w:rsidR="00605910" w:rsidRPr="00320CFC" w:rsidRDefault="00E020DE" w:rsidP="00D83473">
            <w:pPr>
              <w:pStyle w:val="TableText0"/>
              <w:jc w:val="center"/>
              <w:rPr>
                <w:highlight w:val="lightGray"/>
              </w:rPr>
            </w:pPr>
            <w:r w:rsidRPr="00E020DE">
              <w:rPr>
                <w:b/>
                <w:color w:val="000000"/>
                <w:spacing w:val="178"/>
                <w:shd w:val="solid" w:color="000000" w:fill="000000"/>
                <w:fitText w:val="270" w:id="-1435269632"/>
                <w14:textFill>
                  <w14:solidFill>
                    <w14:srgbClr w14:val="000000">
                      <w14:alpha w14:val="100000"/>
                    </w14:srgbClr>
                  </w14:solidFill>
                </w14:textFill>
              </w:rPr>
              <w:t>|</w:t>
            </w:r>
            <w:r w:rsidRPr="00E020DE">
              <w:rPr>
                <w:b/>
                <w:color w:val="000000"/>
                <w:spacing w:val="1"/>
                <w:shd w:val="solid" w:color="000000" w:fill="000000"/>
                <w:fitText w:val="270" w:id="-1435269632"/>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454765A8" w14:textId="54D37412" w:rsidR="00605910" w:rsidRPr="00320CFC" w:rsidRDefault="00E020DE" w:rsidP="00D83473">
            <w:pPr>
              <w:pStyle w:val="TableText0"/>
              <w:jc w:val="center"/>
              <w:rPr>
                <w:highlight w:val="lightGray"/>
              </w:rPr>
            </w:pPr>
            <w:r w:rsidRPr="00E020DE">
              <w:rPr>
                <w:b/>
                <w:color w:val="000000"/>
                <w:spacing w:val="178"/>
                <w:shd w:val="solid" w:color="000000" w:fill="000000"/>
                <w:fitText w:val="270" w:id="-1435269631"/>
                <w14:textFill>
                  <w14:solidFill>
                    <w14:srgbClr w14:val="000000">
                      <w14:alpha w14:val="100000"/>
                    </w14:srgbClr>
                  </w14:solidFill>
                </w14:textFill>
              </w:rPr>
              <w:t>|</w:t>
            </w:r>
            <w:r w:rsidRPr="00E020DE">
              <w:rPr>
                <w:b/>
                <w:color w:val="000000"/>
                <w:spacing w:val="1"/>
                <w:shd w:val="solid" w:color="000000" w:fill="000000"/>
                <w:fitText w:val="270" w:id="-1435269631"/>
                <w14:textFill>
                  <w14:solidFill>
                    <w14:srgbClr w14:val="000000">
                      <w14:alpha w14:val="100000"/>
                    </w14:srgbClr>
                  </w14:solidFill>
                </w14:textFill>
              </w:rPr>
              <w:t>|</w:t>
            </w:r>
            <w:r w:rsidR="00637B21" w:rsidRPr="00320CFC">
              <w:rPr>
                <w:bCs w:val="0"/>
                <w:vertAlign w:val="superscript"/>
              </w:rPr>
              <w:t>3</w:t>
            </w:r>
          </w:p>
        </w:tc>
        <w:tc>
          <w:tcPr>
            <w:tcW w:w="647" w:type="pct"/>
            <w:shd w:val="clear" w:color="auto" w:fill="auto"/>
            <w:vAlign w:val="center"/>
          </w:tcPr>
          <w:p w14:paraId="5F13B4A6" w14:textId="74FE041C" w:rsidR="00605910" w:rsidRPr="00320CFC" w:rsidRDefault="00E020DE" w:rsidP="00D83473">
            <w:pPr>
              <w:pStyle w:val="TableText0"/>
              <w:jc w:val="center"/>
              <w:rPr>
                <w:highlight w:val="lightGray"/>
              </w:rPr>
            </w:pPr>
            <w:r w:rsidRPr="00E020DE">
              <w:rPr>
                <w:b/>
                <w:color w:val="000000"/>
                <w:spacing w:val="178"/>
                <w:shd w:val="solid" w:color="000000" w:fill="000000"/>
                <w:fitText w:val="270" w:id="-1435269630"/>
                <w14:textFill>
                  <w14:solidFill>
                    <w14:srgbClr w14:val="000000">
                      <w14:alpha w14:val="100000"/>
                    </w14:srgbClr>
                  </w14:solidFill>
                </w14:textFill>
              </w:rPr>
              <w:t>|</w:t>
            </w:r>
            <w:r w:rsidRPr="00E020DE">
              <w:rPr>
                <w:b/>
                <w:color w:val="000000"/>
                <w:spacing w:val="1"/>
                <w:shd w:val="solid" w:color="000000" w:fill="000000"/>
                <w:fitText w:val="270" w:id="-1435269630"/>
                <w14:textFill>
                  <w14:solidFill>
                    <w14:srgbClr w14:val="000000">
                      <w14:alpha w14:val="100000"/>
                    </w14:srgbClr>
                  </w14:solidFill>
                </w14:textFill>
              </w:rPr>
              <w:t>|</w:t>
            </w:r>
            <w:r w:rsidR="00637B21" w:rsidRPr="00320CFC">
              <w:rPr>
                <w:bCs w:val="0"/>
                <w:vertAlign w:val="superscript"/>
              </w:rPr>
              <w:t>3</w:t>
            </w:r>
          </w:p>
        </w:tc>
        <w:tc>
          <w:tcPr>
            <w:tcW w:w="649" w:type="pct"/>
            <w:vAlign w:val="center"/>
          </w:tcPr>
          <w:p w14:paraId="12061D3F" w14:textId="187D997A" w:rsidR="00605910" w:rsidRPr="00320CFC" w:rsidRDefault="00E020DE" w:rsidP="00D83473">
            <w:pPr>
              <w:pStyle w:val="TableText0"/>
              <w:jc w:val="center"/>
              <w:rPr>
                <w:highlight w:val="lightGray"/>
              </w:rPr>
            </w:pPr>
            <w:r w:rsidRPr="00E020DE">
              <w:rPr>
                <w:b/>
                <w:color w:val="000000"/>
                <w:spacing w:val="178"/>
                <w:shd w:val="solid" w:color="000000" w:fill="000000"/>
                <w:fitText w:val="270" w:id="-1435269629"/>
                <w14:textFill>
                  <w14:solidFill>
                    <w14:srgbClr w14:val="000000">
                      <w14:alpha w14:val="100000"/>
                    </w14:srgbClr>
                  </w14:solidFill>
                </w14:textFill>
              </w:rPr>
              <w:t>|</w:t>
            </w:r>
            <w:r w:rsidRPr="00E020DE">
              <w:rPr>
                <w:b/>
                <w:color w:val="000000"/>
                <w:spacing w:val="1"/>
                <w:shd w:val="solid" w:color="000000" w:fill="000000"/>
                <w:fitText w:val="270" w:id="-1435269629"/>
                <w14:textFill>
                  <w14:solidFill>
                    <w14:srgbClr w14:val="000000">
                      <w14:alpha w14:val="100000"/>
                    </w14:srgbClr>
                  </w14:solidFill>
                </w14:textFill>
              </w:rPr>
              <w:t>|</w:t>
            </w:r>
            <w:r w:rsidR="00637B21" w:rsidRPr="00320CFC">
              <w:rPr>
                <w:bCs w:val="0"/>
                <w:vertAlign w:val="superscript"/>
              </w:rPr>
              <w:t>3</w:t>
            </w:r>
          </w:p>
        </w:tc>
      </w:tr>
    </w:tbl>
    <w:p w14:paraId="0C31923D" w14:textId="611CBC19" w:rsidR="00605910" w:rsidRPr="003B4086" w:rsidRDefault="00605910" w:rsidP="00605910">
      <w:pPr>
        <w:spacing w:before="20" w:after="20"/>
        <w:jc w:val="left"/>
        <w:rPr>
          <w:rFonts w:ascii="Arial Narrow" w:eastAsiaTheme="minorHAnsi" w:hAnsi="Arial Narrow"/>
          <w:bCs/>
          <w:color w:val="222222"/>
          <w:sz w:val="18"/>
          <w:szCs w:val="18"/>
          <w:lang w:eastAsia="en-US"/>
        </w:rPr>
      </w:pPr>
      <w:bookmarkStart w:id="74" w:name="_Toc22897648"/>
      <w:bookmarkStart w:id="75" w:name="_Toc22898860"/>
      <w:r w:rsidRPr="003B4086">
        <w:rPr>
          <w:rFonts w:ascii="Arial Narrow" w:eastAsiaTheme="minorHAnsi" w:hAnsi="Arial Narrow"/>
          <w:bCs/>
          <w:color w:val="222222"/>
          <w:sz w:val="18"/>
          <w:szCs w:val="18"/>
          <w:lang w:eastAsia="en-US"/>
        </w:rPr>
        <w:t xml:space="preserve">Source: Compiled during the evaluation, based on ‘Attachment 13 </w:t>
      </w:r>
      <w:r w:rsidR="00FF0970" w:rsidRPr="003B4086">
        <w:rPr>
          <w:rFonts w:ascii="Arial Narrow" w:eastAsiaTheme="minorHAnsi" w:hAnsi="Arial Narrow"/>
          <w:bCs/>
          <w:color w:val="222222"/>
          <w:sz w:val="18"/>
          <w:szCs w:val="18"/>
          <w:lang w:eastAsia="en-US"/>
        </w:rPr>
        <w:t>–</w:t>
      </w:r>
      <w:r w:rsidRPr="003B4086">
        <w:rPr>
          <w:rFonts w:ascii="Arial Narrow" w:eastAsiaTheme="minorHAnsi" w:hAnsi="Arial Narrow"/>
          <w:bCs/>
          <w:color w:val="222222"/>
          <w:sz w:val="18"/>
          <w:szCs w:val="18"/>
          <w:lang w:eastAsia="en-US"/>
        </w:rPr>
        <w:t xml:space="preserve"> Nivolumab Adjuvant MIUC Utilisation and Cost Model’ Excel workbook </w:t>
      </w:r>
    </w:p>
    <w:p w14:paraId="64C3F7E3" w14:textId="72C831E0" w:rsidR="00605910" w:rsidRPr="003B4086" w:rsidRDefault="00605910" w:rsidP="00605910">
      <w:pPr>
        <w:spacing w:before="20" w:after="20"/>
        <w:jc w:val="left"/>
        <w:rPr>
          <w:rFonts w:ascii="Arial Narrow" w:eastAsiaTheme="minorHAnsi" w:hAnsi="Arial Narrow"/>
          <w:bCs/>
          <w:color w:val="222222"/>
          <w:sz w:val="18"/>
          <w:szCs w:val="18"/>
          <w:lang w:eastAsia="en-US"/>
        </w:rPr>
      </w:pPr>
      <w:r w:rsidRPr="003B4086">
        <w:rPr>
          <w:rFonts w:ascii="Arial Narrow" w:eastAsiaTheme="minorHAnsi" w:hAnsi="Arial Narrow"/>
          <w:bCs/>
          <w:color w:val="222222"/>
          <w:sz w:val="18"/>
          <w:szCs w:val="18"/>
          <w:lang w:eastAsia="en-US"/>
        </w:rPr>
        <w:t>MBS = Medicare Benefits Scheme; PBS = Pharmaceutical Benefits Scheme; RPBS = Repatriation Pharmaceutical Benefits Scheme</w:t>
      </w:r>
    </w:p>
    <w:p w14:paraId="052E41E2" w14:textId="407E6511" w:rsidR="0088322E" w:rsidRDefault="0088322E" w:rsidP="00605910">
      <w:pPr>
        <w:spacing w:before="20" w:after="20"/>
        <w:jc w:val="left"/>
        <w:rPr>
          <w:rFonts w:ascii="Arial Narrow" w:eastAsiaTheme="minorHAnsi" w:hAnsi="Arial Narrow"/>
          <w:bCs/>
          <w:color w:val="222222"/>
          <w:sz w:val="18"/>
          <w:szCs w:val="18"/>
          <w:lang w:eastAsia="en-US"/>
        </w:rPr>
      </w:pPr>
      <w:r w:rsidRPr="003B4086">
        <w:rPr>
          <w:rFonts w:ascii="Arial Narrow" w:eastAsiaTheme="minorHAnsi" w:hAnsi="Arial Narrow"/>
          <w:bCs/>
          <w:color w:val="222222"/>
          <w:sz w:val="18"/>
          <w:szCs w:val="18"/>
          <w:vertAlign w:val="superscript"/>
          <w:lang w:eastAsia="en-US"/>
        </w:rPr>
        <w:t xml:space="preserve">a </w:t>
      </w:r>
      <w:r w:rsidRPr="003B4086">
        <w:rPr>
          <w:rFonts w:ascii="Arial Narrow" w:eastAsiaTheme="minorHAnsi" w:hAnsi="Arial Narrow"/>
          <w:bCs/>
          <w:color w:val="222222"/>
          <w:sz w:val="18"/>
          <w:szCs w:val="18"/>
          <w:lang w:eastAsia="en-US"/>
        </w:rPr>
        <w:t>The mean number of scripts was 16.96 for the 240 mg Q2W dosing regimen (10% of patients) and 8.48 for the 480 mg Q4W dosing regimen (90% of patients).</w:t>
      </w:r>
    </w:p>
    <w:p w14:paraId="4BF81956" w14:textId="07F0E21F" w:rsidR="00320CFC" w:rsidRDefault="00320CFC" w:rsidP="00605910">
      <w:pPr>
        <w:spacing w:before="20" w:after="20"/>
        <w:jc w:val="left"/>
        <w:rPr>
          <w:rFonts w:ascii="Arial Narrow" w:eastAsiaTheme="minorHAnsi" w:hAnsi="Arial Narrow"/>
          <w:bCs/>
          <w:color w:val="222222"/>
          <w:sz w:val="18"/>
          <w:szCs w:val="18"/>
          <w:lang w:eastAsia="en-US"/>
        </w:rPr>
      </w:pPr>
    </w:p>
    <w:p w14:paraId="500A4DCF" w14:textId="77777777" w:rsidR="00320CFC" w:rsidRPr="00546335" w:rsidRDefault="00320CFC" w:rsidP="00320CFC">
      <w:pPr>
        <w:pStyle w:val="TableFigureFooter"/>
        <w:keepNext/>
        <w:spacing w:after="0"/>
        <w:contextualSpacing w:val="0"/>
        <w:rPr>
          <w:i/>
        </w:rPr>
      </w:pPr>
      <w:r w:rsidRPr="00546335">
        <w:rPr>
          <w:i/>
        </w:rPr>
        <w:t>The redacted values correspond to the following ranges:</w:t>
      </w:r>
    </w:p>
    <w:p w14:paraId="3F1F65A0" w14:textId="24C29CD7" w:rsidR="00320CFC" w:rsidRPr="00320CFC" w:rsidRDefault="00320CFC" w:rsidP="00605910">
      <w:pPr>
        <w:spacing w:before="20" w:after="20"/>
        <w:jc w:val="left"/>
        <w:rPr>
          <w:rFonts w:ascii="Arial Narrow" w:eastAsiaTheme="minorHAnsi" w:hAnsi="Arial Narrow"/>
          <w:bCs/>
          <w:color w:val="222222"/>
          <w:sz w:val="18"/>
          <w:szCs w:val="18"/>
          <w:lang w:eastAsia="en-US"/>
        </w:rPr>
      </w:pPr>
      <w:r>
        <w:rPr>
          <w:rFonts w:ascii="Arial Narrow" w:eastAsiaTheme="minorHAnsi" w:hAnsi="Arial Narrow"/>
          <w:bCs/>
          <w:color w:val="222222"/>
          <w:sz w:val="18"/>
          <w:szCs w:val="18"/>
          <w:vertAlign w:val="superscript"/>
          <w:lang w:eastAsia="en-US"/>
        </w:rPr>
        <w:t>1</w:t>
      </w:r>
      <w:r>
        <w:rPr>
          <w:rFonts w:ascii="Arial Narrow" w:eastAsiaTheme="minorHAnsi" w:hAnsi="Arial Narrow"/>
          <w:bCs/>
          <w:color w:val="222222"/>
          <w:sz w:val="18"/>
          <w:szCs w:val="18"/>
          <w:lang w:eastAsia="en-US"/>
        </w:rPr>
        <w:t xml:space="preserve"> &lt; 500</w:t>
      </w:r>
    </w:p>
    <w:p w14:paraId="0B3ED95A" w14:textId="7BA45242" w:rsidR="00DA327A" w:rsidRDefault="00320CFC" w:rsidP="00605910">
      <w:pPr>
        <w:spacing w:before="20" w:after="20"/>
        <w:jc w:val="left"/>
        <w:rPr>
          <w:rFonts w:ascii="Arial Narrow" w:eastAsiaTheme="minorHAnsi" w:hAnsi="Arial Narrow"/>
          <w:bCs/>
          <w:color w:val="222222"/>
          <w:sz w:val="18"/>
          <w:szCs w:val="18"/>
          <w:lang w:eastAsia="en-US"/>
        </w:rPr>
      </w:pPr>
      <w:r w:rsidRPr="00320CFC">
        <w:rPr>
          <w:rFonts w:ascii="Arial Narrow" w:eastAsiaTheme="minorHAnsi" w:hAnsi="Arial Narrow"/>
          <w:bCs/>
          <w:color w:val="222222"/>
          <w:sz w:val="18"/>
          <w:szCs w:val="18"/>
          <w:vertAlign w:val="superscript"/>
          <w:lang w:eastAsia="en-US"/>
        </w:rPr>
        <w:t xml:space="preserve">2 </w:t>
      </w:r>
      <w:r w:rsidRPr="00320CFC">
        <w:rPr>
          <w:rFonts w:ascii="Arial Narrow" w:eastAsiaTheme="minorHAnsi" w:hAnsi="Arial Narrow"/>
          <w:bCs/>
          <w:color w:val="222222"/>
          <w:sz w:val="18"/>
          <w:szCs w:val="18"/>
          <w:lang w:eastAsia="en-US"/>
        </w:rPr>
        <w:t>500 to &lt; 5,000</w:t>
      </w:r>
    </w:p>
    <w:p w14:paraId="69F4A722" w14:textId="3162FF20" w:rsidR="00637B21" w:rsidRDefault="00637B21" w:rsidP="00605910">
      <w:pPr>
        <w:spacing w:before="20" w:after="20"/>
        <w:jc w:val="left"/>
        <w:rPr>
          <w:rFonts w:ascii="Arial Narrow" w:eastAsiaTheme="minorHAnsi" w:hAnsi="Arial Narrow"/>
          <w:bCs/>
          <w:color w:val="222222"/>
          <w:sz w:val="18"/>
          <w:szCs w:val="18"/>
          <w:lang w:eastAsia="en-US"/>
        </w:rPr>
      </w:pPr>
      <w:r>
        <w:rPr>
          <w:rFonts w:ascii="Arial Narrow" w:eastAsiaTheme="minorHAnsi" w:hAnsi="Arial Narrow"/>
          <w:bCs/>
          <w:color w:val="222222"/>
          <w:sz w:val="18"/>
          <w:szCs w:val="18"/>
          <w:vertAlign w:val="superscript"/>
          <w:lang w:eastAsia="en-US"/>
        </w:rPr>
        <w:t>3</w:t>
      </w:r>
      <w:r>
        <w:rPr>
          <w:rFonts w:ascii="Arial Narrow" w:eastAsiaTheme="minorHAnsi" w:hAnsi="Arial Narrow"/>
          <w:bCs/>
          <w:color w:val="222222"/>
          <w:sz w:val="18"/>
          <w:szCs w:val="18"/>
          <w:lang w:eastAsia="en-US"/>
        </w:rPr>
        <w:t>$10 million to &lt; $20 million</w:t>
      </w:r>
    </w:p>
    <w:p w14:paraId="3DE2470A" w14:textId="31C1E6BC" w:rsidR="00637B21" w:rsidRPr="00637B21" w:rsidRDefault="00637B21" w:rsidP="00605910">
      <w:pPr>
        <w:spacing w:before="20" w:after="20"/>
        <w:jc w:val="left"/>
        <w:rPr>
          <w:rFonts w:ascii="Arial Narrow" w:eastAsiaTheme="minorHAnsi" w:hAnsi="Arial Narrow"/>
          <w:bCs/>
          <w:color w:val="222222"/>
          <w:sz w:val="18"/>
          <w:szCs w:val="18"/>
          <w:lang w:eastAsia="en-US"/>
        </w:rPr>
      </w:pPr>
      <w:r>
        <w:rPr>
          <w:rFonts w:ascii="Arial Narrow" w:eastAsiaTheme="minorHAnsi" w:hAnsi="Arial Narrow"/>
          <w:bCs/>
          <w:color w:val="222222"/>
          <w:sz w:val="18"/>
          <w:szCs w:val="18"/>
          <w:vertAlign w:val="superscript"/>
          <w:lang w:eastAsia="en-US"/>
        </w:rPr>
        <w:t>4</w:t>
      </w:r>
      <w:r>
        <w:rPr>
          <w:rFonts w:ascii="Arial Narrow" w:eastAsiaTheme="minorHAnsi" w:hAnsi="Arial Narrow"/>
          <w:bCs/>
          <w:color w:val="222222"/>
          <w:sz w:val="18"/>
          <w:szCs w:val="18"/>
          <w:lang w:eastAsia="en-US"/>
        </w:rPr>
        <w:t>$0 to &lt; $10 million</w:t>
      </w:r>
    </w:p>
    <w:p w14:paraId="4D09B57A" w14:textId="77777777" w:rsidR="00605910" w:rsidRPr="003B4086" w:rsidRDefault="00605910" w:rsidP="00605910">
      <w:pPr>
        <w:pStyle w:val="4-SubsectionHeading"/>
      </w:pPr>
      <w:bookmarkStart w:id="76" w:name="_Toc103768137"/>
      <w:r w:rsidRPr="003B4086">
        <w:t>Quality Use of Medicines</w:t>
      </w:r>
      <w:bookmarkEnd w:id="74"/>
      <w:bookmarkEnd w:id="75"/>
      <w:bookmarkEnd w:id="76"/>
    </w:p>
    <w:p w14:paraId="0883E663" w14:textId="33F59886" w:rsidR="00605910" w:rsidRDefault="00605910" w:rsidP="00605910">
      <w:pPr>
        <w:pStyle w:val="3-BodyText"/>
      </w:pPr>
      <w:bookmarkStart w:id="77" w:name="_Toc22897649"/>
      <w:bookmarkStart w:id="78" w:name="_Toc22898861"/>
      <w:r w:rsidRPr="003B4086">
        <w:t xml:space="preserve">The submission stated that the </w:t>
      </w:r>
      <w:r w:rsidR="00CD56A9">
        <w:t>s</w:t>
      </w:r>
      <w:r w:rsidRPr="003B4086">
        <w:t xml:space="preserve">ponsor is committed to supporting the safe and effective use of nivolumab in Australia. Given the adverse effect profile of </w:t>
      </w:r>
      <w:r w:rsidR="00C27F27" w:rsidRPr="003B4086">
        <w:t>immune</w:t>
      </w:r>
      <w:r w:rsidRPr="003B4086">
        <w:t>-</w:t>
      </w:r>
      <w:r w:rsidRPr="003B4086">
        <w:lastRenderedPageBreak/>
        <w:t xml:space="preserve">oncology agents, the </w:t>
      </w:r>
      <w:r w:rsidR="00CD56A9">
        <w:t>s</w:t>
      </w:r>
      <w:r w:rsidRPr="003B4086">
        <w:t xml:space="preserve">ponsor has established an extensive quality use of medicines (QUM) approach to optimise the potential benefits of treatment with nivolumab, while minimising the potential risks of this medicine for Australian patients. The submission’s QUM activities include physician education, immune-oncology preceptorship, peer-to-peer support, nursing and pharmacy in-services, a risk management plan, educational materials and tools, and guidance on monitoring and treating immune related adverse reactions. </w:t>
      </w:r>
    </w:p>
    <w:p w14:paraId="17BCD2D1" w14:textId="60E18E25" w:rsidR="00506FC7" w:rsidRPr="003B4086" w:rsidRDefault="00506FC7" w:rsidP="00605910">
      <w:pPr>
        <w:pStyle w:val="3-BodyText"/>
      </w:pPr>
      <w:r>
        <w:t xml:space="preserve">The PBAC </w:t>
      </w:r>
      <w:r w:rsidR="00B06B00">
        <w:t>considered</w:t>
      </w:r>
      <w:r>
        <w:t xml:space="preserve"> </w:t>
      </w:r>
      <w:r w:rsidR="00B06B00">
        <w:t>the</w:t>
      </w:r>
      <w:r w:rsidRPr="00A97C8C">
        <w:t xml:space="preserve"> potential that UTUC patients eligible for effective adjuvant platinum-based chemotherapy may forgo clinical benefit if treated with nivolumab instead</w:t>
      </w:r>
      <w:r w:rsidR="00B06B00">
        <w:t xml:space="preserve"> </w:t>
      </w:r>
      <w:r w:rsidR="00DA327A">
        <w:t>w</w:t>
      </w:r>
      <w:r w:rsidR="00B06B00">
        <w:t xml:space="preserve">as a QUM issue. </w:t>
      </w:r>
    </w:p>
    <w:p w14:paraId="472A0801" w14:textId="77777777" w:rsidR="00605910" w:rsidRPr="003B4086" w:rsidRDefault="00605910" w:rsidP="00605910">
      <w:pPr>
        <w:pStyle w:val="4-SubsectionHeading"/>
      </w:pPr>
      <w:bookmarkStart w:id="79" w:name="_Toc103768138"/>
      <w:r w:rsidRPr="003B4086">
        <w:t>Financial Management – Risk Sharing Arrangements</w:t>
      </w:r>
      <w:bookmarkEnd w:id="77"/>
      <w:bookmarkEnd w:id="78"/>
      <w:bookmarkEnd w:id="79"/>
    </w:p>
    <w:p w14:paraId="3281F65D" w14:textId="1F147D38" w:rsidR="00605910" w:rsidRPr="003B4086" w:rsidRDefault="005259D0" w:rsidP="00605910">
      <w:pPr>
        <w:pStyle w:val="3-BodyText"/>
      </w:pPr>
      <w:r>
        <w:t>An</w:t>
      </w:r>
      <w:r w:rsidRPr="003B4086">
        <w:t xml:space="preserve"> </w:t>
      </w:r>
      <w:r w:rsidR="00605910" w:rsidRPr="003B4086">
        <w:t xml:space="preserve">RSA </w:t>
      </w:r>
      <w:r>
        <w:t>was not</w:t>
      </w:r>
      <w:r w:rsidRPr="003B4086">
        <w:t xml:space="preserve"> </w:t>
      </w:r>
      <w:r w:rsidR="00605910" w:rsidRPr="003B4086">
        <w:t>proposed by the submission. It is expected that the proposed listing of nivolumab as adjuvant therapy would affect the extent of use of other PD-1 inhibitors for treatment of advanced or metastatic urothelial carcinoma</w:t>
      </w:r>
      <w:r w:rsidR="00F45979" w:rsidRPr="003B4086">
        <w:t xml:space="preserve"> but this has not been estimated by the submission</w:t>
      </w:r>
      <w:r w:rsidR="00605910" w:rsidRPr="003B4086">
        <w:t>.</w:t>
      </w:r>
      <w:r w:rsidR="00AD5FE4" w:rsidRPr="003B4086">
        <w:t xml:space="preserve"> The </w:t>
      </w:r>
      <w:r w:rsidR="00CD56A9">
        <w:t>s</w:t>
      </w:r>
      <w:r w:rsidR="00AD5FE4" w:rsidRPr="003B4086">
        <w:t xml:space="preserve">ponsor stated in the PSCR </w:t>
      </w:r>
      <w:r w:rsidR="00CD56A9">
        <w:t xml:space="preserve">and pre-PBAC response </w:t>
      </w:r>
      <w:r w:rsidR="00AD5FE4" w:rsidRPr="003B4086">
        <w:t>that it is willing to enter a RSA related to expenditure to provide additional certainty to government.</w:t>
      </w:r>
    </w:p>
    <w:p w14:paraId="68822D91" w14:textId="03CAF937" w:rsidR="00ED1B15" w:rsidRPr="003B4086" w:rsidRDefault="00ED1B15" w:rsidP="00ED1B15">
      <w:pPr>
        <w:pStyle w:val="ListParagraph"/>
        <w:numPr>
          <w:ilvl w:val="0"/>
          <w:numId w:val="0"/>
        </w:numPr>
        <w:spacing w:after="160"/>
        <w:ind w:left="720"/>
        <w:rPr>
          <w:i/>
          <w:iCs/>
        </w:rPr>
      </w:pPr>
      <w:r w:rsidRPr="003B4086">
        <w:rPr>
          <w:i/>
          <w:iCs/>
        </w:rPr>
        <w:t>For more detail on PBAC’s view, see section 7 PBAC outcome.</w:t>
      </w:r>
    </w:p>
    <w:p w14:paraId="2669727F" w14:textId="58C6BF95" w:rsidR="00773A6D" w:rsidRDefault="00773A6D" w:rsidP="00B37291">
      <w:pPr>
        <w:pStyle w:val="2-SectionHeading"/>
      </w:pPr>
      <w:bookmarkStart w:id="80" w:name="_Hlk76381249"/>
      <w:bookmarkStart w:id="81" w:name="_Hlk76377955"/>
      <w:r w:rsidRPr="003B4086">
        <w:t>PBAC Outcome</w:t>
      </w:r>
    </w:p>
    <w:p w14:paraId="3F0C73C6" w14:textId="35977AF5" w:rsidR="005A2662" w:rsidRPr="00D97B7B" w:rsidRDefault="005259D0" w:rsidP="00D97B7B">
      <w:pPr>
        <w:pStyle w:val="3-BodyText"/>
        <w:rPr>
          <w:rFonts w:ascii="Calibri" w:hAnsi="Calibri" w:cs="Calibri"/>
          <w:sz w:val="22"/>
          <w:szCs w:val="22"/>
        </w:rPr>
      </w:pPr>
      <w:r>
        <w:t xml:space="preserve">The PBAC </w:t>
      </w:r>
      <w:r w:rsidRPr="005259D0">
        <w:t>did not recommend</w:t>
      </w:r>
      <w:r>
        <w:t xml:space="preserve"> the listing of nivolumab for adjuvant treatment of patients who have undergone radical resection of </w:t>
      </w:r>
      <w:r w:rsidR="00167356">
        <w:t>muscle invasive urothelial carcinoma (</w:t>
      </w:r>
      <w:r>
        <w:t>MIUC</w:t>
      </w:r>
      <w:r w:rsidR="00167356">
        <w:t>)</w:t>
      </w:r>
      <w:r>
        <w:t xml:space="preserve"> originating in the bladder or upper urinary tract (renal pelvis or ureter) and are at high risk of recurrence. </w:t>
      </w:r>
      <w:r w:rsidR="00167356">
        <w:t xml:space="preserve">The PBAC considered that, while a </w:t>
      </w:r>
      <w:r w:rsidR="00617290">
        <w:t xml:space="preserve">small </w:t>
      </w:r>
      <w:r w:rsidR="00167356">
        <w:t xml:space="preserve">improvement in disease free survival (DFS) was demonstrated with nivolumab compared to placebo in the overall trial population, there was a strong suggestion that a benefit was observed only in patients who had received prior neoadjuvant </w:t>
      </w:r>
      <w:r w:rsidR="004F38CF">
        <w:t>platinum</w:t>
      </w:r>
      <w:r w:rsidR="00167356">
        <w:t xml:space="preserve">-based chemotherapy. The PBAC also </w:t>
      </w:r>
      <w:r w:rsidR="00A9410C">
        <w:t>noted</w:t>
      </w:r>
      <w:r w:rsidR="00167356">
        <w:t xml:space="preserve"> the impact of nivolumab</w:t>
      </w:r>
      <w:r w:rsidR="00D040DA">
        <w:t xml:space="preserve"> as adjuvant treatment</w:t>
      </w:r>
      <w:r w:rsidR="00167356">
        <w:t xml:space="preserve"> on overall survival (OS) was unknown. The PBAC considered that the incremental cost-effectiveness ratio (ICER) was </w:t>
      </w:r>
      <w:r w:rsidR="000441BE">
        <w:t xml:space="preserve">uncertain and likely underestimated, and that revisions to the structure and inputs </w:t>
      </w:r>
      <w:r w:rsidR="0022321F">
        <w:t xml:space="preserve">for the economic model </w:t>
      </w:r>
      <w:r w:rsidR="000441BE">
        <w:t>are required</w:t>
      </w:r>
      <w:r w:rsidR="00167356">
        <w:t>.</w:t>
      </w:r>
    </w:p>
    <w:p w14:paraId="52D1F762" w14:textId="3C124824" w:rsidR="00623EAC" w:rsidRDefault="00D97B7B" w:rsidP="00A9410C">
      <w:pPr>
        <w:pStyle w:val="3-BodyText"/>
      </w:pPr>
      <w:r>
        <w:t>The PBAC</w:t>
      </w:r>
      <w:r w:rsidR="00425EF5">
        <w:t xml:space="preserve"> </w:t>
      </w:r>
      <w:r>
        <w:t xml:space="preserve">noted the </w:t>
      </w:r>
      <w:r w:rsidR="00527BDA">
        <w:t xml:space="preserve">input from health care professionals and organisations </w:t>
      </w:r>
      <w:r>
        <w:t xml:space="preserve">highlighting </w:t>
      </w:r>
      <w:r w:rsidR="00527BDA">
        <w:t xml:space="preserve">the impact of MIUC and its treatments on </w:t>
      </w:r>
      <w:r w:rsidR="0093313C">
        <w:t xml:space="preserve">health-related </w:t>
      </w:r>
      <w:r w:rsidR="00527BDA">
        <w:t xml:space="preserve">quality of life </w:t>
      </w:r>
      <w:r w:rsidR="0093313C">
        <w:t xml:space="preserve">(HRQoL) </w:t>
      </w:r>
      <w:r w:rsidR="00527BDA">
        <w:t>combined with the effects of a generally poor prognosis and fear of recurrence. The PBAC noted support for nivolumab for this indication from the Medical Oncology Group of Australia (MOGA). The PBAC considered there was</w:t>
      </w:r>
      <w:r w:rsidR="00185413">
        <w:t xml:space="preserve"> a moderate clinical need for more effective therapies for </w:t>
      </w:r>
      <w:r w:rsidR="00425EF5">
        <w:t>this indication</w:t>
      </w:r>
      <w:r w:rsidR="00D040DA">
        <w:t>, noting that</w:t>
      </w:r>
      <w:r w:rsidR="00425EF5">
        <w:t xml:space="preserve"> neoadjuvant </w:t>
      </w:r>
      <w:r w:rsidR="00D040DA">
        <w:t>chemo</w:t>
      </w:r>
      <w:r w:rsidR="00425EF5">
        <w:t>therap</w:t>
      </w:r>
      <w:r w:rsidR="00D040DA">
        <w:t>y</w:t>
      </w:r>
      <w:r w:rsidR="00425EF5">
        <w:t xml:space="preserve"> </w:t>
      </w:r>
      <w:r w:rsidR="00380924">
        <w:t>can be</w:t>
      </w:r>
      <w:r w:rsidR="00425EF5">
        <w:t xml:space="preserve"> effective and </w:t>
      </w:r>
      <w:r w:rsidR="00A9410C">
        <w:t xml:space="preserve">immunotherapy </w:t>
      </w:r>
      <w:r w:rsidR="00D040DA">
        <w:t>is</w:t>
      </w:r>
      <w:r w:rsidR="00425EF5">
        <w:t xml:space="preserve"> available in the metastatic setting.  </w:t>
      </w:r>
    </w:p>
    <w:p w14:paraId="759C78DB" w14:textId="3936BA55" w:rsidR="00DB5393" w:rsidRPr="00717DB5" w:rsidRDefault="006363DE" w:rsidP="00DB5393">
      <w:pPr>
        <w:pStyle w:val="3-BodyText"/>
        <w:rPr>
          <w:lang w:val="en-GB"/>
        </w:rPr>
      </w:pPr>
      <w:r w:rsidRPr="00717DB5">
        <w:rPr>
          <w:lang w:val="en-GB"/>
        </w:rPr>
        <w:t xml:space="preserve">The PBAC considered the comparator of </w:t>
      </w:r>
      <w:r w:rsidR="005F5EAB" w:rsidRPr="00717DB5">
        <w:rPr>
          <w:lang w:val="en-GB"/>
        </w:rPr>
        <w:t xml:space="preserve">watchful waiting </w:t>
      </w:r>
      <w:r w:rsidR="00DB5393" w:rsidRPr="00717DB5">
        <w:rPr>
          <w:lang w:val="en-GB"/>
        </w:rPr>
        <w:t>appropriate</w:t>
      </w:r>
      <w:r w:rsidR="00DB5393" w:rsidRPr="00717DB5">
        <w:t>.</w:t>
      </w:r>
      <w:r w:rsidR="00717DB5" w:rsidRPr="00717DB5">
        <w:t xml:space="preserve"> </w:t>
      </w:r>
      <w:r w:rsidR="00FC41F0">
        <w:t xml:space="preserve">However, the PBAC agreed with the ESC that </w:t>
      </w:r>
      <w:r w:rsidR="00FC41F0">
        <w:rPr>
          <w:snapToGrid/>
        </w:rPr>
        <w:t>a</w:t>
      </w:r>
      <w:r w:rsidR="00FC41F0" w:rsidRPr="003B4086">
        <w:rPr>
          <w:snapToGrid/>
        </w:rPr>
        <w:t xml:space="preserve">djuvant platinum-based chemotherapy </w:t>
      </w:r>
      <w:r w:rsidR="00DA327A">
        <w:rPr>
          <w:snapToGrid/>
        </w:rPr>
        <w:t>wa</w:t>
      </w:r>
      <w:r w:rsidR="00FC41F0" w:rsidRPr="003B4086">
        <w:rPr>
          <w:snapToGrid/>
        </w:rPr>
        <w:t>s a relevant comparator in eligible patients who have not received neoadjuvant chemotherapy</w:t>
      </w:r>
      <w:r w:rsidR="00FC41F0">
        <w:rPr>
          <w:snapToGrid/>
        </w:rPr>
        <w:t>.</w:t>
      </w:r>
    </w:p>
    <w:p w14:paraId="02A9DA53" w14:textId="4BC0B7DD" w:rsidR="00FC41F0" w:rsidRDefault="006363DE" w:rsidP="00200A6E">
      <w:pPr>
        <w:pStyle w:val="3-BodyText"/>
      </w:pPr>
      <w:r w:rsidRPr="00200A6E">
        <w:lastRenderedPageBreak/>
        <w:t xml:space="preserve">The primary clinical evidence supporting the clinical claim was the </w:t>
      </w:r>
      <w:r w:rsidR="00DB5393" w:rsidRPr="00200A6E">
        <w:t>CM274 clinical</w:t>
      </w:r>
      <w:r w:rsidRPr="00200A6E">
        <w:t xml:space="preserve"> trial (N=</w:t>
      </w:r>
      <w:r w:rsidR="00DB5393" w:rsidRPr="00200A6E">
        <w:t>709</w:t>
      </w:r>
      <w:r w:rsidRPr="00200A6E">
        <w:t>)</w:t>
      </w:r>
      <w:r w:rsidR="00DB5393" w:rsidRPr="00200A6E">
        <w:t xml:space="preserve"> comparing adjuvant </w:t>
      </w:r>
      <w:r w:rsidR="00D103F9" w:rsidRPr="00200A6E">
        <w:t>nivolumab</w:t>
      </w:r>
      <w:r w:rsidR="00DB5393" w:rsidRPr="00200A6E">
        <w:t xml:space="preserve"> with </w:t>
      </w:r>
      <w:r w:rsidR="00D103F9" w:rsidRPr="00200A6E">
        <w:t>placebo in subjects with high</w:t>
      </w:r>
      <w:r w:rsidR="00076514" w:rsidRPr="00200A6E">
        <w:t xml:space="preserve"> </w:t>
      </w:r>
      <w:r w:rsidR="00D103F9" w:rsidRPr="00200A6E">
        <w:t>risk invasive urothelial carcinoma</w:t>
      </w:r>
      <w:r w:rsidR="00DB5393" w:rsidRPr="00200A6E">
        <w:t xml:space="preserve">. </w:t>
      </w:r>
      <w:r w:rsidR="00AB0894" w:rsidRPr="00200A6E">
        <w:t xml:space="preserve">The PBAC noted </w:t>
      </w:r>
      <w:r w:rsidR="00200A6E" w:rsidRPr="00200A6E">
        <w:t xml:space="preserve">a statistically significant reduction in the hazard of recurrence or death favouring nivolumab (hazard ratio (HR) </w:t>
      </w:r>
      <w:r w:rsidR="00DA327A">
        <w:t>= 0.70 (</w:t>
      </w:r>
      <w:r w:rsidR="00200A6E" w:rsidRPr="006B42D4">
        <w:t>95% CI: 0.57, 0.85</w:t>
      </w:r>
      <w:r w:rsidR="00200A6E">
        <w:t>)</w:t>
      </w:r>
      <w:r w:rsidR="00DA327A">
        <w:t>)</w:t>
      </w:r>
      <w:r w:rsidR="00AB38F1">
        <w:t xml:space="preserve"> with no difference in HRQoL</w:t>
      </w:r>
      <w:r w:rsidR="00200A6E">
        <w:t xml:space="preserve">. However, </w:t>
      </w:r>
      <w:r w:rsidR="00A03F81">
        <w:t xml:space="preserve">the PBAC considered </w:t>
      </w:r>
      <w:r w:rsidR="00AB38F1">
        <w:t xml:space="preserve">that </w:t>
      </w:r>
      <w:r w:rsidR="00200A6E">
        <w:t>n</w:t>
      </w:r>
      <w:r w:rsidR="00AB0894" w:rsidRPr="00A97C8C">
        <w:t>o clear improvement in DFS was observed with nivolumab over placebo in patients who had not received prior neoadjuvant cisplatin-based chemotherapy (</w:t>
      </w:r>
      <w:r w:rsidR="00AB0894">
        <w:t>p</w:t>
      </w:r>
      <w:r w:rsidR="00AB0894" w:rsidRPr="00A97C8C">
        <w:t xml:space="preserve">rior use: HR = 0.52 (95% CI: 0.39, 0.71); </w:t>
      </w:r>
      <w:r w:rsidR="00AB0894">
        <w:t>n</w:t>
      </w:r>
      <w:r w:rsidR="00AB0894" w:rsidRPr="00A97C8C">
        <w:t>o prior use: HR = 0.90 (95% CI: 0.68, 1.18)).</w:t>
      </w:r>
      <w:r w:rsidR="00FB7B38">
        <w:t xml:space="preserve"> </w:t>
      </w:r>
      <w:r w:rsidR="00A03F81">
        <w:t xml:space="preserve">The PBAC also considered </w:t>
      </w:r>
      <w:r w:rsidR="00A03F81" w:rsidRPr="00CF7D68">
        <w:t>that the magnitude of treatment benefit for patients</w:t>
      </w:r>
      <w:r w:rsidR="00A03F81">
        <w:t xml:space="preserve"> with a</w:t>
      </w:r>
      <w:r w:rsidR="00004C6A">
        <w:t>n</w:t>
      </w:r>
      <w:r w:rsidR="00A03F81">
        <w:t xml:space="preserve"> </w:t>
      </w:r>
      <w:r w:rsidR="00A03F81" w:rsidRPr="008462F8">
        <w:rPr>
          <w:iCs/>
        </w:rPr>
        <w:t xml:space="preserve">upper tract urothelial cancer </w:t>
      </w:r>
      <w:r w:rsidR="00A03F81">
        <w:rPr>
          <w:iCs/>
        </w:rPr>
        <w:t>(</w:t>
      </w:r>
      <w:r w:rsidR="00A03F81">
        <w:t xml:space="preserve">UTUC) was highly uncertain. </w:t>
      </w:r>
      <w:r w:rsidR="0037019C">
        <w:t>Nonetheless</w:t>
      </w:r>
      <w:r w:rsidR="00A03F81">
        <w:t xml:space="preserve">, the PBAC agreed with the ESC that given the small sample size it </w:t>
      </w:r>
      <w:r w:rsidR="00A03F81" w:rsidRPr="003F2EB0">
        <w:t>cannot be reliably concluded that patients with UTUC tumours are different from the whole study population</w:t>
      </w:r>
      <w:r w:rsidR="00A03F81">
        <w:t xml:space="preserve">. </w:t>
      </w:r>
    </w:p>
    <w:p w14:paraId="3E2E9B03" w14:textId="5F5F35C9" w:rsidR="00FC4160" w:rsidRPr="00FC4160" w:rsidRDefault="0078780C" w:rsidP="00E34F07">
      <w:pPr>
        <w:pStyle w:val="3-BodyText"/>
        <w:rPr>
          <w:lang w:val="en-GB"/>
        </w:rPr>
      </w:pPr>
      <w:r w:rsidRPr="001B6449">
        <w:t xml:space="preserve">The PBAC noted </w:t>
      </w:r>
      <w:r>
        <w:t>that</w:t>
      </w:r>
      <w:r w:rsidR="003A727C">
        <w:t xml:space="preserve"> only an interim analysis of</w:t>
      </w:r>
      <w:r>
        <w:t xml:space="preserve"> </w:t>
      </w:r>
      <w:r w:rsidRPr="00406522">
        <w:t xml:space="preserve">OS data </w:t>
      </w:r>
      <w:r w:rsidR="003A727C">
        <w:t>was available and that the data remain</w:t>
      </w:r>
      <w:r w:rsidR="00B91148">
        <w:t>ed</w:t>
      </w:r>
      <w:r w:rsidRPr="00406522">
        <w:t xml:space="preserve"> immature</w:t>
      </w:r>
      <w:r w:rsidR="003A727C">
        <w:t xml:space="preserve">. </w:t>
      </w:r>
      <w:r w:rsidR="00977814">
        <w:t>In addition, the</w:t>
      </w:r>
      <w:r w:rsidR="00E34F07">
        <w:t xml:space="preserve"> PBAC agreed with the ESC that the relevance of the OS data to the Australian setting was uncertain given the subsequent use of immunotherapies in the CM274</w:t>
      </w:r>
      <w:r w:rsidR="00F512EC">
        <w:t>. The PBAC noted that a</w:t>
      </w:r>
      <w:r w:rsidR="00F512EC" w:rsidRPr="003B4086">
        <w:t xml:space="preserve">mong patients who experienced recurrence, approximately 18% (28/153) and 44% (85/193) of patients received immunotherapy in the nivolumab and placebo arms, respectively. </w:t>
      </w:r>
      <w:r w:rsidR="00F512EC">
        <w:t xml:space="preserve">Sequential use of immunotherapy as observed in the nivolumab arm is not indicated in Australia and the </w:t>
      </w:r>
      <w:r w:rsidR="004B1D75">
        <w:t>PBAC considered the proportion of</w:t>
      </w:r>
      <w:r w:rsidR="00F512EC">
        <w:t xml:space="preserve"> use in the placebo arm is also unlikely to</w:t>
      </w:r>
      <w:r w:rsidR="00E34F07">
        <w:t xml:space="preserve"> reflect current Australian clinical practice. </w:t>
      </w:r>
      <w:r w:rsidR="00977814">
        <w:t xml:space="preserve">The PBAC noted the </w:t>
      </w:r>
      <w:r w:rsidR="00E34F07" w:rsidRPr="00E34F07">
        <w:t>Pre-Sub-Committee Response (PSCR)</w:t>
      </w:r>
      <w:r w:rsidR="00977814">
        <w:t xml:space="preserve"> argument that the DFS outcome can be considered a standalone measure of clinical benefit</w:t>
      </w:r>
      <w:r w:rsidR="00AB38F1">
        <w:t xml:space="preserve"> </w:t>
      </w:r>
      <w:r w:rsidR="00AF4A65">
        <w:t>that</w:t>
      </w:r>
      <w:r w:rsidR="00AB38F1">
        <w:t xml:space="preserve"> is not confounded by subsequent cancer therapies</w:t>
      </w:r>
      <w:r w:rsidR="00E34F07">
        <w:t xml:space="preserve">. </w:t>
      </w:r>
      <w:r w:rsidR="00DF3037">
        <w:t xml:space="preserve">The PBAC considered that the </w:t>
      </w:r>
      <w:r w:rsidR="00B91148">
        <w:t xml:space="preserve">relationship between DFS and OS observed for adjuvant chemotherapy does not necessarily hold </w:t>
      </w:r>
      <w:r w:rsidR="00DF3037">
        <w:t>for adjuvant immunotherapy</w:t>
      </w:r>
      <w:r w:rsidR="00B91148">
        <w:t xml:space="preserve">, </w:t>
      </w:r>
      <w:r w:rsidR="00FB0256">
        <w:t xml:space="preserve">and further </w:t>
      </w:r>
      <w:r w:rsidR="003E73A5">
        <w:t>the relationship</w:t>
      </w:r>
      <w:r w:rsidR="00DF3037">
        <w:t xml:space="preserve"> </w:t>
      </w:r>
      <w:r w:rsidR="003E73A5">
        <w:t>will be impacted by subsequent therapy</w:t>
      </w:r>
      <w:r w:rsidR="00662EDC">
        <w:t>, including immunotherapy,</w:t>
      </w:r>
      <w:r w:rsidR="003E73A5">
        <w:t xml:space="preserve"> received in the metastatic setting </w:t>
      </w:r>
      <w:r w:rsidR="00662EDC">
        <w:t xml:space="preserve">for </w:t>
      </w:r>
      <w:r w:rsidR="00DF3037">
        <w:t>patients who have disease recurrence</w:t>
      </w:r>
      <w:r w:rsidR="00662EDC">
        <w:t>.</w:t>
      </w:r>
      <w:r w:rsidR="00DF3037">
        <w:t xml:space="preserve"> </w:t>
      </w:r>
      <w:r w:rsidR="0093313C">
        <w:t xml:space="preserve">As such, the PBAC considered that longer-term data are required to determine whether the observed improvement in DFS translates into a clinically meaningful OS benefit. </w:t>
      </w:r>
    </w:p>
    <w:p w14:paraId="3886C2B0" w14:textId="047E4756" w:rsidR="00BD6D96" w:rsidRPr="00C377C0" w:rsidRDefault="00FB7B38" w:rsidP="00BD6D96">
      <w:pPr>
        <w:pStyle w:val="3-BodyText"/>
        <w:rPr>
          <w:szCs w:val="20"/>
        </w:rPr>
      </w:pPr>
      <w:bookmarkStart w:id="82" w:name="_Ref110348969"/>
      <w:r>
        <w:t xml:space="preserve">Overall, the PBAC </w:t>
      </w:r>
      <w:r w:rsidR="001A60CC">
        <w:t>considered nivolumab provided a</w:t>
      </w:r>
      <w:r w:rsidR="004B1D75">
        <w:t xml:space="preserve"> </w:t>
      </w:r>
      <w:r w:rsidR="00AC5D46">
        <w:t xml:space="preserve">small </w:t>
      </w:r>
      <w:r w:rsidR="004B1D75">
        <w:t>benefit in DFS</w:t>
      </w:r>
      <w:r w:rsidR="001A60CC">
        <w:t xml:space="preserve"> compared with placebo for patients with MIUC</w:t>
      </w:r>
      <w:r w:rsidR="00AC5D46">
        <w:t>,</w:t>
      </w:r>
      <w:r w:rsidR="004B1D75">
        <w:t xml:space="preserve"> but the impact on OS was unknown. In addition</w:t>
      </w:r>
      <w:r w:rsidR="001A60CC">
        <w:t xml:space="preserve">, </w:t>
      </w:r>
      <w:r w:rsidR="00DD40BB">
        <w:t xml:space="preserve">the PBAC considered there was </w:t>
      </w:r>
      <w:r w:rsidR="001A60CC">
        <w:t>a strong suggestion that th</w:t>
      </w:r>
      <w:r w:rsidR="00DD40BB">
        <w:t>e</w:t>
      </w:r>
      <w:r w:rsidR="001A60CC">
        <w:t xml:space="preserve"> </w:t>
      </w:r>
      <w:r w:rsidR="00DD40BB">
        <w:t xml:space="preserve">DFS </w:t>
      </w:r>
      <w:r w:rsidR="001A60CC">
        <w:t xml:space="preserve">benefit was observed only in patients who had received prior neoadjuvant cisplatin-based chemotherapy. </w:t>
      </w:r>
      <w:r w:rsidR="0037019C">
        <w:t xml:space="preserve">As such, </w:t>
      </w:r>
      <w:bookmarkStart w:id="83" w:name="_Hlk110264064"/>
      <w:r w:rsidR="00BD6D96">
        <w:t xml:space="preserve">the PBAC considered </w:t>
      </w:r>
      <w:r w:rsidR="00BD6D96" w:rsidRPr="00C377C0">
        <w:rPr>
          <w:szCs w:val="20"/>
        </w:rPr>
        <w:t xml:space="preserve">the </w:t>
      </w:r>
      <w:bookmarkStart w:id="84" w:name="_Hlk110348273"/>
      <w:r w:rsidR="00BD6D96" w:rsidRPr="00C377C0">
        <w:rPr>
          <w:szCs w:val="20"/>
        </w:rPr>
        <w:t xml:space="preserve">claim of superior comparative effectiveness was </w:t>
      </w:r>
      <w:r w:rsidR="00BD6D96">
        <w:rPr>
          <w:szCs w:val="20"/>
        </w:rPr>
        <w:t xml:space="preserve">uncertain but </w:t>
      </w:r>
      <w:r w:rsidR="0040476D">
        <w:rPr>
          <w:szCs w:val="20"/>
        </w:rPr>
        <w:t xml:space="preserve">likely </w:t>
      </w:r>
      <w:r w:rsidR="00BD6D96" w:rsidRPr="00C377C0">
        <w:rPr>
          <w:szCs w:val="20"/>
        </w:rPr>
        <w:t>reasonable</w:t>
      </w:r>
      <w:r w:rsidR="00BD6D96">
        <w:rPr>
          <w:szCs w:val="20"/>
        </w:rPr>
        <w:t xml:space="preserve"> </w:t>
      </w:r>
      <w:r w:rsidR="0040476D">
        <w:rPr>
          <w:szCs w:val="20"/>
        </w:rPr>
        <w:t xml:space="preserve">for </w:t>
      </w:r>
      <w:r w:rsidR="00BD6D96">
        <w:rPr>
          <w:szCs w:val="20"/>
        </w:rPr>
        <w:t xml:space="preserve">patients </w:t>
      </w:r>
      <w:r w:rsidR="00BD6D96" w:rsidRPr="003B4086">
        <w:t>who ha</w:t>
      </w:r>
      <w:r w:rsidR="0040476D">
        <w:t>ve</w:t>
      </w:r>
      <w:r w:rsidR="00BD6D96" w:rsidRPr="003B4086">
        <w:t xml:space="preserve"> received prior neoadjuvant </w:t>
      </w:r>
      <w:r w:rsidR="004F38CF">
        <w:t>platinum</w:t>
      </w:r>
      <w:r w:rsidR="00BD6D96" w:rsidRPr="003B4086">
        <w:t>-based chemotherapy</w:t>
      </w:r>
      <w:bookmarkEnd w:id="84"/>
      <w:r w:rsidR="00BD6D96">
        <w:rPr>
          <w:szCs w:val="20"/>
        </w:rPr>
        <w:t>.</w:t>
      </w:r>
      <w:bookmarkEnd w:id="82"/>
      <w:r w:rsidR="00BD6D96">
        <w:rPr>
          <w:szCs w:val="20"/>
        </w:rPr>
        <w:t xml:space="preserve"> </w:t>
      </w:r>
      <w:bookmarkEnd w:id="83"/>
    </w:p>
    <w:p w14:paraId="5DF56B87" w14:textId="77777777" w:rsidR="005D0B14" w:rsidRPr="0040476D" w:rsidRDefault="005D0B14" w:rsidP="0040476D">
      <w:pPr>
        <w:pStyle w:val="3-BodyText"/>
      </w:pPr>
      <w:r>
        <w:t xml:space="preserve">The PBAC considered that a claim of inferior safety was reasonable. The PBAC noted that there was an approximate 11% increase in grade 3 or 4 serious adverse events associated with nivolumab compared with placebo in the </w:t>
      </w:r>
      <w:r w:rsidRPr="0040476D">
        <w:t>CM274 trial. However</w:t>
      </w:r>
      <w:r>
        <w:t>, the PBAC considered the overall safety associated with nivolumab treatment in the adjuvant setting was acceptable.</w:t>
      </w:r>
    </w:p>
    <w:p w14:paraId="1AFC1864" w14:textId="7CCC56F2" w:rsidR="005D0B14" w:rsidRDefault="00540D02" w:rsidP="005360E7">
      <w:pPr>
        <w:pStyle w:val="3-BodyText"/>
        <w:rPr>
          <w:lang w:val="en-GB"/>
        </w:rPr>
      </w:pPr>
      <w:bookmarkStart w:id="85" w:name="_Ref109475754"/>
      <w:r>
        <w:rPr>
          <w:lang w:val="en-GB"/>
        </w:rPr>
        <w:t>The PBAC noted the issues with the economic model that had been raised by the evaluation and the ESC, including:</w:t>
      </w:r>
      <w:bookmarkEnd w:id="85"/>
    </w:p>
    <w:p w14:paraId="17CE54B8" w14:textId="0D43AF09" w:rsidR="004A64AC" w:rsidRPr="004A64AC" w:rsidRDefault="004A64AC" w:rsidP="00540D02">
      <w:pPr>
        <w:pStyle w:val="3-BodyText"/>
        <w:numPr>
          <w:ilvl w:val="0"/>
          <w:numId w:val="36"/>
        </w:numPr>
        <w:ind w:left="1134"/>
        <w:rPr>
          <w:lang w:val="en-GB"/>
        </w:rPr>
      </w:pPr>
      <w:r>
        <w:rPr>
          <w:lang w:val="en-GB"/>
        </w:rPr>
        <w:t xml:space="preserve">The time horizon of the base case in the economic model was 20 years. </w:t>
      </w:r>
      <w:r w:rsidR="00BB78BC">
        <w:rPr>
          <w:lang w:val="en-GB"/>
        </w:rPr>
        <w:t>It was considered</w:t>
      </w:r>
      <w:r>
        <w:rPr>
          <w:lang w:val="en-GB"/>
        </w:rPr>
        <w:t xml:space="preserve"> that the</w:t>
      </w:r>
      <w:r w:rsidRPr="003B4086">
        <w:t xml:space="preserve"> trial data did not provide a reliable basis for a long-term </w:t>
      </w:r>
      <w:r w:rsidRPr="003B4086">
        <w:lastRenderedPageBreak/>
        <w:t>extrapolation</w:t>
      </w:r>
      <w:r>
        <w:t xml:space="preserve"> and </w:t>
      </w:r>
      <w:r w:rsidR="00BB78BC">
        <w:t xml:space="preserve">it was </w:t>
      </w:r>
      <w:r>
        <w:t>considered that a short</w:t>
      </w:r>
      <w:r w:rsidR="00777CC7">
        <w:t>er</w:t>
      </w:r>
      <w:r>
        <w:t xml:space="preserve"> time horizon </w:t>
      </w:r>
      <w:r w:rsidR="00F40C80">
        <w:t>would be</w:t>
      </w:r>
      <w:r>
        <w:t xml:space="preserve"> more appropriate.</w:t>
      </w:r>
    </w:p>
    <w:p w14:paraId="298D8FF0" w14:textId="5EC3D5CB" w:rsidR="00540D02" w:rsidRPr="00777CC7" w:rsidRDefault="00BB78BC" w:rsidP="00540D02">
      <w:pPr>
        <w:pStyle w:val="3-BodyText"/>
        <w:numPr>
          <w:ilvl w:val="0"/>
          <w:numId w:val="36"/>
        </w:numPr>
        <w:ind w:left="1134"/>
        <w:rPr>
          <w:lang w:val="en-GB"/>
        </w:rPr>
      </w:pPr>
      <w:r>
        <w:t>L</w:t>
      </w:r>
      <w:r w:rsidR="004A64AC" w:rsidRPr="003B4086">
        <w:t>ocoregional recurrence and locally advanced/metastatic recurrence</w:t>
      </w:r>
      <w:r w:rsidR="00F40C80">
        <w:t xml:space="preserve"> were combined</w:t>
      </w:r>
      <w:r w:rsidR="004A64AC" w:rsidRPr="003B4086">
        <w:t xml:space="preserve"> in</w:t>
      </w:r>
      <w:r w:rsidR="00F40C80">
        <w:t>to</w:t>
      </w:r>
      <w:r w:rsidR="004A64AC" w:rsidRPr="003B4086">
        <w:t xml:space="preserve"> one health state</w:t>
      </w:r>
      <w:r>
        <w:t xml:space="preserve"> in the economic model</w:t>
      </w:r>
      <w:r w:rsidR="004A64AC" w:rsidRPr="003B4086">
        <w:t>, despite the</w:t>
      </w:r>
      <w:r w:rsidR="004A64AC">
        <w:t>ir</w:t>
      </w:r>
      <w:r w:rsidR="004A64AC" w:rsidRPr="003B4086">
        <w:t xml:space="preserve"> heterogeneity</w:t>
      </w:r>
      <w:r w:rsidR="004A64AC">
        <w:t>.</w:t>
      </w:r>
      <w:r w:rsidR="00CC2119">
        <w:t xml:space="preserve"> The ESC considered the one health state did not account for less severe recurrences (i.e. local recurrence), and also a small probability of cure in the metastatic setting as a result of treatment with subsequent therapies. </w:t>
      </w:r>
      <w:r w:rsidR="00A9219F">
        <w:t xml:space="preserve">The PBAC noted that both distant and local recurrences were evident in CM274 trial participants (see </w:t>
      </w:r>
      <w:r w:rsidR="00A9219F">
        <w:fldChar w:fldCharType="begin"/>
      </w:r>
      <w:r w:rsidR="00A9219F">
        <w:instrText xml:space="preserve"> REF _Ref102282356 \h </w:instrText>
      </w:r>
      <w:r w:rsidR="00A9219F">
        <w:fldChar w:fldCharType="separate"/>
      </w:r>
      <w:r w:rsidR="003C7003" w:rsidRPr="003B4086">
        <w:t xml:space="preserve">Table </w:t>
      </w:r>
      <w:r w:rsidR="003C7003" w:rsidRPr="003B4086">
        <w:rPr>
          <w:noProof/>
        </w:rPr>
        <w:t>6</w:t>
      </w:r>
      <w:r w:rsidR="00A9219F">
        <w:fldChar w:fldCharType="end"/>
      </w:r>
      <w:r w:rsidR="00A9219F">
        <w:t>).</w:t>
      </w:r>
    </w:p>
    <w:p w14:paraId="64BDCE85" w14:textId="3EF3D1D4" w:rsidR="00777CC7" w:rsidRDefault="00777CC7" w:rsidP="00540D02">
      <w:pPr>
        <w:pStyle w:val="3-BodyText"/>
        <w:numPr>
          <w:ilvl w:val="0"/>
          <w:numId w:val="36"/>
        </w:numPr>
        <w:ind w:left="1134"/>
        <w:rPr>
          <w:lang w:val="en-GB"/>
        </w:rPr>
      </w:pPr>
      <w:r w:rsidRPr="00777CC7">
        <w:rPr>
          <w:lang w:val="en-GB"/>
        </w:rPr>
        <w:t xml:space="preserve">The economic model did not use the </w:t>
      </w:r>
      <w:r w:rsidR="00CE4A1A" w:rsidRPr="00777CC7">
        <w:rPr>
          <w:lang w:val="en-GB"/>
        </w:rPr>
        <w:t>best fitting</w:t>
      </w:r>
      <w:r w:rsidRPr="00777CC7">
        <w:rPr>
          <w:lang w:val="en-GB"/>
        </w:rPr>
        <w:t xml:space="preserve"> DFS extrapolations (independent Gompertz)</w:t>
      </w:r>
      <w:r w:rsidR="004737AC">
        <w:rPr>
          <w:lang w:val="en-GB"/>
        </w:rPr>
        <w:t xml:space="preserve"> </w:t>
      </w:r>
      <w:r w:rsidR="00A07AB4">
        <w:rPr>
          <w:lang w:val="en-GB"/>
        </w:rPr>
        <w:t>and applied early data</w:t>
      </w:r>
      <w:r w:rsidR="00CE4A1A">
        <w:rPr>
          <w:lang w:val="en-GB"/>
        </w:rPr>
        <w:t xml:space="preserve"> truncations to the </w:t>
      </w:r>
      <w:r w:rsidR="00E66129" w:rsidRPr="003B4086">
        <w:t xml:space="preserve">Kaplan-Meier </w:t>
      </w:r>
      <w:r w:rsidR="00E66129">
        <w:t>(KM)</w:t>
      </w:r>
      <w:r w:rsidR="00CE4A1A">
        <w:rPr>
          <w:lang w:val="en-GB"/>
        </w:rPr>
        <w:t xml:space="preserve"> data.</w:t>
      </w:r>
    </w:p>
    <w:p w14:paraId="7587F258" w14:textId="3CFD3E87" w:rsidR="005D3EE5" w:rsidRDefault="005D3EE5" w:rsidP="005D3EE5">
      <w:pPr>
        <w:pStyle w:val="3-BodyText"/>
        <w:numPr>
          <w:ilvl w:val="0"/>
          <w:numId w:val="0"/>
        </w:numPr>
        <w:ind w:left="774"/>
        <w:rPr>
          <w:lang w:val="en-GB"/>
        </w:rPr>
      </w:pPr>
      <w:r>
        <w:t xml:space="preserve">The PBAC noted that the </w:t>
      </w:r>
      <w:r w:rsidR="00744AC8">
        <w:t xml:space="preserve">submission </w:t>
      </w:r>
      <w:r>
        <w:t>base case ICER was sensitive to time horizon, the time point of data truncation, extrapolation of DFS, and the application of a cure assumption.</w:t>
      </w:r>
    </w:p>
    <w:p w14:paraId="6CC80E52" w14:textId="024E6469" w:rsidR="00FE697B" w:rsidRDefault="00CE4A1A" w:rsidP="00463B5B">
      <w:pPr>
        <w:pStyle w:val="3-BodyText"/>
      </w:pPr>
      <w:bookmarkStart w:id="86" w:name="_Ref110349158"/>
      <w:r>
        <w:t xml:space="preserve">The PBAC </w:t>
      </w:r>
      <w:r w:rsidR="00751B2E">
        <w:t xml:space="preserve">noted that the evaluation </w:t>
      </w:r>
      <w:r w:rsidR="005D3EE5">
        <w:t xml:space="preserve">presented a </w:t>
      </w:r>
      <w:r w:rsidR="00751B2E">
        <w:t xml:space="preserve">respecified base case </w:t>
      </w:r>
      <w:r w:rsidR="005D3EE5">
        <w:t>that</w:t>
      </w:r>
      <w:bookmarkEnd w:id="86"/>
      <w:r w:rsidR="00463B5B">
        <w:t xml:space="preserve"> </w:t>
      </w:r>
      <w:r w:rsidR="00E65164">
        <w:t xml:space="preserve">increased the </w:t>
      </w:r>
      <w:r w:rsidR="00751B2E">
        <w:t xml:space="preserve">ICER </w:t>
      </w:r>
      <w:r w:rsidR="00E65164">
        <w:t xml:space="preserve">from </w:t>
      </w:r>
      <w:r w:rsidR="00637B21" w:rsidRPr="00637B21">
        <w:t>$35,000 to &lt; $45,000</w:t>
      </w:r>
      <w:r w:rsidR="00E65164">
        <w:t xml:space="preserve">/QALY gained </w:t>
      </w:r>
      <w:r w:rsidR="00751B2E">
        <w:t xml:space="preserve">to </w:t>
      </w:r>
      <w:r w:rsidR="00637B21" w:rsidRPr="00637B21">
        <w:t xml:space="preserve">$55,000 to &lt; $75,000 </w:t>
      </w:r>
      <w:r w:rsidR="00CD3D6D">
        <w:t>/QALY</w:t>
      </w:r>
      <w:r>
        <w:t xml:space="preserve"> gained</w:t>
      </w:r>
      <w:r w:rsidR="00463B5B">
        <w:t xml:space="preserve"> (see paragraph </w:t>
      </w:r>
      <w:r w:rsidR="00463B5B">
        <w:fldChar w:fldCharType="begin"/>
      </w:r>
      <w:r w:rsidR="00463B5B">
        <w:instrText xml:space="preserve"> REF _Ref110525194 \r \h </w:instrText>
      </w:r>
      <w:r w:rsidR="00463B5B">
        <w:fldChar w:fldCharType="separate"/>
      </w:r>
      <w:r w:rsidR="00994246">
        <w:t>6.58</w:t>
      </w:r>
      <w:r w:rsidR="00463B5B">
        <w:fldChar w:fldCharType="end"/>
      </w:r>
      <w:r w:rsidR="00463B5B">
        <w:t>)</w:t>
      </w:r>
      <w:r w:rsidR="00CD3D6D">
        <w:t xml:space="preserve">. </w:t>
      </w:r>
      <w:r w:rsidR="00E65164">
        <w:t xml:space="preserve">The PBAC </w:t>
      </w:r>
      <w:r w:rsidR="00463B5B">
        <w:t>no</w:t>
      </w:r>
      <w:r w:rsidR="00ED47B7">
        <w:t>ted</w:t>
      </w:r>
      <w:r w:rsidR="00463B5B">
        <w:t xml:space="preserve"> the </w:t>
      </w:r>
      <w:r w:rsidR="00E65164">
        <w:t>respecified base case</w:t>
      </w:r>
      <w:r w:rsidR="00463B5B">
        <w:t xml:space="preserve"> addressed some of the concerns raised by ESC outli</w:t>
      </w:r>
      <w:r w:rsidR="002E7B1B">
        <w:t xml:space="preserve">ned in </w:t>
      </w:r>
      <w:r w:rsidR="002E7B1B">
        <w:rPr>
          <w:lang w:val="en-GB"/>
        </w:rPr>
        <w:t xml:space="preserve">paragraph </w:t>
      </w:r>
      <w:r w:rsidR="002E7B1B">
        <w:rPr>
          <w:lang w:val="en-GB"/>
        </w:rPr>
        <w:fldChar w:fldCharType="begin"/>
      </w:r>
      <w:r w:rsidR="002E7B1B">
        <w:rPr>
          <w:lang w:val="en-GB"/>
        </w:rPr>
        <w:instrText xml:space="preserve"> REF _Ref109475754 \r \h </w:instrText>
      </w:r>
      <w:r w:rsidR="002E7B1B">
        <w:rPr>
          <w:lang w:val="en-GB"/>
        </w:rPr>
      </w:r>
      <w:r w:rsidR="002E7B1B">
        <w:rPr>
          <w:lang w:val="en-GB"/>
        </w:rPr>
        <w:fldChar w:fldCharType="separate"/>
      </w:r>
      <w:r w:rsidR="003C7003">
        <w:rPr>
          <w:lang w:val="en-GB"/>
        </w:rPr>
        <w:t>7.8</w:t>
      </w:r>
      <w:r w:rsidR="002E7B1B">
        <w:rPr>
          <w:lang w:val="en-GB"/>
        </w:rPr>
        <w:fldChar w:fldCharType="end"/>
      </w:r>
      <w:r w:rsidR="00E65164">
        <w:t>. However, t</w:t>
      </w:r>
      <w:r w:rsidR="00CD3D6D">
        <w:t>he PBAC considered th</w:t>
      </w:r>
      <w:r w:rsidR="00E65164">
        <w:t>e respecified base case</w:t>
      </w:r>
      <w:r w:rsidR="00CD3D6D">
        <w:t xml:space="preserve"> ICER to be unacceptably</w:t>
      </w:r>
      <w:r>
        <w:t xml:space="preserve"> high</w:t>
      </w:r>
      <w:r w:rsidR="00CD3D6D">
        <w:t xml:space="preserve"> </w:t>
      </w:r>
      <w:r w:rsidR="00E65164">
        <w:t xml:space="preserve">for the adjuvant therapy setting </w:t>
      </w:r>
      <w:r w:rsidR="00CD3D6D">
        <w:t xml:space="preserve">and </w:t>
      </w:r>
      <w:r w:rsidR="00E65164">
        <w:t xml:space="preserve">advised it </w:t>
      </w:r>
      <w:r w:rsidR="00CD3D6D">
        <w:t xml:space="preserve">remained </w:t>
      </w:r>
      <w:r w:rsidR="00BF5029">
        <w:t>optimistic</w:t>
      </w:r>
      <w:r>
        <w:t xml:space="preserve">. </w:t>
      </w:r>
      <w:r w:rsidR="00FE697B" w:rsidRPr="00CF7D68">
        <w:t xml:space="preserve">The PBAC considered that </w:t>
      </w:r>
      <w:r w:rsidR="007E2F4B">
        <w:t xml:space="preserve">the </w:t>
      </w:r>
      <w:r w:rsidR="00FE697B" w:rsidRPr="00CF7D68">
        <w:t xml:space="preserve">uncertainties associated with the economic model </w:t>
      </w:r>
      <w:r w:rsidR="002E7B1B">
        <w:t>may</w:t>
      </w:r>
      <w:r w:rsidR="00FE697B" w:rsidRPr="00CF7D68">
        <w:t xml:space="preserve"> be managed </w:t>
      </w:r>
      <w:r w:rsidR="007E2F4B">
        <w:t xml:space="preserve">with </w:t>
      </w:r>
      <w:r w:rsidR="00E66129">
        <w:t xml:space="preserve">the </w:t>
      </w:r>
      <w:r w:rsidR="00FE697B" w:rsidRPr="00CF7D68">
        <w:t>inclu</w:t>
      </w:r>
      <w:r w:rsidR="007E2F4B">
        <w:t>sion of</w:t>
      </w:r>
      <w:r w:rsidR="00FE697B" w:rsidRPr="00CF7D68">
        <w:t xml:space="preserve"> more conservative assumptions </w:t>
      </w:r>
      <w:r w:rsidR="007E2F4B">
        <w:t xml:space="preserve">regarding time horizon </w:t>
      </w:r>
      <w:r w:rsidR="00E66129">
        <w:t xml:space="preserve">in the respecified base case </w:t>
      </w:r>
      <w:r w:rsidR="00FE697B" w:rsidRPr="00CF7D68">
        <w:t xml:space="preserve">and </w:t>
      </w:r>
      <w:r w:rsidR="00FE697B">
        <w:t>a</w:t>
      </w:r>
      <w:r w:rsidR="00FE697B" w:rsidRPr="00CF7D68">
        <w:t xml:space="preserve"> model structure</w:t>
      </w:r>
      <w:r w:rsidR="00FE697B">
        <w:t xml:space="preserve"> that accommodate</w:t>
      </w:r>
      <w:r w:rsidR="00D9098A">
        <w:t>d</w:t>
      </w:r>
      <w:r w:rsidR="00FE697B">
        <w:t xml:space="preserve"> separate health states for l</w:t>
      </w:r>
      <w:r w:rsidR="00FE697B" w:rsidRPr="003B4086">
        <w:t>ocoregional recurrence and locally advanced/metastatic recurrence</w:t>
      </w:r>
      <w:r w:rsidR="00FE697B">
        <w:t>.</w:t>
      </w:r>
      <w:r w:rsidR="007E2F4B">
        <w:t xml:space="preserve"> </w:t>
      </w:r>
      <w:r w:rsidR="00F30714">
        <w:t xml:space="preserve">The </w:t>
      </w:r>
      <w:r w:rsidR="00047E5E">
        <w:t xml:space="preserve">PBAC considered that an ICER of </w:t>
      </w:r>
      <w:r w:rsidR="00047E5E" w:rsidRPr="002D26DF">
        <w:t xml:space="preserve">up to $30,000/QALY </w:t>
      </w:r>
      <w:r w:rsidR="00047E5E">
        <w:t xml:space="preserve">gained would be consistent with previous PBAC decisions in the adjuvant therapy setting. </w:t>
      </w:r>
    </w:p>
    <w:p w14:paraId="709F0EF7" w14:textId="0FA1C64B" w:rsidR="00BB0A92" w:rsidRDefault="00FE697B" w:rsidP="00CD56A9">
      <w:pPr>
        <w:pStyle w:val="3-BodyText"/>
      </w:pPr>
      <w:r>
        <w:rPr>
          <w:lang w:val="en-GB"/>
        </w:rPr>
        <w:t>The PBAC considered the financial estimate</w:t>
      </w:r>
      <w:r w:rsidR="009F6DD5">
        <w:rPr>
          <w:lang w:val="en-GB"/>
        </w:rPr>
        <w:t>s</w:t>
      </w:r>
      <w:r>
        <w:rPr>
          <w:lang w:val="en-GB"/>
        </w:rPr>
        <w:t xml:space="preserve"> presented in the submission were high and potentially underestimated.</w:t>
      </w:r>
      <w:r w:rsidR="00BB0A92">
        <w:rPr>
          <w:lang w:val="en-GB"/>
        </w:rPr>
        <w:t xml:space="preserve"> The PBAC noted the concerns raised during the evaluation and by </w:t>
      </w:r>
      <w:r w:rsidR="009F6DD5">
        <w:rPr>
          <w:lang w:val="en-GB"/>
        </w:rPr>
        <w:t xml:space="preserve">the </w:t>
      </w:r>
      <w:r w:rsidR="00BB0A92">
        <w:rPr>
          <w:lang w:val="en-GB"/>
        </w:rPr>
        <w:t>ESC relating to incident growth, the percentage of patients at high-risk of recurrence, and the assumed uptake rate.</w:t>
      </w:r>
      <w:r w:rsidR="00CD56A9">
        <w:rPr>
          <w:lang w:val="en-GB"/>
        </w:rPr>
        <w:t xml:space="preserve"> </w:t>
      </w:r>
      <w:r w:rsidR="00ED47B7">
        <w:t>T</w:t>
      </w:r>
      <w:r w:rsidR="00CD56A9">
        <w:t>he</w:t>
      </w:r>
      <w:r w:rsidR="00CD56A9" w:rsidRPr="006E0D34">
        <w:t xml:space="preserve"> </w:t>
      </w:r>
      <w:r w:rsidR="00CD56A9">
        <w:t xml:space="preserve">PBAC </w:t>
      </w:r>
      <w:r w:rsidR="0046413F">
        <w:t>considered</w:t>
      </w:r>
      <w:r w:rsidR="00CD56A9">
        <w:t xml:space="preserve"> a risk sharing arrangement (RSA) </w:t>
      </w:r>
      <w:r w:rsidR="0046413F">
        <w:t>would likely be required</w:t>
      </w:r>
      <w:r w:rsidR="00CD56A9">
        <w:t xml:space="preserve"> </w:t>
      </w:r>
      <w:r w:rsidR="00ED47B7">
        <w:t xml:space="preserve">with the recommendation </w:t>
      </w:r>
      <w:r w:rsidR="00CD56A9">
        <w:t xml:space="preserve">to </w:t>
      </w:r>
      <w:r w:rsidR="00ED47B7">
        <w:t xml:space="preserve">limit treatment to patients who had received prior neoadjuvant chemotherapy to </w:t>
      </w:r>
      <w:r w:rsidR="00CD56A9">
        <w:t xml:space="preserve">manage the risk of use </w:t>
      </w:r>
      <w:r w:rsidR="00A9219F">
        <w:t>outside this population</w:t>
      </w:r>
      <w:r w:rsidR="00CD56A9">
        <w:t>.</w:t>
      </w:r>
    </w:p>
    <w:p w14:paraId="18F96866" w14:textId="5B01F83B" w:rsidR="00BB0A92" w:rsidRDefault="00C77AEB" w:rsidP="00CE4A1A">
      <w:pPr>
        <w:pStyle w:val="3-BodyText"/>
        <w:rPr>
          <w:lang w:val="en-GB"/>
        </w:rPr>
      </w:pPr>
      <w:r>
        <w:rPr>
          <w:lang w:val="en-GB"/>
        </w:rPr>
        <w:t>The PBAC considered a resubmission for nivolumab should address the following issues:</w:t>
      </w:r>
    </w:p>
    <w:p w14:paraId="1B77CD61" w14:textId="4EE8EC71" w:rsidR="00C77AEB" w:rsidRDefault="004F38CF" w:rsidP="00C77AEB">
      <w:pPr>
        <w:pStyle w:val="3-BodyText"/>
        <w:numPr>
          <w:ilvl w:val="0"/>
          <w:numId w:val="39"/>
        </w:numPr>
        <w:rPr>
          <w:lang w:val="en-GB"/>
        </w:rPr>
      </w:pPr>
      <w:r>
        <w:rPr>
          <w:lang w:val="en-GB"/>
        </w:rPr>
        <w:t xml:space="preserve">Restrict use to patients who have received prior neoadjuvant </w:t>
      </w:r>
      <w:r>
        <w:t>platinum</w:t>
      </w:r>
      <w:r w:rsidRPr="003B4086">
        <w:t>-based chemotherapy</w:t>
      </w:r>
      <w:r w:rsidR="00506FC7">
        <w:t xml:space="preserve"> (see paragraph </w:t>
      </w:r>
      <w:r w:rsidR="00506FC7">
        <w:fldChar w:fldCharType="begin"/>
      </w:r>
      <w:r w:rsidR="00506FC7">
        <w:instrText xml:space="preserve"> REF _Ref110348969 \r \h </w:instrText>
      </w:r>
      <w:r w:rsidR="00506FC7">
        <w:fldChar w:fldCharType="separate"/>
      </w:r>
      <w:r w:rsidR="00994246">
        <w:t>7.6</w:t>
      </w:r>
      <w:r w:rsidR="00506FC7">
        <w:fldChar w:fldCharType="end"/>
      </w:r>
      <w:r w:rsidR="00506FC7">
        <w:t>)</w:t>
      </w:r>
      <w:r w:rsidR="004D7553">
        <w:t>, and revise the economic model and financial estimates accordingly</w:t>
      </w:r>
      <w:r w:rsidR="00506FC7">
        <w:t>;</w:t>
      </w:r>
    </w:p>
    <w:p w14:paraId="7D630EA3" w14:textId="6074A8FF" w:rsidR="001F17E6" w:rsidRDefault="001F17E6" w:rsidP="00C77AEB">
      <w:pPr>
        <w:pStyle w:val="3-BodyText"/>
        <w:numPr>
          <w:ilvl w:val="0"/>
          <w:numId w:val="39"/>
        </w:numPr>
        <w:rPr>
          <w:lang w:val="en-GB"/>
        </w:rPr>
      </w:pPr>
      <w:r>
        <w:rPr>
          <w:lang w:val="en-GB"/>
        </w:rPr>
        <w:t xml:space="preserve">Provide updated </w:t>
      </w:r>
      <w:r w:rsidR="004F38CF">
        <w:rPr>
          <w:lang w:val="en-GB"/>
        </w:rPr>
        <w:t>OS</w:t>
      </w:r>
      <w:r>
        <w:rPr>
          <w:lang w:val="en-GB"/>
        </w:rPr>
        <w:t xml:space="preserve"> data from the second interim analysis</w:t>
      </w:r>
      <w:r w:rsidR="00506FC7">
        <w:rPr>
          <w:lang w:val="en-GB"/>
        </w:rPr>
        <w:t xml:space="preserve"> of </w:t>
      </w:r>
      <w:r w:rsidR="00506FC7" w:rsidRPr="00200A6E">
        <w:t>the CM274 clinical trial</w:t>
      </w:r>
      <w:r w:rsidR="00506FC7">
        <w:t xml:space="preserve"> (see paragraph </w:t>
      </w:r>
      <w:r w:rsidR="00506FC7">
        <w:fldChar w:fldCharType="begin"/>
      </w:r>
      <w:r w:rsidR="00506FC7">
        <w:instrText xml:space="preserve"> REF _Ref110349014 \r \h </w:instrText>
      </w:r>
      <w:r w:rsidR="00506FC7">
        <w:fldChar w:fldCharType="separate"/>
      </w:r>
      <w:r w:rsidR="00994246">
        <w:t>6.23</w:t>
      </w:r>
      <w:r w:rsidR="00506FC7">
        <w:fldChar w:fldCharType="end"/>
      </w:r>
      <w:r w:rsidR="00506FC7">
        <w:t>)</w:t>
      </w:r>
      <w:r>
        <w:rPr>
          <w:lang w:val="en-GB"/>
        </w:rPr>
        <w:t>;</w:t>
      </w:r>
    </w:p>
    <w:p w14:paraId="2C1C3A5C" w14:textId="49071FD0" w:rsidR="001F17E6" w:rsidRDefault="004D7553" w:rsidP="001F17E6">
      <w:pPr>
        <w:pStyle w:val="3-BodyText"/>
        <w:numPr>
          <w:ilvl w:val="0"/>
          <w:numId w:val="39"/>
        </w:numPr>
      </w:pPr>
      <w:r>
        <w:rPr>
          <w:lang w:val="en-GB"/>
        </w:rPr>
        <w:t xml:space="preserve">Revise the structure of the </w:t>
      </w:r>
      <w:r w:rsidR="00C77AEB">
        <w:rPr>
          <w:lang w:val="en-GB"/>
        </w:rPr>
        <w:t xml:space="preserve">economic model </w:t>
      </w:r>
      <w:r w:rsidR="00506FC7">
        <w:rPr>
          <w:lang w:val="en-GB"/>
        </w:rPr>
        <w:t xml:space="preserve">to </w:t>
      </w:r>
      <w:r w:rsidR="001F17E6">
        <w:rPr>
          <w:lang w:val="en-GB"/>
        </w:rPr>
        <w:t>includ</w:t>
      </w:r>
      <w:r w:rsidR="00506FC7">
        <w:rPr>
          <w:lang w:val="en-GB"/>
        </w:rPr>
        <w:t>e</w:t>
      </w:r>
      <w:r w:rsidR="001F17E6">
        <w:rPr>
          <w:lang w:val="en-GB"/>
        </w:rPr>
        <w:t xml:space="preserve"> </w:t>
      </w:r>
      <w:r w:rsidR="00B06B00">
        <w:rPr>
          <w:lang w:val="en-GB"/>
        </w:rPr>
        <w:t>a more granular recurrence state and</w:t>
      </w:r>
      <w:r>
        <w:rPr>
          <w:lang w:val="en-GB"/>
        </w:rPr>
        <w:t xml:space="preserve"> address the uncertainties raised during the evaluation and by the ESC </w:t>
      </w:r>
      <w:r w:rsidR="00506FC7">
        <w:t>(</w:t>
      </w:r>
      <w:r w:rsidR="00506FC7">
        <w:rPr>
          <w:lang w:val="en-GB"/>
        </w:rPr>
        <w:t>see paragraph</w:t>
      </w:r>
      <w:r w:rsidR="00463B5B">
        <w:rPr>
          <w:lang w:val="en-GB"/>
        </w:rPr>
        <w:t xml:space="preserve"> </w:t>
      </w:r>
      <w:r w:rsidR="002E7B1B">
        <w:rPr>
          <w:lang w:val="en-GB"/>
        </w:rPr>
        <w:fldChar w:fldCharType="begin"/>
      </w:r>
      <w:r w:rsidR="002E7B1B">
        <w:rPr>
          <w:lang w:val="en-GB"/>
        </w:rPr>
        <w:instrText xml:space="preserve"> REF _Ref109475754 \r \h </w:instrText>
      </w:r>
      <w:r w:rsidR="002E7B1B">
        <w:rPr>
          <w:lang w:val="en-GB"/>
        </w:rPr>
      </w:r>
      <w:r w:rsidR="002E7B1B">
        <w:rPr>
          <w:lang w:val="en-GB"/>
        </w:rPr>
        <w:fldChar w:fldCharType="separate"/>
      </w:r>
      <w:r w:rsidR="00994246">
        <w:rPr>
          <w:lang w:val="en-GB"/>
        </w:rPr>
        <w:t>7.8</w:t>
      </w:r>
      <w:r w:rsidR="002E7B1B">
        <w:rPr>
          <w:lang w:val="en-GB"/>
        </w:rPr>
        <w:fldChar w:fldCharType="end"/>
      </w:r>
      <w:r w:rsidR="00506FC7">
        <w:rPr>
          <w:lang w:val="en-GB"/>
        </w:rPr>
        <w:t>)</w:t>
      </w:r>
      <w:r w:rsidR="00375DAA">
        <w:t>;</w:t>
      </w:r>
    </w:p>
    <w:p w14:paraId="3ED27365" w14:textId="1D4BD01E" w:rsidR="004D7553" w:rsidRDefault="004D7553" w:rsidP="001F17E6">
      <w:pPr>
        <w:pStyle w:val="3-BodyText"/>
        <w:numPr>
          <w:ilvl w:val="0"/>
          <w:numId w:val="39"/>
        </w:numPr>
      </w:pPr>
      <w:r>
        <w:rPr>
          <w:lang w:val="en-GB"/>
        </w:rPr>
        <w:lastRenderedPageBreak/>
        <w:t>Address the uncertainties raised during the evaluation</w:t>
      </w:r>
      <w:r w:rsidR="00E77F41">
        <w:rPr>
          <w:lang w:val="en-GB"/>
        </w:rPr>
        <w:t xml:space="preserve"> and by the ESC regarding the financial forecasts</w:t>
      </w:r>
      <w:r>
        <w:rPr>
          <w:lang w:val="en-GB"/>
        </w:rPr>
        <w:t xml:space="preserve"> </w:t>
      </w:r>
    </w:p>
    <w:p w14:paraId="495AA5E2" w14:textId="27D4F073" w:rsidR="00C77AEB" w:rsidRPr="0049558B" w:rsidRDefault="001F17E6" w:rsidP="00192E52">
      <w:pPr>
        <w:pStyle w:val="3-BodyText"/>
        <w:numPr>
          <w:ilvl w:val="0"/>
          <w:numId w:val="39"/>
        </w:numPr>
      </w:pPr>
      <w:r w:rsidRPr="00192E52">
        <w:rPr>
          <w:rFonts w:cs="Calibri"/>
        </w:rPr>
        <w:t xml:space="preserve">An outline of an RSA to manage the risk of use in </w:t>
      </w:r>
      <w:r w:rsidR="00A9219F">
        <w:rPr>
          <w:rFonts w:cs="Calibri"/>
        </w:rPr>
        <w:t>patients who have not received prior neoadjuvant platinum-based chemotherapy</w:t>
      </w:r>
      <w:r w:rsidRPr="00192E52">
        <w:rPr>
          <w:rFonts w:cs="Calibri"/>
        </w:rPr>
        <w:t>.</w:t>
      </w:r>
    </w:p>
    <w:p w14:paraId="7FF89089" w14:textId="77777777" w:rsidR="00C77AEB" w:rsidRPr="00C77AEB" w:rsidRDefault="00C77AEB" w:rsidP="00C77AEB">
      <w:pPr>
        <w:pStyle w:val="3-BodyText"/>
        <w:rPr>
          <w:lang w:val="en-GB"/>
        </w:rPr>
      </w:pPr>
      <w:r w:rsidRPr="00C77AEB">
        <w:rPr>
          <w:lang w:val="en-GB"/>
        </w:rPr>
        <w:t>The resubmission may be lodged at any future standard due date for PBAC submissions using the standard re-entry pathway.</w:t>
      </w:r>
    </w:p>
    <w:p w14:paraId="1DB9E7A6" w14:textId="0257BCE6" w:rsidR="00C77AEB" w:rsidRPr="0049558B" w:rsidRDefault="00C77AEB" w:rsidP="0049558B">
      <w:pPr>
        <w:pStyle w:val="3-BodyText"/>
        <w:rPr>
          <w:lang w:val="en-GB"/>
        </w:rPr>
      </w:pPr>
      <w:r w:rsidRPr="00C77AEB">
        <w:rPr>
          <w:lang w:val="en-GB"/>
        </w:rPr>
        <w:t>The PBAC noted that this submission is eligible for an Independent Review.</w:t>
      </w:r>
    </w:p>
    <w:p w14:paraId="4A4109FD" w14:textId="77777777" w:rsidR="00C77AEB" w:rsidRPr="00406522" w:rsidRDefault="00C77AEB" w:rsidP="00C77AEB">
      <w:pPr>
        <w:spacing w:before="240"/>
        <w:rPr>
          <w:rFonts w:asciiTheme="minorHAnsi" w:hAnsiTheme="minorHAnsi"/>
          <w:b/>
          <w:bCs/>
          <w:snapToGrid w:val="0"/>
        </w:rPr>
      </w:pPr>
      <w:r w:rsidRPr="00406522">
        <w:rPr>
          <w:rFonts w:asciiTheme="minorHAnsi" w:hAnsiTheme="minorHAnsi"/>
          <w:b/>
          <w:bCs/>
          <w:snapToGrid w:val="0"/>
        </w:rPr>
        <w:t>Outcome:</w:t>
      </w:r>
    </w:p>
    <w:p w14:paraId="3C28FD70" w14:textId="6C0706A6" w:rsidR="00C77AEB" w:rsidRDefault="00C77AEB" w:rsidP="00C77AEB">
      <w:pPr>
        <w:rPr>
          <w:rFonts w:asciiTheme="minorHAnsi" w:hAnsiTheme="minorHAnsi"/>
          <w:bCs/>
          <w:snapToGrid w:val="0"/>
        </w:rPr>
      </w:pPr>
      <w:r>
        <w:rPr>
          <w:rFonts w:asciiTheme="minorHAnsi" w:hAnsiTheme="minorHAnsi"/>
          <w:bCs/>
          <w:snapToGrid w:val="0"/>
        </w:rPr>
        <w:t>Not recommended</w:t>
      </w:r>
    </w:p>
    <w:p w14:paraId="649703DE" w14:textId="01E2ABB3" w:rsidR="00B91F52" w:rsidRDefault="00B91F52" w:rsidP="00C77AEB">
      <w:pPr>
        <w:rPr>
          <w:rFonts w:asciiTheme="minorHAnsi" w:hAnsiTheme="minorHAnsi"/>
          <w:bCs/>
          <w:snapToGrid w:val="0"/>
        </w:rPr>
      </w:pPr>
    </w:p>
    <w:p w14:paraId="0E3C09B8" w14:textId="5E3269E3" w:rsidR="00B91F52" w:rsidRPr="00B91F52" w:rsidRDefault="00B91F52" w:rsidP="00B37291">
      <w:pPr>
        <w:pStyle w:val="2-SectionHeading"/>
      </w:pPr>
      <w:bookmarkStart w:id="87" w:name="_Hlk112834232"/>
      <w:bookmarkStart w:id="88" w:name="_Hlk113963169"/>
      <w:r w:rsidRPr="00C07617">
        <w:t>Context for Decision</w:t>
      </w:r>
    </w:p>
    <w:p w14:paraId="304D918A" w14:textId="77777777" w:rsidR="00B91F52" w:rsidRPr="007129F2" w:rsidRDefault="00B91F52" w:rsidP="00B91F52">
      <w:pPr>
        <w:spacing w:after="120"/>
        <w:ind w:left="426"/>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AD52FBA" w14:textId="5D8CF43F" w:rsidR="00B91F52" w:rsidRPr="00B91F52" w:rsidRDefault="00B91F52" w:rsidP="00B37291">
      <w:pPr>
        <w:pStyle w:val="2-SectionHeading"/>
      </w:pPr>
      <w:r>
        <w:t>Sponsor’s Comment</w:t>
      </w:r>
    </w:p>
    <w:bookmarkEnd w:id="87"/>
    <w:p w14:paraId="13339814" w14:textId="3AB95577" w:rsidR="00242D08" w:rsidRPr="001179AC" w:rsidRDefault="00242D08" w:rsidP="00B91F52">
      <w:pPr>
        <w:spacing w:after="120"/>
        <w:ind w:left="426"/>
        <w:rPr>
          <w:bCs/>
        </w:rPr>
      </w:pPr>
      <w:r w:rsidRPr="00242D08">
        <w:rPr>
          <w:bCs/>
        </w:rPr>
        <w:t>Bristol-Myers Squibb Australia looks forward to continuing to work with the PBAC and the Department of Health to provide access to nivolumab for the adjuvant treatment of patients who have undergone radical resection of muscle invasive urothelial carcinoma and are at high risk of recurrence</w:t>
      </w:r>
      <w:r>
        <w:rPr>
          <w:bCs/>
        </w:rPr>
        <w:t>.</w:t>
      </w:r>
    </w:p>
    <w:bookmarkEnd w:id="88"/>
    <w:p w14:paraId="6FE194A4" w14:textId="77777777" w:rsidR="00B91F52" w:rsidRPr="00406522" w:rsidRDefault="00B91F52" w:rsidP="00C77AEB">
      <w:pPr>
        <w:rPr>
          <w:rFonts w:asciiTheme="minorHAnsi" w:hAnsiTheme="minorHAnsi"/>
          <w:bCs/>
          <w:snapToGrid w:val="0"/>
        </w:rPr>
      </w:pPr>
    </w:p>
    <w:bookmarkEnd w:id="48"/>
    <w:bookmarkEnd w:id="80"/>
    <w:bookmarkEnd w:id="81"/>
    <w:p w14:paraId="06BAF4E2" w14:textId="2585109E" w:rsidR="009D5E9B" w:rsidRPr="00667F44" w:rsidRDefault="009D5E9B" w:rsidP="009D5E9B">
      <w:pPr>
        <w:pStyle w:val="3-BodyText"/>
        <w:numPr>
          <w:ilvl w:val="0"/>
          <w:numId w:val="0"/>
        </w:numPr>
        <w:rPr>
          <w:lang w:val="en-GB"/>
        </w:rPr>
      </w:pPr>
    </w:p>
    <w:sectPr w:rsidR="009D5E9B" w:rsidRPr="00667F44" w:rsidSect="002C7DA5">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3BED" w14:textId="77777777" w:rsidR="0003163C" w:rsidRDefault="0003163C" w:rsidP="00124A51">
      <w:r>
        <w:separator/>
      </w:r>
    </w:p>
    <w:p w14:paraId="506EF15A" w14:textId="77777777" w:rsidR="0003163C" w:rsidRDefault="0003163C"/>
  </w:endnote>
  <w:endnote w:type="continuationSeparator" w:id="0">
    <w:p w14:paraId="3ADDAC2D" w14:textId="77777777" w:rsidR="0003163C" w:rsidRDefault="0003163C" w:rsidP="00124A51">
      <w:r>
        <w:continuationSeparator/>
      </w:r>
    </w:p>
    <w:p w14:paraId="6522FED5" w14:textId="77777777" w:rsidR="0003163C" w:rsidRDefault="0003163C"/>
  </w:endnote>
  <w:endnote w:type="continuationNotice" w:id="1">
    <w:p w14:paraId="5FB2F3B9" w14:textId="77777777" w:rsidR="0003163C" w:rsidRDefault="00031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CA32" w14:textId="77777777" w:rsidR="00785573" w:rsidRDefault="00785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E439" w14:textId="77777777" w:rsidR="00785573" w:rsidRDefault="00785573" w:rsidP="00ED1B15">
    <w:pPr>
      <w:pStyle w:val="Footer"/>
      <w:jc w:val="center"/>
    </w:pPr>
  </w:p>
  <w:sdt>
    <w:sdtPr>
      <w:id w:val="-1614509314"/>
      <w:docPartObj>
        <w:docPartGallery w:val="Page Numbers (Bottom of Page)"/>
        <w:docPartUnique/>
      </w:docPartObj>
    </w:sdtPr>
    <w:sdtEndPr>
      <w:rPr>
        <w:b/>
        <w:bCs/>
        <w:noProof/>
      </w:rPr>
    </w:sdtEndPr>
    <w:sdtContent>
      <w:p w14:paraId="5C580F44" w14:textId="79400168" w:rsidR="00210C5F" w:rsidRPr="00ED1B15" w:rsidRDefault="00210C5F" w:rsidP="00ED1B15">
        <w:pPr>
          <w:pStyle w:val="Footer"/>
          <w:jc w:val="center"/>
          <w:rPr>
            <w:b/>
            <w:bCs/>
          </w:rPr>
        </w:pPr>
        <w:r w:rsidRPr="00ED1B15">
          <w:rPr>
            <w:b/>
            <w:bCs/>
          </w:rPr>
          <w:fldChar w:fldCharType="begin"/>
        </w:r>
        <w:r w:rsidRPr="00ED1B15">
          <w:rPr>
            <w:b/>
            <w:bCs/>
          </w:rPr>
          <w:instrText xml:space="preserve"> PAGE   \* MERGEFORMAT </w:instrText>
        </w:r>
        <w:r w:rsidRPr="00ED1B15">
          <w:rPr>
            <w:b/>
            <w:bCs/>
          </w:rPr>
          <w:fldChar w:fldCharType="separate"/>
        </w:r>
        <w:r w:rsidRPr="00ED1B15">
          <w:rPr>
            <w:b/>
            <w:bCs/>
            <w:noProof/>
          </w:rPr>
          <w:t>2</w:t>
        </w:r>
        <w:r w:rsidRPr="00ED1B15">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1694" w14:textId="77777777" w:rsidR="00785573" w:rsidRDefault="0078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5E18" w14:textId="77777777" w:rsidR="0003163C" w:rsidRDefault="0003163C" w:rsidP="00124A51">
      <w:r>
        <w:separator/>
      </w:r>
    </w:p>
  </w:footnote>
  <w:footnote w:type="continuationSeparator" w:id="0">
    <w:p w14:paraId="4EAA49FC" w14:textId="77777777" w:rsidR="0003163C" w:rsidRDefault="0003163C" w:rsidP="00124A51">
      <w:r>
        <w:continuationSeparator/>
      </w:r>
    </w:p>
    <w:p w14:paraId="75E52BAD" w14:textId="77777777" w:rsidR="0003163C" w:rsidRDefault="0003163C"/>
  </w:footnote>
  <w:footnote w:type="continuationNotice" w:id="1">
    <w:p w14:paraId="1217EE33" w14:textId="77777777" w:rsidR="0003163C" w:rsidRDefault="0003163C"/>
  </w:footnote>
  <w:footnote w:id="2">
    <w:p w14:paraId="23261D72" w14:textId="5C6D9239" w:rsidR="00210C5F" w:rsidRDefault="00210C5F">
      <w:pPr>
        <w:pStyle w:val="FootnoteText"/>
      </w:pPr>
      <w:r>
        <w:rPr>
          <w:rStyle w:val="FootnoteReference"/>
        </w:rPr>
        <w:footnoteRef/>
      </w:r>
      <w:r>
        <w:t xml:space="preserve"> </w:t>
      </w:r>
      <w:r w:rsidRPr="00E32C0B">
        <w:t>Rouprêt M</w:t>
      </w:r>
      <w:r>
        <w:t xml:space="preserve"> et al.</w:t>
      </w:r>
      <w:r w:rsidRPr="00E32C0B">
        <w:t xml:space="preserve"> EAU guidelines on upper urinary tract urothelial carcinoma. Disease management [Internet] Arnhem, The Netherlands. European Association of Urology. 2019</w:t>
      </w:r>
      <w:r>
        <w:t>.</w:t>
      </w:r>
    </w:p>
  </w:footnote>
  <w:footnote w:id="3">
    <w:p w14:paraId="710F13B9" w14:textId="10A2BF85" w:rsidR="00210C5F" w:rsidRDefault="00210C5F">
      <w:pPr>
        <w:pStyle w:val="FootnoteText"/>
      </w:pPr>
      <w:r>
        <w:rPr>
          <w:rStyle w:val="FootnoteReference"/>
        </w:rPr>
        <w:footnoteRef/>
      </w:r>
      <w:r>
        <w:t xml:space="preserve"> </w:t>
      </w:r>
      <w:r w:rsidRPr="00883C35">
        <w:t>European Association of Urology (https://uroweb.org/guidelines/upper-urinary-tract-urothelial-cell-carcinoma/chapter/disease-management)</w:t>
      </w:r>
    </w:p>
  </w:footnote>
  <w:footnote w:id="4">
    <w:p w14:paraId="0C43069B" w14:textId="033C0522" w:rsidR="00210C5F" w:rsidRDefault="00210C5F">
      <w:pPr>
        <w:pStyle w:val="FootnoteText"/>
      </w:pPr>
      <w:r>
        <w:rPr>
          <w:rStyle w:val="FootnoteReference"/>
        </w:rPr>
        <w:footnoteRef/>
      </w:r>
      <w:r>
        <w:t xml:space="preserve"> </w:t>
      </w:r>
      <w:r w:rsidRPr="007E610B">
        <w:t xml:space="preserve">Birtle et al. Adjuvant chemotherapy in upper tract urothelial carcinoma (the POUT trial): a phase 3, open-label, randomised controlled trial. </w:t>
      </w:r>
      <w:r w:rsidRPr="007E610B">
        <w:rPr>
          <w:i/>
        </w:rPr>
        <w:t>The Lancet</w:t>
      </w:r>
      <w:r w:rsidRPr="007E610B">
        <w:t>. 2020, (395), Issue 10232, pp1268-77</w:t>
      </w:r>
    </w:p>
  </w:footnote>
  <w:footnote w:id="5">
    <w:p w14:paraId="22906CFC" w14:textId="34AB8BD4" w:rsidR="00210C5F" w:rsidRDefault="00210C5F">
      <w:pPr>
        <w:pStyle w:val="FootnoteText"/>
      </w:pPr>
      <w:r>
        <w:rPr>
          <w:rStyle w:val="FootnoteReference"/>
        </w:rPr>
        <w:footnoteRef/>
      </w:r>
      <w:r>
        <w:t xml:space="preserve"> </w:t>
      </w:r>
      <w:r w:rsidRPr="00883C35">
        <w:t>European Association of Urology (https://uroweb.org/guidelines/muscle-invasive-and-metastatic-bladder-cancer/chapter/disease-management)</w:t>
      </w:r>
    </w:p>
  </w:footnote>
  <w:footnote w:id="6">
    <w:p w14:paraId="336F9119" w14:textId="2479F1DA" w:rsidR="00210C5F" w:rsidRDefault="00210C5F">
      <w:pPr>
        <w:pStyle w:val="FootnoteText"/>
      </w:pPr>
      <w:r>
        <w:rPr>
          <w:rStyle w:val="FootnoteReference"/>
        </w:rPr>
        <w:footnoteRef/>
      </w:r>
      <w:r>
        <w:t xml:space="preserve"> </w:t>
      </w:r>
      <w:r w:rsidRPr="00412A27">
        <w:t xml:space="preserve">Bellmunt J, Hussain M, Gschwend JE, Albers P, Oudard S, Castellano D, et al. Adjuvant atezolizumab versus observation in muscle-invasive urothelial carcinoma (IMvigor010): a multicentre, open-label, randomised, phase 3 trial. </w:t>
      </w:r>
      <w:r w:rsidRPr="00412A27">
        <w:rPr>
          <w:i/>
        </w:rPr>
        <w:t>The Lancet Oncology</w:t>
      </w:r>
      <w:r w:rsidRPr="00412A27">
        <w:t>. 2021 2021/04/01/;22(4):525-37.</w:t>
      </w:r>
    </w:p>
  </w:footnote>
  <w:footnote w:id="7">
    <w:p w14:paraId="03DCA2C1" w14:textId="2648CD62" w:rsidR="00210C5F" w:rsidRDefault="00210C5F">
      <w:pPr>
        <w:pStyle w:val="FootnoteText"/>
      </w:pPr>
      <w:r>
        <w:rPr>
          <w:rStyle w:val="FootnoteReference"/>
        </w:rPr>
        <w:footnoteRef/>
      </w:r>
      <w:r>
        <w:t xml:space="preserve"> </w:t>
      </w:r>
      <w:r w:rsidRPr="00284F1C">
        <w:t>Tran, B. (2022). BLADDA - Bladder and Urothelial Cancer Data and Biobank, Data Report. References folder (Part 3) accompanying the submission</w:t>
      </w:r>
      <w:r>
        <w:t>.</w:t>
      </w:r>
    </w:p>
  </w:footnote>
  <w:footnote w:id="8">
    <w:p w14:paraId="6F4D0847" w14:textId="67890E53" w:rsidR="00210C5F" w:rsidRDefault="00210C5F">
      <w:pPr>
        <w:pStyle w:val="FootnoteText"/>
      </w:pPr>
      <w:r>
        <w:rPr>
          <w:rStyle w:val="FootnoteReference"/>
        </w:rPr>
        <w:footnoteRef/>
      </w:r>
      <w:r>
        <w:t xml:space="preserve"> </w:t>
      </w:r>
      <w:r w:rsidRPr="00766D82">
        <w:t xml:space="preserve">“All Responses to Pre-Advisory Board Survey 2021”, </w:t>
      </w:r>
      <w:r>
        <w:t xml:space="preserve">Excel spreadsheet, </w:t>
      </w:r>
      <w:r w:rsidRPr="00766D82">
        <w:t>Atta</w:t>
      </w:r>
      <w:r>
        <w:t>chment 1 to the main submission</w:t>
      </w:r>
    </w:p>
  </w:footnote>
  <w:footnote w:id="9">
    <w:p w14:paraId="09A4AC2F" w14:textId="77777777" w:rsidR="00210C5F" w:rsidRDefault="00210C5F" w:rsidP="00766D82">
      <w:pPr>
        <w:pStyle w:val="FootnoteText"/>
      </w:pPr>
      <w:r>
        <w:rPr>
          <w:rStyle w:val="FootnoteReference"/>
        </w:rPr>
        <w:footnoteRef/>
      </w:r>
      <w:r>
        <w:t xml:space="preserve"> </w:t>
      </w:r>
      <w:r w:rsidRPr="00766D82">
        <w:t>P</w:t>
      </w:r>
      <w:r>
        <w:t>ages 8-</w:t>
      </w:r>
      <w:r w:rsidRPr="00766D82">
        <w:t>11, Genitourinary Ad Board Summary; ONC-AU-2100418; Attachment 1 to the main submission.</w:t>
      </w:r>
    </w:p>
  </w:footnote>
  <w:footnote w:id="10">
    <w:p w14:paraId="553FC2C2" w14:textId="77777777" w:rsidR="00210C5F" w:rsidRPr="00755079" w:rsidRDefault="00210C5F" w:rsidP="00755079">
      <w:pPr>
        <w:widowControl w:val="0"/>
        <w:autoSpaceDE w:val="0"/>
        <w:autoSpaceDN w:val="0"/>
        <w:adjustRightInd w:val="0"/>
        <w:spacing w:after="60"/>
        <w:ind w:left="480" w:hanging="480"/>
        <w:rPr>
          <w:rFonts w:ascii="Times New Roman" w:hAnsi="Times New Roman" w:cs="Times New Roman"/>
          <w:noProof/>
          <w:sz w:val="20"/>
        </w:rPr>
      </w:pPr>
      <w:r>
        <w:rPr>
          <w:rStyle w:val="FootnoteReference"/>
        </w:rPr>
        <w:footnoteRef/>
      </w:r>
      <w:r>
        <w:t xml:space="preserve">  </w:t>
      </w:r>
      <w:r w:rsidRPr="00755079">
        <w:rPr>
          <w:sz w:val="20"/>
          <w:szCs w:val="20"/>
        </w:rPr>
        <w:t>NCCN. (2021). NCCN Clinical Practice Guidelines in Oncology: Bladder Cancer Version 5.2021.</w:t>
      </w:r>
    </w:p>
  </w:footnote>
  <w:footnote w:id="11">
    <w:p w14:paraId="4D69C5F7" w14:textId="14675294" w:rsidR="00210C5F" w:rsidRDefault="00210C5F">
      <w:pPr>
        <w:pStyle w:val="FootnoteText"/>
      </w:pPr>
      <w:r>
        <w:rPr>
          <w:rStyle w:val="FootnoteReference"/>
        </w:rPr>
        <w:footnoteRef/>
      </w:r>
      <w:r>
        <w:t xml:space="preserve"> </w:t>
      </w:r>
      <w:r w:rsidRPr="006260FD">
        <w:rPr>
          <w:snapToGrid w:val="0"/>
        </w:rPr>
        <w:t>Cherny NI, Dafni U, Bogaerts J, et al: ESMO-Magnitude of Clinical Benefit Scale version 1.1. Annals of Oncology 28:2340-2366, 2017</w:t>
      </w:r>
    </w:p>
  </w:footnote>
  <w:footnote w:id="12">
    <w:p w14:paraId="0ACBF86A" w14:textId="0D5BF3F0" w:rsidR="00210C5F" w:rsidRDefault="00210C5F">
      <w:pPr>
        <w:pStyle w:val="FootnoteText"/>
      </w:pPr>
      <w:r>
        <w:rPr>
          <w:rStyle w:val="FootnoteReference"/>
        </w:rPr>
        <w:footnoteRef/>
      </w:r>
      <w:r>
        <w:t xml:space="preserve"> </w:t>
      </w:r>
      <w:r w:rsidRPr="0037707F">
        <w:t>Avelumab Public Summary Do</w:t>
      </w:r>
      <w:r>
        <w:t>cument– March 2021 PBAC Meeting</w:t>
      </w:r>
    </w:p>
  </w:footnote>
  <w:footnote w:id="13">
    <w:p w14:paraId="23F6437D" w14:textId="26565987" w:rsidR="00210C5F" w:rsidRDefault="00210C5F">
      <w:pPr>
        <w:pStyle w:val="FootnoteText"/>
      </w:pPr>
      <w:r>
        <w:rPr>
          <w:rStyle w:val="FootnoteReference"/>
        </w:rPr>
        <w:footnoteRef/>
      </w:r>
      <w:r>
        <w:t xml:space="preserve"> </w:t>
      </w:r>
      <w:r w:rsidRPr="00FA224B">
        <w:t>European Organisation for Research and Treatment of Care quality of life questionnaire</w:t>
      </w:r>
    </w:p>
  </w:footnote>
  <w:footnote w:id="14">
    <w:p w14:paraId="6999467E" w14:textId="77777777" w:rsidR="00210C5F" w:rsidRDefault="00210C5F" w:rsidP="008A1E84">
      <w:pPr>
        <w:pStyle w:val="FootnoteText"/>
      </w:pPr>
      <w:r>
        <w:rPr>
          <w:rStyle w:val="FootnoteReference"/>
        </w:rPr>
        <w:footnoteRef/>
      </w:r>
      <w:r>
        <w:t xml:space="preserve"> Birtle A et al (2020). </w:t>
      </w:r>
      <w:r w:rsidRPr="00D60ED3">
        <w:t>Adjuvant chemotherapy in upper tract urothelial carcinoma (the POUT trial): a phase 3, open-label, randomised controlled trial</w:t>
      </w:r>
      <w:r>
        <w:t xml:space="preserve">. The Lancet, </w:t>
      </w:r>
      <w:r w:rsidRPr="00D60ED3">
        <w:t xml:space="preserve">Issue 10232, 18–24 April 2020, </w:t>
      </w:r>
      <w:r>
        <w:t>pp</w:t>
      </w:r>
      <w:r w:rsidRPr="00D60ED3">
        <w:t>1268-1277.</w:t>
      </w:r>
    </w:p>
  </w:footnote>
  <w:footnote w:id="15">
    <w:p w14:paraId="661C9A59" w14:textId="77777777" w:rsidR="00210C5F" w:rsidRDefault="00210C5F" w:rsidP="006A647E">
      <w:pPr>
        <w:pStyle w:val="FootnoteText"/>
      </w:pPr>
      <w:r>
        <w:rPr>
          <w:rStyle w:val="FootnoteReference"/>
        </w:rPr>
        <w:footnoteRef/>
      </w:r>
      <w:r>
        <w:t xml:space="preserve"> Kong J, Diao X, Diao F, Fan X, Zheng J, Yan D, et al. Causes of death in long-term bladder cancer survivors: A population-based study. </w:t>
      </w:r>
      <w:r w:rsidRPr="006A647E">
        <w:rPr>
          <w:i/>
        </w:rPr>
        <w:t>Asia-Pacific Journal of Clinical Oncology</w:t>
      </w:r>
      <w:r>
        <w:t>. 2019;15(5):e167-e74.</w:t>
      </w:r>
    </w:p>
    <w:p w14:paraId="05854B31" w14:textId="3F50961F" w:rsidR="00210C5F" w:rsidRDefault="00210C5F" w:rsidP="006A647E">
      <w:pPr>
        <w:pStyle w:val="FootnoteText"/>
      </w:pPr>
      <w:r>
        <w:t xml:space="preserve">Zhai M, Tang C, Li M, Chen X, Jin Y, Ying X, et al. Short-term mortality risks among patients with non-metastatic bladder cancer. </w:t>
      </w:r>
      <w:r w:rsidRPr="006A647E">
        <w:rPr>
          <w:i/>
        </w:rPr>
        <w:t>BMC Cancer</w:t>
      </w:r>
      <w:r>
        <w:t>. 2020 2020/11/25;20(1):1148.</w:t>
      </w:r>
    </w:p>
  </w:footnote>
  <w:footnote w:id="16">
    <w:p w14:paraId="2D6B15FB" w14:textId="00A0D159" w:rsidR="00210C5F" w:rsidRDefault="00210C5F">
      <w:pPr>
        <w:pStyle w:val="FootnoteText"/>
      </w:pPr>
      <w:r>
        <w:rPr>
          <w:rStyle w:val="FootnoteReference"/>
        </w:rPr>
        <w:footnoteRef/>
      </w:r>
      <w:r>
        <w:t xml:space="preserve"> </w:t>
      </w:r>
      <w:r w:rsidRPr="006A647E">
        <w:t xml:space="preserve">Viney R, Norman R, King MT, Cronin P, Street DJ, Knox S, et al. Time trade-off derived EQ-5D weights for Australia. </w:t>
      </w:r>
      <w:r w:rsidRPr="006A647E">
        <w:rPr>
          <w:i/>
        </w:rPr>
        <w:t>Value Health</w:t>
      </w:r>
      <w:r w:rsidRPr="006A647E">
        <w:t>. 2011 Sep-Oct;14(6):928-36.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B08A" w14:textId="77777777" w:rsidR="00785573" w:rsidRDefault="00785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CEBE" w14:textId="0A323984" w:rsidR="00210C5F" w:rsidRPr="00ED1B15" w:rsidRDefault="00D667BE" w:rsidP="00ED1B15">
    <w:pPr>
      <w:keepNext/>
      <w:tabs>
        <w:tab w:val="center" w:pos="4153"/>
        <w:tab w:val="right" w:pos="8306"/>
      </w:tabs>
      <w:ind w:left="360"/>
      <w:jc w:val="center"/>
      <w:rPr>
        <w:rFonts w:asciiTheme="minorHAnsi" w:hAnsiTheme="minorHAnsi"/>
        <w:i/>
        <w:color w:val="808080"/>
        <w:lang w:eastAsia="en-US"/>
      </w:rPr>
    </w:pPr>
    <w:r>
      <w:rPr>
        <w:rFonts w:asciiTheme="minorHAnsi" w:hAnsiTheme="minorHAnsi"/>
        <w:i/>
        <w:color w:val="808080"/>
        <w:lang w:eastAsia="en-US"/>
      </w:rPr>
      <w:t>Public Summary Document</w:t>
    </w:r>
    <w:r w:rsidR="00210C5F">
      <w:rPr>
        <w:rFonts w:asciiTheme="minorHAnsi" w:hAnsiTheme="minorHAnsi"/>
        <w:i/>
        <w:color w:val="808080"/>
        <w:lang w:eastAsia="en-US"/>
      </w:rPr>
      <w:t xml:space="preserve"> </w:t>
    </w:r>
    <w:r w:rsidR="00210C5F" w:rsidRPr="00ED1B15">
      <w:rPr>
        <w:rFonts w:asciiTheme="minorHAnsi" w:hAnsiTheme="minorHAnsi"/>
        <w:i/>
        <w:color w:val="808080"/>
        <w:lang w:eastAsia="en-US"/>
      </w:rPr>
      <w:t>–</w:t>
    </w:r>
    <w:r w:rsidR="00210C5F">
      <w:rPr>
        <w:rFonts w:asciiTheme="minorHAnsi" w:hAnsiTheme="minorHAnsi"/>
        <w:i/>
        <w:color w:val="808080"/>
        <w:lang w:eastAsia="en-US"/>
      </w:rPr>
      <w:t xml:space="preserve"> July</w:t>
    </w:r>
    <w:r w:rsidR="00210C5F" w:rsidRPr="00ED1B15">
      <w:rPr>
        <w:rFonts w:asciiTheme="minorHAnsi" w:hAnsiTheme="minorHAnsi"/>
        <w:i/>
        <w:color w:val="808080"/>
        <w:lang w:eastAsia="en-US"/>
      </w:rPr>
      <w:t xml:space="preserve"> 2022 PBAC Meeting</w:t>
    </w:r>
  </w:p>
  <w:p w14:paraId="33DB16BD" w14:textId="77777777" w:rsidR="00210C5F" w:rsidRDefault="00210C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BACE" w14:textId="77777777" w:rsidR="00785573" w:rsidRDefault="00785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AC38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60858"/>
    <w:multiLevelType w:val="hybridMultilevel"/>
    <w:tmpl w:val="9BAED9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87ED3"/>
    <w:multiLevelType w:val="hybridMultilevel"/>
    <w:tmpl w:val="74A20EE2"/>
    <w:lvl w:ilvl="0" w:tplc="737A90F0">
      <w:start w:val="1"/>
      <w:numFmt w:val="bullet"/>
      <w:lvlText w:val="-"/>
      <w:lvlJc w:val="left"/>
      <w:pPr>
        <w:tabs>
          <w:tab w:val="num" w:pos="720"/>
        </w:tabs>
        <w:ind w:left="720" w:hanging="360"/>
      </w:pPr>
      <w:rPr>
        <w:rFonts w:ascii="Times New Roman" w:hAnsi="Times New Roman" w:hint="default"/>
      </w:rPr>
    </w:lvl>
    <w:lvl w:ilvl="1" w:tplc="C48EEE34" w:tentative="1">
      <w:start w:val="1"/>
      <w:numFmt w:val="bullet"/>
      <w:lvlText w:val="-"/>
      <w:lvlJc w:val="left"/>
      <w:pPr>
        <w:tabs>
          <w:tab w:val="num" w:pos="1440"/>
        </w:tabs>
        <w:ind w:left="1440" w:hanging="360"/>
      </w:pPr>
      <w:rPr>
        <w:rFonts w:ascii="Times New Roman" w:hAnsi="Times New Roman" w:hint="default"/>
      </w:rPr>
    </w:lvl>
    <w:lvl w:ilvl="2" w:tplc="F184EE8A" w:tentative="1">
      <w:start w:val="1"/>
      <w:numFmt w:val="bullet"/>
      <w:lvlText w:val="-"/>
      <w:lvlJc w:val="left"/>
      <w:pPr>
        <w:tabs>
          <w:tab w:val="num" w:pos="2160"/>
        </w:tabs>
        <w:ind w:left="2160" w:hanging="360"/>
      </w:pPr>
      <w:rPr>
        <w:rFonts w:ascii="Times New Roman" w:hAnsi="Times New Roman" w:hint="default"/>
      </w:rPr>
    </w:lvl>
    <w:lvl w:ilvl="3" w:tplc="B78287A8" w:tentative="1">
      <w:start w:val="1"/>
      <w:numFmt w:val="bullet"/>
      <w:lvlText w:val="-"/>
      <w:lvlJc w:val="left"/>
      <w:pPr>
        <w:tabs>
          <w:tab w:val="num" w:pos="2880"/>
        </w:tabs>
        <w:ind w:left="2880" w:hanging="360"/>
      </w:pPr>
      <w:rPr>
        <w:rFonts w:ascii="Times New Roman" w:hAnsi="Times New Roman" w:hint="default"/>
      </w:rPr>
    </w:lvl>
    <w:lvl w:ilvl="4" w:tplc="B336D51A" w:tentative="1">
      <w:start w:val="1"/>
      <w:numFmt w:val="bullet"/>
      <w:lvlText w:val="-"/>
      <w:lvlJc w:val="left"/>
      <w:pPr>
        <w:tabs>
          <w:tab w:val="num" w:pos="3600"/>
        </w:tabs>
        <w:ind w:left="3600" w:hanging="360"/>
      </w:pPr>
      <w:rPr>
        <w:rFonts w:ascii="Times New Roman" w:hAnsi="Times New Roman" w:hint="default"/>
      </w:rPr>
    </w:lvl>
    <w:lvl w:ilvl="5" w:tplc="F738E13A" w:tentative="1">
      <w:start w:val="1"/>
      <w:numFmt w:val="bullet"/>
      <w:lvlText w:val="-"/>
      <w:lvlJc w:val="left"/>
      <w:pPr>
        <w:tabs>
          <w:tab w:val="num" w:pos="4320"/>
        </w:tabs>
        <w:ind w:left="4320" w:hanging="360"/>
      </w:pPr>
      <w:rPr>
        <w:rFonts w:ascii="Times New Roman" w:hAnsi="Times New Roman" w:hint="default"/>
      </w:rPr>
    </w:lvl>
    <w:lvl w:ilvl="6" w:tplc="2B90BAAC" w:tentative="1">
      <w:start w:val="1"/>
      <w:numFmt w:val="bullet"/>
      <w:lvlText w:val="-"/>
      <w:lvlJc w:val="left"/>
      <w:pPr>
        <w:tabs>
          <w:tab w:val="num" w:pos="5040"/>
        </w:tabs>
        <w:ind w:left="5040" w:hanging="360"/>
      </w:pPr>
      <w:rPr>
        <w:rFonts w:ascii="Times New Roman" w:hAnsi="Times New Roman" w:hint="default"/>
      </w:rPr>
    </w:lvl>
    <w:lvl w:ilvl="7" w:tplc="CAE8B6CC" w:tentative="1">
      <w:start w:val="1"/>
      <w:numFmt w:val="bullet"/>
      <w:lvlText w:val="-"/>
      <w:lvlJc w:val="left"/>
      <w:pPr>
        <w:tabs>
          <w:tab w:val="num" w:pos="5760"/>
        </w:tabs>
        <w:ind w:left="5760" w:hanging="360"/>
      </w:pPr>
      <w:rPr>
        <w:rFonts w:ascii="Times New Roman" w:hAnsi="Times New Roman" w:hint="default"/>
      </w:rPr>
    </w:lvl>
    <w:lvl w:ilvl="8" w:tplc="2320092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CA11484"/>
    <w:multiLevelType w:val="hybridMultilevel"/>
    <w:tmpl w:val="82C2CA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F747F9"/>
    <w:multiLevelType w:val="hybridMultilevel"/>
    <w:tmpl w:val="545E155A"/>
    <w:lvl w:ilvl="0" w:tplc="7A2C5A46">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5B6D53"/>
    <w:multiLevelType w:val="hybridMultilevel"/>
    <w:tmpl w:val="ACE8CC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F07B8"/>
    <w:multiLevelType w:val="hybridMultilevel"/>
    <w:tmpl w:val="B32AC6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3CA0A04"/>
    <w:multiLevelType w:val="hybridMultilevel"/>
    <w:tmpl w:val="CF2C69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59A0A9D"/>
    <w:multiLevelType w:val="hybridMultilevel"/>
    <w:tmpl w:val="A7667EC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F590463"/>
    <w:multiLevelType w:val="hybridMultilevel"/>
    <w:tmpl w:val="0DDE73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3C06671"/>
    <w:multiLevelType w:val="hybridMultilevel"/>
    <w:tmpl w:val="A08E16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05001"/>
    <w:multiLevelType w:val="hybridMultilevel"/>
    <w:tmpl w:val="EBC20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26B284E"/>
    <w:multiLevelType w:val="hybridMultilevel"/>
    <w:tmpl w:val="D6C027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4D82B6D"/>
    <w:multiLevelType w:val="hybridMultilevel"/>
    <w:tmpl w:val="61FA0D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823415"/>
    <w:multiLevelType w:val="hybridMultilevel"/>
    <w:tmpl w:val="A36AA828"/>
    <w:lvl w:ilvl="0" w:tplc="ABB4A944">
      <w:start w:val="1"/>
      <w:numFmt w:val="bullet"/>
      <w:lvlText w:val="•"/>
      <w:lvlJc w:val="left"/>
      <w:pPr>
        <w:tabs>
          <w:tab w:val="num" w:pos="720"/>
        </w:tabs>
        <w:ind w:left="720" w:hanging="360"/>
      </w:pPr>
      <w:rPr>
        <w:rFonts w:ascii="Arial" w:hAnsi="Arial" w:hint="default"/>
      </w:rPr>
    </w:lvl>
    <w:lvl w:ilvl="1" w:tplc="296EB70E" w:tentative="1">
      <w:start w:val="1"/>
      <w:numFmt w:val="bullet"/>
      <w:lvlText w:val="•"/>
      <w:lvlJc w:val="left"/>
      <w:pPr>
        <w:tabs>
          <w:tab w:val="num" w:pos="1440"/>
        </w:tabs>
        <w:ind w:left="1440" w:hanging="360"/>
      </w:pPr>
      <w:rPr>
        <w:rFonts w:ascii="Arial" w:hAnsi="Arial" w:hint="default"/>
      </w:rPr>
    </w:lvl>
    <w:lvl w:ilvl="2" w:tplc="38ACAED8">
      <w:start w:val="1"/>
      <w:numFmt w:val="bullet"/>
      <w:lvlText w:val="•"/>
      <w:lvlJc w:val="left"/>
      <w:pPr>
        <w:tabs>
          <w:tab w:val="num" w:pos="2160"/>
        </w:tabs>
        <w:ind w:left="2160" w:hanging="360"/>
      </w:pPr>
      <w:rPr>
        <w:rFonts w:ascii="Arial" w:hAnsi="Arial" w:hint="default"/>
      </w:rPr>
    </w:lvl>
    <w:lvl w:ilvl="3" w:tplc="25385078" w:tentative="1">
      <w:start w:val="1"/>
      <w:numFmt w:val="bullet"/>
      <w:lvlText w:val="•"/>
      <w:lvlJc w:val="left"/>
      <w:pPr>
        <w:tabs>
          <w:tab w:val="num" w:pos="2880"/>
        </w:tabs>
        <w:ind w:left="2880" w:hanging="360"/>
      </w:pPr>
      <w:rPr>
        <w:rFonts w:ascii="Arial" w:hAnsi="Arial" w:hint="default"/>
      </w:rPr>
    </w:lvl>
    <w:lvl w:ilvl="4" w:tplc="7846827E" w:tentative="1">
      <w:start w:val="1"/>
      <w:numFmt w:val="bullet"/>
      <w:lvlText w:val="•"/>
      <w:lvlJc w:val="left"/>
      <w:pPr>
        <w:tabs>
          <w:tab w:val="num" w:pos="3600"/>
        </w:tabs>
        <w:ind w:left="3600" w:hanging="360"/>
      </w:pPr>
      <w:rPr>
        <w:rFonts w:ascii="Arial" w:hAnsi="Arial" w:hint="default"/>
      </w:rPr>
    </w:lvl>
    <w:lvl w:ilvl="5" w:tplc="876E1F56" w:tentative="1">
      <w:start w:val="1"/>
      <w:numFmt w:val="bullet"/>
      <w:lvlText w:val="•"/>
      <w:lvlJc w:val="left"/>
      <w:pPr>
        <w:tabs>
          <w:tab w:val="num" w:pos="4320"/>
        </w:tabs>
        <w:ind w:left="4320" w:hanging="360"/>
      </w:pPr>
      <w:rPr>
        <w:rFonts w:ascii="Arial" w:hAnsi="Arial" w:hint="default"/>
      </w:rPr>
    </w:lvl>
    <w:lvl w:ilvl="6" w:tplc="88C6AF28" w:tentative="1">
      <w:start w:val="1"/>
      <w:numFmt w:val="bullet"/>
      <w:lvlText w:val="•"/>
      <w:lvlJc w:val="left"/>
      <w:pPr>
        <w:tabs>
          <w:tab w:val="num" w:pos="5040"/>
        </w:tabs>
        <w:ind w:left="5040" w:hanging="360"/>
      </w:pPr>
      <w:rPr>
        <w:rFonts w:ascii="Arial" w:hAnsi="Arial" w:hint="default"/>
      </w:rPr>
    </w:lvl>
    <w:lvl w:ilvl="7" w:tplc="25CECFA8" w:tentative="1">
      <w:start w:val="1"/>
      <w:numFmt w:val="bullet"/>
      <w:lvlText w:val="•"/>
      <w:lvlJc w:val="left"/>
      <w:pPr>
        <w:tabs>
          <w:tab w:val="num" w:pos="5760"/>
        </w:tabs>
        <w:ind w:left="5760" w:hanging="360"/>
      </w:pPr>
      <w:rPr>
        <w:rFonts w:ascii="Arial" w:hAnsi="Arial" w:hint="default"/>
      </w:rPr>
    </w:lvl>
    <w:lvl w:ilvl="8" w:tplc="F0CC71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D059EE"/>
    <w:multiLevelType w:val="hybridMultilevel"/>
    <w:tmpl w:val="7758CFEA"/>
    <w:lvl w:ilvl="0" w:tplc="CD5282D2">
      <w:start w:val="1"/>
      <w:numFmt w:val="bullet"/>
      <w:lvlText w:val="–"/>
      <w:lvlJc w:val="left"/>
      <w:pPr>
        <w:tabs>
          <w:tab w:val="num" w:pos="720"/>
        </w:tabs>
        <w:ind w:left="720" w:hanging="360"/>
      </w:pPr>
      <w:rPr>
        <w:rFonts w:ascii="Arial" w:hAnsi="Arial" w:hint="default"/>
      </w:rPr>
    </w:lvl>
    <w:lvl w:ilvl="1" w:tplc="4336F13C">
      <w:start w:val="1"/>
      <w:numFmt w:val="bullet"/>
      <w:lvlText w:val="–"/>
      <w:lvlJc w:val="left"/>
      <w:pPr>
        <w:tabs>
          <w:tab w:val="num" w:pos="1440"/>
        </w:tabs>
        <w:ind w:left="1440" w:hanging="360"/>
      </w:pPr>
      <w:rPr>
        <w:rFonts w:ascii="Arial" w:hAnsi="Arial" w:hint="default"/>
      </w:rPr>
    </w:lvl>
    <w:lvl w:ilvl="2" w:tplc="1CA67DEA" w:tentative="1">
      <w:start w:val="1"/>
      <w:numFmt w:val="bullet"/>
      <w:lvlText w:val="–"/>
      <w:lvlJc w:val="left"/>
      <w:pPr>
        <w:tabs>
          <w:tab w:val="num" w:pos="2160"/>
        </w:tabs>
        <w:ind w:left="2160" w:hanging="360"/>
      </w:pPr>
      <w:rPr>
        <w:rFonts w:ascii="Arial" w:hAnsi="Arial" w:hint="default"/>
      </w:rPr>
    </w:lvl>
    <w:lvl w:ilvl="3" w:tplc="F7DE9CB8" w:tentative="1">
      <w:start w:val="1"/>
      <w:numFmt w:val="bullet"/>
      <w:lvlText w:val="–"/>
      <w:lvlJc w:val="left"/>
      <w:pPr>
        <w:tabs>
          <w:tab w:val="num" w:pos="2880"/>
        </w:tabs>
        <w:ind w:left="2880" w:hanging="360"/>
      </w:pPr>
      <w:rPr>
        <w:rFonts w:ascii="Arial" w:hAnsi="Arial" w:hint="default"/>
      </w:rPr>
    </w:lvl>
    <w:lvl w:ilvl="4" w:tplc="BA54CCA0" w:tentative="1">
      <w:start w:val="1"/>
      <w:numFmt w:val="bullet"/>
      <w:lvlText w:val="–"/>
      <w:lvlJc w:val="left"/>
      <w:pPr>
        <w:tabs>
          <w:tab w:val="num" w:pos="3600"/>
        </w:tabs>
        <w:ind w:left="3600" w:hanging="360"/>
      </w:pPr>
      <w:rPr>
        <w:rFonts w:ascii="Arial" w:hAnsi="Arial" w:hint="default"/>
      </w:rPr>
    </w:lvl>
    <w:lvl w:ilvl="5" w:tplc="9E98BB24" w:tentative="1">
      <w:start w:val="1"/>
      <w:numFmt w:val="bullet"/>
      <w:lvlText w:val="–"/>
      <w:lvlJc w:val="left"/>
      <w:pPr>
        <w:tabs>
          <w:tab w:val="num" w:pos="4320"/>
        </w:tabs>
        <w:ind w:left="4320" w:hanging="360"/>
      </w:pPr>
      <w:rPr>
        <w:rFonts w:ascii="Arial" w:hAnsi="Arial" w:hint="default"/>
      </w:rPr>
    </w:lvl>
    <w:lvl w:ilvl="6" w:tplc="0E0660F8" w:tentative="1">
      <w:start w:val="1"/>
      <w:numFmt w:val="bullet"/>
      <w:lvlText w:val="–"/>
      <w:lvlJc w:val="left"/>
      <w:pPr>
        <w:tabs>
          <w:tab w:val="num" w:pos="5040"/>
        </w:tabs>
        <w:ind w:left="5040" w:hanging="360"/>
      </w:pPr>
      <w:rPr>
        <w:rFonts w:ascii="Arial" w:hAnsi="Arial" w:hint="default"/>
      </w:rPr>
    </w:lvl>
    <w:lvl w:ilvl="7" w:tplc="73420A98" w:tentative="1">
      <w:start w:val="1"/>
      <w:numFmt w:val="bullet"/>
      <w:lvlText w:val="–"/>
      <w:lvlJc w:val="left"/>
      <w:pPr>
        <w:tabs>
          <w:tab w:val="num" w:pos="5760"/>
        </w:tabs>
        <w:ind w:left="5760" w:hanging="360"/>
      </w:pPr>
      <w:rPr>
        <w:rFonts w:ascii="Arial" w:hAnsi="Arial" w:hint="default"/>
      </w:rPr>
    </w:lvl>
    <w:lvl w:ilvl="8" w:tplc="B82298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BC7099B"/>
    <w:multiLevelType w:val="hybridMultilevel"/>
    <w:tmpl w:val="526ED5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F17972"/>
    <w:multiLevelType w:val="hybridMultilevel"/>
    <w:tmpl w:val="95D8E77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76446632"/>
    <w:multiLevelType w:val="hybridMultilevel"/>
    <w:tmpl w:val="AC3C0A3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041402"/>
    <w:multiLevelType w:val="hybridMultilevel"/>
    <w:tmpl w:val="8CA4DE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0"/>
  </w:num>
  <w:num w:numId="2">
    <w:abstractNumId w:val="16"/>
  </w:num>
  <w:num w:numId="3">
    <w:abstractNumId w:val="17"/>
  </w:num>
  <w:num w:numId="4">
    <w:abstractNumId w:val="0"/>
  </w:num>
  <w:num w:numId="5">
    <w:abstractNumId w:val="31"/>
  </w:num>
  <w:num w:numId="6">
    <w:abstractNumId w:val="12"/>
  </w:num>
  <w:num w:numId="7">
    <w:abstractNumId w:val="9"/>
  </w:num>
  <w:num w:numId="8">
    <w:abstractNumId w:val="5"/>
  </w:num>
  <w:num w:numId="9">
    <w:abstractNumId w:val="29"/>
  </w:num>
  <w:num w:numId="10">
    <w:abstractNumId w:val="26"/>
  </w:num>
  <w:num w:numId="11">
    <w:abstractNumId w:val="19"/>
  </w:num>
  <w:num w:numId="12">
    <w:abstractNumId w:val="11"/>
  </w:num>
  <w:num w:numId="13">
    <w:abstractNumId w:val="15"/>
  </w:num>
  <w:num w:numId="14">
    <w:abstractNumId w:val="28"/>
  </w:num>
  <w:num w:numId="15">
    <w:abstractNumId w:val="14"/>
  </w:num>
  <w:num w:numId="16">
    <w:abstractNumId w:val="8"/>
  </w:num>
  <w:num w:numId="17">
    <w:abstractNumId w:val="32"/>
  </w:num>
  <w:num w:numId="18">
    <w:abstractNumId w:val="20"/>
  </w:num>
  <w:num w:numId="19">
    <w:abstractNumId w:val="22"/>
  </w:num>
  <w:num w:numId="20">
    <w:abstractNumId w:val="3"/>
  </w:num>
  <w:num w:numId="21">
    <w:abstractNumId w:val="1"/>
  </w:num>
  <w:num w:numId="22">
    <w:abstractNumId w:val="7"/>
  </w:num>
  <w:num w:numId="23">
    <w:abstractNumId w:val="10"/>
  </w:num>
  <w:num w:numId="24">
    <w:abstractNumId w:val="6"/>
  </w:num>
  <w:num w:numId="2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0"/>
  </w:num>
  <w:num w:numId="28">
    <w:abstractNumId w:val="30"/>
  </w:num>
  <w:num w:numId="29">
    <w:abstractNumId w:val="30"/>
  </w:num>
  <w:num w:numId="30">
    <w:abstractNumId w:val="17"/>
  </w:num>
  <w:num w:numId="31">
    <w:abstractNumId w:val="17"/>
  </w:num>
  <w:num w:numId="32">
    <w:abstractNumId w:val="17"/>
  </w:num>
  <w:num w:numId="33">
    <w:abstractNumId w:val="30"/>
  </w:num>
  <w:num w:numId="34">
    <w:abstractNumId w:val="21"/>
  </w:num>
  <w:num w:numId="35">
    <w:abstractNumId w:val="4"/>
  </w:num>
  <w:num w:numId="36">
    <w:abstractNumId w:val="18"/>
  </w:num>
  <w:num w:numId="37">
    <w:abstractNumId w:val="30"/>
  </w:num>
  <w:num w:numId="38">
    <w:abstractNumId w:val="30"/>
  </w:num>
  <w:num w:numId="39">
    <w:abstractNumId w:val="13"/>
  </w:num>
  <w:num w:numId="40">
    <w:abstractNumId w:val="30"/>
  </w:num>
  <w:num w:numId="41">
    <w:abstractNumId w:val="24"/>
  </w:num>
  <w:num w:numId="42">
    <w:abstractNumId w:val="2"/>
  </w:num>
  <w:num w:numId="43">
    <w:abstractNumId w:val="30"/>
  </w:num>
  <w:num w:numId="44">
    <w:abstractNumId w:val="30"/>
  </w:num>
  <w:num w:numId="45">
    <w:abstractNumId w:val="30"/>
  </w:num>
  <w:num w:numId="46">
    <w:abstractNumId w:val="30"/>
  </w:num>
  <w:num w:numId="47">
    <w:abstractNumId w:val="30"/>
  </w:num>
  <w:num w:numId="48">
    <w:abstractNumId w:val="23"/>
  </w:num>
  <w:num w:numId="49">
    <w:abstractNumId w:val="30"/>
  </w:num>
  <w:num w:numId="50">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st5atwy5afdwevas9pssp2da00axare2v5&quot;&gt;Nivolumab&lt;record-ids&gt;&lt;item&gt;3&lt;/item&gt;&lt;item&gt;4&lt;/item&gt;&lt;item&gt;5&lt;/item&gt;&lt;item&gt;6&lt;/item&gt;&lt;item&gt;8&lt;/item&gt;&lt;item&gt;12&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record-ids&gt;&lt;/item&gt;&lt;/Libraries&gt;"/>
  </w:docVars>
  <w:rsids>
    <w:rsidRoot w:val="00E65E79"/>
    <w:rsid w:val="000002CB"/>
    <w:rsid w:val="00000790"/>
    <w:rsid w:val="0000110B"/>
    <w:rsid w:val="000023FC"/>
    <w:rsid w:val="00002D0F"/>
    <w:rsid w:val="00003499"/>
    <w:rsid w:val="000039B7"/>
    <w:rsid w:val="00003F71"/>
    <w:rsid w:val="0000481B"/>
    <w:rsid w:val="00004C6A"/>
    <w:rsid w:val="0000639A"/>
    <w:rsid w:val="00007F6D"/>
    <w:rsid w:val="00013247"/>
    <w:rsid w:val="00015886"/>
    <w:rsid w:val="000160EA"/>
    <w:rsid w:val="000162EF"/>
    <w:rsid w:val="0001719A"/>
    <w:rsid w:val="00020125"/>
    <w:rsid w:val="000207C9"/>
    <w:rsid w:val="0002225F"/>
    <w:rsid w:val="000227C4"/>
    <w:rsid w:val="00023763"/>
    <w:rsid w:val="000244A8"/>
    <w:rsid w:val="000259CD"/>
    <w:rsid w:val="000274B8"/>
    <w:rsid w:val="00030A76"/>
    <w:rsid w:val="00030A9E"/>
    <w:rsid w:val="00031074"/>
    <w:rsid w:val="0003163C"/>
    <w:rsid w:val="00032E71"/>
    <w:rsid w:val="00032EA8"/>
    <w:rsid w:val="0003360F"/>
    <w:rsid w:val="00033863"/>
    <w:rsid w:val="00035DC0"/>
    <w:rsid w:val="00035F2B"/>
    <w:rsid w:val="0003618D"/>
    <w:rsid w:val="00036829"/>
    <w:rsid w:val="00036B29"/>
    <w:rsid w:val="00037DEC"/>
    <w:rsid w:val="00040895"/>
    <w:rsid w:val="00042C38"/>
    <w:rsid w:val="000435EE"/>
    <w:rsid w:val="00043C37"/>
    <w:rsid w:val="000441BE"/>
    <w:rsid w:val="00045017"/>
    <w:rsid w:val="00045A2B"/>
    <w:rsid w:val="0004698F"/>
    <w:rsid w:val="00047E5E"/>
    <w:rsid w:val="000505D4"/>
    <w:rsid w:val="00051C2C"/>
    <w:rsid w:val="000528E1"/>
    <w:rsid w:val="00053187"/>
    <w:rsid w:val="000539D0"/>
    <w:rsid w:val="00054547"/>
    <w:rsid w:val="00054621"/>
    <w:rsid w:val="000546D7"/>
    <w:rsid w:val="00054D7B"/>
    <w:rsid w:val="00056ECF"/>
    <w:rsid w:val="000600D0"/>
    <w:rsid w:val="000604DF"/>
    <w:rsid w:val="00060BDB"/>
    <w:rsid w:val="00061DA5"/>
    <w:rsid w:val="00063A4E"/>
    <w:rsid w:val="000651F4"/>
    <w:rsid w:val="000653B5"/>
    <w:rsid w:val="00066360"/>
    <w:rsid w:val="00066AF8"/>
    <w:rsid w:val="0006704A"/>
    <w:rsid w:val="00070203"/>
    <w:rsid w:val="000707CE"/>
    <w:rsid w:val="00070B78"/>
    <w:rsid w:val="00070E20"/>
    <w:rsid w:val="00071248"/>
    <w:rsid w:val="00071615"/>
    <w:rsid w:val="000720B9"/>
    <w:rsid w:val="00073247"/>
    <w:rsid w:val="000737F7"/>
    <w:rsid w:val="00073DD3"/>
    <w:rsid w:val="00075977"/>
    <w:rsid w:val="00075F3D"/>
    <w:rsid w:val="00076514"/>
    <w:rsid w:val="0007672F"/>
    <w:rsid w:val="00076B54"/>
    <w:rsid w:val="000774F0"/>
    <w:rsid w:val="00080909"/>
    <w:rsid w:val="000812CA"/>
    <w:rsid w:val="00081D05"/>
    <w:rsid w:val="00081E63"/>
    <w:rsid w:val="0008258D"/>
    <w:rsid w:val="00083E99"/>
    <w:rsid w:val="00084FA8"/>
    <w:rsid w:val="000855A2"/>
    <w:rsid w:val="000856C5"/>
    <w:rsid w:val="0008573F"/>
    <w:rsid w:val="00085C31"/>
    <w:rsid w:val="0008782D"/>
    <w:rsid w:val="000902D9"/>
    <w:rsid w:val="00090C7E"/>
    <w:rsid w:val="00091A68"/>
    <w:rsid w:val="00091F6D"/>
    <w:rsid w:val="00092600"/>
    <w:rsid w:val="0009262B"/>
    <w:rsid w:val="00093310"/>
    <w:rsid w:val="0009445C"/>
    <w:rsid w:val="00095200"/>
    <w:rsid w:val="0009579B"/>
    <w:rsid w:val="00095FE5"/>
    <w:rsid w:val="00096284"/>
    <w:rsid w:val="00097262"/>
    <w:rsid w:val="000A0A14"/>
    <w:rsid w:val="000A0C79"/>
    <w:rsid w:val="000A1BC0"/>
    <w:rsid w:val="000A2036"/>
    <w:rsid w:val="000A3E29"/>
    <w:rsid w:val="000A6039"/>
    <w:rsid w:val="000A6898"/>
    <w:rsid w:val="000A7453"/>
    <w:rsid w:val="000A7D08"/>
    <w:rsid w:val="000B0121"/>
    <w:rsid w:val="000B0670"/>
    <w:rsid w:val="000B07E6"/>
    <w:rsid w:val="000B0E75"/>
    <w:rsid w:val="000B1EA3"/>
    <w:rsid w:val="000B2DCB"/>
    <w:rsid w:val="000B3706"/>
    <w:rsid w:val="000B4175"/>
    <w:rsid w:val="000B5C55"/>
    <w:rsid w:val="000B5CE0"/>
    <w:rsid w:val="000B6CAC"/>
    <w:rsid w:val="000B7612"/>
    <w:rsid w:val="000B78AE"/>
    <w:rsid w:val="000C1AFB"/>
    <w:rsid w:val="000C3B55"/>
    <w:rsid w:val="000C3DF9"/>
    <w:rsid w:val="000C43A7"/>
    <w:rsid w:val="000C54C5"/>
    <w:rsid w:val="000C584E"/>
    <w:rsid w:val="000C6713"/>
    <w:rsid w:val="000C73EC"/>
    <w:rsid w:val="000C748A"/>
    <w:rsid w:val="000D0CF7"/>
    <w:rsid w:val="000D1518"/>
    <w:rsid w:val="000D1BFC"/>
    <w:rsid w:val="000D1D5D"/>
    <w:rsid w:val="000D281A"/>
    <w:rsid w:val="000D2848"/>
    <w:rsid w:val="000D28A8"/>
    <w:rsid w:val="000D326A"/>
    <w:rsid w:val="000D3A67"/>
    <w:rsid w:val="000D3C2F"/>
    <w:rsid w:val="000D51FB"/>
    <w:rsid w:val="000E0640"/>
    <w:rsid w:val="000E0713"/>
    <w:rsid w:val="000E11BE"/>
    <w:rsid w:val="000E135D"/>
    <w:rsid w:val="000E39C2"/>
    <w:rsid w:val="000E41FF"/>
    <w:rsid w:val="000E5AF9"/>
    <w:rsid w:val="000E70A5"/>
    <w:rsid w:val="000E7ACC"/>
    <w:rsid w:val="000E7D7C"/>
    <w:rsid w:val="000F00BA"/>
    <w:rsid w:val="000F316A"/>
    <w:rsid w:val="000F356A"/>
    <w:rsid w:val="000F3C74"/>
    <w:rsid w:val="000F3CB7"/>
    <w:rsid w:val="000F4ACC"/>
    <w:rsid w:val="000F4BB8"/>
    <w:rsid w:val="000F4FA9"/>
    <w:rsid w:val="000F53FB"/>
    <w:rsid w:val="000F7127"/>
    <w:rsid w:val="000F7B54"/>
    <w:rsid w:val="00100819"/>
    <w:rsid w:val="00100F8A"/>
    <w:rsid w:val="001013C1"/>
    <w:rsid w:val="00102086"/>
    <w:rsid w:val="00102370"/>
    <w:rsid w:val="001023BF"/>
    <w:rsid w:val="00102F0C"/>
    <w:rsid w:val="00103115"/>
    <w:rsid w:val="001038EF"/>
    <w:rsid w:val="00103B9D"/>
    <w:rsid w:val="0010452E"/>
    <w:rsid w:val="001047D2"/>
    <w:rsid w:val="00105AE2"/>
    <w:rsid w:val="001060C6"/>
    <w:rsid w:val="00106B80"/>
    <w:rsid w:val="00106EBD"/>
    <w:rsid w:val="00107921"/>
    <w:rsid w:val="00107FFA"/>
    <w:rsid w:val="0011032E"/>
    <w:rsid w:val="0011348B"/>
    <w:rsid w:val="0011484C"/>
    <w:rsid w:val="00115982"/>
    <w:rsid w:val="00116686"/>
    <w:rsid w:val="00116C53"/>
    <w:rsid w:val="00121799"/>
    <w:rsid w:val="00121984"/>
    <w:rsid w:val="001222FC"/>
    <w:rsid w:val="00123902"/>
    <w:rsid w:val="00124404"/>
    <w:rsid w:val="00124A51"/>
    <w:rsid w:val="00125152"/>
    <w:rsid w:val="001256D9"/>
    <w:rsid w:val="00126621"/>
    <w:rsid w:val="00126B1D"/>
    <w:rsid w:val="00127435"/>
    <w:rsid w:val="001276F8"/>
    <w:rsid w:val="00127A5F"/>
    <w:rsid w:val="001301E9"/>
    <w:rsid w:val="00131D82"/>
    <w:rsid w:val="0013200C"/>
    <w:rsid w:val="00132B22"/>
    <w:rsid w:val="00133D36"/>
    <w:rsid w:val="00133D59"/>
    <w:rsid w:val="00134831"/>
    <w:rsid w:val="00135D86"/>
    <w:rsid w:val="00135EB5"/>
    <w:rsid w:val="00136932"/>
    <w:rsid w:val="00137645"/>
    <w:rsid w:val="0014015A"/>
    <w:rsid w:val="00140E99"/>
    <w:rsid w:val="00142155"/>
    <w:rsid w:val="00143F67"/>
    <w:rsid w:val="00145540"/>
    <w:rsid w:val="001456B0"/>
    <w:rsid w:val="0014581B"/>
    <w:rsid w:val="00145934"/>
    <w:rsid w:val="001469BB"/>
    <w:rsid w:val="00147169"/>
    <w:rsid w:val="00147D9B"/>
    <w:rsid w:val="00154F2D"/>
    <w:rsid w:val="00156CA5"/>
    <w:rsid w:val="00156F8F"/>
    <w:rsid w:val="00157130"/>
    <w:rsid w:val="001576B1"/>
    <w:rsid w:val="00160119"/>
    <w:rsid w:val="0016047B"/>
    <w:rsid w:val="00160A4C"/>
    <w:rsid w:val="00162913"/>
    <w:rsid w:val="00162C3D"/>
    <w:rsid w:val="0016321A"/>
    <w:rsid w:val="001633F6"/>
    <w:rsid w:val="00163C47"/>
    <w:rsid w:val="00163EFF"/>
    <w:rsid w:val="00163F66"/>
    <w:rsid w:val="001661FB"/>
    <w:rsid w:val="001671A0"/>
    <w:rsid w:val="00167356"/>
    <w:rsid w:val="0016767F"/>
    <w:rsid w:val="00171E51"/>
    <w:rsid w:val="001728FA"/>
    <w:rsid w:val="00173565"/>
    <w:rsid w:val="00173B07"/>
    <w:rsid w:val="00173E94"/>
    <w:rsid w:val="00174D6B"/>
    <w:rsid w:val="001751FA"/>
    <w:rsid w:val="0017557F"/>
    <w:rsid w:val="00176924"/>
    <w:rsid w:val="0018029F"/>
    <w:rsid w:val="00181590"/>
    <w:rsid w:val="00181D9C"/>
    <w:rsid w:val="0018237D"/>
    <w:rsid w:val="001831FA"/>
    <w:rsid w:val="00184B0E"/>
    <w:rsid w:val="001850FB"/>
    <w:rsid w:val="00185413"/>
    <w:rsid w:val="00185A57"/>
    <w:rsid w:val="0018752F"/>
    <w:rsid w:val="001902F4"/>
    <w:rsid w:val="0019046C"/>
    <w:rsid w:val="00191678"/>
    <w:rsid w:val="001924DA"/>
    <w:rsid w:val="00192E52"/>
    <w:rsid w:val="00193838"/>
    <w:rsid w:val="001944C3"/>
    <w:rsid w:val="0019492B"/>
    <w:rsid w:val="00194AD8"/>
    <w:rsid w:val="00195222"/>
    <w:rsid w:val="00195278"/>
    <w:rsid w:val="00196E0C"/>
    <w:rsid w:val="001975D8"/>
    <w:rsid w:val="001A178E"/>
    <w:rsid w:val="001A2963"/>
    <w:rsid w:val="001A43FA"/>
    <w:rsid w:val="001A466D"/>
    <w:rsid w:val="001A47C5"/>
    <w:rsid w:val="001A56AC"/>
    <w:rsid w:val="001A59FB"/>
    <w:rsid w:val="001A5E9E"/>
    <w:rsid w:val="001A60CC"/>
    <w:rsid w:val="001A6283"/>
    <w:rsid w:val="001A6354"/>
    <w:rsid w:val="001A6366"/>
    <w:rsid w:val="001A7AE8"/>
    <w:rsid w:val="001B204E"/>
    <w:rsid w:val="001B2372"/>
    <w:rsid w:val="001B3443"/>
    <w:rsid w:val="001B3993"/>
    <w:rsid w:val="001B4D20"/>
    <w:rsid w:val="001B5B64"/>
    <w:rsid w:val="001B636F"/>
    <w:rsid w:val="001B64D8"/>
    <w:rsid w:val="001B64EB"/>
    <w:rsid w:val="001B6D54"/>
    <w:rsid w:val="001B7589"/>
    <w:rsid w:val="001C03C8"/>
    <w:rsid w:val="001C0BE2"/>
    <w:rsid w:val="001C24F7"/>
    <w:rsid w:val="001C2A9B"/>
    <w:rsid w:val="001C4299"/>
    <w:rsid w:val="001C4874"/>
    <w:rsid w:val="001C5B99"/>
    <w:rsid w:val="001C5F94"/>
    <w:rsid w:val="001C6E66"/>
    <w:rsid w:val="001D0BF9"/>
    <w:rsid w:val="001D1100"/>
    <w:rsid w:val="001D1391"/>
    <w:rsid w:val="001D25D7"/>
    <w:rsid w:val="001D3619"/>
    <w:rsid w:val="001D50B2"/>
    <w:rsid w:val="001D7645"/>
    <w:rsid w:val="001E1E86"/>
    <w:rsid w:val="001E238E"/>
    <w:rsid w:val="001E2483"/>
    <w:rsid w:val="001E2B1E"/>
    <w:rsid w:val="001E2CFF"/>
    <w:rsid w:val="001E2F24"/>
    <w:rsid w:val="001E30D4"/>
    <w:rsid w:val="001E34DF"/>
    <w:rsid w:val="001E5066"/>
    <w:rsid w:val="001E52EB"/>
    <w:rsid w:val="001E5A86"/>
    <w:rsid w:val="001E61D2"/>
    <w:rsid w:val="001E740C"/>
    <w:rsid w:val="001F1235"/>
    <w:rsid w:val="001F17E6"/>
    <w:rsid w:val="001F1CB3"/>
    <w:rsid w:val="001F38B5"/>
    <w:rsid w:val="001F4081"/>
    <w:rsid w:val="001F5A15"/>
    <w:rsid w:val="001F615D"/>
    <w:rsid w:val="001F7361"/>
    <w:rsid w:val="00200961"/>
    <w:rsid w:val="00200A6E"/>
    <w:rsid w:val="002011B0"/>
    <w:rsid w:val="0020308A"/>
    <w:rsid w:val="00203181"/>
    <w:rsid w:val="00203783"/>
    <w:rsid w:val="0020385F"/>
    <w:rsid w:val="00205116"/>
    <w:rsid w:val="00205E6D"/>
    <w:rsid w:val="002068A0"/>
    <w:rsid w:val="00207021"/>
    <w:rsid w:val="0020732F"/>
    <w:rsid w:val="00207D00"/>
    <w:rsid w:val="00210415"/>
    <w:rsid w:val="002105C1"/>
    <w:rsid w:val="00210C5F"/>
    <w:rsid w:val="00210CC1"/>
    <w:rsid w:val="002115E6"/>
    <w:rsid w:val="002119D6"/>
    <w:rsid w:val="00213EF5"/>
    <w:rsid w:val="002144EC"/>
    <w:rsid w:val="002149D6"/>
    <w:rsid w:val="00215DEF"/>
    <w:rsid w:val="00216BBA"/>
    <w:rsid w:val="00216BF5"/>
    <w:rsid w:val="002173B3"/>
    <w:rsid w:val="00220385"/>
    <w:rsid w:val="00220EA3"/>
    <w:rsid w:val="0022321F"/>
    <w:rsid w:val="002233CF"/>
    <w:rsid w:val="00223B49"/>
    <w:rsid w:val="00223D5A"/>
    <w:rsid w:val="00224DD4"/>
    <w:rsid w:val="00224E9F"/>
    <w:rsid w:val="002278A0"/>
    <w:rsid w:val="00227971"/>
    <w:rsid w:val="0023095C"/>
    <w:rsid w:val="002309CC"/>
    <w:rsid w:val="0023172E"/>
    <w:rsid w:val="0023209F"/>
    <w:rsid w:val="002331C2"/>
    <w:rsid w:val="00233995"/>
    <w:rsid w:val="00233C01"/>
    <w:rsid w:val="0023413C"/>
    <w:rsid w:val="002346F0"/>
    <w:rsid w:val="00235399"/>
    <w:rsid w:val="00235F5C"/>
    <w:rsid w:val="0023629D"/>
    <w:rsid w:val="00237255"/>
    <w:rsid w:val="00240088"/>
    <w:rsid w:val="00240A69"/>
    <w:rsid w:val="00240F72"/>
    <w:rsid w:val="002424AF"/>
    <w:rsid w:val="00242D08"/>
    <w:rsid w:val="00243297"/>
    <w:rsid w:val="002439DC"/>
    <w:rsid w:val="002441D2"/>
    <w:rsid w:val="00244DC8"/>
    <w:rsid w:val="002451AF"/>
    <w:rsid w:val="002458BA"/>
    <w:rsid w:val="00245CE9"/>
    <w:rsid w:val="0024636C"/>
    <w:rsid w:val="00246774"/>
    <w:rsid w:val="002469DD"/>
    <w:rsid w:val="00246B3A"/>
    <w:rsid w:val="00246C05"/>
    <w:rsid w:val="002477CB"/>
    <w:rsid w:val="00247925"/>
    <w:rsid w:val="00251006"/>
    <w:rsid w:val="002524D5"/>
    <w:rsid w:val="002533A6"/>
    <w:rsid w:val="00253676"/>
    <w:rsid w:val="00253B1D"/>
    <w:rsid w:val="00254DCF"/>
    <w:rsid w:val="0025534B"/>
    <w:rsid w:val="00255716"/>
    <w:rsid w:val="00255BB7"/>
    <w:rsid w:val="00257541"/>
    <w:rsid w:val="002576C2"/>
    <w:rsid w:val="00257A39"/>
    <w:rsid w:val="00257AC4"/>
    <w:rsid w:val="00257EE7"/>
    <w:rsid w:val="00260676"/>
    <w:rsid w:val="00260C6C"/>
    <w:rsid w:val="00261A8D"/>
    <w:rsid w:val="00261EEF"/>
    <w:rsid w:val="00261F03"/>
    <w:rsid w:val="00262A1A"/>
    <w:rsid w:val="00262A87"/>
    <w:rsid w:val="002645B6"/>
    <w:rsid w:val="00264D26"/>
    <w:rsid w:val="002654A5"/>
    <w:rsid w:val="0026559B"/>
    <w:rsid w:val="0026686C"/>
    <w:rsid w:val="002674F4"/>
    <w:rsid w:val="00267642"/>
    <w:rsid w:val="00267AEA"/>
    <w:rsid w:val="002700E6"/>
    <w:rsid w:val="0027294B"/>
    <w:rsid w:val="0027299A"/>
    <w:rsid w:val="00273EB4"/>
    <w:rsid w:val="002743E5"/>
    <w:rsid w:val="00274682"/>
    <w:rsid w:val="00274A1E"/>
    <w:rsid w:val="00275C1F"/>
    <w:rsid w:val="00275C5A"/>
    <w:rsid w:val="00276230"/>
    <w:rsid w:val="00276D37"/>
    <w:rsid w:val="00277FDD"/>
    <w:rsid w:val="00280EAD"/>
    <w:rsid w:val="00281014"/>
    <w:rsid w:val="00281D93"/>
    <w:rsid w:val="00282941"/>
    <w:rsid w:val="00283052"/>
    <w:rsid w:val="00284F1C"/>
    <w:rsid w:val="00285543"/>
    <w:rsid w:val="0028665D"/>
    <w:rsid w:val="002873BC"/>
    <w:rsid w:val="00290F8D"/>
    <w:rsid w:val="00291A63"/>
    <w:rsid w:val="0029230A"/>
    <w:rsid w:val="0029503E"/>
    <w:rsid w:val="00297730"/>
    <w:rsid w:val="002979D3"/>
    <w:rsid w:val="00297E3D"/>
    <w:rsid w:val="002A02DC"/>
    <w:rsid w:val="002A05B2"/>
    <w:rsid w:val="002A14AB"/>
    <w:rsid w:val="002A2A2A"/>
    <w:rsid w:val="002A2ADE"/>
    <w:rsid w:val="002A2F50"/>
    <w:rsid w:val="002A3780"/>
    <w:rsid w:val="002A413E"/>
    <w:rsid w:val="002A553B"/>
    <w:rsid w:val="002A6442"/>
    <w:rsid w:val="002A6FC0"/>
    <w:rsid w:val="002B05A1"/>
    <w:rsid w:val="002B09A4"/>
    <w:rsid w:val="002B1C1F"/>
    <w:rsid w:val="002B2178"/>
    <w:rsid w:val="002B2876"/>
    <w:rsid w:val="002B4086"/>
    <w:rsid w:val="002B432F"/>
    <w:rsid w:val="002B62B3"/>
    <w:rsid w:val="002B6754"/>
    <w:rsid w:val="002B6B18"/>
    <w:rsid w:val="002B6CCE"/>
    <w:rsid w:val="002C0B5B"/>
    <w:rsid w:val="002C12FF"/>
    <w:rsid w:val="002C2510"/>
    <w:rsid w:val="002C2775"/>
    <w:rsid w:val="002C27C1"/>
    <w:rsid w:val="002C5099"/>
    <w:rsid w:val="002C577E"/>
    <w:rsid w:val="002C5889"/>
    <w:rsid w:val="002C65F9"/>
    <w:rsid w:val="002C71CE"/>
    <w:rsid w:val="002C72DF"/>
    <w:rsid w:val="002C7DA5"/>
    <w:rsid w:val="002D06E5"/>
    <w:rsid w:val="002D08F8"/>
    <w:rsid w:val="002D0E3C"/>
    <w:rsid w:val="002D1B18"/>
    <w:rsid w:val="002D26DF"/>
    <w:rsid w:val="002D2C97"/>
    <w:rsid w:val="002D577C"/>
    <w:rsid w:val="002D654C"/>
    <w:rsid w:val="002E1071"/>
    <w:rsid w:val="002E15B9"/>
    <w:rsid w:val="002E2158"/>
    <w:rsid w:val="002E258D"/>
    <w:rsid w:val="002E4F02"/>
    <w:rsid w:val="002E57B0"/>
    <w:rsid w:val="002E652D"/>
    <w:rsid w:val="002E7722"/>
    <w:rsid w:val="002E7B1B"/>
    <w:rsid w:val="002F07BA"/>
    <w:rsid w:val="002F0DA9"/>
    <w:rsid w:val="002F1014"/>
    <w:rsid w:val="002F2347"/>
    <w:rsid w:val="002F3175"/>
    <w:rsid w:val="002F433E"/>
    <w:rsid w:val="002F5646"/>
    <w:rsid w:val="002F643C"/>
    <w:rsid w:val="002F6A49"/>
    <w:rsid w:val="002F71C0"/>
    <w:rsid w:val="002F74F1"/>
    <w:rsid w:val="002F7726"/>
    <w:rsid w:val="002F7E94"/>
    <w:rsid w:val="003000E1"/>
    <w:rsid w:val="00301017"/>
    <w:rsid w:val="0030155F"/>
    <w:rsid w:val="00301599"/>
    <w:rsid w:val="00301B99"/>
    <w:rsid w:val="00301EEC"/>
    <w:rsid w:val="003030CF"/>
    <w:rsid w:val="003048A3"/>
    <w:rsid w:val="0030587B"/>
    <w:rsid w:val="00305F26"/>
    <w:rsid w:val="00306D98"/>
    <w:rsid w:val="0030786C"/>
    <w:rsid w:val="00307C35"/>
    <w:rsid w:val="00307DBC"/>
    <w:rsid w:val="0031031A"/>
    <w:rsid w:val="00310981"/>
    <w:rsid w:val="00310EAC"/>
    <w:rsid w:val="0031151C"/>
    <w:rsid w:val="003122BA"/>
    <w:rsid w:val="003124D9"/>
    <w:rsid w:val="00312594"/>
    <w:rsid w:val="003138EA"/>
    <w:rsid w:val="0031451E"/>
    <w:rsid w:val="00314C24"/>
    <w:rsid w:val="00315498"/>
    <w:rsid w:val="00316474"/>
    <w:rsid w:val="0031779F"/>
    <w:rsid w:val="00320CFC"/>
    <w:rsid w:val="00321DDA"/>
    <w:rsid w:val="00322107"/>
    <w:rsid w:val="00322355"/>
    <w:rsid w:val="00322846"/>
    <w:rsid w:val="00322867"/>
    <w:rsid w:val="003237A2"/>
    <w:rsid w:val="00326640"/>
    <w:rsid w:val="00326DA7"/>
    <w:rsid w:val="003270E4"/>
    <w:rsid w:val="00327253"/>
    <w:rsid w:val="003279A5"/>
    <w:rsid w:val="00327FF8"/>
    <w:rsid w:val="003307F3"/>
    <w:rsid w:val="00330DAA"/>
    <w:rsid w:val="00330F5C"/>
    <w:rsid w:val="00331DC4"/>
    <w:rsid w:val="00335D00"/>
    <w:rsid w:val="0033625D"/>
    <w:rsid w:val="003366B5"/>
    <w:rsid w:val="003366C9"/>
    <w:rsid w:val="003371B0"/>
    <w:rsid w:val="00340DF1"/>
    <w:rsid w:val="00343206"/>
    <w:rsid w:val="00344884"/>
    <w:rsid w:val="0034493C"/>
    <w:rsid w:val="00344DC6"/>
    <w:rsid w:val="00346361"/>
    <w:rsid w:val="00346839"/>
    <w:rsid w:val="00350294"/>
    <w:rsid w:val="003517F9"/>
    <w:rsid w:val="00351BA9"/>
    <w:rsid w:val="003529AF"/>
    <w:rsid w:val="00354BC4"/>
    <w:rsid w:val="00354F64"/>
    <w:rsid w:val="00355DD8"/>
    <w:rsid w:val="0035620E"/>
    <w:rsid w:val="00356442"/>
    <w:rsid w:val="0035763F"/>
    <w:rsid w:val="00360345"/>
    <w:rsid w:val="00361A05"/>
    <w:rsid w:val="003624C4"/>
    <w:rsid w:val="003629FB"/>
    <w:rsid w:val="00362E51"/>
    <w:rsid w:val="003632AB"/>
    <w:rsid w:val="00363B00"/>
    <w:rsid w:val="00364894"/>
    <w:rsid w:val="003654AC"/>
    <w:rsid w:val="00365F8E"/>
    <w:rsid w:val="00366821"/>
    <w:rsid w:val="0036764F"/>
    <w:rsid w:val="00367940"/>
    <w:rsid w:val="0037019C"/>
    <w:rsid w:val="00370858"/>
    <w:rsid w:val="00370AE5"/>
    <w:rsid w:val="003710CF"/>
    <w:rsid w:val="003719E5"/>
    <w:rsid w:val="00372A0C"/>
    <w:rsid w:val="00372BE8"/>
    <w:rsid w:val="00372E2B"/>
    <w:rsid w:val="0037358A"/>
    <w:rsid w:val="00373775"/>
    <w:rsid w:val="00374435"/>
    <w:rsid w:val="003750F6"/>
    <w:rsid w:val="003754EC"/>
    <w:rsid w:val="00375DAA"/>
    <w:rsid w:val="003760FC"/>
    <w:rsid w:val="0037707F"/>
    <w:rsid w:val="00377947"/>
    <w:rsid w:val="00380924"/>
    <w:rsid w:val="00381905"/>
    <w:rsid w:val="00381F5C"/>
    <w:rsid w:val="0038365C"/>
    <w:rsid w:val="0038369B"/>
    <w:rsid w:val="00383B78"/>
    <w:rsid w:val="003846DA"/>
    <w:rsid w:val="00385A9D"/>
    <w:rsid w:val="00385D27"/>
    <w:rsid w:val="003872E7"/>
    <w:rsid w:val="003875D1"/>
    <w:rsid w:val="00387881"/>
    <w:rsid w:val="003902B1"/>
    <w:rsid w:val="00390EF8"/>
    <w:rsid w:val="0039179C"/>
    <w:rsid w:val="00392065"/>
    <w:rsid w:val="003921FB"/>
    <w:rsid w:val="00394F83"/>
    <w:rsid w:val="00396896"/>
    <w:rsid w:val="00396FD0"/>
    <w:rsid w:val="00397908"/>
    <w:rsid w:val="00397DB7"/>
    <w:rsid w:val="003A0127"/>
    <w:rsid w:val="003A0DFB"/>
    <w:rsid w:val="003A11E9"/>
    <w:rsid w:val="003A1A7A"/>
    <w:rsid w:val="003A1FBB"/>
    <w:rsid w:val="003A2392"/>
    <w:rsid w:val="003A2831"/>
    <w:rsid w:val="003A3CB6"/>
    <w:rsid w:val="003A3ED1"/>
    <w:rsid w:val="003A4245"/>
    <w:rsid w:val="003A44DB"/>
    <w:rsid w:val="003A45A2"/>
    <w:rsid w:val="003A5030"/>
    <w:rsid w:val="003A5850"/>
    <w:rsid w:val="003A61B7"/>
    <w:rsid w:val="003A727C"/>
    <w:rsid w:val="003A75A8"/>
    <w:rsid w:val="003B0A3B"/>
    <w:rsid w:val="003B134E"/>
    <w:rsid w:val="003B1CA4"/>
    <w:rsid w:val="003B3971"/>
    <w:rsid w:val="003B4086"/>
    <w:rsid w:val="003B55D1"/>
    <w:rsid w:val="003B5B61"/>
    <w:rsid w:val="003B5BC3"/>
    <w:rsid w:val="003B5C36"/>
    <w:rsid w:val="003B5FB8"/>
    <w:rsid w:val="003B6C92"/>
    <w:rsid w:val="003B6E5B"/>
    <w:rsid w:val="003B6EC6"/>
    <w:rsid w:val="003C005D"/>
    <w:rsid w:val="003C1654"/>
    <w:rsid w:val="003C3F26"/>
    <w:rsid w:val="003C53CF"/>
    <w:rsid w:val="003C5542"/>
    <w:rsid w:val="003C7003"/>
    <w:rsid w:val="003C7D19"/>
    <w:rsid w:val="003C7D2F"/>
    <w:rsid w:val="003D15B7"/>
    <w:rsid w:val="003D1828"/>
    <w:rsid w:val="003D1DE4"/>
    <w:rsid w:val="003D1E9A"/>
    <w:rsid w:val="003D2422"/>
    <w:rsid w:val="003D2925"/>
    <w:rsid w:val="003D39A1"/>
    <w:rsid w:val="003D3E46"/>
    <w:rsid w:val="003D3FBF"/>
    <w:rsid w:val="003D4A30"/>
    <w:rsid w:val="003D5671"/>
    <w:rsid w:val="003D689E"/>
    <w:rsid w:val="003D6DB5"/>
    <w:rsid w:val="003D7452"/>
    <w:rsid w:val="003D74A4"/>
    <w:rsid w:val="003D79BB"/>
    <w:rsid w:val="003D7B98"/>
    <w:rsid w:val="003D7C98"/>
    <w:rsid w:val="003D7D9D"/>
    <w:rsid w:val="003D7EF3"/>
    <w:rsid w:val="003E0543"/>
    <w:rsid w:val="003E05BB"/>
    <w:rsid w:val="003E2E03"/>
    <w:rsid w:val="003E4328"/>
    <w:rsid w:val="003E5B26"/>
    <w:rsid w:val="003E5C40"/>
    <w:rsid w:val="003E73A5"/>
    <w:rsid w:val="003E749E"/>
    <w:rsid w:val="003E7638"/>
    <w:rsid w:val="003F2CDE"/>
    <w:rsid w:val="003F2EB0"/>
    <w:rsid w:val="003F4156"/>
    <w:rsid w:val="003F4EC0"/>
    <w:rsid w:val="003F4F29"/>
    <w:rsid w:val="003F582D"/>
    <w:rsid w:val="003F5ADF"/>
    <w:rsid w:val="003F5D50"/>
    <w:rsid w:val="00400B29"/>
    <w:rsid w:val="00402B28"/>
    <w:rsid w:val="00403154"/>
    <w:rsid w:val="0040476D"/>
    <w:rsid w:val="0040504B"/>
    <w:rsid w:val="004059F4"/>
    <w:rsid w:val="00406CB4"/>
    <w:rsid w:val="00406ED4"/>
    <w:rsid w:val="00407FE5"/>
    <w:rsid w:val="004101B0"/>
    <w:rsid w:val="00410326"/>
    <w:rsid w:val="00410708"/>
    <w:rsid w:val="00410EC7"/>
    <w:rsid w:val="00411B39"/>
    <w:rsid w:val="00412555"/>
    <w:rsid w:val="004127A7"/>
    <w:rsid w:val="00412A27"/>
    <w:rsid w:val="0041359F"/>
    <w:rsid w:val="00413A1E"/>
    <w:rsid w:val="00414045"/>
    <w:rsid w:val="00414476"/>
    <w:rsid w:val="00414C2E"/>
    <w:rsid w:val="00414F54"/>
    <w:rsid w:val="004151CF"/>
    <w:rsid w:val="00416364"/>
    <w:rsid w:val="00416615"/>
    <w:rsid w:val="00416EAE"/>
    <w:rsid w:val="0041759D"/>
    <w:rsid w:val="0042047F"/>
    <w:rsid w:val="00420AA6"/>
    <w:rsid w:val="00420B9F"/>
    <w:rsid w:val="00420D08"/>
    <w:rsid w:val="0042192C"/>
    <w:rsid w:val="00422260"/>
    <w:rsid w:val="00423FC2"/>
    <w:rsid w:val="0042409A"/>
    <w:rsid w:val="0042413F"/>
    <w:rsid w:val="00425EF5"/>
    <w:rsid w:val="00431866"/>
    <w:rsid w:val="004319F8"/>
    <w:rsid w:val="00431E55"/>
    <w:rsid w:val="004321F6"/>
    <w:rsid w:val="00433044"/>
    <w:rsid w:val="00433465"/>
    <w:rsid w:val="00434088"/>
    <w:rsid w:val="00436B98"/>
    <w:rsid w:val="004375B9"/>
    <w:rsid w:val="00437C00"/>
    <w:rsid w:val="00440B3A"/>
    <w:rsid w:val="004421D9"/>
    <w:rsid w:val="004428D0"/>
    <w:rsid w:val="00442DD4"/>
    <w:rsid w:val="00443559"/>
    <w:rsid w:val="00443E1D"/>
    <w:rsid w:val="00444185"/>
    <w:rsid w:val="004443A7"/>
    <w:rsid w:val="0044442C"/>
    <w:rsid w:val="00445941"/>
    <w:rsid w:val="004464EB"/>
    <w:rsid w:val="00447D26"/>
    <w:rsid w:val="00447DFC"/>
    <w:rsid w:val="0045134E"/>
    <w:rsid w:val="00452641"/>
    <w:rsid w:val="0045395D"/>
    <w:rsid w:val="00454BA5"/>
    <w:rsid w:val="004555E2"/>
    <w:rsid w:val="00455992"/>
    <w:rsid w:val="00455D45"/>
    <w:rsid w:val="00456C45"/>
    <w:rsid w:val="004632B3"/>
    <w:rsid w:val="00463B5B"/>
    <w:rsid w:val="0046413F"/>
    <w:rsid w:val="00464595"/>
    <w:rsid w:val="00464C47"/>
    <w:rsid w:val="004658B5"/>
    <w:rsid w:val="00465BA4"/>
    <w:rsid w:val="00466916"/>
    <w:rsid w:val="00470008"/>
    <w:rsid w:val="00470C82"/>
    <w:rsid w:val="00471EA5"/>
    <w:rsid w:val="00472A79"/>
    <w:rsid w:val="00472EBC"/>
    <w:rsid w:val="00472F17"/>
    <w:rsid w:val="004737AC"/>
    <w:rsid w:val="00473F19"/>
    <w:rsid w:val="0047470F"/>
    <w:rsid w:val="0047531D"/>
    <w:rsid w:val="00475BDD"/>
    <w:rsid w:val="00475E22"/>
    <w:rsid w:val="004761AD"/>
    <w:rsid w:val="0048088E"/>
    <w:rsid w:val="004808C6"/>
    <w:rsid w:val="00480D66"/>
    <w:rsid w:val="00480F2B"/>
    <w:rsid w:val="004815C9"/>
    <w:rsid w:val="00482720"/>
    <w:rsid w:val="004835E7"/>
    <w:rsid w:val="00483D6B"/>
    <w:rsid w:val="00484591"/>
    <w:rsid w:val="00485286"/>
    <w:rsid w:val="004866B1"/>
    <w:rsid w:val="004867E2"/>
    <w:rsid w:val="00486E91"/>
    <w:rsid w:val="00487351"/>
    <w:rsid w:val="00487AE2"/>
    <w:rsid w:val="00490B17"/>
    <w:rsid w:val="00491B3A"/>
    <w:rsid w:val="00492CFD"/>
    <w:rsid w:val="00492E57"/>
    <w:rsid w:val="00494207"/>
    <w:rsid w:val="00494CCC"/>
    <w:rsid w:val="00494DD5"/>
    <w:rsid w:val="0049558B"/>
    <w:rsid w:val="0049589D"/>
    <w:rsid w:val="004962D2"/>
    <w:rsid w:val="00497849"/>
    <w:rsid w:val="004A0DA1"/>
    <w:rsid w:val="004A13D6"/>
    <w:rsid w:val="004A3C0A"/>
    <w:rsid w:val="004A4449"/>
    <w:rsid w:val="004A52E9"/>
    <w:rsid w:val="004A6040"/>
    <w:rsid w:val="004A64AC"/>
    <w:rsid w:val="004A6597"/>
    <w:rsid w:val="004A665E"/>
    <w:rsid w:val="004A6DFD"/>
    <w:rsid w:val="004A7848"/>
    <w:rsid w:val="004B0EEB"/>
    <w:rsid w:val="004B1A3C"/>
    <w:rsid w:val="004B1CB4"/>
    <w:rsid w:val="004B1D75"/>
    <w:rsid w:val="004B2F18"/>
    <w:rsid w:val="004B3DDB"/>
    <w:rsid w:val="004B44FD"/>
    <w:rsid w:val="004B5CFC"/>
    <w:rsid w:val="004B6F79"/>
    <w:rsid w:val="004B774D"/>
    <w:rsid w:val="004B77C6"/>
    <w:rsid w:val="004C1DE5"/>
    <w:rsid w:val="004C2F31"/>
    <w:rsid w:val="004C3D9F"/>
    <w:rsid w:val="004C43E1"/>
    <w:rsid w:val="004C4AED"/>
    <w:rsid w:val="004C7A6F"/>
    <w:rsid w:val="004D2C2D"/>
    <w:rsid w:val="004D69B5"/>
    <w:rsid w:val="004D6C77"/>
    <w:rsid w:val="004D7227"/>
    <w:rsid w:val="004D7553"/>
    <w:rsid w:val="004E0E7F"/>
    <w:rsid w:val="004E0EB8"/>
    <w:rsid w:val="004E18E9"/>
    <w:rsid w:val="004E2ADC"/>
    <w:rsid w:val="004E43B2"/>
    <w:rsid w:val="004E49F4"/>
    <w:rsid w:val="004F0979"/>
    <w:rsid w:val="004F12A6"/>
    <w:rsid w:val="004F19EC"/>
    <w:rsid w:val="004F1D02"/>
    <w:rsid w:val="004F2679"/>
    <w:rsid w:val="004F2F21"/>
    <w:rsid w:val="004F38CF"/>
    <w:rsid w:val="004F3DE5"/>
    <w:rsid w:val="004F480A"/>
    <w:rsid w:val="004F5B68"/>
    <w:rsid w:val="004F6913"/>
    <w:rsid w:val="004F7865"/>
    <w:rsid w:val="00500E43"/>
    <w:rsid w:val="0050121E"/>
    <w:rsid w:val="0050174E"/>
    <w:rsid w:val="00501854"/>
    <w:rsid w:val="00501B60"/>
    <w:rsid w:val="00501FAB"/>
    <w:rsid w:val="0050219B"/>
    <w:rsid w:val="00503F17"/>
    <w:rsid w:val="00504B7E"/>
    <w:rsid w:val="00506928"/>
    <w:rsid w:val="00506FC7"/>
    <w:rsid w:val="005077EF"/>
    <w:rsid w:val="00510635"/>
    <w:rsid w:val="00510E1B"/>
    <w:rsid w:val="00511AD5"/>
    <w:rsid w:val="00511DC7"/>
    <w:rsid w:val="005142C5"/>
    <w:rsid w:val="00514E02"/>
    <w:rsid w:val="0051501B"/>
    <w:rsid w:val="005152B5"/>
    <w:rsid w:val="005168FA"/>
    <w:rsid w:val="005178CE"/>
    <w:rsid w:val="0051797B"/>
    <w:rsid w:val="00521213"/>
    <w:rsid w:val="0052123C"/>
    <w:rsid w:val="00521319"/>
    <w:rsid w:val="00522BC8"/>
    <w:rsid w:val="00523C28"/>
    <w:rsid w:val="00525445"/>
    <w:rsid w:val="005259D0"/>
    <w:rsid w:val="00526924"/>
    <w:rsid w:val="00526971"/>
    <w:rsid w:val="00527BDA"/>
    <w:rsid w:val="0053144A"/>
    <w:rsid w:val="0053176B"/>
    <w:rsid w:val="00532591"/>
    <w:rsid w:val="00532E66"/>
    <w:rsid w:val="005331CB"/>
    <w:rsid w:val="005332CB"/>
    <w:rsid w:val="0053351E"/>
    <w:rsid w:val="005339EB"/>
    <w:rsid w:val="00533A3F"/>
    <w:rsid w:val="00533CF9"/>
    <w:rsid w:val="0053492F"/>
    <w:rsid w:val="00534F2F"/>
    <w:rsid w:val="005360E7"/>
    <w:rsid w:val="00536B71"/>
    <w:rsid w:val="00536F42"/>
    <w:rsid w:val="00537182"/>
    <w:rsid w:val="00540BFA"/>
    <w:rsid w:val="00540D02"/>
    <w:rsid w:val="00541393"/>
    <w:rsid w:val="00541EDD"/>
    <w:rsid w:val="00542743"/>
    <w:rsid w:val="00542BA4"/>
    <w:rsid w:val="00542C2D"/>
    <w:rsid w:val="00543707"/>
    <w:rsid w:val="00543CF8"/>
    <w:rsid w:val="005478BD"/>
    <w:rsid w:val="00547913"/>
    <w:rsid w:val="005479E3"/>
    <w:rsid w:val="005509B1"/>
    <w:rsid w:val="00551985"/>
    <w:rsid w:val="00551C9E"/>
    <w:rsid w:val="00552BD3"/>
    <w:rsid w:val="00552F3A"/>
    <w:rsid w:val="005532A0"/>
    <w:rsid w:val="00555109"/>
    <w:rsid w:val="00555EB8"/>
    <w:rsid w:val="00556B35"/>
    <w:rsid w:val="00557262"/>
    <w:rsid w:val="0055741A"/>
    <w:rsid w:val="005611B7"/>
    <w:rsid w:val="005618D4"/>
    <w:rsid w:val="0056244C"/>
    <w:rsid w:val="00562C2D"/>
    <w:rsid w:val="00565DF0"/>
    <w:rsid w:val="0056696F"/>
    <w:rsid w:val="00570508"/>
    <w:rsid w:val="00571B13"/>
    <w:rsid w:val="00571B1D"/>
    <w:rsid w:val="00572269"/>
    <w:rsid w:val="0057244A"/>
    <w:rsid w:val="00572845"/>
    <w:rsid w:val="00572F26"/>
    <w:rsid w:val="005735B3"/>
    <w:rsid w:val="00573AC7"/>
    <w:rsid w:val="00573DFE"/>
    <w:rsid w:val="005750C5"/>
    <w:rsid w:val="005752DE"/>
    <w:rsid w:val="00575D8D"/>
    <w:rsid w:val="005761FC"/>
    <w:rsid w:val="00576972"/>
    <w:rsid w:val="00580429"/>
    <w:rsid w:val="00581358"/>
    <w:rsid w:val="00582D34"/>
    <w:rsid w:val="005834B7"/>
    <w:rsid w:val="00583699"/>
    <w:rsid w:val="00583A51"/>
    <w:rsid w:val="0058418E"/>
    <w:rsid w:val="0058557C"/>
    <w:rsid w:val="00585CDD"/>
    <w:rsid w:val="00587058"/>
    <w:rsid w:val="00591957"/>
    <w:rsid w:val="00594B5A"/>
    <w:rsid w:val="005976F9"/>
    <w:rsid w:val="00597BF9"/>
    <w:rsid w:val="005A128A"/>
    <w:rsid w:val="005A2662"/>
    <w:rsid w:val="005A2AC1"/>
    <w:rsid w:val="005A309A"/>
    <w:rsid w:val="005A3188"/>
    <w:rsid w:val="005A373D"/>
    <w:rsid w:val="005A492E"/>
    <w:rsid w:val="005A6B0C"/>
    <w:rsid w:val="005B08AF"/>
    <w:rsid w:val="005B0B58"/>
    <w:rsid w:val="005B0F14"/>
    <w:rsid w:val="005B11B4"/>
    <w:rsid w:val="005B234D"/>
    <w:rsid w:val="005B449F"/>
    <w:rsid w:val="005B4AB5"/>
    <w:rsid w:val="005B4E53"/>
    <w:rsid w:val="005B5857"/>
    <w:rsid w:val="005B6135"/>
    <w:rsid w:val="005B64E1"/>
    <w:rsid w:val="005B7E89"/>
    <w:rsid w:val="005C1B83"/>
    <w:rsid w:val="005C25FF"/>
    <w:rsid w:val="005C2D55"/>
    <w:rsid w:val="005C346B"/>
    <w:rsid w:val="005C4781"/>
    <w:rsid w:val="005D044D"/>
    <w:rsid w:val="005D0797"/>
    <w:rsid w:val="005D0ABD"/>
    <w:rsid w:val="005D0B14"/>
    <w:rsid w:val="005D18AD"/>
    <w:rsid w:val="005D1B0F"/>
    <w:rsid w:val="005D26B4"/>
    <w:rsid w:val="005D3EE5"/>
    <w:rsid w:val="005D6CC2"/>
    <w:rsid w:val="005D775A"/>
    <w:rsid w:val="005E0A6D"/>
    <w:rsid w:val="005E24B0"/>
    <w:rsid w:val="005E2BD1"/>
    <w:rsid w:val="005E3A2B"/>
    <w:rsid w:val="005E3F22"/>
    <w:rsid w:val="005E4EC9"/>
    <w:rsid w:val="005E521A"/>
    <w:rsid w:val="005E56CC"/>
    <w:rsid w:val="005E63B4"/>
    <w:rsid w:val="005E64A1"/>
    <w:rsid w:val="005E6CBC"/>
    <w:rsid w:val="005E72FF"/>
    <w:rsid w:val="005E73C0"/>
    <w:rsid w:val="005F1803"/>
    <w:rsid w:val="005F2004"/>
    <w:rsid w:val="005F2706"/>
    <w:rsid w:val="005F2EC2"/>
    <w:rsid w:val="005F45DD"/>
    <w:rsid w:val="005F4AEB"/>
    <w:rsid w:val="005F5EAB"/>
    <w:rsid w:val="005F5EB1"/>
    <w:rsid w:val="005F6A8F"/>
    <w:rsid w:val="005F6BB7"/>
    <w:rsid w:val="005F723D"/>
    <w:rsid w:val="005F7262"/>
    <w:rsid w:val="005F7588"/>
    <w:rsid w:val="0060147A"/>
    <w:rsid w:val="00603610"/>
    <w:rsid w:val="00603DB9"/>
    <w:rsid w:val="00603F46"/>
    <w:rsid w:val="00605593"/>
    <w:rsid w:val="00605910"/>
    <w:rsid w:val="00605DE6"/>
    <w:rsid w:val="00606FBA"/>
    <w:rsid w:val="00607669"/>
    <w:rsid w:val="006076F4"/>
    <w:rsid w:val="00607AFD"/>
    <w:rsid w:val="00607BEA"/>
    <w:rsid w:val="00611440"/>
    <w:rsid w:val="00611CFF"/>
    <w:rsid w:val="00612F97"/>
    <w:rsid w:val="0061331E"/>
    <w:rsid w:val="0061345D"/>
    <w:rsid w:val="0061430B"/>
    <w:rsid w:val="00614B86"/>
    <w:rsid w:val="0061549B"/>
    <w:rsid w:val="00616802"/>
    <w:rsid w:val="00617290"/>
    <w:rsid w:val="00617E12"/>
    <w:rsid w:val="00620C25"/>
    <w:rsid w:val="00620CEF"/>
    <w:rsid w:val="00621477"/>
    <w:rsid w:val="00621ADA"/>
    <w:rsid w:val="00621F12"/>
    <w:rsid w:val="00622CBD"/>
    <w:rsid w:val="00623EAC"/>
    <w:rsid w:val="00623F7B"/>
    <w:rsid w:val="00624B47"/>
    <w:rsid w:val="006252B7"/>
    <w:rsid w:val="00625E81"/>
    <w:rsid w:val="006260FD"/>
    <w:rsid w:val="00626881"/>
    <w:rsid w:val="00626BA0"/>
    <w:rsid w:val="0063158F"/>
    <w:rsid w:val="00631D6B"/>
    <w:rsid w:val="00631FB6"/>
    <w:rsid w:val="00632183"/>
    <w:rsid w:val="00632809"/>
    <w:rsid w:val="006330A1"/>
    <w:rsid w:val="006339D2"/>
    <w:rsid w:val="00633F34"/>
    <w:rsid w:val="00634555"/>
    <w:rsid w:val="0063479F"/>
    <w:rsid w:val="00634A21"/>
    <w:rsid w:val="00635328"/>
    <w:rsid w:val="006353F0"/>
    <w:rsid w:val="006357B5"/>
    <w:rsid w:val="006363DE"/>
    <w:rsid w:val="006364A1"/>
    <w:rsid w:val="0063678E"/>
    <w:rsid w:val="00637258"/>
    <w:rsid w:val="00637B21"/>
    <w:rsid w:val="00637B54"/>
    <w:rsid w:val="00637BFD"/>
    <w:rsid w:val="0064052F"/>
    <w:rsid w:val="00641854"/>
    <w:rsid w:val="00641C4E"/>
    <w:rsid w:val="00641FB3"/>
    <w:rsid w:val="006424DF"/>
    <w:rsid w:val="0064368D"/>
    <w:rsid w:val="0064434C"/>
    <w:rsid w:val="00646140"/>
    <w:rsid w:val="006471CC"/>
    <w:rsid w:val="00647A29"/>
    <w:rsid w:val="0065064D"/>
    <w:rsid w:val="0065079F"/>
    <w:rsid w:val="0065211C"/>
    <w:rsid w:val="00652A28"/>
    <w:rsid w:val="00653567"/>
    <w:rsid w:val="0065379F"/>
    <w:rsid w:val="00655323"/>
    <w:rsid w:val="006558A0"/>
    <w:rsid w:val="00656188"/>
    <w:rsid w:val="00656AEF"/>
    <w:rsid w:val="0065715A"/>
    <w:rsid w:val="00657A9F"/>
    <w:rsid w:val="00660808"/>
    <w:rsid w:val="006610F1"/>
    <w:rsid w:val="006615D2"/>
    <w:rsid w:val="00661C6B"/>
    <w:rsid w:val="0066207F"/>
    <w:rsid w:val="00662EDC"/>
    <w:rsid w:val="00667F44"/>
    <w:rsid w:val="00671004"/>
    <w:rsid w:val="006713C4"/>
    <w:rsid w:val="00672646"/>
    <w:rsid w:val="00674E42"/>
    <w:rsid w:val="00674E52"/>
    <w:rsid w:val="00674EA8"/>
    <w:rsid w:val="0068074D"/>
    <w:rsid w:val="006813F8"/>
    <w:rsid w:val="00682112"/>
    <w:rsid w:val="00682BA6"/>
    <w:rsid w:val="006833A7"/>
    <w:rsid w:val="00683E41"/>
    <w:rsid w:val="00684370"/>
    <w:rsid w:val="00686957"/>
    <w:rsid w:val="006870F1"/>
    <w:rsid w:val="006872BA"/>
    <w:rsid w:val="00687561"/>
    <w:rsid w:val="00690795"/>
    <w:rsid w:val="00691648"/>
    <w:rsid w:val="006917D7"/>
    <w:rsid w:val="00692546"/>
    <w:rsid w:val="006934DF"/>
    <w:rsid w:val="0069434C"/>
    <w:rsid w:val="00694F44"/>
    <w:rsid w:val="006952F0"/>
    <w:rsid w:val="006964F9"/>
    <w:rsid w:val="00696F51"/>
    <w:rsid w:val="006979A5"/>
    <w:rsid w:val="006A1B61"/>
    <w:rsid w:val="006A2369"/>
    <w:rsid w:val="006A338B"/>
    <w:rsid w:val="006A3DA0"/>
    <w:rsid w:val="006A3F9F"/>
    <w:rsid w:val="006A45FC"/>
    <w:rsid w:val="006A4839"/>
    <w:rsid w:val="006A510A"/>
    <w:rsid w:val="006A5B75"/>
    <w:rsid w:val="006A5EBA"/>
    <w:rsid w:val="006A647E"/>
    <w:rsid w:val="006A6B99"/>
    <w:rsid w:val="006A7E5F"/>
    <w:rsid w:val="006B261B"/>
    <w:rsid w:val="006B2C90"/>
    <w:rsid w:val="006B35E6"/>
    <w:rsid w:val="006B42D4"/>
    <w:rsid w:val="006B4531"/>
    <w:rsid w:val="006B465A"/>
    <w:rsid w:val="006B6B5B"/>
    <w:rsid w:val="006B6DD0"/>
    <w:rsid w:val="006B7CB1"/>
    <w:rsid w:val="006C0399"/>
    <w:rsid w:val="006C2A8E"/>
    <w:rsid w:val="006C3255"/>
    <w:rsid w:val="006C3F26"/>
    <w:rsid w:val="006C5264"/>
    <w:rsid w:val="006C6598"/>
    <w:rsid w:val="006C6672"/>
    <w:rsid w:val="006C66FF"/>
    <w:rsid w:val="006D0AA3"/>
    <w:rsid w:val="006D0D10"/>
    <w:rsid w:val="006D0D17"/>
    <w:rsid w:val="006D0F8A"/>
    <w:rsid w:val="006D11C4"/>
    <w:rsid w:val="006D335E"/>
    <w:rsid w:val="006D344A"/>
    <w:rsid w:val="006D3B44"/>
    <w:rsid w:val="006D3C7D"/>
    <w:rsid w:val="006D3D43"/>
    <w:rsid w:val="006D4659"/>
    <w:rsid w:val="006D5D5F"/>
    <w:rsid w:val="006D6727"/>
    <w:rsid w:val="006D68FB"/>
    <w:rsid w:val="006E070B"/>
    <w:rsid w:val="006E0D34"/>
    <w:rsid w:val="006E2868"/>
    <w:rsid w:val="006E2D76"/>
    <w:rsid w:val="006E508C"/>
    <w:rsid w:val="006E7207"/>
    <w:rsid w:val="006F306C"/>
    <w:rsid w:val="006F3E75"/>
    <w:rsid w:val="006F4474"/>
    <w:rsid w:val="006F63A5"/>
    <w:rsid w:val="006F6FA8"/>
    <w:rsid w:val="006F7945"/>
    <w:rsid w:val="00700079"/>
    <w:rsid w:val="00700A31"/>
    <w:rsid w:val="0070142B"/>
    <w:rsid w:val="007016D6"/>
    <w:rsid w:val="0070276E"/>
    <w:rsid w:val="00702F8F"/>
    <w:rsid w:val="0070454E"/>
    <w:rsid w:val="007079FC"/>
    <w:rsid w:val="00711A36"/>
    <w:rsid w:val="007133EB"/>
    <w:rsid w:val="00714C26"/>
    <w:rsid w:val="0071529C"/>
    <w:rsid w:val="007170DA"/>
    <w:rsid w:val="007172AD"/>
    <w:rsid w:val="00717DB5"/>
    <w:rsid w:val="00720801"/>
    <w:rsid w:val="00721F6C"/>
    <w:rsid w:val="00722B1B"/>
    <w:rsid w:val="0072416F"/>
    <w:rsid w:val="007274CE"/>
    <w:rsid w:val="00727C94"/>
    <w:rsid w:val="007317B6"/>
    <w:rsid w:val="00731B0A"/>
    <w:rsid w:val="00731EAE"/>
    <w:rsid w:val="00733073"/>
    <w:rsid w:val="00733C6C"/>
    <w:rsid w:val="00734B0B"/>
    <w:rsid w:val="00735033"/>
    <w:rsid w:val="00735328"/>
    <w:rsid w:val="0073685B"/>
    <w:rsid w:val="00736CEA"/>
    <w:rsid w:val="00736D38"/>
    <w:rsid w:val="00737961"/>
    <w:rsid w:val="00737B2E"/>
    <w:rsid w:val="0074369F"/>
    <w:rsid w:val="00743F8F"/>
    <w:rsid w:val="007449BF"/>
    <w:rsid w:val="00744AC8"/>
    <w:rsid w:val="00744C38"/>
    <w:rsid w:val="00745A0C"/>
    <w:rsid w:val="00746BC0"/>
    <w:rsid w:val="00746F49"/>
    <w:rsid w:val="0074770B"/>
    <w:rsid w:val="00747935"/>
    <w:rsid w:val="00750428"/>
    <w:rsid w:val="00751080"/>
    <w:rsid w:val="007510B4"/>
    <w:rsid w:val="00751B2E"/>
    <w:rsid w:val="00752142"/>
    <w:rsid w:val="007523F9"/>
    <w:rsid w:val="0075357E"/>
    <w:rsid w:val="00754A1C"/>
    <w:rsid w:val="00755079"/>
    <w:rsid w:val="0075681C"/>
    <w:rsid w:val="007573E8"/>
    <w:rsid w:val="00760C4E"/>
    <w:rsid w:val="00760F9E"/>
    <w:rsid w:val="007627BE"/>
    <w:rsid w:val="00762E21"/>
    <w:rsid w:val="00762E7D"/>
    <w:rsid w:val="00764798"/>
    <w:rsid w:val="00764F03"/>
    <w:rsid w:val="00765B1A"/>
    <w:rsid w:val="00766D82"/>
    <w:rsid w:val="00770516"/>
    <w:rsid w:val="007707C6"/>
    <w:rsid w:val="007732E9"/>
    <w:rsid w:val="00773A6D"/>
    <w:rsid w:val="00774E2A"/>
    <w:rsid w:val="007760C9"/>
    <w:rsid w:val="00776485"/>
    <w:rsid w:val="00776610"/>
    <w:rsid w:val="00777335"/>
    <w:rsid w:val="00777CC7"/>
    <w:rsid w:val="00783432"/>
    <w:rsid w:val="00783ECF"/>
    <w:rsid w:val="007843F2"/>
    <w:rsid w:val="0078465D"/>
    <w:rsid w:val="00785573"/>
    <w:rsid w:val="00785A9F"/>
    <w:rsid w:val="00786E15"/>
    <w:rsid w:val="0078780C"/>
    <w:rsid w:val="0079019A"/>
    <w:rsid w:val="00791239"/>
    <w:rsid w:val="007921D8"/>
    <w:rsid w:val="007925DF"/>
    <w:rsid w:val="007926FC"/>
    <w:rsid w:val="00792968"/>
    <w:rsid w:val="00793D90"/>
    <w:rsid w:val="007947E1"/>
    <w:rsid w:val="00794A4D"/>
    <w:rsid w:val="00797A7C"/>
    <w:rsid w:val="007A08AA"/>
    <w:rsid w:val="007A0A12"/>
    <w:rsid w:val="007A132D"/>
    <w:rsid w:val="007A1345"/>
    <w:rsid w:val="007A19A4"/>
    <w:rsid w:val="007A2DDB"/>
    <w:rsid w:val="007A5E2E"/>
    <w:rsid w:val="007A70BA"/>
    <w:rsid w:val="007B0D68"/>
    <w:rsid w:val="007B0E07"/>
    <w:rsid w:val="007B1D04"/>
    <w:rsid w:val="007B251D"/>
    <w:rsid w:val="007B3C69"/>
    <w:rsid w:val="007B4E93"/>
    <w:rsid w:val="007B4F58"/>
    <w:rsid w:val="007B528D"/>
    <w:rsid w:val="007B52A3"/>
    <w:rsid w:val="007B63CA"/>
    <w:rsid w:val="007B77D1"/>
    <w:rsid w:val="007C07C7"/>
    <w:rsid w:val="007C1CD9"/>
    <w:rsid w:val="007C32EF"/>
    <w:rsid w:val="007C350C"/>
    <w:rsid w:val="007C361D"/>
    <w:rsid w:val="007C4B84"/>
    <w:rsid w:val="007C4F4B"/>
    <w:rsid w:val="007C60A4"/>
    <w:rsid w:val="007C65C1"/>
    <w:rsid w:val="007C67B0"/>
    <w:rsid w:val="007C7056"/>
    <w:rsid w:val="007C70FF"/>
    <w:rsid w:val="007C71DB"/>
    <w:rsid w:val="007C7284"/>
    <w:rsid w:val="007C7C25"/>
    <w:rsid w:val="007D004F"/>
    <w:rsid w:val="007D0B38"/>
    <w:rsid w:val="007D19C8"/>
    <w:rsid w:val="007D1C2D"/>
    <w:rsid w:val="007D5440"/>
    <w:rsid w:val="007D66BC"/>
    <w:rsid w:val="007D69EB"/>
    <w:rsid w:val="007D7D5D"/>
    <w:rsid w:val="007E128F"/>
    <w:rsid w:val="007E2F4B"/>
    <w:rsid w:val="007E3433"/>
    <w:rsid w:val="007E455E"/>
    <w:rsid w:val="007E610B"/>
    <w:rsid w:val="007E6FE0"/>
    <w:rsid w:val="007E7D0A"/>
    <w:rsid w:val="007F01BB"/>
    <w:rsid w:val="007F0AE6"/>
    <w:rsid w:val="007F1017"/>
    <w:rsid w:val="007F22BB"/>
    <w:rsid w:val="007F2F86"/>
    <w:rsid w:val="007F4A3F"/>
    <w:rsid w:val="007F4A61"/>
    <w:rsid w:val="007F5255"/>
    <w:rsid w:val="007F55F4"/>
    <w:rsid w:val="007F56CC"/>
    <w:rsid w:val="007F5965"/>
    <w:rsid w:val="007F61C2"/>
    <w:rsid w:val="007F7EBC"/>
    <w:rsid w:val="00800671"/>
    <w:rsid w:val="00800C32"/>
    <w:rsid w:val="00805142"/>
    <w:rsid w:val="00805470"/>
    <w:rsid w:val="00805FCE"/>
    <w:rsid w:val="008061F0"/>
    <w:rsid w:val="00806510"/>
    <w:rsid w:val="00806742"/>
    <w:rsid w:val="00806A82"/>
    <w:rsid w:val="0080771D"/>
    <w:rsid w:val="00807A8B"/>
    <w:rsid w:val="00807B61"/>
    <w:rsid w:val="00810B2E"/>
    <w:rsid w:val="00811383"/>
    <w:rsid w:val="008117C6"/>
    <w:rsid w:val="00812149"/>
    <w:rsid w:val="00812CAC"/>
    <w:rsid w:val="00814277"/>
    <w:rsid w:val="008159D6"/>
    <w:rsid w:val="00816361"/>
    <w:rsid w:val="0081642A"/>
    <w:rsid w:val="008166EF"/>
    <w:rsid w:val="00816FEF"/>
    <w:rsid w:val="00820580"/>
    <w:rsid w:val="00820A8C"/>
    <w:rsid w:val="008215FB"/>
    <w:rsid w:val="0082206C"/>
    <w:rsid w:val="0082268E"/>
    <w:rsid w:val="00822CCB"/>
    <w:rsid w:val="00823174"/>
    <w:rsid w:val="00825751"/>
    <w:rsid w:val="008258FD"/>
    <w:rsid w:val="008264EB"/>
    <w:rsid w:val="00830FD0"/>
    <w:rsid w:val="008316EE"/>
    <w:rsid w:val="00833747"/>
    <w:rsid w:val="00833B05"/>
    <w:rsid w:val="00834E3B"/>
    <w:rsid w:val="00835FDD"/>
    <w:rsid w:val="008362B4"/>
    <w:rsid w:val="00836867"/>
    <w:rsid w:val="008379FB"/>
    <w:rsid w:val="00840CA2"/>
    <w:rsid w:val="00841476"/>
    <w:rsid w:val="0084199F"/>
    <w:rsid w:val="0084267F"/>
    <w:rsid w:val="00842A85"/>
    <w:rsid w:val="00843445"/>
    <w:rsid w:val="0084374F"/>
    <w:rsid w:val="00844A22"/>
    <w:rsid w:val="00845537"/>
    <w:rsid w:val="00845C69"/>
    <w:rsid w:val="008462F8"/>
    <w:rsid w:val="0084720C"/>
    <w:rsid w:val="00847703"/>
    <w:rsid w:val="00847DF5"/>
    <w:rsid w:val="00850B3F"/>
    <w:rsid w:val="0085309D"/>
    <w:rsid w:val="0085405D"/>
    <w:rsid w:val="00854A00"/>
    <w:rsid w:val="00854E1D"/>
    <w:rsid w:val="00856897"/>
    <w:rsid w:val="00856B5D"/>
    <w:rsid w:val="00856E9A"/>
    <w:rsid w:val="00857D0C"/>
    <w:rsid w:val="00860101"/>
    <w:rsid w:val="0086075D"/>
    <w:rsid w:val="0086155D"/>
    <w:rsid w:val="00861A3C"/>
    <w:rsid w:val="00862502"/>
    <w:rsid w:val="00862CC1"/>
    <w:rsid w:val="00863465"/>
    <w:rsid w:val="008634EE"/>
    <w:rsid w:val="008641D5"/>
    <w:rsid w:val="00865C79"/>
    <w:rsid w:val="0086604A"/>
    <w:rsid w:val="008660D4"/>
    <w:rsid w:val="00866DFD"/>
    <w:rsid w:val="00867FEA"/>
    <w:rsid w:val="00870471"/>
    <w:rsid w:val="00871ADD"/>
    <w:rsid w:val="00871FA9"/>
    <w:rsid w:val="008728E9"/>
    <w:rsid w:val="00872F7A"/>
    <w:rsid w:val="00874885"/>
    <w:rsid w:val="00874907"/>
    <w:rsid w:val="00875A93"/>
    <w:rsid w:val="00876B9D"/>
    <w:rsid w:val="00881E6C"/>
    <w:rsid w:val="00882389"/>
    <w:rsid w:val="00882874"/>
    <w:rsid w:val="00882BBA"/>
    <w:rsid w:val="00882E3C"/>
    <w:rsid w:val="0088308F"/>
    <w:rsid w:val="0088322E"/>
    <w:rsid w:val="0088365A"/>
    <w:rsid w:val="008836DB"/>
    <w:rsid w:val="00883787"/>
    <w:rsid w:val="00883C35"/>
    <w:rsid w:val="00883E73"/>
    <w:rsid w:val="008855E4"/>
    <w:rsid w:val="00885F84"/>
    <w:rsid w:val="00886CD2"/>
    <w:rsid w:val="0089161E"/>
    <w:rsid w:val="00891E6F"/>
    <w:rsid w:val="00892610"/>
    <w:rsid w:val="0089275D"/>
    <w:rsid w:val="00892A36"/>
    <w:rsid w:val="0089317E"/>
    <w:rsid w:val="00893239"/>
    <w:rsid w:val="00894489"/>
    <w:rsid w:val="008944D8"/>
    <w:rsid w:val="0089536F"/>
    <w:rsid w:val="008963A5"/>
    <w:rsid w:val="008964D5"/>
    <w:rsid w:val="00896D5D"/>
    <w:rsid w:val="00897785"/>
    <w:rsid w:val="00897F10"/>
    <w:rsid w:val="008A1537"/>
    <w:rsid w:val="008A1C56"/>
    <w:rsid w:val="008A1E84"/>
    <w:rsid w:val="008A265A"/>
    <w:rsid w:val="008A3363"/>
    <w:rsid w:val="008A3371"/>
    <w:rsid w:val="008A3C3E"/>
    <w:rsid w:val="008A4B34"/>
    <w:rsid w:val="008A676C"/>
    <w:rsid w:val="008A7116"/>
    <w:rsid w:val="008A79DE"/>
    <w:rsid w:val="008B092D"/>
    <w:rsid w:val="008B0F77"/>
    <w:rsid w:val="008B1757"/>
    <w:rsid w:val="008B5582"/>
    <w:rsid w:val="008B60C7"/>
    <w:rsid w:val="008B7992"/>
    <w:rsid w:val="008B7D7E"/>
    <w:rsid w:val="008C19C1"/>
    <w:rsid w:val="008C2980"/>
    <w:rsid w:val="008C32FB"/>
    <w:rsid w:val="008C52ED"/>
    <w:rsid w:val="008C5610"/>
    <w:rsid w:val="008C5739"/>
    <w:rsid w:val="008C5BB2"/>
    <w:rsid w:val="008C5ED1"/>
    <w:rsid w:val="008C7ECB"/>
    <w:rsid w:val="008C7FB8"/>
    <w:rsid w:val="008D0F88"/>
    <w:rsid w:val="008D1E24"/>
    <w:rsid w:val="008D3B86"/>
    <w:rsid w:val="008D4755"/>
    <w:rsid w:val="008D4C3D"/>
    <w:rsid w:val="008D4F76"/>
    <w:rsid w:val="008D5399"/>
    <w:rsid w:val="008D642E"/>
    <w:rsid w:val="008D660E"/>
    <w:rsid w:val="008D743C"/>
    <w:rsid w:val="008D7B0D"/>
    <w:rsid w:val="008E0D3C"/>
    <w:rsid w:val="008E1B9E"/>
    <w:rsid w:val="008E2271"/>
    <w:rsid w:val="008E2452"/>
    <w:rsid w:val="008E3A22"/>
    <w:rsid w:val="008E55AB"/>
    <w:rsid w:val="008E7D6E"/>
    <w:rsid w:val="008E7D70"/>
    <w:rsid w:val="008F120A"/>
    <w:rsid w:val="008F26CD"/>
    <w:rsid w:val="008F27E0"/>
    <w:rsid w:val="008F48EB"/>
    <w:rsid w:val="008F4F0B"/>
    <w:rsid w:val="0090052E"/>
    <w:rsid w:val="00901100"/>
    <w:rsid w:val="00901F60"/>
    <w:rsid w:val="00902275"/>
    <w:rsid w:val="009028F3"/>
    <w:rsid w:val="00903512"/>
    <w:rsid w:val="009046C4"/>
    <w:rsid w:val="00904DE6"/>
    <w:rsid w:val="00904E51"/>
    <w:rsid w:val="009053A5"/>
    <w:rsid w:val="0090548D"/>
    <w:rsid w:val="009062A5"/>
    <w:rsid w:val="00906393"/>
    <w:rsid w:val="00906909"/>
    <w:rsid w:val="00910FA7"/>
    <w:rsid w:val="00911272"/>
    <w:rsid w:val="00912792"/>
    <w:rsid w:val="009135D6"/>
    <w:rsid w:val="00913A75"/>
    <w:rsid w:val="00914907"/>
    <w:rsid w:val="00914C77"/>
    <w:rsid w:val="00917071"/>
    <w:rsid w:val="00921ACB"/>
    <w:rsid w:val="0092369B"/>
    <w:rsid w:val="009258FB"/>
    <w:rsid w:val="0092790F"/>
    <w:rsid w:val="00930D48"/>
    <w:rsid w:val="009317F2"/>
    <w:rsid w:val="0093286D"/>
    <w:rsid w:val="0093313C"/>
    <w:rsid w:val="00934988"/>
    <w:rsid w:val="0093543B"/>
    <w:rsid w:val="00936391"/>
    <w:rsid w:val="00937089"/>
    <w:rsid w:val="00937374"/>
    <w:rsid w:val="009374F9"/>
    <w:rsid w:val="00940541"/>
    <w:rsid w:val="00940714"/>
    <w:rsid w:val="00941A16"/>
    <w:rsid w:val="00943250"/>
    <w:rsid w:val="00943725"/>
    <w:rsid w:val="00944F8A"/>
    <w:rsid w:val="009510A2"/>
    <w:rsid w:val="0095117A"/>
    <w:rsid w:val="00953257"/>
    <w:rsid w:val="0095474C"/>
    <w:rsid w:val="00955991"/>
    <w:rsid w:val="009560E9"/>
    <w:rsid w:val="0095686A"/>
    <w:rsid w:val="00956CFD"/>
    <w:rsid w:val="009572B2"/>
    <w:rsid w:val="00957877"/>
    <w:rsid w:val="00962CB9"/>
    <w:rsid w:val="00964312"/>
    <w:rsid w:val="009648E4"/>
    <w:rsid w:val="00965B8A"/>
    <w:rsid w:val="009664F0"/>
    <w:rsid w:val="0097071F"/>
    <w:rsid w:val="009717AC"/>
    <w:rsid w:val="009751C1"/>
    <w:rsid w:val="00976908"/>
    <w:rsid w:val="00976E10"/>
    <w:rsid w:val="00977814"/>
    <w:rsid w:val="0098010A"/>
    <w:rsid w:val="009811F1"/>
    <w:rsid w:val="00981B1A"/>
    <w:rsid w:val="00982DE0"/>
    <w:rsid w:val="00983CE2"/>
    <w:rsid w:val="00983E57"/>
    <w:rsid w:val="00984032"/>
    <w:rsid w:val="00985DE2"/>
    <w:rsid w:val="0098675D"/>
    <w:rsid w:val="00986F1A"/>
    <w:rsid w:val="009878B1"/>
    <w:rsid w:val="00991508"/>
    <w:rsid w:val="0099205B"/>
    <w:rsid w:val="00992126"/>
    <w:rsid w:val="009926E0"/>
    <w:rsid w:val="00994246"/>
    <w:rsid w:val="0099451E"/>
    <w:rsid w:val="00994DDE"/>
    <w:rsid w:val="00996270"/>
    <w:rsid w:val="00996437"/>
    <w:rsid w:val="00996B1A"/>
    <w:rsid w:val="00996D6D"/>
    <w:rsid w:val="009A0332"/>
    <w:rsid w:val="009A055E"/>
    <w:rsid w:val="009A0D51"/>
    <w:rsid w:val="009A125C"/>
    <w:rsid w:val="009A13D0"/>
    <w:rsid w:val="009A2DCC"/>
    <w:rsid w:val="009A557A"/>
    <w:rsid w:val="009A5ABC"/>
    <w:rsid w:val="009A7F10"/>
    <w:rsid w:val="009B21BC"/>
    <w:rsid w:val="009B2A50"/>
    <w:rsid w:val="009B3E26"/>
    <w:rsid w:val="009C00F8"/>
    <w:rsid w:val="009C3706"/>
    <w:rsid w:val="009C39D7"/>
    <w:rsid w:val="009C3A3A"/>
    <w:rsid w:val="009C3D58"/>
    <w:rsid w:val="009C58E6"/>
    <w:rsid w:val="009C5DDE"/>
    <w:rsid w:val="009C5F1A"/>
    <w:rsid w:val="009C608F"/>
    <w:rsid w:val="009C6CEA"/>
    <w:rsid w:val="009C7B85"/>
    <w:rsid w:val="009D0254"/>
    <w:rsid w:val="009D1A64"/>
    <w:rsid w:val="009D1B00"/>
    <w:rsid w:val="009D29AD"/>
    <w:rsid w:val="009D594C"/>
    <w:rsid w:val="009D5B91"/>
    <w:rsid w:val="009D5E9B"/>
    <w:rsid w:val="009D665D"/>
    <w:rsid w:val="009D6809"/>
    <w:rsid w:val="009D792E"/>
    <w:rsid w:val="009E0DFE"/>
    <w:rsid w:val="009E31F6"/>
    <w:rsid w:val="009E48A9"/>
    <w:rsid w:val="009E4C07"/>
    <w:rsid w:val="009F0851"/>
    <w:rsid w:val="009F1A33"/>
    <w:rsid w:val="009F29D7"/>
    <w:rsid w:val="009F328B"/>
    <w:rsid w:val="009F44C4"/>
    <w:rsid w:val="009F4697"/>
    <w:rsid w:val="009F46C0"/>
    <w:rsid w:val="009F49F7"/>
    <w:rsid w:val="009F50FE"/>
    <w:rsid w:val="009F6246"/>
    <w:rsid w:val="009F65BA"/>
    <w:rsid w:val="009F6DD5"/>
    <w:rsid w:val="00A01184"/>
    <w:rsid w:val="00A01977"/>
    <w:rsid w:val="00A034FD"/>
    <w:rsid w:val="00A037C2"/>
    <w:rsid w:val="00A03D43"/>
    <w:rsid w:val="00A03F81"/>
    <w:rsid w:val="00A04380"/>
    <w:rsid w:val="00A05472"/>
    <w:rsid w:val="00A05B1A"/>
    <w:rsid w:val="00A05C32"/>
    <w:rsid w:val="00A0653F"/>
    <w:rsid w:val="00A069FA"/>
    <w:rsid w:val="00A06F21"/>
    <w:rsid w:val="00A072DA"/>
    <w:rsid w:val="00A0767F"/>
    <w:rsid w:val="00A07AB4"/>
    <w:rsid w:val="00A11120"/>
    <w:rsid w:val="00A11A68"/>
    <w:rsid w:val="00A11CD0"/>
    <w:rsid w:val="00A134FF"/>
    <w:rsid w:val="00A13948"/>
    <w:rsid w:val="00A13B64"/>
    <w:rsid w:val="00A1468C"/>
    <w:rsid w:val="00A1555B"/>
    <w:rsid w:val="00A155C5"/>
    <w:rsid w:val="00A169C2"/>
    <w:rsid w:val="00A16AD8"/>
    <w:rsid w:val="00A176DF"/>
    <w:rsid w:val="00A1783B"/>
    <w:rsid w:val="00A212D6"/>
    <w:rsid w:val="00A21C95"/>
    <w:rsid w:val="00A21CF3"/>
    <w:rsid w:val="00A2307B"/>
    <w:rsid w:val="00A232E3"/>
    <w:rsid w:val="00A23C37"/>
    <w:rsid w:val="00A24813"/>
    <w:rsid w:val="00A25413"/>
    <w:rsid w:val="00A25794"/>
    <w:rsid w:val="00A277EC"/>
    <w:rsid w:val="00A27AEC"/>
    <w:rsid w:val="00A304B8"/>
    <w:rsid w:val="00A309F6"/>
    <w:rsid w:val="00A3168D"/>
    <w:rsid w:val="00A31E1C"/>
    <w:rsid w:val="00A320DB"/>
    <w:rsid w:val="00A33D59"/>
    <w:rsid w:val="00A35220"/>
    <w:rsid w:val="00A35D16"/>
    <w:rsid w:val="00A37347"/>
    <w:rsid w:val="00A37BCD"/>
    <w:rsid w:val="00A37C50"/>
    <w:rsid w:val="00A37D4D"/>
    <w:rsid w:val="00A41689"/>
    <w:rsid w:val="00A42592"/>
    <w:rsid w:val="00A43C59"/>
    <w:rsid w:val="00A45A3B"/>
    <w:rsid w:val="00A4615D"/>
    <w:rsid w:val="00A46C9D"/>
    <w:rsid w:val="00A50AC0"/>
    <w:rsid w:val="00A50B2B"/>
    <w:rsid w:val="00A50ECD"/>
    <w:rsid w:val="00A518F3"/>
    <w:rsid w:val="00A52729"/>
    <w:rsid w:val="00A53675"/>
    <w:rsid w:val="00A55190"/>
    <w:rsid w:val="00A563CD"/>
    <w:rsid w:val="00A564D7"/>
    <w:rsid w:val="00A56B6A"/>
    <w:rsid w:val="00A578DC"/>
    <w:rsid w:val="00A6290E"/>
    <w:rsid w:val="00A640E2"/>
    <w:rsid w:val="00A64955"/>
    <w:rsid w:val="00A64988"/>
    <w:rsid w:val="00A64D65"/>
    <w:rsid w:val="00A66FF3"/>
    <w:rsid w:val="00A6725B"/>
    <w:rsid w:val="00A67AB2"/>
    <w:rsid w:val="00A70605"/>
    <w:rsid w:val="00A71927"/>
    <w:rsid w:val="00A7247D"/>
    <w:rsid w:val="00A7272A"/>
    <w:rsid w:val="00A73134"/>
    <w:rsid w:val="00A76001"/>
    <w:rsid w:val="00A76352"/>
    <w:rsid w:val="00A76438"/>
    <w:rsid w:val="00A76E24"/>
    <w:rsid w:val="00A777B2"/>
    <w:rsid w:val="00A81CEE"/>
    <w:rsid w:val="00A81E2C"/>
    <w:rsid w:val="00A825D4"/>
    <w:rsid w:val="00A826CB"/>
    <w:rsid w:val="00A828F6"/>
    <w:rsid w:val="00A82B73"/>
    <w:rsid w:val="00A85EF0"/>
    <w:rsid w:val="00A86C14"/>
    <w:rsid w:val="00A86E8B"/>
    <w:rsid w:val="00A86F4B"/>
    <w:rsid w:val="00A87164"/>
    <w:rsid w:val="00A90CB6"/>
    <w:rsid w:val="00A91ECC"/>
    <w:rsid w:val="00A9219F"/>
    <w:rsid w:val="00A93072"/>
    <w:rsid w:val="00A938BD"/>
    <w:rsid w:val="00A93953"/>
    <w:rsid w:val="00A9410C"/>
    <w:rsid w:val="00A959D8"/>
    <w:rsid w:val="00A96246"/>
    <w:rsid w:val="00A97074"/>
    <w:rsid w:val="00A97C8C"/>
    <w:rsid w:val="00AA113D"/>
    <w:rsid w:val="00AA2CEF"/>
    <w:rsid w:val="00AA5F4B"/>
    <w:rsid w:val="00AA681F"/>
    <w:rsid w:val="00AA6BD5"/>
    <w:rsid w:val="00AA6BD8"/>
    <w:rsid w:val="00AA6C7D"/>
    <w:rsid w:val="00AA759B"/>
    <w:rsid w:val="00AA7FD6"/>
    <w:rsid w:val="00AB02E5"/>
    <w:rsid w:val="00AB042A"/>
    <w:rsid w:val="00AB0894"/>
    <w:rsid w:val="00AB0F63"/>
    <w:rsid w:val="00AB19EF"/>
    <w:rsid w:val="00AB2D34"/>
    <w:rsid w:val="00AB3430"/>
    <w:rsid w:val="00AB37B9"/>
    <w:rsid w:val="00AB38F1"/>
    <w:rsid w:val="00AB4AD1"/>
    <w:rsid w:val="00AB5E07"/>
    <w:rsid w:val="00AB7CFA"/>
    <w:rsid w:val="00AB7FCF"/>
    <w:rsid w:val="00AC007B"/>
    <w:rsid w:val="00AC1796"/>
    <w:rsid w:val="00AC5B48"/>
    <w:rsid w:val="00AC5D46"/>
    <w:rsid w:val="00AC6B67"/>
    <w:rsid w:val="00AD07EB"/>
    <w:rsid w:val="00AD1450"/>
    <w:rsid w:val="00AD580C"/>
    <w:rsid w:val="00AD5FE4"/>
    <w:rsid w:val="00AD61CD"/>
    <w:rsid w:val="00AD6502"/>
    <w:rsid w:val="00AD68BC"/>
    <w:rsid w:val="00AE0695"/>
    <w:rsid w:val="00AE08FB"/>
    <w:rsid w:val="00AE17C0"/>
    <w:rsid w:val="00AE197F"/>
    <w:rsid w:val="00AE2511"/>
    <w:rsid w:val="00AE3E7E"/>
    <w:rsid w:val="00AE3E85"/>
    <w:rsid w:val="00AE4962"/>
    <w:rsid w:val="00AE574A"/>
    <w:rsid w:val="00AE685F"/>
    <w:rsid w:val="00AE6F4E"/>
    <w:rsid w:val="00AE7A6E"/>
    <w:rsid w:val="00AF1315"/>
    <w:rsid w:val="00AF1733"/>
    <w:rsid w:val="00AF19BF"/>
    <w:rsid w:val="00AF24E3"/>
    <w:rsid w:val="00AF2DC3"/>
    <w:rsid w:val="00AF4A65"/>
    <w:rsid w:val="00AF4B83"/>
    <w:rsid w:val="00AF4F18"/>
    <w:rsid w:val="00AF5577"/>
    <w:rsid w:val="00AF6833"/>
    <w:rsid w:val="00B0111C"/>
    <w:rsid w:val="00B01A7A"/>
    <w:rsid w:val="00B033E5"/>
    <w:rsid w:val="00B03A63"/>
    <w:rsid w:val="00B03D9B"/>
    <w:rsid w:val="00B0553A"/>
    <w:rsid w:val="00B059F5"/>
    <w:rsid w:val="00B06B00"/>
    <w:rsid w:val="00B07973"/>
    <w:rsid w:val="00B07BCB"/>
    <w:rsid w:val="00B10425"/>
    <w:rsid w:val="00B11050"/>
    <w:rsid w:val="00B1196F"/>
    <w:rsid w:val="00B14F4F"/>
    <w:rsid w:val="00B15005"/>
    <w:rsid w:val="00B201A4"/>
    <w:rsid w:val="00B201D1"/>
    <w:rsid w:val="00B2045C"/>
    <w:rsid w:val="00B213A6"/>
    <w:rsid w:val="00B213C6"/>
    <w:rsid w:val="00B2265C"/>
    <w:rsid w:val="00B22884"/>
    <w:rsid w:val="00B235B0"/>
    <w:rsid w:val="00B24DF6"/>
    <w:rsid w:val="00B25801"/>
    <w:rsid w:val="00B30BE7"/>
    <w:rsid w:val="00B31241"/>
    <w:rsid w:val="00B31883"/>
    <w:rsid w:val="00B349C5"/>
    <w:rsid w:val="00B34FE2"/>
    <w:rsid w:val="00B35166"/>
    <w:rsid w:val="00B357D8"/>
    <w:rsid w:val="00B360F4"/>
    <w:rsid w:val="00B36A00"/>
    <w:rsid w:val="00B36F8D"/>
    <w:rsid w:val="00B37291"/>
    <w:rsid w:val="00B37BFC"/>
    <w:rsid w:val="00B40358"/>
    <w:rsid w:val="00B40AF6"/>
    <w:rsid w:val="00B41287"/>
    <w:rsid w:val="00B41614"/>
    <w:rsid w:val="00B426A2"/>
    <w:rsid w:val="00B42851"/>
    <w:rsid w:val="00B42F07"/>
    <w:rsid w:val="00B42F80"/>
    <w:rsid w:val="00B435CB"/>
    <w:rsid w:val="00B46B68"/>
    <w:rsid w:val="00B505C8"/>
    <w:rsid w:val="00B50653"/>
    <w:rsid w:val="00B50DB8"/>
    <w:rsid w:val="00B52182"/>
    <w:rsid w:val="00B52932"/>
    <w:rsid w:val="00B53654"/>
    <w:rsid w:val="00B53905"/>
    <w:rsid w:val="00B54B5B"/>
    <w:rsid w:val="00B5562E"/>
    <w:rsid w:val="00B55D65"/>
    <w:rsid w:val="00B56076"/>
    <w:rsid w:val="00B57000"/>
    <w:rsid w:val="00B60939"/>
    <w:rsid w:val="00B60AFD"/>
    <w:rsid w:val="00B62715"/>
    <w:rsid w:val="00B62D24"/>
    <w:rsid w:val="00B63B8D"/>
    <w:rsid w:val="00B64C0B"/>
    <w:rsid w:val="00B655CA"/>
    <w:rsid w:val="00B65611"/>
    <w:rsid w:val="00B65C41"/>
    <w:rsid w:val="00B662AC"/>
    <w:rsid w:val="00B67F9F"/>
    <w:rsid w:val="00B703BC"/>
    <w:rsid w:val="00B70E8E"/>
    <w:rsid w:val="00B7161C"/>
    <w:rsid w:val="00B7161E"/>
    <w:rsid w:val="00B72DB3"/>
    <w:rsid w:val="00B731A8"/>
    <w:rsid w:val="00B74699"/>
    <w:rsid w:val="00B75287"/>
    <w:rsid w:val="00B76A36"/>
    <w:rsid w:val="00B76C92"/>
    <w:rsid w:val="00B818A4"/>
    <w:rsid w:val="00B839E5"/>
    <w:rsid w:val="00B84117"/>
    <w:rsid w:val="00B858F0"/>
    <w:rsid w:val="00B85AA2"/>
    <w:rsid w:val="00B8649C"/>
    <w:rsid w:val="00B8695D"/>
    <w:rsid w:val="00B87DB5"/>
    <w:rsid w:val="00B87ECD"/>
    <w:rsid w:val="00B87F0A"/>
    <w:rsid w:val="00B90691"/>
    <w:rsid w:val="00B91132"/>
    <w:rsid w:val="00B9113B"/>
    <w:rsid w:val="00B91148"/>
    <w:rsid w:val="00B91D64"/>
    <w:rsid w:val="00B91F52"/>
    <w:rsid w:val="00B92917"/>
    <w:rsid w:val="00B92D0B"/>
    <w:rsid w:val="00B935A8"/>
    <w:rsid w:val="00B948A5"/>
    <w:rsid w:val="00B94945"/>
    <w:rsid w:val="00B94DD6"/>
    <w:rsid w:val="00B94ED3"/>
    <w:rsid w:val="00B96477"/>
    <w:rsid w:val="00B97F3B"/>
    <w:rsid w:val="00BA322D"/>
    <w:rsid w:val="00BA63FA"/>
    <w:rsid w:val="00BA75CB"/>
    <w:rsid w:val="00BB00B3"/>
    <w:rsid w:val="00BB0A92"/>
    <w:rsid w:val="00BB0BDD"/>
    <w:rsid w:val="00BB176C"/>
    <w:rsid w:val="00BB2A73"/>
    <w:rsid w:val="00BB2EA3"/>
    <w:rsid w:val="00BB3A45"/>
    <w:rsid w:val="00BB4ACC"/>
    <w:rsid w:val="00BB4CA1"/>
    <w:rsid w:val="00BB5B91"/>
    <w:rsid w:val="00BB5D01"/>
    <w:rsid w:val="00BB6B75"/>
    <w:rsid w:val="00BB703E"/>
    <w:rsid w:val="00BB732D"/>
    <w:rsid w:val="00BB7405"/>
    <w:rsid w:val="00BB78BC"/>
    <w:rsid w:val="00BB7F96"/>
    <w:rsid w:val="00BC3631"/>
    <w:rsid w:val="00BC4666"/>
    <w:rsid w:val="00BC5551"/>
    <w:rsid w:val="00BC591F"/>
    <w:rsid w:val="00BC5D0F"/>
    <w:rsid w:val="00BC703C"/>
    <w:rsid w:val="00BC7D6D"/>
    <w:rsid w:val="00BD0B59"/>
    <w:rsid w:val="00BD2108"/>
    <w:rsid w:val="00BD62BB"/>
    <w:rsid w:val="00BD68A3"/>
    <w:rsid w:val="00BD6938"/>
    <w:rsid w:val="00BD6CF3"/>
    <w:rsid w:val="00BD6D96"/>
    <w:rsid w:val="00BE0ECA"/>
    <w:rsid w:val="00BE1CC1"/>
    <w:rsid w:val="00BE1DFB"/>
    <w:rsid w:val="00BE2180"/>
    <w:rsid w:val="00BE21F2"/>
    <w:rsid w:val="00BE2A40"/>
    <w:rsid w:val="00BE4275"/>
    <w:rsid w:val="00BE506D"/>
    <w:rsid w:val="00BE5F00"/>
    <w:rsid w:val="00BE6B7F"/>
    <w:rsid w:val="00BF06AE"/>
    <w:rsid w:val="00BF0F95"/>
    <w:rsid w:val="00BF2327"/>
    <w:rsid w:val="00BF2433"/>
    <w:rsid w:val="00BF4AFF"/>
    <w:rsid w:val="00BF5029"/>
    <w:rsid w:val="00BF547E"/>
    <w:rsid w:val="00BF61C9"/>
    <w:rsid w:val="00BF6C94"/>
    <w:rsid w:val="00C00424"/>
    <w:rsid w:val="00C0193C"/>
    <w:rsid w:val="00C01D38"/>
    <w:rsid w:val="00C0351B"/>
    <w:rsid w:val="00C04D44"/>
    <w:rsid w:val="00C07924"/>
    <w:rsid w:val="00C10A65"/>
    <w:rsid w:val="00C1179F"/>
    <w:rsid w:val="00C12C14"/>
    <w:rsid w:val="00C1377B"/>
    <w:rsid w:val="00C137DA"/>
    <w:rsid w:val="00C143AF"/>
    <w:rsid w:val="00C15F04"/>
    <w:rsid w:val="00C17676"/>
    <w:rsid w:val="00C179B3"/>
    <w:rsid w:val="00C17AAB"/>
    <w:rsid w:val="00C17E3F"/>
    <w:rsid w:val="00C200AA"/>
    <w:rsid w:val="00C20626"/>
    <w:rsid w:val="00C22738"/>
    <w:rsid w:val="00C237ED"/>
    <w:rsid w:val="00C24632"/>
    <w:rsid w:val="00C25418"/>
    <w:rsid w:val="00C25D9C"/>
    <w:rsid w:val="00C26736"/>
    <w:rsid w:val="00C26B7C"/>
    <w:rsid w:val="00C2778B"/>
    <w:rsid w:val="00C27F27"/>
    <w:rsid w:val="00C3115B"/>
    <w:rsid w:val="00C31649"/>
    <w:rsid w:val="00C321DB"/>
    <w:rsid w:val="00C3434C"/>
    <w:rsid w:val="00C35AF4"/>
    <w:rsid w:val="00C377C0"/>
    <w:rsid w:val="00C3798A"/>
    <w:rsid w:val="00C379B5"/>
    <w:rsid w:val="00C40385"/>
    <w:rsid w:val="00C405E3"/>
    <w:rsid w:val="00C41768"/>
    <w:rsid w:val="00C42386"/>
    <w:rsid w:val="00C438DA"/>
    <w:rsid w:val="00C44111"/>
    <w:rsid w:val="00C44486"/>
    <w:rsid w:val="00C45290"/>
    <w:rsid w:val="00C45938"/>
    <w:rsid w:val="00C468A7"/>
    <w:rsid w:val="00C46A95"/>
    <w:rsid w:val="00C475AA"/>
    <w:rsid w:val="00C511B5"/>
    <w:rsid w:val="00C51421"/>
    <w:rsid w:val="00C53C98"/>
    <w:rsid w:val="00C54C3A"/>
    <w:rsid w:val="00C55FE3"/>
    <w:rsid w:val="00C56FCF"/>
    <w:rsid w:val="00C57B6C"/>
    <w:rsid w:val="00C60B52"/>
    <w:rsid w:val="00C62392"/>
    <w:rsid w:val="00C628A6"/>
    <w:rsid w:val="00C6296C"/>
    <w:rsid w:val="00C63AE8"/>
    <w:rsid w:val="00C64096"/>
    <w:rsid w:val="00C64344"/>
    <w:rsid w:val="00C64758"/>
    <w:rsid w:val="00C64E9E"/>
    <w:rsid w:val="00C65108"/>
    <w:rsid w:val="00C654AE"/>
    <w:rsid w:val="00C65576"/>
    <w:rsid w:val="00C66165"/>
    <w:rsid w:val="00C7060A"/>
    <w:rsid w:val="00C7151A"/>
    <w:rsid w:val="00C717E3"/>
    <w:rsid w:val="00C71F60"/>
    <w:rsid w:val="00C72241"/>
    <w:rsid w:val="00C725C4"/>
    <w:rsid w:val="00C74558"/>
    <w:rsid w:val="00C74B45"/>
    <w:rsid w:val="00C750C8"/>
    <w:rsid w:val="00C7560F"/>
    <w:rsid w:val="00C75EB8"/>
    <w:rsid w:val="00C77AEB"/>
    <w:rsid w:val="00C80494"/>
    <w:rsid w:val="00C80A0E"/>
    <w:rsid w:val="00C8213F"/>
    <w:rsid w:val="00C84771"/>
    <w:rsid w:val="00C84A93"/>
    <w:rsid w:val="00C84F7B"/>
    <w:rsid w:val="00C85010"/>
    <w:rsid w:val="00C85154"/>
    <w:rsid w:val="00C85186"/>
    <w:rsid w:val="00C8797A"/>
    <w:rsid w:val="00C87E37"/>
    <w:rsid w:val="00C9003B"/>
    <w:rsid w:val="00C900B8"/>
    <w:rsid w:val="00C904E2"/>
    <w:rsid w:val="00C90C71"/>
    <w:rsid w:val="00C90FEF"/>
    <w:rsid w:val="00C91FD1"/>
    <w:rsid w:val="00C92A49"/>
    <w:rsid w:val="00C931CF"/>
    <w:rsid w:val="00C938CF"/>
    <w:rsid w:val="00C93EF7"/>
    <w:rsid w:val="00C94053"/>
    <w:rsid w:val="00C9624D"/>
    <w:rsid w:val="00C969DA"/>
    <w:rsid w:val="00C96D1A"/>
    <w:rsid w:val="00CA2C77"/>
    <w:rsid w:val="00CA444F"/>
    <w:rsid w:val="00CA48E7"/>
    <w:rsid w:val="00CA4E45"/>
    <w:rsid w:val="00CA5245"/>
    <w:rsid w:val="00CA71F4"/>
    <w:rsid w:val="00CA7B09"/>
    <w:rsid w:val="00CB12A5"/>
    <w:rsid w:val="00CB1CAC"/>
    <w:rsid w:val="00CB2F2A"/>
    <w:rsid w:val="00CB5B1A"/>
    <w:rsid w:val="00CB668E"/>
    <w:rsid w:val="00CB6B22"/>
    <w:rsid w:val="00CB7F5F"/>
    <w:rsid w:val="00CC1B39"/>
    <w:rsid w:val="00CC2119"/>
    <w:rsid w:val="00CC2A8C"/>
    <w:rsid w:val="00CC310F"/>
    <w:rsid w:val="00CC35EA"/>
    <w:rsid w:val="00CC3848"/>
    <w:rsid w:val="00CC477A"/>
    <w:rsid w:val="00CC787E"/>
    <w:rsid w:val="00CD0007"/>
    <w:rsid w:val="00CD0F52"/>
    <w:rsid w:val="00CD27B9"/>
    <w:rsid w:val="00CD3D6D"/>
    <w:rsid w:val="00CD3F77"/>
    <w:rsid w:val="00CD56A9"/>
    <w:rsid w:val="00CD607A"/>
    <w:rsid w:val="00CD6ADC"/>
    <w:rsid w:val="00CD7193"/>
    <w:rsid w:val="00CE05C0"/>
    <w:rsid w:val="00CE0ABE"/>
    <w:rsid w:val="00CE293E"/>
    <w:rsid w:val="00CE38C8"/>
    <w:rsid w:val="00CE4A1A"/>
    <w:rsid w:val="00CE6274"/>
    <w:rsid w:val="00CE6554"/>
    <w:rsid w:val="00CE77B6"/>
    <w:rsid w:val="00CF0C39"/>
    <w:rsid w:val="00CF1FD7"/>
    <w:rsid w:val="00CF20A6"/>
    <w:rsid w:val="00CF20B0"/>
    <w:rsid w:val="00CF2370"/>
    <w:rsid w:val="00CF2B8D"/>
    <w:rsid w:val="00CF3350"/>
    <w:rsid w:val="00CF4208"/>
    <w:rsid w:val="00CF456B"/>
    <w:rsid w:val="00CF45C8"/>
    <w:rsid w:val="00CF587C"/>
    <w:rsid w:val="00CF5A22"/>
    <w:rsid w:val="00CF7041"/>
    <w:rsid w:val="00CF78D3"/>
    <w:rsid w:val="00D0262E"/>
    <w:rsid w:val="00D040DA"/>
    <w:rsid w:val="00D0451A"/>
    <w:rsid w:val="00D04E07"/>
    <w:rsid w:val="00D05D5D"/>
    <w:rsid w:val="00D05E3D"/>
    <w:rsid w:val="00D06139"/>
    <w:rsid w:val="00D06894"/>
    <w:rsid w:val="00D103CD"/>
    <w:rsid w:val="00D103F9"/>
    <w:rsid w:val="00D110BD"/>
    <w:rsid w:val="00D113CE"/>
    <w:rsid w:val="00D116E2"/>
    <w:rsid w:val="00D13675"/>
    <w:rsid w:val="00D140F9"/>
    <w:rsid w:val="00D141E1"/>
    <w:rsid w:val="00D1429C"/>
    <w:rsid w:val="00D15314"/>
    <w:rsid w:val="00D17D6C"/>
    <w:rsid w:val="00D2155B"/>
    <w:rsid w:val="00D2204C"/>
    <w:rsid w:val="00D2218A"/>
    <w:rsid w:val="00D22731"/>
    <w:rsid w:val="00D22942"/>
    <w:rsid w:val="00D23535"/>
    <w:rsid w:val="00D23D11"/>
    <w:rsid w:val="00D244B6"/>
    <w:rsid w:val="00D254D7"/>
    <w:rsid w:val="00D27243"/>
    <w:rsid w:val="00D2754D"/>
    <w:rsid w:val="00D27B27"/>
    <w:rsid w:val="00D30878"/>
    <w:rsid w:val="00D31697"/>
    <w:rsid w:val="00D32649"/>
    <w:rsid w:val="00D32A03"/>
    <w:rsid w:val="00D336F9"/>
    <w:rsid w:val="00D33BE9"/>
    <w:rsid w:val="00D33F5B"/>
    <w:rsid w:val="00D33F93"/>
    <w:rsid w:val="00D34370"/>
    <w:rsid w:val="00D355BE"/>
    <w:rsid w:val="00D357FF"/>
    <w:rsid w:val="00D35909"/>
    <w:rsid w:val="00D37277"/>
    <w:rsid w:val="00D407DE"/>
    <w:rsid w:val="00D412F3"/>
    <w:rsid w:val="00D41C6B"/>
    <w:rsid w:val="00D424C7"/>
    <w:rsid w:val="00D43B2A"/>
    <w:rsid w:val="00D43D83"/>
    <w:rsid w:val="00D460F2"/>
    <w:rsid w:val="00D46884"/>
    <w:rsid w:val="00D47575"/>
    <w:rsid w:val="00D50CAC"/>
    <w:rsid w:val="00D52281"/>
    <w:rsid w:val="00D5243B"/>
    <w:rsid w:val="00D528D7"/>
    <w:rsid w:val="00D533EC"/>
    <w:rsid w:val="00D54E45"/>
    <w:rsid w:val="00D552DC"/>
    <w:rsid w:val="00D5689A"/>
    <w:rsid w:val="00D56A95"/>
    <w:rsid w:val="00D5797F"/>
    <w:rsid w:val="00D603DB"/>
    <w:rsid w:val="00D60ED3"/>
    <w:rsid w:val="00D61895"/>
    <w:rsid w:val="00D6246C"/>
    <w:rsid w:val="00D62F32"/>
    <w:rsid w:val="00D643B0"/>
    <w:rsid w:val="00D65510"/>
    <w:rsid w:val="00D658CB"/>
    <w:rsid w:val="00D664F1"/>
    <w:rsid w:val="00D667BE"/>
    <w:rsid w:val="00D70F16"/>
    <w:rsid w:val="00D727D7"/>
    <w:rsid w:val="00D72F57"/>
    <w:rsid w:val="00D73124"/>
    <w:rsid w:val="00D74154"/>
    <w:rsid w:val="00D76507"/>
    <w:rsid w:val="00D76A44"/>
    <w:rsid w:val="00D77036"/>
    <w:rsid w:val="00D80A57"/>
    <w:rsid w:val="00D810BF"/>
    <w:rsid w:val="00D815EF"/>
    <w:rsid w:val="00D81F26"/>
    <w:rsid w:val="00D824BC"/>
    <w:rsid w:val="00D83473"/>
    <w:rsid w:val="00D83D70"/>
    <w:rsid w:val="00D84A9D"/>
    <w:rsid w:val="00D851F9"/>
    <w:rsid w:val="00D86231"/>
    <w:rsid w:val="00D86348"/>
    <w:rsid w:val="00D86CD7"/>
    <w:rsid w:val="00D9098A"/>
    <w:rsid w:val="00D91923"/>
    <w:rsid w:val="00D9277D"/>
    <w:rsid w:val="00D93753"/>
    <w:rsid w:val="00D97B7B"/>
    <w:rsid w:val="00DA3167"/>
    <w:rsid w:val="00DA327A"/>
    <w:rsid w:val="00DA3DA0"/>
    <w:rsid w:val="00DA3F2E"/>
    <w:rsid w:val="00DA4DC3"/>
    <w:rsid w:val="00DA5771"/>
    <w:rsid w:val="00DA64DD"/>
    <w:rsid w:val="00DA77A5"/>
    <w:rsid w:val="00DA7D38"/>
    <w:rsid w:val="00DB3820"/>
    <w:rsid w:val="00DB3DBF"/>
    <w:rsid w:val="00DB484F"/>
    <w:rsid w:val="00DB50A5"/>
    <w:rsid w:val="00DB5393"/>
    <w:rsid w:val="00DB611E"/>
    <w:rsid w:val="00DB768C"/>
    <w:rsid w:val="00DC04F6"/>
    <w:rsid w:val="00DC0690"/>
    <w:rsid w:val="00DC0F22"/>
    <w:rsid w:val="00DC1175"/>
    <w:rsid w:val="00DC1D65"/>
    <w:rsid w:val="00DC3C57"/>
    <w:rsid w:val="00DC4500"/>
    <w:rsid w:val="00DC50F9"/>
    <w:rsid w:val="00DC5501"/>
    <w:rsid w:val="00DC7154"/>
    <w:rsid w:val="00DC7E8A"/>
    <w:rsid w:val="00DC7E9E"/>
    <w:rsid w:val="00DD0E97"/>
    <w:rsid w:val="00DD0F78"/>
    <w:rsid w:val="00DD1531"/>
    <w:rsid w:val="00DD2437"/>
    <w:rsid w:val="00DD273C"/>
    <w:rsid w:val="00DD2C2B"/>
    <w:rsid w:val="00DD3F28"/>
    <w:rsid w:val="00DD40BB"/>
    <w:rsid w:val="00DD4537"/>
    <w:rsid w:val="00DD4E15"/>
    <w:rsid w:val="00DD526D"/>
    <w:rsid w:val="00DD529D"/>
    <w:rsid w:val="00DD567B"/>
    <w:rsid w:val="00DD5978"/>
    <w:rsid w:val="00DD672C"/>
    <w:rsid w:val="00DD69BA"/>
    <w:rsid w:val="00DE1C36"/>
    <w:rsid w:val="00DE2189"/>
    <w:rsid w:val="00DE2304"/>
    <w:rsid w:val="00DE3138"/>
    <w:rsid w:val="00DE37F8"/>
    <w:rsid w:val="00DE446E"/>
    <w:rsid w:val="00DE4FCB"/>
    <w:rsid w:val="00DE51E7"/>
    <w:rsid w:val="00DE5D07"/>
    <w:rsid w:val="00DE6430"/>
    <w:rsid w:val="00DE72A7"/>
    <w:rsid w:val="00DE776F"/>
    <w:rsid w:val="00DE7832"/>
    <w:rsid w:val="00DF0A90"/>
    <w:rsid w:val="00DF18FC"/>
    <w:rsid w:val="00DF2260"/>
    <w:rsid w:val="00DF3037"/>
    <w:rsid w:val="00DF48B2"/>
    <w:rsid w:val="00DF50CD"/>
    <w:rsid w:val="00DF5D2B"/>
    <w:rsid w:val="00DF7495"/>
    <w:rsid w:val="00DF7D46"/>
    <w:rsid w:val="00E00E8E"/>
    <w:rsid w:val="00E01A3F"/>
    <w:rsid w:val="00E020DE"/>
    <w:rsid w:val="00E04C9F"/>
    <w:rsid w:val="00E04D68"/>
    <w:rsid w:val="00E05630"/>
    <w:rsid w:val="00E06253"/>
    <w:rsid w:val="00E06DBB"/>
    <w:rsid w:val="00E07A0F"/>
    <w:rsid w:val="00E10149"/>
    <w:rsid w:val="00E11340"/>
    <w:rsid w:val="00E122A1"/>
    <w:rsid w:val="00E12939"/>
    <w:rsid w:val="00E12F57"/>
    <w:rsid w:val="00E12FB3"/>
    <w:rsid w:val="00E16372"/>
    <w:rsid w:val="00E20E4D"/>
    <w:rsid w:val="00E20ED6"/>
    <w:rsid w:val="00E21358"/>
    <w:rsid w:val="00E217D1"/>
    <w:rsid w:val="00E2249B"/>
    <w:rsid w:val="00E22A0D"/>
    <w:rsid w:val="00E23E8B"/>
    <w:rsid w:val="00E244F6"/>
    <w:rsid w:val="00E2771E"/>
    <w:rsid w:val="00E27DD8"/>
    <w:rsid w:val="00E303D7"/>
    <w:rsid w:val="00E311EF"/>
    <w:rsid w:val="00E31742"/>
    <w:rsid w:val="00E32180"/>
    <w:rsid w:val="00E32C0B"/>
    <w:rsid w:val="00E33068"/>
    <w:rsid w:val="00E344B4"/>
    <w:rsid w:val="00E34948"/>
    <w:rsid w:val="00E34F07"/>
    <w:rsid w:val="00E35762"/>
    <w:rsid w:val="00E37430"/>
    <w:rsid w:val="00E37569"/>
    <w:rsid w:val="00E40144"/>
    <w:rsid w:val="00E401B2"/>
    <w:rsid w:val="00E41E30"/>
    <w:rsid w:val="00E42016"/>
    <w:rsid w:val="00E42F73"/>
    <w:rsid w:val="00E43D70"/>
    <w:rsid w:val="00E43F95"/>
    <w:rsid w:val="00E44CEC"/>
    <w:rsid w:val="00E465E0"/>
    <w:rsid w:val="00E466F3"/>
    <w:rsid w:val="00E46778"/>
    <w:rsid w:val="00E47119"/>
    <w:rsid w:val="00E47B2C"/>
    <w:rsid w:val="00E47ECB"/>
    <w:rsid w:val="00E50F51"/>
    <w:rsid w:val="00E51560"/>
    <w:rsid w:val="00E53368"/>
    <w:rsid w:val="00E53D76"/>
    <w:rsid w:val="00E53FC8"/>
    <w:rsid w:val="00E54347"/>
    <w:rsid w:val="00E543EC"/>
    <w:rsid w:val="00E55424"/>
    <w:rsid w:val="00E55915"/>
    <w:rsid w:val="00E55BB5"/>
    <w:rsid w:val="00E5685E"/>
    <w:rsid w:val="00E56E69"/>
    <w:rsid w:val="00E602C7"/>
    <w:rsid w:val="00E639E3"/>
    <w:rsid w:val="00E63E12"/>
    <w:rsid w:val="00E643EE"/>
    <w:rsid w:val="00E64696"/>
    <w:rsid w:val="00E65164"/>
    <w:rsid w:val="00E65E79"/>
    <w:rsid w:val="00E66129"/>
    <w:rsid w:val="00E66640"/>
    <w:rsid w:val="00E66BA2"/>
    <w:rsid w:val="00E67416"/>
    <w:rsid w:val="00E70356"/>
    <w:rsid w:val="00E70AFB"/>
    <w:rsid w:val="00E718B6"/>
    <w:rsid w:val="00E71EB0"/>
    <w:rsid w:val="00E723BA"/>
    <w:rsid w:val="00E73581"/>
    <w:rsid w:val="00E7401A"/>
    <w:rsid w:val="00E74AEB"/>
    <w:rsid w:val="00E77F2D"/>
    <w:rsid w:val="00E77F41"/>
    <w:rsid w:val="00E824C3"/>
    <w:rsid w:val="00E82D6D"/>
    <w:rsid w:val="00E833F7"/>
    <w:rsid w:val="00E8351A"/>
    <w:rsid w:val="00E83BDF"/>
    <w:rsid w:val="00E84147"/>
    <w:rsid w:val="00E86E47"/>
    <w:rsid w:val="00E87A1D"/>
    <w:rsid w:val="00E9094A"/>
    <w:rsid w:val="00E90FE6"/>
    <w:rsid w:val="00E9198A"/>
    <w:rsid w:val="00E91D35"/>
    <w:rsid w:val="00E926A5"/>
    <w:rsid w:val="00E9657E"/>
    <w:rsid w:val="00E96B0B"/>
    <w:rsid w:val="00EA1166"/>
    <w:rsid w:val="00EA15FD"/>
    <w:rsid w:val="00EA17C3"/>
    <w:rsid w:val="00EA2CAA"/>
    <w:rsid w:val="00EA2F01"/>
    <w:rsid w:val="00EA3864"/>
    <w:rsid w:val="00EA7F1C"/>
    <w:rsid w:val="00EA7F80"/>
    <w:rsid w:val="00EB15B6"/>
    <w:rsid w:val="00EB3351"/>
    <w:rsid w:val="00EB3D06"/>
    <w:rsid w:val="00EB402C"/>
    <w:rsid w:val="00EB4206"/>
    <w:rsid w:val="00EB4916"/>
    <w:rsid w:val="00EB4BEF"/>
    <w:rsid w:val="00EB75CE"/>
    <w:rsid w:val="00EC00C9"/>
    <w:rsid w:val="00EC0127"/>
    <w:rsid w:val="00EC0DD9"/>
    <w:rsid w:val="00EC0E19"/>
    <w:rsid w:val="00EC100A"/>
    <w:rsid w:val="00EC2649"/>
    <w:rsid w:val="00EC2B92"/>
    <w:rsid w:val="00EC31ED"/>
    <w:rsid w:val="00EC5836"/>
    <w:rsid w:val="00EC633F"/>
    <w:rsid w:val="00EC688C"/>
    <w:rsid w:val="00ED1B15"/>
    <w:rsid w:val="00ED1D5F"/>
    <w:rsid w:val="00ED22F4"/>
    <w:rsid w:val="00ED47B7"/>
    <w:rsid w:val="00ED57EA"/>
    <w:rsid w:val="00ED5BD4"/>
    <w:rsid w:val="00ED7C35"/>
    <w:rsid w:val="00EE07D3"/>
    <w:rsid w:val="00EE1996"/>
    <w:rsid w:val="00EE1C01"/>
    <w:rsid w:val="00EE22AF"/>
    <w:rsid w:val="00EE41B0"/>
    <w:rsid w:val="00EE5152"/>
    <w:rsid w:val="00EF0171"/>
    <w:rsid w:val="00EF0B79"/>
    <w:rsid w:val="00EF1B12"/>
    <w:rsid w:val="00EF1B25"/>
    <w:rsid w:val="00EF1DA0"/>
    <w:rsid w:val="00EF2A56"/>
    <w:rsid w:val="00EF3DD0"/>
    <w:rsid w:val="00EF43D2"/>
    <w:rsid w:val="00EF4747"/>
    <w:rsid w:val="00EF4BF8"/>
    <w:rsid w:val="00EF5310"/>
    <w:rsid w:val="00F01B5F"/>
    <w:rsid w:val="00F02253"/>
    <w:rsid w:val="00F03C2E"/>
    <w:rsid w:val="00F040C4"/>
    <w:rsid w:val="00F04A66"/>
    <w:rsid w:val="00F04B4B"/>
    <w:rsid w:val="00F0516C"/>
    <w:rsid w:val="00F057EB"/>
    <w:rsid w:val="00F067A2"/>
    <w:rsid w:val="00F072CA"/>
    <w:rsid w:val="00F07B9E"/>
    <w:rsid w:val="00F1116F"/>
    <w:rsid w:val="00F1263A"/>
    <w:rsid w:val="00F12E93"/>
    <w:rsid w:val="00F15319"/>
    <w:rsid w:val="00F15B77"/>
    <w:rsid w:val="00F1794C"/>
    <w:rsid w:val="00F232BE"/>
    <w:rsid w:val="00F2358A"/>
    <w:rsid w:val="00F237F2"/>
    <w:rsid w:val="00F24837"/>
    <w:rsid w:val="00F25544"/>
    <w:rsid w:val="00F2574F"/>
    <w:rsid w:val="00F2575F"/>
    <w:rsid w:val="00F2639A"/>
    <w:rsid w:val="00F26D3E"/>
    <w:rsid w:val="00F27565"/>
    <w:rsid w:val="00F30714"/>
    <w:rsid w:val="00F310D4"/>
    <w:rsid w:val="00F31D5A"/>
    <w:rsid w:val="00F3291E"/>
    <w:rsid w:val="00F33975"/>
    <w:rsid w:val="00F33DE9"/>
    <w:rsid w:val="00F35BCD"/>
    <w:rsid w:val="00F35E6D"/>
    <w:rsid w:val="00F3619A"/>
    <w:rsid w:val="00F36698"/>
    <w:rsid w:val="00F40AAA"/>
    <w:rsid w:val="00F40BA7"/>
    <w:rsid w:val="00F40C80"/>
    <w:rsid w:val="00F40F9D"/>
    <w:rsid w:val="00F41ACD"/>
    <w:rsid w:val="00F42F3A"/>
    <w:rsid w:val="00F43ECE"/>
    <w:rsid w:val="00F4417A"/>
    <w:rsid w:val="00F44218"/>
    <w:rsid w:val="00F45979"/>
    <w:rsid w:val="00F46CB6"/>
    <w:rsid w:val="00F46F3A"/>
    <w:rsid w:val="00F4756D"/>
    <w:rsid w:val="00F47DE8"/>
    <w:rsid w:val="00F512EC"/>
    <w:rsid w:val="00F5396F"/>
    <w:rsid w:val="00F542C1"/>
    <w:rsid w:val="00F55E73"/>
    <w:rsid w:val="00F55EDA"/>
    <w:rsid w:val="00F5695D"/>
    <w:rsid w:val="00F56C80"/>
    <w:rsid w:val="00F60092"/>
    <w:rsid w:val="00F60E4C"/>
    <w:rsid w:val="00F611AB"/>
    <w:rsid w:val="00F61908"/>
    <w:rsid w:val="00F61C18"/>
    <w:rsid w:val="00F61CCB"/>
    <w:rsid w:val="00F625F6"/>
    <w:rsid w:val="00F62D41"/>
    <w:rsid w:val="00F64C8E"/>
    <w:rsid w:val="00F64FE5"/>
    <w:rsid w:val="00F65AD9"/>
    <w:rsid w:val="00F65F4B"/>
    <w:rsid w:val="00F67A69"/>
    <w:rsid w:val="00F70BFF"/>
    <w:rsid w:val="00F70C9D"/>
    <w:rsid w:val="00F746AF"/>
    <w:rsid w:val="00F74CD9"/>
    <w:rsid w:val="00F75971"/>
    <w:rsid w:val="00F7656E"/>
    <w:rsid w:val="00F766DB"/>
    <w:rsid w:val="00F7713F"/>
    <w:rsid w:val="00F80A7B"/>
    <w:rsid w:val="00F80E5D"/>
    <w:rsid w:val="00F81E78"/>
    <w:rsid w:val="00F8232F"/>
    <w:rsid w:val="00F83517"/>
    <w:rsid w:val="00F851CE"/>
    <w:rsid w:val="00F858B5"/>
    <w:rsid w:val="00F85A18"/>
    <w:rsid w:val="00F85E41"/>
    <w:rsid w:val="00F86D13"/>
    <w:rsid w:val="00F908CA"/>
    <w:rsid w:val="00F91219"/>
    <w:rsid w:val="00F92444"/>
    <w:rsid w:val="00F9393E"/>
    <w:rsid w:val="00F93D18"/>
    <w:rsid w:val="00F940DD"/>
    <w:rsid w:val="00F96FD0"/>
    <w:rsid w:val="00F97563"/>
    <w:rsid w:val="00F97996"/>
    <w:rsid w:val="00F97A78"/>
    <w:rsid w:val="00FA062A"/>
    <w:rsid w:val="00FA0B20"/>
    <w:rsid w:val="00FA224B"/>
    <w:rsid w:val="00FA2322"/>
    <w:rsid w:val="00FA24E7"/>
    <w:rsid w:val="00FA270F"/>
    <w:rsid w:val="00FA29CB"/>
    <w:rsid w:val="00FA464A"/>
    <w:rsid w:val="00FA548A"/>
    <w:rsid w:val="00FA5EE6"/>
    <w:rsid w:val="00FA7812"/>
    <w:rsid w:val="00FA7918"/>
    <w:rsid w:val="00FA7956"/>
    <w:rsid w:val="00FA7B87"/>
    <w:rsid w:val="00FB0256"/>
    <w:rsid w:val="00FB2FCB"/>
    <w:rsid w:val="00FB3A82"/>
    <w:rsid w:val="00FB4AE3"/>
    <w:rsid w:val="00FB4CDA"/>
    <w:rsid w:val="00FB7B38"/>
    <w:rsid w:val="00FB7C55"/>
    <w:rsid w:val="00FB7E3E"/>
    <w:rsid w:val="00FC069D"/>
    <w:rsid w:val="00FC1074"/>
    <w:rsid w:val="00FC1884"/>
    <w:rsid w:val="00FC371D"/>
    <w:rsid w:val="00FC4160"/>
    <w:rsid w:val="00FC41F0"/>
    <w:rsid w:val="00FC5230"/>
    <w:rsid w:val="00FC5333"/>
    <w:rsid w:val="00FC5F0B"/>
    <w:rsid w:val="00FC6083"/>
    <w:rsid w:val="00FC6C90"/>
    <w:rsid w:val="00FD09E4"/>
    <w:rsid w:val="00FD19C9"/>
    <w:rsid w:val="00FD1FCB"/>
    <w:rsid w:val="00FD2100"/>
    <w:rsid w:val="00FD2A32"/>
    <w:rsid w:val="00FD38BB"/>
    <w:rsid w:val="00FD436C"/>
    <w:rsid w:val="00FD446D"/>
    <w:rsid w:val="00FD458F"/>
    <w:rsid w:val="00FD4F2C"/>
    <w:rsid w:val="00FD6394"/>
    <w:rsid w:val="00FE076E"/>
    <w:rsid w:val="00FE0E6C"/>
    <w:rsid w:val="00FE1CDC"/>
    <w:rsid w:val="00FE46F5"/>
    <w:rsid w:val="00FE5094"/>
    <w:rsid w:val="00FE50BB"/>
    <w:rsid w:val="00FE5705"/>
    <w:rsid w:val="00FE697B"/>
    <w:rsid w:val="00FE70C3"/>
    <w:rsid w:val="00FE75BB"/>
    <w:rsid w:val="00FE7C7E"/>
    <w:rsid w:val="00FF0970"/>
    <w:rsid w:val="00FF2259"/>
    <w:rsid w:val="00FF253E"/>
    <w:rsid w:val="00FF2AD9"/>
    <w:rsid w:val="00FF2C4D"/>
    <w:rsid w:val="00FF359F"/>
    <w:rsid w:val="00FF3DCF"/>
    <w:rsid w:val="00FF492C"/>
    <w:rsid w:val="00FF4A21"/>
    <w:rsid w:val="00FF51F4"/>
    <w:rsid w:val="00FF5AA3"/>
    <w:rsid w:val="00FF5AD8"/>
    <w:rsid w:val="00FF7C85"/>
    <w:rsid w:val="00FF7D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DA0"/>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HMR,TabFig title/caption,Caption for Figures and Tables,fig cadre,Caption Char Char,Caption Char Char Char Char,fig cadre Char2,Caption Char2,fig cadre Char Char,NICE Caption,Char1,c,AW Caption,Char,SMC Caption,IB Caption,- H17,Caption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PHMR Char,TabFig title/caption Char,Caption for Figures and Tables Char,fig cadre Char,Caption Char Char Char,Caption Char Char Char Char Char,fig cadre Char2 Char,Caption Char2 Char,fig cadre Char Char Char,NICE Caption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s,Odstavec se seznamem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MSD Table Grid,new style,PHE Table Grid,Lash Style Table,Dossier table,Section 3- footnotes,Summary Tab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443559"/>
    <w:rPr>
      <w:sz w:val="20"/>
      <w:szCs w:val="20"/>
    </w:rPr>
  </w:style>
  <w:style w:type="character" w:customStyle="1" w:styleId="FootnoteTextChar">
    <w:name w:val="Footnote Text Char"/>
    <w:basedOn w:val="DefaultParagraphFont"/>
    <w:link w:val="FootnoteText"/>
    <w:semiHidden/>
    <w:rsid w:val="00443559"/>
    <w:rPr>
      <w:rFonts w:ascii="Calibri" w:hAnsi="Calibri" w:cs="Arial"/>
    </w:rPr>
  </w:style>
  <w:style w:type="character" w:styleId="FootnoteReference">
    <w:name w:val="footnote reference"/>
    <w:basedOn w:val="DefaultParagraphFont"/>
    <w:semiHidden/>
    <w:unhideWhenUsed/>
    <w:rsid w:val="00443559"/>
    <w:rPr>
      <w:vertAlign w:val="superscript"/>
    </w:rPr>
  </w:style>
  <w:style w:type="paragraph" w:customStyle="1" w:styleId="MATabletext">
    <w:name w:val="MA Table text"/>
    <w:basedOn w:val="Normal"/>
    <w:link w:val="MATabletextChar"/>
    <w:qFormat/>
    <w:rsid w:val="00536B71"/>
    <w:pPr>
      <w:widowControl w:val="0"/>
      <w:jc w:val="left"/>
    </w:pPr>
    <w:rPr>
      <w:rFonts w:ascii="Trebuchet MS" w:eastAsiaTheme="minorHAnsi" w:hAnsi="Trebuchet MS" w:cstheme="minorBidi"/>
      <w:color w:val="000000" w:themeColor="text1"/>
      <w:sz w:val="20"/>
      <w:szCs w:val="18"/>
      <w:lang w:eastAsia="en-US"/>
    </w:rPr>
  </w:style>
  <w:style w:type="character" w:customStyle="1" w:styleId="MATabletextChar">
    <w:name w:val="MA Table text Char"/>
    <w:basedOn w:val="DefaultParagraphFont"/>
    <w:link w:val="MATabletext"/>
    <w:rsid w:val="00536B71"/>
    <w:rPr>
      <w:rFonts w:ascii="Trebuchet MS" w:eastAsiaTheme="minorHAnsi" w:hAnsi="Trebuchet MS" w:cstheme="minorBidi"/>
      <w:color w:val="000000" w:themeColor="text1"/>
      <w:szCs w:val="18"/>
      <w:lang w:eastAsia="en-US"/>
    </w:rPr>
  </w:style>
  <w:style w:type="paragraph" w:customStyle="1" w:styleId="Tablenotes">
    <w:name w:val="Table notes"/>
    <w:basedOn w:val="Normal"/>
    <w:link w:val="TablenotesChar"/>
    <w:qFormat/>
    <w:rsid w:val="00C60B52"/>
    <w:pPr>
      <w:spacing w:after="160"/>
      <w:contextualSpacing/>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C60B52"/>
    <w:rPr>
      <w:rFonts w:ascii="Trebuchet MS" w:hAnsi="Trebuchet MS"/>
      <w:sz w:val="16"/>
      <w:lang w:eastAsia="en-US"/>
    </w:rPr>
  </w:style>
  <w:style w:type="character" w:customStyle="1" w:styleId="BodyText1Char">
    <w:name w:val="Body Text1 Char"/>
    <w:link w:val="BodyText1"/>
    <w:locked/>
    <w:rsid w:val="00C60B52"/>
    <w:rPr>
      <w:rFonts w:ascii="Arial" w:hAnsi="Arial"/>
      <w:lang w:eastAsia="en-GB"/>
    </w:rPr>
  </w:style>
  <w:style w:type="paragraph" w:customStyle="1" w:styleId="BodyText1">
    <w:name w:val="Body Text1"/>
    <w:basedOn w:val="Normal"/>
    <w:link w:val="BodyText1Char"/>
    <w:autoRedefine/>
    <w:qFormat/>
    <w:rsid w:val="00C60B52"/>
    <w:pPr>
      <w:widowControl w:val="0"/>
      <w:spacing w:before="120" w:after="120" w:line="276" w:lineRule="auto"/>
    </w:pPr>
    <w:rPr>
      <w:rFonts w:ascii="Arial" w:hAnsi="Arial" w:cs="Times New Roman"/>
      <w:sz w:val="20"/>
      <w:szCs w:val="20"/>
      <w:lang w:eastAsia="en-GB"/>
    </w:rPr>
  </w:style>
  <w:style w:type="paragraph" w:customStyle="1" w:styleId="Tablebold">
    <w:name w:val="Table bold"/>
    <w:basedOn w:val="Tabletext"/>
    <w:uiPriority w:val="99"/>
    <w:qFormat/>
    <w:rsid w:val="00700079"/>
    <w:pPr>
      <w:keepNext/>
      <w:keepLines/>
      <w:spacing w:before="60" w:after="60"/>
    </w:pPr>
    <w:rPr>
      <w:rFonts w:ascii="Verdana" w:eastAsia="Calibri" w:hAnsi="Verdana"/>
      <w:b/>
      <w:snapToGrid/>
      <w:sz w:val="18"/>
      <w:szCs w:val="22"/>
      <w:lang w:eastAsia="en-US"/>
    </w:rPr>
  </w:style>
  <w:style w:type="table" w:customStyle="1" w:styleId="TableGrid3">
    <w:name w:val="Table Grid3"/>
    <w:basedOn w:val="TableNormal"/>
    <w:next w:val="TableGrid"/>
    <w:uiPriority w:val="59"/>
    <w:rsid w:val="004C7A6F"/>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1">
    <w:name w:val="Footer Char1"/>
    <w:aliases w:val="Page Footer Char1"/>
    <w:basedOn w:val="DefaultParagraphFont"/>
    <w:uiPriority w:val="99"/>
    <w:semiHidden/>
    <w:rsid w:val="00937374"/>
    <w:rPr>
      <w:rFonts w:ascii="Trebuchet MS" w:eastAsia="Times New Roman" w:hAnsi="Trebuchet MS" w:cs="Times New Roman"/>
      <w:szCs w:val="20"/>
    </w:rPr>
  </w:style>
  <w:style w:type="paragraph" w:customStyle="1" w:styleId="EndNoteBibliographyTitle">
    <w:name w:val="EndNote Bibliography Title"/>
    <w:basedOn w:val="Normal"/>
    <w:link w:val="EndNoteBibliographyTitleChar"/>
    <w:rsid w:val="00957877"/>
    <w:pPr>
      <w:jc w:val="center"/>
    </w:pPr>
    <w:rPr>
      <w:rFonts w:cs="Calibri"/>
      <w:noProof/>
    </w:rPr>
  </w:style>
  <w:style w:type="character" w:customStyle="1" w:styleId="EndNoteBibliographyTitleChar">
    <w:name w:val="EndNote Bibliography Title Char"/>
    <w:basedOn w:val="ListParagraphChar"/>
    <w:link w:val="EndNoteBibliographyTitle"/>
    <w:rsid w:val="00957877"/>
    <w:rPr>
      <w:rFonts w:ascii="Calibri" w:hAnsi="Calibri" w:cs="Calibri"/>
      <w:noProof/>
      <w:snapToGrid/>
      <w:sz w:val="24"/>
      <w:szCs w:val="24"/>
    </w:rPr>
  </w:style>
  <w:style w:type="paragraph" w:customStyle="1" w:styleId="EndNoteBibliography">
    <w:name w:val="EndNote Bibliography"/>
    <w:basedOn w:val="Normal"/>
    <w:link w:val="EndNoteBibliographyChar"/>
    <w:rsid w:val="00957877"/>
    <w:rPr>
      <w:rFonts w:cs="Calibri"/>
      <w:noProof/>
    </w:rPr>
  </w:style>
  <w:style w:type="character" w:customStyle="1" w:styleId="EndNoteBibliographyChar">
    <w:name w:val="EndNote Bibliography Char"/>
    <w:basedOn w:val="ListParagraphChar"/>
    <w:link w:val="EndNoteBibliography"/>
    <w:rsid w:val="00957877"/>
    <w:rPr>
      <w:rFonts w:ascii="Calibri" w:hAnsi="Calibri" w:cs="Calibri"/>
      <w:noProof/>
      <w:snapToGrid/>
      <w:sz w:val="24"/>
      <w:szCs w:val="24"/>
    </w:rPr>
  </w:style>
  <w:style w:type="character" w:styleId="SubtleEmphasis">
    <w:name w:val="Subtle Emphasis"/>
    <w:basedOn w:val="DefaultParagraphFont"/>
    <w:uiPriority w:val="19"/>
    <w:qFormat/>
    <w:rsid w:val="00843445"/>
    <w:rPr>
      <w:i/>
      <w:iCs/>
      <w:color w:val="404040" w:themeColor="text1" w:themeTint="BF"/>
    </w:rPr>
  </w:style>
  <w:style w:type="paragraph" w:customStyle="1" w:styleId="Tableheadingleft">
    <w:name w:val="Table heading left"/>
    <w:basedOn w:val="TableText0"/>
    <w:qFormat/>
    <w:rsid w:val="00843445"/>
    <w:pPr>
      <w:keepNext w:val="0"/>
    </w:pPr>
    <w:rPr>
      <w:rFonts w:ascii="Trebuchet MS" w:eastAsiaTheme="minorHAnsi" w:hAnsi="Trebuchet MS" w:cs="Arial"/>
      <w:b/>
      <w:bCs w:val="0"/>
      <w:color w:val="000000"/>
      <w:szCs w:val="18"/>
      <w:lang w:eastAsia="en-US"/>
    </w:rPr>
  </w:style>
  <w:style w:type="paragraph" w:customStyle="1" w:styleId="TableNotes1">
    <w:name w:val="Table Notes"/>
    <w:basedOn w:val="Normal"/>
    <w:next w:val="Normal"/>
    <w:link w:val="TableNotesChar0"/>
    <w:qFormat/>
    <w:rsid w:val="00843445"/>
    <w:pPr>
      <w:keepNext/>
      <w:keepLines/>
      <w:widowControl w:val="0"/>
    </w:pPr>
    <w:rPr>
      <w:rFonts w:ascii="Trebuchet MS" w:hAnsi="Trebuchet MS" w:cs="Times New Roman"/>
      <w:color w:val="000000"/>
      <w:sz w:val="16"/>
    </w:rPr>
  </w:style>
  <w:style w:type="character" w:customStyle="1" w:styleId="TableNotesChar0">
    <w:name w:val="Table Notes Char"/>
    <w:link w:val="TableNotes1"/>
    <w:rsid w:val="00843445"/>
    <w:rPr>
      <w:rFonts w:ascii="Trebuchet MS" w:hAnsi="Trebuchet MS"/>
      <w:color w:val="000000"/>
      <w:sz w:val="16"/>
      <w:szCs w:val="24"/>
    </w:rPr>
  </w:style>
  <w:style w:type="table" w:customStyle="1" w:styleId="TableGrid2">
    <w:name w:val="Table Grid2"/>
    <w:basedOn w:val="TableNormal"/>
    <w:next w:val="TableGrid"/>
    <w:uiPriority w:val="39"/>
    <w:rsid w:val="00843445"/>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BodyText">
    <w:name w:val="BMS Body Text"/>
    <w:link w:val="BMSBodyTextChar"/>
    <w:qFormat/>
    <w:rsid w:val="00843445"/>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843445"/>
    <w:rPr>
      <w:rFonts w:eastAsia="MS Mincho"/>
      <w:color w:val="000000"/>
      <w:sz w:val="24"/>
      <w:lang w:val="en-US" w:eastAsia="en-US"/>
    </w:rPr>
  </w:style>
  <w:style w:type="paragraph" w:customStyle="1" w:styleId="Tableheadingrow">
    <w:name w:val="Table heading row"/>
    <w:qFormat/>
    <w:rsid w:val="00224E9F"/>
    <w:pPr>
      <w:keepNext/>
    </w:pPr>
    <w:rPr>
      <w:rFonts w:ascii="Arial Narrow" w:eastAsiaTheme="majorEastAsia" w:hAnsi="Arial Narrow"/>
      <w:b/>
      <w:szCs w:val="24"/>
      <w:lang w:val="en-US"/>
    </w:rPr>
  </w:style>
  <w:style w:type="paragraph" w:customStyle="1" w:styleId="TableHeading0">
    <w:name w:val="Table Heading"/>
    <w:basedOn w:val="TableText0"/>
    <w:link w:val="TableHeadingChar"/>
    <w:qFormat/>
    <w:rsid w:val="00224E9F"/>
    <w:pPr>
      <w:keepLines/>
    </w:pPr>
    <w:rPr>
      <w:rFonts w:cs="Arial"/>
      <w:b/>
      <w:bCs w:val="0"/>
      <w:szCs w:val="20"/>
      <w:lang w:bidi="en-US"/>
    </w:rPr>
  </w:style>
  <w:style w:type="character" w:customStyle="1" w:styleId="TableHeadingChar">
    <w:name w:val="Table Heading Char"/>
    <w:link w:val="TableHeading0"/>
    <w:rsid w:val="00224E9F"/>
    <w:rPr>
      <w:rFonts w:ascii="Arial Narrow" w:eastAsiaTheme="majorEastAsia" w:hAnsi="Arial Narrow" w:cs="Arial"/>
      <w:b/>
      <w:lang w:bidi="en-US"/>
    </w:rPr>
  </w:style>
  <w:style w:type="paragraph" w:customStyle="1" w:styleId="ExecSumBodyText">
    <w:name w:val="Exec Sum Body Text"/>
    <w:basedOn w:val="Normal"/>
    <w:qFormat/>
    <w:rsid w:val="000E7D7C"/>
    <w:pPr>
      <w:spacing w:after="120"/>
      <w:ind w:left="720" w:hanging="720"/>
    </w:pPr>
    <w:rPr>
      <w:rFonts w:asciiTheme="minorHAnsi" w:hAnsiTheme="minorHAnsi"/>
      <w:snapToGrid w:val="0"/>
    </w:rPr>
  </w:style>
  <w:style w:type="character" w:styleId="Emphasis">
    <w:name w:val="Emphasis"/>
    <w:basedOn w:val="DefaultParagraphFont"/>
    <w:uiPriority w:val="20"/>
    <w:qFormat/>
    <w:rsid w:val="000E7D7C"/>
    <w:rPr>
      <w:i/>
      <w:iCs/>
    </w:rPr>
  </w:style>
  <w:style w:type="table" w:customStyle="1" w:styleId="newstyle1">
    <w:name w:val="new style1"/>
    <w:basedOn w:val="TableNormal"/>
    <w:next w:val="TableGrid"/>
    <w:rsid w:val="00B4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723D"/>
    <w:pPr>
      <w:autoSpaceDE w:val="0"/>
      <w:autoSpaceDN w:val="0"/>
      <w:adjustRightInd w:val="0"/>
    </w:pPr>
    <w:rPr>
      <w:rFonts w:eastAsiaTheme="minorHAnsi"/>
      <w:color w:val="000000"/>
      <w:sz w:val="24"/>
      <w:szCs w:val="24"/>
      <w:lang w:eastAsia="en-US"/>
    </w:rPr>
  </w:style>
  <w:style w:type="character" w:customStyle="1" w:styleId="Heading1Char">
    <w:name w:val="Heading 1 Char"/>
    <w:basedOn w:val="DefaultParagraphFont"/>
    <w:link w:val="Heading1"/>
    <w:uiPriority w:val="1"/>
    <w:rsid w:val="00ED1B15"/>
    <w:rPr>
      <w:rFonts w:ascii="Calibri" w:hAnsi="Calibri" w:cs="Arial"/>
      <w:b/>
      <w:caps/>
      <w:sz w:val="32"/>
      <w:szCs w:val="24"/>
    </w:rPr>
  </w:style>
  <w:style w:type="paragraph" w:customStyle="1" w:styleId="3-SubsectionHeading">
    <w:name w:val="3-Subsection Heading"/>
    <w:basedOn w:val="Heading2"/>
    <w:next w:val="Normal"/>
    <w:link w:val="3-SubsectionHeadingChar"/>
    <w:qFormat/>
    <w:rsid w:val="00ED1B1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D1B15"/>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531">
      <w:bodyDiv w:val="1"/>
      <w:marLeft w:val="0"/>
      <w:marRight w:val="0"/>
      <w:marTop w:val="0"/>
      <w:marBottom w:val="0"/>
      <w:divBdr>
        <w:top w:val="none" w:sz="0" w:space="0" w:color="auto"/>
        <w:left w:val="none" w:sz="0" w:space="0" w:color="auto"/>
        <w:bottom w:val="none" w:sz="0" w:space="0" w:color="auto"/>
        <w:right w:val="none" w:sz="0" w:space="0" w:color="auto"/>
      </w:divBdr>
      <w:divsChild>
        <w:div w:id="226578167">
          <w:marLeft w:val="1166"/>
          <w:marRight w:val="0"/>
          <w:marTop w:val="72"/>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75454474">
      <w:bodyDiv w:val="1"/>
      <w:marLeft w:val="0"/>
      <w:marRight w:val="0"/>
      <w:marTop w:val="0"/>
      <w:marBottom w:val="0"/>
      <w:divBdr>
        <w:top w:val="none" w:sz="0" w:space="0" w:color="auto"/>
        <w:left w:val="none" w:sz="0" w:space="0" w:color="auto"/>
        <w:bottom w:val="none" w:sz="0" w:space="0" w:color="auto"/>
        <w:right w:val="none" w:sz="0" w:space="0" w:color="auto"/>
      </w:divBdr>
      <w:divsChild>
        <w:div w:id="1224028210">
          <w:marLeft w:val="1800"/>
          <w:marRight w:val="0"/>
          <w:marTop w:val="62"/>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93505805">
      <w:bodyDiv w:val="1"/>
      <w:marLeft w:val="0"/>
      <w:marRight w:val="0"/>
      <w:marTop w:val="0"/>
      <w:marBottom w:val="0"/>
      <w:divBdr>
        <w:top w:val="none" w:sz="0" w:space="0" w:color="auto"/>
        <w:left w:val="none" w:sz="0" w:space="0" w:color="auto"/>
        <w:bottom w:val="none" w:sz="0" w:space="0" w:color="auto"/>
        <w:right w:val="none" w:sz="0" w:space="0" w:color="auto"/>
      </w:divBdr>
    </w:div>
    <w:div w:id="97768578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294">
      <w:bodyDiv w:val="1"/>
      <w:marLeft w:val="0"/>
      <w:marRight w:val="0"/>
      <w:marTop w:val="0"/>
      <w:marBottom w:val="0"/>
      <w:divBdr>
        <w:top w:val="none" w:sz="0" w:space="0" w:color="auto"/>
        <w:left w:val="none" w:sz="0" w:space="0" w:color="auto"/>
        <w:bottom w:val="none" w:sz="0" w:space="0" w:color="auto"/>
        <w:right w:val="none" w:sz="0" w:space="0" w:color="auto"/>
      </w:divBdr>
    </w:div>
    <w:div w:id="1429350486">
      <w:bodyDiv w:val="1"/>
      <w:marLeft w:val="0"/>
      <w:marRight w:val="0"/>
      <w:marTop w:val="0"/>
      <w:marBottom w:val="0"/>
      <w:divBdr>
        <w:top w:val="none" w:sz="0" w:space="0" w:color="auto"/>
        <w:left w:val="none" w:sz="0" w:space="0" w:color="auto"/>
        <w:bottom w:val="none" w:sz="0" w:space="0" w:color="auto"/>
        <w:right w:val="none" w:sz="0" w:space="0" w:color="auto"/>
      </w:divBdr>
    </w:div>
    <w:div w:id="1462765192">
      <w:bodyDiv w:val="1"/>
      <w:marLeft w:val="0"/>
      <w:marRight w:val="0"/>
      <w:marTop w:val="0"/>
      <w:marBottom w:val="0"/>
      <w:divBdr>
        <w:top w:val="none" w:sz="0" w:space="0" w:color="auto"/>
        <w:left w:val="none" w:sz="0" w:space="0" w:color="auto"/>
        <w:bottom w:val="none" w:sz="0" w:space="0" w:color="auto"/>
        <w:right w:val="none" w:sz="0" w:space="0" w:color="auto"/>
      </w:divBdr>
      <w:divsChild>
        <w:div w:id="1218008913">
          <w:marLeft w:val="446"/>
          <w:marRight w:val="0"/>
          <w:marTop w:val="0"/>
          <w:marBottom w:val="0"/>
          <w:divBdr>
            <w:top w:val="none" w:sz="0" w:space="0" w:color="auto"/>
            <w:left w:val="none" w:sz="0" w:space="0" w:color="auto"/>
            <w:bottom w:val="none" w:sz="0" w:space="0" w:color="auto"/>
            <w:right w:val="none" w:sz="0" w:space="0" w:color="auto"/>
          </w:divBdr>
        </w:div>
      </w:divsChild>
    </w:div>
    <w:div w:id="1581480928">
      <w:bodyDiv w:val="1"/>
      <w:marLeft w:val="0"/>
      <w:marRight w:val="0"/>
      <w:marTop w:val="0"/>
      <w:marBottom w:val="0"/>
      <w:divBdr>
        <w:top w:val="none" w:sz="0" w:space="0" w:color="auto"/>
        <w:left w:val="none" w:sz="0" w:space="0" w:color="auto"/>
        <w:bottom w:val="none" w:sz="0" w:space="0" w:color="auto"/>
        <w:right w:val="none" w:sz="0" w:space="0" w:color="auto"/>
      </w:divBdr>
    </w:div>
    <w:div w:id="1595899178">
      <w:bodyDiv w:val="1"/>
      <w:marLeft w:val="0"/>
      <w:marRight w:val="0"/>
      <w:marTop w:val="0"/>
      <w:marBottom w:val="0"/>
      <w:divBdr>
        <w:top w:val="none" w:sz="0" w:space="0" w:color="auto"/>
        <w:left w:val="none" w:sz="0" w:space="0" w:color="auto"/>
        <w:bottom w:val="none" w:sz="0" w:space="0" w:color="auto"/>
        <w:right w:val="none" w:sz="0" w:space="0" w:color="auto"/>
      </w:divBdr>
    </w:div>
    <w:div w:id="177065615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4CC73-0A2A-405D-BDC7-FB917CEC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17450</Words>
  <Characters>97179</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2022-11-08T23:27:00Z</dcterms:created>
  <dcterms:modified xsi:type="dcterms:W3CDTF">2022-11-08T23:31:00Z</dcterms:modified>
</cp:coreProperties>
</file>